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D29CC" w14:textId="53691A2D" w:rsidR="00D81008" w:rsidRDefault="00D81008" w:rsidP="007D7E95">
      <w:pPr>
        <w:spacing w:after="0" w:line="240" w:lineRule="auto"/>
        <w:rPr>
          <w:rFonts w:ascii="Verdana" w:hAnsi="Verdana" w:cs="Arial"/>
          <w:b/>
          <w:bCs/>
          <w:lang w:val="es-ES" w:eastAsia="es-ES"/>
        </w:rPr>
      </w:pPr>
      <w:bookmarkStart w:id="0" w:name="_Hlk143780582"/>
      <w:r w:rsidRPr="00D81008">
        <w:rPr>
          <w:rFonts w:ascii="Verdana" w:hAnsi="Verdana" w:cs="Arial"/>
          <w:b/>
          <w:bCs/>
          <w:lang w:val="es-ES" w:eastAsia="es-ES"/>
        </w:rPr>
        <w:t>LEY DE GARANTÍAS ELECTORALES – Finalidad</w:t>
      </w:r>
    </w:p>
    <w:p w14:paraId="55852497" w14:textId="77777777" w:rsidR="00D81008" w:rsidRDefault="00D81008" w:rsidP="007D7E95">
      <w:pPr>
        <w:spacing w:after="0" w:line="240" w:lineRule="auto"/>
        <w:rPr>
          <w:rFonts w:ascii="Verdana" w:hAnsi="Verdana" w:cs="Arial"/>
          <w:b/>
          <w:bCs/>
          <w:lang w:val="es-ES" w:eastAsia="es-ES"/>
        </w:rPr>
      </w:pPr>
    </w:p>
    <w:p w14:paraId="2FBAF89E" w14:textId="32E06AF3" w:rsidR="00D81008" w:rsidRPr="00D81008" w:rsidRDefault="00D81008" w:rsidP="007D7E95">
      <w:pPr>
        <w:tabs>
          <w:tab w:val="left" w:pos="426"/>
        </w:tabs>
        <w:spacing w:after="120" w:line="240" w:lineRule="auto"/>
        <w:jc w:val="both"/>
        <w:rPr>
          <w:rFonts w:ascii="Verdana" w:eastAsia="Calibri" w:hAnsi="Verdana" w:cs="Arial"/>
          <w:sz w:val="21"/>
          <w:szCs w:val="21"/>
          <w:lang w:val="es-ES_tradnl"/>
        </w:rPr>
      </w:pPr>
      <w:r w:rsidRPr="00D81008">
        <w:rPr>
          <w:rFonts w:ascii="Verdana" w:eastAsia="Times New Roman" w:hAnsi="Verdana" w:cs="Arial"/>
          <w:sz w:val="21"/>
          <w:szCs w:val="21"/>
          <w:lang w:val="es-MX" w:eastAsia="es-CO"/>
        </w:rPr>
        <w:t>[…] 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 En esta medida, introduce limitaciones para realizar nombramientos, postulaciones, contrataciones o cualquier otro tipo de actividad que implique destinación de recursos públicos bajo el devenir propio de las Entidades Estatales.</w:t>
      </w:r>
      <w:r w:rsidRPr="00D81008">
        <w:rPr>
          <w:rFonts w:ascii="Verdana" w:eastAsia="Calibri" w:hAnsi="Verdana" w:cs="Arial"/>
          <w:sz w:val="21"/>
          <w:szCs w:val="21"/>
          <w:lang w:val="es-ES_tradnl"/>
        </w:rPr>
        <w:t xml:space="preserve"> </w:t>
      </w:r>
    </w:p>
    <w:p w14:paraId="0B7A465B" w14:textId="6673BACD" w:rsidR="00D81008" w:rsidRDefault="00D81008" w:rsidP="007D7E95">
      <w:pPr>
        <w:spacing w:after="0" w:line="240" w:lineRule="auto"/>
        <w:rPr>
          <w:rFonts w:ascii="Verdana" w:hAnsi="Verdana" w:cs="Arial"/>
          <w:b/>
          <w:bCs/>
          <w:lang w:val="es-ES" w:eastAsia="es-ES"/>
        </w:rPr>
      </w:pPr>
      <w:r w:rsidRPr="00D81008">
        <w:rPr>
          <w:rFonts w:ascii="Verdana" w:hAnsi="Verdana" w:cs="Arial"/>
          <w:b/>
          <w:bCs/>
          <w:lang w:val="es-ES" w:eastAsia="es-ES"/>
        </w:rPr>
        <w:t>LEY DE GARANTÍAS ELECTORALES ‒ Restricciones ‒ Contratación ‒Tipos de elección ‒ Celebración</w:t>
      </w:r>
    </w:p>
    <w:p w14:paraId="11133FC9" w14:textId="77777777" w:rsidR="0081737B" w:rsidRDefault="0081737B" w:rsidP="007D7E95">
      <w:pPr>
        <w:spacing w:after="0" w:line="240" w:lineRule="auto"/>
        <w:rPr>
          <w:rFonts w:ascii="Verdana" w:eastAsia="Arial" w:hAnsi="Verdana" w:cs="Arial"/>
          <w:lang w:val="es-ES" w:eastAsia="es-ES" w:bidi="es-ES"/>
        </w:rPr>
      </w:pPr>
    </w:p>
    <w:p w14:paraId="6555C67C" w14:textId="22205BAA" w:rsidR="00D81008" w:rsidRDefault="0081737B" w:rsidP="007D7E95">
      <w:pPr>
        <w:spacing w:after="0" w:line="240" w:lineRule="auto"/>
        <w:jc w:val="both"/>
        <w:rPr>
          <w:rFonts w:ascii="Verdana" w:eastAsia="Arial" w:hAnsi="Verdana" w:cs="Arial"/>
          <w:sz w:val="21"/>
          <w:szCs w:val="21"/>
          <w:lang w:val="es-ES" w:eastAsia="es-ES" w:bidi="es-ES"/>
        </w:rPr>
      </w:pPr>
      <w:r w:rsidRPr="0081737B">
        <w:rPr>
          <w:rFonts w:ascii="Verdana" w:eastAsia="Arial" w:hAnsi="Verdana" w:cs="Arial"/>
          <w:sz w:val="21"/>
          <w:szCs w:val="21"/>
          <w:lang w:val="es-ES" w:eastAsia="es-ES" w:bidi="es-ES"/>
        </w:rPr>
        <w:t>[…] es pertinente señalar que, en materia de contratación estatal, las restricciones consagradas en la citada Ley se dirigen a dos (2) tipos de campañas electorales claramente diferenciadas: las presidenciales y las demás que se adelanten para la elección de los demás cargos de elección popular, tanto a nivel nacional como territorial.</w:t>
      </w:r>
    </w:p>
    <w:p w14:paraId="4B976788" w14:textId="77777777" w:rsidR="0081737B" w:rsidRDefault="0081737B" w:rsidP="007D7E95">
      <w:pPr>
        <w:spacing w:after="0" w:line="240" w:lineRule="auto"/>
        <w:jc w:val="both"/>
        <w:rPr>
          <w:rFonts w:ascii="Verdana" w:eastAsia="Arial" w:hAnsi="Verdana" w:cs="Arial"/>
          <w:sz w:val="21"/>
          <w:szCs w:val="21"/>
          <w:lang w:val="es-ES" w:eastAsia="es-ES" w:bidi="es-ES"/>
        </w:rPr>
      </w:pPr>
    </w:p>
    <w:p w14:paraId="60737DEF" w14:textId="49B32798" w:rsidR="0081737B" w:rsidRPr="0081737B" w:rsidRDefault="0081737B" w:rsidP="007D7E95">
      <w:pPr>
        <w:spacing w:after="0" w:line="240" w:lineRule="auto"/>
        <w:jc w:val="both"/>
        <w:rPr>
          <w:rFonts w:ascii="Verdana" w:eastAsia="Arial" w:hAnsi="Verdana" w:cs="Arial"/>
          <w:b/>
          <w:bCs/>
          <w:sz w:val="21"/>
          <w:szCs w:val="21"/>
          <w:lang w:val="es-ES" w:eastAsia="es-ES" w:bidi="es-ES"/>
        </w:rPr>
      </w:pPr>
      <w:r w:rsidRPr="0081737B">
        <w:rPr>
          <w:rFonts w:ascii="Verdana" w:eastAsia="Calibri" w:hAnsi="Verdana" w:cs="Arial"/>
          <w:b/>
          <w:bCs/>
          <w:lang w:val="es-ES" w:eastAsia="es-ES"/>
        </w:rPr>
        <w:t>LEY DE GARANTÍAS ELECTORALES ‒ Artículo 33 ‒ Ámbito material ‒ Destinatarios</w:t>
      </w:r>
    </w:p>
    <w:p w14:paraId="3A8B49AE" w14:textId="77777777" w:rsidR="0081737B" w:rsidRDefault="0081737B" w:rsidP="007D7E95">
      <w:pPr>
        <w:spacing w:after="0" w:line="240" w:lineRule="auto"/>
        <w:jc w:val="both"/>
        <w:rPr>
          <w:rFonts w:ascii="Verdana" w:eastAsia="Geomanist Light" w:hAnsi="Verdana" w:cs="Arial"/>
          <w:b/>
          <w:bCs/>
          <w:color w:val="000000" w:themeColor="text1"/>
          <w:sz w:val="21"/>
          <w:szCs w:val="21"/>
          <w:lang w:val="es-ES_tradnl"/>
        </w:rPr>
      </w:pPr>
    </w:p>
    <w:p w14:paraId="5B0465C0" w14:textId="24462085" w:rsidR="0081737B" w:rsidRPr="007D7E95" w:rsidRDefault="0081737B" w:rsidP="007D7E95">
      <w:pPr>
        <w:spacing w:after="120" w:line="240" w:lineRule="auto"/>
        <w:jc w:val="both"/>
        <w:rPr>
          <w:rFonts w:ascii="Verdana" w:eastAsia="Calibri" w:hAnsi="Verdana" w:cs="Arial"/>
          <w:sz w:val="20"/>
          <w:szCs w:val="20"/>
        </w:rPr>
      </w:pPr>
      <w:r w:rsidRPr="007D7E95">
        <w:rPr>
          <w:rFonts w:ascii="Verdana" w:eastAsia="Calibri" w:hAnsi="Verdana" w:cs="Arial"/>
          <w:sz w:val="20"/>
          <w:szCs w:val="20"/>
        </w:rPr>
        <w:t xml:space="preserve">Por un lado, el </w:t>
      </w:r>
      <w:r w:rsidRPr="007D7E95">
        <w:rPr>
          <w:rFonts w:ascii="Verdana" w:eastAsia="Calibri" w:hAnsi="Verdana" w:cs="Arial"/>
          <w:i/>
          <w:iCs/>
          <w:sz w:val="20"/>
          <w:szCs w:val="20"/>
        </w:rPr>
        <w:t>artículo 33 de la Ley 996 de 2005</w:t>
      </w:r>
      <w:r w:rsidRPr="007D7E95">
        <w:rPr>
          <w:rFonts w:ascii="Verdana" w:eastAsia="Calibri" w:hAnsi="Verdana" w:cs="Arial"/>
          <w:sz w:val="20"/>
          <w:szCs w:val="20"/>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1CAAAEE6" w14:textId="77777777" w:rsidR="0081737B" w:rsidRPr="0081737B" w:rsidRDefault="0081737B" w:rsidP="007D7E95">
      <w:pPr>
        <w:spacing w:after="0" w:line="240" w:lineRule="auto"/>
        <w:jc w:val="both"/>
        <w:rPr>
          <w:rFonts w:ascii="Verdana" w:eastAsia="Geomanist Light" w:hAnsi="Verdana" w:cs="Arial"/>
          <w:b/>
          <w:bCs/>
          <w:color w:val="000000" w:themeColor="text1"/>
          <w:sz w:val="21"/>
          <w:szCs w:val="21"/>
        </w:rPr>
      </w:pPr>
    </w:p>
    <w:p w14:paraId="4FFAEE17" w14:textId="48E45D26" w:rsidR="0081737B" w:rsidRPr="0081737B" w:rsidRDefault="0081737B" w:rsidP="007D7E95">
      <w:pPr>
        <w:spacing w:line="240" w:lineRule="auto"/>
        <w:jc w:val="both"/>
        <w:rPr>
          <w:rFonts w:ascii="Verdana" w:hAnsi="Verdana" w:cs="Arial"/>
          <w:b/>
          <w:bCs/>
          <w:lang w:val="es-ES" w:eastAsia="es-ES"/>
        </w:rPr>
      </w:pPr>
      <w:r w:rsidRPr="0081737B">
        <w:rPr>
          <w:rFonts w:ascii="Verdana" w:hAnsi="Verdana" w:cs="Arial"/>
          <w:b/>
          <w:bCs/>
          <w:color w:val="000000" w:themeColor="text1"/>
          <w:shd w:val="clear" w:color="auto" w:fill="FFFFFF"/>
          <w:lang w:val="es-ES"/>
        </w:rPr>
        <w:t>SECOP II </w:t>
      </w:r>
      <w:r w:rsidRPr="0081737B">
        <w:rPr>
          <w:rFonts w:ascii="Verdana" w:hAnsi="Verdana" w:cs="Arial"/>
          <w:b/>
          <w:bCs/>
          <w:color w:val="000000" w:themeColor="text1"/>
          <w:shd w:val="clear" w:color="auto" w:fill="FFFFFF"/>
          <w:lang w:val="es-MX"/>
        </w:rPr>
        <w:t>–</w:t>
      </w:r>
      <w:r w:rsidRPr="0081737B">
        <w:rPr>
          <w:rFonts w:ascii="Verdana" w:hAnsi="Verdana" w:cs="Arial"/>
          <w:b/>
          <w:bCs/>
          <w:color w:val="000000" w:themeColor="text1"/>
          <w:shd w:val="clear" w:color="auto" w:fill="FFFFFF"/>
          <w:lang w:val="es-ES"/>
        </w:rPr>
        <w:t xml:space="preserve"> Plataforma Transaccional </w:t>
      </w:r>
      <w:r w:rsidR="007D7E95" w:rsidRPr="007D7E95">
        <w:rPr>
          <w:rFonts w:ascii="Verdana" w:hAnsi="Verdana" w:cs="Arial"/>
          <w:b/>
          <w:bCs/>
          <w:color w:val="000000" w:themeColor="text1"/>
          <w:shd w:val="clear" w:color="auto" w:fill="FFFFFF"/>
          <w:lang w:val="es-ES"/>
        </w:rPr>
        <w:t>–</w:t>
      </w:r>
      <w:r w:rsidRPr="0081737B">
        <w:rPr>
          <w:rFonts w:ascii="Verdana" w:eastAsia="Calibri" w:hAnsi="Verdana" w:cs="Arial"/>
          <w:b/>
          <w:bCs/>
          <w:lang w:val="es-ES" w:eastAsia="es-ES"/>
        </w:rPr>
        <w:t xml:space="preserve"> </w:t>
      </w:r>
      <w:r w:rsidRPr="0081737B">
        <w:rPr>
          <w:rFonts w:ascii="Verdana" w:hAnsi="Verdana" w:cs="Arial"/>
          <w:b/>
          <w:bCs/>
          <w:color w:val="000000" w:themeColor="text1"/>
          <w:shd w:val="clear" w:color="auto" w:fill="FFFFFF"/>
          <w:lang w:val="es-ES"/>
        </w:rPr>
        <w:t>SECOP II </w:t>
      </w:r>
      <w:r w:rsidRPr="0081737B">
        <w:rPr>
          <w:rFonts w:ascii="Verdana" w:hAnsi="Verdana" w:cs="Arial"/>
          <w:b/>
          <w:bCs/>
          <w:color w:val="000000" w:themeColor="text1"/>
          <w:shd w:val="clear" w:color="auto" w:fill="FFFFFF"/>
          <w:lang w:val="es-MX"/>
        </w:rPr>
        <w:t>–</w:t>
      </w:r>
      <w:r w:rsidRPr="0081737B">
        <w:rPr>
          <w:rFonts w:ascii="Verdana" w:hAnsi="Verdana" w:cs="Arial"/>
          <w:b/>
          <w:bCs/>
          <w:color w:val="000000" w:themeColor="text1"/>
          <w:shd w:val="clear" w:color="auto" w:fill="FFFFFF"/>
          <w:lang w:val="es-ES"/>
        </w:rPr>
        <w:t xml:space="preserve"> Contrato electrónico </w:t>
      </w:r>
      <w:r w:rsidRPr="0081737B">
        <w:rPr>
          <w:rFonts w:ascii="Verdana" w:eastAsia="Calibri" w:hAnsi="Verdana" w:cs="Arial"/>
          <w:b/>
          <w:bCs/>
          <w:lang w:val="es-ES" w:eastAsia="es-ES"/>
        </w:rPr>
        <w:t xml:space="preserve">– Aprobación </w:t>
      </w:r>
      <w:r w:rsidRPr="0081737B">
        <w:rPr>
          <w:rFonts w:ascii="Verdana" w:hAnsi="Verdana" w:cs="Arial"/>
          <w:b/>
          <w:bCs/>
          <w:color w:val="000000" w:themeColor="text1"/>
          <w:shd w:val="clear" w:color="auto" w:fill="FFFFFF"/>
          <w:lang w:val="es-MX"/>
        </w:rPr>
        <w:t xml:space="preserve">– Perfeccionamiento </w:t>
      </w:r>
      <w:r w:rsidR="007D7E95" w:rsidRPr="007D7E95">
        <w:rPr>
          <w:rFonts w:ascii="Verdana" w:hAnsi="Verdana" w:cs="Arial"/>
          <w:b/>
          <w:bCs/>
          <w:color w:val="000000" w:themeColor="text1"/>
          <w:shd w:val="clear" w:color="auto" w:fill="FFFFFF"/>
          <w:lang w:val="es-ES"/>
        </w:rPr>
        <w:t>–</w:t>
      </w:r>
      <w:r w:rsidRPr="0081737B">
        <w:rPr>
          <w:rFonts w:ascii="Verdana" w:hAnsi="Verdana" w:cs="Arial"/>
          <w:b/>
          <w:bCs/>
          <w:color w:val="000000" w:themeColor="text1"/>
          <w:shd w:val="clear" w:color="auto" w:fill="FFFFFF"/>
          <w:lang w:val="es-MX"/>
        </w:rPr>
        <w:t xml:space="preserve"> </w:t>
      </w:r>
      <w:r w:rsidRPr="0081737B">
        <w:rPr>
          <w:rFonts w:ascii="Verdana" w:hAnsi="Verdana" w:cs="Arial"/>
          <w:b/>
          <w:bCs/>
          <w:color w:val="000000" w:themeColor="text1"/>
          <w:shd w:val="clear" w:color="auto" w:fill="FFFFFF"/>
          <w:lang w:val="es-ES"/>
        </w:rPr>
        <w:t>SECOP II </w:t>
      </w:r>
      <w:r w:rsidRPr="0081737B">
        <w:rPr>
          <w:rFonts w:ascii="Verdana" w:hAnsi="Verdana" w:cs="Arial"/>
          <w:b/>
          <w:bCs/>
          <w:color w:val="000000" w:themeColor="text1"/>
          <w:shd w:val="clear" w:color="auto" w:fill="FFFFFF"/>
          <w:lang w:val="es-MX"/>
        </w:rPr>
        <w:t xml:space="preserve">– Aplicación ley de garantías – Nulidad </w:t>
      </w:r>
    </w:p>
    <w:p w14:paraId="454DC7AF" w14:textId="4EDD8CFA" w:rsidR="0081737B" w:rsidRPr="005B0DB3" w:rsidRDefault="0081737B" w:rsidP="007D7E95">
      <w:pPr>
        <w:spacing w:after="0" w:line="240" w:lineRule="auto"/>
        <w:jc w:val="both"/>
        <w:rPr>
          <w:rFonts w:ascii="Verdana" w:eastAsia="Calibri" w:hAnsi="Verdana" w:cs="Arial"/>
          <w:sz w:val="21"/>
          <w:szCs w:val="21"/>
          <w:lang w:val="es-ES"/>
        </w:rPr>
      </w:pPr>
      <w:r w:rsidRPr="005B0DB3">
        <w:rPr>
          <w:rFonts w:ascii="Verdana" w:eastAsia="Times New Roman" w:hAnsi="Verdana" w:cs="Arial"/>
          <w:bCs/>
          <w:sz w:val="21"/>
          <w:szCs w:val="21"/>
          <w:lang w:val="es-MX" w:eastAsia="x-none"/>
        </w:rPr>
        <w:t xml:space="preserve">[…] es pertinente precisar el momento en el cual se realiza el perfeccionamiento del contrato en el SECOP II. En primer lugar, es importante destacar que </w:t>
      </w:r>
      <w:r w:rsidRPr="005B0DB3">
        <w:rPr>
          <w:rFonts w:ascii="Verdana" w:eastAsia="Calibri" w:hAnsi="Verdana" w:cs="Arial"/>
          <w:color w:val="000000" w:themeColor="text1"/>
          <w:sz w:val="21"/>
          <w:szCs w:val="21"/>
        </w:rPr>
        <w:t xml:space="preserve">el SECOP II es una plataforma transaccional, que permite gestionar en línea todos los procedimientos de contratación, </w:t>
      </w:r>
      <w:r w:rsidRPr="005B0DB3">
        <w:rPr>
          <w:rFonts w:ascii="Verdana" w:eastAsia="Calibri" w:hAnsi="Verdana" w:cs="Arial"/>
          <w:sz w:val="21"/>
          <w:szCs w:val="21"/>
          <w:lang w:val="es-ES"/>
        </w:rPr>
        <w:t xml:space="preserve">con cuentas y usuarios asociados a estas, para las entidades y los proveedores, y vista pública para cualquier interesado en hacer seguimiento a la contratación pública. Desde sus cuentas, las entidades crean, evalúan y adjudican procedimientos de contratación, y gestionan la fase de </w:t>
      </w:r>
      <w:r w:rsidRPr="005B0DB3">
        <w:rPr>
          <w:rFonts w:ascii="Verdana" w:eastAsia="Calibri" w:hAnsi="Verdana" w:cs="Arial"/>
          <w:sz w:val="21"/>
          <w:szCs w:val="21"/>
          <w:lang w:val="es-ES"/>
        </w:rPr>
        <w:lastRenderedPageBreak/>
        <w:t>ejecución del contrato. Por su parte, los proveedores pueden hacer comentarios a los documentos del procedimiento, presentar ofertas y seguir el procedimiento de selección en línea.</w:t>
      </w:r>
    </w:p>
    <w:p w14:paraId="520EB0D1" w14:textId="77777777" w:rsidR="005B0DB3" w:rsidRDefault="005B0DB3" w:rsidP="007D7E95">
      <w:pPr>
        <w:spacing w:after="0" w:line="240" w:lineRule="auto"/>
        <w:jc w:val="both"/>
        <w:rPr>
          <w:rFonts w:ascii="Verdana" w:eastAsia="Calibri" w:hAnsi="Verdana" w:cs="Arial"/>
          <w:lang w:val="es-ES"/>
        </w:rPr>
      </w:pPr>
    </w:p>
    <w:p w14:paraId="00A9A890" w14:textId="77777777" w:rsidR="005B0DB3" w:rsidRPr="005B0DB3" w:rsidRDefault="005B0DB3" w:rsidP="007D7E95">
      <w:pPr>
        <w:spacing w:after="120" w:line="240" w:lineRule="auto"/>
        <w:jc w:val="both"/>
        <w:rPr>
          <w:rFonts w:ascii="Verdana" w:eastAsia="Calibri" w:hAnsi="Verdana" w:cs="Arial"/>
          <w:sz w:val="21"/>
          <w:szCs w:val="21"/>
          <w:lang w:val="es-ES"/>
        </w:rPr>
      </w:pPr>
      <w:r w:rsidRPr="005B0DB3">
        <w:rPr>
          <w:rFonts w:ascii="Verdana" w:eastAsia="Calibri" w:hAnsi="Verdana" w:cs="Arial"/>
          <w:sz w:val="21"/>
          <w:szCs w:val="21"/>
          <w:lang w:val="es-ES"/>
        </w:rPr>
        <w:t>Bajo este contexto, en atención a la consulta planteada, es pertinente señalar que debido a que el concepto “celebrar” para efectos de las restricciones a la contratación previstas en la Ley de Garantías Electorales se asocia al momento del perfeccionamiento del contrato estatal, es necesario tener en cuenta dicho hito en los procesos adelantados a través de la plataforma SECOP II. De esta forma, como se indicó, al tratarse de un sistema transaccional, el contrato se entiende celebrado una vez se ha surtido la aprobación y publicación por parte de la entidad estatal, momento en el cual la plataforma registra el estado de “firmado”, dejando constancia de la concurrencia de voluntades y del cumplimiento del requisito de perfeccionamiento.</w:t>
      </w:r>
    </w:p>
    <w:p w14:paraId="07B43EB5" w14:textId="77777777" w:rsidR="005B0DB3" w:rsidRPr="005B0DB3" w:rsidRDefault="005B0DB3" w:rsidP="007D7E95">
      <w:pPr>
        <w:spacing w:after="120" w:line="240" w:lineRule="auto"/>
        <w:jc w:val="both"/>
        <w:rPr>
          <w:rFonts w:ascii="Verdana" w:eastAsia="Calibri" w:hAnsi="Verdana" w:cs="Arial"/>
          <w:sz w:val="21"/>
          <w:szCs w:val="21"/>
        </w:rPr>
      </w:pPr>
      <w:r w:rsidRPr="005B0DB3">
        <w:rPr>
          <w:rFonts w:ascii="Verdana" w:eastAsia="Calibri" w:hAnsi="Verdana" w:cs="Arial"/>
          <w:sz w:val="21"/>
          <w:szCs w:val="21"/>
        </w:rPr>
        <w:t>En este orden de ideas, dentro del flujo de aprobación que la entidad haya configurado en el SECOP II, el momento en que el ordenador del gasto emite su aprobación final constituye el hito en el cual se consolida efectivamente la concurrencia de voluntades y el acuerdo contractual. Ello obedece a que, de manera previa, el proveedor ya ha otorgado su aprobación al contrato, manifestando su aceptación integral de las condiciones pactadas. Así, con la aprobación posterior del ordenador del gasto se perfecciona el consentimiento recíproco sobre el objeto y la contraprestación y queda formalmente estructurado el acuerdo.</w:t>
      </w:r>
    </w:p>
    <w:p w14:paraId="1CBFAF02" w14:textId="58063900" w:rsidR="005B0DB3" w:rsidRPr="007D7E95" w:rsidRDefault="005B0DB3" w:rsidP="007D7E95">
      <w:pPr>
        <w:spacing w:after="120" w:line="240" w:lineRule="auto"/>
        <w:jc w:val="both"/>
        <w:rPr>
          <w:rFonts w:ascii="Verdana" w:eastAsia="Calibri" w:hAnsi="Verdana" w:cs="Arial"/>
          <w:sz w:val="21"/>
          <w:szCs w:val="21"/>
        </w:rPr>
      </w:pPr>
      <w:r w:rsidRPr="005B0DB3">
        <w:rPr>
          <w:rFonts w:ascii="Verdana" w:eastAsia="Calibri" w:hAnsi="Verdana" w:cs="Arial"/>
          <w:sz w:val="21"/>
          <w:szCs w:val="21"/>
          <w:lang w:val="es-ES"/>
        </w:rPr>
        <w:t>Así las cosas, tratándose de procesos gestionados en SECOP II, las actuaciones necesarias para que el contrato adquiera el estado de “firmado” deben realizarse antes de la entrada en vigencia de las restricciones previstas en la Ley de Garantías Electorales. De lo contrario, si el perfeccionamiento, es decir, si la aprobación final por parte del ordenador del gasto y su registro como estado “firmado” en la plataforma se produce cuando ya se encuentra vigente la prohibición establecida en el artículo 33 ibidem, se entiende que el contrato fue celebrado en vigencia de dicha restricción, con las consecuencias jurídicas a que haya lugar, sin que resulte suficiente que etapas previas del proceso se hubieren adelantado con anterioridad.</w:t>
      </w:r>
    </w:p>
    <w:p w14:paraId="12E38847" w14:textId="4AE09254" w:rsidR="0081737B" w:rsidRPr="007D7E95" w:rsidRDefault="005B0DB3" w:rsidP="00D241FB">
      <w:pPr>
        <w:spacing w:after="0" w:line="240" w:lineRule="auto"/>
        <w:rPr>
          <w:rFonts w:ascii="Verdana" w:eastAsia="Geomanist Light" w:hAnsi="Verdana" w:cs="Arial"/>
          <w:color w:val="000000" w:themeColor="text1"/>
          <w:sz w:val="20"/>
          <w:szCs w:val="20"/>
          <w:lang w:val="es-MX"/>
        </w:rPr>
      </w:pPr>
      <w:r w:rsidRPr="007D7E95">
        <w:rPr>
          <w:rFonts w:ascii="Verdana" w:eastAsia="Geomanist Light" w:hAnsi="Verdana" w:cs="Arial"/>
          <w:color w:val="000000" w:themeColor="text1"/>
          <w:sz w:val="20"/>
          <w:szCs w:val="20"/>
          <w:lang w:val="es-MX"/>
        </w:rPr>
        <w:t xml:space="preserve">[…] </w:t>
      </w:r>
    </w:p>
    <w:p w14:paraId="3D4B8FC9" w14:textId="77777777" w:rsidR="005B0DB3" w:rsidRPr="007D7E95" w:rsidRDefault="005B0DB3" w:rsidP="00D241FB">
      <w:pPr>
        <w:spacing w:after="0" w:line="240" w:lineRule="auto"/>
        <w:rPr>
          <w:rFonts w:ascii="Verdana" w:eastAsia="Geomanist Light" w:hAnsi="Verdana" w:cs="Arial"/>
          <w:color w:val="000000" w:themeColor="text1"/>
          <w:sz w:val="20"/>
          <w:szCs w:val="20"/>
          <w:lang w:val="es-MX"/>
        </w:rPr>
      </w:pPr>
    </w:p>
    <w:p w14:paraId="71ABC92E" w14:textId="29B04031" w:rsidR="005B0DB3" w:rsidRPr="007D7E95" w:rsidRDefault="005B0DB3" w:rsidP="005B0DB3">
      <w:pPr>
        <w:spacing w:after="0" w:line="240" w:lineRule="auto"/>
        <w:jc w:val="both"/>
        <w:rPr>
          <w:rFonts w:ascii="Verdana" w:eastAsia="Geomanist Light" w:hAnsi="Verdana" w:cs="Arial"/>
          <w:color w:val="000000" w:themeColor="text1"/>
          <w:sz w:val="20"/>
          <w:szCs w:val="20"/>
          <w:lang w:val="es-MX"/>
        </w:rPr>
      </w:pPr>
      <w:r w:rsidRPr="007D7E95">
        <w:rPr>
          <w:rFonts w:ascii="Verdana" w:eastAsia="Times New Roman" w:hAnsi="Verdana" w:cs="Arial"/>
          <w:bCs/>
          <w:sz w:val="20"/>
          <w:szCs w:val="20"/>
          <w:lang w:val="es-ES" w:eastAsia="es-CO"/>
        </w:rPr>
        <w:t xml:space="preserve">Cuando el perfeccionamiento del contrato en la plataforma del SECOP II ocurre en vigencia de las restricciones establecidas en la Ley de Garantías Electorales, la entidad deberá revisar la validez del contrato y analizar una posible configuración de nulidad a la luz de lo dispuesto en el artículo 44 de la Ley 80 de 1993. Sobre el régimen de nulidad, la norma en cita </w:t>
      </w:r>
      <w:r w:rsidRPr="007D7E95">
        <w:rPr>
          <w:rFonts w:ascii="Verdana" w:eastAsia="Calibri" w:hAnsi="Verdana" w:cs="Arial"/>
          <w:sz w:val="20"/>
          <w:szCs w:val="20"/>
        </w:rPr>
        <w:t xml:space="preserve">señala como causales de nulidad del contrato estatal, las siguientes: 1. Que el contrato se celebre con personas incursas en causales de inhabilidad o incompatibilidad previstas en la Constitución y la ley. 2. Que se celebre contra expresa prohibición constitucional o legal. 3. Que se celebre con abuso o desviación de poder. 4. Que se declaren nulos los actos administrativos en que se fundamenten. 5. Que se </w:t>
      </w:r>
      <w:r w:rsidRPr="007D7E95">
        <w:rPr>
          <w:rFonts w:ascii="Verdana" w:eastAsia="Calibri" w:hAnsi="Verdana" w:cs="Arial"/>
          <w:sz w:val="20"/>
          <w:szCs w:val="20"/>
        </w:rPr>
        <w:lastRenderedPageBreak/>
        <w:t xml:space="preserve">hubieren celebrado con desconocimiento de los criterios previstos para el tratamiento de ofertas nacionales y extranjeras o con violación de la reciprocidad. </w:t>
      </w:r>
    </w:p>
    <w:p w14:paraId="358BBD92" w14:textId="77777777" w:rsidR="0081737B" w:rsidRDefault="0081737B" w:rsidP="00D241FB">
      <w:pPr>
        <w:spacing w:after="0" w:line="240" w:lineRule="auto"/>
        <w:rPr>
          <w:rFonts w:ascii="Verdana" w:eastAsia="Geomanist Light" w:hAnsi="Verdana" w:cs="Arial"/>
          <w:color w:val="000000" w:themeColor="text1"/>
          <w:lang w:val="es-MX"/>
        </w:rPr>
      </w:pPr>
    </w:p>
    <w:p w14:paraId="5494B856" w14:textId="77777777" w:rsidR="0081737B" w:rsidRDefault="0081737B" w:rsidP="00D241FB">
      <w:pPr>
        <w:spacing w:after="0" w:line="240" w:lineRule="auto"/>
        <w:rPr>
          <w:rFonts w:ascii="Verdana" w:eastAsia="Geomanist Light" w:hAnsi="Verdana" w:cs="Arial"/>
          <w:color w:val="000000" w:themeColor="text1"/>
          <w:lang w:val="es-MX"/>
        </w:rPr>
      </w:pPr>
    </w:p>
    <w:p w14:paraId="0AB6FA03" w14:textId="77777777" w:rsidR="005B0DB3" w:rsidRDefault="005B0DB3" w:rsidP="00D241FB">
      <w:pPr>
        <w:spacing w:after="0" w:line="240" w:lineRule="auto"/>
        <w:rPr>
          <w:rFonts w:ascii="Verdana" w:eastAsia="Geomanist Light" w:hAnsi="Verdana" w:cs="Arial"/>
          <w:color w:val="000000" w:themeColor="text1"/>
          <w:lang w:val="es-MX"/>
        </w:rPr>
      </w:pPr>
    </w:p>
    <w:p w14:paraId="6B47C7A3" w14:textId="77777777" w:rsidR="005B0DB3" w:rsidRDefault="005B0DB3" w:rsidP="00D241FB">
      <w:pPr>
        <w:spacing w:after="0" w:line="240" w:lineRule="auto"/>
        <w:rPr>
          <w:rFonts w:ascii="Verdana" w:eastAsia="Geomanist Light" w:hAnsi="Verdana" w:cs="Arial"/>
          <w:color w:val="000000" w:themeColor="text1"/>
          <w:lang w:val="es-MX"/>
        </w:rPr>
      </w:pPr>
    </w:p>
    <w:p w14:paraId="3338EB86" w14:textId="77777777" w:rsidR="005B0DB3" w:rsidRDefault="005B0DB3" w:rsidP="00D241FB">
      <w:pPr>
        <w:spacing w:after="0" w:line="240" w:lineRule="auto"/>
        <w:rPr>
          <w:rFonts w:ascii="Verdana" w:eastAsia="Geomanist Light" w:hAnsi="Verdana" w:cs="Arial"/>
          <w:color w:val="000000" w:themeColor="text1"/>
          <w:lang w:val="es-MX"/>
        </w:rPr>
      </w:pPr>
    </w:p>
    <w:p w14:paraId="685BFE5C" w14:textId="77777777" w:rsidR="005B0DB3" w:rsidRDefault="005B0DB3" w:rsidP="00D241FB">
      <w:pPr>
        <w:spacing w:after="0" w:line="240" w:lineRule="auto"/>
        <w:rPr>
          <w:rFonts w:ascii="Verdana" w:eastAsia="Geomanist Light" w:hAnsi="Verdana" w:cs="Arial"/>
          <w:color w:val="000000" w:themeColor="text1"/>
          <w:lang w:val="es-MX"/>
        </w:rPr>
      </w:pPr>
    </w:p>
    <w:p w14:paraId="4AA71C99" w14:textId="77777777" w:rsidR="005B0DB3" w:rsidRDefault="005B0DB3" w:rsidP="00D241FB">
      <w:pPr>
        <w:spacing w:after="0" w:line="240" w:lineRule="auto"/>
        <w:rPr>
          <w:rFonts w:ascii="Verdana" w:eastAsia="Geomanist Light" w:hAnsi="Verdana" w:cs="Arial"/>
          <w:color w:val="000000" w:themeColor="text1"/>
          <w:lang w:val="es-MX"/>
        </w:rPr>
      </w:pPr>
    </w:p>
    <w:p w14:paraId="2875DD2D" w14:textId="77777777" w:rsidR="005B0DB3" w:rsidRDefault="005B0DB3" w:rsidP="00D241FB">
      <w:pPr>
        <w:spacing w:after="0" w:line="240" w:lineRule="auto"/>
        <w:rPr>
          <w:rFonts w:ascii="Verdana" w:eastAsia="Geomanist Light" w:hAnsi="Verdana" w:cs="Arial"/>
          <w:color w:val="000000" w:themeColor="text1"/>
          <w:lang w:val="es-MX"/>
        </w:rPr>
      </w:pPr>
    </w:p>
    <w:p w14:paraId="00205D8B" w14:textId="77777777" w:rsidR="005B0DB3" w:rsidRDefault="005B0DB3" w:rsidP="00D241FB">
      <w:pPr>
        <w:spacing w:after="0" w:line="240" w:lineRule="auto"/>
        <w:rPr>
          <w:rFonts w:ascii="Verdana" w:eastAsia="Geomanist Light" w:hAnsi="Verdana" w:cs="Arial"/>
          <w:color w:val="000000" w:themeColor="text1"/>
          <w:lang w:val="es-MX"/>
        </w:rPr>
      </w:pPr>
    </w:p>
    <w:p w14:paraId="51905139" w14:textId="77777777" w:rsidR="005B0DB3" w:rsidRDefault="005B0DB3" w:rsidP="00D241FB">
      <w:pPr>
        <w:spacing w:after="0" w:line="240" w:lineRule="auto"/>
        <w:rPr>
          <w:rFonts w:ascii="Verdana" w:eastAsia="Geomanist Light" w:hAnsi="Verdana" w:cs="Arial"/>
          <w:color w:val="000000" w:themeColor="text1"/>
          <w:lang w:val="es-MX"/>
        </w:rPr>
      </w:pPr>
    </w:p>
    <w:p w14:paraId="276250ED" w14:textId="77777777" w:rsidR="005B0DB3" w:rsidRDefault="005B0DB3" w:rsidP="00D241FB">
      <w:pPr>
        <w:spacing w:after="0" w:line="240" w:lineRule="auto"/>
        <w:rPr>
          <w:rFonts w:ascii="Verdana" w:eastAsia="Geomanist Light" w:hAnsi="Verdana" w:cs="Arial"/>
          <w:color w:val="000000" w:themeColor="text1"/>
          <w:lang w:val="es-MX"/>
        </w:rPr>
      </w:pPr>
    </w:p>
    <w:p w14:paraId="568D1301" w14:textId="77777777" w:rsidR="005B0DB3" w:rsidRDefault="005B0DB3" w:rsidP="00D241FB">
      <w:pPr>
        <w:spacing w:after="0" w:line="240" w:lineRule="auto"/>
        <w:rPr>
          <w:rFonts w:ascii="Verdana" w:eastAsia="Geomanist Light" w:hAnsi="Verdana" w:cs="Arial"/>
          <w:color w:val="000000" w:themeColor="text1"/>
          <w:lang w:val="es-MX"/>
        </w:rPr>
      </w:pPr>
    </w:p>
    <w:p w14:paraId="247EEB3E" w14:textId="77777777" w:rsidR="005B0DB3" w:rsidRDefault="005B0DB3" w:rsidP="00D241FB">
      <w:pPr>
        <w:spacing w:after="0" w:line="240" w:lineRule="auto"/>
        <w:rPr>
          <w:rFonts w:ascii="Verdana" w:eastAsia="Geomanist Light" w:hAnsi="Verdana" w:cs="Arial"/>
          <w:color w:val="000000" w:themeColor="text1"/>
          <w:lang w:val="es-MX"/>
        </w:rPr>
      </w:pPr>
    </w:p>
    <w:p w14:paraId="6781880C" w14:textId="77777777" w:rsidR="005B0DB3" w:rsidRDefault="005B0DB3" w:rsidP="00D241FB">
      <w:pPr>
        <w:spacing w:after="0" w:line="240" w:lineRule="auto"/>
        <w:rPr>
          <w:rFonts w:ascii="Verdana" w:eastAsia="Geomanist Light" w:hAnsi="Verdana" w:cs="Arial"/>
          <w:color w:val="000000" w:themeColor="text1"/>
          <w:lang w:val="es-MX"/>
        </w:rPr>
      </w:pPr>
    </w:p>
    <w:p w14:paraId="7D2329CC" w14:textId="77777777" w:rsidR="005B0DB3" w:rsidRDefault="005B0DB3" w:rsidP="00D241FB">
      <w:pPr>
        <w:spacing w:after="0" w:line="240" w:lineRule="auto"/>
        <w:rPr>
          <w:rFonts w:ascii="Verdana" w:eastAsia="Geomanist Light" w:hAnsi="Verdana" w:cs="Arial"/>
          <w:color w:val="000000" w:themeColor="text1"/>
          <w:lang w:val="es-MX"/>
        </w:rPr>
      </w:pPr>
    </w:p>
    <w:p w14:paraId="3B1AB09C" w14:textId="77777777" w:rsidR="005B0DB3" w:rsidRDefault="005B0DB3" w:rsidP="00D241FB">
      <w:pPr>
        <w:spacing w:after="0" w:line="240" w:lineRule="auto"/>
        <w:rPr>
          <w:rFonts w:ascii="Verdana" w:eastAsia="Geomanist Light" w:hAnsi="Verdana" w:cs="Arial"/>
          <w:color w:val="000000" w:themeColor="text1"/>
          <w:lang w:val="es-MX"/>
        </w:rPr>
      </w:pPr>
    </w:p>
    <w:p w14:paraId="40517D39" w14:textId="77777777" w:rsidR="005B0DB3" w:rsidRDefault="005B0DB3" w:rsidP="00D241FB">
      <w:pPr>
        <w:spacing w:after="0" w:line="240" w:lineRule="auto"/>
        <w:rPr>
          <w:rFonts w:ascii="Verdana" w:eastAsia="Geomanist Light" w:hAnsi="Verdana" w:cs="Arial"/>
          <w:color w:val="000000" w:themeColor="text1"/>
          <w:lang w:val="es-MX"/>
        </w:rPr>
      </w:pPr>
    </w:p>
    <w:p w14:paraId="0C0E9982" w14:textId="77777777" w:rsidR="005B0DB3" w:rsidRDefault="005B0DB3" w:rsidP="00D241FB">
      <w:pPr>
        <w:spacing w:after="0" w:line="240" w:lineRule="auto"/>
        <w:rPr>
          <w:rFonts w:ascii="Verdana" w:eastAsia="Geomanist Light" w:hAnsi="Verdana" w:cs="Arial"/>
          <w:color w:val="000000" w:themeColor="text1"/>
          <w:lang w:val="es-MX"/>
        </w:rPr>
      </w:pPr>
    </w:p>
    <w:p w14:paraId="2214C232" w14:textId="77777777" w:rsidR="005B0DB3" w:rsidRDefault="005B0DB3" w:rsidP="00D241FB">
      <w:pPr>
        <w:spacing w:after="0" w:line="240" w:lineRule="auto"/>
        <w:rPr>
          <w:rFonts w:ascii="Verdana" w:eastAsia="Geomanist Light" w:hAnsi="Verdana" w:cs="Arial"/>
          <w:color w:val="000000" w:themeColor="text1"/>
          <w:lang w:val="es-MX"/>
        </w:rPr>
      </w:pPr>
    </w:p>
    <w:p w14:paraId="44D45DEA" w14:textId="77777777" w:rsidR="005B0DB3" w:rsidRDefault="005B0DB3" w:rsidP="00D241FB">
      <w:pPr>
        <w:spacing w:after="0" w:line="240" w:lineRule="auto"/>
        <w:rPr>
          <w:rFonts w:ascii="Verdana" w:eastAsia="Geomanist Light" w:hAnsi="Verdana" w:cs="Arial"/>
          <w:color w:val="000000" w:themeColor="text1"/>
          <w:lang w:val="es-MX"/>
        </w:rPr>
      </w:pPr>
    </w:p>
    <w:p w14:paraId="4D220FBD" w14:textId="77777777" w:rsidR="005B0DB3" w:rsidRDefault="005B0DB3" w:rsidP="00D241FB">
      <w:pPr>
        <w:spacing w:after="0" w:line="240" w:lineRule="auto"/>
        <w:rPr>
          <w:rFonts w:ascii="Verdana" w:eastAsia="Geomanist Light" w:hAnsi="Verdana" w:cs="Arial"/>
          <w:color w:val="000000" w:themeColor="text1"/>
          <w:lang w:val="es-MX"/>
        </w:rPr>
      </w:pPr>
    </w:p>
    <w:p w14:paraId="7C341A3F" w14:textId="77777777" w:rsidR="005B0DB3" w:rsidRDefault="005B0DB3" w:rsidP="00D241FB">
      <w:pPr>
        <w:spacing w:after="0" w:line="240" w:lineRule="auto"/>
        <w:rPr>
          <w:rFonts w:ascii="Verdana" w:eastAsia="Geomanist Light" w:hAnsi="Verdana" w:cs="Arial"/>
          <w:color w:val="000000" w:themeColor="text1"/>
          <w:lang w:val="es-MX"/>
        </w:rPr>
      </w:pPr>
    </w:p>
    <w:p w14:paraId="26A7F73E" w14:textId="77777777" w:rsidR="005B0DB3" w:rsidRDefault="005B0DB3" w:rsidP="00D241FB">
      <w:pPr>
        <w:spacing w:after="0" w:line="240" w:lineRule="auto"/>
        <w:rPr>
          <w:rFonts w:ascii="Verdana" w:eastAsia="Geomanist Light" w:hAnsi="Verdana" w:cs="Arial"/>
          <w:color w:val="000000" w:themeColor="text1"/>
          <w:lang w:val="es-MX"/>
        </w:rPr>
      </w:pPr>
    </w:p>
    <w:p w14:paraId="5DCB5AB3" w14:textId="77777777" w:rsidR="005B0DB3" w:rsidRDefault="005B0DB3" w:rsidP="00D241FB">
      <w:pPr>
        <w:spacing w:after="0" w:line="240" w:lineRule="auto"/>
        <w:rPr>
          <w:rFonts w:ascii="Verdana" w:eastAsia="Geomanist Light" w:hAnsi="Verdana" w:cs="Arial"/>
          <w:color w:val="000000" w:themeColor="text1"/>
          <w:lang w:val="es-MX"/>
        </w:rPr>
      </w:pPr>
    </w:p>
    <w:p w14:paraId="4AE75D8A" w14:textId="77777777" w:rsidR="005B0DB3" w:rsidRDefault="005B0DB3" w:rsidP="00D241FB">
      <w:pPr>
        <w:spacing w:after="0" w:line="240" w:lineRule="auto"/>
        <w:rPr>
          <w:rFonts w:ascii="Verdana" w:eastAsia="Geomanist Light" w:hAnsi="Verdana" w:cs="Arial"/>
          <w:color w:val="000000" w:themeColor="text1"/>
          <w:lang w:val="es-MX"/>
        </w:rPr>
      </w:pPr>
    </w:p>
    <w:p w14:paraId="75281631" w14:textId="77777777" w:rsidR="005B0DB3" w:rsidRDefault="005B0DB3" w:rsidP="00D241FB">
      <w:pPr>
        <w:spacing w:after="0" w:line="240" w:lineRule="auto"/>
        <w:rPr>
          <w:rFonts w:ascii="Verdana" w:eastAsia="Geomanist Light" w:hAnsi="Verdana" w:cs="Arial"/>
          <w:color w:val="000000" w:themeColor="text1"/>
          <w:lang w:val="es-MX"/>
        </w:rPr>
      </w:pPr>
    </w:p>
    <w:p w14:paraId="73FC0455" w14:textId="77777777" w:rsidR="005B0DB3" w:rsidRDefault="005B0DB3" w:rsidP="00D241FB">
      <w:pPr>
        <w:spacing w:after="0" w:line="240" w:lineRule="auto"/>
        <w:rPr>
          <w:rFonts w:ascii="Verdana" w:eastAsia="Geomanist Light" w:hAnsi="Verdana" w:cs="Arial"/>
          <w:color w:val="000000" w:themeColor="text1"/>
          <w:lang w:val="es-MX"/>
        </w:rPr>
      </w:pPr>
    </w:p>
    <w:p w14:paraId="6136A534" w14:textId="77777777" w:rsidR="005B0DB3" w:rsidRDefault="005B0DB3" w:rsidP="00D241FB">
      <w:pPr>
        <w:spacing w:after="0" w:line="240" w:lineRule="auto"/>
        <w:rPr>
          <w:rFonts w:ascii="Verdana" w:eastAsia="Geomanist Light" w:hAnsi="Verdana" w:cs="Arial"/>
          <w:color w:val="000000" w:themeColor="text1"/>
          <w:lang w:val="es-MX"/>
        </w:rPr>
      </w:pPr>
    </w:p>
    <w:p w14:paraId="4CFA6797" w14:textId="77777777" w:rsidR="005B0DB3" w:rsidRDefault="005B0DB3" w:rsidP="00D241FB">
      <w:pPr>
        <w:spacing w:after="0" w:line="240" w:lineRule="auto"/>
        <w:rPr>
          <w:rFonts w:ascii="Verdana" w:eastAsia="Geomanist Light" w:hAnsi="Verdana" w:cs="Arial"/>
          <w:color w:val="000000" w:themeColor="text1"/>
          <w:lang w:val="es-MX"/>
        </w:rPr>
      </w:pPr>
    </w:p>
    <w:p w14:paraId="6461FD19" w14:textId="77777777" w:rsidR="005B0DB3" w:rsidRDefault="005B0DB3" w:rsidP="00D241FB">
      <w:pPr>
        <w:spacing w:after="0" w:line="240" w:lineRule="auto"/>
        <w:rPr>
          <w:rFonts w:ascii="Verdana" w:eastAsia="Geomanist Light" w:hAnsi="Verdana" w:cs="Arial"/>
          <w:color w:val="000000" w:themeColor="text1"/>
          <w:lang w:val="es-MX"/>
        </w:rPr>
      </w:pPr>
    </w:p>
    <w:p w14:paraId="05767A8A" w14:textId="77777777" w:rsidR="007D7E95" w:rsidRDefault="007D7E95" w:rsidP="00D241FB">
      <w:pPr>
        <w:spacing w:after="0" w:line="240" w:lineRule="auto"/>
        <w:rPr>
          <w:rFonts w:ascii="Verdana" w:eastAsia="Geomanist Light" w:hAnsi="Verdana" w:cs="Arial"/>
          <w:color w:val="000000" w:themeColor="text1"/>
          <w:lang w:val="es-MX"/>
        </w:rPr>
      </w:pPr>
    </w:p>
    <w:p w14:paraId="302A3738" w14:textId="77777777" w:rsidR="007D7E95" w:rsidRDefault="007D7E95" w:rsidP="00D241FB">
      <w:pPr>
        <w:spacing w:after="0" w:line="240" w:lineRule="auto"/>
        <w:rPr>
          <w:rFonts w:ascii="Verdana" w:eastAsia="Geomanist Light" w:hAnsi="Verdana" w:cs="Arial"/>
          <w:color w:val="000000" w:themeColor="text1"/>
          <w:lang w:val="es-MX"/>
        </w:rPr>
      </w:pPr>
    </w:p>
    <w:p w14:paraId="1C9D3ECF" w14:textId="77777777" w:rsidR="007D7E95" w:rsidRDefault="007D7E95" w:rsidP="00D241FB">
      <w:pPr>
        <w:spacing w:after="0" w:line="240" w:lineRule="auto"/>
        <w:rPr>
          <w:rFonts w:ascii="Verdana" w:eastAsia="Geomanist Light" w:hAnsi="Verdana" w:cs="Arial"/>
          <w:color w:val="000000" w:themeColor="text1"/>
          <w:lang w:val="es-MX"/>
        </w:rPr>
      </w:pPr>
    </w:p>
    <w:p w14:paraId="4C656D0A" w14:textId="77777777" w:rsidR="007D7E95" w:rsidRDefault="007D7E95" w:rsidP="00D241FB">
      <w:pPr>
        <w:spacing w:after="0" w:line="240" w:lineRule="auto"/>
        <w:rPr>
          <w:rFonts w:ascii="Verdana" w:eastAsia="Geomanist Light" w:hAnsi="Verdana" w:cs="Arial"/>
          <w:color w:val="000000" w:themeColor="text1"/>
          <w:lang w:val="es-MX"/>
        </w:rPr>
      </w:pPr>
    </w:p>
    <w:p w14:paraId="401A03F7" w14:textId="77777777" w:rsidR="007D7E95" w:rsidRDefault="007D7E95" w:rsidP="00D241FB">
      <w:pPr>
        <w:spacing w:after="0" w:line="240" w:lineRule="auto"/>
        <w:rPr>
          <w:rFonts w:ascii="Verdana" w:eastAsia="Geomanist Light" w:hAnsi="Verdana" w:cs="Arial"/>
          <w:color w:val="000000" w:themeColor="text1"/>
          <w:lang w:val="es-MX"/>
        </w:rPr>
      </w:pPr>
    </w:p>
    <w:p w14:paraId="2A242608" w14:textId="77777777" w:rsidR="007D7E95" w:rsidRDefault="007D7E95" w:rsidP="00D241FB">
      <w:pPr>
        <w:spacing w:after="0" w:line="240" w:lineRule="auto"/>
        <w:rPr>
          <w:rFonts w:ascii="Verdana" w:eastAsia="Geomanist Light" w:hAnsi="Verdana" w:cs="Arial"/>
          <w:color w:val="000000" w:themeColor="text1"/>
          <w:lang w:val="es-MX"/>
        </w:rPr>
      </w:pPr>
    </w:p>
    <w:p w14:paraId="207C7C9C" w14:textId="77777777" w:rsidR="007D7E95" w:rsidRDefault="007D7E95" w:rsidP="00D241FB">
      <w:pPr>
        <w:spacing w:after="0" w:line="240" w:lineRule="auto"/>
        <w:rPr>
          <w:rFonts w:ascii="Verdana" w:eastAsia="Geomanist Light" w:hAnsi="Verdana" w:cs="Arial"/>
          <w:color w:val="000000" w:themeColor="text1"/>
          <w:lang w:val="es-MX"/>
        </w:rPr>
      </w:pPr>
    </w:p>
    <w:p w14:paraId="43FB4F1A" w14:textId="77777777" w:rsidR="007D7E95" w:rsidRDefault="007D7E95" w:rsidP="00D241FB">
      <w:pPr>
        <w:spacing w:after="0" w:line="240" w:lineRule="auto"/>
        <w:rPr>
          <w:rFonts w:ascii="Verdana" w:eastAsia="Geomanist Light" w:hAnsi="Verdana" w:cs="Arial"/>
          <w:color w:val="000000" w:themeColor="text1"/>
          <w:lang w:val="es-MX"/>
        </w:rPr>
      </w:pPr>
    </w:p>
    <w:p w14:paraId="44316E76" w14:textId="77777777" w:rsidR="007D7E95" w:rsidRDefault="007D7E95" w:rsidP="00D241FB">
      <w:pPr>
        <w:spacing w:after="0" w:line="240" w:lineRule="auto"/>
        <w:rPr>
          <w:rFonts w:ascii="Verdana" w:eastAsia="Geomanist Light" w:hAnsi="Verdana" w:cs="Arial"/>
          <w:color w:val="000000" w:themeColor="text1"/>
          <w:lang w:val="es-MX"/>
        </w:rPr>
      </w:pPr>
    </w:p>
    <w:p w14:paraId="1B12794C" w14:textId="77777777" w:rsidR="007D7E95" w:rsidRDefault="007D7E95" w:rsidP="00D241FB">
      <w:pPr>
        <w:spacing w:after="0" w:line="240" w:lineRule="auto"/>
        <w:rPr>
          <w:rFonts w:ascii="Verdana" w:eastAsia="Geomanist Light" w:hAnsi="Verdana" w:cs="Arial"/>
          <w:color w:val="000000" w:themeColor="text1"/>
          <w:lang w:val="es-MX"/>
        </w:rPr>
      </w:pPr>
    </w:p>
    <w:p w14:paraId="1EF80994" w14:textId="3767902A" w:rsidR="00D241FB" w:rsidRPr="0050687B" w:rsidRDefault="00D241FB" w:rsidP="00D241FB">
      <w:pPr>
        <w:spacing w:after="0" w:line="240" w:lineRule="auto"/>
        <w:rPr>
          <w:rFonts w:ascii="Verdana" w:eastAsia="Times New Roman" w:hAnsi="Verdana" w:cs="Arial"/>
          <w:lang w:eastAsia="es-ES_tradnl"/>
        </w:rPr>
      </w:pPr>
      <w:r w:rsidRPr="00CF64C0">
        <w:rPr>
          <w:rFonts w:ascii="Verdana" w:eastAsia="Geomanist Light" w:hAnsi="Verdana" w:cs="Arial"/>
          <w:color w:val="000000" w:themeColor="text1"/>
          <w:lang w:val="es-MX"/>
        </w:rPr>
        <w:lastRenderedPageBreak/>
        <w:t>Bogotá D.C., </w:t>
      </w:r>
      <w:r w:rsidR="00E460BA">
        <w:rPr>
          <w:rFonts w:ascii="Verdana" w:eastAsia="Geomanist Light" w:hAnsi="Verdana" w:cs="Arial"/>
          <w:color w:val="201F1E"/>
          <w:lang w:val="es-MX"/>
        </w:rPr>
        <w:t>17</w:t>
      </w:r>
      <w:r w:rsidRPr="00CF64C0">
        <w:rPr>
          <w:rFonts w:ascii="Verdana" w:eastAsia="Geomanist Light" w:hAnsi="Verdana" w:cs="Arial"/>
          <w:color w:val="201F1E"/>
          <w:lang w:val="es-MX"/>
        </w:rPr>
        <w:t xml:space="preserve"> de</w:t>
      </w:r>
      <w:r w:rsidR="00E460BA">
        <w:rPr>
          <w:rFonts w:ascii="Verdana" w:eastAsia="Geomanist Light" w:hAnsi="Verdana" w:cs="Arial"/>
          <w:color w:val="201F1E"/>
          <w:lang w:val="es-MX"/>
        </w:rPr>
        <w:t xml:space="preserve"> julio</w:t>
      </w:r>
      <w:r w:rsidRPr="00CF64C0">
        <w:rPr>
          <w:rFonts w:ascii="Verdana" w:eastAsia="Geomanist Light" w:hAnsi="Verdana" w:cs="Arial"/>
          <w:color w:val="201F1E"/>
          <w:lang w:val="es-MX"/>
        </w:rPr>
        <w:t xml:space="preserve"> de </w:t>
      </w:r>
      <w:r w:rsidR="00E460BA">
        <w:rPr>
          <w:rFonts w:ascii="Verdana" w:eastAsia="Geomanist Light" w:hAnsi="Verdana" w:cs="Arial"/>
          <w:color w:val="201F1E"/>
          <w:lang w:val="es-MX"/>
        </w:rPr>
        <w:t>2026</w:t>
      </w:r>
    </w:p>
    <w:p w14:paraId="2C943A19" w14:textId="77777777" w:rsidR="00D241FB" w:rsidRDefault="00D241FB" w:rsidP="00AF7999">
      <w:pPr>
        <w:spacing w:after="0" w:line="240" w:lineRule="auto"/>
        <w:rPr>
          <w:rFonts w:ascii="Verdana" w:hAnsi="Verdana"/>
        </w:rPr>
      </w:pPr>
    </w:p>
    <w:p w14:paraId="4D85A7EC" w14:textId="7525B209" w:rsidR="00D241FB" w:rsidRDefault="00D241FB" w:rsidP="00E460BA">
      <w:pPr>
        <w:spacing w:after="0" w:line="240" w:lineRule="auto"/>
        <w:ind w:left="3540"/>
        <w:jc w:val="center"/>
        <w:rPr>
          <w:rFonts w:ascii="Verdana" w:hAnsi="Verdana"/>
        </w:rPr>
      </w:pPr>
      <w:r w:rsidRPr="00C55BDE">
        <w:rPr>
          <w:rFonts w:ascii="Verdana" w:hAnsi="Verdana"/>
        </w:rPr>
        <w:tab/>
      </w:r>
    </w:p>
    <w:p w14:paraId="1B87F695" w14:textId="422BF66F" w:rsidR="00D241FB" w:rsidRDefault="007D7E95" w:rsidP="00AF7999">
      <w:pPr>
        <w:spacing w:after="0" w:line="240" w:lineRule="auto"/>
        <w:rPr>
          <w:rFonts w:ascii="Verdana" w:eastAsia="Calibri" w:hAnsi="Verdana" w:cs="Arial"/>
          <w:color w:val="000000" w:themeColor="text1"/>
          <w:lang w:val="es-ES" w:eastAsia="es-ES"/>
        </w:rPr>
      </w:pPr>
      <w:r w:rsidRPr="00E460BA">
        <w:rPr>
          <w:rFonts w:ascii="Verdana" w:hAnsi="Verdana"/>
          <w:noProof/>
        </w:rPr>
        <w:drawing>
          <wp:anchor distT="0" distB="0" distL="114300" distR="114300" simplePos="0" relativeHeight="251658240" behindDoc="0" locked="0" layoutInCell="1" allowOverlap="1" wp14:anchorId="3256403E" wp14:editId="2B99E135">
            <wp:simplePos x="0" y="0"/>
            <wp:positionH relativeFrom="margin">
              <wp:align>right</wp:align>
            </wp:positionH>
            <wp:positionV relativeFrom="paragraph">
              <wp:posOffset>8255</wp:posOffset>
            </wp:positionV>
            <wp:extent cx="2533650" cy="781050"/>
            <wp:effectExtent l="0" t="0" r="0" b="0"/>
            <wp:wrapSquare wrapText="bothSides"/>
            <wp:docPr id="11627081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08123" name=""/>
                    <pic:cNvPicPr/>
                  </pic:nvPicPr>
                  <pic:blipFill>
                    <a:blip r:embed="rId10">
                      <a:extLst>
                        <a:ext uri="{28A0092B-C50C-407E-A947-70E740481C1C}">
                          <a14:useLocalDpi xmlns:a14="http://schemas.microsoft.com/office/drawing/2010/main" val="0"/>
                        </a:ext>
                      </a:extLst>
                    </a:blip>
                    <a:stretch>
                      <a:fillRect/>
                    </a:stretch>
                  </pic:blipFill>
                  <pic:spPr>
                    <a:xfrm>
                      <a:off x="0" y="0"/>
                      <a:ext cx="2533650" cy="781050"/>
                    </a:xfrm>
                    <a:prstGeom prst="rect">
                      <a:avLst/>
                    </a:prstGeom>
                  </pic:spPr>
                </pic:pic>
              </a:graphicData>
            </a:graphic>
          </wp:anchor>
        </w:drawing>
      </w:r>
      <w:r w:rsidR="00D241FB">
        <w:rPr>
          <w:rFonts w:ascii="Verdana" w:eastAsia="Calibri" w:hAnsi="Verdana" w:cs="Arial"/>
          <w:color w:val="000000" w:themeColor="text1"/>
          <w:lang w:val="es-ES" w:eastAsia="es-ES"/>
        </w:rPr>
        <w:t>Doctor</w:t>
      </w:r>
    </w:p>
    <w:p w14:paraId="4A0B708B" w14:textId="77777777" w:rsidR="00D241FB" w:rsidRDefault="00D241FB" w:rsidP="00AF7999">
      <w:pPr>
        <w:spacing w:after="0" w:line="240" w:lineRule="auto"/>
        <w:rPr>
          <w:rFonts w:ascii="Verdana" w:hAnsi="Verdana"/>
          <w:b/>
          <w:bCs/>
        </w:rPr>
      </w:pPr>
      <w:r>
        <w:rPr>
          <w:rFonts w:ascii="Verdana" w:hAnsi="Verdana"/>
          <w:b/>
          <w:bCs/>
        </w:rPr>
        <w:t>Gustavo Adolfo Hurtado Candamil</w:t>
      </w:r>
    </w:p>
    <w:p w14:paraId="33E96A1A" w14:textId="77777777" w:rsidR="00D241FB" w:rsidRPr="005278F9" w:rsidRDefault="00D241FB" w:rsidP="00AF7999">
      <w:pPr>
        <w:spacing w:after="0" w:line="240" w:lineRule="auto"/>
        <w:rPr>
          <w:rFonts w:ascii="Verdana" w:hAnsi="Verdana"/>
        </w:rPr>
      </w:pPr>
      <w:r w:rsidRPr="005278F9">
        <w:rPr>
          <w:rFonts w:ascii="Verdana" w:hAnsi="Verdana"/>
        </w:rPr>
        <w:t>Jefe de la Oficina Jurídica</w:t>
      </w:r>
    </w:p>
    <w:p w14:paraId="1C98269D" w14:textId="77777777" w:rsidR="00D241FB" w:rsidRPr="005278F9" w:rsidRDefault="00D241FB" w:rsidP="00AF7999">
      <w:pPr>
        <w:spacing w:after="0" w:line="240" w:lineRule="auto"/>
        <w:rPr>
          <w:rFonts w:ascii="Verdana" w:hAnsi="Verdana"/>
        </w:rPr>
      </w:pPr>
      <w:r w:rsidRPr="005278F9">
        <w:rPr>
          <w:rFonts w:ascii="Verdana" w:hAnsi="Verdana"/>
        </w:rPr>
        <w:t>Alcaldía Municipal de Tuluá</w:t>
      </w:r>
    </w:p>
    <w:p w14:paraId="140E0D3C" w14:textId="77777777" w:rsidR="00D241FB" w:rsidRPr="00D241FB" w:rsidRDefault="00D241FB" w:rsidP="00D241FB">
      <w:pPr>
        <w:spacing w:after="0" w:line="240" w:lineRule="auto"/>
        <w:jc w:val="both"/>
        <w:rPr>
          <w:rFonts w:ascii="Verdana" w:hAnsi="Verdana"/>
        </w:rPr>
      </w:pPr>
      <w:hyperlink r:id="rId11" w:history="1">
        <w:r w:rsidRPr="00D241FB">
          <w:rPr>
            <w:rStyle w:val="Hipervnculo"/>
            <w:rFonts w:ascii="Verdana" w:hAnsi="Verdana"/>
          </w:rPr>
          <w:t>juridico@tulua.gov.co</w:t>
        </w:r>
      </w:hyperlink>
      <w:r w:rsidRPr="00D241FB">
        <w:rPr>
          <w:rFonts w:ascii="Verdana" w:hAnsi="Verdana"/>
        </w:rPr>
        <w:t xml:space="preserve">   </w:t>
      </w:r>
    </w:p>
    <w:p w14:paraId="7A1E731C" w14:textId="77777777" w:rsidR="00D241FB" w:rsidRPr="00AF7999" w:rsidRDefault="00D241FB" w:rsidP="00D241FB">
      <w:pPr>
        <w:spacing w:after="0" w:line="240" w:lineRule="auto"/>
        <w:jc w:val="both"/>
        <w:rPr>
          <w:rFonts w:ascii="Verdana" w:hAnsi="Verdana"/>
        </w:rPr>
      </w:pPr>
      <w:r w:rsidRPr="00D241FB">
        <w:rPr>
          <w:rFonts w:ascii="Verdana" w:hAnsi="Verdana"/>
        </w:rPr>
        <w:t>Tuluá, Valle del Cauca</w:t>
      </w:r>
    </w:p>
    <w:p w14:paraId="7D3301D6" w14:textId="77777777" w:rsidR="00D241FB" w:rsidRPr="00D241FB" w:rsidRDefault="00D241FB" w:rsidP="00D241FB">
      <w:pPr>
        <w:spacing w:after="0" w:line="240" w:lineRule="auto"/>
        <w:rPr>
          <w:rFonts w:ascii="Verdana" w:eastAsia="Calibri" w:hAnsi="Verdana" w:cs="Arial"/>
          <w:b/>
          <w:bCs/>
          <w:color w:val="000000" w:themeColor="text1"/>
          <w:lang w:eastAsia="es-ES_tradnl"/>
        </w:rPr>
      </w:pPr>
    </w:p>
    <w:p w14:paraId="28DA7AEF" w14:textId="205B47F6" w:rsidR="00D241FB" w:rsidRPr="00C55BDE" w:rsidRDefault="00D241FB" w:rsidP="00D241FB">
      <w:pPr>
        <w:spacing w:after="0" w:line="240" w:lineRule="auto"/>
        <w:rPr>
          <w:rFonts w:ascii="Verdana" w:eastAsia="Calibri" w:hAnsi="Verdana" w:cs="Arial"/>
          <w:b/>
          <w:bCs/>
          <w:color w:val="000000" w:themeColor="text1"/>
          <w:lang w:val="es-ES_tradnl" w:eastAsia="es-ES_tradnl"/>
        </w:rPr>
      </w:pPr>
      <w:r w:rsidRPr="00D241FB">
        <w:rPr>
          <w:rFonts w:ascii="Verdana" w:eastAsia="Calibri" w:hAnsi="Verdana" w:cs="Arial"/>
          <w:b/>
          <w:bCs/>
          <w:color w:val="000000" w:themeColor="text1"/>
          <w:lang w:eastAsia="es-ES_tradnl"/>
        </w:rPr>
        <w:t xml:space="preserve">                                   </w:t>
      </w:r>
      <w:r w:rsidRPr="00C55BDE">
        <w:rPr>
          <w:rFonts w:ascii="Verdana" w:eastAsia="Calibri" w:hAnsi="Verdana" w:cs="Arial"/>
          <w:b/>
          <w:bCs/>
          <w:color w:val="000000" w:themeColor="text1"/>
          <w:lang w:val="es-ES_tradnl" w:eastAsia="es-ES_tradnl"/>
        </w:rPr>
        <w:t>Concepto C-</w:t>
      </w:r>
      <w:r>
        <w:rPr>
          <w:rFonts w:ascii="Verdana" w:eastAsia="Calibri" w:hAnsi="Verdana" w:cs="Arial"/>
          <w:b/>
          <w:bCs/>
          <w:color w:val="000000" w:themeColor="text1"/>
          <w:lang w:val="es-ES_tradnl" w:eastAsia="es-ES_tradnl"/>
        </w:rPr>
        <w:t xml:space="preserve">930 </w:t>
      </w:r>
      <w:r w:rsidRPr="00C55BDE">
        <w:rPr>
          <w:rFonts w:ascii="Verdana" w:eastAsia="Calibri" w:hAnsi="Verdana" w:cs="Arial"/>
          <w:b/>
          <w:bCs/>
          <w:color w:val="000000" w:themeColor="text1"/>
          <w:lang w:val="es-ES_tradnl" w:eastAsia="es-ES_tradnl"/>
        </w:rPr>
        <w:t>del 202</w:t>
      </w:r>
      <w:r>
        <w:rPr>
          <w:rFonts w:ascii="Verdana" w:eastAsia="Calibri" w:hAnsi="Verdana" w:cs="Arial"/>
          <w:b/>
          <w:bCs/>
          <w:color w:val="000000" w:themeColor="text1"/>
          <w:lang w:val="es-ES_tradnl" w:eastAsia="es-ES_tradnl"/>
        </w:rPr>
        <w:t>6</w:t>
      </w: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241FB" w:rsidRPr="00C55BDE" w14:paraId="19D16143" w14:textId="77777777" w:rsidTr="00C659C5">
        <w:trPr>
          <w:gridAfter w:val="1"/>
          <w:wAfter w:w="6100" w:type="dxa"/>
          <w:trHeight w:val="133"/>
        </w:trPr>
        <w:tc>
          <w:tcPr>
            <w:tcW w:w="2689" w:type="dxa"/>
          </w:tcPr>
          <w:p w14:paraId="60AAF6F8" w14:textId="77777777" w:rsidR="00D241FB" w:rsidRPr="00C55BDE" w:rsidRDefault="00D241FB" w:rsidP="00C659C5">
            <w:pPr>
              <w:jc w:val="both"/>
              <w:rPr>
                <w:rFonts w:ascii="Verdana" w:eastAsia="Calibri" w:hAnsi="Verdana" w:cs="Arial"/>
                <w:b/>
                <w:bCs/>
                <w:color w:val="000000" w:themeColor="text1"/>
                <w:highlight w:val="cyan"/>
                <w:lang w:val="es-ES_tradnl" w:eastAsia="es-ES_tradnl"/>
              </w:rPr>
            </w:pPr>
          </w:p>
        </w:tc>
      </w:tr>
      <w:tr w:rsidR="00D241FB" w:rsidRPr="00C55BDE" w14:paraId="5464D97F" w14:textId="77777777" w:rsidTr="00C659C5">
        <w:trPr>
          <w:trHeight w:val="884"/>
        </w:trPr>
        <w:tc>
          <w:tcPr>
            <w:tcW w:w="2689" w:type="dxa"/>
          </w:tcPr>
          <w:p w14:paraId="108D00AA" w14:textId="77777777" w:rsidR="00D241FB" w:rsidRPr="00C55BDE" w:rsidRDefault="00D241FB" w:rsidP="00C659C5">
            <w:pPr>
              <w:jc w:val="both"/>
              <w:rPr>
                <w:rFonts w:ascii="Verdana" w:eastAsia="Calibri" w:hAnsi="Verdana" w:cs="Arial"/>
                <w:color w:val="000000" w:themeColor="text1"/>
                <w:highlight w:val="cyan"/>
                <w:lang w:val="es-ES_tradnl" w:eastAsia="es-ES_tradnl"/>
              </w:rPr>
            </w:pPr>
            <w:r w:rsidRPr="00C55BDE">
              <w:rPr>
                <w:rFonts w:ascii="Verdana" w:eastAsia="Calibri" w:hAnsi="Verdana" w:cs="Arial"/>
                <w:b/>
                <w:color w:val="000000" w:themeColor="text1"/>
                <w:lang w:val="es-ES_tradnl" w:eastAsia="es-ES_tradnl"/>
              </w:rPr>
              <w:t>Temas:</w:t>
            </w:r>
            <w:r w:rsidRPr="00C55BDE">
              <w:rPr>
                <w:rFonts w:ascii="Verdana" w:eastAsia="Calibri" w:hAnsi="Verdana" w:cs="Arial"/>
                <w:color w:val="000000" w:themeColor="text1"/>
                <w:lang w:val="es-ES_tradnl" w:eastAsia="es-ES_tradnl"/>
              </w:rPr>
              <w:t xml:space="preserve">                   </w:t>
            </w:r>
          </w:p>
        </w:tc>
        <w:tc>
          <w:tcPr>
            <w:tcW w:w="6100" w:type="dxa"/>
          </w:tcPr>
          <w:p w14:paraId="0C5F2B84" w14:textId="77777777" w:rsidR="00D241FB" w:rsidRPr="00A23DBA" w:rsidRDefault="00D241FB" w:rsidP="00AF7999">
            <w:pPr>
              <w:jc w:val="both"/>
              <w:rPr>
                <w:rFonts w:ascii="Verdana" w:hAnsi="Verdana" w:cs="Arial"/>
                <w:lang w:val="es-ES" w:eastAsia="es-ES"/>
              </w:rPr>
            </w:pPr>
            <w:r w:rsidRPr="005278F9">
              <w:rPr>
                <w:rFonts w:ascii="Verdana" w:hAnsi="Verdana" w:cs="Arial"/>
                <w:lang w:val="es-ES" w:eastAsia="es-ES"/>
              </w:rPr>
              <w:t xml:space="preserve">LEY DE GARANTÍAS ELECTORALES – Finalidad / LEY DE GARANTÍAS ELECTORALES ‒ Restricciones ‒ Contratación ‒ Tipos de elección ‒ Celebración </w:t>
            </w:r>
            <w:r w:rsidRPr="005278F9">
              <w:rPr>
                <w:rFonts w:ascii="Verdana" w:hAnsi="Verdana" w:cs="Arial"/>
                <w:lang w:val="es-MX" w:eastAsia="es-ES_tradnl"/>
              </w:rPr>
              <w:t>/</w:t>
            </w:r>
            <w:r w:rsidRPr="005278F9">
              <w:rPr>
                <w:rFonts w:ascii="Verdana" w:hAnsi="Verdana"/>
              </w:rPr>
              <w:t xml:space="preserve"> </w:t>
            </w:r>
            <w:r w:rsidRPr="005278F9">
              <w:rPr>
                <w:rFonts w:ascii="Verdana" w:eastAsia="Calibri" w:hAnsi="Verdana" w:cs="Arial"/>
                <w:lang w:val="es-ES" w:eastAsia="es-ES"/>
              </w:rPr>
              <w:t xml:space="preserve">LEY DE GARANTÍAS ELECTORALES ‒ Artículo 33 ‒ Ámbito material ‒ Destinatarios </w:t>
            </w:r>
            <w:r w:rsidRPr="005278F9">
              <w:rPr>
                <w:rFonts w:ascii="Verdana" w:hAnsi="Verdana" w:cs="Arial"/>
                <w:lang w:val="es-MX" w:eastAsia="es-ES_tradnl"/>
              </w:rPr>
              <w:t xml:space="preserve">/ </w:t>
            </w:r>
            <w:r w:rsidRPr="005278F9">
              <w:rPr>
                <w:rFonts w:ascii="Verdana" w:hAnsi="Verdana" w:cs="Arial"/>
                <w:color w:val="000000" w:themeColor="text1"/>
                <w:shd w:val="clear" w:color="auto" w:fill="FFFFFF"/>
                <w:lang w:val="es-ES"/>
              </w:rPr>
              <w:t>SECOP II </w:t>
            </w:r>
            <w:r w:rsidRPr="005278F9">
              <w:rPr>
                <w:rFonts w:ascii="Verdana" w:hAnsi="Verdana" w:cs="Arial"/>
                <w:color w:val="000000" w:themeColor="text1"/>
                <w:shd w:val="clear" w:color="auto" w:fill="FFFFFF"/>
                <w:lang w:val="es-MX"/>
              </w:rPr>
              <w:t>–</w:t>
            </w:r>
            <w:r w:rsidRPr="005278F9">
              <w:rPr>
                <w:rFonts w:ascii="Verdana" w:hAnsi="Verdana" w:cs="Arial"/>
                <w:color w:val="000000" w:themeColor="text1"/>
                <w:shd w:val="clear" w:color="auto" w:fill="FFFFFF"/>
                <w:lang w:val="es-ES"/>
              </w:rPr>
              <w:t xml:space="preserve"> Plataforma Transaccional </w:t>
            </w:r>
            <w:r w:rsidRPr="005278F9">
              <w:rPr>
                <w:rFonts w:ascii="Verdana" w:eastAsia="Calibri" w:hAnsi="Verdana" w:cs="Arial"/>
                <w:lang w:val="es-ES" w:eastAsia="es-ES"/>
              </w:rPr>
              <w:t xml:space="preserve">/ </w:t>
            </w:r>
            <w:r w:rsidRPr="005278F9">
              <w:rPr>
                <w:rFonts w:ascii="Verdana" w:hAnsi="Verdana" w:cs="Arial"/>
                <w:color w:val="000000" w:themeColor="text1"/>
                <w:shd w:val="clear" w:color="auto" w:fill="FFFFFF"/>
                <w:lang w:val="es-ES"/>
              </w:rPr>
              <w:t>SECOP II </w:t>
            </w:r>
            <w:r w:rsidRPr="005278F9">
              <w:rPr>
                <w:rFonts w:ascii="Verdana" w:hAnsi="Verdana" w:cs="Arial"/>
                <w:color w:val="000000" w:themeColor="text1"/>
                <w:shd w:val="clear" w:color="auto" w:fill="FFFFFF"/>
                <w:lang w:val="es-MX"/>
              </w:rPr>
              <w:t>–</w:t>
            </w:r>
            <w:r w:rsidRPr="005278F9">
              <w:rPr>
                <w:rFonts w:ascii="Verdana" w:hAnsi="Verdana" w:cs="Arial"/>
                <w:color w:val="000000" w:themeColor="text1"/>
                <w:shd w:val="clear" w:color="auto" w:fill="FFFFFF"/>
                <w:lang w:val="es-ES"/>
              </w:rPr>
              <w:t xml:space="preserve"> Contrato electrónico </w:t>
            </w:r>
            <w:r w:rsidRPr="005278F9">
              <w:rPr>
                <w:rFonts w:ascii="Verdana" w:eastAsia="Calibri" w:hAnsi="Verdana" w:cs="Arial"/>
                <w:lang w:val="es-ES" w:eastAsia="es-ES"/>
              </w:rPr>
              <w:t xml:space="preserve">– Aprobación </w:t>
            </w:r>
            <w:r w:rsidRPr="005278F9">
              <w:rPr>
                <w:rFonts w:ascii="Verdana" w:hAnsi="Verdana" w:cs="Arial"/>
                <w:color w:val="000000" w:themeColor="text1"/>
                <w:shd w:val="clear" w:color="auto" w:fill="FFFFFF"/>
                <w:lang w:val="es-MX"/>
              </w:rPr>
              <w:t xml:space="preserve">– Perfeccionamiento / </w:t>
            </w:r>
            <w:r w:rsidRPr="005278F9">
              <w:rPr>
                <w:rFonts w:ascii="Verdana" w:hAnsi="Verdana" w:cs="Arial"/>
                <w:color w:val="000000" w:themeColor="text1"/>
                <w:shd w:val="clear" w:color="auto" w:fill="FFFFFF"/>
                <w:lang w:val="es-ES"/>
              </w:rPr>
              <w:t>SECOP II </w:t>
            </w:r>
            <w:r w:rsidRPr="005278F9">
              <w:rPr>
                <w:rFonts w:ascii="Verdana" w:hAnsi="Verdana" w:cs="Arial"/>
                <w:color w:val="000000" w:themeColor="text1"/>
                <w:shd w:val="clear" w:color="auto" w:fill="FFFFFF"/>
                <w:lang w:val="es-MX"/>
              </w:rPr>
              <w:t>– Aplicación ley de garantías – Nulidad</w:t>
            </w:r>
            <w:r>
              <w:rPr>
                <w:rFonts w:ascii="Verdana" w:hAnsi="Verdana" w:cs="Arial"/>
                <w:color w:val="000000" w:themeColor="text1"/>
                <w:shd w:val="clear" w:color="auto" w:fill="FFFFFF"/>
                <w:lang w:val="es-MX"/>
              </w:rPr>
              <w:t xml:space="preserve"> </w:t>
            </w:r>
          </w:p>
          <w:p w14:paraId="3A150B72" w14:textId="77777777" w:rsidR="00D241FB" w:rsidRPr="00C55BDE" w:rsidRDefault="00D241FB" w:rsidP="00AF7999">
            <w:pPr>
              <w:jc w:val="both"/>
              <w:rPr>
                <w:rFonts w:ascii="Verdana" w:hAnsi="Verdana" w:cs="Arial"/>
                <w:bCs/>
                <w:color w:val="000000" w:themeColor="text1"/>
                <w:highlight w:val="cyan"/>
              </w:rPr>
            </w:pPr>
          </w:p>
        </w:tc>
      </w:tr>
      <w:tr w:rsidR="00D241FB" w:rsidRPr="00C55BDE" w14:paraId="384BDE19" w14:textId="77777777" w:rsidTr="00C659C5">
        <w:tc>
          <w:tcPr>
            <w:tcW w:w="2689" w:type="dxa"/>
          </w:tcPr>
          <w:p w14:paraId="3BF8C91C" w14:textId="77777777" w:rsidR="00D241FB" w:rsidRPr="00C55BDE" w:rsidRDefault="00D241FB" w:rsidP="00C659C5">
            <w:pPr>
              <w:jc w:val="both"/>
              <w:rPr>
                <w:rFonts w:ascii="Verdana" w:eastAsia="Calibri" w:hAnsi="Verdana" w:cs="Arial"/>
                <w:b/>
                <w:color w:val="000000" w:themeColor="text1"/>
                <w:lang w:val="es-ES_tradnl" w:eastAsia="es-ES_tradnl"/>
              </w:rPr>
            </w:pPr>
            <w:r w:rsidRPr="00C55BDE">
              <w:rPr>
                <w:rFonts w:ascii="Verdana" w:eastAsia="Calibri" w:hAnsi="Verdana" w:cs="Arial"/>
                <w:b/>
                <w:color w:val="000000" w:themeColor="text1"/>
                <w:lang w:val="es-ES_tradnl" w:eastAsia="es-ES_tradnl"/>
              </w:rPr>
              <w:t>Radicación:</w:t>
            </w:r>
            <w:r w:rsidRPr="00C55BDE">
              <w:rPr>
                <w:rFonts w:ascii="Verdana" w:eastAsia="Calibri" w:hAnsi="Verdana" w:cs="Arial"/>
                <w:color w:val="000000" w:themeColor="text1"/>
                <w:lang w:val="es-ES_tradnl" w:eastAsia="es-ES_tradnl"/>
              </w:rPr>
              <w:t xml:space="preserve">               </w:t>
            </w:r>
          </w:p>
        </w:tc>
        <w:tc>
          <w:tcPr>
            <w:tcW w:w="6100" w:type="dxa"/>
          </w:tcPr>
          <w:p w14:paraId="52480732" w14:textId="77777777" w:rsidR="00D241FB" w:rsidRPr="00F31AC8" w:rsidRDefault="00D241FB" w:rsidP="00C659C5">
            <w:pPr>
              <w:jc w:val="both"/>
              <w:rPr>
                <w:rFonts w:ascii="Verdana" w:hAnsi="Verdana"/>
              </w:rPr>
            </w:pPr>
            <w:r w:rsidRPr="00C55BDE">
              <w:rPr>
                <w:rFonts w:ascii="Verdana" w:eastAsia="Calibri" w:hAnsi="Verdana" w:cs="Arial"/>
                <w:color w:val="000000" w:themeColor="text1"/>
                <w:lang w:val="es-ES_tradnl" w:eastAsia="es-ES_tradnl"/>
              </w:rPr>
              <w:t>Respuesta a consulta con radicado No.</w:t>
            </w:r>
            <w:r>
              <w:rPr>
                <w:rFonts w:ascii="Verdana" w:eastAsia="Calibri" w:hAnsi="Verdana" w:cs="Arial"/>
                <w:color w:val="000000" w:themeColor="text1"/>
                <w:lang w:val="es-ES_tradnl" w:eastAsia="es-ES_tradnl"/>
              </w:rPr>
              <w:t xml:space="preserve"> </w:t>
            </w:r>
            <w:r w:rsidRPr="005278F9">
              <w:rPr>
                <w:rFonts w:ascii="Verdana" w:hAnsi="Verdana" w:cs="Calibri"/>
                <w:color w:val="000000"/>
              </w:rPr>
              <w:t>1_2026_06_04_007610</w:t>
            </w:r>
          </w:p>
          <w:p w14:paraId="3048E2B4" w14:textId="77777777" w:rsidR="00D241FB" w:rsidRPr="00C55BDE" w:rsidRDefault="00D241FB" w:rsidP="00C659C5">
            <w:pPr>
              <w:jc w:val="both"/>
              <w:rPr>
                <w:rFonts w:ascii="Verdana" w:hAnsi="Verdana" w:cs="Arial"/>
              </w:rPr>
            </w:pPr>
            <w:r w:rsidRPr="00C55BDE">
              <w:rPr>
                <w:rFonts w:ascii="Verdana" w:hAnsi="Verdana"/>
              </w:rPr>
              <w:t xml:space="preserve"> </w:t>
            </w:r>
            <w:r>
              <w:rPr>
                <w:rFonts w:ascii="Verdana" w:hAnsi="Verdana"/>
              </w:rPr>
              <w:t xml:space="preserve">                                                                                                                                                                                                                                                                                                                                                           </w:t>
            </w:r>
          </w:p>
          <w:p w14:paraId="772DEF8D" w14:textId="77777777" w:rsidR="00D241FB" w:rsidRPr="00C55BDE" w:rsidRDefault="00D241FB" w:rsidP="00C659C5">
            <w:pPr>
              <w:jc w:val="both"/>
              <w:rPr>
                <w:rFonts w:ascii="Verdana" w:hAnsi="Verdana"/>
                <w:color w:val="000000"/>
              </w:rPr>
            </w:pPr>
          </w:p>
        </w:tc>
      </w:tr>
    </w:tbl>
    <w:p w14:paraId="519431E2" w14:textId="77777777" w:rsidR="00D241FB" w:rsidRPr="00C55BDE" w:rsidRDefault="00D241FB" w:rsidP="00D241FB">
      <w:pPr>
        <w:spacing w:after="0" w:line="276" w:lineRule="auto"/>
        <w:jc w:val="both"/>
        <w:rPr>
          <w:rFonts w:ascii="Verdana" w:eastAsia="Calibri" w:hAnsi="Verdana" w:cs="Arial"/>
          <w:color w:val="000000" w:themeColor="text1"/>
          <w:lang w:val="es-ES" w:eastAsia="es-ES"/>
        </w:rPr>
      </w:pPr>
      <w:r w:rsidRPr="00C55BDE">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o</w:t>
      </w:r>
      <w:r w:rsidRPr="00C55BDE">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Doctor Hurtado</w:t>
      </w:r>
      <w:r w:rsidRPr="00C55BDE">
        <w:rPr>
          <w:rFonts w:ascii="Verdana" w:eastAsia="Calibri" w:hAnsi="Verdana" w:cs="Arial"/>
          <w:color w:val="000000" w:themeColor="text1"/>
          <w:lang w:val="es-ES" w:eastAsia="es-ES"/>
        </w:rPr>
        <w:t xml:space="preserve">: </w:t>
      </w:r>
    </w:p>
    <w:p w14:paraId="3D4A8BE9" w14:textId="77777777" w:rsidR="00D241FB" w:rsidRPr="00C55BDE" w:rsidRDefault="00D241FB" w:rsidP="00D241FB">
      <w:pPr>
        <w:spacing w:after="0"/>
        <w:rPr>
          <w:rFonts w:ascii="Verdana" w:eastAsia="Times New Roman" w:hAnsi="Verdana" w:cs="Segoe UI"/>
          <w:lang w:eastAsia="es-CO"/>
        </w:rPr>
      </w:pPr>
    </w:p>
    <w:p w14:paraId="6FE63731" w14:textId="77777777" w:rsidR="00D241FB" w:rsidRPr="00BA1D42" w:rsidRDefault="00D241FB" w:rsidP="00D241FB">
      <w:pPr>
        <w:spacing w:after="0" w:line="276" w:lineRule="auto"/>
        <w:jc w:val="both"/>
        <w:rPr>
          <w:rFonts w:ascii="Verdana" w:hAnsi="Verdana" w:cs="Arial"/>
          <w:color w:val="000000" w:themeColor="text1"/>
        </w:rPr>
      </w:pPr>
      <w:r w:rsidRPr="00C55BDE">
        <w:rPr>
          <w:rFonts w:ascii="Verdana" w:eastAsia="Calibri" w:hAnsi="Verdana" w:cs="Arial"/>
          <w:color w:val="000000" w:themeColor="text1"/>
          <w:lang w:val="es-ES" w:eastAsia="es-ES"/>
        </w:rPr>
        <w:t>En ejercicio de la competencia otorgada por los artículos 3, numeral 5º, y 11, numeral 8º, del Decreto Ley 4170 de 2011,</w:t>
      </w:r>
      <w:r w:rsidRPr="00C55BDE">
        <w:rPr>
          <w:rFonts w:ascii="Verdana" w:eastAsia="Arial MT" w:hAnsi="Verdana" w:cs="Arial MT"/>
          <w:color w:val="000000" w:themeColor="text1"/>
          <w:lang w:val="es-ES" w:eastAsia="es-ES"/>
        </w:rPr>
        <w:t xml:space="preserve"> </w:t>
      </w:r>
      <w:r>
        <w:rPr>
          <w:rFonts w:ascii="Verdana" w:hAnsi="Verdana" w:cs="Arial"/>
          <w:lang w:val="es-ES_tradnl"/>
        </w:rPr>
        <w:t>así como lo establecido en</w:t>
      </w:r>
      <w:r>
        <w:rPr>
          <w:rFonts w:ascii="Verdana" w:hAnsi="Verdana" w:cs="Arial"/>
        </w:rPr>
        <w:t xml:space="preserve"> la Resolución 469 de 2025 expedida por esta Entidad</w:t>
      </w:r>
      <w:r w:rsidRPr="00C55BDE">
        <w:rPr>
          <w:rFonts w:ascii="Verdana" w:hAnsi="Verdana" w:cs="Arial"/>
          <w:color w:val="000000" w:themeColor="text1"/>
        </w:rPr>
        <w:t xml:space="preserve">, </w:t>
      </w:r>
      <w:r w:rsidRPr="00C55BDE">
        <w:rPr>
          <w:rFonts w:ascii="Verdana" w:eastAsia="Calibri" w:hAnsi="Verdana" w:cs="Arial"/>
          <w:color w:val="000000" w:themeColor="text1"/>
          <w:lang w:val="es-ES" w:eastAsia="es-ES"/>
        </w:rPr>
        <w:t xml:space="preserve">la Agencia Nacional de Contratación Pública – Colombia Compra Eficiente– responde su solicitud de consulta </w:t>
      </w:r>
      <w:r>
        <w:rPr>
          <w:rFonts w:ascii="Verdana" w:eastAsia="Calibri" w:hAnsi="Verdana" w:cs="Arial"/>
          <w:color w:val="000000" w:themeColor="text1"/>
          <w:lang w:val="es-ES" w:eastAsia="es-ES"/>
        </w:rPr>
        <w:t>del</w:t>
      </w:r>
      <w:r w:rsidRPr="00C55BDE">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04</w:t>
      </w:r>
      <w:r w:rsidRPr="00C55BDE">
        <w:rPr>
          <w:rFonts w:ascii="Verdana" w:eastAsia="Calibri" w:hAnsi="Verdana" w:cs="Arial"/>
          <w:color w:val="000000" w:themeColor="text1"/>
          <w:lang w:val="es-ES" w:eastAsia="es-ES"/>
        </w:rPr>
        <w:t xml:space="preserve"> de </w:t>
      </w:r>
      <w:r>
        <w:rPr>
          <w:rFonts w:ascii="Verdana" w:eastAsia="Calibri" w:hAnsi="Verdana" w:cs="Arial"/>
          <w:color w:val="000000" w:themeColor="text1"/>
          <w:lang w:val="es-ES" w:eastAsia="es-ES"/>
        </w:rPr>
        <w:t>junio</w:t>
      </w:r>
      <w:r w:rsidRPr="00C55BDE">
        <w:rPr>
          <w:rFonts w:ascii="Verdana" w:eastAsia="Calibri" w:hAnsi="Verdana" w:cs="Arial"/>
          <w:color w:val="000000" w:themeColor="text1"/>
          <w:lang w:val="es-ES" w:eastAsia="es-ES"/>
        </w:rPr>
        <w:t xml:space="preserve"> del 202</w:t>
      </w:r>
      <w:r>
        <w:rPr>
          <w:rFonts w:ascii="Verdana" w:eastAsia="Calibri" w:hAnsi="Verdana" w:cs="Arial"/>
          <w:color w:val="000000" w:themeColor="text1"/>
          <w:lang w:val="es-ES" w:eastAsia="es-ES"/>
        </w:rPr>
        <w:t>6</w:t>
      </w:r>
      <w:r w:rsidRPr="00C55BDE">
        <w:rPr>
          <w:rFonts w:ascii="Verdana" w:eastAsia="Calibri" w:hAnsi="Verdana" w:cs="Arial"/>
          <w:color w:val="000000" w:themeColor="text1"/>
          <w:lang w:val="es-ES" w:eastAsia="es-ES"/>
        </w:rPr>
        <w:t xml:space="preserve">, en la cual manifiesta lo siguiente: </w:t>
      </w:r>
    </w:p>
    <w:p w14:paraId="6DE052ED" w14:textId="77777777" w:rsidR="00D241FB" w:rsidRPr="00446315" w:rsidRDefault="00D241FB" w:rsidP="00AF7999">
      <w:pPr>
        <w:pStyle w:val="Default"/>
        <w:spacing w:line="276" w:lineRule="auto"/>
        <w:rPr>
          <w:rFonts w:ascii="Verdana" w:hAnsi="Verdana" w:cs="Verdana"/>
        </w:rPr>
      </w:pPr>
    </w:p>
    <w:p w14:paraId="51DA3F50" w14:textId="77777777" w:rsidR="00D241FB" w:rsidRPr="00D44F87" w:rsidRDefault="00D241FB" w:rsidP="00D241FB">
      <w:pPr>
        <w:spacing w:after="0" w:line="240" w:lineRule="auto"/>
        <w:ind w:left="709" w:right="709"/>
        <w:jc w:val="both"/>
        <w:rPr>
          <w:rFonts w:ascii="Verdana" w:hAnsi="Verdana" w:cs="Verdana"/>
          <w:i/>
          <w:iCs/>
          <w:color w:val="000000" w:themeColor="text1"/>
          <w:sz w:val="20"/>
          <w:szCs w:val="20"/>
        </w:rPr>
      </w:pPr>
      <w:r w:rsidRPr="00D44F87">
        <w:rPr>
          <w:rFonts w:ascii="Verdana" w:hAnsi="Verdana" w:cs="Verdana"/>
          <w:i/>
          <w:iCs/>
          <w:color w:val="000000" w:themeColor="text1"/>
          <w:sz w:val="20"/>
          <w:szCs w:val="20"/>
        </w:rPr>
        <w:t>“ […] 1. ¿El acto de publicación, registro o modificación del estado a “aprobado” en la plataforma transaccional SECOP II por parte de la entidad estatal, constituye por si mismo el acto de “celebración” o perfeccionamiento” del contrato estatal en los términos del articulo 41 de la Ley 80 de 1993?</w:t>
      </w:r>
    </w:p>
    <w:p w14:paraId="3CBBCB96" w14:textId="77777777" w:rsidR="00D241FB" w:rsidRPr="00D44F87" w:rsidRDefault="00D241FB" w:rsidP="00D241FB">
      <w:pPr>
        <w:spacing w:after="0" w:line="240" w:lineRule="auto"/>
        <w:ind w:left="709" w:right="709"/>
        <w:jc w:val="both"/>
        <w:rPr>
          <w:rFonts w:ascii="Verdana" w:hAnsi="Verdana" w:cs="Verdana"/>
          <w:i/>
          <w:iCs/>
          <w:color w:val="000000" w:themeColor="text1"/>
          <w:sz w:val="20"/>
          <w:szCs w:val="20"/>
        </w:rPr>
      </w:pPr>
    </w:p>
    <w:p w14:paraId="0B7E0613" w14:textId="77777777" w:rsidR="00D241FB" w:rsidRPr="00D44F87" w:rsidRDefault="00D241FB" w:rsidP="00D241FB">
      <w:pPr>
        <w:spacing w:after="0" w:line="240" w:lineRule="auto"/>
        <w:ind w:left="709" w:right="709"/>
        <w:jc w:val="both"/>
        <w:rPr>
          <w:rFonts w:ascii="Verdana" w:hAnsi="Verdana" w:cs="Verdana"/>
          <w:i/>
          <w:iCs/>
          <w:color w:val="000000" w:themeColor="text1"/>
          <w:sz w:val="20"/>
          <w:szCs w:val="20"/>
        </w:rPr>
      </w:pPr>
      <w:r w:rsidRPr="00D44F87">
        <w:rPr>
          <w:rFonts w:ascii="Verdana" w:hAnsi="Verdana" w:cs="Verdana"/>
          <w:i/>
          <w:iCs/>
          <w:color w:val="000000" w:themeColor="text1"/>
          <w:sz w:val="20"/>
          <w:szCs w:val="20"/>
        </w:rPr>
        <w:t xml:space="preserve">2. Para efectos de la restricción contenida en el artículo 33 de la Ley 996 de 2005 (prohibición de contratación directa), ¿Cuál debe entenderse </w:t>
      </w:r>
      <w:r w:rsidRPr="00D44F87">
        <w:rPr>
          <w:rFonts w:ascii="Verdana" w:hAnsi="Verdana" w:cs="Verdana"/>
          <w:i/>
          <w:iCs/>
          <w:color w:val="000000" w:themeColor="text1"/>
          <w:sz w:val="20"/>
          <w:szCs w:val="20"/>
        </w:rPr>
        <w:lastRenderedPageBreak/>
        <w:t xml:space="preserve">como el hito jurídico determinante de la “celebración” del contrato: la fecha de la suscripción del documento físico /digital donde consta el acuerdo de voluntates (objeto y contraprestación), o la fecha y hora en que la plataforma SECOP II refleja el cargue y aprobación del proceso? </w:t>
      </w:r>
    </w:p>
    <w:p w14:paraId="7CBBAC70" w14:textId="77777777" w:rsidR="00D241FB" w:rsidRPr="00D44F87" w:rsidRDefault="00D241FB" w:rsidP="00D241FB">
      <w:pPr>
        <w:spacing w:after="0" w:line="240" w:lineRule="auto"/>
        <w:ind w:left="709" w:right="709"/>
        <w:jc w:val="both"/>
        <w:rPr>
          <w:rFonts w:ascii="Verdana" w:hAnsi="Verdana" w:cs="Verdana"/>
          <w:i/>
          <w:iCs/>
          <w:color w:val="000000" w:themeColor="text1"/>
          <w:sz w:val="20"/>
          <w:szCs w:val="20"/>
        </w:rPr>
      </w:pPr>
    </w:p>
    <w:p w14:paraId="46D344F7" w14:textId="77777777" w:rsidR="00D241FB" w:rsidRPr="00D44F87" w:rsidRDefault="00D241FB" w:rsidP="00D241FB">
      <w:pPr>
        <w:spacing w:after="0" w:line="240" w:lineRule="auto"/>
        <w:ind w:left="709" w:right="709"/>
        <w:jc w:val="both"/>
        <w:rPr>
          <w:rFonts w:ascii="Verdana" w:hAnsi="Verdana" w:cs="Verdana"/>
          <w:i/>
          <w:iCs/>
          <w:color w:val="000000" w:themeColor="text1"/>
          <w:sz w:val="20"/>
          <w:szCs w:val="20"/>
        </w:rPr>
      </w:pPr>
      <w:r w:rsidRPr="00D44F87">
        <w:rPr>
          <w:rFonts w:ascii="Verdana" w:hAnsi="Verdana" w:cs="Verdana"/>
          <w:i/>
          <w:iCs/>
          <w:color w:val="000000" w:themeColor="text1"/>
          <w:sz w:val="20"/>
          <w:szCs w:val="20"/>
        </w:rPr>
        <w:t>3. ¿Vulnera la prohibición de celebrar contratación directa contemplada en la Ley de Garantías electorales aquella entidad que se perfeccionó por escrito el contrato estatal un día antes del inicio de la restricción, pero cuya publicación y aprobación en el SECOP II se materializó en las primeras horas del día enque inició la prohibición, como consecuencia del volumen transaccional de la entidad y la saturación de la plataforma?</w:t>
      </w:r>
    </w:p>
    <w:p w14:paraId="3209905F" w14:textId="77777777" w:rsidR="00D241FB" w:rsidRPr="00D44F87" w:rsidRDefault="00D241FB" w:rsidP="00D241FB">
      <w:pPr>
        <w:spacing w:after="0" w:line="240" w:lineRule="auto"/>
        <w:ind w:left="709" w:right="709"/>
        <w:jc w:val="both"/>
        <w:rPr>
          <w:rFonts w:ascii="Verdana" w:hAnsi="Verdana" w:cs="Verdana"/>
          <w:i/>
          <w:iCs/>
          <w:color w:val="000000" w:themeColor="text1"/>
          <w:sz w:val="20"/>
          <w:szCs w:val="20"/>
        </w:rPr>
      </w:pPr>
    </w:p>
    <w:p w14:paraId="33F461C8" w14:textId="77777777" w:rsidR="00D241FB" w:rsidRPr="00D44F87" w:rsidRDefault="00D241FB" w:rsidP="00D241FB">
      <w:pPr>
        <w:spacing w:after="0" w:line="240" w:lineRule="auto"/>
        <w:ind w:left="709" w:right="709"/>
        <w:jc w:val="both"/>
        <w:rPr>
          <w:rFonts w:ascii="Verdana" w:hAnsi="Verdana" w:cs="Verdana"/>
          <w:i/>
          <w:iCs/>
          <w:color w:val="000000" w:themeColor="text1"/>
          <w:sz w:val="20"/>
          <w:szCs w:val="20"/>
        </w:rPr>
      </w:pPr>
      <w:r w:rsidRPr="00D44F87">
        <w:rPr>
          <w:rFonts w:ascii="Verdana" w:hAnsi="Verdana" w:cs="Verdana"/>
          <w:i/>
          <w:iCs/>
          <w:color w:val="000000" w:themeColor="text1"/>
          <w:sz w:val="20"/>
          <w:szCs w:val="20"/>
        </w:rPr>
        <w:t xml:space="preserve">4. ¿ Cuál es el alcance del principio de publicidad y las operaciones del SECOP II frente a la existencia y validez del negocio jurídico contractual cuando este ya ha nacido a la vida jurídica mediante documento escrito suscrito por las partes? </w:t>
      </w:r>
    </w:p>
    <w:p w14:paraId="41580442" w14:textId="77777777" w:rsidR="00D241FB" w:rsidRPr="00D44F87" w:rsidRDefault="00D241FB" w:rsidP="00D241FB">
      <w:pPr>
        <w:spacing w:after="0" w:line="240" w:lineRule="auto"/>
        <w:ind w:left="709" w:right="709"/>
        <w:jc w:val="both"/>
        <w:rPr>
          <w:rFonts w:ascii="Verdana" w:hAnsi="Verdana" w:cs="Verdana"/>
          <w:i/>
          <w:iCs/>
          <w:color w:val="000000" w:themeColor="text1"/>
          <w:sz w:val="20"/>
          <w:szCs w:val="20"/>
        </w:rPr>
      </w:pPr>
    </w:p>
    <w:p w14:paraId="68A82035" w14:textId="77777777" w:rsidR="00D241FB" w:rsidRPr="00D44F87" w:rsidRDefault="00D241FB" w:rsidP="00D241FB">
      <w:pPr>
        <w:spacing w:after="0" w:line="240" w:lineRule="auto"/>
        <w:ind w:left="709" w:right="709"/>
        <w:jc w:val="both"/>
        <w:rPr>
          <w:rFonts w:ascii="Verdana" w:hAnsi="Verdana" w:cs="Verdana"/>
          <w:i/>
          <w:iCs/>
          <w:color w:val="000000" w:themeColor="text1"/>
          <w:sz w:val="20"/>
          <w:szCs w:val="20"/>
        </w:rPr>
      </w:pPr>
      <w:r w:rsidRPr="00D44F87">
        <w:rPr>
          <w:rFonts w:ascii="Verdana" w:hAnsi="Verdana" w:cs="Verdana"/>
          <w:i/>
          <w:iCs/>
          <w:color w:val="000000" w:themeColor="text1"/>
          <w:sz w:val="20"/>
          <w:szCs w:val="20"/>
        </w:rPr>
        <w:t>5. ¿La ausencia de la emisión de un “protocolo de indisponibilidad” o certificado de falla técnica por parte de Colombia Compra Eficiente descarta, de manera absoluta, la existencia fáctica de lentitud, saturación, latencia o la necesidad de reintentos sucesivos en el cargue y aprobación de contratos en el SECOP II durante jornadas de alta congestión nacional?</w:t>
      </w:r>
    </w:p>
    <w:p w14:paraId="14E86EFE" w14:textId="77777777" w:rsidR="00D241FB" w:rsidRPr="00D44F87" w:rsidRDefault="00D241FB" w:rsidP="00D241FB">
      <w:pPr>
        <w:spacing w:after="0" w:line="240" w:lineRule="auto"/>
        <w:ind w:left="709" w:right="709"/>
        <w:jc w:val="both"/>
        <w:rPr>
          <w:rFonts w:ascii="Verdana" w:hAnsi="Verdana" w:cs="Verdana"/>
          <w:i/>
          <w:iCs/>
          <w:color w:val="000000" w:themeColor="text1"/>
          <w:sz w:val="20"/>
          <w:szCs w:val="20"/>
        </w:rPr>
      </w:pPr>
    </w:p>
    <w:p w14:paraId="1C96DD09" w14:textId="5EB776A0" w:rsidR="00D241FB" w:rsidRPr="00446315" w:rsidRDefault="00D241FB" w:rsidP="00D241FB">
      <w:pPr>
        <w:spacing w:after="0" w:line="240" w:lineRule="auto"/>
        <w:ind w:left="709" w:right="709"/>
        <w:jc w:val="both"/>
        <w:rPr>
          <w:rFonts w:ascii="Verdana" w:hAnsi="Verdana" w:cs="Verdana"/>
          <w:color w:val="000000" w:themeColor="text1"/>
          <w:sz w:val="20"/>
          <w:szCs w:val="20"/>
        </w:rPr>
      </w:pPr>
      <w:r w:rsidRPr="00D44F87">
        <w:rPr>
          <w:rFonts w:ascii="Verdana" w:hAnsi="Verdana" w:cs="Verdana"/>
          <w:i/>
          <w:iCs/>
          <w:color w:val="000000" w:themeColor="text1"/>
          <w:sz w:val="20"/>
          <w:szCs w:val="20"/>
        </w:rPr>
        <w:t>6. Bajo los principios de eficiencia, buena fé y proporcionalidad que rigen la función administrativa, ¿puede imputarse como una infracción normativa al ordenador del gasto o al administrador del SECOP II el hecho de que un proceso contractual – cuyo acuerdo de voluntades se perfeccionó e inició su fase de cargue antes de la restricción – finalice su ciclo operativo de aprobación en la plataforma en las primeras horas del día restrictivo, debido exclusivamente a la latencia y reintentos operativos requeridos por el sistema para procesar el volumen de información?</w:t>
      </w:r>
      <w:r w:rsidRPr="00446315">
        <w:rPr>
          <w:rFonts w:ascii="Verdana" w:eastAsia="Century Gothic" w:hAnsi="Verdana" w:cs="Century Gothic"/>
          <w:i/>
          <w:iCs/>
          <w:color w:val="000000" w:themeColor="text1"/>
          <w:sz w:val="20"/>
          <w:szCs w:val="20"/>
        </w:rPr>
        <w:t>”</w:t>
      </w:r>
      <w:r w:rsidR="00B64856">
        <w:rPr>
          <w:rFonts w:ascii="Verdana" w:eastAsia="Century Gothic" w:hAnsi="Verdana" w:cs="Century Gothic"/>
          <w:i/>
          <w:iCs/>
          <w:color w:val="000000" w:themeColor="text1"/>
          <w:sz w:val="20"/>
          <w:szCs w:val="20"/>
        </w:rPr>
        <w:t>.</w:t>
      </w:r>
    </w:p>
    <w:p w14:paraId="62AA5D9C" w14:textId="77777777" w:rsidR="00D241FB" w:rsidRPr="00C55BDE" w:rsidRDefault="00D241FB" w:rsidP="00D241FB">
      <w:pPr>
        <w:spacing w:after="0" w:line="240" w:lineRule="auto"/>
        <w:ind w:left="709" w:right="709"/>
        <w:jc w:val="both"/>
        <w:rPr>
          <w:rFonts w:ascii="Verdana" w:eastAsia="Times New Roman" w:hAnsi="Verdana" w:cs="Arial"/>
          <w:i/>
          <w:iCs/>
          <w:sz w:val="20"/>
          <w:szCs w:val="20"/>
          <w:lang w:eastAsia="es-ES_tradnl"/>
        </w:rPr>
      </w:pPr>
    </w:p>
    <w:p w14:paraId="3CD6247B" w14:textId="77777777" w:rsidR="00D241FB" w:rsidRPr="00C55BDE" w:rsidRDefault="00D241FB" w:rsidP="00D241FB">
      <w:pPr>
        <w:spacing w:after="120" w:line="276" w:lineRule="auto"/>
        <w:ind w:firstLine="709"/>
        <w:jc w:val="both"/>
        <w:rPr>
          <w:rFonts w:ascii="Verdana" w:eastAsia="Calibri" w:hAnsi="Verdana" w:cs="Arial"/>
          <w:color w:val="000000" w:themeColor="text1"/>
          <w:szCs w:val="24"/>
          <w:lang w:val="es-ES_tradnl" w:eastAsia="es-ES_tradnl"/>
        </w:rPr>
      </w:pPr>
      <w:r w:rsidRPr="00C55BDE">
        <w:rPr>
          <w:rFonts w:ascii="Verdana" w:eastAsia="Calibri" w:hAnsi="Verdana"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themeColor="text1"/>
          <w:lang w:val="es-ES" w:eastAsia="es-ES"/>
        </w:rPr>
        <w:t xml:space="preserve">la Agencia Nacional de Contratación Pública - </w:t>
      </w:r>
      <w:r w:rsidRPr="00C55BDE">
        <w:rPr>
          <w:rFonts w:ascii="Verdana" w:eastAsia="Calibri" w:hAnsi="Verdana" w:cs="Arial"/>
          <w:color w:val="000000" w:themeColor="text1"/>
          <w:lang w:val="es-ES" w:eastAsia="es-ES"/>
        </w:rPr>
        <w:t xml:space="preserve">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w:t>
      </w:r>
      <w:r w:rsidRPr="00C55BDE">
        <w:rPr>
          <w:rFonts w:ascii="Verdana" w:eastAsia="Calibri" w:hAnsi="Verdana" w:cs="Arial"/>
          <w:color w:val="000000" w:themeColor="text1"/>
          <w:lang w:val="es-ES" w:eastAsia="es-ES"/>
        </w:rPr>
        <w:lastRenderedPageBreak/>
        <w:t xml:space="preserve">por definición, no puede extenderse a la resolución de controversias, ni a brindar asesorías sobre casos puntuales. </w:t>
      </w:r>
      <w:r w:rsidRPr="00C55BDE">
        <w:rPr>
          <w:rFonts w:ascii="Verdana" w:eastAsia="Calibri" w:hAnsi="Verdana" w:cs="Arial"/>
          <w:color w:val="000000" w:themeColor="text1"/>
          <w:szCs w:val="24"/>
          <w:lang w:val="es-ES_tradnl" w:eastAsia="es-ES_tradnl"/>
        </w:rPr>
        <w:tab/>
      </w:r>
    </w:p>
    <w:p w14:paraId="7E42515B" w14:textId="77777777" w:rsidR="00D241FB" w:rsidRPr="00C55BDE" w:rsidRDefault="00D241FB" w:rsidP="00D241FB">
      <w:pPr>
        <w:spacing w:after="0" w:line="276" w:lineRule="auto"/>
        <w:ind w:firstLine="709"/>
        <w:jc w:val="both"/>
        <w:rPr>
          <w:rFonts w:ascii="Verdana" w:eastAsia="Calibri" w:hAnsi="Verdana" w:cs="Arial"/>
          <w:color w:val="000000" w:themeColor="text1"/>
          <w:lang w:val="es-ES" w:eastAsia="es-ES"/>
        </w:rPr>
      </w:pPr>
      <w:r w:rsidRPr="00C55BDE">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w:t>
      </w:r>
      <w:r>
        <w:rPr>
          <w:rFonts w:ascii="Verdana" w:eastAsia="Calibri" w:hAnsi="Verdana" w:cs="Arial"/>
          <w:color w:val="000000" w:themeColor="text1"/>
          <w:lang w:val="es-ES" w:eastAsia="es-ES"/>
        </w:rPr>
        <w:t>señalando alg</w:t>
      </w:r>
      <w:r w:rsidRPr="00C55BDE">
        <w:rPr>
          <w:rFonts w:ascii="Verdana" w:eastAsia="Calibri" w:hAnsi="Verdana" w:cs="Arial"/>
          <w:color w:val="000000" w:themeColor="text1"/>
          <w:lang w:val="es-ES" w:eastAsia="es-ES"/>
        </w:rPr>
        <w:t>unas consideraciones sobre las normas generales relacionadas con los problemas jurídicos</w:t>
      </w:r>
      <w:r>
        <w:rPr>
          <w:rFonts w:ascii="Verdana" w:eastAsia="Calibri" w:hAnsi="Verdana" w:cs="Arial"/>
          <w:color w:val="000000" w:themeColor="text1"/>
          <w:lang w:val="es-ES" w:eastAsia="es-ES"/>
        </w:rPr>
        <w:t xml:space="preserve"> </w:t>
      </w:r>
      <w:r w:rsidRPr="00C55BDE">
        <w:rPr>
          <w:rFonts w:ascii="Verdana" w:eastAsia="Calibri" w:hAnsi="Verdana" w:cs="Arial"/>
          <w:color w:val="000000" w:themeColor="text1"/>
          <w:lang w:val="es-ES" w:eastAsia="es-ES"/>
        </w:rPr>
        <w:t xml:space="preserve">de su consulta. </w:t>
      </w:r>
    </w:p>
    <w:p w14:paraId="5138059F" w14:textId="77777777" w:rsidR="00D241FB" w:rsidRPr="00C55BDE" w:rsidRDefault="00D241FB" w:rsidP="00D241FB">
      <w:pPr>
        <w:spacing w:after="0" w:line="276" w:lineRule="auto"/>
        <w:jc w:val="both"/>
        <w:rPr>
          <w:rFonts w:ascii="Verdana" w:eastAsia="Calibri" w:hAnsi="Verdana" w:cs="Arial"/>
          <w:color w:val="000000" w:themeColor="text1"/>
          <w:lang w:val="es-ES" w:eastAsia="es-ES"/>
        </w:rPr>
      </w:pPr>
    </w:p>
    <w:p w14:paraId="6D3C7E73" w14:textId="77777777" w:rsidR="00D241FB" w:rsidRPr="00C55BDE" w:rsidRDefault="00D241FB" w:rsidP="00D241FB">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C55BDE">
        <w:rPr>
          <w:rFonts w:ascii="Verdana" w:eastAsia="Century Gothic" w:hAnsi="Verdana" w:cs="Century Gothic"/>
          <w:b/>
          <w:bCs/>
          <w:color w:val="000000" w:themeColor="text1"/>
        </w:rPr>
        <w:t>Problema planteado:</w:t>
      </w:r>
    </w:p>
    <w:p w14:paraId="44CBEBE0" w14:textId="77777777" w:rsidR="00D241FB" w:rsidRPr="00C55BDE" w:rsidRDefault="00D241FB" w:rsidP="00D241FB">
      <w:pPr>
        <w:tabs>
          <w:tab w:val="left" w:pos="426"/>
        </w:tabs>
        <w:spacing w:after="0" w:line="276" w:lineRule="auto"/>
        <w:jc w:val="both"/>
        <w:rPr>
          <w:rFonts w:ascii="Verdana" w:eastAsia="Century Gothic" w:hAnsi="Verdana" w:cs="Century Gothic"/>
          <w:color w:val="000000" w:themeColor="text1"/>
          <w:lang w:val="es-ES"/>
        </w:rPr>
      </w:pPr>
    </w:p>
    <w:p w14:paraId="5E24D201" w14:textId="77777777" w:rsidR="00D241FB" w:rsidRPr="00C55BDE" w:rsidRDefault="00D241FB" w:rsidP="00D241FB">
      <w:pPr>
        <w:spacing w:after="0" w:line="276" w:lineRule="auto"/>
        <w:jc w:val="both"/>
        <w:rPr>
          <w:rFonts w:ascii="Verdana" w:eastAsia="Century Gothic" w:hAnsi="Verdana" w:cs="Century Gothic"/>
          <w:color w:val="000000" w:themeColor="text1"/>
        </w:rPr>
      </w:pPr>
      <w:r w:rsidRPr="00C55BDE">
        <w:rPr>
          <w:rFonts w:ascii="Verdana" w:eastAsia="Century Gothic" w:hAnsi="Verdana" w:cs="Century Gothic"/>
          <w:color w:val="000000" w:themeColor="text1"/>
        </w:rPr>
        <w:t xml:space="preserve">De acuerdo con el contenido de su solicitud, esta Agencia resolverá </w:t>
      </w:r>
      <w:r>
        <w:rPr>
          <w:rFonts w:ascii="Verdana" w:eastAsia="Century Gothic" w:hAnsi="Verdana" w:cs="Century Gothic"/>
          <w:color w:val="000000" w:themeColor="text1"/>
        </w:rPr>
        <w:t>los</w:t>
      </w:r>
      <w:r w:rsidRPr="00C55BDE">
        <w:rPr>
          <w:rFonts w:ascii="Verdana" w:eastAsia="Century Gothic" w:hAnsi="Verdana" w:cs="Century Gothic"/>
          <w:color w:val="000000" w:themeColor="text1"/>
        </w:rPr>
        <w:t xml:space="preserve"> siguiente</w:t>
      </w:r>
      <w:r>
        <w:rPr>
          <w:rFonts w:ascii="Verdana" w:eastAsia="Century Gothic" w:hAnsi="Verdana" w:cs="Century Gothic"/>
          <w:color w:val="000000" w:themeColor="text1"/>
        </w:rPr>
        <w:t>s</w:t>
      </w:r>
      <w:r w:rsidRPr="00C55BDE">
        <w:rPr>
          <w:rFonts w:ascii="Verdana" w:eastAsia="Century Gothic" w:hAnsi="Verdana" w:cs="Century Gothic"/>
          <w:color w:val="000000" w:themeColor="text1"/>
        </w:rPr>
        <w:t xml:space="preserve"> problema</w:t>
      </w:r>
      <w:r>
        <w:rPr>
          <w:rFonts w:ascii="Verdana" w:eastAsia="Century Gothic" w:hAnsi="Verdana" w:cs="Century Gothic"/>
          <w:color w:val="000000" w:themeColor="text1"/>
        </w:rPr>
        <w:t>s</w:t>
      </w:r>
      <w:r w:rsidRPr="00C55BDE">
        <w:rPr>
          <w:rFonts w:ascii="Verdana" w:eastAsia="Century Gothic" w:hAnsi="Verdana" w:cs="Century Gothic"/>
          <w:color w:val="000000" w:themeColor="text1"/>
        </w:rPr>
        <w:t xml:space="preserve"> jurídico</w:t>
      </w:r>
      <w:r>
        <w:rPr>
          <w:rFonts w:ascii="Verdana" w:eastAsia="Century Gothic" w:hAnsi="Verdana" w:cs="Century Gothic"/>
          <w:color w:val="000000" w:themeColor="text1"/>
        </w:rPr>
        <w:t>s</w:t>
      </w:r>
      <w:r w:rsidRPr="00C55BDE">
        <w:rPr>
          <w:rFonts w:ascii="Verdana" w:eastAsia="Century Gothic" w:hAnsi="Verdana" w:cs="Century Gothic"/>
          <w:color w:val="000000" w:themeColor="text1"/>
        </w:rPr>
        <w:t>:</w:t>
      </w:r>
      <w:r>
        <w:rPr>
          <w:rFonts w:ascii="Verdana" w:eastAsia="Century Gothic" w:hAnsi="Verdana" w:cs="Century Gothic"/>
          <w:color w:val="000000" w:themeColor="text1"/>
        </w:rPr>
        <w:t xml:space="preserve"> i) </w:t>
      </w:r>
      <w:r w:rsidRPr="00A53FD7">
        <w:rPr>
          <w:rFonts w:ascii="Verdana" w:eastAsia="Century Gothic" w:hAnsi="Verdana" w:cs="Century Gothic"/>
          <w:color w:val="000000" w:themeColor="text1"/>
        </w:rPr>
        <w:t>¿</w:t>
      </w:r>
      <w:r>
        <w:rPr>
          <w:rFonts w:ascii="Verdana" w:eastAsia="Century Gothic" w:hAnsi="Verdana" w:cs="Century Gothic"/>
          <w:color w:val="000000" w:themeColor="text1"/>
        </w:rPr>
        <w:t>c</w:t>
      </w:r>
      <w:r w:rsidRPr="00A53FD7">
        <w:rPr>
          <w:rFonts w:ascii="Verdana" w:eastAsia="Century Gothic" w:hAnsi="Verdana" w:cs="Century Gothic"/>
          <w:color w:val="000000" w:themeColor="text1"/>
        </w:rPr>
        <w:t xml:space="preserve">uál es el momento de celebración del contrato estatal en </w:t>
      </w:r>
      <w:r>
        <w:rPr>
          <w:rFonts w:ascii="Verdana" w:eastAsia="Century Gothic" w:hAnsi="Verdana" w:cs="Century Gothic"/>
          <w:color w:val="000000" w:themeColor="text1"/>
        </w:rPr>
        <w:t xml:space="preserve">la plataforma de </w:t>
      </w:r>
      <w:r w:rsidRPr="00A53FD7">
        <w:rPr>
          <w:rFonts w:ascii="Verdana" w:eastAsia="Century Gothic" w:hAnsi="Verdana" w:cs="Century Gothic"/>
          <w:color w:val="000000" w:themeColor="text1"/>
        </w:rPr>
        <w:t>SECOP II</w:t>
      </w:r>
      <w:r>
        <w:rPr>
          <w:rFonts w:ascii="Verdana" w:eastAsia="Century Gothic" w:hAnsi="Verdana" w:cs="Century Gothic"/>
          <w:color w:val="000000" w:themeColor="text1"/>
        </w:rPr>
        <w:t>,</w:t>
      </w:r>
      <w:r w:rsidRPr="00A53FD7">
        <w:rPr>
          <w:rFonts w:ascii="Verdana" w:eastAsia="Century Gothic" w:hAnsi="Verdana" w:cs="Century Gothic"/>
          <w:color w:val="000000" w:themeColor="text1"/>
        </w:rPr>
        <w:t xml:space="preserve"> para efectos de la aplicación de las restricciones de la Ley de Garantías</w:t>
      </w:r>
      <w:r>
        <w:rPr>
          <w:rFonts w:ascii="Verdana" w:eastAsia="Century Gothic" w:hAnsi="Verdana" w:cs="Century Gothic"/>
          <w:color w:val="000000" w:themeColor="text1"/>
        </w:rPr>
        <w:t xml:space="preserve"> Electorales?;  ii)</w:t>
      </w:r>
      <w:r w:rsidRPr="00A53FD7">
        <w:rPr>
          <w:rFonts w:ascii="Verdana" w:eastAsia="Century Gothic" w:hAnsi="Verdana" w:cs="Century Gothic"/>
          <w:color w:val="000000" w:themeColor="text1"/>
        </w:rPr>
        <w:t xml:space="preserve"> </w:t>
      </w:r>
      <w:r>
        <w:rPr>
          <w:rFonts w:ascii="Verdana" w:eastAsia="Century Gothic" w:hAnsi="Verdana" w:cs="Century Gothic"/>
          <w:color w:val="000000" w:themeColor="text1"/>
        </w:rPr>
        <w:t>¿</w:t>
      </w:r>
      <w:r w:rsidRPr="00A53FD7">
        <w:rPr>
          <w:rFonts w:ascii="Verdana" w:eastAsia="Century Gothic" w:hAnsi="Verdana" w:cs="Century Gothic"/>
          <w:color w:val="000000" w:themeColor="text1"/>
        </w:rPr>
        <w:t>cuáles son las consecuencias</w:t>
      </w:r>
      <w:r>
        <w:rPr>
          <w:rFonts w:ascii="Verdana" w:eastAsia="Century Gothic" w:hAnsi="Verdana" w:cs="Century Gothic"/>
          <w:color w:val="000000" w:themeColor="text1"/>
        </w:rPr>
        <w:t xml:space="preserve"> jurídicas</w:t>
      </w:r>
      <w:r w:rsidRPr="00A53FD7">
        <w:rPr>
          <w:rFonts w:ascii="Verdana" w:eastAsia="Century Gothic" w:hAnsi="Verdana" w:cs="Century Gothic"/>
          <w:color w:val="000000" w:themeColor="text1"/>
        </w:rPr>
        <w:t xml:space="preserve"> cuando su perfeccionamiento</w:t>
      </w:r>
      <w:r>
        <w:rPr>
          <w:rFonts w:ascii="Verdana" w:eastAsia="Century Gothic" w:hAnsi="Verdana" w:cs="Century Gothic"/>
          <w:color w:val="000000" w:themeColor="text1"/>
        </w:rPr>
        <w:t xml:space="preserve"> en la plataforma del SECOP II</w:t>
      </w:r>
      <w:r w:rsidRPr="00A53FD7">
        <w:rPr>
          <w:rFonts w:ascii="Verdana" w:eastAsia="Century Gothic" w:hAnsi="Verdana" w:cs="Century Gothic"/>
          <w:color w:val="000000" w:themeColor="text1"/>
        </w:rPr>
        <w:t xml:space="preserve"> ocurre dentro del período de prohibición</w:t>
      </w:r>
      <w:r w:rsidRPr="00753842">
        <w:rPr>
          <w:rFonts w:ascii="Verdana" w:eastAsia="Century Gothic" w:hAnsi="Verdana" w:cs="Century Gothic"/>
          <w:color w:val="000000" w:themeColor="text1"/>
        </w:rPr>
        <w:t>, aun cuando las etapas previas de estructuración, publicación, adjudicación y aceptación por parte del contratista se llevaron a cabo con anterioridad a dicho periodo</w:t>
      </w:r>
      <w:r w:rsidRPr="00A53FD7">
        <w:rPr>
          <w:rFonts w:ascii="Verdana" w:eastAsia="Century Gothic" w:hAnsi="Verdana" w:cs="Century Gothic"/>
          <w:color w:val="000000" w:themeColor="text1"/>
        </w:rPr>
        <w:t>?</w:t>
      </w:r>
      <w:r>
        <w:rPr>
          <w:rFonts w:ascii="Verdana" w:eastAsia="Century Gothic" w:hAnsi="Verdana" w:cs="Century Gothic"/>
          <w:color w:val="000000" w:themeColor="text1"/>
        </w:rPr>
        <w:t>; iii) ¿Cuál es el alcance del principio de publicidad en las actuaciones contractuales tramitadas mediante SECOP II?</w:t>
      </w:r>
    </w:p>
    <w:p w14:paraId="45996434" w14:textId="77777777" w:rsidR="00D241FB" w:rsidRPr="00C55BDE" w:rsidRDefault="00D241FB" w:rsidP="00D241FB">
      <w:pPr>
        <w:spacing w:after="0" w:line="276" w:lineRule="auto"/>
        <w:jc w:val="both"/>
        <w:rPr>
          <w:rFonts w:ascii="Verdana" w:eastAsia="Century Gothic" w:hAnsi="Verdana" w:cs="Century Gothic"/>
          <w:color w:val="000000" w:themeColor="text1"/>
        </w:rPr>
      </w:pPr>
    </w:p>
    <w:p w14:paraId="28A5F1B0" w14:textId="77777777" w:rsidR="00D241FB" w:rsidRPr="00C55BDE" w:rsidRDefault="00D241FB" w:rsidP="00D241F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C55BDE">
        <w:rPr>
          <w:rFonts w:ascii="Verdana" w:eastAsia="Century Gothic" w:hAnsi="Verdana" w:cs="Century Gothic"/>
          <w:b/>
          <w:bCs/>
          <w:color w:val="000000" w:themeColor="text1"/>
        </w:rPr>
        <w:t xml:space="preserve">Respuesta: </w:t>
      </w:r>
    </w:p>
    <w:p w14:paraId="0135BBC4" w14:textId="77777777" w:rsidR="00D241FB" w:rsidRPr="00C55BDE" w:rsidRDefault="00D241FB" w:rsidP="00D241FB">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241FB" w:rsidRPr="00C55BDE" w14:paraId="7EC32A46" w14:textId="77777777" w:rsidTr="00C659C5">
        <w:tc>
          <w:tcPr>
            <w:tcW w:w="8828" w:type="dxa"/>
          </w:tcPr>
          <w:p w14:paraId="057104FB" w14:textId="77777777" w:rsidR="00D241FB" w:rsidRDefault="00D241FB" w:rsidP="00C659C5">
            <w:pPr>
              <w:spacing w:after="120" w:line="276" w:lineRule="auto"/>
              <w:jc w:val="both"/>
              <w:rPr>
                <w:rFonts w:ascii="Verdana" w:eastAsia="Arial" w:hAnsi="Verdana" w:cs="Arial"/>
                <w:lang w:val="es-ES" w:eastAsia="es-ES" w:bidi="es-ES"/>
              </w:rPr>
            </w:pPr>
            <w:r>
              <w:rPr>
                <w:rFonts w:ascii="Verdana" w:eastAsia="Arial" w:hAnsi="Verdana" w:cs="Arial"/>
                <w:lang w:val="es-ES" w:eastAsia="es-ES" w:bidi="es-ES"/>
              </w:rPr>
              <w:t>i. Las restricciones consagradas en la Ley de Garantías Electorales se dirigen a dos (2) tipos de campañas electorales claramente diferenciadas: las presidenciales y las demás que se adelanten para la elección de los demás cargos de elección popular, tanto a nivel nacional como territorial.</w:t>
            </w:r>
          </w:p>
          <w:p w14:paraId="5BD8BC31" w14:textId="77777777" w:rsidR="00D241FB" w:rsidRDefault="00D241FB" w:rsidP="00C659C5">
            <w:pPr>
              <w:spacing w:after="120" w:line="276" w:lineRule="auto"/>
              <w:ind w:firstLine="708"/>
              <w:jc w:val="both"/>
              <w:rPr>
                <w:rFonts w:ascii="Verdana" w:eastAsia="Calibri" w:hAnsi="Verdana" w:cs="Arial"/>
              </w:rPr>
            </w:pPr>
            <w:r>
              <w:rPr>
                <w:rFonts w:ascii="Verdana" w:eastAsia="Calibri" w:hAnsi="Verdana" w:cs="Arial"/>
              </w:rPr>
              <w:t xml:space="preserve">Por un lado, el </w:t>
            </w:r>
            <w:r>
              <w:rPr>
                <w:rFonts w:ascii="Verdana" w:eastAsia="Calibri" w:hAnsi="Verdana" w:cs="Arial"/>
                <w:i/>
                <w:iCs/>
              </w:rPr>
              <w:t>artículo 33 de la Ley 996 de 2005</w:t>
            </w:r>
            <w:r>
              <w:rPr>
                <w:rFonts w:ascii="Verdana" w:eastAsia="Calibri" w:hAnsi="Verdana" w:cs="Arial"/>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w:t>
            </w:r>
            <w:r>
              <w:rPr>
                <w:rFonts w:ascii="Verdana" w:eastAsia="Calibri" w:hAnsi="Verdana" w:cs="Arial"/>
              </w:rPr>
              <w:lastRenderedPageBreak/>
              <w:t>casos de fuerza mayor, y los que deban realizar las entidades sanitarias y hospitalarias”.</w:t>
            </w:r>
          </w:p>
          <w:p w14:paraId="24B8932E" w14:textId="77777777" w:rsidR="00D241FB" w:rsidRDefault="00D241FB" w:rsidP="00C659C5">
            <w:pPr>
              <w:widowControl w:val="0"/>
              <w:autoSpaceDE w:val="0"/>
              <w:autoSpaceDN w:val="0"/>
              <w:spacing w:after="120" w:line="276" w:lineRule="auto"/>
              <w:ind w:right="113" w:firstLine="709"/>
              <w:jc w:val="both"/>
              <w:rPr>
                <w:rFonts w:ascii="Verdana" w:eastAsia="Arial" w:hAnsi="Verdana" w:cs="Arial"/>
                <w:lang w:val="es-ES" w:eastAsia="es-ES" w:bidi="es-ES"/>
              </w:rPr>
            </w:pPr>
            <w:r>
              <w:rPr>
                <w:rFonts w:ascii="Verdana" w:eastAsia="Calibri" w:hAnsi="Verdana" w:cs="Arial"/>
              </w:rPr>
              <w:t xml:space="preserve">Por otro lado, </w:t>
            </w:r>
            <w:r>
              <w:rPr>
                <w:rFonts w:ascii="Verdana" w:eastAsia="Calibri" w:hAnsi="Verdana" w:cs="Arial"/>
                <w:i/>
                <w:iCs/>
              </w:rPr>
              <w:t>el parágrafo del artículo 38 de la Ley 996 de 2005</w:t>
            </w:r>
            <w:r>
              <w:rPr>
                <w:rFonts w:ascii="Verdana" w:eastAsia="Calibri" w:hAnsi="Verdana" w:cs="Arial"/>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w:t>
            </w:r>
            <w:r w:rsidRPr="00F31AC8">
              <w:rPr>
                <w:rFonts w:ascii="Verdana" w:eastAsia="Calibri" w:hAnsi="Verdana" w:cs="Arial"/>
                <w:i/>
                <w:iCs/>
              </w:rPr>
              <w:t xml:space="preserve">“[…] </w:t>
            </w:r>
            <w:r w:rsidRPr="00F31AC8">
              <w:rPr>
                <w:rFonts w:ascii="Verdana" w:eastAsia="Calibri" w:hAnsi="Verdana" w:cs="Arial"/>
                <w:i/>
                <w:iCs/>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F31AC8">
              <w:rPr>
                <w:rFonts w:ascii="Verdana" w:eastAsia="Calibri" w:hAnsi="Verdana" w:cs="Arial"/>
                <w:i/>
                <w:iCs/>
              </w:rPr>
              <w:t>”</w:t>
            </w:r>
            <w:r w:rsidRPr="00F31AC8">
              <w:rPr>
                <w:rFonts w:ascii="Verdana" w:eastAsia="Calibri" w:hAnsi="Verdana" w:cs="Arial"/>
                <w:i/>
                <w:iCs/>
                <w:lang w:val="es-MX"/>
              </w:rPr>
              <w:t>.</w:t>
            </w:r>
            <w:r>
              <w:rPr>
                <w:rFonts w:ascii="Verdana" w:eastAsia="Arial" w:hAnsi="Verdana" w:cs="Arial"/>
                <w:lang w:val="es-ES" w:eastAsia="es-ES" w:bidi="es-ES"/>
              </w:rPr>
              <w:t xml:space="preserve"> </w:t>
            </w:r>
          </w:p>
          <w:p w14:paraId="57F30B19" w14:textId="77777777" w:rsidR="00D241FB" w:rsidRDefault="00D241FB" w:rsidP="00C659C5">
            <w:pPr>
              <w:spacing w:after="120" w:line="276" w:lineRule="auto"/>
              <w:ind w:firstLine="708"/>
              <w:jc w:val="both"/>
              <w:rPr>
                <w:rFonts w:ascii="Verdana" w:eastAsia="Times New Roman" w:hAnsi="Verdana" w:cs="Arial"/>
                <w:bCs/>
                <w:lang w:eastAsia="es-CO"/>
              </w:rPr>
            </w:pPr>
            <w:r>
              <w:rPr>
                <w:rFonts w:ascii="Verdana" w:eastAsia="Times New Roman" w:hAnsi="Verdana" w:cs="Arial"/>
                <w:bCs/>
                <w:lang w:val="es-MX" w:eastAsia="es-CO"/>
              </w:rPr>
              <w:t>Para entender el momento de aplicación de estas restricciones, es preciso señalar que el vocablo “celebrar” es definido por el Diccionario Panhispánico del Español Jurídico como: “</w:t>
            </w:r>
            <w:r>
              <w:rPr>
                <w:rFonts w:ascii="Verdana" w:eastAsia="Times New Roman" w:hAnsi="Verdana" w:cs="Arial"/>
                <w:bCs/>
                <w:lang w:eastAsia="es-CO"/>
              </w:rPr>
              <w:t>1. </w:t>
            </w:r>
            <w:r>
              <w:rPr>
                <w:rFonts w:ascii="Verdana" w:eastAsia="Times New Roman" w:hAnsi="Verdana" w:cs="Arial"/>
                <w:bCs/>
                <w:i/>
                <w:iCs/>
                <w:lang w:eastAsia="es-CO"/>
              </w:rPr>
              <w:t>Gral.</w:t>
            </w:r>
            <w:r>
              <w:rPr>
                <w:rFonts w:ascii="Verdana" w:eastAsia="Times New Roman" w:hAnsi="Verdana" w:cs="Arial"/>
                <w:bCs/>
                <w:lang w:eastAsia="es-CO"/>
              </w:rPr>
              <w:t xml:space="preserve"> Otorgar o firmar un contrato. 2. </w:t>
            </w:r>
            <w:r>
              <w:rPr>
                <w:rFonts w:ascii="Verdana" w:eastAsia="Times New Roman" w:hAnsi="Verdana" w:cs="Arial"/>
                <w:bCs/>
                <w:i/>
                <w:iCs/>
                <w:lang w:eastAsia="es-CO"/>
              </w:rPr>
              <w:t>Proc.</w:t>
            </w:r>
            <w:r>
              <w:rPr>
                <w:rFonts w:ascii="Verdana" w:eastAsia="Times New Roman" w:hAnsi="Verdana" w:cs="Arial"/>
                <w:bCs/>
                <w:lang w:eastAsia="es-CO"/>
              </w:rPr>
              <w:t xml:space="preserve"> Realizar los actos procesales propios de un juicio o vista”. Dentro de las dos definiciones, la que se acerca a la expresión “celebrar” en el contexto de la Ley de Garantías Electorales es la primera, esto es, al perfeccionamiento del contrato. </w:t>
            </w:r>
          </w:p>
          <w:p w14:paraId="21FDB18C" w14:textId="77777777" w:rsidR="00D241FB" w:rsidRDefault="00D241FB" w:rsidP="00C659C5">
            <w:pPr>
              <w:spacing w:after="120" w:line="276" w:lineRule="auto"/>
              <w:ind w:firstLine="708"/>
              <w:jc w:val="both"/>
              <w:rPr>
                <w:rFonts w:ascii="Verdana" w:eastAsia="Times New Roman" w:hAnsi="Verdana" w:cs="Arial"/>
                <w:bCs/>
                <w:lang w:val="es-ES" w:eastAsia="es-CO"/>
              </w:rPr>
            </w:pPr>
            <w:r>
              <w:rPr>
                <w:rFonts w:ascii="Verdana" w:eastAsia="Times New Roman" w:hAnsi="Verdana" w:cs="Arial"/>
                <w:bCs/>
                <w:lang w:val="es-ES" w:eastAsia="es-CO"/>
              </w:rPr>
              <w:t xml:space="preserve">De este modo, esta Agencia precisa que el concepto “celebrar” para efectos de las restricciones en la contratación dispuesta por la Ley de Garantías Electorales se refiere a los requisitos de </w:t>
            </w:r>
            <w:r w:rsidRPr="009D36B8">
              <w:rPr>
                <w:rFonts w:ascii="Verdana" w:eastAsia="Times New Roman" w:hAnsi="Verdana" w:cs="Arial"/>
                <w:bCs/>
                <w:i/>
                <w:iCs/>
                <w:lang w:val="es-ES" w:eastAsia="es-CO"/>
              </w:rPr>
              <w:t>perfeccionamiento</w:t>
            </w:r>
            <w:r>
              <w:rPr>
                <w:rFonts w:ascii="Verdana" w:eastAsia="Times New Roman" w:hAnsi="Verdana" w:cs="Arial"/>
                <w:bCs/>
                <w:lang w:val="es-ES" w:eastAsia="es-CO"/>
              </w:rPr>
              <w:t xml:space="preserve"> del contrato estatal. Por tanto, no se refiere a los requisitos de ejecución, es decir, aquellas condiciones para iniciar un contrato, como es la aprobación de las garantías o el registro presupuestal, o en algunos casos, la firma del acta de inicio, si así se determinó. </w:t>
            </w:r>
          </w:p>
          <w:p w14:paraId="1C911E2E" w14:textId="77777777" w:rsidR="00D241FB" w:rsidRDefault="00D241FB" w:rsidP="00C659C5">
            <w:pPr>
              <w:spacing w:after="120" w:line="276" w:lineRule="auto"/>
              <w:ind w:firstLine="708"/>
              <w:jc w:val="both"/>
              <w:rPr>
                <w:rFonts w:ascii="Verdana" w:eastAsia="Calibri" w:hAnsi="Verdana" w:cs="Arial"/>
                <w:lang w:val="es-ES"/>
              </w:rPr>
            </w:pPr>
            <w:r>
              <w:rPr>
                <w:rFonts w:ascii="Verdana" w:eastAsia="Calibri" w:hAnsi="Verdana" w:cs="Arial"/>
                <w:lang w:val="es-ES"/>
              </w:rPr>
              <w:t>Ahora bien, con la implementación del SECOP II como plataforma transaccional para la actividad contractual del Estado, se permite que los contratos que se publiquen sean firmados electrónicamente. De este modo, el proceso mediante el cual se efectúa la firma del contrato y su consecuente aprobación o rechazo es realizado a través del SECOP II. Así, después de que se adjudica el proceso de contratación en la plataforma se inicia el procedimiento por parte de la Entidad Estatal para que se cambie el estado del proceso a “adjudicado”, con lo cual se genera el contrato electrónico en estado “en edición”.</w:t>
            </w:r>
          </w:p>
          <w:p w14:paraId="063F87C8" w14:textId="77777777" w:rsidR="00D241FB" w:rsidRDefault="00D241FB" w:rsidP="00C659C5">
            <w:pPr>
              <w:spacing w:after="120" w:line="276" w:lineRule="auto"/>
              <w:ind w:firstLine="567"/>
              <w:jc w:val="both"/>
              <w:rPr>
                <w:rFonts w:ascii="Verdana" w:eastAsia="Calibri" w:hAnsi="Verdana" w:cs="Arial"/>
              </w:rPr>
            </w:pPr>
            <w:r>
              <w:rPr>
                <w:rFonts w:ascii="Verdana" w:eastAsia="Calibri" w:hAnsi="Verdana" w:cs="Arial"/>
                <w:lang w:val="es-ES"/>
              </w:rPr>
              <w:lastRenderedPageBreak/>
              <w:t>Conforme lo señala “</w:t>
            </w:r>
            <w:r w:rsidRPr="00DA39A2">
              <w:rPr>
                <w:rFonts w:ascii="Verdana" w:eastAsia="Calibri" w:hAnsi="Verdana" w:cs="Arial"/>
                <w:lang w:val="es-ES"/>
              </w:rPr>
              <w:t>Guía SECOP II – Gestión Contractual Para Entidades Estatales</w:t>
            </w:r>
            <w:r>
              <w:rPr>
                <w:rStyle w:val="Refdenotaalpie"/>
                <w:rFonts w:ascii="Verdana" w:eastAsia="Calibri" w:hAnsi="Verdana" w:cs="Arial"/>
                <w:lang w:val="es-ES"/>
              </w:rPr>
              <w:footnoteReference w:id="1"/>
            </w:r>
            <w:r>
              <w:rPr>
                <w:rFonts w:ascii="Verdana" w:eastAsia="Calibri" w:hAnsi="Verdana" w:cs="Arial"/>
                <w:lang w:val="es-ES"/>
              </w:rPr>
              <w:t xml:space="preserve">” </w:t>
            </w:r>
            <w:r>
              <w:rPr>
                <w:rFonts w:ascii="Verdana" w:eastAsia="Calibri" w:hAnsi="Verdana" w:cs="Arial"/>
              </w:rPr>
              <w:t>e</w:t>
            </w:r>
            <w:r w:rsidRPr="006F3792">
              <w:rPr>
                <w:rFonts w:ascii="Verdana" w:eastAsia="Calibri" w:hAnsi="Verdana" w:cs="Arial"/>
              </w:rPr>
              <w:t xml:space="preserve">s importante que previamente el </w:t>
            </w:r>
            <w:r>
              <w:rPr>
                <w:rFonts w:ascii="Verdana" w:eastAsia="Calibri" w:hAnsi="Verdana" w:cs="Arial"/>
              </w:rPr>
              <w:t>u</w:t>
            </w:r>
            <w:r w:rsidRPr="006F3792">
              <w:rPr>
                <w:rFonts w:ascii="Verdana" w:eastAsia="Calibri" w:hAnsi="Verdana" w:cs="Arial"/>
              </w:rPr>
              <w:t xml:space="preserve">suario </w:t>
            </w:r>
            <w:r>
              <w:rPr>
                <w:rFonts w:ascii="Verdana" w:eastAsia="Calibri" w:hAnsi="Verdana" w:cs="Arial"/>
              </w:rPr>
              <w:t>a</w:t>
            </w:r>
            <w:r w:rsidRPr="006F3792">
              <w:rPr>
                <w:rFonts w:ascii="Verdana" w:eastAsia="Calibri" w:hAnsi="Verdana" w:cs="Arial"/>
              </w:rPr>
              <w:t xml:space="preserve">dministrador </w:t>
            </w:r>
            <w:r>
              <w:rPr>
                <w:rFonts w:ascii="Verdana" w:eastAsia="Calibri" w:hAnsi="Verdana" w:cs="Arial"/>
              </w:rPr>
              <w:t xml:space="preserve">de la Entidad Estatal </w:t>
            </w:r>
            <w:r w:rsidRPr="006F3792">
              <w:rPr>
                <w:rFonts w:ascii="Verdana" w:eastAsia="Calibri" w:hAnsi="Verdana" w:cs="Arial"/>
              </w:rPr>
              <w:t xml:space="preserve">haya configurado </w:t>
            </w:r>
            <w:r>
              <w:rPr>
                <w:rFonts w:ascii="Verdana" w:eastAsia="Calibri" w:hAnsi="Verdana" w:cs="Arial"/>
              </w:rPr>
              <w:t>fl</w:t>
            </w:r>
            <w:r w:rsidRPr="006F3792">
              <w:rPr>
                <w:rFonts w:ascii="Verdana" w:eastAsia="Calibri" w:hAnsi="Verdana" w:cs="Arial"/>
              </w:rPr>
              <w:t xml:space="preserve">ujos de </w:t>
            </w:r>
            <w:r>
              <w:rPr>
                <w:rFonts w:ascii="Verdana" w:eastAsia="Calibri" w:hAnsi="Verdana" w:cs="Arial"/>
              </w:rPr>
              <w:t>a</w:t>
            </w:r>
            <w:r w:rsidRPr="006F3792">
              <w:rPr>
                <w:rFonts w:ascii="Verdana" w:eastAsia="Calibri" w:hAnsi="Verdana" w:cs="Arial"/>
              </w:rPr>
              <w:t xml:space="preserve">probación en este hito del proceso con el fin de que el contrato electrónico sea enviado al </w:t>
            </w:r>
            <w:r>
              <w:rPr>
                <w:rFonts w:ascii="Verdana" w:eastAsia="Calibri" w:hAnsi="Verdana" w:cs="Arial"/>
              </w:rPr>
              <w:t>o</w:t>
            </w:r>
            <w:r w:rsidRPr="006F3792">
              <w:rPr>
                <w:rFonts w:ascii="Verdana" w:eastAsia="Calibri" w:hAnsi="Verdana" w:cs="Arial"/>
              </w:rPr>
              <w:t xml:space="preserve">rdenador del </w:t>
            </w:r>
            <w:r>
              <w:rPr>
                <w:rFonts w:ascii="Verdana" w:eastAsia="Calibri" w:hAnsi="Verdana" w:cs="Arial"/>
              </w:rPr>
              <w:t>g</w:t>
            </w:r>
            <w:r w:rsidRPr="006F3792">
              <w:rPr>
                <w:rFonts w:ascii="Verdana" w:eastAsia="Calibri" w:hAnsi="Verdana" w:cs="Arial"/>
              </w:rPr>
              <w:t xml:space="preserve">asto </w:t>
            </w:r>
            <w:r>
              <w:rPr>
                <w:rFonts w:ascii="Verdana" w:eastAsia="Calibri" w:hAnsi="Verdana" w:cs="Arial"/>
              </w:rPr>
              <w:t>r</w:t>
            </w:r>
            <w:r w:rsidRPr="006F3792">
              <w:rPr>
                <w:rFonts w:ascii="Verdana" w:eastAsia="Calibri" w:hAnsi="Verdana" w:cs="Arial"/>
              </w:rPr>
              <w:t xml:space="preserve">epresentante </w:t>
            </w:r>
            <w:r>
              <w:rPr>
                <w:rFonts w:ascii="Verdana" w:eastAsia="Calibri" w:hAnsi="Verdana" w:cs="Arial"/>
              </w:rPr>
              <w:t>l</w:t>
            </w:r>
            <w:r w:rsidRPr="006F3792">
              <w:rPr>
                <w:rFonts w:ascii="Verdana" w:eastAsia="Calibri" w:hAnsi="Verdana" w:cs="Arial"/>
              </w:rPr>
              <w:t>egal de la entidad para su aprobación final.</w:t>
            </w:r>
            <w:r>
              <w:rPr>
                <w:rFonts w:ascii="Verdana" w:eastAsia="Calibri" w:hAnsi="Verdana" w:cs="Arial"/>
                <w:lang w:val="es-ES"/>
              </w:rPr>
              <w:t xml:space="preserve"> </w:t>
            </w:r>
            <w:r w:rsidRPr="00421E16">
              <w:rPr>
                <w:rFonts w:ascii="Verdana" w:eastAsia="Calibri" w:hAnsi="Verdana" w:cs="Arial"/>
              </w:rPr>
              <w:t xml:space="preserve">Una vez el </w:t>
            </w:r>
            <w:r>
              <w:rPr>
                <w:rFonts w:ascii="Verdana" w:eastAsia="Calibri" w:hAnsi="Verdana" w:cs="Arial"/>
              </w:rPr>
              <w:t>o</w:t>
            </w:r>
            <w:r w:rsidRPr="00421E16">
              <w:rPr>
                <w:rFonts w:ascii="Verdana" w:eastAsia="Calibri" w:hAnsi="Verdana" w:cs="Arial"/>
              </w:rPr>
              <w:t xml:space="preserve">rdenador del </w:t>
            </w:r>
            <w:r>
              <w:rPr>
                <w:rFonts w:ascii="Verdana" w:eastAsia="Calibri" w:hAnsi="Verdana" w:cs="Arial"/>
              </w:rPr>
              <w:t>g</w:t>
            </w:r>
            <w:r w:rsidRPr="00421E16">
              <w:rPr>
                <w:rFonts w:ascii="Verdana" w:eastAsia="Calibri" w:hAnsi="Verdana" w:cs="Arial"/>
              </w:rPr>
              <w:t>asto de la entidad realice la aprobación el estado del contrato cambia a “Firmado” y quedará público para consulta de cualquier interesado.</w:t>
            </w:r>
          </w:p>
          <w:p w14:paraId="4E48B88E" w14:textId="77777777" w:rsidR="00D241FB" w:rsidRPr="0009030A" w:rsidRDefault="00D241FB" w:rsidP="00C659C5">
            <w:pPr>
              <w:spacing w:after="120" w:line="276" w:lineRule="auto"/>
              <w:ind w:firstLine="709"/>
              <w:jc w:val="both"/>
              <w:rPr>
                <w:rFonts w:ascii="Verdana" w:eastAsia="Calibri" w:hAnsi="Verdana" w:cs="Arial"/>
                <w:lang w:val="es-ES"/>
              </w:rPr>
            </w:pPr>
            <w:r>
              <w:rPr>
                <w:rFonts w:ascii="Verdana" w:eastAsia="Calibri" w:hAnsi="Verdana" w:cs="Arial"/>
                <w:lang w:val="es-ES"/>
              </w:rPr>
              <w:t>Así las cosas, cuando el proceso de contratación se adelanta por el SECOP II la aprobación del contrato para su perfeccionamiento y posterior ejecución deberá efectuarse en dicha plataforma de conformidad con el procedimiento descrito. En todo caso, hasta que no se efectué la aprobación en el SECOP II por parte del ordenador del gasto de la Entidad no se entiende perfeccionado el contrato.</w:t>
            </w:r>
          </w:p>
          <w:p w14:paraId="56DD0291" w14:textId="77777777" w:rsidR="00D241FB" w:rsidRDefault="00D241FB" w:rsidP="00C659C5">
            <w:pPr>
              <w:spacing w:after="120" w:line="276" w:lineRule="auto"/>
              <w:ind w:firstLine="567"/>
              <w:jc w:val="both"/>
              <w:rPr>
                <w:rFonts w:ascii="Verdana" w:eastAsia="Calibri" w:hAnsi="Verdana" w:cs="Arial"/>
                <w:lang w:val="es-ES"/>
              </w:rPr>
            </w:pPr>
            <w:r w:rsidRPr="00D16B34">
              <w:rPr>
                <w:rFonts w:ascii="Verdana" w:eastAsia="Calibri" w:hAnsi="Verdana" w:cs="Arial"/>
                <w:lang w:val="es-ES"/>
              </w:rPr>
              <w:t xml:space="preserve">Bajo este contexto, </w:t>
            </w:r>
            <w:r>
              <w:rPr>
                <w:rFonts w:ascii="Verdana" w:eastAsia="Calibri" w:hAnsi="Verdana" w:cs="Arial"/>
                <w:lang w:val="es-ES"/>
              </w:rPr>
              <w:t xml:space="preserve">en atención a la consulta planteada, es pertinente señalar que debido a </w:t>
            </w:r>
            <w:r w:rsidRPr="00D16B34">
              <w:rPr>
                <w:rFonts w:ascii="Verdana" w:eastAsia="Calibri" w:hAnsi="Verdana" w:cs="Arial"/>
                <w:lang w:val="es-ES"/>
              </w:rPr>
              <w:t xml:space="preserve">que el concepto “celebrar” para efectos de las restricciones a la contratación previstas </w:t>
            </w:r>
            <w:r>
              <w:rPr>
                <w:rFonts w:ascii="Verdana" w:eastAsia="Calibri" w:hAnsi="Verdana" w:cs="Arial"/>
                <w:lang w:val="es-ES"/>
              </w:rPr>
              <w:t xml:space="preserve">en </w:t>
            </w:r>
            <w:r w:rsidRPr="00D16B34">
              <w:rPr>
                <w:rFonts w:ascii="Verdana" w:eastAsia="Calibri" w:hAnsi="Verdana" w:cs="Arial"/>
                <w:lang w:val="es-ES"/>
              </w:rPr>
              <w:t xml:space="preserve">la Ley de Garantías Electorales se asocia al momento del perfeccionamiento del contrato estatal, </w:t>
            </w:r>
            <w:r>
              <w:rPr>
                <w:rFonts w:ascii="Verdana" w:eastAsia="Calibri" w:hAnsi="Verdana" w:cs="Arial"/>
                <w:lang w:val="es-ES"/>
              </w:rPr>
              <w:t xml:space="preserve">es necesario tener en cuenta dicho </w:t>
            </w:r>
            <w:r w:rsidRPr="00D16B34">
              <w:rPr>
                <w:rFonts w:ascii="Verdana" w:eastAsia="Calibri" w:hAnsi="Verdana" w:cs="Arial"/>
                <w:lang w:val="es-ES"/>
              </w:rPr>
              <w:t xml:space="preserve">hito en los procesos adelantados a través de la plataforma SECOP II. </w:t>
            </w:r>
            <w:r>
              <w:rPr>
                <w:rFonts w:ascii="Verdana" w:eastAsia="Calibri" w:hAnsi="Verdana" w:cs="Arial"/>
                <w:lang w:val="es-ES"/>
              </w:rPr>
              <w:t>De esta forma, como se indicó, al tratarse de un</w:t>
            </w:r>
            <w:r w:rsidRPr="00D16B34">
              <w:rPr>
                <w:rFonts w:ascii="Verdana" w:eastAsia="Calibri" w:hAnsi="Verdana" w:cs="Arial"/>
                <w:lang w:val="es-ES"/>
              </w:rPr>
              <w:t xml:space="preserve"> sistema transaccional, el contrato se entiende celebrado una vez se ha surtido la </w:t>
            </w:r>
            <w:r>
              <w:rPr>
                <w:rFonts w:ascii="Verdana" w:eastAsia="Calibri" w:hAnsi="Verdana" w:cs="Arial"/>
                <w:lang w:val="es-ES"/>
              </w:rPr>
              <w:t xml:space="preserve">aprobación </w:t>
            </w:r>
            <w:r w:rsidRPr="00D16B34">
              <w:rPr>
                <w:rFonts w:ascii="Verdana" w:eastAsia="Calibri" w:hAnsi="Verdana" w:cs="Arial"/>
                <w:lang w:val="es-ES"/>
              </w:rPr>
              <w:t>y publicación por parte de la entidad estatal, momento en el cual la plataforma registra el estado de “firmado”, dejando constancia de la concurrencia de voluntades y del cumplimiento de</w:t>
            </w:r>
            <w:r>
              <w:rPr>
                <w:rFonts w:ascii="Verdana" w:eastAsia="Calibri" w:hAnsi="Verdana" w:cs="Arial"/>
                <w:lang w:val="es-ES"/>
              </w:rPr>
              <w:t>l</w:t>
            </w:r>
            <w:r w:rsidRPr="00D16B34">
              <w:rPr>
                <w:rFonts w:ascii="Verdana" w:eastAsia="Calibri" w:hAnsi="Verdana" w:cs="Arial"/>
                <w:lang w:val="es-ES"/>
              </w:rPr>
              <w:t xml:space="preserve"> requisito </w:t>
            </w:r>
            <w:r>
              <w:rPr>
                <w:rFonts w:ascii="Verdana" w:eastAsia="Calibri" w:hAnsi="Verdana" w:cs="Arial"/>
                <w:lang w:val="es-ES"/>
              </w:rPr>
              <w:t>de perfeccionamiento</w:t>
            </w:r>
            <w:r w:rsidRPr="00D16B34">
              <w:rPr>
                <w:rFonts w:ascii="Verdana" w:eastAsia="Calibri" w:hAnsi="Verdana" w:cs="Arial"/>
                <w:lang w:val="es-ES"/>
              </w:rPr>
              <w:t>.</w:t>
            </w:r>
          </w:p>
          <w:p w14:paraId="77B84C7D" w14:textId="77777777" w:rsidR="00D241FB" w:rsidRDefault="00D241FB" w:rsidP="00C659C5">
            <w:pPr>
              <w:spacing w:after="120" w:line="276" w:lineRule="auto"/>
              <w:ind w:firstLine="567"/>
              <w:jc w:val="both"/>
              <w:rPr>
                <w:rFonts w:ascii="Verdana" w:eastAsia="Calibri" w:hAnsi="Verdana" w:cs="Arial"/>
              </w:rPr>
            </w:pPr>
            <w:r w:rsidRPr="00467A2E">
              <w:rPr>
                <w:rFonts w:ascii="Verdana" w:eastAsia="Calibri" w:hAnsi="Verdana" w:cs="Arial"/>
              </w:rPr>
              <w:t xml:space="preserve">En este orden de ideas, dentro del flujo de aprobación </w:t>
            </w:r>
            <w:r>
              <w:rPr>
                <w:rFonts w:ascii="Verdana" w:eastAsia="Calibri" w:hAnsi="Verdana" w:cs="Arial"/>
              </w:rPr>
              <w:t>que la entidad haya configurado en el</w:t>
            </w:r>
            <w:r w:rsidRPr="00467A2E">
              <w:rPr>
                <w:rFonts w:ascii="Verdana" w:eastAsia="Calibri" w:hAnsi="Verdana" w:cs="Arial"/>
              </w:rPr>
              <w:t xml:space="preserve"> SECOP II, el momento en que el ordenador del gasto emite su aprobación final constituye el hito en el cual se consolida efectivamente la concurrencia de voluntades y el acuerdo contractual. Ello obedece a que, de manera previa, el proveedor ya ha otorgado su aprobación </w:t>
            </w:r>
            <w:r>
              <w:rPr>
                <w:rFonts w:ascii="Verdana" w:eastAsia="Calibri" w:hAnsi="Verdana" w:cs="Arial"/>
              </w:rPr>
              <w:t xml:space="preserve">al </w:t>
            </w:r>
            <w:r w:rsidRPr="00467A2E">
              <w:rPr>
                <w:rFonts w:ascii="Verdana" w:eastAsia="Calibri" w:hAnsi="Verdana" w:cs="Arial"/>
              </w:rPr>
              <w:t>contrato, manifestando su aceptación integral de las condiciones pactadas. Así, con la aprobación posterior del ordenador del gasto se perfecciona el consentimiento recíproco sobre el objeto y la contraprestación</w:t>
            </w:r>
            <w:r>
              <w:rPr>
                <w:rFonts w:ascii="Verdana" w:eastAsia="Calibri" w:hAnsi="Verdana" w:cs="Arial"/>
              </w:rPr>
              <w:t xml:space="preserve"> y</w:t>
            </w:r>
            <w:r w:rsidRPr="00467A2E">
              <w:rPr>
                <w:rFonts w:ascii="Verdana" w:eastAsia="Calibri" w:hAnsi="Verdana" w:cs="Arial"/>
              </w:rPr>
              <w:t xml:space="preserve"> queda formalmente estructurado el acuerdo.</w:t>
            </w:r>
          </w:p>
          <w:p w14:paraId="745B531D" w14:textId="77777777" w:rsidR="00D241FB" w:rsidRPr="00F06BC6" w:rsidRDefault="00D241FB" w:rsidP="00C659C5">
            <w:pPr>
              <w:spacing w:after="120" w:line="276" w:lineRule="auto"/>
              <w:ind w:firstLine="567"/>
              <w:jc w:val="both"/>
              <w:rPr>
                <w:rFonts w:ascii="Verdana" w:eastAsia="Calibri" w:hAnsi="Verdana" w:cs="Arial"/>
              </w:rPr>
            </w:pPr>
            <w:r>
              <w:rPr>
                <w:rFonts w:ascii="Verdana" w:eastAsia="Calibri" w:hAnsi="Verdana" w:cs="Arial"/>
                <w:lang w:val="es-ES"/>
              </w:rPr>
              <w:lastRenderedPageBreak/>
              <w:t>Así las cosas, t</w:t>
            </w:r>
            <w:r w:rsidRPr="00D16B34">
              <w:rPr>
                <w:rFonts w:ascii="Verdana" w:eastAsia="Calibri" w:hAnsi="Verdana" w:cs="Arial"/>
                <w:lang w:val="es-ES"/>
              </w:rPr>
              <w:t>ratándose de procesos gestionados en SECOP II, las actuaciones necesarias para que el contrato adquiera el estado de “firmado” deben realizarse antes de la entrada en vigencia de las restricciones previstas en la Ley de Garantías</w:t>
            </w:r>
            <w:r>
              <w:rPr>
                <w:rFonts w:ascii="Verdana" w:eastAsia="Calibri" w:hAnsi="Verdana" w:cs="Arial"/>
                <w:lang w:val="es-ES"/>
              </w:rPr>
              <w:t xml:space="preserve"> Electorales</w:t>
            </w:r>
            <w:r w:rsidRPr="00D16B34">
              <w:rPr>
                <w:rFonts w:ascii="Verdana" w:eastAsia="Calibri" w:hAnsi="Verdana" w:cs="Arial"/>
                <w:lang w:val="es-ES"/>
              </w:rPr>
              <w:t>. De lo contrario, si el perfeccionamiento</w:t>
            </w:r>
            <w:r>
              <w:rPr>
                <w:rFonts w:ascii="Verdana" w:eastAsia="Calibri" w:hAnsi="Verdana" w:cs="Arial"/>
                <w:lang w:val="es-ES"/>
              </w:rPr>
              <w:t>, es decir, si la aprobación final por parte del ordenador del gasto y su registro como estado “firmado” en la plataforma</w:t>
            </w:r>
            <w:r w:rsidRPr="00D16B34">
              <w:rPr>
                <w:rFonts w:ascii="Verdana" w:eastAsia="Calibri" w:hAnsi="Verdana" w:cs="Arial"/>
                <w:lang w:val="es-ES"/>
              </w:rPr>
              <w:t xml:space="preserve"> se produce cuando ya se encuentra vigente la prohibición establecida en el artículo 33</w:t>
            </w:r>
            <w:r>
              <w:rPr>
                <w:rFonts w:ascii="Verdana" w:eastAsia="Calibri" w:hAnsi="Verdana" w:cs="Arial"/>
                <w:lang w:val="es-ES"/>
              </w:rPr>
              <w:t xml:space="preserve"> ibidem</w:t>
            </w:r>
            <w:r w:rsidRPr="00D16B34">
              <w:rPr>
                <w:rFonts w:ascii="Verdana" w:eastAsia="Calibri" w:hAnsi="Verdana" w:cs="Arial"/>
                <w:lang w:val="es-ES"/>
              </w:rPr>
              <w:t xml:space="preserve">, </w:t>
            </w:r>
            <w:r>
              <w:rPr>
                <w:rFonts w:ascii="Verdana" w:eastAsia="Calibri" w:hAnsi="Verdana" w:cs="Arial"/>
                <w:lang w:val="es-ES"/>
              </w:rPr>
              <w:t xml:space="preserve">se entiende </w:t>
            </w:r>
            <w:r w:rsidRPr="00D16B34">
              <w:rPr>
                <w:rFonts w:ascii="Verdana" w:eastAsia="Calibri" w:hAnsi="Verdana" w:cs="Arial"/>
                <w:lang w:val="es-ES"/>
              </w:rPr>
              <w:t>que el contrato fue celebrado en vigencia de dicha restricción, con las consecuencias jurídicas a que haya lugar, sin que resulte suficiente que etapas previas del proceso se hubieren adelantado con anterioridad.</w:t>
            </w:r>
          </w:p>
          <w:p w14:paraId="6E907B8A" w14:textId="77777777" w:rsidR="00D241FB" w:rsidRDefault="00D241FB" w:rsidP="00C659C5">
            <w:pPr>
              <w:spacing w:after="120" w:line="276" w:lineRule="auto"/>
              <w:jc w:val="both"/>
              <w:rPr>
                <w:rFonts w:ascii="Verdana" w:eastAsia="Calibri" w:hAnsi="Verdana" w:cs="Arial"/>
              </w:rPr>
            </w:pPr>
            <w:r>
              <w:rPr>
                <w:rFonts w:ascii="Verdana" w:eastAsia="Times New Roman" w:hAnsi="Verdana" w:cs="Arial"/>
                <w:bCs/>
                <w:lang w:val="es-ES" w:eastAsia="es-CO"/>
              </w:rPr>
              <w:t xml:space="preserve">ii. Cuando el perfeccionamiento del contrato en la plataforma del SECOP II ocurre en vigencia de las restricciones establecidas en la Ley de Garantías Electorales, la entidad deberá revisar la validez del contrato y analizar una posible configuración de nulidad a la luz de lo dispuesto en el artículo 44 de la Ley 80 de 1993. Sobre el régimen de nulidad, la norma en cita </w:t>
            </w:r>
            <w:r w:rsidRPr="008D2665">
              <w:rPr>
                <w:rFonts w:ascii="Verdana" w:eastAsia="Calibri" w:hAnsi="Verdana" w:cs="Arial"/>
              </w:rPr>
              <w:t xml:space="preserve">señala como causales de nulidad del contrato estatal, las siguientes: </w:t>
            </w:r>
            <w:r>
              <w:rPr>
                <w:rFonts w:ascii="Verdana" w:eastAsia="Calibri" w:hAnsi="Verdana" w:cs="Arial"/>
              </w:rPr>
              <w:t>1.</w:t>
            </w:r>
            <w:r w:rsidRPr="008D2665">
              <w:rPr>
                <w:rFonts w:ascii="Verdana" w:eastAsia="Calibri" w:hAnsi="Verdana" w:cs="Arial"/>
              </w:rPr>
              <w:t xml:space="preserve"> </w:t>
            </w:r>
            <w:r>
              <w:rPr>
                <w:rFonts w:ascii="Verdana" w:eastAsia="Calibri" w:hAnsi="Verdana" w:cs="Arial"/>
              </w:rPr>
              <w:t>Q</w:t>
            </w:r>
            <w:r w:rsidRPr="008D2665">
              <w:rPr>
                <w:rFonts w:ascii="Verdana" w:eastAsia="Calibri" w:hAnsi="Verdana" w:cs="Arial"/>
              </w:rPr>
              <w:t>ue el contrato se celebre con personas incursas en causales de inhabilidad o incompatibilidad previstas en la Constitución y la ley</w:t>
            </w:r>
            <w:r>
              <w:rPr>
                <w:rFonts w:ascii="Verdana" w:eastAsia="Calibri" w:hAnsi="Verdana" w:cs="Arial"/>
              </w:rPr>
              <w:t>.</w:t>
            </w:r>
            <w:r w:rsidRPr="008D2665">
              <w:rPr>
                <w:rFonts w:ascii="Verdana" w:eastAsia="Calibri" w:hAnsi="Verdana" w:cs="Arial"/>
              </w:rPr>
              <w:t xml:space="preserve"> </w:t>
            </w:r>
            <w:r>
              <w:rPr>
                <w:rFonts w:ascii="Verdana" w:eastAsia="Calibri" w:hAnsi="Verdana" w:cs="Arial"/>
              </w:rPr>
              <w:t>2. Que</w:t>
            </w:r>
            <w:r w:rsidRPr="008D2665">
              <w:rPr>
                <w:rFonts w:ascii="Verdana" w:eastAsia="Calibri" w:hAnsi="Verdana" w:cs="Arial"/>
              </w:rPr>
              <w:t xml:space="preserve"> se celebre contra expresa prohibición constitucional o legal</w:t>
            </w:r>
            <w:r>
              <w:rPr>
                <w:rFonts w:ascii="Verdana" w:eastAsia="Calibri" w:hAnsi="Verdana" w:cs="Arial"/>
              </w:rPr>
              <w:t>.</w:t>
            </w:r>
            <w:r w:rsidRPr="008D2665">
              <w:rPr>
                <w:rFonts w:ascii="Verdana" w:eastAsia="Calibri" w:hAnsi="Verdana" w:cs="Arial"/>
              </w:rPr>
              <w:t xml:space="preserve"> </w:t>
            </w:r>
            <w:r>
              <w:rPr>
                <w:rFonts w:ascii="Verdana" w:eastAsia="Calibri" w:hAnsi="Verdana" w:cs="Arial"/>
              </w:rPr>
              <w:t>3.</w:t>
            </w:r>
            <w:r w:rsidRPr="008D2665">
              <w:rPr>
                <w:rFonts w:ascii="Verdana" w:eastAsia="Calibri" w:hAnsi="Verdana" w:cs="Arial"/>
              </w:rPr>
              <w:t xml:space="preserve"> </w:t>
            </w:r>
            <w:r>
              <w:rPr>
                <w:rFonts w:ascii="Verdana" w:eastAsia="Calibri" w:hAnsi="Verdana" w:cs="Arial"/>
              </w:rPr>
              <w:t xml:space="preserve">Que </w:t>
            </w:r>
            <w:r w:rsidRPr="008D2665">
              <w:rPr>
                <w:rFonts w:ascii="Verdana" w:eastAsia="Calibri" w:hAnsi="Verdana" w:cs="Arial"/>
              </w:rPr>
              <w:t>se celebre con abuso o desviación de poder</w:t>
            </w:r>
            <w:r>
              <w:rPr>
                <w:rFonts w:ascii="Verdana" w:eastAsia="Calibri" w:hAnsi="Verdana" w:cs="Arial"/>
              </w:rPr>
              <w:t>. 4.</w:t>
            </w:r>
            <w:r w:rsidRPr="008D2665">
              <w:rPr>
                <w:rFonts w:ascii="Verdana" w:eastAsia="Calibri" w:hAnsi="Verdana" w:cs="Arial"/>
              </w:rPr>
              <w:t xml:space="preserve"> </w:t>
            </w:r>
            <w:r>
              <w:rPr>
                <w:rFonts w:ascii="Verdana" w:eastAsia="Calibri" w:hAnsi="Verdana" w:cs="Arial"/>
              </w:rPr>
              <w:t xml:space="preserve">Que </w:t>
            </w:r>
            <w:r w:rsidRPr="008D2665">
              <w:rPr>
                <w:rFonts w:ascii="Verdana" w:eastAsia="Calibri" w:hAnsi="Verdana" w:cs="Arial"/>
              </w:rPr>
              <w:t>se declaren nulos los actos administrativos en que se fundamenten</w:t>
            </w:r>
            <w:r>
              <w:rPr>
                <w:rFonts w:ascii="Verdana" w:eastAsia="Calibri" w:hAnsi="Verdana" w:cs="Arial"/>
              </w:rPr>
              <w:t>.</w:t>
            </w:r>
            <w:r w:rsidRPr="008D2665">
              <w:rPr>
                <w:rFonts w:ascii="Verdana" w:eastAsia="Calibri" w:hAnsi="Verdana" w:cs="Arial"/>
              </w:rPr>
              <w:t xml:space="preserve"> </w:t>
            </w:r>
            <w:r>
              <w:rPr>
                <w:rFonts w:ascii="Verdana" w:eastAsia="Calibri" w:hAnsi="Verdana" w:cs="Arial"/>
              </w:rPr>
              <w:t>5. Que</w:t>
            </w:r>
            <w:r w:rsidRPr="008D2665">
              <w:rPr>
                <w:rFonts w:ascii="Verdana" w:eastAsia="Calibri" w:hAnsi="Verdana" w:cs="Arial"/>
              </w:rPr>
              <w:t xml:space="preserve"> se hubieren celebrado con desconocimiento de los criterios previstos para el tratamiento de ofertas nacionales y extranjeras o con violación de la reciprocidad</w:t>
            </w:r>
            <w:r>
              <w:rPr>
                <w:rFonts w:ascii="Verdana" w:eastAsia="Calibri" w:hAnsi="Verdana" w:cs="Arial"/>
              </w:rPr>
              <w:t>.</w:t>
            </w:r>
          </w:p>
          <w:p w14:paraId="37E04EA6" w14:textId="77777777" w:rsidR="00D241FB" w:rsidRDefault="00D241FB" w:rsidP="00C659C5">
            <w:pPr>
              <w:spacing w:after="120" w:line="276" w:lineRule="auto"/>
              <w:ind w:firstLine="743"/>
              <w:jc w:val="both"/>
              <w:rPr>
                <w:rFonts w:ascii="Verdana" w:eastAsia="Calibri" w:hAnsi="Verdana" w:cs="Arial"/>
              </w:rPr>
            </w:pPr>
            <w:r>
              <w:rPr>
                <w:rFonts w:ascii="Verdana" w:eastAsia="Calibri" w:hAnsi="Verdana" w:cs="Arial"/>
                <w:bCs/>
              </w:rPr>
              <w:t xml:space="preserve">En concordancia con lo anterior, el artículo 45 de la Ley 80 de 1993 </w:t>
            </w:r>
            <w:r w:rsidRPr="00D53326">
              <w:rPr>
                <w:rFonts w:ascii="Verdana" w:eastAsia="Calibri" w:hAnsi="Verdana" w:cs="Arial"/>
                <w:bCs/>
              </w:rPr>
              <w:t>establece que la nulidad absoluta del contrato podrá alegarse por las partes, por el agente del ministerio público, por cualquier persona o declarada de oficio, y no siendo susceptible de saneamiento por ratificación. Además, de acuerdo con el inciso segundo, cuando se presente alguna las hipótesis señaladas en los numerales 1, 2 y 4 del artículo 44 de la Ley 80 de 1993, la entidad debe terminar el contrato mediante acto administrativo y ordenar su liquidación en el estado en que se encuentre. Estas situaciones se refieren a los casos en que</w:t>
            </w:r>
            <w:r w:rsidRPr="00D53326">
              <w:rPr>
                <w:rFonts w:ascii="Verdana" w:eastAsia="Calibri" w:hAnsi="Verdana" w:cs="Arial"/>
              </w:rPr>
              <w:t xml:space="preserve"> el contrato se celebre con personas incursas en causales de inhabilidad o incompatibilidad previstas en la Constitución y la ley, que se celebre contra expresa prohibición constitucional o legal, o que se declaren nulos los actos administrativos en que se fundamenten. </w:t>
            </w:r>
          </w:p>
          <w:p w14:paraId="33361757" w14:textId="77777777" w:rsidR="00D241FB" w:rsidRDefault="00D241FB" w:rsidP="00C659C5">
            <w:pPr>
              <w:spacing w:after="120" w:line="276" w:lineRule="auto"/>
              <w:ind w:firstLine="743"/>
              <w:jc w:val="both"/>
              <w:rPr>
                <w:rFonts w:ascii="Verdana" w:eastAsia="Calibri" w:hAnsi="Verdana" w:cs="Arial"/>
              </w:rPr>
            </w:pPr>
            <w:r w:rsidRPr="00D53326">
              <w:rPr>
                <w:rFonts w:ascii="Verdana" w:eastAsia="Calibri" w:hAnsi="Verdana" w:cs="Arial"/>
              </w:rPr>
              <w:lastRenderedPageBreak/>
              <w:t xml:space="preserve">En este sentido, para que proceda la terminación del contrato y su correspondiente liquidación en los términos de la norma citada, resulta indispensable que la entidad verifique que la situación que genera la nulidad se enmarque en alguna de las causales allí señaladas. Particularmente, frente a la circunstancia analizadas es posible que se pueda generar la nulidad </w:t>
            </w:r>
            <w:r>
              <w:rPr>
                <w:rFonts w:ascii="Verdana" w:eastAsia="Calibri" w:hAnsi="Verdana" w:cs="Arial"/>
              </w:rPr>
              <w:t xml:space="preserve">absoluta </w:t>
            </w:r>
            <w:r w:rsidRPr="00D53326">
              <w:rPr>
                <w:rFonts w:ascii="Verdana" w:eastAsia="Calibri" w:hAnsi="Verdana" w:cs="Arial"/>
              </w:rPr>
              <w:t>del contrato por</w:t>
            </w:r>
            <w:r>
              <w:rPr>
                <w:rFonts w:ascii="Verdana" w:eastAsia="Calibri" w:hAnsi="Verdana" w:cs="Arial"/>
              </w:rPr>
              <w:t xml:space="preserve"> la causal de</w:t>
            </w:r>
            <w:r w:rsidRPr="00D53326">
              <w:rPr>
                <w:rFonts w:ascii="Verdana" w:eastAsia="Calibri" w:hAnsi="Verdana" w:cs="Arial"/>
              </w:rPr>
              <w:t xml:space="preserve"> celebración contra expresa prohibición constitucional o legal, por v</w:t>
            </w:r>
            <w:r>
              <w:rPr>
                <w:rFonts w:ascii="Verdana" w:eastAsia="Calibri" w:hAnsi="Verdana" w:cs="Arial"/>
              </w:rPr>
              <w:t xml:space="preserve">ulnerar </w:t>
            </w:r>
            <w:r w:rsidRPr="00D53326">
              <w:rPr>
                <w:rFonts w:ascii="Verdana" w:eastAsia="Calibri" w:hAnsi="Verdana" w:cs="Arial"/>
              </w:rPr>
              <w:t xml:space="preserve">las restricciones establecidas en los artículos 33 y 38 de la Ley de Garantías Electorales. </w:t>
            </w:r>
          </w:p>
          <w:p w14:paraId="3D2A20B3" w14:textId="77777777" w:rsidR="00D241FB" w:rsidRPr="007B2BC2" w:rsidRDefault="00D241FB" w:rsidP="00C659C5">
            <w:pPr>
              <w:spacing w:after="120" w:line="276" w:lineRule="auto"/>
              <w:ind w:firstLine="567"/>
              <w:jc w:val="both"/>
              <w:rPr>
                <w:rFonts w:ascii="Verdana" w:eastAsia="Times New Roman" w:hAnsi="Verdana" w:cs="Arial"/>
                <w:bCs/>
                <w:lang w:val="es-ES" w:eastAsia="es-CO"/>
              </w:rPr>
            </w:pPr>
            <w:r>
              <w:rPr>
                <w:rFonts w:ascii="Verdana" w:eastAsia="Times New Roman" w:hAnsi="Verdana" w:cs="Arial"/>
                <w:bCs/>
                <w:lang w:val="es-ES" w:eastAsia="es-CO"/>
              </w:rPr>
              <w:t>Así las cosas, se concluye qu</w:t>
            </w:r>
            <w:r w:rsidRPr="007B2BC2">
              <w:rPr>
                <w:rFonts w:ascii="Verdana" w:eastAsia="Times New Roman" w:hAnsi="Verdana" w:cs="Arial"/>
                <w:bCs/>
                <w:lang w:val="es-ES" w:eastAsia="es-CO"/>
              </w:rPr>
              <w:t>e aquellos contratos cuyo perfeccionamiento en la plataforma SECOP II</w:t>
            </w:r>
            <w:r>
              <w:rPr>
                <w:rFonts w:ascii="Verdana" w:eastAsia="Times New Roman" w:hAnsi="Verdana" w:cs="Arial"/>
                <w:bCs/>
                <w:lang w:val="es-ES" w:eastAsia="es-CO"/>
              </w:rPr>
              <w:t xml:space="preserve"> -</w:t>
            </w:r>
            <w:r w:rsidRPr="007B2BC2">
              <w:rPr>
                <w:rFonts w:ascii="Verdana" w:eastAsia="Times New Roman" w:hAnsi="Verdana" w:cs="Arial"/>
                <w:bCs/>
                <w:lang w:val="es-ES" w:eastAsia="es-CO"/>
              </w:rPr>
              <w:t>entendido como el momento en que se surte la aprobación final por parte del ordenador del gasto y se publica el contrato en estado “Firmado”</w:t>
            </w:r>
            <w:r>
              <w:rPr>
                <w:rFonts w:ascii="Verdana" w:eastAsia="Times New Roman" w:hAnsi="Verdana" w:cs="Arial"/>
                <w:bCs/>
                <w:lang w:val="es-ES" w:eastAsia="es-CO"/>
              </w:rPr>
              <w:t>-,</w:t>
            </w:r>
            <w:r w:rsidRPr="007B2BC2">
              <w:rPr>
                <w:rFonts w:ascii="Verdana" w:eastAsia="Times New Roman" w:hAnsi="Verdana" w:cs="Arial"/>
                <w:bCs/>
                <w:lang w:val="es-ES" w:eastAsia="es-CO"/>
              </w:rPr>
              <w:t xml:space="preserve"> </w:t>
            </w:r>
            <w:r>
              <w:rPr>
                <w:rFonts w:ascii="Verdana" w:eastAsia="Times New Roman" w:hAnsi="Verdana" w:cs="Arial"/>
                <w:bCs/>
                <w:lang w:val="es-ES" w:eastAsia="es-CO"/>
              </w:rPr>
              <w:t xml:space="preserve">haya ocurrido </w:t>
            </w:r>
            <w:r w:rsidRPr="007B2BC2">
              <w:rPr>
                <w:rFonts w:ascii="Verdana" w:eastAsia="Times New Roman" w:hAnsi="Verdana" w:cs="Arial"/>
                <w:bCs/>
                <w:lang w:val="es-ES" w:eastAsia="es-CO"/>
              </w:rPr>
              <w:t xml:space="preserve">con posterioridad a la entrada en vigencia de la Ley de Garantías Electorales, esta Agencia considera que los mismos </w:t>
            </w:r>
            <w:r>
              <w:rPr>
                <w:rFonts w:ascii="Verdana" w:eastAsia="Times New Roman" w:hAnsi="Verdana" w:cs="Arial"/>
                <w:bCs/>
                <w:lang w:val="es-ES" w:eastAsia="es-CO"/>
              </w:rPr>
              <w:t xml:space="preserve">se entienden </w:t>
            </w:r>
            <w:r w:rsidRPr="007B2BC2">
              <w:rPr>
                <w:rFonts w:ascii="Verdana" w:eastAsia="Times New Roman" w:hAnsi="Verdana" w:cs="Arial"/>
                <w:bCs/>
                <w:lang w:val="es-ES" w:eastAsia="es-CO"/>
              </w:rPr>
              <w:t xml:space="preserve">celebrados en </w:t>
            </w:r>
            <w:r>
              <w:rPr>
                <w:rFonts w:ascii="Verdana" w:eastAsia="Times New Roman" w:hAnsi="Verdana" w:cs="Arial"/>
                <w:bCs/>
                <w:lang w:val="es-ES" w:eastAsia="es-CO"/>
              </w:rPr>
              <w:t>infracción</w:t>
            </w:r>
            <w:r w:rsidRPr="007B2BC2">
              <w:rPr>
                <w:rFonts w:ascii="Verdana" w:eastAsia="Times New Roman" w:hAnsi="Verdana" w:cs="Arial"/>
                <w:bCs/>
                <w:lang w:val="es-ES" w:eastAsia="es-CO"/>
              </w:rPr>
              <w:t xml:space="preserve"> de l</w:t>
            </w:r>
            <w:r>
              <w:rPr>
                <w:rFonts w:ascii="Verdana" w:eastAsia="Times New Roman" w:hAnsi="Verdana" w:cs="Arial"/>
                <w:bCs/>
                <w:lang w:val="es-ES" w:eastAsia="es-CO"/>
              </w:rPr>
              <w:t xml:space="preserve">o </w:t>
            </w:r>
            <w:r w:rsidRPr="007B2BC2">
              <w:rPr>
                <w:rFonts w:ascii="Verdana" w:eastAsia="Times New Roman" w:hAnsi="Verdana" w:cs="Arial"/>
                <w:bCs/>
                <w:lang w:val="es-ES" w:eastAsia="es-CO"/>
              </w:rPr>
              <w:t>previst</w:t>
            </w:r>
            <w:r>
              <w:rPr>
                <w:rFonts w:ascii="Verdana" w:eastAsia="Times New Roman" w:hAnsi="Verdana" w:cs="Arial"/>
                <w:bCs/>
                <w:lang w:val="es-ES" w:eastAsia="es-CO"/>
              </w:rPr>
              <w:t>o</w:t>
            </w:r>
            <w:r w:rsidRPr="007B2BC2">
              <w:rPr>
                <w:rFonts w:ascii="Verdana" w:eastAsia="Times New Roman" w:hAnsi="Verdana" w:cs="Arial"/>
                <w:bCs/>
                <w:lang w:val="es-ES" w:eastAsia="es-CO"/>
              </w:rPr>
              <w:t xml:space="preserve"> en los artículos 33 y 38 </w:t>
            </w:r>
            <w:r w:rsidRPr="00AB7579">
              <w:rPr>
                <w:rFonts w:ascii="Verdana" w:eastAsia="Times New Roman" w:hAnsi="Verdana" w:cs="Arial"/>
                <w:bCs/>
                <w:i/>
                <w:iCs/>
                <w:lang w:val="es-ES" w:eastAsia="es-CO"/>
              </w:rPr>
              <w:t>ibidem,</w:t>
            </w:r>
            <w:r w:rsidRPr="007B2BC2">
              <w:rPr>
                <w:rFonts w:ascii="Verdana" w:eastAsia="Times New Roman" w:hAnsi="Verdana" w:cs="Arial"/>
                <w:bCs/>
                <w:lang w:val="es-ES" w:eastAsia="es-CO"/>
              </w:rPr>
              <w:t xml:space="preserve"> en la medida en que el hito jurídico de perfeccionamiento ocurrió dentro del período de restricción.</w:t>
            </w:r>
          </w:p>
          <w:p w14:paraId="1435406E" w14:textId="77777777" w:rsidR="00D241FB" w:rsidRDefault="00D241FB" w:rsidP="00C659C5">
            <w:pPr>
              <w:spacing w:after="120" w:line="276" w:lineRule="auto"/>
              <w:ind w:firstLine="567"/>
              <w:jc w:val="both"/>
              <w:rPr>
                <w:rFonts w:ascii="Verdana" w:eastAsia="Times New Roman" w:hAnsi="Verdana" w:cs="Arial"/>
                <w:bCs/>
                <w:lang w:val="es-ES" w:eastAsia="es-CO"/>
              </w:rPr>
            </w:pPr>
            <w:r w:rsidRPr="007B2BC2">
              <w:rPr>
                <w:rFonts w:ascii="Verdana" w:eastAsia="Times New Roman" w:hAnsi="Verdana" w:cs="Arial"/>
                <w:bCs/>
                <w:lang w:val="es-ES" w:eastAsia="es-CO"/>
              </w:rPr>
              <w:t xml:space="preserve">En consecuencia, corresponderá a la entidad estatal efectuar el análisis jurídico integral del caso concreto y determinar la procedencia de las medidas a que haya lugar, a la luz de lo dispuesto en </w:t>
            </w:r>
            <w:r>
              <w:rPr>
                <w:rFonts w:ascii="Verdana" w:eastAsia="Times New Roman" w:hAnsi="Verdana" w:cs="Arial"/>
                <w:bCs/>
                <w:lang w:val="es-ES" w:eastAsia="es-CO"/>
              </w:rPr>
              <w:t xml:space="preserve">los </w:t>
            </w:r>
            <w:r w:rsidRPr="007B2BC2">
              <w:rPr>
                <w:rFonts w:ascii="Verdana" w:eastAsia="Times New Roman" w:hAnsi="Verdana" w:cs="Arial"/>
                <w:bCs/>
                <w:lang w:val="es-ES" w:eastAsia="es-CO"/>
              </w:rPr>
              <w:t>artículo</w:t>
            </w:r>
            <w:r>
              <w:rPr>
                <w:rFonts w:ascii="Verdana" w:eastAsia="Times New Roman" w:hAnsi="Verdana" w:cs="Arial"/>
                <w:bCs/>
                <w:lang w:val="es-ES" w:eastAsia="es-CO"/>
              </w:rPr>
              <w:t>s 44 y</w:t>
            </w:r>
            <w:r w:rsidRPr="007B2BC2">
              <w:rPr>
                <w:rFonts w:ascii="Verdana" w:eastAsia="Times New Roman" w:hAnsi="Verdana" w:cs="Arial"/>
                <w:bCs/>
                <w:lang w:val="es-ES" w:eastAsia="es-CO"/>
              </w:rPr>
              <w:t xml:space="preserve"> 45 de la Ley 80 de 1993</w:t>
            </w:r>
            <w:r>
              <w:rPr>
                <w:rFonts w:ascii="Verdana" w:eastAsia="Times New Roman" w:hAnsi="Verdana" w:cs="Arial"/>
                <w:bCs/>
                <w:lang w:val="es-ES" w:eastAsia="es-CO"/>
              </w:rPr>
              <w:t xml:space="preserve">. Lo anterior, sin perjuicio de las responsabilidades de tipo disciplinario, fiscal y penal que puedan generarse. </w:t>
            </w:r>
          </w:p>
          <w:p w14:paraId="59F587CA" w14:textId="77777777" w:rsidR="00D241FB" w:rsidRPr="00882990" w:rsidRDefault="00D241FB" w:rsidP="00C659C5">
            <w:pPr>
              <w:spacing w:after="120" w:line="276" w:lineRule="auto"/>
              <w:jc w:val="both"/>
              <w:rPr>
                <w:rFonts w:ascii="Verdana" w:eastAsia="Times New Roman" w:hAnsi="Verdana" w:cs="Arial"/>
                <w:bCs/>
                <w:lang w:eastAsia="es-CO"/>
              </w:rPr>
            </w:pPr>
            <w:r>
              <w:rPr>
                <w:rFonts w:ascii="Verdana" w:eastAsia="Times New Roman" w:hAnsi="Verdana" w:cs="Arial"/>
                <w:bCs/>
                <w:lang w:val="es-ES" w:eastAsia="es-CO"/>
              </w:rPr>
              <w:t xml:space="preserve">iii) </w:t>
            </w:r>
            <w:r w:rsidRPr="00882990">
              <w:rPr>
                <w:rFonts w:ascii="Verdana" w:eastAsia="Times New Roman" w:hAnsi="Verdana" w:cs="Arial"/>
                <w:bCs/>
                <w:lang w:eastAsia="es-CO"/>
              </w:rPr>
              <w:t>El principio de publicidad, aplicado a las actuaciones contractuales tramitadas mediante SECOP II, implica que toda la información y las actuaciones que integran el proceso de contratación deben ser accesibles, transparentes y estar disponibles para el control de los interesados y de la ciudadanía, de conformidad con la Ley 1150 de 2007, la Ley 1712 de 2014 y el Decreto 1082 de 2015. En este sentido, el SECOP constituye el medio oficial de publicidad de la contratación pública y el instrumento a través del cual las entidades estatales cumplen el deber de divulgar los documentos y actuaciones del proceso contractual.</w:t>
            </w:r>
          </w:p>
          <w:p w14:paraId="3B672354" w14:textId="77777777" w:rsidR="00D241FB" w:rsidRPr="00B30A43" w:rsidRDefault="00D241FB" w:rsidP="00AF7999">
            <w:pPr>
              <w:spacing w:after="120" w:line="276" w:lineRule="auto"/>
              <w:ind w:firstLine="709"/>
              <w:jc w:val="both"/>
              <w:rPr>
                <w:rFonts w:ascii="Verdana" w:eastAsia="Times New Roman" w:hAnsi="Verdana" w:cs="Arial"/>
                <w:bCs/>
                <w:lang w:eastAsia="es-CO"/>
              </w:rPr>
            </w:pPr>
            <w:r w:rsidRPr="00882990">
              <w:rPr>
                <w:rFonts w:ascii="Verdana" w:eastAsia="Times New Roman" w:hAnsi="Verdana" w:cs="Arial"/>
                <w:bCs/>
                <w:lang w:eastAsia="es-CO"/>
              </w:rPr>
              <w:t xml:space="preserve">Tratándose de procedimientos adelantados en SECOP II, el alcance de este principio debe entenderse conforme a la naturaleza transaccional de la plataforma. En consecuencia, la publicidad de las actuaciones se materializa de manera concomitante con el desarrollo del procedimiento, mediante la conformación automática del expediente electrónico. Sin perjuicio de ello, </w:t>
            </w:r>
            <w:r w:rsidRPr="00882990">
              <w:rPr>
                <w:rFonts w:ascii="Verdana" w:eastAsia="Times New Roman" w:hAnsi="Verdana" w:cs="Arial"/>
                <w:bCs/>
                <w:lang w:eastAsia="es-CO"/>
              </w:rPr>
              <w:lastRenderedPageBreak/>
              <w:t>cuando la entidad produzca documentos administrativos propios que complementen dicho expediente —como estudios previos, informes de evaluación, actos administrativos, actas o certificaciones, entre otros—, será responsable de incorporarlos al proceso electrónico, garantizando la integridad, completitud y calidad de la información que reposa en la plataforma.</w:t>
            </w:r>
          </w:p>
        </w:tc>
      </w:tr>
    </w:tbl>
    <w:p w14:paraId="2039BAB0" w14:textId="77777777" w:rsidR="00D241FB" w:rsidRPr="00C55BDE" w:rsidRDefault="00D241FB" w:rsidP="00D241FB">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61BBC422" w14:textId="77777777" w:rsidR="00D241FB" w:rsidRPr="00C55BDE" w:rsidRDefault="00D241FB" w:rsidP="00D241F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C55BDE">
        <w:rPr>
          <w:rFonts w:ascii="Verdana" w:eastAsia="Century Gothic" w:hAnsi="Verdana" w:cs="Century Gothic"/>
          <w:b/>
          <w:bCs/>
          <w:color w:val="000000" w:themeColor="text1"/>
        </w:rPr>
        <w:t>Razones de la respuesta:</w:t>
      </w:r>
    </w:p>
    <w:p w14:paraId="7B603027" w14:textId="77777777" w:rsidR="00D241FB" w:rsidRPr="00C55BDE" w:rsidRDefault="00D241FB" w:rsidP="00D241FB">
      <w:pPr>
        <w:spacing w:after="0" w:line="276" w:lineRule="auto"/>
        <w:jc w:val="both"/>
        <w:rPr>
          <w:rFonts w:ascii="Verdana" w:eastAsia="Calibri" w:hAnsi="Verdana" w:cs="Arial"/>
          <w:color w:val="000000" w:themeColor="text1"/>
          <w:lang w:val="es-ES"/>
        </w:rPr>
      </w:pPr>
    </w:p>
    <w:p w14:paraId="34244646" w14:textId="77777777" w:rsidR="00D241FB" w:rsidRDefault="00D241FB" w:rsidP="00D241FB">
      <w:pPr>
        <w:spacing w:after="0" w:line="276" w:lineRule="auto"/>
        <w:jc w:val="both"/>
        <w:rPr>
          <w:rFonts w:ascii="Verdana" w:eastAsia="Calibri" w:hAnsi="Verdana" w:cs="Arial"/>
          <w:color w:val="000000" w:themeColor="text1"/>
          <w:lang w:val="es-ES"/>
        </w:rPr>
      </w:pPr>
      <w:r w:rsidRPr="00C55BDE">
        <w:rPr>
          <w:rFonts w:ascii="Verdana" w:eastAsia="Calibri" w:hAnsi="Verdana" w:cs="Arial"/>
          <w:color w:val="000000" w:themeColor="text1"/>
          <w:lang w:val="es-ES"/>
        </w:rPr>
        <w:t xml:space="preserve">Lo anterior se sustenta en las siguientes consideraciones: </w:t>
      </w:r>
    </w:p>
    <w:p w14:paraId="6EA8B9E1" w14:textId="77777777" w:rsidR="00D241FB" w:rsidRPr="00C55BDE" w:rsidRDefault="00D241FB" w:rsidP="00D241FB">
      <w:pPr>
        <w:spacing w:after="0" w:line="276" w:lineRule="auto"/>
        <w:jc w:val="both"/>
        <w:rPr>
          <w:rFonts w:ascii="Verdana" w:eastAsia="Calibri" w:hAnsi="Verdana" w:cs="Arial"/>
          <w:color w:val="000000" w:themeColor="text1"/>
          <w:lang w:val="es-ES"/>
        </w:rPr>
      </w:pPr>
    </w:p>
    <w:p w14:paraId="59EFCD65" w14:textId="77777777" w:rsidR="00D241FB" w:rsidRDefault="00D241FB" w:rsidP="00D241FB">
      <w:pPr>
        <w:tabs>
          <w:tab w:val="left" w:pos="426"/>
        </w:tabs>
        <w:spacing w:after="120" w:line="276" w:lineRule="auto"/>
        <w:jc w:val="both"/>
        <w:rPr>
          <w:rFonts w:ascii="Verdana" w:eastAsia="Times New Roman" w:hAnsi="Verdana" w:cs="Arial"/>
          <w:lang w:eastAsia="es-CO"/>
        </w:rPr>
      </w:pPr>
      <w:r>
        <w:rPr>
          <w:rFonts w:ascii="Verdana" w:eastAsia="Calibri" w:hAnsi="Verdana" w:cs="Arial"/>
        </w:rPr>
        <w:t>El ordenamiento jurídico colombiano contempla previsiones claras para evitar la obtención de beneficios personales en asuntos propios de la administración pública</w:t>
      </w:r>
      <w:r>
        <w:rPr>
          <w:rFonts w:ascii="Verdana" w:eastAsia="Calibri" w:hAnsi="Verdana" w:cs="Arial"/>
          <w:i/>
        </w:rPr>
        <w:t xml:space="preserve">. </w:t>
      </w:r>
      <w:r>
        <w:rPr>
          <w:rFonts w:ascii="Verdana" w:eastAsia="Calibri" w:hAnsi="Verdana" w:cs="Arial"/>
        </w:rPr>
        <w:t>Por ejemplo, el artículo 127 de la Constitución Política establece una prohibición contractual a los servidores públicos y, en cuanto a aspectos políticos, establece restricciones a ciertos empleados del Estado, incluso en época no electoral</w:t>
      </w:r>
      <w:r>
        <w:rPr>
          <w:rFonts w:ascii="Verdana" w:hAnsi="Verdana"/>
          <w:vertAlign w:val="superscript"/>
        </w:rPr>
        <w:footnoteReference w:id="2"/>
      </w:r>
      <w:r>
        <w:rPr>
          <w:rFonts w:ascii="Verdana" w:eastAsia="Calibri" w:hAnsi="Verdana" w:cs="Arial"/>
        </w:rPr>
        <w:t xml:space="preserve">. </w:t>
      </w:r>
    </w:p>
    <w:p w14:paraId="5FA781D1" w14:textId="77777777" w:rsidR="00D241FB" w:rsidRDefault="00D241FB" w:rsidP="00D241FB">
      <w:pPr>
        <w:tabs>
          <w:tab w:val="left" w:pos="426"/>
        </w:tabs>
        <w:spacing w:after="120" w:line="276" w:lineRule="auto"/>
        <w:ind w:firstLine="709"/>
        <w:jc w:val="both"/>
        <w:rPr>
          <w:rFonts w:ascii="Verdana" w:eastAsia="Calibri" w:hAnsi="Verdana" w:cs="Arial"/>
          <w:lang w:val="es-ES_tradnl"/>
        </w:rPr>
      </w:pPr>
      <w:r>
        <w:rPr>
          <w:rFonts w:ascii="Verdana" w:eastAsia="Times New Roman" w:hAnsi="Verdana" w:cs="Arial"/>
          <w:lang w:eastAsia="es-CO"/>
        </w:rPr>
        <w:t>En el mismo sentido</w:t>
      </w:r>
      <w:r>
        <w:rPr>
          <w:rFonts w:ascii="Verdana" w:eastAsia="Times New Roman" w:hAnsi="Verdana" w:cs="Arial"/>
          <w:lang w:val="es-MX" w:eastAsia="es-CO"/>
        </w:rPr>
        <w:t xml:space="preserve">, </w:t>
      </w:r>
      <w:bookmarkStart w:id="1" w:name="_Hlk99576829"/>
      <w:r>
        <w:rPr>
          <w:rFonts w:ascii="Verdana" w:eastAsia="Times New Roman" w:hAnsi="Verdana" w:cs="Arial"/>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Pr>
          <w:rFonts w:ascii="Verdana" w:eastAsia="Times New Roman" w:hAnsi="Verdana" w:cs="Arial"/>
          <w:vertAlign w:val="superscript"/>
          <w:lang w:val="es-MX" w:eastAsia="es-CO"/>
        </w:rPr>
        <w:footnoteReference w:id="3"/>
      </w:r>
      <w:r>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Pr>
          <w:rFonts w:ascii="Verdana" w:eastAsia="Calibri" w:hAnsi="Verdana" w:cs="Arial"/>
          <w:lang w:val="es-ES_tradnl"/>
        </w:rPr>
        <w:t xml:space="preserve"> </w:t>
      </w:r>
      <w:bookmarkEnd w:id="1"/>
    </w:p>
    <w:p w14:paraId="382C1EDF" w14:textId="77777777" w:rsidR="00D241FB" w:rsidRDefault="00D241FB" w:rsidP="00D241FB">
      <w:pPr>
        <w:tabs>
          <w:tab w:val="left" w:pos="426"/>
        </w:tabs>
        <w:spacing w:after="0" w:line="276" w:lineRule="auto"/>
        <w:ind w:firstLine="709"/>
        <w:jc w:val="both"/>
        <w:rPr>
          <w:rFonts w:ascii="Verdana" w:eastAsia="Calibri" w:hAnsi="Verdana" w:cs="Arial"/>
          <w:lang w:val="es-ES_tradnl"/>
        </w:rPr>
      </w:pPr>
      <w:r>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0FA912BA" w14:textId="77777777" w:rsidR="00D241FB" w:rsidRDefault="00D241FB" w:rsidP="00D241FB">
      <w:pPr>
        <w:spacing w:after="0" w:line="276" w:lineRule="auto"/>
        <w:ind w:right="709"/>
        <w:contextualSpacing/>
        <w:jc w:val="both"/>
        <w:rPr>
          <w:rFonts w:ascii="Verdana" w:eastAsia="Times New Roman" w:hAnsi="Verdana" w:cs="Arial"/>
          <w:lang w:val="es-ES" w:eastAsia="es-CO"/>
        </w:rPr>
      </w:pPr>
    </w:p>
    <w:p w14:paraId="64402882" w14:textId="77777777" w:rsidR="00D241FB" w:rsidRDefault="00D241FB" w:rsidP="00D241FB">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ES" w:eastAsia="es-CO"/>
        </w:rPr>
        <w:t xml:space="preserve">“[…] </w:t>
      </w:r>
      <w:r>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0C5EF33F" w14:textId="77777777" w:rsidR="00D241FB" w:rsidRDefault="00D241FB" w:rsidP="00D241FB">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 xml:space="preserve">[…] </w:t>
      </w:r>
    </w:p>
    <w:p w14:paraId="31A68092" w14:textId="77777777" w:rsidR="00D241FB" w:rsidRDefault="00D241FB" w:rsidP="00D241FB">
      <w:pPr>
        <w:spacing w:after="0" w:line="240" w:lineRule="auto"/>
        <w:ind w:left="709" w:right="709"/>
        <w:contextualSpacing/>
        <w:jc w:val="both"/>
        <w:rPr>
          <w:rFonts w:ascii="Verdana" w:eastAsia="Times New Roman" w:hAnsi="Verdana" w:cs="Arial"/>
          <w:sz w:val="12"/>
          <w:szCs w:val="12"/>
          <w:lang w:val="es-MX" w:eastAsia="es-CO"/>
        </w:rPr>
      </w:pPr>
    </w:p>
    <w:p w14:paraId="5B9F1BDB" w14:textId="77777777" w:rsidR="00D241FB" w:rsidRDefault="00D241FB" w:rsidP="00D241FB">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Pr>
          <w:rFonts w:ascii="Verdana" w:eastAsia="Calibri" w:hAnsi="Verdana" w:cs="Arial"/>
          <w:sz w:val="20"/>
          <w:szCs w:val="20"/>
          <w:vertAlign w:val="superscript"/>
          <w:lang w:val="es-MX"/>
        </w:rPr>
        <w:footnoteReference w:id="4"/>
      </w:r>
    </w:p>
    <w:p w14:paraId="01FC90F5" w14:textId="77777777" w:rsidR="00D241FB" w:rsidRDefault="00D241FB" w:rsidP="00D241FB">
      <w:pPr>
        <w:spacing w:after="0" w:line="276" w:lineRule="auto"/>
        <w:ind w:firstLine="709"/>
        <w:jc w:val="both"/>
        <w:rPr>
          <w:rFonts w:ascii="Verdana" w:eastAsia="Times New Roman" w:hAnsi="Verdana" w:cs="Arial"/>
          <w:lang w:val="es-MX" w:eastAsia="es-CO"/>
        </w:rPr>
      </w:pPr>
      <w:bookmarkStart w:id="2" w:name="_Hlk78818186"/>
    </w:p>
    <w:p w14:paraId="5151A5CC" w14:textId="77777777" w:rsidR="00D241FB" w:rsidRDefault="00D241FB" w:rsidP="00D241FB">
      <w:pPr>
        <w:spacing w:after="0" w:line="276" w:lineRule="auto"/>
        <w:ind w:firstLine="709"/>
        <w:jc w:val="both"/>
        <w:rPr>
          <w:rFonts w:ascii="Verdana" w:eastAsia="Times New Roman" w:hAnsi="Verdana" w:cs="Arial"/>
          <w:lang w:val="es-MX" w:eastAsia="es-CO"/>
        </w:rPr>
      </w:pPr>
      <w:r>
        <w:rPr>
          <w:rFonts w:ascii="Verdana" w:eastAsia="Times New Roman" w:hAnsi="Verdana" w:cs="Arial"/>
          <w:lang w:val="es-MX" w:eastAsia="es-CO"/>
        </w:rPr>
        <w:t xml:space="preserve">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aspiraciones electorales. </w:t>
      </w:r>
      <w:bookmarkEnd w:id="2"/>
      <w:r>
        <w:rPr>
          <w:rFonts w:ascii="Verdana" w:eastAsia="Times New Roman" w:hAnsi="Verdana" w:cs="Arial"/>
          <w:lang w:val="es-MX" w:eastAsia="es-CO"/>
        </w:rPr>
        <w:t>Por ello, varias de las disposiciones de la Ley 996 de 2005, al contener normas prohibitivas, no admiten una interpretación amplia, sino que deben interpretarse restrictivamente. En efecto, la Sala de Consulta y Servicio Civil del Consejo de Estado, precisó:</w:t>
      </w:r>
    </w:p>
    <w:p w14:paraId="4452760D" w14:textId="77777777" w:rsidR="00D241FB" w:rsidRDefault="00D241FB" w:rsidP="00D241FB">
      <w:pPr>
        <w:spacing w:after="0" w:line="276" w:lineRule="auto"/>
        <w:ind w:firstLine="709"/>
        <w:jc w:val="both"/>
        <w:rPr>
          <w:rFonts w:ascii="Verdana" w:eastAsia="Times New Roman" w:hAnsi="Verdana" w:cs="Arial"/>
          <w:lang w:val="es-MX" w:eastAsia="es-CO"/>
        </w:rPr>
      </w:pPr>
    </w:p>
    <w:p w14:paraId="2A87B3A1" w14:textId="77777777" w:rsidR="00D241FB" w:rsidRDefault="00D241FB" w:rsidP="00D241FB">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3302F856" w14:textId="77777777" w:rsidR="00D241FB" w:rsidRDefault="00D241FB" w:rsidP="00D241FB">
      <w:pPr>
        <w:spacing w:after="0" w:line="240" w:lineRule="auto"/>
        <w:ind w:right="709"/>
        <w:contextualSpacing/>
        <w:jc w:val="both"/>
        <w:rPr>
          <w:rFonts w:ascii="Verdana" w:eastAsia="Times New Roman" w:hAnsi="Verdana" w:cs="Arial"/>
          <w:sz w:val="12"/>
          <w:szCs w:val="12"/>
          <w:lang w:val="es-MX" w:eastAsia="es-CO"/>
        </w:rPr>
      </w:pPr>
    </w:p>
    <w:p w14:paraId="13FDD4B6" w14:textId="77777777" w:rsidR="00D241FB" w:rsidRDefault="00D241FB" w:rsidP="00D241FB">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lastRenderedPageBreak/>
        <w:t>La jurisprudencia de la Corte Constitucional</w:t>
      </w:r>
      <w:r>
        <w:rPr>
          <w:rFonts w:ascii="Verdana" w:eastAsia="Times New Roman" w:hAnsi="Verdana" w:cs="Arial"/>
          <w:sz w:val="20"/>
          <w:szCs w:val="20"/>
          <w:vertAlign w:val="superscript"/>
          <w:lang w:val="es-MX" w:eastAsia="es-CO"/>
        </w:rPr>
        <w:footnoteReference w:id="5"/>
      </w:r>
      <w:r>
        <w:rPr>
          <w:rFonts w:ascii="Verdana" w:eastAsia="Times New Roman" w:hAnsi="Verdana" w:cs="Arial"/>
          <w:sz w:val="20"/>
          <w:szCs w:val="20"/>
          <w:lang w:val="es-MX" w:eastAsia="es-CO"/>
        </w:rPr>
        <w:t> y del Consejo de Estado</w:t>
      </w:r>
      <w:r>
        <w:rPr>
          <w:rFonts w:ascii="Verdana" w:eastAsia="Times New Roman" w:hAnsi="Verdana" w:cs="Arial"/>
          <w:sz w:val="20"/>
          <w:szCs w:val="20"/>
          <w:vertAlign w:val="superscript"/>
          <w:lang w:val="es-MX" w:eastAsia="es-CO"/>
        </w:rPr>
        <w:footnoteReference w:id="6"/>
      </w:r>
      <w:r>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Pr>
          <w:rFonts w:ascii="Verdana" w:eastAsia="Times New Roman" w:hAnsi="Verdana" w:cs="Arial"/>
          <w:sz w:val="20"/>
          <w:szCs w:val="20"/>
          <w:vertAlign w:val="superscript"/>
          <w:lang w:val="es-MX" w:eastAsia="es-CO"/>
        </w:rPr>
        <w:footnoteReference w:id="7"/>
      </w:r>
      <w:r>
        <w:rPr>
          <w:rFonts w:ascii="Verdana" w:eastAsia="Times New Roman" w:hAnsi="Verdana" w:cs="Arial"/>
          <w:sz w:val="20"/>
          <w:szCs w:val="20"/>
          <w:lang w:val="es-MX" w:eastAsia="es-CO"/>
        </w:rPr>
        <w:t>.</w:t>
      </w:r>
    </w:p>
    <w:p w14:paraId="0BD5F8F3" w14:textId="77777777" w:rsidR="00D241FB" w:rsidRDefault="00D241FB" w:rsidP="00D241FB">
      <w:pPr>
        <w:spacing w:after="0" w:line="276" w:lineRule="auto"/>
        <w:jc w:val="both"/>
        <w:rPr>
          <w:rFonts w:ascii="Verdana" w:eastAsia="Calibri" w:hAnsi="Verdana" w:cs="Arial"/>
          <w:bCs/>
          <w:lang w:val="es-ES_tradnl"/>
        </w:rPr>
      </w:pPr>
    </w:p>
    <w:p w14:paraId="2ABC49E9" w14:textId="77777777" w:rsidR="00D241FB" w:rsidRDefault="00D241FB" w:rsidP="00D241FB">
      <w:pPr>
        <w:spacing w:after="0" w:line="276" w:lineRule="auto"/>
        <w:ind w:firstLine="709"/>
        <w:jc w:val="both"/>
        <w:rPr>
          <w:rFonts w:ascii="Verdana" w:eastAsia="Arial" w:hAnsi="Verdana" w:cs="Arial"/>
          <w:lang w:val="es-ES" w:eastAsia="es-ES" w:bidi="es-ES"/>
        </w:rPr>
      </w:pPr>
      <w:r>
        <w:rPr>
          <w:rFonts w:ascii="Verdana" w:eastAsia="Times New Roman" w:hAnsi="Verdana" w:cs="Arial"/>
          <w:lang w:val="es-MX" w:eastAsia="es-CO"/>
        </w:rPr>
        <w:t>De</w:t>
      </w:r>
      <w:r>
        <w:rPr>
          <w:rFonts w:ascii="Verdana" w:eastAsia="Arial" w:hAnsi="Verdana" w:cs="Arial"/>
          <w:lang w:val="es-ES" w:eastAsia="es-ES" w:bidi="es-ES"/>
        </w:rPr>
        <w:t xml:space="preserve"> conformidad con lo anterior, </w:t>
      </w:r>
      <w:bookmarkStart w:id="3" w:name="_Hlk77236098"/>
      <w:bookmarkStart w:id="4" w:name="_Hlk100679383"/>
      <w:r>
        <w:rPr>
          <w:rFonts w:ascii="Verdana" w:eastAsia="Arial" w:hAnsi="Verdana" w:cs="Arial"/>
          <w:lang w:val="es-ES" w:eastAsia="es-ES" w:bidi="es-ES"/>
        </w:rPr>
        <w:t xml:space="preserve">la Ley de Garantías Electorales estableció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146C3C00" w14:textId="77777777" w:rsidR="00D241FB" w:rsidRDefault="00D241FB" w:rsidP="00D241FB">
      <w:pPr>
        <w:spacing w:after="0" w:line="276" w:lineRule="auto"/>
        <w:ind w:firstLine="709"/>
        <w:jc w:val="both"/>
        <w:rPr>
          <w:rFonts w:ascii="Verdana" w:eastAsia="Arial" w:hAnsi="Verdana" w:cs="Arial"/>
          <w:lang w:val="es-ES" w:eastAsia="es-ES" w:bidi="es-ES"/>
        </w:rPr>
      </w:pPr>
    </w:p>
    <w:p w14:paraId="17468300" w14:textId="77777777" w:rsidR="00D241FB" w:rsidRDefault="00D241FB" w:rsidP="00D241FB">
      <w:pPr>
        <w:spacing w:after="120" w:line="276" w:lineRule="auto"/>
        <w:jc w:val="both"/>
        <w:rPr>
          <w:rFonts w:ascii="Verdana" w:eastAsia="Arial" w:hAnsi="Verdana" w:cs="Arial"/>
          <w:lang w:val="es-ES" w:eastAsia="es-ES" w:bidi="es-ES"/>
        </w:rPr>
      </w:pPr>
      <w:r>
        <w:rPr>
          <w:rFonts w:ascii="Verdana" w:eastAsia="Arial" w:hAnsi="Verdana" w:cs="Arial"/>
          <w:lang w:val="es-ES" w:eastAsia="es-ES" w:bidi="es-ES"/>
        </w:rPr>
        <w:t>ii. Precisado el propósito de la Ley, es pertinente señalar que, en materia de contratación estatal, las restricciones consagradas en la citada Ley se dirigen a dos (2) tipos de campañas electorales claramente diferenciadas: las presidenciales y las demás que se adelanten para la elección de los demás cargos de elección popular, tanto a nivel nacional como territorial.</w:t>
      </w:r>
      <w:bookmarkEnd w:id="3"/>
    </w:p>
    <w:p w14:paraId="071C56EB" w14:textId="77777777" w:rsidR="00D241FB" w:rsidRDefault="00D241FB" w:rsidP="00D241FB">
      <w:pPr>
        <w:spacing w:after="120" w:line="276" w:lineRule="auto"/>
        <w:ind w:firstLine="708"/>
        <w:jc w:val="both"/>
        <w:rPr>
          <w:rFonts w:ascii="Verdana" w:eastAsia="Calibri" w:hAnsi="Verdana" w:cs="Arial"/>
        </w:rPr>
      </w:pPr>
      <w:r>
        <w:rPr>
          <w:rFonts w:ascii="Verdana" w:eastAsia="Calibri" w:hAnsi="Verdana" w:cs="Arial"/>
        </w:rPr>
        <w:t xml:space="preserve">Por un lado, el </w:t>
      </w:r>
      <w:r>
        <w:rPr>
          <w:rFonts w:ascii="Verdana" w:eastAsia="Calibri" w:hAnsi="Verdana" w:cs="Arial"/>
          <w:i/>
          <w:iCs/>
        </w:rPr>
        <w:t>artículo 33 de la Ley 996 de 2005</w:t>
      </w:r>
      <w:r>
        <w:rPr>
          <w:rFonts w:ascii="Verdana" w:eastAsia="Calibri" w:hAnsi="Verdana" w:cs="Arial"/>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w:t>
      </w:r>
      <w:r>
        <w:rPr>
          <w:rFonts w:ascii="Verdana" w:eastAsia="Calibri" w:hAnsi="Verdana" w:cs="Arial"/>
        </w:rPr>
        <w:lastRenderedPageBreak/>
        <w:t>acciones terroristas, desastres naturales o casos de fuerza mayor, y los que deban realizar las entidades sanitarias y hospitalarias”</w:t>
      </w:r>
      <w:r>
        <w:rPr>
          <w:vertAlign w:val="superscript"/>
        </w:rPr>
        <w:footnoteReference w:id="8"/>
      </w:r>
      <w:r>
        <w:rPr>
          <w:rFonts w:ascii="Verdana" w:eastAsia="Calibri" w:hAnsi="Verdana" w:cs="Arial"/>
        </w:rPr>
        <w:t>.</w:t>
      </w:r>
    </w:p>
    <w:p w14:paraId="653F2686" w14:textId="77777777" w:rsidR="00D241FB" w:rsidRDefault="00D241FB" w:rsidP="00D241FB">
      <w:pPr>
        <w:widowControl w:val="0"/>
        <w:autoSpaceDE w:val="0"/>
        <w:autoSpaceDN w:val="0"/>
        <w:spacing w:after="120" w:line="276" w:lineRule="auto"/>
        <w:ind w:firstLine="709"/>
        <w:jc w:val="both"/>
        <w:rPr>
          <w:rFonts w:ascii="Verdana" w:eastAsia="Arial" w:hAnsi="Verdana" w:cs="Arial"/>
          <w:lang w:val="es-ES" w:eastAsia="es-ES" w:bidi="es-ES"/>
        </w:rPr>
      </w:pPr>
      <w:r>
        <w:rPr>
          <w:rFonts w:ascii="Verdana" w:eastAsia="Calibri" w:hAnsi="Verdana" w:cs="Arial"/>
        </w:rPr>
        <w:t xml:space="preserve">Por otro lado, </w:t>
      </w:r>
      <w:r>
        <w:rPr>
          <w:rFonts w:ascii="Verdana" w:eastAsia="Calibri" w:hAnsi="Verdana" w:cs="Arial"/>
          <w:i/>
          <w:iCs/>
        </w:rPr>
        <w:t>el parágrafo del artículo 38 de la Ley 996 de 2005</w:t>
      </w:r>
      <w:r>
        <w:rPr>
          <w:rFonts w:ascii="Verdana" w:eastAsia="Calibri" w:hAnsi="Verdana" w:cs="Arial"/>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 </w:t>
      </w:r>
      <w:r>
        <w:rPr>
          <w:rFonts w:ascii="Verdana" w:eastAsia="Calibri" w:hAnsi="Verdana" w:cs="Arial"/>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Pr>
          <w:rFonts w:ascii="Verdana" w:eastAsia="Calibri" w:hAnsi="Verdana" w:cs="Arial"/>
        </w:rPr>
        <w:t>”</w:t>
      </w:r>
      <w:bookmarkEnd w:id="4"/>
      <w:r>
        <w:rPr>
          <w:rFonts w:ascii="Verdana" w:eastAsia="Calibri" w:hAnsi="Verdana" w:cs="Arial"/>
          <w:vertAlign w:val="superscript"/>
        </w:rPr>
        <w:footnoteReference w:id="9"/>
      </w:r>
      <w:r>
        <w:rPr>
          <w:rFonts w:ascii="Verdana" w:eastAsia="Calibri" w:hAnsi="Verdana" w:cs="Arial"/>
          <w:lang w:val="es-MX"/>
        </w:rPr>
        <w:t>.</w:t>
      </w:r>
      <w:r>
        <w:rPr>
          <w:rFonts w:ascii="Verdana" w:eastAsia="Arial" w:hAnsi="Verdana" w:cs="Arial"/>
          <w:lang w:val="es-ES" w:eastAsia="es-ES" w:bidi="es-ES"/>
        </w:rPr>
        <w:t xml:space="preserve"> </w:t>
      </w:r>
    </w:p>
    <w:p w14:paraId="42B5C283" w14:textId="77777777" w:rsidR="00D241FB" w:rsidRDefault="00D241FB" w:rsidP="00D241FB">
      <w:pPr>
        <w:widowControl w:val="0"/>
        <w:autoSpaceDE w:val="0"/>
        <w:autoSpaceDN w:val="0"/>
        <w:spacing w:after="0" w:line="276" w:lineRule="auto"/>
        <w:ind w:right="113" w:firstLine="708"/>
        <w:contextualSpacing/>
        <w:jc w:val="both"/>
        <w:rPr>
          <w:rFonts w:ascii="Verdana" w:eastAsia="Arial" w:hAnsi="Verdana" w:cs="Arial"/>
          <w:lang w:val="es-ES" w:eastAsia="es-ES" w:bidi="es-ES"/>
        </w:rPr>
      </w:pPr>
      <w:r>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w:t>
      </w:r>
    </w:p>
    <w:p w14:paraId="51F401A4" w14:textId="77777777" w:rsidR="00D241FB" w:rsidRDefault="00D241FB" w:rsidP="00D241FB">
      <w:pPr>
        <w:widowControl w:val="0"/>
        <w:autoSpaceDE w:val="0"/>
        <w:autoSpaceDN w:val="0"/>
        <w:spacing w:after="0" w:line="276" w:lineRule="auto"/>
        <w:ind w:left="805" w:right="812"/>
        <w:contextualSpacing/>
        <w:jc w:val="both"/>
        <w:rPr>
          <w:rFonts w:ascii="Verdana" w:eastAsia="Arial" w:hAnsi="Verdana" w:cs="Arial"/>
          <w:lang w:val="es-ES" w:eastAsia="es-ES" w:bidi="es-ES"/>
        </w:rPr>
      </w:pPr>
    </w:p>
    <w:p w14:paraId="18EFD98E" w14:textId="77777777" w:rsidR="00D241FB" w:rsidRDefault="00D241FB" w:rsidP="00D241FB">
      <w:pPr>
        <w:widowControl w:val="0"/>
        <w:autoSpaceDE w:val="0"/>
        <w:autoSpaceDN w:val="0"/>
        <w:spacing w:after="0" w:line="240" w:lineRule="auto"/>
        <w:ind w:left="709" w:right="709"/>
        <w:jc w:val="both"/>
        <w:rPr>
          <w:rFonts w:ascii="Verdana" w:eastAsia="Arial" w:hAnsi="Verdana" w:cs="Arial"/>
          <w:sz w:val="20"/>
          <w:szCs w:val="20"/>
          <w:lang w:eastAsia="es-ES" w:bidi="es-ES"/>
        </w:rPr>
      </w:pPr>
      <w:r>
        <w:rPr>
          <w:rFonts w:ascii="Verdana" w:eastAsia="Arial" w:hAnsi="Verdana" w:cs="Arial"/>
          <w:sz w:val="20"/>
          <w:szCs w:val="20"/>
          <w:lang w:eastAsia="es-ES" w:bidi="es-ES"/>
        </w:rPr>
        <w:t>“La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se integran parcialmente,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contenidas en el parágrafo del artículo 38”.</w:t>
      </w:r>
      <w:r>
        <w:rPr>
          <w:rFonts w:ascii="Verdana" w:eastAsia="Arial" w:hAnsi="Verdana" w:cs="Arial"/>
          <w:sz w:val="20"/>
          <w:szCs w:val="20"/>
          <w:vertAlign w:val="superscript"/>
          <w:lang w:eastAsia="es-ES" w:bidi="es-ES"/>
        </w:rPr>
        <w:footnoteReference w:id="10"/>
      </w:r>
    </w:p>
    <w:p w14:paraId="4479E26B" w14:textId="77777777" w:rsidR="00D241FB" w:rsidRDefault="00D241FB" w:rsidP="00D241FB">
      <w:pPr>
        <w:widowControl w:val="0"/>
        <w:autoSpaceDE w:val="0"/>
        <w:autoSpaceDN w:val="0"/>
        <w:spacing w:line="276" w:lineRule="auto"/>
        <w:contextualSpacing/>
        <w:rPr>
          <w:rFonts w:ascii="Verdana" w:eastAsia="Arial" w:hAnsi="Verdana" w:cs="Arial"/>
          <w:lang w:val="es-ES" w:eastAsia="es-ES" w:bidi="es-ES"/>
        </w:rPr>
      </w:pPr>
    </w:p>
    <w:p w14:paraId="12F007CD" w14:textId="77777777" w:rsidR="00D241FB" w:rsidRDefault="00D241FB" w:rsidP="00D241FB">
      <w:pPr>
        <w:spacing w:after="120" w:line="276" w:lineRule="auto"/>
        <w:ind w:firstLine="709"/>
        <w:jc w:val="both"/>
        <w:rPr>
          <w:rFonts w:ascii="Verdana" w:eastAsia="Arial" w:hAnsi="Verdana" w:cs="Arial"/>
          <w:lang w:val="es-ES" w:eastAsia="es-ES" w:bidi="es-ES"/>
        </w:rPr>
      </w:pPr>
      <w:r>
        <w:rPr>
          <w:rFonts w:ascii="Verdana" w:eastAsia="Arial" w:hAnsi="Verdana" w:cs="Arial"/>
          <w:lang w:val="es-ES" w:eastAsia="es-ES" w:bidi="es-ES"/>
        </w:rPr>
        <w:t xml:space="preserve">De conformidad con lo anterior, la Ley 996 de 2005 establece dos (2) tipos de restricciones en materia de contratación, las cuales coinciden parcialmente. </w:t>
      </w:r>
      <w:r>
        <w:rPr>
          <w:rFonts w:ascii="Verdana" w:eastAsia="Arial" w:hAnsi="Verdana" w:cs="Arial"/>
          <w:i/>
          <w:lang w:val="es-ES" w:eastAsia="es-ES" w:bidi="es-ES"/>
        </w:rPr>
        <w:t>En primer lugar</w:t>
      </w:r>
      <w:r>
        <w:rPr>
          <w:rFonts w:ascii="Verdana" w:eastAsia="Arial" w:hAnsi="Verdana" w:cs="Arial"/>
          <w:lang w:val="es-ES" w:eastAsia="es-ES" w:bidi="es-ES"/>
        </w:rPr>
        <w:t xml:space="preserve">,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Pr>
          <w:rFonts w:ascii="Verdana" w:eastAsia="Arial" w:hAnsi="Verdana" w:cs="Arial"/>
          <w:i/>
          <w:lang w:val="es-ES" w:eastAsia="es-ES" w:bidi="es-ES"/>
        </w:rPr>
        <w:t>En segundo lugar</w:t>
      </w:r>
      <w:r>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1D6810A7" w14:textId="77777777" w:rsidR="00D241FB" w:rsidRDefault="00D241FB" w:rsidP="00D241FB">
      <w:pPr>
        <w:spacing w:after="120" w:line="276" w:lineRule="auto"/>
        <w:ind w:firstLine="709"/>
        <w:jc w:val="both"/>
        <w:rPr>
          <w:rFonts w:ascii="Verdana" w:eastAsia="Arial" w:hAnsi="Verdana" w:cs="Arial"/>
          <w:lang w:val="es-ES" w:eastAsia="es-ES" w:bidi="es-ES"/>
        </w:rPr>
      </w:pPr>
      <w:r>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p w14:paraId="3C538D97" w14:textId="77777777" w:rsidR="00D241FB" w:rsidRDefault="00D241FB" w:rsidP="00D241FB">
      <w:pPr>
        <w:spacing w:after="0" w:line="276" w:lineRule="auto"/>
        <w:ind w:firstLine="709"/>
        <w:jc w:val="both"/>
        <w:rPr>
          <w:rFonts w:ascii="Verdana" w:eastAsia="Arial" w:hAnsi="Verdana" w:cs="Arial"/>
          <w:lang w:val="es-ES" w:eastAsia="es-ES" w:bidi="es-ES"/>
        </w:rPr>
      </w:pPr>
      <w:r>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(6)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Esto excepto para el Vicepresidente que no haya ejercido la presidencia o que la haya ejercido por un tiempo inferior a tres (3) meses durante el respectivo cuatrienio, </w:t>
      </w:r>
      <w:r>
        <w:rPr>
          <w:rFonts w:ascii="Verdana" w:eastAsia="Arial" w:hAnsi="Verdana" w:cs="Arial"/>
          <w:lang w:val="es-ES" w:eastAsia="es-ES" w:bidi="es-ES"/>
        </w:rPr>
        <w:lastRenderedPageBreak/>
        <w:t xml:space="preserve">en forma continua o discontinua, conforme al artículo 197 de la Constitución Política. </w:t>
      </w:r>
    </w:p>
    <w:p w14:paraId="6C6BB929" w14:textId="77777777" w:rsidR="00D241FB" w:rsidRDefault="00D241FB" w:rsidP="00D241FB">
      <w:pPr>
        <w:widowControl w:val="0"/>
        <w:autoSpaceDE w:val="0"/>
        <w:autoSpaceDN w:val="0"/>
        <w:spacing w:after="0" w:line="276" w:lineRule="auto"/>
        <w:jc w:val="both"/>
        <w:rPr>
          <w:rFonts w:ascii="Verdana" w:eastAsia="Arial" w:hAnsi="Verdana" w:cs="Arial"/>
          <w:lang w:val="es-ES" w:eastAsia="es-ES" w:bidi="es-ES"/>
        </w:rPr>
      </w:pPr>
    </w:p>
    <w:p w14:paraId="7BAB5BE4" w14:textId="77777777" w:rsidR="00D241FB" w:rsidRDefault="00D241FB" w:rsidP="00D241FB">
      <w:pPr>
        <w:spacing w:after="120" w:line="276" w:lineRule="auto"/>
        <w:jc w:val="both"/>
        <w:rPr>
          <w:rFonts w:ascii="Verdana" w:eastAsia="Times New Roman" w:hAnsi="Verdana" w:cs="Arial"/>
          <w:bCs/>
          <w:lang w:eastAsia="es-CO"/>
        </w:rPr>
      </w:pPr>
      <w:r>
        <w:rPr>
          <w:rFonts w:ascii="Verdana" w:eastAsia="Times New Roman" w:hAnsi="Verdana" w:cs="Arial"/>
          <w:bCs/>
          <w:lang w:val="es-MX" w:eastAsia="es-CO"/>
        </w:rPr>
        <w:t>iii. Para entender el momento de aplicación de estas restricciones, es preciso señalar que el vocablo “celebrar” es definido por el Diccionario Panhispánico del Español Jurídico como: “</w:t>
      </w:r>
      <w:r>
        <w:rPr>
          <w:rFonts w:ascii="Verdana" w:eastAsia="Times New Roman" w:hAnsi="Verdana" w:cs="Arial"/>
          <w:bCs/>
          <w:lang w:eastAsia="es-CO"/>
        </w:rPr>
        <w:t>1. </w:t>
      </w:r>
      <w:r>
        <w:rPr>
          <w:rFonts w:ascii="Verdana" w:eastAsia="Times New Roman" w:hAnsi="Verdana" w:cs="Arial"/>
          <w:bCs/>
          <w:i/>
          <w:iCs/>
          <w:lang w:eastAsia="es-CO"/>
        </w:rPr>
        <w:t>Gral.</w:t>
      </w:r>
      <w:r>
        <w:rPr>
          <w:rFonts w:ascii="Verdana" w:eastAsia="Times New Roman" w:hAnsi="Verdana" w:cs="Arial"/>
          <w:bCs/>
          <w:lang w:eastAsia="es-CO"/>
        </w:rPr>
        <w:t xml:space="preserve"> Otorgar o firmar un contrato. 2. </w:t>
      </w:r>
      <w:r>
        <w:rPr>
          <w:rFonts w:ascii="Verdana" w:eastAsia="Times New Roman" w:hAnsi="Verdana" w:cs="Arial"/>
          <w:bCs/>
          <w:i/>
          <w:iCs/>
          <w:lang w:eastAsia="es-CO"/>
        </w:rPr>
        <w:t>Proc.</w:t>
      </w:r>
      <w:r>
        <w:rPr>
          <w:rFonts w:ascii="Verdana" w:eastAsia="Times New Roman" w:hAnsi="Verdana" w:cs="Arial"/>
          <w:bCs/>
          <w:lang w:eastAsia="es-CO"/>
        </w:rPr>
        <w:t xml:space="preserve"> Realizar los actos procesales propios de un juicio o vista”. Dentro de las dos definiciones, la que se acerca a la expresión “celebrar” en el contexto de la Ley de Garantías Electorales es la primera, esto es, al perfeccionamiento del contrato. </w:t>
      </w:r>
    </w:p>
    <w:p w14:paraId="77F13FB9" w14:textId="77777777" w:rsidR="00D241FB" w:rsidRDefault="00D241FB" w:rsidP="00D241FB">
      <w:pPr>
        <w:spacing w:after="120" w:line="276" w:lineRule="auto"/>
        <w:ind w:firstLine="708"/>
        <w:jc w:val="both"/>
        <w:rPr>
          <w:rFonts w:ascii="Verdana" w:eastAsia="Times New Roman" w:hAnsi="Verdana" w:cs="Arial"/>
          <w:bCs/>
          <w:lang w:val="es-ES" w:eastAsia="es-CO"/>
        </w:rPr>
      </w:pPr>
      <w:r>
        <w:rPr>
          <w:rFonts w:ascii="Verdana" w:eastAsia="Times New Roman" w:hAnsi="Verdana" w:cs="Arial"/>
          <w:bCs/>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Pr>
          <w:rFonts w:ascii="Verdana" w:eastAsia="Times New Roman" w:hAnsi="Verdana" w:cs="Arial"/>
          <w:bCs/>
          <w:lang w:val="es-ES" w:eastAsia="es-CO"/>
        </w:rPr>
        <w:t xml:space="preserve">la existencia de los contratos estatales, es decir, la producción de efectos jurídicos en los términos del artículo 1501 </w:t>
      </w:r>
      <w:r>
        <w:rPr>
          <w:rFonts w:ascii="Verdana" w:eastAsia="Times New Roman" w:hAnsi="Verdana" w:cs="Arial"/>
          <w:bCs/>
          <w:i/>
          <w:lang w:val="es-ES" w:eastAsia="es-CO"/>
        </w:rPr>
        <w:t>ibidem</w:t>
      </w:r>
      <w:r>
        <w:rPr>
          <w:rFonts w:ascii="Verdana" w:eastAsia="Times New Roman" w:hAnsi="Verdana" w:cs="Arial"/>
          <w:bCs/>
          <w:lang w:val="es-ES" w:eastAsia="es-CO"/>
        </w:rPr>
        <w:t xml:space="preserve">, depende de la regulación del inciso primero de los artículos 39 y 41 de la Ley 80 de 1993.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 </w:t>
      </w:r>
    </w:p>
    <w:p w14:paraId="7D268CD2" w14:textId="77777777" w:rsidR="00D241FB" w:rsidRDefault="00D241FB" w:rsidP="00D241FB">
      <w:pPr>
        <w:spacing w:after="120" w:line="276" w:lineRule="auto"/>
        <w:ind w:firstLine="708"/>
        <w:jc w:val="both"/>
        <w:rPr>
          <w:rFonts w:ascii="Verdana" w:eastAsia="Times New Roman" w:hAnsi="Verdana" w:cs="Arial"/>
          <w:bCs/>
          <w:lang w:val="es-ES" w:eastAsia="es-CO"/>
        </w:rPr>
      </w:pPr>
      <w:r>
        <w:rPr>
          <w:rFonts w:ascii="Verdana" w:eastAsia="Times New Roman" w:hAnsi="Verdana" w:cs="Arial"/>
          <w:bCs/>
          <w:lang w:val="es-ES" w:eastAsia="es-CO"/>
        </w:rPr>
        <w:t xml:space="preserve">De este modo, esta Agencia precisa que el concepto “celebrar” para efectos de las restricciones en la contratación dispuesta por la Ley de Garantías Electorales se refiere a los requisitos de perfeccionamiento del contrato estatal. Por tanto, no se refiere a los requisitos de ejecución, es decir, aquellas condiciones para iniciar un contrato, como es la aprobación de las garantías o el registro presupuestal, o en algunos casos, la firma del acta de inicio, si así se determinó. </w:t>
      </w:r>
    </w:p>
    <w:p w14:paraId="4AF554CA" w14:textId="77777777" w:rsidR="00D241FB" w:rsidRDefault="00D241FB" w:rsidP="00D241FB">
      <w:pPr>
        <w:spacing w:after="0" w:line="276" w:lineRule="auto"/>
        <w:ind w:firstLine="708"/>
        <w:jc w:val="both"/>
        <w:rPr>
          <w:rFonts w:ascii="Verdana" w:eastAsia="Times New Roman" w:hAnsi="Verdana" w:cs="Arial"/>
          <w:bCs/>
          <w:lang w:val="es-ES" w:eastAsia="es-CO"/>
        </w:rPr>
      </w:pPr>
      <w:r>
        <w:rPr>
          <w:rFonts w:ascii="Verdana" w:eastAsia="Times New Roman" w:hAnsi="Verdana" w:cs="Arial"/>
          <w:bCs/>
          <w:lang w:val="es-ES" w:eastAsia="es-CO"/>
        </w:rPr>
        <w:t xml:space="preserve">Ahora bien, </w:t>
      </w:r>
      <w:r>
        <w:rPr>
          <w:rFonts w:ascii="Verdana" w:eastAsia="Times New Roman" w:hAnsi="Verdana" w:cs="Arial"/>
          <w:bCs/>
          <w:lang w:val="es-MX" w:eastAsia="es-CO"/>
        </w:rPr>
        <w:t xml:space="preserve">como en otras oportunidades lo ha manifestado esta Agencia, las prórrogas, modificaciones o adiciones de los contratos suscritos antes de la entrada en vigencia de las prohibiciones anotadas, así como la cesión de los mismos, pueden tener lugar en el período de aplicación de la Ley de Garantías Electorales, sin que ello haga nugatoria la restricción de la contratación directa </w:t>
      </w:r>
      <w:r>
        <w:rPr>
          <w:rFonts w:ascii="Verdana" w:eastAsia="Times New Roman" w:hAnsi="Verdana" w:cs="Arial"/>
          <w:bCs/>
          <w:lang w:val="es-MX" w:eastAsia="es-CO"/>
        </w:rPr>
        <w:lastRenderedPageBreak/>
        <w:t>y siempre que cumplan los principios de planeación, transparencia y responsabilidad</w:t>
      </w:r>
      <w:r>
        <w:rPr>
          <w:rFonts w:ascii="Verdana" w:eastAsia="Times New Roman" w:hAnsi="Verdana" w:cs="Arial"/>
          <w:bCs/>
          <w:vertAlign w:val="superscript"/>
          <w:lang w:val="es-MX" w:eastAsia="es-CO"/>
        </w:rPr>
        <w:footnoteReference w:id="11"/>
      </w:r>
      <w:r>
        <w:rPr>
          <w:rFonts w:ascii="Verdana" w:eastAsia="Times New Roman" w:hAnsi="Verdana" w:cs="Arial"/>
          <w:bCs/>
          <w:lang w:val="es-MX" w:eastAsia="es-CO"/>
        </w:rPr>
        <w:t xml:space="preserve">. </w:t>
      </w:r>
    </w:p>
    <w:p w14:paraId="40C2B701" w14:textId="77777777" w:rsidR="00D241FB" w:rsidRPr="00B54909" w:rsidRDefault="00D241FB" w:rsidP="00D241FB">
      <w:pPr>
        <w:spacing w:after="0" w:line="276" w:lineRule="auto"/>
        <w:ind w:firstLine="709"/>
        <w:jc w:val="both"/>
        <w:rPr>
          <w:rFonts w:ascii="Verdana" w:eastAsia="Arial" w:hAnsi="Verdana" w:cs="Arial"/>
          <w:lang w:val="es-ES" w:eastAsia="es-ES" w:bidi="es-ES"/>
        </w:rPr>
      </w:pPr>
    </w:p>
    <w:p w14:paraId="08F3713E" w14:textId="77777777" w:rsidR="00D241FB" w:rsidRPr="00B54909" w:rsidRDefault="00D241FB" w:rsidP="00D241FB">
      <w:pPr>
        <w:spacing w:after="0" w:line="276" w:lineRule="auto"/>
        <w:jc w:val="both"/>
        <w:rPr>
          <w:rFonts w:ascii="Verdana" w:eastAsia="Arial" w:hAnsi="Verdana" w:cs="Arial"/>
          <w:lang w:val="es-ES" w:eastAsia="es-ES" w:bidi="es-ES"/>
        </w:rPr>
      </w:pPr>
      <w:r w:rsidRPr="00B54909">
        <w:rPr>
          <w:rFonts w:ascii="Verdana" w:eastAsia="Arial" w:hAnsi="Verdana" w:cs="Arial"/>
          <w:lang w:val="es-ES" w:eastAsia="es-ES" w:bidi="es-ES"/>
        </w:rPr>
        <w:t>Teniendo en cuenta el objeto de la consulta, resulta importante analizar</w:t>
      </w:r>
      <w:r>
        <w:rPr>
          <w:rFonts w:ascii="Verdana" w:eastAsia="Arial" w:hAnsi="Verdana" w:cs="Arial"/>
          <w:lang w:val="es-ES" w:eastAsia="es-ES" w:bidi="es-ES"/>
        </w:rPr>
        <w:t xml:space="preserve"> cada prohibición.</w:t>
      </w:r>
      <w:r w:rsidRPr="00B54909">
        <w:rPr>
          <w:rFonts w:ascii="Verdana" w:eastAsia="Arial" w:hAnsi="Verdana" w:cs="Arial"/>
          <w:lang w:val="es-ES" w:eastAsia="es-ES" w:bidi="es-ES"/>
        </w:rPr>
        <w:t xml:space="preserve"> </w:t>
      </w:r>
      <w:r>
        <w:rPr>
          <w:rFonts w:ascii="Verdana" w:eastAsia="Times New Roman" w:hAnsi="Verdana" w:cs="Arial"/>
          <w:bCs/>
          <w:lang w:val="es-MX" w:eastAsia="x-none"/>
        </w:rPr>
        <w:t>E</w:t>
      </w:r>
      <w:r w:rsidRPr="00B54909">
        <w:rPr>
          <w:rFonts w:ascii="Verdana" w:eastAsia="Times New Roman" w:hAnsi="Verdana" w:cs="Arial"/>
          <w:bCs/>
          <w:lang w:val="es-MX" w:eastAsia="x-none"/>
        </w:rPr>
        <w:t xml:space="preserve">l ámbito material de la prohibición contenida en el artículo 33 de la Ley 996 de 2005 está delimitado por la expresión </w:t>
      </w:r>
      <w:r w:rsidRPr="00F31AC8">
        <w:rPr>
          <w:rFonts w:ascii="Verdana" w:eastAsia="Calibri" w:hAnsi="Verdana" w:cs="Arial"/>
          <w:bCs/>
          <w:lang w:val="es-MX"/>
        </w:rPr>
        <w:t>“</w:t>
      </w:r>
      <w:r w:rsidRPr="00B54909">
        <w:rPr>
          <w:rFonts w:ascii="Verdana" w:eastAsia="Times New Roman" w:hAnsi="Verdana" w:cs="Arial"/>
          <w:bCs/>
          <w:lang w:val="es-MX" w:eastAsia="x-none"/>
        </w:rPr>
        <w:t>queda prohibida la contratación directa</w:t>
      </w:r>
      <w:r w:rsidRPr="00F31AC8">
        <w:rPr>
          <w:rFonts w:ascii="Verdana" w:eastAsia="Calibri" w:hAnsi="Verdana" w:cs="Arial"/>
          <w:lang w:val="es-MX"/>
        </w:rPr>
        <w:t>”</w:t>
      </w:r>
      <w:r w:rsidRPr="00B54909">
        <w:rPr>
          <w:rFonts w:ascii="Verdana" w:eastAsia="Times New Roman" w:hAnsi="Verdana" w:cs="Arial"/>
          <w:bCs/>
          <w:lang w:val="es-MX" w:eastAsia="x-none"/>
        </w:rPr>
        <w:t xml:space="preserve">. </w:t>
      </w:r>
      <w:r w:rsidRPr="00B54909">
        <w:rPr>
          <w:rFonts w:ascii="Verdana" w:eastAsia="Times New Roman" w:hAnsi="Verdana" w:cs="Arial"/>
          <w:lang w:val="es-MX" w:eastAsia="es-CO"/>
        </w:rPr>
        <w:t xml:space="preserve"> A propósito de </w:t>
      </w:r>
      <w:r w:rsidRPr="00B54909">
        <w:rPr>
          <w:rFonts w:ascii="Verdana" w:eastAsia="Times New Roman" w:hAnsi="Verdana" w:cs="Arial"/>
          <w:lang w:eastAsia="es-CO"/>
        </w:rPr>
        <w:t>esta restricción de la Ley de Garantías Electorales, la Sala de Consulta y Servicio Civil del Consejo de Estado ha considerado que:</w:t>
      </w:r>
    </w:p>
    <w:p w14:paraId="7E4BFCC2" w14:textId="77777777" w:rsidR="00D241FB" w:rsidRPr="00B54909" w:rsidRDefault="00D241FB" w:rsidP="00D241FB">
      <w:pPr>
        <w:spacing w:after="0" w:line="276" w:lineRule="auto"/>
        <w:ind w:left="708" w:right="709"/>
        <w:jc w:val="both"/>
        <w:rPr>
          <w:rFonts w:ascii="Verdana" w:eastAsia="Calibri" w:hAnsi="Verdana" w:cs="Arial"/>
          <w:lang w:val="es-MX"/>
        </w:rPr>
      </w:pPr>
    </w:p>
    <w:p w14:paraId="442CA93E" w14:textId="77777777" w:rsidR="00D241FB" w:rsidRDefault="00D241FB" w:rsidP="00D241FB">
      <w:pPr>
        <w:spacing w:after="0" w:line="240" w:lineRule="auto"/>
        <w:ind w:left="709" w:right="709"/>
        <w:jc w:val="both"/>
        <w:rPr>
          <w:rFonts w:ascii="Verdana" w:eastAsia="Calibri" w:hAnsi="Verdana" w:cs="Arial"/>
          <w:sz w:val="20"/>
          <w:szCs w:val="20"/>
          <w:lang w:val="es-MX"/>
        </w:rPr>
      </w:pPr>
      <w:r>
        <w:rPr>
          <w:rFonts w:ascii="Verdana" w:eastAsia="Calibri" w:hAnsi="Verdana" w:cs="Arial"/>
          <w:sz w:val="20"/>
          <w:szCs w:val="20"/>
          <w:lang w:val="es-MX"/>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Pr>
          <w:rFonts w:ascii="Verdana" w:eastAsia="Times New Roman" w:hAnsi="Verdana" w:cs="Arial"/>
          <w:sz w:val="20"/>
          <w:szCs w:val="20"/>
          <w:vertAlign w:val="superscript"/>
          <w:lang w:eastAsia="es-CO"/>
        </w:rPr>
        <w:footnoteReference w:id="12"/>
      </w:r>
      <w:r>
        <w:rPr>
          <w:rFonts w:ascii="Verdana" w:eastAsia="Calibri" w:hAnsi="Verdana" w:cs="Arial"/>
          <w:sz w:val="20"/>
          <w:szCs w:val="20"/>
          <w:lang w:val="es-MX"/>
        </w:rPr>
        <w:t>.</w:t>
      </w:r>
    </w:p>
    <w:p w14:paraId="006598A7" w14:textId="77777777" w:rsidR="00D241FB" w:rsidRDefault="00D241FB" w:rsidP="00D241FB">
      <w:pPr>
        <w:spacing w:after="0" w:line="240" w:lineRule="auto"/>
        <w:ind w:left="709" w:right="709"/>
        <w:jc w:val="both"/>
        <w:rPr>
          <w:rFonts w:ascii="Verdana" w:eastAsia="Calibri" w:hAnsi="Verdana" w:cs="Arial"/>
          <w:sz w:val="20"/>
          <w:szCs w:val="20"/>
          <w:lang w:val="es-MX"/>
        </w:rPr>
      </w:pPr>
    </w:p>
    <w:p w14:paraId="549DEC13" w14:textId="77777777" w:rsidR="00D241FB" w:rsidRDefault="00D241FB" w:rsidP="00D241FB">
      <w:pPr>
        <w:spacing w:after="0" w:line="240" w:lineRule="auto"/>
        <w:ind w:left="708" w:right="709"/>
        <w:jc w:val="both"/>
        <w:rPr>
          <w:rFonts w:ascii="Verdana" w:eastAsia="Calibri" w:hAnsi="Verdana" w:cs="Arial"/>
          <w:sz w:val="20"/>
          <w:szCs w:val="20"/>
          <w:lang w:val="es-MX"/>
        </w:rPr>
      </w:pPr>
      <w:r>
        <w:rPr>
          <w:rFonts w:ascii="Verdana" w:eastAsia="Calibri" w:hAnsi="Verdana" w:cs="Arial"/>
          <w:sz w:val="20"/>
          <w:szCs w:val="20"/>
          <w:lang w:val="es-MX"/>
        </w:rPr>
        <w:t>Esta Sala ha entendido que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Pr>
          <w:rFonts w:ascii="Verdana" w:eastAsia="Times New Roman" w:hAnsi="Verdana" w:cs="Arial"/>
          <w:sz w:val="20"/>
          <w:szCs w:val="20"/>
          <w:vertAlign w:val="superscript"/>
          <w:lang w:val="es-MX"/>
        </w:rPr>
        <w:footnoteReference w:id="13"/>
      </w:r>
      <w:r>
        <w:rPr>
          <w:rFonts w:ascii="Verdana" w:eastAsia="Times New Roman" w:hAnsi="Verdana" w:cs="Arial"/>
          <w:sz w:val="20"/>
          <w:szCs w:val="20"/>
          <w:vertAlign w:val="superscript"/>
          <w:lang w:val="es-MX"/>
        </w:rPr>
        <w:t>.</w:t>
      </w:r>
      <w:r>
        <w:rPr>
          <w:rFonts w:ascii="Verdana" w:eastAsia="Calibri" w:hAnsi="Verdana" w:cs="Arial"/>
          <w:sz w:val="20"/>
          <w:szCs w:val="20"/>
          <w:lang w:val="es-MX"/>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Pr>
          <w:rFonts w:ascii="Verdana" w:eastAsia="Times New Roman" w:hAnsi="Verdana" w:cs="Arial"/>
          <w:sz w:val="20"/>
          <w:szCs w:val="20"/>
          <w:vertAlign w:val="superscript"/>
          <w:lang w:eastAsia="es-CO"/>
        </w:rPr>
        <w:footnoteReference w:id="14"/>
      </w:r>
      <w:r>
        <w:rPr>
          <w:rFonts w:ascii="Verdana" w:eastAsia="Calibri" w:hAnsi="Verdana" w:cs="Arial"/>
          <w:sz w:val="20"/>
          <w:szCs w:val="20"/>
          <w:lang w:val="es-MX"/>
        </w:rPr>
        <w:t>.</w:t>
      </w:r>
    </w:p>
    <w:p w14:paraId="49767197" w14:textId="77777777" w:rsidR="00D241FB" w:rsidRDefault="00D241FB" w:rsidP="00D241FB">
      <w:pPr>
        <w:shd w:val="clear" w:color="auto" w:fill="FFFFFF"/>
        <w:spacing w:after="0" w:line="276" w:lineRule="auto"/>
        <w:ind w:firstLine="709"/>
        <w:jc w:val="both"/>
        <w:rPr>
          <w:rFonts w:ascii="Verdana" w:eastAsia="Times New Roman" w:hAnsi="Verdana" w:cs="Arial"/>
          <w:lang w:eastAsia="x-none"/>
        </w:rPr>
      </w:pPr>
    </w:p>
    <w:p w14:paraId="5FF08A2A" w14:textId="77777777" w:rsidR="00D241FB" w:rsidRPr="002D6975" w:rsidRDefault="00D241FB" w:rsidP="00D241FB">
      <w:pPr>
        <w:spacing w:after="120" w:line="276" w:lineRule="auto"/>
        <w:ind w:firstLine="709"/>
        <w:jc w:val="both"/>
        <w:rPr>
          <w:rFonts w:ascii="Verdana" w:eastAsia="Times New Roman" w:hAnsi="Verdana" w:cs="Arial"/>
          <w:bCs/>
          <w:lang w:eastAsia="x-none"/>
        </w:rPr>
      </w:pPr>
      <w:r w:rsidRPr="002D6975">
        <w:rPr>
          <w:rFonts w:ascii="Verdana" w:eastAsia="Times New Roman" w:hAnsi="Verdana" w:cs="Arial"/>
          <w:lang w:eastAsia="x-none"/>
        </w:rPr>
        <w:t xml:space="preserve">De acuerdo con el citado concepto, la prohibición del artículo 33 de la Ley de Garantías Electorales se refiere a </w:t>
      </w:r>
      <w:r w:rsidRPr="00F31AC8">
        <w:rPr>
          <w:rFonts w:ascii="Verdana" w:eastAsia="Times New Roman" w:hAnsi="Verdana" w:cs="Arial"/>
          <w:lang w:eastAsia="en-GB"/>
        </w:rPr>
        <w:t>“</w:t>
      </w:r>
      <w:r w:rsidRPr="002D6975">
        <w:rPr>
          <w:rFonts w:ascii="Verdana" w:eastAsia="Times New Roman" w:hAnsi="Verdana" w:cs="Arial"/>
          <w:lang w:eastAsia="x-none"/>
        </w:rPr>
        <w:t>cualquier sistema que no implique convocatoria pública y posibilidad de pluralidad de oferentes</w:t>
      </w:r>
      <w:r w:rsidRPr="002D6975">
        <w:rPr>
          <w:rFonts w:ascii="Verdana" w:eastAsia="Times New Roman" w:hAnsi="Verdana" w:cs="Arial"/>
          <w:lang w:eastAsia="en-GB"/>
        </w:rPr>
        <w:t>”</w:t>
      </w:r>
      <w:r w:rsidRPr="002D6975">
        <w:rPr>
          <w:rFonts w:ascii="Verdana" w:eastAsia="Times New Roman" w:hAnsi="Verdana" w:cs="Arial"/>
          <w:lang w:eastAsia="x-none"/>
        </w:rPr>
        <w:t>, por lo que excluye las demás modalidades de contratación previstas en la Ley 1150 de 2007, es</w:t>
      </w:r>
      <w:r>
        <w:rPr>
          <w:rFonts w:ascii="Verdana" w:eastAsia="Times New Roman" w:hAnsi="Verdana" w:cs="Arial"/>
          <w:lang w:eastAsia="x-none"/>
        </w:rPr>
        <w:t>to es</w:t>
      </w:r>
      <w:r w:rsidRPr="002D6975">
        <w:rPr>
          <w:rFonts w:ascii="Verdana" w:eastAsia="Times New Roman" w:hAnsi="Verdana" w:cs="Arial"/>
          <w:lang w:eastAsia="x-none"/>
        </w:rPr>
        <w:t xml:space="preserve">, la licitación pública, la selección abreviada, el concurso de méritos </w:t>
      </w:r>
      <w:r w:rsidRPr="002D6975">
        <w:rPr>
          <w:rFonts w:ascii="Verdana" w:eastAsia="Times New Roman" w:hAnsi="Verdana" w:cs="Arial"/>
          <w:lang w:val="es-ES_tradnl" w:eastAsia="x-none"/>
        </w:rPr>
        <w:t xml:space="preserve">y la </w:t>
      </w:r>
      <w:r w:rsidRPr="002D6975">
        <w:rPr>
          <w:rFonts w:ascii="Verdana" w:eastAsia="Times New Roman" w:hAnsi="Verdana" w:cs="Arial"/>
          <w:lang w:val="es-ES_tradnl" w:eastAsia="x-none"/>
        </w:rPr>
        <w:lastRenderedPageBreak/>
        <w:t xml:space="preserve">mínima cuantía </w:t>
      </w:r>
      <w:r w:rsidRPr="002D6975">
        <w:rPr>
          <w:rFonts w:ascii="Verdana" w:eastAsia="Times New Roman" w:hAnsi="Verdana" w:cs="Arial"/>
          <w:lang w:eastAsia="x-none"/>
        </w:rPr>
        <w:t>u otros previstos en normas especiales. Esta posición es congruente con la expedición de la Ley 1150 de 2007 que, entre otras reformas, introdujo la selección abreviada, rediseñó el concurso de méritos</w:t>
      </w:r>
      <w:r w:rsidRPr="002D6975">
        <w:rPr>
          <w:rFonts w:ascii="Verdana" w:eastAsia="Times New Roman" w:hAnsi="Verdana" w:cs="Arial"/>
          <w:vertAlign w:val="superscript"/>
          <w:lang w:val="en-GB" w:eastAsia="x-none"/>
        </w:rPr>
        <w:footnoteReference w:id="15"/>
      </w:r>
      <w:r w:rsidRPr="002D6975">
        <w:rPr>
          <w:rFonts w:ascii="Verdana" w:eastAsia="Times New Roman" w:hAnsi="Verdana" w:cs="Arial"/>
          <w:lang w:eastAsia="x-none"/>
        </w:rPr>
        <w:t xml:space="preserve"> y sistematizó las causales de contratación directa</w:t>
      </w:r>
      <w:r w:rsidRPr="002D6975">
        <w:rPr>
          <w:rFonts w:ascii="Verdana" w:eastAsia="Times New Roman" w:hAnsi="Verdana" w:cs="Arial"/>
          <w:vertAlign w:val="superscript"/>
          <w:lang w:val="en-GB" w:eastAsia="x-none"/>
        </w:rPr>
        <w:footnoteReference w:id="16"/>
      </w:r>
      <w:r w:rsidRPr="002D6975">
        <w:rPr>
          <w:rFonts w:ascii="Verdana" w:eastAsia="Times New Roman" w:hAnsi="Verdana" w:cs="Arial"/>
          <w:lang w:eastAsia="x-none"/>
        </w:rPr>
        <w:t xml:space="preserve">, </w:t>
      </w:r>
      <w:r w:rsidRPr="002D6975">
        <w:rPr>
          <w:rFonts w:ascii="Verdana" w:eastAsia="Calibri" w:hAnsi="Verdana" w:cs="Arial"/>
          <w:lang w:eastAsia="x-none"/>
        </w:rPr>
        <w:t>además lo es con la posterior creación de la modalidad de mínima cuantía establecida actualmente en el numeral 5 del artículo 2 de la Ley 1150 de 2007, de acuerdo con las modificaciones realizadas por leyes posteriores.</w:t>
      </w:r>
    </w:p>
    <w:p w14:paraId="29F16512" w14:textId="77777777" w:rsidR="00D241FB" w:rsidRPr="002D6975" w:rsidRDefault="00D241FB" w:rsidP="00D241FB">
      <w:pPr>
        <w:spacing w:after="120" w:line="276" w:lineRule="auto"/>
        <w:ind w:firstLine="709"/>
        <w:jc w:val="both"/>
        <w:rPr>
          <w:rFonts w:ascii="Verdana" w:eastAsia="Times New Roman" w:hAnsi="Verdana" w:cs="Arial"/>
          <w:lang w:val="es-MX" w:eastAsia="x-none"/>
        </w:rPr>
      </w:pPr>
      <w:r w:rsidRPr="002D6975">
        <w:rPr>
          <w:rFonts w:ascii="Verdana" w:eastAsia="Times New Roman" w:hAnsi="Verdana" w:cs="Arial"/>
          <w:lang w:eastAsia="x-none"/>
        </w:rPr>
        <w:t xml:space="preserve">De esta forma, con fundamento en la evolución de la normativa sobre la contratación pública, se ha depurado la noción de </w:t>
      </w:r>
      <w:r w:rsidRPr="00F31AC8">
        <w:rPr>
          <w:rFonts w:ascii="Verdana" w:eastAsia="Times New Roman" w:hAnsi="Verdana" w:cs="Arial"/>
          <w:lang w:eastAsia="en-GB"/>
        </w:rPr>
        <w:t>“</w:t>
      </w:r>
      <w:r w:rsidRPr="002D6975">
        <w:rPr>
          <w:rFonts w:ascii="Verdana" w:eastAsia="Times New Roman" w:hAnsi="Verdana" w:cs="Arial"/>
          <w:lang w:eastAsia="x-none"/>
        </w:rPr>
        <w:t>contratación directa</w:t>
      </w:r>
      <w:r w:rsidRPr="002D6975">
        <w:rPr>
          <w:rFonts w:ascii="Verdana" w:eastAsia="Times New Roman" w:hAnsi="Verdana" w:cs="Arial"/>
          <w:lang w:eastAsia="en-GB"/>
        </w:rPr>
        <w:t>”</w:t>
      </w:r>
      <w:r w:rsidRPr="002D6975">
        <w:rPr>
          <w:rFonts w:ascii="Verdana" w:eastAsia="Times New Roman" w:hAnsi="Verdana" w:cs="Arial"/>
          <w:lang w:eastAsia="x-none"/>
        </w:rPr>
        <w:t>, precisando el Consejo de Estado –en el concepto citado– que, “aun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2D6975">
        <w:rPr>
          <w:rFonts w:ascii="Verdana" w:eastAsia="Times New Roman" w:hAnsi="Verdana" w:cs="Arial"/>
          <w:vertAlign w:val="superscript"/>
          <w:lang w:val="en-GB" w:eastAsia="x-none"/>
        </w:rPr>
        <w:footnoteReference w:id="17"/>
      </w:r>
      <w:r w:rsidRPr="002D6975">
        <w:rPr>
          <w:rFonts w:ascii="Verdana" w:eastAsia="Times New Roman" w:hAnsi="Verdana" w:cs="Arial"/>
          <w:lang w:eastAsia="x-none"/>
        </w:rPr>
        <w:t>, han establecido sistemas de contratación que implican convocatoria pública y participación de varios oferentes</w:t>
      </w:r>
      <w:r w:rsidRPr="002D6975">
        <w:rPr>
          <w:rFonts w:ascii="Verdana" w:eastAsia="Times New Roman" w:hAnsi="Verdana" w:cs="Arial"/>
          <w:lang w:eastAsia="en-GB"/>
        </w:rPr>
        <w:t>”</w:t>
      </w:r>
      <w:r w:rsidRPr="002D6975">
        <w:rPr>
          <w:rFonts w:ascii="Verdana" w:eastAsia="Times New Roman" w:hAnsi="Verdana" w:cs="Arial"/>
          <w:lang w:eastAsia="x-none"/>
        </w:rPr>
        <w:t xml:space="preserve">. </w:t>
      </w:r>
    </w:p>
    <w:p w14:paraId="2CBF2806" w14:textId="77777777" w:rsidR="00D241FB" w:rsidRPr="002D6975" w:rsidRDefault="00D241FB" w:rsidP="00D241FB">
      <w:pPr>
        <w:spacing w:after="120" w:line="276" w:lineRule="auto"/>
        <w:ind w:firstLine="709"/>
        <w:jc w:val="both"/>
        <w:rPr>
          <w:rFonts w:ascii="Verdana" w:eastAsia="Times New Roman" w:hAnsi="Verdana" w:cs="Arial"/>
          <w:bCs/>
          <w:lang w:val="es-MX" w:eastAsia="es-CO"/>
        </w:rPr>
      </w:pPr>
      <w:r w:rsidRPr="002D6975">
        <w:rPr>
          <w:rFonts w:ascii="Verdana" w:eastAsia="Times New Roman" w:hAnsi="Verdana" w:cs="Arial"/>
          <w:bCs/>
          <w:lang w:val="es-MX" w:eastAsia="x-none"/>
        </w:rPr>
        <w:t>E</w:t>
      </w:r>
      <w:r w:rsidRPr="002D6975">
        <w:rPr>
          <w:rFonts w:ascii="Verdana" w:eastAsia="Times New Roman" w:hAnsi="Verdana" w:cs="Arial"/>
          <w:lang w:eastAsia="x-none"/>
        </w:rPr>
        <w:t>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“contratación directa”, es que la convocatoria para inscribirse en forma previa se haga de manera pública, y que se permita la participación de una pluralidad de oferentes</w:t>
      </w:r>
      <w:r w:rsidRPr="002D6975">
        <w:rPr>
          <w:rFonts w:ascii="Verdana" w:eastAsia="Times New Roman" w:hAnsi="Verdana" w:cs="Arial"/>
          <w:vertAlign w:val="superscript"/>
          <w:lang w:eastAsia="x-none"/>
        </w:rPr>
        <w:footnoteReference w:id="18"/>
      </w:r>
      <w:r w:rsidRPr="002D6975">
        <w:rPr>
          <w:rFonts w:ascii="Verdana" w:eastAsia="Times New Roman" w:hAnsi="Verdana" w:cs="Arial"/>
          <w:lang w:eastAsia="x-none"/>
        </w:rPr>
        <w:t xml:space="preserve">. </w:t>
      </w:r>
    </w:p>
    <w:p w14:paraId="3C6F48C5" w14:textId="77777777" w:rsidR="00D241FB" w:rsidRPr="002D6975" w:rsidRDefault="00D241FB" w:rsidP="00D241FB">
      <w:pPr>
        <w:spacing w:after="120" w:line="276" w:lineRule="auto"/>
        <w:ind w:firstLine="709"/>
        <w:jc w:val="both"/>
        <w:rPr>
          <w:rFonts w:ascii="Verdana" w:eastAsia="Times New Roman" w:hAnsi="Verdana" w:cs="Arial"/>
          <w:bCs/>
          <w:lang w:val="es-MX" w:eastAsia="es-CO"/>
        </w:rPr>
      </w:pPr>
      <w:r w:rsidRPr="002D6975">
        <w:rPr>
          <w:rFonts w:ascii="Verdana" w:eastAsia="Times New Roman" w:hAnsi="Verdana" w:cs="Arial"/>
          <w:bCs/>
          <w:lang w:val="es-MX" w:eastAsia="es-CO"/>
        </w:rPr>
        <w:t>Como se advierte de lo anterior, el Consejo de Estado realiza una interpretación amplia de la contratación directa, para efectos de aplicar las restricciones establecidas en la Ley de Garantías</w:t>
      </w:r>
      <w:r>
        <w:rPr>
          <w:rFonts w:ascii="Verdana" w:eastAsia="Times New Roman" w:hAnsi="Verdana" w:cs="Arial"/>
          <w:bCs/>
          <w:lang w:val="es-MX" w:eastAsia="es-CO"/>
        </w:rPr>
        <w:t xml:space="preserve"> Electorales</w:t>
      </w:r>
      <w:r w:rsidRPr="002D6975">
        <w:rPr>
          <w:rFonts w:ascii="Verdana" w:eastAsia="Times New Roman" w:hAnsi="Verdana" w:cs="Arial"/>
          <w:bCs/>
          <w:lang w:val="es-MX" w:eastAsia="es-CO"/>
        </w:rPr>
        <w:t xml:space="preserve">, al señalar que no solo aplica frente a las entidades sometidas al Estatuto general de Contratación </w:t>
      </w:r>
      <w:r w:rsidRPr="002D6975">
        <w:rPr>
          <w:rFonts w:ascii="Verdana" w:eastAsia="Times New Roman" w:hAnsi="Verdana" w:cs="Arial"/>
          <w:bCs/>
          <w:lang w:val="es-MX" w:eastAsia="es-CO"/>
        </w:rPr>
        <w:lastRenderedPageBreak/>
        <w:t>de la Administración Pública, sino también frente a las entidades que tengan un régimen especial de contratación. No obstante, también se observa que luego de la expedición de Ley 1150 de 2007, el Consejo de Estado comenzó a delimitar con mayor precisión el término de “contratación directa”.</w:t>
      </w:r>
    </w:p>
    <w:p w14:paraId="14477833" w14:textId="77777777" w:rsidR="00D241FB" w:rsidRPr="002D6975" w:rsidRDefault="00D241FB" w:rsidP="00D241FB">
      <w:pPr>
        <w:spacing w:after="120" w:line="276" w:lineRule="auto"/>
        <w:ind w:firstLine="709"/>
        <w:jc w:val="both"/>
        <w:rPr>
          <w:rFonts w:ascii="Verdana" w:eastAsia="Times New Roman" w:hAnsi="Verdana" w:cs="Arial"/>
          <w:bCs/>
          <w:lang w:val="es-MX" w:eastAsia="x-none"/>
        </w:rPr>
      </w:pPr>
      <w:r w:rsidRPr="002D6975">
        <w:rPr>
          <w:rFonts w:ascii="Verdana" w:eastAsia="Times New Roman" w:hAnsi="Verdana" w:cs="Arial"/>
          <w:bCs/>
          <w:lang w:val="es-MX" w:eastAsia="x-none"/>
        </w:rPr>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2D6975">
        <w:rPr>
          <w:rFonts w:ascii="Verdana" w:eastAsia="Times New Roman" w:hAnsi="Verdana" w:cs="Arial"/>
          <w:vertAlign w:val="superscript"/>
          <w:lang w:eastAsia="x-none"/>
        </w:rPr>
        <w:footnoteReference w:id="19"/>
      </w:r>
      <w:r w:rsidRPr="002D6975">
        <w:rPr>
          <w:rFonts w:ascii="Verdana" w:eastAsia="Times New Roman" w:hAnsi="Verdana" w:cs="Arial"/>
          <w:bCs/>
          <w:lang w:val="es-MX" w:eastAsia="x-none"/>
        </w:rPr>
        <w:t>.</w:t>
      </w:r>
      <w:r w:rsidRPr="002D6975">
        <w:rPr>
          <w:rFonts w:ascii="Verdana" w:eastAsia="Times New Roman" w:hAnsi="Verdana" w:cs="Arial"/>
          <w:vertAlign w:val="superscript"/>
          <w:lang w:val="es-MX" w:eastAsia="x-none"/>
        </w:rPr>
        <w:t xml:space="preserve"> </w:t>
      </w:r>
    </w:p>
    <w:p w14:paraId="14DAECB6" w14:textId="77777777" w:rsidR="00D241FB" w:rsidRPr="002D6975" w:rsidRDefault="00D241FB" w:rsidP="00D241FB">
      <w:pPr>
        <w:spacing w:after="120" w:line="276" w:lineRule="auto"/>
        <w:ind w:firstLine="709"/>
        <w:jc w:val="both"/>
        <w:rPr>
          <w:rFonts w:ascii="Verdana" w:eastAsia="Times New Roman" w:hAnsi="Verdana" w:cs="Arial"/>
          <w:lang w:eastAsia="x-none"/>
        </w:rPr>
      </w:pPr>
      <w:r w:rsidRPr="002D6975">
        <w:rPr>
          <w:rFonts w:ascii="Verdana" w:eastAsia="Times New Roman" w:hAnsi="Verdana" w:cs="Arial"/>
          <w:bCs/>
          <w:lang w:val="es-MX" w:eastAsia="x-none"/>
        </w:rPr>
        <w:t>De lo anterior se desprende que la restricción aplica, sin perjuicio de las excepciones establecidas en la misma Ley, para celebrar cualquier contrato de forma directa, esto es, sin que exista un proceso abierto y competitivo.</w:t>
      </w:r>
      <w:r w:rsidRPr="002D6975">
        <w:rPr>
          <w:rFonts w:ascii="Verdana" w:eastAsia="Times New Roman" w:hAnsi="Verdana" w:cs="Arial"/>
          <w:lang w:eastAsia="x-none"/>
        </w:rPr>
        <w:t xml:space="preserve">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estos sistemas.</w:t>
      </w:r>
    </w:p>
    <w:p w14:paraId="2DB7ADBA" w14:textId="77777777" w:rsidR="00D241FB" w:rsidRDefault="00D241FB" w:rsidP="00D241FB">
      <w:pPr>
        <w:spacing w:after="120" w:line="276" w:lineRule="auto"/>
        <w:ind w:firstLine="709"/>
        <w:jc w:val="both"/>
        <w:rPr>
          <w:rFonts w:ascii="Verdana" w:eastAsia="Times New Roman" w:hAnsi="Verdana" w:cs="Arial"/>
          <w:bCs/>
          <w:lang w:val="es-MX" w:eastAsia="es-CO"/>
        </w:rPr>
      </w:pPr>
      <w:r w:rsidRPr="002D6975">
        <w:rPr>
          <w:rFonts w:ascii="Verdana" w:eastAsia="Times New Roman" w:hAnsi="Verdana" w:cs="Arial"/>
          <w:bCs/>
          <w:lang w:val="es-MX" w:eastAsia="x-none"/>
        </w:rPr>
        <w:t>De otro lado, las excepciones a la restricción prevista en la Ley de Garantías, con fundamento en las cuales podrán las entidades públicas adelantar procedimientos de selección directa en períodos previos a la contienda electoral por la Presidencia, se encuentran consagradas expresamente en el inciso final del citado artículo 33 de la Ley 996 de 2005 en lo referente a i) la defensa y seguridad del Estado; ii) los contratos de crédito público; iii) los requeridos para cubrir las emergencias educativas, sanitarias y desastres; iv)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2D6975">
        <w:rPr>
          <w:rFonts w:ascii="Verdana" w:eastAsia="Times New Roman" w:hAnsi="Verdana" w:cs="Arial"/>
          <w:bCs/>
          <w:lang w:val="es-MX" w:eastAsia="es-CO"/>
        </w:rPr>
        <w:t xml:space="preserve"> </w:t>
      </w:r>
    </w:p>
    <w:p w14:paraId="7A908777" w14:textId="77777777" w:rsidR="00D241FB" w:rsidRDefault="00D241FB" w:rsidP="00D241FB">
      <w:pPr>
        <w:spacing w:after="0" w:line="276" w:lineRule="auto"/>
        <w:ind w:firstLine="709"/>
        <w:jc w:val="both"/>
        <w:rPr>
          <w:rFonts w:ascii="Verdana" w:eastAsia="Times New Roman" w:hAnsi="Verdana" w:cs="Arial"/>
          <w:bCs/>
          <w:lang w:val="es-MX" w:eastAsia="x-none"/>
        </w:rPr>
      </w:pPr>
      <w:r>
        <w:rPr>
          <w:rFonts w:ascii="Verdana" w:eastAsia="Times New Roman" w:hAnsi="Verdana" w:cs="Arial"/>
          <w:bCs/>
          <w:lang w:val="es-MX" w:eastAsia="es-CO"/>
        </w:rPr>
        <w:t>Conforme a dichas causales, e</w:t>
      </w:r>
      <w:r w:rsidRPr="002D6975">
        <w:rPr>
          <w:rFonts w:ascii="Verdana" w:eastAsia="Times New Roman" w:hAnsi="Verdana" w:cs="Arial"/>
          <w:bCs/>
          <w:lang w:val="es-MX" w:eastAsia="es-CO"/>
        </w:rPr>
        <w:t xml:space="preserve">s responsabilidad del respectivo ente del Estado examinar en cada caso la naturaleza de las actividades que adelanta y determinar si las mismas se enmarcan en alguna de las mencionadas excepciones, de manera que se le permita realizar la contratación que necesite </w:t>
      </w:r>
      <w:r w:rsidRPr="002D6975">
        <w:rPr>
          <w:rFonts w:ascii="Verdana" w:eastAsia="Times New Roman" w:hAnsi="Verdana" w:cs="Arial"/>
          <w:bCs/>
          <w:lang w:val="es-MX" w:eastAsia="es-CO"/>
        </w:rPr>
        <w:lastRenderedPageBreak/>
        <w:t>en forma directa.</w:t>
      </w:r>
      <w:r>
        <w:rPr>
          <w:rFonts w:ascii="Verdana" w:eastAsia="Times New Roman" w:hAnsi="Verdana" w:cs="Arial"/>
          <w:bCs/>
          <w:lang w:val="es-MX" w:eastAsia="x-none"/>
        </w:rPr>
        <w:t xml:space="preserve"> En esta labor es importante tener en cuenta, como lo anotó la Corte Constitucional, en Sentencia C-1153 de noviembre 11 de 2005, que “si bien la limitación garantiza la igualdad de condiciones, también es necesario que tal limitación que pretende la igualdad no termine yendo en detrimento de intereses públicos, cuya garantía está en cabeza del ejecutivo, como son los inmersos en las excepciones para la prohibición de contratación”</w:t>
      </w:r>
      <w:r>
        <w:rPr>
          <w:rFonts w:ascii="Verdana" w:eastAsia="Calibri" w:hAnsi="Verdana" w:cs="Arial"/>
          <w:vertAlign w:val="superscript"/>
          <w:lang w:val="es-MX"/>
        </w:rPr>
        <w:footnoteReference w:id="20"/>
      </w:r>
      <w:r>
        <w:rPr>
          <w:rFonts w:ascii="Verdana" w:eastAsia="Times New Roman" w:hAnsi="Verdana" w:cs="Arial"/>
          <w:bCs/>
          <w:lang w:val="es-MX" w:eastAsia="x-none"/>
        </w:rPr>
        <w:t>. De ahí que la Corte haya señalado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p>
    <w:p w14:paraId="15A9EAB3" w14:textId="77777777" w:rsidR="00D241FB" w:rsidRDefault="00D241FB" w:rsidP="00D241FB">
      <w:pPr>
        <w:spacing w:after="0" w:line="276" w:lineRule="auto"/>
        <w:jc w:val="both"/>
        <w:rPr>
          <w:rFonts w:ascii="Verdana" w:eastAsia="Times New Roman" w:hAnsi="Verdana" w:cs="Arial"/>
          <w:bCs/>
          <w:lang w:val="es-MX" w:eastAsia="x-none"/>
        </w:rPr>
      </w:pPr>
    </w:p>
    <w:p w14:paraId="329DA248" w14:textId="77777777" w:rsidR="00D241FB" w:rsidRDefault="00D241FB" w:rsidP="00D241FB">
      <w:pPr>
        <w:spacing w:after="0" w:line="276" w:lineRule="auto"/>
        <w:jc w:val="both"/>
        <w:rPr>
          <w:rFonts w:ascii="Verdana" w:eastAsia="Times New Roman" w:hAnsi="Verdana" w:cs="Arial"/>
          <w:bCs/>
          <w:lang w:val="es-MX" w:eastAsia="x-none"/>
        </w:rPr>
      </w:pPr>
      <w:r>
        <w:rPr>
          <w:rFonts w:ascii="Verdana" w:eastAsia="Times New Roman" w:hAnsi="Verdana" w:cs="Arial"/>
          <w:bCs/>
          <w:lang w:val="es-MX" w:eastAsia="x-none"/>
        </w:rPr>
        <w:t>En relación con los destinatarios de la restricción analizada, el artículo 33 de la Ley 996 de 2005 los señala expresamente, en el sentido de que son “todos los entes del Estado”, expresión que contempla a los diferentes organismos o entidades autorizadas por la ley para suscribir contratos.</w:t>
      </w:r>
      <w:r>
        <w:rPr>
          <w:rFonts w:ascii="Verdana" w:eastAsia="Calibri" w:hAnsi="Verdana" w:cs="Arial"/>
          <w:sz w:val="24"/>
          <w:lang w:val="es-MX"/>
        </w:rPr>
        <w:t xml:space="preserve"> </w:t>
      </w:r>
      <w:r>
        <w:rPr>
          <w:rFonts w:ascii="Verdana" w:eastAsia="Times New Roman" w:hAnsi="Verdana" w:cs="Arial"/>
          <w:bCs/>
          <w:lang w:val="es-MX" w:eastAsia="x-none"/>
        </w:rPr>
        <w:t>En efecto, tal como lo ha sostenido el Consejo de Estado, el vocablo “todos” utilizado por el legislador comprende</w:t>
      </w:r>
      <w:r>
        <w:rPr>
          <w:rFonts w:ascii="Verdana" w:eastAsia="Calibri" w:hAnsi="Verdana" w:cs="Arial"/>
          <w:sz w:val="24"/>
          <w:lang w:val="es-MX"/>
        </w:rPr>
        <w:t xml:space="preserve"> </w:t>
      </w:r>
      <w:r>
        <w:rPr>
          <w:rFonts w:ascii="Verdana" w:eastAsia="Times New Roman" w:hAnsi="Verdana" w:cs="Arial"/>
          <w:bCs/>
          <w:lang w:val="es-MX" w:eastAsia="x-none"/>
        </w:rPr>
        <w:t xml:space="preserve">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Al respecto, </w:t>
      </w:r>
      <w:r>
        <w:rPr>
          <w:rFonts w:ascii="Verdana" w:eastAsia="Times New Roman" w:hAnsi="Verdana" w:cs="Arial"/>
          <w:bCs/>
          <w:lang w:val="es-ES_tradnl" w:eastAsia="x-none"/>
        </w:rPr>
        <w:t xml:space="preserve">la Sala de Consulta y Servicio Civil del Consejo de Estado, en Concepto 1727 de fecha 20 de febrero de 2006, consideró que: </w:t>
      </w:r>
    </w:p>
    <w:p w14:paraId="6467620C" w14:textId="77777777" w:rsidR="00D241FB" w:rsidRDefault="00D241FB" w:rsidP="00D241FB">
      <w:pPr>
        <w:spacing w:after="0" w:line="276" w:lineRule="auto"/>
        <w:jc w:val="both"/>
        <w:rPr>
          <w:rFonts w:ascii="Verdana" w:eastAsia="Times New Roman" w:hAnsi="Verdana" w:cs="Arial"/>
          <w:bCs/>
          <w:lang w:val="es-MX" w:eastAsia="x-none"/>
        </w:rPr>
      </w:pPr>
    </w:p>
    <w:p w14:paraId="6D29418B" w14:textId="77777777" w:rsidR="00D241FB" w:rsidRDefault="00D241FB" w:rsidP="00D241FB">
      <w:pPr>
        <w:spacing w:after="0" w:line="240" w:lineRule="auto"/>
        <w:ind w:left="709" w:right="709"/>
        <w:jc w:val="both"/>
        <w:rPr>
          <w:rFonts w:ascii="Verdana" w:eastAsia="Times New Roman" w:hAnsi="Verdana" w:cs="Arial"/>
          <w:bCs/>
          <w:sz w:val="20"/>
          <w:szCs w:val="20"/>
          <w:lang w:val="es-MX" w:eastAsia="es-CO"/>
        </w:rPr>
      </w:pPr>
      <w:r>
        <w:rPr>
          <w:rFonts w:ascii="Verdana" w:eastAsia="Times New Roman" w:hAnsi="Verdana" w:cs="Arial"/>
          <w:bCs/>
          <w:sz w:val="20"/>
          <w:szCs w:val="20"/>
          <w:lang w:val="es-MX" w:eastAsia="x-none"/>
        </w:rPr>
        <w:t>“El artículo 33 de la ley 996 de 2005, efectivamente se aplica incluso a las entidades estatales con régimen especial de contratación y que están exceptuadas del ámbito de aplicación del Estatuto General de Contratación de la Administración Pública, como por ejemplo los prestadores de servicios públicos domiciliarios (empresas de servicios públicos oficiales y empresas industriales y comerciales del Estado) y a los municipios prestadores directos, incluyendo las excepciones contenidas en el segundo inciso de esta norma”</w:t>
      </w:r>
      <w:r>
        <w:rPr>
          <w:rFonts w:ascii="Verdana" w:eastAsia="Times New Roman" w:hAnsi="Verdana" w:cs="Arial"/>
          <w:bCs/>
          <w:sz w:val="20"/>
          <w:szCs w:val="20"/>
          <w:vertAlign w:val="superscript"/>
          <w:lang w:val="es-MX" w:eastAsia="x-none"/>
        </w:rPr>
        <w:footnoteReference w:id="21"/>
      </w:r>
      <w:r>
        <w:rPr>
          <w:rFonts w:ascii="Verdana" w:eastAsia="Times New Roman" w:hAnsi="Verdana" w:cs="Arial"/>
          <w:bCs/>
          <w:sz w:val="20"/>
          <w:szCs w:val="20"/>
          <w:lang w:val="es-MX" w:eastAsia="x-none"/>
        </w:rPr>
        <w:t>.</w:t>
      </w:r>
      <w:r>
        <w:rPr>
          <w:rFonts w:ascii="Verdana" w:eastAsia="Times New Roman" w:hAnsi="Verdana" w:cs="Arial"/>
          <w:bCs/>
          <w:sz w:val="20"/>
          <w:szCs w:val="20"/>
          <w:lang w:val="es-MX" w:eastAsia="es-CO"/>
        </w:rPr>
        <w:t xml:space="preserve"> </w:t>
      </w:r>
    </w:p>
    <w:p w14:paraId="62C473DF" w14:textId="77777777" w:rsidR="00D241FB" w:rsidRPr="00CF5D82" w:rsidRDefault="00D241FB" w:rsidP="00D241FB">
      <w:pPr>
        <w:spacing w:after="0" w:line="276" w:lineRule="auto"/>
        <w:ind w:firstLine="708"/>
        <w:jc w:val="both"/>
        <w:rPr>
          <w:rFonts w:ascii="Verdana" w:eastAsia="Times New Roman" w:hAnsi="Verdana" w:cs="Arial"/>
          <w:bCs/>
          <w:lang w:val="es-MX" w:eastAsia="es-CO"/>
        </w:rPr>
      </w:pPr>
    </w:p>
    <w:p w14:paraId="259E0DF3" w14:textId="77777777" w:rsidR="00D241FB" w:rsidRPr="00CF5D82" w:rsidRDefault="00D241FB" w:rsidP="00D241FB">
      <w:pPr>
        <w:spacing w:after="0" w:line="276" w:lineRule="auto"/>
        <w:ind w:firstLine="708"/>
        <w:jc w:val="both"/>
        <w:rPr>
          <w:rFonts w:ascii="Verdana" w:eastAsia="Calibri" w:hAnsi="Verdana" w:cs="Arial"/>
          <w:lang w:val="es-MX"/>
        </w:rPr>
      </w:pPr>
      <w:r w:rsidRPr="00CF5D82">
        <w:rPr>
          <w:rFonts w:ascii="Verdana" w:eastAsia="Times New Roman" w:hAnsi="Verdana" w:cs="Arial"/>
          <w:bCs/>
          <w:lang w:val="es-MX" w:eastAsia="x-none"/>
        </w:rPr>
        <w:t>De igual forma, en Concepto con radicado 1738 del 6 de abril de 2006, esa misma Corporación manifestó que: “Las restricciones de la Ley de Garantías en materia de contratación directa y celebración de convenios interadministrativos, se aplican a las empresas industriales y comerciales del Estado y a las Sociedades de Economía Mixta, salvo cuando la celebración de un convenio interadministrativo sea ordenada, para ambas partes, por el Legislador”</w:t>
      </w:r>
      <w:r w:rsidRPr="00F31AC8">
        <w:rPr>
          <w:rFonts w:ascii="Verdana" w:eastAsia="Calibri" w:hAnsi="Verdana" w:cs="Arial"/>
          <w:vertAlign w:val="superscript"/>
          <w:lang w:val="es-MX"/>
        </w:rPr>
        <w:footnoteReference w:id="22"/>
      </w:r>
      <w:r w:rsidRPr="00CF5D82">
        <w:rPr>
          <w:rFonts w:ascii="Verdana" w:eastAsia="Times New Roman" w:hAnsi="Verdana" w:cs="Arial"/>
          <w:bCs/>
          <w:lang w:val="es-MX" w:eastAsia="x-none"/>
        </w:rPr>
        <w:t>.</w:t>
      </w:r>
      <w:r w:rsidRPr="00CF5D82">
        <w:rPr>
          <w:rFonts w:ascii="Verdana" w:eastAsia="Calibri" w:hAnsi="Verdana" w:cs="Arial"/>
          <w:lang w:val="es-MX"/>
        </w:rPr>
        <w:t xml:space="preserve"> Además, la Sala de Consulta y Servicio Civil del Consejo de Estado realizó la siguiente distinción, retomando el pronunciamiento de la misma sala del 20 de febrero de 2006, citado anteriormente:</w:t>
      </w:r>
    </w:p>
    <w:p w14:paraId="3B89F83F" w14:textId="77777777" w:rsidR="00D241FB" w:rsidRPr="00CF5D82" w:rsidRDefault="00D241FB" w:rsidP="00D241FB">
      <w:pPr>
        <w:spacing w:after="0" w:line="276" w:lineRule="auto"/>
        <w:jc w:val="both"/>
        <w:rPr>
          <w:rFonts w:ascii="Verdana" w:eastAsia="Calibri" w:hAnsi="Verdana" w:cs="Arial"/>
          <w:lang w:val="es-MX"/>
        </w:rPr>
      </w:pPr>
    </w:p>
    <w:p w14:paraId="370561FA" w14:textId="77777777" w:rsidR="00D241FB" w:rsidRPr="00CF5D82" w:rsidRDefault="00D241FB" w:rsidP="00D241FB">
      <w:pPr>
        <w:spacing w:after="0" w:line="240" w:lineRule="auto"/>
        <w:ind w:left="708" w:right="709"/>
        <w:jc w:val="both"/>
        <w:rPr>
          <w:rFonts w:ascii="Verdana" w:eastAsia="Calibri" w:hAnsi="Verdana" w:cs="Arial"/>
          <w:sz w:val="20"/>
          <w:szCs w:val="20"/>
          <w:lang w:val="es-MX"/>
        </w:rPr>
      </w:pPr>
      <w:r w:rsidRPr="00CF5D82">
        <w:rPr>
          <w:rFonts w:ascii="Verdana" w:eastAsia="Calibri" w:hAnsi="Verdana" w:cs="Arial"/>
          <w:sz w:val="20"/>
          <w:szCs w:val="20"/>
          <w:lang w:val="es-MX"/>
        </w:rPr>
        <w:t>“En el concepto No. 1727 de fecha 20 de febrero de 2006, ésta Sala distinguió dos clases de contratos en relación con las empresas de servicios públicos domiciliarios: unos, en los que la posición de la empresa es la de consumidora de las prestaciones objeto del contrato, que utiliza para la prestación de los servicios a su cargo, y los otros, en los que la empresa entrega esos servicios a los usuarios, conforme a unas reglas uniformes para todos ellos y sin que haya privilegios o tratos desiguales. En los primeros contratos, es claro que la empresa debe adquirir esos bienes previa licitación pública, según se expuso anteriormente, pero en el segundo caso,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p>
    <w:p w14:paraId="648C8C89" w14:textId="77777777" w:rsidR="00D241FB" w:rsidRPr="00F31AC8" w:rsidRDefault="00D241FB" w:rsidP="00D241FB">
      <w:pPr>
        <w:spacing w:after="0" w:line="240" w:lineRule="auto"/>
        <w:ind w:right="709"/>
        <w:jc w:val="both"/>
        <w:rPr>
          <w:rFonts w:ascii="Verdana" w:eastAsia="Calibri" w:hAnsi="Verdana" w:cs="Arial"/>
          <w:sz w:val="20"/>
          <w:szCs w:val="20"/>
          <w:lang w:val="es-MX"/>
        </w:rPr>
      </w:pPr>
      <w:r w:rsidRPr="00CF5D82">
        <w:rPr>
          <w:rFonts w:ascii="Verdana" w:eastAsia="Calibri" w:hAnsi="Verdana" w:cs="Arial"/>
          <w:sz w:val="20"/>
          <w:szCs w:val="20"/>
          <w:lang w:val="es-MX"/>
        </w:rPr>
        <w:tab/>
      </w:r>
    </w:p>
    <w:p w14:paraId="7EF84001" w14:textId="77777777" w:rsidR="00D241FB" w:rsidRPr="00CF5D82" w:rsidRDefault="00D241FB" w:rsidP="00D241FB">
      <w:pPr>
        <w:spacing w:after="0" w:line="240" w:lineRule="auto"/>
        <w:ind w:left="708" w:right="709"/>
        <w:jc w:val="both"/>
        <w:rPr>
          <w:rFonts w:ascii="Verdana" w:eastAsia="Calibri" w:hAnsi="Verdana" w:cs="Arial"/>
          <w:sz w:val="20"/>
          <w:szCs w:val="20"/>
          <w:lang w:val="es-MX"/>
        </w:rPr>
      </w:pPr>
      <w:r w:rsidRPr="00CF5D82">
        <w:rPr>
          <w:rFonts w:ascii="Verdana" w:eastAsia="Times New Roman" w:hAnsi="Verdana" w:cs="Arial"/>
          <w:bCs/>
          <w:sz w:val="20"/>
          <w:szCs w:val="20"/>
          <w:lang w:val="es-MX" w:eastAsia="x-none"/>
        </w:rPr>
        <w:t xml:space="preserve">Aplicando este razonamiento a los establecimientos de crédito, a las sociedades de servicios financieros y a las entidades aseguradoras, encontramos que no pueden adquirir los suministros de bienes y servicios necesarios para la realización de su actividad por contratación directa sino por el mecanismo de la licitación pública, pero es obvio que si una de éstas entidades va a prestar un servicio financiero o de seguros a un particular, lo puede hacer, pues éstos se ofrecen a toda la comunidad en condiciones de igualdad. Si se supusiera que está prohibida su contratación directa, </w:t>
      </w:r>
      <w:r w:rsidRPr="00CF5D82">
        <w:rPr>
          <w:rFonts w:ascii="Verdana" w:eastAsia="Times New Roman" w:hAnsi="Verdana" w:cs="Arial"/>
          <w:bCs/>
          <w:sz w:val="20"/>
          <w:szCs w:val="20"/>
          <w:lang w:val="es-MX" w:eastAsia="x-none"/>
        </w:rPr>
        <w:lastRenderedPageBreak/>
        <w:t>significaría la parálisis de tal actividad de interés público, lo que de ninguna manera es lo querido por la ley 996 de 2005”</w:t>
      </w:r>
      <w:r w:rsidRPr="00CF5D82">
        <w:rPr>
          <w:rFonts w:ascii="Verdana" w:eastAsia="Calibri" w:hAnsi="Verdana" w:cs="Arial"/>
          <w:sz w:val="20"/>
          <w:szCs w:val="20"/>
          <w:vertAlign w:val="superscript"/>
          <w:lang w:val="es-MX"/>
        </w:rPr>
        <w:footnoteReference w:id="23"/>
      </w:r>
      <w:r w:rsidRPr="00CF5D82">
        <w:rPr>
          <w:rFonts w:ascii="Verdana" w:eastAsia="Times New Roman" w:hAnsi="Verdana" w:cs="Arial"/>
          <w:bCs/>
          <w:sz w:val="20"/>
          <w:szCs w:val="20"/>
          <w:lang w:val="es-MX" w:eastAsia="x-none"/>
        </w:rPr>
        <w:t>.</w:t>
      </w:r>
    </w:p>
    <w:p w14:paraId="14BC5735" w14:textId="77777777" w:rsidR="00D241FB" w:rsidRDefault="00D241FB" w:rsidP="00D241FB">
      <w:pPr>
        <w:spacing w:after="0" w:line="276" w:lineRule="auto"/>
        <w:jc w:val="both"/>
        <w:rPr>
          <w:rFonts w:ascii="Verdana" w:eastAsia="Calibri" w:hAnsi="Verdana" w:cs="Arial"/>
          <w:lang w:val="es-MX"/>
        </w:rPr>
      </w:pPr>
    </w:p>
    <w:p w14:paraId="186A5503" w14:textId="77777777" w:rsidR="00D241FB" w:rsidRDefault="00D241FB" w:rsidP="00D241FB">
      <w:pPr>
        <w:spacing w:after="120" w:line="276" w:lineRule="auto"/>
        <w:ind w:firstLine="709"/>
        <w:jc w:val="both"/>
        <w:rPr>
          <w:rFonts w:ascii="Verdana" w:eastAsia="Times New Roman" w:hAnsi="Verdana" w:cs="Arial"/>
          <w:lang w:eastAsia="es-CO"/>
        </w:rPr>
      </w:pPr>
      <w:r>
        <w:rPr>
          <w:rFonts w:ascii="Verdana" w:eastAsia="Calibri" w:hAnsi="Verdana" w:cs="Arial"/>
          <w:lang w:val="es-MX"/>
        </w:rPr>
        <w:t xml:space="preserve">De acuerdo con estos pronunciamientos de la Sala de Consulta y Servicio Civil del Consejo de Estado, la prohibición de la contratación directa también aplica frente a las entidades exceptuadas de la aplicación del Estatuto General de Contratación de la Administración Pública y que se rigen en materia contractual por el derecho privado. Sin embargo, señaló que algunas de estas entidades, como sucede con las empresas de servicios públicos domiciliarios, los </w:t>
      </w:r>
      <w:r>
        <w:rPr>
          <w:rFonts w:ascii="Verdana" w:eastAsia="Times New Roman" w:hAnsi="Verdana" w:cs="Arial"/>
          <w:bCs/>
          <w:lang w:val="es-MX" w:eastAsia="x-none"/>
        </w:rPr>
        <w:t>establecimientos de crédito, las sociedades de servicios financieros y las entidades aseguradoras</w:t>
      </w:r>
      <w:r>
        <w:rPr>
          <w:rFonts w:ascii="Verdana" w:eastAsia="Calibri" w:hAnsi="Verdana" w:cs="Arial"/>
          <w:lang w:val="es-MX"/>
        </w:rPr>
        <w:t xml:space="preserve">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r>
        <w:rPr>
          <w:rFonts w:ascii="Verdana" w:eastAsia="Calibri" w:hAnsi="Verdana" w:cs="Arial"/>
          <w:vertAlign w:val="superscript"/>
          <w:lang w:val="es-MX"/>
        </w:rPr>
        <w:footnoteReference w:id="24"/>
      </w:r>
      <w:r>
        <w:rPr>
          <w:rFonts w:ascii="Verdana" w:eastAsia="Calibri" w:hAnsi="Verdana" w:cs="Arial"/>
          <w:lang w:val="es-MX"/>
        </w:rPr>
        <w:t>.</w:t>
      </w:r>
      <w:r>
        <w:rPr>
          <w:rFonts w:ascii="Verdana" w:eastAsia="Times New Roman" w:hAnsi="Verdana" w:cs="Arial"/>
          <w:lang w:val="es-MX" w:eastAsia="es-CO"/>
        </w:rPr>
        <w:t xml:space="preserve"> </w:t>
      </w:r>
    </w:p>
    <w:p w14:paraId="424C15E1" w14:textId="77777777" w:rsidR="00D241FB" w:rsidRDefault="00D241FB" w:rsidP="00D241FB">
      <w:pPr>
        <w:spacing w:after="0" w:line="276" w:lineRule="auto"/>
        <w:ind w:firstLine="709"/>
        <w:jc w:val="both"/>
        <w:rPr>
          <w:rFonts w:ascii="Verdana" w:eastAsia="Times New Roman" w:hAnsi="Verdana" w:cs="Arial"/>
          <w:bCs/>
          <w:lang w:val="es-MX" w:eastAsia="x-none"/>
        </w:rPr>
      </w:pPr>
      <w:r>
        <w:rPr>
          <w:rFonts w:ascii="Verdana" w:eastAsia="Times New Roman" w:hAnsi="Verdana" w:cs="Arial"/>
          <w:lang w:eastAsia="es-CO"/>
        </w:rPr>
        <w:t>Sin perjuicio de estos pronunciamientos de la Sala de Consulta y Servicio Civil</w:t>
      </w:r>
      <w:r>
        <w:rPr>
          <w:rFonts w:ascii="Verdana" w:eastAsia="Calibri" w:hAnsi="Verdana" w:cs="Arial"/>
          <w:lang w:val="es-MX"/>
        </w:rPr>
        <w:t xml:space="preserve">, como la ha señalado esa misma Corporación, la restricción prevista en la Ley 996 de 2005 </w:t>
      </w:r>
      <w:r>
        <w:rPr>
          <w:rFonts w:ascii="Verdana" w:eastAsia="Times New Roman" w:hAnsi="Verdana" w:cs="Arial"/>
          <w:bCs/>
          <w:lang w:val="es-MX" w:eastAsia="x-none"/>
        </w:rPr>
        <w:t>cobija a cualquier entidad pública independiente del régimen jurídico, que pueda mediante la contratación directa romper el equilibrio entre los candidatos en desarrollo de las elecciones presidenciales. Tampoco existe un supuesto de exoneración a la prohibición por tener un régimen especial de los actos o contratos o por la ejecución de un cierto tipo de recursos en sus contrataciones, pues, la posibilidad de que los entes del Estado usen la contratación con fines políticos, esto es, con la intención de influir a los electores y alterar la voluntad popular en las contiendas electorales, puede presentarse tanto en la contratación regulada por la Ley 80 de 1993 como en la regida por normas especiales.</w:t>
      </w:r>
    </w:p>
    <w:p w14:paraId="7BF01EA5" w14:textId="77777777" w:rsidR="00D241FB" w:rsidRDefault="00D241FB" w:rsidP="00D241FB">
      <w:pPr>
        <w:spacing w:after="120" w:line="276" w:lineRule="auto"/>
        <w:jc w:val="both"/>
        <w:rPr>
          <w:rFonts w:ascii="Verdana" w:eastAsia="Times New Roman" w:hAnsi="Verdana" w:cs="Arial"/>
          <w:bCs/>
          <w:lang w:val="es-MX" w:eastAsia="x-none"/>
        </w:rPr>
      </w:pPr>
    </w:p>
    <w:p w14:paraId="45D48BD7" w14:textId="77777777" w:rsidR="00D241FB" w:rsidRPr="00E16931" w:rsidRDefault="00D241FB" w:rsidP="00D241FB">
      <w:pPr>
        <w:spacing w:after="120" w:line="276" w:lineRule="auto"/>
        <w:jc w:val="both"/>
        <w:rPr>
          <w:rFonts w:ascii="Verdana" w:eastAsia="Times New Roman" w:hAnsi="Verdana" w:cs="Arial"/>
          <w:bCs/>
          <w:lang w:val="es-MX" w:eastAsia="x-none"/>
        </w:rPr>
      </w:pPr>
      <w:r w:rsidRPr="00E16931">
        <w:rPr>
          <w:rFonts w:ascii="Verdana" w:eastAsia="Times New Roman" w:hAnsi="Verdana" w:cs="Arial"/>
          <w:bCs/>
          <w:lang w:val="es-MX" w:eastAsia="x-none"/>
        </w:rPr>
        <w:t xml:space="preserve">Ahora bien, para efectos de dar respuesta concreta al problema jurídico planteado, es pertinente precisar el momento en el cual se realiza el </w:t>
      </w:r>
      <w:r w:rsidRPr="00E16931">
        <w:rPr>
          <w:rFonts w:ascii="Verdana" w:eastAsia="Times New Roman" w:hAnsi="Verdana" w:cs="Arial"/>
          <w:bCs/>
          <w:lang w:val="es-MX" w:eastAsia="x-none"/>
        </w:rPr>
        <w:lastRenderedPageBreak/>
        <w:t xml:space="preserve">perfeccionamiento del contrato en el SECOP II. </w:t>
      </w:r>
      <w:r>
        <w:rPr>
          <w:rFonts w:ascii="Verdana" w:eastAsia="Times New Roman" w:hAnsi="Verdana" w:cs="Arial"/>
          <w:bCs/>
          <w:lang w:val="es-MX" w:eastAsia="x-none"/>
        </w:rPr>
        <w:t>En primer lugar</w:t>
      </w:r>
      <w:r w:rsidRPr="00E16931">
        <w:rPr>
          <w:rFonts w:ascii="Verdana" w:eastAsia="Times New Roman" w:hAnsi="Verdana" w:cs="Arial"/>
          <w:bCs/>
          <w:lang w:val="es-MX" w:eastAsia="x-none"/>
        </w:rPr>
        <w:t xml:space="preserve">, es importante destacar que </w:t>
      </w:r>
      <w:r w:rsidRPr="00E16931">
        <w:rPr>
          <w:rFonts w:ascii="Verdana" w:eastAsia="Calibri" w:hAnsi="Verdana" w:cs="Arial"/>
          <w:color w:val="000000" w:themeColor="text1"/>
        </w:rPr>
        <w:t xml:space="preserve">el SECOP II es una plataforma transaccional, que permite gestionar en línea todos los procedimientos de contratación, </w:t>
      </w:r>
      <w:r w:rsidRPr="00E16931">
        <w:rPr>
          <w:rFonts w:ascii="Verdana" w:eastAsia="Calibri" w:hAnsi="Verdana" w:cs="Arial"/>
          <w:lang w:val="es-ES"/>
        </w:rPr>
        <w:t xml:space="preserve">con cuentas y usuarios asociados a estas, para las entidades y los proveedores, y vista pública para cualquier interesado en hacer seguimiento a la contratación pública. Desde sus cuentas, las entidades crean, evalúan y adjudican procedimientos de contratación, y gestionan la fase de ejecución del contrato. </w:t>
      </w:r>
      <w:r>
        <w:rPr>
          <w:rFonts w:ascii="Verdana" w:eastAsia="Calibri" w:hAnsi="Verdana" w:cs="Arial"/>
          <w:lang w:val="es-ES"/>
        </w:rPr>
        <w:t>Por su parte, l</w:t>
      </w:r>
      <w:r w:rsidRPr="00E16931">
        <w:rPr>
          <w:rFonts w:ascii="Verdana" w:eastAsia="Calibri" w:hAnsi="Verdana" w:cs="Arial"/>
          <w:lang w:val="es-ES"/>
        </w:rPr>
        <w:t>os proveedores pueden hacer comentarios a los documentos del procedimiento, presentar ofertas y seguir el procedimiento de selección en línea.</w:t>
      </w:r>
    </w:p>
    <w:p w14:paraId="0605802A" w14:textId="77777777" w:rsidR="00D241FB" w:rsidRPr="00E16931" w:rsidRDefault="00D241FB" w:rsidP="00D241FB">
      <w:pPr>
        <w:spacing w:after="120" w:line="276" w:lineRule="auto"/>
        <w:ind w:firstLine="567"/>
        <w:jc w:val="both"/>
        <w:rPr>
          <w:rFonts w:ascii="Verdana" w:eastAsia="Calibri" w:hAnsi="Verdana" w:cs="Arial"/>
          <w:lang w:val="es-ES"/>
        </w:rPr>
      </w:pPr>
      <w:r w:rsidRPr="00E16931">
        <w:rPr>
          <w:rFonts w:ascii="Verdana" w:eastAsia="Calibri" w:hAnsi="Verdana" w:cs="Arial"/>
          <w:lang w:val="es-ES"/>
        </w:rPr>
        <w:t>En este sentido, en el SECOP II el procedimiento contractual se desarrolla en línea y dentro de la plataforma, conformándose un expediente electrónico, lo cual denota una diferencia con el SECOP I, donde el procedimiento s</w:t>
      </w:r>
      <w:r>
        <w:rPr>
          <w:rFonts w:ascii="Verdana" w:eastAsia="Calibri" w:hAnsi="Verdana" w:cs="Arial"/>
          <w:lang w:val="es-ES"/>
        </w:rPr>
        <w:t>e desarrolla de manera</w:t>
      </w:r>
      <w:r w:rsidRPr="00E16931">
        <w:rPr>
          <w:rFonts w:ascii="Verdana" w:eastAsia="Calibri" w:hAnsi="Verdana" w:cs="Arial"/>
          <w:lang w:val="es-ES"/>
        </w:rPr>
        <w:t xml:space="preserve"> físic</w:t>
      </w:r>
      <w:r>
        <w:rPr>
          <w:rFonts w:ascii="Verdana" w:eastAsia="Calibri" w:hAnsi="Verdana" w:cs="Arial"/>
          <w:lang w:val="es-ES"/>
        </w:rPr>
        <w:t>a</w:t>
      </w:r>
      <w:r w:rsidRPr="00E16931">
        <w:rPr>
          <w:rFonts w:ascii="Verdana" w:eastAsia="Calibri" w:hAnsi="Verdana" w:cs="Arial"/>
          <w:lang w:val="es-ES"/>
        </w:rPr>
        <w:t>, esto es, con documentos escritos que se publican para cumplir las obligaciones de las entidades antes señaladas. Al existir esa diferencia entre las dos versiones del SECOP, no es posible realizar en SECOP II actuaciones por escrito que son propias del SECOP I, sino que los documentos y actuaciones son electrónicas.</w:t>
      </w:r>
    </w:p>
    <w:p w14:paraId="1C12828F" w14:textId="77777777" w:rsidR="00D241FB" w:rsidRPr="00E16931" w:rsidRDefault="00D241FB" w:rsidP="00D241FB">
      <w:pPr>
        <w:spacing w:after="120" w:line="276" w:lineRule="auto"/>
        <w:ind w:firstLine="567"/>
        <w:jc w:val="both"/>
        <w:rPr>
          <w:rFonts w:ascii="Verdana" w:eastAsia="Calibri" w:hAnsi="Verdana" w:cs="Arial"/>
          <w:lang w:val="es-ES"/>
        </w:rPr>
      </w:pPr>
      <w:r w:rsidRPr="00E16931">
        <w:rPr>
          <w:rFonts w:ascii="Verdana" w:eastAsia="Calibri" w:hAnsi="Verdana" w:cs="Arial"/>
          <w:lang w:val="es-ES"/>
        </w:rPr>
        <w:t xml:space="preserve">Debido a que la plataforma es totalmente transaccional, el trámite se realiza en línea y la publicidad de las actuaciones es concomitante, según transcurran cada una de las etapas del procedimiento, lo que descarta la necesidad de cargar documentación alguna, salvo algunas excepciones. Además, de acuerdo con lo prescrito en el artículo 14 de la Ley 527 de 1999, en la formación del contrato, salvo acuerdo expreso entre las partes, la oferta y su aceptación podrán expresarse por medio de un mensaje de datos, lo que implica que “[n]o se negará validez o fuerza obligatoria a un contrato por la sola razón de haberse utilizado en su formación uno o más mensajes de datos”. Igualmente, el artículo 22 ibidem dispone que los contratos electrónicos compuestos por mensajes de datos tienen los efectos jurídicos según las normas aplicables al negocio jurídico contenido en dichos mensajes, esto es, las normas que regulan el sistema de contratación pública. </w:t>
      </w:r>
    </w:p>
    <w:p w14:paraId="0D275D60" w14:textId="77777777" w:rsidR="00D241FB" w:rsidRPr="00E16931" w:rsidRDefault="00D241FB" w:rsidP="00D241FB">
      <w:pPr>
        <w:spacing w:after="120" w:line="276" w:lineRule="auto"/>
        <w:ind w:firstLine="567"/>
        <w:jc w:val="both"/>
        <w:rPr>
          <w:rFonts w:ascii="Verdana" w:eastAsia="Calibri" w:hAnsi="Verdana" w:cs="Arial"/>
          <w:lang w:val="es-ES"/>
        </w:rPr>
      </w:pPr>
      <w:r w:rsidRPr="00E16931">
        <w:rPr>
          <w:rFonts w:ascii="Verdana" w:eastAsia="Calibri" w:hAnsi="Verdana" w:cs="Arial"/>
          <w:lang w:val="es-ES"/>
        </w:rPr>
        <w:t xml:space="preserve">En este sentido, la implementación del SECOP II como plataforma transaccional para la actividad contractual del Estado, permite que los contratos que se publiquen sean firmados electrónicamente. De este modo, el proceso mediante el cual se efectúa la firma del contrato y su consecuente aprobación o rechazo es realizado a través del SECOP II. Así, después de que se adjudica el </w:t>
      </w:r>
      <w:r w:rsidRPr="00E16931">
        <w:rPr>
          <w:rFonts w:ascii="Verdana" w:eastAsia="Calibri" w:hAnsi="Verdana" w:cs="Arial"/>
          <w:lang w:val="es-ES"/>
        </w:rPr>
        <w:lastRenderedPageBreak/>
        <w:t>proceso de contratación en la plataforma se inicia el procedimiento por parte de la Entidad Estatal para que se cambie el estado del proceso a “adjudicado”, con lo cual se genera el contrato electrónico en estado “en edición”.</w:t>
      </w:r>
    </w:p>
    <w:p w14:paraId="3A35F2E8" w14:textId="77777777" w:rsidR="00D241FB" w:rsidRPr="00E16931" w:rsidRDefault="00D241FB" w:rsidP="00D241FB">
      <w:pPr>
        <w:spacing w:after="120" w:line="276" w:lineRule="auto"/>
        <w:ind w:firstLine="567"/>
        <w:jc w:val="both"/>
        <w:rPr>
          <w:rFonts w:ascii="Verdana" w:eastAsia="Calibri" w:hAnsi="Verdana" w:cs="Arial"/>
          <w:lang w:val="es-ES"/>
        </w:rPr>
      </w:pPr>
      <w:r w:rsidRPr="00E16931">
        <w:rPr>
          <w:rFonts w:ascii="Verdana" w:eastAsia="Calibri" w:hAnsi="Verdana" w:cs="Arial"/>
          <w:lang w:val="es-ES"/>
        </w:rPr>
        <w:t>El documento “Procesos de Contratación: Gestión Contractual en el SECOP II” expedido por esta entidad, detallas los pasos para aprobación del contrato en el SECOP II</w:t>
      </w:r>
      <w:r w:rsidRPr="00F31AC8">
        <w:rPr>
          <w:rFonts w:ascii="Verdana" w:hAnsi="Verdana"/>
          <w:vertAlign w:val="superscript"/>
          <w:lang w:val="es-ES"/>
        </w:rPr>
        <w:footnoteReference w:id="25"/>
      </w:r>
      <w:r w:rsidRPr="00E16931">
        <w:rPr>
          <w:rFonts w:ascii="Verdana" w:eastAsia="Calibri" w:hAnsi="Verdana" w:cs="Arial"/>
          <w:lang w:val="es-ES"/>
        </w:rPr>
        <w:t xml:space="preserve">. Específicamente, el literal III establece el procedimiento a seguir para aprobar o rechazar el contrato, según el cual el proveedor, </w:t>
      </w:r>
      <w:r w:rsidRPr="00E16931">
        <w:rPr>
          <w:rFonts w:ascii="Verdana" w:eastAsia="Calibri" w:hAnsi="Verdana" w:cs="Arial"/>
        </w:rPr>
        <w:t>una vez revise el contrato electrónico puede “Aprobar” o “Rechazar” el contrato. En caso de estar de acuerdo con las condiciones establecidas por la Entidad Estatal, se debe dar clic en “Aprobar contrato” y automáticamente el SECOP II guarda los cambios y el estado del contrato cambia a “Firmado y enviado a la Entidad Estatal”.</w:t>
      </w:r>
      <w:r w:rsidRPr="00E16931">
        <w:rPr>
          <w:rFonts w:ascii="Verdana" w:eastAsia="Calibri" w:hAnsi="Verdana" w:cs="Arial"/>
          <w:lang w:val="es-ES"/>
        </w:rPr>
        <w:t xml:space="preserve"> Una vez la Entidad Estatal reciba el contrato electrónico aprobado por el proveedor debe publicarlo y a “partir de este momento el contrato queda para conocimiento del público en general, su estado cambia a “Firmado” para que se cumplan con los requisitos para iniciar la ejecución del contrato”. </w:t>
      </w:r>
    </w:p>
    <w:p w14:paraId="42B48F9D" w14:textId="77777777" w:rsidR="00D241FB" w:rsidRPr="00E16931" w:rsidRDefault="00D241FB" w:rsidP="00D241FB">
      <w:pPr>
        <w:spacing w:after="120" w:line="276" w:lineRule="auto"/>
        <w:ind w:firstLine="567"/>
        <w:jc w:val="both"/>
        <w:rPr>
          <w:rFonts w:ascii="Verdana" w:eastAsia="Calibri" w:hAnsi="Verdana" w:cs="Arial"/>
          <w:lang w:val="es-ES"/>
        </w:rPr>
      </w:pPr>
      <w:r w:rsidRPr="00E16931">
        <w:rPr>
          <w:rFonts w:ascii="Verdana" w:eastAsia="Calibri" w:hAnsi="Verdana" w:cs="Arial"/>
          <w:lang w:val="es-ES"/>
        </w:rPr>
        <w:t xml:space="preserve"> </w:t>
      </w:r>
      <w:r>
        <w:rPr>
          <w:rFonts w:ascii="Verdana" w:eastAsia="Calibri" w:hAnsi="Verdana" w:cs="Arial"/>
          <w:lang w:val="es-ES"/>
        </w:rPr>
        <w:t>Ahora bien, c</w:t>
      </w:r>
      <w:r w:rsidRPr="00E16931">
        <w:rPr>
          <w:rFonts w:ascii="Verdana" w:eastAsia="Calibri" w:hAnsi="Verdana" w:cs="Arial"/>
          <w:lang w:val="es-ES"/>
        </w:rPr>
        <w:t>onforme lo señala “Guía SECOP II – Gestión Contractual Para Entidades Estatales</w:t>
      </w:r>
      <w:r w:rsidRPr="00E16931">
        <w:rPr>
          <w:rStyle w:val="Refdenotaalpie"/>
          <w:rFonts w:ascii="Verdana" w:eastAsia="Calibri" w:hAnsi="Verdana" w:cs="Arial"/>
          <w:lang w:val="es-ES"/>
        </w:rPr>
        <w:footnoteReference w:id="26"/>
      </w:r>
      <w:r w:rsidRPr="00E16931">
        <w:rPr>
          <w:rFonts w:ascii="Verdana" w:eastAsia="Calibri" w:hAnsi="Verdana" w:cs="Arial"/>
          <w:lang w:val="es-ES"/>
        </w:rPr>
        <w:t xml:space="preserve">” </w:t>
      </w:r>
      <w:r w:rsidRPr="00E16931">
        <w:rPr>
          <w:rFonts w:ascii="Verdana" w:eastAsia="Calibri" w:hAnsi="Verdana" w:cs="Arial"/>
        </w:rPr>
        <w:t xml:space="preserve">es </w:t>
      </w:r>
      <w:r>
        <w:rPr>
          <w:rFonts w:ascii="Verdana" w:eastAsia="Calibri" w:hAnsi="Verdana" w:cs="Arial"/>
        </w:rPr>
        <w:t>imprescindible</w:t>
      </w:r>
      <w:r w:rsidRPr="00E16931">
        <w:rPr>
          <w:rFonts w:ascii="Verdana" w:eastAsia="Calibri" w:hAnsi="Verdana" w:cs="Arial"/>
        </w:rPr>
        <w:t xml:space="preserve"> que previamente el usuario administrador de la Entidad Estatal haya configurado flujos de aprobación</w:t>
      </w:r>
      <w:r w:rsidRPr="00E16931">
        <w:rPr>
          <w:rStyle w:val="Refdenotaalpie"/>
          <w:rFonts w:ascii="Verdana" w:eastAsia="Calibri" w:hAnsi="Verdana" w:cs="Arial"/>
        </w:rPr>
        <w:footnoteReference w:id="27"/>
      </w:r>
      <w:r w:rsidRPr="00E16931">
        <w:rPr>
          <w:rFonts w:ascii="Verdana" w:eastAsia="Calibri" w:hAnsi="Verdana" w:cs="Arial"/>
        </w:rPr>
        <w:t xml:space="preserve"> en este hito del proceso</w:t>
      </w:r>
      <w:r>
        <w:rPr>
          <w:rFonts w:ascii="Verdana" w:eastAsia="Calibri" w:hAnsi="Verdana" w:cs="Arial"/>
        </w:rPr>
        <w:t>,</w:t>
      </w:r>
      <w:r w:rsidRPr="00E16931">
        <w:rPr>
          <w:rFonts w:ascii="Verdana" w:eastAsia="Calibri" w:hAnsi="Verdana" w:cs="Arial"/>
        </w:rPr>
        <w:t xml:space="preserve"> con el fin de que el contrato electrónico sea enviado al ordenador del gasto representante legal de la entidad para su aprobación final.</w:t>
      </w:r>
      <w:r w:rsidRPr="00E16931">
        <w:rPr>
          <w:rFonts w:ascii="Verdana" w:eastAsia="Calibri" w:hAnsi="Verdana" w:cs="Arial"/>
          <w:lang w:val="es-ES"/>
        </w:rPr>
        <w:t xml:space="preserve"> </w:t>
      </w:r>
      <w:r w:rsidRPr="00E16931">
        <w:rPr>
          <w:rFonts w:ascii="Verdana" w:eastAsia="Calibri" w:hAnsi="Verdana" w:cs="Arial"/>
        </w:rPr>
        <w:t>Una vez el ordenador del gasto de la entidad realice la aprobación el estado del contrato cambia a “Firmado” y quedará público para consulta de cualquier interesado.</w:t>
      </w:r>
    </w:p>
    <w:p w14:paraId="23F65201" w14:textId="77777777" w:rsidR="00D241FB" w:rsidRPr="00E16931" w:rsidRDefault="00D241FB" w:rsidP="00D241FB">
      <w:pPr>
        <w:spacing w:after="120" w:line="276" w:lineRule="auto"/>
        <w:ind w:firstLine="567"/>
        <w:jc w:val="both"/>
        <w:rPr>
          <w:rFonts w:ascii="Verdana" w:eastAsia="Calibri" w:hAnsi="Verdana" w:cs="Arial"/>
          <w:lang w:val="es-ES"/>
        </w:rPr>
      </w:pPr>
      <w:r w:rsidRPr="00E16931">
        <w:rPr>
          <w:rFonts w:ascii="Verdana" w:hAnsi="Verdana"/>
        </w:rPr>
        <w:t xml:space="preserve">De conformidad con este procedimiento, una vez el proveedor aprueba el contrato en la plataforma, este se remite a la Entidad Estatal para que adelante los flujos internos de aprobación correspondientes. La aprobación del ordenador del gasto constituye el último paso de dicho flujo y es el hito que permite a SECOP II cambiar el estado del contrato a “Firmado”, así como habilitar las </w:t>
      </w:r>
      <w:r w:rsidRPr="00E16931">
        <w:rPr>
          <w:rFonts w:ascii="Verdana" w:hAnsi="Verdana"/>
        </w:rPr>
        <w:lastRenderedPageBreak/>
        <w:t>secciones de “Modificaciones del contrato” e “Incumplimientos”, lo que evidencia que el negocio jurídico ha quedado formalmente firmado en el sistema.</w:t>
      </w:r>
    </w:p>
    <w:p w14:paraId="3BB4AD48" w14:textId="77777777" w:rsidR="00D241FB" w:rsidRPr="00E16931" w:rsidRDefault="00D241FB" w:rsidP="00D241FB">
      <w:pPr>
        <w:spacing w:after="120" w:line="276" w:lineRule="auto"/>
        <w:ind w:firstLine="709"/>
        <w:jc w:val="both"/>
        <w:rPr>
          <w:rFonts w:ascii="Verdana" w:eastAsia="Calibri" w:hAnsi="Verdana" w:cs="Arial"/>
          <w:lang w:val="es-ES"/>
        </w:rPr>
      </w:pPr>
      <w:r w:rsidRPr="00E16931">
        <w:rPr>
          <w:rFonts w:ascii="Verdana" w:eastAsia="Calibri" w:hAnsi="Verdana" w:cs="Arial"/>
          <w:lang w:val="es-ES"/>
        </w:rPr>
        <w:t>Así las cosas, cuando el proceso de contratación se adelanta por el SECOP II</w:t>
      </w:r>
      <w:r>
        <w:rPr>
          <w:rFonts w:ascii="Verdana" w:eastAsia="Calibri" w:hAnsi="Verdana" w:cs="Arial"/>
          <w:lang w:val="es-ES"/>
        </w:rPr>
        <w:t>,</w:t>
      </w:r>
      <w:r w:rsidRPr="00E16931">
        <w:rPr>
          <w:rFonts w:ascii="Verdana" w:eastAsia="Calibri" w:hAnsi="Verdana" w:cs="Arial"/>
          <w:lang w:val="es-ES"/>
        </w:rPr>
        <w:t xml:space="preserve"> la aprobación del contrato para su perfeccionamiento y posterior ejecución deberá efectuarse en dicha plataforma de conformidad con el procedimiento descrito. En todo caso, hasta que no se efectué la aprobación en el SECOP II por parte del ordenador del gasto de la Entidad no se entiende perfeccionado el contrato. </w:t>
      </w:r>
    </w:p>
    <w:p w14:paraId="1D68707C" w14:textId="77777777" w:rsidR="00D241FB" w:rsidRPr="00E16931" w:rsidRDefault="00D241FB" w:rsidP="00D241FB">
      <w:pPr>
        <w:spacing w:after="120" w:line="276" w:lineRule="auto"/>
        <w:ind w:firstLine="567"/>
        <w:jc w:val="both"/>
        <w:rPr>
          <w:rFonts w:ascii="Verdana" w:eastAsia="Calibri" w:hAnsi="Verdana" w:cs="Arial"/>
          <w:lang w:val="es-ES"/>
        </w:rPr>
      </w:pPr>
      <w:r w:rsidRPr="00E16931">
        <w:rPr>
          <w:rFonts w:ascii="Verdana" w:eastAsia="Calibri" w:hAnsi="Verdana" w:cs="Arial"/>
          <w:lang w:val="es-ES"/>
        </w:rPr>
        <w:t>Bajo este contexto, en atención a la consulta planteada, es pertinente señalar que debido a que el concepto de “celebrar” para efectos de las restricciones a la contratación previstas en la Ley de Garantías Electorales se asocia al momento del perfeccionamiento del contrato estatal, es necesario tener en cuenta dicho hito en los procesos adelantados a través de la plataforma SECOP II. De esta forma, como se indicó, al tratarse de un sistema transaccional, el contrato se entiende celebrado una vez se ha surtido la aprobación y publicación por parte de la entidad estatal, momento en el cual la plataforma registra el estado de “firmado”, dejando constancia de la concurrencia de voluntades y del cumplimiento del requisito de perfeccionamiento.</w:t>
      </w:r>
    </w:p>
    <w:p w14:paraId="4AB009E8" w14:textId="77777777" w:rsidR="00D241FB" w:rsidRPr="00E16931" w:rsidRDefault="00D241FB" w:rsidP="00D241FB">
      <w:pPr>
        <w:spacing w:after="120" w:line="276" w:lineRule="auto"/>
        <w:ind w:firstLine="567"/>
        <w:jc w:val="both"/>
        <w:rPr>
          <w:rFonts w:ascii="Verdana" w:eastAsia="Calibri" w:hAnsi="Verdana" w:cs="Arial"/>
        </w:rPr>
      </w:pPr>
      <w:r w:rsidRPr="00E16931">
        <w:rPr>
          <w:rFonts w:ascii="Verdana" w:eastAsia="Calibri" w:hAnsi="Verdana" w:cs="Arial"/>
        </w:rPr>
        <w:t>En este orden de ideas, dentro del flujo de aprobación que la entidad haya configurado en el SECOP II, el momento en que el ordenador del gasto emite su aprobación final constituye el hito en el cual se consolida efectivamente la concurrencia de voluntades y el acuerdo contractual. Ello obedece a que, de manera previa, el proveedor ya ha otorgado su aprobación al contrato, manifestando su aceptación integral de las condiciones pactadas. Así, con la aprobación posterior del ordenador del gasto se perfecciona el consentimiento recíproco sobre el objeto y la contraprestación y queda formalmente estructurado el acuerdo.</w:t>
      </w:r>
    </w:p>
    <w:p w14:paraId="5E78E059" w14:textId="77777777" w:rsidR="00D241FB" w:rsidRPr="00E16931" w:rsidRDefault="00D241FB" w:rsidP="00D241FB">
      <w:pPr>
        <w:spacing w:after="120" w:line="276" w:lineRule="auto"/>
        <w:ind w:firstLine="567"/>
        <w:jc w:val="both"/>
        <w:rPr>
          <w:rFonts w:ascii="Verdana" w:eastAsia="Calibri" w:hAnsi="Verdana" w:cs="Arial"/>
        </w:rPr>
      </w:pPr>
      <w:r w:rsidRPr="00E16931">
        <w:rPr>
          <w:rFonts w:ascii="Verdana" w:eastAsia="Calibri" w:hAnsi="Verdana" w:cs="Arial"/>
        </w:rPr>
        <w:t xml:space="preserve">Este hito es jurídicamente relevante, en la medida en que con él se satisface el requisito previsto en el artículo 41 de la Ley 80 de 1993, esto es, que el perfeccionamiento del contrato ocurre cuando existe acuerdo sobre el objeto y la contraprestación y este se eleva a escrito. En el sistema transaccional del SECOP II, esto se materializa a través del documento electrónico del contrato y de las aprobaciones efectuadas en la plataforma, las cuales dejan trazabilidad y constancia del consentimiento de las partes. Por consiguiente, es en la aprobación final del ordenador del gasto, como último paso del flujo de </w:t>
      </w:r>
      <w:r w:rsidRPr="00E16931">
        <w:rPr>
          <w:rFonts w:ascii="Verdana" w:eastAsia="Calibri" w:hAnsi="Verdana" w:cs="Arial"/>
        </w:rPr>
        <w:lastRenderedPageBreak/>
        <w:t>aprobación, donde se entiende cumplido el requisito de perfeccionamiento al quedar configurado el acuerdo exigido por la norma señalada.</w:t>
      </w:r>
    </w:p>
    <w:p w14:paraId="5E4392B8" w14:textId="77777777" w:rsidR="00D241FB" w:rsidRDefault="00D241FB" w:rsidP="00D241FB">
      <w:pPr>
        <w:spacing w:after="0" w:line="276" w:lineRule="auto"/>
        <w:ind w:firstLine="567"/>
        <w:jc w:val="both"/>
        <w:rPr>
          <w:rFonts w:ascii="Verdana" w:eastAsia="Times New Roman" w:hAnsi="Verdana" w:cs="Arial"/>
          <w:bCs/>
          <w:lang w:val="es-ES" w:eastAsia="es-CO"/>
        </w:rPr>
      </w:pPr>
      <w:r w:rsidRPr="00E16931">
        <w:rPr>
          <w:rFonts w:ascii="Verdana" w:eastAsia="Calibri" w:hAnsi="Verdana" w:cs="Arial"/>
          <w:lang w:val="es-ES"/>
        </w:rPr>
        <w:t xml:space="preserve">En consecuencia, tratándose de procesos gestionados en SECOP II, las actuaciones necesarias para que el contrato adquiera el estado de “firmado” deben realizarse antes de la entrada en vigencia de las restricciones previstas en la Ley de Garantías Electorales. De lo contrario, si el perfeccionamiento, es decir, si la aprobación final por parte del ordenador del gasto y su registro como estado “firmado” en la plataforma se produce cuando ya se encuentra vigente la prohibición establecida en el artículo 33 </w:t>
      </w:r>
      <w:r w:rsidRPr="00F31AC8">
        <w:rPr>
          <w:rFonts w:ascii="Verdana" w:eastAsia="Calibri" w:hAnsi="Verdana" w:cs="Arial"/>
          <w:i/>
          <w:iCs/>
          <w:lang w:val="es-ES"/>
        </w:rPr>
        <w:t>ibidem</w:t>
      </w:r>
      <w:r w:rsidRPr="00E16931">
        <w:rPr>
          <w:rFonts w:ascii="Verdana" w:eastAsia="Calibri" w:hAnsi="Verdana" w:cs="Arial"/>
          <w:lang w:val="es-ES"/>
        </w:rPr>
        <w:t>, se entiende que el contrato fue celebrado en vigencia de dicha restricción, con las consecuencias jurídicas a que haya lugar, sin que resulte suficiente que etapas previas del proceso se hubieren adelantado con anterioridad</w:t>
      </w:r>
      <w:r>
        <w:rPr>
          <w:rFonts w:ascii="Verdana" w:eastAsia="Calibri" w:hAnsi="Verdana" w:cs="Arial"/>
          <w:lang w:val="es-ES"/>
        </w:rPr>
        <w:t xml:space="preserve"> o que se hayan aprobado los demás flujos de aprobación configurados por la Entidad Estatal, previos al del ordenador del gasto</w:t>
      </w:r>
      <w:r w:rsidRPr="00E16931">
        <w:rPr>
          <w:rFonts w:ascii="Verdana" w:eastAsia="Calibri" w:hAnsi="Verdana" w:cs="Arial"/>
          <w:lang w:val="es-ES"/>
        </w:rPr>
        <w:t>.</w:t>
      </w:r>
      <w:r>
        <w:rPr>
          <w:rFonts w:ascii="Verdana" w:eastAsia="Times New Roman" w:hAnsi="Verdana" w:cs="Arial"/>
          <w:bCs/>
          <w:lang w:val="es-ES" w:eastAsia="es-CO"/>
        </w:rPr>
        <w:t xml:space="preserve"> </w:t>
      </w:r>
      <w:r w:rsidRPr="00E16931">
        <w:rPr>
          <w:rFonts w:ascii="Verdana" w:eastAsia="Times New Roman" w:hAnsi="Verdana" w:cs="Arial"/>
          <w:bCs/>
          <w:lang w:val="es-ES" w:eastAsia="es-CO"/>
        </w:rPr>
        <w:t xml:space="preserve">En este último evento, la entidad deberá revisar la validez del contrato y analizar una posible configuración de nulidad a la luz de lo dispuesto en el artículo 44 de la Ley 80 de 1993. </w:t>
      </w:r>
    </w:p>
    <w:p w14:paraId="61607542" w14:textId="77777777" w:rsidR="00D241FB" w:rsidRDefault="00D241FB" w:rsidP="00D241FB">
      <w:pPr>
        <w:spacing w:after="0" w:line="276" w:lineRule="auto"/>
        <w:jc w:val="both"/>
        <w:rPr>
          <w:rFonts w:ascii="Verdana" w:eastAsia="Times New Roman" w:hAnsi="Verdana" w:cs="Arial"/>
          <w:bCs/>
          <w:lang w:val="es-ES" w:eastAsia="es-CO"/>
        </w:rPr>
      </w:pPr>
    </w:p>
    <w:p w14:paraId="4C7F4BB4" w14:textId="77777777" w:rsidR="00D241FB" w:rsidRPr="00E16931" w:rsidRDefault="00D241FB" w:rsidP="00D241FB">
      <w:pPr>
        <w:spacing w:after="120" w:line="276" w:lineRule="auto"/>
        <w:jc w:val="both"/>
        <w:rPr>
          <w:rFonts w:ascii="Verdana" w:eastAsia="Calibri" w:hAnsi="Verdana" w:cs="Arial"/>
        </w:rPr>
      </w:pPr>
      <w:r w:rsidRPr="00E16931">
        <w:rPr>
          <w:rFonts w:ascii="Verdana" w:eastAsia="Times New Roman" w:hAnsi="Verdana" w:cs="Arial"/>
          <w:bCs/>
          <w:lang w:val="es-ES" w:eastAsia="es-CO"/>
        </w:rPr>
        <w:t xml:space="preserve">Sobre el régimen de nulidad, la norma en cita </w:t>
      </w:r>
      <w:r w:rsidRPr="00E16931">
        <w:rPr>
          <w:rFonts w:ascii="Verdana" w:eastAsia="Calibri" w:hAnsi="Verdana" w:cs="Arial"/>
        </w:rPr>
        <w:t>señala como causales de nulidad del contrato estatal, las siguientes: 1. Que el contrato se celebre con personas incursas en causales de inhabilidad o incompatibilidad previstas en la Constitución y la ley. 2. se celebre contra expresa prohibición constitucional o legal. 3. se celebre con abuso o desviación de poder. 4. se declaren nulos los actos administrativos en que se fundamenten. 5. se hubieren celebrado con desconocimiento de los criterios previstos para el tratamiento de ofertas nacionales y extranjeras o con violación de la reciprocidad</w:t>
      </w:r>
      <w:r w:rsidRPr="00E16931">
        <w:rPr>
          <w:rFonts w:ascii="Verdana" w:eastAsia="Arial" w:hAnsi="Verdana" w:cs="Arial"/>
          <w:vertAlign w:val="superscript"/>
          <w:lang w:val="es-ES"/>
        </w:rPr>
        <w:footnoteReference w:id="28"/>
      </w:r>
      <w:r w:rsidRPr="00E16931">
        <w:rPr>
          <w:rFonts w:ascii="Verdana" w:eastAsia="Calibri" w:hAnsi="Verdana" w:cs="Arial"/>
        </w:rPr>
        <w:t>.</w:t>
      </w:r>
    </w:p>
    <w:p w14:paraId="4A88135A" w14:textId="77777777" w:rsidR="00D241FB" w:rsidRDefault="00D241FB" w:rsidP="00D241FB">
      <w:pPr>
        <w:spacing w:after="0" w:line="276" w:lineRule="auto"/>
        <w:ind w:firstLine="709"/>
        <w:jc w:val="both"/>
        <w:rPr>
          <w:rFonts w:ascii="Verdana" w:eastAsia="Calibri" w:hAnsi="Verdana" w:cs="Times New Roman"/>
          <w:bCs/>
        </w:rPr>
      </w:pPr>
      <w:r>
        <w:rPr>
          <w:rFonts w:ascii="Verdana" w:eastAsia="Calibri" w:hAnsi="Verdana" w:cs="Times New Roman"/>
          <w:bCs/>
        </w:rPr>
        <w:t>En concordancia con lo anterior, el artículo 45 de la Ley 80 de 1993 prescribe:</w:t>
      </w:r>
    </w:p>
    <w:p w14:paraId="615B512A" w14:textId="77777777" w:rsidR="00D241FB" w:rsidRPr="00A72235" w:rsidRDefault="00D241FB" w:rsidP="00D241FB">
      <w:pPr>
        <w:spacing w:after="0" w:line="276" w:lineRule="auto"/>
        <w:ind w:firstLine="709"/>
        <w:jc w:val="both"/>
        <w:rPr>
          <w:rFonts w:ascii="Verdana" w:eastAsia="Calibri" w:hAnsi="Verdana" w:cs="Times New Roman"/>
          <w:bCs/>
        </w:rPr>
      </w:pPr>
    </w:p>
    <w:p w14:paraId="0745A090" w14:textId="77777777" w:rsidR="00D241FB" w:rsidRDefault="00D241FB" w:rsidP="00D241FB">
      <w:pPr>
        <w:spacing w:after="0" w:line="240" w:lineRule="auto"/>
        <w:ind w:left="709" w:right="709"/>
        <w:jc w:val="both"/>
        <w:rPr>
          <w:rFonts w:ascii="Verdana" w:eastAsia="Calibri" w:hAnsi="Verdana" w:cs="Times New Roman"/>
          <w:sz w:val="20"/>
          <w:szCs w:val="20"/>
        </w:rPr>
      </w:pPr>
      <w:r w:rsidRPr="6746F96C">
        <w:rPr>
          <w:rFonts w:ascii="Verdana" w:eastAsia="Calibri" w:hAnsi="Verdana" w:cs="Times New Roman"/>
          <w:sz w:val="20"/>
          <w:szCs w:val="20"/>
        </w:rPr>
        <w:t xml:space="preserve">“ARTICULO 45. DE LA NULIDAD ABSOLUTA. La nulidad absoluta podrá ser alegada por las partes, por el agente del ministerio público, por cualquier </w:t>
      </w:r>
      <w:r w:rsidRPr="6746F96C">
        <w:rPr>
          <w:rFonts w:ascii="Verdana" w:eastAsia="Calibri" w:hAnsi="Verdana" w:cs="Times New Roman"/>
          <w:sz w:val="20"/>
          <w:szCs w:val="20"/>
        </w:rPr>
        <w:lastRenderedPageBreak/>
        <w:t>persona o declarada de oficio, y no es susceptible de saneamiento por ratificación. </w:t>
      </w:r>
    </w:p>
    <w:p w14:paraId="152D61CC" w14:textId="77777777" w:rsidR="00D241FB" w:rsidRPr="002E1F8D" w:rsidRDefault="00D241FB" w:rsidP="00D241FB">
      <w:pPr>
        <w:spacing w:after="0" w:line="240" w:lineRule="auto"/>
        <w:ind w:left="709" w:right="709"/>
        <w:jc w:val="both"/>
        <w:rPr>
          <w:rFonts w:ascii="Verdana" w:eastAsia="Calibri" w:hAnsi="Verdana" w:cs="Times New Roman"/>
          <w:sz w:val="20"/>
          <w:szCs w:val="20"/>
        </w:rPr>
      </w:pPr>
    </w:p>
    <w:p w14:paraId="090D8C68" w14:textId="77777777" w:rsidR="00D241FB" w:rsidRPr="002E1F8D" w:rsidRDefault="00D241FB" w:rsidP="00D241FB">
      <w:pPr>
        <w:spacing w:after="0" w:line="240" w:lineRule="auto"/>
        <w:ind w:left="709" w:right="709"/>
        <w:jc w:val="both"/>
        <w:rPr>
          <w:rFonts w:ascii="Verdana" w:eastAsia="Calibri" w:hAnsi="Verdana" w:cs="Times New Roman"/>
          <w:sz w:val="20"/>
          <w:szCs w:val="20"/>
        </w:rPr>
      </w:pPr>
      <w:r w:rsidRPr="6746F96C">
        <w:rPr>
          <w:rFonts w:ascii="Verdana" w:eastAsia="Calibri" w:hAnsi="Verdana" w:cs="Times New Roman"/>
          <w:sz w:val="20"/>
          <w:szCs w:val="20"/>
        </w:rPr>
        <w:t>En los casos previstos en los numerales 1o., 2o. y 4o. del artículo anterior, el jefe o representante legal de la entidad respectiva deberá dar por terminado el contrato mediante acto administrativo</w:t>
      </w:r>
      <w:r>
        <w:rPr>
          <w:rFonts w:ascii="Verdana" w:eastAsia="Calibri" w:hAnsi="Verdana" w:cs="Times New Roman"/>
          <w:sz w:val="20"/>
          <w:szCs w:val="20"/>
        </w:rPr>
        <w:t xml:space="preserve"> </w:t>
      </w:r>
      <w:r w:rsidRPr="6746F96C">
        <w:rPr>
          <w:rFonts w:ascii="Verdana" w:eastAsia="Calibri" w:hAnsi="Verdana" w:cs="Times New Roman"/>
          <w:sz w:val="20"/>
          <w:szCs w:val="20"/>
        </w:rPr>
        <w:t>debidamente motivado y ordenará su liquidación en el estado en que se encuentre”. </w:t>
      </w:r>
    </w:p>
    <w:p w14:paraId="67D01538" w14:textId="77777777" w:rsidR="00D241FB" w:rsidRDefault="00D241FB" w:rsidP="00D241FB">
      <w:pPr>
        <w:spacing w:after="0" w:line="276" w:lineRule="auto"/>
        <w:jc w:val="both"/>
        <w:rPr>
          <w:rFonts w:ascii="Verdana" w:eastAsia="Calibri" w:hAnsi="Verdana" w:cs="Times New Roman"/>
          <w:bCs/>
        </w:rPr>
      </w:pPr>
    </w:p>
    <w:p w14:paraId="34CB0253" w14:textId="77777777" w:rsidR="00D241FB" w:rsidRDefault="00D241FB" w:rsidP="00D241FB">
      <w:pPr>
        <w:spacing w:after="120" w:line="276" w:lineRule="auto"/>
        <w:jc w:val="both"/>
        <w:rPr>
          <w:rFonts w:ascii="Verdana" w:eastAsia="Calibri" w:hAnsi="Verdana" w:cs="Arial"/>
        </w:rPr>
      </w:pPr>
      <w:r>
        <w:rPr>
          <w:rFonts w:ascii="Verdana" w:eastAsia="Calibri" w:hAnsi="Verdana" w:cs="Times New Roman"/>
          <w:bCs/>
        </w:rPr>
        <w:tab/>
        <w:t xml:space="preserve">A partir de la norma precitada, se establece que la nulidad absoluta del contrato podrá alegarse </w:t>
      </w:r>
      <w:r w:rsidRPr="00F605DF">
        <w:rPr>
          <w:rFonts w:ascii="Verdana" w:eastAsia="Calibri" w:hAnsi="Verdana" w:cs="Times New Roman"/>
          <w:bCs/>
        </w:rPr>
        <w:t>por las partes, por el agente del ministerio público, por cualquier persona</w:t>
      </w:r>
      <w:r>
        <w:rPr>
          <w:rFonts w:ascii="Verdana" w:eastAsia="Calibri" w:hAnsi="Verdana" w:cs="Times New Roman"/>
          <w:bCs/>
        </w:rPr>
        <w:t xml:space="preserve"> o declarada de oficio, y no siendo </w:t>
      </w:r>
      <w:r w:rsidRPr="00F605DF">
        <w:rPr>
          <w:rFonts w:ascii="Verdana" w:eastAsia="Calibri" w:hAnsi="Verdana" w:cs="Times New Roman"/>
          <w:bCs/>
        </w:rPr>
        <w:t>susceptible de saneamiento por ratificación.</w:t>
      </w:r>
      <w:r>
        <w:rPr>
          <w:rFonts w:ascii="Verdana" w:eastAsia="Calibri" w:hAnsi="Verdana" w:cs="Times New Roman"/>
          <w:bCs/>
        </w:rPr>
        <w:t xml:space="preserve"> Además, de acuerdo con el inciso segundo, cuando se presente alguna de las hipótesis señaladas en los numerales 1, 2 y 4 del artículo 44 de la Ley 80 de 1993, la entidad debe terminar el contrato mediante acto administrativo y ordenar su liquidación en el estado en que se encuentre. Estas situaciones se refieren a los casos en que</w:t>
      </w:r>
      <w:r w:rsidRPr="008D2665">
        <w:rPr>
          <w:rFonts w:ascii="Verdana" w:eastAsia="Calibri" w:hAnsi="Verdana" w:cs="Arial"/>
        </w:rPr>
        <w:t xml:space="preserve"> el contrato se celebre con personas incursas en causales de inhabilidad o incompatibilidad previstas en la Constitución y la ley</w:t>
      </w:r>
      <w:r>
        <w:rPr>
          <w:rFonts w:ascii="Verdana" w:eastAsia="Calibri" w:hAnsi="Verdana" w:cs="Arial"/>
        </w:rPr>
        <w:t xml:space="preserve">, </w:t>
      </w:r>
      <w:r w:rsidRPr="00F31AC8">
        <w:rPr>
          <w:rFonts w:ascii="Verdana" w:eastAsia="Calibri" w:hAnsi="Verdana" w:cs="Arial"/>
          <w:i/>
          <w:iCs/>
        </w:rPr>
        <w:t>que se celebre contra expresa prohibición constitucional o legal</w:t>
      </w:r>
      <w:r>
        <w:rPr>
          <w:rFonts w:ascii="Verdana" w:eastAsia="Calibri" w:hAnsi="Verdana" w:cs="Arial"/>
        </w:rPr>
        <w:t>, o que</w:t>
      </w:r>
      <w:r w:rsidRPr="008D2665">
        <w:rPr>
          <w:rFonts w:ascii="Verdana" w:eastAsia="Calibri" w:hAnsi="Verdana" w:cs="Arial"/>
        </w:rPr>
        <w:t xml:space="preserve"> se declaren nulos los actos administrativos en que se fundamenten</w:t>
      </w:r>
      <w:r>
        <w:rPr>
          <w:rFonts w:ascii="Verdana" w:eastAsia="Calibri" w:hAnsi="Verdana" w:cs="Arial"/>
        </w:rPr>
        <w:t xml:space="preserve">. </w:t>
      </w:r>
    </w:p>
    <w:p w14:paraId="6B250317" w14:textId="77777777" w:rsidR="00D241FB" w:rsidRDefault="00D241FB" w:rsidP="00D241FB">
      <w:pPr>
        <w:spacing w:after="120" w:line="276" w:lineRule="auto"/>
        <w:ind w:firstLine="743"/>
        <w:jc w:val="both"/>
        <w:rPr>
          <w:rFonts w:ascii="Verdana" w:eastAsia="Calibri" w:hAnsi="Verdana" w:cs="Arial"/>
        </w:rPr>
      </w:pPr>
      <w:r w:rsidRPr="00D53326">
        <w:rPr>
          <w:rFonts w:ascii="Verdana" w:eastAsia="Calibri" w:hAnsi="Verdana" w:cs="Arial"/>
        </w:rPr>
        <w:t xml:space="preserve">En este sentido, para que proceda la terminación del contrato y su correspondiente liquidación en los términos de la norma citada, resulta indispensable que la entidad verifique que la situación que genera la nulidad se enmarque en alguna de las causales allí señaladas. Particularmente, frente a la circunstancia analizadas es posible que se pueda generar la nulidad </w:t>
      </w:r>
      <w:r>
        <w:rPr>
          <w:rFonts w:ascii="Verdana" w:eastAsia="Calibri" w:hAnsi="Verdana" w:cs="Arial"/>
        </w:rPr>
        <w:t xml:space="preserve">absoluta </w:t>
      </w:r>
      <w:r w:rsidRPr="00D53326">
        <w:rPr>
          <w:rFonts w:ascii="Verdana" w:eastAsia="Calibri" w:hAnsi="Verdana" w:cs="Arial"/>
        </w:rPr>
        <w:t>del contrato por</w:t>
      </w:r>
      <w:r>
        <w:rPr>
          <w:rFonts w:ascii="Verdana" w:eastAsia="Calibri" w:hAnsi="Verdana" w:cs="Arial"/>
        </w:rPr>
        <w:t xml:space="preserve"> la causal de</w:t>
      </w:r>
      <w:r w:rsidRPr="00D53326">
        <w:rPr>
          <w:rFonts w:ascii="Verdana" w:eastAsia="Calibri" w:hAnsi="Verdana" w:cs="Arial"/>
        </w:rPr>
        <w:t xml:space="preserve"> celebración contra expresa prohibición constitucional o legal, por v</w:t>
      </w:r>
      <w:r>
        <w:rPr>
          <w:rFonts w:ascii="Verdana" w:eastAsia="Calibri" w:hAnsi="Verdana" w:cs="Arial"/>
        </w:rPr>
        <w:t xml:space="preserve">ulnerar </w:t>
      </w:r>
      <w:r w:rsidRPr="00D53326">
        <w:rPr>
          <w:rFonts w:ascii="Verdana" w:eastAsia="Calibri" w:hAnsi="Verdana" w:cs="Arial"/>
        </w:rPr>
        <w:t xml:space="preserve">las restricciones establecidas en los artículos 33 y 38 de la Ley de Garantías Electorales. </w:t>
      </w:r>
    </w:p>
    <w:p w14:paraId="05F47A80" w14:textId="77777777" w:rsidR="00D241FB" w:rsidRPr="0075226F" w:rsidRDefault="00D241FB" w:rsidP="00D241FB">
      <w:pPr>
        <w:spacing w:after="120" w:line="276" w:lineRule="auto"/>
        <w:ind w:firstLine="567"/>
        <w:jc w:val="both"/>
        <w:rPr>
          <w:rFonts w:ascii="Verdana" w:eastAsia="Calibri" w:hAnsi="Verdana" w:cs="Arial"/>
          <w:lang w:val="es-ES"/>
        </w:rPr>
      </w:pPr>
      <w:r>
        <w:rPr>
          <w:rFonts w:ascii="Verdana" w:eastAsia="Calibri" w:hAnsi="Verdana" w:cs="Arial"/>
        </w:rPr>
        <w:t xml:space="preserve">Sobre </w:t>
      </w:r>
      <w:r w:rsidRPr="0091487B">
        <w:rPr>
          <w:rFonts w:ascii="Verdana" w:eastAsia="Calibri" w:hAnsi="Verdana" w:cs="Arial"/>
        </w:rPr>
        <w:t>el alcance de la causal de nulidad contenida en el numeral 2 del artículo 44 de la Ley 80 de 1993,</w:t>
      </w:r>
      <w:r>
        <w:rPr>
          <w:rFonts w:ascii="Verdana" w:eastAsia="Calibri" w:hAnsi="Verdana" w:cs="Arial"/>
        </w:rPr>
        <w:t xml:space="preserve"> el Consejo de Estado ha señalado que “</w:t>
      </w:r>
      <w:r w:rsidRPr="0075226F">
        <w:rPr>
          <w:rFonts w:ascii="Verdana" w:eastAsia="Calibri" w:hAnsi="Verdana" w:cs="Arial"/>
          <w:bCs/>
          <w:iCs/>
        </w:rPr>
        <w:t>la norma ofrece, al menos, dos conclusiones: la primera de ellas consiste en que la prohibición debe estar consagrada en una norma, ya sea de rango constitucional o legal, sin que resulte posible hacer extensiva esta causal a una disposición de inferior rango normativo. La segunda se refiere al hecho de que la prohibición debe constar de manera expresa</w:t>
      </w:r>
      <w:r>
        <w:rPr>
          <w:rStyle w:val="Refdenotaalpie"/>
          <w:rFonts w:ascii="Verdana" w:eastAsia="Calibri" w:hAnsi="Verdana" w:cs="Arial"/>
          <w:bCs/>
          <w:iCs/>
        </w:rPr>
        <w:footnoteReference w:id="29"/>
      </w:r>
      <w:r>
        <w:rPr>
          <w:rFonts w:ascii="Verdana" w:eastAsia="Calibri" w:hAnsi="Verdana" w:cs="Arial"/>
          <w:bCs/>
          <w:iCs/>
        </w:rPr>
        <w:t>”</w:t>
      </w:r>
      <w:r w:rsidRPr="0075226F">
        <w:rPr>
          <w:rFonts w:ascii="Verdana" w:eastAsia="Calibri" w:hAnsi="Verdana" w:cs="Arial"/>
          <w:bCs/>
          <w:iCs/>
        </w:rPr>
        <w:t xml:space="preserve">. </w:t>
      </w:r>
      <w:r>
        <w:rPr>
          <w:rFonts w:ascii="Verdana" w:eastAsia="Calibri" w:hAnsi="Verdana" w:cs="Arial"/>
          <w:bCs/>
          <w:iCs/>
        </w:rPr>
        <w:t xml:space="preserve">Tal es el caso de los </w:t>
      </w:r>
      <w:r>
        <w:rPr>
          <w:rFonts w:ascii="Verdana" w:eastAsia="Calibri" w:hAnsi="Verdana" w:cs="Arial"/>
        </w:rPr>
        <w:t xml:space="preserve">artículos 33 y 38 de la Ley de Garantías Electorales, normas de carácter legal que </w:t>
      </w:r>
      <w:r>
        <w:rPr>
          <w:rFonts w:ascii="Verdana" w:eastAsia="Calibri" w:hAnsi="Verdana" w:cs="Arial"/>
        </w:rPr>
        <w:lastRenderedPageBreak/>
        <w:t xml:space="preserve">determinan de manera expresa una prohibición específica en materia de contratación pública. </w:t>
      </w:r>
    </w:p>
    <w:p w14:paraId="0F0C3EC5" w14:textId="77777777" w:rsidR="00D241FB" w:rsidRPr="007B2BC2" w:rsidRDefault="00D241FB" w:rsidP="00D241FB">
      <w:pPr>
        <w:spacing w:after="120" w:line="276" w:lineRule="auto"/>
        <w:ind w:firstLine="567"/>
        <w:jc w:val="both"/>
        <w:rPr>
          <w:rFonts w:ascii="Verdana" w:eastAsia="Times New Roman" w:hAnsi="Verdana" w:cs="Arial"/>
          <w:bCs/>
          <w:lang w:val="es-ES" w:eastAsia="es-CO"/>
        </w:rPr>
      </w:pPr>
      <w:r>
        <w:rPr>
          <w:rFonts w:ascii="Verdana" w:eastAsia="Times New Roman" w:hAnsi="Verdana" w:cs="Arial"/>
          <w:bCs/>
          <w:lang w:val="es-ES" w:eastAsia="es-CO"/>
        </w:rPr>
        <w:t>Así las cosas, se concluye qu</w:t>
      </w:r>
      <w:r w:rsidRPr="007B2BC2">
        <w:rPr>
          <w:rFonts w:ascii="Verdana" w:eastAsia="Times New Roman" w:hAnsi="Verdana" w:cs="Arial"/>
          <w:bCs/>
          <w:lang w:val="es-ES" w:eastAsia="es-CO"/>
        </w:rPr>
        <w:t>e aquellos contratos cuyo perfeccionamiento en la plataforma SECOP II</w:t>
      </w:r>
      <w:r>
        <w:rPr>
          <w:rFonts w:ascii="Verdana" w:eastAsia="Times New Roman" w:hAnsi="Verdana" w:cs="Arial"/>
          <w:bCs/>
          <w:lang w:val="es-ES" w:eastAsia="es-CO"/>
        </w:rPr>
        <w:t xml:space="preserve"> -</w:t>
      </w:r>
      <w:r w:rsidRPr="007B2BC2">
        <w:rPr>
          <w:rFonts w:ascii="Verdana" w:eastAsia="Times New Roman" w:hAnsi="Verdana" w:cs="Arial"/>
          <w:bCs/>
          <w:lang w:val="es-ES" w:eastAsia="es-CO"/>
        </w:rPr>
        <w:t>entendido como el momento en que se surte la aprobación final por parte del ordenador del gasto y se publica el contrato en estado “Firmado”</w:t>
      </w:r>
      <w:r>
        <w:rPr>
          <w:rFonts w:ascii="Verdana" w:eastAsia="Times New Roman" w:hAnsi="Verdana" w:cs="Arial"/>
          <w:bCs/>
          <w:lang w:val="es-ES" w:eastAsia="es-CO"/>
        </w:rPr>
        <w:t>-,</w:t>
      </w:r>
      <w:r w:rsidRPr="007B2BC2">
        <w:rPr>
          <w:rFonts w:ascii="Verdana" w:eastAsia="Times New Roman" w:hAnsi="Verdana" w:cs="Arial"/>
          <w:bCs/>
          <w:lang w:val="es-ES" w:eastAsia="es-CO"/>
        </w:rPr>
        <w:t xml:space="preserve"> </w:t>
      </w:r>
      <w:r>
        <w:rPr>
          <w:rFonts w:ascii="Verdana" w:eastAsia="Times New Roman" w:hAnsi="Verdana" w:cs="Arial"/>
          <w:bCs/>
          <w:lang w:val="es-ES" w:eastAsia="es-CO"/>
        </w:rPr>
        <w:t xml:space="preserve">haya ocurrido </w:t>
      </w:r>
      <w:r w:rsidRPr="007B2BC2">
        <w:rPr>
          <w:rFonts w:ascii="Verdana" w:eastAsia="Times New Roman" w:hAnsi="Verdana" w:cs="Arial"/>
          <w:bCs/>
          <w:lang w:val="es-ES" w:eastAsia="es-CO"/>
        </w:rPr>
        <w:t xml:space="preserve">con posterioridad a la entrada en vigencia de la Ley de Garantías Electorales, esta Agencia considera que los mismos </w:t>
      </w:r>
      <w:r>
        <w:rPr>
          <w:rFonts w:ascii="Verdana" w:eastAsia="Times New Roman" w:hAnsi="Verdana" w:cs="Arial"/>
          <w:bCs/>
          <w:lang w:val="es-ES" w:eastAsia="es-CO"/>
        </w:rPr>
        <w:t xml:space="preserve">se entienden </w:t>
      </w:r>
      <w:r w:rsidRPr="007B2BC2">
        <w:rPr>
          <w:rFonts w:ascii="Verdana" w:eastAsia="Times New Roman" w:hAnsi="Verdana" w:cs="Arial"/>
          <w:bCs/>
          <w:lang w:val="es-ES" w:eastAsia="es-CO"/>
        </w:rPr>
        <w:t xml:space="preserve">celebrados en </w:t>
      </w:r>
      <w:r>
        <w:rPr>
          <w:rFonts w:ascii="Verdana" w:eastAsia="Times New Roman" w:hAnsi="Verdana" w:cs="Arial"/>
          <w:bCs/>
          <w:lang w:val="es-ES" w:eastAsia="es-CO"/>
        </w:rPr>
        <w:t>infracción</w:t>
      </w:r>
      <w:r w:rsidRPr="007B2BC2">
        <w:rPr>
          <w:rFonts w:ascii="Verdana" w:eastAsia="Times New Roman" w:hAnsi="Verdana" w:cs="Arial"/>
          <w:bCs/>
          <w:lang w:val="es-ES" w:eastAsia="es-CO"/>
        </w:rPr>
        <w:t xml:space="preserve"> de l</w:t>
      </w:r>
      <w:r>
        <w:rPr>
          <w:rFonts w:ascii="Verdana" w:eastAsia="Times New Roman" w:hAnsi="Verdana" w:cs="Arial"/>
          <w:bCs/>
          <w:lang w:val="es-ES" w:eastAsia="es-CO"/>
        </w:rPr>
        <w:t xml:space="preserve">o </w:t>
      </w:r>
      <w:r w:rsidRPr="007B2BC2">
        <w:rPr>
          <w:rFonts w:ascii="Verdana" w:eastAsia="Times New Roman" w:hAnsi="Verdana" w:cs="Arial"/>
          <w:bCs/>
          <w:lang w:val="es-ES" w:eastAsia="es-CO"/>
        </w:rPr>
        <w:t>previst</w:t>
      </w:r>
      <w:r>
        <w:rPr>
          <w:rFonts w:ascii="Verdana" w:eastAsia="Times New Roman" w:hAnsi="Verdana" w:cs="Arial"/>
          <w:bCs/>
          <w:lang w:val="es-ES" w:eastAsia="es-CO"/>
        </w:rPr>
        <w:t>o</w:t>
      </w:r>
      <w:r w:rsidRPr="007B2BC2">
        <w:rPr>
          <w:rFonts w:ascii="Verdana" w:eastAsia="Times New Roman" w:hAnsi="Verdana" w:cs="Arial"/>
          <w:bCs/>
          <w:lang w:val="es-ES" w:eastAsia="es-CO"/>
        </w:rPr>
        <w:t xml:space="preserve"> en los artículos 33 y 38 </w:t>
      </w:r>
      <w:r w:rsidRPr="00AB7579">
        <w:rPr>
          <w:rFonts w:ascii="Verdana" w:eastAsia="Times New Roman" w:hAnsi="Verdana" w:cs="Arial"/>
          <w:bCs/>
          <w:i/>
          <w:iCs/>
          <w:lang w:val="es-ES" w:eastAsia="es-CO"/>
        </w:rPr>
        <w:t>ibidem,</w:t>
      </w:r>
      <w:r w:rsidRPr="007B2BC2">
        <w:rPr>
          <w:rFonts w:ascii="Verdana" w:eastAsia="Times New Roman" w:hAnsi="Verdana" w:cs="Arial"/>
          <w:bCs/>
          <w:lang w:val="es-ES" w:eastAsia="es-CO"/>
        </w:rPr>
        <w:t xml:space="preserve"> en la medida en que el hito jurídico de perfeccionamiento ocurrió dentro del período de restricción.</w:t>
      </w:r>
    </w:p>
    <w:p w14:paraId="63D0BCDE" w14:textId="77777777" w:rsidR="00D241FB" w:rsidRDefault="00D241FB" w:rsidP="00D241FB">
      <w:pPr>
        <w:spacing w:after="120" w:line="276" w:lineRule="auto"/>
        <w:ind w:firstLine="567"/>
        <w:jc w:val="both"/>
        <w:rPr>
          <w:rFonts w:ascii="Verdana" w:eastAsia="Times New Roman" w:hAnsi="Verdana" w:cs="Arial"/>
          <w:bCs/>
          <w:lang w:val="es-ES" w:eastAsia="es-CO"/>
        </w:rPr>
      </w:pPr>
      <w:r w:rsidRPr="007B2BC2">
        <w:rPr>
          <w:rFonts w:ascii="Verdana" w:eastAsia="Times New Roman" w:hAnsi="Verdana" w:cs="Arial"/>
          <w:bCs/>
          <w:lang w:val="es-ES" w:eastAsia="es-CO"/>
        </w:rPr>
        <w:t xml:space="preserve">En consecuencia, corresponderá a la Entidad Estatal efectuar el análisis jurídico integral del caso concreto y determinar la procedencia de las medidas a que haya lugar, a la luz de lo dispuesto en </w:t>
      </w:r>
      <w:r>
        <w:rPr>
          <w:rFonts w:ascii="Verdana" w:eastAsia="Times New Roman" w:hAnsi="Verdana" w:cs="Arial"/>
          <w:bCs/>
          <w:lang w:val="es-ES" w:eastAsia="es-CO"/>
        </w:rPr>
        <w:t xml:space="preserve">los </w:t>
      </w:r>
      <w:r w:rsidRPr="007B2BC2">
        <w:rPr>
          <w:rFonts w:ascii="Verdana" w:eastAsia="Times New Roman" w:hAnsi="Verdana" w:cs="Arial"/>
          <w:bCs/>
          <w:lang w:val="es-ES" w:eastAsia="es-CO"/>
        </w:rPr>
        <w:t>artículo</w:t>
      </w:r>
      <w:r>
        <w:rPr>
          <w:rFonts w:ascii="Verdana" w:eastAsia="Times New Roman" w:hAnsi="Verdana" w:cs="Arial"/>
          <w:bCs/>
          <w:lang w:val="es-ES" w:eastAsia="es-CO"/>
        </w:rPr>
        <w:t>s 44 y</w:t>
      </w:r>
      <w:r w:rsidRPr="007B2BC2">
        <w:rPr>
          <w:rFonts w:ascii="Verdana" w:eastAsia="Times New Roman" w:hAnsi="Verdana" w:cs="Arial"/>
          <w:bCs/>
          <w:lang w:val="es-ES" w:eastAsia="es-CO"/>
        </w:rPr>
        <w:t xml:space="preserve"> 45 de la Ley 80 de 1993</w:t>
      </w:r>
      <w:r>
        <w:rPr>
          <w:rFonts w:ascii="Verdana" w:eastAsia="Times New Roman" w:hAnsi="Verdana" w:cs="Arial"/>
          <w:bCs/>
          <w:lang w:val="es-ES" w:eastAsia="es-CO"/>
        </w:rPr>
        <w:t xml:space="preserve">. Lo anterior, sin perjuicio de las responsabilidades de tipo disciplinario, fiscal y penal que puedan generarse. </w:t>
      </w:r>
    </w:p>
    <w:p w14:paraId="59EA7E6B" w14:textId="77777777" w:rsidR="00D241FB" w:rsidRDefault="00D241FB" w:rsidP="00D241FB">
      <w:pPr>
        <w:spacing w:after="0" w:line="276" w:lineRule="auto"/>
        <w:ind w:firstLine="567"/>
        <w:jc w:val="both"/>
        <w:rPr>
          <w:rFonts w:ascii="Verdana" w:eastAsia="Times New Roman" w:hAnsi="Verdana" w:cs="Arial"/>
          <w:bCs/>
          <w:lang w:eastAsia="x-none"/>
        </w:rPr>
      </w:pPr>
      <w:r>
        <w:rPr>
          <w:rFonts w:ascii="Verdana" w:eastAsia="Times New Roman" w:hAnsi="Verdana" w:cs="Arial"/>
          <w:bCs/>
          <w:lang w:val="es-MX" w:eastAsia="x-none"/>
        </w:rPr>
        <w:t xml:space="preserve">Finalmente, </w:t>
      </w:r>
      <w:r w:rsidRPr="00F85BDC">
        <w:rPr>
          <w:rFonts w:ascii="Verdana" w:eastAsia="Times New Roman" w:hAnsi="Verdana" w:cs="Arial"/>
          <w:bCs/>
          <w:lang w:eastAsia="x-none"/>
        </w:rPr>
        <w:t xml:space="preserve">resulta pertinente </w:t>
      </w:r>
      <w:r>
        <w:rPr>
          <w:rFonts w:ascii="Verdana" w:eastAsia="Times New Roman" w:hAnsi="Verdana" w:cs="Arial"/>
          <w:bCs/>
          <w:lang w:eastAsia="x-none"/>
        </w:rPr>
        <w:t>enfatizar</w:t>
      </w:r>
      <w:r w:rsidRPr="00F85BDC">
        <w:rPr>
          <w:rFonts w:ascii="Verdana" w:eastAsia="Times New Roman" w:hAnsi="Verdana" w:cs="Arial"/>
          <w:bCs/>
          <w:lang w:eastAsia="x-none"/>
        </w:rPr>
        <w:t xml:space="preserve"> en el deber de planeación que asiste a las Entidades Estatales, el cual impone la obligación de estructurar y adelantar oportunamente las actuaciones precontractuales y contractuales necesarias para el cumplimiento de sus fines. Una adecuada </w:t>
      </w:r>
      <w:r>
        <w:rPr>
          <w:rFonts w:ascii="Verdana" w:eastAsia="Times New Roman" w:hAnsi="Verdana" w:cs="Arial"/>
          <w:bCs/>
          <w:lang w:eastAsia="x-none"/>
        </w:rPr>
        <w:t xml:space="preserve">planeación en la gestión de los procesos, </w:t>
      </w:r>
      <w:r w:rsidRPr="00F85BDC">
        <w:rPr>
          <w:rFonts w:ascii="Verdana" w:eastAsia="Times New Roman" w:hAnsi="Verdana" w:cs="Arial"/>
          <w:bCs/>
          <w:lang w:eastAsia="x-none"/>
        </w:rPr>
        <w:t>especialmente en contextos sujetos a restricciones temporales como las derivadas de la Ley de Garantías</w:t>
      </w:r>
      <w:r>
        <w:rPr>
          <w:rFonts w:ascii="Verdana" w:eastAsia="Times New Roman" w:hAnsi="Verdana" w:cs="Arial"/>
          <w:bCs/>
          <w:lang w:eastAsia="x-none"/>
        </w:rPr>
        <w:t xml:space="preserve"> Electorales,</w:t>
      </w:r>
      <w:r w:rsidRPr="00F85BDC">
        <w:rPr>
          <w:rFonts w:ascii="Verdana" w:eastAsia="Times New Roman" w:hAnsi="Verdana" w:cs="Arial"/>
          <w:bCs/>
          <w:lang w:eastAsia="x-none"/>
        </w:rPr>
        <w:t xml:space="preserve"> permite mitigar riesgos jurídicos y evitar que, por deficiencias</w:t>
      </w:r>
      <w:r>
        <w:rPr>
          <w:rFonts w:ascii="Verdana" w:eastAsia="Times New Roman" w:hAnsi="Verdana" w:cs="Arial"/>
          <w:bCs/>
          <w:lang w:eastAsia="x-none"/>
        </w:rPr>
        <w:t xml:space="preserve"> o retrasos</w:t>
      </w:r>
      <w:r w:rsidRPr="00F85BDC">
        <w:rPr>
          <w:rFonts w:ascii="Verdana" w:eastAsia="Times New Roman" w:hAnsi="Verdana" w:cs="Arial"/>
          <w:bCs/>
          <w:lang w:eastAsia="x-none"/>
        </w:rPr>
        <w:t xml:space="preserve"> en la gestión, se configuren situaciones que puedan dar lugar a eventuales causales de nulidad</w:t>
      </w:r>
      <w:r>
        <w:rPr>
          <w:rFonts w:ascii="Verdana" w:eastAsia="Times New Roman" w:hAnsi="Verdana" w:cs="Arial"/>
          <w:bCs/>
          <w:lang w:eastAsia="x-none"/>
        </w:rPr>
        <w:t xml:space="preserve">. </w:t>
      </w:r>
    </w:p>
    <w:p w14:paraId="1400ACAF" w14:textId="77777777" w:rsidR="00D241FB" w:rsidRDefault="00D241FB" w:rsidP="00D241FB">
      <w:pPr>
        <w:spacing w:after="0" w:line="276" w:lineRule="auto"/>
        <w:ind w:firstLine="567"/>
        <w:jc w:val="both"/>
        <w:rPr>
          <w:rFonts w:ascii="Verdana" w:eastAsia="Times New Roman" w:hAnsi="Verdana" w:cs="Arial"/>
          <w:bCs/>
          <w:lang w:eastAsia="x-none"/>
        </w:rPr>
      </w:pPr>
    </w:p>
    <w:p w14:paraId="78ED78EE" w14:textId="77777777" w:rsidR="00D241FB" w:rsidRPr="00C55BDE" w:rsidRDefault="00D241FB" w:rsidP="00D241FB">
      <w:pPr>
        <w:spacing w:after="120" w:line="276" w:lineRule="auto"/>
        <w:jc w:val="both"/>
        <w:rPr>
          <w:rFonts w:ascii="Verdana" w:eastAsia="Times New Roman" w:hAnsi="Verdana" w:cs="Arial"/>
          <w:lang w:eastAsia="es-CO"/>
        </w:rPr>
      </w:pPr>
      <w:r w:rsidRPr="00C55BDE">
        <w:rPr>
          <w:rFonts w:ascii="Verdana"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9454DFA" w14:textId="77777777" w:rsidR="00D241FB" w:rsidRDefault="00D241FB" w:rsidP="00D241FB">
      <w:pPr>
        <w:spacing w:after="0" w:line="276" w:lineRule="auto"/>
        <w:ind w:firstLine="708"/>
        <w:jc w:val="both"/>
        <w:rPr>
          <w:rFonts w:ascii="Verdana" w:hAnsi="Verdana" w:cs="Arial"/>
          <w:bCs/>
          <w:color w:val="000000" w:themeColor="text1"/>
        </w:rPr>
      </w:pPr>
      <w:r w:rsidRPr="00C55BDE">
        <w:rPr>
          <w:rFonts w:ascii="Verdana" w:hAnsi="Verdana" w:cs="Arial"/>
          <w:bCs/>
          <w:color w:val="000000" w:themeColor="text1"/>
        </w:rPr>
        <w:lastRenderedPageBreak/>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02CD520E" w14:textId="77777777" w:rsidR="00D241FB" w:rsidRDefault="00D241FB" w:rsidP="00D241FB">
      <w:pPr>
        <w:spacing w:after="0" w:line="276" w:lineRule="auto"/>
        <w:ind w:firstLine="708"/>
        <w:jc w:val="both"/>
        <w:rPr>
          <w:rFonts w:ascii="Verdana" w:hAnsi="Verdana" w:cs="Arial"/>
          <w:bCs/>
          <w:color w:val="000000" w:themeColor="text1"/>
        </w:rPr>
      </w:pPr>
    </w:p>
    <w:p w14:paraId="19D19B96" w14:textId="77777777" w:rsidR="00D241FB" w:rsidRPr="00790F0C" w:rsidRDefault="00D241FB" w:rsidP="00D241FB">
      <w:pPr>
        <w:widowControl w:val="0"/>
        <w:tabs>
          <w:tab w:val="left" w:pos="728"/>
        </w:tabs>
        <w:autoSpaceDE w:val="0"/>
        <w:autoSpaceDN w:val="0"/>
        <w:spacing w:after="120" w:line="276" w:lineRule="auto"/>
        <w:jc w:val="both"/>
        <w:rPr>
          <w:rFonts w:ascii="Verdana" w:eastAsia="Arial" w:hAnsi="Verdana" w:cs="Arial"/>
          <w:lang w:val="es-ES"/>
        </w:rPr>
      </w:pPr>
      <w:r>
        <w:rPr>
          <w:rFonts w:ascii="Verdana" w:eastAsia="Calibri" w:hAnsi="Verdana" w:cs="Times New Roman"/>
          <w:lang w:val="es-ES"/>
        </w:rPr>
        <w:t xml:space="preserve">Ahora bien, en torno al principio de publicidad, </w:t>
      </w:r>
      <w:r w:rsidRPr="00790F0C">
        <w:rPr>
          <w:rFonts w:ascii="Verdana" w:eastAsia="Calibri" w:hAnsi="Verdana" w:cs="Times New Roman"/>
          <w:lang w:val="es-ES"/>
        </w:rPr>
        <w:t xml:space="preserve">es necesario señalar que </w:t>
      </w:r>
      <w:r>
        <w:rPr>
          <w:rFonts w:ascii="Verdana" w:eastAsia="Calibri" w:hAnsi="Verdana" w:cs="Arial"/>
        </w:rPr>
        <w:t>este</w:t>
      </w:r>
      <w:r w:rsidRPr="00790F0C">
        <w:rPr>
          <w:rFonts w:ascii="Verdana" w:eastAsia="Arial" w:hAnsi="Verdana" w:cs="Arial"/>
          <w:lang w:val="es-ES"/>
        </w:rPr>
        <w:t xml:space="preserve"> principio impone a las autoridades administrativas el deber de dar a conocer sus actos, contratos y decisiones, para que se divulguen y eventualmente se controlen las actuaciones. El literal c) del artículo 3 de la Ley 1150 de 2007 dispone que el Sistema Electrónico para la Contratación Pública –SECOP– “contará con la información oficial de la contratación realizada con dineros públicos, para lo cual establecerá los patrones a que haya lugar y se encargará de su difusión a través de canales electrónicos”. </w:t>
      </w:r>
    </w:p>
    <w:p w14:paraId="194A7B53" w14:textId="77777777" w:rsidR="00D241FB" w:rsidRPr="00790F0C" w:rsidRDefault="00D241FB" w:rsidP="00D241FB">
      <w:pPr>
        <w:spacing w:after="120" w:line="276" w:lineRule="auto"/>
        <w:ind w:firstLine="567"/>
        <w:jc w:val="both"/>
        <w:rPr>
          <w:rFonts w:ascii="Verdana" w:eastAsia="Calibri" w:hAnsi="Verdana" w:cs="Arial"/>
        </w:rPr>
      </w:pPr>
      <w:r w:rsidRPr="00790F0C">
        <w:rPr>
          <w:rFonts w:ascii="Verdana" w:eastAsia="Calibri" w:hAnsi="Verdana" w:cs="Arial"/>
        </w:rPr>
        <w:t>De otra parte, la Ley 1712 de 2014 –Ley Estatutaria de transparencia y derecho de acceso a la información y a los documentos públicos–, identifica como principios que orientan el derecho de acceso a la información pública, los de máxima publicidad, transparencia en la información y buena fe. El principio de máxima publicidad establece que “toda información en posesión, bajo control o custodia de un sujeto obligado es pública y no podrá ser reservada o limitada sino por disposición constitucional o legal”</w:t>
      </w:r>
      <w:r w:rsidRPr="00790F0C">
        <w:rPr>
          <w:rFonts w:ascii="Verdana" w:eastAsia="Calibri" w:hAnsi="Verdana" w:cs="Arial"/>
          <w:vertAlign w:val="superscript"/>
        </w:rPr>
        <w:footnoteReference w:id="30"/>
      </w:r>
      <w:r w:rsidRPr="00790F0C">
        <w:rPr>
          <w:rFonts w:ascii="Verdana" w:eastAsia="Calibri" w:hAnsi="Verdana" w:cs="Arial"/>
        </w:rPr>
        <w:t xml:space="preserve">. El principio de transparencia en la información alude al deber de los sujetos de proporcionar y facilitar el acceso a la misma en los términos más amplios posibles, y a través de los medios y procedimientos legales. </w:t>
      </w:r>
    </w:p>
    <w:p w14:paraId="5969E19D" w14:textId="77777777" w:rsidR="00D241FB" w:rsidRPr="00790F0C" w:rsidRDefault="00D241FB" w:rsidP="00D241FB">
      <w:pPr>
        <w:spacing w:after="120" w:line="276" w:lineRule="auto"/>
        <w:ind w:firstLine="567"/>
        <w:jc w:val="both"/>
        <w:rPr>
          <w:rFonts w:ascii="Verdana" w:eastAsia="Calibri" w:hAnsi="Verdana" w:cs="Arial"/>
        </w:rPr>
      </w:pPr>
      <w:r w:rsidRPr="00790F0C">
        <w:rPr>
          <w:rFonts w:ascii="Verdana" w:eastAsia="Calibri" w:hAnsi="Verdana" w:cs="Arial"/>
        </w:rPr>
        <w:t>Adicionalmente, establece que todas las Entidades</w:t>
      </w:r>
      <w:r w:rsidRPr="00790F0C">
        <w:rPr>
          <w:rFonts w:ascii="Verdana" w:eastAsia="Calibri" w:hAnsi="Verdana" w:cs="Arial"/>
          <w:lang w:val="es-ES"/>
        </w:rPr>
        <w:t xml:space="preserve"> Públicas</w:t>
      </w:r>
      <w:r w:rsidRPr="00790F0C">
        <w:rPr>
          <w:rFonts w:ascii="Verdana" w:eastAsia="Calibri" w:hAnsi="Verdana" w:cs="Arial"/>
          <w:vertAlign w:val="superscript"/>
          <w:lang w:val="es-ES_tradnl"/>
        </w:rPr>
        <w:footnoteReference w:id="31"/>
      </w:r>
      <w:r w:rsidRPr="00790F0C">
        <w:rPr>
          <w:rFonts w:ascii="Verdana" w:eastAsia="Calibri" w:hAnsi="Verdana" w:cs="Arial"/>
          <w:lang w:val="es-ES"/>
        </w:rPr>
        <w:t xml:space="preserve"> deben publicar la información relativa a su contratación.</w:t>
      </w:r>
      <w:r w:rsidRPr="00790F0C">
        <w:rPr>
          <w:rFonts w:ascii="Verdana" w:eastAsia="Calibri" w:hAnsi="Verdana" w:cs="Arial"/>
        </w:rPr>
        <w:t xml:space="preserve"> Por su parte, el literal g) del </w:t>
      </w:r>
      <w:r w:rsidRPr="00790F0C">
        <w:rPr>
          <w:rFonts w:ascii="Verdana" w:eastAsia="Calibri" w:hAnsi="Verdana" w:cs="Arial"/>
        </w:rPr>
        <w:lastRenderedPageBreak/>
        <w:t xml:space="preserve">artículo 11 señala que las Entidades deben garantizar la publicidad de “sus procedimientos, lineamientos, políticas en materia de adquisiciones y compras, así como todos los datos de adjudicación y ejecución de contratos, incluidos concursos y licitaciones”. </w:t>
      </w:r>
    </w:p>
    <w:p w14:paraId="4E01224B" w14:textId="77777777" w:rsidR="00D241FB" w:rsidRPr="00790F0C" w:rsidRDefault="00D241FB" w:rsidP="00D241FB">
      <w:pPr>
        <w:spacing w:after="120" w:line="276" w:lineRule="auto"/>
        <w:ind w:firstLine="567"/>
        <w:jc w:val="both"/>
        <w:rPr>
          <w:rFonts w:ascii="Verdana" w:eastAsia="Calibri" w:hAnsi="Verdana" w:cs="Arial"/>
        </w:rPr>
      </w:pPr>
      <w:r w:rsidRPr="00790F0C">
        <w:rPr>
          <w:rFonts w:ascii="Verdana" w:eastAsia="Calibri" w:hAnsi="Verdana" w:cs="Arial"/>
          <w:lang w:val="es-ES"/>
        </w:rPr>
        <w:t>Esta obligación fue desarrollada expresamente en el Decreto Único Reglamentario 1082 de 2015</w:t>
      </w:r>
      <w:r w:rsidRPr="00790F0C">
        <w:rPr>
          <w:rFonts w:ascii="Verdana" w:eastAsia="Calibri" w:hAnsi="Verdana" w:cs="Arial"/>
          <w:vertAlign w:val="superscript"/>
          <w:lang w:val="es-ES_tradnl"/>
        </w:rPr>
        <w:footnoteReference w:id="32"/>
      </w:r>
      <w:r w:rsidRPr="00790F0C">
        <w:rPr>
          <w:rFonts w:ascii="Verdana" w:eastAsia="Calibri" w:hAnsi="Verdana" w:cs="Arial"/>
          <w:lang w:val="es-ES"/>
        </w:rPr>
        <w:t xml:space="preserve">, el cual dispuso que la publicación de la información contractual de los sujetos que contratan con cargo a recursos públicos debe hacerse en el </w:t>
      </w:r>
      <w:r w:rsidRPr="00790F0C">
        <w:rPr>
          <w:rFonts w:ascii="Verdana" w:eastAsia="Calibri" w:hAnsi="Verdana" w:cs="Arial"/>
          <w:color w:val="000000" w:themeColor="text1"/>
        </w:rPr>
        <w:t xml:space="preserve">Sistema Electrónico de Contratación Pública – en adelante </w:t>
      </w:r>
      <w:r w:rsidRPr="00790F0C">
        <w:rPr>
          <w:rFonts w:ascii="Verdana" w:eastAsia="Calibri" w:hAnsi="Verdana" w:cs="Arial"/>
          <w:lang w:val="es-ES"/>
        </w:rPr>
        <w:t>SECOP</w:t>
      </w:r>
      <w:r w:rsidRPr="00790F0C">
        <w:rPr>
          <w:rFonts w:ascii="Verdana" w:eastAsia="Calibri" w:hAnsi="Verdana" w:cs="Arial"/>
          <w:color w:val="000000" w:themeColor="text1"/>
        </w:rPr>
        <w:t>–</w:t>
      </w:r>
      <w:r w:rsidRPr="00790F0C">
        <w:rPr>
          <w:rFonts w:ascii="Verdana" w:eastAsia="Calibri" w:hAnsi="Verdana" w:cs="Arial"/>
          <w:lang w:val="es-ES"/>
        </w:rPr>
        <w:t xml:space="preserve">. Particularmente, </w:t>
      </w:r>
      <w:r w:rsidRPr="00790F0C">
        <w:rPr>
          <w:rFonts w:ascii="Verdana" w:eastAsia="Calibri" w:hAnsi="Verdana" w:cs="Arial"/>
        </w:rPr>
        <w:t>el artículo 2.2.1.1.1.7.1 del Decreto establece que las Entidades Estatales tienen la obligación de publicar “[…] los Documentos del Proceso y los actos administrativos del Proceso de Contratación, dentro de los tres (3) días siguientes a su expedición […]”. A su vez,</w:t>
      </w:r>
      <w:r w:rsidRPr="00790F0C">
        <w:rPr>
          <w:rFonts w:ascii="Verdana" w:eastAsia="Calibri" w:hAnsi="Verdana" w:cs="Arial"/>
          <w:lang w:val="es-ES"/>
        </w:rPr>
        <w:t xml:space="preserve"> </w:t>
      </w:r>
      <w:r w:rsidRPr="00790F0C">
        <w:rPr>
          <w:rFonts w:ascii="Verdana" w:eastAsia="Calibri" w:hAnsi="Verdana" w:cs="Arial"/>
        </w:rPr>
        <w:t xml:space="preserve">la expresión Documentos del Proceso está definida en el artículo 2.2.1.1.1.3.1., donde se establece que son: “(a) los estudios y documentos previos; (b) el aviso de convocatoria; (c) los pliegos de condiciones o la invitación; (d) las adendas; (e) la oferta; (f) el informe de evaluación; (g) el contrato; y cualquier otro documento expedido por la Entidad Estatal durante el Proceso de Contratación”. </w:t>
      </w:r>
    </w:p>
    <w:p w14:paraId="1C8D846B" w14:textId="77777777" w:rsidR="00D241FB" w:rsidRPr="00790F0C" w:rsidRDefault="00D241FB" w:rsidP="00D241FB">
      <w:pPr>
        <w:spacing w:after="120" w:line="276" w:lineRule="auto"/>
        <w:ind w:firstLine="567"/>
        <w:jc w:val="both"/>
        <w:rPr>
          <w:rFonts w:ascii="Verdana" w:eastAsia="Calibri" w:hAnsi="Verdana" w:cs="Arial"/>
        </w:rPr>
      </w:pPr>
      <w:r w:rsidRPr="00790F0C">
        <w:rPr>
          <w:rFonts w:ascii="Verdana" w:eastAsia="Calibri" w:hAnsi="Verdana" w:cs="Arial"/>
        </w:rPr>
        <w:tab/>
        <w:t xml:space="preserve">El anterior no es un listado taxativo, sino enunciativo, puesto que el artículo 2.2.1.1.1.3.1 incluye en la noción de Documentos del Proceso “cualquier otro documento expedido por la Entidad Estatal durante el Proceso de Contratación”. Este mismo artículo define la expresión </w:t>
      </w:r>
      <w:r w:rsidRPr="00790F0C">
        <w:rPr>
          <w:rFonts w:ascii="Verdana" w:eastAsia="Calibri" w:hAnsi="Verdana" w:cs="Arial"/>
          <w:i/>
          <w:iCs/>
        </w:rPr>
        <w:t>proceso de contratación</w:t>
      </w:r>
      <w:r w:rsidRPr="00790F0C">
        <w:rPr>
          <w:rFonts w:ascii="Verdana" w:eastAsia="Calibri" w:hAnsi="Verdana" w:cs="Arial"/>
        </w:rPr>
        <w:t xml:space="preserve">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w:t>
      </w:r>
    </w:p>
    <w:p w14:paraId="7C1DC94B" w14:textId="77777777" w:rsidR="00D241FB" w:rsidRPr="00790F0C" w:rsidRDefault="00D241FB" w:rsidP="00D241FB">
      <w:pPr>
        <w:spacing w:after="120" w:line="276" w:lineRule="auto"/>
        <w:ind w:firstLine="567"/>
        <w:jc w:val="both"/>
        <w:rPr>
          <w:rFonts w:ascii="Verdana" w:eastAsia="Calibri" w:hAnsi="Verdana" w:cs="Arial"/>
        </w:rPr>
      </w:pPr>
      <w:r w:rsidRPr="00790F0C">
        <w:rPr>
          <w:rFonts w:ascii="Verdana" w:eastAsia="Calibri" w:hAnsi="Verdana" w:cs="Arial"/>
        </w:rPr>
        <w:tab/>
        <w:t xml:space="preserve">En ese sentido, una interpretación sistemática de las disposiciones anteriores del Decreto 1082 de 2015, de acuerdo con el principio de publicidad, indica que las Entidades Estatales tienen la obligación de publicar </w:t>
      </w:r>
      <w:r w:rsidRPr="00790F0C">
        <w:rPr>
          <w:rFonts w:ascii="Verdana" w:eastAsia="Calibri" w:hAnsi="Verdana" w:cs="Arial"/>
          <w:i/>
          <w:iCs/>
        </w:rPr>
        <w:t>todos</w:t>
      </w:r>
      <w:r w:rsidRPr="00790F0C">
        <w:rPr>
          <w:rFonts w:ascii="Verdana" w:eastAsia="Calibri" w:hAnsi="Verdana" w:cs="Arial"/>
        </w:rPr>
        <w:t xml:space="preserve"> los documentos que expidan con ocasión del proceso de contratación. Este mandato </w:t>
      </w:r>
      <w:r w:rsidRPr="00790F0C">
        <w:rPr>
          <w:rFonts w:ascii="Verdana" w:eastAsia="Calibri" w:hAnsi="Verdana" w:cs="Arial"/>
        </w:rPr>
        <w:lastRenderedPageBreak/>
        <w:t>implica que todos los documentos de las etapas precontractual, de ejecución y postcontractual deberán ser publicados en SECOP dentro de los tres (3) días siguientes a su expedición para cumplir con lo establecido en el artículo 2.2.1.1.1.7.1. del Decreto 1082 de 2015.</w:t>
      </w:r>
    </w:p>
    <w:p w14:paraId="1DC04CF1" w14:textId="77777777" w:rsidR="00D241FB" w:rsidRPr="00790F0C" w:rsidRDefault="00D241FB" w:rsidP="00D241FB">
      <w:pPr>
        <w:spacing w:after="120" w:line="276" w:lineRule="auto"/>
        <w:ind w:firstLine="567"/>
        <w:jc w:val="both"/>
        <w:rPr>
          <w:rFonts w:ascii="Verdana" w:eastAsia="Calibri" w:hAnsi="Verdana" w:cs="Arial"/>
          <w:color w:val="000000" w:themeColor="text1"/>
        </w:rPr>
      </w:pPr>
      <w:r w:rsidRPr="00790F0C">
        <w:rPr>
          <w:rFonts w:ascii="Verdana" w:eastAsia="Calibri" w:hAnsi="Verdana" w:cs="Arial"/>
          <w:color w:val="000000" w:themeColor="text1"/>
        </w:rPr>
        <w:t xml:space="preserve">De acuerdo con lo expuesto, el Sistema Electrónico de Contratación Pública – SECOP – es el medio de información oficial de toda la contratación realizada con cargo a recursos públicos. El SECOP es el único punto de ingreso de información y de generación de reportes para las Entidades Estatales, los entes de control y la ciudadanía en general, el cual garantiza que se cumplan los principios de publicidad y transparencia en la gestión contractual. Son componentes del Sistema Electrónico de Contratación las siguientes plataformas administradas por Colombia Compra Eficiente: SECOP I, SECOP II y la Tienda Virtual del Estado Colombiano -TVEC. </w:t>
      </w:r>
    </w:p>
    <w:p w14:paraId="7554756A" w14:textId="77777777" w:rsidR="00D241FB" w:rsidRPr="00790F0C" w:rsidRDefault="00D241FB" w:rsidP="00D241FB">
      <w:pPr>
        <w:spacing w:after="120" w:line="276" w:lineRule="auto"/>
        <w:ind w:firstLine="567"/>
        <w:jc w:val="both"/>
        <w:rPr>
          <w:rFonts w:ascii="Verdana" w:eastAsia="Calibri" w:hAnsi="Verdana" w:cs="Arial"/>
          <w:lang w:val="es-ES"/>
        </w:rPr>
      </w:pPr>
      <w:r w:rsidRPr="00790F0C">
        <w:rPr>
          <w:rFonts w:ascii="Verdana" w:eastAsia="Calibri" w:hAnsi="Verdana" w:cs="Arial"/>
          <w:color w:val="000000" w:themeColor="text1"/>
        </w:rPr>
        <w:t xml:space="preserve">El SECOP II es una plataforma transaccional, que permite gestionar en línea todos los procedimientos de contratación, </w:t>
      </w:r>
      <w:r w:rsidRPr="00790F0C">
        <w:rPr>
          <w:rFonts w:ascii="Verdana" w:eastAsia="Calibri" w:hAnsi="Verdana" w:cs="Arial"/>
          <w:lang w:val="es-ES"/>
        </w:rPr>
        <w:t>con cuentas y usuarios asociados a estas, para las entidades y los proveedores, y vista pública para cualquier interesado en hacer seguimiento a la contratación pública. Desde sus cuentas, las entidades crean, evalúan y adjudican procedimientos de contratación, y gestionan la fase de ejecución del contrato. Los proveedores pueden hacer comentarios a los documentos del procedimiento, presentar ofertas y seguir el procedimiento de selección en línea.</w:t>
      </w:r>
    </w:p>
    <w:p w14:paraId="442968BB" w14:textId="77777777" w:rsidR="00D241FB" w:rsidRPr="00790F0C" w:rsidRDefault="00D241FB" w:rsidP="00D241FB">
      <w:pPr>
        <w:spacing w:after="120" w:line="276" w:lineRule="auto"/>
        <w:ind w:firstLine="567"/>
        <w:jc w:val="both"/>
        <w:rPr>
          <w:rFonts w:ascii="Verdana" w:eastAsia="Calibri" w:hAnsi="Verdana" w:cs="Arial"/>
          <w:lang w:val="es-ES"/>
        </w:rPr>
      </w:pPr>
      <w:r w:rsidRPr="00790F0C">
        <w:rPr>
          <w:rFonts w:ascii="Verdana" w:eastAsia="Calibri" w:hAnsi="Verdana" w:cs="Arial"/>
          <w:lang w:val="es-ES"/>
        </w:rPr>
        <w:t xml:space="preserve">En este sentido, en el SECOP II el procedimiento contractual se desarrolla en línea y dentro de la plataforma, conformándose un expediente electrónico, lo cual denota una diferencia con el SECOP I, donde el procedimiento es físico, esto es, con documentos escritos que se publican para cumplir las obligaciones de las entidades antes señaladas. Al existir esa diferencia entre las dos versiones del SECOP, no es posible realizar en SECOP II actuaciones por escrito que son propias del SECOP I, sino que los documentos y actuaciones son electrónicas. Debido a que la plataforma es totalmente transaccional, el trámite se realiza en línea y la publicidad de las actuaciones es concomitante, según transcurran cada una de las etapas del procedimiento, lo que descarta la necesidad de cargar documentación alguna, salvo algunas excepciones. </w:t>
      </w:r>
    </w:p>
    <w:p w14:paraId="03A3A647" w14:textId="77777777" w:rsidR="00D241FB" w:rsidRPr="00790F0C" w:rsidRDefault="00D241FB" w:rsidP="00D241FB">
      <w:pPr>
        <w:spacing w:after="120" w:line="276" w:lineRule="auto"/>
        <w:ind w:firstLine="567"/>
        <w:jc w:val="both"/>
        <w:rPr>
          <w:rFonts w:ascii="Verdana" w:eastAsia="Calibri" w:hAnsi="Verdana" w:cs="Arial"/>
        </w:rPr>
      </w:pPr>
      <w:r w:rsidRPr="00790F0C">
        <w:rPr>
          <w:rFonts w:ascii="Verdana" w:eastAsia="Calibri" w:hAnsi="Verdana" w:cs="Arial"/>
        </w:rPr>
        <w:t xml:space="preserve">De este modo, es preciso indicar que, las entidades son responsables de la completitud y calidad de la información, así como de la administración de los documentos y expedientes electrónicos de los procesos de contratación que se </w:t>
      </w:r>
      <w:r w:rsidRPr="00790F0C">
        <w:rPr>
          <w:rFonts w:ascii="Verdana" w:eastAsia="Calibri" w:hAnsi="Verdana" w:cs="Arial"/>
        </w:rPr>
        <w:lastRenderedPageBreak/>
        <w:t>adelanten en el SECOP II. En todo caso, si en el desarrollo de la conformación del proceso de contratación en la plataforma se generan documentos administrativos propios de la entidad para las diferentes etapas del proceso contractual, tales como: estudios previos, matriz de riesgos, informe de evaluación, resolución o acto de adjudicación, acta de inicio, certificaciones de contratos, entre otros, la entidad queda habilitada para cargar estos documentos en la plataforma con el propósito de complementar el expediente electrónico del Proceso de Contratación en el SECOP II.</w:t>
      </w:r>
    </w:p>
    <w:p w14:paraId="382EAB30" w14:textId="77777777" w:rsidR="00D241FB" w:rsidRDefault="00D241FB" w:rsidP="00D241FB">
      <w:pPr>
        <w:spacing w:after="120" w:line="276" w:lineRule="auto"/>
        <w:ind w:firstLine="567"/>
        <w:jc w:val="both"/>
        <w:rPr>
          <w:rFonts w:ascii="Verdana" w:eastAsia="Calibri" w:hAnsi="Verdana" w:cs="Arial"/>
        </w:rPr>
      </w:pPr>
      <w:r w:rsidRPr="00790F0C">
        <w:rPr>
          <w:rFonts w:ascii="Verdana" w:eastAsia="Calibri" w:hAnsi="Verdana" w:cs="Arial"/>
          <w:lang w:val="es-ES"/>
        </w:rPr>
        <w:t xml:space="preserve">En relación con </w:t>
      </w:r>
      <w:r w:rsidRPr="00790F0C">
        <w:rPr>
          <w:rFonts w:ascii="Verdana" w:eastAsia="Calibri" w:hAnsi="Verdana" w:cs="Arial"/>
        </w:rPr>
        <w:t>uso del SECOP II para crear, conformar y gestionar los expedientes electrónicos del proceso de contratación en el numeral 2 de la Circular Única Externa Versión 03 del 27 de diciembre de 2023 expedida por la Agencia Nacional de Contratación Pública – Colombia Compra Eficiente se contempló que, los expedientes electrónicos de los procesos de contratación que genera el SECOP II están conformados por documentos electrónicos: formularios o plantillas generados a partir de la información diligenciada por la Entidad Estatal o el proveedor, e imágenes digitales de documentos producidos originalmente en físico que la Entidad Estatal o el proveedor cargan o publican en el SECOP II.</w:t>
      </w:r>
    </w:p>
    <w:p w14:paraId="716A2F85" w14:textId="77777777" w:rsidR="00D241FB" w:rsidRPr="00790F0C" w:rsidRDefault="00D241FB" w:rsidP="00D241FB">
      <w:pPr>
        <w:spacing w:after="120" w:line="276" w:lineRule="auto"/>
        <w:ind w:firstLine="567"/>
        <w:jc w:val="both"/>
        <w:rPr>
          <w:rFonts w:ascii="Verdana" w:eastAsia="Calibri" w:hAnsi="Verdana" w:cs="Arial"/>
        </w:rPr>
      </w:pPr>
      <w:r w:rsidRPr="00790F0C">
        <w:rPr>
          <w:rFonts w:ascii="Verdana" w:eastAsia="Calibri" w:hAnsi="Verdana" w:cs="Arial"/>
        </w:rPr>
        <w:t>Igualmente, la referida Circular señaló que, las Entidades Estatales deberán asegurar la completitud de los documentos en el expediente del proceso de contratación. En consecuencia, cada Entidad es responsable de la administración de los documentos, custodia y calidad de la información de los procesos de contratación realizados en el SECOP II. Asimismo, se indicó que las entidades deberán adoptar las políticas, medidas y estándares necesarios para asegurar la preservación y conservación documental en el ciclo de vida de la información institucional (independientemente del sistema que los generó, tramitó o en el cual se conservan), con el fin de facilitar su consulta en el tiempo y realizar la disposición final de acuerdo con sus instrumentos archivísticos.</w:t>
      </w:r>
    </w:p>
    <w:p w14:paraId="11ADEE6A" w14:textId="77777777" w:rsidR="00D241FB" w:rsidRPr="00790F0C" w:rsidRDefault="00D241FB" w:rsidP="00D241FB">
      <w:pPr>
        <w:spacing w:after="120" w:line="276" w:lineRule="auto"/>
        <w:ind w:firstLine="709"/>
        <w:jc w:val="both"/>
        <w:rPr>
          <w:rFonts w:ascii="Verdana" w:hAnsi="Verdana"/>
        </w:rPr>
      </w:pPr>
      <w:r w:rsidRPr="00790F0C">
        <w:rPr>
          <w:rFonts w:ascii="Verdana" w:eastAsia="Calibri" w:hAnsi="Verdana" w:cs="Arial"/>
        </w:rPr>
        <w:t>Posteriormente, mediante Circular Externa No. 007 de 2025 se modificó el numeral 2 de la Circular Externa Única c</w:t>
      </w:r>
      <w:r w:rsidRPr="00790F0C">
        <w:rPr>
          <w:rFonts w:ascii="Verdana" w:hAnsi="Verdana"/>
        </w:rPr>
        <w:t xml:space="preserve">on el propósito de fortalecer la articulación entre la gestión contractual y la gestión documental, en la cual se incorpora ajustes que responden a la necesidad de brindar lineamientos claros, coherentes y precisos sobre el rol de las entidades en el manejo de la documentación generada durante los procesos de contratación pública, así como de reforzar la obligación legal que tienen las entidades del Estado de custodiar, </w:t>
      </w:r>
      <w:r w:rsidRPr="00790F0C">
        <w:rPr>
          <w:rFonts w:ascii="Verdana" w:hAnsi="Verdana"/>
        </w:rPr>
        <w:lastRenderedPageBreak/>
        <w:t>conservar y garantizar el acceso a la información, de conformidad con lo establecido en la Ley General de Archivos (Ley 594 de 2000) y demás normas aplicables.</w:t>
      </w:r>
    </w:p>
    <w:p w14:paraId="58A01DF7" w14:textId="77777777" w:rsidR="00D241FB" w:rsidRPr="00882990" w:rsidRDefault="00D241FB" w:rsidP="00D241FB">
      <w:pPr>
        <w:spacing w:after="120" w:line="276" w:lineRule="auto"/>
        <w:ind w:firstLine="709"/>
        <w:jc w:val="both"/>
        <w:rPr>
          <w:rFonts w:ascii="Verdana" w:hAnsi="Verdana"/>
        </w:rPr>
      </w:pPr>
      <w:r w:rsidRPr="00790F0C">
        <w:rPr>
          <w:rFonts w:ascii="Verdana" w:hAnsi="Verdana"/>
        </w:rPr>
        <w:t>Para tales efectos, la referida Circular establece aspectos relacionados con la naturaleza y composición del expediente contractual –2.1-, la responsabilidad integral de la gestión documental –2.2-, la estrategia de conformación y conservación del expediente -2.3-, la migración entre soportes documentales y conversión de formatos -2.4-, la accesibilidad y consulta del expediente -2.55-, la autenticidad y valor probatorio -2.6-, la preservación a largo plazo y disposición final -2.7- y la protección de datos en el SECOP -2.8-.</w:t>
      </w:r>
    </w:p>
    <w:p w14:paraId="11AA752F" w14:textId="77777777" w:rsidR="00D241FB" w:rsidRPr="00C55BDE" w:rsidRDefault="00D241FB" w:rsidP="00D241FB">
      <w:pPr>
        <w:spacing w:after="0" w:line="276" w:lineRule="auto"/>
        <w:ind w:firstLine="708"/>
        <w:jc w:val="both"/>
        <w:rPr>
          <w:rFonts w:ascii="Verdana" w:hAnsi="Verdana" w:cs="Arial"/>
          <w:bCs/>
          <w:color w:val="000000" w:themeColor="text1"/>
        </w:rPr>
      </w:pPr>
    </w:p>
    <w:p w14:paraId="535E477E" w14:textId="77777777" w:rsidR="00D241FB" w:rsidRPr="00C55BDE" w:rsidRDefault="00D241FB" w:rsidP="00D241FB">
      <w:pPr>
        <w:numPr>
          <w:ilvl w:val="0"/>
          <w:numId w:val="16"/>
        </w:numPr>
        <w:tabs>
          <w:tab w:val="left" w:pos="142"/>
          <w:tab w:val="left" w:pos="284"/>
        </w:tabs>
        <w:spacing w:after="0" w:line="276" w:lineRule="auto"/>
        <w:ind w:left="360"/>
        <w:jc w:val="both"/>
        <w:rPr>
          <w:rFonts w:ascii="Verdana" w:eastAsia="Century Gothic" w:hAnsi="Verdana" w:cs="Century Gothic"/>
          <w:b/>
          <w:bCs/>
          <w:lang w:val="es-ES_tradnl"/>
        </w:rPr>
      </w:pPr>
      <w:r w:rsidRPr="00C55BDE">
        <w:rPr>
          <w:rFonts w:ascii="Verdana" w:eastAsia="Century Gothic" w:hAnsi="Verdana" w:cs="Century Gothic"/>
          <w:b/>
          <w:bCs/>
          <w:lang w:val="es-ES_tradnl"/>
        </w:rPr>
        <w:t>Referencias normativas:</w:t>
      </w:r>
    </w:p>
    <w:p w14:paraId="62E9882F" w14:textId="77777777" w:rsidR="00D241FB" w:rsidRPr="00C55BDE" w:rsidRDefault="00D241FB" w:rsidP="00D241FB">
      <w:pPr>
        <w:widowControl w:val="0"/>
        <w:autoSpaceDE w:val="0"/>
        <w:autoSpaceDN w:val="0"/>
        <w:spacing w:after="0" w:line="276" w:lineRule="auto"/>
        <w:jc w:val="both"/>
        <w:rPr>
          <w:rFonts w:ascii="Verdana" w:hAnsi="Verdana" w:cs="Arial"/>
          <w:lang w:val="es-ES_tradnl"/>
        </w:rPr>
      </w:pPr>
    </w:p>
    <w:tbl>
      <w:tblPr>
        <w:tblStyle w:val="Tablaconcuadrcula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241FB" w:rsidRPr="00C55BDE" w14:paraId="68E68186" w14:textId="77777777" w:rsidTr="00C659C5">
        <w:trPr>
          <w:trHeight w:val="491"/>
          <w:jc w:val="center"/>
        </w:trPr>
        <w:tc>
          <w:tcPr>
            <w:tcW w:w="8647" w:type="dxa"/>
          </w:tcPr>
          <w:p w14:paraId="341A63FE" w14:textId="77777777" w:rsidR="00D241FB" w:rsidRPr="00C55BDE" w:rsidRDefault="00D241FB" w:rsidP="00C659C5">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C55BDE">
              <w:rPr>
                <w:rFonts w:ascii="Verdana" w:eastAsia="Arial MT" w:hAnsi="Verdana" w:cs="Arial"/>
                <w:lang w:val="es-ES" w:eastAsia="es-ES" w:bidi="es-ES"/>
              </w:rPr>
              <w:t>Constitución Política, artículos 127, 329, 356.</w:t>
            </w:r>
          </w:p>
          <w:p w14:paraId="737AD6D8" w14:textId="77777777" w:rsidR="00D241FB" w:rsidRPr="00C55BDE" w:rsidRDefault="00D241FB" w:rsidP="00C659C5">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C55BDE">
              <w:rPr>
                <w:rFonts w:ascii="Verdana" w:eastAsia="Arial MT" w:hAnsi="Verdana" w:cs="Arial"/>
                <w:lang w:val="es-ES" w:eastAsia="es-ES" w:bidi="es-ES"/>
              </w:rPr>
              <w:t>Ley 80 de 1993, artículo 2.</w:t>
            </w:r>
          </w:p>
          <w:p w14:paraId="4A9118ED" w14:textId="77777777" w:rsidR="00D241FB" w:rsidRPr="00C55BDE" w:rsidRDefault="00D241FB" w:rsidP="00C659C5">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C55BDE">
              <w:rPr>
                <w:rFonts w:ascii="Verdana" w:eastAsia="Arial MT" w:hAnsi="Verdana" w:cs="Arial"/>
                <w:lang w:val="es-ES" w:eastAsia="es-ES" w:bidi="es-ES"/>
              </w:rPr>
              <w:t>Ley 715 de 2001.</w:t>
            </w:r>
          </w:p>
          <w:p w14:paraId="3B760AB3" w14:textId="77777777" w:rsidR="00D241FB" w:rsidRPr="00C55BDE" w:rsidRDefault="00D241FB" w:rsidP="00C659C5">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C55BDE">
              <w:rPr>
                <w:rFonts w:ascii="Verdana" w:eastAsia="Arial MT" w:hAnsi="Verdana" w:cs="Arial"/>
                <w:bCs/>
                <w:lang w:val="es-ES" w:eastAsia="es-ES" w:bidi="es-ES"/>
              </w:rPr>
              <w:t>Ley 996 de 2005, artículos 33 y 38.</w:t>
            </w:r>
          </w:p>
          <w:p w14:paraId="3A853D42" w14:textId="77777777" w:rsidR="00D241FB" w:rsidRPr="00C55BDE" w:rsidRDefault="00D241FB" w:rsidP="00C659C5">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C55BDE">
              <w:rPr>
                <w:rFonts w:ascii="Verdana" w:eastAsia="Arial MT" w:hAnsi="Verdana" w:cs="Arial"/>
                <w:lang w:val="es-ES" w:eastAsia="es-ES" w:bidi="es-ES"/>
              </w:rPr>
              <w:t>Decreto 1088 de 1993.</w:t>
            </w:r>
          </w:p>
          <w:p w14:paraId="248BEAB7" w14:textId="77777777" w:rsidR="00D241FB" w:rsidRPr="00C55BDE" w:rsidRDefault="00D241FB" w:rsidP="00C659C5">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C55BDE">
              <w:rPr>
                <w:rFonts w:ascii="Verdana" w:eastAsia="Arial MT" w:hAnsi="Verdana" w:cs="Arial"/>
                <w:lang w:val="es-ES" w:eastAsia="es-ES" w:bidi="es-ES"/>
              </w:rPr>
              <w:t>Decreto 1953 de 2014.</w:t>
            </w:r>
          </w:p>
          <w:p w14:paraId="26B82AE0" w14:textId="77777777" w:rsidR="00D241FB" w:rsidRPr="00C55BDE" w:rsidRDefault="00D241FB" w:rsidP="00C659C5">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C55BDE">
              <w:rPr>
                <w:rFonts w:ascii="Verdana" w:hAnsi="Verdana" w:cs="Arial"/>
                <w:bCs/>
                <w:color w:val="000000" w:themeColor="text1"/>
                <w:lang w:val="es-ES"/>
              </w:rPr>
              <w:t>Decreto 1068 de 2015, artículo 2.2.1.1.1.</w:t>
            </w:r>
          </w:p>
          <w:p w14:paraId="0251964A" w14:textId="77777777" w:rsidR="00D241FB" w:rsidRPr="005278F9" w:rsidRDefault="00D241FB" w:rsidP="00C659C5">
            <w:pPr>
              <w:widowControl w:val="0"/>
              <w:numPr>
                <w:ilvl w:val="0"/>
                <w:numId w:val="17"/>
              </w:numPr>
              <w:autoSpaceDE w:val="0"/>
              <w:autoSpaceDN w:val="0"/>
              <w:spacing w:after="120" w:line="276" w:lineRule="auto"/>
              <w:ind w:left="714" w:hanging="357"/>
              <w:jc w:val="both"/>
              <w:rPr>
                <w:rFonts w:ascii="Verdana" w:hAnsi="Verdana" w:cs="Arial"/>
                <w:lang w:val="pt-PT"/>
              </w:rPr>
            </w:pPr>
            <w:r w:rsidRPr="00C55BDE">
              <w:rPr>
                <w:rFonts w:ascii="Verdana" w:hAnsi="Verdana" w:cs="Arial"/>
                <w:lang w:val="pt-BR"/>
              </w:rPr>
              <w:t>Corte Constitucional. Sentencia C-671 de 2015. M.P. Alberto Rojas Ríos.</w:t>
            </w:r>
          </w:p>
          <w:p w14:paraId="0EFF503B" w14:textId="77777777" w:rsidR="00D241FB" w:rsidRPr="00C55BDE" w:rsidRDefault="00D241FB" w:rsidP="00C659C5">
            <w:pPr>
              <w:widowControl w:val="0"/>
              <w:numPr>
                <w:ilvl w:val="0"/>
                <w:numId w:val="17"/>
              </w:numPr>
              <w:autoSpaceDE w:val="0"/>
              <w:autoSpaceDN w:val="0"/>
              <w:spacing w:after="120" w:line="276" w:lineRule="auto"/>
              <w:ind w:left="714" w:hanging="357"/>
              <w:jc w:val="both"/>
              <w:rPr>
                <w:rFonts w:ascii="Verdana" w:hAnsi="Verdana" w:cs="Arial"/>
                <w:lang w:val="es-ES"/>
              </w:rPr>
            </w:pPr>
            <w:r w:rsidRPr="00C55BDE">
              <w:rPr>
                <w:rFonts w:ascii="Verdana" w:hAnsi="Verdana" w:cs="Arial"/>
                <w:lang w:val="es-ES"/>
              </w:rPr>
              <w:t>Consejo de Estado, Sección Primera. Sentencia de 3 de marzo de 2005</w:t>
            </w:r>
            <w:r>
              <w:rPr>
                <w:rFonts w:ascii="Verdana" w:hAnsi="Verdana" w:cs="Arial"/>
                <w:lang w:val="es-ES"/>
              </w:rPr>
              <w:t xml:space="preserve">. </w:t>
            </w:r>
            <w:r w:rsidRPr="00C55BDE">
              <w:rPr>
                <w:rFonts w:ascii="Verdana" w:hAnsi="Verdana" w:cs="Arial"/>
                <w:lang w:val="es-ES"/>
              </w:rPr>
              <w:t xml:space="preserve">Exp. 2004-00823-01(PI). </w:t>
            </w:r>
          </w:p>
          <w:p w14:paraId="73B59584" w14:textId="77777777" w:rsidR="00D241FB" w:rsidRPr="00C55BDE" w:rsidRDefault="00D241FB" w:rsidP="00C659C5">
            <w:pPr>
              <w:numPr>
                <w:ilvl w:val="0"/>
                <w:numId w:val="17"/>
              </w:numPr>
              <w:spacing w:after="120" w:line="276" w:lineRule="auto"/>
              <w:ind w:left="714" w:hanging="357"/>
              <w:jc w:val="both"/>
              <w:rPr>
                <w:rFonts w:ascii="Verdana" w:hAnsi="Verdana" w:cs="Arial"/>
                <w:lang w:val="es-ES"/>
              </w:rPr>
            </w:pPr>
            <w:r w:rsidRPr="00C55BDE">
              <w:rPr>
                <w:rFonts w:ascii="Verdana" w:hAnsi="Verdana" w:cs="Arial"/>
              </w:rPr>
              <w:t>Consejo de Estado. Sala de Consulta y Servicio Civil. Concepto del 15 de noviembre de 2007. Expediente número 1863. Consejero Ponente: Luis Fernando Álvarez Jaramillo</w:t>
            </w:r>
          </w:p>
          <w:p w14:paraId="1835CEA2" w14:textId="77777777" w:rsidR="00D241FB" w:rsidRPr="00C55BDE" w:rsidRDefault="00D241FB" w:rsidP="00C659C5">
            <w:pPr>
              <w:widowControl w:val="0"/>
              <w:numPr>
                <w:ilvl w:val="0"/>
                <w:numId w:val="17"/>
              </w:numPr>
              <w:autoSpaceDE w:val="0"/>
              <w:autoSpaceDN w:val="0"/>
              <w:spacing w:after="120" w:line="276" w:lineRule="auto"/>
              <w:ind w:left="714" w:hanging="357"/>
              <w:jc w:val="both"/>
              <w:rPr>
                <w:rFonts w:ascii="Verdana" w:hAnsi="Verdana" w:cs="Arial"/>
                <w:lang w:val="es-ES"/>
              </w:rPr>
            </w:pPr>
            <w:r w:rsidRPr="00C55BDE">
              <w:rPr>
                <w:rFonts w:ascii="Verdana" w:hAnsi="Verdana" w:cs="Arial"/>
                <w:lang w:val="es-ES"/>
              </w:rPr>
              <w:t>Consejo de Estado, Sala de Consulta y Servicio Civil, Concepto de fecha 24 de julio de 2013</w:t>
            </w:r>
            <w:r>
              <w:rPr>
                <w:rFonts w:ascii="Verdana" w:hAnsi="Verdana" w:cs="Arial"/>
                <w:lang w:val="es-ES"/>
              </w:rPr>
              <w:t>.</w:t>
            </w:r>
            <w:r w:rsidRPr="00C55BDE">
              <w:rPr>
                <w:rFonts w:ascii="Verdana" w:hAnsi="Verdana" w:cs="Arial"/>
                <w:lang w:val="es-ES"/>
              </w:rPr>
              <w:t xml:space="preserve"> Rad. 2166, C. P. Álvaro Namén Vargas. </w:t>
            </w:r>
          </w:p>
          <w:p w14:paraId="6344E30F" w14:textId="77777777" w:rsidR="00D241FB" w:rsidRPr="00C55BDE" w:rsidRDefault="00D241FB" w:rsidP="00C659C5">
            <w:pPr>
              <w:numPr>
                <w:ilvl w:val="0"/>
                <w:numId w:val="17"/>
              </w:numPr>
              <w:spacing w:after="120" w:line="276" w:lineRule="auto"/>
              <w:ind w:left="714" w:hanging="357"/>
              <w:jc w:val="both"/>
              <w:rPr>
                <w:rFonts w:ascii="Verdana" w:hAnsi="Verdana" w:cs="Arial"/>
                <w:lang w:val="es-ES"/>
              </w:rPr>
            </w:pPr>
            <w:r w:rsidRPr="00C55BDE">
              <w:rPr>
                <w:rFonts w:ascii="Verdana" w:hAnsi="Verdana" w:cs="Arial"/>
              </w:rPr>
              <w:lastRenderedPageBreak/>
              <w:t>Consejo de Estado. Sala de Consulta y Servicio Civil. Concepto del 2 de septiembre de 2013</w:t>
            </w:r>
            <w:r>
              <w:rPr>
                <w:rFonts w:ascii="Verdana" w:hAnsi="Verdana" w:cs="Arial"/>
              </w:rPr>
              <w:t>.</w:t>
            </w:r>
            <w:r w:rsidRPr="00C55BDE">
              <w:rPr>
                <w:rFonts w:ascii="Verdana" w:hAnsi="Verdana" w:cs="Arial"/>
              </w:rPr>
              <w:t xml:space="preserve"> Radicado No: 2168. CP: Alvaro Namén Vargas.</w:t>
            </w:r>
          </w:p>
          <w:p w14:paraId="64C797DB" w14:textId="77777777" w:rsidR="00D241FB" w:rsidRDefault="00D241FB" w:rsidP="00C659C5">
            <w:pPr>
              <w:numPr>
                <w:ilvl w:val="0"/>
                <w:numId w:val="17"/>
              </w:numPr>
              <w:spacing w:after="120" w:line="276" w:lineRule="auto"/>
              <w:ind w:left="714" w:hanging="357"/>
              <w:jc w:val="both"/>
              <w:rPr>
                <w:rFonts w:ascii="Verdana" w:hAnsi="Verdana" w:cs="Arial"/>
                <w:lang w:val="es-ES"/>
              </w:rPr>
            </w:pPr>
            <w:r w:rsidRPr="00562602">
              <w:rPr>
                <w:rFonts w:ascii="Verdana" w:hAnsi="Verdana" w:cs="Arial"/>
                <w:lang w:val="es-ES"/>
              </w:rPr>
              <w:t>Consejo de Estado, Sala de lo Contencioso Administrativo, Sección Tercera, Subsección A.  Primera. Sentencia de 11 de junio de 2014, expediente número 34649. C.P: Hernán Andrade Rincon.</w:t>
            </w:r>
          </w:p>
          <w:p w14:paraId="58198B7E" w14:textId="77777777" w:rsidR="00D241FB" w:rsidRPr="00C55BDE" w:rsidRDefault="00D241FB" w:rsidP="00C659C5">
            <w:pPr>
              <w:numPr>
                <w:ilvl w:val="0"/>
                <w:numId w:val="17"/>
              </w:numPr>
              <w:spacing w:after="120" w:line="276" w:lineRule="auto"/>
              <w:ind w:left="714" w:hanging="357"/>
              <w:jc w:val="both"/>
              <w:rPr>
                <w:rFonts w:ascii="Verdana" w:hAnsi="Verdana" w:cs="Arial"/>
                <w:lang w:val="es-ES"/>
              </w:rPr>
            </w:pPr>
            <w:r w:rsidRPr="00C55BDE">
              <w:rPr>
                <w:rFonts w:ascii="Verdana" w:hAnsi="Verdana" w:cs="Arial"/>
                <w:lang w:val="es-ES"/>
              </w:rPr>
              <w:t>Consejo de Estado. Sala de Consulta y Servicio Civil. Concepto del 17 de febrero de 2015. C.P. William Zambrano Cetina. Radicación No. 11001-03-06-000-2015-00164-00(2269).</w:t>
            </w:r>
          </w:p>
          <w:p w14:paraId="67093FEE" w14:textId="77777777" w:rsidR="00D241FB" w:rsidRPr="00747561" w:rsidRDefault="00D241FB" w:rsidP="00C659C5">
            <w:pPr>
              <w:numPr>
                <w:ilvl w:val="0"/>
                <w:numId w:val="17"/>
              </w:numPr>
              <w:spacing w:after="120" w:line="276" w:lineRule="auto"/>
              <w:ind w:left="714" w:hanging="357"/>
              <w:jc w:val="both"/>
              <w:rPr>
                <w:rFonts w:ascii="Verdana" w:hAnsi="Verdana" w:cs="Arial"/>
                <w:lang w:val="es-ES"/>
              </w:rPr>
            </w:pPr>
            <w:r w:rsidRPr="00C55BDE">
              <w:rPr>
                <w:rFonts w:ascii="Verdana" w:hAnsi="Verdana" w:cs="Arial"/>
                <w:lang w:val="es-ES"/>
              </w:rPr>
              <w:t>Consejo de Estado, Sala de Consulta y Servicio Civil, Concepto de fecha 8 de mayo de 2018, No. 2382. C. P. Álvaro Namén Vargas.</w:t>
            </w:r>
          </w:p>
        </w:tc>
      </w:tr>
    </w:tbl>
    <w:p w14:paraId="6E03D961" w14:textId="77777777" w:rsidR="00D241FB" w:rsidRPr="00747561" w:rsidRDefault="00D241FB" w:rsidP="00D241FB">
      <w:pPr>
        <w:widowControl w:val="0"/>
        <w:autoSpaceDE w:val="0"/>
        <w:autoSpaceDN w:val="0"/>
        <w:spacing w:after="0" w:line="276" w:lineRule="auto"/>
        <w:jc w:val="both"/>
        <w:rPr>
          <w:rFonts w:ascii="Verdana" w:hAnsi="Verdana" w:cs="Arial"/>
          <w:lang w:val="es-ES_tradnl"/>
        </w:rPr>
      </w:pPr>
    </w:p>
    <w:p w14:paraId="24B74711" w14:textId="77777777" w:rsidR="00D241FB" w:rsidRPr="00747561" w:rsidRDefault="00D241FB" w:rsidP="00D241FB">
      <w:pPr>
        <w:numPr>
          <w:ilvl w:val="0"/>
          <w:numId w:val="16"/>
        </w:numPr>
        <w:tabs>
          <w:tab w:val="left" w:pos="142"/>
          <w:tab w:val="left" w:pos="284"/>
        </w:tabs>
        <w:spacing w:after="0" w:line="276" w:lineRule="auto"/>
        <w:ind w:left="360"/>
        <w:jc w:val="both"/>
        <w:rPr>
          <w:rFonts w:ascii="Verdana" w:eastAsia="Century Gothic" w:hAnsi="Verdana" w:cs="Century Gothic"/>
          <w:b/>
          <w:bCs/>
          <w:lang w:val="es-ES_tradnl"/>
        </w:rPr>
      </w:pPr>
      <w:r w:rsidRPr="00747561">
        <w:rPr>
          <w:rFonts w:ascii="Verdana" w:eastAsia="Century Gothic" w:hAnsi="Verdana" w:cs="Century Gothic"/>
          <w:b/>
          <w:bCs/>
          <w:lang w:val="es-ES_tradnl"/>
        </w:rPr>
        <w:t>Doctrina de la Agencia Nacional de Contratación Pública:</w:t>
      </w:r>
    </w:p>
    <w:p w14:paraId="262E0F26" w14:textId="77777777" w:rsidR="00D241FB" w:rsidRPr="00747561" w:rsidRDefault="00D241FB" w:rsidP="00D241FB">
      <w:pPr>
        <w:widowControl w:val="0"/>
        <w:autoSpaceDE w:val="0"/>
        <w:autoSpaceDN w:val="0"/>
        <w:spacing w:after="0" w:line="276" w:lineRule="auto"/>
        <w:jc w:val="both"/>
        <w:rPr>
          <w:rFonts w:ascii="Verdana" w:hAnsi="Verdana" w:cs="Arial"/>
          <w:lang w:val="es-ES_tradnl"/>
        </w:rPr>
      </w:pPr>
    </w:p>
    <w:p w14:paraId="5007F294" w14:textId="77777777" w:rsidR="00D241FB" w:rsidRDefault="00D241FB" w:rsidP="00D241FB">
      <w:pPr>
        <w:widowControl w:val="0"/>
        <w:autoSpaceDE w:val="0"/>
        <w:autoSpaceDN w:val="0"/>
        <w:spacing w:after="0" w:line="276" w:lineRule="auto"/>
        <w:jc w:val="both"/>
        <w:rPr>
          <w:rFonts w:ascii="Verdana" w:hAnsi="Verdana" w:cs="Arial"/>
          <w:shd w:val="clear" w:color="auto" w:fill="FFFFFF"/>
        </w:rPr>
      </w:pPr>
      <w:r w:rsidRPr="00747561">
        <w:rPr>
          <w:rFonts w:ascii="Verdana" w:hAnsi="Verdana" w:cs="Arial"/>
          <w:shd w:val="clear" w:color="auto" w:fill="FFFFFF"/>
        </w:rPr>
        <w:t>Esta Subdirección se ha pronunciado sobre la finalidad y propósito de la Ley de Garantías Electorales en los Conceptos C-227 del 24 de mayo de 2021, C-396 del 13 de agosto de 2021, C-439 del 27 de agosto de 2021, C-481 del 9 de septiembre de 2021, C-528 del 27 de septiembre de 2021, C-550 del 5 de octubre de 2021, C-523 del 10 de octubre de 2021, C-606 del 28 de octubre de 2021, C-614 del 2 de noviembre de 2021, C-634 del 11 de noviembre de 2021, C-636 del 16 de noviembre de 2021, C-681 del 7 de diciembre de 2021, C-686 del 21 de diciembre de 2021, C-054 del 22 de marzo de 2022, C-179 del 8 de abril de 2022, C-161 del 17 de mayo de 2022, C- 180 del 21 de marzo de 2025, C-696 del 11 de julio de 2025, C-708 del 15 de julio de 2025, C-1186 del 17 de septiembre de 2025, C-1350 del 1˚ de octubre de 2025, C-1430 del 12 de noviembre del 2025 y C-1492 del 21 de noviembre del 2025 y C-1608 del 4 de diciembre de 2025</w:t>
      </w:r>
      <w:r>
        <w:rPr>
          <w:rFonts w:ascii="Verdana" w:hAnsi="Verdana" w:cs="Arial"/>
          <w:shd w:val="clear" w:color="auto" w:fill="FFFFFF"/>
        </w:rPr>
        <w:t xml:space="preserve">. </w:t>
      </w:r>
      <w:r>
        <w:rPr>
          <w:rFonts w:ascii="Verdana" w:hAnsi="Verdana" w:cs="Arial"/>
          <w:bCs/>
          <w:shd w:val="clear" w:color="auto" w:fill="FFFFFF"/>
        </w:rPr>
        <w:t>S</w:t>
      </w:r>
      <w:r w:rsidRPr="00790F0C">
        <w:rPr>
          <w:rFonts w:ascii="Verdana" w:hAnsi="Verdana" w:cs="Arial"/>
          <w:bCs/>
          <w:shd w:val="clear" w:color="auto" w:fill="FFFFFF"/>
        </w:rPr>
        <w:t>obre la publicidad y el SECOP en los conceptos CU-367 del 23 de julio de 2020, reiterado en los conceptos: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 C-804 del 12 de diciembre de 2024, C- 185 del 24 de marzo de 2025, C-742 de 2025, entre otros</w:t>
      </w:r>
      <w:r w:rsidRPr="00747561">
        <w:rPr>
          <w:rFonts w:ascii="Verdana" w:hAnsi="Verdana" w:cs="Arial"/>
          <w:shd w:val="clear" w:color="auto" w:fill="FFFFFF"/>
        </w:rPr>
        <w:t>.</w:t>
      </w:r>
      <w:r w:rsidRPr="00F31AC8">
        <w:rPr>
          <w:rFonts w:ascii="Verdana" w:hAnsi="Verdana" w:cs="Arial"/>
          <w:shd w:val="clear" w:color="auto" w:fill="FFFFFF"/>
        </w:rPr>
        <w:t xml:space="preserve"> </w:t>
      </w:r>
      <w:r w:rsidRPr="00877011">
        <w:rPr>
          <w:rFonts w:ascii="Verdana" w:hAnsi="Verdana" w:cs="Arial"/>
          <w:shd w:val="clear" w:color="auto" w:fill="FFFFFF"/>
        </w:rPr>
        <w:t>Es</w:t>
      </w:r>
      <w:r w:rsidRPr="00877011">
        <w:rPr>
          <w:rFonts w:ascii="Verdana" w:hAnsi="Verdana"/>
        </w:rPr>
        <w:t xml:space="preserve">tos y otros conceptos se encuentran disponibles para consulta en el Sistema de </w:t>
      </w:r>
      <w:r w:rsidRPr="00877011">
        <w:rPr>
          <w:rFonts w:ascii="Verdana" w:hAnsi="Verdana"/>
        </w:rPr>
        <w:lastRenderedPageBreak/>
        <w:t>relatoría de la Agencia, al cual se puede acceder a través del siguiente enlace:</w:t>
      </w:r>
      <w:r w:rsidRPr="00877011">
        <w:rPr>
          <w:rFonts w:ascii="Verdana" w:hAnsi="Verdana" w:cs="Arial"/>
          <w:shd w:val="clear" w:color="auto" w:fill="FFFFFF"/>
        </w:rPr>
        <w:t xml:space="preserve"> </w:t>
      </w:r>
      <w:hyperlink r:id="rId12" w:history="1">
        <w:r w:rsidRPr="00877011">
          <w:rPr>
            <w:rFonts w:ascii="Verdana" w:hAnsi="Verdana" w:cs="Arial"/>
            <w:color w:val="0563C1" w:themeColor="hyperlink"/>
            <w:u w:val="single"/>
            <w:shd w:val="clear" w:color="auto" w:fill="FFFFFF"/>
          </w:rPr>
          <w:t>https://relatoria.colombiacompra.gov.co/busqueda/conceptos</w:t>
        </w:r>
      </w:hyperlink>
    </w:p>
    <w:p w14:paraId="5BF2066F" w14:textId="77777777" w:rsidR="00D241FB" w:rsidRPr="00747561" w:rsidRDefault="00D241FB" w:rsidP="00D241FB">
      <w:pPr>
        <w:widowControl w:val="0"/>
        <w:autoSpaceDE w:val="0"/>
        <w:autoSpaceDN w:val="0"/>
        <w:spacing w:after="0" w:line="276" w:lineRule="auto"/>
        <w:jc w:val="both"/>
        <w:rPr>
          <w:rFonts w:ascii="Verdana" w:hAnsi="Verdana" w:cs="Arial"/>
          <w:shd w:val="clear" w:color="auto" w:fill="FFFFFF"/>
        </w:rPr>
      </w:pPr>
    </w:p>
    <w:p w14:paraId="6EEDB506" w14:textId="77777777" w:rsidR="00D241FB" w:rsidRDefault="00D241FB" w:rsidP="00D241FB">
      <w:pPr>
        <w:widowControl w:val="0"/>
        <w:autoSpaceDE w:val="0"/>
        <w:autoSpaceDN w:val="0"/>
        <w:spacing w:after="0" w:line="276" w:lineRule="auto"/>
        <w:jc w:val="both"/>
        <w:rPr>
          <w:rFonts w:ascii="Verdana" w:hAnsi="Verdana"/>
          <w:color w:val="000000"/>
        </w:rPr>
      </w:pPr>
      <w:r w:rsidRPr="00702F75">
        <w:rPr>
          <w:rFonts w:ascii="Verdana" w:hAnsi="Verdana"/>
          <w:color w:val="000000"/>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3" w:history="1">
        <w:r w:rsidRPr="003479B4">
          <w:rPr>
            <w:rStyle w:val="Hipervnculo"/>
            <w:rFonts w:ascii="Verdana" w:hAnsi="Verdana"/>
          </w:rPr>
          <w:t>https://formacionvirtual.colombiacompra.gov.co/mod/page/view.php?id=3718</w:t>
        </w:r>
      </w:hyperlink>
    </w:p>
    <w:p w14:paraId="3046AC2E" w14:textId="77777777" w:rsidR="00D241FB" w:rsidRDefault="00D241FB" w:rsidP="00D241FB">
      <w:pPr>
        <w:widowControl w:val="0"/>
        <w:autoSpaceDE w:val="0"/>
        <w:autoSpaceDN w:val="0"/>
        <w:spacing w:after="0" w:line="276" w:lineRule="auto"/>
        <w:jc w:val="both"/>
        <w:rPr>
          <w:rFonts w:ascii="Verdana" w:hAnsi="Verdana"/>
          <w:color w:val="000000"/>
        </w:rPr>
      </w:pPr>
    </w:p>
    <w:p w14:paraId="22482413" w14:textId="77777777" w:rsidR="00D241FB" w:rsidRDefault="00D241FB" w:rsidP="00D241FB">
      <w:pPr>
        <w:widowControl w:val="0"/>
        <w:autoSpaceDE w:val="0"/>
        <w:autoSpaceDN w:val="0"/>
        <w:spacing w:after="0" w:line="276" w:lineRule="auto"/>
        <w:jc w:val="both"/>
        <w:rPr>
          <w:rFonts w:ascii="Verdana" w:hAnsi="Verdana"/>
          <w:color w:val="000000"/>
        </w:rPr>
      </w:pPr>
      <w:r w:rsidRPr="00702F75">
        <w:rPr>
          <w:rFonts w:ascii="Verdana" w:hAnsi="Verdana"/>
          <w:color w:val="000000"/>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4" w:history="1">
        <w:r w:rsidRPr="00702F75">
          <w:rPr>
            <w:rStyle w:val="Hipervnculo"/>
            <w:rFonts w:ascii="Verdana" w:hAnsi="Verdana"/>
          </w:rPr>
          <w:t>https://www.colombiacompra.gov.co/normativa-y-relatoria/documentos-tipo</w:t>
        </w:r>
      </w:hyperlink>
    </w:p>
    <w:p w14:paraId="449CABB1" w14:textId="77777777" w:rsidR="00D241FB" w:rsidRPr="00702F75" w:rsidRDefault="00D241FB" w:rsidP="00D241FB">
      <w:pPr>
        <w:widowControl w:val="0"/>
        <w:autoSpaceDE w:val="0"/>
        <w:autoSpaceDN w:val="0"/>
        <w:spacing w:after="0" w:line="276" w:lineRule="auto"/>
        <w:jc w:val="both"/>
        <w:rPr>
          <w:rFonts w:ascii="Verdana" w:hAnsi="Verdana"/>
          <w:color w:val="000000"/>
        </w:rPr>
      </w:pPr>
    </w:p>
    <w:p w14:paraId="49738762" w14:textId="77777777" w:rsidR="00D241FB" w:rsidRDefault="00D241FB" w:rsidP="00D241FB">
      <w:pPr>
        <w:widowControl w:val="0"/>
        <w:autoSpaceDE w:val="0"/>
        <w:autoSpaceDN w:val="0"/>
        <w:spacing w:after="0" w:line="276" w:lineRule="auto"/>
        <w:jc w:val="both"/>
        <w:rPr>
          <w:rFonts w:ascii="Verdana" w:hAnsi="Verdana"/>
          <w:color w:val="000000"/>
        </w:rPr>
      </w:pPr>
      <w:r w:rsidRPr="00702F75">
        <w:rPr>
          <w:rFonts w:ascii="Verdana" w:hAnsi="Verdana"/>
          <w:color w:val="000000"/>
        </w:rPr>
        <w:t xml:space="preserve">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w:t>
      </w:r>
      <w:hyperlink r:id="rId15" w:history="1">
        <w:r w:rsidRPr="003479B4">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701D8B86" w14:textId="77777777" w:rsidR="00D241FB" w:rsidRPr="00747561" w:rsidRDefault="00D241FB" w:rsidP="00D241FB">
      <w:pPr>
        <w:shd w:val="clear" w:color="auto" w:fill="FFFFFF"/>
        <w:spacing w:after="0" w:line="276" w:lineRule="auto"/>
        <w:jc w:val="both"/>
        <w:rPr>
          <w:rFonts w:ascii="Verdana" w:hAnsi="Verdana"/>
          <w:color w:val="467886"/>
          <w:u w:val="single"/>
        </w:rPr>
      </w:pPr>
    </w:p>
    <w:p w14:paraId="387E741D" w14:textId="77777777" w:rsidR="00D241FB" w:rsidRPr="00747561" w:rsidRDefault="00D241FB" w:rsidP="00D241FB">
      <w:pPr>
        <w:shd w:val="clear" w:color="auto" w:fill="FFFFFF"/>
        <w:spacing w:after="0" w:line="276" w:lineRule="auto"/>
        <w:jc w:val="both"/>
        <w:rPr>
          <w:rFonts w:ascii="Verdana" w:hAnsi="Verdana"/>
          <w:color w:val="467886"/>
          <w:u w:val="single"/>
        </w:rPr>
      </w:pPr>
      <w:r w:rsidRPr="00747561">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66394DAE" w14:textId="77777777" w:rsidR="00D241FB" w:rsidRPr="00747561" w:rsidRDefault="00D241FB" w:rsidP="00D241FB">
      <w:pPr>
        <w:spacing w:after="0" w:line="276" w:lineRule="auto"/>
        <w:jc w:val="both"/>
        <w:rPr>
          <w:rFonts w:ascii="Verdana" w:hAnsi="Verdana"/>
        </w:rPr>
      </w:pPr>
    </w:p>
    <w:p w14:paraId="3F66018D" w14:textId="77777777" w:rsidR="00D241FB" w:rsidRPr="00747561" w:rsidRDefault="00D241FB" w:rsidP="00D241FB">
      <w:pPr>
        <w:numPr>
          <w:ilvl w:val="0"/>
          <w:numId w:val="15"/>
        </w:numPr>
        <w:spacing w:after="0" w:line="276" w:lineRule="auto"/>
        <w:jc w:val="both"/>
        <w:rPr>
          <w:rFonts w:ascii="Verdana" w:eastAsia="Verdana" w:hAnsi="Verdana" w:cs="Verdana"/>
          <w:color w:val="4472C4" w:themeColor="accent1"/>
          <w:u w:val="single"/>
          <w:lang w:val="es-MX"/>
        </w:rPr>
      </w:pPr>
      <w:r w:rsidRPr="00747561">
        <w:rPr>
          <w:rFonts w:ascii="Verdana" w:eastAsia="Verdana" w:hAnsi="Verdana" w:cs="Verdana"/>
          <w:lang w:val="es-MX"/>
        </w:rPr>
        <w:t xml:space="preserve">Línea nacional gratuita o servicio a la ciudadanía (Mesa de servicio): </w:t>
      </w:r>
      <w:r w:rsidRPr="00747561">
        <w:rPr>
          <w:rFonts w:ascii="Verdana" w:hAnsi="Verdana"/>
          <w:color w:val="0000FF"/>
          <w:u w:val="single"/>
          <w:lang w:val="es-ES"/>
        </w:rPr>
        <w:t>01800 0520808</w:t>
      </w:r>
    </w:p>
    <w:p w14:paraId="475642EF" w14:textId="77777777" w:rsidR="00D241FB" w:rsidRPr="00747561" w:rsidRDefault="00D241FB" w:rsidP="00D241FB">
      <w:pPr>
        <w:numPr>
          <w:ilvl w:val="0"/>
          <w:numId w:val="15"/>
        </w:numPr>
        <w:spacing w:after="0" w:line="276" w:lineRule="auto"/>
        <w:rPr>
          <w:rFonts w:ascii="Verdana" w:eastAsia="Verdana" w:hAnsi="Verdana" w:cs="Verdana"/>
          <w:color w:val="4472C4" w:themeColor="accent1"/>
          <w:u w:val="single"/>
          <w:lang w:val="es-MX"/>
        </w:rPr>
      </w:pPr>
      <w:r w:rsidRPr="00747561">
        <w:rPr>
          <w:rFonts w:ascii="Verdana" w:eastAsia="Verdana" w:hAnsi="Verdana" w:cs="Verdana"/>
          <w:lang w:val="es-MX"/>
        </w:rPr>
        <w:t>Línea en Bogotá (Mesa de servicio):</w:t>
      </w:r>
      <w:r w:rsidRPr="00747561">
        <w:rPr>
          <w:rFonts w:ascii="Verdana" w:hAnsi="Verdana"/>
          <w:color w:val="0000FF"/>
          <w:u w:val="single"/>
          <w:lang w:val="es-ES"/>
        </w:rPr>
        <w:t>+57 601 7456788</w:t>
      </w:r>
    </w:p>
    <w:p w14:paraId="535293F4" w14:textId="77777777" w:rsidR="00D241FB" w:rsidRPr="00747561" w:rsidRDefault="00D241FB" w:rsidP="00D241FB">
      <w:pPr>
        <w:numPr>
          <w:ilvl w:val="0"/>
          <w:numId w:val="15"/>
        </w:numPr>
        <w:spacing w:after="0" w:line="276" w:lineRule="auto"/>
        <w:rPr>
          <w:rFonts w:ascii="Verdana" w:eastAsia="Verdana" w:hAnsi="Verdana" w:cs="Verdana"/>
          <w:color w:val="0000FF"/>
          <w:u w:val="single"/>
          <w:lang w:val="es-MX"/>
        </w:rPr>
      </w:pPr>
      <w:r w:rsidRPr="00747561">
        <w:rPr>
          <w:rFonts w:ascii="Verdana" w:eastAsia="Verdana" w:hAnsi="Verdana" w:cs="Verdana"/>
          <w:lang w:val="es-MX"/>
        </w:rPr>
        <w:t xml:space="preserve">Correo de radicación de correspondencia: </w:t>
      </w:r>
      <w:hyperlink r:id="rId16" w:history="1">
        <w:r w:rsidRPr="00747561">
          <w:rPr>
            <w:rFonts w:ascii="Verdana" w:eastAsia="Verdana" w:hAnsi="Verdana" w:cs="Verdana"/>
            <w:color w:val="0000FF"/>
            <w:u w:val="single"/>
            <w:lang w:val="es-MX"/>
          </w:rPr>
          <w:t>ventanilladeradicacion@colombiacompra.gov.co</w:t>
        </w:r>
      </w:hyperlink>
    </w:p>
    <w:p w14:paraId="2202DC45" w14:textId="77777777" w:rsidR="00D241FB" w:rsidRPr="00747561" w:rsidRDefault="00D241FB" w:rsidP="00D241FB">
      <w:pPr>
        <w:numPr>
          <w:ilvl w:val="0"/>
          <w:numId w:val="15"/>
        </w:numPr>
        <w:spacing w:after="0" w:line="276" w:lineRule="auto"/>
        <w:rPr>
          <w:rFonts w:ascii="Verdana" w:eastAsia="Verdana" w:hAnsi="Verdana" w:cs="Verdana"/>
          <w:color w:val="0000FF"/>
          <w:u w:val="single"/>
          <w:lang w:val="es-MX"/>
        </w:rPr>
      </w:pPr>
      <w:r w:rsidRPr="00747561">
        <w:rPr>
          <w:rFonts w:ascii="Verdana" w:eastAsia="Verdana" w:hAnsi="Verdana" w:cs="Verdana"/>
          <w:lang w:val="es-ES"/>
        </w:rPr>
        <w:t xml:space="preserve">Formulario web para PQRSD: </w:t>
      </w:r>
      <w:hyperlink r:id="rId17" w:history="1">
        <w:r w:rsidRPr="00747561">
          <w:rPr>
            <w:rFonts w:ascii="Verdana" w:eastAsia="Verdana" w:hAnsi="Verdana" w:cs="Verdana"/>
            <w:color w:val="0000FF"/>
            <w:u w:val="single"/>
            <w:lang w:val="es-MX"/>
          </w:rPr>
          <w:t>https://www.colombiacompra.gov.co/pqrsd/informacion-importante-antes-de-formular-una-pqrsd</w:t>
        </w:r>
      </w:hyperlink>
    </w:p>
    <w:p w14:paraId="62C91ABB" w14:textId="77777777" w:rsidR="00D241FB" w:rsidRPr="00747561" w:rsidRDefault="00D241FB" w:rsidP="00D241FB">
      <w:pPr>
        <w:spacing w:after="0" w:line="276" w:lineRule="auto"/>
        <w:ind w:left="720"/>
        <w:jc w:val="both"/>
        <w:rPr>
          <w:rFonts w:ascii="Verdana" w:hAnsi="Verdana"/>
        </w:rPr>
      </w:pPr>
    </w:p>
    <w:p w14:paraId="581365B4" w14:textId="77777777" w:rsidR="00D241FB" w:rsidRPr="00747561" w:rsidRDefault="00D241FB" w:rsidP="00D241FB">
      <w:pPr>
        <w:spacing w:after="0" w:line="276" w:lineRule="auto"/>
        <w:jc w:val="both"/>
        <w:rPr>
          <w:rFonts w:ascii="Verdana" w:hAnsi="Verdana"/>
        </w:rPr>
      </w:pPr>
      <w:r w:rsidRPr="00747561">
        <w:rPr>
          <w:rFonts w:ascii="Verdana" w:hAnsi="Verdana"/>
        </w:rPr>
        <w:t xml:space="preserve">Evalúa el servicio que ofrece la Agencia por el canal de atención de PQRSD en el siguiente enlace: </w:t>
      </w:r>
      <w:hyperlink r:id="rId18" w:history="1">
        <w:r w:rsidRPr="00747561">
          <w:rPr>
            <w:rStyle w:val="Hipervnculo"/>
            <w:rFonts w:ascii="Verdana" w:hAnsi="Verdana"/>
          </w:rPr>
          <w:t>https://forms.office.com/r/pPHyWVs2SZ</w:t>
        </w:r>
      </w:hyperlink>
      <w:r w:rsidRPr="00747561">
        <w:rPr>
          <w:rFonts w:ascii="Verdana" w:hAnsi="Verdana"/>
        </w:rPr>
        <w:t xml:space="preserve"> .¡Ayúdanos a mejorar porque el compromiso es de todos!</w:t>
      </w:r>
    </w:p>
    <w:p w14:paraId="7B318833" w14:textId="77777777" w:rsidR="00D241FB" w:rsidRPr="00747561" w:rsidRDefault="00D241FB" w:rsidP="00D241FB">
      <w:pPr>
        <w:spacing w:after="0" w:line="276" w:lineRule="auto"/>
        <w:rPr>
          <w:rFonts w:ascii="Verdana" w:hAnsi="Verdana"/>
        </w:rPr>
      </w:pPr>
    </w:p>
    <w:p w14:paraId="3642F641" w14:textId="77777777" w:rsidR="00D241FB" w:rsidRPr="00747561" w:rsidRDefault="00D241FB" w:rsidP="00D241FB">
      <w:pPr>
        <w:spacing w:after="0" w:line="276" w:lineRule="auto"/>
        <w:jc w:val="both"/>
        <w:rPr>
          <w:rFonts w:ascii="Verdana" w:hAnsi="Verdana"/>
        </w:rPr>
      </w:pPr>
      <w:r w:rsidRPr="00747561">
        <w:rPr>
          <w:rFonts w:ascii="Verdana" w:hAnsi="Verdana"/>
        </w:rPr>
        <w:t xml:space="preserve">Por último, lo invitamos a seguirnos en las redes sociales en las cuales se difunde información institucional: </w:t>
      </w:r>
    </w:p>
    <w:p w14:paraId="41EDDA7A" w14:textId="77777777" w:rsidR="00D241FB" w:rsidRPr="00747561" w:rsidRDefault="00D241FB" w:rsidP="00D241FB">
      <w:pPr>
        <w:spacing w:after="0" w:line="276" w:lineRule="auto"/>
        <w:jc w:val="both"/>
        <w:rPr>
          <w:rFonts w:ascii="Verdana" w:hAnsi="Verdana"/>
        </w:rPr>
      </w:pPr>
    </w:p>
    <w:p w14:paraId="5CE3635E" w14:textId="77777777" w:rsidR="00D241FB" w:rsidRPr="00747561" w:rsidRDefault="00D241FB" w:rsidP="00D241FB">
      <w:pPr>
        <w:spacing w:after="0" w:line="276" w:lineRule="auto"/>
        <w:jc w:val="both"/>
        <w:rPr>
          <w:rFonts w:ascii="Verdana" w:hAnsi="Verdana"/>
        </w:rPr>
      </w:pPr>
      <w:r w:rsidRPr="00747561">
        <w:rPr>
          <w:rFonts w:ascii="Verdana" w:hAnsi="Verdana"/>
        </w:rPr>
        <w:t xml:space="preserve">Twitter: </w:t>
      </w:r>
      <w:r w:rsidRPr="00747561">
        <w:rPr>
          <w:rFonts w:ascii="Verdana" w:hAnsi="Verdana"/>
          <w:color w:val="0000FF"/>
          <w:u w:val="single"/>
        </w:rPr>
        <w:t>@colombiacompra</w:t>
      </w:r>
      <w:r w:rsidRPr="00747561">
        <w:rPr>
          <w:rFonts w:ascii="Verdana" w:hAnsi="Verdana"/>
        </w:rPr>
        <w:t xml:space="preserve"> </w:t>
      </w:r>
    </w:p>
    <w:p w14:paraId="1A680051" w14:textId="77777777" w:rsidR="00D241FB" w:rsidRPr="00747561" w:rsidRDefault="00D241FB" w:rsidP="00D241FB">
      <w:pPr>
        <w:spacing w:after="0" w:line="276" w:lineRule="auto"/>
        <w:jc w:val="both"/>
        <w:rPr>
          <w:rFonts w:ascii="Verdana" w:hAnsi="Verdana"/>
        </w:rPr>
      </w:pPr>
      <w:r w:rsidRPr="00747561">
        <w:rPr>
          <w:rFonts w:ascii="Verdana" w:hAnsi="Verdana"/>
        </w:rPr>
        <w:t xml:space="preserve">Facebook: </w:t>
      </w:r>
      <w:r w:rsidRPr="00747561">
        <w:rPr>
          <w:rFonts w:ascii="Verdana" w:hAnsi="Verdana"/>
          <w:color w:val="0000FF"/>
          <w:u w:val="single"/>
        </w:rPr>
        <w:t>ColombiaCompraEficiente</w:t>
      </w:r>
    </w:p>
    <w:p w14:paraId="22E0DDDF" w14:textId="77777777" w:rsidR="00D241FB" w:rsidRPr="00747561" w:rsidRDefault="00D241FB" w:rsidP="00D241FB">
      <w:pPr>
        <w:spacing w:after="0" w:line="276" w:lineRule="auto"/>
        <w:jc w:val="both"/>
        <w:rPr>
          <w:rFonts w:ascii="Verdana" w:hAnsi="Verdana"/>
        </w:rPr>
      </w:pPr>
      <w:r w:rsidRPr="00747561">
        <w:rPr>
          <w:rFonts w:ascii="Verdana" w:hAnsi="Verdana"/>
        </w:rPr>
        <w:t xml:space="preserve">LinkedIn: </w:t>
      </w:r>
      <w:r w:rsidRPr="00747561">
        <w:rPr>
          <w:rFonts w:ascii="Verdana" w:hAnsi="Verdana"/>
          <w:color w:val="0000FF"/>
          <w:u w:val="single"/>
        </w:rPr>
        <w:t>Agencia Nacional de Contratación Pública - Colombia Compra Eficiente</w:t>
      </w:r>
      <w:r w:rsidRPr="00747561">
        <w:rPr>
          <w:rFonts w:ascii="Verdana" w:hAnsi="Verdana"/>
        </w:rPr>
        <w:t xml:space="preserve"> Instagram: </w:t>
      </w:r>
      <w:r w:rsidRPr="00747561">
        <w:rPr>
          <w:rFonts w:ascii="Verdana" w:hAnsi="Verdana"/>
          <w:color w:val="0000FF"/>
          <w:u w:val="single"/>
        </w:rPr>
        <w:t>@colombiacompraeficiente_cce</w:t>
      </w:r>
    </w:p>
    <w:p w14:paraId="27AC8190" w14:textId="77777777" w:rsidR="00D241FB" w:rsidRPr="00747561" w:rsidRDefault="00D241FB" w:rsidP="00D241FB">
      <w:pPr>
        <w:widowControl w:val="0"/>
        <w:autoSpaceDE w:val="0"/>
        <w:autoSpaceDN w:val="0"/>
        <w:spacing w:after="0" w:line="276" w:lineRule="auto"/>
        <w:jc w:val="both"/>
        <w:rPr>
          <w:rFonts w:ascii="Verdana" w:hAnsi="Verdana" w:cs="Arial"/>
          <w:color w:val="FF0000"/>
          <w:shd w:val="clear" w:color="auto" w:fill="FFFFFF"/>
          <w:lang w:val="es-ES_tradnl"/>
        </w:rPr>
      </w:pPr>
      <w:r w:rsidRPr="00747561">
        <w:rPr>
          <w:rFonts w:ascii="Verdana" w:hAnsi="Verdana" w:cs="Arial"/>
          <w:color w:val="FF0000"/>
          <w:shd w:val="clear" w:color="auto" w:fill="FFFFFF"/>
          <w:lang w:val="es-ES_tradnl"/>
        </w:rPr>
        <w:t xml:space="preserve">        </w:t>
      </w:r>
    </w:p>
    <w:p w14:paraId="1FF34B14" w14:textId="77777777" w:rsidR="00D241FB" w:rsidRPr="00747561" w:rsidRDefault="00D241FB" w:rsidP="00D241FB">
      <w:pPr>
        <w:widowControl w:val="0"/>
        <w:autoSpaceDE w:val="0"/>
        <w:autoSpaceDN w:val="0"/>
        <w:spacing w:after="0" w:line="276" w:lineRule="auto"/>
        <w:jc w:val="both"/>
        <w:rPr>
          <w:rFonts w:ascii="Verdana" w:hAnsi="Verdana" w:cs="Arial"/>
          <w:lang w:val="es-ES_tradnl"/>
        </w:rPr>
      </w:pPr>
      <w:r w:rsidRPr="00747561">
        <w:rPr>
          <w:rFonts w:ascii="Verdana" w:hAnsi="Verdana" w:cs="Arial"/>
          <w:lang w:val="es-ES_tradnl"/>
        </w:rPr>
        <w:t xml:space="preserve">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 </w:t>
      </w:r>
    </w:p>
    <w:p w14:paraId="539408F8" w14:textId="77777777" w:rsidR="00D241FB" w:rsidRPr="00747561" w:rsidRDefault="00D241FB" w:rsidP="00D241FB">
      <w:pPr>
        <w:widowControl w:val="0"/>
        <w:autoSpaceDE w:val="0"/>
        <w:autoSpaceDN w:val="0"/>
        <w:spacing w:after="0" w:line="276" w:lineRule="auto"/>
        <w:jc w:val="both"/>
        <w:rPr>
          <w:rFonts w:ascii="Verdana" w:hAnsi="Verdana" w:cs="Arial"/>
          <w:lang w:val="es-ES_tradnl"/>
        </w:rPr>
      </w:pPr>
    </w:p>
    <w:p w14:paraId="7128EF9A" w14:textId="77777777" w:rsidR="00D241FB" w:rsidRPr="00747561" w:rsidRDefault="00D241FB" w:rsidP="00D241FB">
      <w:pPr>
        <w:spacing w:after="0" w:line="276" w:lineRule="auto"/>
        <w:rPr>
          <w:rFonts w:ascii="Verdana" w:hAnsi="Verdana" w:cs="Arial"/>
          <w:lang w:val="es-ES_tradnl" w:eastAsia="es-CO"/>
        </w:rPr>
      </w:pPr>
      <w:r w:rsidRPr="00747561">
        <w:rPr>
          <w:rFonts w:ascii="Verdana" w:eastAsia="Times New Roman" w:hAnsi="Verdana" w:cs="Arial"/>
          <w:lang w:val="es-ES" w:eastAsia="es-CO"/>
        </w:rPr>
        <w:t>Atentamente,</w:t>
      </w:r>
      <w:r w:rsidRPr="00747561">
        <w:rPr>
          <w:rFonts w:ascii="Verdana" w:hAnsi="Verdana" w:cs="Arial"/>
          <w:lang w:val="es-ES" w:eastAsia="es-CO"/>
        </w:rPr>
        <w:t xml:space="preserve"> </w:t>
      </w:r>
    </w:p>
    <w:p w14:paraId="4A7CDB29" w14:textId="7AC9BD7F" w:rsidR="00D241FB" w:rsidRPr="00A27102" w:rsidRDefault="00E460BA" w:rsidP="00D241FB">
      <w:pPr>
        <w:spacing w:line="276" w:lineRule="auto"/>
        <w:ind w:left="708" w:hanging="708"/>
        <w:jc w:val="center"/>
        <w:rPr>
          <w:rFonts w:ascii="Verdana" w:hAnsi="Verdana" w:cs="Arial"/>
          <w:color w:val="000000"/>
          <w:lang w:val="es-ES_tradnl" w:eastAsia="es-CO"/>
        </w:rPr>
      </w:pPr>
      <w:r w:rsidRPr="002C3AD6">
        <w:rPr>
          <w:rFonts w:ascii="Century Gothic" w:hAnsi="Century Gothic"/>
          <w:noProof/>
        </w:rPr>
        <w:lastRenderedPageBreak/>
        <w:drawing>
          <wp:inline distT="0" distB="0" distL="0" distR="0" wp14:anchorId="28779910" wp14:editId="0F37D242">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stretch>
                      <a:fillRect/>
                    </a:stretch>
                  </pic:blipFill>
                  <pic:spPr>
                    <a:xfrm>
                      <a:off x="0" y="0"/>
                      <a:ext cx="3772426" cy="1400370"/>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241FB" w:rsidRPr="00A27102" w14:paraId="17D303E3" w14:textId="77777777" w:rsidTr="00C659C5">
        <w:trPr>
          <w:trHeight w:val="315"/>
        </w:trPr>
        <w:tc>
          <w:tcPr>
            <w:tcW w:w="893" w:type="dxa"/>
            <w:vAlign w:val="center"/>
            <w:hideMark/>
          </w:tcPr>
          <w:p w14:paraId="32F0833F" w14:textId="77777777" w:rsidR="00D241FB" w:rsidRPr="00A27102" w:rsidRDefault="00D241FB" w:rsidP="00C659C5">
            <w:pPr>
              <w:contextualSpacing/>
              <w:rPr>
                <w:rFonts w:ascii="Verdana" w:hAnsi="Verdana" w:cs="Arial"/>
                <w:sz w:val="16"/>
                <w:szCs w:val="16"/>
                <w:lang w:val="es-ES" w:eastAsia="es-ES"/>
              </w:rPr>
            </w:pPr>
            <w:r w:rsidRPr="00A27102">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4FE7C913" w14:textId="77777777" w:rsidR="00D241FB" w:rsidRPr="00A27102" w:rsidRDefault="00D241FB" w:rsidP="00C659C5">
            <w:pPr>
              <w:contextualSpacing/>
              <w:rPr>
                <w:rFonts w:ascii="Verdana" w:hAnsi="Verdana"/>
                <w:sz w:val="16"/>
                <w:szCs w:val="16"/>
              </w:rPr>
            </w:pPr>
            <w:r>
              <w:rPr>
                <w:rFonts w:ascii="Verdana" w:hAnsi="Verdana"/>
                <w:sz w:val="16"/>
                <w:szCs w:val="16"/>
              </w:rPr>
              <w:t>Richard Andrés Montenegro Siefken</w:t>
            </w:r>
          </w:p>
          <w:p w14:paraId="0A19B8CB" w14:textId="77777777" w:rsidR="00D241FB" w:rsidRPr="00A27102" w:rsidRDefault="00D241FB" w:rsidP="00C659C5">
            <w:pPr>
              <w:contextualSpacing/>
              <w:rPr>
                <w:rFonts w:ascii="Verdana" w:eastAsia="Arial" w:hAnsi="Verdana" w:cs="Arial"/>
                <w:sz w:val="16"/>
                <w:szCs w:val="16"/>
              </w:rPr>
            </w:pPr>
            <w:r w:rsidRPr="00A27102">
              <w:rPr>
                <w:rFonts w:ascii="Verdana" w:hAnsi="Verdana"/>
                <w:sz w:val="16"/>
                <w:szCs w:val="16"/>
              </w:rPr>
              <w:t>Contratista de la Subdirección de Gestión Contractual</w:t>
            </w:r>
          </w:p>
        </w:tc>
      </w:tr>
      <w:tr w:rsidR="00D241FB" w:rsidRPr="00A27102" w14:paraId="30D64098" w14:textId="77777777" w:rsidTr="00C659C5">
        <w:trPr>
          <w:trHeight w:val="330"/>
        </w:trPr>
        <w:tc>
          <w:tcPr>
            <w:tcW w:w="893" w:type="dxa"/>
            <w:vAlign w:val="center"/>
            <w:hideMark/>
          </w:tcPr>
          <w:p w14:paraId="1548E187" w14:textId="77777777" w:rsidR="00D241FB" w:rsidRPr="00A27102" w:rsidRDefault="00D241FB" w:rsidP="00C659C5">
            <w:pPr>
              <w:contextualSpacing/>
              <w:rPr>
                <w:rFonts w:ascii="Verdana" w:hAnsi="Verdana" w:cs="Arial"/>
                <w:sz w:val="16"/>
                <w:szCs w:val="16"/>
                <w:lang w:val="es-ES" w:eastAsia="es-ES"/>
              </w:rPr>
            </w:pPr>
            <w:r w:rsidRPr="00A27102">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2800A527" w14:textId="77777777" w:rsidR="00D241FB" w:rsidRPr="002D273E" w:rsidRDefault="00D241FB" w:rsidP="00C659C5">
            <w:pPr>
              <w:spacing w:before="100" w:beforeAutospacing="1" w:afterAutospacing="1"/>
              <w:contextualSpacing/>
              <w:textAlignment w:val="baseline"/>
              <w:rPr>
                <w:rFonts w:ascii="Verdana" w:eastAsia="Times New Roman" w:hAnsi="Verdana" w:cs="Arial"/>
                <w:sz w:val="16"/>
                <w:szCs w:val="16"/>
                <w:lang w:val="es-ES" w:eastAsia="es-ES_tradnl"/>
              </w:rPr>
            </w:pPr>
            <w:r w:rsidRPr="002D273E">
              <w:rPr>
                <w:rFonts w:ascii="Verdana" w:eastAsia="Times New Roman" w:hAnsi="Verdana" w:cs="Arial"/>
                <w:sz w:val="16"/>
                <w:szCs w:val="16"/>
                <w:lang w:val="es-ES" w:eastAsia="es-ES_tradnl"/>
              </w:rPr>
              <w:t>Diana Lucía Saavedra Castañeda</w:t>
            </w:r>
          </w:p>
          <w:p w14:paraId="3BCC89FB" w14:textId="77777777" w:rsidR="00D241FB" w:rsidRPr="00B30A43" w:rsidRDefault="00D241FB" w:rsidP="00C659C5">
            <w:pPr>
              <w:spacing w:before="100" w:beforeAutospacing="1" w:afterAutospacing="1"/>
              <w:contextualSpacing/>
              <w:textAlignment w:val="baseline"/>
              <w:rPr>
                <w:rFonts w:ascii="Verdana" w:eastAsia="Times New Roman" w:hAnsi="Verdana" w:cs="Arial"/>
                <w:sz w:val="16"/>
                <w:szCs w:val="16"/>
                <w:lang w:val="es-ES" w:eastAsia="es-ES_tradnl"/>
              </w:rPr>
            </w:pPr>
            <w:r w:rsidRPr="002D273E">
              <w:rPr>
                <w:rFonts w:ascii="Verdana" w:eastAsia="Times New Roman" w:hAnsi="Verdana" w:cs="Arial"/>
                <w:sz w:val="16"/>
                <w:szCs w:val="16"/>
                <w:lang w:val="es-ES" w:eastAsia="es-ES_tradnl"/>
              </w:rPr>
              <w:t>Contratista de la Subdirección de Gestión Contractual</w:t>
            </w:r>
          </w:p>
        </w:tc>
      </w:tr>
      <w:tr w:rsidR="00D241FB" w:rsidRPr="00A27102" w14:paraId="59750B1B" w14:textId="77777777" w:rsidTr="00C659C5">
        <w:trPr>
          <w:trHeight w:val="300"/>
        </w:trPr>
        <w:tc>
          <w:tcPr>
            <w:tcW w:w="893" w:type="dxa"/>
            <w:vAlign w:val="center"/>
          </w:tcPr>
          <w:p w14:paraId="2678DBF7" w14:textId="77777777" w:rsidR="00D241FB" w:rsidRPr="00A27102" w:rsidRDefault="00D241FB" w:rsidP="00C659C5">
            <w:pPr>
              <w:contextualSpacing/>
              <w:rPr>
                <w:rFonts w:ascii="Verdana" w:hAnsi="Verdana" w:cs="Arial"/>
                <w:sz w:val="16"/>
                <w:szCs w:val="16"/>
                <w:lang w:val="es-ES" w:eastAsia="es-ES"/>
              </w:rPr>
            </w:pPr>
            <w:r w:rsidRPr="00A27102">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59B56EB" w14:textId="77777777" w:rsidR="00D241FB" w:rsidRPr="00A27102" w:rsidRDefault="00D241FB" w:rsidP="00C659C5">
            <w:pPr>
              <w:contextualSpacing/>
              <w:rPr>
                <w:rFonts w:ascii="Verdana" w:eastAsia="Calibri" w:hAnsi="Verdana" w:cs="Arial"/>
                <w:sz w:val="16"/>
                <w:szCs w:val="16"/>
                <w:lang w:val="pt-BR" w:eastAsia="es-ES"/>
              </w:rPr>
            </w:pPr>
            <w:r w:rsidRPr="00A27102">
              <w:rPr>
                <w:rFonts w:ascii="Verdana" w:eastAsia="Calibri" w:hAnsi="Verdana" w:cs="Arial"/>
                <w:sz w:val="16"/>
                <w:szCs w:val="16"/>
                <w:lang w:val="pt-BR" w:eastAsia="es-ES"/>
              </w:rPr>
              <w:t>Carolina Quintero Gacharná</w:t>
            </w:r>
          </w:p>
          <w:p w14:paraId="33623416" w14:textId="77777777" w:rsidR="00D241FB" w:rsidRPr="00A27102" w:rsidRDefault="00D241FB" w:rsidP="00C659C5">
            <w:pPr>
              <w:contextualSpacing/>
              <w:rPr>
                <w:rFonts w:ascii="Verdana" w:eastAsia="Calibri" w:hAnsi="Verdana" w:cs="Arial"/>
                <w:sz w:val="16"/>
                <w:szCs w:val="16"/>
                <w:lang w:val="pt-BR" w:eastAsia="es-ES"/>
              </w:rPr>
            </w:pPr>
            <w:r w:rsidRPr="00A27102">
              <w:rPr>
                <w:rFonts w:ascii="Verdana" w:eastAsia="Calibri" w:hAnsi="Verdana" w:cs="Arial"/>
                <w:sz w:val="16"/>
                <w:szCs w:val="16"/>
                <w:lang w:eastAsia="es-ES"/>
              </w:rPr>
              <w:t>Subdirectora</w:t>
            </w:r>
            <w:r w:rsidRPr="00A27102">
              <w:rPr>
                <w:rFonts w:ascii="Verdana" w:eastAsia="Calibri" w:hAnsi="Verdana" w:cs="Arial"/>
                <w:sz w:val="16"/>
                <w:szCs w:val="16"/>
                <w:lang w:val="pt-BR" w:eastAsia="es-ES"/>
              </w:rPr>
              <w:t xml:space="preserve"> de Gestión Contratual ANCP – CCE</w:t>
            </w:r>
          </w:p>
        </w:tc>
      </w:tr>
    </w:tbl>
    <w:p w14:paraId="7A37DFD9" w14:textId="77777777" w:rsidR="00D241FB" w:rsidRPr="000E2B93" w:rsidRDefault="00D241FB" w:rsidP="00D241FB">
      <w:pPr>
        <w:spacing w:after="0" w:line="240" w:lineRule="auto"/>
        <w:jc w:val="both"/>
        <w:textAlignment w:val="baseline"/>
        <w:rPr>
          <w:rFonts w:ascii="Verdana" w:eastAsia="Verdana" w:hAnsi="Verdana" w:cs="Verdana"/>
          <w:lang w:eastAsia="es-CO"/>
        </w:rPr>
      </w:pPr>
    </w:p>
    <w:p w14:paraId="4C938E41" w14:textId="77777777" w:rsidR="00D241FB" w:rsidRPr="000E2B93" w:rsidRDefault="00D241FB" w:rsidP="00D241FB">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bookmarkEnd w:id="0"/>
    <w:p w14:paraId="0F293BF4" w14:textId="352F1D63" w:rsidR="00127233" w:rsidRPr="007523A4" w:rsidRDefault="00127233" w:rsidP="007523A4"/>
    <w:sectPr w:rsidR="00127233" w:rsidRPr="007523A4"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BCBA6" w14:textId="77777777" w:rsidR="00215F91" w:rsidRDefault="00215F91" w:rsidP="004A1847">
      <w:pPr>
        <w:spacing w:after="0" w:line="240" w:lineRule="auto"/>
      </w:pPr>
      <w:r>
        <w:separator/>
      </w:r>
    </w:p>
  </w:endnote>
  <w:endnote w:type="continuationSeparator" w:id="0">
    <w:p w14:paraId="416F0EC0" w14:textId="77777777" w:rsidR="00215F91" w:rsidRDefault="00215F91"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7523A4"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PT" w:eastAsia="es-CO"/>
      </w:rPr>
    </w:pPr>
    <w:r w:rsidRPr="007523A4">
      <w:rPr>
        <w:rFonts w:ascii="Verdana" w:eastAsia="Verdana" w:hAnsi="Verdana" w:cs="Verdana"/>
        <w:b/>
        <w:bCs/>
        <w:color w:val="000000" w:themeColor="text1"/>
        <w:sz w:val="18"/>
        <w:szCs w:val="18"/>
        <w:lang w:val="pt-PT" w:eastAsia="es-CO"/>
      </w:rPr>
      <w:t xml:space="preserve">Código: </w:t>
    </w:r>
    <w:r w:rsidRPr="007523A4">
      <w:rPr>
        <w:rFonts w:ascii="Verdana" w:eastAsia="Verdana" w:hAnsi="Verdana" w:cs="Verdana"/>
        <w:color w:val="000000" w:themeColor="text1"/>
        <w:sz w:val="18"/>
        <w:szCs w:val="18"/>
        <w:lang w:val="pt-PT" w:eastAsia="es-CO"/>
      </w:rPr>
      <w:t xml:space="preserve">CCE-REC-FM-17 </w:t>
    </w:r>
    <w:r w:rsidRPr="007523A4">
      <w:rPr>
        <w:rFonts w:ascii="Verdana" w:eastAsia="Verdana" w:hAnsi="Verdana" w:cs="Verdana"/>
        <w:b/>
        <w:bCs/>
        <w:color w:val="000000" w:themeColor="text1"/>
        <w:sz w:val="18"/>
        <w:szCs w:val="18"/>
        <w:lang w:val="pt-PT" w:eastAsia="es-CO"/>
      </w:rPr>
      <w:t xml:space="preserve">V: </w:t>
    </w:r>
    <w:r w:rsidRPr="007523A4">
      <w:rPr>
        <w:rFonts w:ascii="Verdana" w:eastAsia="Verdana" w:hAnsi="Verdana" w:cs="Verdana"/>
        <w:sz w:val="18"/>
        <w:szCs w:val="18"/>
        <w:lang w:val="pt-PT"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81E03" w14:textId="77777777" w:rsidR="00215F91" w:rsidRDefault="00215F91" w:rsidP="004A1847">
      <w:pPr>
        <w:spacing w:after="0" w:line="240" w:lineRule="auto"/>
      </w:pPr>
      <w:r>
        <w:separator/>
      </w:r>
    </w:p>
  </w:footnote>
  <w:footnote w:type="continuationSeparator" w:id="0">
    <w:p w14:paraId="651A382E" w14:textId="77777777" w:rsidR="00215F91" w:rsidRDefault="00215F91" w:rsidP="004A1847">
      <w:pPr>
        <w:spacing w:after="0" w:line="240" w:lineRule="auto"/>
      </w:pPr>
      <w:r>
        <w:continuationSeparator/>
      </w:r>
    </w:p>
  </w:footnote>
  <w:footnote w:id="1">
    <w:p w14:paraId="0AE07115" w14:textId="77777777" w:rsidR="00D241FB" w:rsidRPr="00AF7999" w:rsidRDefault="00D241FB" w:rsidP="00D241FB">
      <w:pPr>
        <w:pStyle w:val="Textonotapie"/>
        <w:ind w:firstLine="709"/>
        <w:jc w:val="both"/>
        <w:rPr>
          <w:rFonts w:ascii="Verdana" w:hAnsi="Verdana"/>
          <w:sz w:val="14"/>
          <w:szCs w:val="14"/>
          <w:lang w:val="es-CO"/>
        </w:rPr>
      </w:pPr>
      <w:r w:rsidRPr="00AF7999">
        <w:rPr>
          <w:rStyle w:val="Refdenotaalpie"/>
          <w:rFonts w:ascii="Verdana" w:hAnsi="Verdana"/>
          <w:sz w:val="14"/>
          <w:szCs w:val="14"/>
        </w:rPr>
        <w:footnoteRef/>
      </w:r>
      <w:r w:rsidRPr="00AF7999">
        <w:rPr>
          <w:rFonts w:ascii="Verdana" w:hAnsi="Verdana"/>
          <w:sz w:val="14"/>
          <w:szCs w:val="14"/>
        </w:rPr>
        <w:t xml:space="preserve"> Disponible en: </w:t>
      </w:r>
      <w:hyperlink r:id="rId1" w:history="1">
        <w:r w:rsidRPr="00AF7999">
          <w:rPr>
            <w:rStyle w:val="Hipervnculo"/>
            <w:rFonts w:ascii="Verdana" w:hAnsi="Verdana"/>
            <w:sz w:val="14"/>
            <w:szCs w:val="14"/>
          </w:rPr>
          <w:t>https://www.colombiacompra.gov.co/base-conocimiento/gestion-contractual-envio-del-contrato-secop-ii</w:t>
        </w:r>
      </w:hyperlink>
      <w:r w:rsidRPr="00AF7999">
        <w:rPr>
          <w:rFonts w:ascii="Verdana" w:hAnsi="Verdana"/>
          <w:sz w:val="14"/>
          <w:szCs w:val="14"/>
        </w:rPr>
        <w:t xml:space="preserve"> </w:t>
      </w:r>
    </w:p>
  </w:footnote>
  <w:footnote w:id="2">
    <w:p w14:paraId="5F5EE14F" w14:textId="77777777" w:rsidR="00D241FB" w:rsidRPr="00AF7999" w:rsidRDefault="00D241FB" w:rsidP="00D241FB">
      <w:pPr>
        <w:pStyle w:val="Textonotapie"/>
        <w:ind w:firstLine="709"/>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55F673C2" w14:textId="77777777" w:rsidR="00D241FB" w:rsidRPr="00AF7999" w:rsidRDefault="00D241FB" w:rsidP="00D241FB">
      <w:pPr>
        <w:pStyle w:val="Textonotapie"/>
        <w:ind w:firstLine="709"/>
        <w:jc w:val="both"/>
        <w:rPr>
          <w:rFonts w:ascii="Verdana" w:hAnsi="Verdana" w:cs="Arial"/>
          <w:sz w:val="14"/>
          <w:szCs w:val="14"/>
        </w:rPr>
      </w:pPr>
      <w:r w:rsidRPr="00AF7999">
        <w:rPr>
          <w:rFonts w:ascii="Verdana" w:hAnsi="Verdana" w:cs="Arial"/>
          <w:sz w:val="14"/>
          <w:szCs w:val="14"/>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3">
    <w:p w14:paraId="6AC3AE11" w14:textId="77777777" w:rsidR="00D241FB" w:rsidRPr="00AF7999" w:rsidRDefault="00D241FB" w:rsidP="00D241FB">
      <w:pPr>
        <w:pStyle w:val="Textonotapie"/>
        <w:ind w:firstLine="709"/>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Gaceta del Congreso de la República No. 71 del 2005.</w:t>
      </w:r>
    </w:p>
  </w:footnote>
  <w:footnote w:id="4">
    <w:p w14:paraId="6FF9C526" w14:textId="77777777" w:rsidR="00D241FB" w:rsidRPr="00AF7999" w:rsidRDefault="00D241FB" w:rsidP="00D241FB">
      <w:pPr>
        <w:pStyle w:val="Textonotapie"/>
        <w:ind w:firstLine="709"/>
        <w:jc w:val="both"/>
        <w:rPr>
          <w:rFonts w:ascii="Verdana" w:hAnsi="Verdana" w:cs="Arial"/>
          <w:sz w:val="14"/>
          <w:szCs w:val="14"/>
          <w:lang w:val="pt-BR"/>
        </w:rPr>
      </w:pPr>
      <w:r w:rsidRPr="00AF7999">
        <w:rPr>
          <w:rStyle w:val="Refdenotaalpie"/>
          <w:rFonts w:ascii="Verdana" w:hAnsi="Verdana" w:cs="Arial"/>
          <w:sz w:val="14"/>
          <w:szCs w:val="14"/>
        </w:rPr>
        <w:footnoteRef/>
      </w:r>
      <w:r w:rsidRPr="00AF7999">
        <w:rPr>
          <w:rFonts w:ascii="Verdana" w:hAnsi="Verdana" w:cs="Arial"/>
          <w:sz w:val="14"/>
          <w:szCs w:val="14"/>
          <w:lang w:val="pt-BR"/>
        </w:rPr>
        <w:t xml:space="preserve"> Corte Constitucional, Sentencia C- 1153 de 2005, M.P. Marco Gerardo Monroy Cabra.</w:t>
      </w:r>
    </w:p>
  </w:footnote>
  <w:footnote w:id="5">
    <w:p w14:paraId="5C0D3020" w14:textId="77777777" w:rsidR="00D241FB" w:rsidRPr="00AF7999" w:rsidRDefault="00D241FB" w:rsidP="00D241FB">
      <w:pPr>
        <w:pStyle w:val="Textonotapie"/>
        <w:ind w:firstLine="709"/>
        <w:jc w:val="both"/>
        <w:rPr>
          <w:rFonts w:ascii="Verdana" w:hAnsi="Verdana" w:cs="Arial"/>
          <w:sz w:val="14"/>
          <w:szCs w:val="14"/>
          <w:lang w:val="pt-BR"/>
        </w:rPr>
      </w:pPr>
      <w:r w:rsidRPr="00AF7999">
        <w:rPr>
          <w:rStyle w:val="Refdenotaalpie"/>
          <w:rFonts w:ascii="Verdana" w:hAnsi="Verdana" w:cs="Arial"/>
          <w:sz w:val="14"/>
          <w:szCs w:val="14"/>
        </w:rPr>
        <w:footnoteRef/>
      </w:r>
      <w:r w:rsidRPr="00AF7999">
        <w:rPr>
          <w:rFonts w:ascii="Verdana" w:hAnsi="Verdana" w:cs="Arial"/>
          <w:sz w:val="14"/>
          <w:szCs w:val="14"/>
          <w:lang w:val="pt-BR"/>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footnote>
  <w:footnote w:id="6">
    <w:p w14:paraId="00FC1611" w14:textId="77777777" w:rsidR="00D241FB" w:rsidRPr="00AF7999" w:rsidRDefault="00D241FB" w:rsidP="00D241FB">
      <w:pPr>
        <w:pStyle w:val="Textonotapie"/>
        <w:ind w:firstLine="709"/>
        <w:jc w:val="both"/>
        <w:rPr>
          <w:rFonts w:ascii="Verdana" w:hAnsi="Verdana" w:cs="Arial"/>
          <w:sz w:val="14"/>
          <w:szCs w:val="14"/>
          <w:lang w:val="es-CO"/>
        </w:rPr>
      </w:pPr>
      <w:r w:rsidRPr="00AF7999">
        <w:rPr>
          <w:rStyle w:val="Refdenotaalpie"/>
          <w:rFonts w:ascii="Verdana" w:hAnsi="Verdana" w:cs="Arial"/>
          <w:sz w:val="14"/>
          <w:szCs w:val="14"/>
        </w:rPr>
        <w:footnoteRef/>
      </w:r>
      <w:r w:rsidRPr="00AF7999">
        <w:rPr>
          <w:rFonts w:ascii="Verdana" w:hAnsi="Verdana" w:cs="Arial"/>
          <w:sz w:val="14"/>
          <w:szCs w:val="14"/>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7">
    <w:p w14:paraId="61E746DE" w14:textId="77777777" w:rsidR="00D241FB" w:rsidRPr="00AF7999" w:rsidRDefault="00D241FB" w:rsidP="00D241FB">
      <w:pPr>
        <w:pStyle w:val="Textonotapie"/>
        <w:ind w:firstLine="709"/>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Consejo de Estado, Sala de Consulta y Servicio Civil de fecha 24 de julio de 2013, radicado 2166, C. P. Álvaro Namén Vargas.  </w:t>
      </w:r>
    </w:p>
  </w:footnote>
  <w:footnote w:id="8">
    <w:p w14:paraId="00969170" w14:textId="77777777" w:rsidR="00D241FB" w:rsidRPr="00AF7999" w:rsidRDefault="00D241FB" w:rsidP="00D241FB">
      <w:pPr>
        <w:spacing w:after="0" w:line="240" w:lineRule="auto"/>
        <w:ind w:firstLine="709"/>
        <w:jc w:val="both"/>
        <w:rPr>
          <w:rFonts w:ascii="Verdana" w:eastAsia="Times New Roman"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w:t>
      </w:r>
      <w:r w:rsidRPr="00AF7999">
        <w:rPr>
          <w:rFonts w:ascii="Verdana" w:eastAsia="Calibri" w:hAnsi="Verdana" w:cs="Arial"/>
          <w:color w:val="000000"/>
          <w:sz w:val="14"/>
          <w:szCs w:val="14"/>
        </w:rPr>
        <w:t>“</w:t>
      </w:r>
      <w:bookmarkStart w:id="5" w:name="33"/>
      <w:r w:rsidRPr="00AF7999">
        <w:rPr>
          <w:rFonts w:ascii="Verdana" w:eastAsia="Times New Roman" w:hAnsi="Verdana" w:cs="Arial"/>
          <w:sz w:val="14"/>
          <w:szCs w:val="14"/>
        </w:rPr>
        <w:t>Artículo 33. Restricciones a la contratación pública.</w:t>
      </w:r>
      <w:bookmarkEnd w:id="5"/>
      <w:r w:rsidRPr="00AF7999">
        <w:rPr>
          <w:rFonts w:ascii="Verdana" w:eastAsia="Times New Roman" w:hAnsi="Verdana" w:cs="Arial"/>
          <w:sz w:val="14"/>
          <w:szCs w:val="14"/>
        </w:rPr>
        <w:t> Durante los cuatro (4) meses anteriores a la elección presidencial y hasta la realización de la elección en la segunda vuelta, si fuere el caso, queda prohibida la contratación directa por parte de todos los entes del Estado.</w:t>
      </w:r>
    </w:p>
    <w:p w14:paraId="2B562C03" w14:textId="77777777" w:rsidR="00D241FB" w:rsidRPr="00AF7999" w:rsidRDefault="00D241FB" w:rsidP="00D241FB">
      <w:pPr>
        <w:spacing w:after="0" w:line="240" w:lineRule="auto"/>
        <w:ind w:firstLine="709"/>
        <w:jc w:val="both"/>
        <w:rPr>
          <w:rFonts w:ascii="Verdana" w:eastAsia="Times New Roman" w:hAnsi="Verdana" w:cs="Arial"/>
          <w:sz w:val="14"/>
          <w:szCs w:val="14"/>
        </w:rPr>
      </w:pPr>
      <w:r w:rsidRPr="00AF7999">
        <w:rPr>
          <w:rFonts w:ascii="Verdana" w:eastAsia="Times New Roman" w:hAnsi="Verdana" w:cs="Arial"/>
          <w:sz w:val="14"/>
          <w:szCs w:val="14"/>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AF7999">
        <w:rPr>
          <w:rFonts w:ascii="Verdana" w:eastAsia="Calibri" w:hAnsi="Verdana" w:cs="Arial"/>
          <w:color w:val="000000"/>
          <w:sz w:val="14"/>
          <w:szCs w:val="14"/>
        </w:rPr>
        <w:t>”</w:t>
      </w:r>
      <w:r w:rsidRPr="00AF7999">
        <w:rPr>
          <w:rFonts w:ascii="Verdana" w:eastAsia="Times New Roman" w:hAnsi="Verdana" w:cs="Arial"/>
          <w:sz w:val="14"/>
          <w:szCs w:val="14"/>
        </w:rPr>
        <w:t>.</w:t>
      </w:r>
    </w:p>
  </w:footnote>
  <w:footnote w:id="9">
    <w:p w14:paraId="23E33D05" w14:textId="77777777" w:rsidR="00D241FB" w:rsidRPr="00AF7999" w:rsidRDefault="00D241FB" w:rsidP="00D241FB">
      <w:pPr>
        <w:pStyle w:val="NormalWeb"/>
        <w:spacing w:before="0" w:beforeAutospacing="0" w:after="0" w:afterAutospacing="0"/>
        <w:ind w:firstLine="709"/>
        <w:jc w:val="both"/>
        <w:rPr>
          <w:rFonts w:ascii="Verdana" w:hAnsi="Verdana" w:cs="Arial"/>
          <w:sz w:val="14"/>
          <w:szCs w:val="14"/>
          <w:lang w:val="es-MX"/>
        </w:rPr>
      </w:pPr>
      <w:r w:rsidRPr="00AF7999">
        <w:rPr>
          <w:rStyle w:val="Refdenotaalpie"/>
          <w:rFonts w:ascii="Verdana" w:hAnsi="Verdana" w:cs="Arial"/>
          <w:sz w:val="14"/>
          <w:szCs w:val="14"/>
        </w:rPr>
        <w:footnoteRef/>
      </w:r>
      <w:r w:rsidRPr="00AF7999">
        <w:rPr>
          <w:rFonts w:ascii="Verdana" w:hAnsi="Verdana" w:cs="Arial"/>
          <w:sz w:val="14"/>
          <w:szCs w:val="14"/>
        </w:rPr>
        <w:t xml:space="preserve"> </w:t>
      </w:r>
      <w:r w:rsidRPr="00AF7999">
        <w:rPr>
          <w:rFonts w:ascii="Verdana" w:eastAsia="Calibri" w:hAnsi="Verdana" w:cs="Arial"/>
          <w:color w:val="000000"/>
          <w:sz w:val="14"/>
          <w:szCs w:val="14"/>
        </w:rPr>
        <w:t>“</w:t>
      </w:r>
      <w:bookmarkStart w:id="6" w:name="38"/>
      <w:r w:rsidRPr="00AF7999">
        <w:rPr>
          <w:rFonts w:ascii="Verdana" w:hAnsi="Verdana" w:cs="Arial"/>
          <w:sz w:val="14"/>
          <w:szCs w:val="14"/>
          <w:lang w:val="es-MX"/>
        </w:rPr>
        <w:t>Artículo 38. Prohibiciones para los servidores públicos. A los empleados del Estado les está prohibido:</w:t>
      </w:r>
      <w:bookmarkEnd w:id="6"/>
      <w:r w:rsidRPr="00AF7999">
        <w:rPr>
          <w:rFonts w:ascii="Verdana" w:hAnsi="Verdana" w:cs="Arial"/>
          <w:sz w:val="14"/>
          <w:szCs w:val="14"/>
          <w:lang w:val="es-MX"/>
        </w:rPr>
        <w:t xml:space="preserve"> […]</w:t>
      </w:r>
    </w:p>
    <w:p w14:paraId="5FA8A432" w14:textId="77777777" w:rsidR="00D241FB" w:rsidRPr="00AF7999" w:rsidRDefault="00D241FB" w:rsidP="00D241FB">
      <w:pPr>
        <w:pStyle w:val="NormalWeb"/>
        <w:spacing w:before="0" w:beforeAutospacing="0" w:after="0" w:afterAutospacing="0"/>
        <w:ind w:firstLine="709"/>
        <w:jc w:val="both"/>
        <w:rPr>
          <w:rFonts w:ascii="Verdana" w:hAnsi="Verdana" w:cs="Arial"/>
          <w:sz w:val="14"/>
          <w:szCs w:val="14"/>
          <w:lang w:val="es-MX"/>
        </w:rPr>
      </w:pPr>
      <w:r w:rsidRPr="00AF7999">
        <w:rPr>
          <w:rStyle w:val="baj"/>
          <w:rFonts w:ascii="Verdana" w:hAnsi="Verdana" w:cs="Arial"/>
          <w:sz w:val="14"/>
          <w:szCs w:val="14"/>
          <w:lang w:val="es-MX"/>
        </w:rPr>
        <w:t>Parágrafo.</w:t>
      </w:r>
      <w:r w:rsidRPr="00AF7999">
        <w:rPr>
          <w:rFonts w:ascii="Verdana" w:hAnsi="Verdana" w:cs="Arial"/>
          <w:sz w:val="14"/>
          <w:szCs w:val="14"/>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AF7999">
        <w:rPr>
          <w:rFonts w:ascii="Verdana" w:eastAsia="Calibri" w:hAnsi="Verdana" w:cs="Arial"/>
          <w:color w:val="000000"/>
          <w:sz w:val="14"/>
          <w:szCs w:val="14"/>
        </w:rPr>
        <w:t>”</w:t>
      </w:r>
      <w:r w:rsidRPr="00AF7999">
        <w:rPr>
          <w:rFonts w:ascii="Verdana" w:hAnsi="Verdana" w:cs="Arial"/>
          <w:sz w:val="14"/>
          <w:szCs w:val="14"/>
          <w:lang w:val="es-MX"/>
        </w:rPr>
        <w:t>.</w:t>
      </w:r>
    </w:p>
  </w:footnote>
  <w:footnote w:id="10">
    <w:p w14:paraId="63AFFD46" w14:textId="77777777" w:rsidR="00D241FB" w:rsidRPr="00AF7999" w:rsidRDefault="00D241FB" w:rsidP="00D241FB">
      <w:pPr>
        <w:spacing w:after="0" w:line="240" w:lineRule="auto"/>
        <w:ind w:left="100" w:right="244" w:firstLine="608"/>
        <w:jc w:val="both"/>
        <w:rPr>
          <w:rFonts w:ascii="Verdana" w:hAnsi="Verdana" w:cs="Arial"/>
          <w:sz w:val="14"/>
          <w:szCs w:val="14"/>
          <w:lang w:val="es-ES"/>
        </w:rPr>
      </w:pPr>
      <w:r w:rsidRPr="00AF7999">
        <w:rPr>
          <w:rStyle w:val="Refdenotaalpie"/>
          <w:rFonts w:ascii="Verdana" w:hAnsi="Verdana" w:cs="Arial"/>
          <w:sz w:val="14"/>
          <w:szCs w:val="14"/>
        </w:rPr>
        <w:footnoteRef/>
      </w:r>
      <w:r w:rsidRPr="00AF7999">
        <w:rPr>
          <w:rFonts w:ascii="Verdana" w:hAnsi="Verdana" w:cs="Arial"/>
          <w:sz w:val="14"/>
          <w:szCs w:val="14"/>
        </w:rPr>
        <w:t xml:space="preserve"> Consejo de Estado. Sala de Consulta y Servicio Civil. Concepto del 17 de febrero de 2015. C.P. William Zambrano Cetina. Radicación No. 11001-03-06-000-2015-00164-00(2269).</w:t>
      </w:r>
    </w:p>
  </w:footnote>
  <w:footnote w:id="11">
    <w:p w14:paraId="7194462F" w14:textId="77777777" w:rsidR="00D241FB" w:rsidRPr="00AF7999" w:rsidRDefault="00D241FB" w:rsidP="00D241FB">
      <w:pPr>
        <w:pStyle w:val="Textonotapie"/>
        <w:ind w:firstLine="708"/>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Colombia Compra Eficiente. Circular Externa Única. Numeral 16.5. </w:t>
      </w:r>
    </w:p>
  </w:footnote>
  <w:footnote w:id="12">
    <w:p w14:paraId="60557E85" w14:textId="77777777" w:rsidR="00D241FB" w:rsidRPr="00AF7999" w:rsidRDefault="00D241FB" w:rsidP="00D241FB">
      <w:pPr>
        <w:pStyle w:val="Textonotapie"/>
        <w:ind w:right="51" w:firstLine="709"/>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w:t>
      </w:r>
      <w:r w:rsidRPr="00AF7999">
        <w:rPr>
          <w:rFonts w:ascii="Verdana" w:hAnsi="Verdana" w:cs="Arial"/>
          <w:sz w:val="14"/>
          <w:szCs w:val="14"/>
          <w:lang w:val="es-ES"/>
        </w:rPr>
        <w:t xml:space="preserve">[25] </w:t>
      </w:r>
      <w:r w:rsidRPr="00AF7999">
        <w:rPr>
          <w:rFonts w:ascii="Verdana" w:hAnsi="Verdana" w:cs="Arial"/>
          <w:sz w:val="14"/>
          <w:szCs w:val="14"/>
        </w:rPr>
        <w:t>Cfr. Consejo de Estado. Sección Tercera. Sentencia de 3 de diciembre de 2007. Radicados: 24.715, 25.206, 25.409, 24.524, 27.834, 25.410, 26.105, 28.244, 31.447 -acumulados-“.</w:t>
      </w:r>
    </w:p>
  </w:footnote>
  <w:footnote w:id="13">
    <w:p w14:paraId="4AE3A17D" w14:textId="77777777" w:rsidR="00D241FB" w:rsidRPr="00AF7999" w:rsidRDefault="00D241FB" w:rsidP="00D241FB">
      <w:pPr>
        <w:pStyle w:val="Textonotapie"/>
        <w:ind w:right="51" w:firstLine="709"/>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w:t>
      </w:r>
      <w:r w:rsidRPr="00AF7999">
        <w:rPr>
          <w:rFonts w:ascii="Verdana" w:hAnsi="Verdana" w:cs="Arial"/>
          <w:sz w:val="14"/>
          <w:szCs w:val="14"/>
          <w:lang w:val="es-ES"/>
        </w:rPr>
        <w:t xml:space="preserve">[26] </w:t>
      </w:r>
      <w:r w:rsidRPr="00AF7999">
        <w:rPr>
          <w:rFonts w:ascii="Verdana" w:hAnsi="Verdana" w:cs="Arial"/>
          <w:sz w:val="14"/>
          <w:szCs w:val="14"/>
        </w:rPr>
        <w:t>Al respecto ver el concepto 1712 de 2 de febrero de 2006. Consejo de Estado Sala de Consulta y Servicio Civil”.</w:t>
      </w:r>
    </w:p>
  </w:footnote>
  <w:footnote w:id="14">
    <w:p w14:paraId="19B704D7" w14:textId="77777777" w:rsidR="00D241FB" w:rsidRPr="00AF7999" w:rsidRDefault="00D241FB" w:rsidP="00D241FB">
      <w:pPr>
        <w:pStyle w:val="Textonotapie"/>
        <w:ind w:firstLine="709"/>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Consejo de Estado. Sala de Consulta y Servicio Civil. Concepto del 2 de septiembre de 2013. Radicación número: 11001-03-06-000-2013-00412-00 (2168). Consejero Ponente: Álvaro Namén Vargas.</w:t>
      </w:r>
    </w:p>
  </w:footnote>
  <w:footnote w:id="15">
    <w:p w14:paraId="1D416A13" w14:textId="77777777" w:rsidR="00D241FB" w:rsidRPr="00AF7999" w:rsidRDefault="00D241FB" w:rsidP="00D241FB">
      <w:pPr>
        <w:pStyle w:val="Textonotapie"/>
        <w:ind w:firstLine="709"/>
        <w:jc w:val="both"/>
        <w:rPr>
          <w:rFonts w:ascii="Verdana" w:hAnsi="Verdana" w:cs="Arial"/>
          <w:sz w:val="14"/>
          <w:szCs w:val="14"/>
          <w:lang w:val="es-ES"/>
        </w:rPr>
      </w:pPr>
      <w:r w:rsidRPr="00AF7999">
        <w:rPr>
          <w:rStyle w:val="Refdenotaalpie"/>
          <w:rFonts w:ascii="Verdana" w:hAnsi="Verdana" w:cs="Arial"/>
          <w:sz w:val="14"/>
          <w:szCs w:val="14"/>
        </w:rPr>
        <w:footnoteRef/>
      </w:r>
      <w:r w:rsidRPr="00AF7999">
        <w:rPr>
          <w:rFonts w:ascii="Verdana" w:hAnsi="Verdana" w:cs="Arial"/>
          <w:sz w:val="14"/>
          <w:szCs w:val="14"/>
        </w:rPr>
        <w:t xml:space="preserve"> </w:t>
      </w:r>
      <w:r w:rsidRPr="00AF7999">
        <w:rPr>
          <w:rFonts w:ascii="Verdana" w:hAnsi="Verdana" w:cs="Arial"/>
          <w:sz w:val="14"/>
          <w:szCs w:val="14"/>
          <w:lang w:val="es-ES"/>
        </w:rPr>
        <w:t xml:space="preserve">Artículo 2. </w:t>
      </w:r>
    </w:p>
  </w:footnote>
  <w:footnote w:id="16">
    <w:p w14:paraId="718F16B1" w14:textId="77777777" w:rsidR="00D241FB" w:rsidRPr="00AF7999" w:rsidRDefault="00D241FB" w:rsidP="00D241FB">
      <w:pPr>
        <w:pStyle w:val="Textonotapie"/>
        <w:ind w:firstLine="709"/>
        <w:jc w:val="both"/>
        <w:rPr>
          <w:rFonts w:ascii="Verdana" w:hAnsi="Verdana" w:cs="Arial"/>
          <w:sz w:val="14"/>
          <w:szCs w:val="14"/>
          <w:lang w:val="es-ES"/>
        </w:rPr>
      </w:pPr>
      <w:r w:rsidRPr="00AF7999">
        <w:rPr>
          <w:rStyle w:val="Refdenotaalpie"/>
          <w:rFonts w:ascii="Verdana" w:hAnsi="Verdana" w:cs="Arial"/>
          <w:sz w:val="14"/>
          <w:szCs w:val="14"/>
        </w:rPr>
        <w:footnoteRef/>
      </w:r>
      <w:r w:rsidRPr="00AF7999">
        <w:rPr>
          <w:rFonts w:ascii="Verdana" w:hAnsi="Verdana" w:cs="Arial"/>
          <w:sz w:val="14"/>
          <w:szCs w:val="14"/>
        </w:rPr>
        <w:t xml:space="preserve"> </w:t>
      </w:r>
      <w:r w:rsidRPr="00AF7999">
        <w:rPr>
          <w:rFonts w:ascii="Verdana" w:hAnsi="Verdana" w:cs="Arial"/>
          <w:i/>
          <w:sz w:val="14"/>
          <w:szCs w:val="14"/>
          <w:lang w:val="es-ES"/>
        </w:rPr>
        <w:t>Ídem</w:t>
      </w:r>
      <w:r w:rsidRPr="00AF7999">
        <w:rPr>
          <w:rFonts w:ascii="Verdana" w:hAnsi="Verdana" w:cs="Arial"/>
          <w:sz w:val="14"/>
          <w:szCs w:val="14"/>
          <w:lang w:val="es-ES"/>
        </w:rPr>
        <w:t>.</w:t>
      </w:r>
    </w:p>
  </w:footnote>
  <w:footnote w:id="17">
    <w:p w14:paraId="1966828F" w14:textId="77777777" w:rsidR="00D241FB" w:rsidRPr="00AF7999" w:rsidRDefault="00D241FB" w:rsidP="00D241FB">
      <w:pPr>
        <w:pStyle w:val="Textonotapie"/>
        <w:ind w:firstLine="709"/>
        <w:jc w:val="both"/>
        <w:rPr>
          <w:rFonts w:ascii="Verdana" w:hAnsi="Verdana" w:cs="Arial"/>
          <w:sz w:val="14"/>
          <w:szCs w:val="14"/>
          <w:lang w:val="es-ES"/>
        </w:rPr>
      </w:pPr>
      <w:r w:rsidRPr="00AF7999">
        <w:rPr>
          <w:rStyle w:val="Refdenotaalpie"/>
          <w:rFonts w:ascii="Verdana" w:hAnsi="Verdana" w:cs="Arial"/>
          <w:sz w:val="14"/>
          <w:szCs w:val="14"/>
        </w:rPr>
        <w:footnoteRef/>
      </w:r>
      <w:r w:rsidRPr="00AF7999">
        <w:rPr>
          <w:rStyle w:val="Refdenotaalpie"/>
          <w:rFonts w:ascii="Verdana" w:hAnsi="Verdana" w:cs="Arial"/>
          <w:sz w:val="14"/>
          <w:szCs w:val="14"/>
        </w:rPr>
        <w:t xml:space="preserve"> </w:t>
      </w:r>
      <w:r w:rsidRPr="00AF7999">
        <w:rPr>
          <w:rFonts w:ascii="Verdana" w:hAnsi="Verdana" w:cs="Arial"/>
          <w:sz w:val="14"/>
          <w:szCs w:val="14"/>
          <w:lang w:val="es-ES"/>
        </w:rPr>
        <w:t xml:space="preserve">“[…] A este respecto, cabe recordar que el artículo 860 del Código de Comercio regula la licitación en el derecho privado”. </w:t>
      </w:r>
    </w:p>
  </w:footnote>
  <w:footnote w:id="18">
    <w:p w14:paraId="0CAB5DFA" w14:textId="77777777" w:rsidR="00D241FB" w:rsidRPr="00AF7999" w:rsidRDefault="00D241FB" w:rsidP="00D241FB">
      <w:pPr>
        <w:shd w:val="clear" w:color="auto" w:fill="FFFFFF"/>
        <w:spacing w:after="0" w:line="240" w:lineRule="auto"/>
        <w:ind w:firstLine="709"/>
        <w:jc w:val="both"/>
        <w:rPr>
          <w:rFonts w:ascii="Verdana" w:hAnsi="Verdana" w:cs="Arial"/>
          <w:sz w:val="14"/>
          <w:szCs w:val="14"/>
          <w:lang w:val="es-ES"/>
        </w:rPr>
      </w:pPr>
      <w:r w:rsidRPr="00AF7999">
        <w:rPr>
          <w:rStyle w:val="Refdenotaalpie"/>
          <w:rFonts w:ascii="Verdana" w:hAnsi="Verdana" w:cs="Arial"/>
          <w:sz w:val="14"/>
          <w:szCs w:val="14"/>
        </w:rPr>
        <w:footnoteRef/>
      </w:r>
      <w:r w:rsidRPr="00AF7999">
        <w:rPr>
          <w:rStyle w:val="Refdenotaalpie"/>
          <w:rFonts w:ascii="Verdana" w:hAnsi="Verdana" w:cs="Arial"/>
          <w:sz w:val="14"/>
          <w:szCs w:val="14"/>
        </w:rPr>
        <w:t xml:space="preserve"> </w:t>
      </w:r>
      <w:r w:rsidRPr="00AF7999">
        <w:rPr>
          <w:rFonts w:ascii="Verdana" w:hAnsi="Verdana" w:cs="Arial"/>
          <w:sz w:val="14"/>
          <w:szCs w:val="14"/>
          <w:lang w:val="es-ES"/>
        </w:rPr>
        <w:t>Consejo de Estado. Sala de Consulta y Servicio Civil, Concepto de 8 de mayo de 2018. Radicación Número: 11001-03-06-000-2018-00095-00(2382). C.P. Álvaro Namén Vargas.</w:t>
      </w:r>
    </w:p>
  </w:footnote>
  <w:footnote w:id="19">
    <w:p w14:paraId="2540F1E0" w14:textId="77777777" w:rsidR="00D241FB" w:rsidRPr="00AF7999" w:rsidRDefault="00D241FB" w:rsidP="00D241FB">
      <w:pPr>
        <w:pStyle w:val="Textonotapie"/>
        <w:ind w:firstLine="709"/>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Consejo de Estado. Sala de Consulta y Servicio Civil. Concepto del 08 de mayo de 2018. Exp. 2.382. C.P. Álvaro Namén Vargas.</w:t>
      </w:r>
    </w:p>
  </w:footnote>
  <w:footnote w:id="20">
    <w:p w14:paraId="478BDEBD" w14:textId="77777777" w:rsidR="00D241FB" w:rsidRPr="00AF7999" w:rsidRDefault="00D241FB" w:rsidP="00D241FB">
      <w:pPr>
        <w:pStyle w:val="Textonotapie"/>
        <w:ind w:firstLine="709"/>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La Corte Constitucional mediante Sentencia C-1153-05 de 11 de noviembre de 2005, Magistrado Ponente Marco Gerardo Monroy Cabra, efectuó el Control constitucional al Proyecto de Ley Estatutaria N° 216/05 Senado, N° 235-Cámara que dio lugar a la Ley de Garantías Electorales.</w:t>
      </w:r>
    </w:p>
  </w:footnote>
  <w:footnote w:id="21">
    <w:p w14:paraId="5BECD39F" w14:textId="77777777" w:rsidR="00D241FB" w:rsidRPr="00AF7999" w:rsidRDefault="00D241FB" w:rsidP="00D241FB">
      <w:pPr>
        <w:spacing w:after="0" w:line="240" w:lineRule="auto"/>
        <w:ind w:firstLine="709"/>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Consejo de Estado. Sala de Consulta y Servicio Civil. Concepto de 20 de febrero de 2006. Radicación Número: 11001-03-06-000-2006-00026-00 (1727). C.P.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footnote>
  <w:footnote w:id="22">
    <w:p w14:paraId="277F683C" w14:textId="77777777" w:rsidR="00D241FB" w:rsidRPr="00AF7999" w:rsidRDefault="00D241FB" w:rsidP="00D241FB">
      <w:pPr>
        <w:pStyle w:val="Textonotapie"/>
        <w:ind w:right="51" w:firstLine="709"/>
        <w:jc w:val="both"/>
        <w:rPr>
          <w:rFonts w:ascii="Verdana" w:eastAsia="Times New Roman" w:hAnsi="Verdana" w:cs="Arial"/>
          <w:sz w:val="14"/>
          <w:szCs w:val="14"/>
          <w:lang w:eastAsia="x-none"/>
        </w:rPr>
      </w:pPr>
      <w:r w:rsidRPr="00AF7999">
        <w:rPr>
          <w:rStyle w:val="Refdenotaalpie"/>
          <w:rFonts w:ascii="Verdana" w:hAnsi="Verdana" w:cs="Arial"/>
          <w:sz w:val="14"/>
          <w:szCs w:val="14"/>
        </w:rPr>
        <w:footnoteRef/>
      </w:r>
      <w:r w:rsidRPr="00AF7999">
        <w:rPr>
          <w:rFonts w:ascii="Verdana" w:hAnsi="Verdana" w:cs="Arial"/>
          <w:sz w:val="14"/>
          <w:szCs w:val="14"/>
        </w:rPr>
        <w:t xml:space="preserve"> Consejo de Estado. Sala de Consulta y Servicio Civil. Concepto de 6 de abril de 2006. Radicación Número: 11001-03-06-000-2006-00038-00 (1738). C.P. Enrique José Arboleda Perdomo:</w:t>
      </w:r>
      <w:r w:rsidRPr="00AF7999">
        <w:rPr>
          <w:rFonts w:ascii="Verdana" w:eastAsia="Times New Roman" w:hAnsi="Verdana" w:cs="Arial"/>
          <w:sz w:val="14"/>
          <w:szCs w:val="14"/>
          <w:lang w:eastAsia="x-none"/>
        </w:rPr>
        <w:t xml:space="preserve"> “</w:t>
      </w:r>
      <w:r w:rsidRPr="00AF7999">
        <w:rPr>
          <w:rFonts w:ascii="Verdana" w:hAnsi="Verdana" w:cs="Arial"/>
          <w:sz w:val="14"/>
          <w:szCs w:val="14"/>
        </w:rPr>
        <w:t>Si bien en el tema del concepto del que se extractaron los párrafos transcritos, se hacía referencia a las empresas de servicios públicos domiciliarios mixtas, la explicación dada cobija también a las empresas industriales y comerciales del estado y a las de crédito, pues todas ellas hacen parte de la definición de administración pública de la ley 489 de 1998, y además encajan dentro de la noción de todos los entes del Estado que trae la ley 996 de 2005 en el artículo 33, de manera que no es lógico pretender exonerarse de ésta prohibición alegando un régimen especial de los actos o contratos</w:t>
      </w:r>
      <w:r w:rsidRPr="00AF7999">
        <w:rPr>
          <w:rFonts w:ascii="Verdana" w:eastAsia="Times New Roman" w:hAnsi="Verdana" w:cs="Arial"/>
          <w:sz w:val="14"/>
          <w:szCs w:val="14"/>
          <w:lang w:eastAsia="x-none"/>
        </w:rPr>
        <w:t>”.</w:t>
      </w:r>
    </w:p>
  </w:footnote>
  <w:footnote w:id="23">
    <w:p w14:paraId="5DCE87BB" w14:textId="77777777" w:rsidR="00D241FB" w:rsidRPr="00AF7999" w:rsidRDefault="00D241FB" w:rsidP="00D241FB">
      <w:pPr>
        <w:spacing w:after="0" w:line="240" w:lineRule="auto"/>
        <w:ind w:firstLine="708"/>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Consejo de Estado. Sala de Consulta y Servicio Civil. Concepto de 6 de abril de 2006. Radicación Número: 11001-03-06-000-2006-00038-00(1738). Consejero Ponente: Enrique José Arboleda Perdomo. </w:t>
      </w:r>
    </w:p>
  </w:footnote>
  <w:footnote w:id="24">
    <w:p w14:paraId="573A0B24" w14:textId="77777777" w:rsidR="00D241FB" w:rsidRPr="00AF7999" w:rsidRDefault="00D241FB" w:rsidP="00D241FB">
      <w:pPr>
        <w:pStyle w:val="Textonotapie"/>
        <w:ind w:right="51" w:firstLine="709"/>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Consejo de Estado. Sala de Consulta y Servicio Civil, ídem.</w:t>
      </w:r>
    </w:p>
  </w:footnote>
  <w:footnote w:id="25">
    <w:p w14:paraId="68CA47BB" w14:textId="77777777" w:rsidR="00D241FB" w:rsidRPr="00AF7999" w:rsidRDefault="00D241FB" w:rsidP="00AF7999">
      <w:pPr>
        <w:pStyle w:val="Textonotapie"/>
        <w:ind w:firstLine="709"/>
        <w:jc w:val="both"/>
        <w:rPr>
          <w:rFonts w:ascii="Verdana" w:hAnsi="Verdana"/>
          <w:sz w:val="14"/>
          <w:szCs w:val="14"/>
          <w:lang w:val="es-CO"/>
        </w:rPr>
      </w:pPr>
      <w:r w:rsidRPr="00AF7999">
        <w:rPr>
          <w:rStyle w:val="Refdenotaalpie"/>
          <w:rFonts w:ascii="Verdana" w:hAnsi="Verdana"/>
          <w:sz w:val="14"/>
          <w:szCs w:val="14"/>
        </w:rPr>
        <w:footnoteRef/>
      </w:r>
      <w:r w:rsidRPr="00AF7999">
        <w:rPr>
          <w:rFonts w:ascii="Verdana" w:hAnsi="Verdana"/>
          <w:sz w:val="14"/>
          <w:szCs w:val="14"/>
        </w:rPr>
        <w:t xml:space="preserve"> </w:t>
      </w:r>
      <w:r>
        <w:rPr>
          <w:rFonts w:ascii="Verdana" w:hAnsi="Verdana"/>
          <w:sz w:val="14"/>
          <w:szCs w:val="14"/>
          <w:lang w:val="es-CO"/>
        </w:rPr>
        <w:t xml:space="preserve">Disponible en: </w:t>
      </w:r>
      <w:hyperlink r:id="rId2" w:history="1">
        <w:r>
          <w:rPr>
            <w:rStyle w:val="Hipervnculo"/>
            <w:rFonts w:ascii="Verdana" w:hAnsi="Verdana"/>
            <w:sz w:val="14"/>
            <w:szCs w:val="14"/>
            <w:lang w:val="es-CO"/>
          </w:rPr>
          <w:t>https://www.colombiacompra.gov.co/node/23710</w:t>
        </w:r>
      </w:hyperlink>
      <w:r w:rsidRPr="00AF7999">
        <w:rPr>
          <w:rFonts w:ascii="Verdana" w:hAnsi="Verdana"/>
          <w:sz w:val="14"/>
          <w:szCs w:val="14"/>
          <w:lang w:val="es-CO"/>
        </w:rPr>
        <w:t xml:space="preserve"> </w:t>
      </w:r>
    </w:p>
  </w:footnote>
  <w:footnote w:id="26">
    <w:p w14:paraId="332EC11A" w14:textId="77777777" w:rsidR="00D241FB" w:rsidRPr="00AF7999" w:rsidRDefault="00D241FB" w:rsidP="00D241FB">
      <w:pPr>
        <w:pStyle w:val="Textonotapie"/>
        <w:ind w:firstLine="709"/>
        <w:jc w:val="both"/>
        <w:rPr>
          <w:rFonts w:ascii="Verdana" w:hAnsi="Verdana"/>
          <w:sz w:val="14"/>
          <w:szCs w:val="14"/>
          <w:lang w:val="es-CO"/>
        </w:rPr>
      </w:pPr>
      <w:r w:rsidRPr="00AF7999">
        <w:rPr>
          <w:rStyle w:val="Refdenotaalpie"/>
          <w:rFonts w:ascii="Verdana" w:hAnsi="Verdana"/>
          <w:sz w:val="14"/>
          <w:szCs w:val="14"/>
        </w:rPr>
        <w:footnoteRef/>
      </w:r>
      <w:r w:rsidRPr="00AF7999">
        <w:rPr>
          <w:rFonts w:ascii="Verdana" w:hAnsi="Verdana"/>
          <w:sz w:val="14"/>
          <w:szCs w:val="14"/>
        </w:rPr>
        <w:t xml:space="preserve"> Disponible en: </w:t>
      </w:r>
      <w:hyperlink r:id="rId3" w:history="1">
        <w:r w:rsidRPr="00AF7999">
          <w:rPr>
            <w:rStyle w:val="Hipervnculo"/>
            <w:rFonts w:ascii="Verdana" w:hAnsi="Verdana"/>
            <w:sz w:val="14"/>
            <w:szCs w:val="14"/>
          </w:rPr>
          <w:t>https://www.colombiacompra.gov.co/base-conocimiento/gestion-contractual-envio-del-contrato-secop-ii</w:t>
        </w:r>
      </w:hyperlink>
      <w:r w:rsidRPr="00AF7999">
        <w:rPr>
          <w:rFonts w:ascii="Verdana" w:hAnsi="Verdana"/>
          <w:sz w:val="14"/>
          <w:szCs w:val="14"/>
        </w:rPr>
        <w:t xml:space="preserve"> </w:t>
      </w:r>
    </w:p>
  </w:footnote>
  <w:footnote w:id="27">
    <w:p w14:paraId="23B2D911" w14:textId="77777777" w:rsidR="00D241FB" w:rsidRPr="00AF7999" w:rsidRDefault="00D241FB" w:rsidP="00D241FB">
      <w:pPr>
        <w:pStyle w:val="Textonotapie"/>
        <w:ind w:firstLine="709"/>
        <w:jc w:val="both"/>
        <w:rPr>
          <w:rFonts w:ascii="Verdana" w:hAnsi="Verdana"/>
          <w:sz w:val="14"/>
          <w:szCs w:val="14"/>
          <w:lang w:val="es-CO"/>
        </w:rPr>
      </w:pPr>
      <w:r w:rsidRPr="00AF7999">
        <w:rPr>
          <w:rStyle w:val="Refdenotaalpie"/>
          <w:rFonts w:ascii="Verdana" w:hAnsi="Verdana"/>
          <w:sz w:val="14"/>
          <w:szCs w:val="14"/>
        </w:rPr>
        <w:footnoteRef/>
      </w:r>
      <w:r w:rsidRPr="00AF7999">
        <w:rPr>
          <w:rFonts w:ascii="Verdana" w:hAnsi="Verdana"/>
          <w:sz w:val="14"/>
          <w:szCs w:val="14"/>
        </w:rPr>
        <w:t xml:space="preserve"> </w:t>
      </w:r>
      <w:r w:rsidRPr="00AF7999">
        <w:rPr>
          <w:rFonts w:ascii="Verdana" w:hAnsi="Verdana"/>
          <w:sz w:val="14"/>
          <w:szCs w:val="14"/>
          <w:lang w:val="es-CO"/>
        </w:rPr>
        <w:t>Son secuencias para la aprobación de algunas tareas asignadas a los miembros del Equipo del Proceso de contratación, que por su relevancia requieren ser autorizadas por uno o varios usuarios de la Entidad Estatal (ej. publicación de pliegos definitivos, publicación del informe de evaluación, adendas, aprobación del contrato, etc.). El usuario administrador puede configurar plantillas tipo con secuencias de aprobación que use de manera frecuente (ej. primero aprueba el secretario general y luego el director general).</w:t>
      </w:r>
      <w:r w:rsidRPr="00AF7999">
        <w:rPr>
          <w:rFonts w:ascii="Verdana" w:hAnsi="Verdana"/>
          <w:sz w:val="14"/>
          <w:szCs w:val="14"/>
        </w:rPr>
        <w:t xml:space="preserve"> </w:t>
      </w:r>
      <w:hyperlink r:id="rId4" w:history="1">
        <w:r w:rsidRPr="00AF7999">
          <w:rPr>
            <w:rStyle w:val="Hipervnculo"/>
            <w:rFonts w:ascii="Verdana" w:hAnsi="Verdana"/>
            <w:sz w:val="14"/>
            <w:szCs w:val="14"/>
            <w:lang w:val="es-CO"/>
          </w:rPr>
          <w:t>https://www.colombiacompra.gov.co/base-conocimiento/configuracion-de-cuentas-secop-ii</w:t>
        </w:r>
      </w:hyperlink>
      <w:r w:rsidRPr="00AF7999">
        <w:rPr>
          <w:rFonts w:ascii="Verdana" w:hAnsi="Verdana"/>
          <w:sz w:val="14"/>
          <w:szCs w:val="14"/>
          <w:lang w:val="es-CO"/>
        </w:rPr>
        <w:t xml:space="preserve"> </w:t>
      </w:r>
    </w:p>
  </w:footnote>
  <w:footnote w:id="28">
    <w:p w14:paraId="1F3E13C1" w14:textId="77777777" w:rsidR="00D241FB" w:rsidRPr="00AF7999" w:rsidRDefault="00D241FB" w:rsidP="00D241FB">
      <w:pPr>
        <w:spacing w:after="0" w:line="240" w:lineRule="auto"/>
        <w:ind w:firstLine="707"/>
        <w:jc w:val="both"/>
        <w:rPr>
          <w:rFonts w:ascii="Verdana" w:hAnsi="Verdana" w:cs="Arial"/>
          <w:sz w:val="14"/>
          <w:szCs w:val="14"/>
        </w:rPr>
      </w:pPr>
      <w:r w:rsidRPr="00AF7999">
        <w:rPr>
          <w:rStyle w:val="Refdenotaalpie"/>
          <w:rFonts w:ascii="Verdana" w:hAnsi="Verdana" w:cs="Arial"/>
          <w:sz w:val="14"/>
          <w:szCs w:val="14"/>
        </w:rPr>
        <w:footnoteRef/>
      </w:r>
      <w:r w:rsidRPr="00AF7999">
        <w:rPr>
          <w:rFonts w:ascii="Verdana" w:hAnsi="Verdana" w:cs="Arial"/>
          <w:sz w:val="14"/>
          <w:szCs w:val="14"/>
        </w:rPr>
        <w:t xml:space="preserve"> “Artículo 44. Los contratos del Estado son absolutamente nulos en los casos previstos en el derecho común y además cuando:</w:t>
      </w:r>
    </w:p>
    <w:p w14:paraId="2B889DE5" w14:textId="77777777" w:rsidR="00D241FB" w:rsidRPr="00AF7999" w:rsidRDefault="00D241FB" w:rsidP="00D241FB">
      <w:pPr>
        <w:spacing w:after="0" w:line="240" w:lineRule="auto"/>
        <w:ind w:firstLine="708"/>
        <w:jc w:val="both"/>
        <w:rPr>
          <w:rFonts w:ascii="Verdana" w:hAnsi="Verdana" w:cs="Arial"/>
          <w:sz w:val="14"/>
          <w:szCs w:val="14"/>
        </w:rPr>
      </w:pPr>
      <w:r w:rsidRPr="00AF7999">
        <w:rPr>
          <w:rFonts w:ascii="Verdana" w:hAnsi="Verdana" w:cs="Arial"/>
          <w:sz w:val="14"/>
          <w:szCs w:val="14"/>
        </w:rPr>
        <w:t>1o. Se celebren con personas incursas en causales de inhabilidad o incompatibilidad previstas en la Constitución y la ley;</w:t>
      </w:r>
    </w:p>
    <w:p w14:paraId="331E184F" w14:textId="77777777" w:rsidR="00D241FB" w:rsidRPr="00AF7999" w:rsidRDefault="00D241FB" w:rsidP="00D241FB">
      <w:pPr>
        <w:spacing w:after="0" w:line="240" w:lineRule="auto"/>
        <w:ind w:firstLine="708"/>
        <w:jc w:val="both"/>
        <w:rPr>
          <w:rFonts w:ascii="Verdana" w:hAnsi="Verdana" w:cs="Arial"/>
          <w:sz w:val="14"/>
          <w:szCs w:val="14"/>
        </w:rPr>
      </w:pPr>
      <w:r w:rsidRPr="00AF7999">
        <w:rPr>
          <w:rFonts w:ascii="Verdana" w:hAnsi="Verdana" w:cs="Arial"/>
          <w:sz w:val="14"/>
          <w:szCs w:val="14"/>
        </w:rPr>
        <w:t xml:space="preserve">2o. Se celebren contra expresa prohibición constitucional o legal; </w:t>
      </w:r>
    </w:p>
    <w:p w14:paraId="2497586E" w14:textId="77777777" w:rsidR="00D241FB" w:rsidRPr="00AF7999" w:rsidRDefault="00D241FB" w:rsidP="00D241FB">
      <w:pPr>
        <w:spacing w:after="0" w:line="240" w:lineRule="auto"/>
        <w:ind w:firstLine="708"/>
        <w:jc w:val="both"/>
        <w:rPr>
          <w:rFonts w:ascii="Verdana" w:hAnsi="Verdana" w:cs="Arial"/>
          <w:sz w:val="14"/>
          <w:szCs w:val="14"/>
        </w:rPr>
      </w:pPr>
      <w:r w:rsidRPr="00AF7999">
        <w:rPr>
          <w:rFonts w:ascii="Verdana" w:hAnsi="Verdana" w:cs="Arial"/>
          <w:sz w:val="14"/>
          <w:szCs w:val="14"/>
        </w:rPr>
        <w:t>3o. Se celebren con abuso o desviación de poder;</w:t>
      </w:r>
    </w:p>
    <w:p w14:paraId="5D28439C" w14:textId="77777777" w:rsidR="00D241FB" w:rsidRPr="00AF7999" w:rsidRDefault="00D241FB" w:rsidP="00D241FB">
      <w:pPr>
        <w:spacing w:after="0" w:line="240" w:lineRule="auto"/>
        <w:ind w:firstLine="708"/>
        <w:jc w:val="both"/>
        <w:rPr>
          <w:rFonts w:ascii="Verdana" w:hAnsi="Verdana" w:cs="Arial"/>
          <w:sz w:val="14"/>
          <w:szCs w:val="14"/>
        </w:rPr>
      </w:pPr>
      <w:r w:rsidRPr="00AF7999">
        <w:rPr>
          <w:rFonts w:ascii="Verdana" w:hAnsi="Verdana" w:cs="Arial"/>
          <w:sz w:val="14"/>
          <w:szCs w:val="14"/>
        </w:rPr>
        <w:t>4o. Se declaren nulos los actos administrativos en que se fundamenten; y</w:t>
      </w:r>
    </w:p>
    <w:p w14:paraId="6CB694BB" w14:textId="77777777" w:rsidR="00D241FB" w:rsidRPr="00AF7999" w:rsidRDefault="00D241FB" w:rsidP="00D241FB">
      <w:pPr>
        <w:spacing w:after="0" w:line="240" w:lineRule="auto"/>
        <w:ind w:firstLine="708"/>
        <w:jc w:val="both"/>
        <w:rPr>
          <w:rFonts w:ascii="Verdana" w:hAnsi="Verdana" w:cs="Arial"/>
          <w:sz w:val="14"/>
          <w:szCs w:val="14"/>
        </w:rPr>
      </w:pPr>
      <w:r w:rsidRPr="00AF7999">
        <w:rPr>
          <w:rFonts w:ascii="Verdana" w:hAnsi="Verdana" w:cs="Arial"/>
          <w:sz w:val="14"/>
          <w:szCs w:val="14"/>
        </w:rPr>
        <w:t>5o. Se hubieren celebrado con desconocimiento de los criterios previstos en el artículo 21 sobre tratamiento de ofertas nacionales y extranjeras o con violación de la reciprocidad de que trata esta ley”.</w:t>
      </w:r>
    </w:p>
  </w:footnote>
  <w:footnote w:id="29">
    <w:p w14:paraId="3374BAB4" w14:textId="77777777" w:rsidR="00D241FB" w:rsidRPr="00AF7999" w:rsidRDefault="00D241FB" w:rsidP="00AF7999">
      <w:pPr>
        <w:pStyle w:val="Textonotapie"/>
        <w:ind w:firstLine="709"/>
        <w:jc w:val="both"/>
        <w:rPr>
          <w:rFonts w:ascii="Verdana" w:hAnsi="Verdana"/>
          <w:sz w:val="14"/>
          <w:szCs w:val="14"/>
          <w:lang w:val="es-CO"/>
        </w:rPr>
      </w:pPr>
      <w:r w:rsidRPr="00AF7999">
        <w:rPr>
          <w:rStyle w:val="Refdenotaalpie"/>
          <w:rFonts w:ascii="Verdana" w:hAnsi="Verdana"/>
          <w:sz w:val="14"/>
          <w:szCs w:val="14"/>
        </w:rPr>
        <w:footnoteRef/>
      </w:r>
      <w:r w:rsidRPr="00AF7999">
        <w:rPr>
          <w:rFonts w:ascii="Verdana" w:hAnsi="Verdana"/>
          <w:sz w:val="14"/>
          <w:szCs w:val="14"/>
        </w:rPr>
        <w:t xml:space="preserve"> </w:t>
      </w:r>
      <w:r w:rsidRPr="00AF7999">
        <w:rPr>
          <w:rFonts w:ascii="Verdana" w:hAnsi="Verdana" w:cs="Arial"/>
          <w:sz w:val="14"/>
          <w:szCs w:val="14"/>
          <w:lang w:val="es-CO"/>
        </w:rPr>
        <w:t xml:space="preserve">Consejo de Estado, Sala de lo Contencioso Administrativo, Sección Tercera, Subsección A.  Primera. Sentencia de 11 de junio de 2014, expediente número 34649. C.P: Hernán Andrade Rincon. </w:t>
      </w:r>
    </w:p>
  </w:footnote>
  <w:footnote w:id="30">
    <w:p w14:paraId="202B4D1B" w14:textId="77777777" w:rsidR="00D241FB" w:rsidRPr="00AF7999" w:rsidRDefault="00D241FB" w:rsidP="00D241FB">
      <w:pPr>
        <w:pStyle w:val="Textonotapie"/>
        <w:ind w:firstLine="709"/>
        <w:jc w:val="both"/>
        <w:rPr>
          <w:rFonts w:ascii="Verdana" w:hAnsi="Verdana" w:cs="Arial"/>
          <w:color w:val="000000" w:themeColor="text1"/>
          <w:sz w:val="14"/>
          <w:szCs w:val="14"/>
        </w:rPr>
      </w:pPr>
      <w:r w:rsidRPr="00AF7999">
        <w:rPr>
          <w:rStyle w:val="Refdenotaalpie"/>
          <w:rFonts w:ascii="Verdana" w:hAnsi="Verdana" w:cs="Arial"/>
          <w:color w:val="000000" w:themeColor="text1"/>
          <w:sz w:val="14"/>
          <w:szCs w:val="14"/>
        </w:rPr>
        <w:footnoteRef/>
      </w:r>
      <w:r w:rsidRPr="00AF7999">
        <w:rPr>
          <w:rFonts w:ascii="Verdana" w:hAnsi="Verdana" w:cs="Arial"/>
          <w:color w:val="000000" w:themeColor="text1"/>
          <w:sz w:val="14"/>
          <w:szCs w:val="14"/>
        </w:rPr>
        <w:t xml:space="preserve"> Ley 1712 de 2014: “Artículo 2. Toda información en posesión, bajo control o custodia de un sujeto obligado es pública y no podrá ser reservada o limitada sino por disposición constitucional o legal, de conformidad con la presente ley”.</w:t>
      </w:r>
    </w:p>
    <w:p w14:paraId="3839C3C0" w14:textId="77777777" w:rsidR="00D241FB" w:rsidRPr="00AF7999" w:rsidRDefault="00D241FB" w:rsidP="00D241FB">
      <w:pPr>
        <w:pStyle w:val="Textonotapie"/>
        <w:ind w:firstLine="709"/>
        <w:jc w:val="both"/>
        <w:rPr>
          <w:rFonts w:ascii="Verdana" w:hAnsi="Verdana" w:cs="Arial"/>
          <w:color w:val="000000" w:themeColor="text1"/>
          <w:sz w:val="14"/>
          <w:szCs w:val="14"/>
          <w:lang w:val="es-CO"/>
        </w:rPr>
      </w:pPr>
    </w:p>
  </w:footnote>
  <w:footnote w:id="31">
    <w:p w14:paraId="1B176668" w14:textId="77777777" w:rsidR="00D241FB" w:rsidRPr="00AF7999" w:rsidRDefault="00D241FB" w:rsidP="00D241FB">
      <w:pPr>
        <w:pStyle w:val="Textonotapie"/>
        <w:ind w:firstLine="709"/>
        <w:jc w:val="both"/>
        <w:rPr>
          <w:rFonts w:ascii="Verdana" w:hAnsi="Verdana" w:cs="Arial"/>
          <w:color w:val="000000" w:themeColor="text1"/>
          <w:sz w:val="14"/>
          <w:szCs w:val="14"/>
        </w:rPr>
      </w:pPr>
      <w:r w:rsidRPr="00AF7999">
        <w:rPr>
          <w:rStyle w:val="Refdenotaalpie"/>
          <w:rFonts w:ascii="Verdana" w:hAnsi="Verdana" w:cs="Arial"/>
          <w:color w:val="000000" w:themeColor="text1"/>
          <w:sz w:val="14"/>
          <w:szCs w:val="14"/>
        </w:rPr>
        <w:footnoteRef/>
      </w:r>
      <w:r w:rsidRPr="00AF7999">
        <w:rPr>
          <w:rFonts w:ascii="Verdana" w:hAnsi="Verdana" w:cs="Arial"/>
          <w:color w:val="000000" w:themeColor="text1"/>
          <w:sz w:val="14"/>
          <w:szCs w:val="14"/>
        </w:rPr>
        <w:t xml:space="preserve"> Ley 1712 de 2014: “Artículo 5. Ámbito de aplicación. Las disposiciones de esta ley serán aplicables a las siguientes personas en calidad de sujetos obligados: a) Toda entidad pública, incluyendo las pertenecientes a todas las Ramas del Poder Público, en todos los niveles de la estructura estatal, central o descentralizada por servicios o territorialmente, en los órdenes nacional, departamental, municipal y distrital”.</w:t>
      </w:r>
    </w:p>
    <w:p w14:paraId="6BC06C76" w14:textId="77777777" w:rsidR="00D241FB" w:rsidRPr="00AF7999" w:rsidRDefault="00D241FB" w:rsidP="00D241FB">
      <w:pPr>
        <w:pStyle w:val="Textonotapie"/>
        <w:ind w:firstLine="709"/>
        <w:jc w:val="both"/>
        <w:rPr>
          <w:rFonts w:ascii="Verdana" w:hAnsi="Verdana" w:cs="Arial"/>
          <w:color w:val="000000" w:themeColor="text1"/>
          <w:sz w:val="14"/>
          <w:szCs w:val="14"/>
          <w:lang w:val="es-CO"/>
        </w:rPr>
      </w:pPr>
    </w:p>
  </w:footnote>
  <w:footnote w:id="32">
    <w:p w14:paraId="500DCC0C" w14:textId="77777777" w:rsidR="00D241FB" w:rsidRPr="00AF7999" w:rsidRDefault="00D241FB" w:rsidP="00D241FB">
      <w:pPr>
        <w:pStyle w:val="Textonotapie"/>
        <w:ind w:firstLine="709"/>
        <w:jc w:val="both"/>
        <w:rPr>
          <w:rFonts w:ascii="Verdana" w:hAnsi="Verdana" w:cs="Arial"/>
          <w:color w:val="000000"/>
          <w:sz w:val="14"/>
          <w:szCs w:val="14"/>
        </w:rPr>
      </w:pPr>
      <w:r w:rsidRPr="00AF7999">
        <w:rPr>
          <w:rFonts w:ascii="Verdana" w:eastAsia="Times New Roman" w:hAnsi="Verdana" w:cs="Arial"/>
          <w:color w:val="000000"/>
          <w:sz w:val="14"/>
          <w:szCs w:val="14"/>
          <w:vertAlign w:val="superscript"/>
          <w:lang w:val="es-ES" w:eastAsia="es-ES"/>
        </w:rPr>
        <w:footnoteRef/>
      </w:r>
      <w:r w:rsidRPr="00AF7999">
        <w:rPr>
          <w:rFonts w:ascii="Verdana" w:eastAsia="Times New Roman" w:hAnsi="Verdana" w:cs="Arial"/>
          <w:color w:val="000000"/>
          <w:sz w:val="14"/>
          <w:szCs w:val="14"/>
          <w:vertAlign w:val="superscript"/>
          <w:lang w:val="es-ES" w:eastAsia="es-ES"/>
        </w:rPr>
        <w:t xml:space="preserve"> </w:t>
      </w:r>
      <w:r w:rsidRPr="00AF7999">
        <w:rPr>
          <w:rFonts w:ascii="Verdana" w:eastAsia="Times New Roman" w:hAnsi="Verdana" w:cs="Arial"/>
          <w:color w:val="000000"/>
          <w:sz w:val="14"/>
          <w:szCs w:val="14"/>
          <w:lang w:val="es-ES" w:eastAsia="es-ES"/>
        </w:rPr>
        <w:t>“</w:t>
      </w:r>
      <w:r w:rsidRPr="00AF7999">
        <w:rPr>
          <w:rFonts w:ascii="Verdana" w:hAnsi="Verdana" w:cs="Arial"/>
          <w:color w:val="000000"/>
          <w:sz w:val="14"/>
          <w:szCs w:val="14"/>
        </w:rPr>
        <w:t xml:space="preserve">Artículo 2.1.1.2.1.7. Publicación de la información contractual. De conformidad con el literal (c)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 </w:t>
      </w:r>
    </w:p>
    <w:p w14:paraId="3C59D8D4" w14:textId="77777777" w:rsidR="00D241FB" w:rsidRPr="00AF7999" w:rsidRDefault="00D241FB" w:rsidP="00D241FB">
      <w:pPr>
        <w:pStyle w:val="Textonotapie"/>
        <w:ind w:firstLine="709"/>
        <w:jc w:val="both"/>
        <w:rPr>
          <w:rFonts w:ascii="Verdana" w:eastAsia="Times New Roman" w:hAnsi="Verdana" w:cs="Arial"/>
          <w:color w:val="000000"/>
          <w:sz w:val="14"/>
          <w:szCs w:val="14"/>
          <w:lang w:val="es-ES" w:eastAsia="es-ES"/>
        </w:rPr>
      </w:pPr>
      <w:r w:rsidRPr="00AF7999">
        <w:rPr>
          <w:rFonts w:ascii="Verdana" w:hAnsi="Verdana" w:cs="Arial"/>
          <w:color w:val="000000" w:themeColor="text1"/>
          <w:sz w:val="14"/>
          <w:szCs w:val="14"/>
        </w:rPr>
        <w:t>[…].</w:t>
      </w:r>
    </w:p>
    <w:p w14:paraId="5DE00924" w14:textId="77777777" w:rsidR="00D241FB" w:rsidRPr="00AF7999" w:rsidRDefault="00D241FB" w:rsidP="00D241FB">
      <w:pPr>
        <w:pStyle w:val="Textonotapie"/>
        <w:ind w:firstLine="709"/>
        <w:jc w:val="both"/>
        <w:rPr>
          <w:rFonts w:ascii="Verdana" w:eastAsia="Times New Roman" w:hAnsi="Verdana" w:cs="Arial"/>
          <w:color w:val="000000"/>
          <w:sz w:val="14"/>
          <w:szCs w:val="14"/>
          <w:lang w:val="es-ES" w:eastAsia="es-ES"/>
        </w:rPr>
      </w:pPr>
      <w:r w:rsidRPr="00AF7999">
        <w:rPr>
          <w:rFonts w:ascii="Verdana" w:eastAsia="Times New Roman" w:hAnsi="Verdana" w:cs="Arial"/>
          <w:color w:val="000000" w:themeColor="text1"/>
          <w:sz w:val="14"/>
          <w:szCs w:val="14"/>
          <w:lang w:val="es-ES" w:eastAsia="es-ES"/>
        </w:rPr>
        <w:t>Los sujetos obligados que contratan con recursos públicos y recursos privados, deben publicar la información de su gestión contractual con cargo a recursos públicos en el Sistema Electrónico para la Contratación Pública [SECOP]”.</w:t>
      </w:r>
    </w:p>
    <w:p w14:paraId="76CB98E5" w14:textId="77777777" w:rsidR="00D241FB" w:rsidRPr="00AF7999" w:rsidRDefault="00D241FB" w:rsidP="00D241FB">
      <w:pPr>
        <w:pStyle w:val="Textonotapie"/>
        <w:ind w:firstLine="709"/>
        <w:jc w:val="both"/>
        <w:rPr>
          <w:rFonts w:ascii="Verdana" w:eastAsia="Times New Roman" w:hAnsi="Verdana" w:cs="Arial"/>
          <w:color w:val="000000"/>
          <w:sz w:val="14"/>
          <w:szCs w:val="14"/>
          <w:lang w:val="es-ES" w:eastAsia="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15794"/>
    <w:rsid w:val="00215F91"/>
    <w:rsid w:val="00220A60"/>
    <w:rsid w:val="0022400B"/>
    <w:rsid w:val="002421BB"/>
    <w:rsid w:val="0025796E"/>
    <w:rsid w:val="002707A2"/>
    <w:rsid w:val="002951A0"/>
    <w:rsid w:val="002962BC"/>
    <w:rsid w:val="002A093D"/>
    <w:rsid w:val="002A0DD0"/>
    <w:rsid w:val="002A49AC"/>
    <w:rsid w:val="002A64FD"/>
    <w:rsid w:val="002C7A84"/>
    <w:rsid w:val="002E2BF8"/>
    <w:rsid w:val="002E4FD9"/>
    <w:rsid w:val="00300C91"/>
    <w:rsid w:val="0030657A"/>
    <w:rsid w:val="00322A85"/>
    <w:rsid w:val="00324168"/>
    <w:rsid w:val="00330834"/>
    <w:rsid w:val="003448F4"/>
    <w:rsid w:val="00374F5E"/>
    <w:rsid w:val="00377E3E"/>
    <w:rsid w:val="003A779E"/>
    <w:rsid w:val="003B75B9"/>
    <w:rsid w:val="003D0F4D"/>
    <w:rsid w:val="003D5B0D"/>
    <w:rsid w:val="003E0499"/>
    <w:rsid w:val="003E204E"/>
    <w:rsid w:val="003E4F80"/>
    <w:rsid w:val="003E6439"/>
    <w:rsid w:val="003F3941"/>
    <w:rsid w:val="00406575"/>
    <w:rsid w:val="00414C74"/>
    <w:rsid w:val="0042722E"/>
    <w:rsid w:val="0044528D"/>
    <w:rsid w:val="0045710C"/>
    <w:rsid w:val="00466E39"/>
    <w:rsid w:val="00477032"/>
    <w:rsid w:val="004A1847"/>
    <w:rsid w:val="004A305D"/>
    <w:rsid w:val="004F21C4"/>
    <w:rsid w:val="004F685F"/>
    <w:rsid w:val="005566E8"/>
    <w:rsid w:val="00574867"/>
    <w:rsid w:val="00591460"/>
    <w:rsid w:val="005A65E0"/>
    <w:rsid w:val="005B0DB3"/>
    <w:rsid w:val="005C3777"/>
    <w:rsid w:val="005C5CDC"/>
    <w:rsid w:val="005D476C"/>
    <w:rsid w:val="006200BF"/>
    <w:rsid w:val="006219F8"/>
    <w:rsid w:val="006302F7"/>
    <w:rsid w:val="00646B9F"/>
    <w:rsid w:val="00665D70"/>
    <w:rsid w:val="006900D9"/>
    <w:rsid w:val="00706C16"/>
    <w:rsid w:val="007340C3"/>
    <w:rsid w:val="0075235A"/>
    <w:rsid w:val="007523A4"/>
    <w:rsid w:val="00756841"/>
    <w:rsid w:val="007649AB"/>
    <w:rsid w:val="00770FFD"/>
    <w:rsid w:val="00771D0C"/>
    <w:rsid w:val="007833AC"/>
    <w:rsid w:val="007B268C"/>
    <w:rsid w:val="007B7171"/>
    <w:rsid w:val="007C0C0F"/>
    <w:rsid w:val="007C3DC2"/>
    <w:rsid w:val="007D7E95"/>
    <w:rsid w:val="007E5497"/>
    <w:rsid w:val="00806F5F"/>
    <w:rsid w:val="0081737B"/>
    <w:rsid w:val="00820278"/>
    <w:rsid w:val="008258C9"/>
    <w:rsid w:val="00844AE9"/>
    <w:rsid w:val="00867F95"/>
    <w:rsid w:val="008843B6"/>
    <w:rsid w:val="00891928"/>
    <w:rsid w:val="008A446D"/>
    <w:rsid w:val="008B25F1"/>
    <w:rsid w:val="008D180B"/>
    <w:rsid w:val="008D5029"/>
    <w:rsid w:val="008F0EA7"/>
    <w:rsid w:val="00923EEF"/>
    <w:rsid w:val="0094130D"/>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70721"/>
    <w:rsid w:val="00A763F3"/>
    <w:rsid w:val="00AB0ADB"/>
    <w:rsid w:val="00AF7999"/>
    <w:rsid w:val="00B00C0E"/>
    <w:rsid w:val="00B01B1A"/>
    <w:rsid w:val="00B0381D"/>
    <w:rsid w:val="00B44A47"/>
    <w:rsid w:val="00B64856"/>
    <w:rsid w:val="00B72CD3"/>
    <w:rsid w:val="00B72FFF"/>
    <w:rsid w:val="00BB0E9D"/>
    <w:rsid w:val="00BC3D36"/>
    <w:rsid w:val="00BD54A6"/>
    <w:rsid w:val="00BD7F72"/>
    <w:rsid w:val="00BF7425"/>
    <w:rsid w:val="00C02C0C"/>
    <w:rsid w:val="00C04FB3"/>
    <w:rsid w:val="00C11D8B"/>
    <w:rsid w:val="00C15139"/>
    <w:rsid w:val="00C330EB"/>
    <w:rsid w:val="00C50D69"/>
    <w:rsid w:val="00C5365C"/>
    <w:rsid w:val="00C754BE"/>
    <w:rsid w:val="00C76B1C"/>
    <w:rsid w:val="00C925AC"/>
    <w:rsid w:val="00CB6357"/>
    <w:rsid w:val="00CC1B26"/>
    <w:rsid w:val="00CD471B"/>
    <w:rsid w:val="00D241FB"/>
    <w:rsid w:val="00D361FD"/>
    <w:rsid w:val="00D423A2"/>
    <w:rsid w:val="00D44E26"/>
    <w:rsid w:val="00D520D8"/>
    <w:rsid w:val="00D63AC2"/>
    <w:rsid w:val="00D7383B"/>
    <w:rsid w:val="00D7788A"/>
    <w:rsid w:val="00D81008"/>
    <w:rsid w:val="00DA231B"/>
    <w:rsid w:val="00DC39FC"/>
    <w:rsid w:val="00DF5254"/>
    <w:rsid w:val="00E02524"/>
    <w:rsid w:val="00E16408"/>
    <w:rsid w:val="00E20894"/>
    <w:rsid w:val="00E245AB"/>
    <w:rsid w:val="00E2764C"/>
    <w:rsid w:val="00E27F2E"/>
    <w:rsid w:val="00E460BA"/>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C45D9"/>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D241FB"/>
    <w:rPr>
      <w:rFonts w:ascii="Geomanist Light" w:hAnsi="Geomanist Light"/>
      <w:lang w:val="es-ES"/>
    </w:rPr>
  </w:style>
  <w:style w:type="paragraph" w:customStyle="1" w:styleId="Appelnotedebasde">
    <w:name w:val="Appel note de bas de..."/>
    <w:basedOn w:val="Normal"/>
    <w:link w:val="Refdenotaalpie"/>
    <w:uiPriority w:val="99"/>
    <w:rsid w:val="00D241FB"/>
    <w:pPr>
      <w:spacing w:line="240" w:lineRule="exact"/>
    </w:pPr>
    <w:rPr>
      <w:vertAlign w:val="superscript"/>
    </w:rPr>
  </w:style>
  <w:style w:type="character" w:customStyle="1" w:styleId="NormalWebCar">
    <w:name w:val="Normal (Web) Car"/>
    <w:link w:val="NormalWeb"/>
    <w:uiPriority w:val="99"/>
    <w:rsid w:val="00D241FB"/>
    <w:rPr>
      <w:rFonts w:ascii="Times New Roman" w:eastAsia="Times New Roman" w:hAnsi="Times New Roman" w:cs="Times New Roman"/>
      <w:sz w:val="24"/>
      <w:szCs w:val="24"/>
      <w:lang w:eastAsia="es-CO"/>
    </w:rPr>
  </w:style>
  <w:style w:type="character" w:customStyle="1" w:styleId="baj">
    <w:name w:val="b_aj"/>
    <w:basedOn w:val="Fuentedeprrafopredeter"/>
    <w:rsid w:val="00D241FB"/>
  </w:style>
  <w:style w:type="table" w:customStyle="1" w:styleId="Tablaconcuadrcula1">
    <w:name w:val="Tabla con cuadrícula1"/>
    <w:basedOn w:val="Tablanormal"/>
    <w:next w:val="Tablaconcuadrcula"/>
    <w:uiPriority w:val="39"/>
    <w:qFormat/>
    <w:rsid w:val="00D241FB"/>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ridico@tulua.gov.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base-conocimiento/gestion-contractual-envio-del-contrato-secop-ii" TargetMode="External"/><Relationship Id="rId2" Type="http://schemas.openxmlformats.org/officeDocument/2006/relationships/hyperlink" Target="https://www.colombiacompra.gov.co/node/23710" TargetMode="External"/><Relationship Id="rId1" Type="http://schemas.openxmlformats.org/officeDocument/2006/relationships/hyperlink" Target="https://www.colombiacompra.gov.co/base-conocimiento/gestion-contractual-envio-del-contrato-secop-ii" TargetMode="External"/><Relationship Id="rId4" Type="http://schemas.openxmlformats.org/officeDocument/2006/relationships/hyperlink" Target="https://www.colombiacompra.gov.co/base-conocimiento/configuracion-de-cuentas-secop-i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5BB847CA-B959-4DE8-92B7-4FA73597F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TotalTime>
  <Pages>37</Pages>
  <Words>12482</Words>
  <Characters>68653</Characters>
  <Application>Microsoft Office Word</Application>
  <DocSecurity>0</DocSecurity>
  <Lines>572</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cp:revision>
  <cp:lastPrinted>2023-01-10T21:18:00Z</cp:lastPrinted>
  <dcterms:created xsi:type="dcterms:W3CDTF">2026-07-22T16:25:00Z</dcterms:created>
  <dcterms:modified xsi:type="dcterms:W3CDTF">2026-07-22T22:41:00Z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