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CB59E" w14:textId="344386F9" w:rsidR="00101BC7" w:rsidRDefault="00995F0C" w:rsidP="00995F0C">
      <w:pPr>
        <w:rPr>
          <w:rFonts w:ascii="Verdana" w:eastAsia="Calibri" w:hAnsi="Verdana" w:cs="Arial"/>
          <w:b/>
          <w:bCs/>
          <w:color w:val="000000" w:themeColor="text1"/>
          <w:lang w:eastAsia="es-ES"/>
        </w:rPr>
      </w:pPr>
      <w:bookmarkStart w:id="0" w:name="_Hlk143780582"/>
      <w:r w:rsidRPr="003672B9">
        <w:rPr>
          <w:rFonts w:ascii="Verdana" w:eastAsia="Calibri" w:hAnsi="Verdana" w:cs="Arial"/>
          <w:b/>
          <w:bCs/>
          <w:color w:val="000000" w:themeColor="text1"/>
          <w:lang w:eastAsia="es-ES"/>
        </w:rPr>
        <w:t>C</w:t>
      </w:r>
      <w:r w:rsidR="00087675" w:rsidRPr="003672B9">
        <w:rPr>
          <w:rFonts w:ascii="Verdana" w:eastAsia="Calibri" w:hAnsi="Verdana" w:cs="Arial"/>
          <w:b/>
          <w:bCs/>
          <w:color w:val="000000" w:themeColor="text1"/>
          <w:lang w:eastAsia="es-ES"/>
        </w:rPr>
        <w:t>ONTRATO DE OBRA – Definición – Entrega por tramos</w:t>
      </w:r>
    </w:p>
    <w:p w14:paraId="00BFA339" w14:textId="1DBB6355" w:rsidR="00C33517" w:rsidRPr="00C33517" w:rsidRDefault="00C33517" w:rsidP="00C33517">
      <w:pPr>
        <w:widowControl w:val="0"/>
        <w:autoSpaceDE w:val="0"/>
        <w:autoSpaceDN w:val="0"/>
        <w:spacing w:after="120" w:line="240" w:lineRule="auto"/>
        <w:jc w:val="both"/>
        <w:rPr>
          <w:rFonts w:ascii="Verdana" w:eastAsia="Calibri" w:hAnsi="Verdana" w:cs="Arial"/>
          <w:color w:val="000000"/>
          <w:sz w:val="20"/>
          <w:szCs w:val="20"/>
          <w:lang w:val="es-ES_tradnl" w:eastAsia="es-ES" w:bidi="es-ES"/>
        </w:rPr>
      </w:pPr>
      <w:r w:rsidRPr="00C33517">
        <w:rPr>
          <w:rFonts w:ascii="Verdana" w:eastAsia="Calibri" w:hAnsi="Verdana" w:cs="Arial"/>
          <w:color w:val="000000"/>
          <w:sz w:val="20"/>
          <w:szCs w:val="20"/>
          <w:lang w:val="es-ES_tradnl" w:eastAsia="es-ES" w:bidi="es-ES"/>
        </w:rPr>
        <w:t xml:space="preserve">[…] </w:t>
      </w:r>
      <w:r w:rsidRPr="00C33517">
        <w:rPr>
          <w:rFonts w:ascii="Verdana" w:eastAsia="Calibri" w:hAnsi="Verdana" w:cs="Arial"/>
          <w:color w:val="000000"/>
          <w:sz w:val="20"/>
          <w:szCs w:val="20"/>
          <w:lang w:val="es-ES_tradnl" w:eastAsia="es-ES" w:bidi="es-ES"/>
        </w:rPr>
        <w:t>el contrato de obra pública no se limita a la construcción de inmuebles, pues la definición se extiende a las actividades de mantenimiento e instalación, lo cual supone un bien preexistente. Para la Real Academia Española “construir” significa fabricar, erigir, edificar y hacer de nueva planta una cosa; en tanto que “mantener” significa conservar una cosa en su ser, darle vigor y permanencia; y, finalmente, “instalar” es poner o colocar algo en su lugar debido. Igualmente, el concepto se extiende a cualquier trabajo material realizado sobre bienes inmuebles, tales como la reforma y la demolición.</w:t>
      </w:r>
    </w:p>
    <w:p w14:paraId="030A2F7D" w14:textId="77777777" w:rsidR="00F53289" w:rsidRDefault="00C33517" w:rsidP="00F53289">
      <w:pPr>
        <w:widowControl w:val="0"/>
        <w:autoSpaceDE w:val="0"/>
        <w:autoSpaceDN w:val="0"/>
        <w:spacing w:after="0" w:line="240" w:lineRule="auto"/>
        <w:jc w:val="both"/>
        <w:rPr>
          <w:rFonts w:ascii="Verdana" w:eastAsia="Calibri" w:hAnsi="Verdana" w:cs="Arial"/>
          <w:color w:val="000000" w:themeColor="text1"/>
          <w:sz w:val="20"/>
          <w:szCs w:val="20"/>
          <w:lang w:val="es-ES" w:eastAsia="es-ES" w:bidi="es-ES"/>
        </w:rPr>
      </w:pPr>
      <w:r w:rsidRPr="00C33517">
        <w:rPr>
          <w:rFonts w:ascii="Verdana" w:eastAsia="Calibri" w:hAnsi="Verdana" w:cs="Arial"/>
          <w:color w:val="000000" w:themeColor="text1"/>
          <w:sz w:val="20"/>
          <w:szCs w:val="20"/>
          <w:lang w:val="es-ES" w:eastAsia="es-ES" w:bidi="es-ES"/>
        </w:rPr>
        <w:t xml:space="preserve">En consecuencia, al margen de la nominación asignada por las partes, cualquier negocio jurídico que implique un trabajo material sobre bienes inmuebles a favor de una entidad pública, tiene la naturaleza jurídica de una obra pública. Como este contrato tiene carácter bilateral y oneroso, en los términos del inciso primero del artículo 41 del </w:t>
      </w:r>
      <w:r w:rsidRPr="00C33517">
        <w:rPr>
          <w:rFonts w:ascii="Verdana" w:eastAsia="Calibri" w:hAnsi="Verdana" w:cs="Arial"/>
          <w:color w:val="000000" w:themeColor="text1"/>
          <w:sz w:val="20"/>
          <w:szCs w:val="20"/>
          <w:lang w:val="es-ES_tradnl" w:eastAsia="es-ES_tradnl"/>
        </w:rPr>
        <w:t>Estatuto General de Contratación de la Administración Pública</w:t>
      </w:r>
      <w:r w:rsidRPr="00C33517">
        <w:rPr>
          <w:rFonts w:ascii="Verdana" w:eastAsia="Calibri" w:hAnsi="Verdana" w:cs="Arial"/>
          <w:color w:val="000000" w:themeColor="text1"/>
          <w:sz w:val="20"/>
          <w:szCs w:val="20"/>
          <w:lang w:val="es-ES" w:eastAsia="es-ES" w:bidi="es-ES"/>
        </w:rPr>
        <w:t xml:space="preserve">, las obligaciones básicas dependen del acuerdo sobre el inmueble objeto de construcción, mantenimiento, instalación, reforma o demolición, por un lado, y la remuneración del contratista de acuerdo con la forma de ejecución, por el otro. </w:t>
      </w:r>
    </w:p>
    <w:p w14:paraId="7F66B71F" w14:textId="74D0A300" w:rsidR="00101BC7" w:rsidRPr="00F53289" w:rsidRDefault="00087675" w:rsidP="00F53289">
      <w:pPr>
        <w:widowControl w:val="0"/>
        <w:autoSpaceDE w:val="0"/>
        <w:autoSpaceDN w:val="0"/>
        <w:spacing w:before="240" w:line="240" w:lineRule="auto"/>
        <w:jc w:val="both"/>
        <w:rPr>
          <w:rFonts w:ascii="Verdana" w:eastAsia="Calibri" w:hAnsi="Verdana" w:cs="Arial"/>
          <w:color w:val="000000" w:themeColor="text1"/>
          <w:sz w:val="20"/>
          <w:szCs w:val="20"/>
          <w:lang w:val="es-ES" w:eastAsia="es-ES" w:bidi="es-ES"/>
        </w:rPr>
      </w:pPr>
      <w:r w:rsidRPr="003672B9">
        <w:rPr>
          <w:rFonts w:ascii="Verdana" w:eastAsia="Calibri" w:hAnsi="Verdana" w:cs="Arial"/>
          <w:b/>
          <w:bCs/>
          <w:color w:val="000000" w:themeColor="text1"/>
          <w:lang w:eastAsia="es-ES"/>
        </w:rPr>
        <w:t>GARANTÍA DE CUMPLIMIENTO – Amparos – Finalidad</w:t>
      </w:r>
    </w:p>
    <w:p w14:paraId="4D3D9217" w14:textId="4A35824A" w:rsidR="00673BE1" w:rsidRPr="00673BE1" w:rsidRDefault="00673BE1" w:rsidP="00673BE1">
      <w:pPr>
        <w:spacing w:after="120" w:line="240" w:lineRule="auto"/>
        <w:jc w:val="both"/>
        <w:rPr>
          <w:rFonts w:ascii="Verdana" w:eastAsia="Times New Roman" w:hAnsi="Verdana" w:cs="Arial"/>
          <w:color w:val="000000" w:themeColor="text1"/>
          <w:sz w:val="20"/>
          <w:szCs w:val="20"/>
          <w:lang w:eastAsia="es-CO"/>
        </w:rPr>
      </w:pPr>
      <w:r w:rsidRPr="00673BE1">
        <w:rPr>
          <w:rFonts w:ascii="Verdana" w:hAnsi="Verdana" w:cs="Arial"/>
          <w:color w:val="000000" w:themeColor="text1"/>
          <w:sz w:val="20"/>
          <w:szCs w:val="20"/>
        </w:rPr>
        <w:t xml:space="preserve">El artículo 2.2.1.3.1.7 del Decreto 1082 de 2015 señala que </w:t>
      </w:r>
      <w:r w:rsidRPr="00673BE1">
        <w:rPr>
          <w:rFonts w:ascii="Verdana" w:hAnsi="Verdana" w:cs="Arial"/>
          <w:i/>
          <w:iCs/>
          <w:color w:val="000000" w:themeColor="text1"/>
          <w:sz w:val="20"/>
          <w:szCs w:val="20"/>
        </w:rPr>
        <w:t>la garantía de cumplimiento</w:t>
      </w:r>
      <w:r w:rsidRPr="00673BE1">
        <w:rPr>
          <w:rFonts w:ascii="Verdana" w:hAnsi="Verdana" w:cs="Arial"/>
          <w:color w:val="000000" w:themeColor="text1"/>
          <w:sz w:val="20"/>
          <w:szCs w:val="20"/>
        </w:rPr>
        <w:t xml:space="preserve"> </w:t>
      </w:r>
      <w:r w:rsidRPr="00673BE1">
        <w:rPr>
          <w:rFonts w:ascii="Verdana" w:eastAsia="Calibri" w:hAnsi="Verdana" w:cs="Arial"/>
          <w:bCs/>
          <w:color w:val="000000" w:themeColor="text1"/>
          <w:sz w:val="20"/>
          <w:szCs w:val="20"/>
          <w:lang w:val="es-ES_tradnl"/>
        </w:rPr>
        <w:t xml:space="preserve">cuenta con varios </w:t>
      </w:r>
      <w:r w:rsidRPr="00673BE1">
        <w:rPr>
          <w:rFonts w:ascii="Verdana" w:eastAsia="Calibri" w:hAnsi="Verdana" w:cs="Arial"/>
          <w:bCs/>
          <w:i/>
          <w:iCs/>
          <w:color w:val="000000" w:themeColor="text1"/>
          <w:sz w:val="20"/>
          <w:szCs w:val="20"/>
          <w:lang w:val="es-ES_tradnl"/>
        </w:rPr>
        <w:t>amparos</w:t>
      </w:r>
      <w:r w:rsidRPr="00673BE1">
        <w:rPr>
          <w:rFonts w:ascii="Verdana" w:eastAsia="Calibri" w:hAnsi="Verdana" w:cs="Arial"/>
          <w:bCs/>
          <w:color w:val="000000" w:themeColor="text1"/>
          <w:sz w:val="20"/>
          <w:szCs w:val="20"/>
          <w:lang w:val="es-ES_tradnl"/>
        </w:rPr>
        <w:t xml:space="preserve"> que cubren: el de buen manejo y correcta inversión del anticipo; la devolución del pago anticipado; el amparo de cumplimiento del contrato; la garantía de pago de salarios, prestaciones sociales legales e indemnizaciones laborales; </w:t>
      </w:r>
      <w:r w:rsidRPr="00673BE1">
        <w:rPr>
          <w:rFonts w:ascii="Verdana" w:eastAsia="Calibri" w:hAnsi="Verdana" w:cs="Arial"/>
          <w:bCs/>
          <w:i/>
          <w:iCs/>
          <w:color w:val="000000" w:themeColor="text1"/>
          <w:sz w:val="20"/>
          <w:szCs w:val="20"/>
          <w:lang w:val="es-ES_tradnl"/>
        </w:rPr>
        <w:t>la estabilidad y calidad de la obra</w:t>
      </w:r>
      <w:r w:rsidRPr="00673BE1">
        <w:rPr>
          <w:rFonts w:ascii="Verdana" w:eastAsia="Calibri" w:hAnsi="Verdana" w:cs="Arial"/>
          <w:bCs/>
          <w:color w:val="000000" w:themeColor="text1"/>
          <w:sz w:val="20"/>
          <w:szCs w:val="20"/>
          <w:lang w:val="es-ES_tradnl"/>
        </w:rPr>
        <w:t xml:space="preserve">, y </w:t>
      </w:r>
      <w:r w:rsidRPr="00673BE1">
        <w:rPr>
          <w:rFonts w:ascii="Verdana" w:eastAsia="Times New Roman" w:hAnsi="Verdana" w:cs="Arial"/>
          <w:color w:val="000000" w:themeColor="text1"/>
          <w:sz w:val="20"/>
          <w:szCs w:val="20"/>
          <w:lang w:eastAsia="es-CO"/>
        </w:rPr>
        <w:t>los demás incumplimientos de las obligaciones que la entidad estatal considere deben ser amparado</w:t>
      </w:r>
      <w:r w:rsidRPr="00673BE1">
        <w:rPr>
          <w:rFonts w:ascii="Verdana" w:eastAsia="Times New Roman" w:hAnsi="Verdana" w:cs="Arial"/>
          <w:color w:val="000000" w:themeColor="text1"/>
          <w:sz w:val="20"/>
          <w:szCs w:val="20"/>
          <w:lang w:eastAsia="es-CO"/>
        </w:rPr>
        <w:t>s.</w:t>
      </w:r>
      <w:r w:rsidRPr="00673BE1">
        <w:rPr>
          <w:rFonts w:ascii="Verdana" w:eastAsia="Times New Roman" w:hAnsi="Verdana" w:cs="Arial"/>
          <w:color w:val="000000" w:themeColor="text1"/>
          <w:sz w:val="20"/>
          <w:szCs w:val="20"/>
          <w:lang w:eastAsia="es-CO"/>
        </w:rPr>
        <w:t xml:space="preserve"> Esto, además de la póliza de responsabilidad civil extracontractual que es procedente en los contratos de obra, así como en aquellos en que por su objeto o naturaleza se considere necesario con ocasión de los riesgos previstos en el negocio, de acuerdo con el artículo 2.2.1.2.3.1.8</w:t>
      </w:r>
      <w:r w:rsidRPr="00673BE1">
        <w:rPr>
          <w:rFonts w:ascii="Verdana" w:eastAsia="Times New Roman" w:hAnsi="Verdana" w:cs="Arial"/>
          <w:i/>
          <w:iCs/>
          <w:color w:val="000000" w:themeColor="text1"/>
          <w:sz w:val="20"/>
          <w:szCs w:val="20"/>
          <w:lang w:eastAsia="es-CO"/>
        </w:rPr>
        <w:t xml:space="preserve"> </w:t>
      </w:r>
      <w:r w:rsidRPr="00673BE1">
        <w:rPr>
          <w:rFonts w:ascii="Verdana" w:eastAsia="Times New Roman" w:hAnsi="Verdana" w:cs="Arial"/>
          <w:color w:val="000000" w:themeColor="text1"/>
          <w:sz w:val="20"/>
          <w:szCs w:val="20"/>
          <w:lang w:eastAsia="es-CO"/>
        </w:rPr>
        <w:t>del Decreto 1082 de 2015.</w:t>
      </w:r>
    </w:p>
    <w:p w14:paraId="4E1A6568" w14:textId="77777777" w:rsidR="00673BE1" w:rsidRPr="00F53289" w:rsidRDefault="00673BE1" w:rsidP="00F53289">
      <w:pPr>
        <w:widowControl w:val="0"/>
        <w:autoSpaceDE w:val="0"/>
        <w:autoSpaceDN w:val="0"/>
        <w:spacing w:line="240" w:lineRule="auto"/>
        <w:jc w:val="both"/>
        <w:rPr>
          <w:rFonts w:ascii="Verdana" w:eastAsia="Calibri" w:hAnsi="Verdana" w:cs="Arial"/>
          <w:color w:val="000000" w:themeColor="text1"/>
          <w:sz w:val="20"/>
          <w:szCs w:val="20"/>
          <w:lang w:val="es-ES" w:eastAsia="es-ES" w:bidi="es-ES"/>
        </w:rPr>
      </w:pPr>
      <w:r w:rsidRPr="00673BE1">
        <w:rPr>
          <w:rFonts w:ascii="Verdana" w:eastAsia="Times New Roman" w:hAnsi="Verdana" w:cs="Arial"/>
          <w:color w:val="000000" w:themeColor="text1"/>
          <w:sz w:val="20"/>
          <w:szCs w:val="20"/>
          <w:lang w:eastAsia="es-CO"/>
        </w:rPr>
        <w:t xml:space="preserve">Como se observa, la garantía de cumplimiento es única y su amparo de estabilidad y calidad de la obra cubre la ocurrencia de los vicios, mala calidad, defectos, deficiencias técnicas o fallas que la Administración no detecte al momento de recibir la obra o que descubra con posterioridad a la liquidación del contrato, afectando el cumplimiento de los objetivos que animaron la suscripción. En efecto, el amparo respalda estos riesgos frente a la totalidad del objeto contractual, el cual podrá incluir distintas actividades relacionadas con la obra pública. De esta forma, la entidad exige la constitución de un amparo cuya suficiencia y valor respalda la estabilidad y calidad toda la obra pública que </w:t>
      </w:r>
      <w:r w:rsidRPr="00F53289">
        <w:rPr>
          <w:rFonts w:ascii="Verdana" w:eastAsia="Calibri" w:hAnsi="Verdana" w:cs="Arial"/>
          <w:color w:val="000000" w:themeColor="text1"/>
          <w:sz w:val="20"/>
          <w:szCs w:val="20"/>
          <w:lang w:val="es-ES" w:eastAsia="es-ES" w:bidi="es-ES"/>
        </w:rPr>
        <w:t>es objeto de contratación, de modo que no resulta adecuado dividir la suficiencia del amparo según las actividades a ejecutar.</w:t>
      </w:r>
    </w:p>
    <w:p w14:paraId="2D9ACBAF" w14:textId="290E5836" w:rsidR="00C514BC" w:rsidRPr="00F53289" w:rsidRDefault="00087675" w:rsidP="00F53289">
      <w:pPr>
        <w:widowControl w:val="0"/>
        <w:autoSpaceDE w:val="0"/>
        <w:autoSpaceDN w:val="0"/>
        <w:spacing w:line="240" w:lineRule="auto"/>
        <w:jc w:val="both"/>
        <w:rPr>
          <w:rFonts w:ascii="Verdana" w:eastAsia="Calibri" w:hAnsi="Verdana" w:cs="Arial"/>
          <w:b/>
          <w:bCs/>
          <w:color w:val="000000" w:themeColor="text1"/>
          <w:lang w:val="es-ES" w:eastAsia="es-ES" w:bidi="es-ES"/>
        </w:rPr>
      </w:pPr>
      <w:r w:rsidRPr="00F53289">
        <w:rPr>
          <w:rFonts w:ascii="Verdana" w:eastAsia="Calibri" w:hAnsi="Verdana" w:cs="Arial"/>
          <w:b/>
          <w:bCs/>
          <w:color w:val="000000" w:themeColor="text1"/>
          <w:lang w:val="es-ES" w:eastAsia="es-ES" w:bidi="es-ES"/>
        </w:rPr>
        <w:t>ESTABILIDAD Y CALIDAD DE LA OBRA – finalidad – Indivisibilidad de la suficiencia</w:t>
      </w:r>
    </w:p>
    <w:p w14:paraId="655083D8" w14:textId="289FB5B5" w:rsidR="003D2F46" w:rsidRPr="003D2F46" w:rsidRDefault="003D2F46" w:rsidP="00F53289">
      <w:pPr>
        <w:widowControl w:val="0"/>
        <w:autoSpaceDE w:val="0"/>
        <w:autoSpaceDN w:val="0"/>
        <w:spacing w:after="0" w:line="240" w:lineRule="auto"/>
        <w:jc w:val="both"/>
        <w:rPr>
          <w:rFonts w:ascii="Verdana" w:eastAsia="Times New Roman" w:hAnsi="Verdana" w:cs="Arial"/>
          <w:color w:val="000000" w:themeColor="text1"/>
          <w:sz w:val="20"/>
          <w:szCs w:val="20"/>
          <w:lang w:eastAsia="es-CO"/>
        </w:rPr>
      </w:pPr>
      <w:r w:rsidRPr="00F53289">
        <w:rPr>
          <w:rFonts w:ascii="Verdana" w:eastAsia="Calibri" w:hAnsi="Verdana" w:cs="Arial"/>
          <w:color w:val="000000" w:themeColor="text1"/>
          <w:sz w:val="20"/>
          <w:szCs w:val="20"/>
          <w:lang w:val="es-ES" w:eastAsia="es-ES" w:bidi="es-ES"/>
        </w:rPr>
        <w:t xml:space="preserve">[…] </w:t>
      </w:r>
      <w:r w:rsidRPr="00F53289">
        <w:rPr>
          <w:rFonts w:ascii="Verdana" w:eastAsia="Calibri" w:hAnsi="Verdana" w:cs="Arial"/>
          <w:color w:val="000000" w:themeColor="text1"/>
          <w:sz w:val="20"/>
          <w:szCs w:val="20"/>
          <w:lang w:val="es-ES" w:eastAsia="es-ES" w:bidi="es-ES"/>
        </w:rPr>
        <w:t xml:space="preserve">la garantía de cumplimiento es única y su amparo de estabilidad y calidad de la obra cubre la ocurrencia de los vicios, mala calidad, defectos, deficiencias técnicas o fallas </w:t>
      </w:r>
      <w:r w:rsidRPr="00F53289">
        <w:rPr>
          <w:rFonts w:ascii="Verdana" w:eastAsia="Calibri" w:hAnsi="Verdana" w:cs="Arial"/>
          <w:color w:val="000000" w:themeColor="text1"/>
          <w:sz w:val="20"/>
          <w:szCs w:val="20"/>
          <w:lang w:val="es-ES" w:eastAsia="es-ES" w:bidi="es-ES"/>
        </w:rPr>
        <w:lastRenderedPageBreak/>
        <w:t>que</w:t>
      </w:r>
      <w:r w:rsidRPr="003D2F46">
        <w:rPr>
          <w:rFonts w:ascii="Verdana" w:eastAsia="Times New Roman" w:hAnsi="Verdana" w:cs="Arial"/>
          <w:color w:val="000000" w:themeColor="text1"/>
          <w:sz w:val="20"/>
          <w:szCs w:val="20"/>
          <w:lang w:eastAsia="es-CO"/>
        </w:rPr>
        <w:t xml:space="preserve"> la Administración no detecte al momento de recibir la obra o que descubra con posterioridad a la liquidación del contrato, afectando el cumplimiento de los objetivos que animaron la suscripción. En efecto, el amparo respalda estos riesgos frente a la totalidad del objeto contractual, el cual podrá incluir distintas actividades relacionadas con la obra pública. De esta forma, la entidad exige la constitución de un amparo cuya suficiencia y valor respalda la estabilidad y calidad toda la obra pública que es objeto de contratación, de modo que no resulta adecuado dividir la suficiencia del amparo según las actividades a ejecutar.</w:t>
      </w:r>
    </w:p>
    <w:p w14:paraId="563C608A" w14:textId="120ABB32" w:rsidR="003D2F46" w:rsidRDefault="003D2F46" w:rsidP="003D2F46">
      <w:pPr>
        <w:spacing w:line="240" w:lineRule="auto"/>
        <w:jc w:val="both"/>
        <w:rPr>
          <w:rFonts w:ascii="Verdana" w:eastAsia="Times New Roman" w:hAnsi="Verdana" w:cs="Arial"/>
          <w:color w:val="000000" w:themeColor="text1"/>
          <w:sz w:val="20"/>
          <w:szCs w:val="20"/>
          <w:lang w:eastAsia="es-CO"/>
        </w:rPr>
      </w:pPr>
      <w:r w:rsidRPr="003D2F46">
        <w:rPr>
          <w:rFonts w:ascii="Verdana" w:eastAsia="Times New Roman" w:hAnsi="Verdana" w:cs="Arial"/>
          <w:color w:val="000000" w:themeColor="text1"/>
          <w:sz w:val="20"/>
          <w:szCs w:val="20"/>
          <w:lang w:eastAsia="es-CO"/>
        </w:rPr>
        <w:t xml:space="preserve">Por su parte, el artículo 2.2.1.2.3.1.14 del Decreto 1082 de 2015 –después de la modificación del artículo 3 del Decreto 399 de 2021– establece la suficiencia del </w:t>
      </w:r>
      <w:r w:rsidRPr="003D2F46">
        <w:rPr>
          <w:rFonts w:ascii="Verdana" w:eastAsia="Times New Roman" w:hAnsi="Verdana" w:cs="Arial"/>
          <w:i/>
          <w:iCs/>
          <w:color w:val="000000" w:themeColor="text1"/>
          <w:sz w:val="20"/>
          <w:szCs w:val="20"/>
          <w:lang w:eastAsia="es-CO"/>
        </w:rPr>
        <w:t>amparo de estabilidad y calidad de la obra</w:t>
      </w:r>
      <w:r w:rsidRPr="003D2F46">
        <w:rPr>
          <w:rFonts w:ascii="Verdana" w:eastAsia="Times New Roman" w:hAnsi="Verdana" w:cs="Arial"/>
          <w:color w:val="000000" w:themeColor="text1"/>
          <w:sz w:val="20"/>
          <w:szCs w:val="20"/>
          <w:lang w:eastAsia="es-CO"/>
        </w:rPr>
        <w:t>. Para efectos de la vigencia y el monto, el inciso primero dispone que debe estar vigente por un término no inferior a cinco (5) años contados a partir de la fecha en la cual la Entidad Estatal recibe a satisfacción la obra. La Entidad Estatal debe determinar el valor asegurado de esta garantía en los documentos del proceso, de acuerdo con el objeto, la cuantía, la naturaleza y las obligaciones contenidas en el contrato a celebrar</w:t>
      </w:r>
      <w:r w:rsidRPr="003D2F46">
        <w:rPr>
          <w:rFonts w:ascii="Verdana" w:eastAsia="Times New Roman" w:hAnsi="Verdana" w:cs="Arial"/>
          <w:color w:val="000000" w:themeColor="text1"/>
          <w:sz w:val="20"/>
          <w:szCs w:val="20"/>
          <w:lang w:eastAsia="es-CO"/>
        </w:rPr>
        <w:t>.</w:t>
      </w:r>
    </w:p>
    <w:p w14:paraId="0BE1FAA4" w14:textId="141397E3" w:rsidR="00D20523" w:rsidRDefault="00AB38D4" w:rsidP="003D2F46">
      <w:pPr>
        <w:spacing w:line="240" w:lineRule="auto"/>
        <w:jc w:val="both"/>
        <w:rPr>
          <w:rFonts w:ascii="Verdana" w:eastAsia="Times New Roman" w:hAnsi="Verdana" w:cs="Arial"/>
          <w:color w:val="000000" w:themeColor="text1"/>
          <w:sz w:val="20"/>
          <w:szCs w:val="20"/>
          <w:lang w:eastAsia="es-CO"/>
        </w:rPr>
      </w:pPr>
      <w:r>
        <w:rPr>
          <w:rFonts w:ascii="Verdana" w:eastAsia="Times New Roman" w:hAnsi="Verdana" w:cs="Arial"/>
          <w:color w:val="000000" w:themeColor="text1"/>
          <w:sz w:val="20"/>
          <w:szCs w:val="20"/>
          <w:lang w:eastAsia="es-CO"/>
        </w:rPr>
        <w:t>[…]</w:t>
      </w:r>
    </w:p>
    <w:p w14:paraId="3036FED5" w14:textId="77777777" w:rsidR="00AB38D4" w:rsidRPr="00AB38D4" w:rsidRDefault="00AB38D4" w:rsidP="00AB38D4">
      <w:pPr>
        <w:spacing w:after="120" w:line="240" w:lineRule="auto"/>
        <w:jc w:val="both"/>
        <w:rPr>
          <w:rFonts w:ascii="Verdana" w:eastAsia="Times New Roman" w:hAnsi="Verdana" w:cs="Arial"/>
          <w:color w:val="000000" w:themeColor="text1"/>
          <w:sz w:val="20"/>
          <w:szCs w:val="20"/>
          <w:lang w:eastAsia="es-CO"/>
        </w:rPr>
      </w:pPr>
      <w:r w:rsidRPr="00AB38D4">
        <w:rPr>
          <w:rFonts w:ascii="Verdana" w:eastAsia="Times New Roman" w:hAnsi="Verdana" w:cs="Arial"/>
          <w:color w:val="000000" w:themeColor="text1"/>
          <w:sz w:val="20"/>
          <w:szCs w:val="20"/>
          <w:lang w:eastAsia="es-CO"/>
        </w:rPr>
        <w:t xml:space="preserve">[…] </w:t>
      </w:r>
      <w:r w:rsidRPr="00AB38D4">
        <w:rPr>
          <w:rFonts w:ascii="Verdana" w:hAnsi="Verdana" w:cs="Arial"/>
          <w:color w:val="000000" w:themeColor="text1"/>
          <w:sz w:val="20"/>
          <w:szCs w:val="20"/>
          <w:lang w:val="es-MX"/>
        </w:rPr>
        <w:t>el artículo 2.2.1.2.3.1.3 del Decreto 1082 de 2015 establece que la “garantía de cobertura del riesgo es indivisible”, además de la obligación de los contratantes de establecer en los pliegos de condiciones las garantías exigidas para cada periodo contractual.</w:t>
      </w:r>
    </w:p>
    <w:p w14:paraId="48DAFC15" w14:textId="77777777" w:rsidR="00AB38D4" w:rsidRPr="00AB38D4" w:rsidRDefault="00AB38D4" w:rsidP="00AB38D4">
      <w:pPr>
        <w:spacing w:after="120" w:line="240" w:lineRule="auto"/>
        <w:jc w:val="both"/>
        <w:rPr>
          <w:rStyle w:val="normaltextrun"/>
          <w:rFonts w:ascii="Verdana" w:eastAsia="Times New Roman" w:hAnsi="Verdana" w:cs="Arial"/>
          <w:color w:val="000000" w:themeColor="text1"/>
          <w:sz w:val="20"/>
          <w:szCs w:val="20"/>
          <w:lang w:eastAsia="es-CO"/>
        </w:rPr>
      </w:pPr>
      <w:r w:rsidRPr="00AB38D4">
        <w:rPr>
          <w:rStyle w:val="normaltextrun"/>
          <w:rFonts w:ascii="Verdana" w:hAnsi="Verdana" w:cs="Arial"/>
          <w:color w:val="000000"/>
          <w:sz w:val="20"/>
          <w:szCs w:val="20"/>
        </w:rPr>
        <w:t xml:space="preserve">En relación con esta exigencia es importante mencionar que, por regla general, un contrato estatal debe estar amparado mediante una sola garantía, sin perjuicio de algunas excepciones, como la que se deriva de la norma analizada. En efecto, en los contratos cuyo plazo de ejecución sea mayor a cinco (5) años se podrá dividir la garantía, tal como lo prevé el Decreto 1082 de 2015: “La garantía de cobertura del Riesgo es indivisible. Sin embargo, en los contratos con un plazo mayor a cinco (5) años las garantías pueden cubrir los Riesgos de la Etapa del Contrato o del Periodo Contractual, de acuerdo con lo previsto en el contrato”. </w:t>
      </w:r>
    </w:p>
    <w:p w14:paraId="0AE2E970" w14:textId="314B3772" w:rsidR="00087675" w:rsidRDefault="00087675" w:rsidP="00995F0C">
      <w:pPr>
        <w:rPr>
          <w:rFonts w:ascii="Verdana" w:eastAsia="Calibri" w:hAnsi="Verdana" w:cs="Arial"/>
          <w:b/>
          <w:bCs/>
          <w:lang w:val="es-ES" w:eastAsia="es-ES"/>
        </w:rPr>
      </w:pPr>
      <w:r w:rsidRPr="003672B9">
        <w:rPr>
          <w:rFonts w:ascii="Verdana" w:eastAsia="Calibri" w:hAnsi="Verdana" w:cs="Arial"/>
          <w:b/>
          <w:bCs/>
          <w:lang w:val="es-ES" w:eastAsia="es-ES"/>
        </w:rPr>
        <w:t>GARANTÍA DE ESTABILIDAD Y CALIDAD DE LA OBRA – Suficiencia</w:t>
      </w:r>
    </w:p>
    <w:p w14:paraId="6B2311D4" w14:textId="017ECD47" w:rsidR="00F53289" w:rsidRPr="00F53289" w:rsidRDefault="00F53289" w:rsidP="00F53289">
      <w:pPr>
        <w:spacing w:before="120" w:line="240" w:lineRule="auto"/>
        <w:jc w:val="both"/>
        <w:rPr>
          <w:rFonts w:ascii="Verdana" w:eastAsia="Calibri" w:hAnsi="Verdana" w:cs="Arial"/>
          <w:sz w:val="20"/>
          <w:szCs w:val="20"/>
        </w:rPr>
      </w:pPr>
      <w:r w:rsidRPr="00F53289">
        <w:rPr>
          <w:rFonts w:ascii="Verdana" w:eastAsia="Calibri" w:hAnsi="Verdana" w:cs="Arial"/>
          <w:sz w:val="20"/>
          <w:szCs w:val="20"/>
        </w:rPr>
        <w:t xml:space="preserve">[…] </w:t>
      </w:r>
      <w:r w:rsidRPr="00F53289">
        <w:rPr>
          <w:rFonts w:ascii="Verdana" w:eastAsia="Calibri" w:hAnsi="Verdana" w:cs="Arial"/>
          <w:sz w:val="20"/>
          <w:szCs w:val="20"/>
        </w:rPr>
        <w:t>el artículo 124 del Decreto 1510 de 2013, hoy compilado en el artículo 2.2.1.2.3.1.14 del Decreto 1082 de 2015, dispone que la suficiencia del amparo de estabilidad y calidad de la obra debe ser determinada por la entidad estatal teniendo en cuenta el objeto, el valor, la naturaleza y las obligaciones contenidas en el contrato. Esta disposición evidencia que el régimen reglamentario no supedita la operatividad del amparo a la terminación integral del contrato, sino que exige que la cobertura sea suficiente para garantizar el riesgo cuya protección se pretende asegurar. Así, el criterio determinante para establecer la operatividad del amparo no es la culminación formal del contrato, sino la existencia de una obra respecto de la cual pueda predicarse el riesgo de estabilidad y calidad que el ordenamiento busca proteger.</w:t>
      </w:r>
    </w:p>
    <w:p w14:paraId="3B6FEDCC" w14:textId="77777777" w:rsidR="00F53289" w:rsidRPr="00F53289" w:rsidRDefault="00F53289" w:rsidP="00F53289">
      <w:pPr>
        <w:spacing w:before="120" w:line="240" w:lineRule="auto"/>
        <w:jc w:val="both"/>
        <w:rPr>
          <w:rFonts w:ascii="Verdana" w:eastAsia="Calibri" w:hAnsi="Verdana" w:cs="Arial"/>
          <w:sz w:val="20"/>
          <w:szCs w:val="20"/>
        </w:rPr>
      </w:pPr>
      <w:r w:rsidRPr="00F53289">
        <w:rPr>
          <w:rFonts w:ascii="Verdana" w:eastAsia="Calibri" w:hAnsi="Verdana" w:cs="Arial"/>
          <w:sz w:val="20"/>
          <w:szCs w:val="20"/>
        </w:rPr>
        <w:t xml:space="preserve">Lo anterior adquiere especial relevancia en los contratos de obra pública de larga duración cuya ejecución se desarrolla por etapas, frentes de trabajo o unidades </w:t>
      </w:r>
      <w:r w:rsidRPr="00F53289">
        <w:rPr>
          <w:rFonts w:ascii="Verdana" w:eastAsia="Calibri" w:hAnsi="Verdana" w:cs="Arial"/>
          <w:sz w:val="20"/>
          <w:szCs w:val="20"/>
        </w:rPr>
        <w:lastRenderedPageBreak/>
        <w:t>funcionales susceptibles de ser recibidas definitivamente antes de la culminación del objeto contractual. En estos eventos, una vez la entidad verifica el cumplimiento de las especificaciones técnicas respecto de un determinado tramo y procede a recibirlo definitivamente para su utilización, dicho segmento de la infraestructura entra en operación y queda sometido a las actividades de administración, conservación y mantenimiento ordinario a cargo de la entidad. No obstante, el hecho de que la entidad asuma tales funciones no implica que desaparezca la responsabilidad del contratista frente a los defectos de estabilidad o calidad que puedan manifestarse posteriormente y cuya causa sea atribuible a la ejecución de la obra.</w:t>
      </w:r>
    </w:p>
    <w:p w14:paraId="4208EAC3" w14:textId="77777777" w:rsidR="00F53289" w:rsidRPr="003672B9" w:rsidRDefault="00F53289" w:rsidP="00995F0C">
      <w:pPr>
        <w:rPr>
          <w:rFonts w:ascii="Verdana" w:eastAsia="Verdana" w:hAnsi="Verdana" w:cs="Verdana"/>
          <w:b/>
          <w:bCs/>
        </w:rPr>
      </w:pPr>
    </w:p>
    <w:p w14:paraId="6CC67ADA" w14:textId="77777777" w:rsidR="00995F0C" w:rsidRDefault="00995F0C">
      <w:pPr>
        <w:rPr>
          <w:rFonts w:ascii="Verdana" w:eastAsia="Verdana" w:hAnsi="Verdana" w:cs="Verdana"/>
        </w:rPr>
      </w:pPr>
      <w:r>
        <w:rPr>
          <w:rFonts w:ascii="Verdana" w:eastAsia="Verdana" w:hAnsi="Verdana" w:cs="Verdana"/>
        </w:rPr>
        <w:br w:type="page"/>
      </w:r>
    </w:p>
    <w:p w14:paraId="6B2A58F9" w14:textId="25BA07B5" w:rsidR="001D7B39" w:rsidRPr="0024624F" w:rsidRDefault="007464E3" w:rsidP="001D7B39">
      <w:pPr>
        <w:spacing w:after="0"/>
        <w:rPr>
          <w:rFonts w:ascii="Verdana" w:eastAsia="Verdana" w:hAnsi="Verdana" w:cs="Verdana"/>
        </w:rPr>
      </w:pPr>
      <w:r w:rsidRPr="007464E3">
        <w:rPr>
          <w:rFonts w:ascii="Verdana" w:eastAsia="Verdana" w:hAnsi="Verdana" w:cs="Verdana"/>
        </w:rPr>
        <w:lastRenderedPageBreak/>
        <w:drawing>
          <wp:anchor distT="0" distB="0" distL="114300" distR="114300" simplePos="0" relativeHeight="251659264" behindDoc="1" locked="0" layoutInCell="1" allowOverlap="1" wp14:anchorId="4542771C" wp14:editId="3042269F">
            <wp:simplePos x="0" y="0"/>
            <wp:positionH relativeFrom="margin">
              <wp:posOffset>3181314</wp:posOffset>
            </wp:positionH>
            <wp:positionV relativeFrom="paragraph">
              <wp:posOffset>8854</wp:posOffset>
            </wp:positionV>
            <wp:extent cx="2425974" cy="644315"/>
            <wp:effectExtent l="0" t="0" r="0" b="3810"/>
            <wp:wrapNone/>
            <wp:docPr id="1465972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97292" name=""/>
                    <pic:cNvPicPr/>
                  </pic:nvPicPr>
                  <pic:blipFill>
                    <a:blip r:embed="rId10">
                      <a:extLst>
                        <a:ext uri="{28A0092B-C50C-407E-A947-70E740481C1C}">
                          <a14:useLocalDpi xmlns:a14="http://schemas.microsoft.com/office/drawing/2010/main" val="0"/>
                        </a:ext>
                      </a:extLst>
                    </a:blip>
                    <a:stretch>
                      <a:fillRect/>
                    </a:stretch>
                  </pic:blipFill>
                  <pic:spPr>
                    <a:xfrm>
                      <a:off x="0" y="0"/>
                      <a:ext cx="2450355" cy="650790"/>
                    </a:xfrm>
                    <a:prstGeom prst="rect">
                      <a:avLst/>
                    </a:prstGeom>
                  </pic:spPr>
                </pic:pic>
              </a:graphicData>
            </a:graphic>
            <wp14:sizeRelH relativeFrom="margin">
              <wp14:pctWidth>0</wp14:pctWidth>
            </wp14:sizeRelH>
            <wp14:sizeRelV relativeFrom="margin">
              <wp14:pctHeight>0</wp14:pctHeight>
            </wp14:sizeRelV>
          </wp:anchor>
        </w:drawing>
      </w:r>
      <w:r w:rsidR="00C15139" w:rsidRPr="30821638">
        <w:rPr>
          <w:rFonts w:ascii="Verdana" w:eastAsia="Verdana" w:hAnsi="Verdana" w:cs="Verdana"/>
        </w:rPr>
        <w:t xml:space="preserve">Bogotá D.C., </w:t>
      </w:r>
      <w:r>
        <w:rPr>
          <w:rFonts w:ascii="Verdana" w:eastAsia="Verdana" w:hAnsi="Verdana" w:cs="Verdana"/>
        </w:rPr>
        <w:t>21 Julio 2026</w:t>
      </w:r>
      <w:r w:rsidR="00C15139">
        <w:tab/>
      </w:r>
      <w:r w:rsidR="001D7B39" w:rsidRPr="0074251E">
        <w:rPr>
          <w:rFonts w:ascii="Verdana" w:hAnsi="Verdana"/>
        </w:rPr>
        <w:tab/>
      </w:r>
      <w:r w:rsidR="001D7B39" w:rsidRPr="0074251E">
        <w:rPr>
          <w:rFonts w:ascii="Verdana" w:hAnsi="Verdana"/>
        </w:rPr>
        <w:br/>
      </w:r>
      <w:r w:rsidR="001D7B39" w:rsidRPr="0074251E">
        <w:rPr>
          <w:rFonts w:ascii="Verdana" w:hAnsi="Verdana"/>
        </w:rPr>
        <w:tab/>
      </w:r>
    </w:p>
    <w:p w14:paraId="52A43494" w14:textId="77777777" w:rsidR="001D7B39" w:rsidRPr="00BE636B" w:rsidRDefault="001D7B39" w:rsidP="001D7B39">
      <w:pPr>
        <w:spacing w:after="0" w:line="240" w:lineRule="auto"/>
        <w:rPr>
          <w:rFonts w:ascii="Verdana" w:eastAsia="Calibri" w:hAnsi="Verdana" w:cs="Arial"/>
          <w:lang w:eastAsia="es-ES"/>
        </w:rPr>
      </w:pPr>
      <w:r w:rsidRPr="00F926E2">
        <w:rPr>
          <w:rFonts w:ascii="Verdana" w:eastAsia="Calibri" w:hAnsi="Verdana" w:cs="Arial"/>
          <w:lang w:eastAsia="es-ES"/>
        </w:rPr>
        <w:t>Señor</w:t>
      </w:r>
    </w:p>
    <w:p w14:paraId="1C9EACEA" w14:textId="05B0C4D0" w:rsidR="007D6409" w:rsidRDefault="007D6409" w:rsidP="001D7B39">
      <w:pPr>
        <w:spacing w:after="0" w:line="240" w:lineRule="auto"/>
        <w:rPr>
          <w:rFonts w:ascii="Verdana" w:eastAsia="Calibri" w:hAnsi="Verdana" w:cs="Arial"/>
          <w:b/>
          <w:lang w:eastAsia="es-ES_tradnl"/>
        </w:rPr>
      </w:pPr>
      <w:r w:rsidRPr="007D6409">
        <w:rPr>
          <w:rFonts w:ascii="Verdana" w:eastAsia="Calibri" w:hAnsi="Verdana" w:cs="Arial"/>
          <w:b/>
          <w:lang w:eastAsia="es-ES_tradnl"/>
        </w:rPr>
        <w:t>Carlos Ignacio Cadavid Mejía</w:t>
      </w:r>
    </w:p>
    <w:p w14:paraId="1C5BBC79" w14:textId="662D1A76" w:rsidR="007D6409" w:rsidRPr="007D6409" w:rsidRDefault="007D6409" w:rsidP="001D7B39">
      <w:pPr>
        <w:spacing w:after="0" w:line="240" w:lineRule="auto"/>
        <w:rPr>
          <w:rFonts w:ascii="Verdana" w:hAnsi="Verdana"/>
        </w:rPr>
      </w:pPr>
      <w:hyperlink r:id="rId11" w:history="1">
        <w:r w:rsidRPr="007D6409">
          <w:rPr>
            <w:rStyle w:val="Hipervnculo"/>
            <w:rFonts w:ascii="Verdana" w:hAnsi="Verdana"/>
          </w:rPr>
          <w:t>direccionjuridica@intramaq.co</w:t>
        </w:r>
      </w:hyperlink>
    </w:p>
    <w:p w14:paraId="15D42274" w14:textId="66C48629" w:rsidR="001D7B39" w:rsidRPr="00BE636B" w:rsidRDefault="001D7B39" w:rsidP="001D7B39">
      <w:pPr>
        <w:spacing w:after="0" w:line="240" w:lineRule="auto"/>
        <w:rPr>
          <w:rFonts w:ascii="Verdana" w:hAnsi="Verdana"/>
        </w:rPr>
      </w:pPr>
      <w:r>
        <w:rPr>
          <w:rFonts w:ascii="Verdana" w:hAnsi="Verdana"/>
        </w:rPr>
        <w:t>Guaduas – Cundinamarca, Colombia</w:t>
      </w:r>
    </w:p>
    <w:p w14:paraId="063A847D" w14:textId="77777777" w:rsidR="001D7B39" w:rsidRPr="008E2DC6" w:rsidRDefault="001D7B39" w:rsidP="001D7B39">
      <w:pPr>
        <w:spacing w:after="0" w:line="240" w:lineRule="auto"/>
        <w:rPr>
          <w:rFonts w:ascii="Verdana" w:eastAsia="Calibri" w:hAnsi="Verdana" w:cs="Arial"/>
          <w:b/>
          <w:bCs/>
          <w:color w:val="000000"/>
          <w:lang w:eastAsia="es-ES_tradnl"/>
        </w:rPr>
      </w:pPr>
    </w:p>
    <w:p w14:paraId="0DF95E0E" w14:textId="77777777" w:rsidR="001D7B39" w:rsidRPr="006933D9" w:rsidRDefault="001D7B39" w:rsidP="001D7B39">
      <w:pPr>
        <w:spacing w:after="0" w:line="240" w:lineRule="auto"/>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1D7B39" w:rsidRPr="00CE156C" w14:paraId="4A111BAF" w14:textId="77777777" w:rsidTr="00EB7FC9">
        <w:trPr>
          <w:trHeight w:val="162"/>
        </w:trPr>
        <w:tc>
          <w:tcPr>
            <w:tcW w:w="3119" w:type="dxa"/>
          </w:tcPr>
          <w:p w14:paraId="329A087B" w14:textId="77777777" w:rsidR="001D7B39" w:rsidRPr="008E2DC6" w:rsidRDefault="001D7B39" w:rsidP="00EB7FC9">
            <w:pPr>
              <w:jc w:val="both"/>
              <w:rPr>
                <w:rFonts w:ascii="Verdana" w:eastAsia="Calibri" w:hAnsi="Verdana" w:cs="Arial"/>
                <w:b/>
                <w:bCs/>
                <w:color w:val="7030A0"/>
                <w:lang w:eastAsia="es-ES_tradnl"/>
              </w:rPr>
            </w:pPr>
          </w:p>
        </w:tc>
        <w:tc>
          <w:tcPr>
            <w:tcW w:w="5670" w:type="dxa"/>
          </w:tcPr>
          <w:p w14:paraId="5A441A28" w14:textId="4178CF88" w:rsidR="001D7B39" w:rsidRPr="00CE156C" w:rsidRDefault="001D7B39" w:rsidP="00EB7FC9">
            <w:pPr>
              <w:rPr>
                <w:rFonts w:ascii="Verdana" w:eastAsia="Calibri" w:hAnsi="Verdana" w:cs="Arial"/>
                <w:b/>
                <w:bCs/>
                <w:lang w:eastAsia="es-ES"/>
              </w:rPr>
            </w:pPr>
            <w:r w:rsidRPr="008E2DC6">
              <w:rPr>
                <w:rFonts w:ascii="Verdana" w:eastAsia="Calibri" w:hAnsi="Verdana" w:cs="Arial"/>
                <w:b/>
                <w:bCs/>
                <w:lang w:eastAsia="es-ES"/>
              </w:rPr>
              <w:t>Concepto C-</w:t>
            </w:r>
            <w:r>
              <w:rPr>
                <w:rFonts w:ascii="Verdana" w:eastAsia="Calibri" w:hAnsi="Verdana" w:cs="Arial"/>
                <w:b/>
                <w:bCs/>
                <w:lang w:eastAsia="es-ES"/>
              </w:rPr>
              <w:t>931</w:t>
            </w:r>
            <w:r w:rsidRPr="00CE156C">
              <w:rPr>
                <w:rFonts w:ascii="Verdana" w:eastAsia="Calibri" w:hAnsi="Verdana" w:cs="Arial"/>
                <w:b/>
                <w:bCs/>
                <w:lang w:eastAsia="es-ES"/>
              </w:rPr>
              <w:t xml:space="preserve"> de 2026</w:t>
            </w:r>
          </w:p>
          <w:p w14:paraId="01AC4CF6" w14:textId="77777777" w:rsidR="001D7B39" w:rsidRPr="00CE156C" w:rsidRDefault="001D7B39" w:rsidP="00EB7FC9">
            <w:pPr>
              <w:jc w:val="center"/>
              <w:rPr>
                <w:rFonts w:ascii="Verdana" w:eastAsia="Calibri" w:hAnsi="Verdana" w:cs="Arial"/>
                <w:b/>
                <w:bCs/>
                <w:color w:val="7030A0"/>
                <w:lang w:eastAsia="es-ES"/>
              </w:rPr>
            </w:pPr>
          </w:p>
        </w:tc>
      </w:tr>
      <w:tr w:rsidR="001D7B39" w:rsidRPr="00CE156C" w14:paraId="18F527FA" w14:textId="77777777" w:rsidTr="00EB7FC9">
        <w:trPr>
          <w:trHeight w:val="884"/>
        </w:trPr>
        <w:tc>
          <w:tcPr>
            <w:tcW w:w="3119" w:type="dxa"/>
          </w:tcPr>
          <w:p w14:paraId="0D5FE9C3" w14:textId="77777777" w:rsidR="001D7B39" w:rsidRPr="00F926E2" w:rsidRDefault="001D7B39" w:rsidP="00EB7FC9">
            <w:pPr>
              <w:jc w:val="both"/>
              <w:rPr>
                <w:rFonts w:ascii="Verdana" w:eastAsia="Calibri" w:hAnsi="Verdana" w:cs="Arial"/>
                <w:color w:val="000000"/>
                <w:lang w:eastAsia="es-ES_tradnl"/>
              </w:rPr>
            </w:pPr>
            <w:r w:rsidRPr="00CE156C">
              <w:rPr>
                <w:rFonts w:ascii="Verdana" w:eastAsia="Calibri" w:hAnsi="Verdana" w:cs="Arial"/>
                <w:b/>
                <w:color w:val="000000"/>
                <w:lang w:eastAsia="es-ES_tradnl"/>
              </w:rPr>
              <w:t>Temas:</w:t>
            </w:r>
            <w:r w:rsidRPr="00F07E96">
              <w:rPr>
                <w:rFonts w:ascii="Verdana" w:eastAsia="Calibri" w:hAnsi="Verdana" w:cs="Arial"/>
                <w:color w:val="000000"/>
                <w:lang w:eastAsia="es-ES_tradnl"/>
              </w:rPr>
              <w:t xml:space="preserve">                   </w:t>
            </w:r>
          </w:p>
        </w:tc>
        <w:tc>
          <w:tcPr>
            <w:tcW w:w="5670" w:type="dxa"/>
          </w:tcPr>
          <w:p w14:paraId="0946D8E7" w14:textId="4B293CC2" w:rsidR="0068718D" w:rsidRPr="006C6FF6" w:rsidRDefault="00817C71" w:rsidP="0068718D">
            <w:pPr>
              <w:spacing w:line="259" w:lineRule="auto"/>
              <w:jc w:val="both"/>
              <w:rPr>
                <w:rFonts w:ascii="Verdana" w:eastAsia="Calibri" w:hAnsi="Verdana" w:cs="Arial"/>
                <w:color w:val="000000" w:themeColor="text1"/>
                <w:lang w:eastAsia="es-ES"/>
              </w:rPr>
            </w:pPr>
            <w:r>
              <w:rPr>
                <w:rFonts w:ascii="Verdana" w:eastAsia="Calibri" w:hAnsi="Verdana" w:cs="Arial"/>
                <w:color w:val="000000" w:themeColor="text1"/>
                <w:lang w:eastAsia="es-ES"/>
              </w:rPr>
              <w:t xml:space="preserve">CONTRATO DE OBRA – </w:t>
            </w:r>
            <w:r w:rsidR="005E44B1">
              <w:rPr>
                <w:rFonts w:ascii="Verdana" w:eastAsia="Calibri" w:hAnsi="Verdana" w:cs="Arial"/>
                <w:color w:val="000000" w:themeColor="text1"/>
                <w:lang w:eastAsia="es-ES"/>
              </w:rPr>
              <w:t>Definición</w:t>
            </w:r>
            <w:r>
              <w:rPr>
                <w:rFonts w:ascii="Verdana" w:eastAsia="Calibri" w:hAnsi="Verdana" w:cs="Arial"/>
                <w:color w:val="000000" w:themeColor="text1"/>
                <w:lang w:eastAsia="es-ES"/>
              </w:rPr>
              <w:t xml:space="preserve"> </w:t>
            </w:r>
            <w:r w:rsidR="005E44B1">
              <w:rPr>
                <w:rFonts w:ascii="Verdana" w:eastAsia="Calibri" w:hAnsi="Verdana" w:cs="Arial"/>
                <w:color w:val="000000" w:themeColor="text1"/>
                <w:lang w:eastAsia="es-ES"/>
              </w:rPr>
              <w:t>–</w:t>
            </w:r>
            <w:r>
              <w:rPr>
                <w:rFonts w:ascii="Verdana" w:eastAsia="Calibri" w:hAnsi="Verdana" w:cs="Arial"/>
                <w:color w:val="000000" w:themeColor="text1"/>
                <w:lang w:eastAsia="es-ES"/>
              </w:rPr>
              <w:t xml:space="preserve"> </w:t>
            </w:r>
            <w:r w:rsidR="005E44B1">
              <w:rPr>
                <w:rFonts w:ascii="Verdana" w:eastAsia="Calibri" w:hAnsi="Verdana" w:cs="Arial"/>
                <w:color w:val="000000" w:themeColor="text1"/>
                <w:lang w:eastAsia="es-ES"/>
              </w:rPr>
              <w:t xml:space="preserve">Entrega por tramos / </w:t>
            </w:r>
            <w:r w:rsidR="001F7E46" w:rsidRPr="006C6FF6">
              <w:rPr>
                <w:rFonts w:ascii="Verdana" w:eastAsia="Calibri" w:hAnsi="Verdana" w:cs="Arial"/>
                <w:color w:val="000000" w:themeColor="text1"/>
                <w:lang w:eastAsia="es-ES"/>
              </w:rPr>
              <w:t>GARANTÍA DE CUMPLIMIENTO – Amparos – Finalidad</w:t>
            </w:r>
            <w:r w:rsidR="001F7E46">
              <w:rPr>
                <w:rFonts w:ascii="Verdana" w:eastAsia="Times New Roman" w:hAnsi="Verdana" w:cs="Arial"/>
                <w:color w:val="000000" w:themeColor="text1"/>
                <w:lang w:eastAsia="es-CO"/>
              </w:rPr>
              <w:t xml:space="preserve"> / </w:t>
            </w:r>
            <w:r w:rsidR="0068718D" w:rsidRPr="006C6FF6">
              <w:rPr>
                <w:rFonts w:ascii="Verdana" w:eastAsia="Times New Roman" w:hAnsi="Verdana" w:cs="Arial"/>
                <w:color w:val="000000" w:themeColor="text1"/>
                <w:lang w:eastAsia="es-CO"/>
              </w:rPr>
              <w:t xml:space="preserve">ESTABILIDAD Y CALIDAD DE LA OBRA </w:t>
            </w:r>
            <w:r w:rsidR="0068718D" w:rsidRPr="006C6FF6">
              <w:rPr>
                <w:rFonts w:ascii="Verdana" w:eastAsia="Calibri" w:hAnsi="Verdana" w:cs="Arial"/>
                <w:color w:val="000000" w:themeColor="text1"/>
                <w:lang w:eastAsia="es-ES"/>
              </w:rPr>
              <w:t xml:space="preserve">– </w:t>
            </w:r>
            <w:r w:rsidR="00E02C39" w:rsidRPr="006C6FF6">
              <w:rPr>
                <w:rFonts w:ascii="Verdana" w:eastAsia="Calibri" w:hAnsi="Verdana" w:cs="Arial"/>
                <w:color w:val="000000" w:themeColor="text1"/>
                <w:lang w:eastAsia="es-ES"/>
              </w:rPr>
              <w:t>finalidad –</w:t>
            </w:r>
            <w:r w:rsidR="0068718D" w:rsidRPr="006C6FF6">
              <w:rPr>
                <w:rFonts w:ascii="Verdana" w:eastAsia="Calibri" w:hAnsi="Verdana" w:cs="Arial"/>
                <w:color w:val="000000" w:themeColor="text1"/>
                <w:lang w:eastAsia="es-ES"/>
              </w:rPr>
              <w:t xml:space="preserve"> Indivisibilidad de la suficiencia / </w:t>
            </w:r>
            <w:r w:rsidR="0068718D" w:rsidRPr="006C6FF6">
              <w:rPr>
                <w:rFonts w:ascii="Verdana" w:eastAsia="Calibri" w:hAnsi="Verdana" w:cs="Arial"/>
                <w:lang w:val="es-ES" w:eastAsia="es-ES"/>
              </w:rPr>
              <w:t>GARANTÍA DE ESTABILIDAD Y CALIDAD DE LA OBRA – Suficiencia</w:t>
            </w:r>
          </w:p>
          <w:p w14:paraId="59C295AE" w14:textId="77777777" w:rsidR="001D7B39" w:rsidRPr="008E2DC6" w:rsidRDefault="001D7B39" w:rsidP="00EB7FC9">
            <w:pPr>
              <w:jc w:val="both"/>
              <w:rPr>
                <w:rFonts w:ascii="Verdana" w:eastAsia="Calibri" w:hAnsi="Verdana" w:cs="Arial"/>
                <w:highlight w:val="yellow"/>
                <w:lang w:val="es-ES" w:eastAsia="es-ES"/>
              </w:rPr>
            </w:pPr>
          </w:p>
        </w:tc>
      </w:tr>
      <w:tr w:rsidR="001D7B39" w:rsidRPr="00CE156C" w14:paraId="6BCC1002" w14:textId="77777777" w:rsidTr="00EB7FC9">
        <w:tc>
          <w:tcPr>
            <w:tcW w:w="3119" w:type="dxa"/>
          </w:tcPr>
          <w:p w14:paraId="100B6DA7" w14:textId="77777777" w:rsidR="001D7B39" w:rsidRPr="00F926E2" w:rsidRDefault="001D7B39" w:rsidP="00EB7FC9">
            <w:pPr>
              <w:jc w:val="both"/>
              <w:rPr>
                <w:rFonts w:ascii="Verdana" w:eastAsia="Calibri" w:hAnsi="Verdana" w:cs="Arial"/>
                <w:b/>
                <w:lang w:eastAsia="es-ES_tradnl"/>
              </w:rPr>
            </w:pPr>
            <w:r w:rsidRPr="00CE156C">
              <w:rPr>
                <w:rFonts w:ascii="Verdana" w:eastAsia="Calibri" w:hAnsi="Verdana" w:cs="Arial"/>
                <w:b/>
                <w:lang w:eastAsia="es-ES_tradnl"/>
              </w:rPr>
              <w:t xml:space="preserve"> </w:t>
            </w:r>
            <w:r w:rsidRPr="00F07E96">
              <w:rPr>
                <w:rFonts w:ascii="Verdana" w:eastAsia="Calibri" w:hAnsi="Verdana" w:cs="Arial"/>
                <w:b/>
                <w:lang w:eastAsia="es-ES_tradnl"/>
              </w:rPr>
              <w:t>Radicación:</w:t>
            </w:r>
            <w:r w:rsidRPr="00F926E2">
              <w:rPr>
                <w:rFonts w:ascii="Verdana" w:eastAsia="Calibri" w:hAnsi="Verdana" w:cs="Arial"/>
                <w:lang w:eastAsia="es-ES_tradnl"/>
              </w:rPr>
              <w:t xml:space="preserve">               </w:t>
            </w:r>
          </w:p>
        </w:tc>
        <w:tc>
          <w:tcPr>
            <w:tcW w:w="5670" w:type="dxa"/>
          </w:tcPr>
          <w:p w14:paraId="217A4C41" w14:textId="2F469524" w:rsidR="001D7B39" w:rsidRPr="008E2DC6" w:rsidRDefault="001D7B39" w:rsidP="00EB7FC9">
            <w:pPr>
              <w:jc w:val="both"/>
              <w:rPr>
                <w:rFonts w:ascii="Verdana" w:eastAsia="Calibri" w:hAnsi="Verdana" w:cs="Arial"/>
                <w:lang w:eastAsia="es-ES_tradnl"/>
              </w:rPr>
            </w:pPr>
            <w:r w:rsidRPr="00BE636B">
              <w:rPr>
                <w:rFonts w:ascii="Verdana" w:eastAsia="Calibri" w:hAnsi="Verdana" w:cs="Arial"/>
                <w:lang w:eastAsia="es-ES_tradnl"/>
              </w:rPr>
              <w:t xml:space="preserve">Respuesta a consulta con radicado No. </w:t>
            </w:r>
            <w:r w:rsidR="00106F7A" w:rsidRPr="00106F7A">
              <w:rPr>
                <w:rFonts w:ascii="Verdana" w:eastAsia="Calibri" w:hAnsi="Verdana" w:cs="Arial"/>
                <w:lang w:eastAsia="es-ES_tradnl"/>
              </w:rPr>
              <w:t>1_2026_06_04_007613</w:t>
            </w:r>
          </w:p>
        </w:tc>
      </w:tr>
    </w:tbl>
    <w:p w14:paraId="0E8F17FD" w14:textId="77777777" w:rsidR="001D7B39" w:rsidRPr="00CE156C" w:rsidRDefault="001D7B39" w:rsidP="001D7B39">
      <w:pPr>
        <w:spacing w:after="0" w:line="240" w:lineRule="auto"/>
        <w:jc w:val="both"/>
        <w:rPr>
          <w:rFonts w:ascii="Verdana" w:eastAsia="Calibri" w:hAnsi="Verdana" w:cs="Arial"/>
          <w:lang w:eastAsia="es-ES_tradnl"/>
        </w:rPr>
      </w:pPr>
    </w:p>
    <w:p w14:paraId="2297F0BF" w14:textId="77777777" w:rsidR="001D7B39" w:rsidRPr="006933D9" w:rsidRDefault="001D7B39" w:rsidP="001D7B39">
      <w:pPr>
        <w:spacing w:after="0" w:line="240" w:lineRule="auto"/>
        <w:jc w:val="both"/>
        <w:rPr>
          <w:rFonts w:ascii="Verdana" w:eastAsia="Calibri" w:hAnsi="Verdana" w:cs="Arial"/>
          <w:lang w:eastAsia="es-ES_tradnl"/>
        </w:rPr>
      </w:pPr>
    </w:p>
    <w:p w14:paraId="39FB8CD4" w14:textId="3ABDD339" w:rsidR="001D7B39" w:rsidRPr="008E2DC6" w:rsidRDefault="001D7B39" w:rsidP="001D7B39">
      <w:pPr>
        <w:spacing w:after="0" w:line="276" w:lineRule="auto"/>
        <w:jc w:val="both"/>
        <w:rPr>
          <w:rFonts w:ascii="Verdana" w:eastAsia="Calibri" w:hAnsi="Verdana" w:cs="Arial"/>
          <w:lang w:eastAsia="es-ES"/>
        </w:rPr>
      </w:pPr>
      <w:r w:rsidRPr="00F926E2">
        <w:rPr>
          <w:rFonts w:ascii="Verdana" w:eastAsia="Calibri" w:hAnsi="Verdana" w:cs="Arial"/>
          <w:lang w:eastAsia="es-ES"/>
        </w:rPr>
        <w:t>Estimad</w:t>
      </w:r>
      <w:r w:rsidRPr="00BE636B">
        <w:rPr>
          <w:rFonts w:ascii="Verdana" w:eastAsia="Calibri" w:hAnsi="Verdana" w:cs="Arial"/>
          <w:lang w:eastAsia="es-ES"/>
        </w:rPr>
        <w:t>o</w:t>
      </w:r>
      <w:r w:rsidRPr="00323DD8">
        <w:rPr>
          <w:rFonts w:ascii="Verdana" w:eastAsia="Calibri" w:hAnsi="Verdana" w:cs="Arial"/>
          <w:lang w:eastAsia="es-ES"/>
        </w:rPr>
        <w:t xml:space="preserve"> señor</w:t>
      </w:r>
      <w:r w:rsidRPr="008E2DC6">
        <w:rPr>
          <w:rFonts w:ascii="Verdana" w:eastAsia="Calibri" w:hAnsi="Verdana" w:cs="Arial"/>
          <w:lang w:eastAsia="es-ES"/>
        </w:rPr>
        <w:t xml:space="preserve">, </w:t>
      </w:r>
      <w:r w:rsidR="007D6409">
        <w:rPr>
          <w:rFonts w:ascii="Verdana" w:eastAsia="Calibri" w:hAnsi="Verdana" w:cs="Arial"/>
          <w:lang w:eastAsia="es-ES"/>
        </w:rPr>
        <w:t>Cadavid</w:t>
      </w:r>
      <w:r w:rsidRPr="008E2DC6">
        <w:rPr>
          <w:rFonts w:ascii="Verdana" w:eastAsia="Calibri" w:hAnsi="Verdana" w:cs="Arial"/>
          <w:lang w:eastAsia="es-ES"/>
        </w:rPr>
        <w:t xml:space="preserve">: </w:t>
      </w:r>
    </w:p>
    <w:p w14:paraId="025678C3" w14:textId="77777777" w:rsidR="001D7B39" w:rsidRPr="008E2DC6" w:rsidRDefault="001D7B39" w:rsidP="001D7B39">
      <w:pPr>
        <w:spacing w:after="0" w:line="276" w:lineRule="auto"/>
        <w:jc w:val="both"/>
        <w:rPr>
          <w:rFonts w:ascii="Verdana" w:eastAsia="Calibri" w:hAnsi="Verdana" w:cs="Arial"/>
          <w:lang w:eastAsia="es-ES"/>
        </w:rPr>
      </w:pPr>
    </w:p>
    <w:p w14:paraId="4A6378DA" w14:textId="5FD32250" w:rsidR="001D7B39" w:rsidRPr="00CE156C" w:rsidRDefault="001D7B39" w:rsidP="001D7B39">
      <w:pPr>
        <w:spacing w:after="0" w:line="276" w:lineRule="auto"/>
        <w:jc w:val="both"/>
        <w:rPr>
          <w:rFonts w:ascii="Verdana" w:eastAsia="Calibri" w:hAnsi="Verdana" w:cs="Arial"/>
          <w:lang w:eastAsia="es-ES"/>
        </w:rPr>
      </w:pPr>
      <w:r w:rsidRPr="008E2DC6">
        <w:rPr>
          <w:rFonts w:ascii="Verdana" w:eastAsia="Calibri" w:hAnsi="Verdana" w:cs="Arial"/>
          <w:color w:val="000000" w:themeColor="text1"/>
          <w:lang w:eastAsia="es-ES"/>
        </w:rPr>
        <w:t>En ejercicio de la competencia otorgada por los artículos 3, numeral 5º, y 11, numeral 8º, del Decreto Ley 4170 de 2011,</w:t>
      </w:r>
      <w:r w:rsidRPr="00CE156C">
        <w:rPr>
          <w:rFonts w:ascii="Verdana" w:eastAsia="Arial MT" w:hAnsi="Verdana" w:cs="Arial MT"/>
          <w:lang w:eastAsia="es-ES"/>
        </w:rPr>
        <w:t xml:space="preserve"> </w:t>
      </w:r>
      <w:r w:rsidRPr="00CE156C">
        <w:rPr>
          <w:rFonts w:ascii="Verdana" w:hAnsi="Verdana" w:cs="Arial"/>
        </w:rPr>
        <w:t xml:space="preserve">así como lo establecido en el artículo 4 de la Resolución 1707 de 2018 expedida por esta Entidad, </w:t>
      </w:r>
      <w:r w:rsidRPr="00CE156C">
        <w:rPr>
          <w:rFonts w:ascii="Verdana" w:eastAsia="Calibri" w:hAnsi="Verdana" w:cs="Arial"/>
          <w:color w:val="000000" w:themeColor="text1"/>
          <w:lang w:eastAsia="es-ES"/>
        </w:rPr>
        <w:t xml:space="preserve">la Agencia Nacional de Contratación </w:t>
      </w:r>
      <w:r w:rsidRPr="00CE156C">
        <w:rPr>
          <w:rFonts w:ascii="Verdana" w:eastAsia="Calibri" w:hAnsi="Verdana" w:cs="Arial"/>
          <w:lang w:eastAsia="es-ES"/>
        </w:rPr>
        <w:t xml:space="preserve">Pública – Colombia Compra Eficiente– responde su solicitud de consulta de fecha </w:t>
      </w:r>
      <w:r>
        <w:rPr>
          <w:rFonts w:ascii="Verdana" w:eastAsia="Calibri" w:hAnsi="Verdana" w:cs="Arial"/>
          <w:lang w:eastAsia="es-ES"/>
        </w:rPr>
        <w:t>0</w:t>
      </w:r>
      <w:r w:rsidR="002D5484">
        <w:rPr>
          <w:rFonts w:ascii="Verdana" w:eastAsia="Calibri" w:hAnsi="Verdana" w:cs="Arial"/>
          <w:lang w:eastAsia="es-ES"/>
        </w:rPr>
        <w:t>4</w:t>
      </w:r>
      <w:r w:rsidRPr="00CE156C">
        <w:rPr>
          <w:rFonts w:ascii="Verdana" w:eastAsia="Calibri" w:hAnsi="Verdana" w:cs="Arial"/>
          <w:lang w:eastAsia="es-ES"/>
        </w:rPr>
        <w:t xml:space="preserve"> de </w:t>
      </w:r>
      <w:r>
        <w:rPr>
          <w:rFonts w:ascii="Verdana" w:eastAsia="Calibri" w:hAnsi="Verdana" w:cs="Arial"/>
          <w:lang w:eastAsia="es-ES"/>
        </w:rPr>
        <w:t>junio</w:t>
      </w:r>
      <w:r w:rsidRPr="00CE156C">
        <w:rPr>
          <w:rFonts w:ascii="Verdana" w:eastAsia="Calibri" w:hAnsi="Verdana" w:cs="Arial"/>
          <w:lang w:eastAsia="es-ES"/>
        </w:rPr>
        <w:t xml:space="preserve"> de 2026, en la cual manifiesta lo siguiente: </w:t>
      </w:r>
    </w:p>
    <w:p w14:paraId="65201CE3" w14:textId="77777777" w:rsidR="001D7B39" w:rsidRPr="00CE156C" w:rsidRDefault="001D7B39" w:rsidP="001D7B39">
      <w:pPr>
        <w:spacing w:after="0" w:line="276" w:lineRule="auto"/>
        <w:ind w:left="709" w:right="709"/>
        <w:jc w:val="both"/>
        <w:rPr>
          <w:rFonts w:ascii="Verdana" w:eastAsia="Century Gothic" w:hAnsi="Verdana" w:cs="Century Gothic"/>
          <w:i/>
          <w:iCs/>
          <w:sz w:val="20"/>
          <w:szCs w:val="20"/>
        </w:rPr>
      </w:pPr>
      <w:bookmarkStart w:id="1" w:name="_Hlk192699624"/>
      <w:bookmarkStart w:id="2" w:name="_Hlk199394899"/>
    </w:p>
    <w:p w14:paraId="0DAFB621" w14:textId="52533B0C" w:rsidR="002B5CD9" w:rsidRPr="002B5CD9" w:rsidRDefault="001D7B39" w:rsidP="002B5CD9">
      <w:pPr>
        <w:spacing w:after="0" w:line="240" w:lineRule="auto"/>
        <w:ind w:left="709" w:right="709"/>
        <w:jc w:val="both"/>
        <w:rPr>
          <w:rFonts w:ascii="Verdana" w:hAnsi="Verdana"/>
          <w:i/>
          <w:iCs/>
          <w:sz w:val="20"/>
          <w:szCs w:val="20"/>
        </w:rPr>
      </w:pPr>
      <w:r w:rsidRPr="00CE156C">
        <w:rPr>
          <w:rFonts w:ascii="Verdana" w:eastAsia="Century Gothic" w:hAnsi="Verdana" w:cs="Century Gothic"/>
          <w:i/>
          <w:iCs/>
          <w:sz w:val="20"/>
          <w:szCs w:val="20"/>
        </w:rPr>
        <w:t>“</w:t>
      </w:r>
      <w:bookmarkEnd w:id="1"/>
      <w:r w:rsidRPr="00CE156C">
        <w:rPr>
          <w:rFonts w:ascii="Verdana" w:eastAsia="Century Gothic" w:hAnsi="Verdana" w:cs="Century Gothic"/>
          <w:i/>
          <w:iCs/>
          <w:sz w:val="20"/>
          <w:szCs w:val="20"/>
        </w:rPr>
        <w:t>(…)</w:t>
      </w:r>
      <w:r w:rsidR="002B5CD9">
        <w:rPr>
          <w:rFonts w:ascii="Verdana" w:eastAsia="Century Gothic" w:hAnsi="Verdana" w:cs="Century Gothic"/>
          <w:i/>
          <w:iCs/>
          <w:sz w:val="20"/>
          <w:szCs w:val="20"/>
        </w:rPr>
        <w:t xml:space="preserve"> </w:t>
      </w:r>
      <w:r w:rsidR="002B5CD9" w:rsidRPr="002B5CD9">
        <w:rPr>
          <w:rFonts w:ascii="Verdana" w:hAnsi="Verdana"/>
          <w:i/>
          <w:iCs/>
          <w:sz w:val="20"/>
          <w:szCs w:val="20"/>
        </w:rPr>
        <w:t>conforme al régimen jurídico aplicable a la</w:t>
      </w:r>
      <w:r w:rsidR="002B5CD9">
        <w:rPr>
          <w:rFonts w:ascii="Verdana" w:hAnsi="Verdana"/>
          <w:i/>
          <w:iCs/>
          <w:sz w:val="20"/>
          <w:szCs w:val="20"/>
        </w:rPr>
        <w:t xml:space="preserve"> </w:t>
      </w:r>
      <w:r w:rsidR="002B5CD9" w:rsidRPr="002B5CD9">
        <w:rPr>
          <w:rFonts w:ascii="Verdana" w:hAnsi="Verdana"/>
          <w:i/>
          <w:iCs/>
          <w:sz w:val="20"/>
          <w:szCs w:val="20"/>
        </w:rPr>
        <w:t>contratación estatal y, en particular, a los contratos de obra pública de</w:t>
      </w:r>
      <w:r w:rsidR="002B5CD9">
        <w:rPr>
          <w:rFonts w:ascii="Verdana" w:hAnsi="Verdana"/>
          <w:i/>
          <w:iCs/>
          <w:sz w:val="20"/>
          <w:szCs w:val="20"/>
        </w:rPr>
        <w:t xml:space="preserve"> </w:t>
      </w:r>
      <w:r w:rsidR="002B5CD9" w:rsidRPr="002B5CD9">
        <w:rPr>
          <w:rFonts w:ascii="Verdana" w:hAnsi="Verdana"/>
          <w:i/>
          <w:iCs/>
          <w:sz w:val="20"/>
          <w:szCs w:val="20"/>
        </w:rPr>
        <w:t>larga duración (superiores a tres (3) años), resulta jurídicamente</w:t>
      </w:r>
      <w:r w:rsidR="002B5CD9">
        <w:rPr>
          <w:rFonts w:ascii="Verdana" w:hAnsi="Verdana"/>
          <w:i/>
          <w:iCs/>
          <w:sz w:val="20"/>
          <w:szCs w:val="20"/>
        </w:rPr>
        <w:t xml:space="preserve"> </w:t>
      </w:r>
      <w:r w:rsidR="002B5CD9" w:rsidRPr="002B5CD9">
        <w:rPr>
          <w:rFonts w:ascii="Verdana" w:hAnsi="Verdana"/>
          <w:i/>
          <w:iCs/>
          <w:sz w:val="20"/>
          <w:szCs w:val="20"/>
        </w:rPr>
        <w:t>procedente efectuar entregas parciales y recibos definitivos de sectores</w:t>
      </w:r>
      <w:r w:rsidR="002B5CD9">
        <w:rPr>
          <w:rFonts w:ascii="Verdana" w:hAnsi="Verdana"/>
          <w:i/>
          <w:iCs/>
          <w:sz w:val="20"/>
          <w:szCs w:val="20"/>
        </w:rPr>
        <w:t xml:space="preserve"> </w:t>
      </w:r>
      <w:r w:rsidR="002B5CD9" w:rsidRPr="002B5CD9">
        <w:rPr>
          <w:rFonts w:ascii="Verdana" w:hAnsi="Verdana"/>
          <w:i/>
          <w:iCs/>
          <w:sz w:val="20"/>
          <w:szCs w:val="20"/>
        </w:rPr>
        <w:t>o tramos de obra que se encuentren totalmente terminados, recibidos a</w:t>
      </w:r>
      <w:r w:rsidR="002B5CD9">
        <w:rPr>
          <w:rFonts w:ascii="Verdana" w:hAnsi="Verdana"/>
          <w:i/>
          <w:iCs/>
          <w:sz w:val="20"/>
          <w:szCs w:val="20"/>
        </w:rPr>
        <w:t xml:space="preserve"> </w:t>
      </w:r>
      <w:r w:rsidR="002B5CD9" w:rsidRPr="002B5CD9">
        <w:rPr>
          <w:rFonts w:ascii="Verdana" w:hAnsi="Verdana"/>
          <w:i/>
          <w:iCs/>
          <w:sz w:val="20"/>
          <w:szCs w:val="20"/>
        </w:rPr>
        <w:t>satisfacción y en condiciones de operación.</w:t>
      </w:r>
    </w:p>
    <w:p w14:paraId="001D21A3" w14:textId="06545476" w:rsidR="001D7B39" w:rsidRDefault="002B5CD9" w:rsidP="002B5CD9">
      <w:pPr>
        <w:spacing w:after="0" w:line="240" w:lineRule="auto"/>
        <w:ind w:left="709" w:right="709"/>
        <w:jc w:val="both"/>
        <w:rPr>
          <w:rFonts w:ascii="Verdana" w:hAnsi="Verdana"/>
          <w:i/>
          <w:iCs/>
          <w:sz w:val="20"/>
          <w:szCs w:val="20"/>
        </w:rPr>
      </w:pPr>
      <w:r w:rsidRPr="002B5CD9">
        <w:rPr>
          <w:rFonts w:ascii="Verdana" w:hAnsi="Verdana"/>
          <w:i/>
          <w:iCs/>
          <w:sz w:val="20"/>
          <w:szCs w:val="20"/>
        </w:rPr>
        <w:t>2. Así mismo, se solicita precisar si, una vez realizada dicha entrega parcial,</w:t>
      </w:r>
      <w:r>
        <w:rPr>
          <w:rFonts w:ascii="Verdana" w:hAnsi="Verdana"/>
          <w:i/>
          <w:iCs/>
          <w:sz w:val="20"/>
          <w:szCs w:val="20"/>
        </w:rPr>
        <w:t xml:space="preserve"> </w:t>
      </w:r>
      <w:r w:rsidRPr="002B5CD9">
        <w:rPr>
          <w:rFonts w:ascii="Verdana" w:hAnsi="Verdana"/>
          <w:i/>
          <w:iCs/>
          <w:sz w:val="20"/>
          <w:szCs w:val="20"/>
        </w:rPr>
        <w:t>es posible que la Entidad Contratante asuma las obligaciones de</w:t>
      </w:r>
      <w:r>
        <w:rPr>
          <w:rFonts w:ascii="Verdana" w:hAnsi="Verdana"/>
          <w:i/>
          <w:iCs/>
          <w:sz w:val="20"/>
          <w:szCs w:val="20"/>
        </w:rPr>
        <w:t xml:space="preserve"> </w:t>
      </w:r>
      <w:r w:rsidRPr="002B5CD9">
        <w:rPr>
          <w:rFonts w:ascii="Verdana" w:hAnsi="Verdana"/>
          <w:i/>
          <w:iCs/>
          <w:sz w:val="20"/>
          <w:szCs w:val="20"/>
        </w:rPr>
        <w:t>conservación, operación y mantenimiento ordinario de los tramos</w:t>
      </w:r>
      <w:r>
        <w:rPr>
          <w:rFonts w:ascii="Verdana" w:hAnsi="Verdana"/>
          <w:i/>
          <w:iCs/>
          <w:sz w:val="20"/>
          <w:szCs w:val="20"/>
        </w:rPr>
        <w:t xml:space="preserve"> </w:t>
      </w:r>
      <w:r w:rsidRPr="002B5CD9">
        <w:rPr>
          <w:rFonts w:ascii="Verdana" w:hAnsi="Verdana"/>
          <w:i/>
          <w:iCs/>
          <w:sz w:val="20"/>
          <w:szCs w:val="20"/>
        </w:rPr>
        <w:t>recibidos, así como determinar si respecto de dichos tramos pueden</w:t>
      </w:r>
      <w:r>
        <w:rPr>
          <w:rFonts w:ascii="Verdana" w:hAnsi="Verdana"/>
          <w:i/>
          <w:iCs/>
          <w:sz w:val="20"/>
          <w:szCs w:val="20"/>
        </w:rPr>
        <w:t xml:space="preserve"> </w:t>
      </w:r>
      <w:r w:rsidRPr="002B5CD9">
        <w:rPr>
          <w:rFonts w:ascii="Verdana" w:hAnsi="Verdana"/>
          <w:i/>
          <w:iCs/>
          <w:sz w:val="20"/>
          <w:szCs w:val="20"/>
        </w:rPr>
        <w:t>comenzar a computarse de manera independiente los términos de</w:t>
      </w:r>
      <w:r>
        <w:rPr>
          <w:rFonts w:ascii="Verdana" w:hAnsi="Verdana"/>
          <w:i/>
          <w:iCs/>
          <w:sz w:val="20"/>
          <w:szCs w:val="20"/>
        </w:rPr>
        <w:t xml:space="preserve"> </w:t>
      </w:r>
      <w:r w:rsidRPr="002B5CD9">
        <w:rPr>
          <w:rFonts w:ascii="Verdana" w:hAnsi="Verdana"/>
          <w:i/>
          <w:iCs/>
          <w:sz w:val="20"/>
          <w:szCs w:val="20"/>
        </w:rPr>
        <w:t xml:space="preserve">estabilidad, calidad y demás garantías </w:t>
      </w:r>
      <w:proofErr w:type="spellStart"/>
      <w:r w:rsidRPr="002B5CD9">
        <w:rPr>
          <w:rFonts w:ascii="Verdana" w:hAnsi="Verdana"/>
          <w:i/>
          <w:iCs/>
          <w:sz w:val="20"/>
          <w:szCs w:val="20"/>
        </w:rPr>
        <w:t>postcontractuales</w:t>
      </w:r>
      <w:proofErr w:type="spellEnd"/>
      <w:r w:rsidRPr="002B5CD9">
        <w:rPr>
          <w:rFonts w:ascii="Verdana" w:hAnsi="Verdana"/>
          <w:i/>
          <w:iCs/>
          <w:sz w:val="20"/>
          <w:szCs w:val="20"/>
        </w:rPr>
        <w:t xml:space="preserve"> previstas legal</w:t>
      </w:r>
      <w:r>
        <w:rPr>
          <w:rFonts w:ascii="Verdana" w:hAnsi="Verdana"/>
          <w:i/>
          <w:iCs/>
          <w:sz w:val="20"/>
          <w:szCs w:val="20"/>
        </w:rPr>
        <w:t xml:space="preserve"> </w:t>
      </w:r>
      <w:r w:rsidRPr="002B5CD9">
        <w:rPr>
          <w:rFonts w:ascii="Verdana" w:hAnsi="Verdana"/>
          <w:i/>
          <w:iCs/>
          <w:sz w:val="20"/>
          <w:szCs w:val="20"/>
        </w:rPr>
        <w:t xml:space="preserve">y </w:t>
      </w:r>
      <w:r w:rsidRPr="002B5CD9">
        <w:rPr>
          <w:rFonts w:ascii="Verdana" w:hAnsi="Verdana"/>
          <w:i/>
          <w:iCs/>
          <w:sz w:val="20"/>
          <w:szCs w:val="20"/>
        </w:rPr>
        <w:lastRenderedPageBreak/>
        <w:t>contractualmente, sin necesidad de esperar la terminación y liquidación</w:t>
      </w:r>
      <w:r>
        <w:rPr>
          <w:rFonts w:ascii="Verdana" w:hAnsi="Verdana"/>
          <w:i/>
          <w:iCs/>
          <w:sz w:val="20"/>
          <w:szCs w:val="20"/>
        </w:rPr>
        <w:t xml:space="preserve"> </w:t>
      </w:r>
      <w:r w:rsidRPr="002B5CD9">
        <w:rPr>
          <w:rFonts w:ascii="Verdana" w:hAnsi="Verdana"/>
          <w:i/>
          <w:iCs/>
          <w:sz w:val="20"/>
          <w:szCs w:val="20"/>
        </w:rPr>
        <w:t>integral del contrato.</w:t>
      </w:r>
    </w:p>
    <w:p w14:paraId="0CC96155" w14:textId="5CB723B7" w:rsidR="006C7FAF" w:rsidRDefault="006C7FAF" w:rsidP="006C7FAF">
      <w:pPr>
        <w:spacing w:after="0" w:line="240" w:lineRule="auto"/>
        <w:ind w:left="709" w:right="709"/>
        <w:jc w:val="both"/>
        <w:rPr>
          <w:rFonts w:ascii="Verdana" w:hAnsi="Verdana"/>
          <w:i/>
          <w:iCs/>
          <w:sz w:val="20"/>
          <w:szCs w:val="20"/>
        </w:rPr>
      </w:pPr>
      <w:r w:rsidRPr="006C7FAF">
        <w:rPr>
          <w:rFonts w:ascii="Verdana" w:hAnsi="Verdana"/>
          <w:i/>
          <w:iCs/>
          <w:sz w:val="20"/>
          <w:szCs w:val="20"/>
        </w:rPr>
        <w:t>Lo anterior, teniendo en cuenta la extensión temporal de este tipo de</w:t>
      </w:r>
      <w:r>
        <w:rPr>
          <w:rFonts w:ascii="Verdana" w:hAnsi="Verdana"/>
          <w:i/>
          <w:iCs/>
          <w:sz w:val="20"/>
          <w:szCs w:val="20"/>
        </w:rPr>
        <w:t xml:space="preserve"> </w:t>
      </w:r>
      <w:r w:rsidRPr="006C7FAF">
        <w:rPr>
          <w:rFonts w:ascii="Verdana" w:hAnsi="Verdana"/>
          <w:i/>
          <w:iCs/>
          <w:sz w:val="20"/>
          <w:szCs w:val="20"/>
        </w:rPr>
        <w:t>contratos y la necesidad de garantizar una adecuada distribución de</w:t>
      </w:r>
      <w:r>
        <w:rPr>
          <w:rFonts w:ascii="Verdana" w:hAnsi="Verdana"/>
          <w:i/>
          <w:iCs/>
          <w:sz w:val="20"/>
          <w:szCs w:val="20"/>
        </w:rPr>
        <w:t xml:space="preserve"> </w:t>
      </w:r>
      <w:r w:rsidRPr="006C7FAF">
        <w:rPr>
          <w:rFonts w:ascii="Verdana" w:hAnsi="Verdana"/>
          <w:i/>
          <w:iCs/>
          <w:sz w:val="20"/>
          <w:szCs w:val="20"/>
        </w:rPr>
        <w:t>responsabilidades sobre infraestructura que ya ha sido construida,</w:t>
      </w:r>
      <w:r>
        <w:rPr>
          <w:rFonts w:ascii="Verdana" w:hAnsi="Verdana"/>
          <w:i/>
          <w:iCs/>
          <w:sz w:val="20"/>
          <w:szCs w:val="20"/>
        </w:rPr>
        <w:t xml:space="preserve"> </w:t>
      </w:r>
      <w:r w:rsidRPr="006C7FAF">
        <w:rPr>
          <w:rFonts w:ascii="Verdana" w:hAnsi="Verdana"/>
          <w:i/>
          <w:iCs/>
          <w:sz w:val="20"/>
          <w:szCs w:val="20"/>
        </w:rPr>
        <w:t>recibida y puesta al servicio de la comunidad.</w:t>
      </w:r>
    </w:p>
    <w:p w14:paraId="5CBE9D17" w14:textId="77777777" w:rsidR="002B5CD9" w:rsidRPr="00CE156C" w:rsidRDefault="002B5CD9" w:rsidP="002B5CD9">
      <w:pPr>
        <w:spacing w:after="0" w:line="240" w:lineRule="auto"/>
        <w:ind w:left="709" w:right="709"/>
        <w:jc w:val="both"/>
        <w:rPr>
          <w:rFonts w:ascii="Verdana" w:hAnsi="Verdana"/>
          <w:i/>
          <w:iCs/>
          <w:sz w:val="20"/>
          <w:szCs w:val="20"/>
        </w:rPr>
      </w:pPr>
    </w:p>
    <w:p w14:paraId="78A012BF" w14:textId="77777777" w:rsidR="001D7B39" w:rsidRPr="00CE156C" w:rsidRDefault="001D7B39" w:rsidP="001D7B39">
      <w:pPr>
        <w:spacing w:after="0" w:line="240" w:lineRule="auto"/>
        <w:ind w:left="709" w:right="709"/>
        <w:jc w:val="both"/>
        <w:rPr>
          <w:rFonts w:ascii="Verdana" w:hAnsi="Verdana"/>
          <w:i/>
          <w:iCs/>
          <w:sz w:val="20"/>
          <w:szCs w:val="20"/>
        </w:rPr>
      </w:pPr>
      <w:r w:rsidRPr="00CE156C">
        <w:rPr>
          <w:rFonts w:ascii="Verdana" w:hAnsi="Verdana"/>
          <w:i/>
          <w:iCs/>
          <w:sz w:val="20"/>
          <w:szCs w:val="20"/>
        </w:rPr>
        <w:t>(…)”.</w:t>
      </w:r>
      <w:bookmarkEnd w:id="2"/>
    </w:p>
    <w:p w14:paraId="2FFC33DB" w14:textId="77777777" w:rsidR="001D7B39" w:rsidRPr="00CE156C" w:rsidRDefault="001D7B39" w:rsidP="001D7B39">
      <w:pPr>
        <w:spacing w:after="0" w:line="240" w:lineRule="auto"/>
        <w:ind w:left="709" w:right="709"/>
        <w:jc w:val="both"/>
        <w:rPr>
          <w:rFonts w:ascii="Verdana" w:hAnsi="Verdana"/>
          <w:i/>
          <w:iCs/>
          <w:sz w:val="20"/>
          <w:szCs w:val="20"/>
        </w:rPr>
      </w:pPr>
    </w:p>
    <w:p w14:paraId="795E3431" w14:textId="77777777" w:rsidR="001D7B39" w:rsidRPr="00CE156C" w:rsidRDefault="001D7B39" w:rsidP="001D7B39">
      <w:pPr>
        <w:spacing w:after="120" w:line="276" w:lineRule="auto"/>
        <w:ind w:firstLine="709"/>
        <w:jc w:val="both"/>
        <w:rPr>
          <w:rFonts w:ascii="Verdana" w:eastAsia="Calibri" w:hAnsi="Verdana" w:cs="Arial"/>
          <w:color w:val="000000"/>
          <w:szCs w:val="24"/>
          <w:lang w:eastAsia="es-ES_tradnl"/>
        </w:rPr>
      </w:pPr>
      <w:r w:rsidRPr="00CE156C">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CE156C">
        <w:rPr>
          <w:rFonts w:ascii="Verdana" w:eastAsia="Calibri" w:hAnsi="Verdana" w:cs="Arial"/>
          <w:color w:val="000000"/>
          <w:szCs w:val="24"/>
          <w:lang w:eastAsia="es-ES_tradnl"/>
        </w:rPr>
        <w:tab/>
      </w:r>
    </w:p>
    <w:p w14:paraId="2E0541A0" w14:textId="77777777" w:rsidR="001D7B39" w:rsidRPr="00CE156C" w:rsidRDefault="001D7B39" w:rsidP="001D7B39">
      <w:pPr>
        <w:spacing w:after="0" w:line="276" w:lineRule="auto"/>
        <w:ind w:firstLine="709"/>
        <w:jc w:val="both"/>
        <w:rPr>
          <w:rFonts w:ascii="Verdana" w:eastAsia="Calibri" w:hAnsi="Verdana" w:cs="Arial"/>
          <w:color w:val="000000"/>
          <w:lang w:eastAsia="es-ES"/>
        </w:rPr>
      </w:pPr>
      <w:r w:rsidRPr="00CE156C">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con el problema jurídico de su consulta.  </w:t>
      </w:r>
    </w:p>
    <w:p w14:paraId="1AB35A7D" w14:textId="77777777" w:rsidR="001D7B39" w:rsidRPr="00CE156C" w:rsidRDefault="001D7B39" w:rsidP="001D7B39">
      <w:pPr>
        <w:spacing w:after="0" w:line="276" w:lineRule="auto"/>
        <w:ind w:firstLine="709"/>
        <w:jc w:val="both"/>
        <w:rPr>
          <w:rFonts w:ascii="Verdana" w:eastAsia="Calibri" w:hAnsi="Verdana" w:cs="Arial"/>
          <w:color w:val="000000"/>
          <w:lang w:eastAsia="es-ES"/>
        </w:rPr>
      </w:pPr>
    </w:p>
    <w:p w14:paraId="6DA32C33" w14:textId="77777777" w:rsidR="001D7B39" w:rsidRPr="001E2342" w:rsidRDefault="001D7B39" w:rsidP="001D7B39">
      <w:pPr>
        <w:numPr>
          <w:ilvl w:val="0"/>
          <w:numId w:val="16"/>
        </w:numPr>
        <w:spacing w:after="0" w:line="276" w:lineRule="auto"/>
        <w:jc w:val="both"/>
        <w:rPr>
          <w:rFonts w:ascii="Verdana" w:eastAsia="Calibri" w:hAnsi="Verdana" w:cs="Arial"/>
          <w:color w:val="000000"/>
          <w:szCs w:val="24"/>
          <w:lang w:eastAsia="es-ES_tradnl"/>
        </w:rPr>
      </w:pPr>
      <w:r w:rsidRPr="001E2342">
        <w:rPr>
          <w:rFonts w:ascii="Verdana" w:eastAsia="Century Gothic" w:hAnsi="Verdana" w:cs="Century Gothic"/>
          <w:b/>
          <w:bCs/>
        </w:rPr>
        <w:t>Problema planteado:</w:t>
      </w:r>
    </w:p>
    <w:p w14:paraId="27E3829C" w14:textId="77777777" w:rsidR="001D7B39" w:rsidRDefault="001D7B39" w:rsidP="001D7B39">
      <w:pPr>
        <w:spacing w:after="0" w:line="276" w:lineRule="auto"/>
        <w:jc w:val="both"/>
        <w:rPr>
          <w:rFonts w:ascii="Verdana" w:eastAsia="Calibri" w:hAnsi="Verdana" w:cs="Arial"/>
          <w:color w:val="000000"/>
          <w:szCs w:val="24"/>
          <w:lang w:eastAsia="es-ES_tradnl"/>
        </w:rPr>
      </w:pPr>
    </w:p>
    <w:p w14:paraId="6BC1CEF8" w14:textId="2C5559CC" w:rsidR="001A2F38" w:rsidRPr="001A2F38" w:rsidRDefault="001D7B39" w:rsidP="001A2F38">
      <w:pPr>
        <w:spacing w:after="0" w:line="276" w:lineRule="auto"/>
        <w:jc w:val="both"/>
        <w:rPr>
          <w:rFonts w:ascii="Verdana" w:eastAsia="Calibri" w:hAnsi="Verdana" w:cs="Arial"/>
          <w:color w:val="000000"/>
          <w:lang w:eastAsia="es-ES"/>
        </w:rPr>
      </w:pPr>
      <w:r w:rsidRPr="00CE156C">
        <w:rPr>
          <w:rFonts w:ascii="Verdana" w:eastAsia="Calibri" w:hAnsi="Verdana" w:cs="Arial"/>
          <w:color w:val="000000"/>
          <w:szCs w:val="24"/>
          <w:lang w:eastAsia="es-ES_tradnl"/>
        </w:rPr>
        <w:t>D</w:t>
      </w:r>
      <w:r w:rsidRPr="00CE156C">
        <w:rPr>
          <w:rFonts w:ascii="Verdana" w:eastAsia="Century Gothic" w:hAnsi="Verdana" w:cs="Century Gothic"/>
        </w:rPr>
        <w:t>e acuerdo con el contenido de su solicitud, esta Agencia resolverá el siguiente problema jurídico:</w:t>
      </w:r>
      <w:r w:rsidR="00863720">
        <w:rPr>
          <w:rFonts w:ascii="Verdana" w:eastAsia="Century Gothic" w:hAnsi="Verdana" w:cs="Century Gothic"/>
        </w:rPr>
        <w:t xml:space="preserve"> </w:t>
      </w:r>
      <w:r w:rsidR="001A2F38" w:rsidRPr="001A2F38">
        <w:rPr>
          <w:rFonts w:ascii="Verdana" w:eastAsia="Calibri" w:hAnsi="Verdana" w:cs="Arial"/>
          <w:color w:val="000000"/>
          <w:lang w:eastAsia="es-ES"/>
        </w:rPr>
        <w:t>¿</w:t>
      </w:r>
      <w:r w:rsidR="005F6717">
        <w:rPr>
          <w:rFonts w:ascii="Verdana" w:eastAsia="Calibri" w:hAnsi="Verdana" w:cs="Arial"/>
          <w:color w:val="000000"/>
          <w:lang w:eastAsia="es-ES"/>
        </w:rPr>
        <w:t>En el marco de un contrato de obra pública de larga duración, se p</w:t>
      </w:r>
      <w:r w:rsidR="001A2F38" w:rsidRPr="001A2F38">
        <w:rPr>
          <w:rFonts w:ascii="Verdana" w:eastAsia="Calibri" w:hAnsi="Verdana" w:cs="Arial"/>
          <w:color w:val="000000"/>
          <w:lang w:eastAsia="es-ES"/>
        </w:rPr>
        <w:t>uede iniciar el amparo de estabilidad y calidad de la obra para tramos recibidos definitivamente antes de la terminación del contrato</w:t>
      </w:r>
      <w:r w:rsidR="005F6717">
        <w:rPr>
          <w:rFonts w:ascii="Verdana" w:eastAsia="Calibri" w:hAnsi="Verdana" w:cs="Arial"/>
          <w:color w:val="000000"/>
          <w:lang w:eastAsia="es-ES"/>
        </w:rPr>
        <w:t xml:space="preserve"> en su totalidad</w:t>
      </w:r>
      <w:r w:rsidR="001A2F38" w:rsidRPr="001A2F38">
        <w:rPr>
          <w:rFonts w:ascii="Verdana" w:eastAsia="Calibri" w:hAnsi="Verdana" w:cs="Arial"/>
          <w:color w:val="000000"/>
          <w:lang w:eastAsia="es-ES"/>
        </w:rPr>
        <w:t>, sin desconocer el principio de indivisibilidad de la garantía y las reglas de suficiencia de la póliza?</w:t>
      </w:r>
    </w:p>
    <w:p w14:paraId="3115D7F0" w14:textId="052DDEF5" w:rsidR="00991DA8" w:rsidRPr="00991DA8" w:rsidRDefault="00991DA8" w:rsidP="00991DA8">
      <w:pPr>
        <w:spacing w:after="0" w:line="276" w:lineRule="auto"/>
        <w:jc w:val="both"/>
        <w:rPr>
          <w:rFonts w:ascii="Verdana" w:eastAsia="Calibri" w:hAnsi="Verdana" w:cs="Arial"/>
          <w:color w:val="000000"/>
          <w:highlight w:val="yellow"/>
          <w:lang w:eastAsia="es-ES"/>
        </w:rPr>
      </w:pPr>
    </w:p>
    <w:p w14:paraId="71C2EFA1" w14:textId="77777777" w:rsidR="001D7B39" w:rsidRPr="008E2DC6" w:rsidRDefault="001D7B39" w:rsidP="001D7B39">
      <w:pPr>
        <w:numPr>
          <w:ilvl w:val="0"/>
          <w:numId w:val="16"/>
        </w:numPr>
        <w:spacing w:after="0" w:line="276" w:lineRule="auto"/>
        <w:jc w:val="both"/>
        <w:rPr>
          <w:rFonts w:ascii="Verdana" w:eastAsia="Century Gothic" w:hAnsi="Verdana" w:cs="Century Gothic"/>
          <w:b/>
          <w:bCs/>
        </w:rPr>
      </w:pPr>
      <w:r w:rsidRPr="008E2DC6">
        <w:rPr>
          <w:rFonts w:ascii="Verdana" w:eastAsia="Century Gothic" w:hAnsi="Verdana" w:cs="Century Gothic"/>
          <w:b/>
          <w:bCs/>
        </w:rPr>
        <w:t>Respuesta:</w:t>
      </w:r>
    </w:p>
    <w:p w14:paraId="5E6FE23B" w14:textId="77777777" w:rsidR="001D7B39" w:rsidRPr="008E2DC6" w:rsidRDefault="001D7B39" w:rsidP="001D7B39">
      <w:pPr>
        <w:spacing w:after="0" w:line="276" w:lineRule="auto"/>
        <w:ind w:left="720"/>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1D7B39" w:rsidRPr="00CE156C" w14:paraId="0CA0465C" w14:textId="77777777" w:rsidTr="00EB7FC9">
        <w:tc>
          <w:tcPr>
            <w:tcW w:w="8828" w:type="dxa"/>
          </w:tcPr>
          <w:p w14:paraId="6345BFD7" w14:textId="77777777" w:rsidR="00C278B4" w:rsidRPr="00C278B4" w:rsidRDefault="00C278B4" w:rsidP="00C278B4">
            <w:pPr>
              <w:spacing w:before="120" w:line="276" w:lineRule="auto"/>
              <w:jc w:val="both"/>
              <w:rPr>
                <w:rFonts w:ascii="Verdana" w:eastAsia="Calibri" w:hAnsi="Verdana" w:cs="Arial"/>
              </w:rPr>
            </w:pPr>
            <w:r w:rsidRPr="00C278B4">
              <w:rPr>
                <w:rFonts w:ascii="Verdana" w:eastAsia="Calibri" w:hAnsi="Verdana" w:cs="Arial"/>
              </w:rPr>
              <w:t>Para resolver el problema jurídico planteado, resulta necesario precisar, en primer lugar, el alcance de las obligaciones que asume el contratista en un contrato de obra y la forma en que estas se proyectan durante las diferentes etapas de la ejecución contractual, toda vez que la respuesta no depende exclusivamente de la interpretación del régimen de garantías, sino de la naturaleza misma de las obligaciones derivadas de esta tipología contractual.</w:t>
            </w:r>
          </w:p>
          <w:p w14:paraId="05DD82E3" w14:textId="30666CEF" w:rsidR="00C278B4" w:rsidRPr="00C278B4" w:rsidRDefault="00C278B4" w:rsidP="00BC6DE2">
            <w:pPr>
              <w:spacing w:before="120" w:line="276" w:lineRule="auto"/>
              <w:ind w:firstLine="709"/>
              <w:jc w:val="both"/>
              <w:rPr>
                <w:rFonts w:ascii="Verdana" w:eastAsia="Calibri" w:hAnsi="Verdana" w:cs="Arial"/>
              </w:rPr>
            </w:pPr>
            <w:r w:rsidRPr="00C278B4">
              <w:rPr>
                <w:rFonts w:ascii="Verdana" w:eastAsia="Calibri" w:hAnsi="Verdana" w:cs="Arial"/>
              </w:rPr>
              <w:t xml:space="preserve">En efecto, el contrato de obra </w:t>
            </w:r>
            <w:r w:rsidR="007F5ED6">
              <w:rPr>
                <w:rFonts w:ascii="Verdana" w:eastAsia="Calibri" w:hAnsi="Verdana" w:cs="Arial"/>
              </w:rPr>
              <w:t xml:space="preserve">en sentido estricto, según lo establecido en el artículo 32 de la Ley 80, </w:t>
            </w:r>
            <w:r w:rsidRPr="00C278B4">
              <w:rPr>
                <w:rFonts w:ascii="Verdana" w:eastAsia="Calibri" w:hAnsi="Verdana" w:cs="Arial"/>
              </w:rPr>
              <w:t xml:space="preserve">tiene por finalidad la obtención de un resultado concreto consistente en la construcción, mantenimiento, instalación o </w:t>
            </w:r>
            <w:r w:rsidR="00F94EE0">
              <w:rPr>
                <w:rFonts w:ascii="Verdana" w:eastAsia="Calibri" w:hAnsi="Verdana" w:cs="Arial"/>
              </w:rPr>
              <w:t xml:space="preserve">en general, para la </w:t>
            </w:r>
            <w:r w:rsidRPr="00C278B4">
              <w:rPr>
                <w:rFonts w:ascii="Verdana" w:eastAsia="Calibri" w:hAnsi="Verdana" w:cs="Arial"/>
              </w:rPr>
              <w:t xml:space="preserve">realización </w:t>
            </w:r>
            <w:r w:rsidR="00193057" w:rsidRPr="00193057">
              <w:rPr>
                <w:rFonts w:ascii="Verdana" w:eastAsia="Calibri" w:hAnsi="Verdana" w:cs="Arial"/>
              </w:rPr>
              <w:t>de cualquier otro trabajo material sobre bienes inmuebles</w:t>
            </w:r>
            <w:r w:rsidR="00193057">
              <w:rPr>
                <w:rFonts w:ascii="Verdana" w:eastAsia="Calibri" w:hAnsi="Verdana" w:cs="Arial"/>
              </w:rPr>
              <w:t xml:space="preserve">, </w:t>
            </w:r>
            <w:r w:rsidRPr="00C278B4">
              <w:rPr>
                <w:rFonts w:ascii="Verdana" w:eastAsia="Calibri" w:hAnsi="Verdana" w:cs="Arial"/>
              </w:rPr>
              <w:t>apta para satisfacer la necesidad pública que motivó la contratación. En ese sentido, la obligación asumida por el contratista constituye, por regla general, una obligación de resultado, en la medida en que no se limita al despliegue de una actividad diligente durante la ejecución del contrato, sino que comprende la entrega de una obra que reúna las condiciones técnicas, funcionales, estructurales y de calidad necesarias para cumplir adecuadamente la finalidad para la cual fue concebida.</w:t>
            </w:r>
          </w:p>
          <w:p w14:paraId="5A517BC5" w14:textId="7F443987" w:rsidR="00EF2CEF" w:rsidRDefault="006305F3" w:rsidP="006305F3">
            <w:pPr>
              <w:spacing w:before="120" w:line="276" w:lineRule="auto"/>
              <w:ind w:firstLine="709"/>
              <w:jc w:val="both"/>
              <w:rPr>
                <w:rFonts w:ascii="Verdana" w:eastAsia="Calibri" w:hAnsi="Verdana" w:cs="Arial"/>
              </w:rPr>
            </w:pPr>
            <w:r>
              <w:rPr>
                <w:rFonts w:ascii="Verdana" w:eastAsia="Calibri" w:hAnsi="Verdana" w:cs="Arial"/>
              </w:rPr>
              <w:t>Ahora bien, l</w:t>
            </w:r>
            <w:r w:rsidR="00EF2CEF" w:rsidRPr="009920EA">
              <w:rPr>
                <w:rFonts w:ascii="Verdana" w:eastAsia="Calibri" w:hAnsi="Verdana" w:cs="Arial"/>
              </w:rPr>
              <w:t xml:space="preserve">a recepción parcial de tramos de obra es jurídicamente procedente en contratos de larga duración </w:t>
            </w:r>
            <w:r>
              <w:rPr>
                <w:rFonts w:ascii="Verdana" w:eastAsia="Calibri" w:hAnsi="Verdana" w:cs="Arial"/>
              </w:rPr>
              <w:t xml:space="preserve">- </w:t>
            </w:r>
            <w:r w:rsidR="00EF2CEF" w:rsidRPr="009920EA">
              <w:rPr>
                <w:rFonts w:ascii="Verdana" w:eastAsia="Calibri" w:hAnsi="Verdana" w:cs="Arial"/>
              </w:rPr>
              <w:t>superiores a tres años</w:t>
            </w:r>
            <w:r>
              <w:rPr>
                <w:rFonts w:ascii="Verdana" w:eastAsia="Calibri" w:hAnsi="Verdana" w:cs="Arial"/>
              </w:rPr>
              <w:t xml:space="preserve"> como lo menciona en su petición -</w:t>
            </w:r>
            <w:r w:rsidR="00EF2CEF" w:rsidRPr="009920EA">
              <w:rPr>
                <w:rFonts w:ascii="Verdana" w:eastAsia="Calibri" w:hAnsi="Verdana" w:cs="Arial"/>
              </w:rPr>
              <w:t>, siempre que se pacte en los pliegos o el contrato</w:t>
            </w:r>
            <w:r w:rsidR="00EC3504">
              <w:rPr>
                <w:rFonts w:ascii="Verdana" w:eastAsia="Calibri" w:hAnsi="Verdana" w:cs="Arial"/>
              </w:rPr>
              <w:t>, en virtud de la autonomía de la voluntad</w:t>
            </w:r>
            <w:r w:rsidR="00EF2CEF" w:rsidRPr="009920EA">
              <w:rPr>
                <w:rFonts w:ascii="Verdana" w:eastAsia="Calibri" w:hAnsi="Verdana" w:cs="Arial"/>
              </w:rPr>
              <w:t>. Sin embargo, el </w:t>
            </w:r>
            <w:r w:rsidR="00EF2CEF" w:rsidRPr="0041330D">
              <w:rPr>
                <w:rFonts w:ascii="Verdana" w:eastAsia="Calibri" w:hAnsi="Verdana" w:cs="Arial"/>
              </w:rPr>
              <w:t>cómputo independiente de las garantías y las obligaciones de mantenimiento</w:t>
            </w:r>
            <w:r w:rsidR="00EF2CEF" w:rsidRPr="009920EA">
              <w:rPr>
                <w:rFonts w:ascii="Verdana" w:eastAsia="Calibri" w:hAnsi="Verdana" w:cs="Arial"/>
              </w:rPr>
              <w:t> dependen estrictamente de la estructuración del negocio. </w:t>
            </w:r>
          </w:p>
          <w:p w14:paraId="1DF2E189" w14:textId="77777777" w:rsidR="00C278B4" w:rsidRPr="00C278B4" w:rsidRDefault="00C278B4" w:rsidP="00BC6DE2">
            <w:pPr>
              <w:spacing w:before="120" w:line="276" w:lineRule="auto"/>
              <w:ind w:firstLine="709"/>
              <w:jc w:val="both"/>
              <w:rPr>
                <w:rFonts w:ascii="Verdana" w:eastAsia="Calibri" w:hAnsi="Verdana" w:cs="Arial"/>
              </w:rPr>
            </w:pPr>
            <w:r w:rsidRPr="00C278B4">
              <w:rPr>
                <w:rFonts w:ascii="Verdana" w:eastAsia="Calibri" w:hAnsi="Verdana" w:cs="Arial"/>
              </w:rPr>
              <w:t>En atención a ello, el ordenamiento jurídico prevé un sistema de garantías encaminado a proteger el interés general y el patrimonio público frente a los distintos riesgos que pueden presentarse durante la vida del contrato y con posterioridad a la entrega de la obra. Dicho sistema reconoce que la responsabilidad del contratista no se agota con la ejecución material de las actividades contratadas ni con la entrega física de la infraestructura a la entidad estatal, sino que se proyecta en el tiempo respecto de aquellas circunstancias que, aun manifestándose con posterioridad al recibo de la obra, tienen origen en una ejecución contractual deficiente.</w:t>
            </w:r>
          </w:p>
          <w:p w14:paraId="09C2F88C" w14:textId="77777777" w:rsidR="00C278B4" w:rsidRPr="00C278B4" w:rsidRDefault="00C278B4" w:rsidP="00BC6DE2">
            <w:pPr>
              <w:spacing w:before="120" w:line="276" w:lineRule="auto"/>
              <w:ind w:firstLine="709"/>
              <w:jc w:val="both"/>
              <w:rPr>
                <w:rFonts w:ascii="Verdana" w:eastAsia="Calibri" w:hAnsi="Verdana" w:cs="Arial"/>
              </w:rPr>
            </w:pPr>
            <w:r w:rsidRPr="00C278B4">
              <w:rPr>
                <w:rFonts w:ascii="Verdana" w:eastAsia="Calibri" w:hAnsi="Verdana" w:cs="Arial"/>
              </w:rPr>
              <w:lastRenderedPageBreak/>
              <w:t>Lo anterior permite afirmar que la responsabilidad del contratista evoluciona conforme a las distintas etapas del contrato. Durante la fase de ejecución responde por el cumplimiento oportuno, integral y adecuado de las obligaciones contractuales; posteriormente, una vez la obra es recibida definitivamente por la entidad, cesan las obligaciones propias de la etapa constructiva respecto de la infraestructura entregada, pero subsiste la responsabilidad por la estabilidad y calidad de la obra, en cuanto esta constituye una manifestación del resultado cuya obtención se obligó a garantizar. En consecuencia, el régimen de responsabilidad aplicable no desaparece con ocasión del recibo definitivo, sino que se transforma conforme a la naturaleza de las obligaciones que permanecen vigentes después de la entrega de la obra.</w:t>
            </w:r>
          </w:p>
          <w:p w14:paraId="17C5DA0B" w14:textId="77777777" w:rsidR="00C278B4" w:rsidRPr="00C278B4" w:rsidRDefault="00C278B4" w:rsidP="00BC6DE2">
            <w:pPr>
              <w:spacing w:before="120" w:line="276" w:lineRule="auto"/>
              <w:ind w:firstLine="709"/>
              <w:jc w:val="both"/>
              <w:rPr>
                <w:rFonts w:ascii="Verdana" w:eastAsia="Calibri" w:hAnsi="Verdana" w:cs="Arial"/>
              </w:rPr>
            </w:pPr>
            <w:r w:rsidRPr="00C278B4">
              <w:rPr>
                <w:rFonts w:ascii="Verdana" w:eastAsia="Calibri" w:hAnsi="Verdana" w:cs="Arial"/>
              </w:rPr>
              <w:t>Bajo esta misma lógica, el recibo definitivo de la obra produce efectos jurídicos tanto para la entidad estatal como para el contratista, aunque dichos efectos no son equivalentes. En relación con la entidad, el recibo determina que esta asuma la administración, operación, conservación y mantenimiento ordinario de la infraestructura recibida, así como los riesgos derivados de su uso y explotación normal. Sin embargo, ello no implica que la entidad asuma las consecuencias originadas en defectos constructivos, errores técnicos, utilización de materiales inadecuados, incumplimiento de las especificaciones contractuales o cualquier otra circunstancia imputable a la actividad desarrollada por el contratista durante la ejecución de la obra.</w:t>
            </w:r>
          </w:p>
          <w:p w14:paraId="1C4AA0E7" w14:textId="77777777" w:rsidR="00C278B4" w:rsidRPr="00C278B4" w:rsidRDefault="00C278B4" w:rsidP="00BC6DE2">
            <w:pPr>
              <w:spacing w:before="120" w:line="276" w:lineRule="auto"/>
              <w:ind w:firstLine="709"/>
              <w:jc w:val="both"/>
              <w:rPr>
                <w:rFonts w:ascii="Verdana" w:eastAsia="Calibri" w:hAnsi="Verdana" w:cs="Arial"/>
              </w:rPr>
            </w:pPr>
            <w:r w:rsidRPr="00C278B4">
              <w:rPr>
                <w:rFonts w:ascii="Verdana" w:eastAsia="Calibri" w:hAnsi="Verdana" w:cs="Arial"/>
              </w:rPr>
              <w:t>En efecto, el hecho de que la entidad reciba definitivamente una obra o un tramo de esta y, en consecuencia, adquiera las responsabilidades propias de su administración, no comporta la extinción de la responsabilidad del contratista frente a las deficiencias que afecten la estabilidad o calidad de la infraestructura construida. La finalidad del recibo consiste en acreditar que la obra puede destinarse al uso previsto contractualmente y habilitar a la entidad para asumir su administración; no obstante, ello no constituye una aceptación irrestricta de la calidad de la ejecución ni exonera al contratista de responder por aquellos defectos cuya causa resulte imputable a su actuación.</w:t>
            </w:r>
          </w:p>
          <w:p w14:paraId="760B8DA4" w14:textId="77777777" w:rsidR="00C278B4" w:rsidRPr="00C278B4" w:rsidRDefault="00C278B4" w:rsidP="00BC6DE2">
            <w:pPr>
              <w:spacing w:before="120" w:line="276" w:lineRule="auto"/>
              <w:ind w:firstLine="709"/>
              <w:jc w:val="both"/>
              <w:rPr>
                <w:rFonts w:ascii="Verdana" w:eastAsia="Calibri" w:hAnsi="Verdana" w:cs="Arial"/>
              </w:rPr>
            </w:pPr>
            <w:r w:rsidRPr="00C278B4">
              <w:rPr>
                <w:rFonts w:ascii="Verdana" w:eastAsia="Calibri" w:hAnsi="Verdana" w:cs="Arial"/>
              </w:rPr>
              <w:t xml:space="preserve">Esta interpretación ha sido sostenida de manera reiterada por la Sección Tercera del Consejo de Estado, al señalar que el recibo de la obra no elimina la responsabilidad del contratista respecto de los vicios ocultos, defectos constructivos o problemas de estabilidad que puedan evidenciarse con </w:t>
            </w:r>
            <w:r w:rsidRPr="00C278B4">
              <w:rPr>
                <w:rFonts w:ascii="Verdana" w:eastAsia="Calibri" w:hAnsi="Verdana" w:cs="Arial"/>
              </w:rPr>
              <w:lastRenderedPageBreak/>
              <w:t>posterioridad, pues tales circunstancias corresponden a una modalidad distinta de responsabilidad derivada precisamente de la obligación de entregar una obra apta para cumplir la finalidad pública perseguida mediante el contrato.</w:t>
            </w:r>
          </w:p>
          <w:p w14:paraId="3445B09C" w14:textId="77B06122" w:rsidR="00C278B4" w:rsidRPr="00C278B4" w:rsidRDefault="00C278B4" w:rsidP="00BC6DE2">
            <w:pPr>
              <w:spacing w:before="120" w:line="276" w:lineRule="auto"/>
              <w:ind w:firstLine="709"/>
              <w:jc w:val="both"/>
              <w:rPr>
                <w:rFonts w:ascii="Verdana" w:eastAsia="Calibri" w:hAnsi="Verdana" w:cs="Arial"/>
              </w:rPr>
            </w:pPr>
            <w:r w:rsidRPr="00C278B4">
              <w:rPr>
                <w:rFonts w:ascii="Verdana" w:eastAsia="Calibri" w:hAnsi="Verdana" w:cs="Arial"/>
              </w:rPr>
              <w:t xml:space="preserve">Precisamente para garantizar esa continuidad en la responsabilidad del contratista, </w:t>
            </w:r>
            <w:r w:rsidR="00F91A0F">
              <w:rPr>
                <w:rFonts w:ascii="Verdana" w:eastAsia="Calibri" w:hAnsi="Verdana" w:cs="Arial"/>
              </w:rPr>
              <w:t xml:space="preserve">legalmente se </w:t>
            </w:r>
            <w:r w:rsidRPr="00C278B4">
              <w:rPr>
                <w:rFonts w:ascii="Verdana" w:eastAsia="Calibri" w:hAnsi="Verdana" w:cs="Arial"/>
              </w:rPr>
              <w:t>prevé el amparo de estabilidad y calidad de la obra, cuya finalidad consiste en proteger a la entidad frente a los perjuicios ocasionados por defectos constructivos, fallas estructurales, vicios ocultos o deficiencias de calidad que puedan manifestarse con posterioridad al recibo definitivo de la infraestructura. En consecuencia, dicho amparo no constituye una garantía orientada a asegurar el cumplimiento de las obligaciones propias de la fase constructiva, sino a respaldar la responsabilidad que continúa en cabeza del contratista respecto del resultado entregado.</w:t>
            </w:r>
          </w:p>
          <w:p w14:paraId="70951707" w14:textId="77777777" w:rsidR="00C278B4" w:rsidRPr="00C278B4" w:rsidRDefault="00C278B4" w:rsidP="00BC6DE2">
            <w:pPr>
              <w:spacing w:before="120" w:line="276" w:lineRule="auto"/>
              <w:ind w:firstLine="709"/>
              <w:jc w:val="both"/>
              <w:rPr>
                <w:rFonts w:ascii="Verdana" w:eastAsia="Calibri" w:hAnsi="Verdana" w:cs="Arial"/>
              </w:rPr>
            </w:pPr>
            <w:r w:rsidRPr="00C278B4">
              <w:rPr>
                <w:rFonts w:ascii="Verdana" w:eastAsia="Calibri" w:hAnsi="Verdana" w:cs="Arial"/>
              </w:rPr>
              <w:t>A partir de lo anterior, corresponde analizar el alcance del principio de indivisibilidad de la garantía única de cumplimiento frente a los contratos de obra pública cuya ejecución contempla el recibo definitivo de tramos o unidades funcionales antes de la terminación integral del contrato.</w:t>
            </w:r>
          </w:p>
          <w:p w14:paraId="22A156E3" w14:textId="77777777" w:rsidR="00C278B4" w:rsidRPr="00C278B4" w:rsidRDefault="00C278B4" w:rsidP="00BC6DE2">
            <w:pPr>
              <w:spacing w:before="120" w:line="276" w:lineRule="auto"/>
              <w:ind w:firstLine="709"/>
              <w:jc w:val="both"/>
              <w:rPr>
                <w:rFonts w:ascii="Verdana" w:eastAsia="Calibri" w:hAnsi="Verdana" w:cs="Arial"/>
              </w:rPr>
            </w:pPr>
            <w:r w:rsidRPr="00C278B4">
              <w:rPr>
                <w:rFonts w:ascii="Verdana" w:eastAsia="Calibri" w:hAnsi="Verdana" w:cs="Arial"/>
              </w:rPr>
              <w:t>Sobre este aspecto, es importante precisar que el principio de indivisibilidad de la garantía no significa que todos los amparos que la integran deban iniciar su vigencia simultáneamente ni que la responsabilidad derivada de cada uno de los riesgos asegurados únicamente pueda hacerse efectiva una vez finalice la totalidad del contrato. La indivisibilidad hace referencia a la existencia de un único instrumento de garantía destinado a respaldar los distintos riesgos derivados de la ejecución contractual; sin embargo, cada uno de los amparos conserva autonomía respecto del riesgo específico que protege, de su finalidad, de su vigencia y de las condiciones bajo las cuales resulta exigible.</w:t>
            </w:r>
          </w:p>
          <w:p w14:paraId="228F194F" w14:textId="77777777" w:rsidR="00C278B4" w:rsidRPr="00C278B4" w:rsidRDefault="00C278B4" w:rsidP="00BC6DE2">
            <w:pPr>
              <w:spacing w:before="120" w:line="276" w:lineRule="auto"/>
              <w:ind w:firstLine="709"/>
              <w:jc w:val="both"/>
              <w:rPr>
                <w:rFonts w:ascii="Verdana" w:eastAsia="Calibri" w:hAnsi="Verdana" w:cs="Arial"/>
              </w:rPr>
            </w:pPr>
            <w:r w:rsidRPr="00C278B4">
              <w:rPr>
                <w:rFonts w:ascii="Verdana" w:eastAsia="Calibri" w:hAnsi="Verdana" w:cs="Arial"/>
              </w:rPr>
              <w:t xml:space="preserve">En ese sentido, el artículo 124 del Decreto 1510 de 2013, hoy compilado en el artículo 2.2.1.2.3.1.14 del Decreto 1082 de 2015, dispone que la suficiencia del amparo de estabilidad y calidad de la obra debe ser determinada por la entidad estatal teniendo en cuenta el objeto, el valor, la naturaleza y las obligaciones contenidas en el contrato. Esta disposición evidencia que el régimen reglamentario no supedita la operatividad del amparo a la terminación integral del contrato, sino que exige que la cobertura sea suficiente para garantizar el riesgo cuya protección se pretende asegurar. Así, el criterio determinante para establecer la operatividad del amparo no es la culminación </w:t>
            </w:r>
            <w:r w:rsidRPr="00C278B4">
              <w:rPr>
                <w:rFonts w:ascii="Verdana" w:eastAsia="Calibri" w:hAnsi="Verdana" w:cs="Arial"/>
              </w:rPr>
              <w:lastRenderedPageBreak/>
              <w:t>formal del contrato, sino la existencia de una obra respecto de la cual pueda predicarse el riesgo de estabilidad y calidad que el ordenamiento busca proteger.</w:t>
            </w:r>
          </w:p>
          <w:p w14:paraId="66CAB32E" w14:textId="77777777" w:rsidR="00C278B4" w:rsidRPr="00C278B4" w:rsidRDefault="00C278B4" w:rsidP="00BC6DE2">
            <w:pPr>
              <w:spacing w:before="120" w:line="276" w:lineRule="auto"/>
              <w:ind w:firstLine="709"/>
              <w:jc w:val="both"/>
              <w:rPr>
                <w:rFonts w:ascii="Verdana" w:eastAsia="Calibri" w:hAnsi="Verdana" w:cs="Arial"/>
              </w:rPr>
            </w:pPr>
            <w:r w:rsidRPr="00C278B4">
              <w:rPr>
                <w:rFonts w:ascii="Verdana" w:eastAsia="Calibri" w:hAnsi="Verdana" w:cs="Arial"/>
              </w:rPr>
              <w:t>Lo anterior adquiere especial relevancia en los contratos de obra pública de larga duración cuya ejecución se desarrolla por etapas, frentes de trabajo o unidades funcionales susceptibles de ser recibidas definitivamente antes de la culminación del objeto contractual. En estos eventos, una vez la entidad verifica el cumplimiento de las especificaciones técnicas respecto de un determinado tramo y procede a recibirlo definitivamente para su utilización, dicho segmento de la infraestructura entra en operación y queda sometido a las actividades de administración, conservación y mantenimiento ordinario a cargo de la entidad. No obstante, el hecho de que la entidad asuma tales funciones no implica que desaparezca la responsabilidad del contratista frente a los defectos de estabilidad o calidad que puedan manifestarse posteriormente y cuya causa sea atribuible a la ejecución de la obra.</w:t>
            </w:r>
          </w:p>
          <w:p w14:paraId="0948D07E" w14:textId="77777777" w:rsidR="00C278B4" w:rsidRPr="00C278B4" w:rsidRDefault="00C278B4" w:rsidP="00BC6DE2">
            <w:pPr>
              <w:spacing w:before="120" w:line="276" w:lineRule="auto"/>
              <w:ind w:firstLine="709"/>
              <w:jc w:val="both"/>
              <w:rPr>
                <w:rFonts w:ascii="Verdana" w:eastAsia="Calibri" w:hAnsi="Verdana" w:cs="Arial"/>
              </w:rPr>
            </w:pPr>
            <w:r w:rsidRPr="00C278B4">
              <w:rPr>
                <w:rFonts w:ascii="Verdana" w:eastAsia="Calibri" w:hAnsi="Verdana" w:cs="Arial"/>
              </w:rPr>
              <w:t>Por el contrario, es precisamente a partir del recibo definitivo cuando adquiere plena operatividad el amparo de estabilidad y calidad respecto de la infraestructura efectivamente entregada, pues es desde ese momento cuando la obra entra en servicio y pueden materializarse los riesgos que dicha garantía busca cubrir. En consecuencia, la responsabilidad del contratista no cesa con ocasión del recibo definitivo del tramo de obra, sino que continúa vigente bajo un régimen distinto, orientado a responder por las fallas estructurales, los defectos constructivos o las deficiencias técnicas imputables a la ejecución contractual.</w:t>
            </w:r>
          </w:p>
          <w:p w14:paraId="49733103" w14:textId="77777777" w:rsidR="00C278B4" w:rsidRPr="00C278B4" w:rsidRDefault="00C278B4" w:rsidP="00BC6DE2">
            <w:pPr>
              <w:spacing w:before="120" w:line="276" w:lineRule="auto"/>
              <w:ind w:firstLine="709"/>
              <w:jc w:val="both"/>
              <w:rPr>
                <w:rFonts w:ascii="Verdana" w:eastAsia="Calibri" w:hAnsi="Verdana" w:cs="Arial"/>
              </w:rPr>
            </w:pPr>
            <w:r w:rsidRPr="00C278B4">
              <w:rPr>
                <w:rFonts w:ascii="Verdana" w:eastAsia="Calibri" w:hAnsi="Verdana" w:cs="Arial"/>
              </w:rPr>
              <w:t>Una interpretación diferente conduciría a dejar desprotegido el interés público durante el período comprendido entre el recibo definitivo de un tramo de obra y la terminación integral del contrato, pues la entidad asumiría la administración y utilización de una infraestructura respecto de la cual podrían manifestarse defectos propios de la estabilidad o calidad sin contar con la cobertura efectiva del amparo destinado precisamente a garantizar esos riesgos. Tal conclusión resultaría incompatible con la finalidad del sistema de garantías previsto por el ordenamiento jurídico, cuya razón de ser consiste en asegurar la continuidad de la protección del patrimonio público durante todas las etapas en las que puedan materializarse los riesgos derivados de la actividad contractual.</w:t>
            </w:r>
          </w:p>
          <w:p w14:paraId="4284FE40" w14:textId="77777777" w:rsidR="00F601E3" w:rsidRDefault="00C278B4" w:rsidP="00F601E3">
            <w:pPr>
              <w:spacing w:before="120" w:line="276" w:lineRule="auto"/>
              <w:ind w:firstLine="709"/>
              <w:jc w:val="both"/>
              <w:rPr>
                <w:rFonts w:ascii="Verdana" w:eastAsia="Calibri" w:hAnsi="Verdana" w:cs="Arial"/>
              </w:rPr>
            </w:pPr>
            <w:r w:rsidRPr="00C278B4">
              <w:rPr>
                <w:rFonts w:ascii="Verdana" w:eastAsia="Calibri" w:hAnsi="Verdana" w:cs="Arial"/>
              </w:rPr>
              <w:lastRenderedPageBreak/>
              <w:t xml:space="preserve">En consecuencia, tratándose de contratos de obra pública de larga duración en los cuales sea técnica y contractualmente procedente el recibo definitivo de tramos o unidades funcionales antes de la terminación integral del contrato, resulta jurídicamente viable que respecto de dichos segmentos inicie la cobertura del amparo de estabilidad y calidad desde el momento de su recibo definitivo, siempre que la garantía mantenga la suficiencia necesaria para respaldar el riesgo asegurado y las condiciones contractuales permitan identificar de manera clara el alcance de la infraestructura efectivamente recibida. </w:t>
            </w:r>
          </w:p>
          <w:p w14:paraId="3D735568" w14:textId="32BAC785" w:rsidR="001D7B39" w:rsidRPr="00F601E3" w:rsidRDefault="0018168E" w:rsidP="00F601E3">
            <w:pPr>
              <w:spacing w:before="120" w:line="276" w:lineRule="auto"/>
              <w:ind w:firstLine="709"/>
              <w:jc w:val="both"/>
              <w:rPr>
                <w:rFonts w:ascii="Verdana" w:eastAsia="Calibri" w:hAnsi="Verdana" w:cs="Arial"/>
              </w:rPr>
            </w:pPr>
            <w:r>
              <w:rPr>
                <w:rFonts w:ascii="Verdana" w:hAnsi="Verdana" w:cs="Arial"/>
                <w:color w:val="000000" w:themeColor="text1"/>
              </w:rPr>
              <w:t>Aunado a lo anteriormente expuesto,</w:t>
            </w:r>
            <w:r w:rsidR="001D7B39" w:rsidRPr="00957B79">
              <w:rPr>
                <w:rFonts w:ascii="Verdana" w:hAnsi="Verdana" w:cs="Arial"/>
                <w:color w:val="000000" w:themeColor="text1"/>
              </w:rPr>
              <w:t xml:space="preserve"> es pertinente señalar que Colombia Compra Eficiente, en ejercicio de su función consultiva, no está llamada a definir criterios universales y absolutos, sino a suministrar elementos hermenéuticos de carácter general que orienten a los partícipes del Sistema de Compras y Contratación Pública en la adopción de sus decisiones, en consonancia con el principio de juridicidad. En consecuencia, corresponde a las entidades estatales, en cada caso concreto, determinar los criterios aplicables, con sujeción a los principios y normas que rigen el Estatuto General de Contratación de la Administración Pública (EGCAP)</w:t>
            </w:r>
            <w:r w:rsidR="001D7B39">
              <w:rPr>
                <w:rFonts w:ascii="Verdana" w:hAnsi="Verdana" w:cs="Arial"/>
                <w:color w:val="000000" w:themeColor="text1"/>
              </w:rPr>
              <w:t>.</w:t>
            </w:r>
          </w:p>
        </w:tc>
      </w:tr>
    </w:tbl>
    <w:p w14:paraId="7BB7E726" w14:textId="77777777" w:rsidR="001D7B39" w:rsidRPr="00CE156C" w:rsidRDefault="001D7B39" w:rsidP="001D7B39">
      <w:pPr>
        <w:tabs>
          <w:tab w:val="left" w:pos="142"/>
          <w:tab w:val="left" w:pos="284"/>
        </w:tabs>
        <w:spacing w:after="0" w:line="276" w:lineRule="auto"/>
        <w:jc w:val="both"/>
        <w:rPr>
          <w:rFonts w:ascii="Verdana" w:eastAsia="Century Gothic" w:hAnsi="Verdana" w:cs="Century Gothic"/>
          <w:b/>
          <w:bCs/>
        </w:rPr>
      </w:pPr>
    </w:p>
    <w:p w14:paraId="592B91B1" w14:textId="77777777" w:rsidR="001D7B39" w:rsidRPr="00F926E2" w:rsidRDefault="001D7B39" w:rsidP="001D7B39">
      <w:pPr>
        <w:tabs>
          <w:tab w:val="left" w:pos="142"/>
          <w:tab w:val="left" w:pos="284"/>
        </w:tabs>
        <w:spacing w:after="0" w:line="276" w:lineRule="auto"/>
        <w:jc w:val="both"/>
        <w:rPr>
          <w:rFonts w:ascii="Verdana" w:eastAsia="Calibri" w:hAnsi="Verdana" w:cs="Arial"/>
        </w:rPr>
      </w:pPr>
      <w:r w:rsidRPr="00F07E96">
        <w:rPr>
          <w:rFonts w:ascii="Verdana" w:eastAsia="Century Gothic" w:hAnsi="Verdana" w:cs="Century Gothic"/>
          <w:b/>
          <w:bCs/>
        </w:rPr>
        <w:t>3. Razones de la respuesta:</w:t>
      </w:r>
    </w:p>
    <w:p w14:paraId="77811AEC" w14:textId="77777777" w:rsidR="001D7B39" w:rsidRDefault="001D7B39" w:rsidP="001D7B39">
      <w:pPr>
        <w:tabs>
          <w:tab w:val="left" w:pos="142"/>
          <w:tab w:val="left" w:pos="284"/>
        </w:tabs>
        <w:spacing w:after="0" w:line="276" w:lineRule="auto"/>
        <w:jc w:val="both"/>
        <w:rPr>
          <w:rFonts w:ascii="Verdana" w:eastAsia="Calibri" w:hAnsi="Verdana" w:cs="Arial"/>
        </w:rPr>
      </w:pPr>
    </w:p>
    <w:p w14:paraId="2EF2D7F5" w14:textId="77777777" w:rsidR="001D7B39" w:rsidRDefault="001D7B39" w:rsidP="001D7B39">
      <w:pPr>
        <w:tabs>
          <w:tab w:val="left" w:pos="142"/>
          <w:tab w:val="left" w:pos="284"/>
        </w:tabs>
        <w:spacing w:after="0" w:line="276" w:lineRule="auto"/>
        <w:jc w:val="both"/>
        <w:rPr>
          <w:rFonts w:ascii="Verdana" w:eastAsia="Calibri" w:hAnsi="Verdana" w:cs="Arial"/>
        </w:rPr>
      </w:pPr>
      <w:r w:rsidRPr="00F926E2">
        <w:rPr>
          <w:rFonts w:ascii="Verdana" w:eastAsia="Calibri" w:hAnsi="Verdana" w:cs="Arial"/>
        </w:rPr>
        <w:t>Lo anterior se sustenta en las siguientes consideraciones:</w:t>
      </w:r>
    </w:p>
    <w:p w14:paraId="35538E2C" w14:textId="77777777" w:rsidR="001D7B39" w:rsidRDefault="001D7B39" w:rsidP="001D7B39">
      <w:pPr>
        <w:spacing w:after="0" w:line="276" w:lineRule="auto"/>
        <w:jc w:val="both"/>
        <w:rPr>
          <w:rFonts w:ascii="Verdana" w:eastAsia="Calibri" w:hAnsi="Verdana" w:cs="Arial"/>
          <w:bCs/>
          <w:color w:val="000000" w:themeColor="text1"/>
        </w:rPr>
      </w:pPr>
      <w:bookmarkStart w:id="3" w:name="_Hlk121750800"/>
    </w:p>
    <w:bookmarkEnd w:id="3"/>
    <w:p w14:paraId="2ABD08C2" w14:textId="78A2C9E1" w:rsidR="00543963" w:rsidRPr="00EC5368" w:rsidRDefault="00BB2A95" w:rsidP="00B86F23">
      <w:pPr>
        <w:widowControl w:val="0"/>
        <w:autoSpaceDE w:val="0"/>
        <w:autoSpaceDN w:val="0"/>
        <w:spacing w:after="120" w:line="276" w:lineRule="auto"/>
        <w:jc w:val="both"/>
        <w:rPr>
          <w:rFonts w:ascii="Verdana" w:eastAsia="Calibri" w:hAnsi="Verdana" w:cs="Arial"/>
          <w:color w:val="000000"/>
          <w:lang w:val="es-ES_tradnl" w:eastAsia="es-ES" w:bidi="es-ES"/>
        </w:rPr>
      </w:pPr>
      <w:r>
        <w:rPr>
          <w:rFonts w:ascii="Verdana" w:eastAsia="Calibri" w:hAnsi="Verdana" w:cs="Arial"/>
          <w:color w:val="000000" w:themeColor="text1"/>
          <w:lang w:val="es-ES_tradnl" w:eastAsia="es-ES_tradnl"/>
        </w:rPr>
        <w:t>i.</w:t>
      </w:r>
      <w:r w:rsidR="001F16DF">
        <w:rPr>
          <w:rFonts w:ascii="Verdana" w:eastAsia="Calibri" w:hAnsi="Verdana" w:cs="Arial"/>
          <w:color w:val="000000" w:themeColor="text1"/>
          <w:lang w:val="es-ES_tradnl" w:eastAsia="es-ES_tradnl"/>
        </w:rPr>
        <w:t xml:space="preserve"> </w:t>
      </w:r>
      <w:r w:rsidR="00543963" w:rsidRPr="00C75248">
        <w:rPr>
          <w:rFonts w:ascii="Verdana" w:eastAsia="Calibri" w:hAnsi="Verdana" w:cs="Times New Roman"/>
          <w:color w:val="000000" w:themeColor="text1"/>
          <w:lang w:val="es-ES" w:eastAsia="es-MX"/>
        </w:rPr>
        <w:t xml:space="preserve">En primer lugar, es pertinente </w:t>
      </w:r>
      <w:r w:rsidR="00543963">
        <w:rPr>
          <w:rFonts w:ascii="Verdana" w:eastAsia="Calibri" w:hAnsi="Verdana" w:cs="Times New Roman"/>
          <w:color w:val="000000" w:themeColor="text1"/>
          <w:lang w:val="es-ES" w:eastAsia="es-MX"/>
        </w:rPr>
        <w:t>precisar</w:t>
      </w:r>
      <w:r w:rsidR="00543963">
        <w:rPr>
          <w:rFonts w:ascii="Verdana" w:hAnsi="Verdana" w:cstheme="minorHAnsi"/>
        </w:rPr>
        <w:t xml:space="preserve"> la</w:t>
      </w:r>
      <w:r w:rsidR="00543963" w:rsidRPr="00EC5368">
        <w:rPr>
          <w:rFonts w:ascii="Verdana" w:eastAsia="Calibri" w:hAnsi="Verdana" w:cs="Arial"/>
          <w:color w:val="000000"/>
          <w:lang w:val="es-ES_tradnl" w:eastAsia="es-ES" w:bidi="es-ES"/>
        </w:rPr>
        <w:t xml:space="preserve"> obra pública es una tipología de los contratos estatales, entendidos estos últimos como los actos jurídicos generadores de obligaciones que han sido celebrados por alguna de las </w:t>
      </w:r>
      <w:r w:rsidR="005C18DD" w:rsidRPr="00EC5368">
        <w:rPr>
          <w:rFonts w:ascii="Verdana" w:eastAsia="Calibri" w:hAnsi="Verdana" w:cs="Arial"/>
          <w:color w:val="000000"/>
          <w:lang w:val="es-ES_tradnl" w:eastAsia="es-ES" w:bidi="es-ES"/>
        </w:rPr>
        <w:t xml:space="preserve">Entidades Estatales </w:t>
      </w:r>
      <w:r w:rsidR="00543963" w:rsidRPr="00EC5368">
        <w:rPr>
          <w:rFonts w:ascii="Verdana" w:eastAsia="Calibri" w:hAnsi="Verdana" w:cs="Arial"/>
          <w:color w:val="000000"/>
          <w:lang w:val="es-ES_tradnl" w:eastAsia="es-ES" w:bidi="es-ES"/>
        </w:rPr>
        <w:t xml:space="preserve">enlistadas en el artículo 2 de la Ley 80 de 1993.  Lo anterior resulta de especial relevancia, en la medida en que dicho tipo contractual se diferencia de la definición y regulación prevista en el derecho privado para el contrato de confección de obra material regulado en el Código Civil.   </w:t>
      </w:r>
    </w:p>
    <w:p w14:paraId="1279FDA5" w14:textId="77777777" w:rsidR="00EB2B1B" w:rsidRDefault="00543963" w:rsidP="00B86F23">
      <w:pPr>
        <w:widowControl w:val="0"/>
        <w:autoSpaceDE w:val="0"/>
        <w:autoSpaceDN w:val="0"/>
        <w:spacing w:after="120" w:line="276" w:lineRule="auto"/>
        <w:ind w:firstLine="708"/>
        <w:jc w:val="both"/>
        <w:rPr>
          <w:rFonts w:ascii="Verdana" w:eastAsia="Calibri" w:hAnsi="Verdana" w:cs="Arial"/>
          <w:color w:val="000000" w:themeColor="text1"/>
          <w:lang w:val="es-ES" w:eastAsia="es-ES" w:bidi="es-ES"/>
        </w:rPr>
      </w:pPr>
      <w:r w:rsidRPr="418CF8A0">
        <w:rPr>
          <w:rFonts w:ascii="Verdana" w:eastAsia="Calibri" w:hAnsi="Verdana" w:cs="Arial"/>
          <w:color w:val="000000" w:themeColor="text1"/>
          <w:lang w:val="es-ES" w:eastAsia="es-ES" w:bidi="es-ES"/>
        </w:rPr>
        <w:t xml:space="preserve">En efecto, </w:t>
      </w:r>
      <w:bookmarkStart w:id="4" w:name="_Hlk81432298"/>
      <w:r w:rsidRPr="418CF8A0">
        <w:rPr>
          <w:rFonts w:ascii="Verdana" w:eastAsia="Calibri" w:hAnsi="Verdana" w:cs="Arial"/>
          <w:color w:val="000000" w:themeColor="text1"/>
          <w:lang w:val="es-ES" w:eastAsia="es-ES" w:bidi="es-ES"/>
        </w:rPr>
        <w:t xml:space="preserve">en el derecho privado brilla por la ausencia una definición del contrato de obra. El artículo 2053 del Código Civil lo tipifica como una de las clases de arrendamiento, y establece reglas para diferenciarlo de la compraventa, para lo cual dispone que “Si al artífice suministra la materia para la confección de una obra material, el contrato es de venta; pero no se </w:t>
      </w:r>
      <w:r w:rsidRPr="418CF8A0">
        <w:rPr>
          <w:rFonts w:ascii="Verdana" w:eastAsia="Calibri" w:hAnsi="Verdana" w:cs="Arial"/>
          <w:color w:val="000000" w:themeColor="text1"/>
          <w:lang w:val="es-ES" w:eastAsia="es-ES" w:bidi="es-ES"/>
        </w:rPr>
        <w:lastRenderedPageBreak/>
        <w:t xml:space="preserve">perfecciona sino por la aprobación del que ordenó la obra”. Por el contrario, “Si la materia es suministrada por la persona que encargó la obra, el contrato es de arrendamiento”; pero “Si la materia principal es suministrada por el que ha ordenado la obra, poniendo el artífice lo demás, el contrato es de arrendamiento; en el caso contrario, de venta”. En todo caso, en la medida en que los artículos 2060 y 2061 del Código disponen reglas especiales para los contratos de construcción y de arquitectura, es claro que la realización de trabajos materiales recae tanto sobre bienes muebles como inmuebles. </w:t>
      </w:r>
      <w:bookmarkEnd w:id="4"/>
    </w:p>
    <w:p w14:paraId="3105BDD7" w14:textId="784F3A3C" w:rsidR="00543963" w:rsidRPr="00EC5368" w:rsidRDefault="00543963" w:rsidP="00543963">
      <w:pPr>
        <w:widowControl w:val="0"/>
        <w:autoSpaceDE w:val="0"/>
        <w:autoSpaceDN w:val="0"/>
        <w:spacing w:before="120" w:after="0" w:line="276" w:lineRule="auto"/>
        <w:ind w:firstLine="708"/>
        <w:jc w:val="both"/>
        <w:rPr>
          <w:rFonts w:ascii="Verdana" w:eastAsia="Calibri" w:hAnsi="Verdana" w:cs="Arial"/>
          <w:color w:val="000000"/>
          <w:lang w:val="es-ES" w:eastAsia="es-ES" w:bidi="es-ES"/>
        </w:rPr>
      </w:pPr>
      <w:r w:rsidRPr="418CF8A0">
        <w:rPr>
          <w:rFonts w:ascii="Verdana" w:eastAsia="Calibri" w:hAnsi="Verdana" w:cs="Arial"/>
          <w:color w:val="000000" w:themeColor="text1"/>
          <w:lang w:val="es-ES" w:eastAsia="es-ES" w:bidi="es-ES"/>
        </w:rPr>
        <w:t>Así, la doctrina considera que:</w:t>
      </w:r>
    </w:p>
    <w:p w14:paraId="44509FE5" w14:textId="77777777" w:rsidR="00543963" w:rsidRPr="00EC5368" w:rsidRDefault="00543963" w:rsidP="00543963">
      <w:pPr>
        <w:widowControl w:val="0"/>
        <w:autoSpaceDE w:val="0"/>
        <w:autoSpaceDN w:val="0"/>
        <w:spacing w:after="0" w:line="276" w:lineRule="auto"/>
        <w:ind w:firstLine="708"/>
        <w:jc w:val="both"/>
        <w:rPr>
          <w:rFonts w:ascii="Verdana" w:eastAsia="Calibri" w:hAnsi="Verdana" w:cs="Arial"/>
          <w:color w:val="000000"/>
          <w:lang w:val="es-ES_tradnl" w:eastAsia="es-ES" w:bidi="es-ES"/>
        </w:rPr>
      </w:pPr>
    </w:p>
    <w:p w14:paraId="6412F645" w14:textId="77777777" w:rsidR="00543963" w:rsidRDefault="00543963" w:rsidP="00EB2B1B">
      <w:pPr>
        <w:widowControl w:val="0"/>
        <w:autoSpaceDE w:val="0"/>
        <w:autoSpaceDN w:val="0"/>
        <w:spacing w:after="0" w:line="240" w:lineRule="auto"/>
        <w:ind w:left="709" w:right="709"/>
        <w:jc w:val="both"/>
        <w:rPr>
          <w:rFonts w:ascii="Verdana" w:eastAsia="Calibri" w:hAnsi="Verdana" w:cs="Arial"/>
          <w:color w:val="000000"/>
          <w:sz w:val="20"/>
          <w:szCs w:val="20"/>
          <w:lang w:val="es-ES_tradnl" w:eastAsia="es-ES" w:bidi="es-ES"/>
        </w:rPr>
      </w:pPr>
      <w:r w:rsidRPr="00B86F23">
        <w:rPr>
          <w:rFonts w:ascii="Verdana" w:eastAsia="Calibri" w:hAnsi="Verdana" w:cs="Arial"/>
          <w:color w:val="000000"/>
          <w:sz w:val="20"/>
          <w:szCs w:val="20"/>
          <w:lang w:val="es-ES_tradnl" w:eastAsia="es-ES" w:bidi="es-ES"/>
        </w:rPr>
        <w:t>“Puede definirse el arrendamiento de obra o contrato de confección de obra material como aquél por el cual una persona llamada artífice, se obliga, mediante cierto precio, a ejecutar una obra material. Los elementos de este contrato, fuera del consentimiento indispensable en todo contrato, son la ejecución de la obra y el precio.</w:t>
      </w:r>
    </w:p>
    <w:p w14:paraId="1E143610" w14:textId="77777777" w:rsidR="00EB2B1B" w:rsidRPr="00B86F23" w:rsidRDefault="00EB2B1B" w:rsidP="00B86F23">
      <w:pPr>
        <w:widowControl w:val="0"/>
        <w:autoSpaceDE w:val="0"/>
        <w:autoSpaceDN w:val="0"/>
        <w:spacing w:after="0" w:line="240" w:lineRule="auto"/>
        <w:ind w:left="709" w:right="709"/>
        <w:jc w:val="both"/>
        <w:rPr>
          <w:rFonts w:ascii="Verdana" w:eastAsia="Calibri" w:hAnsi="Verdana" w:cs="Arial"/>
          <w:color w:val="000000"/>
          <w:sz w:val="20"/>
          <w:szCs w:val="20"/>
          <w:lang w:val="es-ES_tradnl" w:eastAsia="es-ES" w:bidi="es-ES"/>
        </w:rPr>
      </w:pPr>
    </w:p>
    <w:p w14:paraId="467EAC5A" w14:textId="77777777" w:rsidR="00543963" w:rsidRPr="00B86F23" w:rsidRDefault="00543963" w:rsidP="00B86F23">
      <w:pPr>
        <w:widowControl w:val="0"/>
        <w:autoSpaceDE w:val="0"/>
        <w:autoSpaceDN w:val="0"/>
        <w:spacing w:after="0" w:line="240" w:lineRule="auto"/>
        <w:ind w:left="709" w:right="709"/>
        <w:jc w:val="both"/>
        <w:rPr>
          <w:rFonts w:ascii="Verdana" w:eastAsia="Calibri" w:hAnsi="Verdana" w:cs="Arial"/>
          <w:color w:val="000000"/>
          <w:sz w:val="20"/>
          <w:szCs w:val="20"/>
          <w:lang w:val="es-ES_tradnl" w:eastAsia="es-ES" w:bidi="es-ES"/>
        </w:rPr>
      </w:pPr>
      <w:r w:rsidRPr="00B86F23">
        <w:rPr>
          <w:rFonts w:ascii="Verdana" w:eastAsia="Calibri" w:hAnsi="Verdana" w:cs="Arial"/>
          <w:color w:val="000000"/>
          <w:sz w:val="20"/>
          <w:szCs w:val="20"/>
          <w:lang w:val="es-ES_tradnl" w:eastAsia="es-ES" w:bidi="es-ES"/>
        </w:rPr>
        <w:t>Así como en el arrendamiento de cosas, el arrendador es obligado a suministrar el goce de la cosa, en el arrendamiento de obras es obligado a la ejecución de una obra material; mediante este contrato, el arrendador va a poner su trabajo al servicio de otro para transformar una sustancia en una obra nueva, que puede ser mueble o inmueble; cabe dentro de este contrato los más variados trabajos: el del sastre, del carpintero, del arquitecto, del ingeniero, etc. Lo que caracteriza entonces este contrato es que se haga una obra nueva con una sustancia mediante la transformación de ella por el trabajo del hombre”</w:t>
      </w:r>
      <w:r w:rsidRPr="00B86F23">
        <w:rPr>
          <w:rFonts w:ascii="Verdana" w:eastAsia="Calibri" w:hAnsi="Verdana" w:cs="Arial"/>
          <w:color w:val="000000"/>
          <w:sz w:val="20"/>
          <w:szCs w:val="20"/>
          <w:vertAlign w:val="superscript"/>
          <w:lang w:val="es-ES_tradnl" w:eastAsia="es-ES" w:bidi="es-ES"/>
        </w:rPr>
        <w:footnoteReference w:id="1"/>
      </w:r>
      <w:r w:rsidRPr="00B86F23">
        <w:rPr>
          <w:rFonts w:ascii="Verdana" w:eastAsia="Calibri" w:hAnsi="Verdana" w:cs="Arial"/>
          <w:color w:val="000000"/>
          <w:sz w:val="20"/>
          <w:szCs w:val="20"/>
          <w:lang w:val="es-ES_tradnl" w:eastAsia="es-ES" w:bidi="es-ES"/>
        </w:rPr>
        <w:t xml:space="preserve">.  </w:t>
      </w:r>
    </w:p>
    <w:p w14:paraId="04A6D922" w14:textId="77777777" w:rsidR="00543963" w:rsidRPr="00EB2B1B" w:rsidRDefault="00543963" w:rsidP="00EB2B1B">
      <w:pPr>
        <w:widowControl w:val="0"/>
        <w:autoSpaceDE w:val="0"/>
        <w:autoSpaceDN w:val="0"/>
        <w:spacing w:after="0" w:line="276" w:lineRule="auto"/>
        <w:ind w:left="709" w:right="709"/>
        <w:jc w:val="both"/>
        <w:rPr>
          <w:rFonts w:ascii="Verdana" w:eastAsia="Calibri" w:hAnsi="Verdana" w:cs="Arial"/>
          <w:color w:val="000000"/>
          <w:lang w:val="es-ES_tradnl" w:eastAsia="es-ES" w:bidi="es-ES"/>
        </w:rPr>
      </w:pPr>
      <w:r w:rsidRPr="00EC5368">
        <w:rPr>
          <w:rFonts w:ascii="Verdana" w:eastAsia="Calibri" w:hAnsi="Verdana" w:cs="Arial"/>
          <w:color w:val="000000"/>
          <w:sz w:val="21"/>
          <w:szCs w:val="21"/>
          <w:lang w:val="es-ES_tradnl" w:eastAsia="es-ES" w:bidi="es-ES"/>
        </w:rPr>
        <w:t xml:space="preserve">    </w:t>
      </w:r>
    </w:p>
    <w:p w14:paraId="0FE49810" w14:textId="77777777" w:rsidR="00543963" w:rsidRDefault="00543963" w:rsidP="00543963">
      <w:pPr>
        <w:widowControl w:val="0"/>
        <w:autoSpaceDE w:val="0"/>
        <w:autoSpaceDN w:val="0"/>
        <w:spacing w:after="120" w:line="276" w:lineRule="auto"/>
        <w:ind w:firstLine="709"/>
        <w:jc w:val="both"/>
        <w:rPr>
          <w:rFonts w:ascii="Verdana" w:eastAsia="Calibri" w:hAnsi="Verdana" w:cs="Arial"/>
          <w:color w:val="000000"/>
          <w:lang w:val="es-ES_tradnl" w:eastAsia="es-ES" w:bidi="es-ES"/>
        </w:rPr>
      </w:pPr>
      <w:bookmarkStart w:id="5" w:name="_Hlk35420344"/>
      <w:r w:rsidRPr="00EC5368">
        <w:rPr>
          <w:rFonts w:ascii="Verdana" w:eastAsia="Calibri" w:hAnsi="Verdana" w:cs="Arial"/>
          <w:color w:val="000000"/>
          <w:lang w:val="es-ES_tradnl" w:eastAsia="es-ES" w:bidi="es-ES"/>
        </w:rPr>
        <w:t xml:space="preserve">En </w:t>
      </w:r>
      <w:r w:rsidRPr="00EC5368">
        <w:rPr>
          <w:rFonts w:ascii="Verdana" w:eastAsia="Calibri" w:hAnsi="Verdana" w:cs="Arial"/>
          <w:i/>
          <w:iCs/>
          <w:color w:val="000000"/>
          <w:lang w:val="es-ES_tradnl" w:eastAsia="es-ES" w:bidi="es-ES"/>
        </w:rPr>
        <w:t>sentido amplio</w:t>
      </w:r>
      <w:r w:rsidRPr="00EC5368">
        <w:rPr>
          <w:rFonts w:ascii="Verdana" w:eastAsia="Calibri" w:hAnsi="Verdana" w:cs="Arial"/>
          <w:color w:val="000000"/>
          <w:lang w:val="es-ES_tradnl" w:eastAsia="es-ES" w:bidi="es-ES"/>
        </w:rPr>
        <w:t xml:space="preserve">, dado que la “obra” es un bien que crea la actividad humana, el hecho de que sea “pública” significa que es todo trabajo material en cuya creación o realización interviene el Estado. No obstante, </w:t>
      </w:r>
      <w:bookmarkStart w:id="6" w:name="_Hlk81428563"/>
      <w:r w:rsidRPr="00EC5368">
        <w:rPr>
          <w:rFonts w:ascii="Verdana" w:eastAsia="Calibri" w:hAnsi="Verdana" w:cs="Arial"/>
          <w:color w:val="000000"/>
          <w:lang w:val="es-ES_tradnl" w:eastAsia="es-ES" w:bidi="es-ES"/>
        </w:rPr>
        <w:t xml:space="preserve">el numeral 1 del artículo 32 de la Ley 80 de 1993 opta por un </w:t>
      </w:r>
      <w:r w:rsidRPr="00EC5368">
        <w:rPr>
          <w:rFonts w:ascii="Verdana" w:eastAsia="Calibri" w:hAnsi="Verdana" w:cs="Arial"/>
          <w:i/>
          <w:iCs/>
          <w:color w:val="000000"/>
          <w:lang w:val="es-ES_tradnl" w:eastAsia="es-ES" w:bidi="es-ES"/>
        </w:rPr>
        <w:t>sentido restringido</w:t>
      </w:r>
      <w:r w:rsidRPr="00EC5368">
        <w:rPr>
          <w:rFonts w:ascii="Verdana" w:eastAsia="Calibri" w:hAnsi="Verdana" w:cs="Arial"/>
          <w:color w:val="000000"/>
          <w:lang w:val="es-ES_tradnl" w:eastAsia="es-ES" w:bidi="es-ES"/>
        </w:rPr>
        <w:t xml:space="preserve">, al disponer que “Son contratos de obra los que celebren las entidades estatales para la </w:t>
      </w:r>
      <w:bookmarkStart w:id="7" w:name="_Hlk171668266"/>
      <w:r w:rsidRPr="00EC5368">
        <w:rPr>
          <w:rFonts w:ascii="Verdana" w:eastAsia="Calibri" w:hAnsi="Verdana" w:cs="Arial"/>
          <w:color w:val="000000"/>
          <w:lang w:val="es-ES_tradnl" w:eastAsia="es-ES" w:bidi="es-ES"/>
        </w:rPr>
        <w:t>construcción, mantenimiento, instalación</w:t>
      </w:r>
      <w:bookmarkEnd w:id="7"/>
      <w:r w:rsidRPr="00EC5368">
        <w:rPr>
          <w:rFonts w:ascii="Verdana" w:eastAsia="Calibri" w:hAnsi="Verdana" w:cs="Arial"/>
          <w:color w:val="000000"/>
          <w:lang w:val="es-ES_tradnl" w:eastAsia="es-ES" w:bidi="es-ES"/>
        </w:rPr>
        <w:t xml:space="preserve"> y, en general, para la realización de cualquier otro trabajo material sobre bienes inmuebles, </w:t>
      </w:r>
      <w:bookmarkStart w:id="8" w:name="_Hlk171667437"/>
      <w:r w:rsidRPr="00EC5368">
        <w:rPr>
          <w:rFonts w:ascii="Verdana" w:eastAsia="Calibri" w:hAnsi="Verdana" w:cs="Arial"/>
          <w:color w:val="000000"/>
          <w:lang w:val="es-ES_tradnl" w:eastAsia="es-ES" w:bidi="es-ES"/>
        </w:rPr>
        <w:t>cualquiera que sea la modalidad de ejecución y pago</w:t>
      </w:r>
      <w:bookmarkEnd w:id="8"/>
      <w:r w:rsidRPr="00EC5368">
        <w:rPr>
          <w:rFonts w:ascii="Verdana" w:eastAsia="Calibri" w:hAnsi="Verdana" w:cs="Arial"/>
          <w:color w:val="000000"/>
          <w:lang w:val="es-ES_tradnl" w:eastAsia="es-ES" w:bidi="es-ES"/>
        </w:rPr>
        <w:t>”, de manera que este tipo de contrato no aplica a los trabajos materiales realizados sobre bienes muebles</w:t>
      </w:r>
      <w:r w:rsidRPr="00EC5368">
        <w:rPr>
          <w:rStyle w:val="Refdenotaalpie"/>
          <w:rFonts w:ascii="Verdana" w:eastAsia="Calibri" w:hAnsi="Verdana" w:cs="Arial"/>
          <w:color w:val="000000"/>
          <w:lang w:val="es-ES_tradnl" w:eastAsia="es-ES" w:bidi="es-ES"/>
        </w:rPr>
        <w:footnoteReference w:id="2"/>
      </w:r>
      <w:r w:rsidRPr="00EC5368">
        <w:rPr>
          <w:rFonts w:ascii="Verdana" w:eastAsia="Calibri" w:hAnsi="Verdana" w:cs="Arial"/>
          <w:color w:val="000000"/>
          <w:lang w:val="es-ES_tradnl" w:eastAsia="es-ES" w:bidi="es-ES"/>
        </w:rPr>
        <w:t xml:space="preserve">. </w:t>
      </w:r>
    </w:p>
    <w:p w14:paraId="4FAA65D1" w14:textId="77777777" w:rsidR="00543963" w:rsidRPr="00EC5368" w:rsidRDefault="00543963" w:rsidP="00543963">
      <w:pPr>
        <w:widowControl w:val="0"/>
        <w:autoSpaceDE w:val="0"/>
        <w:autoSpaceDN w:val="0"/>
        <w:spacing w:after="0" w:line="276" w:lineRule="auto"/>
        <w:ind w:firstLine="708"/>
        <w:jc w:val="both"/>
        <w:rPr>
          <w:rFonts w:ascii="Verdana" w:eastAsia="Calibri" w:hAnsi="Verdana" w:cs="Arial"/>
          <w:color w:val="000000"/>
          <w:lang w:val="es-ES_tradnl" w:eastAsia="es-ES" w:bidi="es-ES"/>
        </w:rPr>
      </w:pPr>
      <w:r w:rsidRPr="00EC5368">
        <w:rPr>
          <w:rFonts w:ascii="Verdana" w:eastAsia="Calibri" w:hAnsi="Verdana" w:cs="Arial"/>
          <w:color w:val="000000"/>
          <w:lang w:val="es-ES_tradnl" w:eastAsia="es-ES" w:bidi="es-ES"/>
        </w:rPr>
        <w:lastRenderedPageBreak/>
        <w:t>Por lo anterior, el legislador adoptó el criterio de la tipificación del contrato de obra pública a actividades realizadas sobre bienes inmuebles, admitiendo, de forma muy amplia, la ejecución de todo trabajo que tenga por objeto crear, construir, conservar o modificar bienes inmuebles, lo cual incluye trabajos de construcción, instalación, conservación, mantenimiento, reparación y demolición de esos mismos</w:t>
      </w:r>
      <w:bookmarkEnd w:id="5"/>
      <w:bookmarkEnd w:id="6"/>
      <w:r w:rsidRPr="00EC5368">
        <w:rPr>
          <w:rFonts w:ascii="Verdana" w:eastAsia="Calibri" w:hAnsi="Verdana" w:cs="Arial"/>
          <w:color w:val="000000"/>
          <w:vertAlign w:val="superscript"/>
          <w:lang w:val="es-ES_tradnl" w:eastAsia="es-ES" w:bidi="es-ES"/>
        </w:rPr>
        <w:footnoteReference w:id="3"/>
      </w:r>
      <w:r w:rsidRPr="00EC5368">
        <w:rPr>
          <w:rFonts w:ascii="Verdana" w:eastAsia="Calibri" w:hAnsi="Verdana" w:cs="Arial"/>
          <w:color w:val="000000"/>
          <w:lang w:val="es-ES_tradnl" w:eastAsia="es-ES" w:bidi="es-ES"/>
        </w:rPr>
        <w:t>. De esta manera:</w:t>
      </w:r>
    </w:p>
    <w:p w14:paraId="5710F21E" w14:textId="77777777" w:rsidR="00543963" w:rsidRPr="00EC5368" w:rsidRDefault="00543963" w:rsidP="00543963">
      <w:pPr>
        <w:widowControl w:val="0"/>
        <w:autoSpaceDE w:val="0"/>
        <w:autoSpaceDN w:val="0"/>
        <w:spacing w:after="0" w:line="276" w:lineRule="auto"/>
        <w:ind w:firstLine="709"/>
        <w:jc w:val="both"/>
        <w:rPr>
          <w:rFonts w:ascii="Verdana" w:eastAsia="Calibri" w:hAnsi="Verdana" w:cs="Arial"/>
          <w:color w:val="000000"/>
          <w:lang w:val="es-ES_tradnl" w:eastAsia="es-ES" w:bidi="es-ES"/>
        </w:rPr>
      </w:pPr>
    </w:p>
    <w:p w14:paraId="40255804" w14:textId="77777777" w:rsidR="00543963" w:rsidRDefault="00543963" w:rsidP="0074162B">
      <w:pPr>
        <w:widowControl w:val="0"/>
        <w:autoSpaceDE w:val="0"/>
        <w:autoSpaceDN w:val="0"/>
        <w:spacing w:after="0" w:line="240" w:lineRule="auto"/>
        <w:ind w:left="709" w:right="709"/>
        <w:jc w:val="both"/>
        <w:rPr>
          <w:rFonts w:ascii="Verdana" w:eastAsia="Calibri" w:hAnsi="Verdana" w:cs="Arial"/>
          <w:color w:val="000000"/>
          <w:sz w:val="20"/>
          <w:szCs w:val="20"/>
          <w:lang w:val="es-ES_tradnl" w:eastAsia="es-ES" w:bidi="es-ES"/>
        </w:rPr>
      </w:pPr>
      <w:r w:rsidRPr="00B86F23">
        <w:rPr>
          <w:rFonts w:ascii="Verdana" w:eastAsia="Calibri" w:hAnsi="Verdana" w:cs="Arial"/>
          <w:color w:val="000000"/>
          <w:sz w:val="20"/>
          <w:szCs w:val="20"/>
          <w:lang w:val="es-ES_tradnl" w:eastAsia="es-ES" w:bidi="es-ES"/>
        </w:rPr>
        <w:t xml:space="preserve">“[…] el legislador limitó la naturaleza de los contratos de obra a las actividades de trabajos materiales exclusivamente sobre bienes inmuebles, independientemente de su modalidad de ejecución y pago. De esta forma, acogió la posición de una parte de la doctrina y del derecho comparado, que vinculan la tipificación del contrato de obra a aquellas actividades realizadas sobre bienes inmuebles. </w:t>
      </w:r>
    </w:p>
    <w:p w14:paraId="3C0D2F6B" w14:textId="77777777" w:rsidR="0074162B" w:rsidRPr="00B86F23" w:rsidRDefault="0074162B" w:rsidP="00B86F23">
      <w:pPr>
        <w:widowControl w:val="0"/>
        <w:autoSpaceDE w:val="0"/>
        <w:autoSpaceDN w:val="0"/>
        <w:spacing w:after="0" w:line="240" w:lineRule="auto"/>
        <w:ind w:left="709" w:right="709"/>
        <w:jc w:val="both"/>
        <w:rPr>
          <w:rFonts w:ascii="Verdana" w:eastAsia="Calibri" w:hAnsi="Verdana" w:cs="Arial"/>
          <w:color w:val="000000"/>
          <w:sz w:val="20"/>
          <w:szCs w:val="20"/>
          <w:lang w:val="es-ES_tradnl" w:eastAsia="es-ES" w:bidi="es-ES"/>
        </w:rPr>
      </w:pPr>
    </w:p>
    <w:p w14:paraId="73AE799A" w14:textId="77777777" w:rsidR="00543963" w:rsidRPr="00B86F23" w:rsidRDefault="00543963" w:rsidP="00B86F23">
      <w:pPr>
        <w:widowControl w:val="0"/>
        <w:autoSpaceDE w:val="0"/>
        <w:autoSpaceDN w:val="0"/>
        <w:spacing w:after="0" w:line="240" w:lineRule="auto"/>
        <w:ind w:left="709" w:right="709"/>
        <w:jc w:val="both"/>
        <w:rPr>
          <w:rFonts w:ascii="Verdana" w:eastAsia="Calibri" w:hAnsi="Verdana" w:cs="Arial"/>
          <w:color w:val="000000"/>
          <w:sz w:val="20"/>
          <w:szCs w:val="20"/>
          <w:lang w:val="es-ES_tradnl" w:eastAsia="es-ES" w:bidi="es-ES"/>
        </w:rPr>
      </w:pPr>
      <w:r w:rsidRPr="00B86F23">
        <w:rPr>
          <w:rFonts w:ascii="Verdana" w:eastAsia="Calibri" w:hAnsi="Verdana" w:cs="Arial"/>
          <w:color w:val="000000"/>
          <w:sz w:val="20"/>
          <w:szCs w:val="20"/>
          <w:lang w:val="es-ES_tradnl" w:eastAsia="es-ES" w:bidi="es-ES"/>
        </w:rPr>
        <w:t>La ejecución de obras sobre otro tipo de bienes, no estarán regulados por el contrato estatal de obra y podrán corresponder a una prestación de servicios general, o a cualquier otra modalidad típica o atípica, nominada o innominada que pueda celebrarse entre la entidad estatal y un contratista, en los términos de la autonomía de la voluntad de las partes, de acuerdo con lo previsto en los artículos 32 y 40 de la ley 80 de 1993”</w:t>
      </w:r>
      <w:r w:rsidRPr="00B86F23">
        <w:rPr>
          <w:rFonts w:ascii="Verdana" w:eastAsia="Calibri" w:hAnsi="Verdana" w:cs="Arial"/>
          <w:color w:val="000000"/>
          <w:sz w:val="20"/>
          <w:szCs w:val="20"/>
          <w:vertAlign w:val="superscript"/>
          <w:lang w:val="es-ES_tradnl" w:eastAsia="es-ES" w:bidi="es-ES"/>
        </w:rPr>
        <w:footnoteReference w:id="4"/>
      </w:r>
      <w:r w:rsidRPr="00B86F23">
        <w:rPr>
          <w:rFonts w:ascii="Verdana" w:eastAsia="Calibri" w:hAnsi="Verdana" w:cs="Arial"/>
          <w:color w:val="000000"/>
          <w:sz w:val="20"/>
          <w:szCs w:val="20"/>
          <w:lang w:val="es-ES_tradnl" w:eastAsia="es-ES" w:bidi="es-ES"/>
        </w:rPr>
        <w:t>.</w:t>
      </w:r>
    </w:p>
    <w:p w14:paraId="077BF538" w14:textId="77777777" w:rsidR="00543963" w:rsidRPr="00EC5368" w:rsidRDefault="00543963" w:rsidP="00543963">
      <w:pPr>
        <w:widowControl w:val="0"/>
        <w:autoSpaceDE w:val="0"/>
        <w:autoSpaceDN w:val="0"/>
        <w:spacing w:after="0" w:line="276" w:lineRule="auto"/>
        <w:ind w:left="709" w:right="709"/>
        <w:jc w:val="both"/>
        <w:rPr>
          <w:rFonts w:ascii="Verdana" w:eastAsia="Calibri" w:hAnsi="Verdana" w:cs="Arial"/>
          <w:color w:val="000000"/>
          <w:lang w:val="es-ES_tradnl" w:eastAsia="es-ES" w:bidi="es-ES"/>
        </w:rPr>
      </w:pPr>
    </w:p>
    <w:p w14:paraId="397B2AF4" w14:textId="77777777" w:rsidR="00543963" w:rsidRDefault="00543963" w:rsidP="00543963">
      <w:pPr>
        <w:widowControl w:val="0"/>
        <w:autoSpaceDE w:val="0"/>
        <w:autoSpaceDN w:val="0"/>
        <w:spacing w:after="120" w:line="276" w:lineRule="auto"/>
        <w:ind w:firstLine="709"/>
        <w:jc w:val="both"/>
        <w:rPr>
          <w:rFonts w:ascii="Verdana" w:eastAsia="Calibri" w:hAnsi="Verdana" w:cs="Arial"/>
          <w:color w:val="000000"/>
          <w:lang w:val="es-ES_tradnl" w:eastAsia="es-ES" w:bidi="es-ES"/>
        </w:rPr>
      </w:pPr>
      <w:r w:rsidRPr="00EC5368">
        <w:rPr>
          <w:rFonts w:ascii="Verdana" w:eastAsia="Calibri" w:hAnsi="Verdana" w:cs="Arial"/>
          <w:color w:val="000000"/>
          <w:lang w:val="es-ES_tradnl" w:eastAsia="es-ES" w:bidi="es-ES"/>
        </w:rPr>
        <w:t>En la disposición citada, el contrato de obra pública no se limita a la construcción de inmuebles, pues la definición se extiende a las actividades de mantenimiento e instalación, lo cual supone un bien preexistente. Para la Real Academia Española “construir” significa fabricar, erigir, edificar y hacer de nueva planta una cosa; en tanto que “mantener” significa conservar una cosa en su ser, darle vigor y permanencia; y, finalmente, “instalar” es poner o colocar algo en su lugar debido. Igualmente, el concepto se extiende a cualquier trabajo material realizado sobre bienes inmuebles, tales como la reforma y la demolición.</w:t>
      </w:r>
    </w:p>
    <w:p w14:paraId="452BA2AA" w14:textId="3F2F7ADA" w:rsidR="00543963" w:rsidRDefault="00543963" w:rsidP="00543963">
      <w:pPr>
        <w:widowControl w:val="0"/>
        <w:autoSpaceDE w:val="0"/>
        <w:autoSpaceDN w:val="0"/>
        <w:spacing w:after="0" w:line="276" w:lineRule="auto"/>
        <w:ind w:firstLine="708"/>
        <w:jc w:val="both"/>
        <w:rPr>
          <w:rFonts w:ascii="Verdana" w:eastAsia="Calibri" w:hAnsi="Verdana" w:cs="Arial"/>
          <w:color w:val="000000" w:themeColor="text1"/>
          <w:lang w:val="es-ES" w:eastAsia="es-ES" w:bidi="es-ES"/>
        </w:rPr>
      </w:pPr>
      <w:r w:rsidRPr="418CF8A0">
        <w:rPr>
          <w:rFonts w:ascii="Verdana" w:eastAsia="Calibri" w:hAnsi="Verdana" w:cs="Arial"/>
          <w:color w:val="000000" w:themeColor="text1"/>
          <w:lang w:val="es-ES" w:eastAsia="es-ES" w:bidi="es-ES"/>
        </w:rPr>
        <w:t xml:space="preserve">En consecuencia, al margen de la nominación asignada por las partes, cualquier negocio jurídico que implique un trabajo material sobre bienes inmuebles a favor de una entidad pública, tiene la naturaleza jurídica de una </w:t>
      </w:r>
      <w:r w:rsidRPr="418CF8A0">
        <w:rPr>
          <w:rFonts w:ascii="Verdana" w:eastAsia="Calibri" w:hAnsi="Verdana" w:cs="Arial"/>
          <w:color w:val="000000" w:themeColor="text1"/>
          <w:lang w:val="es-ES" w:eastAsia="es-ES" w:bidi="es-ES"/>
        </w:rPr>
        <w:lastRenderedPageBreak/>
        <w:t xml:space="preserve">obra pública. Como este contrato tiene carácter bilateral y oneroso, en los términos del inciso primero del artículo 41 del </w:t>
      </w:r>
      <w:r w:rsidR="00A7608D" w:rsidRPr="00FE5A24">
        <w:rPr>
          <w:rFonts w:ascii="Verdana" w:eastAsia="Calibri" w:hAnsi="Verdana" w:cs="Arial"/>
          <w:color w:val="000000" w:themeColor="text1"/>
          <w:lang w:val="es-ES_tradnl" w:eastAsia="es-ES_tradnl"/>
        </w:rPr>
        <w:t>Estatuto General de Contratación de la Administración Pública</w:t>
      </w:r>
      <w:r w:rsidRPr="418CF8A0">
        <w:rPr>
          <w:rFonts w:ascii="Verdana" w:eastAsia="Calibri" w:hAnsi="Verdana" w:cs="Arial"/>
          <w:color w:val="000000" w:themeColor="text1"/>
          <w:lang w:val="es-ES" w:eastAsia="es-ES" w:bidi="es-ES"/>
        </w:rPr>
        <w:t xml:space="preserve">, las obligaciones básicas dependen del acuerdo sobre el inmueble objeto de construcción, mantenimiento, instalación, reforma o demolición, por un lado, y la remuneración del contratista de acuerdo con la forma de ejecución, por el otro. </w:t>
      </w:r>
    </w:p>
    <w:p w14:paraId="4AF338ED" w14:textId="3E5AC565" w:rsidR="00556503" w:rsidRPr="00C278B4" w:rsidRDefault="00556503" w:rsidP="00B86F23">
      <w:pPr>
        <w:spacing w:before="120" w:line="276" w:lineRule="auto"/>
        <w:ind w:firstLine="708"/>
        <w:jc w:val="both"/>
        <w:rPr>
          <w:rFonts w:ascii="Verdana" w:eastAsia="Calibri" w:hAnsi="Verdana" w:cs="Arial"/>
        </w:rPr>
      </w:pPr>
      <w:r>
        <w:rPr>
          <w:rFonts w:ascii="Verdana" w:eastAsia="Calibri" w:hAnsi="Verdana" w:cs="Arial"/>
        </w:rPr>
        <w:t>Ahora bien, p</w:t>
      </w:r>
      <w:r w:rsidRPr="00C278B4">
        <w:rPr>
          <w:rFonts w:ascii="Verdana" w:eastAsia="Calibri" w:hAnsi="Verdana" w:cs="Arial"/>
        </w:rPr>
        <w:t>ara resolver el problema jurídico planteado, resulta necesario precisar, en primer lugar,</w:t>
      </w:r>
      <w:r>
        <w:rPr>
          <w:rFonts w:ascii="Verdana" w:eastAsia="Calibri" w:hAnsi="Verdana" w:cs="Arial"/>
        </w:rPr>
        <w:t xml:space="preserve"> que</w:t>
      </w:r>
      <w:r w:rsidRPr="00C278B4">
        <w:rPr>
          <w:rFonts w:ascii="Verdana" w:eastAsia="Calibri" w:hAnsi="Verdana" w:cs="Arial"/>
        </w:rPr>
        <w:t xml:space="preserve"> el alcance de las obligaciones que asume el contratista en un contrato de obra y la forma en que estas se proyectan durante las diferentes etapas de la ejecución contractual</w:t>
      </w:r>
      <w:r w:rsidR="00C10824">
        <w:rPr>
          <w:rFonts w:ascii="Verdana" w:eastAsia="Calibri" w:hAnsi="Verdana" w:cs="Arial"/>
        </w:rPr>
        <w:t xml:space="preserve"> dependen de las estipulaciones </w:t>
      </w:r>
      <w:r w:rsidR="008A1263">
        <w:rPr>
          <w:rFonts w:ascii="Verdana" w:eastAsia="Calibri" w:hAnsi="Verdana" w:cs="Arial"/>
        </w:rPr>
        <w:t xml:space="preserve">consignadas en el contrato, así como en los documentos previos, en virtud de la autonomía de la voluntad. En ese sentido, </w:t>
      </w:r>
      <w:r w:rsidRPr="00C278B4">
        <w:rPr>
          <w:rFonts w:ascii="Verdana" w:eastAsia="Calibri" w:hAnsi="Verdana" w:cs="Arial"/>
        </w:rPr>
        <w:t>la respuesta no depende exclusivamente de la interpretación del régimen de garantías, sino de la naturaleza misma de las obligaciones derivadas de esta tipología contractual</w:t>
      </w:r>
      <w:r w:rsidR="005C2D2D">
        <w:rPr>
          <w:rFonts w:ascii="Verdana" w:eastAsia="Calibri" w:hAnsi="Verdana" w:cs="Arial"/>
        </w:rPr>
        <w:t xml:space="preserve"> y de los documentos que soportan el proceso</w:t>
      </w:r>
      <w:r w:rsidRPr="00C278B4">
        <w:rPr>
          <w:rFonts w:ascii="Verdana" w:eastAsia="Calibri" w:hAnsi="Verdana" w:cs="Arial"/>
        </w:rPr>
        <w:t>.</w:t>
      </w:r>
    </w:p>
    <w:p w14:paraId="6FDBC0CC" w14:textId="602B9CAE" w:rsidR="00556503" w:rsidRDefault="005C2D2D" w:rsidP="00B86F23">
      <w:pPr>
        <w:spacing w:before="120" w:after="0" w:line="276" w:lineRule="auto"/>
        <w:ind w:firstLine="709"/>
        <w:jc w:val="both"/>
        <w:rPr>
          <w:rFonts w:ascii="Verdana" w:eastAsia="Calibri" w:hAnsi="Verdana" w:cs="Arial"/>
        </w:rPr>
      </w:pPr>
      <w:r>
        <w:rPr>
          <w:rFonts w:ascii="Verdana" w:eastAsia="Calibri" w:hAnsi="Verdana" w:cs="Arial"/>
        </w:rPr>
        <w:t>Así las cosas, l</w:t>
      </w:r>
      <w:r w:rsidR="00556503" w:rsidRPr="009920EA">
        <w:rPr>
          <w:rFonts w:ascii="Verdana" w:eastAsia="Calibri" w:hAnsi="Verdana" w:cs="Arial"/>
        </w:rPr>
        <w:t>a recepción parcial de tramos de obra es jurídicamente procedente en contratos de larga duración (superiores a tres años), siempre que se pacte en los pliegos o el contrato. Sin embargo, el </w:t>
      </w:r>
      <w:r w:rsidR="00556503" w:rsidRPr="0041330D">
        <w:rPr>
          <w:rFonts w:ascii="Verdana" w:eastAsia="Calibri" w:hAnsi="Verdana" w:cs="Arial"/>
        </w:rPr>
        <w:t>cómputo independiente de las garantías y las obligaciones de mantenimiento</w:t>
      </w:r>
      <w:r w:rsidR="00556503" w:rsidRPr="009920EA">
        <w:rPr>
          <w:rFonts w:ascii="Verdana" w:eastAsia="Calibri" w:hAnsi="Verdana" w:cs="Arial"/>
        </w:rPr>
        <w:t> dependen estrictamente de la estructuración del negocio. </w:t>
      </w:r>
    </w:p>
    <w:p w14:paraId="45231349" w14:textId="77777777" w:rsidR="000D3466" w:rsidRDefault="000D3466" w:rsidP="00B86F23">
      <w:pPr>
        <w:spacing w:after="0" w:line="276" w:lineRule="auto"/>
        <w:jc w:val="both"/>
        <w:rPr>
          <w:rFonts w:ascii="Verdana" w:eastAsia="Calibri" w:hAnsi="Verdana" w:cs="Arial"/>
          <w:color w:val="000000" w:themeColor="text1"/>
          <w:lang w:val="es-ES_tradnl" w:eastAsia="es-ES_tradnl"/>
        </w:rPr>
      </w:pPr>
    </w:p>
    <w:p w14:paraId="66CC6986" w14:textId="593E467D" w:rsidR="00384E56" w:rsidRPr="00FE5A24" w:rsidRDefault="00BB2A95" w:rsidP="00384E56">
      <w:pPr>
        <w:spacing w:after="120" w:line="276" w:lineRule="auto"/>
        <w:jc w:val="both"/>
        <w:rPr>
          <w:rFonts w:ascii="Verdana" w:hAnsi="Verdana" w:cs="Arial"/>
          <w:color w:val="000000" w:themeColor="text1"/>
          <w:lang w:val="es-ES"/>
        </w:rPr>
      </w:pPr>
      <w:proofErr w:type="spellStart"/>
      <w:r>
        <w:rPr>
          <w:rFonts w:ascii="Verdana" w:eastAsia="Calibri" w:hAnsi="Verdana" w:cs="Arial"/>
          <w:color w:val="000000" w:themeColor="text1"/>
          <w:lang w:val="es-ES_tradnl" w:eastAsia="es-ES_tradnl"/>
        </w:rPr>
        <w:t>ii</w:t>
      </w:r>
      <w:proofErr w:type="spellEnd"/>
      <w:r>
        <w:rPr>
          <w:rFonts w:ascii="Verdana" w:eastAsia="Calibri" w:hAnsi="Verdana" w:cs="Arial"/>
          <w:color w:val="000000" w:themeColor="text1"/>
          <w:lang w:val="es-ES_tradnl" w:eastAsia="es-ES_tradnl"/>
        </w:rPr>
        <w:t xml:space="preserve">. </w:t>
      </w:r>
      <w:r w:rsidR="00384E56" w:rsidRPr="00FE5A24">
        <w:rPr>
          <w:rFonts w:ascii="Verdana" w:eastAsia="Calibri" w:hAnsi="Verdana" w:cs="Arial"/>
          <w:color w:val="000000" w:themeColor="text1"/>
          <w:lang w:val="es-ES_tradnl" w:eastAsia="es-ES_tradnl"/>
        </w:rPr>
        <w:t xml:space="preserve">El Estatuto General de Contratación de la Administración Pública exige, por regla general, </w:t>
      </w:r>
      <w:r w:rsidR="00384E56" w:rsidRPr="00FE5A24">
        <w:rPr>
          <w:rFonts w:ascii="Verdana" w:eastAsia="Calibri" w:hAnsi="Verdana" w:cs="Arial"/>
          <w:color w:val="000000" w:themeColor="text1"/>
          <w:lang w:eastAsia="es-ES_tradnl"/>
        </w:rPr>
        <w:t xml:space="preserve">la constitución de garantías </w:t>
      </w:r>
      <w:r w:rsidR="00384E56" w:rsidRPr="00FE5A24">
        <w:rPr>
          <w:rFonts w:ascii="Verdana" w:eastAsia="Calibri" w:hAnsi="Verdana" w:cs="Arial"/>
          <w:color w:val="000000" w:themeColor="text1"/>
          <w:lang w:val="es-ES_tradnl" w:eastAsia="es-ES_tradnl"/>
        </w:rPr>
        <w:t xml:space="preserve">en los Procesos de Contratación pública </w:t>
      </w:r>
      <w:r w:rsidR="00384E56" w:rsidRPr="00FE5A24">
        <w:rPr>
          <w:rFonts w:ascii="Verdana" w:eastAsia="Calibri" w:hAnsi="Verdana" w:cs="Arial"/>
          <w:color w:val="000000" w:themeColor="text1"/>
          <w:lang w:eastAsia="es-ES_tradnl"/>
        </w:rPr>
        <w:t>con el fin de evitar o mitigar posibles riesgos</w:t>
      </w:r>
      <w:r w:rsidR="00384E56" w:rsidRPr="00FE5A24">
        <w:rPr>
          <w:rFonts w:ascii="Verdana" w:hAnsi="Verdana" w:cs="Arial"/>
          <w:color w:val="000000" w:themeColor="text1"/>
          <w:shd w:val="clear" w:color="auto" w:fill="FFFFFF"/>
        </w:rPr>
        <w:t xml:space="preserve">. </w:t>
      </w:r>
      <w:r w:rsidR="00384E56" w:rsidRPr="00FE5A24">
        <w:rPr>
          <w:rFonts w:ascii="Verdana" w:hAnsi="Verdana" w:cs="Arial"/>
          <w:color w:val="000000" w:themeColor="text1"/>
          <w:lang w:val="es-ES"/>
        </w:rPr>
        <w:t xml:space="preserve">Desde esta perspectiva, las garantías constituyen una obligación de seguridad, es decir, aquella donde el interés del acreedor no consiste en una utilidad específica y tangible, sino en la tranquilidad frente a ciertos riesgos por la cobertura de sus consecuencias nocivas. </w:t>
      </w:r>
    </w:p>
    <w:p w14:paraId="4AF938CC" w14:textId="77777777" w:rsidR="00384E56" w:rsidRPr="00FE5A24" w:rsidRDefault="00384E56" w:rsidP="00384E56">
      <w:pPr>
        <w:spacing w:after="120" w:line="276" w:lineRule="auto"/>
        <w:ind w:firstLine="708"/>
        <w:jc w:val="both"/>
        <w:rPr>
          <w:rFonts w:ascii="Verdana" w:hAnsi="Verdana" w:cs="Arial"/>
          <w:color w:val="000000" w:themeColor="text1"/>
          <w:lang w:val="es-ES"/>
        </w:rPr>
      </w:pPr>
      <w:r w:rsidRPr="00FE5A24">
        <w:rPr>
          <w:rFonts w:ascii="Verdana" w:eastAsia="Calibri" w:hAnsi="Verdana" w:cs="Arial"/>
          <w:color w:val="000000" w:themeColor="text1"/>
          <w:lang w:val="es-ES_tradnl" w:eastAsia="es-ES_tradnl"/>
        </w:rPr>
        <w:t>En este sentido, el artículo 7 de la Ley 1150 de 2007 dispone que los contratistas tienen la obligación de constituir garantías para el cumplimiento de las obligaciones surgidas del contrat</w:t>
      </w:r>
      <w:r>
        <w:rPr>
          <w:rFonts w:ascii="Verdana" w:eastAsia="Calibri" w:hAnsi="Verdana" w:cs="Arial"/>
          <w:color w:val="000000" w:themeColor="text1"/>
          <w:lang w:val="es-ES_tradnl" w:eastAsia="es-ES_tradnl"/>
        </w:rPr>
        <w:t>o</w:t>
      </w:r>
      <w:r w:rsidRPr="00FE5A24">
        <w:rPr>
          <w:rFonts w:ascii="Verdana" w:hAnsi="Verdana" w:cs="Arial"/>
          <w:color w:val="000000" w:themeColor="text1"/>
          <w:lang w:val="es-ES"/>
        </w:rPr>
        <w:t xml:space="preserve">. De acuerdo con el inciso segundo de dicho artículo, las garantías pueden otorgarse a través de: </w:t>
      </w:r>
      <w:r>
        <w:rPr>
          <w:rFonts w:ascii="Verdana" w:hAnsi="Verdana" w:cs="Arial"/>
          <w:color w:val="000000" w:themeColor="text1"/>
          <w:lang w:val="es-ES"/>
        </w:rPr>
        <w:t>(</w:t>
      </w:r>
      <w:r w:rsidRPr="00FE5A24">
        <w:rPr>
          <w:rFonts w:ascii="Verdana" w:hAnsi="Verdana" w:cs="Arial"/>
          <w:color w:val="000000" w:themeColor="text1"/>
          <w:lang w:val="es-ES"/>
        </w:rPr>
        <w:t xml:space="preserve">i) contratos de seguro, </w:t>
      </w:r>
      <w:r>
        <w:rPr>
          <w:rFonts w:ascii="Verdana" w:hAnsi="Verdana" w:cs="Arial"/>
          <w:color w:val="000000" w:themeColor="text1"/>
          <w:lang w:val="es-ES"/>
        </w:rPr>
        <w:t>(</w:t>
      </w:r>
      <w:proofErr w:type="spellStart"/>
      <w:r w:rsidRPr="00FE5A24">
        <w:rPr>
          <w:rFonts w:ascii="Verdana" w:hAnsi="Verdana" w:cs="Arial"/>
          <w:color w:val="000000" w:themeColor="text1"/>
          <w:lang w:val="es-ES"/>
        </w:rPr>
        <w:t>ii</w:t>
      </w:r>
      <w:proofErr w:type="spellEnd"/>
      <w:r w:rsidRPr="00FE5A24">
        <w:rPr>
          <w:rFonts w:ascii="Verdana" w:hAnsi="Verdana" w:cs="Arial"/>
          <w:color w:val="000000" w:themeColor="text1"/>
          <w:lang w:val="es-ES"/>
        </w:rPr>
        <w:t xml:space="preserve">) garantías bancarias, o </w:t>
      </w:r>
      <w:r>
        <w:rPr>
          <w:rFonts w:ascii="Verdana" w:hAnsi="Verdana" w:cs="Arial"/>
          <w:color w:val="000000" w:themeColor="text1"/>
          <w:lang w:val="es-ES"/>
        </w:rPr>
        <w:t>(</w:t>
      </w:r>
      <w:proofErr w:type="spellStart"/>
      <w:r w:rsidRPr="00FE5A24">
        <w:rPr>
          <w:rFonts w:ascii="Verdana" w:hAnsi="Verdana" w:cs="Arial"/>
          <w:color w:val="000000" w:themeColor="text1"/>
          <w:lang w:val="es-ES"/>
        </w:rPr>
        <w:t>iii</w:t>
      </w:r>
      <w:proofErr w:type="spellEnd"/>
      <w:r w:rsidRPr="00FE5A24">
        <w:rPr>
          <w:rFonts w:ascii="Verdana" w:hAnsi="Verdana" w:cs="Arial"/>
          <w:color w:val="000000" w:themeColor="text1"/>
          <w:lang w:val="es-ES"/>
        </w:rPr>
        <w:t xml:space="preserve">) los demás mecanismos de cobertura del riesgo que </w:t>
      </w:r>
      <w:r w:rsidRPr="00FE5A24">
        <w:rPr>
          <w:rFonts w:ascii="Verdana" w:hAnsi="Verdana" w:cs="Arial"/>
          <w:color w:val="000000" w:themeColor="text1"/>
          <w:lang w:val="es-ES"/>
        </w:rPr>
        <w:lastRenderedPageBreak/>
        <w:t>disponga el reglamento. De esta manera, las garantías previstas en la ley tienen como objetivo asegurar la solvencia del garante</w:t>
      </w:r>
      <w:r w:rsidRPr="00FE5A24">
        <w:rPr>
          <w:rStyle w:val="Refdenotaalpie"/>
          <w:rFonts w:ascii="Verdana" w:hAnsi="Verdana" w:cs="Arial"/>
          <w:color w:val="000000" w:themeColor="text1"/>
          <w:lang w:val="es-ES"/>
        </w:rPr>
        <w:footnoteReference w:id="5"/>
      </w:r>
      <w:r w:rsidRPr="00FE5A24">
        <w:rPr>
          <w:rFonts w:ascii="Verdana" w:hAnsi="Verdana" w:cs="Arial"/>
          <w:color w:val="000000" w:themeColor="text1"/>
          <w:lang w:val="es-ES"/>
        </w:rPr>
        <w:t>.</w:t>
      </w:r>
    </w:p>
    <w:p w14:paraId="5604B6AF" w14:textId="77777777" w:rsidR="00384E56" w:rsidRPr="00FE5A24" w:rsidRDefault="00384E56" w:rsidP="00384E56">
      <w:pPr>
        <w:spacing w:after="120" w:line="276" w:lineRule="auto"/>
        <w:ind w:firstLine="708"/>
        <w:jc w:val="both"/>
        <w:rPr>
          <w:rFonts w:ascii="Verdana" w:hAnsi="Verdana" w:cs="Arial"/>
          <w:color w:val="000000" w:themeColor="text1"/>
        </w:rPr>
      </w:pPr>
      <w:r>
        <w:rPr>
          <w:rFonts w:ascii="Verdana" w:eastAsia="Times New Roman" w:hAnsi="Verdana" w:cs="Arial"/>
          <w:color w:val="000000" w:themeColor="text1"/>
          <w:lang w:eastAsia="es-CO"/>
        </w:rPr>
        <w:t>De acuerdo con</w:t>
      </w:r>
      <w:r w:rsidRPr="00FE5A24">
        <w:rPr>
          <w:rFonts w:ascii="Verdana" w:eastAsia="Times New Roman" w:hAnsi="Verdana" w:cs="Arial"/>
          <w:color w:val="000000" w:themeColor="text1"/>
          <w:lang w:eastAsia="es-CO"/>
        </w:rPr>
        <w:t xml:space="preserve"> los artículos 2.2.1.1.1.6.1, 2.2.1.1.2.1.1 y 2.2.1.1.2.1.3 del Decreto 1082 de 2015, las entidades deben realizar el análisis de los riesgos y la forma de mitigarlos en los estudios del sector, en los estudios previos y en el pliego de condiciones, documentos propios de la etapa precontractual. Allí deben precisar la cobertura de las garantías, sin perjuicio de las observaciones que formulen los interesados y de los ajustes realizados al pliego de condiciones definitivo cuando ést</w:t>
      </w:r>
      <w:r>
        <w:rPr>
          <w:rFonts w:ascii="Verdana" w:eastAsia="Times New Roman" w:hAnsi="Verdana" w:cs="Arial"/>
          <w:color w:val="000000" w:themeColor="text1"/>
          <w:lang w:eastAsia="es-CO"/>
        </w:rPr>
        <w:t>o</w:t>
      </w:r>
      <w:r w:rsidRPr="00FE5A24">
        <w:rPr>
          <w:rFonts w:ascii="Verdana" w:eastAsia="Times New Roman" w:hAnsi="Verdana" w:cs="Arial"/>
          <w:color w:val="000000" w:themeColor="text1"/>
          <w:lang w:eastAsia="es-CO"/>
        </w:rPr>
        <w:t>s se acept</w:t>
      </w:r>
      <w:r>
        <w:rPr>
          <w:rFonts w:ascii="Verdana" w:eastAsia="Times New Roman" w:hAnsi="Verdana" w:cs="Arial"/>
          <w:color w:val="000000" w:themeColor="text1"/>
          <w:lang w:eastAsia="es-CO"/>
        </w:rPr>
        <w:t>e</w:t>
      </w:r>
      <w:r w:rsidRPr="00FE5A24">
        <w:rPr>
          <w:rFonts w:ascii="Verdana" w:eastAsia="Times New Roman" w:hAnsi="Verdana" w:cs="Arial"/>
          <w:color w:val="000000" w:themeColor="text1"/>
          <w:lang w:eastAsia="es-CO"/>
        </w:rPr>
        <w:t>n.</w:t>
      </w:r>
      <w:r>
        <w:rPr>
          <w:rFonts w:ascii="Verdana" w:hAnsi="Verdana" w:cs="Arial"/>
          <w:color w:val="000000" w:themeColor="text1"/>
        </w:rPr>
        <w:t xml:space="preserve"> Por su parte, l</w:t>
      </w:r>
      <w:r w:rsidRPr="00FE5A24">
        <w:rPr>
          <w:rFonts w:ascii="Verdana" w:hAnsi="Verdana" w:cs="Arial"/>
          <w:color w:val="000000" w:themeColor="text1"/>
        </w:rPr>
        <w:t>os artículos 2.2.1.2.3.1.1 a 2.2.1.2.3.1.19 reglamenta</w:t>
      </w:r>
      <w:r>
        <w:rPr>
          <w:rFonts w:ascii="Verdana" w:hAnsi="Verdana" w:cs="Arial"/>
          <w:color w:val="000000" w:themeColor="text1"/>
        </w:rPr>
        <w:t>n</w:t>
      </w:r>
      <w:r w:rsidRPr="00FE5A24">
        <w:rPr>
          <w:rFonts w:ascii="Verdana" w:hAnsi="Verdana" w:cs="Arial"/>
          <w:color w:val="000000" w:themeColor="text1"/>
        </w:rPr>
        <w:t xml:space="preserve"> las condiciones en que debe cumplirse </w:t>
      </w:r>
      <w:r>
        <w:rPr>
          <w:rFonts w:ascii="Verdana" w:hAnsi="Verdana" w:cs="Arial"/>
          <w:color w:val="000000" w:themeColor="text1"/>
        </w:rPr>
        <w:t>esta</w:t>
      </w:r>
      <w:r w:rsidRPr="00FE5A24">
        <w:rPr>
          <w:rFonts w:ascii="Verdana" w:hAnsi="Verdana" w:cs="Arial"/>
          <w:color w:val="000000" w:themeColor="text1"/>
        </w:rPr>
        <w:t xml:space="preserve"> obligación </w:t>
      </w:r>
      <w:r>
        <w:rPr>
          <w:rFonts w:ascii="Verdana" w:hAnsi="Verdana" w:cs="Arial"/>
          <w:color w:val="000000" w:themeColor="text1"/>
        </w:rPr>
        <w:t>y establecen</w:t>
      </w:r>
      <w:r w:rsidRPr="00FE5A24">
        <w:rPr>
          <w:rFonts w:ascii="Verdana" w:hAnsi="Verdana" w:cs="Arial"/>
          <w:color w:val="000000" w:themeColor="text1"/>
        </w:rPr>
        <w:t xml:space="preserve"> asuntos como la clase de garantías permitidas, la indivisibilidad de </w:t>
      </w:r>
      <w:proofErr w:type="gramStart"/>
      <w:r w:rsidRPr="00FE5A24">
        <w:rPr>
          <w:rFonts w:ascii="Verdana" w:hAnsi="Verdana" w:cs="Arial"/>
          <w:color w:val="000000" w:themeColor="text1"/>
        </w:rPr>
        <w:t>las mismas</w:t>
      </w:r>
      <w:proofErr w:type="gramEnd"/>
      <w:r w:rsidRPr="00FE5A24">
        <w:rPr>
          <w:rFonts w:ascii="Verdana" w:hAnsi="Verdana" w:cs="Arial"/>
          <w:color w:val="000000" w:themeColor="text1"/>
        </w:rPr>
        <w:t xml:space="preserve">, los diferentes riesgos que deben ser objeto de garantía, la vigencia y valores mínimos que deben cubrir los amparos, entre otros aspectos. </w:t>
      </w:r>
    </w:p>
    <w:p w14:paraId="0DE149D8" w14:textId="77777777" w:rsidR="00384E56" w:rsidRPr="00FE5A24" w:rsidRDefault="00384E56" w:rsidP="00384E56">
      <w:pPr>
        <w:spacing w:after="120" w:line="276" w:lineRule="auto"/>
        <w:ind w:firstLine="708"/>
        <w:jc w:val="both"/>
        <w:rPr>
          <w:rFonts w:ascii="Verdana" w:hAnsi="Verdana" w:cs="Arial"/>
          <w:color w:val="000000" w:themeColor="text1"/>
          <w:lang w:val="es-ES"/>
        </w:rPr>
      </w:pPr>
      <w:r w:rsidRPr="00FE5A24">
        <w:rPr>
          <w:rFonts w:ascii="Verdana" w:hAnsi="Verdana" w:cs="Arial"/>
          <w:color w:val="000000" w:themeColor="text1"/>
          <w:lang w:val="es-ES"/>
        </w:rPr>
        <w:t xml:space="preserve">En particular, mediante </w:t>
      </w:r>
      <w:r w:rsidRPr="00FE5A24">
        <w:rPr>
          <w:rFonts w:ascii="Verdana" w:eastAsia="Calibri" w:hAnsi="Verdana" w:cs="Arial"/>
          <w:color w:val="000000" w:themeColor="text1"/>
          <w:lang w:val="es-ES"/>
        </w:rPr>
        <w:t xml:space="preserve">la </w:t>
      </w:r>
      <w:r w:rsidRPr="00FE5A24">
        <w:rPr>
          <w:rFonts w:ascii="Verdana" w:eastAsia="Calibri" w:hAnsi="Verdana" w:cs="Arial"/>
          <w:i/>
          <w:iCs/>
          <w:color w:val="000000" w:themeColor="text1"/>
          <w:lang w:val="es-ES"/>
        </w:rPr>
        <w:t>garantía única de cumplimiento</w:t>
      </w:r>
      <w:r w:rsidRPr="00FE5A24">
        <w:rPr>
          <w:rFonts w:ascii="Verdana" w:eastAsia="Calibri" w:hAnsi="Verdana" w:cs="Arial"/>
          <w:color w:val="000000" w:themeColor="text1"/>
          <w:lang w:val="es-ES"/>
        </w:rPr>
        <w:t xml:space="preserve"> el contratista debe amparar los perjuicios que le pueda generar a la entidad el incumplimiento de las obligaciones derivadas del contrato por conductas que le sean atribuibles</w:t>
      </w:r>
      <w:r w:rsidRPr="00FE5A24">
        <w:rPr>
          <w:rStyle w:val="Refdenotaalpie"/>
          <w:rFonts w:ascii="Verdana" w:eastAsia="Calibri" w:hAnsi="Verdana" w:cs="Arial"/>
          <w:color w:val="000000" w:themeColor="text1"/>
        </w:rPr>
        <w:footnoteReference w:id="6"/>
      </w:r>
      <w:r w:rsidRPr="00FE5A24">
        <w:rPr>
          <w:rFonts w:ascii="Verdana" w:eastAsia="Calibri" w:hAnsi="Verdana" w:cs="Arial"/>
          <w:color w:val="000000" w:themeColor="text1"/>
          <w:lang w:val="es-ES"/>
        </w:rPr>
        <w:t xml:space="preserve">. </w:t>
      </w:r>
      <w:r w:rsidRPr="00FE5A24">
        <w:rPr>
          <w:rFonts w:ascii="Verdana" w:hAnsi="Verdana" w:cs="Arial"/>
          <w:color w:val="000000" w:themeColor="text1"/>
          <w:lang w:val="es-ES_tradnl"/>
        </w:rPr>
        <w:t>Para estos efectos es única, ya que “[…] La prioridad […] es que no haya garantías separadas para los diferentes riesgos, aunque existan varias garantías para diferentes proporciones del interés asegurado […]”</w:t>
      </w:r>
      <w:r w:rsidRPr="00FE5A24">
        <w:rPr>
          <w:rStyle w:val="Refdenotaalpie"/>
          <w:rFonts w:ascii="Verdana" w:hAnsi="Verdana" w:cs="Arial"/>
          <w:color w:val="000000" w:themeColor="text1"/>
          <w:lang w:val="es-ES_tradnl"/>
        </w:rPr>
        <w:footnoteReference w:id="7"/>
      </w:r>
      <w:r w:rsidRPr="00FE5A24">
        <w:rPr>
          <w:rFonts w:ascii="Verdana" w:hAnsi="Verdana" w:cs="Arial"/>
          <w:color w:val="000000" w:themeColor="text1"/>
          <w:lang w:val="es-ES_tradnl"/>
        </w:rPr>
        <w:t xml:space="preserve">.    </w:t>
      </w:r>
    </w:p>
    <w:p w14:paraId="16DA9706" w14:textId="77777777" w:rsidR="00384E56" w:rsidRDefault="00384E56" w:rsidP="00384E56">
      <w:pPr>
        <w:spacing w:after="120" w:line="276" w:lineRule="auto"/>
        <w:ind w:firstLine="708"/>
        <w:jc w:val="both"/>
        <w:rPr>
          <w:rFonts w:ascii="Verdana" w:eastAsia="Times New Roman" w:hAnsi="Verdana" w:cs="Arial"/>
          <w:color w:val="000000" w:themeColor="text1"/>
          <w:lang w:eastAsia="es-CO"/>
        </w:rPr>
      </w:pPr>
      <w:r w:rsidRPr="00FE5A24">
        <w:rPr>
          <w:rFonts w:ascii="Verdana" w:hAnsi="Verdana" w:cs="Arial"/>
          <w:color w:val="000000" w:themeColor="text1"/>
        </w:rPr>
        <w:t xml:space="preserve">El artículo 2.2.1.3.1.7 del Decreto 1082 de 2015 señala que </w:t>
      </w:r>
      <w:r w:rsidRPr="00FE5A24">
        <w:rPr>
          <w:rFonts w:ascii="Verdana" w:hAnsi="Verdana" w:cs="Arial"/>
          <w:i/>
          <w:iCs/>
          <w:color w:val="000000" w:themeColor="text1"/>
        </w:rPr>
        <w:t>la garantía de cumplimiento</w:t>
      </w:r>
      <w:r w:rsidRPr="00FE5A24">
        <w:rPr>
          <w:rFonts w:ascii="Verdana" w:hAnsi="Verdana" w:cs="Arial"/>
          <w:color w:val="000000" w:themeColor="text1"/>
        </w:rPr>
        <w:t xml:space="preserve"> </w:t>
      </w:r>
      <w:r w:rsidRPr="00FE5A24">
        <w:rPr>
          <w:rFonts w:ascii="Verdana" w:eastAsia="Calibri" w:hAnsi="Verdana" w:cs="Arial"/>
          <w:bCs/>
          <w:color w:val="000000" w:themeColor="text1"/>
          <w:lang w:val="es-ES_tradnl"/>
        </w:rPr>
        <w:t xml:space="preserve">cuenta con varios </w:t>
      </w:r>
      <w:r w:rsidRPr="00FE5A24">
        <w:rPr>
          <w:rFonts w:ascii="Verdana" w:eastAsia="Calibri" w:hAnsi="Verdana" w:cs="Arial"/>
          <w:bCs/>
          <w:i/>
          <w:iCs/>
          <w:color w:val="000000" w:themeColor="text1"/>
          <w:lang w:val="es-ES_tradnl"/>
        </w:rPr>
        <w:t>amparos</w:t>
      </w:r>
      <w:r w:rsidRPr="00FE5A24">
        <w:rPr>
          <w:rFonts w:ascii="Verdana" w:eastAsia="Calibri" w:hAnsi="Verdana" w:cs="Arial"/>
          <w:bCs/>
          <w:color w:val="000000" w:themeColor="text1"/>
          <w:lang w:val="es-ES_tradnl"/>
        </w:rPr>
        <w:t xml:space="preserve"> que cubren: el de buen manejo y correcta inversión del anticipo; la devolución del pago anticipado; el amparo de cumplimiento del contrato; la garantía de pago de salarios, prestaciones sociales </w:t>
      </w:r>
      <w:r w:rsidRPr="00FE5A24">
        <w:rPr>
          <w:rFonts w:ascii="Verdana" w:eastAsia="Calibri" w:hAnsi="Verdana" w:cs="Arial"/>
          <w:bCs/>
          <w:color w:val="000000" w:themeColor="text1"/>
          <w:lang w:val="es-ES_tradnl"/>
        </w:rPr>
        <w:lastRenderedPageBreak/>
        <w:t xml:space="preserve">legales e indemnizaciones laborales; </w:t>
      </w:r>
      <w:r w:rsidRPr="00765B86">
        <w:rPr>
          <w:rFonts w:ascii="Verdana" w:eastAsia="Calibri" w:hAnsi="Verdana" w:cs="Arial"/>
          <w:bCs/>
          <w:i/>
          <w:iCs/>
          <w:color w:val="000000" w:themeColor="text1"/>
          <w:lang w:val="es-ES_tradnl"/>
        </w:rPr>
        <w:t>la estabilidad y calidad de la obra</w:t>
      </w:r>
      <w:r w:rsidRPr="00FE5A24">
        <w:rPr>
          <w:rFonts w:ascii="Verdana" w:eastAsia="Calibri" w:hAnsi="Verdana" w:cs="Arial"/>
          <w:bCs/>
          <w:color w:val="000000" w:themeColor="text1"/>
          <w:lang w:val="es-ES_tradnl"/>
        </w:rPr>
        <w:t xml:space="preserve">, y </w:t>
      </w:r>
      <w:r w:rsidRPr="00FE5A24">
        <w:rPr>
          <w:rFonts w:ascii="Verdana" w:eastAsia="Times New Roman" w:hAnsi="Verdana" w:cs="Arial"/>
          <w:color w:val="000000" w:themeColor="text1"/>
          <w:lang w:eastAsia="es-CO"/>
        </w:rPr>
        <w:t>los demás incumplimientos de las obligaciones que la entidad estatal considere deben ser amparados</w:t>
      </w:r>
      <w:r w:rsidRPr="00FE5A24">
        <w:rPr>
          <w:rStyle w:val="Refdenotaalpie"/>
          <w:rFonts w:ascii="Verdana" w:eastAsia="Times New Roman" w:hAnsi="Verdana" w:cs="Arial"/>
          <w:color w:val="000000" w:themeColor="text1"/>
          <w:lang w:eastAsia="es-CO"/>
        </w:rPr>
        <w:footnoteReference w:id="8"/>
      </w:r>
      <w:r w:rsidRPr="00FE5A24">
        <w:rPr>
          <w:rFonts w:ascii="Verdana" w:eastAsia="Times New Roman" w:hAnsi="Verdana" w:cs="Arial"/>
          <w:color w:val="000000" w:themeColor="text1"/>
          <w:lang w:eastAsia="es-CO"/>
        </w:rPr>
        <w:t>. Esto, además de la póliza de responsabilidad civil extracontractual que es procedente en los contratos de obra, así como en aquellos en que por su objeto o naturaleza se considere necesario con ocasión de los riesgos previstos en el negocio, de acuerdo con el artículo 2.2.1.2.3.1.8</w:t>
      </w:r>
      <w:r w:rsidRPr="00FE5A24">
        <w:rPr>
          <w:rFonts w:ascii="Verdana" w:eastAsia="Times New Roman" w:hAnsi="Verdana" w:cs="Arial"/>
          <w:i/>
          <w:iCs/>
          <w:color w:val="000000" w:themeColor="text1"/>
          <w:lang w:eastAsia="es-CO"/>
        </w:rPr>
        <w:t xml:space="preserve"> </w:t>
      </w:r>
      <w:r w:rsidRPr="00FE5A24">
        <w:rPr>
          <w:rFonts w:ascii="Verdana" w:eastAsia="Times New Roman" w:hAnsi="Verdana" w:cs="Arial"/>
          <w:color w:val="000000" w:themeColor="text1"/>
          <w:lang w:eastAsia="es-CO"/>
        </w:rPr>
        <w:t>del Decreto 1082 de 2015.</w:t>
      </w:r>
    </w:p>
    <w:p w14:paraId="6FBA24C5" w14:textId="6DECC610" w:rsidR="00384E56" w:rsidRDefault="00384E56" w:rsidP="008F204A">
      <w:pPr>
        <w:spacing w:after="120" w:line="276" w:lineRule="auto"/>
        <w:ind w:firstLine="708"/>
        <w:jc w:val="both"/>
        <w:rPr>
          <w:rFonts w:ascii="Verdana" w:eastAsia="Times New Roman" w:hAnsi="Verdana" w:cs="Arial"/>
          <w:color w:val="000000" w:themeColor="text1"/>
          <w:lang w:eastAsia="es-CO"/>
        </w:rPr>
      </w:pPr>
      <w:r>
        <w:rPr>
          <w:rFonts w:ascii="Verdana" w:eastAsia="Times New Roman" w:hAnsi="Verdana" w:cs="Arial"/>
          <w:color w:val="000000" w:themeColor="text1"/>
          <w:lang w:eastAsia="es-CO"/>
        </w:rPr>
        <w:t xml:space="preserve">Como se observa, la garantía de cumplimiento es única y su amparo de estabilidad y calidad de la obra </w:t>
      </w:r>
      <w:r w:rsidRPr="005938A0">
        <w:rPr>
          <w:rFonts w:ascii="Verdana" w:eastAsia="Times New Roman" w:hAnsi="Verdana" w:cs="Arial"/>
          <w:color w:val="000000" w:themeColor="text1"/>
          <w:lang w:eastAsia="es-CO"/>
        </w:rPr>
        <w:t>cubre la ocurrencia de</w:t>
      </w:r>
      <w:r>
        <w:rPr>
          <w:rFonts w:ascii="Verdana" w:eastAsia="Times New Roman" w:hAnsi="Verdana" w:cs="Arial"/>
          <w:color w:val="000000" w:themeColor="text1"/>
          <w:lang w:eastAsia="es-CO"/>
        </w:rPr>
        <w:t xml:space="preserve"> los</w:t>
      </w:r>
      <w:r w:rsidRPr="005938A0">
        <w:rPr>
          <w:rFonts w:ascii="Verdana" w:eastAsia="Times New Roman" w:hAnsi="Verdana" w:cs="Arial"/>
          <w:color w:val="000000" w:themeColor="text1"/>
          <w:lang w:eastAsia="es-CO"/>
        </w:rPr>
        <w:t xml:space="preserve"> vicios, mala calidad, defectos, deficiencias técnicas o fallas que la Administración no detecte al momento de recibir la obra o que descubr</w:t>
      </w:r>
      <w:r>
        <w:rPr>
          <w:rFonts w:ascii="Verdana" w:eastAsia="Times New Roman" w:hAnsi="Verdana" w:cs="Arial"/>
          <w:color w:val="000000" w:themeColor="text1"/>
          <w:lang w:eastAsia="es-CO"/>
        </w:rPr>
        <w:t>a</w:t>
      </w:r>
      <w:r w:rsidRPr="005938A0">
        <w:rPr>
          <w:rFonts w:ascii="Verdana" w:eastAsia="Times New Roman" w:hAnsi="Verdana" w:cs="Arial"/>
          <w:color w:val="000000" w:themeColor="text1"/>
          <w:lang w:eastAsia="es-CO"/>
        </w:rPr>
        <w:t xml:space="preserve"> con posterioridad a la liquidación del contrato, afectando el cumplimiento de los objetivos que animaron la suscripción.</w:t>
      </w:r>
      <w:r>
        <w:rPr>
          <w:rFonts w:ascii="Verdana" w:eastAsia="Times New Roman" w:hAnsi="Verdana" w:cs="Arial"/>
          <w:color w:val="000000" w:themeColor="text1"/>
          <w:lang w:eastAsia="es-CO"/>
        </w:rPr>
        <w:t xml:space="preserve"> En efecto, el amparo respalda estos riesgos frente a la totalidad del objeto contractual, el cual podrá incluir distintas actividades relacionadas con la obra pública. De esta forma, la entidad exige la constitución de un amparo cuya suficiencia y valor respalda la estabilidad y calidad toda la obra pública que es </w:t>
      </w:r>
      <w:r>
        <w:rPr>
          <w:rFonts w:ascii="Verdana" w:eastAsia="Times New Roman" w:hAnsi="Verdana" w:cs="Arial"/>
          <w:color w:val="000000" w:themeColor="text1"/>
          <w:lang w:eastAsia="es-CO"/>
        </w:rPr>
        <w:lastRenderedPageBreak/>
        <w:t>objeto de contratación, de modo que no resulta adecuado dividir la suficiencia del amparo según las actividades a ejecutar.</w:t>
      </w:r>
    </w:p>
    <w:p w14:paraId="53218E87" w14:textId="120CFF16" w:rsidR="00384E56" w:rsidRDefault="00384E56" w:rsidP="008F204A">
      <w:pPr>
        <w:spacing w:after="120" w:line="276" w:lineRule="auto"/>
        <w:ind w:firstLine="708"/>
        <w:jc w:val="both"/>
        <w:rPr>
          <w:rFonts w:ascii="Verdana" w:eastAsia="Times New Roman" w:hAnsi="Verdana" w:cs="Arial"/>
          <w:color w:val="000000" w:themeColor="text1"/>
          <w:lang w:eastAsia="es-CO"/>
        </w:rPr>
      </w:pPr>
      <w:r>
        <w:rPr>
          <w:rFonts w:ascii="Verdana" w:eastAsia="Times New Roman" w:hAnsi="Verdana" w:cs="Arial"/>
          <w:color w:val="000000" w:themeColor="text1"/>
          <w:lang w:eastAsia="es-CO"/>
        </w:rPr>
        <w:t xml:space="preserve">Por su parte, el artículo </w:t>
      </w:r>
      <w:r w:rsidRPr="00CA6FDA">
        <w:rPr>
          <w:rFonts w:ascii="Verdana" w:eastAsia="Times New Roman" w:hAnsi="Verdana" w:cs="Arial"/>
          <w:color w:val="000000" w:themeColor="text1"/>
          <w:lang w:eastAsia="es-CO"/>
        </w:rPr>
        <w:t>2.2.1.2.3.1.14</w:t>
      </w:r>
      <w:r>
        <w:rPr>
          <w:rFonts w:ascii="Verdana" w:eastAsia="Times New Roman" w:hAnsi="Verdana" w:cs="Arial"/>
          <w:color w:val="000000" w:themeColor="text1"/>
          <w:lang w:eastAsia="es-CO"/>
        </w:rPr>
        <w:t xml:space="preserve"> del Decreto 1082 de 2015 –después de la modificación del artículo 3 del Decreto 399 de 2021– establece la suficiencia del </w:t>
      </w:r>
      <w:r w:rsidRPr="00765B86">
        <w:rPr>
          <w:rFonts w:ascii="Verdana" w:eastAsia="Times New Roman" w:hAnsi="Verdana" w:cs="Arial"/>
          <w:i/>
          <w:iCs/>
          <w:color w:val="000000" w:themeColor="text1"/>
          <w:lang w:eastAsia="es-CO"/>
        </w:rPr>
        <w:t>amparo de estabilidad y calidad de la obra</w:t>
      </w:r>
      <w:r>
        <w:rPr>
          <w:rFonts w:ascii="Verdana" w:eastAsia="Times New Roman" w:hAnsi="Verdana" w:cs="Arial"/>
          <w:color w:val="000000" w:themeColor="text1"/>
          <w:lang w:eastAsia="es-CO"/>
        </w:rPr>
        <w:t xml:space="preserve">. Para efectos de la vigencia y el monto, el inciso primero dispone que </w:t>
      </w:r>
      <w:r w:rsidRPr="00CA6FDA">
        <w:rPr>
          <w:rFonts w:ascii="Verdana" w:eastAsia="Times New Roman" w:hAnsi="Verdana" w:cs="Arial"/>
          <w:color w:val="000000" w:themeColor="text1"/>
          <w:lang w:eastAsia="es-CO"/>
        </w:rPr>
        <w:t>debe estar vigente por un término no inferior a cinco (5) años contados a partir de la fecha en la cual la Entidad Estatal recibe a satisfacción la obra</w:t>
      </w:r>
      <w:r>
        <w:rPr>
          <w:rFonts w:ascii="Verdana" w:eastAsia="Times New Roman" w:hAnsi="Verdana" w:cs="Arial"/>
          <w:color w:val="000000" w:themeColor="text1"/>
          <w:lang w:eastAsia="es-CO"/>
        </w:rPr>
        <w:t xml:space="preserve">. </w:t>
      </w:r>
      <w:r w:rsidRPr="00E945AF">
        <w:rPr>
          <w:rFonts w:ascii="Verdana" w:eastAsia="Times New Roman" w:hAnsi="Verdana" w:cs="Arial"/>
          <w:color w:val="000000" w:themeColor="text1"/>
          <w:lang w:eastAsia="es-CO"/>
        </w:rPr>
        <w:t>La Entidad Estatal debe determinar el valor asegurado de esta garantía en los documentos del proceso, de acuerdo con el objeto, la cuantía, la naturaleza y las obligaciones contenidas en el contrato a celebrar</w:t>
      </w:r>
      <w:r w:rsidRPr="00CA6FDA">
        <w:rPr>
          <w:rFonts w:ascii="Verdana" w:eastAsia="Times New Roman" w:hAnsi="Verdana" w:cs="Arial"/>
          <w:color w:val="000000" w:themeColor="text1"/>
          <w:lang w:eastAsia="es-CO"/>
        </w:rPr>
        <w:t>.</w:t>
      </w:r>
      <w:r>
        <w:rPr>
          <w:rFonts w:ascii="Verdana" w:eastAsia="Times New Roman" w:hAnsi="Verdana" w:cs="Arial"/>
          <w:color w:val="000000" w:themeColor="text1"/>
          <w:lang w:eastAsia="es-CO"/>
        </w:rPr>
        <w:t xml:space="preserve"> </w:t>
      </w:r>
    </w:p>
    <w:p w14:paraId="4965BFB6" w14:textId="77777777" w:rsidR="00384E56" w:rsidRDefault="00384E56" w:rsidP="00384E56">
      <w:pPr>
        <w:spacing w:before="120" w:after="0" w:line="276" w:lineRule="auto"/>
        <w:ind w:firstLine="709"/>
        <w:jc w:val="both"/>
        <w:rPr>
          <w:rFonts w:ascii="Verdana" w:eastAsia="Times New Roman" w:hAnsi="Verdana" w:cs="Arial"/>
          <w:color w:val="000000" w:themeColor="text1"/>
          <w:lang w:eastAsia="es-CO"/>
        </w:rPr>
      </w:pPr>
      <w:r>
        <w:rPr>
          <w:rFonts w:ascii="Verdana" w:eastAsia="Times New Roman" w:hAnsi="Verdana" w:cs="Arial"/>
          <w:color w:val="000000" w:themeColor="text1"/>
          <w:lang w:eastAsia="es-CO"/>
        </w:rPr>
        <w:t xml:space="preserve">No obstante, en lo que atañe al plazo, la norma consagra una excepción, puesto que faculta a la entidad para establecer una garantía por un plazo inferior a </w:t>
      </w:r>
      <w:r w:rsidRPr="00CA6FDA">
        <w:rPr>
          <w:rFonts w:ascii="Verdana" w:eastAsia="Times New Roman" w:hAnsi="Verdana" w:cs="Arial"/>
          <w:color w:val="000000" w:themeColor="text1"/>
          <w:lang w:eastAsia="es-CO"/>
        </w:rPr>
        <w:t>cinco (5) años</w:t>
      </w:r>
      <w:r>
        <w:rPr>
          <w:rFonts w:ascii="Verdana" w:eastAsia="Times New Roman" w:hAnsi="Verdana" w:cs="Arial"/>
          <w:color w:val="000000" w:themeColor="text1"/>
          <w:lang w:eastAsia="es-CO"/>
        </w:rPr>
        <w:t>, sin que la misma tenga una duración inferior a uno (1). Para estos efectos, los incisos segundo y tercero del artículo referido disponen lo siguiente:</w:t>
      </w:r>
    </w:p>
    <w:p w14:paraId="5F788DD2" w14:textId="77777777" w:rsidR="00384E56" w:rsidRDefault="00384E56" w:rsidP="00384E56">
      <w:pPr>
        <w:spacing w:after="0" w:line="276" w:lineRule="auto"/>
        <w:ind w:firstLine="709"/>
        <w:jc w:val="both"/>
        <w:rPr>
          <w:rFonts w:ascii="Verdana" w:eastAsia="Times New Roman" w:hAnsi="Verdana" w:cs="Arial"/>
          <w:color w:val="000000" w:themeColor="text1"/>
          <w:lang w:eastAsia="es-CO"/>
        </w:rPr>
      </w:pPr>
    </w:p>
    <w:p w14:paraId="2EE58FED" w14:textId="77777777" w:rsidR="00384E56" w:rsidRPr="006917FD" w:rsidRDefault="00384E56" w:rsidP="00384E56">
      <w:pPr>
        <w:spacing w:after="120" w:line="240" w:lineRule="auto"/>
        <w:ind w:left="709" w:right="709"/>
        <w:jc w:val="both"/>
        <w:rPr>
          <w:rFonts w:ascii="Verdana" w:eastAsia="Times New Roman" w:hAnsi="Verdana" w:cs="Arial"/>
          <w:color w:val="000000" w:themeColor="text1"/>
          <w:sz w:val="20"/>
          <w:szCs w:val="20"/>
          <w:lang w:eastAsia="es-CO"/>
        </w:rPr>
      </w:pPr>
      <w:r w:rsidRPr="006917FD">
        <w:rPr>
          <w:rFonts w:ascii="Verdana" w:eastAsia="Times New Roman" w:hAnsi="Verdana" w:cs="Arial"/>
          <w:color w:val="000000" w:themeColor="text1"/>
          <w:sz w:val="20"/>
          <w:szCs w:val="20"/>
          <w:lang w:eastAsia="es-CO"/>
        </w:rPr>
        <w:t xml:space="preserve">“La Entidad Estatal puede aceptar que esta garantía tenga una vigencia inferior a cinco (5) años previa justificación técnica de un experto en la materia objeto del contrato, lo cual </w:t>
      </w:r>
      <w:bookmarkStart w:id="12" w:name="_Hlk171000426"/>
      <w:r w:rsidRPr="006917FD">
        <w:rPr>
          <w:rFonts w:ascii="Verdana" w:eastAsia="Times New Roman" w:hAnsi="Verdana" w:cs="Arial"/>
          <w:color w:val="000000" w:themeColor="text1"/>
          <w:sz w:val="20"/>
          <w:szCs w:val="20"/>
          <w:lang w:eastAsia="es-CO"/>
        </w:rPr>
        <w:t>se debe reflejar en los documentos del proceso</w:t>
      </w:r>
      <w:bookmarkEnd w:id="12"/>
      <w:r w:rsidRPr="006917FD">
        <w:rPr>
          <w:rFonts w:ascii="Verdana" w:eastAsia="Times New Roman" w:hAnsi="Verdana" w:cs="Arial"/>
          <w:color w:val="000000" w:themeColor="text1"/>
          <w:sz w:val="20"/>
          <w:szCs w:val="20"/>
          <w:lang w:eastAsia="es-CO"/>
        </w:rPr>
        <w:t>. Como consecuencia del análisis anterior y según la complejidad técnica del contrato a celebrar, esta garantía podrá tener una vigencia inferior a cinco (5) años y en todo caso de mínimo un (1) año.</w:t>
      </w:r>
    </w:p>
    <w:p w14:paraId="37CF3A62" w14:textId="77777777" w:rsidR="00384E56" w:rsidRPr="006917FD" w:rsidRDefault="00384E56" w:rsidP="00384E56">
      <w:pPr>
        <w:spacing w:before="120" w:after="0" w:line="240" w:lineRule="auto"/>
        <w:ind w:left="709" w:right="709"/>
        <w:jc w:val="both"/>
        <w:rPr>
          <w:rFonts w:ascii="Verdana" w:eastAsia="Times New Roman" w:hAnsi="Verdana" w:cs="Arial"/>
          <w:color w:val="000000" w:themeColor="text1"/>
          <w:sz w:val="20"/>
          <w:szCs w:val="20"/>
          <w:lang w:eastAsia="es-CO"/>
        </w:rPr>
      </w:pPr>
      <w:r w:rsidRPr="006917FD">
        <w:rPr>
          <w:rFonts w:ascii="Verdana" w:eastAsia="Times New Roman" w:hAnsi="Verdana" w:cs="Arial"/>
          <w:color w:val="000000" w:themeColor="text1"/>
          <w:sz w:val="20"/>
          <w:szCs w:val="20"/>
          <w:lang w:eastAsia="es-CO"/>
        </w:rPr>
        <w:t xml:space="preserve">Para establecer la complejidad técnica del proyecto, y por ende la vigencia de la garantía de estabilidad y calidad de la obra por un término inferior a los cinco (5) años, la justificación técnica del experto en la materia objeto del contrato tendrá en consideración variables como las siguientes: el tipo de actividades que serán realizadas, la experticia técnica requerida, el alcance físico de las obras, entre otros, pero sin limitarse únicamente a la cuantía del proceso”. </w:t>
      </w:r>
    </w:p>
    <w:p w14:paraId="23FF9FCA" w14:textId="77777777" w:rsidR="00384E56" w:rsidRDefault="00384E56" w:rsidP="00384E56">
      <w:pPr>
        <w:spacing w:after="0" w:line="276" w:lineRule="auto"/>
        <w:ind w:firstLine="709"/>
        <w:jc w:val="both"/>
        <w:rPr>
          <w:rFonts w:ascii="Verdana" w:eastAsia="Times New Roman" w:hAnsi="Verdana" w:cs="Arial"/>
          <w:color w:val="000000" w:themeColor="text1"/>
          <w:lang w:eastAsia="es-CO"/>
        </w:rPr>
      </w:pPr>
    </w:p>
    <w:p w14:paraId="20A1C839" w14:textId="77777777" w:rsidR="00384E56" w:rsidRPr="005938A0" w:rsidRDefault="00384E56" w:rsidP="00384E56">
      <w:pPr>
        <w:spacing w:after="120" w:line="276" w:lineRule="auto"/>
        <w:ind w:firstLine="709"/>
        <w:jc w:val="both"/>
        <w:rPr>
          <w:rFonts w:ascii="Verdana" w:eastAsia="Times New Roman" w:hAnsi="Verdana" w:cs="Arial"/>
          <w:color w:val="000000" w:themeColor="text1"/>
          <w:lang w:eastAsia="es-CO"/>
        </w:rPr>
      </w:pPr>
      <w:r>
        <w:rPr>
          <w:rFonts w:ascii="Verdana" w:eastAsia="Times New Roman" w:hAnsi="Verdana" w:cs="Arial"/>
          <w:color w:val="000000" w:themeColor="text1"/>
          <w:lang w:eastAsia="es-CO"/>
        </w:rPr>
        <w:t xml:space="preserve">En efecto, la entidad solo podrá exigir una suficiencia del </w:t>
      </w:r>
      <w:r w:rsidRPr="00765B86">
        <w:rPr>
          <w:rFonts w:ascii="Verdana" w:eastAsia="Times New Roman" w:hAnsi="Verdana" w:cs="Arial"/>
          <w:i/>
          <w:iCs/>
          <w:color w:val="000000" w:themeColor="text1"/>
          <w:lang w:eastAsia="es-CO"/>
        </w:rPr>
        <w:t>amparo de estabilidad y calidad de la obra</w:t>
      </w:r>
      <w:r>
        <w:rPr>
          <w:rFonts w:ascii="Verdana" w:eastAsia="Times New Roman" w:hAnsi="Verdana" w:cs="Arial"/>
          <w:i/>
          <w:iCs/>
          <w:color w:val="000000" w:themeColor="text1"/>
          <w:lang w:eastAsia="es-CO"/>
        </w:rPr>
        <w:t xml:space="preserve"> </w:t>
      </w:r>
      <w:r w:rsidRPr="000076AD">
        <w:rPr>
          <w:rFonts w:ascii="Verdana" w:eastAsia="Times New Roman" w:hAnsi="Verdana" w:cs="Arial"/>
          <w:color w:val="000000" w:themeColor="text1"/>
          <w:lang w:eastAsia="es-CO"/>
        </w:rPr>
        <w:t xml:space="preserve">inferior a </w:t>
      </w:r>
      <w:r>
        <w:rPr>
          <w:rFonts w:ascii="Verdana" w:eastAsia="Times New Roman" w:hAnsi="Verdana" w:cs="Arial"/>
          <w:color w:val="000000" w:themeColor="text1"/>
          <w:lang w:eastAsia="es-CO"/>
        </w:rPr>
        <w:t xml:space="preserve">(5) </w:t>
      </w:r>
      <w:r w:rsidRPr="000076AD">
        <w:rPr>
          <w:rFonts w:ascii="Verdana" w:eastAsia="Times New Roman" w:hAnsi="Verdana" w:cs="Arial"/>
          <w:color w:val="000000" w:themeColor="text1"/>
          <w:lang w:eastAsia="es-CO"/>
        </w:rPr>
        <w:t>cinco años si u</w:t>
      </w:r>
      <w:r w:rsidRPr="00142005">
        <w:rPr>
          <w:rFonts w:ascii="Verdana" w:eastAsia="Times New Roman" w:hAnsi="Verdana" w:cs="Arial"/>
          <w:color w:val="000000" w:themeColor="text1"/>
          <w:lang w:eastAsia="es-CO"/>
        </w:rPr>
        <w:t>n</w:t>
      </w:r>
      <w:r>
        <w:rPr>
          <w:rFonts w:ascii="Verdana" w:eastAsia="Times New Roman" w:hAnsi="Verdana" w:cs="Arial"/>
          <w:i/>
          <w:iCs/>
          <w:color w:val="000000" w:themeColor="text1"/>
          <w:lang w:eastAsia="es-CO"/>
        </w:rPr>
        <w:t xml:space="preserve"> </w:t>
      </w:r>
      <w:r w:rsidRPr="005938A0">
        <w:rPr>
          <w:rFonts w:ascii="Verdana" w:eastAsia="Times New Roman" w:hAnsi="Verdana" w:cs="Arial"/>
          <w:color w:val="000000" w:themeColor="text1"/>
          <w:lang w:eastAsia="es-CO"/>
        </w:rPr>
        <w:t xml:space="preserve">experto </w:t>
      </w:r>
      <w:r>
        <w:rPr>
          <w:rFonts w:ascii="Verdana" w:eastAsia="Times New Roman" w:hAnsi="Verdana" w:cs="Arial"/>
          <w:color w:val="000000" w:themeColor="text1"/>
          <w:lang w:eastAsia="es-CO"/>
        </w:rPr>
        <w:t xml:space="preserve">emite </w:t>
      </w:r>
      <w:r w:rsidRPr="005938A0">
        <w:rPr>
          <w:rFonts w:ascii="Verdana" w:eastAsia="Times New Roman" w:hAnsi="Verdana" w:cs="Arial"/>
          <w:color w:val="000000" w:themeColor="text1"/>
          <w:lang w:eastAsia="es-CO"/>
        </w:rPr>
        <w:t xml:space="preserve">una “justificación”, entendida como la “Prueba convincente de algo”, de acuerdo con su área profesional. Sin limitarse a la cuantía del proceso, la justificación técnica se relaciona con “[…] el tipo de actividades que serán realizadas, la experticia técnica requerida, el alcance físico de las obras, entre otros […]”. Con fundamento en la opinión del experto, la entidad encargada del proceso de </w:t>
      </w:r>
      <w:r w:rsidRPr="005938A0">
        <w:rPr>
          <w:rFonts w:ascii="Verdana" w:eastAsia="Times New Roman" w:hAnsi="Verdana" w:cs="Arial"/>
          <w:color w:val="000000" w:themeColor="text1"/>
          <w:lang w:eastAsia="es-CO"/>
        </w:rPr>
        <w:lastRenderedPageBreak/>
        <w:t>selección definirá si existe una justificación razonable para constituir la garantía de estabilidad y calidad de la obra por un término inferior a cinco (5) años.</w:t>
      </w:r>
    </w:p>
    <w:p w14:paraId="798B0340" w14:textId="77777777" w:rsidR="00384E56" w:rsidRPr="00014BEB" w:rsidRDefault="00384E56" w:rsidP="00014BEB">
      <w:pPr>
        <w:spacing w:after="120" w:line="276" w:lineRule="auto"/>
        <w:ind w:firstLine="709"/>
        <w:jc w:val="both"/>
        <w:rPr>
          <w:rFonts w:ascii="Verdana" w:hAnsi="Verdana" w:cs="Arial"/>
          <w:color w:val="000000" w:themeColor="text1"/>
          <w:lang w:val="es-MX"/>
        </w:rPr>
      </w:pPr>
      <w:r w:rsidRPr="005938A0">
        <w:rPr>
          <w:rFonts w:ascii="Verdana" w:eastAsia="Times New Roman" w:hAnsi="Verdana" w:cs="Arial"/>
          <w:color w:val="000000" w:themeColor="text1"/>
          <w:lang w:eastAsia="es-CO"/>
        </w:rPr>
        <w:t>Como dispone la norma en comento, este análisis “[…] se debe reflejar en los documentos del proceso […]”</w:t>
      </w:r>
      <w:r>
        <w:rPr>
          <w:rFonts w:ascii="Verdana" w:eastAsia="Times New Roman" w:hAnsi="Verdana" w:cs="Arial"/>
          <w:color w:val="000000" w:themeColor="text1"/>
          <w:lang w:eastAsia="es-CO"/>
        </w:rPr>
        <w:t xml:space="preserve"> que, s</w:t>
      </w:r>
      <w:r w:rsidRPr="005938A0">
        <w:rPr>
          <w:rFonts w:ascii="Verdana" w:eastAsia="Times New Roman" w:hAnsi="Verdana" w:cs="Arial"/>
          <w:color w:val="000000" w:themeColor="text1"/>
          <w:lang w:eastAsia="es-CO"/>
        </w:rPr>
        <w:t xml:space="preserve">egún el artículo 2.2.1.1.1.3.1 del Decreto 1082 de 2015, modificado por el artículo 1° del Decreto 142 de 2023, son: “(a) los estudios y documentos previos; (b) el aviso de convocatoria; (c) los pliegos de condiciones o la invitación; (d) las Adendas; (e) la oferta; (f) el informe de evaluación; (g) el contrato; y cualquier otro documento expedido por la Entidad Estatal durante el Proceso de Contratación”. </w:t>
      </w:r>
      <w:r>
        <w:rPr>
          <w:rFonts w:ascii="Verdana" w:eastAsia="Times New Roman" w:hAnsi="Verdana" w:cs="Arial"/>
          <w:color w:val="000000" w:themeColor="text1"/>
          <w:lang w:eastAsia="es-CO"/>
        </w:rPr>
        <w:t xml:space="preserve">De modo que la entidad deberá dejar constancia de la justificación para aceptar que </w:t>
      </w:r>
      <w:r w:rsidRPr="00D41063">
        <w:rPr>
          <w:rFonts w:ascii="Verdana" w:eastAsia="Times New Roman" w:hAnsi="Verdana" w:cs="Arial"/>
          <w:color w:val="000000" w:themeColor="text1"/>
          <w:lang w:eastAsia="es-CO"/>
        </w:rPr>
        <w:t xml:space="preserve">tenga una vigencia inferior a </w:t>
      </w:r>
      <w:r w:rsidRPr="00014BEB">
        <w:rPr>
          <w:rFonts w:ascii="Verdana" w:hAnsi="Verdana" w:cs="Arial"/>
          <w:color w:val="000000" w:themeColor="text1"/>
          <w:lang w:val="es-MX"/>
        </w:rPr>
        <w:t xml:space="preserve">cinco (5) años en dichos documentos. </w:t>
      </w:r>
    </w:p>
    <w:p w14:paraId="1A9D7882" w14:textId="39E58F65" w:rsidR="00384E56" w:rsidRDefault="00384E56" w:rsidP="00014BEB">
      <w:pPr>
        <w:spacing w:after="120" w:line="276" w:lineRule="auto"/>
        <w:ind w:firstLine="709"/>
        <w:jc w:val="both"/>
        <w:rPr>
          <w:rFonts w:ascii="Verdana" w:eastAsia="Times New Roman" w:hAnsi="Verdana" w:cs="Arial"/>
          <w:color w:val="000000" w:themeColor="text1"/>
          <w:lang w:eastAsia="es-CO"/>
        </w:rPr>
      </w:pPr>
      <w:r>
        <w:rPr>
          <w:rFonts w:ascii="Verdana" w:hAnsi="Verdana" w:cs="Arial"/>
          <w:color w:val="000000" w:themeColor="text1"/>
          <w:lang w:val="es-MX"/>
        </w:rPr>
        <w:t>Finalmente, se resalta que el</w:t>
      </w:r>
      <w:r w:rsidRPr="005938A0">
        <w:rPr>
          <w:rFonts w:ascii="Verdana" w:hAnsi="Verdana" w:cs="Arial"/>
          <w:color w:val="000000" w:themeColor="text1"/>
          <w:lang w:val="es-MX"/>
        </w:rPr>
        <w:t xml:space="preserve"> artículo 2.2.1.2.3.1.3</w:t>
      </w:r>
      <w:r>
        <w:rPr>
          <w:rFonts w:ascii="Verdana" w:hAnsi="Verdana" w:cs="Arial"/>
          <w:color w:val="000000" w:themeColor="text1"/>
          <w:lang w:val="es-MX"/>
        </w:rPr>
        <w:t xml:space="preserve"> del Decreto 1082 de 2015</w:t>
      </w:r>
      <w:r w:rsidRPr="005938A0">
        <w:rPr>
          <w:rFonts w:ascii="Verdana" w:hAnsi="Verdana" w:cs="Arial"/>
          <w:color w:val="000000" w:themeColor="text1"/>
          <w:lang w:val="es-MX"/>
        </w:rPr>
        <w:t xml:space="preserve"> establece que la “garantía de cobertura del </w:t>
      </w:r>
      <w:r>
        <w:rPr>
          <w:rFonts w:ascii="Verdana" w:hAnsi="Verdana" w:cs="Arial"/>
          <w:color w:val="000000" w:themeColor="text1"/>
          <w:lang w:val="es-MX"/>
        </w:rPr>
        <w:t>r</w:t>
      </w:r>
      <w:r w:rsidRPr="005938A0">
        <w:rPr>
          <w:rFonts w:ascii="Verdana" w:hAnsi="Verdana" w:cs="Arial"/>
          <w:color w:val="000000" w:themeColor="text1"/>
          <w:lang w:val="es-MX"/>
        </w:rPr>
        <w:t>iesgo es indivisible”, además de la obligación de los contratantes de establecer en los pliegos de condiciones las garantías exigidas para cada periodo contractual.</w:t>
      </w:r>
    </w:p>
    <w:p w14:paraId="2624C0EF" w14:textId="77777777" w:rsidR="00384E56" w:rsidRPr="009B68BD" w:rsidRDefault="00384E56" w:rsidP="00384E56">
      <w:pPr>
        <w:spacing w:after="120" w:line="276" w:lineRule="auto"/>
        <w:ind w:firstLine="705"/>
        <w:jc w:val="both"/>
        <w:rPr>
          <w:rStyle w:val="normaltextrun"/>
          <w:rFonts w:ascii="Verdana" w:eastAsia="Times New Roman" w:hAnsi="Verdana" w:cs="Arial"/>
          <w:color w:val="000000" w:themeColor="text1"/>
          <w:lang w:eastAsia="es-CO"/>
        </w:rPr>
      </w:pPr>
      <w:r w:rsidRPr="005938A0">
        <w:rPr>
          <w:rStyle w:val="normaltextrun"/>
          <w:rFonts w:ascii="Verdana" w:hAnsi="Verdana" w:cs="Arial"/>
          <w:color w:val="000000"/>
        </w:rPr>
        <w:t>En relación con esta exigencia es importante mencionar que</w:t>
      </w:r>
      <w:r>
        <w:rPr>
          <w:rStyle w:val="normaltextrun"/>
          <w:rFonts w:ascii="Verdana" w:hAnsi="Verdana" w:cs="Arial"/>
          <w:color w:val="000000"/>
        </w:rPr>
        <w:t>,</w:t>
      </w:r>
      <w:r w:rsidRPr="005938A0">
        <w:rPr>
          <w:rStyle w:val="normaltextrun"/>
          <w:rFonts w:ascii="Verdana" w:hAnsi="Verdana" w:cs="Arial"/>
          <w:color w:val="000000"/>
        </w:rPr>
        <w:t xml:space="preserve"> por regla general</w:t>
      </w:r>
      <w:r>
        <w:rPr>
          <w:rStyle w:val="normaltextrun"/>
          <w:rFonts w:ascii="Verdana" w:hAnsi="Verdana" w:cs="Arial"/>
          <w:color w:val="000000"/>
        </w:rPr>
        <w:t>,</w:t>
      </w:r>
      <w:r w:rsidRPr="005938A0">
        <w:rPr>
          <w:rStyle w:val="normaltextrun"/>
          <w:rFonts w:ascii="Verdana" w:hAnsi="Verdana" w:cs="Arial"/>
          <w:color w:val="000000"/>
        </w:rPr>
        <w:t xml:space="preserve"> un contrato estatal debe estar amparado mediante una sola garantía, sin perjuicio de algunas excepciones, como la que se deriva de la norma analizada. En efecto, en los contratos cuyo plazo de ejecución sea mayor a cinco (5) años se podrá dividir la garantía, tal como lo prevé el Decreto 1082 de 2015: </w:t>
      </w:r>
      <w:r>
        <w:rPr>
          <w:rStyle w:val="normaltextrun"/>
          <w:rFonts w:ascii="Verdana" w:hAnsi="Verdana" w:cs="Arial"/>
          <w:color w:val="000000"/>
        </w:rPr>
        <w:t>“</w:t>
      </w:r>
      <w:r w:rsidRPr="005938A0">
        <w:rPr>
          <w:rStyle w:val="normaltextrun"/>
          <w:rFonts w:ascii="Verdana" w:hAnsi="Verdana" w:cs="Arial"/>
          <w:color w:val="000000"/>
        </w:rPr>
        <w:t>La garantía de cobertura del Riesgo es indivisible. Sin embargo, en los contratos con un plazo mayor a cinco (5) años las garantías pueden cubrir los Riesgos de la Etapa del Contrato o del Periodo Contractual, de acuerdo con lo previsto en el contrato</w:t>
      </w:r>
      <w:r>
        <w:rPr>
          <w:rStyle w:val="normaltextrun"/>
          <w:rFonts w:ascii="Verdana" w:hAnsi="Verdana" w:cs="Arial"/>
          <w:color w:val="000000"/>
        </w:rPr>
        <w:t>”</w:t>
      </w:r>
      <w:r w:rsidRPr="005938A0">
        <w:rPr>
          <w:rStyle w:val="normaltextrun"/>
          <w:rFonts w:ascii="Verdana" w:hAnsi="Verdana" w:cs="Arial"/>
          <w:color w:val="000000"/>
        </w:rPr>
        <w:t xml:space="preserve">. </w:t>
      </w:r>
    </w:p>
    <w:p w14:paraId="6B0A6305" w14:textId="77777777" w:rsidR="00384E56" w:rsidRPr="005938A0" w:rsidRDefault="00384E56" w:rsidP="00B86F23">
      <w:pPr>
        <w:spacing w:after="120" w:line="276" w:lineRule="auto"/>
        <w:ind w:firstLine="705"/>
        <w:jc w:val="both"/>
        <w:rPr>
          <w:rStyle w:val="normaltextrun"/>
          <w:rFonts w:ascii="Verdana" w:hAnsi="Verdana" w:cs="Arial"/>
          <w:color w:val="000000"/>
        </w:rPr>
      </w:pPr>
      <w:r w:rsidRPr="005938A0">
        <w:rPr>
          <w:rStyle w:val="normaltextrun"/>
          <w:rFonts w:ascii="Verdana" w:hAnsi="Verdana" w:cs="Arial"/>
          <w:color w:val="000000"/>
        </w:rPr>
        <w:t xml:space="preserve">Ahora bien, el artículo 2.2.1.2.3.1.3 del Decreto 1082 de 2015 establece que la </w:t>
      </w:r>
      <w:r>
        <w:rPr>
          <w:rStyle w:val="normaltextrun"/>
          <w:rFonts w:ascii="Verdana" w:hAnsi="Verdana" w:cs="Arial"/>
          <w:color w:val="000000"/>
        </w:rPr>
        <w:t>E</w:t>
      </w:r>
      <w:r w:rsidRPr="005938A0">
        <w:rPr>
          <w:rStyle w:val="normaltextrun"/>
          <w:rFonts w:ascii="Verdana" w:hAnsi="Verdana" w:cs="Arial"/>
          <w:color w:val="000000"/>
        </w:rPr>
        <w:t xml:space="preserve">ntidad </w:t>
      </w:r>
      <w:r>
        <w:rPr>
          <w:rStyle w:val="normaltextrun"/>
          <w:rFonts w:ascii="Verdana" w:hAnsi="Verdana" w:cs="Arial"/>
          <w:color w:val="000000"/>
        </w:rPr>
        <w:t>E</w:t>
      </w:r>
      <w:r w:rsidRPr="005938A0">
        <w:rPr>
          <w:rStyle w:val="normaltextrun"/>
          <w:rFonts w:ascii="Verdana" w:hAnsi="Verdana" w:cs="Arial"/>
          <w:color w:val="000000"/>
        </w:rPr>
        <w:t>statal en el pliego de condiciones debe indicar las garantías que exige en cada etapa del contrato o periodo contractual, de acuerdo con las siguientes reglas</w:t>
      </w:r>
      <w:r w:rsidRPr="005938A0">
        <w:rPr>
          <w:rStyle w:val="Refdenotaalpie"/>
          <w:rFonts w:ascii="Verdana" w:hAnsi="Verdana" w:cs="Arial"/>
          <w:color w:val="000000"/>
        </w:rPr>
        <w:footnoteReference w:id="9"/>
      </w:r>
      <w:r w:rsidRPr="005938A0">
        <w:rPr>
          <w:rStyle w:val="normaltextrun"/>
          <w:rFonts w:ascii="Verdana" w:hAnsi="Verdana" w:cs="Arial"/>
          <w:color w:val="000000"/>
        </w:rPr>
        <w:t xml:space="preserve">: </w:t>
      </w:r>
    </w:p>
    <w:p w14:paraId="08859AA0" w14:textId="77777777" w:rsidR="00384E56" w:rsidRPr="005938A0" w:rsidRDefault="00384E56" w:rsidP="00B86F23">
      <w:pPr>
        <w:spacing w:after="120" w:line="276" w:lineRule="auto"/>
        <w:ind w:firstLine="705"/>
        <w:jc w:val="both"/>
        <w:rPr>
          <w:rStyle w:val="normaltextrun"/>
          <w:rFonts w:ascii="Verdana" w:hAnsi="Verdana" w:cs="Arial"/>
          <w:color w:val="000000"/>
        </w:rPr>
      </w:pPr>
      <w:r>
        <w:rPr>
          <w:rStyle w:val="normaltextrun"/>
          <w:rFonts w:ascii="Verdana" w:hAnsi="Verdana" w:cs="Arial"/>
          <w:color w:val="000000"/>
        </w:rPr>
        <w:lastRenderedPageBreak/>
        <w:t>1</w:t>
      </w:r>
      <w:r w:rsidRPr="005938A0">
        <w:rPr>
          <w:rStyle w:val="normaltextrun"/>
          <w:rFonts w:ascii="Verdana" w:hAnsi="Verdana" w:cs="Arial"/>
          <w:color w:val="000000"/>
        </w:rPr>
        <w:t xml:space="preserve">) La entidad estatal solicitará una garantía independiente para cada etapa del contrato o cada periodo contractual o cada unidad funcional en el caso de las Asociaciones Público-Privadas, cuya vigencia debe ser por lo menos la misma establecida para la etapa del contrato o periodo contractual respectivo. </w:t>
      </w:r>
    </w:p>
    <w:p w14:paraId="08899D82" w14:textId="77777777" w:rsidR="00384E56" w:rsidRPr="005938A0" w:rsidRDefault="00384E56" w:rsidP="00B86F23">
      <w:pPr>
        <w:spacing w:after="120" w:line="276" w:lineRule="auto"/>
        <w:ind w:firstLine="705"/>
        <w:jc w:val="both"/>
        <w:rPr>
          <w:rStyle w:val="normaltextrun"/>
          <w:rFonts w:ascii="Verdana" w:hAnsi="Verdana" w:cs="Arial"/>
          <w:color w:val="000000"/>
        </w:rPr>
      </w:pPr>
      <w:r>
        <w:rPr>
          <w:rStyle w:val="normaltextrun"/>
          <w:rFonts w:ascii="Verdana" w:hAnsi="Verdana" w:cs="Arial"/>
          <w:color w:val="000000"/>
        </w:rPr>
        <w:t>2)</w:t>
      </w:r>
      <w:r w:rsidRPr="005938A0">
        <w:rPr>
          <w:rStyle w:val="normaltextrun"/>
          <w:rFonts w:ascii="Verdana" w:hAnsi="Verdana" w:cs="Arial"/>
          <w:color w:val="000000"/>
        </w:rPr>
        <w:t xml:space="preserve">  La entidad calculará el valor asegurado para cada etapa del contrato, periodo contractual o unidad funcional, tomando el valor de las obligaciones del contratista para cada etapa del contrato, periodo contractual o unidad funcional y de acuerdo con las reglas de suficiencia que establece el Decreto 1082 de 2015 frente a los diferentes amparos de las garantías. </w:t>
      </w:r>
    </w:p>
    <w:p w14:paraId="226C2C3E" w14:textId="77777777" w:rsidR="00384E56" w:rsidRPr="005938A0" w:rsidRDefault="00384E56" w:rsidP="00B86F23">
      <w:pPr>
        <w:spacing w:after="120" w:line="276" w:lineRule="auto"/>
        <w:ind w:firstLine="705"/>
        <w:jc w:val="both"/>
        <w:rPr>
          <w:rStyle w:val="normaltextrun"/>
          <w:rFonts w:ascii="Verdana" w:hAnsi="Verdana" w:cs="Arial"/>
          <w:color w:val="000000"/>
        </w:rPr>
      </w:pPr>
      <w:r w:rsidRPr="005938A0">
        <w:rPr>
          <w:rStyle w:val="normaltextrun"/>
          <w:rFonts w:ascii="Verdana" w:hAnsi="Verdana" w:cs="Arial"/>
          <w:color w:val="000000"/>
        </w:rPr>
        <w:t xml:space="preserve">Conforme a lo anterior, si la entidad estatal celebra un contrato cuyo plazo de ejecución es mayor a cinco (5) años, puede pactar en el contrato que las garantías cubran los riegos de cada </w:t>
      </w:r>
      <w:r w:rsidRPr="005938A0">
        <w:rPr>
          <w:rStyle w:val="normaltextrun"/>
          <w:rFonts w:ascii="Verdana" w:hAnsi="Verdana" w:cs="Arial"/>
          <w:i/>
          <w:iCs/>
          <w:color w:val="000000"/>
        </w:rPr>
        <w:t>etapa del contrato</w:t>
      </w:r>
      <w:r w:rsidRPr="005938A0">
        <w:rPr>
          <w:rStyle w:val="normaltextrun"/>
          <w:rFonts w:ascii="Verdana" w:hAnsi="Verdana" w:cs="Arial"/>
          <w:color w:val="000000"/>
        </w:rPr>
        <w:t xml:space="preserve">, </w:t>
      </w:r>
      <w:r w:rsidRPr="005938A0">
        <w:rPr>
          <w:rStyle w:val="normaltextrun"/>
          <w:rFonts w:ascii="Verdana" w:hAnsi="Verdana" w:cs="Arial"/>
          <w:i/>
          <w:iCs/>
          <w:color w:val="000000"/>
        </w:rPr>
        <w:t xml:space="preserve">periodo contractual o unidad </w:t>
      </w:r>
      <w:r w:rsidRPr="005938A0">
        <w:rPr>
          <w:rStyle w:val="normaltextrun"/>
          <w:rFonts w:ascii="Verdana" w:hAnsi="Verdana" w:cs="Arial"/>
          <w:color w:val="000000"/>
        </w:rPr>
        <w:t xml:space="preserve">funcional, caso en el cual el pliego de condiciones regulará las garantías teniendo en cuenta lo siguiente: i) se identificará la garantía que ampara los riesgos para cada etapa del contrato o periodo contractual, pero, además, la vigencia que rige para cada uno –que en todo caso no puede ser menor al plazo de ejecución definido para cada etapa del contrato o periodo contractual–, y </w:t>
      </w:r>
      <w:proofErr w:type="spellStart"/>
      <w:r w:rsidRPr="005938A0">
        <w:rPr>
          <w:rStyle w:val="normaltextrun"/>
          <w:rFonts w:ascii="Verdana" w:hAnsi="Verdana" w:cs="Arial"/>
          <w:color w:val="000000"/>
        </w:rPr>
        <w:t>ii</w:t>
      </w:r>
      <w:proofErr w:type="spellEnd"/>
      <w:r w:rsidRPr="005938A0">
        <w:rPr>
          <w:rStyle w:val="normaltextrun"/>
          <w:rFonts w:ascii="Verdana" w:hAnsi="Verdana" w:cs="Arial"/>
          <w:color w:val="000000"/>
        </w:rPr>
        <w:t xml:space="preserve">) el monto de los amparos se calculará tomando el valor de las obligaciones del contratista para cada etapa del contrato o periodo contractual, y además, regirán las reglas de suficiencia definidas en los artículos 2.2.1.2.3.1.9. al 2.2.1.2.3.1.17. del Decreto 1082 de 2015. </w:t>
      </w:r>
    </w:p>
    <w:p w14:paraId="2AE9F9DA" w14:textId="77777777" w:rsidR="00384E56" w:rsidRDefault="00384E56" w:rsidP="00B86F23">
      <w:pPr>
        <w:spacing w:after="120" w:line="276" w:lineRule="auto"/>
        <w:ind w:firstLine="705"/>
        <w:jc w:val="both"/>
        <w:rPr>
          <w:rStyle w:val="normaltextrun"/>
          <w:rFonts w:ascii="Verdana" w:hAnsi="Verdana" w:cs="Arial"/>
          <w:color w:val="000000"/>
        </w:rPr>
      </w:pPr>
      <w:r w:rsidRPr="005938A0">
        <w:rPr>
          <w:rStyle w:val="normaltextrun"/>
          <w:rFonts w:ascii="Verdana" w:hAnsi="Verdana" w:cs="Arial"/>
          <w:color w:val="000000"/>
        </w:rPr>
        <w:t>Ahora bien, el contratista está obligado a obtener una nueva garantía que ampare el cumplimiento de sus obligaciones para la etapa del contrato o periodo contractual siguiente</w:t>
      </w:r>
      <w:r w:rsidRPr="005938A0">
        <w:rPr>
          <w:rStyle w:val="Refdenotaalpie"/>
          <w:rFonts w:ascii="Verdana" w:hAnsi="Verdana" w:cs="Arial"/>
          <w:color w:val="000000"/>
        </w:rPr>
        <w:footnoteReference w:id="10"/>
      </w:r>
      <w:r w:rsidRPr="005938A0">
        <w:rPr>
          <w:rStyle w:val="normaltextrun"/>
          <w:rFonts w:ascii="Verdana" w:hAnsi="Verdana" w:cs="Arial"/>
          <w:color w:val="000000"/>
        </w:rPr>
        <w:t xml:space="preserve">. Esto significa que antes del vencimiento de la etapa del </w:t>
      </w:r>
      <w:r w:rsidRPr="005938A0">
        <w:rPr>
          <w:rStyle w:val="normaltextrun"/>
          <w:rFonts w:ascii="Verdana" w:hAnsi="Verdana" w:cs="Arial"/>
          <w:color w:val="000000"/>
        </w:rPr>
        <w:lastRenderedPageBreak/>
        <w:t>contrato que se está ejecutando, el contratista debe contar con la nueva garantía para amparar los riesgos de la siguiente etapa.</w:t>
      </w:r>
    </w:p>
    <w:p w14:paraId="7AE14668" w14:textId="77777777" w:rsidR="00D45FCB" w:rsidRDefault="00384E56" w:rsidP="00B86F23">
      <w:pPr>
        <w:spacing w:after="120" w:line="276" w:lineRule="auto"/>
        <w:ind w:firstLine="709"/>
        <w:jc w:val="both"/>
        <w:rPr>
          <w:rFonts w:ascii="Verdana" w:hAnsi="Verdana" w:cs="Arial"/>
          <w:color w:val="000000"/>
        </w:rPr>
      </w:pPr>
      <w:r>
        <w:rPr>
          <w:rStyle w:val="normaltextrun"/>
          <w:rFonts w:ascii="Verdana" w:hAnsi="Verdana" w:cs="Arial"/>
          <w:color w:val="000000"/>
        </w:rPr>
        <w:t xml:space="preserve">Como se observa las reglas que permiten en casos específicos la “división” de garantías están relacionadas con contratos cuyo plazo es superior a cinco años y que buscan cubrir los riesgos asociados a </w:t>
      </w:r>
      <w:r w:rsidRPr="00F51BE0">
        <w:rPr>
          <w:rFonts w:ascii="Verdana" w:hAnsi="Verdana" w:cs="Arial"/>
          <w:color w:val="000000"/>
        </w:rPr>
        <w:t>cada Etapa del Contrato o cada Periodo Contractual</w:t>
      </w:r>
      <w:r>
        <w:rPr>
          <w:rFonts w:ascii="Verdana" w:hAnsi="Verdana" w:cs="Arial"/>
          <w:color w:val="000000"/>
        </w:rPr>
        <w:t xml:space="preserve">. En efecto, esto es distinto al supuesto mencionado en la consulta, el cual se refiere a la división del amparo de estabilidad y calidad de la obra en el sentido de establecer dos actividades con suficiencias distintas. </w:t>
      </w:r>
    </w:p>
    <w:p w14:paraId="3346ED4F" w14:textId="4AB41D9F" w:rsidR="001D7B39" w:rsidRDefault="001D7B39" w:rsidP="00BE26A1">
      <w:pPr>
        <w:spacing w:after="0" w:line="276" w:lineRule="auto"/>
        <w:ind w:firstLine="709"/>
        <w:jc w:val="both"/>
        <w:rPr>
          <w:rFonts w:ascii="Verdana" w:eastAsia="Calibri" w:hAnsi="Verdana" w:cs="Arial"/>
          <w:bCs/>
          <w:color w:val="000000" w:themeColor="text1"/>
        </w:rPr>
      </w:pPr>
      <w:r w:rsidRPr="00125EAE">
        <w:rPr>
          <w:rFonts w:ascii="Verdana" w:hAnsi="Verdana" w:cs="Arial"/>
          <w:lang w:eastAsia="x-none"/>
        </w:rPr>
        <w:t>Al margen de</w:t>
      </w:r>
      <w:r w:rsidRPr="00EA560F">
        <w:rPr>
          <w:rFonts w:ascii="Verdana" w:eastAsia="Calibri" w:hAnsi="Verdana" w:cs="Arial"/>
          <w:bCs/>
          <w:color w:val="000000" w:themeColor="text1"/>
        </w:rPr>
        <w:t xml:space="preserve"> la explicación precedente debe advertirse que el análisis requerido para resolver problemas específicos en torno a la gestión contractual de las entidades públicas debe ser realizado por quienes te</w:t>
      </w:r>
      <w:r w:rsidRPr="00F926E2">
        <w:rPr>
          <w:rFonts w:ascii="Verdana" w:eastAsia="Calibri" w:hAnsi="Verdana" w:cs="Arial"/>
          <w:bCs/>
          <w:color w:val="000000" w:themeColor="text1"/>
        </w:rPr>
        <w:t>ngan interés en ello, de acuerdo con lo explicado la aclaración preliminar del presente oficio. De esta manera, las afirmaciones aquí realizadas no pueden ser interpretadas como juicios de valor sobre circunstancias concretas relacionadas con los hechos qu</w:t>
      </w:r>
      <w:r w:rsidRPr="00BE636B">
        <w:rPr>
          <w:rFonts w:ascii="Verdana" w:eastAsia="Calibri" w:hAnsi="Verdana" w:cs="Arial"/>
          <w:bCs/>
          <w:color w:val="000000" w:themeColor="text1"/>
        </w:rPr>
        <w:t>e motivan la consulta. Por lo anterior, previo concepto de sus asesores, la solución de situaciones particulares corresponde a los interesados adoptar la decisión correspondiente y, en caso de conflicto, a las autoridades judiciales, fiscales y disciplinar</w:t>
      </w:r>
      <w:r w:rsidRPr="00323DD8">
        <w:rPr>
          <w:rFonts w:ascii="Verdana" w:eastAsia="Calibri" w:hAnsi="Verdana" w:cs="Arial"/>
          <w:bCs/>
          <w:color w:val="000000" w:themeColor="text1"/>
        </w:rPr>
        <w:t>ias.</w:t>
      </w:r>
    </w:p>
    <w:p w14:paraId="416BCCB3" w14:textId="77777777" w:rsidR="00BE26A1" w:rsidRPr="00BE26A1" w:rsidRDefault="00BE26A1" w:rsidP="00B86F23">
      <w:pPr>
        <w:spacing w:after="0" w:line="276" w:lineRule="auto"/>
        <w:ind w:firstLine="709"/>
        <w:jc w:val="both"/>
        <w:rPr>
          <w:rFonts w:ascii="Verdana" w:eastAsia="Calibri" w:hAnsi="Verdana" w:cs="Arial"/>
          <w:bCs/>
          <w:color w:val="000000" w:themeColor="text1"/>
        </w:rPr>
      </w:pPr>
    </w:p>
    <w:p w14:paraId="430AC0B2" w14:textId="77777777" w:rsidR="001D7B39" w:rsidRPr="00EA560F" w:rsidRDefault="001D7B39" w:rsidP="001D7B39">
      <w:pPr>
        <w:pStyle w:val="Prrafodelista"/>
        <w:numPr>
          <w:ilvl w:val="0"/>
          <w:numId w:val="16"/>
        </w:numPr>
        <w:spacing w:after="0" w:line="276" w:lineRule="auto"/>
        <w:contextualSpacing w:val="0"/>
        <w:rPr>
          <w:rFonts w:ascii="Verdana" w:eastAsia="Calibri" w:hAnsi="Verdana" w:cs="Times New Roman"/>
          <w:b/>
          <w:bCs/>
        </w:rPr>
      </w:pPr>
      <w:r w:rsidRPr="00EA560F">
        <w:rPr>
          <w:rFonts w:ascii="Verdana" w:eastAsia="Calibri" w:hAnsi="Verdana" w:cs="Times New Roman"/>
          <w:b/>
        </w:rPr>
        <w:t>Referencias normativas, jurisprudenciales y otras fuentes:</w:t>
      </w:r>
    </w:p>
    <w:p w14:paraId="0E8F5412" w14:textId="77777777" w:rsidR="001D7B39" w:rsidRPr="00EA560F" w:rsidRDefault="001D7B39" w:rsidP="001D7B39">
      <w:pPr>
        <w:spacing w:after="0" w:line="276" w:lineRule="auto"/>
        <w:rPr>
          <w:rFonts w:ascii="Verdana" w:eastAsia="Calibri" w:hAnsi="Verdana" w:cs="Times New Roman"/>
          <w:b/>
          <w:bCs/>
        </w:rPr>
      </w:pPr>
    </w:p>
    <w:tbl>
      <w:tblPr>
        <w:tblStyle w:val="Tablaconcuadrcula"/>
        <w:tblW w:w="86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D7B39" w:rsidRPr="00EA560F" w14:paraId="7164E9C2" w14:textId="77777777" w:rsidTr="00EB7FC9">
        <w:trPr>
          <w:trHeight w:val="870"/>
        </w:trPr>
        <w:tc>
          <w:tcPr>
            <w:tcW w:w="8647" w:type="dxa"/>
          </w:tcPr>
          <w:p w14:paraId="19D33A7A" w14:textId="77777777" w:rsidR="004E3D44" w:rsidRPr="00004A53" w:rsidRDefault="004E3D44" w:rsidP="00B86F23">
            <w:pPr>
              <w:pStyle w:val="Prrafodelista"/>
              <w:widowControl w:val="0"/>
              <w:numPr>
                <w:ilvl w:val="0"/>
                <w:numId w:val="17"/>
              </w:numPr>
              <w:autoSpaceDE w:val="0"/>
              <w:autoSpaceDN w:val="0"/>
              <w:spacing w:line="276" w:lineRule="auto"/>
              <w:ind w:left="714" w:hanging="357"/>
              <w:contextualSpacing w:val="0"/>
              <w:jc w:val="both"/>
              <w:rPr>
                <w:rFonts w:ascii="Verdana" w:hAnsi="Verdana" w:cs="Arial"/>
                <w:color w:val="000000" w:themeColor="text1"/>
              </w:rPr>
            </w:pPr>
            <w:r w:rsidRPr="00FE5A24">
              <w:rPr>
                <w:rFonts w:ascii="Verdana" w:hAnsi="Verdana" w:cs="Arial"/>
                <w:color w:val="000000" w:themeColor="text1"/>
              </w:rPr>
              <w:t xml:space="preserve">Ley </w:t>
            </w:r>
            <w:r>
              <w:rPr>
                <w:rFonts w:ascii="Verdana" w:hAnsi="Verdana" w:cs="Arial"/>
                <w:color w:val="000000" w:themeColor="text1"/>
              </w:rPr>
              <w:t>1150 de 2007, artículo 7.</w:t>
            </w:r>
          </w:p>
          <w:p w14:paraId="15622653" w14:textId="577719DC" w:rsidR="001D7B39" w:rsidRPr="00286DDE" w:rsidRDefault="004E3D44" w:rsidP="00B86F23">
            <w:pPr>
              <w:pStyle w:val="Prrafodelista"/>
              <w:numPr>
                <w:ilvl w:val="0"/>
                <w:numId w:val="17"/>
              </w:numPr>
              <w:spacing w:line="276" w:lineRule="auto"/>
              <w:ind w:left="714" w:hanging="357"/>
              <w:contextualSpacing w:val="0"/>
              <w:jc w:val="both"/>
              <w:rPr>
                <w:rFonts w:ascii="Verdana" w:hAnsi="Verdana" w:cs="Arial"/>
                <w:lang w:val="es-CO"/>
              </w:rPr>
            </w:pPr>
            <w:r w:rsidRPr="00FE5A24">
              <w:rPr>
                <w:rFonts w:ascii="Verdana" w:hAnsi="Verdana" w:cs="Arial"/>
                <w:color w:val="000000" w:themeColor="text1"/>
              </w:rPr>
              <w:t>Decreto 1082 de 2015, artículos 2.2.1.2.3.1.1 a 2.2.1.2.3.1.19</w:t>
            </w:r>
            <w:r>
              <w:rPr>
                <w:rFonts w:ascii="Verdana" w:hAnsi="Verdana" w:cs="Arial"/>
                <w:color w:val="000000" w:themeColor="text1"/>
              </w:rPr>
              <w:t>.</w:t>
            </w:r>
          </w:p>
        </w:tc>
      </w:tr>
    </w:tbl>
    <w:p w14:paraId="4768ACBD" w14:textId="77777777" w:rsidR="001D7B39" w:rsidRPr="00647A80" w:rsidRDefault="001D7B39" w:rsidP="001D7B39">
      <w:pPr>
        <w:spacing w:after="0" w:line="276" w:lineRule="auto"/>
        <w:rPr>
          <w:rFonts w:ascii="Verdana" w:eastAsia="Calibri" w:hAnsi="Verdana" w:cs="Times New Roman"/>
          <w:b/>
          <w:bCs/>
        </w:rPr>
      </w:pPr>
    </w:p>
    <w:p w14:paraId="15B7B2D8" w14:textId="77777777" w:rsidR="001D7B39" w:rsidRDefault="001D7B39" w:rsidP="001D7B39">
      <w:pPr>
        <w:spacing w:after="0" w:line="276" w:lineRule="auto"/>
        <w:rPr>
          <w:rFonts w:ascii="Verdana" w:hAnsi="Verdana"/>
          <w:shd w:val="clear" w:color="auto" w:fill="FFFFFF"/>
        </w:rPr>
      </w:pPr>
      <w:r w:rsidRPr="00EA560F">
        <w:rPr>
          <w:rFonts w:ascii="Verdana" w:eastAsia="Calibri" w:hAnsi="Verdana" w:cs="Times New Roman"/>
          <w:b/>
          <w:bCs/>
        </w:rPr>
        <w:t>5. Doctrina de la Agencia Nacional de Contratación Pública:</w:t>
      </w:r>
    </w:p>
    <w:p w14:paraId="4354B653" w14:textId="2ACEB840" w:rsidR="001D7B39" w:rsidRDefault="00C25F51" w:rsidP="00B86F23">
      <w:pPr>
        <w:spacing w:after="0" w:line="276" w:lineRule="auto"/>
        <w:jc w:val="both"/>
        <w:rPr>
          <w:rFonts w:ascii="Verdana" w:hAnsi="Verdana"/>
        </w:rPr>
      </w:pPr>
      <w:r w:rsidRPr="00856826">
        <w:rPr>
          <w:rFonts w:ascii="Verdana" w:eastAsia="Calibri" w:hAnsi="Verdana" w:cs="Arial"/>
          <w:color w:val="000000" w:themeColor="text1"/>
          <w:lang w:val="es-ES" w:eastAsia="es-ES_tradnl"/>
        </w:rPr>
        <w:t xml:space="preserve">La Agencia Nacional de Contratación Pública – Colombia Compra Eficiente analizó </w:t>
      </w:r>
      <w:r w:rsidRPr="00FE5A24">
        <w:rPr>
          <w:rStyle w:val="normaltextrun"/>
          <w:rFonts w:ascii="Verdana" w:hAnsi="Verdana" w:cs="Arial"/>
          <w:color w:val="000000" w:themeColor="text1"/>
          <w:shd w:val="clear" w:color="auto" w:fill="FFFFFF"/>
          <w:lang w:val="es-ES"/>
        </w:rPr>
        <w:t>el régimen de garantías en los Conceptos</w:t>
      </w:r>
      <w:r w:rsidRPr="00FE5A24">
        <w:rPr>
          <w:rStyle w:val="normaltextrun"/>
          <w:rFonts w:ascii="Verdana" w:hAnsi="Verdana" w:cs="Calibri"/>
          <w:color w:val="000000" w:themeColor="text1"/>
          <w:shd w:val="clear" w:color="auto" w:fill="FFFFFF"/>
        </w:rPr>
        <w:t xml:space="preserve"> </w:t>
      </w:r>
      <w:r w:rsidRPr="00FE5A24">
        <w:rPr>
          <w:rStyle w:val="normaltextrun"/>
          <w:rFonts w:ascii="Verdana" w:hAnsi="Verdana" w:cs="Arial"/>
          <w:color w:val="000000" w:themeColor="text1"/>
          <w:shd w:val="clear" w:color="auto" w:fill="FFFFFF"/>
          <w:lang w:val="es-ES"/>
        </w:rPr>
        <w:t>2201913000009075 del 9 de diciembre de 2019, C-080 del 8 de abril de 2021, C-525 del 27 de septiembre de 2021, C-567 del 08 de octubre del 2021, C-036 del 28 de febrero del 2022, C-126 de 25 de marzo de 2022, C-583 del 19 de octubre de 2022, C-584 del 26 de septiembre de 2022, C-712 del 13 de octubre de 2022 y C-845 del 7 de diciembre de 2022, C-036 del 31 de marzo de 2023, C-386 del 31 de enero de 2024, C-133 del 11 de julio de 2024 y C-919 del 10 de diciembre de 2024</w:t>
      </w:r>
      <w:r>
        <w:rPr>
          <w:rStyle w:val="normaltextrun"/>
          <w:rFonts w:ascii="Verdana" w:hAnsi="Verdana" w:cs="Arial"/>
          <w:color w:val="000000" w:themeColor="text1"/>
          <w:shd w:val="clear" w:color="auto" w:fill="FFFFFF"/>
          <w:lang w:val="es-ES"/>
        </w:rPr>
        <w:t xml:space="preserve">, C-099 de 2025, C-168 del 19 de marzo de 2025, </w:t>
      </w:r>
      <w:r w:rsidR="001D7B39" w:rsidRPr="008E2DC6">
        <w:rPr>
          <w:rFonts w:ascii="Verdana" w:eastAsia="Arial MT" w:hAnsi="Verdana"/>
          <w:lang w:val="es-ES"/>
        </w:rPr>
        <w:t>entre otros.</w:t>
      </w:r>
      <w:r w:rsidR="001D7B39" w:rsidRPr="008E2DC6">
        <w:rPr>
          <w:rFonts w:ascii="Verdana" w:hAnsi="Verdana"/>
        </w:rPr>
        <w:t xml:space="preserve"> </w:t>
      </w:r>
      <w:r w:rsidR="001D7B39" w:rsidRPr="008E2DC6">
        <w:rPr>
          <w:rFonts w:ascii="Verdana" w:hAnsi="Verdana"/>
          <w:shd w:val="clear" w:color="auto" w:fill="FFFFFF"/>
        </w:rPr>
        <w:t xml:space="preserve">Estos y otros conceptos se encuentran disponibles para consulta en el Sistema de Relatoría de la Agencia, en el cual </w:t>
      </w:r>
      <w:r w:rsidR="001D7B39" w:rsidRPr="008E2DC6">
        <w:rPr>
          <w:rFonts w:ascii="Verdana" w:hAnsi="Verdana"/>
          <w:shd w:val="clear" w:color="auto" w:fill="FFFFFF"/>
        </w:rPr>
        <w:lastRenderedPageBreak/>
        <w:t>también podrás encontrar jurisprudencia del Consejo de Estado, laudos arbitrales y la normativa de la contratación concordada con la doctrina de la Subdirección de Gestión Contractual. Accede a través del siguiente enlace: </w:t>
      </w:r>
      <w:hyperlink r:id="rId12" w:tgtFrame="_blank" w:tooltip="Dirección URL original: https://relatoria.colombiacompra.gov.co/. Haga clic o pulse si confía en este vínculo." w:history="1">
        <w:r w:rsidR="001D7B39" w:rsidRPr="00EA560F">
          <w:rPr>
            <w:rStyle w:val="Hipervnculo"/>
            <w:rFonts w:ascii="Verdana" w:hAnsi="Verdana" w:cs="Arial"/>
            <w:shd w:val="clear" w:color="auto" w:fill="FFFFFF"/>
          </w:rPr>
          <w:t>https://relatoria.colombiacompra.gov.co/</w:t>
        </w:r>
      </w:hyperlink>
    </w:p>
    <w:p w14:paraId="23E36E4A" w14:textId="77777777" w:rsidR="001D7B39" w:rsidRPr="00647A80" w:rsidRDefault="001D7B39" w:rsidP="001D7B39">
      <w:pPr>
        <w:spacing w:after="0" w:line="276" w:lineRule="auto"/>
        <w:jc w:val="both"/>
        <w:rPr>
          <w:rFonts w:ascii="Verdana" w:hAnsi="Verdana"/>
          <w:shd w:val="clear" w:color="auto" w:fill="FFFFFF"/>
        </w:rPr>
      </w:pPr>
    </w:p>
    <w:p w14:paraId="670AC214" w14:textId="77777777" w:rsidR="001D7B39" w:rsidRPr="00EA560F" w:rsidRDefault="001D7B39" w:rsidP="001D7B39">
      <w:pPr>
        <w:spacing w:after="0" w:line="276" w:lineRule="auto"/>
        <w:jc w:val="both"/>
        <w:rPr>
          <w:rFonts w:ascii="Verdana" w:hAnsi="Verdana"/>
        </w:rPr>
      </w:pPr>
      <w:r w:rsidRPr="00EA560F">
        <w:rPr>
          <w:rFonts w:ascii="Verdana" w:hAnsi="Verdana"/>
        </w:rPr>
        <w:t xml:space="preserve">La sostenibilidad no es una opción, es una obligación. Por ello, la Agencia Nacional de Contratación Pública –Colombia Compra Eficiente– te invita a realizar el </w:t>
      </w:r>
      <w:r w:rsidRPr="00697069">
        <w:rPr>
          <w:rFonts w:ascii="Verdana" w:hAnsi="Verdana"/>
          <w:b/>
          <w:bCs/>
        </w:rPr>
        <w:t>Curso de Contratación Pública Sostenible y Socialmente Responsable</w:t>
      </w:r>
      <w:r w:rsidRPr="00F926E2">
        <w:rPr>
          <w:rFonts w:ascii="Verdana" w:hAnsi="Verdana"/>
        </w:rPr>
        <w:t xml:space="preserve">, una herramienta clave para fortalecer las capacidades de todos los </w:t>
      </w:r>
      <w:r w:rsidRPr="00BE636B">
        <w:rPr>
          <w:rFonts w:ascii="Verdana" w:hAnsi="Verdana"/>
        </w:rPr>
        <w:t>compradores públicos, proveedores, servidores públicos v para generar mayor valor público. Accede al curso y aprende como implementar criterios sociales y ambientales en las diferentes etapas del proceso de contratación:</w:t>
      </w:r>
      <w:r w:rsidRPr="00BE636B">
        <w:rPr>
          <w:rFonts w:ascii="Verdana" w:hAnsi="Verdana"/>
        </w:rPr>
        <w:br/>
      </w:r>
      <w:hyperlink r:id="rId13" w:tgtFrame="_new" w:history="1">
        <w:r w:rsidRPr="00EA560F">
          <w:rPr>
            <w:rStyle w:val="Hipervnculo"/>
            <w:rFonts w:ascii="Verdana" w:hAnsi="Verdana"/>
          </w:rPr>
          <w:t>https://formacionvirtual.colombiacompra.gov.co/mod/page/view.php?id=3718</w:t>
        </w:r>
      </w:hyperlink>
    </w:p>
    <w:p w14:paraId="22C4781F" w14:textId="77777777" w:rsidR="001D7B39" w:rsidRPr="00647A80" w:rsidRDefault="001D7B39" w:rsidP="001D7B39">
      <w:pPr>
        <w:spacing w:after="0" w:line="276" w:lineRule="auto"/>
        <w:jc w:val="both"/>
        <w:rPr>
          <w:rFonts w:ascii="Verdana" w:hAnsi="Verdana"/>
        </w:rPr>
      </w:pPr>
    </w:p>
    <w:p w14:paraId="66410497" w14:textId="77777777" w:rsidR="001D7B39" w:rsidRPr="00EA560F" w:rsidRDefault="001D7B39" w:rsidP="001D7B39">
      <w:pPr>
        <w:spacing w:after="0" w:line="276" w:lineRule="auto"/>
        <w:jc w:val="both"/>
        <w:rPr>
          <w:rFonts w:ascii="Verdana" w:hAnsi="Verdana"/>
        </w:rPr>
      </w:pPr>
      <w:r w:rsidRPr="00697069">
        <w:rPr>
          <w:rFonts w:ascii="Verdana" w:hAnsi="Verdana"/>
        </w:rPr>
        <w:t xml:space="preserve">De otro lado, te contamos que esta Agencia ha da un paso decisivo en la estandarización y modernización del </w:t>
      </w:r>
      <w:r w:rsidRPr="00F926E2">
        <w:rPr>
          <w:rFonts w:ascii="Verdana" w:hAnsi="Verdana"/>
          <w:b/>
          <w:bCs/>
        </w:rPr>
        <w:t>sector  so</w:t>
      </w:r>
      <w:r w:rsidRPr="00F74DD7">
        <w:rPr>
          <w:rFonts w:ascii="Verdana" w:hAnsi="Verdana"/>
          <w:b/>
          <w:bCs/>
        </w:rPr>
        <w:t>cial</w:t>
      </w:r>
      <w:r w:rsidRPr="00BE636B">
        <w:rPr>
          <w:rFonts w:ascii="Verdana" w:hAnsi="Verdana"/>
        </w:rPr>
        <w:t xml:space="preserve"> con la expedición de las </w:t>
      </w:r>
      <w:r w:rsidRPr="00BE636B">
        <w:rPr>
          <w:rFonts w:ascii="Verdana" w:hAnsi="Verdana"/>
          <w:b/>
          <w:bCs/>
        </w:rPr>
        <w:t>Resoluciones 539, 540, 541, 952 y 953 de 2025</w:t>
      </w:r>
      <w:r w:rsidRPr="00E460E3">
        <w:rPr>
          <w:rFonts w:ascii="Verdana" w:hAnsi="Verdana"/>
        </w:rPr>
        <w:t xml:space="preserve">, </w:t>
      </w:r>
      <w:r w:rsidRPr="002067DD">
        <w:rPr>
          <w:rFonts w:ascii="Verdana" w:hAnsi="Verdana"/>
          <w:b/>
          <w:bCs/>
        </w:rPr>
        <w:t>mediante las cuales adoptó Documentos Tipo</w:t>
      </w:r>
      <w:r w:rsidRPr="008E2DC6">
        <w:rPr>
          <w:rFonts w:ascii="Verdana" w:hAnsi="Verdana"/>
        </w:rPr>
        <w:t xml:space="preserve"> para las modalidades de selección de</w:t>
      </w:r>
      <w:r w:rsidRPr="008E2DC6">
        <w:rPr>
          <w:rFonts w:ascii="Verdana" w:hAnsi="Verdana"/>
          <w:b/>
          <w:bCs/>
        </w:rPr>
        <w:t xml:space="preserve"> licitación pública (versión 2), selección abreviada de menor cuantía, mínima cuantía, consultoría e interventoría</w:t>
      </w:r>
      <w:r w:rsidRPr="008E2DC6">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EA560F">
          <w:rPr>
            <w:rStyle w:val="Hipervnculo"/>
            <w:rFonts w:ascii="Verdana" w:hAnsi="Verdana"/>
          </w:rPr>
          <w:t>https://www.colombiacompra.gov.co/normativa-y-relatoria/documentos-tipo</w:t>
        </w:r>
      </w:hyperlink>
    </w:p>
    <w:p w14:paraId="675A120F" w14:textId="77777777" w:rsidR="001D7B39" w:rsidRPr="00647A80" w:rsidRDefault="001D7B39" w:rsidP="001D7B39">
      <w:pPr>
        <w:spacing w:after="0" w:line="276" w:lineRule="auto"/>
        <w:jc w:val="both"/>
        <w:rPr>
          <w:rFonts w:ascii="Verdana" w:hAnsi="Verdana"/>
        </w:rPr>
      </w:pPr>
    </w:p>
    <w:p w14:paraId="3C0ADA2A" w14:textId="77777777" w:rsidR="00A43A9D" w:rsidRPr="00B86F23" w:rsidRDefault="001D7B39" w:rsidP="00A43A9D">
      <w:pPr>
        <w:spacing w:after="0" w:line="276" w:lineRule="auto"/>
        <w:jc w:val="both"/>
        <w:rPr>
          <w:rFonts w:ascii="Verdana" w:hAnsi="Verdana"/>
        </w:rPr>
      </w:pPr>
      <w:r w:rsidRPr="00EA560F">
        <w:rPr>
          <w:rFonts w:ascii="Verdana" w:hAnsi="Verdana"/>
        </w:rPr>
        <w:t>Si quieres conocer más sobre la aplicación de Documentos Tipo puedes consultar la última versión de l</w:t>
      </w:r>
      <w:r w:rsidRPr="00F926E2">
        <w:rPr>
          <w:rFonts w:ascii="Verdana" w:hAnsi="Verdana"/>
        </w:rPr>
        <w:t xml:space="preserve">a </w:t>
      </w:r>
      <w:r w:rsidRPr="00F74DD7">
        <w:rPr>
          <w:rFonts w:ascii="Verdana" w:hAnsi="Verdana"/>
          <w:b/>
          <w:bCs/>
        </w:rPr>
        <w:t>Guía para la comprensión e implementación de los Documentos Tipo de obra pública de infraestructura de transporte</w:t>
      </w:r>
      <w:r w:rsidRPr="00BE636B">
        <w:rPr>
          <w:rFonts w:ascii="Verdana" w:hAnsi="Verdana"/>
        </w:rPr>
        <w:t>. En esta actualización se incorporaron orientaciones prácticas dirigidas a entidades públicas, proveedores, organismos de control y demás in</w:t>
      </w:r>
      <w:r w:rsidRPr="00323DD8">
        <w:rPr>
          <w:rFonts w:ascii="Verdana" w:hAnsi="Verdana"/>
        </w:rPr>
        <w:t xml:space="preserve">teresados, con el propósito de facilitar la adecuada implementación de estos instrumentos en los procesos contractuales. </w:t>
      </w:r>
      <w:r w:rsidRPr="008E2DC6">
        <w:rPr>
          <w:rFonts w:ascii="Verdana" w:hAnsi="Verdana"/>
        </w:rPr>
        <w:t>Además se incluyeron lineamientos que orientan la implementación de los criterios ambientales y sociales incluidos en los documentos tipo: Consulta la guía aquí:</w:t>
      </w:r>
      <w:r w:rsidRPr="008E2DC6">
        <w:rPr>
          <w:rFonts w:ascii="Verdana" w:hAnsi="Verdana"/>
        </w:rPr>
        <w:br/>
      </w:r>
      <w:hyperlink r:id="rId15" w:tgtFrame="_new" w:history="1">
        <w:r w:rsidRPr="00EA560F">
          <w:rPr>
            <w:rStyle w:val="Hipervnculo"/>
            <w:rFonts w:ascii="Verdana" w:hAnsi="Verdana"/>
          </w:rPr>
          <w:t>https://www.colombiacompra.gov.co/archivos/manual/guia-para-la-comprension-e-implementacion-de-los-documentos-tipo-de-obra-publica-de-</w:t>
        </w:r>
        <w:r w:rsidRPr="00EA560F">
          <w:rPr>
            <w:rStyle w:val="Hipervnculo"/>
            <w:rFonts w:ascii="Verdana" w:hAnsi="Verdana"/>
          </w:rPr>
          <w:lastRenderedPageBreak/>
          <w:t>infraestructura-de-transporte-bajo-las-diferentes-modalidades-de-contratacion-vigentes</w:t>
        </w:r>
      </w:hyperlink>
    </w:p>
    <w:p w14:paraId="46D3D4C8" w14:textId="6274F5E9" w:rsidR="001D7B39" w:rsidRPr="00F07E96" w:rsidRDefault="001D7B39" w:rsidP="00B86F23">
      <w:pPr>
        <w:spacing w:after="0" w:line="276" w:lineRule="auto"/>
        <w:jc w:val="both"/>
        <w:rPr>
          <w:rFonts w:ascii="Verdana" w:hAnsi="Verdana"/>
        </w:rPr>
      </w:pPr>
      <w:r w:rsidRPr="00EA560F">
        <w:rPr>
          <w:rFonts w:ascii="Verdana" w:hAnsi="Verdana"/>
        </w:rPr>
        <w:t>Aprovechamos la oportunidad para manifestar la entera disposición de la Agencia Nacional de Contratación Pública –Colombia Compra Eficiente– para atender las peticiones o solicitudes, así como para brindar el apoyo que se requiera en el marco de nuestras funciones a través</w:t>
      </w:r>
      <w:r w:rsidRPr="00697069">
        <w:rPr>
          <w:rFonts w:ascii="Verdana" w:hAnsi="Verdana"/>
        </w:rPr>
        <w:t xml:space="preserve"> de nuestros diferentes canales de atención: </w:t>
      </w:r>
    </w:p>
    <w:p w14:paraId="4796E22F" w14:textId="77777777" w:rsidR="001D7B39" w:rsidRPr="00286DDE" w:rsidRDefault="001D7B39" w:rsidP="001D7B39">
      <w:pPr>
        <w:numPr>
          <w:ilvl w:val="0"/>
          <w:numId w:val="15"/>
        </w:numPr>
        <w:spacing w:after="0" w:line="276" w:lineRule="auto"/>
        <w:jc w:val="both"/>
        <w:rPr>
          <w:rFonts w:ascii="Verdana" w:hAnsi="Verdana"/>
        </w:rPr>
      </w:pPr>
      <w:r w:rsidRPr="00286DDE">
        <w:rPr>
          <w:rFonts w:ascii="Verdana" w:hAnsi="Verdana"/>
        </w:rPr>
        <w:t>Línea nacional gratuita o servicio a la ciudadanía: 01800 0520808</w:t>
      </w:r>
    </w:p>
    <w:p w14:paraId="027003A3" w14:textId="77777777" w:rsidR="001D7B39" w:rsidRPr="00286DDE" w:rsidRDefault="001D7B39" w:rsidP="001D7B39">
      <w:pPr>
        <w:numPr>
          <w:ilvl w:val="0"/>
          <w:numId w:val="15"/>
        </w:numPr>
        <w:spacing w:after="0" w:line="276" w:lineRule="auto"/>
        <w:jc w:val="both"/>
        <w:rPr>
          <w:rFonts w:ascii="Verdana" w:hAnsi="Verdana"/>
        </w:rPr>
      </w:pPr>
      <w:r w:rsidRPr="00286DDE">
        <w:rPr>
          <w:rFonts w:ascii="Verdana" w:hAnsi="Verdana"/>
        </w:rPr>
        <w:t>Línea en Bogotá (Mesa de servicio): +57 601 7456788</w:t>
      </w:r>
    </w:p>
    <w:p w14:paraId="1E484089" w14:textId="77777777" w:rsidR="001D7B39" w:rsidRPr="00286DDE" w:rsidRDefault="001D7B39" w:rsidP="001D7B39">
      <w:pPr>
        <w:numPr>
          <w:ilvl w:val="0"/>
          <w:numId w:val="15"/>
        </w:numPr>
        <w:spacing w:after="0" w:line="276" w:lineRule="auto"/>
        <w:jc w:val="both"/>
        <w:rPr>
          <w:rFonts w:ascii="Verdana" w:hAnsi="Verdana"/>
        </w:rPr>
      </w:pPr>
      <w:r w:rsidRPr="00286DDE">
        <w:rPr>
          <w:rFonts w:ascii="Verdana" w:hAnsi="Verdana"/>
        </w:rPr>
        <w:t>Línea de servicio y atención al ciudadano: +57 601 7956600</w:t>
      </w:r>
    </w:p>
    <w:p w14:paraId="4429D9F3" w14:textId="3C4DCD82" w:rsidR="001D7B39" w:rsidRPr="00A43A9D" w:rsidRDefault="001D7B39" w:rsidP="00B86F23">
      <w:pPr>
        <w:numPr>
          <w:ilvl w:val="0"/>
          <w:numId w:val="15"/>
        </w:numPr>
        <w:spacing w:after="0" w:line="276" w:lineRule="auto"/>
        <w:jc w:val="both"/>
        <w:rPr>
          <w:rFonts w:ascii="Verdana" w:hAnsi="Verdana"/>
        </w:rPr>
      </w:pPr>
      <w:r w:rsidRPr="00A43A9D">
        <w:rPr>
          <w:rFonts w:ascii="Verdana" w:hAnsi="Verdana"/>
        </w:rPr>
        <w:t xml:space="preserve">Página web: </w:t>
      </w:r>
      <w:hyperlink r:id="rId16" w:history="1">
        <w:r w:rsidRPr="00A43A9D">
          <w:rPr>
            <w:rStyle w:val="Hipervnculo"/>
            <w:rFonts w:ascii="Verdana" w:hAnsi="Verdana"/>
          </w:rPr>
          <w:t>www.colombiacompra.gov.co</w:t>
        </w:r>
      </w:hyperlink>
    </w:p>
    <w:p w14:paraId="1AE63F2E" w14:textId="6BFE9437" w:rsidR="001D7B39" w:rsidRDefault="001D7B39" w:rsidP="00B86F23">
      <w:pPr>
        <w:spacing w:after="0" w:line="276" w:lineRule="auto"/>
        <w:jc w:val="both"/>
        <w:rPr>
          <w:rFonts w:ascii="Verdana" w:hAnsi="Verdana"/>
        </w:rPr>
      </w:pPr>
      <w:r w:rsidRPr="00EA560F">
        <w:rPr>
          <w:rFonts w:ascii="Verdana" w:hAnsi="Verdana"/>
        </w:rPr>
        <w:t xml:space="preserve">Por último, lo invitamos a seguirnos en las redes sociales en las cuales se difunde información institucional: </w:t>
      </w:r>
    </w:p>
    <w:p w14:paraId="0E128515" w14:textId="77777777" w:rsidR="001D7B39" w:rsidRPr="00286DDE" w:rsidRDefault="001D7B39" w:rsidP="001D7B39">
      <w:pPr>
        <w:spacing w:after="0" w:line="276" w:lineRule="auto"/>
        <w:jc w:val="both"/>
        <w:rPr>
          <w:rFonts w:ascii="Verdana" w:hAnsi="Verdana"/>
        </w:rPr>
      </w:pPr>
      <w:r w:rsidRPr="00286DDE">
        <w:rPr>
          <w:rFonts w:ascii="Verdana" w:hAnsi="Verdana"/>
        </w:rPr>
        <w:t xml:space="preserve">Twitter: </w:t>
      </w:r>
      <w:r w:rsidRPr="00286DDE">
        <w:rPr>
          <w:rStyle w:val="Hipervnculo"/>
          <w:rFonts w:ascii="Verdana" w:hAnsi="Verdana"/>
        </w:rPr>
        <w:t>@colombiacompra</w:t>
      </w:r>
      <w:r w:rsidRPr="00286DDE">
        <w:rPr>
          <w:rFonts w:ascii="Verdana" w:hAnsi="Verdana"/>
        </w:rPr>
        <w:t xml:space="preserve"> </w:t>
      </w:r>
    </w:p>
    <w:p w14:paraId="77882109" w14:textId="77777777" w:rsidR="001D7B39" w:rsidRPr="00286DDE" w:rsidRDefault="001D7B39" w:rsidP="001D7B39">
      <w:pPr>
        <w:spacing w:after="0" w:line="276" w:lineRule="auto"/>
        <w:jc w:val="both"/>
        <w:rPr>
          <w:rFonts w:ascii="Verdana" w:hAnsi="Verdana"/>
        </w:rPr>
      </w:pPr>
      <w:r w:rsidRPr="00286DDE">
        <w:rPr>
          <w:rFonts w:ascii="Verdana" w:hAnsi="Verdana"/>
        </w:rPr>
        <w:t xml:space="preserve">Facebook: </w:t>
      </w:r>
      <w:proofErr w:type="spellStart"/>
      <w:r w:rsidRPr="00286DDE">
        <w:rPr>
          <w:rStyle w:val="Hipervnculo"/>
          <w:rFonts w:ascii="Verdana" w:hAnsi="Verdana"/>
        </w:rPr>
        <w:t>ColombiaCompraEficiente</w:t>
      </w:r>
      <w:proofErr w:type="spellEnd"/>
    </w:p>
    <w:p w14:paraId="08B07E62" w14:textId="46049D16" w:rsidR="001D7B39" w:rsidRDefault="001D7B39" w:rsidP="00B86F23">
      <w:pPr>
        <w:spacing w:after="0" w:line="276" w:lineRule="auto"/>
        <w:jc w:val="both"/>
        <w:rPr>
          <w:rFonts w:ascii="Verdana" w:eastAsia="Calibri" w:hAnsi="Verdana" w:cs="Times New Roman"/>
        </w:rPr>
      </w:pPr>
      <w:r w:rsidRPr="00286DDE">
        <w:rPr>
          <w:rFonts w:ascii="Verdana" w:hAnsi="Verdana"/>
        </w:rPr>
        <w:t xml:space="preserve">LinkedIn: </w:t>
      </w:r>
      <w:r w:rsidRPr="00286DDE">
        <w:rPr>
          <w:rStyle w:val="Hipervnculo"/>
          <w:rFonts w:ascii="Verdana" w:hAnsi="Verdana"/>
        </w:rPr>
        <w:t>Agencia Nacional de Contratación Pública - Colombia Compra Eficiente</w:t>
      </w:r>
      <w:r w:rsidRPr="00286DDE">
        <w:rPr>
          <w:rFonts w:ascii="Verdana" w:hAnsi="Verdana"/>
        </w:rPr>
        <w:t xml:space="preserve"> Instagram: </w:t>
      </w:r>
      <w:r w:rsidRPr="00286DDE">
        <w:rPr>
          <w:rStyle w:val="Hipervnculo"/>
          <w:rFonts w:ascii="Verdana" w:hAnsi="Verdana"/>
        </w:rPr>
        <w:t>@colombiacompraeficiente_cce</w:t>
      </w:r>
    </w:p>
    <w:p w14:paraId="6D400DC3" w14:textId="77777777" w:rsidR="00BE26A1" w:rsidRDefault="00BE26A1" w:rsidP="00BE26A1">
      <w:pPr>
        <w:spacing w:after="0" w:line="276" w:lineRule="auto"/>
        <w:jc w:val="both"/>
        <w:rPr>
          <w:rFonts w:ascii="Verdana" w:eastAsia="Calibri" w:hAnsi="Verdana" w:cs="Times New Roman"/>
        </w:rPr>
      </w:pPr>
    </w:p>
    <w:p w14:paraId="75ED1D76" w14:textId="02435C7E" w:rsidR="001D7B39" w:rsidRPr="00BE636B" w:rsidRDefault="001D7B39" w:rsidP="001D7B39">
      <w:pPr>
        <w:spacing w:after="0" w:line="276" w:lineRule="auto"/>
        <w:jc w:val="both"/>
        <w:rPr>
          <w:rFonts w:ascii="Verdana" w:eastAsia="Calibri" w:hAnsi="Verdana" w:cs="Times New Roman"/>
          <w:bCs/>
        </w:rPr>
      </w:pPr>
      <w:r w:rsidRPr="00EA560F">
        <w:rPr>
          <w:rFonts w:ascii="Verdana" w:eastAsia="Calibri" w:hAnsi="Verdana" w:cs="Times New Roman"/>
        </w:rPr>
        <w:t>Este concepto tiene el alcance previsto en el artículo 28 del Código de Procedimiento Administrativo y de lo Cont</w:t>
      </w:r>
      <w:r w:rsidRPr="00F926E2">
        <w:rPr>
          <w:rFonts w:ascii="Verdana" w:eastAsia="Calibri" w:hAnsi="Verdana" w:cs="Times New Roman"/>
        </w:rPr>
        <w:t>encioso Administrativo y las expresiones utilizadas con mayúscula inicial deben ser entendidas con el significado que les otorga el artículo 2.2.1.1.1.3.1 del Decreto 1082 de 2015.</w:t>
      </w:r>
    </w:p>
    <w:p w14:paraId="249029FC" w14:textId="4CFDD34C" w:rsidR="001D7B39" w:rsidRPr="008E2DC6" w:rsidRDefault="001D7B39" w:rsidP="001D7B39">
      <w:pPr>
        <w:spacing w:after="0" w:line="276" w:lineRule="auto"/>
        <w:jc w:val="both"/>
        <w:rPr>
          <w:rFonts w:ascii="Verdana" w:eastAsia="Calibri" w:hAnsi="Verdana" w:cs="Times New Roman"/>
        </w:rPr>
      </w:pPr>
    </w:p>
    <w:p w14:paraId="0011B3E2" w14:textId="51AF2E3C" w:rsidR="00D24769" w:rsidRPr="00D24769" w:rsidRDefault="00D24769" w:rsidP="00D24769">
      <w:pPr>
        <w:spacing w:after="0" w:line="276" w:lineRule="auto"/>
        <w:jc w:val="both"/>
        <w:rPr>
          <w:rFonts w:ascii="Verdana" w:eastAsia="Calibri" w:hAnsi="Verdana" w:cs="Times New Roman"/>
        </w:rPr>
      </w:pPr>
    </w:p>
    <w:p w14:paraId="49A77499" w14:textId="409FDF21" w:rsidR="001D7B39" w:rsidRDefault="00D24769" w:rsidP="001D7B39">
      <w:pPr>
        <w:spacing w:after="0" w:line="276" w:lineRule="auto"/>
        <w:jc w:val="both"/>
        <w:rPr>
          <w:rFonts w:ascii="Verdana" w:eastAsia="Calibri" w:hAnsi="Verdana" w:cs="Times New Roman"/>
        </w:rPr>
      </w:pPr>
      <w:r w:rsidRPr="00D24769">
        <w:rPr>
          <w:rFonts w:ascii="Verdana" w:eastAsia="Calibri" w:hAnsi="Verdana" w:cs="Times New Roman"/>
        </w:rPr>
        <w:drawing>
          <wp:anchor distT="0" distB="0" distL="114300" distR="114300" simplePos="0" relativeHeight="251660288" behindDoc="1" locked="0" layoutInCell="1" allowOverlap="1" wp14:anchorId="0F064F02" wp14:editId="503FCAA1">
            <wp:simplePos x="0" y="0"/>
            <wp:positionH relativeFrom="margin">
              <wp:align>center</wp:align>
            </wp:positionH>
            <wp:positionV relativeFrom="paragraph">
              <wp:posOffset>67658</wp:posOffset>
            </wp:positionV>
            <wp:extent cx="3323105" cy="1233577"/>
            <wp:effectExtent l="0" t="0" r="0" b="5080"/>
            <wp:wrapNone/>
            <wp:docPr id="1298692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23105" cy="12335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7B39" w:rsidRPr="008E2DC6">
        <w:rPr>
          <w:rFonts w:ascii="Verdana" w:eastAsia="Calibri" w:hAnsi="Verdana" w:cs="Times New Roman"/>
        </w:rPr>
        <w:t xml:space="preserve">Atentamente,  </w:t>
      </w:r>
    </w:p>
    <w:p w14:paraId="3830F96F" w14:textId="62247F13" w:rsidR="001D7B39" w:rsidRPr="008E2DC6" w:rsidRDefault="001D7B39" w:rsidP="001D7B39">
      <w:pPr>
        <w:spacing w:after="0" w:line="276" w:lineRule="auto"/>
        <w:jc w:val="both"/>
        <w:rPr>
          <w:rFonts w:ascii="Verdana" w:eastAsia="Calibri" w:hAnsi="Verdana" w:cs="Times New Roman"/>
        </w:rPr>
      </w:pPr>
    </w:p>
    <w:p w14:paraId="49DDE7B9" w14:textId="77777777" w:rsidR="001D7B39" w:rsidRPr="00CE156C" w:rsidRDefault="001D7B39" w:rsidP="001D7B39">
      <w:pPr>
        <w:spacing w:after="0" w:line="276" w:lineRule="auto"/>
        <w:jc w:val="both"/>
        <w:rPr>
          <w:rFonts w:ascii="Verdana" w:eastAsia="Calibri" w:hAnsi="Verdana" w:cs="Times New Roman"/>
        </w:rPr>
      </w:pPr>
    </w:p>
    <w:p w14:paraId="610F7A39" w14:textId="77777777" w:rsidR="001D7B39" w:rsidRPr="00F07E96" w:rsidRDefault="001D7B39" w:rsidP="001D7B39">
      <w:pPr>
        <w:spacing w:after="0" w:line="276" w:lineRule="auto"/>
        <w:jc w:val="both"/>
        <w:rPr>
          <w:rFonts w:ascii="Verdana" w:eastAsia="Calibri" w:hAnsi="Verdana" w:cs="Times New Roman"/>
        </w:rPr>
      </w:pPr>
    </w:p>
    <w:p w14:paraId="29D0CAA1" w14:textId="77777777" w:rsidR="001D7B39" w:rsidRPr="00F926E2" w:rsidRDefault="001D7B39" w:rsidP="001D7B39">
      <w:pPr>
        <w:spacing w:after="0" w:line="276" w:lineRule="auto"/>
        <w:jc w:val="both"/>
        <w:rPr>
          <w:rFonts w:ascii="Verdana" w:eastAsia="Calibri" w:hAnsi="Verdana" w:cs="Times New Roman"/>
        </w:rPr>
      </w:pPr>
    </w:p>
    <w:p w14:paraId="49FA47DF" w14:textId="77777777" w:rsidR="001D7B39" w:rsidRPr="00BE636B" w:rsidRDefault="001D7B39" w:rsidP="001D7B39">
      <w:pPr>
        <w:spacing w:after="0" w:line="276" w:lineRule="auto"/>
        <w:jc w:val="both"/>
        <w:rPr>
          <w:rFonts w:ascii="Verdana" w:eastAsia="Calibri" w:hAnsi="Verdana" w:cs="Times New Roman"/>
        </w:rPr>
      </w:pPr>
    </w:p>
    <w:p w14:paraId="21A4177F" w14:textId="77777777" w:rsidR="001D7B39" w:rsidRPr="00E460E3" w:rsidRDefault="001D7B39" w:rsidP="001D7B39">
      <w:pPr>
        <w:spacing w:after="0" w:line="276" w:lineRule="auto"/>
        <w:jc w:val="both"/>
        <w:rPr>
          <w:rFonts w:ascii="Verdana" w:eastAsia="Calibri" w:hAnsi="Verdana" w:cs="Times New Roman"/>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1D7B39" w:rsidRPr="00CE156C" w14:paraId="15FBC551" w14:textId="77777777" w:rsidTr="00EB7FC9">
        <w:trPr>
          <w:trHeight w:val="315"/>
        </w:trPr>
        <w:tc>
          <w:tcPr>
            <w:tcW w:w="893" w:type="dxa"/>
            <w:vAlign w:val="center"/>
            <w:hideMark/>
          </w:tcPr>
          <w:p w14:paraId="2F2622AD" w14:textId="77777777" w:rsidR="001D7B39" w:rsidRPr="008E2DC6" w:rsidRDefault="001D7B39" w:rsidP="00EB7FC9">
            <w:pPr>
              <w:spacing w:line="276" w:lineRule="auto"/>
              <w:rPr>
                <w:rFonts w:ascii="Verdana" w:eastAsia="Times New Roman" w:hAnsi="Verdana" w:cs="Arial"/>
                <w:color w:val="000000"/>
                <w:sz w:val="16"/>
                <w:szCs w:val="16"/>
                <w:lang w:eastAsia="es-ES"/>
              </w:rPr>
            </w:pPr>
            <w:r w:rsidRPr="008E2DC6">
              <w:rPr>
                <w:rFonts w:ascii="Verdana" w:eastAsia="Times New Roman" w:hAnsi="Verdana" w:cs="Arial"/>
                <w:color w:val="000000"/>
                <w:sz w:val="16"/>
                <w:szCs w:val="16"/>
                <w:lang w:eastAsia="es-ES"/>
              </w:rPr>
              <w:t>Elaboró:</w:t>
            </w:r>
          </w:p>
        </w:tc>
        <w:tc>
          <w:tcPr>
            <w:tcW w:w="5628" w:type="dxa"/>
            <w:tcBorders>
              <w:top w:val="nil"/>
              <w:left w:val="nil"/>
              <w:bottom w:val="dotted" w:sz="4" w:space="0" w:color="7F7F7F"/>
              <w:right w:val="nil"/>
            </w:tcBorders>
            <w:vAlign w:val="center"/>
            <w:hideMark/>
          </w:tcPr>
          <w:p w14:paraId="650D21E2" w14:textId="77777777" w:rsidR="001D7B39" w:rsidRPr="00CE156C" w:rsidRDefault="001D7B39" w:rsidP="00EB7FC9">
            <w:pPr>
              <w:spacing w:line="276" w:lineRule="auto"/>
              <w:rPr>
                <w:rFonts w:ascii="Verdana" w:eastAsia="Arial" w:hAnsi="Verdana" w:cs="Arial"/>
                <w:color w:val="000000"/>
                <w:sz w:val="16"/>
                <w:szCs w:val="16"/>
              </w:rPr>
            </w:pPr>
            <w:r w:rsidRPr="00CE156C">
              <w:rPr>
                <w:rFonts w:ascii="Verdana" w:eastAsia="Arial" w:hAnsi="Verdana" w:cs="Arial"/>
                <w:color w:val="000000"/>
                <w:sz w:val="16"/>
                <w:szCs w:val="16"/>
              </w:rPr>
              <w:t>Ángela María Olmos Andrade</w:t>
            </w:r>
          </w:p>
          <w:p w14:paraId="43D9CF8A" w14:textId="77777777" w:rsidR="001D7B39" w:rsidRPr="00CE156C" w:rsidRDefault="001D7B39" w:rsidP="00EB7FC9">
            <w:pPr>
              <w:spacing w:line="276" w:lineRule="auto"/>
              <w:rPr>
                <w:rFonts w:ascii="Verdana" w:eastAsia="Arial" w:hAnsi="Verdana" w:cs="Arial"/>
                <w:color w:val="000000"/>
                <w:sz w:val="16"/>
                <w:szCs w:val="16"/>
              </w:rPr>
            </w:pPr>
            <w:r w:rsidRPr="00CE156C">
              <w:rPr>
                <w:rFonts w:ascii="Verdana" w:eastAsia="Arial" w:hAnsi="Verdana" w:cs="Arial"/>
                <w:color w:val="000000"/>
                <w:sz w:val="16"/>
                <w:szCs w:val="16"/>
              </w:rPr>
              <w:t>Analista T2 - 02 de la Subdirección de Gestión Contractual</w:t>
            </w:r>
          </w:p>
        </w:tc>
      </w:tr>
      <w:tr w:rsidR="001D7B39" w:rsidRPr="00CE156C" w14:paraId="21691BC7" w14:textId="77777777" w:rsidTr="00EB7FC9">
        <w:trPr>
          <w:trHeight w:val="330"/>
        </w:trPr>
        <w:tc>
          <w:tcPr>
            <w:tcW w:w="893" w:type="dxa"/>
            <w:vAlign w:val="center"/>
            <w:hideMark/>
          </w:tcPr>
          <w:p w14:paraId="76CD6247" w14:textId="77777777" w:rsidR="001D7B39" w:rsidRPr="00EA560F" w:rsidRDefault="001D7B39" w:rsidP="00EB7FC9">
            <w:pPr>
              <w:spacing w:line="276" w:lineRule="auto"/>
              <w:rPr>
                <w:rFonts w:ascii="Verdana" w:eastAsia="Times New Roman" w:hAnsi="Verdana" w:cs="Arial"/>
                <w:color w:val="000000"/>
                <w:sz w:val="16"/>
                <w:szCs w:val="16"/>
                <w:lang w:eastAsia="es-ES"/>
              </w:rPr>
            </w:pPr>
            <w:r w:rsidRPr="00CE156C">
              <w:rPr>
                <w:rFonts w:ascii="Verdana" w:eastAsia="Times New Roman" w:hAnsi="Verdana" w:cs="Arial"/>
                <w:color w:val="000000"/>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4040444A" w14:textId="77777777" w:rsidR="001D7B39" w:rsidRPr="00F74DD7" w:rsidRDefault="001D7B39" w:rsidP="00EB7FC9">
            <w:pPr>
              <w:spacing w:line="276" w:lineRule="auto"/>
              <w:rPr>
                <w:rFonts w:ascii="Verdana" w:eastAsia="Times New Roman" w:hAnsi="Verdana" w:cs="Arial"/>
                <w:color w:val="000000"/>
                <w:sz w:val="16"/>
                <w:szCs w:val="16"/>
              </w:rPr>
            </w:pPr>
            <w:r w:rsidRPr="00F926E2">
              <w:rPr>
                <w:rFonts w:ascii="Verdana" w:eastAsia="Times New Roman" w:hAnsi="Verdana" w:cs="Arial"/>
                <w:color w:val="000000"/>
                <w:sz w:val="16"/>
                <w:szCs w:val="16"/>
              </w:rPr>
              <w:t>Diana Lucia Saavedra Castañeda</w:t>
            </w:r>
          </w:p>
          <w:p w14:paraId="7C88A684" w14:textId="77777777" w:rsidR="001D7B39" w:rsidRPr="002067DD" w:rsidRDefault="001D7B39" w:rsidP="00EB7FC9">
            <w:pPr>
              <w:spacing w:line="276" w:lineRule="auto"/>
              <w:textAlignment w:val="baseline"/>
              <w:rPr>
                <w:rFonts w:ascii="Verdana" w:eastAsia="Times New Roman" w:hAnsi="Verdana" w:cs="Arial"/>
                <w:color w:val="000000"/>
                <w:sz w:val="16"/>
                <w:szCs w:val="16"/>
              </w:rPr>
            </w:pPr>
            <w:r w:rsidRPr="00BE636B">
              <w:rPr>
                <w:rFonts w:ascii="Verdana" w:eastAsia="Times New Roman" w:hAnsi="Verdana" w:cs="Arial"/>
                <w:color w:val="000000"/>
                <w:sz w:val="16"/>
                <w:szCs w:val="16"/>
              </w:rPr>
              <w:t>Contratista</w:t>
            </w:r>
            <w:r w:rsidRPr="00E460E3">
              <w:rPr>
                <w:rFonts w:ascii="Verdana" w:eastAsia="Times New Roman" w:hAnsi="Verdana" w:cs="Arial"/>
                <w:color w:val="000000"/>
                <w:sz w:val="16"/>
                <w:szCs w:val="16"/>
              </w:rPr>
              <w:t xml:space="preserve"> de la Subdirección de Gestión Contractual</w:t>
            </w:r>
          </w:p>
        </w:tc>
      </w:tr>
      <w:tr w:rsidR="001D7B39" w:rsidRPr="00CE156C" w14:paraId="3FC1366F" w14:textId="77777777" w:rsidTr="00EB7FC9">
        <w:trPr>
          <w:trHeight w:val="300"/>
        </w:trPr>
        <w:tc>
          <w:tcPr>
            <w:tcW w:w="893" w:type="dxa"/>
            <w:vAlign w:val="center"/>
            <w:hideMark/>
          </w:tcPr>
          <w:p w14:paraId="585B64A7" w14:textId="77777777" w:rsidR="001D7B39" w:rsidRPr="00EA560F" w:rsidRDefault="001D7B39" w:rsidP="00EB7FC9">
            <w:pPr>
              <w:spacing w:line="276" w:lineRule="auto"/>
              <w:rPr>
                <w:rFonts w:ascii="Verdana" w:eastAsia="Times New Roman" w:hAnsi="Verdana" w:cs="Arial"/>
                <w:color w:val="000000"/>
                <w:sz w:val="16"/>
                <w:szCs w:val="16"/>
                <w:lang w:eastAsia="es-ES"/>
              </w:rPr>
            </w:pPr>
            <w:r w:rsidRPr="00CE156C">
              <w:rPr>
                <w:rFonts w:ascii="Verdana" w:eastAsia="Times New Roman" w:hAnsi="Verdana" w:cs="Arial"/>
                <w:color w:val="000000"/>
                <w:sz w:val="16"/>
                <w:szCs w:val="16"/>
                <w:lang w:eastAsia="es-ES"/>
              </w:rPr>
              <w:t>Aprobó:</w:t>
            </w:r>
          </w:p>
        </w:tc>
        <w:tc>
          <w:tcPr>
            <w:tcW w:w="5628" w:type="dxa"/>
            <w:tcBorders>
              <w:top w:val="dotted" w:sz="4" w:space="0" w:color="7F7F7F"/>
              <w:left w:val="nil"/>
              <w:bottom w:val="dotted" w:sz="4" w:space="0" w:color="7F7F7F"/>
              <w:right w:val="nil"/>
            </w:tcBorders>
            <w:vAlign w:val="center"/>
            <w:hideMark/>
          </w:tcPr>
          <w:p w14:paraId="45313FD2" w14:textId="77777777" w:rsidR="001D7B39" w:rsidRPr="00F74DD7" w:rsidRDefault="001D7B39" w:rsidP="00EB7FC9">
            <w:pPr>
              <w:spacing w:line="276" w:lineRule="auto"/>
              <w:rPr>
                <w:rFonts w:ascii="Verdana" w:eastAsia="Times New Roman" w:hAnsi="Verdana" w:cs="Arial"/>
                <w:color w:val="000000"/>
                <w:sz w:val="16"/>
                <w:szCs w:val="16"/>
              </w:rPr>
            </w:pPr>
            <w:r w:rsidRPr="00F926E2">
              <w:rPr>
                <w:rFonts w:ascii="Verdana" w:eastAsia="Times New Roman" w:hAnsi="Verdana" w:cs="Arial"/>
                <w:color w:val="000000"/>
                <w:sz w:val="16"/>
                <w:szCs w:val="16"/>
              </w:rPr>
              <w:t>Carolina Quintero Gacharná</w:t>
            </w:r>
          </w:p>
          <w:p w14:paraId="0D6A3D60" w14:textId="77777777" w:rsidR="001D7B39" w:rsidRPr="00E460E3" w:rsidRDefault="001D7B39" w:rsidP="00EB7FC9">
            <w:pPr>
              <w:spacing w:line="276" w:lineRule="auto"/>
              <w:rPr>
                <w:rFonts w:ascii="Verdana" w:eastAsia="Times New Roman" w:hAnsi="Verdana" w:cs="Arial"/>
                <w:color w:val="000000"/>
                <w:sz w:val="16"/>
                <w:szCs w:val="16"/>
              </w:rPr>
            </w:pPr>
            <w:r w:rsidRPr="00BE636B">
              <w:rPr>
                <w:rFonts w:ascii="Verdana" w:eastAsia="Times New Roman" w:hAnsi="Verdana" w:cs="Arial"/>
                <w:color w:val="000000"/>
                <w:sz w:val="16"/>
                <w:szCs w:val="16"/>
              </w:rPr>
              <w:t>Subdirectora de Gestión Contractual ANCP – CCE</w:t>
            </w:r>
          </w:p>
        </w:tc>
      </w:tr>
      <w:bookmarkEnd w:id="0"/>
    </w:tbl>
    <w:p w14:paraId="69BC4D14" w14:textId="02D625D8" w:rsidR="00C15139" w:rsidRPr="000E2B93" w:rsidRDefault="00C15139" w:rsidP="30821638">
      <w:pPr>
        <w:spacing w:after="0" w:line="240" w:lineRule="auto"/>
        <w:textAlignment w:val="baseline"/>
        <w:rPr>
          <w:rFonts w:ascii="Verdana" w:eastAsia="Verdana" w:hAnsi="Verdana" w:cs="Verdana"/>
          <w:lang w:eastAsia="es-CO"/>
        </w:rPr>
      </w:pPr>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DAE61" w14:textId="77777777" w:rsidR="001A037A" w:rsidRDefault="001A037A" w:rsidP="004A1847">
      <w:pPr>
        <w:spacing w:after="0" w:line="240" w:lineRule="auto"/>
      </w:pPr>
      <w:r>
        <w:separator/>
      </w:r>
    </w:p>
  </w:endnote>
  <w:endnote w:type="continuationSeparator" w:id="0">
    <w:p w14:paraId="0590C0FD" w14:textId="77777777" w:rsidR="001A037A" w:rsidRDefault="001A037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48182" w14:textId="77777777" w:rsidR="001A037A" w:rsidRDefault="001A037A" w:rsidP="004A1847">
      <w:pPr>
        <w:spacing w:after="0" w:line="240" w:lineRule="auto"/>
      </w:pPr>
      <w:r>
        <w:separator/>
      </w:r>
    </w:p>
  </w:footnote>
  <w:footnote w:type="continuationSeparator" w:id="0">
    <w:p w14:paraId="1E0F636A" w14:textId="77777777" w:rsidR="001A037A" w:rsidRDefault="001A037A" w:rsidP="004A1847">
      <w:pPr>
        <w:spacing w:after="0" w:line="240" w:lineRule="auto"/>
      </w:pPr>
      <w:r>
        <w:continuationSeparator/>
      </w:r>
    </w:p>
  </w:footnote>
  <w:footnote w:id="1">
    <w:p w14:paraId="0C3298C6" w14:textId="77777777" w:rsidR="00543963" w:rsidRPr="00B324A4" w:rsidRDefault="00543963" w:rsidP="00543963">
      <w:pPr>
        <w:pStyle w:val="Textonotapie"/>
        <w:ind w:firstLine="709"/>
        <w:jc w:val="both"/>
        <w:rPr>
          <w:rFonts w:ascii="Verdana" w:hAnsi="Verdana" w:cs="Arial"/>
          <w:color w:val="000000"/>
          <w:sz w:val="16"/>
          <w:szCs w:val="16"/>
        </w:rPr>
      </w:pPr>
      <w:r w:rsidRPr="00B324A4">
        <w:rPr>
          <w:rStyle w:val="Refdenotaalpie"/>
          <w:rFonts w:ascii="Verdana" w:hAnsi="Verdana" w:cs="Arial"/>
          <w:color w:val="000000"/>
          <w:sz w:val="16"/>
          <w:szCs w:val="16"/>
        </w:rPr>
        <w:footnoteRef/>
      </w:r>
      <w:r w:rsidRPr="00B324A4">
        <w:rPr>
          <w:rFonts w:ascii="Verdana" w:hAnsi="Verdana" w:cs="Arial"/>
          <w:color w:val="000000"/>
          <w:sz w:val="16"/>
          <w:szCs w:val="16"/>
        </w:rPr>
        <w:t xml:space="preserve"> ALESSANDRI RODRÍGUEZ, Arturo. De los contratos. Santiago de Chile: Editorial Jurídica EDIAR-CONOCSUR LTDA, 1988. p. 182. </w:t>
      </w:r>
    </w:p>
  </w:footnote>
  <w:footnote w:id="2">
    <w:p w14:paraId="1BF366C8" w14:textId="3EFF9EDB" w:rsidR="00543963" w:rsidRPr="00B324A4" w:rsidRDefault="00543963" w:rsidP="00EA1BD2">
      <w:pPr>
        <w:pStyle w:val="Textonotapie"/>
        <w:ind w:firstLine="708"/>
        <w:jc w:val="both"/>
        <w:rPr>
          <w:rFonts w:ascii="Verdana" w:hAnsi="Verdana" w:cs="Arial"/>
          <w:sz w:val="16"/>
          <w:szCs w:val="16"/>
          <w:lang w:val="es-ES_tradnl"/>
        </w:rPr>
      </w:pPr>
      <w:r w:rsidRPr="00B324A4">
        <w:rPr>
          <w:rStyle w:val="Refdenotaalpie"/>
          <w:rFonts w:ascii="Verdana" w:hAnsi="Verdana" w:cs="Arial"/>
          <w:sz w:val="16"/>
          <w:szCs w:val="16"/>
        </w:rPr>
        <w:footnoteRef/>
      </w:r>
      <w:r w:rsidRPr="00B324A4">
        <w:rPr>
          <w:rFonts w:ascii="Verdana" w:hAnsi="Verdana" w:cs="Arial"/>
          <w:sz w:val="16"/>
          <w:szCs w:val="16"/>
        </w:rPr>
        <w:t xml:space="preserve"> </w:t>
      </w:r>
      <w:r w:rsidRPr="00B324A4">
        <w:rPr>
          <w:rFonts w:ascii="Verdana" w:hAnsi="Verdana" w:cs="Arial"/>
          <w:sz w:val="16"/>
          <w:szCs w:val="16"/>
          <w:lang w:val="es-ES_tradnl"/>
        </w:rPr>
        <w:t xml:space="preserve">Respecto a la referencia a los bienes inmuebles, debe considerarse la definición de los artículos 656 y 658 del Código Civil, que incluye en esa categoría tanto a los inmuebles por adhesión como por destinación. De esta manera, la referencia contenida en el numeral 1 del artículo 32 la Ley 80 de 1993 a inmuebles debe entenderse que se extiende a los inmuebles anteriormente mencionados, razón por la cual la tipicidad del contrato de obra incluye cualquier clase de trabajo sobre inmuebles por adhesión o por destinación. </w:t>
      </w:r>
    </w:p>
  </w:footnote>
  <w:footnote w:id="3">
    <w:p w14:paraId="0D837C07" w14:textId="614AA8FF" w:rsidR="00543963" w:rsidRPr="00B324A4" w:rsidRDefault="00543963" w:rsidP="00EA1BD2">
      <w:pPr>
        <w:pStyle w:val="Textonotapie"/>
        <w:ind w:firstLine="709"/>
        <w:jc w:val="both"/>
        <w:rPr>
          <w:rFonts w:ascii="Verdana" w:hAnsi="Verdana" w:cs="Arial"/>
          <w:color w:val="000000"/>
          <w:sz w:val="16"/>
          <w:szCs w:val="16"/>
        </w:rPr>
      </w:pPr>
      <w:r w:rsidRPr="00B324A4">
        <w:rPr>
          <w:rStyle w:val="Refdenotaalpie"/>
          <w:rFonts w:ascii="Verdana" w:hAnsi="Verdana" w:cs="Arial"/>
          <w:color w:val="000000"/>
          <w:sz w:val="16"/>
          <w:szCs w:val="16"/>
        </w:rPr>
        <w:footnoteRef/>
      </w:r>
      <w:r w:rsidRPr="00B324A4">
        <w:rPr>
          <w:rFonts w:ascii="Verdana" w:hAnsi="Verdana" w:cs="Arial"/>
          <w:color w:val="000000"/>
          <w:sz w:val="16"/>
          <w:szCs w:val="16"/>
        </w:rPr>
        <w:t xml:space="preserve"> OSPINA MENA, Jesús Marino. Régimen de la Contratación Estatal. Un salto a la contratación liquida. Bogotá: Dike, 2020. p. 168.</w:t>
      </w:r>
    </w:p>
  </w:footnote>
  <w:footnote w:id="4">
    <w:p w14:paraId="0839CB93" w14:textId="77777777" w:rsidR="00543963" w:rsidRPr="00B324A4" w:rsidRDefault="00543963" w:rsidP="00543963">
      <w:pPr>
        <w:pStyle w:val="Textonotapie"/>
        <w:ind w:firstLine="709"/>
        <w:jc w:val="both"/>
        <w:rPr>
          <w:rFonts w:ascii="Verdana" w:hAnsi="Verdana" w:cs="Arial"/>
          <w:color w:val="000000"/>
          <w:sz w:val="16"/>
          <w:szCs w:val="16"/>
        </w:rPr>
      </w:pPr>
      <w:r w:rsidRPr="00B324A4">
        <w:rPr>
          <w:rStyle w:val="Refdenotaalpie"/>
          <w:rFonts w:ascii="Verdana" w:hAnsi="Verdana" w:cs="Arial"/>
          <w:color w:val="000000"/>
          <w:sz w:val="16"/>
          <w:szCs w:val="16"/>
        </w:rPr>
        <w:footnoteRef/>
      </w:r>
      <w:r w:rsidRPr="00B324A4">
        <w:rPr>
          <w:rFonts w:ascii="Verdana" w:hAnsi="Verdana" w:cs="Arial"/>
          <w:color w:val="000000"/>
          <w:sz w:val="16"/>
          <w:szCs w:val="16"/>
        </w:rPr>
        <w:t xml:space="preserve"> CONSEJO DE ESTADO. Sala de Consulta y Servicio Civil. Concepto del 5 de septiembre de 2018. Rad. 2.386. C.P. Edgar González López.</w:t>
      </w:r>
    </w:p>
  </w:footnote>
  <w:footnote w:id="5">
    <w:p w14:paraId="6E8F0317" w14:textId="77777777" w:rsidR="00384E56" w:rsidRPr="00145609" w:rsidRDefault="00384E56" w:rsidP="00384E56">
      <w:pPr>
        <w:pStyle w:val="Textonotapie"/>
        <w:ind w:firstLine="709"/>
        <w:contextualSpacing/>
        <w:jc w:val="both"/>
        <w:rPr>
          <w:rFonts w:ascii="Verdana" w:hAnsi="Verdana" w:cs="Arial"/>
          <w:color w:val="000000" w:themeColor="text1"/>
          <w:sz w:val="16"/>
          <w:szCs w:val="16"/>
        </w:rPr>
      </w:pPr>
      <w:r w:rsidRPr="00145609">
        <w:rPr>
          <w:rStyle w:val="Refdenotaalpie"/>
          <w:rFonts w:ascii="Verdana" w:hAnsi="Verdana" w:cs="Arial"/>
          <w:color w:val="000000" w:themeColor="text1"/>
          <w:sz w:val="16"/>
          <w:szCs w:val="16"/>
        </w:rPr>
        <w:footnoteRef/>
      </w:r>
      <w:r w:rsidRPr="00145609">
        <w:rPr>
          <w:rFonts w:ascii="Verdana" w:hAnsi="Verdana" w:cs="Arial"/>
          <w:color w:val="000000" w:themeColor="text1"/>
          <w:sz w:val="16"/>
          <w:szCs w:val="16"/>
        </w:rPr>
        <w:t xml:space="preserve"> ESCOBAR GIL, Rodrigo. Teoría general de los contratos de la Administración pública. Bogotá: Legis, 2000. p. 247. Respecto a las pólizas, la doctrina explica que “En rigor, el seguro no elimina el </w:t>
      </w:r>
      <w:proofErr w:type="gramStart"/>
      <w:r w:rsidRPr="00145609">
        <w:rPr>
          <w:rFonts w:ascii="Verdana" w:hAnsi="Verdana" w:cs="Arial"/>
          <w:color w:val="000000" w:themeColor="text1"/>
          <w:sz w:val="16"/>
          <w:szCs w:val="16"/>
        </w:rPr>
        <w:t>daño</w:t>
      </w:r>
      <w:proofErr w:type="gramEnd"/>
      <w:r w:rsidRPr="00145609">
        <w:rPr>
          <w:rFonts w:ascii="Verdana" w:hAnsi="Verdana" w:cs="Arial"/>
          <w:color w:val="000000" w:themeColor="text1"/>
          <w:sz w:val="16"/>
          <w:szCs w:val="16"/>
        </w:rPr>
        <w:t xml:space="preserve"> sino que tolera que sus consecuencias resulten transferidas (trasladadas) por el sujeto amenazado por un evento económicamente desfavorable, a otro (asegurador) que, a esos fines, ha constituido una mutualidad especialmente ‘preparada para absorber el riesgo de indemnización</w:t>
      </w:r>
      <w:proofErr w:type="gramStart"/>
      <w:r w:rsidRPr="00145609">
        <w:rPr>
          <w:rFonts w:ascii="Verdana" w:hAnsi="Verdana" w:cs="Arial"/>
          <w:color w:val="000000" w:themeColor="text1"/>
          <w:sz w:val="16"/>
          <w:szCs w:val="16"/>
        </w:rPr>
        <w:t>’“ (</w:t>
      </w:r>
      <w:proofErr w:type="gramEnd"/>
      <w:r w:rsidRPr="00145609">
        <w:rPr>
          <w:rFonts w:ascii="Verdana" w:hAnsi="Verdana" w:cs="Arial"/>
          <w:color w:val="000000" w:themeColor="text1"/>
          <w:sz w:val="16"/>
          <w:szCs w:val="16"/>
        </w:rPr>
        <w:t>Cfr. STIGLITZ, Rubén S. Derecho de seguros. Tomo I. Tercera Edición. Buenos Aires: Abeledo – Perrot, 2001. p. 21).</w:t>
      </w:r>
    </w:p>
  </w:footnote>
  <w:footnote w:id="6">
    <w:p w14:paraId="7F767D44" w14:textId="77777777" w:rsidR="00384E56" w:rsidRPr="00145609" w:rsidRDefault="00384E56" w:rsidP="00384E56">
      <w:pPr>
        <w:pStyle w:val="Textonotapie"/>
        <w:ind w:firstLine="708"/>
        <w:contextualSpacing/>
        <w:jc w:val="both"/>
        <w:rPr>
          <w:rFonts w:ascii="Verdana" w:hAnsi="Verdana" w:cs="Arial"/>
          <w:sz w:val="16"/>
          <w:szCs w:val="16"/>
        </w:rPr>
      </w:pPr>
      <w:r w:rsidRPr="00145609">
        <w:rPr>
          <w:rStyle w:val="Refdenotaalpie"/>
          <w:rFonts w:ascii="Verdana" w:hAnsi="Verdana" w:cs="Arial"/>
          <w:sz w:val="16"/>
          <w:szCs w:val="16"/>
        </w:rPr>
        <w:footnoteRef/>
      </w:r>
      <w:r w:rsidRPr="00145609">
        <w:rPr>
          <w:rFonts w:ascii="Verdana" w:hAnsi="Verdana" w:cs="Arial"/>
          <w:sz w:val="16"/>
          <w:szCs w:val="16"/>
        </w:rPr>
        <w:t xml:space="preserve"> Para la jurisprudencia, “[…] los seguros de cumplimiento, específicamente, el de contratos estatales, son aquellos que garantizan al acreedor (entidad estatal) que serán resarcidos los daños que pueda provocar el incumplimiento de las obligaciones del deudor (contratista) dentro del marco de una relación contractual. Así, pues, el riesgo asegurado en esta categoría de seguros, visto de manera general, lo constituye el incumplimiento de las obligaciones contractuales a cargo del deudor (contratista), quien a su vez es el tomador de la póliza, de modo que el objeto de las obligaciones garantizadas es lo que determina o particulariza el riesgo asegurado” (CONSEJO DE ESTADO. Sección Tercera. Subsección A. Sentencia del 12 de febrero de 2015. </w:t>
      </w:r>
      <w:proofErr w:type="spellStart"/>
      <w:r w:rsidRPr="00145609">
        <w:rPr>
          <w:rFonts w:ascii="Verdana" w:hAnsi="Verdana" w:cs="Arial"/>
          <w:sz w:val="16"/>
          <w:szCs w:val="16"/>
        </w:rPr>
        <w:t>Exp</w:t>
      </w:r>
      <w:proofErr w:type="spellEnd"/>
      <w:r w:rsidRPr="00145609">
        <w:rPr>
          <w:rFonts w:ascii="Verdana" w:hAnsi="Verdana" w:cs="Arial"/>
          <w:sz w:val="16"/>
          <w:szCs w:val="16"/>
        </w:rPr>
        <w:t>.  28278. C.P. Carlos Alberto Zambrano Barrera).</w:t>
      </w:r>
    </w:p>
  </w:footnote>
  <w:footnote w:id="7">
    <w:p w14:paraId="7FB099E7" w14:textId="77777777" w:rsidR="00384E56" w:rsidRPr="00145609" w:rsidRDefault="00384E56" w:rsidP="00384E56">
      <w:pPr>
        <w:pStyle w:val="Textonotapie"/>
        <w:ind w:firstLine="709"/>
        <w:contextualSpacing/>
        <w:jc w:val="both"/>
        <w:rPr>
          <w:rFonts w:ascii="Verdana" w:hAnsi="Verdana" w:cs="Arial"/>
          <w:color w:val="000000" w:themeColor="text1"/>
          <w:sz w:val="16"/>
          <w:szCs w:val="16"/>
        </w:rPr>
      </w:pPr>
      <w:r w:rsidRPr="00145609">
        <w:rPr>
          <w:rStyle w:val="Refdenotaalpie"/>
          <w:rFonts w:ascii="Verdana" w:hAnsi="Verdana" w:cs="Arial"/>
          <w:color w:val="000000" w:themeColor="text1"/>
          <w:sz w:val="16"/>
          <w:szCs w:val="16"/>
        </w:rPr>
        <w:footnoteRef/>
      </w:r>
      <w:r w:rsidRPr="00145609">
        <w:rPr>
          <w:rFonts w:ascii="Verdana" w:hAnsi="Verdana" w:cs="Arial"/>
          <w:color w:val="000000" w:themeColor="text1"/>
          <w:sz w:val="16"/>
          <w:szCs w:val="16"/>
        </w:rPr>
        <w:t xml:space="preserve"> ORDÓÑEZ </w:t>
      </w:r>
      <w:proofErr w:type="spellStart"/>
      <w:r w:rsidRPr="00145609">
        <w:rPr>
          <w:rFonts w:ascii="Verdana" w:hAnsi="Verdana" w:cs="Arial"/>
          <w:color w:val="000000" w:themeColor="text1"/>
          <w:sz w:val="16"/>
          <w:szCs w:val="16"/>
        </w:rPr>
        <w:t>ORDÓÑEZ</w:t>
      </w:r>
      <w:proofErr w:type="spellEnd"/>
      <w:r w:rsidRPr="00145609">
        <w:rPr>
          <w:rFonts w:ascii="Verdana" w:hAnsi="Verdana" w:cs="Arial"/>
          <w:color w:val="000000" w:themeColor="text1"/>
          <w:sz w:val="16"/>
          <w:szCs w:val="16"/>
        </w:rPr>
        <w:t>, Andrés E. Seguro de cumplimiento de los contratos estatales en Colombia. Bogotá: Universidad Externado de Colombia, 2011. p. 44.</w:t>
      </w:r>
    </w:p>
  </w:footnote>
  <w:footnote w:id="8">
    <w:p w14:paraId="350D2B07" w14:textId="77777777" w:rsidR="00384E56" w:rsidRPr="00145609" w:rsidRDefault="00384E56" w:rsidP="00384E56">
      <w:pPr>
        <w:pStyle w:val="Textonotapie"/>
        <w:ind w:firstLine="708"/>
        <w:contextualSpacing/>
        <w:jc w:val="both"/>
        <w:rPr>
          <w:rFonts w:ascii="Verdana" w:hAnsi="Verdana" w:cs="Arial"/>
          <w:color w:val="000000" w:themeColor="text1"/>
          <w:sz w:val="16"/>
          <w:szCs w:val="16"/>
          <w:lang w:val="es-CO"/>
        </w:rPr>
      </w:pPr>
      <w:r w:rsidRPr="00145609">
        <w:rPr>
          <w:rStyle w:val="Refdenotaalpie"/>
          <w:rFonts w:ascii="Verdana" w:hAnsi="Verdana" w:cs="Arial"/>
          <w:color w:val="000000" w:themeColor="text1"/>
          <w:sz w:val="16"/>
          <w:szCs w:val="16"/>
        </w:rPr>
        <w:footnoteRef/>
      </w:r>
      <w:r w:rsidRPr="00145609">
        <w:rPr>
          <w:rFonts w:ascii="Verdana" w:hAnsi="Verdana" w:cs="Arial"/>
          <w:color w:val="000000" w:themeColor="text1"/>
          <w:sz w:val="16"/>
          <w:szCs w:val="16"/>
        </w:rPr>
        <w:t xml:space="preserve"> </w:t>
      </w:r>
      <w:r w:rsidRPr="00145609">
        <w:rPr>
          <w:rFonts w:ascii="Verdana" w:hAnsi="Verdana" w:cs="Arial"/>
          <w:color w:val="000000" w:themeColor="text1"/>
          <w:sz w:val="16"/>
          <w:szCs w:val="16"/>
          <w:lang w:val="es-CO"/>
        </w:rPr>
        <w:t xml:space="preserve">“Artículo </w:t>
      </w:r>
      <w:bookmarkStart w:id="9" w:name="_Hlk67919994"/>
      <w:r w:rsidRPr="00145609">
        <w:rPr>
          <w:rFonts w:ascii="Verdana" w:hAnsi="Verdana" w:cs="Arial"/>
          <w:color w:val="000000" w:themeColor="text1"/>
          <w:sz w:val="16"/>
          <w:szCs w:val="16"/>
          <w:lang w:val="es-CO"/>
        </w:rPr>
        <w:t>2.2.1.2.3.1.7</w:t>
      </w:r>
      <w:bookmarkEnd w:id="9"/>
      <w:r w:rsidRPr="00145609">
        <w:rPr>
          <w:rFonts w:ascii="Verdana" w:hAnsi="Verdana" w:cs="Arial"/>
          <w:color w:val="000000" w:themeColor="text1"/>
          <w:sz w:val="16"/>
          <w:szCs w:val="16"/>
          <w:lang w:val="es-CO"/>
        </w:rPr>
        <w:t xml:space="preserve">. Garantía de cumplimiento. La garantía de cumplimiento del contrato debe cubrir: </w:t>
      </w:r>
    </w:p>
    <w:p w14:paraId="55388BFA" w14:textId="77777777" w:rsidR="00384E56" w:rsidRPr="00145609" w:rsidRDefault="00384E56" w:rsidP="00384E56">
      <w:pPr>
        <w:pStyle w:val="Textonotapie"/>
        <w:contextualSpacing/>
        <w:jc w:val="both"/>
        <w:rPr>
          <w:rFonts w:ascii="Verdana" w:hAnsi="Verdana" w:cs="Arial"/>
          <w:color w:val="000000" w:themeColor="text1"/>
          <w:sz w:val="16"/>
          <w:szCs w:val="16"/>
          <w:lang w:val="es-CO"/>
        </w:rPr>
      </w:pPr>
      <w:r w:rsidRPr="00145609">
        <w:rPr>
          <w:rFonts w:ascii="Verdana" w:hAnsi="Verdana" w:cs="Arial"/>
          <w:color w:val="000000" w:themeColor="text1"/>
          <w:sz w:val="16"/>
          <w:szCs w:val="16"/>
          <w:lang w:val="es-CO"/>
        </w:rPr>
        <w:t xml:space="preserve">  </w:t>
      </w:r>
      <w:r w:rsidRPr="00145609">
        <w:rPr>
          <w:rFonts w:ascii="Verdana" w:hAnsi="Verdana" w:cs="Arial"/>
          <w:color w:val="000000" w:themeColor="text1"/>
          <w:sz w:val="16"/>
          <w:szCs w:val="16"/>
          <w:lang w:val="es-CO"/>
        </w:rPr>
        <w:tab/>
        <w:t>1. Buen manejo y correcta inversión del anticipo. Este amparo cubre los perjuicios sufridos por la Entidad Estatal con ocasión de: (i) la no inversión del anticipo; (</w:t>
      </w:r>
      <w:proofErr w:type="spellStart"/>
      <w:r w:rsidRPr="00145609">
        <w:rPr>
          <w:rFonts w:ascii="Verdana" w:hAnsi="Verdana" w:cs="Arial"/>
          <w:color w:val="000000" w:themeColor="text1"/>
          <w:sz w:val="16"/>
          <w:szCs w:val="16"/>
          <w:lang w:val="es-CO"/>
        </w:rPr>
        <w:t>ii</w:t>
      </w:r>
      <w:proofErr w:type="spellEnd"/>
      <w:r w:rsidRPr="00145609">
        <w:rPr>
          <w:rFonts w:ascii="Verdana" w:hAnsi="Verdana" w:cs="Arial"/>
          <w:color w:val="000000" w:themeColor="text1"/>
          <w:sz w:val="16"/>
          <w:szCs w:val="16"/>
          <w:lang w:val="es-CO"/>
        </w:rPr>
        <w:t>) el uso indebido del anticipo; y (</w:t>
      </w:r>
      <w:proofErr w:type="spellStart"/>
      <w:r w:rsidRPr="00145609">
        <w:rPr>
          <w:rFonts w:ascii="Verdana" w:hAnsi="Verdana" w:cs="Arial"/>
          <w:color w:val="000000" w:themeColor="text1"/>
          <w:sz w:val="16"/>
          <w:szCs w:val="16"/>
          <w:lang w:val="es-CO"/>
        </w:rPr>
        <w:t>iii</w:t>
      </w:r>
      <w:proofErr w:type="spellEnd"/>
      <w:r w:rsidRPr="00145609">
        <w:rPr>
          <w:rFonts w:ascii="Verdana" w:hAnsi="Verdana" w:cs="Arial"/>
          <w:color w:val="000000" w:themeColor="text1"/>
          <w:sz w:val="16"/>
          <w:szCs w:val="16"/>
          <w:lang w:val="es-CO"/>
        </w:rPr>
        <w:t>) la apropiación indebida de los recursos recibidos en calidad de anticipo.</w:t>
      </w:r>
    </w:p>
    <w:p w14:paraId="755EC6E4" w14:textId="77777777" w:rsidR="00384E56" w:rsidRPr="00145609" w:rsidRDefault="00384E56" w:rsidP="00384E56">
      <w:pPr>
        <w:pStyle w:val="Textonotapie"/>
        <w:ind w:firstLine="708"/>
        <w:contextualSpacing/>
        <w:jc w:val="both"/>
        <w:rPr>
          <w:rFonts w:ascii="Verdana" w:hAnsi="Verdana" w:cs="Arial"/>
          <w:color w:val="000000" w:themeColor="text1"/>
          <w:sz w:val="16"/>
          <w:szCs w:val="16"/>
          <w:lang w:val="es-CO"/>
        </w:rPr>
      </w:pPr>
      <w:r w:rsidRPr="00145609">
        <w:rPr>
          <w:rFonts w:ascii="Verdana" w:hAnsi="Verdana" w:cs="Arial"/>
          <w:color w:val="000000" w:themeColor="text1"/>
          <w:sz w:val="16"/>
          <w:szCs w:val="16"/>
          <w:lang w:val="es-CO"/>
        </w:rPr>
        <w:t xml:space="preserve">2. Devolución del pago anticipado. Este amparo cubre los perjuicios sufridos por la Entidad Estatal por la no devolución total o parcial del dinero entregado al contratista a título de pago anticipado, cuando a ello hubiere lugar. </w:t>
      </w:r>
    </w:p>
    <w:p w14:paraId="50010732" w14:textId="77777777" w:rsidR="00384E56" w:rsidRPr="00145609" w:rsidRDefault="00384E56" w:rsidP="00384E56">
      <w:pPr>
        <w:pStyle w:val="Textonotapie"/>
        <w:ind w:firstLine="708"/>
        <w:contextualSpacing/>
        <w:jc w:val="both"/>
        <w:rPr>
          <w:rFonts w:ascii="Verdana" w:hAnsi="Verdana" w:cs="Arial"/>
          <w:color w:val="000000" w:themeColor="text1"/>
          <w:sz w:val="16"/>
          <w:szCs w:val="16"/>
          <w:lang w:val="es-CO"/>
        </w:rPr>
      </w:pPr>
      <w:r w:rsidRPr="00145609">
        <w:rPr>
          <w:rFonts w:ascii="Verdana" w:hAnsi="Verdana" w:cs="Arial"/>
          <w:color w:val="000000" w:themeColor="text1"/>
          <w:sz w:val="16"/>
          <w:szCs w:val="16"/>
          <w:lang w:val="es-CO"/>
        </w:rPr>
        <w:t xml:space="preserve">3. Cumplimiento del contrato. Este amparo cubre a la Entidad Estatal de los perjuicios derivados de: </w:t>
      </w:r>
    </w:p>
    <w:p w14:paraId="527DF86F" w14:textId="77777777" w:rsidR="00384E56" w:rsidRPr="00145609" w:rsidRDefault="00384E56" w:rsidP="00384E56">
      <w:pPr>
        <w:pStyle w:val="Textonotapie"/>
        <w:contextualSpacing/>
        <w:jc w:val="both"/>
        <w:rPr>
          <w:rFonts w:ascii="Verdana" w:hAnsi="Verdana" w:cs="Arial"/>
          <w:color w:val="000000" w:themeColor="text1"/>
          <w:sz w:val="16"/>
          <w:szCs w:val="16"/>
          <w:lang w:val="es-CO"/>
        </w:rPr>
      </w:pPr>
      <w:r w:rsidRPr="00145609">
        <w:rPr>
          <w:rFonts w:ascii="Verdana" w:hAnsi="Verdana" w:cs="Arial"/>
          <w:color w:val="000000" w:themeColor="text1"/>
          <w:sz w:val="16"/>
          <w:szCs w:val="16"/>
          <w:lang w:val="es-CO"/>
        </w:rPr>
        <w:t xml:space="preserve">  </w:t>
      </w:r>
      <w:r w:rsidRPr="00145609">
        <w:rPr>
          <w:rFonts w:ascii="Verdana" w:hAnsi="Verdana" w:cs="Arial"/>
          <w:color w:val="000000" w:themeColor="text1"/>
          <w:sz w:val="16"/>
          <w:szCs w:val="16"/>
          <w:lang w:val="es-CO"/>
        </w:rPr>
        <w:tab/>
        <w:t xml:space="preserve">3.1. </w:t>
      </w:r>
      <w:bookmarkStart w:id="10" w:name="_Hlk67920056"/>
      <w:r w:rsidRPr="00145609">
        <w:rPr>
          <w:rFonts w:ascii="Verdana" w:hAnsi="Verdana" w:cs="Arial"/>
          <w:color w:val="000000" w:themeColor="text1"/>
          <w:sz w:val="16"/>
          <w:szCs w:val="16"/>
          <w:lang w:val="es-CO"/>
        </w:rPr>
        <w:t xml:space="preserve">El incumplimiento total o parcial del contrato, cuando el incumplimiento es imputable al contratista; </w:t>
      </w:r>
    </w:p>
    <w:p w14:paraId="45B08A0C" w14:textId="77777777" w:rsidR="00384E56" w:rsidRPr="00145609" w:rsidRDefault="00384E56" w:rsidP="00384E56">
      <w:pPr>
        <w:pStyle w:val="Textonotapie"/>
        <w:contextualSpacing/>
        <w:jc w:val="both"/>
        <w:rPr>
          <w:rFonts w:ascii="Verdana" w:hAnsi="Verdana" w:cs="Arial"/>
          <w:color w:val="000000" w:themeColor="text1"/>
          <w:sz w:val="16"/>
          <w:szCs w:val="16"/>
          <w:lang w:val="es-CO"/>
        </w:rPr>
      </w:pPr>
      <w:r w:rsidRPr="00145609">
        <w:rPr>
          <w:rFonts w:ascii="Verdana" w:hAnsi="Verdana" w:cs="Arial"/>
          <w:color w:val="000000" w:themeColor="text1"/>
          <w:sz w:val="16"/>
          <w:szCs w:val="16"/>
          <w:lang w:val="es-CO"/>
        </w:rPr>
        <w:t xml:space="preserve">  </w:t>
      </w:r>
      <w:r w:rsidRPr="00145609">
        <w:rPr>
          <w:rFonts w:ascii="Verdana" w:hAnsi="Verdana" w:cs="Arial"/>
          <w:color w:val="000000" w:themeColor="text1"/>
          <w:sz w:val="16"/>
          <w:szCs w:val="16"/>
          <w:lang w:val="es-CO"/>
        </w:rPr>
        <w:tab/>
        <w:t xml:space="preserve">3.2. El cumplimiento tardío o defectuoso del contrato, cuando el incumplimiento es imputable al contratista; </w:t>
      </w:r>
    </w:p>
    <w:p w14:paraId="20ACD264" w14:textId="77777777" w:rsidR="00384E56" w:rsidRPr="00145609" w:rsidRDefault="00384E56" w:rsidP="00384E56">
      <w:pPr>
        <w:pStyle w:val="Textonotapie"/>
        <w:ind w:firstLine="708"/>
        <w:contextualSpacing/>
        <w:jc w:val="both"/>
        <w:rPr>
          <w:rFonts w:ascii="Verdana" w:hAnsi="Verdana" w:cs="Arial"/>
          <w:color w:val="000000" w:themeColor="text1"/>
          <w:sz w:val="16"/>
          <w:szCs w:val="16"/>
          <w:lang w:val="es-CO"/>
        </w:rPr>
      </w:pPr>
      <w:r w:rsidRPr="00145609">
        <w:rPr>
          <w:rFonts w:ascii="Verdana" w:hAnsi="Verdana" w:cs="Arial"/>
          <w:color w:val="000000" w:themeColor="text1"/>
          <w:sz w:val="16"/>
          <w:szCs w:val="16"/>
          <w:lang w:val="es-CO"/>
        </w:rPr>
        <w:t xml:space="preserve">3.3. Los daños imputables al contratista por entregas parciales de la obra, cuando el contrato no prevé entregas parciales; y </w:t>
      </w:r>
    </w:p>
    <w:bookmarkEnd w:id="10"/>
    <w:p w14:paraId="21100C9D" w14:textId="77777777" w:rsidR="00384E56" w:rsidRPr="00145609" w:rsidRDefault="00384E56" w:rsidP="00384E56">
      <w:pPr>
        <w:pStyle w:val="Textonotapie"/>
        <w:ind w:firstLine="708"/>
        <w:contextualSpacing/>
        <w:jc w:val="both"/>
        <w:rPr>
          <w:rFonts w:ascii="Verdana" w:hAnsi="Verdana" w:cs="Arial"/>
          <w:color w:val="000000" w:themeColor="text1"/>
          <w:sz w:val="16"/>
          <w:szCs w:val="16"/>
          <w:lang w:val="es-CO"/>
        </w:rPr>
      </w:pPr>
      <w:r w:rsidRPr="00145609">
        <w:rPr>
          <w:rFonts w:ascii="Verdana" w:hAnsi="Verdana" w:cs="Arial"/>
          <w:color w:val="000000" w:themeColor="text1"/>
          <w:sz w:val="16"/>
          <w:szCs w:val="16"/>
          <w:lang w:val="es-CO"/>
        </w:rPr>
        <w:t xml:space="preserve">3.4. El pago del valor de las multas y de la cláusula penal pecuniaria. </w:t>
      </w:r>
    </w:p>
    <w:p w14:paraId="7FC0A50B" w14:textId="77777777" w:rsidR="00384E56" w:rsidRPr="00145609" w:rsidRDefault="00384E56" w:rsidP="00384E56">
      <w:pPr>
        <w:pStyle w:val="Textonotapie"/>
        <w:ind w:firstLine="708"/>
        <w:contextualSpacing/>
        <w:jc w:val="both"/>
        <w:rPr>
          <w:rFonts w:ascii="Verdana" w:hAnsi="Verdana" w:cs="Arial"/>
          <w:color w:val="000000" w:themeColor="text1"/>
          <w:sz w:val="16"/>
          <w:szCs w:val="16"/>
          <w:lang w:val="es-CO"/>
        </w:rPr>
      </w:pPr>
      <w:r w:rsidRPr="00145609">
        <w:rPr>
          <w:rFonts w:ascii="Verdana" w:hAnsi="Verdana" w:cs="Arial"/>
          <w:color w:val="000000" w:themeColor="text1"/>
          <w:sz w:val="16"/>
          <w:szCs w:val="16"/>
          <w:lang w:val="es-CO"/>
        </w:rPr>
        <w:t xml:space="preserve">4. Pago de salarios, prestaciones sociales legales e indemnizaciones laborales. Este amparo debe cubrir a la Entidad Estatal de los perjuicios ocasionados por el incumplimiento de las obligaciones laborales del contratista derivadas de la contratación del personal utilizado en el territorio nacional para la ejecución del contrato amparado. </w:t>
      </w:r>
    </w:p>
    <w:p w14:paraId="1C88982D" w14:textId="77777777" w:rsidR="00384E56" w:rsidRPr="00145609" w:rsidRDefault="00384E56" w:rsidP="00384E56">
      <w:pPr>
        <w:pStyle w:val="Textonotapie"/>
        <w:ind w:firstLine="708"/>
        <w:contextualSpacing/>
        <w:jc w:val="both"/>
        <w:rPr>
          <w:rFonts w:ascii="Verdana" w:hAnsi="Verdana" w:cs="Arial"/>
          <w:color w:val="000000" w:themeColor="text1"/>
          <w:sz w:val="16"/>
          <w:szCs w:val="16"/>
          <w:lang w:val="es-CO"/>
        </w:rPr>
      </w:pPr>
      <w:r w:rsidRPr="00145609">
        <w:rPr>
          <w:rFonts w:ascii="Verdana" w:hAnsi="Verdana" w:cs="Arial"/>
          <w:color w:val="000000" w:themeColor="text1"/>
          <w:sz w:val="16"/>
          <w:szCs w:val="16"/>
          <w:lang w:val="es-CO"/>
        </w:rPr>
        <w:t xml:space="preserve">La Entidad Estatal no debe exigir una garantía para cubrir este Riesgo en los contratos que se ejecuten fuera del territorio nacional con personal contratado bajo un régimen jurídico distinto al colombiano. </w:t>
      </w:r>
    </w:p>
    <w:p w14:paraId="3F42AF85" w14:textId="77777777" w:rsidR="00384E56" w:rsidRPr="00145609" w:rsidRDefault="00384E56" w:rsidP="00384E56">
      <w:pPr>
        <w:pStyle w:val="Textonotapie"/>
        <w:ind w:firstLine="708"/>
        <w:contextualSpacing/>
        <w:jc w:val="both"/>
        <w:rPr>
          <w:rFonts w:ascii="Verdana" w:hAnsi="Verdana" w:cs="Arial"/>
          <w:color w:val="000000" w:themeColor="text1"/>
          <w:sz w:val="16"/>
          <w:szCs w:val="16"/>
          <w:lang w:val="es-CO"/>
        </w:rPr>
      </w:pPr>
      <w:r w:rsidRPr="00145609">
        <w:rPr>
          <w:rFonts w:ascii="Verdana" w:hAnsi="Verdana" w:cs="Arial"/>
          <w:color w:val="000000" w:themeColor="text1"/>
          <w:sz w:val="16"/>
          <w:szCs w:val="16"/>
          <w:lang w:val="es-CO"/>
        </w:rPr>
        <w:t xml:space="preserve">5. Estabilidad y calidad de la obra. Este amparo cubre a la Entidad Estatal de los perjuicios ocasionados por cualquier tipo de daño o deterioro, imputable al contratista, sufrido por la obra entregada a satisfacción. </w:t>
      </w:r>
    </w:p>
    <w:p w14:paraId="7C544B7E" w14:textId="77777777" w:rsidR="00384E56" w:rsidRPr="00145609" w:rsidRDefault="00384E56" w:rsidP="00384E56">
      <w:pPr>
        <w:pStyle w:val="Textonotapie"/>
        <w:ind w:firstLine="708"/>
        <w:contextualSpacing/>
        <w:jc w:val="both"/>
        <w:rPr>
          <w:rFonts w:ascii="Verdana" w:hAnsi="Verdana" w:cs="Arial"/>
          <w:color w:val="000000" w:themeColor="text1"/>
          <w:sz w:val="16"/>
          <w:szCs w:val="16"/>
          <w:lang w:val="es-CO"/>
        </w:rPr>
      </w:pPr>
      <w:r w:rsidRPr="00145609">
        <w:rPr>
          <w:rFonts w:ascii="Verdana" w:hAnsi="Verdana" w:cs="Arial"/>
          <w:color w:val="000000" w:themeColor="text1"/>
          <w:sz w:val="16"/>
          <w:szCs w:val="16"/>
          <w:lang w:val="es-CO"/>
        </w:rPr>
        <w:t xml:space="preserve">6. Calidad del servicio. Este amparo cubre a la Entidad Estatal por los perjuicios derivados de la deficiente calidad del servicio prestado. </w:t>
      </w:r>
    </w:p>
    <w:p w14:paraId="48E11A3B" w14:textId="77777777" w:rsidR="00384E56" w:rsidRPr="00145609" w:rsidRDefault="00384E56" w:rsidP="00384E56">
      <w:pPr>
        <w:pStyle w:val="Textonotapie"/>
        <w:ind w:firstLine="708"/>
        <w:contextualSpacing/>
        <w:jc w:val="both"/>
        <w:rPr>
          <w:rFonts w:ascii="Verdana" w:hAnsi="Verdana" w:cs="Arial"/>
          <w:color w:val="000000" w:themeColor="text1"/>
          <w:sz w:val="16"/>
          <w:szCs w:val="16"/>
          <w:lang w:val="es-CO"/>
        </w:rPr>
      </w:pPr>
      <w:r w:rsidRPr="00145609">
        <w:rPr>
          <w:rFonts w:ascii="Verdana" w:hAnsi="Verdana" w:cs="Arial"/>
          <w:color w:val="000000" w:themeColor="text1"/>
          <w:sz w:val="16"/>
          <w:szCs w:val="16"/>
          <w:lang w:val="es-CO"/>
        </w:rPr>
        <w:t xml:space="preserve">7. Calidad y correcto funcionamiento de los bienes. Este amparo debe cubrir la calidad y el correcto funcionamiento de los bienes que recibe la Entidad Estatal en cumplimiento de un contrato. </w:t>
      </w:r>
    </w:p>
    <w:p w14:paraId="7BB7A8DF" w14:textId="78AF8A46" w:rsidR="00384E56" w:rsidRPr="00145609" w:rsidRDefault="00384E56" w:rsidP="00384E56">
      <w:pPr>
        <w:pStyle w:val="Textonotapie"/>
        <w:ind w:firstLine="708"/>
        <w:contextualSpacing/>
        <w:jc w:val="both"/>
        <w:rPr>
          <w:rFonts w:ascii="Verdana" w:hAnsi="Verdana" w:cs="Arial"/>
          <w:color w:val="000000" w:themeColor="text1"/>
          <w:sz w:val="16"/>
          <w:szCs w:val="16"/>
          <w:lang w:val="es-CO"/>
        </w:rPr>
      </w:pPr>
      <w:r w:rsidRPr="00145609">
        <w:rPr>
          <w:rFonts w:ascii="Verdana" w:hAnsi="Verdana" w:cs="Arial"/>
          <w:color w:val="000000" w:themeColor="text1"/>
          <w:sz w:val="16"/>
          <w:szCs w:val="16"/>
          <w:lang w:val="es-CO"/>
        </w:rPr>
        <w:t xml:space="preserve">8. </w:t>
      </w:r>
      <w:bookmarkStart w:id="11" w:name="_Hlk143267015"/>
      <w:r w:rsidRPr="00145609">
        <w:rPr>
          <w:rFonts w:ascii="Verdana" w:hAnsi="Verdana" w:cs="Arial"/>
          <w:color w:val="000000" w:themeColor="text1"/>
          <w:sz w:val="16"/>
          <w:szCs w:val="16"/>
          <w:lang w:val="es-CO"/>
        </w:rPr>
        <w:t>Los demás incumplimientos de obligaciones que la Entidad Estatal considere deben ser amparados de manera proporcional y acorde a la naturaleza del contrato</w:t>
      </w:r>
      <w:bookmarkEnd w:id="11"/>
      <w:r w:rsidRPr="00145609">
        <w:rPr>
          <w:rFonts w:ascii="Verdana" w:hAnsi="Verdana" w:cs="Arial"/>
          <w:color w:val="000000" w:themeColor="text1"/>
          <w:sz w:val="16"/>
          <w:szCs w:val="16"/>
          <w:lang w:val="es-CO"/>
        </w:rPr>
        <w:t>”.</w:t>
      </w:r>
    </w:p>
  </w:footnote>
  <w:footnote w:id="9">
    <w:p w14:paraId="4FD66820" w14:textId="77777777" w:rsidR="00384E56" w:rsidRPr="00145609" w:rsidRDefault="00384E56" w:rsidP="00384E56">
      <w:pPr>
        <w:pStyle w:val="Textonotapie"/>
        <w:ind w:firstLine="708"/>
        <w:contextualSpacing/>
        <w:rPr>
          <w:rFonts w:ascii="Verdana" w:hAnsi="Verdana" w:cs="Arial"/>
          <w:sz w:val="16"/>
          <w:szCs w:val="16"/>
        </w:rPr>
      </w:pPr>
      <w:r w:rsidRPr="00145609">
        <w:rPr>
          <w:rStyle w:val="Refdenotaalpie"/>
          <w:rFonts w:ascii="Verdana" w:hAnsi="Verdana"/>
          <w:sz w:val="16"/>
          <w:szCs w:val="16"/>
        </w:rPr>
        <w:footnoteRef/>
      </w:r>
      <w:r w:rsidRPr="00145609">
        <w:rPr>
          <w:rFonts w:ascii="Verdana" w:hAnsi="Verdana"/>
          <w:sz w:val="16"/>
          <w:szCs w:val="16"/>
        </w:rPr>
        <w:t xml:space="preserve"> </w:t>
      </w:r>
      <w:r w:rsidRPr="00145609">
        <w:rPr>
          <w:rFonts w:ascii="Verdana" w:hAnsi="Verdana" w:cs="Arial"/>
          <w:sz w:val="16"/>
          <w:szCs w:val="16"/>
        </w:rPr>
        <w:t>“ARTÍCULO 2.2.1.2.3.1.3. Indivisibilidad de la garantía.</w:t>
      </w:r>
    </w:p>
    <w:p w14:paraId="6F6569DD" w14:textId="77777777" w:rsidR="00384E56" w:rsidRPr="00145609" w:rsidRDefault="00384E56" w:rsidP="00384E56">
      <w:pPr>
        <w:pStyle w:val="Textonotapie"/>
        <w:ind w:firstLine="708"/>
        <w:contextualSpacing/>
        <w:rPr>
          <w:rFonts w:ascii="Verdana" w:hAnsi="Verdana" w:cs="Arial"/>
          <w:sz w:val="16"/>
          <w:szCs w:val="16"/>
        </w:rPr>
      </w:pPr>
      <w:r w:rsidRPr="00145609">
        <w:rPr>
          <w:rFonts w:ascii="Verdana" w:hAnsi="Verdana" w:cs="Arial"/>
          <w:sz w:val="16"/>
          <w:szCs w:val="16"/>
        </w:rPr>
        <w:t xml:space="preserve"> […]</w:t>
      </w:r>
    </w:p>
    <w:p w14:paraId="209B461D" w14:textId="77777777" w:rsidR="00384E56" w:rsidRPr="00145609" w:rsidRDefault="00384E56" w:rsidP="00384E56">
      <w:pPr>
        <w:pStyle w:val="NormalWeb"/>
        <w:shd w:val="clear" w:color="auto" w:fill="FFFFFF"/>
        <w:spacing w:before="0" w:beforeAutospacing="0" w:after="0" w:afterAutospacing="0"/>
        <w:contextualSpacing/>
        <w:jc w:val="both"/>
        <w:rPr>
          <w:rFonts w:ascii="Verdana" w:hAnsi="Verdana" w:cs="Arial"/>
          <w:sz w:val="16"/>
          <w:szCs w:val="16"/>
        </w:rPr>
      </w:pPr>
      <w:r w:rsidRPr="00145609">
        <w:rPr>
          <w:rFonts w:ascii="Verdana" w:hAnsi="Verdana" w:cs="Arial"/>
          <w:sz w:val="16"/>
          <w:szCs w:val="16"/>
        </w:rPr>
        <w:tab/>
        <w:t>En consecuencia, la Entidad Estatal en los pliegos de condiciones para la Contratación debe indicar las garantías que exige en cada Etapa del Contrato o cada Periodo Contractual así:</w:t>
      </w:r>
    </w:p>
    <w:p w14:paraId="7FDD7FB4" w14:textId="77777777" w:rsidR="00384E56" w:rsidRPr="00145609" w:rsidRDefault="00384E56" w:rsidP="00384E56">
      <w:pPr>
        <w:shd w:val="clear" w:color="auto" w:fill="FFFFFF"/>
        <w:spacing w:after="0" w:line="240" w:lineRule="auto"/>
        <w:contextualSpacing/>
        <w:jc w:val="both"/>
        <w:rPr>
          <w:rFonts w:ascii="Verdana" w:eastAsia="Times New Roman" w:hAnsi="Verdana" w:cs="Arial"/>
          <w:sz w:val="16"/>
          <w:szCs w:val="16"/>
          <w:lang w:eastAsia="es-CO"/>
        </w:rPr>
      </w:pPr>
      <w:r w:rsidRPr="00145609">
        <w:rPr>
          <w:rFonts w:ascii="Verdana" w:eastAsia="Times New Roman" w:hAnsi="Verdana" w:cs="Arial"/>
          <w:sz w:val="16"/>
          <w:szCs w:val="16"/>
          <w:lang w:eastAsia="es-CO"/>
        </w:rPr>
        <w:t xml:space="preserve">1.    La Entidad Estatal debe exigir una garantía independiente para cada Etapa del Contrato o cada Periodo Contractual o cada unidad funcional en el caso de las Asociaciones </w:t>
      </w:r>
      <w:proofErr w:type="gramStart"/>
      <w:r w:rsidRPr="00145609">
        <w:rPr>
          <w:rFonts w:ascii="Verdana" w:eastAsia="Times New Roman" w:hAnsi="Verdana" w:cs="Arial"/>
          <w:sz w:val="16"/>
          <w:szCs w:val="16"/>
          <w:lang w:eastAsia="es-CO"/>
        </w:rPr>
        <w:t>Público Privadas</w:t>
      </w:r>
      <w:proofErr w:type="gramEnd"/>
      <w:r w:rsidRPr="00145609">
        <w:rPr>
          <w:rFonts w:ascii="Verdana" w:eastAsia="Times New Roman" w:hAnsi="Verdana" w:cs="Arial"/>
          <w:sz w:val="16"/>
          <w:szCs w:val="16"/>
          <w:lang w:eastAsia="es-CO"/>
        </w:rPr>
        <w:t>, cuya vigencia debe ser por lo menos la misma establecida para la Etapa del Contrato o Periodo Contractual respectivo.</w:t>
      </w:r>
    </w:p>
    <w:p w14:paraId="6F790CEE" w14:textId="77777777" w:rsidR="00384E56" w:rsidRPr="00145609" w:rsidRDefault="00384E56" w:rsidP="00384E56">
      <w:pPr>
        <w:shd w:val="clear" w:color="auto" w:fill="FFFFFF"/>
        <w:spacing w:after="0" w:line="240" w:lineRule="auto"/>
        <w:contextualSpacing/>
        <w:jc w:val="both"/>
        <w:rPr>
          <w:rFonts w:ascii="Verdana" w:eastAsia="Times New Roman" w:hAnsi="Verdana" w:cs="Arial"/>
          <w:sz w:val="16"/>
          <w:szCs w:val="16"/>
          <w:lang w:eastAsia="es-CO"/>
        </w:rPr>
      </w:pPr>
      <w:r w:rsidRPr="00145609">
        <w:rPr>
          <w:rFonts w:ascii="Verdana" w:eastAsia="Times New Roman" w:hAnsi="Verdana" w:cs="Arial"/>
          <w:sz w:val="16"/>
          <w:szCs w:val="16"/>
          <w:lang w:eastAsia="es-CO"/>
        </w:rPr>
        <w:t>2.    La Entidad Estatal debe calcular el valor asegurado para cada Etapa del Contrato, Periodo Contractual o unidad funcional, tomando el valor de las obligaciones del contratista para cada Etapa del Contrato, Periodo Contractual o unidad funcional y de acuerdo con las reglas de suficiencia de las garantías establecidas en el presente título. […]”</w:t>
      </w:r>
    </w:p>
  </w:footnote>
  <w:footnote w:id="10">
    <w:p w14:paraId="11F20013" w14:textId="01589F1D" w:rsidR="00384E56" w:rsidRPr="00145609" w:rsidRDefault="00384E56" w:rsidP="00384E56">
      <w:pPr>
        <w:pStyle w:val="Textonotapie"/>
        <w:ind w:firstLine="708"/>
        <w:contextualSpacing/>
        <w:rPr>
          <w:rFonts w:ascii="Verdana" w:hAnsi="Verdana" w:cs="Arial"/>
          <w:sz w:val="16"/>
          <w:szCs w:val="16"/>
        </w:rPr>
      </w:pPr>
      <w:r w:rsidRPr="00145609">
        <w:rPr>
          <w:rStyle w:val="Refdenotaalpie"/>
          <w:rFonts w:ascii="Verdana" w:hAnsi="Verdana"/>
          <w:sz w:val="16"/>
          <w:szCs w:val="16"/>
        </w:rPr>
        <w:footnoteRef/>
      </w:r>
      <w:r w:rsidRPr="00145609">
        <w:rPr>
          <w:rFonts w:ascii="Verdana" w:hAnsi="Verdana"/>
          <w:sz w:val="16"/>
          <w:szCs w:val="16"/>
        </w:rPr>
        <w:t xml:space="preserve"> </w:t>
      </w:r>
      <w:r w:rsidR="00EA1BD2">
        <w:rPr>
          <w:rFonts w:ascii="Verdana" w:hAnsi="Verdana"/>
          <w:sz w:val="16"/>
          <w:szCs w:val="16"/>
        </w:rPr>
        <w:t>“</w:t>
      </w:r>
      <w:r w:rsidRPr="00145609">
        <w:rPr>
          <w:rFonts w:ascii="Verdana" w:hAnsi="Verdana" w:cs="Arial"/>
          <w:sz w:val="16"/>
          <w:szCs w:val="16"/>
        </w:rPr>
        <w:t xml:space="preserve">ARTÍCULO 2.2.1.2.3.1.3. Indivisibilidad de la garantía. </w:t>
      </w:r>
    </w:p>
    <w:p w14:paraId="0BF984E4" w14:textId="77777777" w:rsidR="00384E56" w:rsidRPr="00145609" w:rsidRDefault="00384E56" w:rsidP="00384E56">
      <w:pPr>
        <w:pStyle w:val="Textonotapie"/>
        <w:ind w:firstLine="708"/>
        <w:contextualSpacing/>
        <w:rPr>
          <w:rFonts w:ascii="Verdana" w:hAnsi="Verdana" w:cs="Arial"/>
          <w:sz w:val="16"/>
          <w:szCs w:val="16"/>
        </w:rPr>
      </w:pPr>
      <w:r w:rsidRPr="00145609">
        <w:rPr>
          <w:rFonts w:ascii="Verdana" w:hAnsi="Verdana" w:cs="Arial"/>
          <w:sz w:val="16"/>
          <w:szCs w:val="16"/>
        </w:rPr>
        <w:t>[…]</w:t>
      </w:r>
    </w:p>
    <w:p w14:paraId="7E6BC3D7" w14:textId="3FDCBC6E" w:rsidR="00384E56" w:rsidRPr="00145609" w:rsidRDefault="00384E56" w:rsidP="00384E56">
      <w:pPr>
        <w:pStyle w:val="Textonotapie"/>
        <w:ind w:firstLine="708"/>
        <w:contextualSpacing/>
        <w:jc w:val="both"/>
        <w:rPr>
          <w:rFonts w:ascii="Verdana" w:hAnsi="Verdana" w:cs="Arial"/>
          <w:sz w:val="16"/>
          <w:szCs w:val="16"/>
        </w:rPr>
      </w:pPr>
      <w:r w:rsidRPr="00145609">
        <w:rPr>
          <w:rFonts w:ascii="Verdana" w:hAnsi="Verdana" w:cs="Arial"/>
          <w:sz w:val="16"/>
          <w:szCs w:val="16"/>
        </w:rPr>
        <w:t>3.  Antes del vencimiento de cada Etapa del Contrato o cada Periodo Contractual, el contratista está obligado a obtener una nueva garantía que ampare el cumplimiento de sus obligaciones para la Etapa del Contrato o Periodo Contractual subsiguiente, si no lo hiciere se aplicarán las reglas previstas para el restablecimiento de la garantía.</w:t>
      </w:r>
    </w:p>
    <w:p w14:paraId="074504F9" w14:textId="2D0EC3CF" w:rsidR="00384E56" w:rsidRPr="00145609" w:rsidRDefault="00384E56" w:rsidP="00384E56">
      <w:pPr>
        <w:pStyle w:val="Textonotapie"/>
        <w:ind w:firstLine="708"/>
        <w:contextualSpacing/>
        <w:jc w:val="both"/>
        <w:rPr>
          <w:rFonts w:ascii="Verdana" w:hAnsi="Verdana"/>
          <w:sz w:val="16"/>
          <w:szCs w:val="16"/>
        </w:rPr>
      </w:pPr>
      <w:r w:rsidRPr="00145609">
        <w:rPr>
          <w:rFonts w:ascii="Verdana" w:hAnsi="Verdana" w:cs="Arial"/>
          <w:sz w:val="16"/>
          <w:szCs w:val="16"/>
          <w:shd w:val="clear" w:color="auto" w:fill="FFFFFF"/>
        </w:rPr>
        <w:t>Si el garante de una Etapa del Contrato o un Periodo Contractual decide no continuar garantizando la Etapa del Contrato o Periodo Contractual subsiguiente, debe informar su decisión por escrito a la Entidad Estatal garantizada seis (6) meses antes del vencimiento del plazo de la garantía. Este aviso no afecta la garantía de la Etapa Contractual o Periodo Contractual en ejecución. Si el garante no da el aviso con la anticipación mencionada y el contratista no obtiene una nueva garantía, queda obligado a garantizar la Etapa del Contrato o el Periodo Contractual subsiguiente</w:t>
      </w:r>
      <w:r w:rsidR="00EA1BD2">
        <w:rPr>
          <w:rFonts w:ascii="Verdana" w:hAnsi="Verdana" w:cs="Arial"/>
          <w:sz w:val="16"/>
          <w:szCs w:val="16"/>
          <w:shd w:val="clear" w:color="auto" w:fill="FFFFFF"/>
        </w:rPr>
        <w:t>”</w:t>
      </w:r>
      <w:r w:rsidRPr="00145609">
        <w:rPr>
          <w:rFonts w:ascii="Verdana" w:hAnsi="Verdana" w:cs="Arial"/>
          <w:sz w:val="16"/>
          <w:szCs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2.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0314EA3"/>
    <w:multiLevelType w:val="hybridMultilevel"/>
    <w:tmpl w:val="4E465A08"/>
    <w:lvl w:ilvl="0" w:tplc="4EFC78E8">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1DF81B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1"/>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0"/>
  </w:num>
  <w:num w:numId="13" w16cid:durableId="1512908409">
    <w:abstractNumId w:val="3"/>
  </w:num>
  <w:num w:numId="14" w16cid:durableId="895897244">
    <w:abstractNumId w:val="14"/>
  </w:num>
  <w:num w:numId="15" w16cid:durableId="390349800">
    <w:abstractNumId w:val="10"/>
  </w:num>
  <w:num w:numId="16" w16cid:durableId="1226986960">
    <w:abstractNumId w:val="2"/>
  </w:num>
  <w:num w:numId="17" w16cid:durableId="17372388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45E0"/>
    <w:rsid w:val="00014BEB"/>
    <w:rsid w:val="00016F78"/>
    <w:rsid w:val="00017DE6"/>
    <w:rsid w:val="00042098"/>
    <w:rsid w:val="00046945"/>
    <w:rsid w:val="00061B2A"/>
    <w:rsid w:val="00080B7C"/>
    <w:rsid w:val="00082362"/>
    <w:rsid w:val="00087675"/>
    <w:rsid w:val="000A511D"/>
    <w:rsid w:val="000A683E"/>
    <w:rsid w:val="000B19B9"/>
    <w:rsid w:val="000D0334"/>
    <w:rsid w:val="000D3466"/>
    <w:rsid w:val="000D5DA7"/>
    <w:rsid w:val="000F5ABD"/>
    <w:rsid w:val="000F6486"/>
    <w:rsid w:val="00101BC7"/>
    <w:rsid w:val="00106F7A"/>
    <w:rsid w:val="00116940"/>
    <w:rsid w:val="00125105"/>
    <w:rsid w:val="00127233"/>
    <w:rsid w:val="0015699B"/>
    <w:rsid w:val="0018168E"/>
    <w:rsid w:val="00193057"/>
    <w:rsid w:val="001A037A"/>
    <w:rsid w:val="001A2F38"/>
    <w:rsid w:val="001A33BF"/>
    <w:rsid w:val="001D7B39"/>
    <w:rsid w:val="001E4177"/>
    <w:rsid w:val="001F0B24"/>
    <w:rsid w:val="001F16DF"/>
    <w:rsid w:val="001F5B85"/>
    <w:rsid w:val="001F7DC6"/>
    <w:rsid w:val="001F7E46"/>
    <w:rsid w:val="0021763F"/>
    <w:rsid w:val="002234A1"/>
    <w:rsid w:val="0022400B"/>
    <w:rsid w:val="002421BB"/>
    <w:rsid w:val="0025796E"/>
    <w:rsid w:val="002707A2"/>
    <w:rsid w:val="002951A0"/>
    <w:rsid w:val="002962BC"/>
    <w:rsid w:val="002A093D"/>
    <w:rsid w:val="002A0DD0"/>
    <w:rsid w:val="002A49AC"/>
    <w:rsid w:val="002A64FD"/>
    <w:rsid w:val="002B5CD9"/>
    <w:rsid w:val="002C28AD"/>
    <w:rsid w:val="002C7A84"/>
    <w:rsid w:val="002D5484"/>
    <w:rsid w:val="002E2BF8"/>
    <w:rsid w:val="002E4FD9"/>
    <w:rsid w:val="00301EAA"/>
    <w:rsid w:val="0030657A"/>
    <w:rsid w:val="00322A85"/>
    <w:rsid w:val="00324168"/>
    <w:rsid w:val="00325283"/>
    <w:rsid w:val="00330834"/>
    <w:rsid w:val="003448F4"/>
    <w:rsid w:val="003672B9"/>
    <w:rsid w:val="00374F5E"/>
    <w:rsid w:val="00377E3E"/>
    <w:rsid w:val="00384E56"/>
    <w:rsid w:val="003A779E"/>
    <w:rsid w:val="003D0F4D"/>
    <w:rsid w:val="003D2F46"/>
    <w:rsid w:val="003D5B0D"/>
    <w:rsid w:val="003D69AF"/>
    <w:rsid w:val="003E0499"/>
    <w:rsid w:val="003E4F80"/>
    <w:rsid w:val="003E6439"/>
    <w:rsid w:val="003F3941"/>
    <w:rsid w:val="00406575"/>
    <w:rsid w:val="00414C74"/>
    <w:rsid w:val="004203EB"/>
    <w:rsid w:val="0042722E"/>
    <w:rsid w:val="0044528D"/>
    <w:rsid w:val="00466E39"/>
    <w:rsid w:val="00486CFC"/>
    <w:rsid w:val="004A1847"/>
    <w:rsid w:val="004A305D"/>
    <w:rsid w:val="004C7B63"/>
    <w:rsid w:val="004D101F"/>
    <w:rsid w:val="004E3D44"/>
    <w:rsid w:val="004F21C4"/>
    <w:rsid w:val="004F65D9"/>
    <w:rsid w:val="004F685F"/>
    <w:rsid w:val="00542602"/>
    <w:rsid w:val="00543963"/>
    <w:rsid w:val="00556503"/>
    <w:rsid w:val="005566E8"/>
    <w:rsid w:val="00574867"/>
    <w:rsid w:val="00591460"/>
    <w:rsid w:val="005A65E0"/>
    <w:rsid w:val="005C18DD"/>
    <w:rsid w:val="005C2D2D"/>
    <w:rsid w:val="005C3777"/>
    <w:rsid w:val="005C52CE"/>
    <w:rsid w:val="005C5CDC"/>
    <w:rsid w:val="005D476C"/>
    <w:rsid w:val="005E44B1"/>
    <w:rsid w:val="005F6717"/>
    <w:rsid w:val="006200BF"/>
    <w:rsid w:val="006219F8"/>
    <w:rsid w:val="006302F7"/>
    <w:rsid w:val="006305F3"/>
    <w:rsid w:val="00642FAA"/>
    <w:rsid w:val="00646B9F"/>
    <w:rsid w:val="006568B8"/>
    <w:rsid w:val="00665D70"/>
    <w:rsid w:val="006705DC"/>
    <w:rsid w:val="00673BE1"/>
    <w:rsid w:val="0068718D"/>
    <w:rsid w:val="006900D9"/>
    <w:rsid w:val="006917FD"/>
    <w:rsid w:val="00694AD0"/>
    <w:rsid w:val="006C7FAF"/>
    <w:rsid w:val="00706C16"/>
    <w:rsid w:val="007340C3"/>
    <w:rsid w:val="0073637B"/>
    <w:rsid w:val="0074162B"/>
    <w:rsid w:val="00744DD6"/>
    <w:rsid w:val="007464E3"/>
    <w:rsid w:val="00750623"/>
    <w:rsid w:val="0075235A"/>
    <w:rsid w:val="00756841"/>
    <w:rsid w:val="007649AB"/>
    <w:rsid w:val="00771D0C"/>
    <w:rsid w:val="007833AC"/>
    <w:rsid w:val="007B268C"/>
    <w:rsid w:val="007B7171"/>
    <w:rsid w:val="007C0C0F"/>
    <w:rsid w:val="007C3DC2"/>
    <w:rsid w:val="007D6409"/>
    <w:rsid w:val="007E5497"/>
    <w:rsid w:val="007F4CF5"/>
    <w:rsid w:val="007F5ED6"/>
    <w:rsid w:val="00806F5F"/>
    <w:rsid w:val="00817C71"/>
    <w:rsid w:val="00820278"/>
    <w:rsid w:val="008258C9"/>
    <w:rsid w:val="00844AE9"/>
    <w:rsid w:val="00863720"/>
    <w:rsid w:val="00867F95"/>
    <w:rsid w:val="00872A72"/>
    <w:rsid w:val="008843B6"/>
    <w:rsid w:val="00891928"/>
    <w:rsid w:val="008A1263"/>
    <w:rsid w:val="008A446D"/>
    <w:rsid w:val="008B25F1"/>
    <w:rsid w:val="008D180B"/>
    <w:rsid w:val="008F0EA7"/>
    <w:rsid w:val="008F204A"/>
    <w:rsid w:val="009164D5"/>
    <w:rsid w:val="00923EEF"/>
    <w:rsid w:val="009419F9"/>
    <w:rsid w:val="0095685E"/>
    <w:rsid w:val="00961B09"/>
    <w:rsid w:val="00965334"/>
    <w:rsid w:val="0097093E"/>
    <w:rsid w:val="00991DA8"/>
    <w:rsid w:val="009920EA"/>
    <w:rsid w:val="00995F0C"/>
    <w:rsid w:val="009A0DFA"/>
    <w:rsid w:val="009A1C6F"/>
    <w:rsid w:val="009B2D26"/>
    <w:rsid w:val="009C71FA"/>
    <w:rsid w:val="009C72E7"/>
    <w:rsid w:val="009C7F7E"/>
    <w:rsid w:val="009D3058"/>
    <w:rsid w:val="009E6B9A"/>
    <w:rsid w:val="009F3A13"/>
    <w:rsid w:val="00A122D3"/>
    <w:rsid w:val="00A14468"/>
    <w:rsid w:val="00A17F13"/>
    <w:rsid w:val="00A20739"/>
    <w:rsid w:val="00A23AF9"/>
    <w:rsid w:val="00A33C78"/>
    <w:rsid w:val="00A43A9D"/>
    <w:rsid w:val="00A7608D"/>
    <w:rsid w:val="00A81B0D"/>
    <w:rsid w:val="00AB0ADB"/>
    <w:rsid w:val="00AB38D4"/>
    <w:rsid w:val="00AC7677"/>
    <w:rsid w:val="00B00C0E"/>
    <w:rsid w:val="00B01B1A"/>
    <w:rsid w:val="00B0381D"/>
    <w:rsid w:val="00B04E5C"/>
    <w:rsid w:val="00B44A47"/>
    <w:rsid w:val="00B72CD3"/>
    <w:rsid w:val="00B72FFF"/>
    <w:rsid w:val="00B86F23"/>
    <w:rsid w:val="00B9227F"/>
    <w:rsid w:val="00BA3FDF"/>
    <w:rsid w:val="00BB2A95"/>
    <w:rsid w:val="00BC3D36"/>
    <w:rsid w:val="00BC6DE2"/>
    <w:rsid w:val="00BD54A6"/>
    <w:rsid w:val="00BD7F72"/>
    <w:rsid w:val="00BE26A1"/>
    <w:rsid w:val="00BF7425"/>
    <w:rsid w:val="00C02199"/>
    <w:rsid w:val="00C04FB3"/>
    <w:rsid w:val="00C10824"/>
    <w:rsid w:val="00C11D8B"/>
    <w:rsid w:val="00C15139"/>
    <w:rsid w:val="00C25F51"/>
    <w:rsid w:val="00C278B4"/>
    <w:rsid w:val="00C330EB"/>
    <w:rsid w:val="00C33517"/>
    <w:rsid w:val="00C50D69"/>
    <w:rsid w:val="00C514BC"/>
    <w:rsid w:val="00C5365C"/>
    <w:rsid w:val="00C754BE"/>
    <w:rsid w:val="00C76B1C"/>
    <w:rsid w:val="00C925AC"/>
    <w:rsid w:val="00CB6357"/>
    <w:rsid w:val="00CC1B26"/>
    <w:rsid w:val="00CD6BCE"/>
    <w:rsid w:val="00D20523"/>
    <w:rsid w:val="00D23395"/>
    <w:rsid w:val="00D24769"/>
    <w:rsid w:val="00D27F78"/>
    <w:rsid w:val="00D361FD"/>
    <w:rsid w:val="00D423A2"/>
    <w:rsid w:val="00D44E26"/>
    <w:rsid w:val="00D45FCB"/>
    <w:rsid w:val="00D520D8"/>
    <w:rsid w:val="00D63AC2"/>
    <w:rsid w:val="00D7383B"/>
    <w:rsid w:val="00D7788A"/>
    <w:rsid w:val="00D958C0"/>
    <w:rsid w:val="00DA231B"/>
    <w:rsid w:val="00DC39FC"/>
    <w:rsid w:val="00DC5DD2"/>
    <w:rsid w:val="00DF3C6A"/>
    <w:rsid w:val="00DF5254"/>
    <w:rsid w:val="00E02524"/>
    <w:rsid w:val="00E02C39"/>
    <w:rsid w:val="00E15B6F"/>
    <w:rsid w:val="00E16270"/>
    <w:rsid w:val="00E16408"/>
    <w:rsid w:val="00E20894"/>
    <w:rsid w:val="00E245AB"/>
    <w:rsid w:val="00E2764C"/>
    <w:rsid w:val="00E27F2E"/>
    <w:rsid w:val="00E50AFE"/>
    <w:rsid w:val="00E75C92"/>
    <w:rsid w:val="00E771DC"/>
    <w:rsid w:val="00E8772A"/>
    <w:rsid w:val="00E90F6B"/>
    <w:rsid w:val="00E92C27"/>
    <w:rsid w:val="00EA0E3D"/>
    <w:rsid w:val="00EA1BD2"/>
    <w:rsid w:val="00EB2B1B"/>
    <w:rsid w:val="00EC2D49"/>
    <w:rsid w:val="00EC3504"/>
    <w:rsid w:val="00EC38A7"/>
    <w:rsid w:val="00EE1AA8"/>
    <w:rsid w:val="00EE218A"/>
    <w:rsid w:val="00EF2CEF"/>
    <w:rsid w:val="00F23FEA"/>
    <w:rsid w:val="00F31EDC"/>
    <w:rsid w:val="00F462B3"/>
    <w:rsid w:val="00F53289"/>
    <w:rsid w:val="00F5664F"/>
    <w:rsid w:val="00F601E3"/>
    <w:rsid w:val="00F666C4"/>
    <w:rsid w:val="00F76AFC"/>
    <w:rsid w:val="00F91A0F"/>
    <w:rsid w:val="00F94EE0"/>
    <w:rsid w:val="00F9593F"/>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F,R,Texto nota pie Car2"/>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1D7B39"/>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D7B39"/>
    <w:rPr>
      <w:rFonts w:ascii="Geomanist Light" w:hAnsi="Geomanist Light"/>
      <w:lang w:val="es-ES"/>
    </w:rPr>
  </w:style>
  <w:style w:type="character" w:customStyle="1" w:styleId="NormalWebCar">
    <w:name w:val="Normal (Web) Car"/>
    <w:link w:val="NormalWeb"/>
    <w:uiPriority w:val="99"/>
    <w:locked/>
    <w:rsid w:val="001D7B39"/>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uiPriority w:val="1"/>
    <w:qFormat/>
    <w:rsid w:val="001D7B39"/>
    <w:pPr>
      <w:widowControl w:val="0"/>
      <w:autoSpaceDE w:val="0"/>
      <w:autoSpaceDN w:val="0"/>
      <w:spacing w:after="0" w:line="240" w:lineRule="auto"/>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1D7B39"/>
    <w:rPr>
      <w:rFonts w:ascii="Arial" w:eastAsia="Arial" w:hAnsi="Arial" w:cs="Arial"/>
      <w:lang w:val="es-ES"/>
    </w:rPr>
  </w:style>
  <w:style w:type="character" w:customStyle="1" w:styleId="baj">
    <w:name w:val="b_aj"/>
    <w:basedOn w:val="Fuentedeprrafopredeter"/>
    <w:rsid w:val="001D7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ose.garcia%40colombiacompra.gov.co%7C5aad36a736844ec87b2108dcc1fa4639%7C7b09041e245149d08cb179d5e3d8c1be%7C0%7C0%7C638598527919569564%7CUnknown%7CTWFpbGZsb3d8eyJWIjoiMC4wLjAwMDAiLCJQIjoiV2luMzIiLCJBTiI6Ik1haWwiLCJXVCI6Mn0%3D%7C0%7C%7C%7C&amp;sdata=dxd5A4gL5eWAFf8ZLcaVWYdH0y65hi6R6J0wtaeazGQ%3D&amp;reserved=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colombiacompra.gov.c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reccionjuridica@intramaq.c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0B5789-C841-4F35-9647-6398E13E6736}"/>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62</TotalTime>
  <Pages>21</Pages>
  <Words>7160</Words>
  <Characters>39386</Characters>
  <Application>Microsoft Office Word</Application>
  <DocSecurity>0</DocSecurity>
  <Lines>328</Lines>
  <Paragraphs>92</Paragraphs>
  <ScaleCrop>false</ScaleCrop>
  <Company/>
  <LinksUpToDate>false</LinksUpToDate>
  <CharactersWithSpaces>46454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Angela Maria Olmos Andrade</cp:lastModifiedBy>
  <cp:revision>19</cp:revision>
  <cp:lastPrinted>2023-01-10T21:18:00Z</cp:lastPrinted>
  <dcterms:created xsi:type="dcterms:W3CDTF">2026-07-21T20:32:00Z</dcterms:created>
  <dcterms:modified xsi:type="dcterms:W3CDTF">2026-07-22T14:54:00Z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