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233B" w14:textId="77777777" w:rsidR="00F8050F" w:rsidRDefault="003757F6" w:rsidP="00F8050F">
      <w:pPr>
        <w:jc w:val="both"/>
        <w:rPr>
          <w:rFonts w:ascii="Verdana" w:eastAsia="Calibri" w:hAnsi="Verdana" w:cs="Arial"/>
          <w:b/>
          <w:bCs/>
          <w:color w:val="000000" w:themeColor="text1"/>
          <w:lang w:eastAsia="es-ES"/>
        </w:rPr>
      </w:pPr>
      <w:bookmarkStart w:id="0" w:name="_Hlk143780582"/>
      <w:r w:rsidRPr="00F8050F">
        <w:rPr>
          <w:rFonts w:ascii="Verdana" w:eastAsia="Calibri" w:hAnsi="Verdana" w:cs="Arial"/>
          <w:b/>
          <w:bCs/>
          <w:color w:val="000000" w:themeColor="text1"/>
          <w:lang w:eastAsia="es-ES"/>
        </w:rPr>
        <w:t xml:space="preserve">CONSORCIOS Y UNIONES TEMPORALES – Ausencia de personería jurídica  </w:t>
      </w:r>
    </w:p>
    <w:p w14:paraId="063D5E5F" w14:textId="51814218" w:rsidR="008D7183" w:rsidRPr="008D7183" w:rsidRDefault="008D7183" w:rsidP="008D7183">
      <w:pPr>
        <w:pStyle w:val="Textoindependiente"/>
        <w:jc w:val="both"/>
        <w:rPr>
          <w:sz w:val="20"/>
          <w:szCs w:val="20"/>
          <w:lang w:val="es-CO"/>
        </w:rPr>
      </w:pPr>
      <w:r w:rsidRPr="008D7183">
        <w:rPr>
          <w:sz w:val="20"/>
          <w:szCs w:val="20"/>
          <w:lang w:val="es-CO"/>
        </w:rPr>
        <w:t xml:space="preserve">[…] </w:t>
      </w:r>
      <w:r w:rsidRPr="008D7183">
        <w:rPr>
          <w:sz w:val="20"/>
          <w:szCs w:val="20"/>
          <w:lang w:val="es-CO"/>
        </w:rPr>
        <w:t>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condición de su ejercicio que sean personas morales lo que, hasta cierto punto, podría considerarse una evolución en la teoría de la personalidad jurídica.</w:t>
      </w:r>
    </w:p>
    <w:p w14:paraId="54C78B71" w14:textId="7B5A20B3" w:rsidR="008D7183" w:rsidRPr="008D7183" w:rsidRDefault="008D7183" w:rsidP="008D7183">
      <w:pPr>
        <w:spacing w:line="240" w:lineRule="auto"/>
        <w:jc w:val="both"/>
        <w:rPr>
          <w:rFonts w:ascii="Verdana" w:eastAsia="Calibri" w:hAnsi="Verdana" w:cs="Arial"/>
          <w:b/>
          <w:bCs/>
          <w:color w:val="000000" w:themeColor="text1"/>
          <w:sz w:val="20"/>
          <w:szCs w:val="20"/>
          <w:lang w:eastAsia="es-ES"/>
        </w:rPr>
      </w:pPr>
      <w:r w:rsidRPr="008D7183">
        <w:rPr>
          <w:rFonts w:ascii="Verdana" w:hAnsi="Verdana"/>
          <w:sz w:val="20"/>
          <w:szCs w:val="20"/>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w:t>
      </w:r>
    </w:p>
    <w:p w14:paraId="4A9E3758" w14:textId="3EF668EE" w:rsidR="00F8050F" w:rsidRDefault="003757F6" w:rsidP="00F8050F">
      <w:pPr>
        <w:jc w:val="both"/>
        <w:rPr>
          <w:rFonts w:ascii="Verdana" w:eastAsia="Calibri" w:hAnsi="Verdana" w:cs="Arial"/>
          <w:b/>
          <w:bCs/>
          <w:lang w:val="es-ES" w:eastAsia="es-ES"/>
        </w:rPr>
      </w:pPr>
      <w:r w:rsidRPr="00F8050F">
        <w:rPr>
          <w:rFonts w:ascii="Verdana" w:eastAsia="Calibri" w:hAnsi="Verdana" w:cs="Arial"/>
          <w:b/>
          <w:bCs/>
          <w:lang w:val="es-ES" w:eastAsia="es-ES"/>
        </w:rPr>
        <w:t xml:space="preserve">CESIÓN DEL CONTRATO ESTATAL – Noción </w:t>
      </w:r>
    </w:p>
    <w:p w14:paraId="244C8C44" w14:textId="67F17B92" w:rsidR="008615C9" w:rsidRPr="008615C9" w:rsidRDefault="008615C9" w:rsidP="008615C9">
      <w:pPr>
        <w:spacing w:line="240" w:lineRule="auto"/>
        <w:jc w:val="both"/>
        <w:rPr>
          <w:rFonts w:ascii="Verdana" w:eastAsia="Calibri" w:hAnsi="Verdana" w:cs="Arial"/>
          <w:sz w:val="20"/>
          <w:szCs w:val="20"/>
          <w:lang w:val="es-ES" w:eastAsia="es-ES"/>
        </w:rPr>
      </w:pPr>
      <w:r w:rsidRPr="008615C9">
        <w:rPr>
          <w:rFonts w:ascii="Verdana" w:eastAsia="Calibri" w:hAnsi="Verdana" w:cs="Arial"/>
          <w:sz w:val="20"/>
          <w:szCs w:val="20"/>
          <w:lang w:val="es-ES" w:eastAsia="es-ES"/>
        </w:rPr>
        <w:t xml:space="preserve">La cesión de contrato (presupuesto éste último como bilateral, al menos en la configuración típica de la institución) es el instrumento que permite realizar la llamada circulación del contrato, es decir, la transferencia negocial a un tercero (llamado cesionario) del conjunto de posiciones contractuales (entendido como resultante unitario de derechos y obligaciones orgánicamente interdependientes), constituida en la persona de uno de los originarios contratantes (llamado cedente); de tal forma que, a través de esa sustitución negocial del tercero en la posición de ‘parte’ del contrato, en lugar del cedente, dicho tercero </w:t>
      </w:r>
      <w:proofErr w:type="spellStart"/>
      <w:r w:rsidRPr="008615C9">
        <w:rPr>
          <w:rFonts w:ascii="Verdana" w:eastAsia="Calibri" w:hAnsi="Verdana" w:cs="Arial"/>
          <w:sz w:val="20"/>
          <w:szCs w:val="20"/>
          <w:lang w:val="es-ES" w:eastAsia="es-ES"/>
        </w:rPr>
        <w:t>subentra</w:t>
      </w:r>
      <w:proofErr w:type="spellEnd"/>
      <w:r w:rsidRPr="008615C9">
        <w:rPr>
          <w:rFonts w:ascii="Verdana" w:eastAsia="Calibri" w:hAnsi="Verdana" w:cs="Arial"/>
          <w:sz w:val="20"/>
          <w:szCs w:val="20"/>
          <w:lang w:val="es-ES" w:eastAsia="es-ES"/>
        </w:rPr>
        <w:t xml:space="preserve"> en la totalidad de los derechos y obligaciones que en su orgánica interdependencia se derivan del contrato estipulado por el cedente.</w:t>
      </w:r>
    </w:p>
    <w:p w14:paraId="23BABEB0" w14:textId="2E0BF2C7" w:rsidR="00F8050F" w:rsidRDefault="003757F6" w:rsidP="00F8050F">
      <w:pPr>
        <w:jc w:val="both"/>
        <w:rPr>
          <w:rFonts w:ascii="Verdana" w:eastAsia="Calibri" w:hAnsi="Verdana" w:cs="Arial"/>
          <w:b/>
          <w:bCs/>
          <w:lang w:val="es-ES" w:eastAsia="es-ES"/>
        </w:rPr>
      </w:pPr>
      <w:r w:rsidRPr="00F8050F">
        <w:rPr>
          <w:rFonts w:ascii="Verdana" w:eastAsia="Calibri" w:hAnsi="Verdana" w:cs="Arial"/>
          <w:b/>
          <w:bCs/>
          <w:lang w:val="es-ES" w:eastAsia="es-ES"/>
        </w:rPr>
        <w:t>CESIÓN DEL CONTRATO ESTATAL – Régimen jurídico aplicable – EGCAP – Código de comercio</w:t>
      </w:r>
    </w:p>
    <w:p w14:paraId="46D0663C" w14:textId="3BCCD383" w:rsidR="001928EE" w:rsidRDefault="001928EE" w:rsidP="001928EE">
      <w:pPr>
        <w:spacing w:line="240" w:lineRule="auto"/>
        <w:jc w:val="both"/>
        <w:rPr>
          <w:rFonts w:ascii="Verdana" w:eastAsia="Calibri" w:hAnsi="Verdana" w:cs="Arial"/>
          <w:sz w:val="20"/>
          <w:szCs w:val="20"/>
          <w:lang w:val="es-ES" w:eastAsia="es-ES"/>
        </w:rPr>
      </w:pPr>
      <w:r w:rsidRPr="001928EE">
        <w:rPr>
          <w:rFonts w:ascii="Verdana" w:eastAsia="Calibri" w:hAnsi="Verdana" w:cs="Arial"/>
          <w:sz w:val="20"/>
          <w:szCs w:val="20"/>
          <w:lang w:val="es-ES" w:eastAsia="es-ES"/>
        </w:rPr>
        <w:t>Conforme a los artículos 887 y siguientes del Código de Comercio, la cesión de los contratos juega un papel importante en la gestión de los intereses patrimoniales de los sujetos de derecho privado, ya que –a diferencia de la regulada en los artículos 1959 y siguientes del Código Civil– facilita el tráfico jurídico tanto de los derechos como de las obligaciones surgidos con ocasión del acuerdo de voluntades, lo que permite su transferencia total o parcial a terceros como negocio generador de riqueza</w:t>
      </w:r>
      <w:r w:rsidRPr="001928EE">
        <w:rPr>
          <w:rFonts w:ascii="Verdana" w:eastAsia="Calibri" w:hAnsi="Verdana" w:cs="Arial"/>
          <w:sz w:val="20"/>
          <w:szCs w:val="20"/>
          <w:lang w:val="es-ES" w:eastAsia="es-ES"/>
        </w:rPr>
        <w:t>.</w:t>
      </w:r>
    </w:p>
    <w:p w14:paraId="5A88A305" w14:textId="7EDC2EA2" w:rsidR="001928EE" w:rsidRDefault="001928EE" w:rsidP="001928EE">
      <w:pPr>
        <w:spacing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w:t>
      </w:r>
    </w:p>
    <w:p w14:paraId="4ED3C71F" w14:textId="77777777" w:rsidR="00E54770" w:rsidRPr="00056FCA" w:rsidRDefault="00E54770" w:rsidP="00056FCA">
      <w:pPr>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 xml:space="preserve">Tratándose de la cesión de contratos estatales, conforme a la regulación del EGCAP, confluyen una mixtura entre el derecho público y privado en su regulación. En efecto, i) los contratos estatales se regirán por las normas comerciales y civiles pertinentes, salvo en lo concerniente a las materias particularmente reguladas en dicha ley, de acuerdo con lo prescrito en el inciso primero del artículo 13 de la Ley 80 de 1993, por lo que deben observarse en primer término las disposiciones establecidas en el EGCAP; </w:t>
      </w:r>
      <w:proofErr w:type="spellStart"/>
      <w:r w:rsidRPr="00056FCA">
        <w:rPr>
          <w:rFonts w:ascii="Verdana" w:eastAsia="Calibri" w:hAnsi="Verdana" w:cs="Arial"/>
          <w:color w:val="000000" w:themeColor="text1"/>
          <w:sz w:val="20"/>
          <w:szCs w:val="20"/>
        </w:rPr>
        <w:t>ii</w:t>
      </w:r>
      <w:proofErr w:type="spellEnd"/>
      <w:r w:rsidRPr="00056FCA">
        <w:rPr>
          <w:rFonts w:ascii="Verdana" w:eastAsia="Calibri" w:hAnsi="Verdana" w:cs="Arial"/>
          <w:color w:val="000000" w:themeColor="text1"/>
          <w:sz w:val="20"/>
          <w:szCs w:val="20"/>
        </w:rPr>
        <w:t xml:space="preserve">) </w:t>
      </w:r>
      <w:r w:rsidRPr="00056FCA">
        <w:rPr>
          <w:rFonts w:ascii="Verdana" w:eastAsia="Calibri" w:hAnsi="Verdana" w:cs="Arial"/>
          <w:color w:val="000000" w:themeColor="text1"/>
          <w:sz w:val="20"/>
          <w:szCs w:val="20"/>
        </w:rPr>
        <w:lastRenderedPageBreak/>
        <w:t xml:space="preserve">corresponderán como actos jurídicos bilaterales generadores de obligaciones, entre otros, a los previstos en el derecho privado, en los términos del artículo 32 </w:t>
      </w:r>
      <w:r w:rsidRPr="00056FCA">
        <w:rPr>
          <w:rFonts w:ascii="Verdana" w:eastAsia="Calibri" w:hAnsi="Verdana" w:cs="Arial"/>
          <w:i/>
          <w:iCs/>
          <w:color w:val="000000" w:themeColor="text1"/>
          <w:sz w:val="20"/>
          <w:szCs w:val="20"/>
        </w:rPr>
        <w:t>ibidem</w:t>
      </w:r>
      <w:r w:rsidRPr="00056FCA">
        <w:rPr>
          <w:rFonts w:ascii="Verdana" w:eastAsia="Calibri" w:hAnsi="Verdana" w:cs="Arial"/>
          <w:color w:val="000000" w:themeColor="text1"/>
          <w:sz w:val="20"/>
          <w:szCs w:val="20"/>
        </w:rPr>
        <w:t xml:space="preserve">; y </w:t>
      </w:r>
      <w:proofErr w:type="spellStart"/>
      <w:r w:rsidRPr="00056FCA">
        <w:rPr>
          <w:rFonts w:ascii="Verdana" w:eastAsia="Calibri" w:hAnsi="Verdana" w:cs="Arial"/>
          <w:color w:val="000000" w:themeColor="text1"/>
          <w:sz w:val="20"/>
          <w:szCs w:val="20"/>
        </w:rPr>
        <w:t>iii</w:t>
      </w:r>
      <w:proofErr w:type="spellEnd"/>
      <w:r w:rsidRPr="00056FCA">
        <w:rPr>
          <w:rFonts w:ascii="Verdana" w:eastAsia="Calibri" w:hAnsi="Verdana" w:cs="Arial"/>
          <w:color w:val="000000" w:themeColor="text1"/>
          <w:sz w:val="20"/>
          <w:szCs w:val="20"/>
        </w:rPr>
        <w:t xml:space="preserve">) contendrán las estipulaciones que, de acuerdo con las normas civiles, comerciales y las previstas en esta ley, correspondan a su esencia y naturaleza, conforme a lo dispuesto por el artículo 40 </w:t>
      </w:r>
      <w:r w:rsidRPr="00056FCA">
        <w:rPr>
          <w:rFonts w:ascii="Verdana" w:eastAsia="Calibri" w:hAnsi="Verdana" w:cs="Arial"/>
          <w:i/>
          <w:iCs/>
          <w:color w:val="000000" w:themeColor="text1"/>
          <w:sz w:val="20"/>
          <w:szCs w:val="20"/>
        </w:rPr>
        <w:t>ibidem</w:t>
      </w:r>
      <w:r w:rsidRPr="00056FCA">
        <w:rPr>
          <w:rFonts w:ascii="Verdana" w:eastAsia="Calibri" w:hAnsi="Verdana" w:cs="Arial"/>
          <w:color w:val="000000" w:themeColor="text1"/>
          <w:sz w:val="20"/>
          <w:szCs w:val="20"/>
        </w:rPr>
        <w:t xml:space="preserve">. </w:t>
      </w:r>
    </w:p>
    <w:p w14:paraId="2D8ABE1D" w14:textId="77777777" w:rsidR="00E54770" w:rsidRPr="00056FCA" w:rsidRDefault="00E54770" w:rsidP="00056FCA">
      <w:pPr>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En este sentido, el Estatuto General de Contratación de la Administración Pública establece disposiciones específicas relativas a la figura de la cesión contractual. En principio, si bien rigen las normas relativas a la cesión del contrato contenidas en sus artículos 887 y siguientes del Código de Comercio, su aplicación procede ante la ausencia de norma que de manera particular regule el asunto frente a la categoría especial del contrato estatal.</w:t>
      </w:r>
    </w:p>
    <w:p w14:paraId="3EAC2DCF" w14:textId="49E6AA50" w:rsidR="00E54770" w:rsidRPr="00056FCA" w:rsidRDefault="00E54770" w:rsidP="00056FCA">
      <w:pPr>
        <w:tabs>
          <w:tab w:val="left" w:pos="709"/>
        </w:tabs>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 xml:space="preserve">Por ello, es pertinente indicar que el Decreto Ley 410 de 1971 contempla ciertas disposiciones que no se encuentran en la Ley 80 de 1993, lo que conlleva su aplicación en materia de contratos estatales. Por ejemplo, el artículo 890 establece lo relativo a la responsabilidad del cedente frente al cesionario y en torno a la existencia, validez y garantías del contrato </w:t>
      </w:r>
      <w:r w:rsidR="00056FCA" w:rsidRPr="00056FCA">
        <w:rPr>
          <w:rFonts w:ascii="Verdana" w:eastAsia="Calibri" w:hAnsi="Verdana" w:cs="Arial"/>
          <w:color w:val="000000" w:themeColor="text1"/>
          <w:sz w:val="20"/>
          <w:szCs w:val="20"/>
        </w:rPr>
        <w:t>cedido.</w:t>
      </w:r>
      <w:r w:rsidRPr="00056FCA">
        <w:rPr>
          <w:rFonts w:ascii="Verdana" w:eastAsia="Calibri" w:hAnsi="Verdana" w:cs="Arial"/>
          <w:color w:val="000000" w:themeColor="text1"/>
          <w:sz w:val="20"/>
          <w:szCs w:val="20"/>
        </w:rPr>
        <w:t xml:space="preserve"> Por otra parte, el artículo 891 obliga al cesionario a avisar al cedente de la mora o el incumplimiento dentro de los 10 días siguientes, siempre y cuando este se haya obligado a garantizar el cumplimiento por parte del contratante cedid</w:t>
      </w:r>
      <w:r w:rsidR="00056FCA" w:rsidRPr="00056FCA">
        <w:rPr>
          <w:rFonts w:ascii="Verdana" w:eastAsia="Calibri" w:hAnsi="Verdana" w:cs="Arial"/>
          <w:color w:val="000000" w:themeColor="text1"/>
          <w:sz w:val="20"/>
          <w:szCs w:val="20"/>
        </w:rPr>
        <w:t>o.</w:t>
      </w:r>
      <w:r w:rsidRPr="00056FCA">
        <w:rPr>
          <w:rFonts w:ascii="Verdana" w:eastAsia="Calibri" w:hAnsi="Verdana" w:cs="Arial"/>
          <w:color w:val="000000" w:themeColor="text1"/>
          <w:sz w:val="20"/>
          <w:szCs w:val="20"/>
        </w:rPr>
        <w:t xml:space="preserve"> Asimismo, los artículos 895 y 896 disponen que la cesión de un contrato implica la transferencia de las acciones, privilegios y beneficios legales inherentes a la naturaleza y condiciones del contrato, excluyendo a aquellas que sean extrañas al mismo o que se funden en el estado o calidad particular de las partes, pudiendo, el contratante cedido, oponer contra el cesionario todas las excepciones que se deriven del contrat</w:t>
      </w:r>
      <w:r w:rsidRPr="00056FCA">
        <w:rPr>
          <w:rFonts w:ascii="Verdana" w:eastAsia="Calibri" w:hAnsi="Verdana" w:cs="Arial"/>
          <w:color w:val="000000" w:themeColor="text1"/>
          <w:sz w:val="20"/>
          <w:szCs w:val="20"/>
        </w:rPr>
        <w:t>o.</w:t>
      </w:r>
    </w:p>
    <w:p w14:paraId="6E663EC7" w14:textId="37E4B3D8" w:rsidR="00E54770" w:rsidRPr="00056FCA" w:rsidRDefault="00E54770" w:rsidP="00056FCA">
      <w:pPr>
        <w:tabs>
          <w:tab w:val="left" w:pos="709"/>
        </w:tabs>
        <w:spacing w:after="120" w:line="240" w:lineRule="auto"/>
        <w:jc w:val="both"/>
        <w:rPr>
          <w:rFonts w:ascii="Verdana" w:eastAsia="Calibri" w:hAnsi="Verdana" w:cs="Arial"/>
          <w:color w:val="000000" w:themeColor="text1"/>
          <w:sz w:val="20"/>
          <w:szCs w:val="20"/>
        </w:rPr>
      </w:pPr>
      <w:r w:rsidRPr="00056FCA">
        <w:rPr>
          <w:rFonts w:ascii="Verdana" w:eastAsia="Calibri" w:hAnsi="Verdana" w:cs="Arial"/>
          <w:color w:val="000000" w:themeColor="text1"/>
          <w:sz w:val="20"/>
          <w:szCs w:val="20"/>
        </w:rPr>
        <w:t xml:space="preserve">Al margen de estas y otras disposiciones que de manera particular consagra el Código de Comercio sobre la cesión del contrato, esta figura cuenta con algunas normas especiales en la Ley 80 de 1993. Por ejemplo, el artículo 41, inciso tercero, del EGCAP prescribe que “Los contratos estatales son </w:t>
      </w:r>
      <w:r w:rsidRPr="00056FCA">
        <w:rPr>
          <w:rFonts w:ascii="Verdana" w:eastAsia="Calibri" w:hAnsi="Verdana" w:cs="Arial"/>
          <w:i/>
          <w:iCs/>
          <w:color w:val="000000" w:themeColor="text1"/>
          <w:sz w:val="20"/>
          <w:szCs w:val="20"/>
        </w:rPr>
        <w:t xml:space="preserve">intuito </w:t>
      </w:r>
      <w:proofErr w:type="spellStart"/>
      <w:r w:rsidRPr="00056FCA">
        <w:rPr>
          <w:rFonts w:ascii="Verdana" w:eastAsia="Calibri" w:hAnsi="Verdana" w:cs="Arial"/>
          <w:i/>
          <w:iCs/>
          <w:color w:val="000000" w:themeColor="text1"/>
          <w:sz w:val="20"/>
          <w:szCs w:val="20"/>
        </w:rPr>
        <w:t>personae</w:t>
      </w:r>
      <w:proofErr w:type="spellEnd"/>
      <w:r w:rsidRPr="00056FCA">
        <w:rPr>
          <w:rFonts w:ascii="Verdana" w:eastAsia="Calibri" w:hAnsi="Verdana" w:cs="Arial"/>
          <w:color w:val="000000" w:themeColor="text1"/>
          <w:sz w:val="20"/>
          <w:szCs w:val="20"/>
        </w:rPr>
        <w:t xml:space="preserve"> y, en consecuencia, una vez celebrados no podrán cederse sin previa autorización escrita de la entidad contratante”. Esta norma contiene una prohibición general –</w:t>
      </w:r>
      <w:r w:rsidRPr="00056FCA">
        <w:rPr>
          <w:rFonts w:ascii="Verdana" w:eastAsia="Calibri" w:hAnsi="Verdana" w:cs="Arial"/>
          <w:i/>
          <w:iCs/>
          <w:color w:val="000000" w:themeColor="text1"/>
          <w:sz w:val="20"/>
          <w:szCs w:val="20"/>
        </w:rPr>
        <w:t>faceta negativa</w:t>
      </w:r>
      <w:r w:rsidRPr="00056FCA">
        <w:rPr>
          <w:rFonts w:ascii="Verdana" w:eastAsia="Calibri" w:hAnsi="Verdana" w:cs="Arial"/>
          <w:color w:val="000000" w:themeColor="text1"/>
          <w:sz w:val="20"/>
          <w:szCs w:val="20"/>
        </w:rPr>
        <w:t>– y una autorización excepcional –</w:t>
      </w:r>
      <w:r w:rsidRPr="00056FCA">
        <w:rPr>
          <w:rFonts w:ascii="Verdana" w:eastAsia="Calibri" w:hAnsi="Verdana" w:cs="Arial"/>
          <w:i/>
          <w:iCs/>
          <w:color w:val="000000" w:themeColor="text1"/>
          <w:sz w:val="20"/>
          <w:szCs w:val="20"/>
        </w:rPr>
        <w:t>faceta positiva</w:t>
      </w:r>
      <w:r w:rsidRPr="00056FCA">
        <w:rPr>
          <w:rFonts w:ascii="Verdana" w:eastAsia="Calibri" w:hAnsi="Verdana" w:cs="Arial"/>
          <w:color w:val="000000" w:themeColor="text1"/>
          <w:sz w:val="20"/>
          <w:szCs w:val="20"/>
        </w:rPr>
        <w:t>–.</w:t>
      </w:r>
    </w:p>
    <w:p w14:paraId="539F9042" w14:textId="77777777" w:rsidR="00282955" w:rsidRDefault="003757F6" w:rsidP="00F8050F">
      <w:pPr>
        <w:jc w:val="both"/>
        <w:rPr>
          <w:rFonts w:ascii="Verdana" w:eastAsia="Calibri" w:hAnsi="Verdana" w:cs="Arial"/>
          <w:b/>
          <w:bCs/>
          <w:lang w:val="es-ES" w:eastAsia="es-ES"/>
        </w:rPr>
      </w:pPr>
      <w:r w:rsidRPr="00F8050F">
        <w:rPr>
          <w:rFonts w:ascii="Verdana" w:eastAsia="Calibri" w:hAnsi="Verdana" w:cs="Arial"/>
          <w:b/>
          <w:bCs/>
          <w:lang w:val="es-ES" w:eastAsia="es-ES"/>
        </w:rPr>
        <w:t xml:space="preserve">CESIÓN DEL CONTRATO ESTATAL – Requisitos – Restricciones   </w:t>
      </w:r>
    </w:p>
    <w:p w14:paraId="2DB28F11" w14:textId="72760FBC" w:rsidR="003757F6" w:rsidRPr="00282955" w:rsidRDefault="00282955" w:rsidP="00282955">
      <w:pPr>
        <w:spacing w:line="240" w:lineRule="auto"/>
        <w:jc w:val="both"/>
        <w:rPr>
          <w:rFonts w:ascii="Verdana" w:eastAsia="Verdana" w:hAnsi="Verdana" w:cs="Verdana"/>
          <w:b/>
          <w:bCs/>
          <w:sz w:val="20"/>
          <w:szCs w:val="20"/>
        </w:rPr>
      </w:pPr>
      <w:r w:rsidRPr="00282955">
        <w:rPr>
          <w:rFonts w:ascii="Verdana" w:eastAsia="Calibri" w:hAnsi="Verdana" w:cs="Arial"/>
          <w:color w:val="000000" w:themeColor="text1"/>
          <w:sz w:val="20"/>
          <w:szCs w:val="20"/>
        </w:rPr>
        <w:t xml:space="preserve">[…] </w:t>
      </w:r>
      <w:r w:rsidRPr="00282955">
        <w:rPr>
          <w:rFonts w:ascii="Verdana" w:eastAsia="Calibri" w:hAnsi="Verdana" w:cs="Arial"/>
          <w:color w:val="000000" w:themeColor="text1"/>
          <w:sz w:val="20"/>
          <w:szCs w:val="20"/>
        </w:rPr>
        <w:t xml:space="preserve">el Consejo de Estado ha precisado como requisitos de la cesión del contrato estatal los siguientes: i) debe recaer en un tercero; </w:t>
      </w:r>
      <w:proofErr w:type="spellStart"/>
      <w:r w:rsidRPr="00282955">
        <w:rPr>
          <w:rFonts w:ascii="Verdana" w:eastAsia="Calibri" w:hAnsi="Verdana" w:cs="Arial"/>
          <w:color w:val="000000" w:themeColor="text1"/>
          <w:sz w:val="20"/>
          <w:szCs w:val="20"/>
        </w:rPr>
        <w:t>ii</w:t>
      </w:r>
      <w:proofErr w:type="spellEnd"/>
      <w:r w:rsidRPr="00282955">
        <w:rPr>
          <w:rFonts w:ascii="Verdana" w:eastAsia="Calibri" w:hAnsi="Verdana" w:cs="Arial"/>
          <w:color w:val="000000" w:themeColor="text1"/>
          <w:sz w:val="20"/>
          <w:szCs w:val="20"/>
        </w:rPr>
        <w:t xml:space="preserve">) el cesionario debe tener capacidad jurídica para continuar con la ejecución del objeto contractual y no estar incurso en causales de inhabilidad e incompatibilidad para contratar; y </w:t>
      </w:r>
      <w:proofErr w:type="spellStart"/>
      <w:r w:rsidRPr="00282955">
        <w:rPr>
          <w:rFonts w:ascii="Verdana" w:eastAsia="Calibri" w:hAnsi="Verdana" w:cs="Arial"/>
          <w:color w:val="000000" w:themeColor="text1"/>
          <w:sz w:val="20"/>
          <w:szCs w:val="20"/>
        </w:rPr>
        <w:t>iii</w:t>
      </w:r>
      <w:proofErr w:type="spellEnd"/>
      <w:r w:rsidRPr="00282955">
        <w:rPr>
          <w:rFonts w:ascii="Verdana" w:eastAsia="Calibri" w:hAnsi="Verdana" w:cs="Arial"/>
          <w:color w:val="000000" w:themeColor="text1"/>
          <w:sz w:val="20"/>
          <w:szCs w:val="20"/>
        </w:rPr>
        <w:t xml:space="preserve">) el cesionario debe contar con capacidad 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manera, la capacidad jurídica, económica y técnica del contratista cedente se exigirá también al cesionario, ya que “[…] el proceso cesión del contrato y las exigencias que se le impongan al tercero, no pueden alterar ni burlar los procedimientos de selección del </w:t>
      </w:r>
      <w:r w:rsidRPr="00282955">
        <w:rPr>
          <w:rFonts w:ascii="Verdana" w:eastAsia="Calibri" w:hAnsi="Verdana" w:cs="Arial"/>
          <w:color w:val="000000" w:themeColor="text1"/>
          <w:sz w:val="20"/>
          <w:szCs w:val="20"/>
        </w:rPr>
        <w:lastRenderedPageBreak/>
        <w:t>contratista, en otras palabras, la figura de la cesión de contrato no puede servir como instrumento para desviar las obligaciones que tiene la entidad contratante de cumplimiento de los parámetros de la selección objetiva”</w:t>
      </w:r>
      <w:r w:rsidR="003757F6" w:rsidRPr="00282955">
        <w:rPr>
          <w:rFonts w:ascii="Verdana" w:eastAsia="Calibri" w:hAnsi="Verdana" w:cs="Arial"/>
          <w:b/>
          <w:bCs/>
          <w:sz w:val="20"/>
          <w:szCs w:val="20"/>
          <w:lang w:val="es-ES" w:eastAsia="es-ES"/>
        </w:rPr>
        <w:t xml:space="preserve">                  </w:t>
      </w:r>
    </w:p>
    <w:p w14:paraId="452DDC19" w14:textId="77777777" w:rsidR="003757F6" w:rsidRDefault="003757F6">
      <w:pPr>
        <w:rPr>
          <w:rFonts w:ascii="Verdana" w:eastAsia="Verdana" w:hAnsi="Verdana" w:cs="Verdana"/>
        </w:rPr>
      </w:pPr>
      <w:r>
        <w:rPr>
          <w:rFonts w:ascii="Verdana" w:eastAsia="Verdana" w:hAnsi="Verdana" w:cs="Verdana"/>
        </w:rPr>
        <w:br w:type="page"/>
      </w:r>
    </w:p>
    <w:p w14:paraId="7E68F061" w14:textId="64E520F2" w:rsidR="007D455E" w:rsidRPr="0024624F" w:rsidRDefault="003757F6" w:rsidP="005734CF">
      <w:pPr>
        <w:spacing w:after="0" w:line="240" w:lineRule="auto"/>
        <w:rPr>
          <w:rFonts w:ascii="Verdana" w:eastAsia="Verdana" w:hAnsi="Verdana" w:cs="Verdana"/>
        </w:rPr>
      </w:pPr>
      <w:r w:rsidRPr="003757F6">
        <w:rPr>
          <w:rFonts w:ascii="Verdana" w:eastAsia="Calibri" w:hAnsi="Verdana" w:cs="Arial"/>
          <w:lang w:eastAsia="es-ES"/>
        </w:rPr>
        <w:lastRenderedPageBreak/>
        <w:drawing>
          <wp:anchor distT="0" distB="0" distL="114300" distR="114300" simplePos="0" relativeHeight="251659264" behindDoc="1" locked="0" layoutInCell="1" allowOverlap="1" wp14:anchorId="6A180479" wp14:editId="2ECCAA00">
            <wp:simplePos x="0" y="0"/>
            <wp:positionH relativeFrom="margin">
              <wp:posOffset>2838558</wp:posOffset>
            </wp:positionH>
            <wp:positionV relativeFrom="paragraph">
              <wp:posOffset>9489</wp:posOffset>
            </wp:positionV>
            <wp:extent cx="2792003" cy="741872"/>
            <wp:effectExtent l="0" t="0" r="8890" b="1270"/>
            <wp:wrapNone/>
            <wp:docPr id="123763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3823" name=""/>
                    <pic:cNvPicPr/>
                  </pic:nvPicPr>
                  <pic:blipFill>
                    <a:blip r:embed="rId11">
                      <a:extLst>
                        <a:ext uri="{28A0092B-C50C-407E-A947-70E740481C1C}">
                          <a14:useLocalDpi xmlns:a14="http://schemas.microsoft.com/office/drawing/2010/main" val="0"/>
                        </a:ext>
                      </a:extLst>
                    </a:blip>
                    <a:stretch>
                      <a:fillRect/>
                    </a:stretch>
                  </pic:blipFill>
                  <pic:spPr>
                    <a:xfrm>
                      <a:off x="0" y="0"/>
                      <a:ext cx="2792003" cy="741872"/>
                    </a:xfrm>
                    <a:prstGeom prst="rect">
                      <a:avLst/>
                    </a:prstGeom>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21Julio 2026</w:t>
      </w:r>
      <w:r w:rsidR="00C15139" w:rsidRPr="005734CF">
        <w:rPr>
          <w:rFonts w:ascii="Verdana" w:hAnsi="Verdana"/>
        </w:rPr>
        <w:tab/>
      </w:r>
      <w:r w:rsidR="007D455E" w:rsidRPr="0074251E">
        <w:rPr>
          <w:rFonts w:ascii="Verdana" w:hAnsi="Verdana"/>
        </w:rPr>
        <w:tab/>
      </w:r>
      <w:r w:rsidR="007D455E" w:rsidRPr="0074251E">
        <w:rPr>
          <w:rFonts w:ascii="Verdana" w:hAnsi="Verdana"/>
        </w:rPr>
        <w:br/>
      </w:r>
      <w:r w:rsidR="007D455E" w:rsidRPr="0074251E">
        <w:rPr>
          <w:rFonts w:ascii="Verdana" w:hAnsi="Verdana"/>
        </w:rPr>
        <w:tab/>
      </w:r>
    </w:p>
    <w:p w14:paraId="1ADAB5FF" w14:textId="13BEDE36" w:rsidR="007D455E" w:rsidRPr="00BE636B" w:rsidRDefault="007D455E" w:rsidP="007D455E">
      <w:pPr>
        <w:spacing w:after="0" w:line="240" w:lineRule="auto"/>
        <w:rPr>
          <w:rFonts w:ascii="Verdana" w:eastAsia="Calibri" w:hAnsi="Verdana" w:cs="Arial"/>
          <w:lang w:eastAsia="es-ES"/>
        </w:rPr>
      </w:pPr>
      <w:r w:rsidRPr="00F926E2">
        <w:rPr>
          <w:rFonts w:ascii="Verdana" w:eastAsia="Calibri" w:hAnsi="Verdana" w:cs="Arial"/>
          <w:lang w:eastAsia="es-ES"/>
        </w:rPr>
        <w:t>Señor</w:t>
      </w:r>
    </w:p>
    <w:p w14:paraId="5384BBBF" w14:textId="450C27FE" w:rsidR="007D455E" w:rsidRDefault="007C2849" w:rsidP="007D455E">
      <w:pPr>
        <w:spacing w:after="0" w:line="240" w:lineRule="auto"/>
        <w:rPr>
          <w:rFonts w:ascii="Verdana" w:eastAsia="Calibri" w:hAnsi="Verdana" w:cs="Arial"/>
          <w:b/>
          <w:lang w:eastAsia="es-ES_tradnl"/>
        </w:rPr>
      </w:pPr>
      <w:r>
        <w:rPr>
          <w:rFonts w:ascii="Verdana" w:eastAsia="Calibri" w:hAnsi="Verdana" w:cs="Arial"/>
          <w:b/>
          <w:lang w:eastAsia="es-ES_tradnl"/>
        </w:rPr>
        <w:t>Carlos Andr</w:t>
      </w:r>
      <w:r w:rsidR="00A77225">
        <w:rPr>
          <w:rFonts w:ascii="Verdana" w:eastAsia="Calibri" w:hAnsi="Verdana" w:cs="Arial"/>
          <w:b/>
          <w:lang w:eastAsia="es-ES_tradnl"/>
        </w:rPr>
        <w:t>és Otaiza Orellano</w:t>
      </w:r>
    </w:p>
    <w:p w14:paraId="60A73781" w14:textId="44E5EF3D" w:rsidR="00A77225" w:rsidRPr="00A77225" w:rsidRDefault="00A77225" w:rsidP="007D455E">
      <w:pPr>
        <w:spacing w:after="0" w:line="240" w:lineRule="auto"/>
        <w:rPr>
          <w:rFonts w:ascii="Verdana" w:hAnsi="Verdana"/>
        </w:rPr>
      </w:pPr>
      <w:hyperlink r:id="rId12" w:history="1">
        <w:r w:rsidRPr="00A77225">
          <w:rPr>
            <w:rStyle w:val="Hipervnculo"/>
            <w:rFonts w:ascii="Verdana" w:hAnsi="Verdana"/>
          </w:rPr>
          <w:t>otaizacarlos08@gmail.com</w:t>
        </w:r>
      </w:hyperlink>
    </w:p>
    <w:p w14:paraId="3806235F" w14:textId="098EB1D9" w:rsidR="007D455E" w:rsidRPr="00BE636B" w:rsidRDefault="00A77225" w:rsidP="007D455E">
      <w:pPr>
        <w:spacing w:after="0" w:line="240" w:lineRule="auto"/>
        <w:rPr>
          <w:rFonts w:ascii="Verdana" w:hAnsi="Verdana"/>
        </w:rPr>
      </w:pPr>
      <w:r>
        <w:rPr>
          <w:rFonts w:ascii="Verdana" w:hAnsi="Verdana"/>
        </w:rPr>
        <w:t>Ciudad</w:t>
      </w:r>
    </w:p>
    <w:p w14:paraId="1A17704B" w14:textId="77777777" w:rsidR="007D455E" w:rsidRPr="006933D9" w:rsidRDefault="007D455E" w:rsidP="007D455E">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7D455E" w:rsidRPr="005734CF" w14:paraId="057F20C9" w14:textId="77777777" w:rsidTr="00BE2916">
        <w:trPr>
          <w:trHeight w:val="162"/>
        </w:trPr>
        <w:tc>
          <w:tcPr>
            <w:tcW w:w="3119" w:type="dxa"/>
          </w:tcPr>
          <w:p w14:paraId="103BB016" w14:textId="77777777" w:rsidR="007D455E" w:rsidRPr="008E2DC6" w:rsidRDefault="007D455E" w:rsidP="00BE2916">
            <w:pPr>
              <w:jc w:val="both"/>
              <w:rPr>
                <w:rFonts w:ascii="Verdana" w:eastAsia="Calibri" w:hAnsi="Verdana" w:cs="Arial"/>
                <w:b/>
                <w:bCs/>
                <w:color w:val="7030A0"/>
                <w:lang w:eastAsia="es-ES_tradnl"/>
              </w:rPr>
            </w:pPr>
          </w:p>
        </w:tc>
        <w:tc>
          <w:tcPr>
            <w:tcW w:w="5670" w:type="dxa"/>
          </w:tcPr>
          <w:p w14:paraId="5CDEF05E" w14:textId="7E472686" w:rsidR="007D455E" w:rsidRPr="00CE156C" w:rsidRDefault="007D455E" w:rsidP="00BE2916">
            <w:pPr>
              <w:rPr>
                <w:rFonts w:ascii="Verdana" w:eastAsia="Calibri" w:hAnsi="Verdana" w:cs="Arial"/>
                <w:b/>
                <w:bCs/>
                <w:lang w:eastAsia="es-ES"/>
              </w:rPr>
            </w:pPr>
            <w:r w:rsidRPr="008E2DC6">
              <w:rPr>
                <w:rFonts w:ascii="Verdana" w:eastAsia="Calibri" w:hAnsi="Verdana" w:cs="Arial"/>
                <w:b/>
                <w:bCs/>
                <w:lang w:eastAsia="es-ES"/>
              </w:rPr>
              <w:t>Concepto C-</w:t>
            </w:r>
            <w:r w:rsidR="008E0D7F">
              <w:rPr>
                <w:rFonts w:ascii="Verdana" w:eastAsia="Calibri" w:hAnsi="Verdana" w:cs="Arial"/>
                <w:b/>
                <w:bCs/>
                <w:lang w:eastAsia="es-ES"/>
              </w:rPr>
              <w:t>934</w:t>
            </w:r>
            <w:r w:rsidRPr="00CE156C">
              <w:rPr>
                <w:rFonts w:ascii="Verdana" w:eastAsia="Calibri" w:hAnsi="Verdana" w:cs="Arial"/>
                <w:b/>
                <w:bCs/>
                <w:lang w:eastAsia="es-ES"/>
              </w:rPr>
              <w:t xml:space="preserve"> de 2026</w:t>
            </w:r>
          </w:p>
          <w:p w14:paraId="6FB81EB6" w14:textId="77777777" w:rsidR="007D455E" w:rsidRPr="00CE156C" w:rsidRDefault="007D455E" w:rsidP="00BE2916">
            <w:pPr>
              <w:jc w:val="center"/>
              <w:rPr>
                <w:rFonts w:ascii="Verdana" w:eastAsia="Calibri" w:hAnsi="Verdana" w:cs="Arial"/>
                <w:b/>
                <w:bCs/>
                <w:color w:val="7030A0"/>
                <w:lang w:eastAsia="es-ES"/>
              </w:rPr>
            </w:pPr>
          </w:p>
        </w:tc>
      </w:tr>
      <w:tr w:rsidR="007D455E" w:rsidRPr="005734CF" w14:paraId="31C73D06" w14:textId="77777777" w:rsidTr="00BE2916">
        <w:trPr>
          <w:trHeight w:val="884"/>
        </w:trPr>
        <w:tc>
          <w:tcPr>
            <w:tcW w:w="3119" w:type="dxa"/>
          </w:tcPr>
          <w:p w14:paraId="79196B73" w14:textId="77777777" w:rsidR="007D455E" w:rsidRPr="00F926E2" w:rsidRDefault="007D455E" w:rsidP="00BE2916">
            <w:pPr>
              <w:jc w:val="both"/>
              <w:rPr>
                <w:rFonts w:ascii="Verdana" w:eastAsia="Calibri" w:hAnsi="Verdana" w:cs="Arial"/>
                <w:color w:val="000000"/>
                <w:lang w:eastAsia="es-ES_tradnl"/>
              </w:rPr>
            </w:pPr>
            <w:r w:rsidRPr="00CE156C">
              <w:rPr>
                <w:rFonts w:ascii="Verdana" w:eastAsia="Calibri" w:hAnsi="Verdana" w:cs="Arial"/>
                <w:b/>
                <w:color w:val="000000"/>
                <w:lang w:eastAsia="es-ES_tradnl"/>
              </w:rPr>
              <w:t>Temas:</w:t>
            </w:r>
            <w:r w:rsidRPr="00F07E96">
              <w:rPr>
                <w:rFonts w:ascii="Verdana" w:eastAsia="Calibri" w:hAnsi="Verdana" w:cs="Arial"/>
                <w:color w:val="000000"/>
                <w:lang w:eastAsia="es-ES_tradnl"/>
              </w:rPr>
              <w:t xml:space="preserve">                   </w:t>
            </w:r>
          </w:p>
        </w:tc>
        <w:tc>
          <w:tcPr>
            <w:tcW w:w="5670" w:type="dxa"/>
          </w:tcPr>
          <w:p w14:paraId="183DC837" w14:textId="77777777" w:rsidR="00086FCD" w:rsidRPr="00A11406" w:rsidRDefault="006F3D68" w:rsidP="00086FCD">
            <w:pPr>
              <w:spacing w:line="276" w:lineRule="auto"/>
              <w:jc w:val="both"/>
              <w:rPr>
                <w:rFonts w:ascii="Verdana" w:eastAsia="Calibri" w:hAnsi="Verdana" w:cs="Arial"/>
                <w:lang w:val="es-ES" w:eastAsia="es-ES"/>
              </w:rPr>
            </w:pPr>
            <w:r w:rsidRPr="004A3B84">
              <w:rPr>
                <w:rFonts w:ascii="Verdana" w:eastAsia="Calibri" w:hAnsi="Verdana" w:cs="Arial"/>
                <w:color w:val="000000" w:themeColor="text1"/>
                <w:lang w:eastAsia="es-ES"/>
              </w:rPr>
              <w:t xml:space="preserve">CONSORCIOS Y UNIONES TEMPORALES – Ausencia de personería jurídica </w:t>
            </w:r>
            <w:r w:rsidR="00086FCD">
              <w:rPr>
                <w:rFonts w:ascii="Verdana" w:eastAsia="Calibri" w:hAnsi="Verdana" w:cs="Arial"/>
                <w:color w:val="000000" w:themeColor="text1"/>
                <w:lang w:eastAsia="es-ES"/>
              </w:rPr>
              <w:t xml:space="preserve">/ </w:t>
            </w:r>
            <w:r w:rsidR="00086FCD" w:rsidRPr="00DD7928">
              <w:rPr>
                <w:rFonts w:ascii="Verdana" w:eastAsia="Calibri" w:hAnsi="Verdana" w:cs="Arial"/>
                <w:lang w:val="es-ES" w:eastAsia="es-ES"/>
              </w:rPr>
              <w:t>CESIÓN DEL CONTRATO ESTATAL – Noción / CESIÓN DEL CONTRATO ESTATAL – Régimen jurídico aplicable – EGCAP – Código de comercio / CESIÓN DEL CONTRATO ESTATAL – Requisitos – Restricciones</w:t>
            </w:r>
            <w:r w:rsidR="00086FCD" w:rsidRPr="006A662D">
              <w:rPr>
                <w:rFonts w:ascii="Verdana" w:eastAsia="Calibri" w:hAnsi="Verdana" w:cs="Arial"/>
                <w:lang w:val="es-ES" w:eastAsia="es-ES"/>
              </w:rPr>
              <w:t xml:space="preserve">  </w:t>
            </w:r>
            <w:r w:rsidR="00086FCD" w:rsidRPr="009673B4">
              <w:rPr>
                <w:rFonts w:ascii="Verdana" w:eastAsia="Calibri" w:hAnsi="Verdana" w:cs="Arial"/>
                <w:lang w:val="es-ES" w:eastAsia="es-ES"/>
              </w:rPr>
              <w:t xml:space="preserve">  </w:t>
            </w:r>
            <w:r w:rsidR="00086FCD" w:rsidRPr="00B24DBE">
              <w:rPr>
                <w:rFonts w:ascii="Verdana" w:eastAsia="Calibri" w:hAnsi="Verdana" w:cs="Arial"/>
                <w:lang w:val="es-ES" w:eastAsia="es-ES"/>
              </w:rPr>
              <w:t xml:space="preserve"> </w:t>
            </w:r>
            <w:r w:rsidR="00086FCD" w:rsidRPr="00BE364D">
              <w:rPr>
                <w:rFonts w:ascii="Verdana" w:eastAsia="Calibri" w:hAnsi="Verdana" w:cs="Arial"/>
                <w:lang w:val="es-ES" w:eastAsia="es-ES"/>
              </w:rPr>
              <w:t xml:space="preserve">  </w:t>
            </w:r>
            <w:r w:rsidR="00086FCD" w:rsidRPr="00E23D97">
              <w:rPr>
                <w:rFonts w:ascii="Verdana" w:eastAsia="Calibri" w:hAnsi="Verdana" w:cs="Arial"/>
                <w:lang w:val="es-ES" w:eastAsia="es-ES"/>
              </w:rPr>
              <w:t xml:space="preserve"> </w:t>
            </w:r>
            <w:r w:rsidR="00086FCD" w:rsidRPr="009E03E6">
              <w:rPr>
                <w:rFonts w:ascii="Verdana" w:eastAsia="Calibri" w:hAnsi="Verdana" w:cs="Arial"/>
                <w:lang w:val="es-ES" w:eastAsia="es-ES"/>
              </w:rPr>
              <w:t xml:space="preserve">  </w:t>
            </w:r>
            <w:r w:rsidR="00086FCD" w:rsidRPr="006E6F30">
              <w:rPr>
                <w:rFonts w:ascii="Verdana" w:eastAsia="Calibri" w:hAnsi="Verdana" w:cs="Arial"/>
                <w:lang w:val="es-ES" w:eastAsia="es-ES"/>
              </w:rPr>
              <w:t xml:space="preserve"> </w:t>
            </w:r>
            <w:r w:rsidR="00086FCD" w:rsidRPr="00FA3A97">
              <w:rPr>
                <w:rFonts w:ascii="Verdana" w:eastAsia="Calibri" w:hAnsi="Verdana" w:cs="Arial"/>
                <w:lang w:val="es-ES" w:eastAsia="es-ES"/>
              </w:rPr>
              <w:t xml:space="preserve">  </w:t>
            </w:r>
            <w:r w:rsidR="00086FCD" w:rsidRPr="00BE364D">
              <w:rPr>
                <w:rFonts w:ascii="Verdana" w:eastAsia="Calibri" w:hAnsi="Verdana" w:cs="Arial"/>
                <w:lang w:val="es-ES" w:eastAsia="es-ES"/>
              </w:rPr>
              <w:t xml:space="preserve">  </w:t>
            </w:r>
            <w:r w:rsidR="00086FCD" w:rsidRPr="00E23D97">
              <w:rPr>
                <w:rFonts w:ascii="Verdana" w:eastAsia="Calibri" w:hAnsi="Verdana" w:cs="Arial"/>
                <w:lang w:val="es-ES" w:eastAsia="es-ES"/>
              </w:rPr>
              <w:t xml:space="preserve"> </w:t>
            </w:r>
            <w:r w:rsidR="00086FCD" w:rsidRPr="009E03E6">
              <w:rPr>
                <w:rFonts w:ascii="Verdana" w:eastAsia="Calibri" w:hAnsi="Verdana" w:cs="Arial"/>
                <w:lang w:val="es-ES" w:eastAsia="es-ES"/>
              </w:rPr>
              <w:t xml:space="preserve">  </w:t>
            </w:r>
            <w:r w:rsidR="00086FCD" w:rsidRPr="006E6F30">
              <w:rPr>
                <w:rFonts w:ascii="Verdana" w:eastAsia="Calibri" w:hAnsi="Verdana" w:cs="Arial"/>
                <w:lang w:val="es-ES" w:eastAsia="es-ES"/>
              </w:rPr>
              <w:t xml:space="preserve"> </w:t>
            </w:r>
            <w:r w:rsidR="00086FCD" w:rsidRPr="00FA3A97">
              <w:rPr>
                <w:rFonts w:ascii="Verdana" w:eastAsia="Calibri" w:hAnsi="Verdana" w:cs="Arial"/>
                <w:lang w:val="es-ES" w:eastAsia="es-ES"/>
              </w:rPr>
              <w:t xml:space="preserve">  </w:t>
            </w:r>
          </w:p>
          <w:p w14:paraId="1E3D53DE" w14:textId="77777777" w:rsidR="007D455E" w:rsidRPr="008E2DC6" w:rsidRDefault="007D455E" w:rsidP="00BE2916">
            <w:pPr>
              <w:jc w:val="both"/>
              <w:rPr>
                <w:rFonts w:ascii="Verdana" w:eastAsia="Calibri" w:hAnsi="Verdana" w:cs="Arial"/>
                <w:highlight w:val="yellow"/>
                <w:lang w:val="es-ES" w:eastAsia="es-ES"/>
              </w:rPr>
            </w:pPr>
          </w:p>
        </w:tc>
      </w:tr>
      <w:tr w:rsidR="007D455E" w:rsidRPr="005734CF" w14:paraId="2AB2D821" w14:textId="77777777" w:rsidTr="00BE2916">
        <w:tc>
          <w:tcPr>
            <w:tcW w:w="3119" w:type="dxa"/>
          </w:tcPr>
          <w:p w14:paraId="437CCCB2" w14:textId="77777777" w:rsidR="007D455E" w:rsidRPr="00F926E2" w:rsidRDefault="007D455E" w:rsidP="00BE2916">
            <w:pPr>
              <w:jc w:val="both"/>
              <w:rPr>
                <w:rFonts w:ascii="Verdana" w:eastAsia="Calibri" w:hAnsi="Verdana" w:cs="Arial"/>
                <w:b/>
                <w:lang w:eastAsia="es-ES_tradnl"/>
              </w:rPr>
            </w:pPr>
            <w:r w:rsidRPr="00CE156C">
              <w:rPr>
                <w:rFonts w:ascii="Verdana" w:eastAsia="Calibri" w:hAnsi="Verdana" w:cs="Arial"/>
                <w:b/>
                <w:lang w:eastAsia="es-ES_tradnl"/>
              </w:rPr>
              <w:t xml:space="preserve"> </w:t>
            </w:r>
            <w:r w:rsidRPr="00F07E96">
              <w:rPr>
                <w:rFonts w:ascii="Verdana" w:eastAsia="Calibri" w:hAnsi="Verdana" w:cs="Arial"/>
                <w:b/>
                <w:lang w:eastAsia="es-ES_tradnl"/>
              </w:rPr>
              <w:t>Radicación:</w:t>
            </w:r>
            <w:r w:rsidRPr="00F926E2">
              <w:rPr>
                <w:rFonts w:ascii="Verdana" w:eastAsia="Calibri" w:hAnsi="Verdana" w:cs="Arial"/>
                <w:lang w:eastAsia="es-ES_tradnl"/>
              </w:rPr>
              <w:t xml:space="preserve">               </w:t>
            </w:r>
          </w:p>
        </w:tc>
        <w:tc>
          <w:tcPr>
            <w:tcW w:w="5670" w:type="dxa"/>
          </w:tcPr>
          <w:p w14:paraId="25C5A760" w14:textId="43A12CA9" w:rsidR="007D455E" w:rsidRPr="008E2DC6" w:rsidRDefault="007D455E" w:rsidP="00BE2916">
            <w:pPr>
              <w:jc w:val="both"/>
              <w:rPr>
                <w:rFonts w:ascii="Verdana" w:eastAsia="Calibri" w:hAnsi="Verdana" w:cs="Arial"/>
                <w:lang w:eastAsia="es-ES_tradnl"/>
              </w:rPr>
            </w:pPr>
            <w:r w:rsidRPr="00BE636B">
              <w:rPr>
                <w:rFonts w:ascii="Verdana" w:eastAsia="Calibri" w:hAnsi="Verdana" w:cs="Arial"/>
                <w:lang w:eastAsia="es-ES_tradnl"/>
              </w:rPr>
              <w:t xml:space="preserve">Respuesta a consulta con radicado No. </w:t>
            </w:r>
            <w:r w:rsidR="008E0D7F" w:rsidRPr="008E0D7F">
              <w:rPr>
                <w:rFonts w:ascii="Verdana" w:eastAsia="Calibri" w:hAnsi="Verdana" w:cs="Arial"/>
                <w:lang w:eastAsia="es-ES_tradnl"/>
              </w:rPr>
              <w:t>1_2026_06_05_007663</w:t>
            </w:r>
          </w:p>
        </w:tc>
      </w:tr>
    </w:tbl>
    <w:p w14:paraId="2A1A440E" w14:textId="77777777" w:rsidR="007D455E" w:rsidRPr="00CE156C" w:rsidRDefault="007D455E" w:rsidP="007D455E">
      <w:pPr>
        <w:spacing w:after="0" w:line="240" w:lineRule="auto"/>
        <w:jc w:val="both"/>
        <w:rPr>
          <w:rFonts w:ascii="Verdana" w:eastAsia="Calibri" w:hAnsi="Verdana" w:cs="Arial"/>
          <w:lang w:eastAsia="es-ES_tradnl"/>
        </w:rPr>
      </w:pPr>
    </w:p>
    <w:p w14:paraId="52869000" w14:textId="34BD948C" w:rsidR="007D455E" w:rsidRPr="008E2DC6" w:rsidRDefault="007D455E" w:rsidP="007D455E">
      <w:pPr>
        <w:spacing w:after="0" w:line="276" w:lineRule="auto"/>
        <w:jc w:val="both"/>
        <w:rPr>
          <w:rFonts w:ascii="Verdana" w:eastAsia="Calibri" w:hAnsi="Verdana" w:cs="Arial"/>
          <w:lang w:eastAsia="es-ES"/>
        </w:rPr>
      </w:pPr>
      <w:r w:rsidRPr="00F926E2">
        <w:rPr>
          <w:rFonts w:ascii="Verdana" w:eastAsia="Calibri" w:hAnsi="Verdana" w:cs="Arial"/>
          <w:lang w:eastAsia="es-ES"/>
        </w:rPr>
        <w:t>Estimad</w:t>
      </w:r>
      <w:r w:rsidRPr="00BE636B">
        <w:rPr>
          <w:rFonts w:ascii="Verdana" w:eastAsia="Calibri" w:hAnsi="Verdana" w:cs="Arial"/>
          <w:lang w:eastAsia="es-ES"/>
        </w:rPr>
        <w:t>o</w:t>
      </w:r>
      <w:r w:rsidRPr="00323DD8">
        <w:rPr>
          <w:rFonts w:ascii="Verdana" w:eastAsia="Calibri" w:hAnsi="Verdana" w:cs="Arial"/>
          <w:lang w:eastAsia="es-ES"/>
        </w:rPr>
        <w:t xml:space="preserve"> señor</w:t>
      </w:r>
      <w:r w:rsidR="00C614F6">
        <w:rPr>
          <w:rFonts w:ascii="Verdana" w:eastAsia="Calibri" w:hAnsi="Verdana" w:cs="Arial"/>
          <w:lang w:eastAsia="es-ES"/>
        </w:rPr>
        <w:t xml:space="preserve"> Otaiza, Cordial saludo: </w:t>
      </w:r>
    </w:p>
    <w:p w14:paraId="0F4F1F5A" w14:textId="77777777" w:rsidR="007D455E" w:rsidRPr="008E2DC6" w:rsidRDefault="007D455E" w:rsidP="007D455E">
      <w:pPr>
        <w:spacing w:after="0" w:line="276" w:lineRule="auto"/>
        <w:jc w:val="both"/>
        <w:rPr>
          <w:rFonts w:ascii="Verdana" w:eastAsia="Calibri" w:hAnsi="Verdana" w:cs="Arial"/>
          <w:lang w:eastAsia="es-ES"/>
        </w:rPr>
      </w:pPr>
    </w:p>
    <w:p w14:paraId="697280E1" w14:textId="77777777" w:rsidR="007D455E" w:rsidRPr="00CE156C" w:rsidRDefault="007D455E" w:rsidP="007D455E">
      <w:pPr>
        <w:spacing w:after="0" w:line="276" w:lineRule="auto"/>
        <w:jc w:val="both"/>
        <w:rPr>
          <w:rFonts w:ascii="Verdana" w:eastAsia="Calibri" w:hAnsi="Verdana" w:cs="Arial"/>
          <w:lang w:eastAsia="es-ES"/>
        </w:rPr>
      </w:pPr>
      <w:r w:rsidRPr="008E2DC6">
        <w:rPr>
          <w:rFonts w:ascii="Verdana" w:eastAsia="Calibri" w:hAnsi="Verdana" w:cs="Arial"/>
          <w:color w:val="000000" w:themeColor="text1"/>
          <w:lang w:eastAsia="es-ES"/>
        </w:rPr>
        <w:t>En ejercicio de la competencia otorgada por los artículos 3, numeral 5º, y 11, numeral 8º, del Decreto Ley 4170 de 2011,</w:t>
      </w:r>
      <w:r w:rsidRPr="00CE156C">
        <w:rPr>
          <w:rFonts w:ascii="Verdana" w:eastAsia="Arial MT" w:hAnsi="Verdana" w:cs="Arial MT"/>
          <w:lang w:eastAsia="es-ES"/>
        </w:rPr>
        <w:t xml:space="preserve"> </w:t>
      </w:r>
      <w:r w:rsidRPr="00CE156C">
        <w:rPr>
          <w:rFonts w:ascii="Verdana" w:hAnsi="Verdana" w:cs="Arial"/>
        </w:rPr>
        <w:t xml:space="preserve">así como lo establecido en el artículo 4 de la Resolución 1707 de 2018 expedida por esta Entidad, </w:t>
      </w:r>
      <w:r w:rsidRPr="00CE156C">
        <w:rPr>
          <w:rFonts w:ascii="Verdana" w:eastAsia="Calibri" w:hAnsi="Verdana" w:cs="Arial"/>
          <w:color w:val="000000" w:themeColor="text1"/>
          <w:lang w:eastAsia="es-ES"/>
        </w:rPr>
        <w:t xml:space="preserve">la Agencia Nacional de Contratación </w:t>
      </w:r>
      <w:r w:rsidRPr="00CE156C">
        <w:rPr>
          <w:rFonts w:ascii="Verdana" w:eastAsia="Calibri" w:hAnsi="Verdana" w:cs="Arial"/>
          <w:lang w:eastAsia="es-ES"/>
        </w:rPr>
        <w:t xml:space="preserve">Pública – Colombia Compra Eficiente– responde su solicitud de consulta de fecha </w:t>
      </w:r>
      <w:r>
        <w:rPr>
          <w:rFonts w:ascii="Verdana" w:eastAsia="Calibri" w:hAnsi="Verdana" w:cs="Arial"/>
          <w:lang w:eastAsia="es-ES"/>
        </w:rPr>
        <w:t>04</w:t>
      </w:r>
      <w:r w:rsidRPr="00CE156C">
        <w:rPr>
          <w:rFonts w:ascii="Verdana" w:eastAsia="Calibri" w:hAnsi="Verdana" w:cs="Arial"/>
          <w:lang w:eastAsia="es-ES"/>
        </w:rPr>
        <w:t xml:space="preserve"> de </w:t>
      </w:r>
      <w:r>
        <w:rPr>
          <w:rFonts w:ascii="Verdana" w:eastAsia="Calibri" w:hAnsi="Verdana" w:cs="Arial"/>
          <w:lang w:eastAsia="es-ES"/>
        </w:rPr>
        <w:t>junio</w:t>
      </w:r>
      <w:r w:rsidRPr="00CE156C">
        <w:rPr>
          <w:rFonts w:ascii="Verdana" w:eastAsia="Calibri" w:hAnsi="Verdana" w:cs="Arial"/>
          <w:lang w:eastAsia="es-ES"/>
        </w:rPr>
        <w:t xml:space="preserve"> de 2026, en la cual manifiesta lo siguiente: </w:t>
      </w:r>
    </w:p>
    <w:p w14:paraId="68C738FD" w14:textId="77777777" w:rsidR="007D455E" w:rsidRPr="00CE156C" w:rsidRDefault="007D455E" w:rsidP="005734CF">
      <w:pPr>
        <w:spacing w:after="0" w:line="276" w:lineRule="auto"/>
        <w:jc w:val="both"/>
        <w:rPr>
          <w:rFonts w:ascii="Verdana" w:eastAsia="Century Gothic" w:hAnsi="Verdana" w:cs="Century Gothic"/>
          <w:i/>
          <w:iCs/>
          <w:sz w:val="20"/>
          <w:szCs w:val="20"/>
        </w:rPr>
      </w:pPr>
      <w:bookmarkStart w:id="1" w:name="_Hlk192699624"/>
      <w:bookmarkStart w:id="2" w:name="_Hlk199394899"/>
    </w:p>
    <w:p w14:paraId="574563CF" w14:textId="7157DE1D" w:rsidR="007D455E" w:rsidRPr="00CE156C" w:rsidRDefault="007D455E" w:rsidP="007D455E">
      <w:pPr>
        <w:spacing w:after="0" w:line="240" w:lineRule="auto"/>
        <w:ind w:left="709" w:right="709"/>
        <w:jc w:val="both"/>
        <w:rPr>
          <w:rFonts w:ascii="Verdana" w:hAnsi="Verdana"/>
          <w:i/>
          <w:iCs/>
          <w:sz w:val="20"/>
          <w:szCs w:val="20"/>
        </w:rPr>
      </w:pPr>
      <w:r w:rsidRPr="00CE156C">
        <w:rPr>
          <w:rFonts w:ascii="Verdana" w:eastAsia="Century Gothic" w:hAnsi="Verdana" w:cs="Century Gothic"/>
          <w:i/>
          <w:iCs/>
          <w:sz w:val="20"/>
          <w:szCs w:val="20"/>
        </w:rPr>
        <w:t>“</w:t>
      </w:r>
      <w:bookmarkEnd w:id="1"/>
      <w:r w:rsidR="00234428" w:rsidRPr="00234428">
        <w:rPr>
          <w:rFonts w:ascii="Verdana" w:hAnsi="Verdana"/>
          <w:i/>
          <w:iCs/>
          <w:sz w:val="20"/>
          <w:szCs w:val="20"/>
        </w:rPr>
        <w:t>A la luz de los últimos conceptos de Colombia compra Eficiente, frente a consorcios y uniones temporales y su ausencia de personería jurídica, y ante la falta de capacidad como cedentes, está permitido que uno de los integrantes del consorcio ceda su porcentaje de participación en la etapa de ejecución contractual.</w:t>
      </w:r>
      <w:r w:rsidRPr="00CE156C">
        <w:rPr>
          <w:rFonts w:ascii="Verdana" w:hAnsi="Verdana"/>
          <w:i/>
          <w:iCs/>
          <w:sz w:val="20"/>
          <w:szCs w:val="20"/>
        </w:rPr>
        <w:t>”.</w:t>
      </w:r>
      <w:bookmarkEnd w:id="2"/>
    </w:p>
    <w:p w14:paraId="1C12D0F2" w14:textId="77777777" w:rsidR="007D455E" w:rsidRPr="00CE156C" w:rsidRDefault="007D455E" w:rsidP="007D455E">
      <w:pPr>
        <w:spacing w:after="0" w:line="240" w:lineRule="auto"/>
        <w:ind w:left="709" w:right="709"/>
        <w:jc w:val="both"/>
        <w:rPr>
          <w:rFonts w:ascii="Verdana" w:hAnsi="Verdana"/>
          <w:i/>
          <w:iCs/>
          <w:sz w:val="20"/>
          <w:szCs w:val="20"/>
        </w:rPr>
      </w:pPr>
    </w:p>
    <w:p w14:paraId="18E6981A" w14:textId="77777777" w:rsidR="007D455E" w:rsidRPr="00CE156C" w:rsidRDefault="007D455E" w:rsidP="007D455E">
      <w:pPr>
        <w:spacing w:after="120" w:line="276" w:lineRule="auto"/>
        <w:ind w:firstLine="709"/>
        <w:jc w:val="both"/>
        <w:rPr>
          <w:rFonts w:ascii="Verdana" w:eastAsia="Calibri" w:hAnsi="Verdana" w:cs="Arial"/>
          <w:color w:val="000000"/>
          <w:szCs w:val="24"/>
          <w:lang w:eastAsia="es-ES_tradnl"/>
        </w:rPr>
      </w:pPr>
      <w:r w:rsidRPr="00CE156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 Colombia Compra Eficiente como una autoridad para solucionar problemas jurídicos </w:t>
      </w:r>
      <w:r w:rsidRPr="00CE156C">
        <w:rPr>
          <w:rFonts w:ascii="Verdana" w:eastAsia="Calibri" w:hAnsi="Verdana" w:cs="Arial"/>
          <w:color w:val="000000"/>
          <w:lang w:eastAsia="es-ES"/>
        </w:rPr>
        <w:lastRenderedPageBreak/>
        <w:t xml:space="preserve">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E156C">
        <w:rPr>
          <w:rFonts w:ascii="Verdana" w:eastAsia="Calibri" w:hAnsi="Verdana" w:cs="Arial"/>
          <w:color w:val="000000"/>
          <w:szCs w:val="24"/>
          <w:lang w:eastAsia="es-ES_tradnl"/>
        </w:rPr>
        <w:tab/>
      </w:r>
    </w:p>
    <w:p w14:paraId="6165DC29" w14:textId="77777777" w:rsidR="007D455E" w:rsidRPr="00CE156C" w:rsidRDefault="007D455E" w:rsidP="007D455E">
      <w:pPr>
        <w:spacing w:after="0" w:line="276" w:lineRule="auto"/>
        <w:ind w:firstLine="709"/>
        <w:jc w:val="both"/>
        <w:rPr>
          <w:rFonts w:ascii="Verdana" w:eastAsia="Calibri" w:hAnsi="Verdana" w:cs="Arial"/>
          <w:color w:val="000000"/>
          <w:lang w:eastAsia="es-ES"/>
        </w:rPr>
      </w:pPr>
      <w:r w:rsidRPr="00CE156C">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1BBBEC03" w14:textId="77777777" w:rsidR="007D455E" w:rsidRPr="00CE156C" w:rsidRDefault="007D455E" w:rsidP="007D455E">
      <w:pPr>
        <w:spacing w:after="0" w:line="276" w:lineRule="auto"/>
        <w:ind w:firstLine="709"/>
        <w:jc w:val="both"/>
        <w:rPr>
          <w:rFonts w:ascii="Verdana" w:eastAsia="Calibri" w:hAnsi="Verdana" w:cs="Arial"/>
          <w:color w:val="000000"/>
          <w:lang w:eastAsia="es-ES"/>
        </w:rPr>
      </w:pPr>
    </w:p>
    <w:p w14:paraId="1359DDC6" w14:textId="77777777" w:rsidR="007D455E" w:rsidRPr="001E2342" w:rsidRDefault="007D455E" w:rsidP="007D455E">
      <w:pPr>
        <w:numPr>
          <w:ilvl w:val="0"/>
          <w:numId w:val="16"/>
        </w:numPr>
        <w:spacing w:after="0" w:line="276" w:lineRule="auto"/>
        <w:jc w:val="both"/>
        <w:rPr>
          <w:rFonts w:ascii="Verdana" w:eastAsia="Calibri" w:hAnsi="Verdana" w:cs="Arial"/>
          <w:color w:val="000000"/>
          <w:szCs w:val="24"/>
          <w:lang w:eastAsia="es-ES_tradnl"/>
        </w:rPr>
      </w:pPr>
      <w:r w:rsidRPr="001E2342">
        <w:rPr>
          <w:rFonts w:ascii="Verdana" w:eastAsia="Century Gothic" w:hAnsi="Verdana" w:cs="Century Gothic"/>
          <w:b/>
          <w:bCs/>
        </w:rPr>
        <w:t>Problema planteado:</w:t>
      </w:r>
    </w:p>
    <w:p w14:paraId="799DAE9F" w14:textId="77777777" w:rsidR="007D455E" w:rsidRDefault="007D455E" w:rsidP="007D455E">
      <w:pPr>
        <w:spacing w:after="0" w:line="276" w:lineRule="auto"/>
        <w:jc w:val="both"/>
        <w:rPr>
          <w:rFonts w:ascii="Verdana" w:eastAsia="Calibri" w:hAnsi="Verdana" w:cs="Arial"/>
          <w:color w:val="000000"/>
          <w:szCs w:val="24"/>
          <w:lang w:eastAsia="es-ES_tradnl"/>
        </w:rPr>
      </w:pPr>
    </w:p>
    <w:p w14:paraId="314104B8" w14:textId="7EDBCE04" w:rsidR="007D455E" w:rsidRPr="001A2F38" w:rsidRDefault="007D455E" w:rsidP="007D455E">
      <w:pPr>
        <w:spacing w:after="0" w:line="276" w:lineRule="auto"/>
        <w:jc w:val="both"/>
        <w:rPr>
          <w:rFonts w:ascii="Verdana" w:eastAsia="Calibri" w:hAnsi="Verdana" w:cs="Arial"/>
          <w:color w:val="000000"/>
          <w:lang w:eastAsia="es-ES"/>
        </w:rPr>
      </w:pPr>
      <w:r w:rsidRPr="00CE156C">
        <w:rPr>
          <w:rFonts w:ascii="Verdana" w:eastAsia="Calibri" w:hAnsi="Verdana" w:cs="Arial"/>
          <w:color w:val="000000"/>
          <w:szCs w:val="24"/>
          <w:lang w:eastAsia="es-ES_tradnl"/>
        </w:rPr>
        <w:t>D</w:t>
      </w:r>
      <w:r w:rsidRPr="00CE156C">
        <w:rPr>
          <w:rFonts w:ascii="Verdana" w:eastAsia="Century Gothic" w:hAnsi="Verdana" w:cs="Century Gothic"/>
        </w:rPr>
        <w:t>e acuerdo con el contenido de su solicitud, esta Agencia resolverá el siguiente problema jurídico:</w:t>
      </w:r>
      <w:r>
        <w:rPr>
          <w:rFonts w:ascii="Verdana" w:eastAsia="Century Gothic" w:hAnsi="Verdana" w:cs="Century Gothic"/>
        </w:rPr>
        <w:t xml:space="preserve"> </w:t>
      </w:r>
      <w:r w:rsidR="00257BD5" w:rsidRPr="00257BD5">
        <w:rPr>
          <w:rFonts w:ascii="Verdana" w:eastAsia="Calibri" w:hAnsi="Verdana" w:cs="Arial"/>
          <w:color w:val="000000"/>
          <w:lang w:eastAsia="es-ES"/>
        </w:rPr>
        <w:t>¿</w:t>
      </w:r>
      <w:r w:rsidR="00257BD5">
        <w:rPr>
          <w:rFonts w:ascii="Verdana" w:eastAsia="Calibri" w:hAnsi="Verdana" w:cs="Arial"/>
          <w:color w:val="000000"/>
          <w:lang w:eastAsia="es-ES"/>
        </w:rPr>
        <w:t>Resulta</w:t>
      </w:r>
      <w:r w:rsidR="00257BD5" w:rsidRPr="00257BD5">
        <w:rPr>
          <w:rFonts w:ascii="Verdana" w:eastAsia="Calibri" w:hAnsi="Verdana" w:cs="Arial"/>
          <w:color w:val="000000"/>
          <w:lang w:eastAsia="es-ES"/>
        </w:rPr>
        <w:t xml:space="preserve"> procedente la cesión de la participación de uno de los integrantes de un proponente plural al que le fue adjudicado un contrato estatal, cuando este se encuentra en ejecución?</w:t>
      </w:r>
    </w:p>
    <w:p w14:paraId="265EE388" w14:textId="77777777" w:rsidR="007D455E" w:rsidRPr="00991DA8" w:rsidRDefault="007D455E" w:rsidP="007D455E">
      <w:pPr>
        <w:spacing w:after="0" w:line="276" w:lineRule="auto"/>
        <w:jc w:val="both"/>
        <w:rPr>
          <w:rFonts w:ascii="Verdana" w:eastAsia="Calibri" w:hAnsi="Verdana" w:cs="Arial"/>
          <w:color w:val="000000"/>
          <w:highlight w:val="yellow"/>
          <w:lang w:eastAsia="es-ES"/>
        </w:rPr>
      </w:pPr>
    </w:p>
    <w:p w14:paraId="214BA655" w14:textId="77777777" w:rsidR="007D455E" w:rsidRPr="008E2DC6" w:rsidRDefault="007D455E" w:rsidP="007D455E">
      <w:pPr>
        <w:numPr>
          <w:ilvl w:val="0"/>
          <w:numId w:val="16"/>
        </w:numPr>
        <w:spacing w:after="0" w:line="276" w:lineRule="auto"/>
        <w:jc w:val="both"/>
        <w:rPr>
          <w:rFonts w:ascii="Verdana" w:eastAsia="Century Gothic" w:hAnsi="Verdana" w:cs="Century Gothic"/>
          <w:b/>
          <w:bCs/>
        </w:rPr>
      </w:pPr>
      <w:r w:rsidRPr="008E2DC6">
        <w:rPr>
          <w:rFonts w:ascii="Verdana" w:eastAsia="Century Gothic" w:hAnsi="Verdana" w:cs="Century Gothic"/>
          <w:b/>
          <w:bCs/>
        </w:rPr>
        <w:t>Respuesta:</w:t>
      </w:r>
    </w:p>
    <w:p w14:paraId="6E38E11E" w14:textId="77777777" w:rsidR="007D455E" w:rsidRPr="008E2DC6" w:rsidRDefault="007D455E" w:rsidP="007D455E">
      <w:pPr>
        <w:spacing w:after="0" w:line="276" w:lineRule="auto"/>
        <w:ind w:left="720"/>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7D455E" w:rsidRPr="00CE156C" w14:paraId="28C0140E" w14:textId="77777777" w:rsidTr="00BE2916">
        <w:tc>
          <w:tcPr>
            <w:tcW w:w="8828" w:type="dxa"/>
          </w:tcPr>
          <w:p w14:paraId="4DF6C409" w14:textId="77777777" w:rsidR="005232BA" w:rsidRDefault="005232BA" w:rsidP="005734CF">
            <w:pPr>
              <w:spacing w:after="120" w:line="276" w:lineRule="auto"/>
              <w:jc w:val="both"/>
              <w:rPr>
                <w:rFonts w:ascii="Verdana" w:eastAsia="Calibri" w:hAnsi="Verdana" w:cs="Arial"/>
              </w:rPr>
            </w:pPr>
            <w:r w:rsidRPr="005232BA">
              <w:rPr>
                <w:rFonts w:ascii="Verdana" w:eastAsia="Calibri" w:hAnsi="Verdana" w:cs="Arial"/>
              </w:rPr>
              <w:t>Para dar respuesta al problema jurídico planteado, es preciso señalar, en primer lugar, que los consorcios y las uniones temporales son formas asociativas que surgen de un acuerdo de voluntades celebrado entre dos o más personas, mediante el cual sus integrantes definen las condiciones de su conformación, organización y funcionamiento. Estas figuras tienen como finalidad permitir la participación conjunta y coordinada de sus miembros en los procesos de contratación estatal sometidos al Estatuto General de Contratación de la Administración Pública (EGCAP), con el propósito de aunar capacidades técnicas, administrativas, financieras y operativas para incrementar las posibilidades de obtener la adjudicación de un contrato estatal, así como de asumir de manera compartida los recursos, riesgos, responsabilidades y beneficios derivados de su celebración y ejecución.</w:t>
            </w:r>
          </w:p>
          <w:p w14:paraId="45331B8D" w14:textId="2ABA3790" w:rsidR="00E26B53" w:rsidRDefault="00E26B53" w:rsidP="005734CF">
            <w:pPr>
              <w:pStyle w:val="Textoindependiente"/>
              <w:spacing w:after="120" w:line="276" w:lineRule="auto"/>
              <w:ind w:firstLine="780"/>
              <w:jc w:val="both"/>
            </w:pPr>
            <w:r>
              <w:rPr>
                <w:rFonts w:eastAsia="Calibri" w:cs="Arial"/>
                <w:bCs/>
                <w:color w:val="000000" w:themeColor="text1"/>
              </w:rPr>
              <w:t xml:space="preserve">Conforme a la interpretación general de las normas del sistema de </w:t>
            </w:r>
            <w:r>
              <w:rPr>
                <w:rFonts w:eastAsia="Calibri" w:cs="Arial"/>
                <w:bCs/>
                <w:color w:val="000000" w:themeColor="text1"/>
              </w:rPr>
              <w:lastRenderedPageBreak/>
              <w:t>compras públicas,</w:t>
            </w:r>
            <w:r w:rsidRPr="00185EE9">
              <w:rPr>
                <w:rFonts w:eastAsia="Calibri" w:cs="Arial"/>
                <w:bCs/>
                <w:color w:val="000000" w:themeColor="text1"/>
              </w:rPr>
              <w:t xml:space="preserve"> </w:t>
            </w:r>
            <w:r w:rsidRPr="004C544B">
              <w:rPr>
                <w:rFonts w:eastAsia="Calibri" w:cs="Arial"/>
                <w:color w:val="000000" w:themeColor="text1"/>
              </w:rPr>
              <w:t xml:space="preserve">el artículo 9 de la Ley 80 de 1993 </w:t>
            </w:r>
            <w:r>
              <w:rPr>
                <w:rFonts w:eastAsia="Calibri" w:cs="Arial"/>
                <w:color w:val="000000" w:themeColor="text1"/>
              </w:rPr>
              <w:t>dispone</w:t>
            </w:r>
            <w:r w:rsidRPr="004C544B">
              <w:rPr>
                <w:rFonts w:eastAsia="Calibri" w:cs="Arial"/>
                <w:color w:val="000000" w:themeColor="text1"/>
              </w:rPr>
              <w:t xml:space="preserve"> que “[…] En ningún caso, podrá haber cesión del contrato entre quienes integran el consorcio o unión temporal”</w:t>
            </w:r>
            <w:r>
              <w:rPr>
                <w:rFonts w:eastAsia="Calibri" w:cs="Arial"/>
                <w:color w:val="000000" w:themeColor="text1"/>
              </w:rPr>
              <w:t>, pues e</w:t>
            </w:r>
            <w:r w:rsidRPr="004C544B">
              <w:rPr>
                <w:rFonts w:eastAsia="Calibri" w:cs="Arial"/>
                <w:color w:val="000000" w:themeColor="text1"/>
              </w:rPr>
              <w:t>n esta hipótesis no existe un tercero como requisito de la cesión</w:t>
            </w:r>
            <w:r>
              <w:rPr>
                <w:rFonts w:eastAsia="Calibri" w:cs="Arial"/>
                <w:color w:val="000000" w:themeColor="text1"/>
              </w:rPr>
              <w:t xml:space="preserve">. De esta manera, si está prohibida la cesión entre quienes integren el proponente plural, significa que está permitida la cesión de sus integrantes a un tercero distinto a los miembros del consorcio o la unión temporal. Por tanto, si dicho tercero cumple los requisitos de capacidad jurídica, no está incurso en causales de inhabilidad o incompatibilidad y, de acuerdo con los criterios previstos en el pliego de condiciones, es idóneo desde el punto de vista técnico, económico y financiero para cumplir con las obligaciones, la entidad podrá analizar la posibilidad de autorizar la cesión.    </w:t>
            </w:r>
          </w:p>
          <w:p w14:paraId="73F21297" w14:textId="107A76FA" w:rsidR="007D455E" w:rsidRPr="00F601E3" w:rsidRDefault="00811655" w:rsidP="005734CF">
            <w:pPr>
              <w:pStyle w:val="Textoindependiente"/>
              <w:spacing w:line="276" w:lineRule="auto"/>
              <w:ind w:firstLine="780"/>
              <w:jc w:val="both"/>
              <w:rPr>
                <w:rFonts w:eastAsia="Calibri" w:cs="Arial"/>
              </w:rPr>
            </w:pPr>
            <w:r>
              <w:t>En ese sentido, al tratarse de un análisis que debe realizarse en un procedimiento</w:t>
            </w:r>
            <w:r>
              <w:rPr>
                <w:spacing w:val="-12"/>
              </w:rPr>
              <w:t xml:space="preserve"> </w:t>
            </w:r>
            <w:r>
              <w:t>contractual</w:t>
            </w:r>
            <w:r>
              <w:rPr>
                <w:spacing w:val="-13"/>
              </w:rPr>
              <w:t xml:space="preserve"> </w:t>
            </w:r>
            <w:r>
              <w:t>específico,</w:t>
            </w:r>
            <w:r>
              <w:rPr>
                <w:spacing w:val="-13"/>
              </w:rPr>
              <w:t xml:space="preserve"> </w:t>
            </w:r>
            <w:r>
              <w:t>esta</w:t>
            </w:r>
            <w:r>
              <w:rPr>
                <w:spacing w:val="-15"/>
              </w:rPr>
              <w:t xml:space="preserve"> </w:t>
            </w:r>
            <w:r>
              <w:t>Agencia</w:t>
            </w:r>
            <w:r>
              <w:rPr>
                <w:spacing w:val="-15"/>
              </w:rPr>
              <w:t xml:space="preserve"> </w:t>
            </w:r>
            <w:r>
              <w:t>no</w:t>
            </w:r>
            <w:r>
              <w:rPr>
                <w:spacing w:val="-12"/>
              </w:rPr>
              <w:t xml:space="preserve"> </w:t>
            </w:r>
            <w:r>
              <w:t>puede</w:t>
            </w:r>
            <w:r>
              <w:rPr>
                <w:spacing w:val="-14"/>
              </w:rPr>
              <w:t xml:space="preserve"> </w:t>
            </w:r>
            <w:r>
              <w:t>definir</w:t>
            </w:r>
            <w:r>
              <w:rPr>
                <w:spacing w:val="-12"/>
              </w:rPr>
              <w:t xml:space="preserve"> </w:t>
            </w:r>
            <w:r>
              <w:t>un</w:t>
            </w:r>
            <w:r>
              <w:rPr>
                <w:spacing w:val="-13"/>
              </w:rPr>
              <w:t xml:space="preserve"> </w:t>
            </w:r>
            <w:r>
              <w:t>criterio universal</w:t>
            </w:r>
            <w:r>
              <w:rPr>
                <w:spacing w:val="-8"/>
              </w:rPr>
              <w:t xml:space="preserve"> </w:t>
            </w:r>
            <w:r>
              <w:t>y</w:t>
            </w:r>
            <w:r>
              <w:rPr>
                <w:spacing w:val="-8"/>
              </w:rPr>
              <w:t xml:space="preserve"> </w:t>
            </w:r>
            <w:r>
              <w:t>absoluto</w:t>
            </w:r>
            <w:r>
              <w:rPr>
                <w:spacing w:val="-7"/>
              </w:rPr>
              <w:t xml:space="preserve"> </w:t>
            </w:r>
            <w:r>
              <w:t>por</w:t>
            </w:r>
            <w:r>
              <w:rPr>
                <w:spacing w:val="-7"/>
              </w:rPr>
              <w:t xml:space="preserve"> </w:t>
            </w:r>
            <w:r>
              <w:t>vía</w:t>
            </w:r>
            <w:r>
              <w:rPr>
                <w:spacing w:val="-10"/>
              </w:rPr>
              <w:t xml:space="preserve"> </w:t>
            </w:r>
            <w:r>
              <w:t>consultiva,</w:t>
            </w:r>
            <w:r>
              <w:rPr>
                <w:spacing w:val="-8"/>
              </w:rPr>
              <w:t xml:space="preserve"> </w:t>
            </w:r>
            <w:r>
              <w:t>sino</w:t>
            </w:r>
            <w:r>
              <w:rPr>
                <w:spacing w:val="-7"/>
              </w:rPr>
              <w:t xml:space="preserve"> </w:t>
            </w:r>
            <w:r>
              <w:t>que</w:t>
            </w:r>
            <w:r>
              <w:rPr>
                <w:spacing w:val="-9"/>
              </w:rPr>
              <w:t xml:space="preserve"> </w:t>
            </w:r>
            <w:r>
              <w:t>brinda</w:t>
            </w:r>
            <w:r>
              <w:rPr>
                <w:spacing w:val="-10"/>
              </w:rPr>
              <w:t xml:space="preserve"> </w:t>
            </w:r>
            <w:r>
              <w:t>elementos</w:t>
            </w:r>
            <w:r>
              <w:rPr>
                <w:spacing w:val="-8"/>
              </w:rPr>
              <w:t xml:space="preserve"> </w:t>
            </w:r>
            <w:r>
              <w:t>de</w:t>
            </w:r>
            <w:r>
              <w:rPr>
                <w:spacing w:val="-9"/>
              </w:rPr>
              <w:t xml:space="preserve"> </w:t>
            </w:r>
            <w:r>
              <w:t>carácter general</w:t>
            </w:r>
            <w:r>
              <w:rPr>
                <w:spacing w:val="-14"/>
              </w:rPr>
              <w:t xml:space="preserve"> </w:t>
            </w:r>
            <w:r>
              <w:t>para</w:t>
            </w:r>
            <w:r>
              <w:rPr>
                <w:spacing w:val="-16"/>
              </w:rPr>
              <w:t xml:space="preserve"> </w:t>
            </w:r>
            <w:r>
              <w:t>que</w:t>
            </w:r>
            <w:r>
              <w:rPr>
                <w:spacing w:val="-15"/>
              </w:rPr>
              <w:t xml:space="preserve"> </w:t>
            </w:r>
            <w:r>
              <w:t>los</w:t>
            </w:r>
            <w:r>
              <w:rPr>
                <w:spacing w:val="-14"/>
              </w:rPr>
              <w:t xml:space="preserve"> </w:t>
            </w:r>
            <w:r>
              <w:t>partícipes</w:t>
            </w:r>
            <w:r>
              <w:rPr>
                <w:spacing w:val="-14"/>
              </w:rPr>
              <w:t xml:space="preserve"> </w:t>
            </w:r>
            <w:r>
              <w:t>del</w:t>
            </w:r>
            <w:r>
              <w:rPr>
                <w:spacing w:val="-14"/>
              </w:rPr>
              <w:t xml:space="preserve"> </w:t>
            </w:r>
            <w:r>
              <w:t>Sistema</w:t>
            </w:r>
            <w:r>
              <w:rPr>
                <w:spacing w:val="-16"/>
              </w:rPr>
              <w:t xml:space="preserve"> </w:t>
            </w:r>
            <w:r>
              <w:t>de</w:t>
            </w:r>
            <w:r>
              <w:rPr>
                <w:spacing w:val="-11"/>
              </w:rPr>
              <w:t xml:space="preserve"> </w:t>
            </w:r>
            <w:r>
              <w:t>Compras</w:t>
            </w:r>
            <w:r>
              <w:rPr>
                <w:spacing w:val="-18"/>
              </w:rPr>
              <w:t xml:space="preserve"> </w:t>
            </w:r>
            <w:r>
              <w:t>y</w:t>
            </w:r>
            <w:r>
              <w:rPr>
                <w:spacing w:val="-19"/>
              </w:rPr>
              <w:t xml:space="preserve"> </w:t>
            </w:r>
            <w:r>
              <w:t>Contratación</w:t>
            </w:r>
            <w:r>
              <w:rPr>
                <w:spacing w:val="-14"/>
              </w:rPr>
              <w:t xml:space="preserve"> </w:t>
            </w:r>
            <w:r>
              <w:t>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5087353F" w14:textId="77777777" w:rsidR="006055B3" w:rsidRDefault="006055B3" w:rsidP="007D455E">
      <w:pPr>
        <w:tabs>
          <w:tab w:val="left" w:pos="142"/>
          <w:tab w:val="left" w:pos="284"/>
        </w:tabs>
        <w:spacing w:after="0" w:line="276" w:lineRule="auto"/>
        <w:jc w:val="both"/>
        <w:rPr>
          <w:rFonts w:ascii="Verdana" w:eastAsia="Century Gothic" w:hAnsi="Verdana" w:cs="Century Gothic"/>
          <w:b/>
          <w:bCs/>
        </w:rPr>
      </w:pPr>
    </w:p>
    <w:p w14:paraId="61407237" w14:textId="63EE779F" w:rsidR="007D455E" w:rsidRPr="00927F32" w:rsidRDefault="007D455E" w:rsidP="00927F32">
      <w:pPr>
        <w:numPr>
          <w:ilvl w:val="0"/>
          <w:numId w:val="16"/>
        </w:numPr>
        <w:spacing w:after="0" w:line="276" w:lineRule="auto"/>
        <w:jc w:val="both"/>
        <w:rPr>
          <w:rFonts w:ascii="Verdana" w:eastAsia="Century Gothic" w:hAnsi="Verdana" w:cs="Century Gothic"/>
          <w:b/>
          <w:bCs/>
        </w:rPr>
      </w:pPr>
      <w:r w:rsidRPr="00927F32">
        <w:rPr>
          <w:rFonts w:ascii="Verdana" w:eastAsia="Century Gothic" w:hAnsi="Verdana" w:cs="Century Gothic"/>
          <w:b/>
          <w:bCs/>
        </w:rPr>
        <w:t>Razones de la respuesta:</w:t>
      </w:r>
    </w:p>
    <w:p w14:paraId="006A9CCC" w14:textId="77777777" w:rsidR="007D455E" w:rsidRDefault="007D455E" w:rsidP="007D455E">
      <w:pPr>
        <w:tabs>
          <w:tab w:val="left" w:pos="142"/>
          <w:tab w:val="left" w:pos="284"/>
        </w:tabs>
        <w:spacing w:after="0" w:line="276" w:lineRule="auto"/>
        <w:jc w:val="both"/>
        <w:rPr>
          <w:rFonts w:ascii="Verdana" w:eastAsia="Calibri" w:hAnsi="Verdana" w:cs="Arial"/>
        </w:rPr>
      </w:pPr>
    </w:p>
    <w:p w14:paraId="1DDC44F3" w14:textId="6F34C991" w:rsidR="002F3011" w:rsidRDefault="007D455E" w:rsidP="006055B3">
      <w:pPr>
        <w:tabs>
          <w:tab w:val="left" w:pos="142"/>
          <w:tab w:val="left" w:pos="284"/>
        </w:tabs>
        <w:spacing w:after="0" w:line="276" w:lineRule="auto"/>
        <w:jc w:val="both"/>
        <w:rPr>
          <w:rFonts w:ascii="Verdana" w:eastAsia="Calibri" w:hAnsi="Verdana" w:cs="Arial"/>
        </w:rPr>
      </w:pPr>
      <w:r w:rsidRPr="00F926E2">
        <w:rPr>
          <w:rFonts w:ascii="Verdana" w:eastAsia="Calibri" w:hAnsi="Verdana" w:cs="Arial"/>
        </w:rPr>
        <w:t>Lo anterior se sustenta en las siguientes consideraciones:</w:t>
      </w:r>
    </w:p>
    <w:p w14:paraId="1CB03A4F" w14:textId="77777777" w:rsidR="00140B68" w:rsidRDefault="00140B68" w:rsidP="006055B3">
      <w:pPr>
        <w:tabs>
          <w:tab w:val="left" w:pos="142"/>
          <w:tab w:val="left" w:pos="284"/>
        </w:tabs>
        <w:spacing w:after="0" w:line="276" w:lineRule="auto"/>
        <w:jc w:val="both"/>
        <w:rPr>
          <w:rFonts w:ascii="Verdana" w:eastAsia="Calibri" w:hAnsi="Verdana" w:cs="Arial"/>
        </w:rPr>
      </w:pPr>
    </w:p>
    <w:p w14:paraId="001EEB36" w14:textId="5BCB3396" w:rsidR="00140B68" w:rsidRDefault="00E16C3D" w:rsidP="005734CF">
      <w:pPr>
        <w:spacing w:after="120" w:line="276" w:lineRule="auto"/>
        <w:jc w:val="both"/>
        <w:rPr>
          <w:rFonts w:ascii="Verdana" w:eastAsia="Calibri" w:hAnsi="Verdana" w:cs="Arial"/>
        </w:rPr>
      </w:pPr>
      <w:r>
        <w:rPr>
          <w:rFonts w:ascii="Verdana" w:eastAsia="Calibri" w:hAnsi="Verdana" w:cs="Arial"/>
        </w:rPr>
        <w:t>Respecto a la consulta por usted planteada, debemos precisar que, si bien las personas pueden presentarse individualmente a los procesos de selección, tambié</w:t>
      </w:r>
      <w:r w:rsidR="00067F20">
        <w:rPr>
          <w:rFonts w:ascii="Verdana" w:eastAsia="Calibri" w:hAnsi="Verdana" w:cs="Arial"/>
        </w:rPr>
        <w:t>n pueden hacerlo en forma plural a través de consorcios o uniones temporales. En efecto, de acuerdo con el Código Civil, la capacidad se refiere a la facultad que la ley le confiere a la persona para ejercer derech</w:t>
      </w:r>
      <w:r w:rsidR="0016795E">
        <w:rPr>
          <w:rFonts w:ascii="Verdana" w:eastAsia="Calibri" w:hAnsi="Verdana" w:cs="Arial"/>
        </w:rPr>
        <w:t>os y contraer obligaciones. Esta norma parte del supuesto de que todas las personas naturales mayores de edad</w:t>
      </w:r>
      <w:r w:rsidR="006776E2">
        <w:rPr>
          <w:rFonts w:ascii="Verdana" w:eastAsia="Calibri" w:hAnsi="Verdana" w:cs="Arial"/>
        </w:rPr>
        <w:t xml:space="preserve"> son capaces, con excepción de aquellas que la ley expresamente excluye d</w:t>
      </w:r>
      <w:r w:rsidR="003905CD">
        <w:rPr>
          <w:rFonts w:ascii="Verdana" w:eastAsia="Calibri" w:hAnsi="Verdana" w:cs="Arial"/>
        </w:rPr>
        <w:t>e</w:t>
      </w:r>
      <w:r w:rsidR="006776E2">
        <w:rPr>
          <w:rFonts w:ascii="Verdana" w:eastAsia="Calibri" w:hAnsi="Verdana" w:cs="Arial"/>
        </w:rPr>
        <w:t xml:space="preserve"> esta presunción -artículos 1502, 1503 y 1504-, y de que la capacidad de las personas jurídicas se </w:t>
      </w:r>
      <w:r w:rsidR="0034568A">
        <w:rPr>
          <w:rFonts w:ascii="Verdana" w:eastAsia="Calibri" w:hAnsi="Verdana" w:cs="Arial"/>
        </w:rPr>
        <w:t>circunscribe</w:t>
      </w:r>
      <w:r w:rsidR="00451B6F">
        <w:rPr>
          <w:rFonts w:ascii="Verdana" w:eastAsia="Calibri" w:hAnsi="Verdana" w:cs="Arial"/>
        </w:rPr>
        <w:t xml:space="preserve"> a su objeto social – artículo 99 del Código de Comercio-.</w:t>
      </w:r>
      <w:r w:rsidR="0034568A">
        <w:rPr>
          <w:rFonts w:ascii="Verdana" w:eastAsia="Calibri" w:hAnsi="Verdana" w:cs="Arial"/>
        </w:rPr>
        <w:t xml:space="preserve"> Al respecto, el articulo 6 de la Ley 80 de 1993 -modificado por el</w:t>
      </w:r>
      <w:r w:rsidR="00100FB1">
        <w:rPr>
          <w:rFonts w:ascii="Verdana" w:eastAsia="Calibri" w:hAnsi="Verdana" w:cs="Arial"/>
        </w:rPr>
        <w:t xml:space="preserve"> artículo 1 de la Ley 2160 de 2021- dispone que: “Pueden celebrar contratos con las entidades estatales las personas consideradas </w:t>
      </w:r>
      <w:r w:rsidR="00100FB1">
        <w:rPr>
          <w:rFonts w:ascii="Verdana" w:eastAsia="Calibri" w:hAnsi="Verdana" w:cs="Arial"/>
        </w:rPr>
        <w:lastRenderedPageBreak/>
        <w:t xml:space="preserve">legalmente capaces en las disposiciones vigentes. También podrán celebrar contratos con las entidades estatales […] los consorcios y uniones temporales”. </w:t>
      </w:r>
    </w:p>
    <w:p w14:paraId="1A195729" w14:textId="748C39B1" w:rsidR="00100FB1" w:rsidRPr="00266116" w:rsidRDefault="00266116" w:rsidP="005734CF">
      <w:pPr>
        <w:spacing w:after="0" w:line="276" w:lineRule="auto"/>
        <w:ind w:firstLine="709"/>
        <w:jc w:val="both"/>
        <w:rPr>
          <w:rFonts w:ascii="Verdana" w:eastAsia="Verdana" w:hAnsi="Verdana" w:cs="Verdana"/>
          <w:lang w:val="es-ES"/>
        </w:rPr>
      </w:pPr>
      <w:r w:rsidRPr="00D342D0">
        <w:rPr>
          <w:rFonts w:ascii="Verdana" w:eastAsia="Calibri" w:hAnsi="Verdana" w:cs="Arial"/>
        </w:rPr>
        <w:t xml:space="preserve">La capacidad para contratar, e incluso la de realizar actos </w:t>
      </w:r>
      <w:r w:rsidR="00F65E8F" w:rsidRPr="00D342D0">
        <w:rPr>
          <w:rFonts w:ascii="Verdana" w:eastAsia="Calibri" w:hAnsi="Verdana" w:cs="Arial"/>
        </w:rPr>
        <w:t>jurídicamente vinculantes como</w:t>
      </w:r>
      <w:r w:rsidR="00F65E8F">
        <w:rPr>
          <w:rFonts w:ascii="Verdana" w:eastAsia="Verdana" w:hAnsi="Verdana" w:cs="Verdana"/>
          <w:lang w:val="es-ES"/>
        </w:rPr>
        <w:t xml:space="preserve"> la presentación de una oferta en un procedimiento de selección de contratistas, se consideró por mucho tiempo uno de los atributos de la personalidad reservado, en tanto tal, a las personas jurídicas y naturales. No obstante, el progreso en la formas negociales y asociativas hizo necesario reconocer nuevas estructuras plurales y otorgarles ciertos atributos que tradicionalmente</w:t>
      </w:r>
      <w:r w:rsidR="00BA0717">
        <w:rPr>
          <w:rFonts w:ascii="Verdana" w:eastAsia="Verdana" w:hAnsi="Verdana" w:cs="Verdana"/>
          <w:lang w:val="es-ES"/>
        </w:rPr>
        <w:t xml:space="preserve"> habían estado reservados a las personas jurídicas. Tal es precisamente el caso de la capacidad para contra</w:t>
      </w:r>
      <w:r w:rsidR="00D342D0">
        <w:rPr>
          <w:rFonts w:ascii="Verdana" w:eastAsia="Verdana" w:hAnsi="Verdana" w:cs="Verdana"/>
          <w:lang w:val="es-ES"/>
        </w:rPr>
        <w:t xml:space="preserve">tar otorgada a los consorcios y uniones temporales. En este sentido, la Corte Constitucional ha sostenido: </w:t>
      </w:r>
    </w:p>
    <w:p w14:paraId="1BEFFAE8" w14:textId="77777777" w:rsidR="002F3011" w:rsidRDefault="002F3011" w:rsidP="002F3011">
      <w:pPr>
        <w:pStyle w:val="Textoindependiente"/>
        <w:spacing w:before="49"/>
      </w:pPr>
    </w:p>
    <w:p w14:paraId="60796A33" w14:textId="77777777" w:rsidR="002F3011" w:rsidRPr="00C4676B" w:rsidRDefault="002F3011" w:rsidP="005734CF">
      <w:pPr>
        <w:spacing w:after="0" w:line="240" w:lineRule="auto"/>
        <w:ind w:left="709" w:right="709"/>
        <w:jc w:val="both"/>
        <w:rPr>
          <w:rFonts w:ascii="Verdana" w:hAnsi="Verdana"/>
          <w:iCs/>
          <w:sz w:val="20"/>
          <w:szCs w:val="20"/>
        </w:rPr>
      </w:pPr>
      <w:r w:rsidRPr="00C4676B">
        <w:rPr>
          <w:rFonts w:ascii="Verdana" w:hAnsi="Verdana"/>
          <w:iCs/>
          <w:sz w:val="20"/>
          <w:szCs w:val="20"/>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w:t>
      </w:r>
      <w:r w:rsidRPr="00C4676B">
        <w:rPr>
          <w:rFonts w:ascii="Verdana" w:hAnsi="Verdana"/>
          <w:iCs/>
          <w:spacing w:val="-7"/>
          <w:sz w:val="20"/>
          <w:szCs w:val="20"/>
        </w:rPr>
        <w:t xml:space="preserve"> </w:t>
      </w:r>
      <w:r w:rsidRPr="00C4676B">
        <w:rPr>
          <w:rFonts w:ascii="Verdana" w:hAnsi="Verdana"/>
          <w:iCs/>
          <w:sz w:val="20"/>
          <w:szCs w:val="20"/>
        </w:rPr>
        <w:t>los</w:t>
      </w:r>
      <w:r w:rsidRPr="00C4676B">
        <w:rPr>
          <w:rFonts w:ascii="Verdana" w:hAnsi="Verdana"/>
          <w:iCs/>
          <w:spacing w:val="-8"/>
          <w:sz w:val="20"/>
          <w:szCs w:val="20"/>
        </w:rPr>
        <w:t xml:space="preserve"> </w:t>
      </w:r>
      <w:r w:rsidRPr="00C4676B">
        <w:rPr>
          <w:rFonts w:ascii="Verdana" w:hAnsi="Verdana"/>
          <w:iCs/>
          <w:sz w:val="20"/>
          <w:szCs w:val="20"/>
        </w:rPr>
        <w:t>contratos</w:t>
      </w:r>
      <w:r w:rsidRPr="00C4676B">
        <w:rPr>
          <w:rFonts w:ascii="Verdana" w:hAnsi="Verdana"/>
          <w:iCs/>
          <w:spacing w:val="-8"/>
          <w:sz w:val="20"/>
          <w:szCs w:val="20"/>
        </w:rPr>
        <w:t xml:space="preserve"> </w:t>
      </w:r>
      <w:r w:rsidRPr="00C4676B">
        <w:rPr>
          <w:rFonts w:ascii="Verdana" w:hAnsi="Verdana"/>
          <w:iCs/>
          <w:sz w:val="20"/>
          <w:szCs w:val="20"/>
        </w:rPr>
        <w:t>de</w:t>
      </w:r>
      <w:r w:rsidRPr="00C4676B">
        <w:rPr>
          <w:rFonts w:ascii="Verdana" w:hAnsi="Verdana"/>
          <w:iCs/>
          <w:spacing w:val="-7"/>
          <w:sz w:val="20"/>
          <w:szCs w:val="20"/>
        </w:rPr>
        <w:t xml:space="preserve"> </w:t>
      </w:r>
      <w:r w:rsidRPr="00C4676B">
        <w:rPr>
          <w:rFonts w:ascii="Verdana" w:hAnsi="Verdana"/>
          <w:iCs/>
          <w:sz w:val="20"/>
          <w:szCs w:val="20"/>
        </w:rPr>
        <w:t>colaboración</w:t>
      </w:r>
      <w:r w:rsidRPr="00C4676B">
        <w:rPr>
          <w:rFonts w:ascii="Verdana" w:hAnsi="Verdana"/>
          <w:iCs/>
          <w:spacing w:val="-10"/>
          <w:sz w:val="20"/>
          <w:szCs w:val="20"/>
        </w:rPr>
        <w:t xml:space="preserve"> </w:t>
      </w:r>
      <w:r w:rsidRPr="00C4676B">
        <w:rPr>
          <w:rFonts w:ascii="Verdana" w:hAnsi="Verdana"/>
          <w:iCs/>
          <w:sz w:val="20"/>
          <w:szCs w:val="20"/>
        </w:rPr>
        <w:t>económica</w:t>
      </w:r>
      <w:r w:rsidRPr="00C4676B">
        <w:rPr>
          <w:rFonts w:ascii="Verdana" w:hAnsi="Verdana"/>
          <w:iCs/>
          <w:spacing w:val="-8"/>
          <w:sz w:val="20"/>
          <w:szCs w:val="20"/>
        </w:rPr>
        <w:t xml:space="preserve"> </w:t>
      </w:r>
      <w:r w:rsidRPr="00C4676B">
        <w:rPr>
          <w:rFonts w:ascii="Verdana" w:hAnsi="Verdana"/>
          <w:iCs/>
          <w:sz w:val="20"/>
          <w:szCs w:val="20"/>
        </w:rPr>
        <w:t>para</w:t>
      </w:r>
      <w:r w:rsidRPr="00C4676B">
        <w:rPr>
          <w:rFonts w:ascii="Verdana" w:hAnsi="Verdana"/>
          <w:iCs/>
          <w:spacing w:val="-9"/>
          <w:sz w:val="20"/>
          <w:szCs w:val="20"/>
        </w:rPr>
        <w:t xml:space="preserve"> </w:t>
      </w:r>
      <w:r w:rsidRPr="00C4676B">
        <w:rPr>
          <w:rFonts w:ascii="Verdana" w:hAnsi="Verdana"/>
          <w:iCs/>
          <w:sz w:val="20"/>
          <w:szCs w:val="20"/>
        </w:rPr>
        <w:t>la</w:t>
      </w:r>
      <w:r w:rsidRPr="00C4676B">
        <w:rPr>
          <w:rFonts w:ascii="Verdana" w:hAnsi="Verdana"/>
          <w:iCs/>
          <w:spacing w:val="-8"/>
          <w:sz w:val="20"/>
          <w:szCs w:val="20"/>
        </w:rPr>
        <w:t xml:space="preserve"> </w:t>
      </w:r>
      <w:r w:rsidRPr="00C4676B">
        <w:rPr>
          <w:rFonts w:ascii="Verdana" w:hAnsi="Verdana"/>
          <w:iCs/>
          <w:sz w:val="20"/>
          <w:szCs w:val="20"/>
        </w:rPr>
        <w:t>efectiva</w:t>
      </w:r>
      <w:r w:rsidRPr="00C4676B">
        <w:rPr>
          <w:rFonts w:ascii="Verdana" w:hAnsi="Verdana"/>
          <w:iCs/>
          <w:spacing w:val="-8"/>
          <w:sz w:val="20"/>
          <w:szCs w:val="20"/>
        </w:rPr>
        <w:t xml:space="preserve"> </w:t>
      </w:r>
      <w:r w:rsidRPr="00C4676B">
        <w:rPr>
          <w:rFonts w:ascii="Verdana" w:hAnsi="Verdana"/>
          <w:iCs/>
          <w:sz w:val="20"/>
          <w:szCs w:val="20"/>
        </w:rPr>
        <w:t>realización</w:t>
      </w:r>
      <w:r w:rsidRPr="00C4676B">
        <w:rPr>
          <w:rFonts w:ascii="Verdana" w:hAnsi="Verdana"/>
          <w:iCs/>
          <w:spacing w:val="-10"/>
          <w:sz w:val="20"/>
          <w:szCs w:val="20"/>
        </w:rPr>
        <w:t xml:space="preserve"> </w:t>
      </w:r>
      <w:r w:rsidRPr="00C4676B">
        <w:rPr>
          <w:rFonts w:ascii="Verdana" w:hAnsi="Verdana"/>
          <w:iCs/>
          <w:sz w:val="20"/>
          <w:szCs w:val="20"/>
        </w:rPr>
        <w:t>de proyectos de contratación pública, altamente especializados e intensivos en capital y, así mismo, indispensables para que el Estado Social de Derecho, cumpla los</w:t>
      </w:r>
      <w:r w:rsidRPr="00C4676B">
        <w:rPr>
          <w:rFonts w:ascii="Verdana" w:hAnsi="Verdana"/>
          <w:iCs/>
          <w:spacing w:val="-5"/>
          <w:sz w:val="20"/>
          <w:szCs w:val="20"/>
        </w:rPr>
        <w:t xml:space="preserve"> </w:t>
      </w:r>
      <w:r w:rsidRPr="00C4676B">
        <w:rPr>
          <w:rFonts w:ascii="Verdana" w:hAnsi="Verdana"/>
          <w:iCs/>
          <w:sz w:val="20"/>
          <w:szCs w:val="20"/>
        </w:rPr>
        <w:t>cometidos</w:t>
      </w:r>
      <w:r w:rsidRPr="00C4676B">
        <w:rPr>
          <w:rFonts w:ascii="Verdana" w:hAnsi="Verdana"/>
          <w:iCs/>
          <w:spacing w:val="-4"/>
          <w:sz w:val="20"/>
          <w:szCs w:val="20"/>
        </w:rPr>
        <w:t xml:space="preserve"> </w:t>
      </w:r>
      <w:r w:rsidRPr="00C4676B">
        <w:rPr>
          <w:rFonts w:ascii="Verdana" w:hAnsi="Verdana"/>
          <w:iCs/>
          <w:sz w:val="20"/>
          <w:szCs w:val="20"/>
        </w:rPr>
        <w:t>para</w:t>
      </w:r>
      <w:r w:rsidRPr="00C4676B">
        <w:rPr>
          <w:rFonts w:ascii="Verdana" w:hAnsi="Verdana"/>
          <w:iCs/>
          <w:spacing w:val="-1"/>
          <w:sz w:val="20"/>
          <w:szCs w:val="20"/>
        </w:rPr>
        <w:t xml:space="preserve"> </w:t>
      </w:r>
      <w:r w:rsidRPr="00C4676B">
        <w:rPr>
          <w:rFonts w:ascii="Verdana" w:hAnsi="Verdana"/>
          <w:iCs/>
          <w:sz w:val="20"/>
          <w:szCs w:val="20"/>
        </w:rPr>
        <w:t>los cuales</w:t>
      </w:r>
      <w:r w:rsidRPr="00C4676B">
        <w:rPr>
          <w:rFonts w:ascii="Verdana" w:hAnsi="Verdana"/>
          <w:iCs/>
          <w:spacing w:val="-5"/>
          <w:sz w:val="20"/>
          <w:szCs w:val="20"/>
        </w:rPr>
        <w:t xml:space="preserve"> </w:t>
      </w:r>
      <w:r w:rsidRPr="00C4676B">
        <w:rPr>
          <w:rFonts w:ascii="Verdana" w:hAnsi="Verdana"/>
          <w:iCs/>
          <w:sz w:val="20"/>
          <w:szCs w:val="20"/>
        </w:rPr>
        <w:t>fue</w:t>
      </w:r>
      <w:r w:rsidRPr="00C4676B">
        <w:rPr>
          <w:rFonts w:ascii="Verdana" w:hAnsi="Verdana"/>
          <w:iCs/>
          <w:spacing w:val="-5"/>
          <w:sz w:val="20"/>
          <w:szCs w:val="20"/>
        </w:rPr>
        <w:t xml:space="preserve"> </w:t>
      </w:r>
      <w:r w:rsidRPr="00C4676B">
        <w:rPr>
          <w:rFonts w:ascii="Verdana" w:hAnsi="Verdana"/>
          <w:iCs/>
          <w:sz w:val="20"/>
          <w:szCs w:val="20"/>
        </w:rPr>
        <w:t>instituido-</w:t>
      </w:r>
      <w:r w:rsidRPr="00C4676B">
        <w:rPr>
          <w:rFonts w:ascii="Verdana" w:hAnsi="Verdana"/>
          <w:iCs/>
          <w:spacing w:val="-1"/>
          <w:sz w:val="20"/>
          <w:szCs w:val="20"/>
        </w:rPr>
        <w:t xml:space="preserve"> </w:t>
      </w:r>
      <w:r w:rsidRPr="00C4676B">
        <w:rPr>
          <w:rFonts w:ascii="Verdana" w:hAnsi="Verdana"/>
          <w:iCs/>
          <w:sz w:val="20"/>
          <w:szCs w:val="20"/>
        </w:rPr>
        <w:t>Preámbulo, artículos 1 y 2 de la Carta Política.</w:t>
      </w:r>
    </w:p>
    <w:p w14:paraId="2CEC1127" w14:textId="77777777" w:rsidR="002F3011" w:rsidRPr="00C4676B" w:rsidRDefault="002F3011" w:rsidP="005734CF">
      <w:pPr>
        <w:spacing w:after="0" w:line="240" w:lineRule="auto"/>
        <w:ind w:left="709" w:right="709"/>
        <w:rPr>
          <w:rFonts w:ascii="Verdana" w:hAnsi="Verdana"/>
          <w:iCs/>
          <w:sz w:val="20"/>
          <w:szCs w:val="20"/>
        </w:rPr>
      </w:pPr>
      <w:r w:rsidRPr="00C4676B">
        <w:rPr>
          <w:rFonts w:ascii="Verdana" w:hAnsi="Verdana"/>
          <w:iCs/>
          <w:spacing w:val="-5"/>
          <w:sz w:val="20"/>
          <w:szCs w:val="20"/>
        </w:rPr>
        <w:t>[…]</w:t>
      </w:r>
    </w:p>
    <w:p w14:paraId="775ACAD9" w14:textId="2819412D" w:rsidR="002F3011" w:rsidRPr="00C4676B" w:rsidRDefault="002F3011" w:rsidP="005734CF">
      <w:pPr>
        <w:spacing w:after="0" w:line="240" w:lineRule="auto"/>
        <w:ind w:left="709" w:right="709"/>
        <w:jc w:val="both"/>
        <w:rPr>
          <w:rFonts w:ascii="Verdana" w:hAnsi="Verdana"/>
          <w:iCs/>
          <w:sz w:val="20"/>
          <w:szCs w:val="20"/>
        </w:rPr>
      </w:pPr>
      <w:r w:rsidRPr="00C4676B">
        <w:rPr>
          <w:rFonts w:ascii="Verdana" w:hAnsi="Verdana"/>
          <w:iCs/>
          <w:sz w:val="20"/>
          <w:szCs w:val="20"/>
        </w:rPr>
        <w:t>En</w:t>
      </w:r>
      <w:r w:rsidRPr="00C4676B">
        <w:rPr>
          <w:rFonts w:ascii="Verdana" w:hAnsi="Verdana"/>
          <w:iCs/>
          <w:spacing w:val="-18"/>
          <w:sz w:val="20"/>
          <w:szCs w:val="20"/>
        </w:rPr>
        <w:t xml:space="preserve"> </w:t>
      </w:r>
      <w:r w:rsidRPr="00C4676B">
        <w:rPr>
          <w:rFonts w:ascii="Verdana" w:hAnsi="Verdana"/>
          <w:iCs/>
          <w:sz w:val="20"/>
          <w:szCs w:val="20"/>
        </w:rPr>
        <w:t>torno</w:t>
      </w:r>
      <w:r w:rsidRPr="00C4676B">
        <w:rPr>
          <w:rFonts w:ascii="Verdana" w:hAnsi="Verdana"/>
          <w:iCs/>
          <w:spacing w:val="-18"/>
          <w:sz w:val="20"/>
          <w:szCs w:val="20"/>
        </w:rPr>
        <w:t xml:space="preserve"> </w:t>
      </w:r>
      <w:r w:rsidRPr="00C4676B">
        <w:rPr>
          <w:rFonts w:ascii="Verdana" w:hAnsi="Verdana"/>
          <w:iCs/>
          <w:sz w:val="20"/>
          <w:szCs w:val="20"/>
        </w:rPr>
        <w:t>a</w:t>
      </w:r>
      <w:r w:rsidRPr="00C4676B">
        <w:rPr>
          <w:rFonts w:ascii="Verdana" w:hAnsi="Verdana"/>
          <w:iCs/>
          <w:spacing w:val="-17"/>
          <w:sz w:val="20"/>
          <w:szCs w:val="20"/>
        </w:rPr>
        <w:t xml:space="preserve"> </w:t>
      </w:r>
      <w:r w:rsidRPr="00C4676B">
        <w:rPr>
          <w:rFonts w:ascii="Verdana" w:hAnsi="Verdana"/>
          <w:iCs/>
          <w:sz w:val="20"/>
          <w:szCs w:val="20"/>
        </w:rPr>
        <w:t>la</w:t>
      </w:r>
      <w:r w:rsidRPr="00C4676B">
        <w:rPr>
          <w:rFonts w:ascii="Verdana" w:hAnsi="Verdana"/>
          <w:iCs/>
          <w:spacing w:val="-18"/>
          <w:sz w:val="20"/>
          <w:szCs w:val="20"/>
        </w:rPr>
        <w:t xml:space="preserve"> </w:t>
      </w:r>
      <w:r w:rsidRPr="00C4676B">
        <w:rPr>
          <w:rFonts w:ascii="Verdana" w:hAnsi="Verdana"/>
          <w:iCs/>
          <w:sz w:val="20"/>
          <w:szCs w:val="20"/>
        </w:rPr>
        <w:t>capacidad</w:t>
      </w:r>
      <w:r w:rsidRPr="00C4676B">
        <w:rPr>
          <w:rFonts w:ascii="Verdana" w:hAnsi="Verdana"/>
          <w:iCs/>
          <w:spacing w:val="-17"/>
          <w:sz w:val="20"/>
          <w:szCs w:val="20"/>
        </w:rPr>
        <w:t xml:space="preserve"> </w:t>
      </w:r>
      <w:r w:rsidRPr="00C4676B">
        <w:rPr>
          <w:rFonts w:ascii="Verdana" w:hAnsi="Verdana"/>
          <w:iCs/>
          <w:sz w:val="20"/>
          <w:szCs w:val="20"/>
        </w:rPr>
        <w:t>contractual</w:t>
      </w:r>
      <w:r w:rsidRPr="00C4676B">
        <w:rPr>
          <w:rFonts w:ascii="Verdana" w:hAnsi="Verdana"/>
          <w:iCs/>
          <w:spacing w:val="-18"/>
          <w:sz w:val="20"/>
          <w:szCs w:val="20"/>
        </w:rPr>
        <w:t xml:space="preserve"> </w:t>
      </w:r>
      <w:r w:rsidRPr="00C4676B">
        <w:rPr>
          <w:rFonts w:ascii="Verdana" w:hAnsi="Verdana"/>
          <w:iCs/>
          <w:sz w:val="20"/>
          <w:szCs w:val="20"/>
        </w:rPr>
        <w:t>de</w:t>
      </w:r>
      <w:r w:rsidRPr="00C4676B">
        <w:rPr>
          <w:rFonts w:ascii="Verdana" w:hAnsi="Verdana"/>
          <w:iCs/>
          <w:spacing w:val="-18"/>
          <w:sz w:val="20"/>
          <w:szCs w:val="20"/>
        </w:rPr>
        <w:t xml:space="preserve"> </w:t>
      </w:r>
      <w:r w:rsidRPr="00C4676B">
        <w:rPr>
          <w:rFonts w:ascii="Verdana" w:hAnsi="Verdana"/>
          <w:iCs/>
          <w:sz w:val="20"/>
          <w:szCs w:val="20"/>
        </w:rPr>
        <w:t>los</w:t>
      </w:r>
      <w:r w:rsidRPr="00C4676B">
        <w:rPr>
          <w:rFonts w:ascii="Verdana" w:hAnsi="Verdana"/>
          <w:iCs/>
          <w:spacing w:val="-17"/>
          <w:sz w:val="20"/>
          <w:szCs w:val="20"/>
        </w:rPr>
        <w:t xml:space="preserve"> </w:t>
      </w:r>
      <w:r w:rsidRPr="00C4676B">
        <w:rPr>
          <w:rFonts w:ascii="Verdana" w:hAnsi="Verdana"/>
          <w:iCs/>
          <w:sz w:val="20"/>
          <w:szCs w:val="20"/>
        </w:rPr>
        <w:t>consorcios</w:t>
      </w:r>
      <w:r w:rsidRPr="00C4676B">
        <w:rPr>
          <w:rFonts w:ascii="Verdana" w:hAnsi="Verdana"/>
          <w:iCs/>
          <w:spacing w:val="-18"/>
          <w:sz w:val="20"/>
          <w:szCs w:val="20"/>
        </w:rPr>
        <w:t xml:space="preserve"> </w:t>
      </w:r>
      <w:r w:rsidRPr="00C4676B">
        <w:rPr>
          <w:rFonts w:ascii="Verdana" w:hAnsi="Verdana"/>
          <w:iCs/>
          <w:sz w:val="20"/>
          <w:szCs w:val="20"/>
        </w:rPr>
        <w:t>y</w:t>
      </w:r>
      <w:r w:rsidRPr="00C4676B">
        <w:rPr>
          <w:rFonts w:ascii="Verdana" w:hAnsi="Verdana"/>
          <w:iCs/>
          <w:spacing w:val="-17"/>
          <w:sz w:val="20"/>
          <w:szCs w:val="20"/>
        </w:rPr>
        <w:t xml:space="preserve"> </w:t>
      </w:r>
      <w:r w:rsidRPr="00C4676B">
        <w:rPr>
          <w:rFonts w:ascii="Verdana" w:hAnsi="Verdana"/>
          <w:iCs/>
          <w:sz w:val="20"/>
          <w:szCs w:val="20"/>
        </w:rPr>
        <w:t>uniones</w:t>
      </w:r>
      <w:r w:rsidRPr="00C4676B">
        <w:rPr>
          <w:rFonts w:ascii="Verdana" w:hAnsi="Verdana"/>
          <w:iCs/>
          <w:spacing w:val="-18"/>
          <w:sz w:val="20"/>
          <w:szCs w:val="20"/>
        </w:rPr>
        <w:t xml:space="preserve"> </w:t>
      </w:r>
      <w:r w:rsidRPr="00C4676B">
        <w:rPr>
          <w:rFonts w:ascii="Verdana" w:hAnsi="Verdana"/>
          <w:iCs/>
          <w:sz w:val="20"/>
          <w:szCs w:val="20"/>
        </w:rPr>
        <w:t>temporales la jurisprudencia constitucional ha expresado que el Estatuto de contratación</w:t>
      </w:r>
      <w:r w:rsidRPr="00C4676B">
        <w:rPr>
          <w:rFonts w:ascii="Verdana" w:hAnsi="Verdana"/>
          <w:iCs/>
          <w:spacing w:val="-6"/>
          <w:sz w:val="20"/>
          <w:szCs w:val="20"/>
        </w:rPr>
        <w:t xml:space="preserve"> </w:t>
      </w:r>
      <w:r w:rsidRPr="00C4676B">
        <w:rPr>
          <w:rFonts w:ascii="Verdana" w:hAnsi="Verdana"/>
          <w:iCs/>
          <w:sz w:val="20"/>
          <w:szCs w:val="20"/>
        </w:rPr>
        <w:t>les</w:t>
      </w:r>
      <w:r w:rsidRPr="00C4676B">
        <w:rPr>
          <w:rFonts w:ascii="Verdana" w:hAnsi="Verdana"/>
          <w:iCs/>
          <w:spacing w:val="-4"/>
          <w:sz w:val="20"/>
          <w:szCs w:val="20"/>
        </w:rPr>
        <w:t xml:space="preserve"> </w:t>
      </w:r>
      <w:r w:rsidRPr="00C4676B">
        <w:rPr>
          <w:rFonts w:ascii="Verdana" w:hAnsi="Verdana"/>
          <w:iCs/>
          <w:sz w:val="20"/>
          <w:szCs w:val="20"/>
        </w:rPr>
        <w:t>reconoce</w:t>
      </w:r>
      <w:r w:rsidRPr="00C4676B">
        <w:rPr>
          <w:rFonts w:ascii="Verdana" w:hAnsi="Verdana"/>
          <w:iCs/>
          <w:spacing w:val="-4"/>
          <w:sz w:val="20"/>
          <w:szCs w:val="20"/>
        </w:rPr>
        <w:t xml:space="preserve"> </w:t>
      </w:r>
      <w:r w:rsidRPr="00C4676B">
        <w:rPr>
          <w:rFonts w:ascii="Verdana" w:hAnsi="Verdana"/>
          <w:iCs/>
          <w:sz w:val="20"/>
          <w:szCs w:val="20"/>
        </w:rPr>
        <w:t>este</w:t>
      </w:r>
      <w:r w:rsidRPr="00C4676B">
        <w:rPr>
          <w:rFonts w:ascii="Verdana" w:hAnsi="Verdana"/>
          <w:iCs/>
          <w:spacing w:val="-4"/>
          <w:sz w:val="20"/>
          <w:szCs w:val="20"/>
        </w:rPr>
        <w:t xml:space="preserve"> </w:t>
      </w:r>
      <w:r w:rsidRPr="00C4676B">
        <w:rPr>
          <w:rFonts w:ascii="Verdana" w:hAnsi="Verdana"/>
          <w:iCs/>
          <w:sz w:val="20"/>
          <w:szCs w:val="20"/>
        </w:rPr>
        <w:t>atributo</w:t>
      </w:r>
      <w:r w:rsidRPr="00C4676B">
        <w:rPr>
          <w:rFonts w:ascii="Verdana" w:hAnsi="Verdana"/>
          <w:iCs/>
          <w:spacing w:val="-6"/>
          <w:sz w:val="20"/>
          <w:szCs w:val="20"/>
        </w:rPr>
        <w:t xml:space="preserve"> </w:t>
      </w:r>
      <w:r w:rsidRPr="00C4676B">
        <w:rPr>
          <w:rFonts w:ascii="Verdana" w:hAnsi="Verdana"/>
          <w:iCs/>
          <w:sz w:val="20"/>
          <w:szCs w:val="20"/>
        </w:rPr>
        <w:t>sin</w:t>
      </w:r>
      <w:r w:rsidRPr="00C4676B">
        <w:rPr>
          <w:rFonts w:ascii="Verdana" w:hAnsi="Verdana"/>
          <w:iCs/>
          <w:spacing w:val="-6"/>
          <w:sz w:val="20"/>
          <w:szCs w:val="20"/>
        </w:rPr>
        <w:t xml:space="preserve"> </w:t>
      </w:r>
      <w:r w:rsidRPr="00C4676B">
        <w:rPr>
          <w:rFonts w:ascii="Verdana" w:hAnsi="Verdana"/>
          <w:iCs/>
          <w:sz w:val="20"/>
          <w:szCs w:val="20"/>
        </w:rPr>
        <w:t>exigirles</w:t>
      </w:r>
      <w:r w:rsidRPr="00C4676B">
        <w:rPr>
          <w:rFonts w:ascii="Verdana" w:hAnsi="Verdana"/>
          <w:iCs/>
          <w:spacing w:val="-4"/>
          <w:sz w:val="20"/>
          <w:szCs w:val="20"/>
        </w:rPr>
        <w:t xml:space="preserve"> </w:t>
      </w:r>
      <w:r w:rsidRPr="00C4676B">
        <w:rPr>
          <w:rFonts w:ascii="Verdana" w:hAnsi="Verdana"/>
          <w:iCs/>
          <w:sz w:val="20"/>
          <w:szCs w:val="20"/>
        </w:rPr>
        <w:t>como</w:t>
      </w:r>
      <w:r w:rsidRPr="00C4676B">
        <w:rPr>
          <w:rFonts w:ascii="Verdana" w:hAnsi="Verdana"/>
          <w:iCs/>
          <w:spacing w:val="-6"/>
          <w:sz w:val="20"/>
          <w:szCs w:val="20"/>
        </w:rPr>
        <w:t xml:space="preserve"> </w:t>
      </w:r>
      <w:r w:rsidRPr="00C4676B">
        <w:rPr>
          <w:rFonts w:ascii="Verdana" w:hAnsi="Verdana"/>
          <w:iCs/>
          <w:sz w:val="20"/>
          <w:szCs w:val="20"/>
        </w:rPr>
        <w:t>condición</w:t>
      </w:r>
      <w:r w:rsidRPr="00C4676B">
        <w:rPr>
          <w:rFonts w:ascii="Verdana" w:hAnsi="Verdana"/>
          <w:iCs/>
          <w:spacing w:val="-2"/>
          <w:sz w:val="20"/>
          <w:szCs w:val="20"/>
        </w:rPr>
        <w:t xml:space="preserve"> </w:t>
      </w:r>
      <w:r w:rsidRPr="00C4676B">
        <w:rPr>
          <w:rFonts w:ascii="Verdana" w:hAnsi="Verdana"/>
          <w:iCs/>
          <w:sz w:val="20"/>
          <w:szCs w:val="20"/>
        </w:rPr>
        <w:t>de</w:t>
      </w:r>
      <w:r w:rsidRPr="00C4676B">
        <w:rPr>
          <w:rFonts w:ascii="Verdana" w:hAnsi="Verdana"/>
          <w:iCs/>
          <w:spacing w:val="-4"/>
          <w:sz w:val="20"/>
          <w:szCs w:val="20"/>
        </w:rPr>
        <w:t xml:space="preserve"> </w:t>
      </w:r>
      <w:r w:rsidRPr="00C4676B">
        <w:rPr>
          <w:rFonts w:ascii="Verdana" w:hAnsi="Verdana"/>
          <w:iCs/>
          <w:sz w:val="20"/>
          <w:szCs w:val="20"/>
        </w:rPr>
        <w:t xml:space="preserve">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w:t>
      </w:r>
      <w:r w:rsidRPr="00C4676B">
        <w:rPr>
          <w:rFonts w:ascii="Verdana" w:hAnsi="Verdana"/>
          <w:iCs/>
          <w:spacing w:val="-2"/>
          <w:sz w:val="20"/>
          <w:szCs w:val="20"/>
        </w:rPr>
        <w:t>contractuales”</w:t>
      </w:r>
      <w:r w:rsidR="00643D63">
        <w:rPr>
          <w:rStyle w:val="Refdenotaalpie"/>
          <w:rFonts w:ascii="Verdana" w:hAnsi="Verdana"/>
          <w:iCs/>
          <w:spacing w:val="-2"/>
          <w:sz w:val="20"/>
          <w:szCs w:val="20"/>
        </w:rPr>
        <w:footnoteReference w:id="1"/>
      </w:r>
      <w:r w:rsidR="00643D63" w:rsidRPr="00C4676B">
        <w:rPr>
          <w:rFonts w:ascii="Verdana" w:hAnsi="Verdana"/>
          <w:iCs/>
          <w:sz w:val="20"/>
          <w:szCs w:val="20"/>
        </w:rPr>
        <w:t xml:space="preserve"> </w:t>
      </w:r>
    </w:p>
    <w:p w14:paraId="4E540884" w14:textId="77777777" w:rsidR="00C14F42" w:rsidRDefault="00C14F42" w:rsidP="005734CF">
      <w:pPr>
        <w:pStyle w:val="Textoindependiente"/>
        <w:spacing w:line="276" w:lineRule="auto"/>
        <w:ind w:firstLine="710"/>
        <w:jc w:val="both"/>
        <w:rPr>
          <w:lang w:val="es-CO"/>
        </w:rPr>
      </w:pPr>
    </w:p>
    <w:p w14:paraId="35ACEDCA" w14:textId="0E0AC5D4" w:rsidR="006E6A17" w:rsidRDefault="006E6A17" w:rsidP="005734CF">
      <w:pPr>
        <w:pStyle w:val="Textoindependiente"/>
        <w:spacing w:line="276" w:lineRule="auto"/>
        <w:ind w:firstLine="710"/>
        <w:jc w:val="both"/>
        <w:rPr>
          <w:lang w:val="es-CO"/>
        </w:rPr>
      </w:pPr>
      <w:r w:rsidRPr="006E6A17">
        <w:rPr>
          <w:lang w:val="es-CO"/>
        </w:rPr>
        <w:t xml:space="preserve">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w:t>
      </w:r>
      <w:r w:rsidRPr="006E6A17">
        <w:rPr>
          <w:lang w:val="es-CO"/>
        </w:rPr>
        <w:lastRenderedPageBreak/>
        <w:t>consorcios y uniones temporales se reconoce sin necesidad de exigirles como condición de su ejercicio que sean personas morales lo que, hasta cierto punto, podría considerarse una evolución en la teoría de la personalidad jurídica.</w:t>
      </w:r>
    </w:p>
    <w:p w14:paraId="046E254D" w14:textId="52C39EF0" w:rsidR="00B1356A" w:rsidRDefault="00B1356A" w:rsidP="005734CF">
      <w:pPr>
        <w:pStyle w:val="Textoindependiente"/>
        <w:spacing w:before="121" w:line="276" w:lineRule="auto"/>
        <w:ind w:firstLine="710"/>
        <w:jc w:val="both"/>
        <w:rPr>
          <w:lang w:val="es-CO"/>
        </w:rPr>
      </w:pPr>
      <w:r w:rsidRPr="00B1356A">
        <w:rPr>
          <w:lang w:val="es-CO"/>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En lo pertinente, la norma precitada dispone que:</w:t>
      </w:r>
    </w:p>
    <w:p w14:paraId="4AAAF9D8" w14:textId="77777777" w:rsidR="002F3011" w:rsidRDefault="002F3011" w:rsidP="002F3011">
      <w:pPr>
        <w:pStyle w:val="Textoindependiente"/>
        <w:spacing w:before="49"/>
      </w:pPr>
    </w:p>
    <w:p w14:paraId="1C3FB4BA" w14:textId="77777777" w:rsidR="002F3011" w:rsidRDefault="002F3011" w:rsidP="006B1984">
      <w:pPr>
        <w:spacing w:after="0" w:line="240" w:lineRule="auto"/>
        <w:ind w:left="709" w:right="709"/>
        <w:jc w:val="both"/>
        <w:rPr>
          <w:rFonts w:ascii="Verdana" w:hAnsi="Verdana"/>
          <w:spacing w:val="-4"/>
          <w:sz w:val="20"/>
          <w:szCs w:val="20"/>
        </w:rPr>
      </w:pPr>
      <w:r w:rsidRPr="00D41B27">
        <w:rPr>
          <w:rFonts w:ascii="Verdana" w:hAnsi="Verdana"/>
          <w:sz w:val="20"/>
          <w:szCs w:val="20"/>
        </w:rPr>
        <w:t>“Artículo</w:t>
      </w:r>
      <w:r w:rsidRPr="00D41B27">
        <w:rPr>
          <w:rFonts w:ascii="Verdana" w:hAnsi="Verdana"/>
          <w:spacing w:val="-2"/>
          <w:sz w:val="20"/>
          <w:szCs w:val="20"/>
        </w:rPr>
        <w:t xml:space="preserve"> </w:t>
      </w:r>
      <w:r w:rsidRPr="00D41B27">
        <w:rPr>
          <w:rFonts w:ascii="Verdana" w:hAnsi="Verdana"/>
          <w:sz w:val="20"/>
          <w:szCs w:val="20"/>
        </w:rPr>
        <w:t>7º.-</w:t>
      </w:r>
      <w:r w:rsidRPr="00D41B27">
        <w:rPr>
          <w:rFonts w:ascii="Verdana" w:hAnsi="Verdana"/>
          <w:spacing w:val="-5"/>
          <w:sz w:val="20"/>
          <w:szCs w:val="20"/>
        </w:rPr>
        <w:t xml:space="preserve"> </w:t>
      </w:r>
      <w:r w:rsidRPr="00D41B27">
        <w:rPr>
          <w:rFonts w:ascii="Verdana" w:hAnsi="Verdana"/>
          <w:sz w:val="20"/>
          <w:szCs w:val="20"/>
        </w:rPr>
        <w:t>ENTIDADES A CONTRATAR. Artículo modificado por el artículo</w:t>
      </w:r>
      <w:r w:rsidRPr="00D41B27">
        <w:rPr>
          <w:rFonts w:ascii="Verdana" w:hAnsi="Verdana"/>
          <w:spacing w:val="-18"/>
          <w:sz w:val="20"/>
          <w:szCs w:val="20"/>
        </w:rPr>
        <w:t xml:space="preserve"> </w:t>
      </w:r>
      <w:r w:rsidRPr="00D41B27">
        <w:rPr>
          <w:rFonts w:ascii="Verdana" w:hAnsi="Verdana"/>
          <w:sz w:val="20"/>
          <w:szCs w:val="20"/>
        </w:rPr>
        <w:t>3</w:t>
      </w:r>
      <w:r w:rsidRPr="00D41B27">
        <w:rPr>
          <w:rFonts w:ascii="Verdana" w:hAnsi="Verdana"/>
          <w:spacing w:val="-17"/>
          <w:sz w:val="20"/>
          <w:szCs w:val="20"/>
        </w:rPr>
        <w:t xml:space="preserve"> </w:t>
      </w:r>
      <w:r w:rsidRPr="00D41B27">
        <w:rPr>
          <w:rFonts w:ascii="Verdana" w:hAnsi="Verdana"/>
          <w:sz w:val="20"/>
          <w:szCs w:val="20"/>
        </w:rPr>
        <w:t>de</w:t>
      </w:r>
      <w:r w:rsidRPr="00D41B27">
        <w:rPr>
          <w:rFonts w:ascii="Verdana" w:hAnsi="Verdana"/>
          <w:spacing w:val="-14"/>
          <w:sz w:val="20"/>
          <w:szCs w:val="20"/>
        </w:rPr>
        <w:t xml:space="preserve"> </w:t>
      </w:r>
      <w:r w:rsidRPr="00D41B27">
        <w:rPr>
          <w:rFonts w:ascii="Verdana" w:hAnsi="Verdana"/>
          <w:sz w:val="20"/>
          <w:szCs w:val="20"/>
        </w:rPr>
        <w:t>la</w:t>
      </w:r>
      <w:r w:rsidRPr="00D41B27">
        <w:rPr>
          <w:rFonts w:ascii="Verdana" w:hAnsi="Verdana"/>
          <w:spacing w:val="-15"/>
          <w:sz w:val="20"/>
          <w:szCs w:val="20"/>
        </w:rPr>
        <w:t xml:space="preserve"> </w:t>
      </w:r>
      <w:r w:rsidRPr="00D41B27">
        <w:rPr>
          <w:rFonts w:ascii="Verdana" w:hAnsi="Verdana"/>
          <w:sz w:val="20"/>
          <w:szCs w:val="20"/>
        </w:rPr>
        <w:t>Ley</w:t>
      </w:r>
      <w:r w:rsidRPr="00D41B27">
        <w:rPr>
          <w:rFonts w:ascii="Verdana" w:hAnsi="Verdana"/>
          <w:spacing w:val="-14"/>
          <w:sz w:val="20"/>
          <w:szCs w:val="20"/>
        </w:rPr>
        <w:t xml:space="preserve"> </w:t>
      </w:r>
      <w:r w:rsidRPr="00D41B27">
        <w:rPr>
          <w:rFonts w:ascii="Verdana" w:hAnsi="Verdana"/>
          <w:sz w:val="20"/>
          <w:szCs w:val="20"/>
        </w:rPr>
        <w:t>2160</w:t>
      </w:r>
      <w:r w:rsidRPr="00D41B27">
        <w:rPr>
          <w:rFonts w:ascii="Verdana" w:hAnsi="Verdana"/>
          <w:spacing w:val="-17"/>
          <w:sz w:val="20"/>
          <w:szCs w:val="20"/>
        </w:rPr>
        <w:t xml:space="preserve"> </w:t>
      </w:r>
      <w:r w:rsidRPr="00D41B27">
        <w:rPr>
          <w:rFonts w:ascii="Verdana" w:hAnsi="Verdana"/>
          <w:sz w:val="20"/>
          <w:szCs w:val="20"/>
        </w:rPr>
        <w:t>de</w:t>
      </w:r>
      <w:r w:rsidRPr="00D41B27">
        <w:rPr>
          <w:rFonts w:ascii="Verdana" w:hAnsi="Verdana"/>
          <w:spacing w:val="-14"/>
          <w:sz w:val="20"/>
          <w:szCs w:val="20"/>
        </w:rPr>
        <w:t xml:space="preserve"> </w:t>
      </w:r>
      <w:r w:rsidRPr="00D41B27">
        <w:rPr>
          <w:rFonts w:ascii="Verdana" w:hAnsi="Verdana"/>
          <w:sz w:val="20"/>
          <w:szCs w:val="20"/>
        </w:rPr>
        <w:t>2021.</w:t>
      </w:r>
      <w:r w:rsidRPr="00D41B27">
        <w:rPr>
          <w:rFonts w:ascii="Verdana" w:hAnsi="Verdana"/>
          <w:spacing w:val="6"/>
          <w:sz w:val="20"/>
          <w:szCs w:val="20"/>
        </w:rPr>
        <w:t xml:space="preserve"> </w:t>
      </w:r>
      <w:r w:rsidRPr="00D41B27">
        <w:rPr>
          <w:rFonts w:ascii="Verdana" w:hAnsi="Verdana"/>
          <w:sz w:val="20"/>
          <w:szCs w:val="20"/>
        </w:rPr>
        <w:t>Para</w:t>
      </w:r>
      <w:r w:rsidRPr="00D41B27">
        <w:rPr>
          <w:rFonts w:ascii="Verdana" w:hAnsi="Verdana"/>
          <w:spacing w:val="-16"/>
          <w:sz w:val="20"/>
          <w:szCs w:val="20"/>
        </w:rPr>
        <w:t xml:space="preserve"> </w:t>
      </w:r>
      <w:r w:rsidRPr="00D41B27">
        <w:rPr>
          <w:rFonts w:ascii="Verdana" w:hAnsi="Verdana"/>
          <w:sz w:val="20"/>
          <w:szCs w:val="20"/>
        </w:rPr>
        <w:t>los</w:t>
      </w:r>
      <w:r w:rsidRPr="00D41B27">
        <w:rPr>
          <w:rFonts w:ascii="Verdana" w:hAnsi="Verdana"/>
          <w:spacing w:val="-15"/>
          <w:sz w:val="20"/>
          <w:szCs w:val="20"/>
        </w:rPr>
        <w:t xml:space="preserve"> </w:t>
      </w:r>
      <w:r w:rsidRPr="00D41B27">
        <w:rPr>
          <w:rFonts w:ascii="Verdana" w:hAnsi="Verdana"/>
          <w:sz w:val="20"/>
          <w:szCs w:val="20"/>
        </w:rPr>
        <w:t>efectos</w:t>
      </w:r>
      <w:r w:rsidRPr="00D41B27">
        <w:rPr>
          <w:rFonts w:ascii="Verdana" w:hAnsi="Verdana"/>
          <w:spacing w:val="-18"/>
          <w:sz w:val="20"/>
          <w:szCs w:val="20"/>
        </w:rPr>
        <w:t xml:space="preserve"> </w:t>
      </w:r>
      <w:r w:rsidRPr="00D41B27">
        <w:rPr>
          <w:rFonts w:ascii="Verdana" w:hAnsi="Verdana"/>
          <w:sz w:val="20"/>
          <w:szCs w:val="20"/>
        </w:rPr>
        <w:t>de</w:t>
      </w:r>
      <w:r w:rsidRPr="00D41B27">
        <w:rPr>
          <w:rFonts w:ascii="Verdana" w:hAnsi="Verdana"/>
          <w:spacing w:val="-14"/>
          <w:sz w:val="20"/>
          <w:szCs w:val="20"/>
        </w:rPr>
        <w:t xml:space="preserve"> </w:t>
      </w:r>
      <w:r w:rsidRPr="00D41B27">
        <w:rPr>
          <w:rFonts w:ascii="Verdana" w:hAnsi="Verdana"/>
          <w:sz w:val="20"/>
          <w:szCs w:val="20"/>
        </w:rPr>
        <w:t>esta</w:t>
      </w:r>
      <w:r w:rsidRPr="00D41B27">
        <w:rPr>
          <w:rFonts w:ascii="Verdana" w:hAnsi="Verdana"/>
          <w:spacing w:val="-15"/>
          <w:sz w:val="20"/>
          <w:szCs w:val="20"/>
        </w:rPr>
        <w:t xml:space="preserve"> </w:t>
      </w:r>
      <w:r w:rsidRPr="00D41B27">
        <w:rPr>
          <w:rFonts w:ascii="Verdana" w:hAnsi="Verdana"/>
          <w:sz w:val="20"/>
          <w:szCs w:val="20"/>
        </w:rPr>
        <w:t>Ley</w:t>
      </w:r>
      <w:r w:rsidRPr="00D41B27">
        <w:rPr>
          <w:rFonts w:ascii="Verdana" w:hAnsi="Verdana"/>
          <w:spacing w:val="-18"/>
          <w:sz w:val="20"/>
          <w:szCs w:val="20"/>
        </w:rPr>
        <w:t xml:space="preserve"> </w:t>
      </w:r>
      <w:r w:rsidRPr="00D41B27">
        <w:rPr>
          <w:rFonts w:ascii="Verdana" w:hAnsi="Verdana"/>
          <w:sz w:val="20"/>
          <w:szCs w:val="20"/>
        </w:rPr>
        <w:t>se</w:t>
      </w:r>
      <w:r w:rsidRPr="00D41B27">
        <w:rPr>
          <w:rFonts w:ascii="Verdana" w:hAnsi="Verdana"/>
          <w:spacing w:val="-15"/>
          <w:sz w:val="20"/>
          <w:szCs w:val="20"/>
        </w:rPr>
        <w:t xml:space="preserve"> </w:t>
      </w:r>
      <w:r w:rsidRPr="00D41B27">
        <w:rPr>
          <w:rFonts w:ascii="Verdana" w:hAnsi="Verdana"/>
          <w:sz w:val="20"/>
          <w:szCs w:val="20"/>
        </w:rPr>
        <w:t xml:space="preserve">entiende </w:t>
      </w:r>
      <w:r w:rsidRPr="00D41B27">
        <w:rPr>
          <w:rFonts w:ascii="Verdana" w:hAnsi="Verdana"/>
          <w:spacing w:val="-4"/>
          <w:sz w:val="20"/>
          <w:szCs w:val="20"/>
        </w:rPr>
        <w:t>por:</w:t>
      </w:r>
    </w:p>
    <w:p w14:paraId="5585F714" w14:textId="77777777" w:rsidR="00583524" w:rsidRPr="00D41B27" w:rsidRDefault="00583524" w:rsidP="005734CF">
      <w:pPr>
        <w:spacing w:after="0" w:line="240" w:lineRule="auto"/>
        <w:ind w:left="709" w:right="709"/>
        <w:jc w:val="both"/>
        <w:rPr>
          <w:rFonts w:ascii="Verdana" w:hAnsi="Verdana"/>
          <w:sz w:val="20"/>
          <w:szCs w:val="20"/>
        </w:rPr>
      </w:pPr>
    </w:p>
    <w:p w14:paraId="53051491" w14:textId="77777777" w:rsidR="002F3011" w:rsidRPr="00D41B27" w:rsidRDefault="002F3011" w:rsidP="005734CF">
      <w:pPr>
        <w:spacing w:after="0" w:line="240" w:lineRule="auto"/>
        <w:ind w:left="709" w:right="709"/>
        <w:jc w:val="both"/>
        <w:rPr>
          <w:rFonts w:ascii="Verdana" w:hAnsi="Verdana"/>
          <w:sz w:val="20"/>
          <w:szCs w:val="20"/>
        </w:rPr>
      </w:pPr>
      <w:r w:rsidRPr="00D41B27">
        <w:rPr>
          <w:rFonts w:ascii="Verdana" w:hAnsi="Verdana"/>
          <w:spacing w:val="-5"/>
          <w:sz w:val="20"/>
          <w:szCs w:val="20"/>
        </w:rPr>
        <w:t>[…]</w:t>
      </w:r>
    </w:p>
    <w:p w14:paraId="1B269A54" w14:textId="77777777" w:rsidR="00583524" w:rsidRDefault="00583524" w:rsidP="006B1984">
      <w:pPr>
        <w:spacing w:after="0" w:line="240" w:lineRule="auto"/>
        <w:ind w:left="709" w:right="709"/>
        <w:jc w:val="both"/>
        <w:rPr>
          <w:rFonts w:ascii="Verdana" w:hAnsi="Verdana"/>
          <w:sz w:val="20"/>
          <w:szCs w:val="20"/>
        </w:rPr>
      </w:pPr>
    </w:p>
    <w:p w14:paraId="04F2E615" w14:textId="77777777" w:rsidR="002F3011" w:rsidRDefault="002F3011" w:rsidP="006B1984">
      <w:pPr>
        <w:spacing w:after="0" w:line="240" w:lineRule="auto"/>
        <w:ind w:left="709" w:right="709"/>
        <w:jc w:val="both"/>
        <w:rPr>
          <w:rFonts w:ascii="Verdana" w:hAnsi="Verdana"/>
          <w:spacing w:val="-2"/>
          <w:sz w:val="20"/>
          <w:szCs w:val="20"/>
        </w:rPr>
      </w:pPr>
      <w:r w:rsidRPr="00D41B27">
        <w:rPr>
          <w:rFonts w:ascii="Verdana" w:hAnsi="Verdana"/>
          <w:sz w:val="20"/>
          <w:szCs w:val="20"/>
        </w:rPr>
        <w:t>Consorcio:</w:t>
      </w:r>
      <w:r w:rsidRPr="00D41B27">
        <w:rPr>
          <w:rFonts w:ascii="Verdana" w:hAnsi="Verdana"/>
          <w:spacing w:val="-2"/>
          <w:sz w:val="20"/>
          <w:szCs w:val="20"/>
        </w:rPr>
        <w:t xml:space="preserve"> </w:t>
      </w:r>
      <w:r w:rsidRPr="00D41B27">
        <w:rPr>
          <w:rFonts w:ascii="Verdana" w:hAnsi="Verdana"/>
          <w:sz w:val="20"/>
          <w:szCs w:val="20"/>
        </w:rPr>
        <w:t>Cuando dos o más personas en forma conjunta presentan una</w:t>
      </w:r>
      <w:r w:rsidRPr="00D41B27">
        <w:rPr>
          <w:rFonts w:ascii="Verdana" w:hAnsi="Verdana"/>
          <w:spacing w:val="-2"/>
          <w:sz w:val="20"/>
          <w:szCs w:val="20"/>
        </w:rPr>
        <w:t xml:space="preserve"> </w:t>
      </w:r>
      <w:r w:rsidRPr="00D41B27">
        <w:rPr>
          <w:rFonts w:ascii="Verdana" w:hAnsi="Verdana"/>
          <w:sz w:val="20"/>
          <w:szCs w:val="20"/>
        </w:rPr>
        <w:t>misma</w:t>
      </w:r>
      <w:r w:rsidRPr="00D41B27">
        <w:rPr>
          <w:rFonts w:ascii="Verdana" w:hAnsi="Verdana"/>
          <w:spacing w:val="-1"/>
          <w:sz w:val="20"/>
          <w:szCs w:val="20"/>
        </w:rPr>
        <w:t xml:space="preserve"> </w:t>
      </w:r>
      <w:r w:rsidRPr="00D41B27">
        <w:rPr>
          <w:rFonts w:ascii="Verdana" w:hAnsi="Verdana"/>
          <w:sz w:val="20"/>
          <w:szCs w:val="20"/>
        </w:rPr>
        <w:t>propuesta</w:t>
      </w:r>
      <w:r w:rsidRPr="00D41B27">
        <w:rPr>
          <w:rFonts w:ascii="Verdana" w:hAnsi="Verdana"/>
          <w:spacing w:val="-2"/>
          <w:sz w:val="20"/>
          <w:szCs w:val="20"/>
        </w:rPr>
        <w:t xml:space="preserve"> </w:t>
      </w:r>
      <w:r w:rsidRPr="00D41B27">
        <w:rPr>
          <w:rFonts w:ascii="Verdana" w:hAnsi="Verdana"/>
          <w:sz w:val="20"/>
          <w:szCs w:val="20"/>
        </w:rPr>
        <w:t>para</w:t>
      </w:r>
      <w:r w:rsidRPr="00D41B27">
        <w:rPr>
          <w:rFonts w:ascii="Verdana" w:hAnsi="Verdana"/>
          <w:spacing w:val="-2"/>
          <w:sz w:val="20"/>
          <w:szCs w:val="20"/>
        </w:rPr>
        <w:t xml:space="preserve"> </w:t>
      </w:r>
      <w:r w:rsidRPr="00D41B27">
        <w:rPr>
          <w:rFonts w:ascii="Verdana" w:hAnsi="Verdana"/>
          <w:sz w:val="20"/>
          <w:szCs w:val="20"/>
        </w:rPr>
        <w:t>la</w:t>
      </w:r>
      <w:r w:rsidRPr="00D41B27">
        <w:rPr>
          <w:rFonts w:ascii="Verdana" w:hAnsi="Verdana"/>
          <w:spacing w:val="-6"/>
          <w:sz w:val="20"/>
          <w:szCs w:val="20"/>
        </w:rPr>
        <w:t xml:space="preserve"> </w:t>
      </w:r>
      <w:r w:rsidRPr="00D41B27">
        <w:rPr>
          <w:rFonts w:ascii="Verdana" w:hAnsi="Verdana"/>
          <w:sz w:val="20"/>
          <w:szCs w:val="20"/>
        </w:rPr>
        <w:t>adjudicación, celebración</w:t>
      </w:r>
      <w:r w:rsidRPr="00D41B27">
        <w:rPr>
          <w:rFonts w:ascii="Verdana" w:hAnsi="Verdana"/>
          <w:spacing w:val="-3"/>
          <w:sz w:val="20"/>
          <w:szCs w:val="20"/>
        </w:rPr>
        <w:t xml:space="preserve"> </w:t>
      </w:r>
      <w:r w:rsidRPr="00D41B27">
        <w:rPr>
          <w:rFonts w:ascii="Verdana" w:hAnsi="Verdana"/>
          <w:sz w:val="20"/>
          <w:szCs w:val="20"/>
        </w:rPr>
        <w:t>y ejecución</w:t>
      </w:r>
      <w:r w:rsidRPr="00D41B27">
        <w:rPr>
          <w:rFonts w:ascii="Verdana" w:hAnsi="Verdana"/>
          <w:spacing w:val="-3"/>
          <w:sz w:val="20"/>
          <w:szCs w:val="20"/>
        </w:rPr>
        <w:t xml:space="preserve"> </w:t>
      </w:r>
      <w:r w:rsidRPr="00D41B27">
        <w:rPr>
          <w:rFonts w:ascii="Verdana" w:hAnsi="Verdana"/>
          <w:sz w:val="20"/>
          <w:szCs w:val="20"/>
        </w:rPr>
        <w:t>de</w:t>
      </w:r>
      <w:r w:rsidRPr="00D41B27">
        <w:rPr>
          <w:rFonts w:ascii="Verdana" w:hAnsi="Verdana"/>
          <w:spacing w:val="-5"/>
          <w:sz w:val="20"/>
          <w:szCs w:val="20"/>
        </w:rPr>
        <w:t xml:space="preserve"> </w:t>
      </w:r>
      <w:r w:rsidRPr="00D41B27">
        <w:rPr>
          <w:rFonts w:ascii="Verdana" w:hAnsi="Verdana"/>
          <w:sz w:val="20"/>
          <w:szCs w:val="20"/>
        </w:rPr>
        <w:t>un contrato, respondiendo solidariamente de todas y cada una de las obligaciones derivadas de la propuesta y del contrato. En consecuencia, las actuaciones, hechos</w:t>
      </w:r>
      <w:r w:rsidRPr="00D41B27">
        <w:rPr>
          <w:rFonts w:ascii="Verdana" w:hAnsi="Verdana"/>
          <w:spacing w:val="-1"/>
          <w:sz w:val="20"/>
          <w:szCs w:val="20"/>
        </w:rPr>
        <w:t xml:space="preserve"> </w:t>
      </w:r>
      <w:r w:rsidRPr="00D41B27">
        <w:rPr>
          <w:rFonts w:ascii="Verdana" w:hAnsi="Verdana"/>
          <w:sz w:val="20"/>
          <w:szCs w:val="20"/>
        </w:rPr>
        <w:t>y omisiones</w:t>
      </w:r>
      <w:r w:rsidRPr="00D41B27">
        <w:rPr>
          <w:rFonts w:ascii="Verdana" w:hAnsi="Verdana"/>
          <w:spacing w:val="-1"/>
          <w:sz w:val="20"/>
          <w:szCs w:val="20"/>
        </w:rPr>
        <w:t xml:space="preserve"> </w:t>
      </w:r>
      <w:r w:rsidRPr="00D41B27">
        <w:rPr>
          <w:rFonts w:ascii="Verdana" w:hAnsi="Verdana"/>
          <w:sz w:val="20"/>
          <w:szCs w:val="20"/>
        </w:rPr>
        <w:t>que</w:t>
      </w:r>
      <w:r w:rsidRPr="00D41B27">
        <w:rPr>
          <w:rFonts w:ascii="Verdana" w:hAnsi="Verdana"/>
          <w:spacing w:val="-4"/>
          <w:sz w:val="20"/>
          <w:szCs w:val="20"/>
        </w:rPr>
        <w:t xml:space="preserve"> </w:t>
      </w:r>
      <w:r w:rsidRPr="00D41B27">
        <w:rPr>
          <w:rFonts w:ascii="Verdana" w:hAnsi="Verdana"/>
          <w:sz w:val="20"/>
          <w:szCs w:val="20"/>
        </w:rPr>
        <w:t>se presenten</w:t>
      </w:r>
      <w:r w:rsidRPr="00D41B27">
        <w:rPr>
          <w:rFonts w:ascii="Verdana" w:hAnsi="Verdana"/>
          <w:spacing w:val="-2"/>
          <w:sz w:val="20"/>
          <w:szCs w:val="20"/>
        </w:rPr>
        <w:t xml:space="preserve"> </w:t>
      </w:r>
      <w:r w:rsidRPr="00D41B27">
        <w:rPr>
          <w:rFonts w:ascii="Verdana" w:hAnsi="Verdana"/>
          <w:sz w:val="20"/>
          <w:szCs w:val="20"/>
        </w:rPr>
        <w:t>en</w:t>
      </w:r>
      <w:r w:rsidRPr="00D41B27">
        <w:rPr>
          <w:rFonts w:ascii="Verdana" w:hAnsi="Verdana"/>
          <w:spacing w:val="-2"/>
          <w:sz w:val="20"/>
          <w:szCs w:val="20"/>
        </w:rPr>
        <w:t xml:space="preserve"> </w:t>
      </w:r>
      <w:r w:rsidRPr="00D41B27">
        <w:rPr>
          <w:rFonts w:ascii="Verdana" w:hAnsi="Verdana"/>
          <w:sz w:val="20"/>
          <w:szCs w:val="20"/>
        </w:rPr>
        <w:t>desarrollo</w:t>
      </w:r>
      <w:r w:rsidRPr="00D41B27">
        <w:rPr>
          <w:rFonts w:ascii="Verdana" w:hAnsi="Verdana"/>
          <w:spacing w:val="-2"/>
          <w:sz w:val="20"/>
          <w:szCs w:val="20"/>
        </w:rPr>
        <w:t xml:space="preserve"> </w:t>
      </w:r>
      <w:r w:rsidRPr="00D41B27">
        <w:rPr>
          <w:rFonts w:ascii="Verdana" w:hAnsi="Verdana"/>
          <w:sz w:val="20"/>
          <w:szCs w:val="20"/>
        </w:rPr>
        <w:t xml:space="preserve">de la propuesta y del contrato, afectarán a todos los miembros que lo </w:t>
      </w:r>
      <w:r w:rsidRPr="00D41B27">
        <w:rPr>
          <w:rFonts w:ascii="Verdana" w:hAnsi="Verdana"/>
          <w:spacing w:val="-2"/>
          <w:sz w:val="20"/>
          <w:szCs w:val="20"/>
        </w:rPr>
        <w:t>conforman.</w:t>
      </w:r>
    </w:p>
    <w:p w14:paraId="4E1416C6" w14:textId="77777777" w:rsidR="00583524" w:rsidRPr="00D41B27" w:rsidRDefault="00583524" w:rsidP="005734CF">
      <w:pPr>
        <w:spacing w:after="0" w:line="240" w:lineRule="auto"/>
        <w:ind w:left="709" w:right="709"/>
        <w:jc w:val="both"/>
        <w:rPr>
          <w:rFonts w:ascii="Verdana" w:hAnsi="Verdana"/>
          <w:sz w:val="20"/>
          <w:szCs w:val="20"/>
        </w:rPr>
      </w:pPr>
    </w:p>
    <w:p w14:paraId="75715A37" w14:textId="77777777" w:rsidR="002F3011" w:rsidRPr="00D41B27" w:rsidRDefault="002F3011" w:rsidP="005734CF">
      <w:pPr>
        <w:spacing w:after="0" w:line="240" w:lineRule="auto"/>
        <w:ind w:left="709" w:right="709"/>
        <w:jc w:val="both"/>
        <w:rPr>
          <w:rFonts w:ascii="Verdana" w:hAnsi="Verdana"/>
          <w:sz w:val="20"/>
          <w:szCs w:val="20"/>
        </w:rPr>
      </w:pPr>
      <w:r w:rsidRPr="00D41B27">
        <w:rPr>
          <w:rFonts w:ascii="Verdana" w:hAnsi="Verdana"/>
          <w:sz w:val="20"/>
          <w:szCs w:val="20"/>
        </w:rPr>
        <w:t xml:space="preserve">Unión Temporal: Cuando dos o más personas en forma conjunta presentan una misma propuesta para la adjudicación, celebración y ejecución de un contrato, respondiendo solidariamente por el cumplimiento total de la propuesta y del objeto contratado, pero </w:t>
      </w:r>
      <w:proofErr w:type="spellStart"/>
      <w:r w:rsidRPr="00D41B27">
        <w:rPr>
          <w:rFonts w:ascii="Verdana" w:hAnsi="Verdana"/>
          <w:sz w:val="20"/>
          <w:szCs w:val="20"/>
        </w:rPr>
        <w:t>l</w:t>
      </w:r>
      <w:r w:rsidRPr="00D41B27">
        <w:rPr>
          <w:rFonts w:ascii="Verdana" w:hAnsi="Verdana"/>
          <w:spacing w:val="-18"/>
          <w:sz w:val="20"/>
          <w:szCs w:val="20"/>
        </w:rPr>
        <w:t xml:space="preserve"> </w:t>
      </w:r>
      <w:r w:rsidRPr="00D41B27">
        <w:rPr>
          <w:rFonts w:ascii="Verdana" w:hAnsi="Verdana"/>
          <w:sz w:val="20"/>
          <w:szCs w:val="20"/>
        </w:rPr>
        <w:t>as</w:t>
      </w:r>
      <w:proofErr w:type="spellEnd"/>
      <w:r w:rsidRPr="00D41B27">
        <w:rPr>
          <w:rFonts w:ascii="Verdana" w:hAnsi="Verdana"/>
          <w:sz w:val="20"/>
          <w:szCs w:val="20"/>
        </w:rPr>
        <w:t xml:space="preserve"> sanciones por el incumplimiento de las obligaciones derivadas de la propuesta</w:t>
      </w:r>
      <w:r w:rsidRPr="00D41B27">
        <w:rPr>
          <w:rFonts w:ascii="Verdana" w:hAnsi="Verdana"/>
          <w:spacing w:val="-4"/>
          <w:sz w:val="20"/>
          <w:szCs w:val="20"/>
        </w:rPr>
        <w:t xml:space="preserve"> </w:t>
      </w:r>
      <w:r w:rsidRPr="00D41B27">
        <w:rPr>
          <w:rFonts w:ascii="Verdana" w:hAnsi="Verdana"/>
          <w:sz w:val="20"/>
          <w:szCs w:val="20"/>
        </w:rPr>
        <w:t>y</w:t>
      </w:r>
      <w:r w:rsidRPr="00D41B27">
        <w:rPr>
          <w:rFonts w:ascii="Verdana" w:hAnsi="Verdana"/>
          <w:spacing w:val="-3"/>
          <w:sz w:val="20"/>
          <w:szCs w:val="20"/>
        </w:rPr>
        <w:t xml:space="preserve"> </w:t>
      </w:r>
      <w:r w:rsidRPr="00D41B27">
        <w:rPr>
          <w:rFonts w:ascii="Verdana" w:hAnsi="Verdana"/>
          <w:sz w:val="20"/>
          <w:szCs w:val="20"/>
        </w:rPr>
        <w:t>del</w:t>
      </w:r>
      <w:r w:rsidRPr="00D41B27">
        <w:rPr>
          <w:rFonts w:ascii="Verdana" w:hAnsi="Verdana"/>
          <w:spacing w:val="-4"/>
          <w:sz w:val="20"/>
          <w:szCs w:val="20"/>
        </w:rPr>
        <w:t xml:space="preserve"> </w:t>
      </w:r>
      <w:r w:rsidRPr="00D41B27">
        <w:rPr>
          <w:rFonts w:ascii="Verdana" w:hAnsi="Verdana"/>
          <w:sz w:val="20"/>
          <w:szCs w:val="20"/>
        </w:rPr>
        <w:t>contrato</w:t>
      </w:r>
      <w:r w:rsidRPr="00D41B27">
        <w:rPr>
          <w:rFonts w:ascii="Verdana" w:hAnsi="Verdana"/>
          <w:spacing w:val="-5"/>
          <w:sz w:val="20"/>
          <w:szCs w:val="20"/>
        </w:rPr>
        <w:t xml:space="preserve"> </w:t>
      </w:r>
      <w:r w:rsidRPr="00D41B27">
        <w:rPr>
          <w:rFonts w:ascii="Verdana" w:hAnsi="Verdana"/>
          <w:sz w:val="20"/>
          <w:szCs w:val="20"/>
        </w:rPr>
        <w:t>se</w:t>
      </w:r>
      <w:r w:rsidRPr="00D41B27">
        <w:rPr>
          <w:rFonts w:ascii="Verdana" w:hAnsi="Verdana"/>
          <w:spacing w:val="-3"/>
          <w:sz w:val="20"/>
          <w:szCs w:val="20"/>
        </w:rPr>
        <w:t xml:space="preserve"> </w:t>
      </w:r>
      <w:r w:rsidRPr="00D41B27">
        <w:rPr>
          <w:rFonts w:ascii="Verdana" w:hAnsi="Verdana"/>
          <w:sz w:val="20"/>
          <w:szCs w:val="20"/>
        </w:rPr>
        <w:t>impondrán</w:t>
      </w:r>
      <w:r w:rsidRPr="00D41B27">
        <w:rPr>
          <w:rFonts w:ascii="Verdana" w:hAnsi="Verdana"/>
          <w:spacing w:val="-6"/>
          <w:sz w:val="20"/>
          <w:szCs w:val="20"/>
        </w:rPr>
        <w:t xml:space="preserve"> </w:t>
      </w:r>
      <w:r w:rsidRPr="00D41B27">
        <w:rPr>
          <w:rFonts w:ascii="Verdana" w:hAnsi="Verdana"/>
          <w:sz w:val="20"/>
          <w:szCs w:val="20"/>
        </w:rPr>
        <w:t>de</w:t>
      </w:r>
      <w:r w:rsidRPr="00D41B27">
        <w:rPr>
          <w:rFonts w:ascii="Verdana" w:hAnsi="Verdana"/>
          <w:spacing w:val="-3"/>
          <w:sz w:val="20"/>
          <w:szCs w:val="20"/>
        </w:rPr>
        <w:t xml:space="preserve"> </w:t>
      </w:r>
      <w:r w:rsidRPr="00D41B27">
        <w:rPr>
          <w:rFonts w:ascii="Verdana" w:hAnsi="Verdana"/>
          <w:sz w:val="20"/>
          <w:szCs w:val="20"/>
        </w:rPr>
        <w:t>acuerdo</w:t>
      </w:r>
      <w:r w:rsidRPr="00D41B27">
        <w:rPr>
          <w:rFonts w:ascii="Verdana" w:hAnsi="Verdana"/>
          <w:spacing w:val="-5"/>
          <w:sz w:val="20"/>
          <w:szCs w:val="20"/>
        </w:rPr>
        <w:t xml:space="preserve"> </w:t>
      </w:r>
      <w:r w:rsidRPr="00D41B27">
        <w:rPr>
          <w:rFonts w:ascii="Verdana" w:hAnsi="Verdana"/>
          <w:sz w:val="20"/>
          <w:szCs w:val="20"/>
        </w:rPr>
        <w:t>con</w:t>
      </w:r>
      <w:r w:rsidRPr="00D41B27">
        <w:rPr>
          <w:rFonts w:ascii="Verdana" w:hAnsi="Verdana"/>
          <w:spacing w:val="-5"/>
          <w:sz w:val="20"/>
          <w:szCs w:val="20"/>
        </w:rPr>
        <w:t xml:space="preserve"> </w:t>
      </w:r>
      <w:r w:rsidRPr="00D41B27">
        <w:rPr>
          <w:rFonts w:ascii="Verdana" w:hAnsi="Verdana"/>
          <w:sz w:val="20"/>
          <w:szCs w:val="20"/>
        </w:rPr>
        <w:t>la</w:t>
      </w:r>
      <w:r w:rsidRPr="00D41B27">
        <w:rPr>
          <w:rFonts w:ascii="Verdana" w:hAnsi="Verdana"/>
          <w:spacing w:val="-4"/>
          <w:sz w:val="20"/>
          <w:szCs w:val="20"/>
        </w:rPr>
        <w:t xml:space="preserve"> </w:t>
      </w:r>
      <w:r w:rsidRPr="00D41B27">
        <w:rPr>
          <w:rFonts w:ascii="Verdana" w:hAnsi="Verdana"/>
          <w:sz w:val="20"/>
          <w:szCs w:val="20"/>
        </w:rPr>
        <w:t>participación</w:t>
      </w:r>
      <w:r w:rsidRPr="00D41B27">
        <w:rPr>
          <w:rFonts w:ascii="Verdana" w:hAnsi="Verdana"/>
          <w:spacing w:val="-5"/>
          <w:sz w:val="20"/>
          <w:szCs w:val="20"/>
        </w:rPr>
        <w:t xml:space="preserve"> </w:t>
      </w:r>
      <w:r w:rsidRPr="00D41B27">
        <w:rPr>
          <w:rFonts w:ascii="Verdana" w:hAnsi="Verdana"/>
          <w:sz w:val="20"/>
          <w:szCs w:val="20"/>
        </w:rPr>
        <w:t>en la ejecución de cada uno de los miembros de la unión temporal.</w:t>
      </w:r>
    </w:p>
    <w:p w14:paraId="66501C4B" w14:textId="77777777" w:rsidR="00583524" w:rsidRDefault="00583524" w:rsidP="006B1984">
      <w:pPr>
        <w:spacing w:after="0" w:line="240" w:lineRule="auto"/>
        <w:ind w:left="709" w:right="709"/>
        <w:jc w:val="both"/>
        <w:rPr>
          <w:rFonts w:ascii="Verdana" w:hAnsi="Verdana"/>
          <w:spacing w:val="-5"/>
          <w:sz w:val="20"/>
          <w:szCs w:val="20"/>
        </w:rPr>
      </w:pPr>
    </w:p>
    <w:p w14:paraId="189EDEBA" w14:textId="77777777" w:rsidR="002F3011" w:rsidRPr="00D41B27" w:rsidRDefault="002F3011" w:rsidP="005734CF">
      <w:pPr>
        <w:spacing w:after="0" w:line="240" w:lineRule="auto"/>
        <w:ind w:left="709" w:right="709"/>
        <w:jc w:val="both"/>
        <w:rPr>
          <w:rFonts w:ascii="Verdana" w:hAnsi="Verdana"/>
          <w:sz w:val="20"/>
          <w:szCs w:val="20"/>
        </w:rPr>
      </w:pPr>
      <w:r w:rsidRPr="00D41B27">
        <w:rPr>
          <w:rFonts w:ascii="Verdana" w:hAnsi="Verdana"/>
          <w:spacing w:val="-5"/>
          <w:sz w:val="20"/>
          <w:szCs w:val="20"/>
        </w:rPr>
        <w:t>[…]</w:t>
      </w:r>
    </w:p>
    <w:p w14:paraId="0CC9CA22" w14:textId="77777777" w:rsidR="00583524" w:rsidRDefault="00583524" w:rsidP="006B1984">
      <w:pPr>
        <w:spacing w:after="0" w:line="240" w:lineRule="auto"/>
        <w:ind w:left="709" w:right="709"/>
        <w:jc w:val="both"/>
        <w:rPr>
          <w:rFonts w:ascii="Verdana" w:hAnsi="Verdana"/>
          <w:sz w:val="20"/>
          <w:szCs w:val="20"/>
        </w:rPr>
      </w:pPr>
    </w:p>
    <w:p w14:paraId="21D34B08" w14:textId="77777777" w:rsidR="002F3011" w:rsidRPr="00C4676B" w:rsidRDefault="002F3011" w:rsidP="006B1984">
      <w:pPr>
        <w:spacing w:after="0" w:line="240" w:lineRule="auto"/>
        <w:ind w:left="709" w:right="709"/>
        <w:jc w:val="both"/>
        <w:rPr>
          <w:rFonts w:ascii="Verdana" w:hAnsi="Verdana"/>
          <w:sz w:val="20"/>
          <w:szCs w:val="20"/>
        </w:rPr>
      </w:pPr>
      <w:r w:rsidRPr="00C4676B">
        <w:rPr>
          <w:rFonts w:ascii="Verdana" w:hAnsi="Verdana"/>
          <w:sz w:val="20"/>
          <w:szCs w:val="20"/>
        </w:rPr>
        <w:t>Parágrafo</w:t>
      </w:r>
      <w:r w:rsidRPr="00C4676B">
        <w:rPr>
          <w:rFonts w:ascii="Verdana" w:hAnsi="Verdana"/>
          <w:spacing w:val="-6"/>
          <w:sz w:val="20"/>
          <w:szCs w:val="20"/>
        </w:rPr>
        <w:t xml:space="preserve"> </w:t>
      </w:r>
      <w:r w:rsidRPr="00C4676B">
        <w:rPr>
          <w:rFonts w:ascii="Verdana" w:hAnsi="Verdana"/>
          <w:sz w:val="20"/>
          <w:szCs w:val="20"/>
        </w:rPr>
        <w:t>1º.-</w:t>
      </w:r>
      <w:r w:rsidRPr="00C4676B">
        <w:rPr>
          <w:rFonts w:ascii="Verdana" w:hAnsi="Verdana"/>
          <w:spacing w:val="-5"/>
          <w:sz w:val="20"/>
          <w:szCs w:val="20"/>
        </w:rPr>
        <w:t xml:space="preserve"> </w:t>
      </w:r>
      <w:r w:rsidRPr="00C4676B">
        <w:rPr>
          <w:rFonts w:ascii="Verdana" w:hAnsi="Verdana"/>
          <w:sz w:val="20"/>
          <w:szCs w:val="20"/>
        </w:rPr>
        <w:t>Los</w:t>
      </w:r>
      <w:r w:rsidRPr="00C4676B">
        <w:rPr>
          <w:rFonts w:ascii="Verdana" w:hAnsi="Verdana"/>
          <w:spacing w:val="-3"/>
          <w:sz w:val="20"/>
          <w:szCs w:val="20"/>
        </w:rPr>
        <w:t xml:space="preserve"> </w:t>
      </w:r>
      <w:r w:rsidRPr="00C4676B">
        <w:rPr>
          <w:rFonts w:ascii="Verdana" w:hAnsi="Verdana"/>
          <w:sz w:val="20"/>
          <w:szCs w:val="20"/>
        </w:rPr>
        <w:t>proponentes</w:t>
      </w:r>
      <w:r w:rsidRPr="00C4676B">
        <w:rPr>
          <w:rFonts w:ascii="Verdana" w:hAnsi="Verdana"/>
          <w:spacing w:val="-3"/>
          <w:sz w:val="20"/>
          <w:szCs w:val="20"/>
        </w:rPr>
        <w:t xml:space="preserve"> </w:t>
      </w:r>
      <w:r w:rsidRPr="00C4676B">
        <w:rPr>
          <w:rFonts w:ascii="Verdana" w:hAnsi="Verdana"/>
          <w:sz w:val="20"/>
          <w:szCs w:val="20"/>
        </w:rPr>
        <w:t>indicarán</w:t>
      </w:r>
      <w:r w:rsidRPr="00C4676B">
        <w:rPr>
          <w:rFonts w:ascii="Verdana" w:hAnsi="Verdana"/>
          <w:spacing w:val="-1"/>
          <w:sz w:val="20"/>
          <w:szCs w:val="20"/>
        </w:rPr>
        <w:t xml:space="preserve"> </w:t>
      </w:r>
      <w:r w:rsidRPr="00C4676B">
        <w:rPr>
          <w:rFonts w:ascii="Verdana" w:hAnsi="Verdana"/>
          <w:sz w:val="20"/>
          <w:szCs w:val="20"/>
        </w:rPr>
        <w:t>si</w:t>
      </w:r>
      <w:r w:rsidRPr="00C4676B">
        <w:rPr>
          <w:rFonts w:ascii="Verdana" w:hAnsi="Verdana"/>
          <w:spacing w:val="-3"/>
          <w:sz w:val="20"/>
          <w:szCs w:val="20"/>
        </w:rPr>
        <w:t xml:space="preserve"> </w:t>
      </w:r>
      <w:r w:rsidRPr="00C4676B">
        <w:rPr>
          <w:rFonts w:ascii="Verdana" w:hAnsi="Verdana"/>
          <w:sz w:val="20"/>
          <w:szCs w:val="20"/>
        </w:rPr>
        <w:t>su</w:t>
      </w:r>
      <w:r w:rsidRPr="00C4676B">
        <w:rPr>
          <w:rFonts w:ascii="Verdana" w:hAnsi="Verdana"/>
          <w:spacing w:val="-5"/>
          <w:sz w:val="20"/>
          <w:szCs w:val="20"/>
        </w:rPr>
        <w:t xml:space="preserve"> </w:t>
      </w:r>
      <w:r w:rsidRPr="00C4676B">
        <w:rPr>
          <w:rFonts w:ascii="Verdana" w:hAnsi="Verdana"/>
          <w:sz w:val="20"/>
          <w:szCs w:val="20"/>
        </w:rPr>
        <w:t>participación</w:t>
      </w:r>
      <w:r w:rsidRPr="00C4676B">
        <w:rPr>
          <w:rFonts w:ascii="Verdana" w:hAnsi="Verdana"/>
          <w:spacing w:val="-5"/>
          <w:sz w:val="20"/>
          <w:szCs w:val="20"/>
        </w:rPr>
        <w:t xml:space="preserve"> </w:t>
      </w:r>
      <w:r w:rsidRPr="00C4676B">
        <w:rPr>
          <w:rFonts w:ascii="Verdana" w:hAnsi="Verdana"/>
          <w:sz w:val="20"/>
          <w:szCs w:val="20"/>
        </w:rPr>
        <w:t>es</w:t>
      </w:r>
      <w:r w:rsidRPr="00C4676B">
        <w:rPr>
          <w:rFonts w:ascii="Verdana" w:hAnsi="Verdana"/>
          <w:spacing w:val="-3"/>
          <w:sz w:val="20"/>
          <w:szCs w:val="20"/>
        </w:rPr>
        <w:t xml:space="preserve"> </w:t>
      </w:r>
      <w:r w:rsidRPr="00C4676B">
        <w:rPr>
          <w:rFonts w:ascii="Verdana" w:hAnsi="Verdana"/>
          <w:sz w:val="20"/>
          <w:szCs w:val="20"/>
        </w:rPr>
        <w:t>a</w:t>
      </w:r>
      <w:r w:rsidRPr="00C4676B">
        <w:rPr>
          <w:rFonts w:ascii="Verdana" w:hAnsi="Verdana"/>
          <w:spacing w:val="-5"/>
          <w:sz w:val="20"/>
          <w:szCs w:val="20"/>
        </w:rPr>
        <w:t xml:space="preserve"> </w:t>
      </w:r>
      <w:r w:rsidRPr="00C4676B">
        <w:rPr>
          <w:rFonts w:ascii="Verdana" w:hAnsi="Verdana"/>
          <w:sz w:val="20"/>
          <w:szCs w:val="20"/>
        </w:rPr>
        <w:t>título</w:t>
      </w:r>
      <w:r w:rsidRPr="00C4676B">
        <w:rPr>
          <w:rFonts w:ascii="Verdana" w:hAnsi="Verdana"/>
          <w:spacing w:val="-5"/>
          <w:sz w:val="20"/>
          <w:szCs w:val="20"/>
        </w:rPr>
        <w:t xml:space="preserve"> </w:t>
      </w:r>
      <w:r w:rsidRPr="00C4676B">
        <w:rPr>
          <w:rFonts w:ascii="Verdana" w:hAnsi="Verdana"/>
          <w:sz w:val="20"/>
          <w:szCs w:val="20"/>
        </w:rPr>
        <w:t>de consorcio</w:t>
      </w:r>
      <w:r w:rsidRPr="00C4676B">
        <w:rPr>
          <w:rFonts w:ascii="Verdana" w:hAnsi="Verdana"/>
          <w:spacing w:val="-7"/>
          <w:sz w:val="20"/>
          <w:szCs w:val="20"/>
        </w:rPr>
        <w:t xml:space="preserve"> </w:t>
      </w:r>
      <w:r w:rsidRPr="00C4676B">
        <w:rPr>
          <w:rFonts w:ascii="Verdana" w:hAnsi="Verdana"/>
          <w:sz w:val="20"/>
          <w:szCs w:val="20"/>
        </w:rPr>
        <w:t>o</w:t>
      </w:r>
      <w:r w:rsidRPr="00C4676B">
        <w:rPr>
          <w:rFonts w:ascii="Verdana" w:hAnsi="Verdana"/>
          <w:spacing w:val="-8"/>
          <w:sz w:val="20"/>
          <w:szCs w:val="20"/>
        </w:rPr>
        <w:t xml:space="preserve"> </w:t>
      </w:r>
      <w:r w:rsidRPr="00C4676B">
        <w:rPr>
          <w:rFonts w:ascii="Verdana" w:hAnsi="Verdana"/>
          <w:sz w:val="20"/>
          <w:szCs w:val="20"/>
        </w:rPr>
        <w:t>unión</w:t>
      </w:r>
      <w:r w:rsidRPr="00C4676B">
        <w:rPr>
          <w:rFonts w:ascii="Verdana" w:hAnsi="Verdana"/>
          <w:spacing w:val="-7"/>
          <w:sz w:val="20"/>
          <w:szCs w:val="20"/>
        </w:rPr>
        <w:t xml:space="preserve"> </w:t>
      </w:r>
      <w:r w:rsidRPr="00C4676B">
        <w:rPr>
          <w:rFonts w:ascii="Verdana" w:hAnsi="Verdana"/>
          <w:sz w:val="20"/>
          <w:szCs w:val="20"/>
        </w:rPr>
        <w:t>temporal</w:t>
      </w:r>
      <w:r w:rsidRPr="00C4676B">
        <w:rPr>
          <w:rFonts w:ascii="Verdana" w:hAnsi="Verdana"/>
          <w:spacing w:val="-6"/>
          <w:sz w:val="20"/>
          <w:szCs w:val="20"/>
        </w:rPr>
        <w:t xml:space="preserve"> </w:t>
      </w:r>
      <w:r w:rsidRPr="00C4676B">
        <w:rPr>
          <w:rFonts w:ascii="Verdana" w:hAnsi="Verdana"/>
          <w:sz w:val="20"/>
          <w:szCs w:val="20"/>
        </w:rPr>
        <w:t>y,</w:t>
      </w:r>
      <w:r w:rsidRPr="00C4676B">
        <w:rPr>
          <w:rFonts w:ascii="Verdana" w:hAnsi="Verdana"/>
          <w:spacing w:val="-4"/>
          <w:sz w:val="20"/>
          <w:szCs w:val="20"/>
        </w:rPr>
        <w:t xml:space="preserve"> </w:t>
      </w:r>
      <w:r w:rsidRPr="00C4676B">
        <w:rPr>
          <w:rFonts w:ascii="Verdana" w:hAnsi="Verdana"/>
          <w:sz w:val="20"/>
          <w:szCs w:val="20"/>
        </w:rPr>
        <w:t>en</w:t>
      </w:r>
      <w:r w:rsidRPr="00C4676B">
        <w:rPr>
          <w:rFonts w:ascii="Verdana" w:hAnsi="Verdana"/>
          <w:spacing w:val="-7"/>
          <w:sz w:val="20"/>
          <w:szCs w:val="20"/>
        </w:rPr>
        <w:t xml:space="preserve"> </w:t>
      </w:r>
      <w:r w:rsidRPr="00C4676B">
        <w:rPr>
          <w:rFonts w:ascii="Verdana" w:hAnsi="Verdana"/>
          <w:sz w:val="20"/>
          <w:szCs w:val="20"/>
        </w:rPr>
        <w:t>este</w:t>
      </w:r>
      <w:r w:rsidRPr="00C4676B">
        <w:rPr>
          <w:rFonts w:ascii="Verdana" w:hAnsi="Verdana"/>
          <w:spacing w:val="-5"/>
          <w:sz w:val="20"/>
          <w:szCs w:val="20"/>
        </w:rPr>
        <w:t xml:space="preserve"> </w:t>
      </w:r>
      <w:r w:rsidRPr="00C4676B">
        <w:rPr>
          <w:rFonts w:ascii="Verdana" w:hAnsi="Verdana"/>
          <w:sz w:val="20"/>
          <w:szCs w:val="20"/>
        </w:rPr>
        <w:t>último</w:t>
      </w:r>
      <w:r w:rsidRPr="00C4676B">
        <w:rPr>
          <w:rFonts w:ascii="Verdana" w:hAnsi="Verdana"/>
          <w:spacing w:val="-7"/>
          <w:sz w:val="20"/>
          <w:szCs w:val="20"/>
        </w:rPr>
        <w:t xml:space="preserve"> </w:t>
      </w:r>
      <w:r w:rsidRPr="00C4676B">
        <w:rPr>
          <w:rFonts w:ascii="Verdana" w:hAnsi="Verdana"/>
          <w:sz w:val="20"/>
          <w:szCs w:val="20"/>
        </w:rPr>
        <w:t>caso,</w:t>
      </w:r>
      <w:r w:rsidRPr="00C4676B">
        <w:rPr>
          <w:rFonts w:ascii="Verdana" w:hAnsi="Verdana"/>
          <w:spacing w:val="-9"/>
          <w:sz w:val="20"/>
          <w:szCs w:val="20"/>
        </w:rPr>
        <w:t xml:space="preserve"> </w:t>
      </w:r>
      <w:r w:rsidRPr="00C4676B">
        <w:rPr>
          <w:rFonts w:ascii="Verdana" w:hAnsi="Verdana"/>
          <w:sz w:val="20"/>
          <w:szCs w:val="20"/>
        </w:rPr>
        <w:t>señalarán</w:t>
      </w:r>
      <w:r w:rsidRPr="00C4676B">
        <w:rPr>
          <w:rFonts w:ascii="Verdana" w:hAnsi="Verdana"/>
          <w:spacing w:val="-8"/>
          <w:sz w:val="20"/>
          <w:szCs w:val="20"/>
        </w:rPr>
        <w:t xml:space="preserve"> </w:t>
      </w:r>
      <w:r w:rsidRPr="00C4676B">
        <w:rPr>
          <w:rFonts w:ascii="Verdana" w:hAnsi="Verdana"/>
          <w:sz w:val="20"/>
          <w:szCs w:val="20"/>
        </w:rPr>
        <w:t>los</w:t>
      </w:r>
      <w:r w:rsidRPr="00C4676B">
        <w:rPr>
          <w:rFonts w:ascii="Verdana" w:hAnsi="Verdana"/>
          <w:spacing w:val="-5"/>
          <w:sz w:val="20"/>
          <w:szCs w:val="20"/>
        </w:rPr>
        <w:t xml:space="preserve"> </w:t>
      </w:r>
      <w:r w:rsidRPr="00C4676B">
        <w:rPr>
          <w:rFonts w:ascii="Verdana" w:hAnsi="Verdana"/>
          <w:sz w:val="20"/>
          <w:szCs w:val="20"/>
        </w:rPr>
        <w:t xml:space="preserve">términos </w:t>
      </w:r>
      <w:r w:rsidRPr="00C4676B">
        <w:rPr>
          <w:rFonts w:ascii="Verdana" w:hAnsi="Verdana"/>
          <w:spacing w:val="-2"/>
          <w:sz w:val="20"/>
          <w:szCs w:val="20"/>
        </w:rPr>
        <w:t>y</w:t>
      </w:r>
      <w:r w:rsidRPr="00C4676B">
        <w:rPr>
          <w:rFonts w:ascii="Verdana" w:hAnsi="Verdana"/>
          <w:spacing w:val="-15"/>
          <w:sz w:val="20"/>
          <w:szCs w:val="20"/>
        </w:rPr>
        <w:t xml:space="preserve"> </w:t>
      </w:r>
      <w:r w:rsidRPr="00C4676B">
        <w:rPr>
          <w:rFonts w:ascii="Verdana" w:hAnsi="Verdana"/>
          <w:spacing w:val="-2"/>
          <w:sz w:val="20"/>
          <w:szCs w:val="20"/>
        </w:rPr>
        <w:t>extensión</w:t>
      </w:r>
      <w:r w:rsidRPr="00C4676B">
        <w:rPr>
          <w:rFonts w:ascii="Verdana" w:hAnsi="Verdana"/>
          <w:spacing w:val="-11"/>
          <w:sz w:val="20"/>
          <w:szCs w:val="20"/>
        </w:rPr>
        <w:t xml:space="preserve"> </w:t>
      </w:r>
      <w:r w:rsidRPr="00C4676B">
        <w:rPr>
          <w:rFonts w:ascii="Verdana" w:hAnsi="Verdana"/>
          <w:spacing w:val="-2"/>
          <w:sz w:val="20"/>
          <w:szCs w:val="20"/>
        </w:rPr>
        <w:t>de</w:t>
      </w:r>
      <w:r w:rsidRPr="00C4676B">
        <w:rPr>
          <w:rFonts w:ascii="Verdana" w:hAnsi="Verdana"/>
          <w:spacing w:val="-8"/>
          <w:sz w:val="20"/>
          <w:szCs w:val="20"/>
        </w:rPr>
        <w:t xml:space="preserve"> </w:t>
      </w:r>
      <w:r w:rsidRPr="00C4676B">
        <w:rPr>
          <w:rFonts w:ascii="Verdana" w:hAnsi="Verdana"/>
          <w:spacing w:val="-2"/>
          <w:sz w:val="20"/>
          <w:szCs w:val="20"/>
        </w:rPr>
        <w:t>la</w:t>
      </w:r>
      <w:r w:rsidRPr="00C4676B">
        <w:rPr>
          <w:rFonts w:ascii="Verdana" w:hAnsi="Verdana"/>
          <w:spacing w:val="-9"/>
          <w:sz w:val="20"/>
          <w:szCs w:val="20"/>
        </w:rPr>
        <w:t xml:space="preserve"> </w:t>
      </w:r>
      <w:r w:rsidRPr="00C4676B">
        <w:rPr>
          <w:rFonts w:ascii="Verdana" w:hAnsi="Verdana"/>
          <w:spacing w:val="-2"/>
          <w:sz w:val="20"/>
          <w:szCs w:val="20"/>
        </w:rPr>
        <w:t>participación</w:t>
      </w:r>
      <w:r w:rsidRPr="00C4676B">
        <w:rPr>
          <w:rFonts w:ascii="Verdana" w:hAnsi="Verdana"/>
          <w:spacing w:val="-12"/>
          <w:sz w:val="20"/>
          <w:szCs w:val="20"/>
        </w:rPr>
        <w:t xml:space="preserve"> </w:t>
      </w:r>
      <w:r w:rsidRPr="00C4676B">
        <w:rPr>
          <w:rFonts w:ascii="Verdana" w:hAnsi="Verdana"/>
          <w:spacing w:val="-2"/>
          <w:sz w:val="20"/>
          <w:szCs w:val="20"/>
        </w:rPr>
        <w:t>en</w:t>
      </w:r>
      <w:r w:rsidRPr="00C4676B">
        <w:rPr>
          <w:rFonts w:ascii="Verdana" w:hAnsi="Verdana"/>
          <w:spacing w:val="-12"/>
          <w:sz w:val="20"/>
          <w:szCs w:val="20"/>
        </w:rPr>
        <w:t xml:space="preserve"> </w:t>
      </w:r>
      <w:r w:rsidRPr="00C4676B">
        <w:rPr>
          <w:rFonts w:ascii="Verdana" w:hAnsi="Verdana"/>
          <w:spacing w:val="-2"/>
          <w:sz w:val="20"/>
          <w:szCs w:val="20"/>
        </w:rPr>
        <w:t>la</w:t>
      </w:r>
      <w:r w:rsidRPr="00C4676B">
        <w:rPr>
          <w:rFonts w:ascii="Verdana" w:hAnsi="Verdana"/>
          <w:spacing w:val="-9"/>
          <w:sz w:val="20"/>
          <w:szCs w:val="20"/>
        </w:rPr>
        <w:t xml:space="preserve"> </w:t>
      </w:r>
      <w:r w:rsidRPr="00C4676B">
        <w:rPr>
          <w:rFonts w:ascii="Verdana" w:hAnsi="Verdana"/>
          <w:spacing w:val="-2"/>
          <w:sz w:val="20"/>
          <w:szCs w:val="20"/>
        </w:rPr>
        <w:t>propuesta</w:t>
      </w:r>
      <w:r w:rsidRPr="00C4676B">
        <w:rPr>
          <w:rFonts w:ascii="Verdana" w:hAnsi="Verdana"/>
          <w:spacing w:val="-15"/>
          <w:sz w:val="20"/>
          <w:szCs w:val="20"/>
        </w:rPr>
        <w:t xml:space="preserve"> </w:t>
      </w:r>
      <w:r w:rsidRPr="00C4676B">
        <w:rPr>
          <w:rFonts w:ascii="Verdana" w:hAnsi="Verdana"/>
          <w:spacing w:val="-2"/>
          <w:sz w:val="20"/>
          <w:szCs w:val="20"/>
        </w:rPr>
        <w:t>y</w:t>
      </w:r>
      <w:r w:rsidRPr="00C4676B">
        <w:rPr>
          <w:rFonts w:ascii="Verdana" w:hAnsi="Verdana"/>
          <w:spacing w:val="-8"/>
          <w:sz w:val="20"/>
          <w:szCs w:val="20"/>
        </w:rPr>
        <w:t xml:space="preserve"> </w:t>
      </w:r>
      <w:r w:rsidRPr="00C4676B">
        <w:rPr>
          <w:rFonts w:ascii="Verdana" w:hAnsi="Verdana"/>
          <w:spacing w:val="-2"/>
          <w:sz w:val="20"/>
          <w:szCs w:val="20"/>
        </w:rPr>
        <w:t>en</w:t>
      </w:r>
      <w:r w:rsidRPr="00C4676B">
        <w:rPr>
          <w:rFonts w:ascii="Verdana" w:hAnsi="Verdana"/>
          <w:spacing w:val="-16"/>
          <w:sz w:val="20"/>
          <w:szCs w:val="20"/>
        </w:rPr>
        <w:t xml:space="preserve"> </w:t>
      </w:r>
      <w:r w:rsidRPr="00C4676B">
        <w:rPr>
          <w:rFonts w:ascii="Verdana" w:hAnsi="Verdana"/>
          <w:spacing w:val="-2"/>
          <w:sz w:val="20"/>
          <w:szCs w:val="20"/>
        </w:rPr>
        <w:t>su</w:t>
      </w:r>
      <w:r w:rsidRPr="00C4676B">
        <w:rPr>
          <w:rFonts w:ascii="Verdana" w:hAnsi="Verdana"/>
          <w:spacing w:val="-11"/>
          <w:sz w:val="20"/>
          <w:szCs w:val="20"/>
        </w:rPr>
        <w:t xml:space="preserve"> </w:t>
      </w:r>
      <w:r w:rsidRPr="00C4676B">
        <w:rPr>
          <w:rFonts w:ascii="Verdana" w:hAnsi="Verdana"/>
          <w:spacing w:val="-2"/>
          <w:sz w:val="20"/>
          <w:szCs w:val="20"/>
        </w:rPr>
        <w:t>ejecución,</w:t>
      </w:r>
      <w:r w:rsidRPr="00C4676B">
        <w:rPr>
          <w:rFonts w:ascii="Verdana" w:hAnsi="Verdana"/>
          <w:spacing w:val="-7"/>
          <w:sz w:val="20"/>
          <w:szCs w:val="20"/>
        </w:rPr>
        <w:t xml:space="preserve"> </w:t>
      </w:r>
      <w:r w:rsidRPr="00C4676B">
        <w:rPr>
          <w:rFonts w:ascii="Verdana" w:hAnsi="Verdana"/>
          <w:spacing w:val="-2"/>
          <w:sz w:val="20"/>
          <w:szCs w:val="20"/>
        </w:rPr>
        <w:t>los</w:t>
      </w:r>
      <w:r w:rsidRPr="00C4676B">
        <w:rPr>
          <w:rFonts w:ascii="Verdana" w:hAnsi="Verdana"/>
          <w:spacing w:val="-9"/>
          <w:sz w:val="20"/>
          <w:szCs w:val="20"/>
        </w:rPr>
        <w:t xml:space="preserve"> </w:t>
      </w:r>
      <w:r w:rsidRPr="00C4676B">
        <w:rPr>
          <w:rFonts w:ascii="Verdana" w:hAnsi="Verdana"/>
          <w:spacing w:val="-2"/>
          <w:sz w:val="20"/>
          <w:szCs w:val="20"/>
        </w:rPr>
        <w:t xml:space="preserve">cuales </w:t>
      </w:r>
      <w:r w:rsidRPr="00C4676B">
        <w:rPr>
          <w:rFonts w:ascii="Verdana" w:hAnsi="Verdana"/>
          <w:sz w:val="20"/>
          <w:szCs w:val="20"/>
        </w:rPr>
        <w:t>no podrán ser modificados sin el consentimiento previo de la entidad estatal contratante.</w:t>
      </w:r>
    </w:p>
    <w:p w14:paraId="5B64B308" w14:textId="77777777" w:rsidR="00583524" w:rsidRPr="00C4676B" w:rsidRDefault="00583524" w:rsidP="005734CF">
      <w:pPr>
        <w:spacing w:after="0" w:line="240" w:lineRule="auto"/>
        <w:ind w:left="709" w:right="709"/>
        <w:jc w:val="both"/>
        <w:rPr>
          <w:rFonts w:ascii="Verdana" w:hAnsi="Verdana"/>
          <w:sz w:val="20"/>
          <w:szCs w:val="20"/>
        </w:rPr>
      </w:pPr>
    </w:p>
    <w:p w14:paraId="41F233FE" w14:textId="77777777" w:rsidR="002F3011" w:rsidRPr="00C4676B" w:rsidRDefault="002F3011" w:rsidP="005734CF">
      <w:pPr>
        <w:spacing w:after="0" w:line="240" w:lineRule="auto"/>
        <w:ind w:left="709" w:right="709"/>
        <w:jc w:val="both"/>
        <w:rPr>
          <w:rFonts w:ascii="Verdana" w:hAnsi="Verdana"/>
          <w:sz w:val="20"/>
          <w:szCs w:val="20"/>
        </w:rPr>
      </w:pPr>
      <w:r w:rsidRPr="00C4676B">
        <w:rPr>
          <w:rFonts w:ascii="Verdana" w:hAnsi="Verdana"/>
          <w:sz w:val="20"/>
          <w:szCs w:val="20"/>
        </w:rPr>
        <w:lastRenderedPageBreak/>
        <w:t>Los miembros del consorcio y de la unión temporal deberán designar la persona que, para todos los efectos, representará al consorcio o unión temporal y señalarán las reglas básicas que regulen las relaciones entre ellos y su responsabilidad.</w:t>
      </w:r>
    </w:p>
    <w:p w14:paraId="03C1790F" w14:textId="77777777" w:rsidR="002F3011" w:rsidRPr="00C4676B" w:rsidRDefault="002F3011" w:rsidP="005734CF">
      <w:pPr>
        <w:spacing w:after="0" w:line="240" w:lineRule="auto"/>
        <w:ind w:left="709" w:right="709"/>
        <w:rPr>
          <w:rFonts w:ascii="Verdana" w:hAnsi="Verdana"/>
          <w:sz w:val="20"/>
          <w:szCs w:val="20"/>
        </w:rPr>
      </w:pPr>
      <w:r w:rsidRPr="00C4676B">
        <w:rPr>
          <w:rFonts w:ascii="Verdana" w:hAnsi="Verdana"/>
          <w:spacing w:val="-2"/>
          <w:sz w:val="20"/>
          <w:szCs w:val="20"/>
        </w:rPr>
        <w:t>[…]”.</w:t>
      </w:r>
    </w:p>
    <w:p w14:paraId="7A4C898E" w14:textId="77777777" w:rsidR="00583524" w:rsidRDefault="00583524" w:rsidP="005734CF">
      <w:pPr>
        <w:pStyle w:val="Textoindependiente"/>
        <w:spacing w:line="276" w:lineRule="auto"/>
        <w:ind w:firstLine="710"/>
        <w:jc w:val="both"/>
        <w:rPr>
          <w:lang w:val="es-CO"/>
        </w:rPr>
      </w:pPr>
    </w:p>
    <w:p w14:paraId="4C02D7AF" w14:textId="1E1F0962" w:rsidR="00302C11" w:rsidRPr="00DF0B22" w:rsidRDefault="00302C11" w:rsidP="005734CF">
      <w:pPr>
        <w:pStyle w:val="Textoindependiente"/>
        <w:spacing w:after="120" w:line="276" w:lineRule="auto"/>
        <w:ind w:firstLine="710"/>
        <w:jc w:val="both"/>
        <w:rPr>
          <w:lang w:val="es-CO"/>
        </w:rPr>
      </w:pPr>
      <w:r w:rsidRPr="00DF0B22">
        <w:rPr>
          <w:lang w:val="es-CO"/>
        </w:rPr>
        <w:t>Como se observa, el artículo citado señala que el consorcio o la unión temporal se da “Cuando dos o más personas en forma conjunta presentan una misma propuesta para la adjudicación, celebración y ejecución de un contrato […]”.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w:t>
      </w:r>
    </w:p>
    <w:p w14:paraId="4AF92E92" w14:textId="05F28AB2" w:rsidR="005B5AC9" w:rsidRPr="00DF0B22" w:rsidRDefault="00302C11" w:rsidP="00977377">
      <w:pPr>
        <w:pStyle w:val="Textoindependiente"/>
        <w:spacing w:after="120" w:line="276" w:lineRule="auto"/>
        <w:ind w:firstLine="710"/>
        <w:jc w:val="both"/>
        <w:rPr>
          <w:lang w:val="es-CO"/>
        </w:rPr>
      </w:pPr>
      <w:r w:rsidRPr="00DF0B22">
        <w:rPr>
          <w:lang w:val="es-CO"/>
        </w:rPr>
        <w:t>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w:t>
      </w:r>
    </w:p>
    <w:p w14:paraId="0CF31EC7" w14:textId="39BD4FE3" w:rsidR="002279AF" w:rsidRPr="004C544B" w:rsidRDefault="002279AF" w:rsidP="00977377">
      <w:pPr>
        <w:pStyle w:val="Textoindependiente"/>
        <w:spacing w:after="120" w:line="276" w:lineRule="auto"/>
        <w:ind w:firstLine="710"/>
        <w:jc w:val="both"/>
        <w:rPr>
          <w:rFonts w:cs="Arial"/>
        </w:rPr>
      </w:pPr>
      <w:r w:rsidRPr="00977377">
        <w:rPr>
          <w:lang w:val="es-CO"/>
        </w:rPr>
        <w:t>Conforme a los artículos 887 y siguientes del Código de Comercio, la cesión de los contratos</w:t>
      </w:r>
      <w:r w:rsidRPr="004C544B">
        <w:rPr>
          <w:rFonts w:eastAsia="Calibri" w:cs="Arial"/>
          <w:bCs/>
          <w:color w:val="000000" w:themeColor="text1"/>
        </w:rPr>
        <w:t xml:space="preserve"> juega un papel importante en la gestión de los intereses patrimoniales de los sujetos de derecho privado, ya que –a diferencia de la regulada en los artículos 1959 y siguientes del Código Civil– facilita el tráfico jurídico tanto de los derechos como de las obligaciones surgidos con ocasión del acuerdo de voluntades, lo que permite su transferencia total o parcial a terceros como negocio generador de riqueza</w:t>
      </w:r>
      <w:r w:rsidRPr="004C544B">
        <w:rPr>
          <w:rStyle w:val="Refdenotaalpie"/>
          <w:rFonts w:eastAsia="Calibri" w:cs="Arial"/>
          <w:bCs/>
          <w:color w:val="000000" w:themeColor="text1"/>
        </w:rPr>
        <w:footnoteReference w:id="2"/>
      </w:r>
      <w:r w:rsidRPr="004C544B">
        <w:rPr>
          <w:rFonts w:eastAsia="Calibri" w:cs="Arial"/>
          <w:bCs/>
          <w:color w:val="000000" w:themeColor="text1"/>
        </w:rPr>
        <w:t>.</w:t>
      </w:r>
      <w:r w:rsidRPr="004C544B">
        <w:rPr>
          <w:rFonts w:eastAsia="Calibri" w:cs="Arial"/>
          <w:color w:val="000000" w:themeColor="text1"/>
        </w:rPr>
        <w:t xml:space="preserve"> </w:t>
      </w:r>
      <w:r w:rsidRPr="004C544B">
        <w:rPr>
          <w:rFonts w:cs="Arial"/>
        </w:rPr>
        <w:t>Para la doctrina:</w:t>
      </w:r>
    </w:p>
    <w:p w14:paraId="65F08072" w14:textId="77777777" w:rsidR="002279AF" w:rsidRPr="004C544B" w:rsidRDefault="002279AF" w:rsidP="002279AF">
      <w:pPr>
        <w:spacing w:after="0" w:line="276" w:lineRule="auto"/>
        <w:ind w:firstLine="708"/>
        <w:jc w:val="both"/>
        <w:rPr>
          <w:rFonts w:ascii="Verdana" w:hAnsi="Verdana" w:cs="Arial"/>
        </w:rPr>
      </w:pPr>
    </w:p>
    <w:p w14:paraId="567C928B" w14:textId="77777777" w:rsidR="002279AF" w:rsidRPr="005734CF" w:rsidRDefault="002279AF" w:rsidP="005734CF">
      <w:pPr>
        <w:spacing w:after="0" w:line="240" w:lineRule="auto"/>
        <w:ind w:left="709" w:right="709"/>
        <w:jc w:val="both"/>
        <w:rPr>
          <w:rFonts w:ascii="Verdana" w:eastAsia="Calibri" w:hAnsi="Verdana" w:cs="Arial"/>
          <w:color w:val="000000" w:themeColor="text1"/>
          <w:sz w:val="20"/>
          <w:szCs w:val="20"/>
        </w:rPr>
      </w:pPr>
      <w:r w:rsidRPr="005734CF">
        <w:rPr>
          <w:rFonts w:ascii="Verdana" w:hAnsi="Verdana" w:cs="Arial"/>
          <w:sz w:val="20"/>
          <w:szCs w:val="20"/>
        </w:rPr>
        <w:t xml:space="preserve">“La cesión de contrato (presupuesto éste último como </w:t>
      </w:r>
      <w:r w:rsidRPr="005734CF">
        <w:rPr>
          <w:rFonts w:ascii="Verdana" w:hAnsi="Verdana" w:cs="Arial"/>
          <w:i/>
          <w:iCs/>
          <w:sz w:val="20"/>
          <w:szCs w:val="20"/>
        </w:rPr>
        <w:t>bilateral</w:t>
      </w:r>
      <w:r w:rsidRPr="005734CF">
        <w:rPr>
          <w:rFonts w:ascii="Verdana" w:hAnsi="Verdana" w:cs="Arial"/>
          <w:sz w:val="20"/>
          <w:szCs w:val="20"/>
        </w:rPr>
        <w:t xml:space="preserve">, al menos en la configuración típica de la institución) es el instrumento que permite realizar la llamada </w:t>
      </w:r>
      <w:r w:rsidRPr="005734CF">
        <w:rPr>
          <w:rFonts w:ascii="Verdana" w:hAnsi="Verdana" w:cs="Arial"/>
          <w:i/>
          <w:iCs/>
          <w:sz w:val="20"/>
          <w:szCs w:val="20"/>
        </w:rPr>
        <w:t>circulación del contrato</w:t>
      </w:r>
      <w:r w:rsidRPr="005734CF">
        <w:rPr>
          <w:rFonts w:ascii="Verdana" w:hAnsi="Verdana" w:cs="Arial"/>
          <w:sz w:val="20"/>
          <w:szCs w:val="20"/>
        </w:rPr>
        <w:t xml:space="preserve">, es decir, la transferencia negocial a un tercero (llamado </w:t>
      </w:r>
      <w:r w:rsidRPr="005734CF">
        <w:rPr>
          <w:rFonts w:ascii="Verdana" w:hAnsi="Verdana" w:cs="Arial"/>
          <w:i/>
          <w:iCs/>
          <w:sz w:val="20"/>
          <w:szCs w:val="20"/>
        </w:rPr>
        <w:t>cesionario</w:t>
      </w:r>
      <w:r w:rsidRPr="005734CF">
        <w:rPr>
          <w:rFonts w:ascii="Verdana" w:hAnsi="Verdana" w:cs="Arial"/>
          <w:sz w:val="20"/>
          <w:szCs w:val="20"/>
        </w:rPr>
        <w:t xml:space="preserve">) del conjunto de posiciones contractuales (entendido como resultante unitario de derechos y obligaciones orgánicamente interdependientes), constituida en la persona de uno de los originarios contratantes (llamado </w:t>
      </w:r>
      <w:r w:rsidRPr="005734CF">
        <w:rPr>
          <w:rFonts w:ascii="Verdana" w:hAnsi="Verdana" w:cs="Arial"/>
          <w:i/>
          <w:iCs/>
          <w:sz w:val="20"/>
          <w:szCs w:val="20"/>
        </w:rPr>
        <w:t>cedente</w:t>
      </w:r>
      <w:r w:rsidRPr="005734CF">
        <w:rPr>
          <w:rFonts w:ascii="Verdana" w:hAnsi="Verdana" w:cs="Arial"/>
          <w:sz w:val="20"/>
          <w:szCs w:val="20"/>
        </w:rPr>
        <w:t xml:space="preserve">); de tal forma que, a través de esa sustitución </w:t>
      </w:r>
      <w:r w:rsidRPr="005734CF">
        <w:rPr>
          <w:rFonts w:ascii="Verdana" w:hAnsi="Verdana" w:cs="Arial"/>
          <w:i/>
          <w:iCs/>
          <w:sz w:val="20"/>
          <w:szCs w:val="20"/>
        </w:rPr>
        <w:t>negocial</w:t>
      </w:r>
      <w:r w:rsidRPr="005734CF">
        <w:rPr>
          <w:rFonts w:ascii="Verdana" w:hAnsi="Verdana" w:cs="Arial"/>
          <w:sz w:val="20"/>
          <w:szCs w:val="20"/>
        </w:rPr>
        <w:t xml:space="preserve"> del tercero en la posición de ‘parte’ del contrato, en lugar del cedente, dicho tercero </w:t>
      </w:r>
      <w:proofErr w:type="spellStart"/>
      <w:r w:rsidRPr="005734CF">
        <w:rPr>
          <w:rFonts w:ascii="Verdana" w:hAnsi="Verdana" w:cs="Arial"/>
          <w:sz w:val="20"/>
          <w:szCs w:val="20"/>
        </w:rPr>
        <w:t>subentra</w:t>
      </w:r>
      <w:proofErr w:type="spellEnd"/>
      <w:r w:rsidRPr="005734CF">
        <w:rPr>
          <w:rFonts w:ascii="Verdana" w:hAnsi="Verdana" w:cs="Arial"/>
          <w:sz w:val="20"/>
          <w:szCs w:val="20"/>
        </w:rPr>
        <w:t xml:space="preserve"> en la totalidad de los derechos y obligaciones que en su orgánica interdependencia se derivan del contrato estipulado por el cedente.</w:t>
      </w:r>
    </w:p>
    <w:p w14:paraId="040EC560" w14:textId="77777777" w:rsidR="002279AF" w:rsidRPr="005734CF" w:rsidRDefault="002279AF" w:rsidP="00F6218F">
      <w:pPr>
        <w:spacing w:after="0" w:line="240" w:lineRule="auto"/>
        <w:ind w:left="709" w:right="709"/>
        <w:jc w:val="both"/>
        <w:rPr>
          <w:rFonts w:ascii="Verdana" w:hAnsi="Verdana" w:cs="Arial"/>
          <w:sz w:val="20"/>
          <w:szCs w:val="20"/>
        </w:rPr>
      </w:pPr>
      <w:r w:rsidRPr="005734CF">
        <w:rPr>
          <w:rFonts w:ascii="Verdana" w:hAnsi="Verdana" w:cs="Arial"/>
          <w:sz w:val="20"/>
          <w:szCs w:val="20"/>
        </w:rPr>
        <w:t xml:space="preserve">A este respecto justamente se ha notado que el tráfico considera aquí los contratos sobre todo como </w:t>
      </w:r>
      <w:r w:rsidRPr="005734CF">
        <w:rPr>
          <w:rFonts w:ascii="Verdana" w:hAnsi="Verdana" w:cs="Arial"/>
          <w:i/>
          <w:iCs/>
          <w:sz w:val="20"/>
          <w:szCs w:val="20"/>
        </w:rPr>
        <w:t>valores económicos</w:t>
      </w:r>
      <w:r w:rsidRPr="005734CF">
        <w:rPr>
          <w:rFonts w:ascii="Verdana" w:hAnsi="Verdana" w:cs="Arial"/>
          <w:sz w:val="20"/>
          <w:szCs w:val="20"/>
        </w:rPr>
        <w:t xml:space="preserve">, idóneos como tales para una determinada forma de circulación: en consideración a la utilidad futura a que el contrato está encaminado a procurar, la práctica atribuye al mismo contrato un valor económico actual, considerándolo, por tanto, como un bien capaz de circular. Ahora bien; el Derecho apresta, precisamente, el instrumento para tal circulación en cuanto admite que uno de los originarios contratantes pueda transferir a un tercero, con el consentimiento imprescindible del otro contratante original (llamado </w:t>
      </w:r>
      <w:r w:rsidRPr="005734CF">
        <w:rPr>
          <w:rFonts w:ascii="Verdana" w:hAnsi="Verdana" w:cs="Arial"/>
          <w:i/>
          <w:iCs/>
          <w:sz w:val="20"/>
          <w:szCs w:val="20"/>
        </w:rPr>
        <w:t>contratante cedido</w:t>
      </w:r>
      <w:r w:rsidRPr="005734CF">
        <w:rPr>
          <w:rFonts w:ascii="Verdana" w:hAnsi="Verdana" w:cs="Arial"/>
          <w:sz w:val="20"/>
          <w:szCs w:val="20"/>
        </w:rPr>
        <w:t>), la relación contractual entera, como conjunto de derecho y obligaciones, como única resultante de elementos activos y pasivos […]”</w:t>
      </w:r>
      <w:r w:rsidRPr="005734CF">
        <w:rPr>
          <w:rStyle w:val="Refdenotaalpie"/>
          <w:rFonts w:ascii="Verdana" w:hAnsi="Verdana" w:cs="Arial"/>
          <w:color w:val="000000" w:themeColor="text1"/>
          <w:sz w:val="20"/>
          <w:szCs w:val="20"/>
        </w:rPr>
        <w:footnoteReference w:id="3"/>
      </w:r>
      <w:r w:rsidRPr="005734CF">
        <w:rPr>
          <w:rFonts w:ascii="Verdana" w:hAnsi="Verdana" w:cs="Arial"/>
          <w:sz w:val="20"/>
          <w:szCs w:val="20"/>
        </w:rPr>
        <w:t>.</w:t>
      </w:r>
    </w:p>
    <w:p w14:paraId="45B6B669" w14:textId="77777777" w:rsidR="002279AF" w:rsidRPr="004C544B" w:rsidRDefault="002279AF" w:rsidP="00F6218F">
      <w:pPr>
        <w:spacing w:after="0" w:line="276" w:lineRule="auto"/>
        <w:ind w:left="709" w:right="709"/>
        <w:jc w:val="both"/>
        <w:rPr>
          <w:rFonts w:ascii="Verdana" w:eastAsia="Calibri" w:hAnsi="Verdana" w:cs="Arial"/>
          <w:color w:val="000000" w:themeColor="text1"/>
        </w:rPr>
      </w:pPr>
    </w:p>
    <w:p w14:paraId="0D80BF60" w14:textId="77777777" w:rsidR="002279AF" w:rsidRPr="004C544B" w:rsidRDefault="002279AF" w:rsidP="00F6218F">
      <w:pPr>
        <w:spacing w:after="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La cesión de la posición contractual puede entenderse como un acto y como un efecto. Por un lado, “[…] es el contrato con el cual el cedente, parte de otro contrato ya en curso con otro sujeto (cedido), transfiere la relativa posición contractual (en sus componentes activos y pasivos) al cesionario, el cual le </w:t>
      </w:r>
      <w:proofErr w:type="spellStart"/>
      <w:r w:rsidRPr="004C544B">
        <w:rPr>
          <w:rFonts w:ascii="Verdana" w:eastAsia="Calibri" w:hAnsi="Verdana" w:cs="Arial"/>
          <w:color w:val="000000" w:themeColor="text1"/>
        </w:rPr>
        <w:t>subentra</w:t>
      </w:r>
      <w:proofErr w:type="spellEnd"/>
      <w:r w:rsidRPr="004C544B">
        <w:rPr>
          <w:rFonts w:ascii="Verdana" w:eastAsia="Calibri" w:hAnsi="Verdana" w:cs="Arial"/>
          <w:color w:val="000000" w:themeColor="text1"/>
        </w:rPr>
        <w:t xml:space="preserve"> en la relación con el cedido […]”</w:t>
      </w:r>
      <w:r w:rsidRPr="004C544B">
        <w:rPr>
          <w:rStyle w:val="Refdenotaalpie"/>
          <w:rFonts w:ascii="Verdana" w:eastAsia="Calibri" w:hAnsi="Verdana" w:cs="Arial"/>
          <w:color w:val="000000" w:themeColor="text1"/>
        </w:rPr>
        <w:footnoteReference w:id="4"/>
      </w:r>
      <w:r w:rsidRPr="004C544B">
        <w:rPr>
          <w:rFonts w:ascii="Verdana" w:eastAsia="Calibri" w:hAnsi="Verdana" w:cs="Arial"/>
          <w:color w:val="000000" w:themeColor="text1"/>
        </w:rPr>
        <w:t xml:space="preserve">. Por otro, “[…] es la transferencia de la posición contractual de un contratante a otro sujeto, que le </w:t>
      </w:r>
      <w:proofErr w:type="spellStart"/>
      <w:r w:rsidRPr="004C544B">
        <w:rPr>
          <w:rFonts w:ascii="Verdana" w:eastAsia="Calibri" w:hAnsi="Verdana" w:cs="Arial"/>
          <w:color w:val="000000" w:themeColor="text1"/>
        </w:rPr>
        <w:t>subentra</w:t>
      </w:r>
      <w:proofErr w:type="spellEnd"/>
      <w:r w:rsidRPr="004C544B">
        <w:rPr>
          <w:rFonts w:ascii="Verdana" w:eastAsia="Calibri" w:hAnsi="Verdana" w:cs="Arial"/>
          <w:color w:val="000000" w:themeColor="text1"/>
        </w:rPr>
        <w:t xml:space="preserve"> en la </w:t>
      </w:r>
      <w:r w:rsidRPr="004C544B">
        <w:rPr>
          <w:rFonts w:ascii="Verdana" w:eastAsia="Calibri" w:hAnsi="Verdana" w:cs="Arial"/>
          <w:color w:val="000000" w:themeColor="text1"/>
        </w:rPr>
        <w:lastRenderedPageBreak/>
        <w:t>relación con la contraparte […]”</w:t>
      </w:r>
      <w:r w:rsidRPr="004C544B">
        <w:rPr>
          <w:rStyle w:val="Refdenotaalpie"/>
          <w:rFonts w:ascii="Verdana" w:eastAsia="Calibri" w:hAnsi="Verdana" w:cs="Arial"/>
          <w:color w:val="000000" w:themeColor="text1"/>
        </w:rPr>
        <w:footnoteReference w:id="5"/>
      </w:r>
      <w:r w:rsidRPr="004C544B">
        <w:rPr>
          <w:rFonts w:ascii="Verdana" w:eastAsia="Calibri" w:hAnsi="Verdana" w:cs="Arial"/>
          <w:color w:val="000000" w:themeColor="text1"/>
        </w:rPr>
        <w:t xml:space="preserve">. De esta manera, </w:t>
      </w:r>
      <w:r w:rsidRPr="004C544B">
        <w:rPr>
          <w:rFonts w:ascii="Verdana" w:hAnsi="Verdana" w:cs="Arial"/>
          <w:color w:val="000000" w:themeColor="text1"/>
        </w:rPr>
        <w:t xml:space="preserve">concurren tres (3) sujetos: i) el cedente, esto es, el contratista inicial; </w:t>
      </w:r>
      <w:proofErr w:type="spellStart"/>
      <w:r w:rsidRPr="004C544B">
        <w:rPr>
          <w:rFonts w:ascii="Verdana" w:hAnsi="Verdana" w:cs="Arial"/>
          <w:color w:val="000000" w:themeColor="text1"/>
        </w:rPr>
        <w:t>ii</w:t>
      </w:r>
      <w:proofErr w:type="spellEnd"/>
      <w:r w:rsidRPr="004C544B">
        <w:rPr>
          <w:rFonts w:ascii="Verdana" w:hAnsi="Verdana" w:cs="Arial"/>
          <w:color w:val="000000" w:themeColor="text1"/>
        </w:rPr>
        <w:t xml:space="preserve">) el cesionario, es decir, quien asume total o parcialmente los derechos y obligaciones de este último; y </w:t>
      </w:r>
      <w:proofErr w:type="spellStart"/>
      <w:r w:rsidRPr="004C544B">
        <w:rPr>
          <w:rFonts w:ascii="Verdana" w:hAnsi="Verdana" w:cs="Arial"/>
          <w:color w:val="000000" w:themeColor="text1"/>
        </w:rPr>
        <w:t>iii</w:t>
      </w:r>
      <w:proofErr w:type="spellEnd"/>
      <w:r w:rsidRPr="004C544B">
        <w:rPr>
          <w:rFonts w:ascii="Verdana" w:hAnsi="Verdana" w:cs="Arial"/>
          <w:color w:val="000000" w:themeColor="text1"/>
        </w:rPr>
        <w:t xml:space="preserve">) el cedido que, en el caso de los contratos estatales, sería la entidad que suscribió el contrato. </w:t>
      </w:r>
      <w:r w:rsidRPr="004C544B">
        <w:rPr>
          <w:rFonts w:ascii="Verdana" w:eastAsia="Calibri" w:hAnsi="Verdana" w:cs="Arial"/>
          <w:color w:val="000000" w:themeColor="text1"/>
        </w:rPr>
        <w:t>Por tanto,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 En efecto:</w:t>
      </w:r>
    </w:p>
    <w:p w14:paraId="1F3A8890" w14:textId="77777777" w:rsidR="002279AF" w:rsidRPr="004C544B" w:rsidRDefault="002279AF" w:rsidP="00F6218F">
      <w:pPr>
        <w:spacing w:after="0" w:line="276" w:lineRule="auto"/>
        <w:ind w:firstLine="708"/>
        <w:jc w:val="both"/>
        <w:rPr>
          <w:rFonts w:ascii="Verdana" w:hAnsi="Verdana" w:cs="Arial"/>
          <w:color w:val="000000" w:themeColor="text1"/>
        </w:rPr>
      </w:pPr>
    </w:p>
    <w:p w14:paraId="2395C91E" w14:textId="77777777" w:rsidR="002279AF" w:rsidRPr="005734CF" w:rsidRDefault="002279AF" w:rsidP="002279AF">
      <w:pPr>
        <w:tabs>
          <w:tab w:val="left" w:pos="709"/>
        </w:tabs>
        <w:spacing w:after="0" w:line="240" w:lineRule="auto"/>
        <w:ind w:left="709" w:right="709"/>
        <w:jc w:val="both"/>
        <w:rPr>
          <w:rFonts w:ascii="Verdana" w:eastAsia="Calibri" w:hAnsi="Verdana" w:cs="Arial"/>
          <w:color w:val="000000" w:themeColor="text1"/>
          <w:sz w:val="20"/>
          <w:szCs w:val="20"/>
        </w:rPr>
      </w:pPr>
      <w:r w:rsidRPr="005734CF">
        <w:rPr>
          <w:rFonts w:ascii="Verdana" w:eastAsia="Calibri" w:hAnsi="Verdana" w:cs="Arial"/>
          <w:color w:val="000000" w:themeColor="text1"/>
          <w:sz w:val="20"/>
          <w:szCs w:val="20"/>
        </w:rPr>
        <w:t>“[…] cuando lo que se cede (o asume) es un contrato, el punto de partida es la presencia de uno o varios créditos y otras tantas obligaciones, entrelazadas en términos de correlatividad y consideradas, tratadas y dispuestas como una unidad, o sea: el objeto de la operación es el traspaso simultáneo de unos créditos y de las obligaciones recíprocas, surgidos a una de un mismo contrato, por parte de uno de los contratantes a un tercero, esto es, en últimas, la transferencia de una posición o relación contractual, cuyo resultado es la sustitución de una de las partes (acreedora-deudora) […]”</w:t>
      </w:r>
      <w:r w:rsidRPr="005734CF">
        <w:rPr>
          <w:rStyle w:val="Refdenotaalpie"/>
          <w:rFonts w:ascii="Verdana" w:eastAsia="Calibri" w:hAnsi="Verdana" w:cs="Arial"/>
          <w:color w:val="000000" w:themeColor="text1"/>
          <w:sz w:val="20"/>
          <w:szCs w:val="20"/>
        </w:rPr>
        <w:footnoteReference w:id="6"/>
      </w:r>
      <w:r w:rsidRPr="005734CF">
        <w:rPr>
          <w:rFonts w:ascii="Verdana" w:eastAsia="Calibri" w:hAnsi="Verdana" w:cs="Arial"/>
          <w:color w:val="000000" w:themeColor="text1"/>
          <w:sz w:val="20"/>
          <w:szCs w:val="20"/>
        </w:rPr>
        <w:t>.</w:t>
      </w:r>
    </w:p>
    <w:p w14:paraId="44513E58" w14:textId="77777777" w:rsidR="002279AF" w:rsidRPr="004C544B" w:rsidRDefault="002279AF" w:rsidP="002279AF">
      <w:pPr>
        <w:tabs>
          <w:tab w:val="left" w:pos="709"/>
        </w:tabs>
        <w:spacing w:after="0" w:line="276" w:lineRule="auto"/>
        <w:ind w:left="709" w:right="709"/>
        <w:jc w:val="both"/>
        <w:rPr>
          <w:rFonts w:ascii="Verdana" w:eastAsia="Calibri" w:hAnsi="Verdana" w:cs="Arial"/>
          <w:color w:val="000000" w:themeColor="text1"/>
        </w:rPr>
      </w:pPr>
    </w:p>
    <w:p w14:paraId="7BD18384" w14:textId="77777777" w:rsidR="002279AF" w:rsidRPr="004C544B" w:rsidRDefault="002279AF" w:rsidP="002279AF">
      <w:pPr>
        <w:spacing w:after="12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Tratándose de la cesión de contratos estatales, conforme a la regulación del EGCAP, confluyen una mixtura entre el derecho público y privado en su regulación. En efecto, i) los contratos estatales se regirán por las normas comerciales y civiles pertinentes, salvo en lo concerniente a las materias particularmente reguladas en dicha ley, de acuerdo con lo prescrito en el inciso primero del artículo 13 de la Ley 80 de 1993, por lo que deben observarse en primer término las disposiciones establecidas en el EGCAP; </w:t>
      </w:r>
      <w:proofErr w:type="spellStart"/>
      <w:r w:rsidRPr="004C544B">
        <w:rPr>
          <w:rFonts w:ascii="Verdana" w:eastAsia="Calibri" w:hAnsi="Verdana" w:cs="Arial"/>
          <w:color w:val="000000" w:themeColor="text1"/>
        </w:rPr>
        <w:t>ii</w:t>
      </w:r>
      <w:proofErr w:type="spellEnd"/>
      <w:r w:rsidRPr="004C544B">
        <w:rPr>
          <w:rFonts w:ascii="Verdana" w:eastAsia="Calibri" w:hAnsi="Verdana" w:cs="Arial"/>
          <w:color w:val="000000" w:themeColor="text1"/>
        </w:rPr>
        <w:t xml:space="preserve">) corresponderán como actos jurídicos bilaterales generadores de obligaciones, entre otros, a los previstos en el derecho privado, en los términos del artículo 32 </w:t>
      </w:r>
      <w:r w:rsidRPr="004C544B">
        <w:rPr>
          <w:rFonts w:ascii="Verdana" w:eastAsia="Calibri" w:hAnsi="Verdana" w:cs="Arial"/>
          <w:i/>
          <w:iCs/>
          <w:color w:val="000000" w:themeColor="text1"/>
        </w:rPr>
        <w:t>ibidem</w:t>
      </w:r>
      <w:r w:rsidRPr="004C544B">
        <w:rPr>
          <w:rFonts w:ascii="Verdana" w:eastAsia="Calibri" w:hAnsi="Verdana" w:cs="Arial"/>
          <w:color w:val="000000" w:themeColor="text1"/>
        </w:rPr>
        <w:t xml:space="preserve">; y </w:t>
      </w:r>
      <w:proofErr w:type="spellStart"/>
      <w:r w:rsidRPr="004C544B">
        <w:rPr>
          <w:rFonts w:ascii="Verdana" w:eastAsia="Calibri" w:hAnsi="Verdana" w:cs="Arial"/>
          <w:color w:val="000000" w:themeColor="text1"/>
        </w:rPr>
        <w:t>iii</w:t>
      </w:r>
      <w:proofErr w:type="spellEnd"/>
      <w:r w:rsidRPr="004C544B">
        <w:rPr>
          <w:rFonts w:ascii="Verdana" w:eastAsia="Calibri" w:hAnsi="Verdana" w:cs="Arial"/>
          <w:color w:val="000000" w:themeColor="text1"/>
        </w:rPr>
        <w:t xml:space="preserve">) contendrán las estipulaciones que, de acuerdo con las normas civiles, </w:t>
      </w:r>
      <w:r w:rsidRPr="004C544B">
        <w:rPr>
          <w:rFonts w:ascii="Verdana" w:eastAsia="Calibri" w:hAnsi="Verdana" w:cs="Arial"/>
          <w:color w:val="000000" w:themeColor="text1"/>
        </w:rPr>
        <w:lastRenderedPageBreak/>
        <w:t xml:space="preserve">comerciales y las previstas en esta ley, correspondan a su esencia y naturaleza, conforme a lo dispuesto por el artículo 40 </w:t>
      </w:r>
      <w:r w:rsidRPr="004C544B">
        <w:rPr>
          <w:rFonts w:ascii="Verdana" w:eastAsia="Calibri" w:hAnsi="Verdana" w:cs="Arial"/>
          <w:i/>
          <w:iCs/>
          <w:color w:val="000000" w:themeColor="text1"/>
        </w:rPr>
        <w:t>ibidem</w:t>
      </w:r>
      <w:r w:rsidRPr="004C544B">
        <w:rPr>
          <w:rFonts w:ascii="Verdana" w:eastAsia="Calibri" w:hAnsi="Verdana" w:cs="Arial"/>
          <w:color w:val="000000" w:themeColor="text1"/>
        </w:rPr>
        <w:t xml:space="preserve">. </w:t>
      </w:r>
    </w:p>
    <w:p w14:paraId="2FAF5F15" w14:textId="77777777" w:rsidR="002279AF" w:rsidRPr="004C544B" w:rsidRDefault="002279AF" w:rsidP="002279AF">
      <w:pPr>
        <w:spacing w:after="12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En este sentido, el Estatuto General de Contratación de la Administración Pública establece disposiciones específicas relativas a la figura de la cesión contractual. En principio, si bien rigen las normas relativas a la cesión del contrato contenidas en sus artículos 887 y siguientes del Código de Comercio, su aplicación procede ante la ausencia de norma que de manera particular regule el asunto frente a la categoría especial del contrato estatal.</w:t>
      </w:r>
    </w:p>
    <w:p w14:paraId="75DF737B" w14:textId="77777777" w:rsidR="002279AF" w:rsidRPr="004C544B" w:rsidRDefault="002279AF" w:rsidP="002279AF">
      <w:pPr>
        <w:tabs>
          <w:tab w:val="left" w:pos="709"/>
        </w:tabs>
        <w:spacing w:after="120" w:line="276" w:lineRule="auto"/>
        <w:jc w:val="both"/>
        <w:rPr>
          <w:rFonts w:ascii="Verdana" w:eastAsia="Calibri" w:hAnsi="Verdana" w:cs="Arial"/>
          <w:color w:val="000000" w:themeColor="text1"/>
        </w:rPr>
      </w:pPr>
      <w:r w:rsidRPr="004C544B">
        <w:rPr>
          <w:rFonts w:ascii="Verdana" w:eastAsia="Calibri" w:hAnsi="Verdana" w:cs="Arial"/>
          <w:color w:val="000000" w:themeColor="text1"/>
        </w:rPr>
        <w:tab/>
        <w:t>Por ello, es pertinente indicar que el Decreto Ley 410 de 1971 contempla ciertas disposiciones que no se encuentran en la Ley 80 de 1993, lo que conlleva su aplicación en materia de contratos estatales. Por ejemplo, el artículo 890 establece lo relativo a la responsabilidad del cedente frente al cesionario y en torno a la existencia, validez y garantías del contrato cedido</w:t>
      </w:r>
      <w:r w:rsidRPr="004C544B">
        <w:rPr>
          <w:rStyle w:val="Refdenotaalpie"/>
          <w:rFonts w:ascii="Verdana" w:eastAsia="Calibri" w:hAnsi="Verdana" w:cs="Arial"/>
          <w:color w:val="000000" w:themeColor="text1"/>
        </w:rPr>
        <w:footnoteReference w:id="7"/>
      </w:r>
      <w:r w:rsidRPr="004C544B">
        <w:rPr>
          <w:rFonts w:ascii="Verdana" w:eastAsia="Calibri" w:hAnsi="Verdana" w:cs="Arial"/>
          <w:color w:val="000000" w:themeColor="text1"/>
        </w:rPr>
        <w:t>. Por otra parte, el artículo 891 obliga al cesionario a avisar al cedente de la mora o el incumplimiento dentro de los 10 días siguientes, siempre y cuando este se haya obligado a garantizar el cumplimiento por parte del contratante cedido</w:t>
      </w:r>
      <w:r w:rsidRPr="004C544B">
        <w:rPr>
          <w:rStyle w:val="Refdenotaalpie"/>
          <w:rFonts w:ascii="Verdana" w:eastAsia="Calibri" w:hAnsi="Verdana" w:cs="Arial"/>
          <w:color w:val="000000" w:themeColor="text1"/>
        </w:rPr>
        <w:footnoteReference w:id="8"/>
      </w:r>
      <w:r w:rsidRPr="004C544B">
        <w:rPr>
          <w:rFonts w:ascii="Verdana" w:eastAsia="Calibri" w:hAnsi="Verdana" w:cs="Arial"/>
          <w:color w:val="000000" w:themeColor="text1"/>
        </w:rPr>
        <w:t>. Asimismo, los artículos 895 y 896 disponen que la cesión de un contrato implica la transferencia de las acciones, privilegios y beneficios legales inherentes a la naturaleza y condiciones del contrato, excluyendo a aquellas que sean extrañas al mismo o que se funden en el estado o calidad particular de las partes, pudiendo, el contratante cedido, oponer contra el cesionario todas las excepciones que se deriven del contrato</w:t>
      </w:r>
      <w:r w:rsidRPr="004C544B">
        <w:rPr>
          <w:rStyle w:val="Refdenotaalpie"/>
          <w:rFonts w:ascii="Verdana" w:eastAsia="Calibri" w:hAnsi="Verdana" w:cs="Arial"/>
          <w:color w:val="000000" w:themeColor="text1"/>
        </w:rPr>
        <w:footnoteReference w:id="9"/>
      </w:r>
      <w:r w:rsidRPr="004C544B">
        <w:rPr>
          <w:rFonts w:ascii="Verdana" w:eastAsia="Calibri" w:hAnsi="Verdana" w:cs="Arial"/>
          <w:color w:val="000000" w:themeColor="text1"/>
        </w:rPr>
        <w:t xml:space="preserve">. </w:t>
      </w:r>
    </w:p>
    <w:p w14:paraId="185E2122" w14:textId="77777777" w:rsidR="002279AF" w:rsidRPr="004C544B" w:rsidRDefault="002279AF" w:rsidP="002279AF">
      <w:pPr>
        <w:tabs>
          <w:tab w:val="left" w:pos="709"/>
        </w:tabs>
        <w:spacing w:after="120" w:line="276" w:lineRule="auto"/>
        <w:jc w:val="both"/>
        <w:rPr>
          <w:rFonts w:ascii="Verdana" w:eastAsia="Calibri" w:hAnsi="Verdana" w:cs="Arial"/>
          <w:color w:val="000000" w:themeColor="text1"/>
        </w:rPr>
      </w:pPr>
      <w:r w:rsidRPr="004C544B">
        <w:rPr>
          <w:rFonts w:ascii="Verdana" w:eastAsia="Calibri" w:hAnsi="Verdana" w:cs="Arial"/>
          <w:color w:val="000000" w:themeColor="text1"/>
        </w:rPr>
        <w:tab/>
        <w:t xml:space="preserve">Al margen de estas y otras disposiciones que de manera particular consagra el Código de Comercio sobre la cesión del contrato, esta figura cuenta con algunas normas especiales en la Ley 80 de 1993. Por ejemplo, </w:t>
      </w:r>
      <w:bookmarkStart w:id="3" w:name="_Hlk79822251"/>
      <w:r w:rsidRPr="004C544B">
        <w:rPr>
          <w:rFonts w:ascii="Verdana" w:eastAsia="Calibri" w:hAnsi="Verdana" w:cs="Arial"/>
          <w:color w:val="000000" w:themeColor="text1"/>
        </w:rPr>
        <w:t>el artículo 41, inciso tercero</w:t>
      </w:r>
      <w:bookmarkEnd w:id="3"/>
      <w:r w:rsidRPr="004C544B">
        <w:rPr>
          <w:rFonts w:ascii="Verdana" w:eastAsia="Calibri" w:hAnsi="Verdana" w:cs="Arial"/>
          <w:color w:val="000000" w:themeColor="text1"/>
        </w:rPr>
        <w:t xml:space="preserve">, del EGCAP prescribe que “Los contratos estatales son </w:t>
      </w:r>
      <w:r w:rsidRPr="004C544B">
        <w:rPr>
          <w:rFonts w:ascii="Verdana" w:eastAsia="Calibri" w:hAnsi="Verdana" w:cs="Arial"/>
          <w:i/>
          <w:iCs/>
          <w:color w:val="000000" w:themeColor="text1"/>
        </w:rPr>
        <w:t xml:space="preserve">intuito </w:t>
      </w:r>
      <w:proofErr w:type="spellStart"/>
      <w:r w:rsidRPr="004C544B">
        <w:rPr>
          <w:rFonts w:ascii="Verdana" w:eastAsia="Calibri" w:hAnsi="Verdana" w:cs="Arial"/>
          <w:i/>
          <w:iCs/>
          <w:color w:val="000000" w:themeColor="text1"/>
        </w:rPr>
        <w:lastRenderedPageBreak/>
        <w:t>personae</w:t>
      </w:r>
      <w:proofErr w:type="spellEnd"/>
      <w:r w:rsidRPr="004C544B">
        <w:rPr>
          <w:rFonts w:ascii="Verdana" w:eastAsia="Calibri" w:hAnsi="Verdana" w:cs="Arial"/>
          <w:color w:val="000000" w:themeColor="text1"/>
        </w:rPr>
        <w:t xml:space="preserve"> y, en consecuencia, una vez celebrados no podrán cederse sin previa autorización escrita de la entidad contratante”. Esta norma contiene una prohibición general –</w:t>
      </w:r>
      <w:r w:rsidRPr="004C544B">
        <w:rPr>
          <w:rFonts w:ascii="Verdana" w:eastAsia="Calibri" w:hAnsi="Verdana" w:cs="Arial"/>
          <w:i/>
          <w:iCs/>
          <w:color w:val="000000" w:themeColor="text1"/>
        </w:rPr>
        <w:t>faceta negativa</w:t>
      </w:r>
      <w:r w:rsidRPr="004C544B">
        <w:rPr>
          <w:rFonts w:ascii="Verdana" w:eastAsia="Calibri" w:hAnsi="Verdana" w:cs="Arial"/>
          <w:color w:val="000000" w:themeColor="text1"/>
        </w:rPr>
        <w:t>– y una autorización excepcional –</w:t>
      </w:r>
      <w:r w:rsidRPr="004C544B">
        <w:rPr>
          <w:rFonts w:ascii="Verdana" w:eastAsia="Calibri" w:hAnsi="Verdana" w:cs="Arial"/>
          <w:i/>
          <w:iCs/>
          <w:color w:val="000000" w:themeColor="text1"/>
        </w:rPr>
        <w:t>faceta positiva</w:t>
      </w:r>
      <w:r w:rsidRPr="004C544B">
        <w:rPr>
          <w:rFonts w:ascii="Verdana" w:eastAsia="Calibri" w:hAnsi="Verdana" w:cs="Arial"/>
          <w:color w:val="000000" w:themeColor="text1"/>
        </w:rPr>
        <w:t>–.</w:t>
      </w:r>
    </w:p>
    <w:p w14:paraId="6E29DB1B" w14:textId="77777777" w:rsidR="002279AF" w:rsidRPr="004C544B" w:rsidRDefault="002279AF" w:rsidP="002279AF">
      <w:pPr>
        <w:tabs>
          <w:tab w:val="left" w:pos="709"/>
        </w:tabs>
        <w:spacing w:after="120" w:line="276" w:lineRule="auto"/>
        <w:jc w:val="both"/>
        <w:rPr>
          <w:rFonts w:ascii="Verdana" w:eastAsia="Calibri" w:hAnsi="Verdana" w:cs="Arial"/>
          <w:bCs/>
          <w:color w:val="000000" w:themeColor="text1"/>
        </w:rPr>
      </w:pPr>
      <w:r w:rsidRPr="004C544B">
        <w:rPr>
          <w:rFonts w:ascii="Verdana" w:eastAsia="Calibri" w:hAnsi="Verdana" w:cs="Arial"/>
          <w:bCs/>
          <w:color w:val="000000" w:themeColor="text1"/>
        </w:rPr>
        <w:tab/>
        <w:t xml:space="preserve">En lo que respecta a la </w:t>
      </w:r>
      <w:r w:rsidRPr="004C544B">
        <w:rPr>
          <w:rFonts w:ascii="Verdana" w:eastAsia="Calibri" w:hAnsi="Verdana" w:cs="Arial"/>
          <w:bCs/>
          <w:i/>
          <w:iCs/>
          <w:color w:val="000000" w:themeColor="text1"/>
        </w:rPr>
        <w:t>faceta negativa</w:t>
      </w:r>
      <w:r w:rsidRPr="004C544B">
        <w:rPr>
          <w:rFonts w:ascii="Verdana" w:eastAsia="Calibri" w:hAnsi="Verdana" w:cs="Arial"/>
          <w:bCs/>
          <w:color w:val="000000" w:themeColor="text1"/>
        </w:rPr>
        <w:t xml:space="preserve">, el artículo 41 del Estatuto General ordena que el contrato se ejecute con quien inicialmente se celebró el acuerdo de voluntades, pues es la persona que –de acuerdo con los criterios definidos por la entidad para la selección del contratista– resulta idónea para cumplir con las obligaciones. De esta manera, la prohibición contenida en la norma citada es uno de los elementos de la naturaleza del contrato estatal, pues –conforme a lo previsto en el artículo 1501 del Código Civil– es de aquellos “[…] </w:t>
      </w:r>
      <w:proofErr w:type="gramStart"/>
      <w:r w:rsidRPr="004C544B">
        <w:rPr>
          <w:rFonts w:ascii="Verdana" w:eastAsia="Calibri" w:hAnsi="Verdana" w:cs="Arial"/>
          <w:bCs/>
          <w:color w:val="000000" w:themeColor="text1"/>
        </w:rPr>
        <w:t>que</w:t>
      </w:r>
      <w:proofErr w:type="gramEnd"/>
      <w:r w:rsidRPr="004C544B">
        <w:rPr>
          <w:rFonts w:ascii="Verdana" w:eastAsia="Calibri" w:hAnsi="Verdana" w:cs="Arial"/>
          <w:bCs/>
          <w:color w:val="000000" w:themeColor="text1"/>
        </w:rPr>
        <w:t xml:space="preserve"> no siendo esenciales en él, se entienden pertenecerle, sin necesidad de una cláusula especial […]”</w:t>
      </w:r>
      <w:r w:rsidRPr="004C544B">
        <w:rPr>
          <w:rStyle w:val="Refdenotaalpie"/>
          <w:rFonts w:ascii="Verdana" w:eastAsia="Calibri" w:hAnsi="Verdana" w:cs="Arial"/>
          <w:bCs/>
          <w:color w:val="000000" w:themeColor="text1"/>
        </w:rPr>
        <w:footnoteReference w:id="10"/>
      </w:r>
      <w:r w:rsidRPr="004C544B">
        <w:rPr>
          <w:rFonts w:ascii="Verdana" w:eastAsia="Calibri" w:hAnsi="Verdana" w:cs="Arial"/>
          <w:bCs/>
          <w:color w:val="000000" w:themeColor="text1"/>
        </w:rPr>
        <w:t xml:space="preserve">.  </w:t>
      </w:r>
    </w:p>
    <w:p w14:paraId="56C79F22" w14:textId="77777777" w:rsidR="002279AF" w:rsidRPr="004C544B" w:rsidRDefault="002279AF" w:rsidP="002279AF">
      <w:pPr>
        <w:spacing w:after="0" w:line="276" w:lineRule="auto"/>
        <w:ind w:firstLine="708"/>
        <w:jc w:val="both"/>
        <w:rPr>
          <w:rFonts w:ascii="Verdana" w:eastAsia="Calibri" w:hAnsi="Verdana" w:cs="Arial"/>
          <w:bCs/>
          <w:color w:val="000000" w:themeColor="text1"/>
        </w:rPr>
      </w:pPr>
      <w:r w:rsidRPr="004C544B">
        <w:rPr>
          <w:rFonts w:ascii="Verdana" w:eastAsia="Calibri" w:hAnsi="Verdana" w:cs="Arial"/>
          <w:bCs/>
          <w:color w:val="000000" w:themeColor="text1"/>
        </w:rPr>
        <w:t xml:space="preserve">En su </w:t>
      </w:r>
      <w:r w:rsidRPr="004C544B">
        <w:rPr>
          <w:rFonts w:ascii="Verdana" w:eastAsia="Calibri" w:hAnsi="Verdana" w:cs="Arial"/>
          <w:bCs/>
          <w:i/>
          <w:iCs/>
          <w:color w:val="000000" w:themeColor="text1"/>
        </w:rPr>
        <w:t>faceta positiva</w:t>
      </w:r>
      <w:r w:rsidRPr="004C544B">
        <w:rPr>
          <w:rFonts w:ascii="Verdana" w:eastAsia="Calibri" w:hAnsi="Verdana" w:cs="Arial"/>
          <w:bCs/>
          <w:color w:val="000000" w:themeColor="text1"/>
        </w:rPr>
        <w:t xml:space="preserve">, la Ley 80 de 1993 permite excepcionalmente la cesión del contrato estatal siempre que exista autorización previa escrita de la entidad contratante. Por ello, “[…] El cocontratante que </w:t>
      </w:r>
      <w:r w:rsidRPr="00DE5DE4">
        <w:rPr>
          <w:rFonts w:ascii="Verdana" w:eastAsia="Calibri" w:hAnsi="Verdana" w:cs="Arial"/>
          <w:bCs/>
          <w:color w:val="000000" w:themeColor="text1"/>
          <w:sz w:val="24"/>
          <w:szCs w:val="24"/>
        </w:rPr>
        <w:t>‘</w:t>
      </w:r>
      <w:r w:rsidRPr="004C544B">
        <w:rPr>
          <w:rFonts w:ascii="Verdana" w:eastAsia="Calibri" w:hAnsi="Verdana" w:cs="Arial"/>
          <w:bCs/>
          <w:i/>
          <w:iCs/>
          <w:color w:val="000000" w:themeColor="text1"/>
        </w:rPr>
        <w:t>ceda</w:t>
      </w:r>
      <w:r w:rsidRPr="00DE5DE4">
        <w:rPr>
          <w:rFonts w:ascii="Verdana" w:eastAsia="Calibri" w:hAnsi="Verdana" w:cs="Arial"/>
          <w:bCs/>
          <w:color w:val="000000" w:themeColor="text1"/>
        </w:rPr>
        <w:t>’</w:t>
      </w:r>
      <w:r w:rsidRPr="004C544B">
        <w:rPr>
          <w:rFonts w:ascii="Verdana" w:eastAsia="Calibri" w:hAnsi="Verdana" w:cs="Arial"/>
          <w:bCs/>
          <w:color w:val="000000" w:themeColor="text1"/>
        </w:rPr>
        <w:t xml:space="preserve"> el contrato sin estar autorizado para ello incurre en grave responsabilidad: su actitud implica </w:t>
      </w:r>
      <w:r>
        <w:rPr>
          <w:rFonts w:ascii="Verdana" w:eastAsia="Calibri" w:hAnsi="Verdana" w:cs="Arial"/>
          <w:bCs/>
          <w:color w:val="000000" w:themeColor="text1"/>
        </w:rPr>
        <w:t>‘</w:t>
      </w:r>
      <w:r w:rsidRPr="004C544B">
        <w:rPr>
          <w:rFonts w:ascii="Verdana" w:eastAsia="Calibri" w:hAnsi="Verdana" w:cs="Arial"/>
          <w:bCs/>
          <w:i/>
          <w:iCs/>
          <w:color w:val="000000" w:themeColor="text1"/>
        </w:rPr>
        <w:t>incumplimiento</w:t>
      </w:r>
      <w:r>
        <w:rPr>
          <w:rFonts w:ascii="Verdana" w:eastAsia="Calibri" w:hAnsi="Verdana" w:cs="Arial"/>
          <w:bCs/>
          <w:color w:val="000000" w:themeColor="text1"/>
        </w:rPr>
        <w:t>’</w:t>
      </w:r>
      <w:r w:rsidRPr="004C544B">
        <w:rPr>
          <w:rFonts w:ascii="Verdana" w:eastAsia="Calibri" w:hAnsi="Verdana" w:cs="Arial"/>
          <w:bCs/>
          <w:color w:val="000000" w:themeColor="text1"/>
        </w:rPr>
        <w:t xml:space="preserve"> del contrato; de ahí que esa cesión ilícita no resulte oponible a la Administración Pública […]”</w:t>
      </w:r>
      <w:r w:rsidRPr="004C544B">
        <w:rPr>
          <w:rStyle w:val="Refdenotaalpie"/>
          <w:rFonts w:ascii="Verdana" w:eastAsia="Calibri" w:hAnsi="Verdana" w:cs="Arial"/>
          <w:bCs/>
          <w:color w:val="000000" w:themeColor="text1"/>
        </w:rPr>
        <w:footnoteReference w:id="11"/>
      </w:r>
      <w:r w:rsidRPr="004C544B">
        <w:rPr>
          <w:rFonts w:ascii="Verdana" w:eastAsia="Calibri" w:hAnsi="Verdana" w:cs="Arial"/>
          <w:bCs/>
          <w:color w:val="000000" w:themeColor="text1"/>
        </w:rPr>
        <w:t xml:space="preserve">. Este requisito introduce un elemento especial que no está previsto en el Código de Comercio, pues en el derecho privado –salvo las excepciones previstas en la ley– la cesión requiere el acuerdo de voluntades entre el cedente y el cesionario, sin que medie la aceptación del contratante cedido. </w:t>
      </w:r>
      <w:r w:rsidRPr="004C544B">
        <w:rPr>
          <w:rFonts w:ascii="Verdana" w:eastAsia="Calibri" w:hAnsi="Verdana" w:cs="Arial"/>
          <w:color w:val="000000" w:themeColor="text1"/>
        </w:rPr>
        <w:t>En relación con lo anterior la doctrina define la cesión en los contratos estatales de la siguiente manera:</w:t>
      </w:r>
    </w:p>
    <w:p w14:paraId="4330ACCC" w14:textId="77777777" w:rsidR="002279AF" w:rsidRPr="004C544B" w:rsidRDefault="002279AF" w:rsidP="002279AF">
      <w:pPr>
        <w:spacing w:after="0" w:line="276" w:lineRule="auto"/>
        <w:ind w:firstLine="708"/>
        <w:jc w:val="both"/>
        <w:rPr>
          <w:rFonts w:ascii="Verdana" w:eastAsia="Calibri" w:hAnsi="Verdana" w:cs="Arial"/>
          <w:color w:val="000000" w:themeColor="text1"/>
        </w:rPr>
      </w:pPr>
      <w:r w:rsidRPr="004C544B">
        <w:rPr>
          <w:rFonts w:ascii="Verdana" w:eastAsia="Calibri" w:hAnsi="Verdana" w:cs="Arial"/>
          <w:color w:val="000000" w:themeColor="text1"/>
        </w:rPr>
        <w:t xml:space="preserve"> </w:t>
      </w:r>
    </w:p>
    <w:p w14:paraId="3D61F8F5" w14:textId="77777777" w:rsidR="002279AF" w:rsidRPr="005734CF" w:rsidRDefault="002279AF" w:rsidP="002279AF">
      <w:pPr>
        <w:spacing w:after="0" w:line="240" w:lineRule="auto"/>
        <w:ind w:left="709" w:right="709"/>
        <w:jc w:val="both"/>
        <w:rPr>
          <w:rFonts w:ascii="Verdana" w:eastAsia="Calibri" w:hAnsi="Verdana" w:cs="Arial"/>
          <w:color w:val="000000" w:themeColor="text1"/>
          <w:sz w:val="20"/>
          <w:szCs w:val="20"/>
        </w:rPr>
      </w:pPr>
      <w:r w:rsidRPr="005734CF">
        <w:rPr>
          <w:rFonts w:ascii="Verdana" w:eastAsia="Calibri" w:hAnsi="Verdana" w:cs="Arial"/>
          <w:color w:val="000000" w:themeColor="text1"/>
          <w:sz w:val="20"/>
          <w:szCs w:val="20"/>
        </w:rPr>
        <w:t xml:space="preserve">“La cesión en la contratación estatal supone, previa autorización de la entidad contratante, la sustitución </w:t>
      </w:r>
      <w:r w:rsidRPr="005734CF">
        <w:rPr>
          <w:rFonts w:ascii="Verdana" w:eastAsia="Calibri" w:hAnsi="Verdana" w:cs="Arial"/>
          <w:i/>
          <w:iCs/>
          <w:color w:val="000000" w:themeColor="text1"/>
          <w:sz w:val="20"/>
          <w:szCs w:val="20"/>
        </w:rPr>
        <w:t>in genere</w:t>
      </w:r>
      <w:r w:rsidRPr="005734CF">
        <w:rPr>
          <w:rFonts w:ascii="Verdana" w:eastAsia="Calibri" w:hAnsi="Verdana" w:cs="Arial"/>
          <w:color w:val="000000" w:themeColor="text1"/>
          <w:sz w:val="20"/>
          <w:szCs w:val="20"/>
        </w:rPr>
        <w:t xml:space="preserve">, total o parcial, de una de las partes de la relación jurídica (contratante o contratista) por un tercero, </w:t>
      </w:r>
      <w:r w:rsidRPr="005734CF">
        <w:rPr>
          <w:rFonts w:ascii="Verdana" w:eastAsia="Calibri" w:hAnsi="Verdana" w:cs="Arial"/>
          <w:color w:val="000000" w:themeColor="text1"/>
          <w:sz w:val="20"/>
          <w:szCs w:val="20"/>
        </w:rPr>
        <w:lastRenderedPageBreak/>
        <w:t>que se subroga en los derechos y obligaciones de aquella, por medio de la modificación del contrato estatal originario. La cesión posibilita el reemplazo total o parcial de una parte en su posición contractual originaria, sin que sea precisa la transferencia individual de cuantos derechos y obligaciones conforman la universalidad jurídica a ceder […]”</w:t>
      </w:r>
      <w:r w:rsidRPr="005734CF">
        <w:rPr>
          <w:rStyle w:val="Refdenotaalpie"/>
          <w:rFonts w:ascii="Verdana" w:hAnsi="Verdana" w:cs="Arial"/>
          <w:color w:val="000000" w:themeColor="text1"/>
          <w:sz w:val="20"/>
          <w:szCs w:val="20"/>
        </w:rPr>
        <w:footnoteReference w:id="12"/>
      </w:r>
      <w:r w:rsidRPr="005734CF">
        <w:rPr>
          <w:rFonts w:ascii="Verdana" w:eastAsia="Calibri" w:hAnsi="Verdana" w:cs="Arial"/>
          <w:color w:val="000000" w:themeColor="text1"/>
          <w:sz w:val="20"/>
          <w:szCs w:val="20"/>
        </w:rPr>
        <w:t>.</w:t>
      </w:r>
    </w:p>
    <w:p w14:paraId="7298A997" w14:textId="77777777" w:rsidR="002279AF" w:rsidRPr="004C544B" w:rsidRDefault="002279AF" w:rsidP="002279AF">
      <w:pPr>
        <w:spacing w:after="0" w:line="276" w:lineRule="auto"/>
        <w:jc w:val="both"/>
        <w:rPr>
          <w:rFonts w:ascii="Verdana" w:eastAsia="Calibri" w:hAnsi="Verdana" w:cs="Arial"/>
          <w:color w:val="000000" w:themeColor="text1"/>
        </w:rPr>
      </w:pPr>
    </w:p>
    <w:p w14:paraId="65AEF6D8" w14:textId="77777777" w:rsidR="002279AF" w:rsidRPr="004C544B" w:rsidRDefault="002279AF" w:rsidP="002279AF">
      <w:pPr>
        <w:spacing w:after="120" w:line="276" w:lineRule="auto"/>
        <w:ind w:firstLine="709"/>
        <w:jc w:val="both"/>
        <w:rPr>
          <w:rFonts w:ascii="Verdana" w:eastAsia="Calibri" w:hAnsi="Verdana" w:cs="Arial"/>
          <w:bCs/>
          <w:color w:val="000000" w:themeColor="text1"/>
        </w:rPr>
      </w:pPr>
      <w:r w:rsidRPr="004C544B">
        <w:rPr>
          <w:rFonts w:ascii="Verdana" w:eastAsia="Calibri" w:hAnsi="Verdana" w:cs="Arial"/>
          <w:bCs/>
          <w:color w:val="000000" w:themeColor="text1"/>
        </w:rPr>
        <w:t>Autorizada previamente por la entidad cedida, esta forma de cesión requiere la suscripción de un contrato entre el cedente y el cesionario, por lo que es bilateral en la medida en que requiere un acuerdo voluntades. Con fundamento en el mismo, el cesionario reemplaza –en todo o en parte– al contratista cedente en la ejecución del contrato estatal, respondiendo por el cumplimiento de las obligaciones frente a la Administración.</w:t>
      </w:r>
      <w:r w:rsidRPr="004C544B">
        <w:rPr>
          <w:rFonts w:ascii="Verdana" w:hAnsi="Verdana"/>
        </w:rPr>
        <w:t xml:space="preserve"> </w:t>
      </w:r>
      <w:r w:rsidRPr="004C544B">
        <w:rPr>
          <w:rFonts w:ascii="Verdana" w:eastAsia="Calibri" w:hAnsi="Verdana" w:cs="Arial"/>
          <w:bCs/>
          <w:color w:val="000000" w:themeColor="text1"/>
        </w:rPr>
        <w:t>El inciso primero del artículo 888 del Código de Comercio señala que “La sustitución podrá hacerse por escrito o verbalmente, según que el contrato conste o no por escrito”. Como el contrato estatal es solemne en los términos de los artículos 39 y 41 de la Ley 80 de 1993, se impone la forma escrita para cederlo</w:t>
      </w:r>
      <w:r w:rsidRPr="004C544B">
        <w:rPr>
          <w:rFonts w:ascii="Verdana" w:eastAsia="Calibri" w:hAnsi="Verdana" w:cs="Arial"/>
          <w:color w:val="000000" w:themeColor="text1"/>
        </w:rPr>
        <w:t xml:space="preserve">. </w:t>
      </w:r>
    </w:p>
    <w:p w14:paraId="0440B961" w14:textId="77777777" w:rsidR="002279AF" w:rsidRPr="004C544B" w:rsidRDefault="002279AF" w:rsidP="002279AF">
      <w:pPr>
        <w:tabs>
          <w:tab w:val="left" w:pos="709"/>
        </w:tabs>
        <w:spacing w:after="120" w:line="276" w:lineRule="auto"/>
        <w:jc w:val="both"/>
        <w:rPr>
          <w:rFonts w:ascii="Verdana" w:eastAsia="Calibri" w:hAnsi="Verdana" w:cs="Arial"/>
          <w:color w:val="000000" w:themeColor="text1"/>
        </w:rPr>
      </w:pPr>
      <w:bookmarkStart w:id="4" w:name="_Hlk80369799"/>
      <w:r w:rsidRPr="004C544B">
        <w:rPr>
          <w:rFonts w:ascii="Verdana" w:eastAsia="Calibri" w:hAnsi="Verdana" w:cs="Arial"/>
          <w:color w:val="000000" w:themeColor="text1"/>
        </w:rPr>
        <w:tab/>
        <w:t xml:space="preserve">Por lo demás, el Consejo de Estado ha precisado como requisitos de la cesión del contrato estatal los siguientes: i) debe recaer en un tercero; </w:t>
      </w:r>
      <w:proofErr w:type="spellStart"/>
      <w:r w:rsidRPr="004C544B">
        <w:rPr>
          <w:rFonts w:ascii="Verdana" w:eastAsia="Calibri" w:hAnsi="Verdana" w:cs="Arial"/>
          <w:color w:val="000000" w:themeColor="text1"/>
        </w:rPr>
        <w:t>ii</w:t>
      </w:r>
      <w:proofErr w:type="spellEnd"/>
      <w:r w:rsidRPr="004C544B">
        <w:rPr>
          <w:rFonts w:ascii="Verdana" w:eastAsia="Calibri" w:hAnsi="Verdana" w:cs="Arial"/>
          <w:color w:val="000000" w:themeColor="text1"/>
        </w:rPr>
        <w:t xml:space="preserve">) el cesionario debe tener capacidad jurídica para continuar con la ejecución del objeto contractual y no estar incurso en causales de inhabilidad e incompatibilidad para contratar; y </w:t>
      </w:r>
      <w:proofErr w:type="spellStart"/>
      <w:r w:rsidRPr="004C544B">
        <w:rPr>
          <w:rFonts w:ascii="Verdana" w:eastAsia="Calibri" w:hAnsi="Verdana" w:cs="Arial"/>
          <w:color w:val="000000" w:themeColor="text1"/>
        </w:rPr>
        <w:t>iii</w:t>
      </w:r>
      <w:proofErr w:type="spellEnd"/>
      <w:r w:rsidRPr="004C544B">
        <w:rPr>
          <w:rFonts w:ascii="Verdana" w:eastAsia="Calibri" w:hAnsi="Verdana" w:cs="Arial"/>
          <w:color w:val="000000" w:themeColor="text1"/>
        </w:rPr>
        <w:t>) el cesionario debe contar con capacidad 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manera, la capacidad jurídica, económica y técnica del contratista cedente se exigirá también al cesionario</w:t>
      </w:r>
      <w:bookmarkStart w:id="5" w:name="_Hlk80369829"/>
      <w:bookmarkEnd w:id="4"/>
      <w:r w:rsidRPr="004C544B">
        <w:rPr>
          <w:rFonts w:ascii="Verdana" w:eastAsia="Calibri" w:hAnsi="Verdana" w:cs="Arial"/>
          <w:color w:val="000000" w:themeColor="text1"/>
        </w:rPr>
        <w:t>, ya que “[…] el proceso cesión del contrato y las exigencias que se le impongan al tercero, no pueden alterar ni burlar los procedimientos de selección del contratista, en otras palabras, la figura de la cesión de contrato no puede servir como instrumento para desviar las obligaciones que tiene la entidad contratante de cumplimiento de los parámetros de la selección objetiva</w:t>
      </w:r>
      <w:bookmarkEnd w:id="5"/>
      <w:r w:rsidRPr="004C544B">
        <w:rPr>
          <w:rFonts w:ascii="Verdana" w:eastAsia="Calibri" w:hAnsi="Verdana" w:cs="Arial"/>
          <w:color w:val="000000" w:themeColor="text1"/>
        </w:rPr>
        <w:t>”</w:t>
      </w:r>
      <w:r w:rsidRPr="004C544B">
        <w:rPr>
          <w:rStyle w:val="Refdenotaalpie"/>
          <w:rFonts w:ascii="Verdana" w:eastAsia="Calibri" w:hAnsi="Verdana" w:cs="Arial"/>
          <w:color w:val="000000" w:themeColor="text1"/>
        </w:rPr>
        <w:footnoteReference w:id="13"/>
      </w:r>
      <w:r w:rsidRPr="004C544B">
        <w:rPr>
          <w:rFonts w:ascii="Verdana" w:eastAsia="Calibri" w:hAnsi="Verdana" w:cs="Arial"/>
          <w:color w:val="000000" w:themeColor="text1"/>
        </w:rPr>
        <w:t>.</w:t>
      </w:r>
    </w:p>
    <w:p w14:paraId="421469D9" w14:textId="77777777" w:rsidR="002279AF" w:rsidRPr="004C544B" w:rsidRDefault="002279AF" w:rsidP="002279AF">
      <w:pPr>
        <w:tabs>
          <w:tab w:val="left" w:pos="709"/>
        </w:tabs>
        <w:spacing w:after="120" w:line="276" w:lineRule="auto"/>
        <w:ind w:firstLine="709"/>
        <w:jc w:val="both"/>
        <w:rPr>
          <w:rFonts w:ascii="Verdana" w:eastAsia="Calibri" w:hAnsi="Verdana" w:cs="Arial"/>
          <w:color w:val="000000" w:themeColor="text1"/>
        </w:rPr>
      </w:pPr>
      <w:bookmarkStart w:id="6" w:name="_Hlk80369857"/>
      <w:r w:rsidRPr="004C544B">
        <w:rPr>
          <w:rFonts w:ascii="Verdana" w:eastAsia="Calibri" w:hAnsi="Verdana" w:cs="Arial"/>
          <w:color w:val="000000" w:themeColor="text1"/>
        </w:rPr>
        <w:lastRenderedPageBreak/>
        <w:t>Por lo tanto, la entidad estatal en el trámite de autorización de una cesión de posición contractual está obligada a respetar y dar cabal cumplimiento a los principios y normas rectoras de la contratación pública que resulten aplicables al proceso de contratación, entre otros, los principios de transparencia, selección objetiva e igualdad. En otros términos, so pretexto de una cesión contractual, no pueden vulnerarse las reglas y principios de la contratación estatal.</w:t>
      </w:r>
    </w:p>
    <w:bookmarkEnd w:id="6"/>
    <w:p w14:paraId="242D78BC" w14:textId="77777777" w:rsidR="002279AF" w:rsidRPr="004C544B" w:rsidRDefault="002279AF" w:rsidP="002279AF">
      <w:pPr>
        <w:tabs>
          <w:tab w:val="left" w:pos="709"/>
        </w:tabs>
        <w:spacing w:after="0" w:line="276" w:lineRule="auto"/>
        <w:ind w:firstLine="709"/>
        <w:jc w:val="both"/>
        <w:rPr>
          <w:rFonts w:ascii="Verdana" w:eastAsia="Calibri" w:hAnsi="Verdana" w:cs="Arial"/>
          <w:color w:val="000000" w:themeColor="text1"/>
        </w:rPr>
      </w:pPr>
      <w:r w:rsidRPr="004C544B">
        <w:rPr>
          <w:rFonts w:ascii="Verdana" w:eastAsia="Calibri" w:hAnsi="Verdana" w:cs="Arial"/>
          <w:color w:val="000000" w:themeColor="text1"/>
        </w:rPr>
        <w:t>Además, 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 este cederá su participación a un tercero previa autorización escrita de la entidad contratante […]”, y establece que “[…] En ningún caso, podrá haber cesión del contrato entre quienes integran el consorcio o unión temporal”. En esta última hipótesis, para la doctrina no existe un tercero como requisito de la cesión, y agrega lo siguiente:</w:t>
      </w:r>
    </w:p>
    <w:p w14:paraId="7F7D8209" w14:textId="77777777" w:rsidR="002279AF" w:rsidRPr="004C544B" w:rsidRDefault="002279AF" w:rsidP="002279AF">
      <w:pPr>
        <w:tabs>
          <w:tab w:val="left" w:pos="709"/>
        </w:tabs>
        <w:spacing w:after="0" w:line="276" w:lineRule="auto"/>
        <w:jc w:val="both"/>
        <w:rPr>
          <w:rFonts w:ascii="Verdana" w:eastAsia="Calibri" w:hAnsi="Verdana" w:cs="Arial"/>
          <w:color w:val="000000" w:themeColor="text1"/>
        </w:rPr>
      </w:pPr>
    </w:p>
    <w:p w14:paraId="0CF286E3" w14:textId="77777777" w:rsidR="002279AF" w:rsidRPr="005734CF" w:rsidRDefault="002279AF" w:rsidP="002279AF">
      <w:pPr>
        <w:tabs>
          <w:tab w:val="left" w:pos="709"/>
        </w:tabs>
        <w:spacing w:after="0" w:line="240" w:lineRule="auto"/>
        <w:ind w:left="709" w:right="709"/>
        <w:jc w:val="both"/>
        <w:rPr>
          <w:rFonts w:ascii="Verdana" w:eastAsia="Calibri" w:hAnsi="Verdana" w:cs="Arial"/>
          <w:color w:val="000000" w:themeColor="text1"/>
          <w:sz w:val="20"/>
          <w:szCs w:val="20"/>
        </w:rPr>
      </w:pPr>
      <w:r w:rsidRPr="005734CF">
        <w:rPr>
          <w:rFonts w:ascii="Verdana" w:eastAsia="Calibri" w:hAnsi="Verdana" w:cs="Arial"/>
          <w:color w:val="000000" w:themeColor="text1"/>
          <w:sz w:val="20"/>
          <w:szCs w:val="20"/>
        </w:rPr>
        <w:t>“[…] supóngase que no existiera la restricción aludida; en este caso tampoco es válida la cesión en un integrante de un consorcio o unión temporal dado que los consorcios o uniones temporales no tienen personalidad jurídica, sino solo capacidad para celebrar contratos estatales, en virtud de la habilitación contenida en el artículo 6 de la Ley 80 de 1993. En estos casos se está en presencia, por tanto, de un contratista plural; esto es, la calidad de contratista se predica de cada uno de los integrantes del consorcio o unión temporal, de allí que […] no es válida la cesión en el propio contratista”</w:t>
      </w:r>
      <w:r w:rsidRPr="005734CF">
        <w:rPr>
          <w:rStyle w:val="Refdenotaalpie"/>
          <w:rFonts w:ascii="Verdana" w:eastAsia="Calibri" w:hAnsi="Verdana" w:cs="Arial"/>
          <w:color w:val="000000" w:themeColor="text1"/>
          <w:sz w:val="20"/>
          <w:szCs w:val="20"/>
        </w:rPr>
        <w:footnoteReference w:id="14"/>
      </w:r>
      <w:r w:rsidRPr="005734CF">
        <w:rPr>
          <w:rFonts w:ascii="Verdana" w:eastAsia="Calibri" w:hAnsi="Verdana" w:cs="Arial"/>
          <w:color w:val="000000" w:themeColor="text1"/>
          <w:sz w:val="20"/>
          <w:szCs w:val="20"/>
        </w:rPr>
        <w:t xml:space="preserve">.   </w:t>
      </w:r>
    </w:p>
    <w:p w14:paraId="4F2D706E" w14:textId="77777777" w:rsidR="002279AF" w:rsidRPr="004C544B" w:rsidRDefault="002279AF" w:rsidP="002279AF">
      <w:pPr>
        <w:tabs>
          <w:tab w:val="left" w:pos="709"/>
        </w:tabs>
        <w:spacing w:after="0" w:line="276" w:lineRule="auto"/>
        <w:ind w:firstLine="709"/>
        <w:jc w:val="both"/>
        <w:rPr>
          <w:rFonts w:ascii="Verdana" w:eastAsia="Calibri" w:hAnsi="Verdana" w:cs="Arial"/>
          <w:color w:val="000000" w:themeColor="text1"/>
        </w:rPr>
      </w:pPr>
    </w:p>
    <w:p w14:paraId="1D3F0E1F" w14:textId="77777777" w:rsidR="002279AF" w:rsidRPr="003A34AF" w:rsidRDefault="002279AF" w:rsidP="002279AF">
      <w:pPr>
        <w:spacing w:line="276" w:lineRule="auto"/>
        <w:ind w:right="51" w:firstLine="709"/>
        <w:jc w:val="both"/>
        <w:rPr>
          <w:rFonts w:ascii="Verdana" w:eastAsia="Calibri" w:hAnsi="Verdana" w:cs="Arial"/>
          <w:color w:val="000000" w:themeColor="text1"/>
          <w:sz w:val="20"/>
          <w:szCs w:val="20"/>
        </w:rPr>
      </w:pPr>
      <w:bookmarkStart w:id="7" w:name="_Hlk79797430"/>
      <w:r>
        <w:rPr>
          <w:rFonts w:ascii="Verdana" w:eastAsia="Calibri" w:hAnsi="Verdana" w:cs="Arial"/>
          <w:color w:val="000000" w:themeColor="text1"/>
        </w:rPr>
        <w:t xml:space="preserve">De esta manera, si está prohibida la cesión entre quienes integren el proponente plural, significa que está permitida la cesión de sus integrantes a un tercero distinto a los miembros del consorcio o la unión temporal. Esto no es más que la aplicación del argumento </w:t>
      </w:r>
      <w:r w:rsidRPr="00E377B4">
        <w:rPr>
          <w:rFonts w:ascii="Verdana" w:eastAsia="Calibri" w:hAnsi="Verdana" w:cs="Arial"/>
          <w:i/>
          <w:iCs/>
          <w:color w:val="000000" w:themeColor="text1"/>
        </w:rPr>
        <w:t>a contrario</w:t>
      </w:r>
      <w:r>
        <w:rPr>
          <w:rFonts w:ascii="Verdana" w:eastAsia="Calibri" w:hAnsi="Verdana" w:cs="Arial"/>
          <w:color w:val="000000" w:themeColor="text1"/>
        </w:rPr>
        <w:t xml:space="preserve">, criterio hermenéutico por el cual </w:t>
      </w:r>
      <w:r w:rsidRPr="003A34AF">
        <w:rPr>
          <w:rFonts w:ascii="Verdana" w:eastAsia="Calibri" w:hAnsi="Verdana" w:cs="Arial"/>
          <w:color w:val="000000" w:themeColor="text1"/>
        </w:rPr>
        <w:t xml:space="preserve">“[…] dado un enunciado normativo que predica una cualificación normativa respecto a un término en él incluido que está por un sujeto o una clase de sujetos, debe evitarse extender el significado de ese término de modo tal que </w:t>
      </w:r>
      <w:r w:rsidRPr="003A34AF">
        <w:rPr>
          <w:rFonts w:ascii="Verdana" w:eastAsia="Calibri" w:hAnsi="Verdana" w:cs="Arial"/>
          <w:color w:val="000000" w:themeColor="text1"/>
        </w:rPr>
        <w:lastRenderedPageBreak/>
        <w:t>llegue a comprender a sujetos o clases de sujetos no estricta y literalmente incluidos en él de conformidad con el primer enunciado normativo</w:t>
      </w:r>
      <w:r>
        <w:rPr>
          <w:rFonts w:ascii="Verdana" w:eastAsia="Calibri" w:hAnsi="Verdana" w:cs="Arial"/>
          <w:color w:val="000000" w:themeColor="text1"/>
        </w:rPr>
        <w:t>”</w:t>
      </w:r>
      <w:r>
        <w:rPr>
          <w:rStyle w:val="Refdenotaalpie"/>
          <w:rFonts w:ascii="Verdana" w:eastAsia="Calibri" w:hAnsi="Verdana" w:cs="Arial"/>
          <w:color w:val="000000" w:themeColor="text1"/>
        </w:rPr>
        <w:footnoteReference w:id="15"/>
      </w:r>
      <w:r w:rsidRPr="003A34AF">
        <w:rPr>
          <w:rFonts w:ascii="Verdana" w:eastAsia="Calibri" w:hAnsi="Verdana" w:cs="Arial"/>
          <w:color w:val="000000" w:themeColor="text1"/>
        </w:rPr>
        <w:t>.</w:t>
      </w:r>
      <w:r>
        <w:rPr>
          <w:rFonts w:ascii="Verdana" w:eastAsia="Calibri" w:hAnsi="Verdana" w:cs="Arial"/>
          <w:color w:val="000000" w:themeColor="text1"/>
        </w:rPr>
        <w:t xml:space="preserve"> Por tanto, si dicho tercero cumple los requisitos de capacidad jurídica, no está incurso en causales de inhabilidad o incompatibilidad y, de acuerdo con los criterios previstos en el pliego de condiciones, es idóneo desde el punto de vista técnico, económico y financiero para cumplir con las obligaciones, la entidad podrá analizar la posibilidad de autorizar la cesión.    </w:t>
      </w:r>
    </w:p>
    <w:p w14:paraId="170D6CCB" w14:textId="77777777" w:rsidR="002279AF" w:rsidRPr="004C544B" w:rsidRDefault="002279AF" w:rsidP="002279AF">
      <w:pPr>
        <w:spacing w:line="276" w:lineRule="auto"/>
        <w:ind w:right="51" w:firstLine="709"/>
        <w:jc w:val="both"/>
        <w:rPr>
          <w:rFonts w:ascii="Verdana" w:eastAsia="Calibri" w:hAnsi="Verdana" w:cs="Arial"/>
          <w:color w:val="000000" w:themeColor="text1"/>
        </w:rPr>
      </w:pPr>
      <w:r w:rsidRPr="004C544B">
        <w:rPr>
          <w:rFonts w:ascii="Verdana" w:eastAsia="Calibri" w:hAnsi="Verdana" w:cs="Arial"/>
          <w:color w:val="000000" w:themeColor="text1"/>
        </w:rPr>
        <w:t xml:space="preserve">En suma, la Ley 80 de 1993 no reguló en su integridad la cesión del contrato, como tampoco lo hizo el Código Civil en el que se consagra la figura de la cesión de créditos –arts. 1959 y ss.–. En cambio, </w:t>
      </w:r>
      <w:bookmarkStart w:id="8" w:name="_Hlk79799730"/>
      <w:r w:rsidRPr="004C544B">
        <w:rPr>
          <w:rFonts w:ascii="Verdana" w:eastAsia="Calibri" w:hAnsi="Verdana" w:cs="Arial"/>
          <w:color w:val="000000" w:themeColor="text1"/>
        </w:rPr>
        <w:t xml:space="preserve">los artículos 887 a 896 </w:t>
      </w:r>
      <w:bookmarkEnd w:id="8"/>
      <w:r w:rsidRPr="004C544B">
        <w:rPr>
          <w:rFonts w:ascii="Verdana" w:eastAsia="Calibri" w:hAnsi="Verdana" w:cs="Arial"/>
          <w:color w:val="000000" w:themeColor="text1"/>
        </w:rPr>
        <w:t>del Código de Comercio definen la cesión del contrato. Por consiguiente, resultan aplicables las normas del derecho civil y comercial pertinentes, sobre cesión del crédito y cesión de contratos respectivamente, salvo en las materias particularmente reguladas por el Estatuto General de Contratación de la Administración Pública, como lo señala el artículo 13 de la Ley 80 de 1993.</w:t>
      </w:r>
      <w:r w:rsidRPr="004C544B">
        <w:rPr>
          <w:rFonts w:ascii="Verdana" w:hAnsi="Verdana" w:cs="Arial"/>
          <w:color w:val="000000" w:themeColor="text1"/>
        </w:rPr>
        <w:t xml:space="preserve"> </w:t>
      </w:r>
    </w:p>
    <w:bookmarkEnd w:id="7"/>
    <w:p w14:paraId="79135DB1" w14:textId="77777777" w:rsidR="002279AF" w:rsidRPr="00DE5DE4" w:rsidRDefault="002279AF" w:rsidP="00977377">
      <w:pPr>
        <w:spacing w:line="276" w:lineRule="auto"/>
        <w:ind w:right="51" w:firstLine="709"/>
        <w:jc w:val="both"/>
        <w:rPr>
          <w:rFonts w:ascii="Verdana" w:eastAsia="Calibri" w:hAnsi="Verdana" w:cs="Arial"/>
          <w:color w:val="000000" w:themeColor="text1"/>
        </w:rPr>
      </w:pPr>
      <w:r w:rsidRPr="004C544B">
        <w:rPr>
          <w:rFonts w:ascii="Verdana" w:eastAsia="Calibri" w:hAnsi="Verdana" w:cs="Arial"/>
          <w:color w:val="000000" w:themeColor="text1"/>
        </w:rPr>
        <w:t xml:space="preserve">De conformidad con los requisitos y las restricciones explicadas </w:t>
      </w:r>
      <w:r w:rsidRPr="004C544B">
        <w:rPr>
          <w:rFonts w:ascii="Verdana" w:eastAsia="Calibri" w:hAnsi="Verdana" w:cs="Arial"/>
          <w:i/>
          <w:iCs/>
          <w:color w:val="000000" w:themeColor="text1"/>
        </w:rPr>
        <w:t>ut supra</w:t>
      </w:r>
      <w:r w:rsidRPr="004C544B">
        <w:rPr>
          <w:rFonts w:ascii="Verdana" w:eastAsia="Calibri" w:hAnsi="Verdana" w:cs="Arial"/>
          <w:color w:val="000000" w:themeColor="text1"/>
        </w:rPr>
        <w:t>, en los contratos estatales cuya ejecución aún no haya sido cumplida en todo o en parte, el contratista podrá hacerse sustituir por un tercero en la relación derivada del contrato, quien en adelante ocupará su posición jurídica.</w:t>
      </w:r>
      <w:r w:rsidRPr="004C544B">
        <w:rPr>
          <w:rFonts w:ascii="Verdana" w:hAnsi="Verdana" w:cs="Arial"/>
          <w:color w:val="000000" w:themeColor="text1"/>
        </w:rPr>
        <w:t xml:space="preserve"> Es una de las posibilidades en las cuales existe una modificación de uno de los extremos de la relación contractual, es decir de uno de los sujetos, siempre que sea autorizada previamente por la entidad cedida, en cuyo caso requiere la suscripción de un contrato entre el cedente y el cesionario, de manera que es de carácter bilateral en la medida en que es el resultado de un acuerdo voluntades. Con fundamento en el contrato de cesión, el cesionario reemplaza –en todo o en parte– al contratista cedente en la ejecución del contrato estatal, respondiendo </w:t>
      </w:r>
      <w:r w:rsidRPr="00977377">
        <w:rPr>
          <w:rFonts w:ascii="Verdana" w:eastAsia="Calibri" w:hAnsi="Verdana" w:cs="Arial"/>
          <w:color w:val="000000" w:themeColor="text1"/>
        </w:rPr>
        <w:t>por el cumplimiento de las obligaciones frente a la Administración.</w:t>
      </w:r>
    </w:p>
    <w:p w14:paraId="5E868565" w14:textId="48A08C46" w:rsidR="002F3011" w:rsidRPr="008C116F" w:rsidRDefault="001F3029" w:rsidP="00977377">
      <w:pPr>
        <w:spacing w:line="276" w:lineRule="auto"/>
        <w:ind w:right="51" w:firstLine="709"/>
        <w:jc w:val="both"/>
        <w:rPr>
          <w:rFonts w:ascii="Verdana" w:hAnsi="Verdana"/>
        </w:rPr>
      </w:pPr>
      <w:r w:rsidRPr="00977377">
        <w:rPr>
          <w:rFonts w:ascii="Verdana" w:eastAsia="Calibri" w:hAnsi="Verdana" w:cs="Arial"/>
          <w:color w:val="000000" w:themeColor="text1"/>
        </w:rPr>
        <w:t>Finalmente</w:t>
      </w:r>
      <w:r w:rsidR="002F3011" w:rsidRPr="00977377">
        <w:rPr>
          <w:rFonts w:ascii="Verdana" w:eastAsia="Calibri" w:hAnsi="Verdana" w:cs="Arial"/>
          <w:color w:val="000000" w:themeColor="text1"/>
        </w:rPr>
        <w:t xml:space="preserve">, </w:t>
      </w:r>
      <w:r w:rsidRPr="00977377">
        <w:rPr>
          <w:rFonts w:ascii="Verdana" w:eastAsia="Calibri" w:hAnsi="Verdana" w:cs="Arial"/>
          <w:color w:val="000000" w:themeColor="text1"/>
        </w:rPr>
        <w:t xml:space="preserve">advertir que </w:t>
      </w:r>
      <w:r w:rsidR="002F3011" w:rsidRPr="00977377">
        <w:rPr>
          <w:rFonts w:ascii="Verdana" w:eastAsia="Calibri" w:hAnsi="Verdana" w:cs="Arial"/>
          <w:color w:val="000000" w:themeColor="text1"/>
        </w:rPr>
        <w:t>al tratarse de un análisis que debe realizarse en un procedimiento</w:t>
      </w:r>
      <w:r w:rsidR="002F3011" w:rsidRPr="008C116F">
        <w:rPr>
          <w:rFonts w:ascii="Verdana" w:hAnsi="Verdana"/>
        </w:rPr>
        <w:t xml:space="preserve">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w:t>
      </w:r>
      <w:r w:rsidR="002F3011" w:rsidRPr="008C116F">
        <w:rPr>
          <w:rFonts w:ascii="Verdana" w:hAnsi="Verdana"/>
        </w:rPr>
        <w:lastRenderedPageBreak/>
        <w:t>contractual, sin que sea atribución de la Agencia Nacional de Contratación Pública – Colombia Compra Eficiente, validar sus actuaciones.</w:t>
      </w:r>
    </w:p>
    <w:p w14:paraId="267ABDCE" w14:textId="5F19D71F" w:rsidR="002F3011" w:rsidRPr="008C116F" w:rsidRDefault="007D455E" w:rsidP="006B1984">
      <w:pPr>
        <w:spacing w:after="0" w:line="276" w:lineRule="auto"/>
        <w:ind w:firstLine="709"/>
        <w:jc w:val="both"/>
        <w:rPr>
          <w:rFonts w:ascii="Verdana" w:hAnsi="Verdana"/>
        </w:rPr>
      </w:pPr>
      <w:r w:rsidRPr="008C116F">
        <w:rPr>
          <w:rFonts w:ascii="Verdana" w:hAnsi="Verdana"/>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24D05BF" w14:textId="77777777" w:rsidR="00F6218F" w:rsidRPr="00F6218F" w:rsidRDefault="00F6218F" w:rsidP="005734CF">
      <w:pPr>
        <w:spacing w:after="0" w:line="276" w:lineRule="auto"/>
        <w:ind w:firstLine="709"/>
        <w:jc w:val="both"/>
        <w:rPr>
          <w:rFonts w:ascii="Verdana" w:hAnsi="Verdana"/>
        </w:rPr>
      </w:pPr>
    </w:p>
    <w:p w14:paraId="0E650B48" w14:textId="77777777" w:rsidR="007D455E" w:rsidRPr="00EA560F" w:rsidRDefault="007D455E" w:rsidP="005734CF">
      <w:pPr>
        <w:pStyle w:val="Prrafodelista"/>
        <w:numPr>
          <w:ilvl w:val="0"/>
          <w:numId w:val="16"/>
        </w:numPr>
        <w:spacing w:after="0" w:line="276" w:lineRule="auto"/>
        <w:ind w:left="0"/>
        <w:contextualSpacing w:val="0"/>
        <w:rPr>
          <w:rFonts w:ascii="Verdana" w:eastAsia="Calibri" w:hAnsi="Verdana" w:cs="Times New Roman"/>
          <w:b/>
          <w:bCs/>
        </w:rPr>
      </w:pPr>
      <w:r w:rsidRPr="00EA560F">
        <w:rPr>
          <w:rFonts w:ascii="Verdana" w:eastAsia="Calibri" w:hAnsi="Verdana" w:cs="Times New Roman"/>
          <w:b/>
        </w:rPr>
        <w:t>Referencias normativas, jurisprudenciales y otras fuentes:</w:t>
      </w:r>
    </w:p>
    <w:p w14:paraId="556E7B6F" w14:textId="77777777" w:rsidR="007D455E" w:rsidRPr="00EA560F" w:rsidRDefault="007D455E" w:rsidP="007D455E">
      <w:pPr>
        <w:spacing w:after="0" w:line="276" w:lineRule="auto"/>
        <w:rPr>
          <w:rFonts w:ascii="Verdana" w:eastAsia="Calibri" w:hAnsi="Verdana" w:cs="Times New Roman"/>
          <w:b/>
          <w:bCs/>
        </w:rPr>
      </w:pPr>
    </w:p>
    <w:tbl>
      <w:tblPr>
        <w:tblStyle w:val="Tablaconcuadrcula"/>
        <w:tblW w:w="86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D455E" w:rsidRPr="005734CF" w14:paraId="6F753784" w14:textId="77777777" w:rsidTr="00BE2916">
        <w:trPr>
          <w:trHeight w:val="870"/>
        </w:trPr>
        <w:tc>
          <w:tcPr>
            <w:tcW w:w="8647" w:type="dxa"/>
          </w:tcPr>
          <w:p w14:paraId="03887583" w14:textId="2A826E06" w:rsidR="00AD5DAB" w:rsidRDefault="00AD5DAB" w:rsidP="005734CF">
            <w:pPr>
              <w:pStyle w:val="Textoindependiente"/>
              <w:numPr>
                <w:ilvl w:val="0"/>
                <w:numId w:val="24"/>
              </w:numPr>
              <w:tabs>
                <w:tab w:val="left" w:pos="819"/>
              </w:tabs>
              <w:spacing w:line="276" w:lineRule="auto"/>
            </w:pPr>
            <w:r>
              <w:t>Código</w:t>
            </w:r>
            <w:r>
              <w:rPr>
                <w:spacing w:val="-4"/>
              </w:rPr>
              <w:t xml:space="preserve"> </w:t>
            </w:r>
            <w:r>
              <w:t>Civil,</w:t>
            </w:r>
            <w:r>
              <w:rPr>
                <w:spacing w:val="-5"/>
              </w:rPr>
              <w:t xml:space="preserve"> </w:t>
            </w:r>
            <w:r>
              <w:t>artículos</w:t>
            </w:r>
            <w:r>
              <w:rPr>
                <w:spacing w:val="-9"/>
              </w:rPr>
              <w:t xml:space="preserve"> </w:t>
            </w:r>
            <w:r w:rsidR="00176F37">
              <w:t>73</w:t>
            </w:r>
            <w:r>
              <w:t>,</w:t>
            </w:r>
            <w:r>
              <w:rPr>
                <w:spacing w:val="-4"/>
              </w:rPr>
              <w:t xml:space="preserve"> </w:t>
            </w:r>
            <w:r w:rsidR="00176F37">
              <w:t>74</w:t>
            </w:r>
            <w:r w:rsidR="00B6302E">
              <w:rPr>
                <w:spacing w:val="-9"/>
              </w:rPr>
              <w:t>,</w:t>
            </w:r>
            <w:r>
              <w:rPr>
                <w:spacing w:val="-6"/>
              </w:rPr>
              <w:t xml:space="preserve"> </w:t>
            </w:r>
            <w:r w:rsidR="00176F37">
              <w:rPr>
                <w:spacing w:val="-2"/>
              </w:rPr>
              <w:t>633</w:t>
            </w:r>
            <w:r w:rsidR="00B6302E">
              <w:rPr>
                <w:spacing w:val="-2"/>
              </w:rPr>
              <w:t xml:space="preserve">, </w:t>
            </w:r>
            <w:r w:rsidR="00B6302E">
              <w:rPr>
                <w:rFonts w:eastAsia="Calibri" w:cs="Arial"/>
              </w:rPr>
              <w:t>1502, 1503 y 1504</w:t>
            </w:r>
          </w:p>
          <w:p w14:paraId="2510C4D6" w14:textId="77777777" w:rsidR="00AD5DAB" w:rsidRDefault="00AD5DAB" w:rsidP="005734CF">
            <w:pPr>
              <w:pStyle w:val="Textoindependiente"/>
              <w:numPr>
                <w:ilvl w:val="0"/>
                <w:numId w:val="24"/>
              </w:numPr>
              <w:tabs>
                <w:tab w:val="left" w:pos="819"/>
              </w:tabs>
              <w:spacing w:line="276" w:lineRule="auto"/>
            </w:pPr>
            <w:r>
              <w:t>Código</w:t>
            </w:r>
            <w:r>
              <w:rPr>
                <w:spacing w:val="-6"/>
              </w:rPr>
              <w:t xml:space="preserve"> </w:t>
            </w:r>
            <w:r>
              <w:t>de</w:t>
            </w:r>
            <w:r>
              <w:rPr>
                <w:spacing w:val="-8"/>
              </w:rPr>
              <w:t xml:space="preserve"> </w:t>
            </w:r>
            <w:r>
              <w:t>Comercio,</w:t>
            </w:r>
            <w:r>
              <w:rPr>
                <w:spacing w:val="-11"/>
              </w:rPr>
              <w:t xml:space="preserve"> </w:t>
            </w:r>
            <w:r>
              <w:t>artículo</w:t>
            </w:r>
            <w:r>
              <w:rPr>
                <w:spacing w:val="-5"/>
              </w:rPr>
              <w:t xml:space="preserve"> 99.</w:t>
            </w:r>
          </w:p>
          <w:p w14:paraId="0F5BF999" w14:textId="77777777" w:rsidR="00AD5DAB" w:rsidRDefault="00AD5DAB" w:rsidP="005734CF">
            <w:pPr>
              <w:pStyle w:val="Textoindependiente"/>
              <w:numPr>
                <w:ilvl w:val="0"/>
                <w:numId w:val="24"/>
              </w:numPr>
              <w:tabs>
                <w:tab w:val="left" w:pos="819"/>
              </w:tabs>
              <w:spacing w:line="276" w:lineRule="auto"/>
            </w:pPr>
            <w:r>
              <w:t>Ley</w:t>
            </w:r>
            <w:r>
              <w:rPr>
                <w:spacing w:val="-2"/>
              </w:rPr>
              <w:t xml:space="preserve"> </w:t>
            </w:r>
            <w:r>
              <w:t>80</w:t>
            </w:r>
            <w:r>
              <w:rPr>
                <w:spacing w:val="-1"/>
              </w:rPr>
              <w:t xml:space="preserve"> </w:t>
            </w:r>
            <w:r>
              <w:t>de</w:t>
            </w:r>
            <w:r>
              <w:rPr>
                <w:spacing w:val="-2"/>
              </w:rPr>
              <w:t xml:space="preserve"> </w:t>
            </w:r>
            <w:r>
              <w:t>1993,</w:t>
            </w:r>
            <w:r>
              <w:rPr>
                <w:spacing w:val="-6"/>
              </w:rPr>
              <w:t xml:space="preserve"> </w:t>
            </w:r>
            <w:r>
              <w:t>artículos</w:t>
            </w:r>
            <w:r>
              <w:rPr>
                <w:spacing w:val="-1"/>
              </w:rPr>
              <w:t xml:space="preserve"> </w:t>
            </w:r>
            <w:r>
              <w:t>2,</w:t>
            </w:r>
            <w:r>
              <w:rPr>
                <w:spacing w:val="-6"/>
              </w:rPr>
              <w:t xml:space="preserve"> </w:t>
            </w:r>
            <w:r>
              <w:t>6</w:t>
            </w:r>
            <w:r>
              <w:rPr>
                <w:spacing w:val="-1"/>
              </w:rPr>
              <w:t xml:space="preserve"> </w:t>
            </w:r>
            <w:r>
              <w:t>y</w:t>
            </w:r>
            <w:r>
              <w:rPr>
                <w:spacing w:val="-7"/>
              </w:rPr>
              <w:t xml:space="preserve"> </w:t>
            </w:r>
            <w:r>
              <w:rPr>
                <w:spacing w:val="-5"/>
              </w:rPr>
              <w:t>7.</w:t>
            </w:r>
          </w:p>
          <w:p w14:paraId="07F6F1C6" w14:textId="29ACD552" w:rsidR="008655D3" w:rsidRPr="008655D3" w:rsidRDefault="008655D3" w:rsidP="005734CF">
            <w:pPr>
              <w:pStyle w:val="Textoindependiente"/>
              <w:numPr>
                <w:ilvl w:val="0"/>
                <w:numId w:val="24"/>
              </w:numPr>
              <w:tabs>
                <w:tab w:val="left" w:pos="819"/>
              </w:tabs>
              <w:spacing w:line="276" w:lineRule="auto"/>
            </w:pPr>
            <w:r w:rsidRPr="008655D3">
              <w:t>Corte Constitucional. Sentencia C-949 del 5 de septiembre de 2001. M.P. Clara Inés Vargas Hernández.</w:t>
            </w:r>
          </w:p>
          <w:p w14:paraId="3E0F63D2" w14:textId="0FE60FC0" w:rsidR="007D455E" w:rsidRPr="008655D3" w:rsidRDefault="00AD5DAB" w:rsidP="005734CF">
            <w:pPr>
              <w:pStyle w:val="Textoindependiente"/>
              <w:numPr>
                <w:ilvl w:val="0"/>
                <w:numId w:val="24"/>
              </w:numPr>
              <w:tabs>
                <w:tab w:val="left" w:pos="819"/>
              </w:tabs>
              <w:spacing w:line="276" w:lineRule="auto"/>
            </w:pPr>
            <w:r w:rsidRPr="008655D3">
              <w:t>Ramírez</w:t>
            </w:r>
            <w:r w:rsidRPr="008655D3">
              <w:rPr>
                <w:spacing w:val="-7"/>
              </w:rPr>
              <w:t xml:space="preserve"> </w:t>
            </w:r>
            <w:r w:rsidRPr="008655D3">
              <w:t>Grisales,</w:t>
            </w:r>
            <w:r w:rsidRPr="008655D3">
              <w:rPr>
                <w:spacing w:val="-5"/>
              </w:rPr>
              <w:t xml:space="preserve"> </w:t>
            </w:r>
            <w:r w:rsidRPr="008655D3">
              <w:t>La</w:t>
            </w:r>
            <w:r w:rsidRPr="008655D3">
              <w:rPr>
                <w:spacing w:val="-8"/>
              </w:rPr>
              <w:t xml:space="preserve"> </w:t>
            </w:r>
            <w:r w:rsidR="00831B1C" w:rsidRPr="008655D3">
              <w:t>C</w:t>
            </w:r>
            <w:r w:rsidRPr="008655D3">
              <w:t>esión…</w:t>
            </w:r>
            <w:r w:rsidRPr="008655D3">
              <w:rPr>
                <w:spacing w:val="-9"/>
              </w:rPr>
              <w:t xml:space="preserve"> </w:t>
            </w:r>
            <w:proofErr w:type="spellStart"/>
            <w:r w:rsidR="00831B1C" w:rsidRPr="008655D3">
              <w:t>o</w:t>
            </w:r>
            <w:r w:rsidRPr="008655D3">
              <w:t>p</w:t>
            </w:r>
            <w:proofErr w:type="spellEnd"/>
            <w:r w:rsidRPr="008655D3">
              <w:t>.</w:t>
            </w:r>
            <w:r w:rsidRPr="008655D3">
              <w:rPr>
                <w:spacing w:val="-10"/>
              </w:rPr>
              <w:t xml:space="preserve"> </w:t>
            </w:r>
            <w:r w:rsidRPr="008655D3">
              <w:t>cit.,</w:t>
            </w:r>
            <w:r w:rsidRPr="008655D3">
              <w:rPr>
                <w:spacing w:val="-6"/>
              </w:rPr>
              <w:t xml:space="preserve"> </w:t>
            </w:r>
            <w:r w:rsidRPr="008655D3">
              <w:t>pp.159-</w:t>
            </w:r>
            <w:r w:rsidRPr="008655D3">
              <w:rPr>
                <w:spacing w:val="-4"/>
              </w:rPr>
              <w:t>160.</w:t>
            </w:r>
          </w:p>
        </w:tc>
      </w:tr>
    </w:tbl>
    <w:p w14:paraId="7EDFC70C" w14:textId="77777777" w:rsidR="007D455E" w:rsidRPr="00647A80" w:rsidRDefault="007D455E" w:rsidP="007D455E">
      <w:pPr>
        <w:spacing w:after="0" w:line="276" w:lineRule="auto"/>
        <w:rPr>
          <w:rFonts w:ascii="Verdana" w:eastAsia="Calibri" w:hAnsi="Verdana" w:cs="Times New Roman"/>
          <w:b/>
          <w:bCs/>
        </w:rPr>
      </w:pPr>
    </w:p>
    <w:p w14:paraId="69E4208D" w14:textId="77777777" w:rsidR="007D455E" w:rsidRDefault="007D455E" w:rsidP="00706590">
      <w:pPr>
        <w:spacing w:line="276" w:lineRule="auto"/>
        <w:rPr>
          <w:rFonts w:ascii="Verdana" w:hAnsi="Verdana"/>
          <w:shd w:val="clear" w:color="auto" w:fill="FFFFFF"/>
        </w:rPr>
      </w:pPr>
      <w:r w:rsidRPr="00EA560F">
        <w:rPr>
          <w:rFonts w:ascii="Verdana" w:eastAsia="Calibri" w:hAnsi="Verdana" w:cs="Times New Roman"/>
          <w:b/>
          <w:bCs/>
        </w:rPr>
        <w:t>5. Doctrina de la Agencia Nacional de Contratación Pública:</w:t>
      </w:r>
    </w:p>
    <w:p w14:paraId="74C4DFAF" w14:textId="0E2188F0" w:rsidR="007D455E" w:rsidRPr="00706590" w:rsidRDefault="007D455E" w:rsidP="00706590">
      <w:pPr>
        <w:spacing w:line="276" w:lineRule="auto"/>
        <w:jc w:val="both"/>
        <w:rPr>
          <w:rFonts w:ascii="Verdana" w:hAnsi="Verdana"/>
        </w:rPr>
      </w:pPr>
      <w:r w:rsidRPr="00856826">
        <w:rPr>
          <w:rFonts w:ascii="Verdana" w:eastAsia="Calibri" w:hAnsi="Verdana" w:cs="Arial"/>
          <w:color w:val="000000" w:themeColor="text1"/>
          <w:lang w:val="es-ES" w:eastAsia="es-ES_tradnl"/>
        </w:rPr>
        <w:t xml:space="preserve">La Agencia Nacional de Contratación Pública – Colombia Compra Eficiente </w:t>
      </w:r>
      <w:r w:rsidR="00D56495" w:rsidRPr="00D56495">
        <w:rPr>
          <w:rFonts w:ascii="Verdana" w:eastAsia="Calibri" w:hAnsi="Verdana" w:cs="Arial"/>
          <w:color w:val="000000" w:themeColor="text1"/>
          <w:lang w:eastAsia="es-ES_tradnl"/>
        </w:rPr>
        <w:t>se ha pronunciado sobre los consorcios y las uniones temporales en los Conceptos 4201912000006909 del 28 de octubre de 2029, 4201913000007643 del 26 de diciembre de 2019, C-343 del 17 de junio de 2020, C-518 del 9 de septiembre de 2020, C-614 del 5 de octubre de 2022, C-882 del 21 de diciembre de 2022, C-172 del 6 de junio de 2023, C-032 del 16 de abril de 2024, C-050 del 18 de julio de 2024, C-100 del 12 de junio de 2024, 727 del 28 de octubre de 2024, C-894 del 11 de diciembre de 2024, C-936 del 18 de diciembre de 2024, C-016 del 11 de febrero de 2025 y C-226 del 26 de marzo de 2025, entre otros.</w:t>
      </w:r>
      <w:r>
        <w:rPr>
          <w:rStyle w:val="normaltextrun"/>
          <w:rFonts w:ascii="Verdana" w:hAnsi="Verdana" w:cs="Arial"/>
          <w:color w:val="000000" w:themeColor="text1"/>
          <w:shd w:val="clear" w:color="auto" w:fill="FFFFFF"/>
          <w:lang w:val="es-ES"/>
        </w:rPr>
        <w:t xml:space="preserve"> </w:t>
      </w:r>
      <w:r w:rsidRPr="008E2DC6">
        <w:rPr>
          <w:rFonts w:ascii="Verdana" w:hAnsi="Verdana"/>
          <w:shd w:val="clear" w:color="auto" w:fill="FFFFFF"/>
        </w:rPr>
        <w:t xml:space="preserve">Estos y otros conceptos se encuentran disponibles para consulta en el Sistema de Relatoría de la Agencia, en el cual también podrás encontrar jurisprudencia del Consejo de Estado, laudos arbitrales y la normativa de la contratación </w:t>
      </w:r>
      <w:r w:rsidRPr="008E2DC6">
        <w:rPr>
          <w:rFonts w:ascii="Verdana" w:hAnsi="Verdana"/>
          <w:shd w:val="clear" w:color="auto" w:fill="FFFFFF"/>
        </w:rPr>
        <w:lastRenderedPageBreak/>
        <w:t>concordada con la doctrina de la Subdirección de Gestión Contractual. Accede a través del siguiente enlace: </w:t>
      </w:r>
      <w:hyperlink r:id="rId13" w:tgtFrame="_blank" w:tooltip="Dirección URL original: https://relatoria.colombiacompra.gov.co/. Haga clic o pulse si confía en este vínculo." w:history="1">
        <w:r w:rsidRPr="00EA560F">
          <w:rPr>
            <w:rStyle w:val="Hipervnculo"/>
            <w:rFonts w:ascii="Verdana" w:hAnsi="Verdana" w:cs="Arial"/>
            <w:shd w:val="clear" w:color="auto" w:fill="FFFFFF"/>
          </w:rPr>
          <w:t>https://relatoria.colombiacompra.gov.co/</w:t>
        </w:r>
      </w:hyperlink>
    </w:p>
    <w:p w14:paraId="31BD7F8F" w14:textId="110152E2" w:rsidR="007D455E" w:rsidRPr="00647A80" w:rsidRDefault="007D455E" w:rsidP="00706590">
      <w:pPr>
        <w:spacing w:line="276" w:lineRule="auto"/>
        <w:jc w:val="both"/>
        <w:rPr>
          <w:rFonts w:ascii="Verdana" w:hAnsi="Verdana"/>
        </w:rPr>
      </w:pPr>
      <w:r w:rsidRPr="00EA560F">
        <w:rPr>
          <w:rFonts w:ascii="Verdana" w:hAnsi="Verdana"/>
        </w:rPr>
        <w:t xml:space="preserve">La sostenibilidad no es una opción, es una obligación. Por ello, la Agencia Nacional de Contratación Pública –Colombia Compra Eficiente– te invita a realizar el </w:t>
      </w:r>
      <w:r w:rsidRPr="00697069">
        <w:rPr>
          <w:rFonts w:ascii="Verdana" w:hAnsi="Verdana"/>
          <w:b/>
          <w:bCs/>
        </w:rPr>
        <w:t>Curso de Contratación Pública Sostenible y Socialmente Responsable</w:t>
      </w:r>
      <w:r w:rsidRPr="00F926E2">
        <w:rPr>
          <w:rFonts w:ascii="Verdana" w:hAnsi="Verdana"/>
        </w:rPr>
        <w:t xml:space="preserve">, una herramienta clave para fortalecer las capacidades de todos los </w:t>
      </w:r>
      <w:r w:rsidRPr="00BE636B">
        <w:rPr>
          <w:rFonts w:ascii="Verdana" w:hAnsi="Verdana"/>
        </w:rPr>
        <w:t>compradores públicos, proveedores, servidores públicos v para generar mayor valor público. Accede al curso y aprende como implementar criterios sociales y ambientales en las diferentes etapas del proceso de contratación:</w:t>
      </w:r>
      <w:r w:rsidRPr="00BE636B">
        <w:rPr>
          <w:rFonts w:ascii="Verdana" w:hAnsi="Verdana"/>
        </w:rPr>
        <w:br/>
      </w:r>
      <w:hyperlink r:id="rId14" w:tgtFrame="_new" w:history="1">
        <w:r w:rsidRPr="00EA560F">
          <w:rPr>
            <w:rStyle w:val="Hipervnculo"/>
            <w:rFonts w:ascii="Verdana" w:hAnsi="Verdana"/>
          </w:rPr>
          <w:t>https://formacionvirtual.colombiacompra.gov.co/mod/page/view.php?id=3718</w:t>
        </w:r>
      </w:hyperlink>
    </w:p>
    <w:p w14:paraId="430DB50C" w14:textId="6728F102" w:rsidR="007D455E" w:rsidRPr="00647A80" w:rsidRDefault="007D455E" w:rsidP="00706590">
      <w:pPr>
        <w:spacing w:line="276" w:lineRule="auto"/>
        <w:jc w:val="both"/>
        <w:rPr>
          <w:rFonts w:ascii="Verdana" w:hAnsi="Verdana"/>
        </w:rPr>
      </w:pPr>
      <w:r w:rsidRPr="00697069">
        <w:rPr>
          <w:rFonts w:ascii="Verdana" w:hAnsi="Verdana"/>
        </w:rPr>
        <w:t xml:space="preserve">De otro lado, te contamos que esta Agencia ha da un paso decisivo en la estandarización y modernización del </w:t>
      </w:r>
      <w:r w:rsidRPr="00F926E2">
        <w:rPr>
          <w:rFonts w:ascii="Verdana" w:hAnsi="Verdana"/>
          <w:b/>
          <w:bCs/>
        </w:rPr>
        <w:t>sector  so</w:t>
      </w:r>
      <w:r w:rsidRPr="00F74DD7">
        <w:rPr>
          <w:rFonts w:ascii="Verdana" w:hAnsi="Verdana"/>
          <w:b/>
          <w:bCs/>
        </w:rPr>
        <w:t>cial</w:t>
      </w:r>
      <w:r w:rsidRPr="00BE636B">
        <w:rPr>
          <w:rFonts w:ascii="Verdana" w:hAnsi="Verdana"/>
        </w:rPr>
        <w:t xml:space="preserve"> con la expedición de las </w:t>
      </w:r>
      <w:r w:rsidRPr="00BE636B">
        <w:rPr>
          <w:rFonts w:ascii="Verdana" w:hAnsi="Verdana"/>
          <w:b/>
          <w:bCs/>
        </w:rPr>
        <w:t>Resoluciones 539, 540, 541, 952 y 953 de 2025</w:t>
      </w:r>
      <w:r w:rsidRPr="00E460E3">
        <w:rPr>
          <w:rFonts w:ascii="Verdana" w:hAnsi="Verdana"/>
        </w:rPr>
        <w:t xml:space="preserve">, </w:t>
      </w:r>
      <w:r w:rsidRPr="002067DD">
        <w:rPr>
          <w:rFonts w:ascii="Verdana" w:hAnsi="Verdana"/>
          <w:b/>
          <w:bCs/>
        </w:rPr>
        <w:t>mediante las cuales adoptó Documentos Tipo</w:t>
      </w:r>
      <w:r w:rsidRPr="008E2DC6">
        <w:rPr>
          <w:rFonts w:ascii="Verdana" w:hAnsi="Verdana"/>
        </w:rPr>
        <w:t xml:space="preserve"> para las modalidades de selección de</w:t>
      </w:r>
      <w:r w:rsidRPr="008E2DC6">
        <w:rPr>
          <w:rFonts w:ascii="Verdana" w:hAnsi="Verdana"/>
          <w:b/>
          <w:bCs/>
        </w:rPr>
        <w:t xml:space="preserve"> licitación pública (versión 2), selección abreviada de menor cuantía, mínima cuantía, consultoría e interventoría</w:t>
      </w:r>
      <w:r w:rsidRPr="008E2DC6">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EA560F">
          <w:rPr>
            <w:rStyle w:val="Hipervnculo"/>
            <w:rFonts w:ascii="Verdana" w:hAnsi="Verdana"/>
          </w:rPr>
          <w:t>https://www.colombiacompra.gov.co/normativa-y-relatoria/documentos-tipo</w:t>
        </w:r>
      </w:hyperlink>
    </w:p>
    <w:p w14:paraId="7FE75A15" w14:textId="77777777" w:rsidR="007D455E" w:rsidRPr="005734CF" w:rsidRDefault="007D455E" w:rsidP="00977377">
      <w:pPr>
        <w:spacing w:line="276" w:lineRule="auto"/>
        <w:jc w:val="both"/>
        <w:rPr>
          <w:rFonts w:ascii="Verdana" w:hAnsi="Verdana"/>
        </w:rPr>
      </w:pPr>
      <w:r w:rsidRPr="00EA560F">
        <w:rPr>
          <w:rFonts w:ascii="Verdana" w:hAnsi="Verdana"/>
        </w:rPr>
        <w:t>Si quieres conocer más sobre la aplicación de Documentos Tipo puedes consultar la última versión de l</w:t>
      </w:r>
      <w:r w:rsidRPr="00F926E2">
        <w:rPr>
          <w:rFonts w:ascii="Verdana" w:hAnsi="Verdana"/>
        </w:rPr>
        <w:t xml:space="preserve">a </w:t>
      </w:r>
      <w:r w:rsidRPr="00F74DD7">
        <w:rPr>
          <w:rFonts w:ascii="Verdana" w:hAnsi="Verdana"/>
          <w:b/>
          <w:bCs/>
        </w:rPr>
        <w:t>Guía para la comprensión e implementación de los Documentos Tipo de obra pública de infraestructura de transporte</w:t>
      </w:r>
      <w:r w:rsidRPr="00BE636B">
        <w:rPr>
          <w:rFonts w:ascii="Verdana" w:hAnsi="Verdana"/>
        </w:rPr>
        <w:t>. En esta actualización se incorporaron orientaciones prácticas dirigidas a entidades públicas, proveedores, organismos de control y demás in</w:t>
      </w:r>
      <w:r w:rsidRPr="00323DD8">
        <w:rPr>
          <w:rFonts w:ascii="Verdana" w:hAnsi="Verdana"/>
        </w:rPr>
        <w:t xml:space="preserve">teresados, con el propósito de facilitar la adecuada implementación de estos instrumentos en los procesos contractuales. </w:t>
      </w:r>
      <w:r w:rsidRPr="008E2DC6">
        <w:rPr>
          <w:rFonts w:ascii="Verdana" w:hAnsi="Verdana"/>
        </w:rPr>
        <w:t>Además se incluyeron lineamientos que orientan la implementación de los criterios ambientales y sociales incluidos en los documentos tipo: Consulta la guía aquí:</w:t>
      </w:r>
      <w:r w:rsidRPr="008E2DC6">
        <w:rPr>
          <w:rFonts w:ascii="Verdana" w:hAnsi="Verdana"/>
        </w:rPr>
        <w:br/>
      </w:r>
      <w:hyperlink r:id="rId16" w:tgtFrame="_new" w:history="1">
        <w:r w:rsidRPr="00EA560F">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768B0A34" w14:textId="77777777" w:rsidR="00977377" w:rsidRPr="00F07E96" w:rsidRDefault="00977377" w:rsidP="00977377">
      <w:pPr>
        <w:spacing w:line="276" w:lineRule="auto"/>
        <w:jc w:val="both"/>
        <w:rPr>
          <w:rFonts w:ascii="Verdana" w:hAnsi="Verdana"/>
        </w:rPr>
      </w:pPr>
      <w:r w:rsidRPr="00EA560F">
        <w:rPr>
          <w:rFonts w:ascii="Verdana" w:hAnsi="Verdana"/>
        </w:rPr>
        <w:lastRenderedPageBreak/>
        <w:t>Aprovechamos la oportunidad para manifestar la entera disposición de la Agencia Nacional de Contratación Pública –Colombia Compra Eficiente– para atender las peticiones o solicitudes, así como para brindar el apoyo que se requiera en el marco de nuestras funciones a través</w:t>
      </w:r>
      <w:r w:rsidRPr="00697069">
        <w:rPr>
          <w:rFonts w:ascii="Verdana" w:hAnsi="Verdana"/>
        </w:rPr>
        <w:t xml:space="preserve"> de nuestros diferentes canales de atención: </w:t>
      </w:r>
    </w:p>
    <w:p w14:paraId="4F1362D4" w14:textId="77777777" w:rsidR="00977377" w:rsidRPr="00286DDE" w:rsidRDefault="00977377" w:rsidP="00977377">
      <w:pPr>
        <w:numPr>
          <w:ilvl w:val="0"/>
          <w:numId w:val="15"/>
        </w:numPr>
        <w:spacing w:after="0" w:line="276" w:lineRule="auto"/>
        <w:jc w:val="both"/>
        <w:rPr>
          <w:rFonts w:ascii="Verdana" w:hAnsi="Verdana"/>
        </w:rPr>
      </w:pPr>
      <w:r w:rsidRPr="00286DDE">
        <w:rPr>
          <w:rFonts w:ascii="Verdana" w:hAnsi="Verdana"/>
        </w:rPr>
        <w:t>Línea nacional gratuita o servicio a la ciudadanía: 01800 0520808</w:t>
      </w:r>
    </w:p>
    <w:p w14:paraId="35C33542" w14:textId="77777777" w:rsidR="00977377" w:rsidRPr="00286DDE" w:rsidRDefault="00977377" w:rsidP="00977377">
      <w:pPr>
        <w:numPr>
          <w:ilvl w:val="0"/>
          <w:numId w:val="15"/>
        </w:numPr>
        <w:spacing w:after="0" w:line="276" w:lineRule="auto"/>
        <w:jc w:val="both"/>
        <w:rPr>
          <w:rFonts w:ascii="Verdana" w:hAnsi="Verdana"/>
        </w:rPr>
      </w:pPr>
      <w:r w:rsidRPr="00286DDE">
        <w:rPr>
          <w:rFonts w:ascii="Verdana" w:hAnsi="Verdana"/>
        </w:rPr>
        <w:t>Línea en Bogotá (Mesa de servicio): +57 601 7456788</w:t>
      </w:r>
    </w:p>
    <w:p w14:paraId="1CDF0171" w14:textId="77777777" w:rsidR="00977377" w:rsidRPr="00286DDE" w:rsidRDefault="00977377" w:rsidP="00977377">
      <w:pPr>
        <w:numPr>
          <w:ilvl w:val="0"/>
          <w:numId w:val="15"/>
        </w:numPr>
        <w:spacing w:after="0" w:line="276" w:lineRule="auto"/>
        <w:jc w:val="both"/>
        <w:rPr>
          <w:rFonts w:ascii="Verdana" w:hAnsi="Verdana"/>
        </w:rPr>
      </w:pPr>
      <w:r w:rsidRPr="00286DDE">
        <w:rPr>
          <w:rFonts w:ascii="Verdana" w:hAnsi="Verdana"/>
        </w:rPr>
        <w:t>Línea de servicio y atención al ciudadano: +57 601 7956600</w:t>
      </w:r>
    </w:p>
    <w:p w14:paraId="699A6624" w14:textId="07719995" w:rsidR="00977377" w:rsidRPr="00977377" w:rsidRDefault="00977377" w:rsidP="00977377">
      <w:pPr>
        <w:numPr>
          <w:ilvl w:val="0"/>
          <w:numId w:val="15"/>
        </w:numPr>
        <w:spacing w:line="276" w:lineRule="auto"/>
        <w:jc w:val="both"/>
        <w:rPr>
          <w:rFonts w:ascii="Verdana" w:hAnsi="Verdana"/>
        </w:rPr>
      </w:pPr>
      <w:r w:rsidRPr="004E312D">
        <w:rPr>
          <w:rFonts w:ascii="Verdana" w:hAnsi="Verdana"/>
        </w:rPr>
        <w:t xml:space="preserve">Página web: </w:t>
      </w:r>
      <w:hyperlink r:id="rId17" w:history="1">
        <w:r w:rsidRPr="004E312D">
          <w:rPr>
            <w:rStyle w:val="Hipervnculo"/>
            <w:rFonts w:ascii="Verdana" w:hAnsi="Verdana"/>
          </w:rPr>
          <w:t>www.colombiacompra.gov.co</w:t>
        </w:r>
      </w:hyperlink>
    </w:p>
    <w:p w14:paraId="2D85E03E" w14:textId="131C1186" w:rsidR="00977377" w:rsidRDefault="00977377" w:rsidP="00977377">
      <w:pPr>
        <w:spacing w:line="276" w:lineRule="auto"/>
        <w:jc w:val="both"/>
        <w:rPr>
          <w:rFonts w:ascii="Verdana" w:hAnsi="Verdana"/>
        </w:rPr>
      </w:pPr>
      <w:r w:rsidRPr="00EA560F">
        <w:rPr>
          <w:rFonts w:ascii="Verdana" w:hAnsi="Verdana"/>
        </w:rPr>
        <w:t xml:space="preserve">Por último, lo invitamos a seguirnos en las redes sociales en las cuales se difunde información institucional: </w:t>
      </w:r>
    </w:p>
    <w:p w14:paraId="03F87E39" w14:textId="77777777" w:rsidR="00977377" w:rsidRPr="00286DDE" w:rsidRDefault="00977377" w:rsidP="00977377">
      <w:pPr>
        <w:spacing w:after="0" w:line="276" w:lineRule="auto"/>
        <w:jc w:val="both"/>
        <w:rPr>
          <w:rFonts w:ascii="Verdana" w:hAnsi="Verdana"/>
        </w:rPr>
      </w:pPr>
      <w:r w:rsidRPr="00286DDE">
        <w:rPr>
          <w:rFonts w:ascii="Verdana" w:hAnsi="Verdana"/>
        </w:rPr>
        <w:t xml:space="preserve">Twitter: </w:t>
      </w:r>
      <w:r w:rsidRPr="00286DDE">
        <w:rPr>
          <w:rStyle w:val="Hipervnculo"/>
          <w:rFonts w:ascii="Verdana" w:hAnsi="Verdana"/>
        </w:rPr>
        <w:t>@colombiacompra</w:t>
      </w:r>
      <w:r w:rsidRPr="00286DDE">
        <w:rPr>
          <w:rFonts w:ascii="Verdana" w:hAnsi="Verdana"/>
        </w:rPr>
        <w:t xml:space="preserve"> </w:t>
      </w:r>
    </w:p>
    <w:p w14:paraId="6F0F000F" w14:textId="77777777" w:rsidR="00977377" w:rsidRPr="00286DDE" w:rsidRDefault="00977377" w:rsidP="00977377">
      <w:pPr>
        <w:spacing w:after="0" w:line="276" w:lineRule="auto"/>
        <w:jc w:val="both"/>
        <w:rPr>
          <w:rFonts w:ascii="Verdana" w:hAnsi="Verdana"/>
        </w:rPr>
      </w:pPr>
      <w:r w:rsidRPr="00286DDE">
        <w:rPr>
          <w:rFonts w:ascii="Verdana" w:hAnsi="Verdana"/>
        </w:rPr>
        <w:t xml:space="preserve">Facebook: </w:t>
      </w:r>
      <w:proofErr w:type="spellStart"/>
      <w:r w:rsidRPr="00286DDE">
        <w:rPr>
          <w:rStyle w:val="Hipervnculo"/>
          <w:rFonts w:ascii="Verdana" w:hAnsi="Verdana"/>
        </w:rPr>
        <w:t>ColombiaCompraEficiente</w:t>
      </w:r>
      <w:proofErr w:type="spellEnd"/>
    </w:p>
    <w:p w14:paraId="0731EEAB" w14:textId="38D8EAB3" w:rsidR="00977377" w:rsidRDefault="00977377" w:rsidP="00706590">
      <w:pPr>
        <w:spacing w:line="276" w:lineRule="auto"/>
        <w:jc w:val="both"/>
        <w:rPr>
          <w:rFonts w:ascii="Verdana" w:eastAsia="Calibri" w:hAnsi="Verdana" w:cs="Times New Roman"/>
        </w:rPr>
      </w:pPr>
      <w:r w:rsidRPr="00286DDE">
        <w:rPr>
          <w:rFonts w:ascii="Verdana" w:hAnsi="Verdana"/>
        </w:rPr>
        <w:t xml:space="preserve">LinkedIn: </w:t>
      </w:r>
      <w:r w:rsidRPr="00286DDE">
        <w:rPr>
          <w:rStyle w:val="Hipervnculo"/>
          <w:rFonts w:ascii="Verdana" w:hAnsi="Verdana"/>
        </w:rPr>
        <w:t>Agencia Nacional de Contratación Pública - Colombia Compra Eficiente</w:t>
      </w:r>
      <w:r w:rsidRPr="00286DDE">
        <w:rPr>
          <w:rFonts w:ascii="Verdana" w:hAnsi="Verdana"/>
        </w:rPr>
        <w:t xml:space="preserve"> Instagram: </w:t>
      </w:r>
      <w:r w:rsidRPr="00286DDE">
        <w:rPr>
          <w:rStyle w:val="Hipervnculo"/>
          <w:rFonts w:ascii="Verdana" w:hAnsi="Verdana"/>
        </w:rPr>
        <w:t>@colombiacompraeficiente_cce</w:t>
      </w:r>
    </w:p>
    <w:p w14:paraId="010FF56D" w14:textId="77777777" w:rsidR="007D455E" w:rsidRPr="00BE636B" w:rsidRDefault="007D455E" w:rsidP="007D455E">
      <w:pPr>
        <w:spacing w:after="0" w:line="276" w:lineRule="auto"/>
        <w:jc w:val="both"/>
        <w:rPr>
          <w:rFonts w:ascii="Verdana" w:eastAsia="Calibri" w:hAnsi="Verdana" w:cs="Times New Roman"/>
          <w:bCs/>
        </w:rPr>
      </w:pPr>
      <w:r w:rsidRPr="00EA560F">
        <w:rPr>
          <w:rFonts w:ascii="Verdana" w:eastAsia="Calibri" w:hAnsi="Verdana" w:cs="Times New Roman"/>
        </w:rPr>
        <w:t>Este concepto tiene el alcance previsto en el artículo 28 del Código de Procedimiento Administrativo y de lo Cont</w:t>
      </w:r>
      <w:r w:rsidRPr="00F926E2">
        <w:rPr>
          <w:rFonts w:ascii="Verdana" w:eastAsia="Calibri" w:hAnsi="Verdana" w:cs="Times New Roman"/>
        </w:rPr>
        <w:t>encioso Administrativo y las expresiones utilizadas con mayúscula inicial deben ser entendidas con el significado que les otorga el artículo 2.2.1.1.1.3.1 del Decreto 1082 de 2015.</w:t>
      </w:r>
    </w:p>
    <w:p w14:paraId="5C471683" w14:textId="77777777" w:rsidR="007D455E" w:rsidRPr="008E2DC6" w:rsidRDefault="007D455E" w:rsidP="007D455E">
      <w:pPr>
        <w:spacing w:after="0" w:line="276" w:lineRule="auto"/>
        <w:jc w:val="both"/>
        <w:rPr>
          <w:rFonts w:ascii="Verdana" w:eastAsia="Calibri" w:hAnsi="Verdana" w:cs="Times New Roman"/>
        </w:rPr>
      </w:pPr>
    </w:p>
    <w:p w14:paraId="2E37771C" w14:textId="41A7F9A9" w:rsidR="007D455E" w:rsidRDefault="00F8050F" w:rsidP="007D455E">
      <w:pPr>
        <w:spacing w:after="0" w:line="276" w:lineRule="auto"/>
        <w:jc w:val="both"/>
        <w:rPr>
          <w:rFonts w:ascii="Verdana" w:eastAsia="Calibri" w:hAnsi="Verdana" w:cs="Times New Roman"/>
        </w:rPr>
      </w:pPr>
      <w:r w:rsidRPr="00F8050F">
        <w:rPr>
          <w:rFonts w:ascii="Verdana" w:eastAsia="Calibri" w:hAnsi="Verdana" w:cs="Times New Roman"/>
        </w:rPr>
        <w:drawing>
          <wp:anchor distT="0" distB="0" distL="114300" distR="114300" simplePos="0" relativeHeight="251660288" behindDoc="1" locked="0" layoutInCell="1" allowOverlap="1" wp14:anchorId="23A4A7C3" wp14:editId="6421ACB9">
            <wp:simplePos x="0" y="0"/>
            <wp:positionH relativeFrom="margin">
              <wp:align>center</wp:align>
            </wp:positionH>
            <wp:positionV relativeFrom="paragraph">
              <wp:posOffset>71635</wp:posOffset>
            </wp:positionV>
            <wp:extent cx="3771900" cy="1400175"/>
            <wp:effectExtent l="0" t="0" r="0" b="9525"/>
            <wp:wrapNone/>
            <wp:docPr id="5757894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r w:rsidR="007D455E" w:rsidRPr="008E2DC6">
        <w:rPr>
          <w:rFonts w:ascii="Verdana" w:eastAsia="Calibri" w:hAnsi="Verdana" w:cs="Times New Roman"/>
        </w:rPr>
        <w:t xml:space="preserve">Atentamente,  </w:t>
      </w:r>
    </w:p>
    <w:p w14:paraId="7EC4AA7E" w14:textId="7B21257C" w:rsidR="00F8050F" w:rsidRPr="00F8050F" w:rsidRDefault="00F8050F" w:rsidP="00F8050F">
      <w:pPr>
        <w:spacing w:after="0" w:line="276" w:lineRule="auto"/>
        <w:jc w:val="both"/>
        <w:rPr>
          <w:rFonts w:ascii="Verdana" w:eastAsia="Calibri" w:hAnsi="Verdana" w:cs="Times New Roman"/>
        </w:rPr>
      </w:pPr>
    </w:p>
    <w:p w14:paraId="20E1321C" w14:textId="77777777" w:rsidR="007D455E" w:rsidRPr="008E2DC6" w:rsidRDefault="007D455E" w:rsidP="007D455E">
      <w:pPr>
        <w:spacing w:after="0" w:line="276" w:lineRule="auto"/>
        <w:jc w:val="both"/>
        <w:rPr>
          <w:rFonts w:ascii="Verdana" w:eastAsia="Calibri" w:hAnsi="Verdana" w:cs="Times New Roman"/>
        </w:rPr>
      </w:pPr>
    </w:p>
    <w:p w14:paraId="7A4C13D7" w14:textId="77777777" w:rsidR="007D455E" w:rsidRPr="00CE156C" w:rsidRDefault="007D455E" w:rsidP="007D455E">
      <w:pPr>
        <w:spacing w:after="0" w:line="276" w:lineRule="auto"/>
        <w:jc w:val="both"/>
        <w:rPr>
          <w:rFonts w:ascii="Verdana" w:eastAsia="Calibri" w:hAnsi="Verdana" w:cs="Times New Roman"/>
        </w:rPr>
      </w:pPr>
    </w:p>
    <w:p w14:paraId="53A21DBC" w14:textId="77777777" w:rsidR="007D455E" w:rsidRPr="00F07E96" w:rsidRDefault="007D455E" w:rsidP="007D455E">
      <w:pPr>
        <w:spacing w:after="0" w:line="276" w:lineRule="auto"/>
        <w:jc w:val="both"/>
        <w:rPr>
          <w:rFonts w:ascii="Verdana" w:eastAsia="Calibri" w:hAnsi="Verdana" w:cs="Times New Roman"/>
        </w:rPr>
      </w:pPr>
    </w:p>
    <w:p w14:paraId="0D5B8E3D" w14:textId="77777777" w:rsidR="007D455E" w:rsidRPr="00F926E2" w:rsidRDefault="007D455E" w:rsidP="007D455E">
      <w:pPr>
        <w:spacing w:after="0" w:line="276" w:lineRule="auto"/>
        <w:jc w:val="both"/>
        <w:rPr>
          <w:rFonts w:ascii="Verdana" w:eastAsia="Calibri" w:hAnsi="Verdana" w:cs="Times New Roman"/>
        </w:rPr>
      </w:pPr>
    </w:p>
    <w:p w14:paraId="0C6C84F1" w14:textId="77777777" w:rsidR="007D455E" w:rsidRPr="00BE636B" w:rsidRDefault="007D455E" w:rsidP="007D455E">
      <w:pPr>
        <w:spacing w:after="0" w:line="276" w:lineRule="auto"/>
        <w:jc w:val="both"/>
        <w:rPr>
          <w:rFonts w:ascii="Verdana" w:eastAsia="Calibri" w:hAnsi="Verdana" w:cs="Times New Roman"/>
        </w:rPr>
      </w:pPr>
    </w:p>
    <w:p w14:paraId="3A34CFAB" w14:textId="77777777" w:rsidR="007D455E" w:rsidRPr="00E460E3" w:rsidRDefault="007D455E" w:rsidP="007D455E">
      <w:pPr>
        <w:spacing w:after="0" w:line="276" w:lineRule="auto"/>
        <w:jc w:val="both"/>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7D455E" w:rsidRPr="00CE156C" w14:paraId="5A4670CF" w14:textId="77777777" w:rsidTr="00BE2916">
        <w:trPr>
          <w:trHeight w:val="315"/>
        </w:trPr>
        <w:tc>
          <w:tcPr>
            <w:tcW w:w="893" w:type="dxa"/>
            <w:vAlign w:val="center"/>
            <w:hideMark/>
          </w:tcPr>
          <w:p w14:paraId="170F9CDA" w14:textId="77777777" w:rsidR="007D455E" w:rsidRPr="008E2DC6" w:rsidRDefault="007D455E" w:rsidP="00BE2916">
            <w:pPr>
              <w:spacing w:line="276" w:lineRule="auto"/>
              <w:rPr>
                <w:rFonts w:ascii="Verdana" w:eastAsia="Times New Roman" w:hAnsi="Verdana" w:cs="Arial"/>
                <w:color w:val="000000"/>
                <w:sz w:val="16"/>
                <w:szCs w:val="16"/>
                <w:lang w:eastAsia="es-ES"/>
              </w:rPr>
            </w:pPr>
            <w:r w:rsidRPr="008E2DC6">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4D0126D8" w14:textId="77777777" w:rsidR="007D455E" w:rsidRPr="00CE156C" w:rsidRDefault="007D455E" w:rsidP="00BE2916">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Ángela María Olmos Andrade</w:t>
            </w:r>
          </w:p>
          <w:p w14:paraId="403C0988" w14:textId="77777777" w:rsidR="007D455E" w:rsidRPr="00CE156C" w:rsidRDefault="007D455E" w:rsidP="00BE2916">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Analista T2 - 02 de la Subdirección de Gestión Contractual</w:t>
            </w:r>
          </w:p>
        </w:tc>
      </w:tr>
      <w:tr w:rsidR="007D455E" w:rsidRPr="00CE156C" w14:paraId="6B6F0D44" w14:textId="77777777" w:rsidTr="00BE2916">
        <w:trPr>
          <w:trHeight w:val="330"/>
        </w:trPr>
        <w:tc>
          <w:tcPr>
            <w:tcW w:w="893" w:type="dxa"/>
            <w:vAlign w:val="center"/>
            <w:hideMark/>
          </w:tcPr>
          <w:p w14:paraId="5B629D33" w14:textId="77777777" w:rsidR="007D455E" w:rsidRPr="00EA560F" w:rsidRDefault="007D455E" w:rsidP="00BE2916">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71358BDC" w14:textId="77777777" w:rsidR="007D455E" w:rsidRPr="00F74DD7" w:rsidRDefault="007D455E" w:rsidP="00BE2916">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Diana Lucia Saavedra Castañeda</w:t>
            </w:r>
          </w:p>
          <w:p w14:paraId="2E436B10" w14:textId="77777777" w:rsidR="007D455E" w:rsidRPr="002067DD" w:rsidRDefault="007D455E" w:rsidP="00BE2916">
            <w:pPr>
              <w:spacing w:line="276" w:lineRule="auto"/>
              <w:textAlignment w:val="baseline"/>
              <w:rPr>
                <w:rFonts w:ascii="Verdana" w:eastAsia="Times New Roman" w:hAnsi="Verdana" w:cs="Arial"/>
                <w:color w:val="000000"/>
                <w:sz w:val="16"/>
                <w:szCs w:val="16"/>
              </w:rPr>
            </w:pPr>
            <w:r w:rsidRPr="00BE636B">
              <w:rPr>
                <w:rFonts w:ascii="Verdana" w:eastAsia="Times New Roman" w:hAnsi="Verdana" w:cs="Arial"/>
                <w:color w:val="000000"/>
                <w:sz w:val="16"/>
                <w:szCs w:val="16"/>
              </w:rPr>
              <w:t>Contratista</w:t>
            </w:r>
            <w:r w:rsidRPr="00E460E3">
              <w:rPr>
                <w:rFonts w:ascii="Verdana" w:eastAsia="Times New Roman" w:hAnsi="Verdana" w:cs="Arial"/>
                <w:color w:val="000000"/>
                <w:sz w:val="16"/>
                <w:szCs w:val="16"/>
              </w:rPr>
              <w:t xml:space="preserve"> de la Subdirección de Gestión Contractual</w:t>
            </w:r>
          </w:p>
        </w:tc>
      </w:tr>
      <w:tr w:rsidR="007D455E" w:rsidRPr="00CE156C" w14:paraId="368B2C5D" w14:textId="77777777" w:rsidTr="00BE2916">
        <w:trPr>
          <w:trHeight w:val="300"/>
        </w:trPr>
        <w:tc>
          <w:tcPr>
            <w:tcW w:w="893" w:type="dxa"/>
            <w:vAlign w:val="center"/>
            <w:hideMark/>
          </w:tcPr>
          <w:p w14:paraId="1E5CDC59" w14:textId="77777777" w:rsidR="007D455E" w:rsidRPr="00EA560F" w:rsidRDefault="007D455E" w:rsidP="00BE2916">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6B7DF282" w14:textId="77777777" w:rsidR="007D455E" w:rsidRPr="00F74DD7" w:rsidRDefault="007D455E" w:rsidP="00BE2916">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Carolina Quintero Gacharná</w:t>
            </w:r>
          </w:p>
          <w:p w14:paraId="59CD5D8F" w14:textId="77777777" w:rsidR="007D455E" w:rsidRPr="00E460E3" w:rsidRDefault="007D455E" w:rsidP="00BE2916">
            <w:pPr>
              <w:spacing w:line="276" w:lineRule="auto"/>
              <w:rPr>
                <w:rFonts w:ascii="Verdana" w:eastAsia="Times New Roman" w:hAnsi="Verdana" w:cs="Arial"/>
                <w:color w:val="000000"/>
                <w:sz w:val="16"/>
                <w:szCs w:val="16"/>
              </w:rPr>
            </w:pPr>
            <w:r w:rsidRPr="00BE636B">
              <w:rPr>
                <w:rFonts w:ascii="Verdana" w:eastAsia="Times New Roman" w:hAnsi="Verdana" w:cs="Arial"/>
                <w:color w:val="000000"/>
                <w:sz w:val="16"/>
                <w:szCs w:val="16"/>
              </w:rPr>
              <w:t>Subdirectora de Gestión Contractual ANCP – CCE</w:t>
            </w:r>
          </w:p>
        </w:tc>
      </w:tr>
    </w:tbl>
    <w:p w14:paraId="1431B777" w14:textId="77777777" w:rsidR="007D455E" w:rsidRPr="00CE156C" w:rsidRDefault="007D455E" w:rsidP="007D455E">
      <w:pPr>
        <w:spacing w:after="0" w:line="240" w:lineRule="auto"/>
        <w:jc w:val="both"/>
        <w:rPr>
          <w:rFonts w:ascii="Verdana" w:eastAsia="Verdana" w:hAnsi="Verdana" w:cs="Verdana"/>
          <w:b/>
          <w:bCs/>
          <w:lang w:val="es-MX"/>
        </w:rPr>
      </w:pPr>
    </w:p>
    <w:p w14:paraId="69BC4D14" w14:textId="0B619269"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36A30" w14:textId="77777777" w:rsidR="00BD3A02" w:rsidRDefault="00BD3A02" w:rsidP="004A1847">
      <w:pPr>
        <w:spacing w:after="0" w:line="240" w:lineRule="auto"/>
      </w:pPr>
      <w:r>
        <w:separator/>
      </w:r>
    </w:p>
  </w:endnote>
  <w:endnote w:type="continuationSeparator" w:id="0">
    <w:p w14:paraId="7F4E84F8" w14:textId="77777777" w:rsidR="00BD3A02" w:rsidRDefault="00BD3A0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5C0CA" w14:textId="77777777" w:rsidR="00BD3A02" w:rsidRDefault="00BD3A02" w:rsidP="004A1847">
      <w:pPr>
        <w:spacing w:after="0" w:line="240" w:lineRule="auto"/>
      </w:pPr>
      <w:r>
        <w:separator/>
      </w:r>
    </w:p>
  </w:footnote>
  <w:footnote w:type="continuationSeparator" w:id="0">
    <w:p w14:paraId="17E68186" w14:textId="77777777" w:rsidR="00BD3A02" w:rsidRDefault="00BD3A02" w:rsidP="004A1847">
      <w:pPr>
        <w:spacing w:after="0" w:line="240" w:lineRule="auto"/>
      </w:pPr>
      <w:r>
        <w:continuationSeparator/>
      </w:r>
    </w:p>
  </w:footnote>
  <w:footnote w:id="1">
    <w:p w14:paraId="6BE6206E" w14:textId="5039DD51" w:rsidR="00643D63" w:rsidRDefault="00643D63">
      <w:pPr>
        <w:pStyle w:val="Textonotapie"/>
      </w:pPr>
      <w:r>
        <w:rPr>
          <w:rStyle w:val="Refdenotaalpie"/>
        </w:rPr>
        <w:footnoteRef/>
      </w:r>
      <w:r>
        <w:t xml:space="preserve"> </w:t>
      </w:r>
      <w:r w:rsidRPr="00C4676B">
        <w:rPr>
          <w:rFonts w:ascii="Verdana" w:hAnsi="Verdana"/>
          <w:sz w:val="16"/>
        </w:rPr>
        <w:t xml:space="preserve">CORTE CONSTITUCIONAL. Sentencia C-949 del 5 de septiembre de 2001. M.P. Clara Inés Vargas </w:t>
      </w:r>
      <w:r w:rsidRPr="00C4676B">
        <w:rPr>
          <w:rFonts w:ascii="Verdana" w:hAnsi="Verdana"/>
          <w:spacing w:val="-2"/>
          <w:sz w:val="16"/>
        </w:rPr>
        <w:t>Hernández.</w:t>
      </w:r>
    </w:p>
  </w:footnote>
  <w:footnote w:id="2">
    <w:p w14:paraId="76FE471C" w14:textId="77777777" w:rsidR="002279AF" w:rsidRPr="004C544B" w:rsidRDefault="002279AF" w:rsidP="002279AF">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Al respecto, el artículo 887 del Código de Comercio dispone lo siguiente: “En los contratos mercantiles de ejecución periódica o sucesiva cada una de las partes podrá hacerse sustituir por un tercero, en la totalidad o en parte de las relaciones derivadas del contrato, sin necesidad de aceptación expresa del contratante cedido, si por la ley o por estipulación de las mismas partes no se ha prohibido o limitado dicha sustitución.</w:t>
      </w:r>
    </w:p>
    <w:p w14:paraId="13FAE819" w14:textId="77777777" w:rsidR="002279AF" w:rsidRPr="004C544B" w:rsidRDefault="002279AF" w:rsidP="002279AF">
      <w:pPr>
        <w:pStyle w:val="Textonotapie"/>
        <w:ind w:firstLine="708"/>
        <w:jc w:val="both"/>
        <w:rPr>
          <w:rFonts w:ascii="Verdana" w:hAnsi="Verdana" w:cs="Arial"/>
          <w:sz w:val="16"/>
          <w:szCs w:val="16"/>
        </w:rPr>
      </w:pPr>
      <w:r w:rsidRPr="004C544B">
        <w:rPr>
          <w:rFonts w:ascii="Verdana" w:hAnsi="Verdana" w:cs="Arial"/>
          <w:sz w:val="16"/>
          <w:szCs w:val="16"/>
        </w:rPr>
        <w:t xml:space="preserve">La misma sustitución podrá hacerse en los contratos mercantiles de ejecución instantánea que aún no hayan sido cumplidos en todo o en parte, y en los celebrados </w:t>
      </w:r>
      <w:proofErr w:type="spellStart"/>
      <w:r w:rsidRPr="004C544B">
        <w:rPr>
          <w:rFonts w:ascii="Verdana" w:hAnsi="Verdana" w:cs="Arial"/>
          <w:i/>
          <w:iCs/>
          <w:sz w:val="16"/>
          <w:szCs w:val="16"/>
        </w:rPr>
        <w:t>intuitu</w:t>
      </w:r>
      <w:proofErr w:type="spellEnd"/>
      <w:r w:rsidRPr="004C544B">
        <w:rPr>
          <w:rFonts w:ascii="Verdana" w:hAnsi="Verdana" w:cs="Arial"/>
          <w:i/>
          <w:iCs/>
          <w:sz w:val="16"/>
          <w:szCs w:val="16"/>
        </w:rPr>
        <w:t xml:space="preserve"> </w:t>
      </w:r>
      <w:proofErr w:type="spellStart"/>
      <w:r w:rsidRPr="004C544B">
        <w:rPr>
          <w:rFonts w:ascii="Verdana" w:hAnsi="Verdana" w:cs="Arial"/>
          <w:i/>
          <w:iCs/>
          <w:sz w:val="16"/>
          <w:szCs w:val="16"/>
        </w:rPr>
        <w:t>personae</w:t>
      </w:r>
      <w:proofErr w:type="spellEnd"/>
      <w:r w:rsidRPr="004C544B">
        <w:rPr>
          <w:rFonts w:ascii="Verdana" w:hAnsi="Verdana" w:cs="Arial"/>
          <w:sz w:val="16"/>
          <w:szCs w:val="16"/>
        </w:rPr>
        <w:t>, pero en estos casos será necesaria la aceptación del contratante cedido”.</w:t>
      </w:r>
    </w:p>
    <w:p w14:paraId="1BA6C25A" w14:textId="77777777" w:rsidR="002279AF" w:rsidRPr="004C544B" w:rsidRDefault="002279AF" w:rsidP="002279AF">
      <w:pPr>
        <w:pStyle w:val="Textonotapie"/>
        <w:ind w:firstLine="708"/>
        <w:jc w:val="both"/>
        <w:rPr>
          <w:rFonts w:ascii="Verdana" w:hAnsi="Verdana" w:cs="Arial"/>
          <w:sz w:val="16"/>
          <w:szCs w:val="16"/>
        </w:rPr>
      </w:pPr>
      <w:r w:rsidRPr="004C544B">
        <w:rPr>
          <w:rFonts w:ascii="Verdana" w:hAnsi="Verdana" w:cs="Arial"/>
          <w:sz w:val="16"/>
          <w:szCs w:val="16"/>
        </w:rPr>
        <w:t>En contraste, el artículo 1959 del Código Civil prescribe que “La cesión de un crédito, a cualquier título que se haga, no tendrá efecto entre el cedente y el cesionario sino en virtud de la entrega del título. Pero si el crédito que se cede no consta en documento, la cesión puede hacerse otorgándose uno por el cedente al cesionario, y en este caso la notificación de que trata el artículo 1961 debe hacerse con exhibición de dicho documento”.</w:t>
      </w:r>
    </w:p>
  </w:footnote>
  <w:footnote w:id="3">
    <w:p w14:paraId="677AC42B" w14:textId="77777777" w:rsidR="002279AF" w:rsidRPr="004C544B" w:rsidRDefault="002279AF" w:rsidP="002279AF">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ANDREOLI, </w:t>
      </w:r>
      <w:proofErr w:type="spellStart"/>
      <w:r w:rsidRPr="004C544B">
        <w:rPr>
          <w:rFonts w:ascii="Verdana" w:hAnsi="Verdana" w:cs="Arial"/>
          <w:sz w:val="16"/>
          <w:szCs w:val="16"/>
        </w:rPr>
        <w:t>Marcello</w:t>
      </w:r>
      <w:proofErr w:type="spellEnd"/>
      <w:r w:rsidRPr="004C544B">
        <w:rPr>
          <w:rFonts w:ascii="Verdana" w:hAnsi="Verdana" w:cs="Arial"/>
          <w:sz w:val="16"/>
          <w:szCs w:val="16"/>
        </w:rPr>
        <w:t xml:space="preserve">. La cesión del contrato. Santiago: Ediciones Olejnik, 2019. p. 12. Énfasis dentro del texto. En este contexto, “La cesión del contrato sirve para hacer posible la </w:t>
      </w:r>
      <w:r w:rsidRPr="004C544B">
        <w:rPr>
          <w:rFonts w:ascii="Verdana" w:hAnsi="Verdana" w:cs="Arial"/>
          <w:i/>
          <w:iCs/>
          <w:sz w:val="16"/>
          <w:szCs w:val="16"/>
        </w:rPr>
        <w:t>circulación del contrato en su integridad</w:t>
      </w:r>
      <w:r w:rsidRPr="004C544B">
        <w:rPr>
          <w:rFonts w:ascii="Verdana" w:hAnsi="Verdana" w:cs="Arial"/>
          <w:sz w:val="16"/>
          <w:szCs w:val="16"/>
        </w:rPr>
        <w:t xml:space="preserve">, es decir, para hacer </w:t>
      </w:r>
      <w:r w:rsidRPr="004C544B">
        <w:rPr>
          <w:rFonts w:ascii="Verdana" w:hAnsi="Verdana" w:cs="Arial"/>
          <w:i/>
          <w:iCs/>
          <w:sz w:val="16"/>
          <w:szCs w:val="16"/>
        </w:rPr>
        <w:t>subintrar</w:t>
      </w:r>
      <w:r w:rsidRPr="004C544B">
        <w:rPr>
          <w:rFonts w:ascii="Verdana" w:hAnsi="Verdana" w:cs="Arial"/>
          <w:sz w:val="16"/>
          <w:szCs w:val="16"/>
        </w:rPr>
        <w:t xml:space="preserve"> un extraño en la categoría de </w:t>
      </w:r>
      <w:r w:rsidRPr="004C544B">
        <w:rPr>
          <w:rFonts w:ascii="Verdana" w:hAnsi="Verdana" w:cs="Arial"/>
          <w:i/>
          <w:iCs/>
          <w:sz w:val="16"/>
          <w:szCs w:val="16"/>
        </w:rPr>
        <w:t>parte</w:t>
      </w:r>
      <w:r w:rsidRPr="004C544B">
        <w:rPr>
          <w:rFonts w:ascii="Verdana" w:hAnsi="Verdana" w:cs="Arial"/>
          <w:sz w:val="16"/>
          <w:szCs w:val="16"/>
        </w:rPr>
        <w:t xml:space="preserve"> contractual, </w:t>
      </w:r>
      <w:r w:rsidRPr="004C544B">
        <w:rPr>
          <w:rFonts w:ascii="Verdana" w:hAnsi="Verdana" w:cs="Arial"/>
          <w:i/>
          <w:iCs/>
          <w:sz w:val="16"/>
          <w:szCs w:val="16"/>
        </w:rPr>
        <w:t>en lugar</w:t>
      </w:r>
      <w:r w:rsidRPr="004C544B">
        <w:rPr>
          <w:rFonts w:ascii="Verdana" w:hAnsi="Verdana" w:cs="Arial"/>
          <w:sz w:val="16"/>
          <w:szCs w:val="16"/>
        </w:rPr>
        <w:t xml:space="preserve"> de uno de los contratantes originarios” (MESSINEO, Francesco. Doctrina general del contrato. Santiago: Olejnik, 2018. p. 633. Énfasis dentro del texto).</w:t>
      </w:r>
    </w:p>
  </w:footnote>
  <w:footnote w:id="4">
    <w:p w14:paraId="6BC49EC7" w14:textId="77777777" w:rsidR="002279AF" w:rsidRPr="004C544B" w:rsidRDefault="002279AF" w:rsidP="002279AF">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ROPPO, Vincenzo. El contrato. Lima: Gaceta Jurídica, 2009. p. 547.</w:t>
      </w:r>
    </w:p>
  </w:footnote>
  <w:footnote w:id="5">
    <w:p w14:paraId="710C2D7A" w14:textId="77777777" w:rsidR="002279AF" w:rsidRPr="004C544B" w:rsidRDefault="002279AF" w:rsidP="002279AF">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w:t>
      </w:r>
      <w:r w:rsidRPr="004C544B">
        <w:rPr>
          <w:rFonts w:ascii="Verdana" w:hAnsi="Verdana" w:cs="Arial"/>
          <w:i/>
          <w:iCs/>
          <w:sz w:val="16"/>
          <w:szCs w:val="16"/>
        </w:rPr>
        <w:t>Ibidem</w:t>
      </w:r>
      <w:r w:rsidRPr="004C544B">
        <w:rPr>
          <w:rFonts w:ascii="Verdana" w:hAnsi="Verdana" w:cs="Arial"/>
          <w:sz w:val="16"/>
          <w:szCs w:val="16"/>
        </w:rPr>
        <w:t>.</w:t>
      </w:r>
    </w:p>
  </w:footnote>
  <w:footnote w:id="6">
    <w:p w14:paraId="7B39A4D1" w14:textId="77777777" w:rsidR="002279AF" w:rsidRPr="004C544B" w:rsidRDefault="002279AF" w:rsidP="002279AF">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HINESTROSA, Fernando. Tratado de las obligaciones: concepto, estructura y vicisitudes. Tercera Edición. Bogotá: Universidad Externado de Colombia, 2007. Libro en formato EPUB. En contraste con la cesión de créditos, “La cesión de contrato […] al permitir la sustitución de una de las partes en el contrato que se ejecuta, valida al tercero cesionario para que adquiera los derechos y las obligaciones que correspondían al contratante cedente como efectos del contrato. Es decir, lo que en realidad se cede, es mucho más que las posiciones o lados activos de las relaciones obligacionales. se cede también el lado pasivo, pues del contrato surgen como efecto obligaciones y derechos para las partes y la cesión de la posición contractual de una de ellas coloca al tercero cesionario en su lugar, en las mismas circunstancias frente al otro contratante” (ARRUBLA PAUCAR, Jaime Alberto. Contratos mercantiles: teoría general del negocio mercantil. Decimocuarta Edición. Bogotá: Legis, 2021. p. 251).   </w:t>
      </w:r>
    </w:p>
  </w:footnote>
  <w:footnote w:id="7">
    <w:p w14:paraId="6D74DDBC" w14:textId="77777777" w:rsidR="002279AF" w:rsidRPr="004C544B" w:rsidRDefault="002279AF" w:rsidP="002279AF">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890. El que cede un contrato se obliga a responder de la existencia y validez </w:t>
      </w:r>
      <w:proofErr w:type="gramStart"/>
      <w:r w:rsidRPr="004C544B">
        <w:rPr>
          <w:rFonts w:ascii="Verdana" w:hAnsi="Verdana" w:cs="Arial"/>
          <w:sz w:val="16"/>
          <w:szCs w:val="16"/>
        </w:rPr>
        <w:t>del mismo</w:t>
      </w:r>
      <w:proofErr w:type="gramEnd"/>
      <w:r w:rsidRPr="004C544B">
        <w:rPr>
          <w:rFonts w:ascii="Verdana" w:hAnsi="Verdana" w:cs="Arial"/>
          <w:sz w:val="16"/>
          <w:szCs w:val="16"/>
        </w:rPr>
        <w:t xml:space="preserve"> y de sus garantías, pero, salvo estipulación expresa en contrario, no responderá de su cumplimiento por parte del otro contratante y de los garantes”.</w:t>
      </w:r>
    </w:p>
  </w:footnote>
  <w:footnote w:id="8">
    <w:p w14:paraId="376B6038" w14:textId="77777777" w:rsidR="002279AF" w:rsidRPr="004C544B" w:rsidRDefault="002279AF" w:rsidP="002279AF">
      <w:pPr>
        <w:pStyle w:val="Textonotapie"/>
        <w:ind w:firstLine="709"/>
        <w:jc w:val="both"/>
        <w:rPr>
          <w:rFonts w:ascii="Verdana" w:hAnsi="Verdana" w:cs="Arial"/>
          <w:sz w:val="16"/>
          <w:szCs w:val="16"/>
          <w:lang w:val="es-CO"/>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891: Cuando el cedente se obliga a responder del cumplimiento del contrato por parte del contratante cedido, el cesionario deberá darle aviso dentro de los diez días siguientes a la mora o al incumplimiento, so pena de ser exonerado el cedente de la obligación de la garantía contraída con el cesionario”.</w:t>
      </w:r>
    </w:p>
  </w:footnote>
  <w:footnote w:id="9">
    <w:p w14:paraId="2D5725FA" w14:textId="77777777" w:rsidR="002279AF" w:rsidRPr="004C544B" w:rsidRDefault="002279AF" w:rsidP="002279AF">
      <w:pPr>
        <w:pStyle w:val="Textonotapie"/>
        <w:ind w:firstLine="709"/>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Código de Comercio: “Artículo 895. La cesión de un contrato implica la de las acciones, privilegios y beneficios legales inherentes a la naturaleza y condiciones del contrato; pero no transfiere los que se funden en causas ajenas al mismo, o en la calidad o estado de la persona de los contratantes”.</w:t>
      </w:r>
    </w:p>
    <w:p w14:paraId="0358B54D" w14:textId="77777777" w:rsidR="002279AF" w:rsidRPr="004C544B" w:rsidRDefault="002279AF" w:rsidP="002279AF">
      <w:pPr>
        <w:pStyle w:val="Textonotapie"/>
        <w:ind w:firstLine="709"/>
        <w:jc w:val="both"/>
        <w:rPr>
          <w:rFonts w:ascii="Verdana" w:hAnsi="Verdana" w:cs="Arial"/>
          <w:sz w:val="16"/>
          <w:szCs w:val="16"/>
        </w:rPr>
      </w:pPr>
      <w:r w:rsidRPr="004C544B">
        <w:rPr>
          <w:rFonts w:ascii="Verdana" w:hAnsi="Verdana" w:cs="Arial"/>
          <w:sz w:val="16"/>
          <w:szCs w:val="16"/>
        </w:rPr>
        <w:t>“Artículo 896. El contratante cedido podrá oponer al cesionario todas las excepciones que se deriven del contrato. Podrá también oponer aquellas que se funden sobre otras relaciones con el cedente, respecto de las cuales haya hecho expresa reserva al momento de notificársele o aceptar la cesión”.</w:t>
      </w:r>
    </w:p>
  </w:footnote>
  <w:footnote w:id="10">
    <w:p w14:paraId="7D2FF767" w14:textId="77777777" w:rsidR="002279AF" w:rsidRPr="004C544B" w:rsidRDefault="002279AF" w:rsidP="002279AF">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No en vano, “Quien contrata con la administración debe reunir condiciones previas, acreditadas por muy distintos medios, relativas a su capacidad técnica, financiera e incluso moral. De esas personas se ha seleccionado aquella que resulta la más conveniente para el caso, y esa persona no puede ser reemplazada por otra, por la sola decisión de ese cocontratante.</w:t>
      </w:r>
    </w:p>
    <w:p w14:paraId="34331F9B" w14:textId="77777777" w:rsidR="002279AF" w:rsidRPr="004C544B" w:rsidRDefault="002279AF" w:rsidP="002279AF">
      <w:pPr>
        <w:pStyle w:val="Textonotapie"/>
        <w:ind w:firstLine="708"/>
        <w:jc w:val="both"/>
        <w:rPr>
          <w:rFonts w:ascii="Verdana" w:hAnsi="Verdana" w:cs="Arial"/>
          <w:sz w:val="16"/>
          <w:szCs w:val="16"/>
        </w:rPr>
      </w:pPr>
      <w:r w:rsidRPr="004C544B">
        <w:rPr>
          <w:rFonts w:ascii="Verdana" w:hAnsi="Verdana" w:cs="Arial"/>
          <w:sz w:val="16"/>
          <w:szCs w:val="16"/>
        </w:rPr>
        <w:t>De ahí que el principio del cumplimiento personal de sus obligaciones por el cocontratante particular es una exigencia del contrato administrativo que resulta de su naturaleza, por lo que su aplicación es ineludible, aun en los casos en que no existen cláusulas expresas que impongan esa prestación personal o que prohíban la cesión o trasferencia del contrato o la subcontratación” (ESCOLA, Jorge. Tratado integral de los contratos administrativos. Volumen I. Buenos Aires: Depalma, 2012. p. 424).</w:t>
      </w:r>
    </w:p>
  </w:footnote>
  <w:footnote w:id="11">
    <w:p w14:paraId="28505A72" w14:textId="77777777" w:rsidR="002279AF" w:rsidRPr="004C544B" w:rsidRDefault="002279AF" w:rsidP="002279AF">
      <w:pPr>
        <w:pStyle w:val="Textonotapie"/>
        <w:ind w:firstLine="708"/>
        <w:jc w:val="both"/>
        <w:rPr>
          <w:rFonts w:ascii="Verdana" w:hAnsi="Verdana" w:cs="Arial"/>
          <w:sz w:val="16"/>
          <w:szCs w:val="16"/>
          <w:lang w:val="es-ES"/>
        </w:rPr>
      </w:pPr>
      <w:r w:rsidRPr="004C544B">
        <w:rPr>
          <w:rStyle w:val="Refdenotaalpie"/>
          <w:rFonts w:ascii="Verdana" w:hAnsi="Verdana" w:cs="Arial"/>
          <w:sz w:val="16"/>
          <w:szCs w:val="16"/>
        </w:rPr>
        <w:footnoteRef/>
      </w:r>
      <w:r w:rsidRPr="004C544B">
        <w:rPr>
          <w:rFonts w:ascii="Verdana" w:hAnsi="Verdana" w:cs="Arial"/>
          <w:sz w:val="16"/>
          <w:szCs w:val="16"/>
        </w:rPr>
        <w:t xml:space="preserve"> MARIENHOFF, Miguel S. Tratado de derecho administrativo. Tomo IIIA. Cuarta Edición. Buenos Aires: Abeledo Perrot, 1998. p. 318. Énfasis dentro del texto.</w:t>
      </w:r>
    </w:p>
  </w:footnote>
  <w:footnote w:id="12">
    <w:p w14:paraId="2DAA98CA" w14:textId="77777777" w:rsidR="002279AF" w:rsidRPr="004C544B" w:rsidRDefault="002279AF" w:rsidP="002279AF">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RAMÍREZ GRISALES, Richard. La cesión. Serie: Las cláusulas del contrato estatal. Medellín: Centro de Estudios de Derecho Administrativo –CEDA– y Librería Jurídica Sánchez R., 2014. pp. 71-72.</w:t>
      </w:r>
    </w:p>
  </w:footnote>
  <w:footnote w:id="13">
    <w:p w14:paraId="04B43AE7" w14:textId="77777777" w:rsidR="002279AF" w:rsidRPr="004C544B" w:rsidRDefault="002279AF" w:rsidP="002279AF">
      <w:pPr>
        <w:pStyle w:val="Textonotapie"/>
        <w:ind w:firstLine="709"/>
        <w:jc w:val="both"/>
        <w:rPr>
          <w:rFonts w:ascii="Verdana" w:hAnsi="Verdana" w:cs="Arial"/>
          <w:sz w:val="16"/>
          <w:szCs w:val="16"/>
          <w:lang w:val="es-ES"/>
        </w:rPr>
      </w:pPr>
      <w:r w:rsidRPr="004C544B">
        <w:rPr>
          <w:rStyle w:val="Refdenotaalpie"/>
          <w:rFonts w:ascii="Verdana" w:hAnsi="Verdana" w:cs="Arial"/>
          <w:sz w:val="16"/>
          <w:szCs w:val="16"/>
        </w:rPr>
        <w:footnoteRef/>
      </w:r>
      <w:r w:rsidRPr="004C544B">
        <w:rPr>
          <w:rFonts w:ascii="Verdana" w:hAnsi="Verdana" w:cs="Arial"/>
          <w:sz w:val="16"/>
          <w:szCs w:val="16"/>
        </w:rPr>
        <w:t xml:space="preserve"> </w:t>
      </w:r>
      <w:r w:rsidRPr="004C544B">
        <w:rPr>
          <w:rFonts w:ascii="Verdana" w:hAnsi="Verdana" w:cs="Arial"/>
          <w:sz w:val="16"/>
          <w:szCs w:val="16"/>
          <w:lang w:val="es-ES"/>
        </w:rPr>
        <w:t>CONSEJO DE ESTADO</w:t>
      </w:r>
      <w:r>
        <w:rPr>
          <w:rFonts w:ascii="Verdana" w:hAnsi="Verdana" w:cs="Arial"/>
          <w:sz w:val="16"/>
          <w:szCs w:val="16"/>
          <w:lang w:val="es-ES"/>
        </w:rPr>
        <w:t>.</w:t>
      </w:r>
      <w:r w:rsidRPr="004C544B">
        <w:rPr>
          <w:rFonts w:ascii="Verdana" w:hAnsi="Verdana" w:cs="Arial"/>
          <w:sz w:val="16"/>
          <w:szCs w:val="16"/>
          <w:lang w:val="es-ES"/>
        </w:rPr>
        <w:t xml:space="preserve"> Sección Tercera</w:t>
      </w:r>
      <w:r>
        <w:rPr>
          <w:rFonts w:ascii="Verdana" w:hAnsi="Verdana" w:cs="Arial"/>
          <w:sz w:val="16"/>
          <w:szCs w:val="16"/>
          <w:lang w:val="es-ES"/>
        </w:rPr>
        <w:t>.</w:t>
      </w:r>
      <w:r w:rsidRPr="004C544B">
        <w:rPr>
          <w:rFonts w:ascii="Verdana" w:hAnsi="Verdana" w:cs="Arial"/>
          <w:sz w:val="16"/>
          <w:szCs w:val="16"/>
          <w:lang w:val="es-ES"/>
        </w:rPr>
        <w:t xml:space="preserve"> Sentencia del 16 de marzo de 2015</w:t>
      </w:r>
      <w:r>
        <w:rPr>
          <w:rFonts w:ascii="Verdana" w:hAnsi="Verdana" w:cs="Arial"/>
          <w:sz w:val="16"/>
          <w:szCs w:val="16"/>
          <w:lang w:val="es-ES"/>
        </w:rPr>
        <w:t>.</w:t>
      </w:r>
      <w:r w:rsidRPr="004C544B">
        <w:rPr>
          <w:rFonts w:ascii="Verdana" w:hAnsi="Verdana" w:cs="Arial"/>
          <w:sz w:val="16"/>
          <w:szCs w:val="16"/>
          <w:lang w:val="es-ES"/>
        </w:rPr>
        <w:t xml:space="preserve"> Rad. 1999-03028, M.P. Jaime Orlando Santofimio Gamboa.</w:t>
      </w:r>
    </w:p>
  </w:footnote>
  <w:footnote w:id="14">
    <w:p w14:paraId="11446844" w14:textId="77777777" w:rsidR="002279AF" w:rsidRPr="004C544B" w:rsidRDefault="002279AF" w:rsidP="002279AF">
      <w:pPr>
        <w:pStyle w:val="Textonotapie"/>
        <w:ind w:firstLine="708"/>
        <w:jc w:val="both"/>
        <w:rPr>
          <w:rFonts w:ascii="Verdana" w:hAnsi="Verdana" w:cs="Arial"/>
          <w:sz w:val="16"/>
          <w:szCs w:val="16"/>
        </w:rPr>
      </w:pPr>
      <w:r w:rsidRPr="004C544B">
        <w:rPr>
          <w:rStyle w:val="Refdenotaalpie"/>
          <w:rFonts w:ascii="Verdana" w:hAnsi="Verdana" w:cs="Arial"/>
          <w:sz w:val="16"/>
          <w:szCs w:val="16"/>
        </w:rPr>
        <w:footnoteRef/>
      </w:r>
      <w:r w:rsidRPr="004C544B">
        <w:rPr>
          <w:rFonts w:ascii="Verdana" w:hAnsi="Verdana" w:cs="Arial"/>
          <w:sz w:val="16"/>
          <w:szCs w:val="16"/>
        </w:rPr>
        <w:t xml:space="preserve"> RAMÍREZ GRISALES, La cesión… </w:t>
      </w:r>
      <w:proofErr w:type="spellStart"/>
      <w:r w:rsidRPr="004C544B">
        <w:rPr>
          <w:rFonts w:ascii="Verdana" w:hAnsi="Verdana" w:cs="Arial"/>
          <w:sz w:val="16"/>
          <w:szCs w:val="16"/>
        </w:rPr>
        <w:t>Op</w:t>
      </w:r>
      <w:proofErr w:type="spellEnd"/>
      <w:r w:rsidRPr="004C544B">
        <w:rPr>
          <w:rFonts w:ascii="Verdana" w:hAnsi="Verdana" w:cs="Arial"/>
          <w:sz w:val="16"/>
          <w:szCs w:val="16"/>
        </w:rPr>
        <w:t xml:space="preserve">. cit., pp.162-163. </w:t>
      </w:r>
    </w:p>
  </w:footnote>
  <w:footnote w:id="15">
    <w:p w14:paraId="0860C2F6" w14:textId="77777777" w:rsidR="002279AF" w:rsidRPr="003A34AF" w:rsidRDefault="002279AF" w:rsidP="002279AF">
      <w:pPr>
        <w:pStyle w:val="Textonotapie"/>
        <w:ind w:firstLine="708"/>
        <w:jc w:val="both"/>
        <w:rPr>
          <w:rFonts w:ascii="Verdana" w:hAnsi="Verdana"/>
          <w:sz w:val="16"/>
          <w:szCs w:val="16"/>
          <w:lang w:val="es-CO"/>
        </w:rPr>
      </w:pPr>
      <w:r w:rsidRPr="003A34AF">
        <w:rPr>
          <w:rStyle w:val="Refdenotaalpie"/>
          <w:rFonts w:ascii="Verdana" w:hAnsi="Verdana"/>
          <w:sz w:val="16"/>
          <w:szCs w:val="16"/>
        </w:rPr>
        <w:footnoteRef/>
      </w:r>
      <w:r w:rsidRPr="003A34AF">
        <w:rPr>
          <w:rFonts w:ascii="Verdana" w:hAnsi="Verdana"/>
          <w:sz w:val="16"/>
          <w:szCs w:val="16"/>
        </w:rPr>
        <w:t xml:space="preserve"> </w:t>
      </w:r>
      <w:r>
        <w:rPr>
          <w:rFonts w:ascii="Verdana" w:hAnsi="Verdana"/>
          <w:sz w:val="16"/>
          <w:szCs w:val="16"/>
        </w:rPr>
        <w:t>TARELLO, Govanni. La interpretación de la ley. Lima: Palestra Editores, 2013. p. 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7491C83"/>
    <w:multiLevelType w:val="hybridMultilevel"/>
    <w:tmpl w:val="ED28D598"/>
    <w:lvl w:ilvl="0" w:tplc="0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99537EC"/>
    <w:multiLevelType w:val="hybridMultilevel"/>
    <w:tmpl w:val="39F86258"/>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314EA3"/>
    <w:multiLevelType w:val="hybridMultilevel"/>
    <w:tmpl w:val="4E465A08"/>
    <w:lvl w:ilvl="0" w:tplc="4EFC78E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3A6D5E"/>
    <w:multiLevelType w:val="hybridMultilevel"/>
    <w:tmpl w:val="D9E24D44"/>
    <w:lvl w:ilvl="0" w:tplc="BE82FF06">
      <w:numFmt w:val="bullet"/>
      <w:lvlText w:val=""/>
      <w:lvlJc w:val="left"/>
      <w:pPr>
        <w:ind w:left="820" w:hanging="360"/>
      </w:pPr>
      <w:rPr>
        <w:rFonts w:ascii="Symbol" w:eastAsia="Symbol" w:hAnsi="Symbol" w:cs="Symbol" w:hint="default"/>
        <w:b w:val="0"/>
        <w:bCs w:val="0"/>
        <w:i w:val="0"/>
        <w:iCs w:val="0"/>
        <w:spacing w:val="0"/>
        <w:w w:val="100"/>
        <w:sz w:val="22"/>
        <w:szCs w:val="22"/>
        <w:lang w:val="es-ES" w:eastAsia="en-US" w:bidi="ar-SA"/>
      </w:rPr>
    </w:lvl>
    <w:lvl w:ilvl="1" w:tplc="578AC0B8">
      <w:numFmt w:val="bullet"/>
      <w:lvlText w:val="•"/>
      <w:lvlJc w:val="left"/>
      <w:pPr>
        <w:ind w:left="1602" w:hanging="360"/>
      </w:pPr>
      <w:rPr>
        <w:rFonts w:hint="default"/>
        <w:lang w:val="es-ES" w:eastAsia="en-US" w:bidi="ar-SA"/>
      </w:rPr>
    </w:lvl>
    <w:lvl w:ilvl="2" w:tplc="F9804F98">
      <w:numFmt w:val="bullet"/>
      <w:lvlText w:val="•"/>
      <w:lvlJc w:val="left"/>
      <w:pPr>
        <w:ind w:left="2384" w:hanging="360"/>
      </w:pPr>
      <w:rPr>
        <w:rFonts w:hint="default"/>
        <w:lang w:val="es-ES" w:eastAsia="en-US" w:bidi="ar-SA"/>
      </w:rPr>
    </w:lvl>
    <w:lvl w:ilvl="3" w:tplc="F6D04B4A">
      <w:numFmt w:val="bullet"/>
      <w:lvlText w:val="•"/>
      <w:lvlJc w:val="left"/>
      <w:pPr>
        <w:ind w:left="3167" w:hanging="360"/>
      </w:pPr>
      <w:rPr>
        <w:rFonts w:hint="default"/>
        <w:lang w:val="es-ES" w:eastAsia="en-US" w:bidi="ar-SA"/>
      </w:rPr>
    </w:lvl>
    <w:lvl w:ilvl="4" w:tplc="CA989FE2">
      <w:numFmt w:val="bullet"/>
      <w:lvlText w:val="•"/>
      <w:lvlJc w:val="left"/>
      <w:pPr>
        <w:ind w:left="3949" w:hanging="360"/>
      </w:pPr>
      <w:rPr>
        <w:rFonts w:hint="default"/>
        <w:lang w:val="es-ES" w:eastAsia="en-US" w:bidi="ar-SA"/>
      </w:rPr>
    </w:lvl>
    <w:lvl w:ilvl="5" w:tplc="4CE2D3E4">
      <w:numFmt w:val="bullet"/>
      <w:lvlText w:val="•"/>
      <w:lvlJc w:val="left"/>
      <w:pPr>
        <w:ind w:left="4731" w:hanging="360"/>
      </w:pPr>
      <w:rPr>
        <w:rFonts w:hint="default"/>
        <w:lang w:val="es-ES" w:eastAsia="en-US" w:bidi="ar-SA"/>
      </w:rPr>
    </w:lvl>
    <w:lvl w:ilvl="6" w:tplc="72C2EB32">
      <w:numFmt w:val="bullet"/>
      <w:lvlText w:val="•"/>
      <w:lvlJc w:val="left"/>
      <w:pPr>
        <w:ind w:left="5514" w:hanging="360"/>
      </w:pPr>
      <w:rPr>
        <w:rFonts w:hint="default"/>
        <w:lang w:val="es-ES" w:eastAsia="en-US" w:bidi="ar-SA"/>
      </w:rPr>
    </w:lvl>
    <w:lvl w:ilvl="7" w:tplc="660EB09A">
      <w:numFmt w:val="bullet"/>
      <w:lvlText w:val="•"/>
      <w:lvlJc w:val="left"/>
      <w:pPr>
        <w:ind w:left="6296" w:hanging="360"/>
      </w:pPr>
      <w:rPr>
        <w:rFonts w:hint="default"/>
        <w:lang w:val="es-ES" w:eastAsia="en-US" w:bidi="ar-SA"/>
      </w:rPr>
    </w:lvl>
    <w:lvl w:ilvl="8" w:tplc="8F86AFEE">
      <w:numFmt w:val="bullet"/>
      <w:lvlText w:val="•"/>
      <w:lvlJc w:val="left"/>
      <w:pPr>
        <w:ind w:left="7078" w:hanging="360"/>
      </w:pPr>
      <w:rPr>
        <w:rFonts w:hint="default"/>
        <w:lang w:val="es-ES" w:eastAsia="en-US" w:bidi="ar-SA"/>
      </w:rPr>
    </w:lvl>
  </w:abstractNum>
  <w:abstractNum w:abstractNumId="6" w15:restartNumberingAfterBreak="0">
    <w:nsid w:val="1ACE0F63"/>
    <w:multiLevelType w:val="hybridMultilevel"/>
    <w:tmpl w:val="EA94B1D4"/>
    <w:lvl w:ilvl="0" w:tplc="A2763060">
      <w:numFmt w:val="bullet"/>
      <w:lvlText w:val=""/>
      <w:lvlJc w:val="left"/>
      <w:pPr>
        <w:ind w:left="820" w:hanging="360"/>
      </w:pPr>
      <w:rPr>
        <w:rFonts w:ascii="Symbol" w:eastAsia="Symbol" w:hAnsi="Symbol" w:cs="Symbol" w:hint="default"/>
        <w:b w:val="0"/>
        <w:bCs w:val="0"/>
        <w:i w:val="0"/>
        <w:iCs w:val="0"/>
        <w:spacing w:val="0"/>
        <w:w w:val="100"/>
        <w:sz w:val="22"/>
        <w:szCs w:val="22"/>
        <w:lang w:val="es-ES" w:eastAsia="en-US" w:bidi="ar-SA"/>
      </w:rPr>
    </w:lvl>
    <w:lvl w:ilvl="1" w:tplc="4E2AF4C4">
      <w:numFmt w:val="bullet"/>
      <w:lvlText w:val="•"/>
      <w:lvlJc w:val="left"/>
      <w:pPr>
        <w:ind w:left="1602" w:hanging="360"/>
      </w:pPr>
      <w:rPr>
        <w:rFonts w:hint="default"/>
        <w:lang w:val="es-ES" w:eastAsia="en-US" w:bidi="ar-SA"/>
      </w:rPr>
    </w:lvl>
    <w:lvl w:ilvl="2" w:tplc="AF328F54">
      <w:numFmt w:val="bullet"/>
      <w:lvlText w:val="•"/>
      <w:lvlJc w:val="left"/>
      <w:pPr>
        <w:ind w:left="2384" w:hanging="360"/>
      </w:pPr>
      <w:rPr>
        <w:rFonts w:hint="default"/>
        <w:lang w:val="es-ES" w:eastAsia="en-US" w:bidi="ar-SA"/>
      </w:rPr>
    </w:lvl>
    <w:lvl w:ilvl="3" w:tplc="3098A620">
      <w:numFmt w:val="bullet"/>
      <w:lvlText w:val="•"/>
      <w:lvlJc w:val="left"/>
      <w:pPr>
        <w:ind w:left="3167" w:hanging="360"/>
      </w:pPr>
      <w:rPr>
        <w:rFonts w:hint="default"/>
        <w:lang w:val="es-ES" w:eastAsia="en-US" w:bidi="ar-SA"/>
      </w:rPr>
    </w:lvl>
    <w:lvl w:ilvl="4" w:tplc="C9D458A8">
      <w:numFmt w:val="bullet"/>
      <w:lvlText w:val="•"/>
      <w:lvlJc w:val="left"/>
      <w:pPr>
        <w:ind w:left="3949" w:hanging="360"/>
      </w:pPr>
      <w:rPr>
        <w:rFonts w:hint="default"/>
        <w:lang w:val="es-ES" w:eastAsia="en-US" w:bidi="ar-SA"/>
      </w:rPr>
    </w:lvl>
    <w:lvl w:ilvl="5" w:tplc="8E2A8B30">
      <w:numFmt w:val="bullet"/>
      <w:lvlText w:val="•"/>
      <w:lvlJc w:val="left"/>
      <w:pPr>
        <w:ind w:left="4731" w:hanging="360"/>
      </w:pPr>
      <w:rPr>
        <w:rFonts w:hint="default"/>
        <w:lang w:val="es-ES" w:eastAsia="en-US" w:bidi="ar-SA"/>
      </w:rPr>
    </w:lvl>
    <w:lvl w:ilvl="6" w:tplc="4120C2AA">
      <w:numFmt w:val="bullet"/>
      <w:lvlText w:val="•"/>
      <w:lvlJc w:val="left"/>
      <w:pPr>
        <w:ind w:left="5514" w:hanging="360"/>
      </w:pPr>
      <w:rPr>
        <w:rFonts w:hint="default"/>
        <w:lang w:val="es-ES" w:eastAsia="en-US" w:bidi="ar-SA"/>
      </w:rPr>
    </w:lvl>
    <w:lvl w:ilvl="7" w:tplc="77A09444">
      <w:numFmt w:val="bullet"/>
      <w:lvlText w:val="•"/>
      <w:lvlJc w:val="left"/>
      <w:pPr>
        <w:ind w:left="6296" w:hanging="360"/>
      </w:pPr>
      <w:rPr>
        <w:rFonts w:hint="default"/>
        <w:lang w:val="es-ES" w:eastAsia="en-US" w:bidi="ar-SA"/>
      </w:rPr>
    </w:lvl>
    <w:lvl w:ilvl="8" w:tplc="7812DE54">
      <w:numFmt w:val="bullet"/>
      <w:lvlText w:val="•"/>
      <w:lvlJc w:val="left"/>
      <w:pPr>
        <w:ind w:left="7078" w:hanging="360"/>
      </w:pPr>
      <w:rPr>
        <w:rFonts w:hint="default"/>
        <w:lang w:val="es-ES" w:eastAsia="en-US" w:bidi="ar-SA"/>
      </w:rPr>
    </w:lvl>
  </w:abstractNum>
  <w:abstractNum w:abstractNumId="7" w15:restartNumberingAfterBreak="0">
    <w:nsid w:val="24AE6B3D"/>
    <w:multiLevelType w:val="hybridMultilevel"/>
    <w:tmpl w:val="A38E2F94"/>
    <w:lvl w:ilvl="0" w:tplc="A5A4133C">
      <w:start w:val="1"/>
      <w:numFmt w:val="lowerRoman"/>
      <w:lvlText w:val="(%1)"/>
      <w:lvlJc w:val="left"/>
      <w:pPr>
        <w:ind w:left="376" w:hanging="335"/>
      </w:pPr>
      <w:rPr>
        <w:rFonts w:ascii="Verdana" w:eastAsia="Verdana" w:hAnsi="Verdana" w:cs="Verdana" w:hint="default"/>
        <w:b w:val="0"/>
        <w:bCs w:val="0"/>
        <w:i w:val="0"/>
        <w:iCs w:val="0"/>
        <w:spacing w:val="-1"/>
        <w:w w:val="99"/>
        <w:sz w:val="22"/>
        <w:szCs w:val="22"/>
        <w:lang w:val="es-ES" w:eastAsia="en-US" w:bidi="ar-SA"/>
      </w:rPr>
    </w:lvl>
    <w:lvl w:ilvl="1" w:tplc="2B26A104">
      <w:numFmt w:val="bullet"/>
      <w:lvlText w:val="•"/>
      <w:lvlJc w:val="left"/>
      <w:pPr>
        <w:ind w:left="1278" w:hanging="335"/>
      </w:pPr>
      <w:rPr>
        <w:rFonts w:hint="default"/>
        <w:lang w:val="es-ES" w:eastAsia="en-US" w:bidi="ar-SA"/>
      </w:rPr>
    </w:lvl>
    <w:lvl w:ilvl="2" w:tplc="8C3EA1F4">
      <w:numFmt w:val="bullet"/>
      <w:lvlText w:val="•"/>
      <w:lvlJc w:val="left"/>
      <w:pPr>
        <w:ind w:left="2176" w:hanging="335"/>
      </w:pPr>
      <w:rPr>
        <w:rFonts w:hint="default"/>
        <w:lang w:val="es-ES" w:eastAsia="en-US" w:bidi="ar-SA"/>
      </w:rPr>
    </w:lvl>
    <w:lvl w:ilvl="3" w:tplc="AC68BCF0">
      <w:numFmt w:val="bullet"/>
      <w:lvlText w:val="•"/>
      <w:lvlJc w:val="left"/>
      <w:pPr>
        <w:ind w:left="3074" w:hanging="335"/>
      </w:pPr>
      <w:rPr>
        <w:rFonts w:hint="default"/>
        <w:lang w:val="es-ES" w:eastAsia="en-US" w:bidi="ar-SA"/>
      </w:rPr>
    </w:lvl>
    <w:lvl w:ilvl="4" w:tplc="D4FC6DD2">
      <w:numFmt w:val="bullet"/>
      <w:lvlText w:val="•"/>
      <w:lvlJc w:val="left"/>
      <w:pPr>
        <w:ind w:left="3972" w:hanging="335"/>
      </w:pPr>
      <w:rPr>
        <w:rFonts w:hint="default"/>
        <w:lang w:val="es-ES" w:eastAsia="en-US" w:bidi="ar-SA"/>
      </w:rPr>
    </w:lvl>
    <w:lvl w:ilvl="5" w:tplc="A404AB8A">
      <w:numFmt w:val="bullet"/>
      <w:lvlText w:val="•"/>
      <w:lvlJc w:val="left"/>
      <w:pPr>
        <w:ind w:left="4870" w:hanging="335"/>
      </w:pPr>
      <w:rPr>
        <w:rFonts w:hint="default"/>
        <w:lang w:val="es-ES" w:eastAsia="en-US" w:bidi="ar-SA"/>
      </w:rPr>
    </w:lvl>
    <w:lvl w:ilvl="6" w:tplc="73DAE27C">
      <w:numFmt w:val="bullet"/>
      <w:lvlText w:val="•"/>
      <w:lvlJc w:val="left"/>
      <w:pPr>
        <w:ind w:left="5768" w:hanging="335"/>
      </w:pPr>
      <w:rPr>
        <w:rFonts w:hint="default"/>
        <w:lang w:val="es-ES" w:eastAsia="en-US" w:bidi="ar-SA"/>
      </w:rPr>
    </w:lvl>
    <w:lvl w:ilvl="7" w:tplc="680C26E8">
      <w:numFmt w:val="bullet"/>
      <w:lvlText w:val="•"/>
      <w:lvlJc w:val="left"/>
      <w:pPr>
        <w:ind w:left="6666" w:hanging="335"/>
      </w:pPr>
      <w:rPr>
        <w:rFonts w:hint="default"/>
        <w:lang w:val="es-ES" w:eastAsia="en-US" w:bidi="ar-SA"/>
      </w:rPr>
    </w:lvl>
    <w:lvl w:ilvl="8" w:tplc="0A1A050A">
      <w:numFmt w:val="bullet"/>
      <w:lvlText w:val="•"/>
      <w:lvlJc w:val="left"/>
      <w:pPr>
        <w:ind w:left="7564" w:hanging="335"/>
      </w:pPr>
      <w:rPr>
        <w:rFonts w:hint="default"/>
        <w:lang w:val="es-ES" w:eastAsia="en-US" w:bidi="ar-SA"/>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9907A4"/>
    <w:multiLevelType w:val="hybridMultilevel"/>
    <w:tmpl w:val="78BAEC9E"/>
    <w:lvl w:ilvl="0" w:tplc="08FE4CB6">
      <w:start w:val="1"/>
      <w:numFmt w:val="decimal"/>
      <w:lvlText w:val="%1."/>
      <w:lvlJc w:val="left"/>
      <w:pPr>
        <w:ind w:left="546" w:hanging="286"/>
        <w:jc w:val="right"/>
      </w:pPr>
      <w:rPr>
        <w:rFonts w:ascii="Verdana" w:eastAsia="Verdana" w:hAnsi="Verdana" w:cs="Verdana" w:hint="default"/>
        <w:b/>
        <w:bCs/>
        <w:i w:val="0"/>
        <w:iCs w:val="0"/>
        <w:spacing w:val="-2"/>
        <w:w w:val="99"/>
        <w:sz w:val="22"/>
        <w:szCs w:val="22"/>
        <w:lang w:val="es-ES" w:eastAsia="en-US" w:bidi="ar-SA"/>
      </w:rPr>
    </w:lvl>
    <w:lvl w:ilvl="1" w:tplc="606C8E1E">
      <w:start w:val="1"/>
      <w:numFmt w:val="lowerRoman"/>
      <w:lvlText w:val="%2)"/>
      <w:lvlJc w:val="left"/>
      <w:pPr>
        <w:ind w:left="686" w:hanging="280"/>
      </w:pPr>
      <w:rPr>
        <w:rFonts w:ascii="Verdana" w:eastAsia="Verdana" w:hAnsi="Verdana" w:cs="Verdana" w:hint="default"/>
        <w:b w:val="0"/>
        <w:bCs w:val="0"/>
        <w:i w:val="0"/>
        <w:iCs w:val="0"/>
        <w:spacing w:val="0"/>
        <w:w w:val="99"/>
        <w:sz w:val="22"/>
        <w:szCs w:val="22"/>
        <w:lang w:val="es-ES" w:eastAsia="en-US" w:bidi="ar-SA"/>
      </w:rPr>
    </w:lvl>
    <w:lvl w:ilvl="2" w:tplc="9404FAF4">
      <w:numFmt w:val="bullet"/>
      <w:lvlText w:val="•"/>
      <w:lvlJc w:val="left"/>
      <w:pPr>
        <w:ind w:left="1644" w:hanging="280"/>
      </w:pPr>
      <w:rPr>
        <w:rFonts w:hint="default"/>
        <w:lang w:val="es-ES" w:eastAsia="en-US" w:bidi="ar-SA"/>
      </w:rPr>
    </w:lvl>
    <w:lvl w:ilvl="3" w:tplc="0C8CD694">
      <w:numFmt w:val="bullet"/>
      <w:lvlText w:val="•"/>
      <w:lvlJc w:val="left"/>
      <w:pPr>
        <w:ind w:left="2608" w:hanging="280"/>
      </w:pPr>
      <w:rPr>
        <w:rFonts w:hint="default"/>
        <w:lang w:val="es-ES" w:eastAsia="en-US" w:bidi="ar-SA"/>
      </w:rPr>
    </w:lvl>
    <w:lvl w:ilvl="4" w:tplc="A0BCB87A">
      <w:numFmt w:val="bullet"/>
      <w:lvlText w:val="•"/>
      <w:lvlJc w:val="left"/>
      <w:pPr>
        <w:ind w:left="3573" w:hanging="280"/>
      </w:pPr>
      <w:rPr>
        <w:rFonts w:hint="default"/>
        <w:lang w:val="es-ES" w:eastAsia="en-US" w:bidi="ar-SA"/>
      </w:rPr>
    </w:lvl>
    <w:lvl w:ilvl="5" w:tplc="CFEE6356">
      <w:numFmt w:val="bullet"/>
      <w:lvlText w:val="•"/>
      <w:lvlJc w:val="left"/>
      <w:pPr>
        <w:ind w:left="4537" w:hanging="280"/>
      </w:pPr>
      <w:rPr>
        <w:rFonts w:hint="default"/>
        <w:lang w:val="es-ES" w:eastAsia="en-US" w:bidi="ar-SA"/>
      </w:rPr>
    </w:lvl>
    <w:lvl w:ilvl="6" w:tplc="39A0224A">
      <w:numFmt w:val="bullet"/>
      <w:lvlText w:val="•"/>
      <w:lvlJc w:val="left"/>
      <w:pPr>
        <w:ind w:left="5502" w:hanging="280"/>
      </w:pPr>
      <w:rPr>
        <w:rFonts w:hint="default"/>
        <w:lang w:val="es-ES" w:eastAsia="en-US" w:bidi="ar-SA"/>
      </w:rPr>
    </w:lvl>
    <w:lvl w:ilvl="7" w:tplc="F03CDD88">
      <w:numFmt w:val="bullet"/>
      <w:lvlText w:val="•"/>
      <w:lvlJc w:val="left"/>
      <w:pPr>
        <w:ind w:left="6466" w:hanging="280"/>
      </w:pPr>
      <w:rPr>
        <w:rFonts w:hint="default"/>
        <w:lang w:val="es-ES" w:eastAsia="en-US" w:bidi="ar-SA"/>
      </w:rPr>
    </w:lvl>
    <w:lvl w:ilvl="8" w:tplc="58EA6FB4">
      <w:numFmt w:val="bullet"/>
      <w:lvlText w:val="•"/>
      <w:lvlJc w:val="left"/>
      <w:pPr>
        <w:ind w:left="7431" w:hanging="280"/>
      </w:pPr>
      <w:rPr>
        <w:rFonts w:hint="default"/>
        <w:lang w:val="es-ES" w:eastAsia="en-US" w:bidi="ar-SA"/>
      </w:rPr>
    </w:lvl>
  </w:abstractNum>
  <w:abstractNum w:abstractNumId="10" w15:restartNumberingAfterBreak="0">
    <w:nsid w:val="2B453583"/>
    <w:multiLevelType w:val="hybridMultilevel"/>
    <w:tmpl w:val="2D849AE6"/>
    <w:lvl w:ilvl="0" w:tplc="F11A1AA6">
      <w:start w:val="1"/>
      <w:numFmt w:val="lowerRoman"/>
      <w:lvlText w:val="(%1)"/>
      <w:lvlJc w:val="left"/>
      <w:pPr>
        <w:ind w:left="260" w:hanging="346"/>
      </w:pPr>
      <w:rPr>
        <w:rFonts w:ascii="Verdana" w:eastAsia="Verdana" w:hAnsi="Verdana" w:cs="Verdana" w:hint="default"/>
        <w:b w:val="0"/>
        <w:bCs w:val="0"/>
        <w:i w:val="0"/>
        <w:iCs w:val="0"/>
        <w:spacing w:val="-1"/>
        <w:w w:val="99"/>
        <w:sz w:val="22"/>
        <w:szCs w:val="22"/>
        <w:lang w:val="es-ES" w:eastAsia="en-US" w:bidi="ar-SA"/>
      </w:rPr>
    </w:lvl>
    <w:lvl w:ilvl="1" w:tplc="A89E2344">
      <w:start w:val="6"/>
      <w:numFmt w:val="decimal"/>
      <w:lvlText w:val="%2."/>
      <w:lvlJc w:val="left"/>
      <w:pPr>
        <w:ind w:left="971" w:hanging="270"/>
      </w:pPr>
      <w:rPr>
        <w:rFonts w:ascii="Verdana" w:eastAsia="Verdana" w:hAnsi="Verdana" w:cs="Verdana" w:hint="default"/>
        <w:b w:val="0"/>
        <w:bCs w:val="0"/>
        <w:i w:val="0"/>
        <w:iCs w:val="0"/>
        <w:spacing w:val="-3"/>
        <w:w w:val="100"/>
        <w:sz w:val="20"/>
        <w:szCs w:val="20"/>
        <w:lang w:val="es-ES" w:eastAsia="en-US" w:bidi="ar-SA"/>
      </w:rPr>
    </w:lvl>
    <w:lvl w:ilvl="2" w:tplc="4A46C23E">
      <w:numFmt w:val="bullet"/>
      <w:lvlText w:val="•"/>
      <w:lvlJc w:val="left"/>
      <w:pPr>
        <w:ind w:left="1911" w:hanging="270"/>
      </w:pPr>
      <w:rPr>
        <w:rFonts w:hint="default"/>
        <w:lang w:val="es-ES" w:eastAsia="en-US" w:bidi="ar-SA"/>
      </w:rPr>
    </w:lvl>
    <w:lvl w:ilvl="3" w:tplc="6D0E3828">
      <w:numFmt w:val="bullet"/>
      <w:lvlText w:val="•"/>
      <w:lvlJc w:val="left"/>
      <w:pPr>
        <w:ind w:left="2842" w:hanging="270"/>
      </w:pPr>
      <w:rPr>
        <w:rFonts w:hint="default"/>
        <w:lang w:val="es-ES" w:eastAsia="en-US" w:bidi="ar-SA"/>
      </w:rPr>
    </w:lvl>
    <w:lvl w:ilvl="4" w:tplc="E5A8DCCA">
      <w:numFmt w:val="bullet"/>
      <w:lvlText w:val="•"/>
      <w:lvlJc w:val="left"/>
      <w:pPr>
        <w:ind w:left="3773" w:hanging="270"/>
      </w:pPr>
      <w:rPr>
        <w:rFonts w:hint="default"/>
        <w:lang w:val="es-ES" w:eastAsia="en-US" w:bidi="ar-SA"/>
      </w:rPr>
    </w:lvl>
    <w:lvl w:ilvl="5" w:tplc="B51801C8">
      <w:numFmt w:val="bullet"/>
      <w:lvlText w:val="•"/>
      <w:lvlJc w:val="left"/>
      <w:pPr>
        <w:ind w:left="4704" w:hanging="270"/>
      </w:pPr>
      <w:rPr>
        <w:rFonts w:hint="default"/>
        <w:lang w:val="es-ES" w:eastAsia="en-US" w:bidi="ar-SA"/>
      </w:rPr>
    </w:lvl>
    <w:lvl w:ilvl="6" w:tplc="B308ED7A">
      <w:numFmt w:val="bullet"/>
      <w:lvlText w:val="•"/>
      <w:lvlJc w:val="left"/>
      <w:pPr>
        <w:ind w:left="5635" w:hanging="270"/>
      </w:pPr>
      <w:rPr>
        <w:rFonts w:hint="default"/>
        <w:lang w:val="es-ES" w:eastAsia="en-US" w:bidi="ar-SA"/>
      </w:rPr>
    </w:lvl>
    <w:lvl w:ilvl="7" w:tplc="2456671A">
      <w:numFmt w:val="bullet"/>
      <w:lvlText w:val="•"/>
      <w:lvlJc w:val="left"/>
      <w:pPr>
        <w:ind w:left="6566" w:hanging="270"/>
      </w:pPr>
      <w:rPr>
        <w:rFonts w:hint="default"/>
        <w:lang w:val="es-ES" w:eastAsia="en-US" w:bidi="ar-SA"/>
      </w:rPr>
    </w:lvl>
    <w:lvl w:ilvl="8" w:tplc="C2DC2C2E">
      <w:numFmt w:val="bullet"/>
      <w:lvlText w:val="•"/>
      <w:lvlJc w:val="left"/>
      <w:pPr>
        <w:ind w:left="7497" w:hanging="270"/>
      </w:pPr>
      <w:rPr>
        <w:rFonts w:hint="default"/>
        <w:lang w:val="es-ES" w:eastAsia="en-US" w:bidi="ar-SA"/>
      </w:rPr>
    </w:lvl>
  </w:abstractNum>
  <w:abstractNum w:abstractNumId="11"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150EA3"/>
    <w:multiLevelType w:val="hybridMultilevel"/>
    <w:tmpl w:val="8DD8FF66"/>
    <w:lvl w:ilvl="0" w:tplc="7ECCE4F2">
      <w:start w:val="1"/>
      <w:numFmt w:val="decimal"/>
      <w:lvlText w:val="%1."/>
      <w:lvlJc w:val="left"/>
      <w:pPr>
        <w:ind w:left="971" w:hanging="270"/>
      </w:pPr>
      <w:rPr>
        <w:rFonts w:ascii="Verdana" w:eastAsia="Verdana" w:hAnsi="Verdana" w:cs="Verdana" w:hint="default"/>
        <w:b w:val="0"/>
        <w:bCs w:val="0"/>
        <w:i/>
        <w:iCs/>
        <w:spacing w:val="-3"/>
        <w:w w:val="100"/>
        <w:sz w:val="20"/>
        <w:szCs w:val="20"/>
        <w:lang w:val="es-ES" w:eastAsia="en-US" w:bidi="ar-SA"/>
      </w:rPr>
    </w:lvl>
    <w:lvl w:ilvl="1" w:tplc="BC14FEF0">
      <w:numFmt w:val="bullet"/>
      <w:lvlText w:val="•"/>
      <w:lvlJc w:val="left"/>
      <w:pPr>
        <w:ind w:left="1818" w:hanging="270"/>
      </w:pPr>
      <w:rPr>
        <w:rFonts w:hint="default"/>
        <w:lang w:val="es-ES" w:eastAsia="en-US" w:bidi="ar-SA"/>
      </w:rPr>
    </w:lvl>
    <w:lvl w:ilvl="2" w:tplc="C708F1DA">
      <w:numFmt w:val="bullet"/>
      <w:lvlText w:val="•"/>
      <w:lvlJc w:val="left"/>
      <w:pPr>
        <w:ind w:left="2656" w:hanging="270"/>
      </w:pPr>
      <w:rPr>
        <w:rFonts w:hint="default"/>
        <w:lang w:val="es-ES" w:eastAsia="en-US" w:bidi="ar-SA"/>
      </w:rPr>
    </w:lvl>
    <w:lvl w:ilvl="3" w:tplc="0050744E">
      <w:numFmt w:val="bullet"/>
      <w:lvlText w:val="•"/>
      <w:lvlJc w:val="left"/>
      <w:pPr>
        <w:ind w:left="3494" w:hanging="270"/>
      </w:pPr>
      <w:rPr>
        <w:rFonts w:hint="default"/>
        <w:lang w:val="es-ES" w:eastAsia="en-US" w:bidi="ar-SA"/>
      </w:rPr>
    </w:lvl>
    <w:lvl w:ilvl="4" w:tplc="776A91EE">
      <w:numFmt w:val="bullet"/>
      <w:lvlText w:val="•"/>
      <w:lvlJc w:val="left"/>
      <w:pPr>
        <w:ind w:left="4332" w:hanging="270"/>
      </w:pPr>
      <w:rPr>
        <w:rFonts w:hint="default"/>
        <w:lang w:val="es-ES" w:eastAsia="en-US" w:bidi="ar-SA"/>
      </w:rPr>
    </w:lvl>
    <w:lvl w:ilvl="5" w:tplc="D9007696">
      <w:numFmt w:val="bullet"/>
      <w:lvlText w:val="•"/>
      <w:lvlJc w:val="left"/>
      <w:pPr>
        <w:ind w:left="5170" w:hanging="270"/>
      </w:pPr>
      <w:rPr>
        <w:rFonts w:hint="default"/>
        <w:lang w:val="es-ES" w:eastAsia="en-US" w:bidi="ar-SA"/>
      </w:rPr>
    </w:lvl>
    <w:lvl w:ilvl="6" w:tplc="F6DAB438">
      <w:numFmt w:val="bullet"/>
      <w:lvlText w:val="•"/>
      <w:lvlJc w:val="left"/>
      <w:pPr>
        <w:ind w:left="6008" w:hanging="270"/>
      </w:pPr>
      <w:rPr>
        <w:rFonts w:hint="default"/>
        <w:lang w:val="es-ES" w:eastAsia="en-US" w:bidi="ar-SA"/>
      </w:rPr>
    </w:lvl>
    <w:lvl w:ilvl="7" w:tplc="7746504C">
      <w:numFmt w:val="bullet"/>
      <w:lvlText w:val="•"/>
      <w:lvlJc w:val="left"/>
      <w:pPr>
        <w:ind w:left="6846" w:hanging="270"/>
      </w:pPr>
      <w:rPr>
        <w:rFonts w:hint="default"/>
        <w:lang w:val="es-ES" w:eastAsia="en-US" w:bidi="ar-SA"/>
      </w:rPr>
    </w:lvl>
    <w:lvl w:ilvl="8" w:tplc="DD1AD5CC">
      <w:numFmt w:val="bullet"/>
      <w:lvlText w:val="•"/>
      <w:lvlJc w:val="left"/>
      <w:pPr>
        <w:ind w:left="7684" w:hanging="270"/>
      </w:pPr>
      <w:rPr>
        <w:rFonts w:hint="default"/>
        <w:lang w:val="es-ES" w:eastAsia="en-US" w:bidi="ar-SA"/>
      </w:rPr>
    </w:lvl>
  </w:abstractNum>
  <w:abstractNum w:abstractNumId="17" w15:restartNumberingAfterBreak="0">
    <w:nsid w:val="39D726F5"/>
    <w:multiLevelType w:val="hybridMultilevel"/>
    <w:tmpl w:val="1DF81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9"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13"/>
  </w:num>
  <w:num w:numId="2" w16cid:durableId="19822139">
    <w:abstractNumId w:val="1"/>
  </w:num>
  <w:num w:numId="3" w16cid:durableId="876742304">
    <w:abstractNumId w:val="11"/>
  </w:num>
  <w:num w:numId="4" w16cid:durableId="2451864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21"/>
  </w:num>
  <w:num w:numId="7" w16cid:durableId="1946422806">
    <w:abstractNumId w:val="12"/>
  </w:num>
  <w:num w:numId="8" w16cid:durableId="152644682">
    <w:abstractNumId w:val="20"/>
  </w:num>
  <w:num w:numId="9" w16cid:durableId="1317221377">
    <w:abstractNumId w:val="14"/>
  </w:num>
  <w:num w:numId="10" w16cid:durableId="1471245386">
    <w:abstractNumId w:val="19"/>
  </w:num>
  <w:num w:numId="11" w16cid:durableId="289172385">
    <w:abstractNumId w:val="15"/>
  </w:num>
  <w:num w:numId="12" w16cid:durableId="1470781324">
    <w:abstractNumId w:val="0"/>
  </w:num>
  <w:num w:numId="13" w16cid:durableId="1512908409">
    <w:abstractNumId w:val="8"/>
  </w:num>
  <w:num w:numId="14" w16cid:durableId="895897244">
    <w:abstractNumId w:val="22"/>
  </w:num>
  <w:num w:numId="15" w16cid:durableId="390349800">
    <w:abstractNumId w:val="18"/>
  </w:num>
  <w:num w:numId="16" w16cid:durableId="1226986960">
    <w:abstractNumId w:val="4"/>
  </w:num>
  <w:num w:numId="17" w16cid:durableId="1737238897">
    <w:abstractNumId w:val="17"/>
  </w:num>
  <w:num w:numId="18" w16cid:durableId="1526138486">
    <w:abstractNumId w:val="6"/>
  </w:num>
  <w:num w:numId="19" w16cid:durableId="1160542494">
    <w:abstractNumId w:val="5"/>
  </w:num>
  <w:num w:numId="20" w16cid:durableId="1448113650">
    <w:abstractNumId w:val="10"/>
  </w:num>
  <w:num w:numId="21" w16cid:durableId="2063943186">
    <w:abstractNumId w:val="7"/>
  </w:num>
  <w:num w:numId="22" w16cid:durableId="1609850982">
    <w:abstractNumId w:val="9"/>
  </w:num>
  <w:num w:numId="23" w16cid:durableId="76905027">
    <w:abstractNumId w:val="16"/>
  </w:num>
  <w:num w:numId="24" w16cid:durableId="502084671">
    <w:abstractNumId w:val="2"/>
  </w:num>
  <w:num w:numId="25" w16cid:durableId="1109811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6AA6"/>
    <w:rsid w:val="00046945"/>
    <w:rsid w:val="00056FCA"/>
    <w:rsid w:val="00060991"/>
    <w:rsid w:val="00061B2A"/>
    <w:rsid w:val="00067F20"/>
    <w:rsid w:val="00081088"/>
    <w:rsid w:val="00082362"/>
    <w:rsid w:val="00084010"/>
    <w:rsid w:val="00086FCD"/>
    <w:rsid w:val="000944C7"/>
    <w:rsid w:val="000A683E"/>
    <w:rsid w:val="000B19B9"/>
    <w:rsid w:val="000D0334"/>
    <w:rsid w:val="000D2FF2"/>
    <w:rsid w:val="000D5DA7"/>
    <w:rsid w:val="000F6486"/>
    <w:rsid w:val="00100FB1"/>
    <w:rsid w:val="00116940"/>
    <w:rsid w:val="00125105"/>
    <w:rsid w:val="0012550C"/>
    <w:rsid w:val="00125F79"/>
    <w:rsid w:val="00127233"/>
    <w:rsid w:val="00140B68"/>
    <w:rsid w:val="00145D6C"/>
    <w:rsid w:val="0015264A"/>
    <w:rsid w:val="0015699B"/>
    <w:rsid w:val="0016795E"/>
    <w:rsid w:val="00176F37"/>
    <w:rsid w:val="001805CB"/>
    <w:rsid w:val="001928EE"/>
    <w:rsid w:val="001A33BF"/>
    <w:rsid w:val="001A53E2"/>
    <w:rsid w:val="001A5547"/>
    <w:rsid w:val="001C1D41"/>
    <w:rsid w:val="001D03D5"/>
    <w:rsid w:val="001D765F"/>
    <w:rsid w:val="001E4177"/>
    <w:rsid w:val="001F0B24"/>
    <w:rsid w:val="001F3029"/>
    <w:rsid w:val="001F7DC6"/>
    <w:rsid w:val="00205DF2"/>
    <w:rsid w:val="0022400B"/>
    <w:rsid w:val="002279AF"/>
    <w:rsid w:val="00234428"/>
    <w:rsid w:val="002421BB"/>
    <w:rsid w:val="002436E2"/>
    <w:rsid w:val="002448C7"/>
    <w:rsid w:val="00245219"/>
    <w:rsid w:val="00251116"/>
    <w:rsid w:val="0025796E"/>
    <w:rsid w:val="00257BD5"/>
    <w:rsid w:val="00266116"/>
    <w:rsid w:val="002707A2"/>
    <w:rsid w:val="00282955"/>
    <w:rsid w:val="002951A0"/>
    <w:rsid w:val="002962BC"/>
    <w:rsid w:val="00296F37"/>
    <w:rsid w:val="002A093D"/>
    <w:rsid w:val="002A0DD0"/>
    <w:rsid w:val="002A49AC"/>
    <w:rsid w:val="002A64FD"/>
    <w:rsid w:val="002C7A84"/>
    <w:rsid w:val="002E2BF8"/>
    <w:rsid w:val="002E4FD9"/>
    <w:rsid w:val="002F3011"/>
    <w:rsid w:val="002F31E2"/>
    <w:rsid w:val="00302C11"/>
    <w:rsid w:val="0030657A"/>
    <w:rsid w:val="00322A85"/>
    <w:rsid w:val="00324168"/>
    <w:rsid w:val="00324F58"/>
    <w:rsid w:val="00330834"/>
    <w:rsid w:val="003448F4"/>
    <w:rsid w:val="0034568A"/>
    <w:rsid w:val="00374F5E"/>
    <w:rsid w:val="003757F6"/>
    <w:rsid w:val="00377E3E"/>
    <w:rsid w:val="003905CD"/>
    <w:rsid w:val="003A779E"/>
    <w:rsid w:val="003D0F4D"/>
    <w:rsid w:val="003D5B0D"/>
    <w:rsid w:val="003E0499"/>
    <w:rsid w:val="003E4F80"/>
    <w:rsid w:val="003E6439"/>
    <w:rsid w:val="003F3941"/>
    <w:rsid w:val="00406575"/>
    <w:rsid w:val="00414C74"/>
    <w:rsid w:val="00423357"/>
    <w:rsid w:val="0042722E"/>
    <w:rsid w:val="0044528D"/>
    <w:rsid w:val="00451B6F"/>
    <w:rsid w:val="00466E39"/>
    <w:rsid w:val="004A1847"/>
    <w:rsid w:val="004A305D"/>
    <w:rsid w:val="004A3B84"/>
    <w:rsid w:val="004D1488"/>
    <w:rsid w:val="004F21C4"/>
    <w:rsid w:val="004F685F"/>
    <w:rsid w:val="00505209"/>
    <w:rsid w:val="005229D8"/>
    <w:rsid w:val="005232BA"/>
    <w:rsid w:val="005566E8"/>
    <w:rsid w:val="00565178"/>
    <w:rsid w:val="005668D6"/>
    <w:rsid w:val="00571015"/>
    <w:rsid w:val="005734CF"/>
    <w:rsid w:val="00574867"/>
    <w:rsid w:val="00583524"/>
    <w:rsid w:val="00591460"/>
    <w:rsid w:val="005A65E0"/>
    <w:rsid w:val="005B5AC9"/>
    <w:rsid w:val="005C3777"/>
    <w:rsid w:val="005C5CDC"/>
    <w:rsid w:val="005D476C"/>
    <w:rsid w:val="006055B3"/>
    <w:rsid w:val="006200BF"/>
    <w:rsid w:val="006219F8"/>
    <w:rsid w:val="006302F7"/>
    <w:rsid w:val="00643D63"/>
    <w:rsid w:val="00646B9F"/>
    <w:rsid w:val="006658F5"/>
    <w:rsid w:val="00665D70"/>
    <w:rsid w:val="006776E2"/>
    <w:rsid w:val="006900D9"/>
    <w:rsid w:val="006B1984"/>
    <w:rsid w:val="006E6A17"/>
    <w:rsid w:val="006F3D68"/>
    <w:rsid w:val="00706590"/>
    <w:rsid w:val="00706C16"/>
    <w:rsid w:val="00716F3C"/>
    <w:rsid w:val="007340C3"/>
    <w:rsid w:val="00744553"/>
    <w:rsid w:val="0075235A"/>
    <w:rsid w:val="00756841"/>
    <w:rsid w:val="007649AB"/>
    <w:rsid w:val="007667A3"/>
    <w:rsid w:val="00771D0C"/>
    <w:rsid w:val="007833AC"/>
    <w:rsid w:val="007B268C"/>
    <w:rsid w:val="007B7171"/>
    <w:rsid w:val="007C0C0F"/>
    <w:rsid w:val="007C2849"/>
    <w:rsid w:val="007C3DC2"/>
    <w:rsid w:val="007D455E"/>
    <w:rsid w:val="007E5497"/>
    <w:rsid w:val="007E6666"/>
    <w:rsid w:val="00806F5F"/>
    <w:rsid w:val="00811655"/>
    <w:rsid w:val="00820278"/>
    <w:rsid w:val="008258C9"/>
    <w:rsid w:val="00831464"/>
    <w:rsid w:val="00831B1C"/>
    <w:rsid w:val="00843301"/>
    <w:rsid w:val="00844AE9"/>
    <w:rsid w:val="00855645"/>
    <w:rsid w:val="00855FBC"/>
    <w:rsid w:val="008615C9"/>
    <w:rsid w:val="008655D3"/>
    <w:rsid w:val="00867F95"/>
    <w:rsid w:val="008843B6"/>
    <w:rsid w:val="00891928"/>
    <w:rsid w:val="008A446D"/>
    <w:rsid w:val="008B25F1"/>
    <w:rsid w:val="008C116F"/>
    <w:rsid w:val="008D180B"/>
    <w:rsid w:val="008D7183"/>
    <w:rsid w:val="008E0D7F"/>
    <w:rsid w:val="008F0EA7"/>
    <w:rsid w:val="008F1A6D"/>
    <w:rsid w:val="008F5B78"/>
    <w:rsid w:val="009239B7"/>
    <w:rsid w:val="00923EEF"/>
    <w:rsid w:val="00927F32"/>
    <w:rsid w:val="009419F9"/>
    <w:rsid w:val="0095685E"/>
    <w:rsid w:val="00961B09"/>
    <w:rsid w:val="00965334"/>
    <w:rsid w:val="0097093E"/>
    <w:rsid w:val="00970BF4"/>
    <w:rsid w:val="00977377"/>
    <w:rsid w:val="009A0DFA"/>
    <w:rsid w:val="009A1C6F"/>
    <w:rsid w:val="009B2D26"/>
    <w:rsid w:val="009B3A19"/>
    <w:rsid w:val="009B47C0"/>
    <w:rsid w:val="009C71FA"/>
    <w:rsid w:val="009C72E7"/>
    <w:rsid w:val="009C7F7E"/>
    <w:rsid w:val="009D3058"/>
    <w:rsid w:val="009F3A13"/>
    <w:rsid w:val="00A122D3"/>
    <w:rsid w:val="00A14468"/>
    <w:rsid w:val="00A17F13"/>
    <w:rsid w:val="00A20739"/>
    <w:rsid w:val="00A23AF9"/>
    <w:rsid w:val="00A33C78"/>
    <w:rsid w:val="00A62267"/>
    <w:rsid w:val="00A77225"/>
    <w:rsid w:val="00AB0ADB"/>
    <w:rsid w:val="00AB5733"/>
    <w:rsid w:val="00AD5DAB"/>
    <w:rsid w:val="00AE11FA"/>
    <w:rsid w:val="00AF4EB3"/>
    <w:rsid w:val="00B00C0E"/>
    <w:rsid w:val="00B01B1A"/>
    <w:rsid w:val="00B0381D"/>
    <w:rsid w:val="00B04E5C"/>
    <w:rsid w:val="00B1356A"/>
    <w:rsid w:val="00B44A47"/>
    <w:rsid w:val="00B615AE"/>
    <w:rsid w:val="00B6302E"/>
    <w:rsid w:val="00B721EE"/>
    <w:rsid w:val="00B72CD3"/>
    <w:rsid w:val="00B72FFF"/>
    <w:rsid w:val="00B7476F"/>
    <w:rsid w:val="00BA0717"/>
    <w:rsid w:val="00BC3D36"/>
    <w:rsid w:val="00BD3A02"/>
    <w:rsid w:val="00BD4D13"/>
    <w:rsid w:val="00BD54A6"/>
    <w:rsid w:val="00BD7F72"/>
    <w:rsid w:val="00BF7425"/>
    <w:rsid w:val="00C04FB3"/>
    <w:rsid w:val="00C11D8B"/>
    <w:rsid w:val="00C14F42"/>
    <w:rsid w:val="00C15139"/>
    <w:rsid w:val="00C220EB"/>
    <w:rsid w:val="00C330EB"/>
    <w:rsid w:val="00C41FE2"/>
    <w:rsid w:val="00C43E65"/>
    <w:rsid w:val="00C4676B"/>
    <w:rsid w:val="00C50D69"/>
    <w:rsid w:val="00C5365C"/>
    <w:rsid w:val="00C614F6"/>
    <w:rsid w:val="00C650AF"/>
    <w:rsid w:val="00C65FE4"/>
    <w:rsid w:val="00C754BE"/>
    <w:rsid w:val="00C76B1C"/>
    <w:rsid w:val="00C925AC"/>
    <w:rsid w:val="00CB6357"/>
    <w:rsid w:val="00CC1B26"/>
    <w:rsid w:val="00CD7BA3"/>
    <w:rsid w:val="00D342D0"/>
    <w:rsid w:val="00D361FD"/>
    <w:rsid w:val="00D41B27"/>
    <w:rsid w:val="00D423A2"/>
    <w:rsid w:val="00D44E26"/>
    <w:rsid w:val="00D520D8"/>
    <w:rsid w:val="00D53A94"/>
    <w:rsid w:val="00D56495"/>
    <w:rsid w:val="00D63AC2"/>
    <w:rsid w:val="00D7383B"/>
    <w:rsid w:val="00D74805"/>
    <w:rsid w:val="00D7788A"/>
    <w:rsid w:val="00D91671"/>
    <w:rsid w:val="00DA231B"/>
    <w:rsid w:val="00DC1F06"/>
    <w:rsid w:val="00DC39FC"/>
    <w:rsid w:val="00DF0B22"/>
    <w:rsid w:val="00DF5254"/>
    <w:rsid w:val="00E00B3D"/>
    <w:rsid w:val="00E02524"/>
    <w:rsid w:val="00E076AF"/>
    <w:rsid w:val="00E15B6F"/>
    <w:rsid w:val="00E16408"/>
    <w:rsid w:val="00E16C3D"/>
    <w:rsid w:val="00E20894"/>
    <w:rsid w:val="00E245AB"/>
    <w:rsid w:val="00E26B53"/>
    <w:rsid w:val="00E2764C"/>
    <w:rsid w:val="00E27F2E"/>
    <w:rsid w:val="00E4612C"/>
    <w:rsid w:val="00E50AFE"/>
    <w:rsid w:val="00E54770"/>
    <w:rsid w:val="00E6391F"/>
    <w:rsid w:val="00E75C92"/>
    <w:rsid w:val="00E771DC"/>
    <w:rsid w:val="00E82F99"/>
    <w:rsid w:val="00E8772A"/>
    <w:rsid w:val="00E90F6B"/>
    <w:rsid w:val="00E92C27"/>
    <w:rsid w:val="00EA0E3D"/>
    <w:rsid w:val="00EC38A7"/>
    <w:rsid w:val="00EC544F"/>
    <w:rsid w:val="00EE1AA8"/>
    <w:rsid w:val="00EE218A"/>
    <w:rsid w:val="00F0018D"/>
    <w:rsid w:val="00F045AF"/>
    <w:rsid w:val="00F23FEA"/>
    <w:rsid w:val="00F31EDC"/>
    <w:rsid w:val="00F462B3"/>
    <w:rsid w:val="00F5664F"/>
    <w:rsid w:val="00F6218F"/>
    <w:rsid w:val="00F65E8F"/>
    <w:rsid w:val="00F66530"/>
    <w:rsid w:val="00F666C4"/>
    <w:rsid w:val="00F76AFC"/>
    <w:rsid w:val="00F8050F"/>
    <w:rsid w:val="00F86EED"/>
    <w:rsid w:val="00F95C18"/>
    <w:rsid w:val="00FA47C0"/>
    <w:rsid w:val="00FA54CC"/>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link w:val="Ttulo1Car"/>
    <w:uiPriority w:val="9"/>
    <w:qFormat/>
    <w:rsid w:val="002F3011"/>
    <w:pPr>
      <w:widowControl w:val="0"/>
      <w:autoSpaceDE w:val="0"/>
      <w:autoSpaceDN w:val="0"/>
      <w:spacing w:after="0" w:line="240" w:lineRule="auto"/>
      <w:ind w:left="544" w:hanging="284"/>
      <w:outlineLvl w:val="0"/>
    </w:pPr>
    <w:rPr>
      <w:rFonts w:ascii="Verdana" w:eastAsia="Verdana" w:hAnsi="Verdana" w:cs="Verdana"/>
      <w:b/>
      <w:bCs/>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Texto nota pie Car2"/>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D455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D455E"/>
    <w:rPr>
      <w:rFonts w:ascii="Geomanist Light" w:hAnsi="Geomanist Light"/>
      <w:lang w:val="es-ES"/>
    </w:rPr>
  </w:style>
  <w:style w:type="character" w:customStyle="1" w:styleId="NormalWebCar">
    <w:name w:val="Normal (Web) Car"/>
    <w:link w:val="NormalWeb"/>
    <w:uiPriority w:val="99"/>
    <w:locked/>
    <w:rsid w:val="007D455E"/>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811655"/>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811655"/>
    <w:rPr>
      <w:rFonts w:ascii="Verdana" w:eastAsia="Verdana" w:hAnsi="Verdana" w:cs="Verdana"/>
      <w:lang w:val="es-ES"/>
    </w:rPr>
  </w:style>
  <w:style w:type="character" w:customStyle="1" w:styleId="Ttulo1Car">
    <w:name w:val="Título 1 Car"/>
    <w:basedOn w:val="Fuentedeprrafopredeter"/>
    <w:link w:val="Ttulo1"/>
    <w:uiPriority w:val="9"/>
    <w:rsid w:val="002F3011"/>
    <w:rPr>
      <w:rFonts w:ascii="Verdana" w:eastAsia="Verdana" w:hAnsi="Verdana" w:cs="Verdana"/>
      <w:b/>
      <w:bCs/>
      <w:lang w:val="es-ES"/>
    </w:rPr>
  </w:style>
  <w:style w:type="paragraph" w:customStyle="1" w:styleId="TableParagraph">
    <w:name w:val="Table Paragraph"/>
    <w:basedOn w:val="Normal"/>
    <w:uiPriority w:val="1"/>
    <w:qFormat/>
    <w:rsid w:val="002F3011"/>
    <w:pPr>
      <w:widowControl w:val="0"/>
      <w:autoSpaceDE w:val="0"/>
      <w:autoSpaceDN w:val="0"/>
      <w:spacing w:after="0" w:line="240" w:lineRule="auto"/>
    </w:pPr>
    <w:rPr>
      <w:rFonts w:ascii="Verdana" w:eastAsia="Verdana" w:hAnsi="Verdana" w:cs="Verdana"/>
      <w:lang w:val="es-ES"/>
    </w:rPr>
  </w:style>
  <w:style w:type="table" w:customStyle="1" w:styleId="TableNormal1">
    <w:name w:val="Table Normal1"/>
    <w:uiPriority w:val="2"/>
    <w:semiHidden/>
    <w:unhideWhenUsed/>
    <w:qFormat/>
    <w:rsid w:val="002448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relatoria.colombiacompra.gov.co%2F&amp;data=05%7C02%7Cjose.garcia%40colombiacompra.gov.co%7C5aad36a736844ec87b2108dcc1fa4639%7C7b09041e245149d08cb179d5e3d8c1be%7C0%7C0%7C638598527919569564%7CUnknown%7CTWFpbGZsb3d8eyJWIjoiMC4wLjAwMDAiLCJQIjoiV2luMzIiLCJBTiI6Ik1haWwiLCJXVCI6Mn0%3D%7C0%7C%7C%7C&amp;sdata=dxd5A4gL5eWAFf8ZLcaVWYdH0y65hi6R6J0wtaeazGQ%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taizacarlos08@gmail.com" TargetMode="External"/><Relationship Id="rId17" Type="http://schemas.openxmlformats.org/officeDocument/2006/relationships/hyperlink" Target="http://www.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F022D612-5B42-48AA-8EA7-59DD0881A0DE}"/>
</file>

<file path=customXml/itemProps3.xml><?xml version="1.0" encoding="utf-8"?>
<ds:datastoreItem xmlns:ds="http://schemas.openxmlformats.org/officeDocument/2006/customXml" ds:itemID="{62AD4B32-9F4D-4F14-AE15-1629724B27C7}">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36</TotalTime>
  <Pages>19</Pages>
  <Words>6511</Words>
  <Characters>35812</Characters>
  <Application>Microsoft Office Word</Application>
  <DocSecurity>0</DocSecurity>
  <Lines>298</Lines>
  <Paragraphs>84</Paragraphs>
  <ScaleCrop>false</ScaleCrop>
  <Company/>
  <LinksUpToDate>false</LinksUpToDate>
  <CharactersWithSpaces>42239</CharactersWithSpaces>
  <SharedDoc>false</SharedDoc>
  <HLinks>
    <vt:vector size="36" baseType="variant">
      <vt:variant>
        <vt:i4>6029407</vt:i4>
      </vt:variant>
      <vt:variant>
        <vt:i4>15</vt:i4>
      </vt:variant>
      <vt:variant>
        <vt:i4>0</vt:i4>
      </vt:variant>
      <vt:variant>
        <vt:i4>5</vt:i4>
      </vt:variant>
      <vt:variant>
        <vt:lpwstr>http://www.colombiacompra.gov.co/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3866680</vt:i4>
      </vt:variant>
      <vt:variant>
        <vt:i4>3</vt:i4>
      </vt:variant>
      <vt:variant>
        <vt:i4>0</vt:i4>
      </vt:variant>
      <vt:variant>
        <vt:i4>5</vt:i4>
      </vt:variant>
      <vt:variant>
        <vt:lpwstr>https://nam02.safelinks.protection.outlook.com/?url=https%3A%2F%2Frelatoria.colombiacompra.gov.co%2F&amp;data=05%7C02%7Cjose.garcia%40colombiacompra.gov.co%7C5aad36a736844ec87b2108dcc1fa4639%7C7b09041e245149d08cb179d5e3d8c1be%7C0%7C0%7C638598527919569564%7CUnknown%7CTWFpbGZsb3d8eyJWIjoiMC4wLjAwMDAiLCJQIjoiV2luMzIiLCJBTiI6Ik1haWwiLCJXVCI6Mn0%3D%7C0%7C%7C%7C&amp;sdata=dxd5A4gL5eWAFf8ZLcaVWYdH0y65hi6R6J0wtaeazGQ%3D&amp;reserved=0</vt:lpwstr>
      </vt:variant>
      <vt:variant>
        <vt:lpwstr/>
      </vt:variant>
      <vt:variant>
        <vt:i4>6094969</vt:i4>
      </vt:variant>
      <vt:variant>
        <vt:i4>0</vt:i4>
      </vt:variant>
      <vt:variant>
        <vt:i4>0</vt:i4>
      </vt:variant>
      <vt:variant>
        <vt:i4>5</vt:i4>
      </vt:variant>
      <vt:variant>
        <vt:lpwstr>mailto:otaizacarlos08@gmail.com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11</cp:revision>
  <cp:lastPrinted>2023-01-10T21:18:00Z</cp:lastPrinted>
  <dcterms:created xsi:type="dcterms:W3CDTF">2026-07-21T22:04:00Z</dcterms:created>
  <dcterms:modified xsi:type="dcterms:W3CDTF">2026-07-22T15:33:00Z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