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AF70A" w14:textId="77777777" w:rsidR="00FF72B0" w:rsidRPr="00FE5289" w:rsidRDefault="00FF72B0" w:rsidP="00E0335E">
      <w:pPr>
        <w:spacing w:after="0" w:line="240" w:lineRule="auto"/>
        <w:jc w:val="both"/>
        <w:rPr>
          <w:rFonts w:ascii="Verdana" w:eastAsia="Verdana" w:hAnsi="Verdana" w:cs="Verdana"/>
          <w:b/>
          <w:bCs/>
        </w:rPr>
      </w:pPr>
      <w:bookmarkStart w:id="0" w:name="_Hlk143780582"/>
      <w:r w:rsidRPr="00FE5289">
        <w:rPr>
          <w:rFonts w:ascii="Verdana" w:eastAsia="Verdana" w:hAnsi="Verdana" w:cs="Verdana"/>
          <w:b/>
          <w:bCs/>
        </w:rPr>
        <w:t>CONTRATOS Y CONVENIOS INTERADMINISTRATIVOS – Noción – Diferencias</w:t>
      </w:r>
    </w:p>
    <w:p w14:paraId="750F684F" w14:textId="77777777" w:rsidR="00FF72B0" w:rsidRPr="008D5159" w:rsidRDefault="00FF72B0" w:rsidP="00E0335E">
      <w:pPr>
        <w:spacing w:after="0" w:line="240" w:lineRule="auto"/>
        <w:jc w:val="both"/>
        <w:rPr>
          <w:rFonts w:ascii="Verdana" w:eastAsia="Verdana" w:hAnsi="Verdana" w:cs="Verdana"/>
          <w:sz w:val="20"/>
          <w:szCs w:val="20"/>
        </w:rPr>
      </w:pPr>
    </w:p>
    <w:p w14:paraId="02F99FC2" w14:textId="50917421" w:rsidR="00FF72B0" w:rsidRPr="008D5159" w:rsidRDefault="008D5159" w:rsidP="00E0335E">
      <w:pPr>
        <w:spacing w:after="0" w:line="240" w:lineRule="auto"/>
        <w:jc w:val="both"/>
        <w:rPr>
          <w:rFonts w:ascii="Verdana" w:eastAsia="Verdana" w:hAnsi="Verdana" w:cs="Verdana"/>
          <w:sz w:val="20"/>
          <w:szCs w:val="20"/>
        </w:rPr>
      </w:pPr>
      <w:r w:rsidRPr="008D5159">
        <w:rPr>
          <w:rFonts w:ascii="Verdana" w:eastAsia="Verdana" w:hAnsi="Verdana" w:cs="Verdana"/>
          <w:sz w:val="20"/>
          <w:szCs w:val="20"/>
        </w:rPr>
        <w:t>Ahora bien, esta distinción conceptual entre contratos y convenios interadministrativos resulta relevante para precisar el ámbito de aplicación de las instituciones del EGCAP. Al respecto, el Consejo de Estado ha destacado la finalidad asociativa de los convenios interadministrativos, los cuales se caracterizan por la autorregulación de sus propias estipulaciones, que son el resultado de la autonomía de la voluntad de las entidades que actúan como colaboradoras o cooperantes, sin que pueda aludirse a la preponderancia de ciertos regímenes, por lo que no es procedente la aplicación automática del régimen contractual de los contratos estatales.</w:t>
      </w:r>
    </w:p>
    <w:p w14:paraId="44419956" w14:textId="2B4EAB64" w:rsidR="008D5159" w:rsidRPr="008D5159" w:rsidRDefault="008D5159" w:rsidP="00E0335E">
      <w:pPr>
        <w:spacing w:after="0" w:line="240" w:lineRule="auto"/>
        <w:jc w:val="both"/>
        <w:rPr>
          <w:rFonts w:ascii="Verdana" w:eastAsia="Verdana" w:hAnsi="Verdana" w:cs="Verdana"/>
          <w:sz w:val="20"/>
          <w:szCs w:val="20"/>
        </w:rPr>
      </w:pPr>
      <w:r w:rsidRPr="008D5159">
        <w:rPr>
          <w:rFonts w:ascii="Verdana" w:eastAsia="Verdana" w:hAnsi="Verdana" w:cs="Verdana"/>
          <w:sz w:val="20"/>
          <w:szCs w:val="20"/>
        </w:rPr>
        <w:t>[…]</w:t>
      </w:r>
    </w:p>
    <w:p w14:paraId="0FFF4B3C" w14:textId="77777777" w:rsidR="008D5159" w:rsidRPr="008D5159" w:rsidRDefault="008D5159" w:rsidP="00E0335E">
      <w:pPr>
        <w:spacing w:after="0" w:line="240" w:lineRule="auto"/>
        <w:jc w:val="both"/>
        <w:rPr>
          <w:rFonts w:ascii="Verdana" w:eastAsia="Verdana" w:hAnsi="Verdana" w:cs="Verdana"/>
          <w:sz w:val="20"/>
          <w:szCs w:val="20"/>
        </w:rPr>
      </w:pPr>
      <w:r w:rsidRPr="008D5159">
        <w:rPr>
          <w:rFonts w:ascii="Verdana" w:eastAsia="Verdana" w:hAnsi="Verdana" w:cs="Verdana"/>
          <w:sz w:val="20"/>
          <w:szCs w:val="20"/>
        </w:rPr>
        <w:t>En virtud de ello, los convenios no se estructuran bajo una lógica de intercambio oneroso ni de selección de contratistas, sino bajo un esquema de cooperación institucional, lo que impide trasladar de manera automática las reglas del Estatuto General de Contratación de la Administración Pública. En consecuencia, los convenios interadministrativos no se someten, en principio, al régimen contractual previsto en la Ley 80 de 1993 y la Ley 1150 de 2007, pues su finalidad no es contratar bienes, obras o servicios con terceros, sino coordinar esfuerzos entre entidades públicas para el cumplimiento de funciones estatales. La aplicación del Estatuto General de Contratación solo procede de manera supletoria, en la medida en que exista una verdadera laguna o falta de regulación normativa y/o convencional. Mientras ello no ocurra, el convenio se rige por sus propias cláusulas y por los principios de colaboración, coordinación y eficiencia administrativa que orientan la actuación interinstitucional.</w:t>
      </w:r>
    </w:p>
    <w:p w14:paraId="3D09060C" w14:textId="77777777" w:rsidR="008D5159" w:rsidRPr="00FE5289" w:rsidRDefault="008D5159" w:rsidP="00E0335E">
      <w:pPr>
        <w:spacing w:after="0" w:line="240" w:lineRule="auto"/>
        <w:jc w:val="both"/>
        <w:rPr>
          <w:rFonts w:ascii="Verdana" w:eastAsia="Verdana" w:hAnsi="Verdana" w:cs="Verdana"/>
          <w:b/>
          <w:bCs/>
        </w:rPr>
      </w:pPr>
    </w:p>
    <w:p w14:paraId="6266F22D" w14:textId="77777777" w:rsidR="00FF72B0"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 CONVENIOS INTERADMINISTRATIVOS – Régimen aplicable – Aplicación supletoria del EGCAP – Potestades unilaterales </w:t>
      </w:r>
    </w:p>
    <w:p w14:paraId="2C00EB73" w14:textId="77777777" w:rsidR="00FF72B0" w:rsidRPr="00ED316B" w:rsidRDefault="00FF72B0" w:rsidP="00E0335E">
      <w:pPr>
        <w:spacing w:after="0" w:line="240" w:lineRule="auto"/>
        <w:jc w:val="both"/>
        <w:rPr>
          <w:rFonts w:ascii="Verdana" w:eastAsia="Verdana" w:hAnsi="Verdana" w:cs="Verdana"/>
          <w:sz w:val="18"/>
          <w:szCs w:val="18"/>
        </w:rPr>
      </w:pPr>
    </w:p>
    <w:p w14:paraId="70217E32" w14:textId="77777777" w:rsidR="00ED316B" w:rsidRDefault="00ED316B" w:rsidP="00E0335E">
      <w:pPr>
        <w:spacing w:after="0" w:line="240" w:lineRule="auto"/>
        <w:jc w:val="both"/>
        <w:rPr>
          <w:rFonts w:ascii="Verdana" w:eastAsia="Verdana" w:hAnsi="Verdana" w:cs="Verdana"/>
          <w:sz w:val="20"/>
          <w:szCs w:val="20"/>
        </w:rPr>
      </w:pPr>
      <w:r w:rsidRPr="00ED316B">
        <w:rPr>
          <w:rFonts w:ascii="Verdana" w:eastAsia="Verdana" w:hAnsi="Verdana" w:cs="Verdana"/>
          <w:sz w:val="20"/>
          <w:szCs w:val="20"/>
        </w:rPr>
        <w:t xml:space="preserve">En todo caso, es preciso señalar que la denominación de </w:t>
      </w:r>
      <w:r w:rsidRPr="00ED316B">
        <w:rPr>
          <w:rFonts w:ascii="Verdana" w:eastAsia="Verdana" w:hAnsi="Verdana" w:cs="Verdana"/>
          <w:i/>
          <w:iCs/>
          <w:sz w:val="20"/>
          <w:szCs w:val="20"/>
        </w:rPr>
        <w:t>convenio</w:t>
      </w:r>
      <w:r w:rsidRPr="00ED316B">
        <w:rPr>
          <w:rFonts w:ascii="Verdana" w:eastAsia="Verdana" w:hAnsi="Verdana" w:cs="Verdana"/>
          <w:sz w:val="20"/>
          <w:szCs w:val="20"/>
        </w:rPr>
        <w:t xml:space="preserve"> no implica, por sí misma, que se trate de un convenio interadministrativo ni que, en consecuencia, resulte aplicable el EGCAP por parte de la entidad pública que actúa como constituyente. La naturaleza jurídica del negocio no se define por el título del documento, sino por el contenido material de las obligaciones pactadas. En esta línea, habrá convenio interadministrativo cuando las partes actúan como colaboradoras o cooperantes, sin que exista una relación de intercambio propia de los contratos conmutativos, y sin que pueda predicarse la preponderancia de un régimen contractual sobre otro. En estos convenios no se configura un pago por honorarios, administración o remuneración equivalente, pues se entiende que ambas partes aportan recursos, capacidades o actividades para la consecución de los fines comunes establecidos en el instrumento. Por el contrario, los contratos interadministrativos son negocios jurídicos típicamente conmutativos, en los cuales el valor del contrato corresponde al precio de la contraprestación que la entidad contratista debe recibir a cambio del suministro del bien, obra o servicio requerido por la entidad contratante. </w:t>
      </w:r>
    </w:p>
    <w:p w14:paraId="6D45E79E" w14:textId="77777777" w:rsidR="00E0335E" w:rsidRPr="00ED316B" w:rsidRDefault="00E0335E" w:rsidP="00E0335E">
      <w:pPr>
        <w:spacing w:after="0" w:line="240" w:lineRule="auto"/>
        <w:jc w:val="both"/>
        <w:rPr>
          <w:rFonts w:ascii="Verdana" w:eastAsia="Verdana" w:hAnsi="Verdana" w:cs="Verdana"/>
          <w:sz w:val="20"/>
          <w:szCs w:val="20"/>
        </w:rPr>
      </w:pPr>
    </w:p>
    <w:p w14:paraId="4FF32858" w14:textId="77777777" w:rsidR="00ED316B" w:rsidRPr="00ED316B" w:rsidRDefault="00ED316B" w:rsidP="00E0335E">
      <w:pPr>
        <w:spacing w:after="0" w:line="240" w:lineRule="auto"/>
        <w:jc w:val="both"/>
        <w:rPr>
          <w:rFonts w:ascii="Verdana" w:eastAsia="Verdana" w:hAnsi="Verdana" w:cs="Verdana"/>
          <w:sz w:val="20"/>
          <w:szCs w:val="20"/>
        </w:rPr>
      </w:pPr>
      <w:r w:rsidRPr="00ED316B">
        <w:rPr>
          <w:rFonts w:ascii="Verdana" w:eastAsia="Verdana" w:hAnsi="Verdana" w:cs="Verdana"/>
          <w:sz w:val="20"/>
          <w:szCs w:val="20"/>
        </w:rPr>
        <w:lastRenderedPageBreak/>
        <w:t>Teniendo en cuenta esta precisión, cuando el convenio no contiene cláusulas de liquidación ni procedimientos para exigir el reintegro de recursos no ejecutados, la entidad estatal no puede acudir de manera automática a las potestades unilaterales propias de los contratos estatales ni al procedimiento sancionatorio del artículo 86 de la Ley 1474 de 2011. En estos instrumentos asociativos, las facultades de dirección, control o terminación provienen exclusivamente de lo que las partes hayan definido en el convenio, por lo que cualquier actuación unilateral debe estar expresamente prevista en el convenio y acompañada del procedimiento acordado para su ejercicio.</w:t>
      </w:r>
    </w:p>
    <w:p w14:paraId="78D8408E" w14:textId="77777777" w:rsidR="00FF72B0" w:rsidRPr="00FE5289" w:rsidRDefault="00FF72B0" w:rsidP="00E0335E">
      <w:pPr>
        <w:spacing w:after="0" w:line="240" w:lineRule="auto"/>
        <w:jc w:val="both"/>
        <w:rPr>
          <w:rFonts w:ascii="Verdana" w:eastAsia="Verdana" w:hAnsi="Verdana" w:cs="Verdana"/>
          <w:b/>
          <w:bCs/>
        </w:rPr>
      </w:pPr>
    </w:p>
    <w:p w14:paraId="74B3C67F" w14:textId="77777777" w:rsidR="00FF72B0"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LIQUIDACIÓN UNILATERAL – Convenios interadministrativos – Procedencia – Pacto expreso </w:t>
      </w:r>
    </w:p>
    <w:p w14:paraId="4B9D3537" w14:textId="77777777" w:rsidR="00FF72B0" w:rsidRPr="00FE5289" w:rsidRDefault="00FF72B0" w:rsidP="00E0335E">
      <w:pPr>
        <w:spacing w:after="0" w:line="240" w:lineRule="auto"/>
        <w:jc w:val="both"/>
        <w:rPr>
          <w:rFonts w:ascii="Verdana" w:eastAsia="Verdana" w:hAnsi="Verdana" w:cs="Verdana"/>
          <w:b/>
          <w:bCs/>
        </w:rPr>
      </w:pPr>
    </w:p>
    <w:p w14:paraId="527D159F" w14:textId="77777777" w:rsidR="005C531B" w:rsidRPr="005C531B" w:rsidRDefault="005C531B" w:rsidP="00E0335E">
      <w:pPr>
        <w:spacing w:after="0" w:line="240" w:lineRule="auto"/>
        <w:jc w:val="both"/>
        <w:rPr>
          <w:rFonts w:ascii="Verdana" w:eastAsia="Verdana" w:hAnsi="Verdana" w:cs="Verdana"/>
          <w:sz w:val="20"/>
          <w:szCs w:val="20"/>
          <w:lang w:val="es-ES_tradnl"/>
        </w:rPr>
      </w:pPr>
      <w:r w:rsidRPr="005C531B">
        <w:rPr>
          <w:rFonts w:ascii="Verdana" w:eastAsia="Verdana" w:hAnsi="Verdana" w:cs="Verdana"/>
          <w:sz w:val="20"/>
          <w:szCs w:val="20"/>
          <w:lang w:val="es-ES_tradnl"/>
        </w:rPr>
        <w:t xml:space="preserve">La Sección Tercera del Consejo de Estado en su momento expresó que tratándose de convenios entre entidades públicas, en un pronunciamiento, indicó que la liquidación unilateral no resulta procedente en aquellos convenios en los que las entidades tienen la “finalidad asociativa”, actuando en pie de igualdad, como sucede en los regulado en el artículo 95 de la Ley 489 de 1998, pues “[…] de obrar en el pacto una finalidad asociativa entre las partes, ninguna de estas podría imponerle a la otra su propio balance de cuentas, porque la situación de paridad entre ambas entidades públicas asociadas en virtud el convenio, es incompatible con el ejercicio de prerrogativas como la liquidación unilateral, […]”. </w:t>
      </w:r>
      <w:r w:rsidRPr="005C531B">
        <w:rPr>
          <w:rFonts w:ascii="Verdana" w:eastAsia="Verdana" w:hAnsi="Verdana" w:cs="Verdana"/>
          <w:sz w:val="20"/>
          <w:szCs w:val="20"/>
        </w:rPr>
        <w:t>En la misma providencia, el Consejo de Estado</w:t>
      </w:r>
      <w:r w:rsidRPr="005C531B">
        <w:rPr>
          <w:rFonts w:ascii="Verdana" w:eastAsia="Verdana" w:hAnsi="Verdana" w:cs="Verdana"/>
          <w:sz w:val="20"/>
          <w:szCs w:val="20"/>
          <w:lang w:val="es-ES_tradnl"/>
        </w:rPr>
        <w:t xml:space="preserve"> </w:t>
      </w:r>
      <w:r w:rsidRPr="005C531B">
        <w:rPr>
          <w:rFonts w:ascii="Verdana" w:eastAsia="Verdana" w:hAnsi="Verdana" w:cs="Verdana"/>
          <w:sz w:val="20"/>
          <w:szCs w:val="20"/>
        </w:rPr>
        <w:t>aclaró que, cuando el contrato interadministrativo no responde a una finalidad asociativa sino a una verdadera relación conmutativa —en virtud de la cual una entidad estatal presta un servicio a la otra o le suministra un bien—, la liquidación unilateral sí resulta procedente.</w:t>
      </w:r>
      <w:r w:rsidRPr="005C531B">
        <w:rPr>
          <w:rFonts w:ascii="Verdana" w:eastAsia="Verdana" w:hAnsi="Verdana" w:cs="Verdana"/>
          <w:sz w:val="20"/>
          <w:szCs w:val="20"/>
          <w:lang w:val="es-ES_tradnl"/>
        </w:rPr>
        <w:t xml:space="preserve"> En otras palabras, la tesis que se ha venido sosteniendo es que, en los contratos interadministrativos, al fundarse en una relación conmutativa, en la que una entidad presta un servicio o suministra un bien a la otra, se reconoce que es posible la liquidación unilateral.</w:t>
      </w:r>
    </w:p>
    <w:p w14:paraId="23B36648" w14:textId="77777777" w:rsidR="005C531B" w:rsidRPr="005C531B" w:rsidRDefault="005C531B" w:rsidP="00E0335E">
      <w:pPr>
        <w:spacing w:after="0" w:line="240" w:lineRule="auto"/>
        <w:jc w:val="both"/>
        <w:rPr>
          <w:rFonts w:ascii="Verdana" w:eastAsia="Verdana" w:hAnsi="Verdana" w:cs="Verdana"/>
          <w:sz w:val="20"/>
          <w:szCs w:val="20"/>
          <w:lang w:val="es-ES_tradnl"/>
        </w:rPr>
      </w:pPr>
      <w:r w:rsidRPr="005C531B">
        <w:rPr>
          <w:rFonts w:ascii="Verdana" w:eastAsia="Verdana" w:hAnsi="Verdana" w:cs="Verdana"/>
          <w:sz w:val="20"/>
          <w:szCs w:val="20"/>
          <w:lang w:val="es-ES_tradnl"/>
        </w:rPr>
        <w:t>[…]</w:t>
      </w:r>
    </w:p>
    <w:p w14:paraId="346792C0" w14:textId="77777777" w:rsidR="005C531B" w:rsidRPr="005C531B" w:rsidRDefault="005C531B" w:rsidP="00E0335E">
      <w:pPr>
        <w:spacing w:after="0" w:line="240" w:lineRule="auto"/>
        <w:jc w:val="both"/>
        <w:rPr>
          <w:rFonts w:ascii="Verdana" w:eastAsia="Verdana" w:hAnsi="Verdana" w:cs="Verdana"/>
          <w:sz w:val="20"/>
          <w:szCs w:val="20"/>
        </w:rPr>
      </w:pPr>
      <w:r w:rsidRPr="005C531B">
        <w:rPr>
          <w:rFonts w:ascii="Verdana" w:eastAsia="Verdana" w:hAnsi="Verdana" w:cs="Verdana"/>
          <w:sz w:val="20"/>
          <w:szCs w:val="20"/>
          <w:lang w:val="es-ES_tradnl"/>
        </w:rPr>
        <w:t xml:space="preserve">Teniendo en cuenta la postura jurisprudencial, el Consejo de Estado ha expresado en varias sentencias que </w:t>
      </w:r>
      <w:r w:rsidRPr="005C531B">
        <w:rPr>
          <w:rFonts w:ascii="Verdana" w:eastAsia="Verdana" w:hAnsi="Verdana" w:cs="Verdana"/>
          <w:sz w:val="20"/>
          <w:szCs w:val="20"/>
        </w:rPr>
        <w:t>los convenios interadministrativos no están sometidos a las normas de la Ley 80 de 1993 sobre liquidación de los contratos. En tal sentido, se ha señalado que no es procedente la liquidación bilateral y unilateral del contrato, salvo que se haya pactado por parte de las entidades cooperantes, pues no es aplicable en principio el EGCAP. De esta manera, no es procedente que una entidad estatal liquide unilateralmente un convenio interadministrativo para exigir el reintegro de saldos o recursos no ejecutados cuando no existe pacto expreso en la minuta contractual que habilite dicha actuación, ni puede acudirse al procedimiento administrativo sancionatorio del artículo 86 de la Ley 1474 de 2011, pues estas son reglas del Estatuto General de Contratación de la Administración Pública (EGCAP). En este aspecto, los convenios interadministrativos no están sujetos a las reglas de liquidación bilateral o unilateral previstas en la Ley 80 de 1993, salvo que las entidades cooperantes hayan pactado expresamente tales mecanismos en ejercicio de su autonomía de la voluntad.</w:t>
      </w:r>
    </w:p>
    <w:p w14:paraId="0B4573AF" w14:textId="77777777" w:rsidR="00FF72B0" w:rsidRPr="00FE5289" w:rsidRDefault="00FF72B0" w:rsidP="00E0335E">
      <w:pPr>
        <w:spacing w:after="0" w:line="240" w:lineRule="auto"/>
        <w:jc w:val="both"/>
        <w:rPr>
          <w:rFonts w:ascii="Verdana" w:eastAsia="Verdana" w:hAnsi="Verdana" w:cs="Verdana"/>
          <w:b/>
          <w:bCs/>
        </w:rPr>
      </w:pPr>
    </w:p>
    <w:p w14:paraId="57CDB03D" w14:textId="77777777" w:rsidR="00FF72B0"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lastRenderedPageBreak/>
        <w:t xml:space="preserve">TÍTULO EJECUTIVO – Liquidación unilateral – Título ejecutivo complejo – Conciliación extrajudicial </w:t>
      </w:r>
    </w:p>
    <w:p w14:paraId="52A8B69A" w14:textId="77777777" w:rsidR="00FF72B0" w:rsidRPr="00FE5289" w:rsidRDefault="00FF72B0" w:rsidP="00E0335E">
      <w:pPr>
        <w:spacing w:after="0" w:line="240" w:lineRule="auto"/>
        <w:jc w:val="both"/>
        <w:rPr>
          <w:rFonts w:ascii="Verdana" w:eastAsia="Verdana" w:hAnsi="Verdana" w:cs="Verdana"/>
          <w:b/>
          <w:bCs/>
        </w:rPr>
      </w:pPr>
    </w:p>
    <w:p w14:paraId="17B8CF1D" w14:textId="77777777" w:rsidR="0005427E" w:rsidRDefault="0005427E" w:rsidP="00E0335E">
      <w:pPr>
        <w:spacing w:after="0" w:line="240" w:lineRule="auto"/>
        <w:jc w:val="both"/>
        <w:rPr>
          <w:rFonts w:ascii="Verdana" w:eastAsia="Verdana" w:hAnsi="Verdana" w:cs="Verdana"/>
          <w:sz w:val="20"/>
          <w:szCs w:val="20"/>
        </w:rPr>
      </w:pPr>
      <w:r w:rsidRPr="00ED316B">
        <w:rPr>
          <w:rFonts w:ascii="Verdana" w:eastAsia="Verdana" w:hAnsi="Verdana" w:cs="Verdana"/>
          <w:sz w:val="20"/>
          <w:szCs w:val="20"/>
        </w:rPr>
        <w:t>Por lo tanto, un acto administrativo de “liquidación unilateral” dictado sin habilitación convencional no constituye título ejecutivo suficiente para adelantar cobro coactivo para recuperar los recursos no ejecutados, pues carece de fundamento en el régimen aplicable a los convenios interadministrativos. Solo cuando las partes han pactado cláusulas que permitan a una de ellas ejercer potestades unilaterales —incluyendo la determinación de saldos a reintegrar y el procedimiento para hacerlos exigibles— dicho acto podría tener efectos vinculantes y eventualmente servir como título ejecutivo, siempre que se haya seguido el procedimiento acordado. En estos términos, si las partes no estipularon cláusulas de liquidación, mecanismos de reintegro o procedimientos para hacer efectivas potestades unilaterales -imposición de multas o cláusula penal-, la entidad estatal carece de competencia para adelantar actuaciones unilaterales y, por tanto, no puede generar un acto administrativo que constituya título ejecutivo suficiente para cobro coactivo.</w:t>
      </w:r>
    </w:p>
    <w:p w14:paraId="33F23DEE" w14:textId="77777777" w:rsidR="00ED316B" w:rsidRPr="00ED316B" w:rsidRDefault="00ED316B" w:rsidP="00E0335E">
      <w:pPr>
        <w:spacing w:after="0" w:line="240" w:lineRule="auto"/>
        <w:jc w:val="both"/>
        <w:rPr>
          <w:rFonts w:ascii="Verdana" w:eastAsia="Verdana" w:hAnsi="Verdana" w:cs="Verdana"/>
          <w:sz w:val="20"/>
          <w:szCs w:val="20"/>
        </w:rPr>
      </w:pPr>
    </w:p>
    <w:p w14:paraId="27EE4143" w14:textId="77777777" w:rsidR="0005427E" w:rsidRPr="00ED316B" w:rsidRDefault="0005427E" w:rsidP="00E0335E">
      <w:pPr>
        <w:spacing w:after="0" w:line="240" w:lineRule="auto"/>
        <w:jc w:val="both"/>
        <w:rPr>
          <w:rFonts w:ascii="Verdana" w:eastAsia="Verdana" w:hAnsi="Verdana" w:cs="Verdana"/>
          <w:sz w:val="20"/>
          <w:szCs w:val="20"/>
        </w:rPr>
      </w:pPr>
      <w:r w:rsidRPr="00ED316B">
        <w:rPr>
          <w:rFonts w:ascii="Verdana" w:eastAsia="Verdana" w:hAnsi="Verdana" w:cs="Verdana"/>
          <w:sz w:val="20"/>
          <w:szCs w:val="20"/>
        </w:rPr>
        <w:t>Lo anterior no significa, sin embargo, que ante la imposibilidad de expedir dicho acto la entidad aportante quede desprovista de todo instrumento de recuperación. Conforme al artículo 297 del CPACA, prestan mérito ejecutivo las obligaciones claras, expresas y actualmente exigibles que consten en documentos provenientes del deudor o emanados de la actuación contractual. En esa medida, el convenio, sus modificaciones, las actas de recibo, los informes de supervisión y, en su caso, el acta de liquidación bilateral parcial puede conformar un título ejecutivo complejo, siempre que de su lectura conjunta se desprenda una obligación de esa naturaleza a cargo de la entidad ejecutora. La calificación corresponde al juez del contrato y depende del contenido concreto de las estipulaciones y de los soportes de ejecución, sin que pueda anticiparse por vía consultiva.</w:t>
      </w:r>
    </w:p>
    <w:p w14:paraId="0A213C5E" w14:textId="77777777" w:rsidR="00FF72B0" w:rsidRPr="00FE5289" w:rsidRDefault="00FF72B0" w:rsidP="00E0335E">
      <w:pPr>
        <w:spacing w:after="0" w:line="240" w:lineRule="auto"/>
        <w:jc w:val="both"/>
        <w:rPr>
          <w:rFonts w:ascii="Verdana" w:eastAsia="Verdana" w:hAnsi="Verdana" w:cs="Verdana"/>
          <w:b/>
          <w:bCs/>
        </w:rPr>
      </w:pPr>
    </w:p>
    <w:p w14:paraId="0510DD42" w14:textId="77777777" w:rsidR="00FF72B0"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CADUCIDAD – Cómputo – Artículo 164 del CPACA – Convenios interadministrativos </w:t>
      </w:r>
    </w:p>
    <w:p w14:paraId="1F6DF96F" w14:textId="77777777" w:rsidR="00FF72B0" w:rsidRPr="00283103" w:rsidRDefault="00FF72B0" w:rsidP="00E0335E">
      <w:pPr>
        <w:spacing w:after="0" w:line="240" w:lineRule="auto"/>
        <w:jc w:val="both"/>
        <w:rPr>
          <w:rFonts w:ascii="Verdana" w:eastAsia="Verdana" w:hAnsi="Verdana" w:cs="Verdana"/>
        </w:rPr>
      </w:pPr>
    </w:p>
    <w:p w14:paraId="4DA59701" w14:textId="5E57C5A9" w:rsidR="00283103" w:rsidRPr="00024D50" w:rsidRDefault="00283103" w:rsidP="00E0335E">
      <w:pPr>
        <w:spacing w:after="0" w:line="240" w:lineRule="auto"/>
        <w:jc w:val="both"/>
        <w:rPr>
          <w:rFonts w:ascii="Verdana" w:eastAsia="Verdana" w:hAnsi="Verdana" w:cs="Verdana"/>
          <w:sz w:val="20"/>
          <w:szCs w:val="20"/>
        </w:rPr>
      </w:pPr>
      <w:r w:rsidRPr="00024D50">
        <w:rPr>
          <w:rFonts w:ascii="Verdana" w:eastAsia="Verdana" w:hAnsi="Verdana" w:cs="Verdana"/>
          <w:sz w:val="20"/>
          <w:szCs w:val="20"/>
        </w:rPr>
        <w:t xml:space="preserve">Tratándose de este tipo de convenios, así como de los contratos no sometidos a la Ley 80 de 1993, el cómputo del término de caducidad regulados en el numeral v), literal j), del numeral 2 del artículo 164 del CPACA, debe sujetarse a la forma en que las partes hayan regulado la liquidación en el convenio. Si las partes estipularon únicamente la liquidación bilateral, el término de caducidad se computará desde el vencimiento del plazo pactado o, en su defecto, desde los cuatro meses previstos en el ordinal v), literal j), del numeral 2 del artículo 164 del CPACA. Si estipularon tanto la liquidación bilateral como la unilateral, la caducidad se contará desde el vencimiento del plazo pactado en el contrato y, en su defecto, desde el vencimiento de los dos meses adicionales previstos en la misma norma para realizar la liquidación unilateral. Esta precisión se adopta teniendo en cuenta las disposiciones legales, y en especial, el plazo adicional de los dos meses solo tiene fundamento cuando se haya estipulado la liquidación unilateral y no se </w:t>
      </w:r>
      <w:r w:rsidRPr="00024D50">
        <w:rPr>
          <w:rFonts w:ascii="Verdana" w:eastAsia="Verdana" w:hAnsi="Verdana" w:cs="Verdana"/>
          <w:sz w:val="20"/>
          <w:szCs w:val="20"/>
        </w:rPr>
        <w:lastRenderedPageBreak/>
        <w:t xml:space="preserve">fija un término contractual para hacerla. Ahora bien, cuando el convenio interadministrativo carece de cláusula de liquidación unilateral, la administración no tiene competencia contractual para liquidar de manera unilateral el convenio. En consecuencia, si la liquidación bilateral fracasa, no existe un acto contractual que declare el saldo a favor del Estado ni un título ejecutivo derivado de dicha actuación, por lo que la entidad deberá agotar la conciliación extrajudicial en derecho como requisito de procedibilidad del medio de control de controversias contractuales, conforme al numeral 1 del artículo 161 del CPACA. La presentación de la solicitud suspende el término de caducidad en las condiciones del artículo 21 de la Ley 640 de 2001, esto es, hasta que se logre el acuerdo conciliatorio, se expidan las constancias respectivas o venzan los tres meses siguientes, lo que ocurra primero. Fracasada la conciliación, la controversia deberá someterse al juez del contrato, único competente para declarar el incumplimiento y ordenar el reintegro de los recursos no ejecutados. </w:t>
      </w:r>
    </w:p>
    <w:p w14:paraId="7511E6F8" w14:textId="77777777" w:rsidR="00FF72B0" w:rsidRPr="00FE5289" w:rsidRDefault="00FF72B0" w:rsidP="00E0335E">
      <w:pPr>
        <w:spacing w:after="0" w:line="240" w:lineRule="auto"/>
        <w:jc w:val="both"/>
        <w:rPr>
          <w:rFonts w:ascii="Verdana" w:eastAsia="Verdana" w:hAnsi="Verdana" w:cs="Verdana"/>
          <w:b/>
          <w:bCs/>
        </w:rPr>
      </w:pPr>
    </w:p>
    <w:p w14:paraId="682B1EF0" w14:textId="77777777" w:rsidR="00FF72B0"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POTESTAD SANCIONATORIA CONTRACTUAL – Reserva legal – Multas y cláusula penal – Convenios interadministrativos </w:t>
      </w:r>
    </w:p>
    <w:p w14:paraId="3CA7EF84" w14:textId="77777777" w:rsidR="00FF72B0" w:rsidRPr="008617E9" w:rsidRDefault="00FF72B0" w:rsidP="00E0335E">
      <w:pPr>
        <w:spacing w:after="0" w:line="240" w:lineRule="auto"/>
        <w:jc w:val="both"/>
        <w:rPr>
          <w:rFonts w:ascii="Verdana" w:eastAsia="Verdana" w:hAnsi="Verdana" w:cs="Verdana"/>
          <w:sz w:val="20"/>
          <w:szCs w:val="20"/>
        </w:rPr>
      </w:pPr>
    </w:p>
    <w:p w14:paraId="39AE9483" w14:textId="52970D40" w:rsidR="008617E9" w:rsidRDefault="008617E9" w:rsidP="00E0335E">
      <w:pPr>
        <w:spacing w:after="0" w:line="240" w:lineRule="auto"/>
        <w:jc w:val="both"/>
        <w:rPr>
          <w:rFonts w:ascii="Verdana" w:eastAsia="Verdana" w:hAnsi="Verdana" w:cs="Verdana"/>
          <w:iCs/>
          <w:sz w:val="20"/>
          <w:szCs w:val="20"/>
          <w:lang w:val="es-ES"/>
        </w:rPr>
      </w:pPr>
      <w:r w:rsidRPr="008617E9">
        <w:rPr>
          <w:rFonts w:ascii="Verdana" w:eastAsia="Verdana" w:hAnsi="Verdana" w:cs="Verdana"/>
          <w:iCs/>
          <w:sz w:val="20"/>
          <w:szCs w:val="20"/>
          <w:lang w:val="es-ES"/>
        </w:rPr>
        <w:t xml:space="preserve">En tal sentido, es importante destacar que la cláusula penal es un elemento accidental en los contratos porque se pacta de común acuerdo por las partes, de conformidad con el principio de la autonomía de la voluntad. Al respecto, la doctrina expresa: “La cláusula penal pecuniaria se constituye en una tasación anticipada de perjuicios ocasionados por el incumplimiento del deudor de la obligación principal del contrato […]”. </w:t>
      </w:r>
      <w:r w:rsidRPr="008617E9">
        <w:rPr>
          <w:rFonts w:ascii="Verdana" w:eastAsia="Verdana" w:hAnsi="Verdana" w:cs="Verdana"/>
          <w:sz w:val="20"/>
          <w:szCs w:val="20"/>
          <w:lang w:val="es-ES"/>
        </w:rPr>
        <w:t>Asimismo, el Consejo de Estado plantea que:</w:t>
      </w:r>
      <w:r w:rsidRPr="008617E9">
        <w:rPr>
          <w:rFonts w:ascii="Verdana" w:eastAsia="Verdana" w:hAnsi="Verdana" w:cs="Verdana"/>
          <w:iCs/>
          <w:sz w:val="20"/>
          <w:szCs w:val="20"/>
          <w:lang w:val="es-ES"/>
        </w:rPr>
        <w:t xml:space="preserve"> “Con la imposición y ejecución de la cláusula penal se penaliza al contratista, por el incumplimiento grave del contrato, constituyendo una verdadera indemnización, </w:t>
      </w:r>
      <w:proofErr w:type="gramStart"/>
      <w:r w:rsidRPr="008617E9">
        <w:rPr>
          <w:rFonts w:ascii="Verdana" w:eastAsia="Verdana" w:hAnsi="Verdana" w:cs="Verdana"/>
          <w:iCs/>
          <w:sz w:val="20"/>
          <w:szCs w:val="20"/>
          <w:lang w:val="es-ES"/>
        </w:rPr>
        <w:t>que</w:t>
      </w:r>
      <w:proofErr w:type="gramEnd"/>
      <w:r w:rsidRPr="008617E9">
        <w:rPr>
          <w:rFonts w:ascii="Verdana" w:eastAsia="Verdana" w:hAnsi="Verdana" w:cs="Verdana"/>
          <w:iCs/>
          <w:sz w:val="20"/>
          <w:szCs w:val="20"/>
          <w:lang w:val="es-ES"/>
        </w:rPr>
        <w:t xml:space="preserve"> aunque parcial es definitiva, pues con ella se resarcen los perjuicios, o parte de ellos, a favor de la parte que ha cumplido el negocio”.</w:t>
      </w:r>
    </w:p>
    <w:p w14:paraId="5871778B" w14:textId="77777777" w:rsidR="008617E9" w:rsidRPr="008617E9" w:rsidRDefault="008617E9" w:rsidP="00E0335E">
      <w:pPr>
        <w:spacing w:after="0" w:line="240" w:lineRule="auto"/>
        <w:jc w:val="both"/>
        <w:rPr>
          <w:rFonts w:ascii="Verdana" w:eastAsia="Verdana" w:hAnsi="Verdana" w:cs="Verdana"/>
          <w:iCs/>
          <w:sz w:val="20"/>
          <w:szCs w:val="20"/>
          <w:lang w:val="es-ES"/>
        </w:rPr>
      </w:pPr>
    </w:p>
    <w:p w14:paraId="798433BD" w14:textId="77777777" w:rsidR="008617E9" w:rsidRDefault="008617E9" w:rsidP="00E0335E">
      <w:pPr>
        <w:spacing w:after="0" w:line="240" w:lineRule="auto"/>
        <w:jc w:val="both"/>
        <w:rPr>
          <w:rFonts w:ascii="Verdana" w:eastAsia="Verdana" w:hAnsi="Verdana" w:cs="Verdana"/>
          <w:iCs/>
          <w:sz w:val="20"/>
          <w:szCs w:val="20"/>
          <w:lang w:val="es-ES"/>
        </w:rPr>
      </w:pPr>
      <w:r w:rsidRPr="008617E9">
        <w:rPr>
          <w:rFonts w:ascii="Verdana" w:eastAsia="Verdana" w:hAnsi="Verdana" w:cs="Verdana"/>
          <w:iCs/>
          <w:sz w:val="20"/>
          <w:szCs w:val="20"/>
          <w:lang w:val="es-ES"/>
        </w:rPr>
        <w:t>Por lo tanto, en virtud de la autonomía de la voluntad –artículo 1602 Código Civil–, las partes de un contrato, para procurar el cumplimiento de las obligaciones a su favor, pueden pactar las cláusulas contractuales de apremio y la pena adjudicable a la parte incumplida. Su naturaleza es punitiva y se causan en los eventos en los que se configure un incumplimiento contractual del deudor.</w:t>
      </w:r>
      <w:r w:rsidRPr="008617E9">
        <w:rPr>
          <w:rFonts w:ascii="Verdana" w:eastAsia="Verdana" w:hAnsi="Verdana" w:cs="Verdana"/>
          <w:sz w:val="20"/>
          <w:szCs w:val="20"/>
          <w:lang w:val="es-ES"/>
        </w:rPr>
        <w:t xml:space="preserve"> </w:t>
      </w:r>
      <w:r w:rsidRPr="008617E9">
        <w:rPr>
          <w:rFonts w:ascii="Verdana" w:eastAsia="Verdana" w:hAnsi="Verdana" w:cs="Verdana"/>
          <w:iCs/>
          <w:sz w:val="20"/>
          <w:szCs w:val="20"/>
          <w:lang w:val="es-ES"/>
        </w:rPr>
        <w:t xml:space="preserve">De esta manera, tanto la imposición unilateral de las multas pactadas, como la reclamación de la cláusula penal, ocurre como manifestación de las prerrogativas de control, dirección y coerción que ejerce el Estado ante un incumplimiento por parte de sus contratistas. </w:t>
      </w:r>
    </w:p>
    <w:p w14:paraId="74DC1CC2" w14:textId="77777777" w:rsidR="008617E9" w:rsidRPr="008617E9" w:rsidRDefault="008617E9" w:rsidP="00E0335E">
      <w:pPr>
        <w:spacing w:after="0" w:line="240" w:lineRule="auto"/>
        <w:jc w:val="both"/>
        <w:rPr>
          <w:rFonts w:ascii="Verdana" w:eastAsia="Verdana" w:hAnsi="Verdana" w:cs="Verdana"/>
          <w:iCs/>
          <w:sz w:val="20"/>
          <w:szCs w:val="20"/>
          <w:lang w:val="es-ES"/>
        </w:rPr>
      </w:pPr>
    </w:p>
    <w:p w14:paraId="5FC1C4CE" w14:textId="77777777" w:rsidR="008617E9" w:rsidRPr="008617E9" w:rsidRDefault="008617E9" w:rsidP="00E0335E">
      <w:pPr>
        <w:spacing w:after="0" w:line="240" w:lineRule="auto"/>
        <w:jc w:val="both"/>
        <w:rPr>
          <w:rFonts w:ascii="Verdana" w:eastAsia="Verdana" w:hAnsi="Verdana" w:cs="Verdana"/>
          <w:iCs/>
          <w:sz w:val="20"/>
          <w:szCs w:val="20"/>
          <w:lang w:val="es-ES"/>
        </w:rPr>
      </w:pPr>
      <w:r w:rsidRPr="008617E9">
        <w:rPr>
          <w:rFonts w:ascii="Verdana" w:eastAsia="Verdana" w:hAnsi="Verdana" w:cs="Verdana"/>
          <w:iCs/>
          <w:sz w:val="20"/>
          <w:szCs w:val="20"/>
        </w:rPr>
        <w:t xml:space="preserve">Ahora bien, esa manifestación de prerrogativa presupone la habilitación legal que la Ley 1150 de 2007 y la Ley 1474 de 2011 confieren a las entidades sometidas al EGCAP frente a sus contratistas. En los convenios interadministrativos, en cambio, es necesario distinguir entre la validez del pacto y la forma en que este se hace efectivo. La estipulación de multas o de cláusula penal pecuniaria genera obligaciones accesorias plenamente exigibles entre las partes cooperantes —su fuente es el artículo 1592 del Código Civil y la autonomía de la voluntad—, pero no constituye por sí misma una competencia administrativa para imponerlas mediante acto administrativo. La potestad sancionatoria contractual y el procedimiento del artículo 86 de la Ley 1474 de 2011 son </w:t>
      </w:r>
      <w:r w:rsidRPr="008617E9">
        <w:rPr>
          <w:rFonts w:ascii="Verdana" w:eastAsia="Verdana" w:hAnsi="Verdana" w:cs="Verdana"/>
          <w:iCs/>
          <w:sz w:val="20"/>
          <w:szCs w:val="20"/>
        </w:rPr>
        <w:lastRenderedPageBreak/>
        <w:t>manifestaciones de poder público sometidas a reserva de ley y de competencia reglada, que no pueden crearse ni atribuirse por acuerdo de voluntades, del mismo modo que las cláusulas excepcionales del artículo 14 de la Ley 80 de 1993 solo pueden pactarse allí donde la ley lo autoriza. En consecuencia, la entidad cooperante puede exigir el pago de las sumas pactadas conforme al procedimiento convenido y, ante la renuencia del ejecutor, acudir a la conciliación extrajudicial y a la jurisdicción, pero no puede erigirse en juez de su propia causa frente a otra entidad estatal situada en posición de igualdad. Situación distinta es la de la liquidación pactada, que no comporta el ejercicio de una prerrogativa sancionatoria sino un mecanismo</w:t>
      </w:r>
      <w:r w:rsidRPr="008617E9">
        <w:rPr>
          <w:rFonts w:ascii="Verdana" w:eastAsia="Verdana" w:hAnsi="Verdana" w:cs="Verdana"/>
          <w:b/>
          <w:bCs/>
          <w:iCs/>
          <w:sz w:val="20"/>
          <w:szCs w:val="20"/>
        </w:rPr>
        <w:t xml:space="preserve"> </w:t>
      </w:r>
      <w:r w:rsidRPr="008617E9">
        <w:rPr>
          <w:rFonts w:ascii="Verdana" w:eastAsia="Verdana" w:hAnsi="Verdana" w:cs="Verdana"/>
          <w:iCs/>
          <w:sz w:val="20"/>
          <w:szCs w:val="20"/>
        </w:rPr>
        <w:t>convencional de cierre y determinación del balance final del negocio.</w:t>
      </w:r>
    </w:p>
    <w:p w14:paraId="39D4C5F2" w14:textId="77777777" w:rsidR="00FF72B0" w:rsidRPr="008617E9" w:rsidRDefault="00FF72B0" w:rsidP="00E0335E">
      <w:pPr>
        <w:spacing w:after="0" w:line="240" w:lineRule="auto"/>
        <w:jc w:val="both"/>
        <w:rPr>
          <w:rFonts w:ascii="Verdana" w:eastAsia="Verdana" w:hAnsi="Verdana" w:cs="Verdana"/>
          <w:b/>
          <w:bCs/>
          <w:lang w:val="es-ES"/>
        </w:rPr>
      </w:pPr>
    </w:p>
    <w:p w14:paraId="17F80337" w14:textId="77777777" w:rsidR="00FF72B0"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MULTAS Y CLÁUSULA PENAL – Competencia temporal – Cambio de línea doctrinal </w:t>
      </w:r>
    </w:p>
    <w:p w14:paraId="392BC2C0" w14:textId="77777777" w:rsidR="00FF72B0" w:rsidRPr="0070101F" w:rsidRDefault="00FF72B0" w:rsidP="00E0335E">
      <w:pPr>
        <w:spacing w:after="0" w:line="240" w:lineRule="auto"/>
        <w:jc w:val="both"/>
        <w:rPr>
          <w:rFonts w:ascii="Verdana" w:eastAsia="Verdana" w:hAnsi="Verdana" w:cs="Verdana"/>
          <w:b/>
          <w:bCs/>
          <w:sz w:val="20"/>
          <w:szCs w:val="20"/>
        </w:rPr>
      </w:pPr>
    </w:p>
    <w:p w14:paraId="73FACCED" w14:textId="77777777" w:rsidR="000507EB" w:rsidRPr="0070101F" w:rsidRDefault="000507EB" w:rsidP="00E0335E">
      <w:pPr>
        <w:spacing w:after="0" w:line="240" w:lineRule="auto"/>
        <w:jc w:val="both"/>
        <w:rPr>
          <w:rFonts w:ascii="Verdana" w:eastAsia="Verdana" w:hAnsi="Verdana" w:cs="Verdana"/>
          <w:iCs/>
          <w:sz w:val="20"/>
          <w:szCs w:val="20"/>
          <w:lang w:val="es-ES"/>
        </w:rPr>
      </w:pPr>
      <w:r w:rsidRPr="0070101F">
        <w:rPr>
          <w:rFonts w:ascii="Verdana" w:eastAsia="Verdana" w:hAnsi="Verdana" w:cs="Verdana"/>
          <w:iCs/>
          <w:sz w:val="20"/>
          <w:szCs w:val="20"/>
        </w:rPr>
        <w:t>En cuanto a la competencia temporal para la imposición de sanciones por incumplimientos contractuales, esta no se determina por la denominación de la medida, sino por su naturaleza jurídica y por la función que cumple dentro de la relación contractual. En este sentido, la multa debe imponerse durante la ejecución del convenio, en tanto constituye un mecanismo de coerción orientado a conminar al cooperante al cumplimiento oportuno de sus obligaciones. Su finalidad es esencialmente preventiva y correctiva, por lo que solo resulta procedente mientras el convenio se encuentra vigente y en curso de ejecución. Por su parte, la cláusula penal pecuniaria, dada su naturaleza sancionatoria y/o indemnizatoria, puede hacerse efectiva incluso una vez finalizada la relación contractual. Esta facultad se extiende hasta el plazo previsto para la liquidación del convenio interadministrativo, etapa en la cual la entidad puede determinar y cuantificar los perjuicios derivados del incumplimiento, siempre que así se haya estipulado en el instrumento contractual. Respecto de los contratos estatales sometidos al EGCAP, esta postura implica abandonar la tesis sobre competencia temporal contenida en los conceptos C-432 del 27 de julio de 2020, C-646 del 9 de noviembre de 2020, C-329 del 7 de septiembre de 2023 y C-200 del 22 de julio de 2024, conforme a la cual, con fundamento en el artículo 17 de la Ley 1150 de 2007, la administración solo podía imponer multas y hacer efectiva la cláusula penal mientras estuviera pendiente la ejecución de las obligaciones del contratista. Tal lectura no se desprende del texto de la norma, que no condiciona la imposición de estas medidas al plazo de ejecución del contrato, y resulta incompatible con la finalidad indemnizatoria de la cláusula penal, cuya cuantificación solo puede realizarse una vez conocido el alcance definitivo del incumplimiento. En su lugar, se adopta el criterio según el cual el límite temporal se determina por la naturaleza de la medida y por el término de que dispone la administración para liquidar el negocio jurídico</w:t>
      </w:r>
      <w:r w:rsidRPr="0070101F">
        <w:rPr>
          <w:rFonts w:ascii="Verdana" w:eastAsia="Verdana" w:hAnsi="Verdana" w:cs="Verdana"/>
          <w:iCs/>
          <w:sz w:val="20"/>
          <w:szCs w:val="20"/>
          <w:lang w:val="es-ES"/>
        </w:rPr>
        <w:t>.</w:t>
      </w:r>
    </w:p>
    <w:p w14:paraId="6D337497" w14:textId="77777777" w:rsidR="000507EB" w:rsidRPr="0070101F" w:rsidRDefault="000507EB" w:rsidP="00E0335E">
      <w:pPr>
        <w:spacing w:after="0" w:line="240" w:lineRule="auto"/>
        <w:jc w:val="both"/>
        <w:rPr>
          <w:rFonts w:ascii="Verdana" w:eastAsia="Verdana" w:hAnsi="Verdana" w:cs="Verdana"/>
          <w:iCs/>
          <w:sz w:val="20"/>
          <w:szCs w:val="20"/>
        </w:rPr>
      </w:pPr>
    </w:p>
    <w:p w14:paraId="77948DCA" w14:textId="50E0C977" w:rsidR="000507EB" w:rsidRPr="0070101F" w:rsidRDefault="000507EB" w:rsidP="00E0335E">
      <w:pPr>
        <w:spacing w:after="0" w:line="240" w:lineRule="auto"/>
        <w:jc w:val="both"/>
        <w:rPr>
          <w:rFonts w:ascii="Verdana" w:eastAsia="Verdana" w:hAnsi="Verdana" w:cs="Verdana"/>
          <w:iCs/>
          <w:sz w:val="20"/>
          <w:szCs w:val="20"/>
        </w:rPr>
      </w:pPr>
      <w:r w:rsidRPr="0070101F">
        <w:rPr>
          <w:rFonts w:ascii="Verdana" w:eastAsia="Verdana" w:hAnsi="Verdana" w:cs="Verdana"/>
          <w:iCs/>
          <w:sz w:val="20"/>
          <w:szCs w:val="20"/>
        </w:rPr>
        <w:t xml:space="preserve">Como lo ha expresado el Consejo de Estado con respecto a estas cláusulas, resulta pertinente precisar que la potestad sancionatoria debe ejercerse de acuerdo con el tipo de medida a imponer, a la culminación de la relación negocial o la fecha prevista para la liquidación del negocio jurídico. Esto permite que, en el balance financiero del acta de </w:t>
      </w:r>
      <w:r w:rsidRPr="0070101F">
        <w:rPr>
          <w:rFonts w:ascii="Verdana" w:eastAsia="Verdana" w:hAnsi="Verdana" w:cs="Verdana"/>
          <w:iCs/>
          <w:sz w:val="20"/>
          <w:szCs w:val="20"/>
        </w:rPr>
        <w:lastRenderedPageBreak/>
        <w:t xml:space="preserve">liquidación, se hagan los cruces y/o compensaciones que correspondan, de acuerdo con las sanciones impuestas en el proceso sancionatorio. </w:t>
      </w:r>
    </w:p>
    <w:p w14:paraId="15C7EF29" w14:textId="77777777" w:rsidR="00FF72B0" w:rsidRPr="00FE5289" w:rsidRDefault="00FF72B0" w:rsidP="00E0335E">
      <w:pPr>
        <w:spacing w:after="0" w:line="240" w:lineRule="auto"/>
        <w:jc w:val="both"/>
        <w:rPr>
          <w:rFonts w:ascii="Verdana" w:eastAsia="Verdana" w:hAnsi="Verdana" w:cs="Verdana"/>
          <w:b/>
          <w:bCs/>
        </w:rPr>
      </w:pPr>
    </w:p>
    <w:p w14:paraId="204AF217" w14:textId="77777777" w:rsidR="00FE5289"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PROCEDIMIENTO SANCIONATORIO Y LIQUIDACIÓN – Concurrencia – Inexistencia de prejudicialidad – Debido proceso </w:t>
      </w:r>
    </w:p>
    <w:p w14:paraId="12DC3220" w14:textId="77777777" w:rsidR="00FE5289" w:rsidRPr="00312AF3" w:rsidRDefault="00FE5289" w:rsidP="00E0335E">
      <w:pPr>
        <w:spacing w:after="0" w:line="240" w:lineRule="auto"/>
        <w:jc w:val="both"/>
        <w:rPr>
          <w:rFonts w:ascii="Verdana" w:eastAsia="Verdana" w:hAnsi="Verdana" w:cs="Verdana"/>
          <w:sz w:val="20"/>
          <w:szCs w:val="20"/>
        </w:rPr>
      </w:pPr>
    </w:p>
    <w:p w14:paraId="47CC1166" w14:textId="77777777" w:rsidR="00312AF3" w:rsidRPr="00312AF3" w:rsidRDefault="00312AF3" w:rsidP="00E0335E">
      <w:pPr>
        <w:spacing w:after="0" w:line="240" w:lineRule="auto"/>
        <w:jc w:val="both"/>
        <w:rPr>
          <w:rFonts w:ascii="Verdana" w:eastAsia="Verdana" w:hAnsi="Verdana" w:cs="Verdana"/>
          <w:sz w:val="20"/>
          <w:szCs w:val="20"/>
        </w:rPr>
      </w:pPr>
      <w:r w:rsidRPr="00312AF3">
        <w:rPr>
          <w:rFonts w:ascii="Verdana" w:eastAsia="Verdana" w:hAnsi="Verdana" w:cs="Verdana"/>
          <w:sz w:val="20"/>
          <w:szCs w:val="20"/>
        </w:rPr>
        <w:t>Tratándose de contratos sometidos al EGCAP, donde ambas actuaciones sí resultan procedentes, no existe prejudicialidad ni orden de prelación entre ellas. El procedimiento sancionatorio y el trámite de liquidación persiguen finalidades distintas —declarar la responsabilidad contractual e imponer la consecuencia patrimonial, el primero; determinar el estado final de cuentas del negocio, el segundo— y pueden adelantarse de manera simultánea, sin que la culminación de aquel constituya presupuesto de este. Antes bien, el ejercicio simultáneo resulta funcional, pues permite incorporar al balance financiero de la liquidación los cruces y compensaciones derivados de las sanciones impuestas.</w:t>
      </w:r>
    </w:p>
    <w:p w14:paraId="1168C1C9" w14:textId="77777777" w:rsidR="00312AF3" w:rsidRPr="00312AF3" w:rsidRDefault="00312AF3" w:rsidP="00E0335E">
      <w:pPr>
        <w:spacing w:after="0" w:line="240" w:lineRule="auto"/>
        <w:jc w:val="both"/>
        <w:rPr>
          <w:rFonts w:ascii="Verdana" w:eastAsia="Verdana" w:hAnsi="Verdana" w:cs="Verdana"/>
          <w:sz w:val="20"/>
          <w:szCs w:val="20"/>
        </w:rPr>
      </w:pPr>
    </w:p>
    <w:p w14:paraId="7AC461CC" w14:textId="77777777" w:rsidR="00312AF3" w:rsidRPr="00312AF3" w:rsidRDefault="00312AF3" w:rsidP="00E0335E">
      <w:pPr>
        <w:spacing w:after="0" w:line="240" w:lineRule="auto"/>
        <w:jc w:val="both"/>
        <w:rPr>
          <w:rFonts w:ascii="Verdana" w:eastAsia="Verdana" w:hAnsi="Verdana" w:cs="Verdana"/>
          <w:sz w:val="20"/>
          <w:szCs w:val="20"/>
        </w:rPr>
      </w:pPr>
      <w:r w:rsidRPr="00312AF3">
        <w:rPr>
          <w:rFonts w:ascii="Verdana" w:eastAsia="Verdana" w:hAnsi="Verdana" w:cs="Verdana"/>
          <w:sz w:val="20"/>
          <w:szCs w:val="20"/>
        </w:rPr>
        <w:t>Tampoco el inicio del procedimiento sancionatorio suspende los términos previstos en el artículo 11 de la Ley 1150 de 2007. La suspensión de términos de competencia requiere consagración legal expresa, y ni dicha norma ni el artículo 86 de la Ley 1474 de 2011 la establecen; a ello se suma que las reglas sobre pérdida de competencia son de interpretación restrictiva, en cuanto delimitan el ejercicio de potestades públicas. En consecuencia, si el término para liquidar unilateralmente expira mientras el procedimiento sancionatorio se encuentra en curso, la competencia para liquidar se extingue conforme a las reglas legales, sin que se entienda prorrogada por la actuación en trámite, y el interesado podrá solicitar la liquidación judicial en los términos del artículo 141 del CPACA.</w:t>
      </w:r>
    </w:p>
    <w:p w14:paraId="6BAF08C3" w14:textId="77777777" w:rsidR="00312AF3" w:rsidRPr="00FE5289" w:rsidRDefault="00312AF3" w:rsidP="00E0335E">
      <w:pPr>
        <w:spacing w:after="0" w:line="240" w:lineRule="auto"/>
        <w:jc w:val="both"/>
        <w:rPr>
          <w:rFonts w:ascii="Verdana" w:eastAsia="Verdana" w:hAnsi="Verdana" w:cs="Verdana"/>
          <w:b/>
          <w:bCs/>
        </w:rPr>
      </w:pPr>
    </w:p>
    <w:p w14:paraId="59037B19" w14:textId="77777777" w:rsidR="00FE5289"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DECLARATORIA DE SINIESTRO – Improcedencia – Convenios interadministrativos – Reclamación ante la aseguradora </w:t>
      </w:r>
    </w:p>
    <w:p w14:paraId="2293EBED" w14:textId="77777777" w:rsidR="00FE5289" w:rsidRPr="009C517D" w:rsidRDefault="00FE5289" w:rsidP="00E0335E">
      <w:pPr>
        <w:spacing w:after="0" w:line="240" w:lineRule="auto"/>
        <w:jc w:val="both"/>
        <w:rPr>
          <w:rFonts w:ascii="Verdana" w:eastAsia="Verdana" w:hAnsi="Verdana" w:cs="Verdana"/>
          <w:sz w:val="20"/>
          <w:szCs w:val="20"/>
        </w:rPr>
      </w:pPr>
    </w:p>
    <w:p w14:paraId="75B339FC" w14:textId="58870BE9" w:rsidR="009C517D" w:rsidRDefault="009C517D" w:rsidP="00E0335E">
      <w:pPr>
        <w:spacing w:after="0" w:line="240" w:lineRule="auto"/>
        <w:jc w:val="both"/>
        <w:rPr>
          <w:rFonts w:ascii="Verdana" w:eastAsia="Verdana" w:hAnsi="Verdana" w:cs="Verdana"/>
          <w:sz w:val="20"/>
          <w:szCs w:val="20"/>
        </w:rPr>
      </w:pPr>
      <w:r w:rsidRPr="009C517D">
        <w:rPr>
          <w:rFonts w:ascii="Verdana" w:eastAsia="Verdana" w:hAnsi="Verdana" w:cs="Verdana"/>
          <w:sz w:val="20"/>
          <w:szCs w:val="20"/>
        </w:rPr>
        <w:t xml:space="preserve">En este contexto, aunque la entidad constate un incumplimiento en la etapa </w:t>
      </w:r>
      <w:proofErr w:type="spellStart"/>
      <w:r w:rsidRPr="009C517D">
        <w:rPr>
          <w:rFonts w:ascii="Verdana" w:eastAsia="Verdana" w:hAnsi="Verdana" w:cs="Verdana"/>
          <w:sz w:val="20"/>
          <w:szCs w:val="20"/>
        </w:rPr>
        <w:t>postcontractual</w:t>
      </w:r>
      <w:proofErr w:type="spellEnd"/>
      <w:r w:rsidRPr="009C517D">
        <w:rPr>
          <w:rFonts w:ascii="Verdana" w:eastAsia="Verdana" w:hAnsi="Verdana" w:cs="Verdana"/>
          <w:sz w:val="20"/>
          <w:szCs w:val="20"/>
        </w:rPr>
        <w:t xml:space="preserve"> —como la renuencia o mora en devolver recursos no ejecutados— ello no habilita por sí solo la declaratoria del siniestro, pues dicha facultad no surge de la ley en el ámbito de los convenios interadministrativos. La competencia del artículo 7 de la Ley 1150 de 2007 para declarar el siniestro es una potestad exclusiva de la administración en los contratos estatales sometidos al EGCAP y, conforme a lo expuesto en el aparte </w:t>
      </w:r>
      <w:proofErr w:type="spellStart"/>
      <w:r w:rsidRPr="009C517D">
        <w:rPr>
          <w:rFonts w:ascii="Verdana" w:eastAsia="Verdana" w:hAnsi="Verdana" w:cs="Verdana"/>
          <w:sz w:val="20"/>
          <w:szCs w:val="20"/>
        </w:rPr>
        <w:t>iii</w:t>
      </w:r>
      <w:proofErr w:type="spellEnd"/>
      <w:r w:rsidRPr="009C517D">
        <w:rPr>
          <w:rFonts w:ascii="Verdana" w:eastAsia="Verdana" w:hAnsi="Verdana" w:cs="Verdana"/>
          <w:sz w:val="20"/>
          <w:szCs w:val="20"/>
        </w:rPr>
        <w:t xml:space="preserve">, no puede extenderse a los convenios por vía de aplicación supletoria ni constituirse mediante estipulación de las partes, dada la posición de igualdad en que estas concurren. En consecuencia, cualquier actuación frente a la póliza debe ajustarse a lo pactado en la minuta y a los mecanismos propios del derecho de los seguros. Al respecto, la Sala de Consulta y Servicio Civil del Consejo de Estado expresó: “[…] </w:t>
      </w:r>
      <w:proofErr w:type="gramStart"/>
      <w:r w:rsidRPr="009C517D">
        <w:rPr>
          <w:rFonts w:ascii="Verdana" w:eastAsia="Verdana" w:hAnsi="Verdana" w:cs="Verdana"/>
          <w:sz w:val="20"/>
          <w:szCs w:val="20"/>
        </w:rPr>
        <w:t>que</w:t>
      </w:r>
      <w:proofErr w:type="gramEnd"/>
      <w:r w:rsidRPr="009C517D">
        <w:rPr>
          <w:rFonts w:ascii="Verdana" w:eastAsia="Verdana" w:hAnsi="Verdana" w:cs="Verdana"/>
          <w:sz w:val="20"/>
          <w:szCs w:val="20"/>
        </w:rPr>
        <w:t xml:space="preserve"> respecto de los convenios interadministrativos, si se ha pactado como garantía una póliza de cumplimiento, al no resultar procedente el ejercicio de potestades unilaterales, </w:t>
      </w:r>
      <w:r w:rsidRPr="009C517D">
        <w:rPr>
          <w:rFonts w:ascii="Verdana" w:eastAsia="Verdana" w:hAnsi="Verdana" w:cs="Verdana"/>
          <w:sz w:val="20"/>
          <w:szCs w:val="20"/>
        </w:rPr>
        <w:lastRenderedPageBreak/>
        <w:t>deberá realizarse la correspondiente reclamación a la aseguradora siguiendo para el efecto</w:t>
      </w:r>
      <w:r>
        <w:rPr>
          <w:rFonts w:ascii="Verdana" w:eastAsia="Verdana" w:hAnsi="Verdana" w:cs="Verdana"/>
          <w:sz w:val="20"/>
          <w:szCs w:val="20"/>
        </w:rPr>
        <w:t>.</w:t>
      </w:r>
    </w:p>
    <w:p w14:paraId="7ECC05CA" w14:textId="77777777" w:rsidR="009C517D" w:rsidRPr="009C517D" w:rsidRDefault="009C517D" w:rsidP="00E0335E">
      <w:pPr>
        <w:spacing w:after="0" w:line="240" w:lineRule="auto"/>
        <w:jc w:val="both"/>
        <w:rPr>
          <w:rFonts w:ascii="Verdana" w:eastAsia="Verdana" w:hAnsi="Verdana" w:cs="Verdana"/>
          <w:sz w:val="20"/>
          <w:szCs w:val="20"/>
        </w:rPr>
      </w:pPr>
    </w:p>
    <w:p w14:paraId="180BC06B" w14:textId="77777777" w:rsidR="00FE5289"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 xml:space="preserve">INHABILIDADES – Artículo 90 de la Ley 1474 de 2011 – No aplicación a entidades estatales – Registro Único de Proponentes </w:t>
      </w:r>
    </w:p>
    <w:p w14:paraId="091E14F8" w14:textId="77777777" w:rsidR="00FE5289" w:rsidRPr="000856DA" w:rsidRDefault="00FE5289" w:rsidP="00E0335E">
      <w:pPr>
        <w:spacing w:after="0" w:line="240" w:lineRule="auto"/>
        <w:jc w:val="both"/>
        <w:rPr>
          <w:rFonts w:ascii="Verdana" w:eastAsia="Verdana" w:hAnsi="Verdana" w:cs="Verdana"/>
          <w:sz w:val="20"/>
          <w:szCs w:val="20"/>
        </w:rPr>
      </w:pPr>
    </w:p>
    <w:p w14:paraId="4E694CA6" w14:textId="0BF9450A" w:rsidR="000856DA" w:rsidRDefault="000856DA" w:rsidP="00E0335E">
      <w:pPr>
        <w:spacing w:after="0" w:line="240" w:lineRule="auto"/>
        <w:jc w:val="both"/>
        <w:rPr>
          <w:rFonts w:ascii="Verdana" w:eastAsia="Verdana" w:hAnsi="Verdana" w:cs="Verdana"/>
          <w:sz w:val="20"/>
          <w:szCs w:val="20"/>
        </w:rPr>
      </w:pPr>
      <w:r w:rsidRPr="000856DA">
        <w:rPr>
          <w:rFonts w:ascii="Verdana" w:eastAsia="Verdana" w:hAnsi="Verdana" w:cs="Verdana"/>
          <w:sz w:val="20"/>
          <w:szCs w:val="20"/>
        </w:rPr>
        <w:t xml:space="preserve">El incumplimiento reiterado derivado de multas o cláusula penal pecuniaria no puede generar inhabilidad para contratar cuando el sujeto afectado es una entidad estatal. El artículo 90 de la Ley 1474 de 2011 establece dicha inhabilidad únicamente para los </w:t>
      </w:r>
      <w:r w:rsidRPr="000856DA">
        <w:rPr>
          <w:rFonts w:ascii="Verdana" w:eastAsia="Verdana" w:hAnsi="Verdana" w:cs="Verdana"/>
          <w:i/>
          <w:iCs/>
          <w:sz w:val="20"/>
          <w:szCs w:val="20"/>
        </w:rPr>
        <w:t>contratistas</w:t>
      </w:r>
      <w:r w:rsidRPr="000856DA">
        <w:rPr>
          <w:rFonts w:ascii="Verdana" w:eastAsia="Verdana" w:hAnsi="Verdana" w:cs="Verdana"/>
          <w:sz w:val="20"/>
          <w:szCs w:val="20"/>
        </w:rPr>
        <w:t>, entendidos como particulares que participan en la contratación pública. Tal como señala la Sala de Consulta y Servicio Civil del Consejo de Estado, las inhabilidades son “impedimentos o tachas […] que imposibilitan para participar en procesos de selección, celebrar y ejecutar contratos con las entidades estatales”, afectando la capacidad de quienes, por su situación o condición, “no pueden disponer de los suyos mediante la celebración de negocios jurídicos”</w:t>
      </w:r>
    </w:p>
    <w:p w14:paraId="61E5198A" w14:textId="77777777" w:rsidR="009F2041" w:rsidRPr="000856DA" w:rsidRDefault="009F2041" w:rsidP="00E0335E">
      <w:pPr>
        <w:spacing w:after="0" w:line="240" w:lineRule="auto"/>
        <w:jc w:val="both"/>
        <w:rPr>
          <w:rFonts w:ascii="Verdana" w:eastAsia="Verdana" w:hAnsi="Verdana" w:cs="Verdana"/>
          <w:sz w:val="20"/>
          <w:szCs w:val="20"/>
        </w:rPr>
      </w:pPr>
    </w:p>
    <w:p w14:paraId="6C113380" w14:textId="6E997E5C" w:rsidR="000856DA" w:rsidRDefault="000856DA" w:rsidP="00E0335E">
      <w:pPr>
        <w:spacing w:after="0" w:line="240" w:lineRule="auto"/>
        <w:jc w:val="both"/>
        <w:rPr>
          <w:rFonts w:ascii="Verdana" w:eastAsia="Verdana" w:hAnsi="Verdana" w:cs="Verdana"/>
          <w:sz w:val="20"/>
          <w:szCs w:val="20"/>
        </w:rPr>
      </w:pPr>
      <w:r w:rsidRPr="000856DA">
        <w:rPr>
          <w:rFonts w:ascii="Verdana" w:eastAsia="Verdana" w:hAnsi="Verdana" w:cs="Verdana"/>
          <w:sz w:val="20"/>
          <w:szCs w:val="20"/>
        </w:rPr>
        <w:t>Finalmente, el Consejo de Estado ha reiterado que las entidades públicas no pueden ser inhabilitadas por sanciones contractuales, pues ello equivaldría a impedirles cumplir los fines estatales y contrariar los principios de la función administrativa. En el Concepto 1283 de 2000 se sostuvo que “[…] por cuanto mal podría el mismo Estado en algunos eventos, como en el de la declaratoria de caducidad, inhabilitar a sus organismos o entidades para la realización de los fines atribuidos por la Constitución, contrariando de esta manera los principios generales de la función administrativa”. Por tanto, el incumplimiento reiterado derivado de multas o cláusula penal pecuniaria no puede traducirse en inhabilidad para contratar cuando el sujeto es una entidad estatal, dado su régimen constitucional especial y la naturaleza pública de sus funciones.</w:t>
      </w:r>
    </w:p>
    <w:p w14:paraId="743FFA2B" w14:textId="77777777" w:rsidR="009F2041" w:rsidRPr="000856DA" w:rsidRDefault="009F2041" w:rsidP="00E0335E">
      <w:pPr>
        <w:spacing w:after="0" w:line="240" w:lineRule="auto"/>
        <w:jc w:val="both"/>
        <w:rPr>
          <w:rFonts w:ascii="Verdana" w:eastAsia="Verdana" w:hAnsi="Verdana" w:cs="Verdana"/>
          <w:sz w:val="20"/>
          <w:szCs w:val="20"/>
        </w:rPr>
      </w:pPr>
    </w:p>
    <w:p w14:paraId="6AF1A5D1" w14:textId="77777777" w:rsidR="000856DA" w:rsidRPr="000856DA" w:rsidRDefault="000856DA" w:rsidP="00E0335E">
      <w:pPr>
        <w:spacing w:after="0" w:line="240" w:lineRule="auto"/>
        <w:jc w:val="both"/>
        <w:rPr>
          <w:rFonts w:ascii="Verdana" w:eastAsia="Verdana" w:hAnsi="Verdana" w:cs="Verdana"/>
          <w:sz w:val="20"/>
          <w:szCs w:val="20"/>
        </w:rPr>
      </w:pPr>
      <w:r w:rsidRPr="000856DA">
        <w:rPr>
          <w:rFonts w:ascii="Verdana" w:eastAsia="Verdana" w:hAnsi="Verdana" w:cs="Verdana"/>
          <w:sz w:val="20"/>
          <w:szCs w:val="20"/>
        </w:rPr>
        <w:t>La misma razón excluye cualquier efecto registral. El artículo 6 de la Ley 1150 de 2007 dispone la inscripción en el Registro Único de Proponentes de las personas naturales o jurídicas nacionales o extranjeras domiciliadas o con sucursal en Colombia que aspiren a celebrar contratos con las entidades estatales, y prevé el reporte de las multas y sanciones impuestas dentro de ese mismo ámbito subjetivo. Las entidades estatales que concurren a un convenio interadministrativo en calidad de cooperantes no son sujetos de inscripción en dicho registro, de manera que la imposición de una multa o la efectividad de la cláusula penal no genera anotación alguna ni produce efecto sobre su capacidad de contratación, sin perjuicio de los deberes de publicidad de la actuación en el SECOP y de las responsabilidades individuales que las autoridades competentes puedan deducir frente a los servidores públicos involucrados.</w:t>
      </w:r>
    </w:p>
    <w:p w14:paraId="137A1AF8" w14:textId="77777777" w:rsidR="000856DA" w:rsidRPr="000856DA" w:rsidRDefault="000856DA" w:rsidP="00E0335E">
      <w:pPr>
        <w:spacing w:after="0" w:line="240" w:lineRule="auto"/>
        <w:jc w:val="both"/>
        <w:rPr>
          <w:rFonts w:ascii="Verdana" w:eastAsia="Verdana" w:hAnsi="Verdana" w:cs="Verdana"/>
          <w:sz w:val="20"/>
          <w:szCs w:val="20"/>
        </w:rPr>
      </w:pPr>
    </w:p>
    <w:p w14:paraId="2DA06201" w14:textId="77777777" w:rsidR="00FE5289" w:rsidRPr="00FE5289" w:rsidRDefault="00FF72B0" w:rsidP="00E0335E">
      <w:pPr>
        <w:spacing w:after="0" w:line="240" w:lineRule="auto"/>
        <w:jc w:val="both"/>
        <w:rPr>
          <w:rFonts w:ascii="Verdana" w:eastAsia="Verdana" w:hAnsi="Verdana" w:cs="Verdana"/>
          <w:b/>
          <w:bCs/>
        </w:rPr>
      </w:pPr>
      <w:r w:rsidRPr="00FE5289">
        <w:rPr>
          <w:rFonts w:ascii="Verdana" w:eastAsia="Verdana" w:hAnsi="Verdana" w:cs="Verdana"/>
          <w:b/>
          <w:bCs/>
        </w:rPr>
        <w:t>SUPERVISIÓN – Convenios interadministrativos – Informe de presunto incumplimiento – Responsabilidad del supervisor</w:t>
      </w:r>
    </w:p>
    <w:p w14:paraId="33CA28F2" w14:textId="77777777" w:rsidR="00FE5289" w:rsidRDefault="00FE5289" w:rsidP="00E0335E">
      <w:pPr>
        <w:spacing w:after="0" w:line="240" w:lineRule="auto"/>
        <w:jc w:val="both"/>
        <w:rPr>
          <w:rFonts w:ascii="Verdana" w:eastAsia="Verdana" w:hAnsi="Verdana" w:cs="Verdana"/>
        </w:rPr>
      </w:pPr>
    </w:p>
    <w:p w14:paraId="078ED791" w14:textId="77777777" w:rsidR="0070101F" w:rsidRPr="00E0335E" w:rsidRDefault="0070101F" w:rsidP="00E0335E">
      <w:pPr>
        <w:spacing w:after="0" w:line="240" w:lineRule="auto"/>
        <w:jc w:val="both"/>
        <w:rPr>
          <w:rFonts w:ascii="Verdana" w:eastAsia="Verdana" w:hAnsi="Verdana" w:cs="Verdana"/>
          <w:sz w:val="20"/>
          <w:szCs w:val="20"/>
        </w:rPr>
      </w:pPr>
      <w:r w:rsidRPr="00E0335E">
        <w:rPr>
          <w:rFonts w:ascii="Verdana" w:eastAsia="Verdana" w:hAnsi="Verdana" w:cs="Verdana"/>
          <w:sz w:val="20"/>
          <w:szCs w:val="20"/>
        </w:rPr>
        <w:t xml:space="preserve">En este marco, la supervisión implica un seguimiento permanente, técnico y jurídico de la ejecución, orientado a verificar que el objeto se cumpla en la forma, tiempo y condiciones convenidas, y que los recursos aportados se administren con diligencia y </w:t>
      </w:r>
      <w:r w:rsidRPr="00E0335E">
        <w:rPr>
          <w:rFonts w:ascii="Verdana" w:eastAsia="Verdana" w:hAnsi="Verdana" w:cs="Verdana"/>
          <w:sz w:val="20"/>
          <w:szCs w:val="20"/>
        </w:rPr>
        <w:lastRenderedPageBreak/>
        <w:t>transparencia. Así, la supervisión no solo exige velar por el cumplimiento de las obligaciones, sino también actuar oportunamente frente a retrasos, incumplimientos o riesgos que afecten la ejecución, sin que las dificultades internas del ejecutor —como la liquidación de subcontratos o trámites administrativos propios— puedan oponerse, por regla general, para justificar demoras o impedir la liquidación del convenio principal.</w:t>
      </w:r>
    </w:p>
    <w:p w14:paraId="12478D6A" w14:textId="77777777" w:rsidR="00E0335E" w:rsidRPr="00E0335E" w:rsidRDefault="00E0335E" w:rsidP="00E0335E">
      <w:pPr>
        <w:spacing w:after="0" w:line="240" w:lineRule="auto"/>
        <w:jc w:val="both"/>
        <w:rPr>
          <w:rFonts w:ascii="Verdana" w:eastAsia="Verdana" w:hAnsi="Verdana" w:cs="Verdana"/>
          <w:sz w:val="20"/>
          <w:szCs w:val="20"/>
        </w:rPr>
      </w:pPr>
    </w:p>
    <w:p w14:paraId="0DF08F26" w14:textId="77777777" w:rsidR="0070101F" w:rsidRPr="00E0335E" w:rsidRDefault="0070101F" w:rsidP="00E0335E">
      <w:pPr>
        <w:spacing w:after="0" w:line="240" w:lineRule="auto"/>
        <w:jc w:val="both"/>
        <w:rPr>
          <w:rFonts w:ascii="Verdana" w:eastAsia="Verdana" w:hAnsi="Verdana" w:cs="Verdana"/>
          <w:sz w:val="20"/>
          <w:szCs w:val="20"/>
        </w:rPr>
      </w:pPr>
      <w:r w:rsidRPr="00E0335E">
        <w:rPr>
          <w:rFonts w:ascii="Verdana" w:eastAsia="Verdana" w:hAnsi="Verdana" w:cs="Verdana"/>
          <w:sz w:val="20"/>
          <w:szCs w:val="20"/>
        </w:rPr>
        <w:t xml:space="preserve">De esa exigencia de actuación oportuna se desprende la respuesta sobre el momento y el límite temporal del informe de presunto incumplimiento. El ordenamiento no fija un plazo perentorio y autónomo para rendirlo: ni el artículo 84 de la Ley 1474 de 2011 ni las normas que regulan la supervisión establecen un término preclusivo al efecto. El deber de reporte se rige, por tanto, por el principio de oportunidad inherente a la función de vigilancia, conforme al cual el informe debe presentarse tan pronto se verifiquen los hechos que lo motivan, de modo que el ordenador del gasto conserve un margen útil para adoptar las decisiones que correspondan. El límite temporal del informe es, en consecuencia, funcional y no autónomo: viene determinado por los plazos dentro de los cuales la entidad conserva competencia para liquidar el negocio jurídico y, cuando </w:t>
      </w:r>
      <w:proofErr w:type="gramStart"/>
      <w:r w:rsidRPr="00E0335E">
        <w:rPr>
          <w:rFonts w:ascii="Verdana" w:eastAsia="Verdana" w:hAnsi="Verdana" w:cs="Verdana"/>
          <w:sz w:val="20"/>
          <w:szCs w:val="20"/>
        </w:rPr>
        <w:t>resulte</w:t>
      </w:r>
      <w:proofErr w:type="gramEnd"/>
      <w:r w:rsidRPr="00E0335E">
        <w:rPr>
          <w:rFonts w:ascii="Verdana" w:eastAsia="Verdana" w:hAnsi="Verdana" w:cs="Verdana"/>
          <w:sz w:val="20"/>
          <w:szCs w:val="20"/>
        </w:rPr>
        <w:t xml:space="preserve"> procedente, para adelantar la actuación sancionatoria y afectar las garantías constituidas, según lo expuesto en los apartes v y vi. Un informe rendido con posterioridad a esos términos, aunque no sea extemporáneo en sí mismo, priva de eficacia a las decisiones que debía sustentar.</w:t>
      </w:r>
    </w:p>
    <w:p w14:paraId="1612C787" w14:textId="77777777" w:rsidR="00E0335E" w:rsidRPr="00E0335E" w:rsidRDefault="00E0335E" w:rsidP="00E0335E">
      <w:pPr>
        <w:spacing w:after="0" w:line="240" w:lineRule="auto"/>
        <w:jc w:val="both"/>
        <w:rPr>
          <w:rFonts w:ascii="Verdana" w:eastAsia="Verdana" w:hAnsi="Verdana" w:cs="Verdana"/>
          <w:sz w:val="20"/>
          <w:szCs w:val="20"/>
        </w:rPr>
      </w:pPr>
    </w:p>
    <w:p w14:paraId="60B06FFE" w14:textId="77777777" w:rsidR="0070101F" w:rsidRPr="00E0335E" w:rsidRDefault="0070101F" w:rsidP="00E0335E">
      <w:pPr>
        <w:spacing w:after="0" w:line="240" w:lineRule="auto"/>
        <w:jc w:val="both"/>
        <w:rPr>
          <w:rFonts w:ascii="Verdana" w:eastAsia="Verdana" w:hAnsi="Verdana" w:cs="Verdana"/>
          <w:sz w:val="20"/>
          <w:szCs w:val="20"/>
        </w:rPr>
      </w:pPr>
      <w:r w:rsidRPr="00E0335E">
        <w:rPr>
          <w:rFonts w:ascii="Verdana" w:eastAsia="Verdana" w:hAnsi="Verdana" w:cs="Verdana"/>
          <w:sz w:val="20"/>
          <w:szCs w:val="20"/>
        </w:rPr>
        <w:t>En este contexto, las demoras en la liquidación de contratos celebrados por el ejecutor con terceros, así como sus disputas internas, no son, por regla general, oponibles frente a la entidad aportante, salvo que el propio convenio haya previsto expresamente tal condicionamiento, pues el cumplimiento de los plazos y obligaciones del convenio principal se rige por lo pactado entre las partes cooperantes. En esta línea, el ejecutor no puede supeditar la firma del acta de liquidación bilateral ni la devolución de saldos no ejecutados a la resolución de sus trámites contractuales internos, pues ello desnaturalizaría la autonomía y eficacia del convenio interadministrativo.</w:t>
      </w:r>
    </w:p>
    <w:p w14:paraId="0706B4FF" w14:textId="77777777" w:rsidR="00FE5289" w:rsidRDefault="00FE5289" w:rsidP="00BE4AA0">
      <w:pPr>
        <w:spacing w:after="0"/>
        <w:rPr>
          <w:rFonts w:ascii="Verdana" w:eastAsia="Verdana" w:hAnsi="Verdana" w:cs="Verdana"/>
        </w:rPr>
      </w:pPr>
    </w:p>
    <w:p w14:paraId="297B1EBA" w14:textId="77777777" w:rsidR="00E0335E" w:rsidRDefault="00E0335E" w:rsidP="00BE4AA0">
      <w:pPr>
        <w:spacing w:after="0"/>
        <w:rPr>
          <w:rFonts w:ascii="Verdana" w:eastAsia="Verdana" w:hAnsi="Verdana" w:cs="Verdana"/>
        </w:rPr>
      </w:pPr>
    </w:p>
    <w:p w14:paraId="5D596EE0" w14:textId="77777777" w:rsidR="00E0335E" w:rsidRDefault="00E0335E" w:rsidP="00BE4AA0">
      <w:pPr>
        <w:spacing w:after="0"/>
        <w:rPr>
          <w:rFonts w:ascii="Verdana" w:eastAsia="Verdana" w:hAnsi="Verdana" w:cs="Verdana"/>
        </w:rPr>
      </w:pPr>
    </w:p>
    <w:p w14:paraId="446EF390" w14:textId="77777777" w:rsidR="00E0335E" w:rsidRDefault="00E0335E" w:rsidP="00BE4AA0">
      <w:pPr>
        <w:spacing w:after="0"/>
        <w:rPr>
          <w:rFonts w:ascii="Verdana" w:eastAsia="Verdana" w:hAnsi="Verdana" w:cs="Verdana"/>
        </w:rPr>
      </w:pPr>
    </w:p>
    <w:p w14:paraId="0546E104" w14:textId="77777777" w:rsidR="00E0335E" w:rsidRDefault="00E0335E" w:rsidP="00BE4AA0">
      <w:pPr>
        <w:spacing w:after="0"/>
        <w:rPr>
          <w:rFonts w:ascii="Verdana" w:eastAsia="Verdana" w:hAnsi="Verdana" w:cs="Verdana"/>
        </w:rPr>
      </w:pPr>
    </w:p>
    <w:p w14:paraId="3F13CC84" w14:textId="77777777" w:rsidR="00E0335E" w:rsidRDefault="00E0335E" w:rsidP="00BE4AA0">
      <w:pPr>
        <w:spacing w:after="0"/>
        <w:rPr>
          <w:rFonts w:ascii="Verdana" w:eastAsia="Verdana" w:hAnsi="Verdana" w:cs="Verdana"/>
        </w:rPr>
      </w:pPr>
    </w:p>
    <w:p w14:paraId="22DCCB68" w14:textId="77777777" w:rsidR="00E0335E" w:rsidRDefault="00E0335E" w:rsidP="00BE4AA0">
      <w:pPr>
        <w:spacing w:after="0"/>
        <w:rPr>
          <w:rFonts w:ascii="Verdana" w:eastAsia="Verdana" w:hAnsi="Verdana" w:cs="Verdana"/>
        </w:rPr>
      </w:pPr>
    </w:p>
    <w:p w14:paraId="0183EE94" w14:textId="77777777" w:rsidR="00E0335E" w:rsidRDefault="00E0335E" w:rsidP="00BE4AA0">
      <w:pPr>
        <w:spacing w:after="0"/>
        <w:rPr>
          <w:rFonts w:ascii="Verdana" w:eastAsia="Verdana" w:hAnsi="Verdana" w:cs="Verdana"/>
        </w:rPr>
      </w:pPr>
    </w:p>
    <w:p w14:paraId="4CCCFEB2" w14:textId="77777777" w:rsidR="00E0335E" w:rsidRDefault="00E0335E" w:rsidP="00BE4AA0">
      <w:pPr>
        <w:spacing w:after="0"/>
        <w:rPr>
          <w:rFonts w:ascii="Verdana" w:eastAsia="Verdana" w:hAnsi="Verdana" w:cs="Verdana"/>
        </w:rPr>
      </w:pPr>
    </w:p>
    <w:p w14:paraId="7FD30043" w14:textId="77777777" w:rsidR="00E0335E" w:rsidRDefault="00E0335E" w:rsidP="00BE4AA0">
      <w:pPr>
        <w:spacing w:after="0"/>
        <w:rPr>
          <w:rFonts w:ascii="Verdana" w:eastAsia="Verdana" w:hAnsi="Verdana" w:cs="Verdana"/>
        </w:rPr>
      </w:pPr>
    </w:p>
    <w:p w14:paraId="7EE9E7CB" w14:textId="77777777" w:rsidR="00E0335E" w:rsidRDefault="00E0335E" w:rsidP="00BE4AA0">
      <w:pPr>
        <w:spacing w:after="0"/>
        <w:rPr>
          <w:rFonts w:ascii="Verdana" w:eastAsia="Verdana" w:hAnsi="Verdana" w:cs="Verdana"/>
        </w:rPr>
      </w:pPr>
    </w:p>
    <w:p w14:paraId="1A48FA3C" w14:textId="5698BAC7" w:rsidR="00BE4AA0" w:rsidRPr="00BE4AA0" w:rsidRDefault="008F18B7" w:rsidP="00BE4AA0">
      <w:pPr>
        <w:spacing w:after="0"/>
        <w:rPr>
          <w:rFonts w:ascii="Verdana" w:hAnsi="Verdana"/>
        </w:rPr>
      </w:pPr>
      <w:r w:rsidRPr="008F18B7">
        <w:rPr>
          <w:noProof/>
        </w:rPr>
        <w:lastRenderedPageBreak/>
        <w:drawing>
          <wp:anchor distT="0" distB="0" distL="114300" distR="114300" simplePos="0" relativeHeight="251658240" behindDoc="0" locked="0" layoutInCell="1" allowOverlap="1" wp14:anchorId="4C764E81" wp14:editId="61196E2E">
            <wp:simplePos x="0" y="0"/>
            <wp:positionH relativeFrom="column">
              <wp:posOffset>2559050</wp:posOffset>
            </wp:positionH>
            <wp:positionV relativeFrom="paragraph">
              <wp:posOffset>273685</wp:posOffset>
            </wp:positionV>
            <wp:extent cx="3050540" cy="842645"/>
            <wp:effectExtent l="0" t="0" r="0" b="0"/>
            <wp:wrapSquare wrapText="bothSides"/>
            <wp:docPr id="1283002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0540"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AA0" w:rsidRPr="00BE4AA0">
        <w:rPr>
          <w:rFonts w:ascii="Verdana" w:eastAsia="Verdana" w:hAnsi="Verdana" w:cs="Verdana"/>
        </w:rPr>
        <w:t xml:space="preserve">Bogotá D.C., </w:t>
      </w:r>
      <w:r w:rsidR="00FF72B0">
        <w:rPr>
          <w:rFonts w:ascii="Verdana" w:eastAsia="Verdana" w:hAnsi="Verdana" w:cs="Verdana"/>
        </w:rPr>
        <w:t>24 de julio de 2026</w:t>
      </w:r>
      <w:r w:rsidR="00BE4AA0" w:rsidRPr="00BE4AA0">
        <w:tab/>
      </w:r>
      <w:r w:rsidR="00BE4AA0" w:rsidRPr="00BE4AA0">
        <w:br/>
      </w:r>
    </w:p>
    <w:p w14:paraId="7CB485AB" w14:textId="77777777" w:rsidR="00BE4AA0" w:rsidRPr="00BE4AA0" w:rsidRDefault="00BE4AA0" w:rsidP="00BE4AA0">
      <w:pPr>
        <w:spacing w:after="0" w:line="240" w:lineRule="auto"/>
        <w:rPr>
          <w:rFonts w:ascii="Verdana" w:hAnsi="Verdana"/>
        </w:rPr>
      </w:pPr>
    </w:p>
    <w:p w14:paraId="3478E1F7" w14:textId="77777777" w:rsidR="00BE4AA0" w:rsidRPr="00BE4AA0" w:rsidRDefault="00BE4AA0" w:rsidP="00BE4AA0">
      <w:pPr>
        <w:spacing w:after="0" w:line="240" w:lineRule="auto"/>
        <w:rPr>
          <w:rFonts w:ascii="Verdana" w:eastAsia="Calibri" w:hAnsi="Verdana" w:cs="Times New Roman"/>
          <w:lang w:val="es-MX"/>
        </w:rPr>
      </w:pPr>
      <w:r w:rsidRPr="00BE4AA0">
        <w:rPr>
          <w:rFonts w:ascii="Verdana" w:eastAsia="Calibri" w:hAnsi="Verdana" w:cs="Times New Roman"/>
          <w:lang w:val="es-MX"/>
        </w:rPr>
        <w:t xml:space="preserve">Señor </w:t>
      </w:r>
    </w:p>
    <w:p w14:paraId="1C81897D" w14:textId="77777777" w:rsidR="00BE4AA0" w:rsidRPr="00BE4AA0" w:rsidRDefault="00BE4AA0" w:rsidP="00BE4AA0">
      <w:pPr>
        <w:spacing w:after="0" w:line="240" w:lineRule="auto"/>
        <w:rPr>
          <w:rFonts w:ascii="Verdana" w:eastAsia="Calibri" w:hAnsi="Verdana" w:cs="Times New Roman"/>
          <w:b/>
          <w:lang w:val="es-MX"/>
        </w:rPr>
      </w:pPr>
      <w:r w:rsidRPr="00BE4AA0">
        <w:rPr>
          <w:rFonts w:ascii="Verdana" w:eastAsia="Calibri" w:hAnsi="Verdana" w:cs="Times New Roman"/>
          <w:b/>
          <w:lang w:val="es-MX"/>
        </w:rPr>
        <w:t>Oscar Ovidio Muñoz Campo</w:t>
      </w:r>
    </w:p>
    <w:p w14:paraId="30844233" w14:textId="77777777" w:rsidR="00BE4AA0" w:rsidRPr="00BE4AA0" w:rsidRDefault="00BE4AA0" w:rsidP="00BE4AA0">
      <w:pPr>
        <w:spacing w:after="0" w:line="240" w:lineRule="auto"/>
        <w:rPr>
          <w:rFonts w:ascii="Verdana" w:eastAsia="Calibri" w:hAnsi="Verdana" w:cs="Times New Roman"/>
          <w:bCs/>
        </w:rPr>
      </w:pPr>
      <w:hyperlink r:id="rId12" w:history="1">
        <w:r w:rsidRPr="00BE4AA0">
          <w:rPr>
            <w:rFonts w:ascii="Verdana" w:eastAsia="Calibri" w:hAnsi="Verdana" w:cs="Times New Roman"/>
            <w:bCs/>
            <w:color w:val="0000FF"/>
            <w:u w:val="single"/>
          </w:rPr>
          <w:t>abogado.oscar.munoz@gmail.com</w:t>
        </w:r>
      </w:hyperlink>
      <w:r w:rsidRPr="00BE4AA0">
        <w:rPr>
          <w:rFonts w:ascii="Verdana" w:eastAsia="Calibri" w:hAnsi="Verdana" w:cs="Times New Roman"/>
          <w:bCs/>
        </w:rPr>
        <w:t xml:space="preserve"> </w:t>
      </w:r>
    </w:p>
    <w:p w14:paraId="5CEC646F" w14:textId="77777777" w:rsidR="00BE4AA0" w:rsidRPr="00BE4AA0" w:rsidRDefault="00BE4AA0" w:rsidP="00BE4AA0">
      <w:pPr>
        <w:spacing w:after="0" w:line="240" w:lineRule="auto"/>
        <w:rPr>
          <w:rFonts w:ascii="Verdana" w:eastAsia="Calibri" w:hAnsi="Verdana" w:cs="Times New Roman"/>
        </w:rPr>
      </w:pPr>
      <w:r w:rsidRPr="00BE4AA0">
        <w:rPr>
          <w:rFonts w:ascii="Verdana" w:eastAsia="Calibri" w:hAnsi="Verdana" w:cs="Times New Roman"/>
        </w:rPr>
        <w:t xml:space="preserve">Bogotá D.C. </w:t>
      </w:r>
    </w:p>
    <w:p w14:paraId="73D5E238" w14:textId="77777777" w:rsidR="00BE4AA0" w:rsidRPr="00BE4AA0" w:rsidRDefault="00BE4AA0" w:rsidP="00BE4AA0">
      <w:pPr>
        <w:spacing w:after="0" w:line="240" w:lineRule="auto"/>
        <w:rPr>
          <w:rFonts w:ascii="Verdana" w:eastAsia="Calibri" w:hAnsi="Verdana" w:cs="Times New Roman"/>
        </w:rPr>
      </w:pPr>
    </w:p>
    <w:p w14:paraId="6F546DC2" w14:textId="77777777" w:rsidR="00BE4AA0" w:rsidRPr="00BE4AA0" w:rsidRDefault="00BE4AA0" w:rsidP="00BE4AA0">
      <w:pPr>
        <w:spacing w:after="0" w:line="240" w:lineRule="auto"/>
        <w:rPr>
          <w:rFonts w:ascii="Verdana" w:eastAsia="Calibri" w:hAnsi="Verdana" w:cs="Times New Roman"/>
        </w:rPr>
      </w:pPr>
    </w:p>
    <w:p w14:paraId="1503AF94" w14:textId="77777777" w:rsidR="00BE4AA0" w:rsidRPr="00BE4AA0" w:rsidRDefault="00BE4AA0" w:rsidP="00BE4AA0">
      <w:pPr>
        <w:spacing w:after="0" w:line="256" w:lineRule="auto"/>
        <w:rPr>
          <w:rFonts w:ascii="Verdana" w:eastAsia="Calibri" w:hAnsi="Verdana" w:cs="Times New Roman"/>
          <w:b/>
          <w:bCs/>
          <w:lang w:val="es-ES"/>
        </w:rPr>
      </w:pPr>
      <w:r w:rsidRPr="00BE4AA0">
        <w:rPr>
          <w:rFonts w:ascii="Verdana" w:eastAsia="Calibri" w:hAnsi="Verdana" w:cs="Times New Roman"/>
          <w:b/>
          <w:bCs/>
        </w:rPr>
        <w:t xml:space="preserve">                                    </w:t>
      </w:r>
      <w:r w:rsidRPr="00BE4AA0">
        <w:rPr>
          <w:rFonts w:ascii="Verdana" w:eastAsia="Calibri" w:hAnsi="Verdana" w:cs="Times New Roman"/>
          <w:b/>
          <w:bCs/>
          <w:lang w:val="es-ES"/>
        </w:rPr>
        <w:t xml:space="preserve">Concepto C–939 de 2026 </w:t>
      </w:r>
    </w:p>
    <w:p w14:paraId="49737D3C" w14:textId="77777777" w:rsidR="00BE4AA0" w:rsidRPr="00BE4AA0" w:rsidRDefault="00BE4AA0" w:rsidP="00BE4AA0">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BE4AA0" w:rsidRPr="00BE4AA0" w14:paraId="1D82FB78" w14:textId="77777777" w:rsidTr="00486E91">
        <w:trPr>
          <w:trHeight w:val="87"/>
        </w:trPr>
        <w:tc>
          <w:tcPr>
            <w:tcW w:w="2685" w:type="dxa"/>
            <w:hideMark/>
          </w:tcPr>
          <w:p w14:paraId="6E9830AC" w14:textId="77777777" w:rsidR="00BE4AA0" w:rsidRPr="00BE4AA0" w:rsidRDefault="00BE4AA0" w:rsidP="00BE4AA0">
            <w:pPr>
              <w:spacing w:line="256" w:lineRule="auto"/>
              <w:rPr>
                <w:rFonts w:ascii="Verdana" w:hAnsi="Verdana"/>
                <w:b/>
                <w:bCs/>
                <w:lang w:val="es-ES_tradnl"/>
              </w:rPr>
            </w:pPr>
            <w:r w:rsidRPr="00BE4AA0">
              <w:rPr>
                <w:rFonts w:ascii="Verdana" w:hAnsi="Verdana"/>
                <w:b/>
                <w:bCs/>
                <w:lang w:val="es-ES_tradnl"/>
              </w:rPr>
              <w:t xml:space="preserve">Temas:                   </w:t>
            </w:r>
          </w:p>
        </w:tc>
        <w:tc>
          <w:tcPr>
            <w:tcW w:w="6241" w:type="dxa"/>
            <w:hideMark/>
          </w:tcPr>
          <w:p w14:paraId="5F903A6E" w14:textId="77777777" w:rsidR="00BE4AA0" w:rsidRPr="00BE4AA0" w:rsidRDefault="00BE4AA0" w:rsidP="00BE4AA0">
            <w:pPr>
              <w:spacing w:line="276" w:lineRule="auto"/>
              <w:jc w:val="both"/>
              <w:rPr>
                <w:rFonts w:ascii="Verdana" w:hAnsi="Verdana" w:cs="Arial"/>
                <w:lang w:val="es-ES" w:eastAsia="es-ES"/>
              </w:rPr>
            </w:pPr>
            <w:r w:rsidRPr="00BE4AA0">
              <w:rPr>
                <w:rFonts w:ascii="Verdana" w:hAnsi="Verdana" w:cs="Arial"/>
                <w:lang w:eastAsia="es-ES"/>
              </w:rPr>
              <w:t>CONTRATOS Y CONVENIOS INTERADMINISTRATIVOS – Noción – Diferencias / CONVENIOS INTERADMINISTRATIVOS – Régimen aplicable – Aplicación supletoria del EGCAP – Potestades unilaterales / LIQUIDACIÓN UNILATERAL – Convenios interadministrativos – Procedencia – Pacto expreso / TÍTULO EJECUTIVO – Liquidación unilateral – Título ejecutivo complejo – Conciliación extrajudicial / CADUCIDAD – Cómputo – Artículo 164 del CPACA – Convenios interadministrativos / POTESTAD SANCIONATORIA CONTRACTUAL – Reserva legal – Multas y cláusula penal – Convenios interadministrativos / MULTAS Y CLÁUSULA PENAL – Competencia temporal – Cambio de línea doctrinal / PROCEDIMIENTO SANCIONATORIO Y LIQUIDACIÓN – Concurrencia – Inexistencia de prejudicialidad – Debido proceso / DECLARATORIA DE SINIESTRO – Improcedencia – Convenios interadministrativos – Reclamación ante la aseguradora / INHABILIDADES – Artículo 90 de la Ley 1474 de 2011 – No aplicación a entidades estatales – Registro Único de Proponentes / SUPERVISIÓN – Convenios interadministrativos – Informe de presunto incumplimiento – Responsabilidad del supervisor</w:t>
            </w:r>
          </w:p>
        </w:tc>
        <w:tc>
          <w:tcPr>
            <w:tcW w:w="6237" w:type="dxa"/>
          </w:tcPr>
          <w:p w14:paraId="3B1E8938" w14:textId="77777777" w:rsidR="00BE4AA0" w:rsidRPr="00BE4AA0" w:rsidRDefault="00BE4AA0" w:rsidP="00BE4AA0">
            <w:pPr>
              <w:spacing w:line="256" w:lineRule="auto"/>
              <w:rPr>
                <w:rFonts w:ascii="Verdana" w:hAnsi="Verdana"/>
              </w:rPr>
            </w:pPr>
          </w:p>
        </w:tc>
      </w:tr>
      <w:tr w:rsidR="00BE4AA0" w:rsidRPr="00BE4AA0" w14:paraId="0AA4667C" w14:textId="77777777" w:rsidTr="00486E91">
        <w:tc>
          <w:tcPr>
            <w:tcW w:w="2685" w:type="dxa"/>
          </w:tcPr>
          <w:p w14:paraId="78A8E233" w14:textId="77777777" w:rsidR="00115003" w:rsidRPr="00BE4AA0" w:rsidRDefault="00115003" w:rsidP="00BE4AA0">
            <w:pPr>
              <w:spacing w:line="256" w:lineRule="auto"/>
              <w:rPr>
                <w:rFonts w:ascii="Verdana" w:hAnsi="Verdana"/>
                <w:lang w:val="es-ES_tradnl"/>
              </w:rPr>
            </w:pPr>
          </w:p>
          <w:p w14:paraId="4441BEA2" w14:textId="77777777" w:rsidR="00BE4AA0" w:rsidRPr="00BE4AA0" w:rsidRDefault="00BE4AA0" w:rsidP="00BE4AA0">
            <w:pPr>
              <w:spacing w:line="256" w:lineRule="auto"/>
              <w:rPr>
                <w:rFonts w:ascii="Verdana" w:hAnsi="Verdana"/>
                <w:b/>
                <w:bCs/>
                <w:lang w:val="es-ES_tradnl"/>
              </w:rPr>
            </w:pPr>
            <w:r w:rsidRPr="00BE4AA0">
              <w:rPr>
                <w:rFonts w:ascii="Verdana" w:hAnsi="Verdana"/>
                <w:b/>
                <w:bCs/>
                <w:lang w:val="es-ES_tradnl"/>
              </w:rPr>
              <w:t xml:space="preserve">Radicación:               </w:t>
            </w:r>
          </w:p>
        </w:tc>
        <w:tc>
          <w:tcPr>
            <w:tcW w:w="6241" w:type="dxa"/>
          </w:tcPr>
          <w:p w14:paraId="7001869F" w14:textId="77777777" w:rsidR="00115003" w:rsidRPr="00BE4AA0" w:rsidRDefault="00115003" w:rsidP="00BE4AA0">
            <w:pPr>
              <w:spacing w:line="257" w:lineRule="auto"/>
              <w:rPr>
                <w:rFonts w:ascii="Verdana" w:hAnsi="Verdana"/>
                <w:lang w:val="es-ES_tradnl"/>
              </w:rPr>
            </w:pPr>
          </w:p>
          <w:p w14:paraId="164637EE" w14:textId="77777777" w:rsidR="00BE4AA0" w:rsidRPr="00BE4AA0" w:rsidRDefault="00BE4AA0" w:rsidP="00BE4AA0">
            <w:pPr>
              <w:spacing w:line="257" w:lineRule="auto"/>
              <w:jc w:val="both"/>
              <w:rPr>
                <w:rFonts w:ascii="Verdana" w:hAnsi="Verdana"/>
              </w:rPr>
            </w:pPr>
            <w:r w:rsidRPr="00BE4AA0">
              <w:rPr>
                <w:rFonts w:ascii="Verdana" w:hAnsi="Verdana"/>
                <w:lang w:val="es-ES_tradnl"/>
              </w:rPr>
              <w:t xml:space="preserve">Respuesta a consulta con radicado No. </w:t>
            </w:r>
            <w:r w:rsidRPr="00BE4AA0">
              <w:rPr>
                <w:rFonts w:ascii="Verdana" w:hAnsi="Verdana"/>
              </w:rPr>
              <w:t>1_2026_06_05_007741</w:t>
            </w:r>
          </w:p>
          <w:p w14:paraId="1EDC5E2F" w14:textId="77777777" w:rsidR="00BE4AA0" w:rsidRPr="00BE4AA0" w:rsidRDefault="00BE4AA0" w:rsidP="00BE4AA0">
            <w:pPr>
              <w:spacing w:line="257" w:lineRule="auto"/>
              <w:jc w:val="both"/>
              <w:rPr>
                <w:rFonts w:ascii="Verdana" w:hAnsi="Verdana"/>
              </w:rPr>
            </w:pPr>
          </w:p>
          <w:p w14:paraId="0715F7CF" w14:textId="77777777" w:rsidR="00BE4AA0" w:rsidRPr="00BE4AA0" w:rsidRDefault="00BE4AA0" w:rsidP="00BE4AA0">
            <w:pPr>
              <w:spacing w:line="257" w:lineRule="auto"/>
              <w:jc w:val="both"/>
              <w:rPr>
                <w:rFonts w:ascii="Verdana" w:hAnsi="Verdana"/>
              </w:rPr>
            </w:pPr>
          </w:p>
        </w:tc>
        <w:tc>
          <w:tcPr>
            <w:tcW w:w="6237" w:type="dxa"/>
          </w:tcPr>
          <w:p w14:paraId="70D085A8" w14:textId="77777777" w:rsidR="00BE4AA0" w:rsidRPr="00BE4AA0" w:rsidRDefault="00BE4AA0" w:rsidP="00BE4AA0">
            <w:pPr>
              <w:spacing w:line="256" w:lineRule="auto"/>
              <w:rPr>
                <w:rFonts w:ascii="Verdana" w:hAnsi="Verdana"/>
                <w:lang w:val="es-ES_tradnl"/>
              </w:rPr>
            </w:pPr>
          </w:p>
        </w:tc>
      </w:tr>
    </w:tbl>
    <w:p w14:paraId="5FFC5E9D" w14:textId="77777777" w:rsidR="00BE4AA0" w:rsidRPr="00BE4AA0" w:rsidRDefault="00BE4AA0" w:rsidP="00BE4AA0">
      <w:pPr>
        <w:spacing w:after="0" w:line="256" w:lineRule="auto"/>
        <w:rPr>
          <w:rFonts w:ascii="Verdana" w:eastAsia="Calibri" w:hAnsi="Verdana" w:cs="Times New Roman"/>
          <w:lang w:val="es-ES"/>
        </w:rPr>
      </w:pPr>
      <w:r w:rsidRPr="00BE4AA0">
        <w:rPr>
          <w:rFonts w:ascii="Verdana" w:eastAsia="Calibri" w:hAnsi="Verdana" w:cs="Times New Roman"/>
          <w:lang w:val="es-ES"/>
        </w:rPr>
        <w:t xml:space="preserve">Estimado Señor Muñoz: </w:t>
      </w:r>
    </w:p>
    <w:p w14:paraId="6FC69662" w14:textId="77777777" w:rsidR="00BE4AA0" w:rsidRPr="00BE4AA0" w:rsidRDefault="00BE4AA0" w:rsidP="00BE4AA0">
      <w:pPr>
        <w:spacing w:after="0" w:line="276" w:lineRule="auto"/>
        <w:rPr>
          <w:rFonts w:ascii="Verdana" w:eastAsia="Calibri" w:hAnsi="Verdana" w:cs="Times New Roman"/>
          <w:lang w:val="es-ES"/>
        </w:rPr>
      </w:pPr>
    </w:p>
    <w:p w14:paraId="30841647" w14:textId="77777777" w:rsidR="00BE4AA0" w:rsidRPr="00BE4AA0" w:rsidRDefault="00BE4AA0" w:rsidP="00BE4AA0">
      <w:pPr>
        <w:spacing w:after="0" w:line="276" w:lineRule="auto"/>
        <w:jc w:val="both"/>
        <w:rPr>
          <w:rFonts w:ascii="Verdana" w:eastAsia="Calibri" w:hAnsi="Verdana" w:cs="Times New Roman"/>
          <w:bCs/>
          <w:lang w:val="es-ES" w:bidi="es-ES"/>
        </w:rPr>
      </w:pPr>
      <w:r w:rsidRPr="00BE4AA0">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BE4AA0">
        <w:rPr>
          <w:rFonts w:ascii="Verdana" w:eastAsia="Calibri" w:hAnsi="Verdana" w:cs="Times New Roman"/>
          <w:bCs/>
          <w:lang w:bidi="es-ES"/>
        </w:rPr>
        <w:t>N°</w:t>
      </w:r>
      <w:proofErr w:type="spellEnd"/>
      <w:r w:rsidRPr="00BE4AA0">
        <w:rPr>
          <w:rFonts w:ascii="Verdana" w:eastAsia="Calibri" w:hAnsi="Verdana" w:cs="Times New Roman"/>
          <w:bCs/>
          <w:lang w:bidi="es-ES"/>
        </w:rPr>
        <w:t xml:space="preserve"> 469 del 2025 expedida por esta Agencia, </w:t>
      </w:r>
      <w:r w:rsidRPr="00BE4AA0">
        <w:rPr>
          <w:rFonts w:ascii="Verdana" w:eastAsia="Calibri" w:hAnsi="Verdana" w:cs="Times New Roman"/>
          <w:bCs/>
          <w:lang w:val="es-ES" w:bidi="es-ES"/>
        </w:rPr>
        <w:t xml:space="preserve">responde la solicitud de consulta del 5 de junio de 2026, en la cual manifiesta: </w:t>
      </w:r>
    </w:p>
    <w:p w14:paraId="56577231" w14:textId="77777777" w:rsidR="00BE4AA0" w:rsidRPr="00BE4AA0" w:rsidRDefault="00BE4AA0" w:rsidP="00BE4AA0">
      <w:pPr>
        <w:spacing w:after="0" w:line="276" w:lineRule="auto"/>
        <w:jc w:val="both"/>
        <w:rPr>
          <w:rFonts w:ascii="Verdana" w:eastAsia="Calibri" w:hAnsi="Verdana" w:cs="Times New Roman"/>
          <w:bCs/>
          <w:lang w:val="es-ES" w:bidi="es-ES"/>
        </w:rPr>
      </w:pPr>
    </w:p>
    <w:p w14:paraId="73C497D1"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“1. Sobre la procedencia de la liquidación unilateral sin previo proceso sancionatorio: Si en un convenio interadministrativo se pactó expresamente la imposición de multas y cláusula penal pecuniaria, y encontrándose en la etapa de liquidación bilateral la entidad ejecutora incumple con el reintegro de los recursos no ejecutados y con los requerimientos de la supervisión, ¿es jurídicamente viable expedir el acto administrativo de liquidación unilateral para exigir dichos saldos, sin agotar previamente el procedimiento sancionatorio del artículo 86 de la Ley 1474 de 2011?</w:t>
      </w:r>
    </w:p>
    <w:p w14:paraId="58011AD8"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2. Sobre la ejecutoria y el título ejecutivo: ¿Presta mérito ejecutivo por sí solo el acto de liquidación unilateral debidamente ejecutoriado que declara saldos a favor de la entidad, permitiendo el inicio del cobro coactivo sin requerir una declaratoria formal de incumplimiento previa?</w:t>
      </w:r>
    </w:p>
    <w:p w14:paraId="3D6FBC4B"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3. Sobre la exigencia de pacto expreso: A la luz de la jurisprudencia del Consejo de Estado, ¿es requisito sine qua non que la facultad de liquidación unilateral se encuentre estipulada de manera expresa en la minuta de un convenio interadministrativo para que la entidad aportante pueda ejercerla ante el fracaso de la etapa de mutuo acuerdo?</w:t>
      </w:r>
    </w:p>
    <w:p w14:paraId="02974B56"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4. Sobre las vías alternas ante la ausencia de pacto expreso: En caso de que la minuta del convenio interadministrativo carezca de cláusula expresa de liquidación unilateral y fracase la etapa bilateral, ¿qué actuación administrativa o mecanismo procesal debe agotar obligatoriamente la entidad para recuperar los recursos públicos no ejecutados antes de acudir al medio de control de controversias contractuales?</w:t>
      </w:r>
    </w:p>
    <w:p w14:paraId="0131DDAA"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5. Sobre la responsabilidad por omisión de reporte: ¿Se configura algún grado de responsabilidad disciplinaria o fiscal para el supervisor de un convenio que, teniendo conocimiento de un presunto incumplimiento material del ente ejecutor, omite informar de manera formal y oportuna al ordenador del gasto, impidiendo el inicio del proceso sancionatorio contractual?</w:t>
      </w:r>
    </w:p>
    <w:p w14:paraId="711177CF"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lastRenderedPageBreak/>
        <w:t>6. Sobre la oportunidad y límite temporal para solicitar el proceso sancionatorio: Vencido el plazo de ejecución del convenio interadministrativo, ¿cuál es el momento oportuno y cuál es el límite temporal máximo o perentorio con el que cuenta la supervisión para rendir el informe de presunto incumplimiento y solicitar formalmente el inicio del procedimiento administrativo sancionatorio previsto en el artículo 86 de la Ley 1474 de 2011, salvaguardando la competencia de la entidad y la efectividad de las garantías contractuales?</w:t>
      </w:r>
    </w:p>
    <w:p w14:paraId="462E21C0"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7. Sobre la suspensión de términos para liquidar: ¿El inicio formal del procedimiento administrativo sancionatorio por presunto incumplimiento suspende los plazos legales y supletivos establecidos en el artículo 11 de la Ley 1150 de 2007 para la liquidación bilateral y unilateral del contrato?</w:t>
      </w:r>
    </w:p>
    <w:p w14:paraId="72D19C96"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8. Sobre la pérdida de competencia temporal: Si el término límite para expedir la liquidación unilateral expira mientras el procedimiento sancionatorio se encuentra en curso, ¿la entidad pierde de manera inexorable la competencia para liquidar el contrato, o dicha competencia se entiende prorrogada hasta la culminación de la actuación sancionatoria?</w:t>
      </w:r>
    </w:p>
    <w:p w14:paraId="6E711E86"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 xml:space="preserve">9. Sobre la declaratoria del siniestro en la etapa </w:t>
      </w:r>
      <w:proofErr w:type="spellStart"/>
      <w:r w:rsidRPr="00BE4AA0">
        <w:rPr>
          <w:rFonts w:ascii="Verdana" w:eastAsia="Calibri" w:hAnsi="Verdana" w:cs="Times New Roman"/>
          <w:bCs/>
          <w:sz w:val="20"/>
          <w:szCs w:val="20"/>
          <w:lang w:bidi="es-ES"/>
        </w:rPr>
        <w:t>postcontractual</w:t>
      </w:r>
      <w:proofErr w:type="spellEnd"/>
      <w:r w:rsidRPr="00BE4AA0">
        <w:rPr>
          <w:rFonts w:ascii="Verdana" w:eastAsia="Calibri" w:hAnsi="Verdana" w:cs="Times New Roman"/>
          <w:bCs/>
          <w:sz w:val="20"/>
          <w:szCs w:val="20"/>
          <w:lang w:bidi="es-ES"/>
        </w:rPr>
        <w:t>: ¿Es jurídicamente viable declarar el siniestro de incumplimiento y afectar la póliza de cumplimiento cuando el plazo de ejecución ya ha vencido, fundamentándose exclusivamente en la mora o renuencia a reintegrar los saldos a favor de la entidad durante la etapa de liquidación?</w:t>
      </w:r>
    </w:p>
    <w:p w14:paraId="04ACFA96"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10. Sobre la oponibilidad de los trámites internos del contratista: ¿Resulta oponible y válido que la entidad ejecutora condicione la suscripción del acta de liquidación bilateral y la entrega de su certificación de rendición de cuentas a la finalización previa de los procesos sancionatorios y de liquidación que deba adelantar con sus propios contratistas derivados?</w:t>
      </w:r>
    </w:p>
    <w:p w14:paraId="7B16025D"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11. Sobre la garantía del debido proceso: Si la entidad opta por liquidar unilateralmente el convenio, ¿dicho acto administrativo satisface la garantía del debido proceso y derecho de contradicción al ser susceptible del recurso de reposición, haciendo innecesaria la apertura de un proceso sancionatorio paralelo por los mismos supuestos fácticos?</w:t>
      </w:r>
    </w:p>
    <w:p w14:paraId="16659AA1"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12. Sobre las consecuencias e inhabilidades por sanciones a entidades públicas: Si a una entidad estatal, actuando en calidad de ejecutora en un convenio interadministrativo, se le impone una multa o se le declara el incumplimiento haciendo efectiva la cláusula penal pecuniaria, ¿se configura alguna inhabilidad, veto o restricción legal para que dicha entidad pública pueda celebrar futuros contratos o convenios con la misma entidad otorgante o con otras entidades del Estado en vigencias posteriores? En general, ¿cuáles son las consecuencias jurídicas exactas de la declaratoria de dicho incumplimiento o de la imposición de una multa frente a la capacidad de contratación y registro de una entidad estatal?</w:t>
      </w:r>
    </w:p>
    <w:p w14:paraId="52E9DB3E" w14:textId="77777777" w:rsidR="00BE4AA0" w:rsidRPr="00BE4AA0" w:rsidRDefault="00BE4AA0" w:rsidP="00BE4AA0">
      <w:pPr>
        <w:spacing w:after="0" w:line="240" w:lineRule="auto"/>
        <w:ind w:left="709" w:right="709"/>
        <w:jc w:val="both"/>
        <w:rPr>
          <w:rFonts w:ascii="Verdana" w:eastAsia="Calibri" w:hAnsi="Verdana" w:cs="Times New Roman"/>
          <w:bCs/>
          <w:sz w:val="20"/>
          <w:szCs w:val="20"/>
          <w:lang w:bidi="es-ES"/>
        </w:rPr>
      </w:pPr>
      <w:r w:rsidRPr="00BE4AA0">
        <w:rPr>
          <w:rFonts w:ascii="Verdana" w:eastAsia="Calibri" w:hAnsi="Verdana" w:cs="Times New Roman"/>
          <w:bCs/>
          <w:sz w:val="20"/>
          <w:szCs w:val="20"/>
          <w:lang w:bidi="es-ES"/>
        </w:rPr>
        <w:t xml:space="preserve">13. Sobre la concurrencia procesal entre la liquidación unilateral y el proceso sancionatorio: ¿Es jurídicamente viable y procedente adelantar de manera simultánea y paralela el procedimiento administrativo </w:t>
      </w:r>
      <w:r w:rsidRPr="00BE4AA0">
        <w:rPr>
          <w:rFonts w:ascii="Verdana" w:eastAsia="Calibri" w:hAnsi="Verdana" w:cs="Times New Roman"/>
          <w:bCs/>
          <w:sz w:val="20"/>
          <w:szCs w:val="20"/>
          <w:lang w:bidi="es-ES"/>
        </w:rPr>
        <w:lastRenderedPageBreak/>
        <w:t>sancionatorio por presunto incumplimiento (regulado en el artículo 86 de la Ley 1474 de 2011) y el trámite administrativo de liquidación unilateral del contrato, o existe alguna figura de prejudicialidad u orden de prelación legal que obligue ineludiblemente a culminar el proceso sancionatorio antes de proferir el acto administrativo de liquidación unilateral?”</w:t>
      </w:r>
    </w:p>
    <w:p w14:paraId="708CC1AC" w14:textId="77777777" w:rsidR="00BE4AA0" w:rsidRPr="00BE4AA0" w:rsidRDefault="00BE4AA0" w:rsidP="00BE4AA0">
      <w:pPr>
        <w:spacing w:after="0" w:line="240" w:lineRule="auto"/>
        <w:ind w:right="709"/>
        <w:jc w:val="both"/>
        <w:rPr>
          <w:rFonts w:ascii="Verdana" w:eastAsia="Calibri" w:hAnsi="Verdana" w:cs="Times New Roman"/>
          <w:bCs/>
          <w:sz w:val="21"/>
          <w:szCs w:val="21"/>
          <w:lang w:bidi="es-ES"/>
        </w:rPr>
      </w:pPr>
    </w:p>
    <w:p w14:paraId="62EECFC1" w14:textId="77777777" w:rsidR="00BE4AA0" w:rsidRPr="00BE4AA0" w:rsidRDefault="00BE4AA0" w:rsidP="00BE4AA0">
      <w:pPr>
        <w:spacing w:after="120" w:line="276" w:lineRule="auto"/>
        <w:ind w:firstLine="709"/>
        <w:jc w:val="both"/>
        <w:rPr>
          <w:rFonts w:ascii="Verdana" w:eastAsia="Calibri" w:hAnsi="Verdana" w:cs="Times New Roman"/>
          <w:lang w:val="es-ES"/>
        </w:rPr>
      </w:pPr>
      <w:r w:rsidRPr="00BE4AA0">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7EA50B15" w14:textId="77777777" w:rsidR="00BE4AA0" w:rsidRPr="00BE4AA0" w:rsidRDefault="00BE4AA0" w:rsidP="00BE4AA0">
      <w:pPr>
        <w:spacing w:after="0" w:line="276" w:lineRule="auto"/>
        <w:ind w:firstLine="708"/>
        <w:jc w:val="both"/>
        <w:rPr>
          <w:rFonts w:ascii="Verdana" w:eastAsia="Calibri" w:hAnsi="Verdana" w:cs="Times New Roman"/>
          <w:lang w:val="es-ES"/>
        </w:rPr>
      </w:pPr>
      <w:r w:rsidRPr="00BE4AA0">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1CA71B05" w14:textId="77777777" w:rsidR="00BE4AA0" w:rsidRPr="00BE4AA0" w:rsidRDefault="00BE4AA0" w:rsidP="00BE4AA0">
      <w:pPr>
        <w:spacing w:after="0" w:line="276" w:lineRule="auto"/>
        <w:rPr>
          <w:rFonts w:ascii="Verdana" w:eastAsia="Calibri" w:hAnsi="Verdana" w:cs="Times New Roman"/>
          <w:lang w:val="es-ES"/>
        </w:rPr>
      </w:pPr>
    </w:p>
    <w:p w14:paraId="51C441FE" w14:textId="77777777" w:rsidR="00BE4AA0" w:rsidRPr="00BE4AA0" w:rsidRDefault="00BE4AA0" w:rsidP="00BE4AA0">
      <w:pPr>
        <w:numPr>
          <w:ilvl w:val="0"/>
          <w:numId w:val="16"/>
        </w:numPr>
        <w:spacing w:after="0" w:line="276" w:lineRule="auto"/>
        <w:rPr>
          <w:rFonts w:ascii="Verdana" w:eastAsia="Calibri" w:hAnsi="Verdana" w:cs="Times New Roman"/>
          <w:b/>
          <w:bCs/>
          <w:lang w:val="es-ES"/>
        </w:rPr>
      </w:pPr>
      <w:r w:rsidRPr="00BE4AA0">
        <w:rPr>
          <w:rFonts w:ascii="Verdana" w:eastAsia="Calibri" w:hAnsi="Verdana" w:cs="Times New Roman"/>
          <w:b/>
          <w:bCs/>
          <w:lang w:val="es-ES"/>
        </w:rPr>
        <w:t>Problema planteado:</w:t>
      </w:r>
    </w:p>
    <w:p w14:paraId="7124896F" w14:textId="77777777" w:rsidR="00BE4AA0" w:rsidRPr="00BE4AA0" w:rsidRDefault="00BE4AA0" w:rsidP="00BE4AA0">
      <w:pPr>
        <w:spacing w:after="0" w:line="276" w:lineRule="auto"/>
        <w:rPr>
          <w:rFonts w:ascii="Verdana" w:eastAsia="Calibri" w:hAnsi="Verdana" w:cs="Times New Roman"/>
        </w:rPr>
      </w:pPr>
    </w:p>
    <w:p w14:paraId="21B95133" w14:textId="77777777" w:rsidR="00BE4AA0" w:rsidRPr="00BE4AA0" w:rsidRDefault="00BE4AA0" w:rsidP="00BE4AA0">
      <w:pPr>
        <w:tabs>
          <w:tab w:val="num" w:pos="720"/>
        </w:tabs>
        <w:spacing w:after="0" w:line="276" w:lineRule="auto"/>
        <w:jc w:val="both"/>
        <w:rPr>
          <w:rFonts w:ascii="Verdana" w:eastAsia="Calibri" w:hAnsi="Verdana" w:cs="Times New Roman"/>
        </w:rPr>
      </w:pPr>
      <w:r w:rsidRPr="00BE4AA0">
        <w:rPr>
          <w:rFonts w:ascii="Verdana" w:eastAsia="Calibri" w:hAnsi="Verdana" w:cs="Times New Roman"/>
        </w:rPr>
        <w:t xml:space="preserve">De acuerdo con el contenido de sus solicitudes, la Agencia procede a resolver los siguientes problemas jurídicos: i) ¿Es procedente que una entidad estatal liquide unilateralmente un convenio interadministrativo para exigir el reintegro de saldos no ejecutados sin que medie pacto expreso en dicho convenio?, constituye ese acto administrativo, por sí solo, título ejecutivo suficiente para el cobro coactivo y, en ausencia de habilitación convencional, qué mecanismos debe agotar la entidad para recuperar los recursos públicos no ejecutados antes </w:t>
      </w:r>
      <w:r w:rsidRPr="00BE4AA0">
        <w:rPr>
          <w:rFonts w:ascii="Verdana" w:eastAsia="Calibri" w:hAnsi="Verdana" w:cs="Times New Roman"/>
        </w:rPr>
        <w:lastRenderedPageBreak/>
        <w:t xml:space="preserve">de acudir al medio de control de controversias contractuales?; </w:t>
      </w:r>
      <w:proofErr w:type="spellStart"/>
      <w:r w:rsidRPr="00BE4AA0">
        <w:rPr>
          <w:rFonts w:ascii="Verdana" w:eastAsia="Calibri" w:hAnsi="Verdana" w:cs="Times New Roman"/>
        </w:rPr>
        <w:t>ii</w:t>
      </w:r>
      <w:proofErr w:type="spellEnd"/>
      <w:r w:rsidRPr="00BE4AA0">
        <w:rPr>
          <w:rFonts w:ascii="Verdana" w:eastAsia="Calibri" w:hAnsi="Verdana" w:cs="Times New Roman"/>
        </w:rPr>
        <w:t xml:space="preserve">) En los convenios interadministrativos en los que se pactaron multas y cláusula penal pecuniaria, ¿de qué manera se hacen efectivas tales estipulaciones y hasta cuándo conserva la entidad cooperante competencia para ello?; </w:t>
      </w:r>
      <w:proofErr w:type="spellStart"/>
      <w:r w:rsidRPr="00BE4AA0">
        <w:rPr>
          <w:rFonts w:ascii="Verdana" w:eastAsia="Calibri" w:hAnsi="Verdana" w:cs="Times New Roman"/>
        </w:rPr>
        <w:t>iii</w:t>
      </w:r>
      <w:proofErr w:type="spellEnd"/>
      <w:r w:rsidRPr="00BE4AA0">
        <w:rPr>
          <w:rFonts w:ascii="Verdana" w:eastAsia="Calibri" w:hAnsi="Verdana" w:cs="Times New Roman"/>
        </w:rPr>
        <w:t xml:space="preserve">) ¿Pueden adelantarse de manera simultánea el procedimiento administrativo sancionatorio previsto en el artículo 86 de la Ley 1474 de 2011 y el trámite de liquidación unilateral, suspende el inicio de aquel los términos de pérdida de competencia para liquidar?,  ¿hace la procedencia del recurso de reposición contra el acto de liquidación unilateral innecesario el procedimiento sancionatorio adelantado por los mismos supuestos fácticos?; </w:t>
      </w:r>
      <w:proofErr w:type="spellStart"/>
      <w:r w:rsidRPr="00BE4AA0">
        <w:rPr>
          <w:rFonts w:ascii="Verdana" w:eastAsia="Calibri" w:hAnsi="Verdana" w:cs="Times New Roman"/>
        </w:rPr>
        <w:t>iv</w:t>
      </w:r>
      <w:proofErr w:type="spellEnd"/>
      <w:r w:rsidRPr="00BE4AA0">
        <w:rPr>
          <w:rFonts w:ascii="Verdana" w:eastAsia="Calibri" w:hAnsi="Verdana" w:cs="Times New Roman"/>
        </w:rPr>
        <w:t xml:space="preserve">) ¿Es procedente declarar el siniestro de incumplimiento para afectar la póliza de garantía basándose exclusivamente en hechos ocurridos en la etapa </w:t>
      </w:r>
      <w:proofErr w:type="spellStart"/>
      <w:r w:rsidRPr="00BE4AA0">
        <w:rPr>
          <w:rFonts w:ascii="Verdana" w:eastAsia="Calibri" w:hAnsi="Verdana" w:cs="Times New Roman"/>
        </w:rPr>
        <w:t>postcontractual</w:t>
      </w:r>
      <w:proofErr w:type="spellEnd"/>
      <w:r w:rsidRPr="00BE4AA0">
        <w:rPr>
          <w:rFonts w:ascii="Verdana" w:eastAsia="Calibri" w:hAnsi="Verdana" w:cs="Times New Roman"/>
        </w:rPr>
        <w:t xml:space="preserve"> —mora en el reintegro de saldos—?; v) ¿La imposición de multas o la declaratoria de incumplimiento con efectividad de cláusula penal a una entidad estatal cooperante —ejecutora— genera inhabilidades, vetos o restricciones legales que limiten su capacidad de contratación con el Estado, y se derivan de tales sanciones anotaciones o efectos en el Registro Único de Proponentes o en otros registros propios de la contratación estatal?; vi) ¿Resultan admisibles las justificaciones operativas y administrativas de la parte ejecutora —tales como la liquidación de sus propios subcontratos— para dilatar la firma de la liquidación bilateral, cuál es el momento oportuno y el límite temporal dentro del cual la supervisión debe rendir el informe de presunto incumplimiento, y qué grado de responsabilidad fiscal y disciplinaria asume el supervisor del convenio que omite reportar de forma oportuna los presuntos incumplimientos al ordenador del gasto?</w:t>
      </w:r>
    </w:p>
    <w:p w14:paraId="5D6CDE54" w14:textId="77777777" w:rsidR="00BE4AA0" w:rsidRPr="00BE4AA0" w:rsidRDefault="00BE4AA0" w:rsidP="00BE4AA0">
      <w:pPr>
        <w:tabs>
          <w:tab w:val="num" w:pos="720"/>
        </w:tabs>
        <w:spacing w:after="0" w:line="276" w:lineRule="auto"/>
        <w:jc w:val="both"/>
        <w:rPr>
          <w:rFonts w:ascii="Verdana" w:eastAsia="Calibri" w:hAnsi="Verdana" w:cs="Times New Roman"/>
          <w:i/>
          <w:iCs/>
          <w:lang w:val="es-ES"/>
        </w:rPr>
      </w:pPr>
    </w:p>
    <w:p w14:paraId="349A1D53" w14:textId="77777777" w:rsidR="00BE4AA0" w:rsidRPr="00BE4AA0" w:rsidRDefault="00BE4AA0" w:rsidP="00BE4AA0">
      <w:pPr>
        <w:numPr>
          <w:ilvl w:val="0"/>
          <w:numId w:val="16"/>
        </w:numPr>
        <w:spacing w:after="0" w:line="240" w:lineRule="auto"/>
        <w:contextualSpacing/>
        <w:rPr>
          <w:rFonts w:ascii="Verdana" w:eastAsia="Calibri" w:hAnsi="Verdana" w:cs="Times New Roman"/>
          <w:b/>
          <w:bCs/>
          <w:lang w:val="es-ES"/>
        </w:rPr>
      </w:pPr>
      <w:r w:rsidRPr="00BE4AA0">
        <w:rPr>
          <w:rFonts w:ascii="Verdana" w:eastAsia="Calibri" w:hAnsi="Verdana" w:cs="Times New Roman"/>
          <w:b/>
          <w:bCs/>
          <w:lang w:val="es-ES"/>
        </w:rPr>
        <w:t>Respuesta:</w:t>
      </w:r>
    </w:p>
    <w:p w14:paraId="1763C6B5" w14:textId="77777777" w:rsidR="00BE4AA0" w:rsidRPr="00BE4AA0" w:rsidRDefault="00BE4AA0" w:rsidP="00BE4AA0">
      <w:pPr>
        <w:spacing w:after="0" w:line="240"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BE4AA0" w:rsidRPr="00BE4AA0" w14:paraId="32BD3AEE" w14:textId="77777777" w:rsidTr="00486E91">
        <w:trPr>
          <w:trHeight w:val="345"/>
          <w:jc w:val="center"/>
        </w:trPr>
        <w:tc>
          <w:tcPr>
            <w:tcW w:w="8784" w:type="dxa"/>
            <w:tcBorders>
              <w:bottom w:val="single" w:sz="4" w:space="0" w:color="auto"/>
            </w:tcBorders>
          </w:tcPr>
          <w:p w14:paraId="69CAC127" w14:textId="77777777" w:rsidR="00BE4AA0" w:rsidRPr="00BE4AA0" w:rsidRDefault="00BE4AA0" w:rsidP="00BE4AA0">
            <w:pPr>
              <w:spacing w:line="276" w:lineRule="auto"/>
              <w:jc w:val="both"/>
              <w:rPr>
                <w:rFonts w:ascii="Verdana" w:eastAsia="Calibri" w:hAnsi="Verdana" w:cs="Times New Roman"/>
              </w:rPr>
            </w:pPr>
            <w:r w:rsidRPr="00BE4AA0">
              <w:rPr>
                <w:rFonts w:ascii="Verdana" w:eastAsia="Calibri" w:hAnsi="Verdana" w:cs="Times New Roman"/>
              </w:rPr>
              <w:t xml:space="preserve">En relación con los problemas jurídicos de su consulta, se expresa lo siguiente: </w:t>
            </w:r>
          </w:p>
          <w:p w14:paraId="2260E63D" w14:textId="77777777" w:rsidR="00BE4AA0" w:rsidRPr="00BE4AA0" w:rsidRDefault="00BE4AA0" w:rsidP="00BE4AA0">
            <w:pPr>
              <w:spacing w:line="276" w:lineRule="auto"/>
              <w:jc w:val="both"/>
              <w:rPr>
                <w:rFonts w:ascii="Verdana" w:hAnsi="Verdana" w:cs="Arial"/>
                <w:lang w:val="es-ES" w:eastAsia="es-ES"/>
              </w:rPr>
            </w:pPr>
          </w:p>
          <w:p w14:paraId="7A6D694E" w14:textId="77777777" w:rsidR="00BE4AA0" w:rsidRPr="00BE4AA0" w:rsidRDefault="00BE4AA0" w:rsidP="00BE4AA0">
            <w:pPr>
              <w:spacing w:after="120" w:line="276" w:lineRule="auto"/>
              <w:jc w:val="both"/>
              <w:rPr>
                <w:rFonts w:ascii="Verdana" w:hAnsi="Verdana" w:cs="Arial"/>
                <w:lang w:eastAsia="es-ES"/>
              </w:rPr>
            </w:pPr>
            <w:r w:rsidRPr="00BE4AA0">
              <w:rPr>
                <w:rFonts w:ascii="Verdana" w:hAnsi="Verdana" w:cs="Arial"/>
                <w:lang w:val="es-ES" w:eastAsia="es-ES"/>
              </w:rPr>
              <w:t xml:space="preserve">i. En torno al primer problema jurídico de su consulta, se señala que el Consejo de Estado </w:t>
            </w:r>
            <w:r w:rsidRPr="00BE4AA0">
              <w:rPr>
                <w:rFonts w:ascii="Verdana" w:hAnsi="Verdana" w:cs="Arial"/>
                <w:lang w:eastAsia="es-ES"/>
              </w:rPr>
              <w:t xml:space="preserve">ha reiterado que los convenios interadministrativos no están sometidos, en principio, a las reglas de liquidación previstas en la Ley 80 de 1993, salvo que las entidades cooperantes hayan pactado expresamente mecanismos de liquidación bilateral o unilateral. En consecuencia, una entidad estatal no puede liquidar unilateralmente un convenio interadministrativo ni exigir el reintegro de saldos no ejecutados mediante actos administrativos </w:t>
            </w:r>
            <w:r w:rsidRPr="00BE4AA0">
              <w:rPr>
                <w:rFonts w:ascii="Verdana" w:hAnsi="Verdana" w:cs="Arial"/>
                <w:lang w:eastAsia="es-ES"/>
              </w:rPr>
              <w:lastRenderedPageBreak/>
              <w:t>unilaterales cuando el convenio suscrito no contiene habilitación convencional para ello. La naturaleza asociativa de estos instrumentos, en la que las entidades concurren en posición de igualdad, impide trasladar automáticamente las prerrogativas propias del EGCAP y exige que el mecanismo de cierre del negocio jurídico se encuentre expresamente previsto en el convenio.</w:t>
            </w:r>
          </w:p>
          <w:p w14:paraId="526DC98D"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En todo caso, es de precisar que solo habrá convenio interadministrativo cuando las partes actúan como cooperantes o colaboradoras, aportando recursos o capacidades para fines comunes, sin contraprestaciones propias de los contratos conmutativos. En estos instrumentos no existe pago por honorarios o administración, pues no hay intercambio económico sino concurrencia de aportes. Por el contrario, los contratos interadministrativos sí son conmutativos y su valor corresponde al precio de la prestación que recibe la entidad contratante. Esta distinción es determinante para establecer el régimen aplicable y, en particular, para definir si existen facultades unilaterales de liquidación o de imposición de multas o cláusula penal pecuniaria.</w:t>
            </w:r>
          </w:p>
          <w:p w14:paraId="58D9F592"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 xml:space="preserve">Bajo esta precisión, cuando el convenio no contiene cláusulas de liquidación, mecanismos de reintegro o procedimientos para hacer efectivas potestades unilaterales, la entidad estatal carece de competencia para adelantar actuaciones unilaterales y, por tanto, no puede expedir actos administrativos que constituyan título ejecutivo para cobro coactivo. Solo cuando las partes han pactado expresamente facultades unilaterales —incluyendo la determinación de saldos no ejecutados y el procedimiento para hacerlos exigibles— dichos actos pueden tener efectos vinculantes y eventualmente servir como título ejecutivo, siempre que se ajusten al procedimiento acordado. En los convenios interadministrativos, la exigibilidad de obligaciones </w:t>
            </w:r>
            <w:proofErr w:type="spellStart"/>
            <w:r w:rsidRPr="00BE4AA0">
              <w:rPr>
                <w:rFonts w:ascii="Verdana" w:hAnsi="Verdana" w:cs="Arial"/>
                <w:lang w:eastAsia="es-ES"/>
              </w:rPr>
              <w:t>postcontractuales</w:t>
            </w:r>
            <w:proofErr w:type="spellEnd"/>
            <w:r w:rsidRPr="00BE4AA0">
              <w:rPr>
                <w:rFonts w:ascii="Verdana" w:hAnsi="Verdana" w:cs="Arial"/>
                <w:lang w:eastAsia="es-ES"/>
              </w:rPr>
              <w:t xml:space="preserve"> depende exclusivamente de lo pactado y no de las reglas supletivas del EGCAP.</w:t>
            </w:r>
          </w:p>
          <w:p w14:paraId="3CAEC997"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 xml:space="preserve">Lo anterior no significa que, a falta de acto administrativo de liquidación unilateral, la entidad aportante carezca de toda posibilidad de recuperación. Los documentos que integran la relación convencional —el convenio, sus modificaciones, las actas de recibo, los informes de supervisión y, en su caso, el acta de liquidación bilateral parcial— pueden conformar un título ejecutivo </w:t>
            </w:r>
            <w:r w:rsidRPr="00BE4AA0">
              <w:rPr>
                <w:rFonts w:ascii="Verdana" w:hAnsi="Verdana" w:cs="Arial"/>
                <w:lang w:eastAsia="es-ES"/>
              </w:rPr>
              <w:lastRenderedPageBreak/>
              <w:t>complejo cuando de ellos emane una obligación clara, expresa y actualmente exigible a cargo de la entidad ejecutora, susceptible de cobro mediante el proceso ejecutivo previsto en el artículo 297 del CPACA. La calificación de tales documentos como título ejecutivo corresponde al juez del contrato y depende del contenido concreto de las estipulaciones y de los soportes de ejecución.</w:t>
            </w:r>
          </w:p>
          <w:p w14:paraId="187880BF"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Finalmente, en los convenios interadministrativos y en los contratos no sometidos a la Ley 80 de 1993, el cómputo del término de caducidad previsto en el numeral v), literal j), numeral 2 del artículo 164 del CPACA depende de la forma en que las partes hayan regulado la liquidación. Si se pactó liquidación bilateral, la caducidad se cuenta desde el vencimiento del plazo contractual o, en su defecto, desde los cuatro meses previstos en la norma. Si se acordó liquidación unilateral, la caducidad se computa desde el vencimiento del plazo contractual o, en su defecto, desde los dos meses adicionales previstos para realizar la liquidación unilateral. Ahora bien, cuando el convenio interadministrativo carece de cláusula de liquidación unilateral, la administración no tiene competencia contractual para liquidar de manera unilateral el convenio. En consecuencia, si la liquidación bilateral fracasa, no existe un acto contractual que declare el saldo a favor del Estado ni un título ejecutivo derivado de dicha actuación, por lo que la entidad deberá agotar la conciliación extrajudicial en derecho como requisito de procedibilidad, en los términos del numeral 1 del artículo 161 del CPACA, teniendo en cuenta que su solicitud suspende el término de caducidad en las condiciones del artículo 21 de la Ley 640 de 2001 y, de no lograrse acuerdo, acudir al medio de control de controversias contractuales.</w:t>
            </w:r>
          </w:p>
          <w:p w14:paraId="61EFDF86" w14:textId="77777777" w:rsidR="00BE4AA0" w:rsidRPr="00BE4AA0" w:rsidRDefault="00BE4AA0" w:rsidP="00BE4AA0">
            <w:pPr>
              <w:spacing w:after="120" w:line="276" w:lineRule="auto"/>
              <w:jc w:val="both"/>
              <w:rPr>
                <w:rFonts w:ascii="Verdana" w:hAnsi="Verdana" w:cs="Arial"/>
                <w:iCs/>
                <w:lang w:eastAsia="es-ES"/>
              </w:rPr>
            </w:pPr>
            <w:proofErr w:type="spellStart"/>
            <w:r w:rsidRPr="00BE4AA0">
              <w:rPr>
                <w:rFonts w:ascii="Verdana" w:hAnsi="Verdana" w:cs="Arial"/>
                <w:lang w:eastAsia="es-ES"/>
              </w:rPr>
              <w:t>ii</w:t>
            </w:r>
            <w:proofErr w:type="spellEnd"/>
            <w:r w:rsidRPr="00BE4AA0">
              <w:rPr>
                <w:rFonts w:ascii="Verdana" w:hAnsi="Verdana" w:cs="Arial"/>
                <w:lang w:eastAsia="es-ES"/>
              </w:rPr>
              <w:t xml:space="preserve">. Con respecto al segundo problema jurídico de su consulta, se señala que la autonomía de la voluntad, consagrada en el artículo 1602 del Código Civil, habilita a las partes para pactar cláusulas de apremio y cláusula penal destinadas a asegurar el cumplimiento de las obligaciones convenidas. Ahora bien, es preciso distinguir entre la validez del pacto y la forma en que este se hace efectivo. En los convenios interadministrativos, la estipulación de multas o de cláusula penal pecuniaria genera obligaciones accesorias plenamente exigibles entre las partes cooperantes, pero no constituye por sí misma una competencia administrativa para imponerlas mediante acto administrativo. La potestad sancionatoria contractual, así como el procedimiento previsto en el artículo 86 de la Ley 1474 de 2011, son manifestaciones de poder público </w:t>
            </w:r>
            <w:r w:rsidRPr="00BE4AA0">
              <w:rPr>
                <w:rFonts w:ascii="Verdana" w:hAnsi="Verdana" w:cs="Arial"/>
                <w:lang w:eastAsia="es-ES"/>
              </w:rPr>
              <w:lastRenderedPageBreak/>
              <w:t>sometidas a reserva de ley y de competencia reglada, que no pueden crearse ni atribuirse por acuerdo de voluntades. En consecuencia, la entidad cooperante puede exigir el pago de las sumas pactadas conforme al procedimiento convenido y, ante la renuencia del ejecutor, acudir a la conciliación extrajudicial y a la jurisdicción, pero no puede constituirse en juez de su propia causa frente a otra entidad estatal situada en posición de igualdad. Situación distinta es la de la liquidación bilateral o unilateral pactada, que no configura una cláusula excepcional de las enunciadas en el artículo 14 de la Ley 80 de 1993, sino un mecanismo convencional de cierre y determinación del balance final del convenio, cuya eficacia deriva de lo acordado por las partes.</w:t>
            </w:r>
          </w:p>
          <w:p w14:paraId="4A5F041A" w14:textId="77777777" w:rsidR="00BE4AA0" w:rsidRPr="00BE4AA0" w:rsidRDefault="00BE4AA0" w:rsidP="00BE4AA0">
            <w:pPr>
              <w:spacing w:after="120" w:line="276" w:lineRule="auto"/>
              <w:ind w:firstLine="709"/>
              <w:jc w:val="both"/>
              <w:rPr>
                <w:rFonts w:ascii="Verdana" w:hAnsi="Verdana" w:cs="Arial"/>
                <w:iCs/>
                <w:lang w:eastAsia="es-ES"/>
              </w:rPr>
            </w:pPr>
            <w:r w:rsidRPr="00BE4AA0">
              <w:rPr>
                <w:rFonts w:ascii="Verdana" w:hAnsi="Verdana" w:cs="Arial"/>
                <w:iCs/>
                <w:lang w:eastAsia="es-ES"/>
              </w:rPr>
              <w:t xml:space="preserve">La competencia temporal para hacer efectivas estas estipulaciones depende de su naturaleza jurídica. La multa, por ser un instrumento de coerción orientado a corregir y prevenir incumplimientos durante la ejecución, solo procede mientras el convenio esté vigente. En contraste, la cláusula penal pecuniaria, de carácter sancionatorio e indemnizatorio, puede hacerse efectiva incluso después de finalizada la ejecución, durante el plazo de liquidación del convenio, etapa en la cual se cuantifican los perjuicios y se realizan los cruces y compensaciones correspondientes. </w:t>
            </w:r>
          </w:p>
          <w:p w14:paraId="3A2D2CEB" w14:textId="77777777" w:rsidR="00BE4AA0" w:rsidRPr="00BE4AA0" w:rsidRDefault="00BE4AA0" w:rsidP="00BE4AA0">
            <w:pPr>
              <w:spacing w:after="120" w:line="276" w:lineRule="auto"/>
              <w:ind w:firstLine="709"/>
              <w:jc w:val="both"/>
              <w:rPr>
                <w:rFonts w:ascii="Verdana" w:hAnsi="Verdana" w:cs="Arial"/>
                <w:iCs/>
                <w:lang w:eastAsia="es-ES"/>
              </w:rPr>
            </w:pPr>
            <w:r w:rsidRPr="00BE4AA0">
              <w:rPr>
                <w:rFonts w:ascii="Verdana" w:hAnsi="Verdana" w:cs="Arial"/>
                <w:iCs/>
                <w:lang w:eastAsia="es-ES"/>
              </w:rPr>
              <w:t>En este punto, y respecto de los contratos estatales sometidos al EGCAP, esta Subdirección abandona la tesis sobre competencia temporal para imponer multas y hacer efectiva la cláusula penal contenida en los conceptos C-432 del 27 de julio de 2020, C-646 del 9 de noviembre de 2020, C-329 del 7 de septiembre de 2023 y C-200 del 22 de julio de 2024, conforme a la cual, con fundamento en el artículo 17 de la Ley 1150 de 2007, dicha competencia se extendía únicamente mientras estuviera pendiente la ejecución de las obligaciones del contratista. En su lugar, se adopta el criterio según el cual el límite temporal se determina por la naturaleza de la medida y por el término de que dispone la administración para liquidar el negocio jurídico, conforme lo ha señalado el Consejo de Estado en el expediente 56.002. Esta precisión se formula respecto de los contratos sometidos al EGCAP y no se extiende a los convenios interadministrativos, en los cuales la efectividad de las estipulaciones de apremio se rige por lo pactado y por las vías ordinarias de exigibilidad.</w:t>
            </w:r>
          </w:p>
          <w:p w14:paraId="7220F42E" w14:textId="77777777" w:rsidR="00BE4AA0" w:rsidRPr="00BE4AA0" w:rsidRDefault="00BE4AA0" w:rsidP="00BE4AA0">
            <w:pPr>
              <w:spacing w:after="120" w:line="276" w:lineRule="auto"/>
              <w:ind w:firstLine="709"/>
              <w:jc w:val="both"/>
              <w:rPr>
                <w:rFonts w:ascii="Verdana" w:hAnsi="Verdana" w:cs="Arial"/>
                <w:iCs/>
                <w:lang w:eastAsia="es-ES"/>
              </w:rPr>
            </w:pPr>
            <w:r w:rsidRPr="00BE4AA0">
              <w:rPr>
                <w:rFonts w:ascii="Verdana" w:hAnsi="Verdana" w:cs="Arial"/>
                <w:iCs/>
                <w:lang w:eastAsia="es-ES"/>
              </w:rPr>
              <w:lastRenderedPageBreak/>
              <w:t>En desarrollo de esta línea, la Subsección B de la Sección Tercera del Consejo de Estado, mediante auto del 27 de febrero de 2026, precisó que la competencia de la administración para imponer sanciones por incumplimiento se mantiene hasta que se notifique el auto admisorio de la demanda, momento en el cual se traba la relación jurídica</w:t>
            </w:r>
            <w:r w:rsidRPr="00BE4AA0">
              <w:rPr>
                <w:rFonts w:ascii="Verdana" w:hAnsi="Verdana" w:cs="Arial"/>
                <w:iCs/>
                <w:lang w:eastAsia="es-ES"/>
              </w:rPr>
              <w:noBreakHyphen/>
              <w:t>procesal ante el juez natural del contrato. De la articulación entre este criterio y los términos del artículo 11 de la Ley 1150 de 2007 resulta que, a falta de plazo contractual de liquidación, la administración dispone de un máximo de treinta meses contados desde la terminación del plazo de ejecución —cuatro meses para la liquidación bilateral, dos para la unilateral y veinticuatro adicionales— para dejar en firme el acto administrativo sancionatorio. Dicho término opera como límite máximo y no como plazo garantizado, pues cesa anticipadamente con la notificación del auto admisorio de la demanda. Cuando las partes hayan pactado un plazo de liquidación distinto, el cómputo se ajustará a este.</w:t>
            </w:r>
          </w:p>
          <w:p w14:paraId="75448D7B" w14:textId="77777777" w:rsidR="00BE4AA0" w:rsidRPr="00BE4AA0" w:rsidRDefault="00BE4AA0" w:rsidP="00BE4AA0">
            <w:pPr>
              <w:spacing w:after="120" w:line="276" w:lineRule="auto"/>
              <w:jc w:val="both"/>
              <w:rPr>
                <w:rFonts w:ascii="Verdana" w:hAnsi="Verdana" w:cs="Arial"/>
                <w:lang w:eastAsia="es-ES"/>
              </w:rPr>
            </w:pPr>
            <w:proofErr w:type="spellStart"/>
            <w:r w:rsidRPr="00BE4AA0">
              <w:rPr>
                <w:rFonts w:ascii="Verdana" w:hAnsi="Verdana" w:cs="Arial"/>
                <w:lang w:val="es-ES" w:eastAsia="es-ES"/>
              </w:rPr>
              <w:t>iii</w:t>
            </w:r>
            <w:proofErr w:type="spellEnd"/>
            <w:r w:rsidRPr="00BE4AA0">
              <w:rPr>
                <w:rFonts w:ascii="Verdana" w:hAnsi="Verdana" w:cs="Arial"/>
                <w:lang w:val="es-ES" w:eastAsia="es-ES"/>
              </w:rPr>
              <w:t xml:space="preserve">. </w:t>
            </w:r>
            <w:r w:rsidRPr="00BE4AA0">
              <w:rPr>
                <w:rFonts w:ascii="Verdana" w:hAnsi="Verdana" w:cs="Arial"/>
                <w:lang w:eastAsia="es-ES"/>
              </w:rPr>
              <w:t>En relación con el tercer problema jurídico, se precisa que en los convenios interadministrativos no resulta aplicable el procedimiento administrativo sancionatorio del artículo 86 de la Ley 1474 de 2011, por tratarse de un procedimiento de reserva legal cuya competencia no puede constituirse por vía convencional. Por esta razón no se configura, en estos instrumentos, el supuesto de concurrencia entre la actuación sancionatoria y el trámite de liquidación sobre el que versa la consulta, y el inicio de una actuación de esa naturaleza no suspende ni altera los términos de pérdida de competencia para liquidar, los cuales se rigen exclusivamente por la naturaleza del convenio y por la existencia o ausencia de habilitación convencional.</w:t>
            </w:r>
          </w:p>
          <w:p w14:paraId="61F4A2CA"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 xml:space="preserve">Tratándose de contratos estatales sometidos al EGCAP, donde ambas actuaciones sí resultan procedentes, no existe prejudicialidad ni orden de prelación entre ellas: el procedimiento sancionatorio y el trámite de liquidación pueden adelantarse de manera simultánea, sin que la culminación del primero constituya presupuesto del segundo. Tampoco el inicio del procedimiento sancionatorio suspende los términos previstos en el artículo 11 de la Ley 1150 de 2007, pues la ley no consagra tal efecto suspensivo y las causales de pérdida de competencia son de interpretación restrictiva. En consecuencia, si el término para liquidar unilateralmente expira mientras el procedimiento sancionatorio se encuentra en curso, la competencia para </w:t>
            </w:r>
            <w:r w:rsidRPr="00BE4AA0">
              <w:rPr>
                <w:rFonts w:ascii="Verdana" w:hAnsi="Verdana" w:cs="Arial"/>
                <w:lang w:eastAsia="es-ES"/>
              </w:rPr>
              <w:lastRenderedPageBreak/>
              <w:t>liquidar se extingue en los términos legales, sin que se entienda prorrogada por la actuación en trámite.</w:t>
            </w:r>
          </w:p>
          <w:p w14:paraId="01160A03"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 xml:space="preserve">Finalmente, la procedencia del recurso de reposición contra el acto de liquidación unilateral garantiza la contradicción respecto del balance económico del negocio, pero no sustituye ni hace innecesario el procedimiento sancionatorio, cuando este resulte procedente. Se trata de actuaciones con objeto, causa y efectos distintos: la liquidación determina el estado final de cuentas, mientras que la actuación sancionatoria declara la responsabilidad contractual e impone la consecuencia patrimonial correspondiente. Por ello, la garantía procesal reconocida en el trámite </w:t>
            </w:r>
            <w:proofErr w:type="spellStart"/>
            <w:r w:rsidRPr="00BE4AA0">
              <w:rPr>
                <w:rFonts w:ascii="Verdana" w:hAnsi="Verdana" w:cs="Arial"/>
                <w:lang w:eastAsia="es-ES"/>
              </w:rPr>
              <w:t>liquidatorio</w:t>
            </w:r>
            <w:proofErr w:type="spellEnd"/>
            <w:r w:rsidRPr="00BE4AA0">
              <w:rPr>
                <w:rFonts w:ascii="Verdana" w:hAnsi="Verdana" w:cs="Arial"/>
                <w:lang w:eastAsia="es-ES"/>
              </w:rPr>
              <w:t xml:space="preserve"> no releva a la administración de observar el debido proceso propio de la actuación sancionatoria.</w:t>
            </w:r>
          </w:p>
          <w:p w14:paraId="458AB469" w14:textId="77777777" w:rsidR="00BE4AA0" w:rsidRPr="00BE4AA0" w:rsidRDefault="00BE4AA0" w:rsidP="00BE4AA0">
            <w:pPr>
              <w:spacing w:after="120" w:line="276" w:lineRule="auto"/>
              <w:jc w:val="both"/>
              <w:rPr>
                <w:rFonts w:ascii="Verdana" w:hAnsi="Verdana" w:cs="Arial"/>
                <w:lang w:eastAsia="es-ES"/>
              </w:rPr>
            </w:pPr>
            <w:proofErr w:type="spellStart"/>
            <w:r w:rsidRPr="00BE4AA0">
              <w:rPr>
                <w:rFonts w:ascii="Verdana" w:hAnsi="Verdana" w:cs="Arial"/>
                <w:lang w:val="es-ES" w:eastAsia="es-ES"/>
              </w:rPr>
              <w:t>iv</w:t>
            </w:r>
            <w:proofErr w:type="spellEnd"/>
            <w:r w:rsidRPr="00BE4AA0">
              <w:rPr>
                <w:rFonts w:ascii="Verdana" w:hAnsi="Verdana" w:cs="Arial"/>
                <w:lang w:val="es-ES" w:eastAsia="es-ES"/>
              </w:rPr>
              <w:t xml:space="preserve">. En referencia al cuarto problema jurídico de su consulta, </w:t>
            </w:r>
            <w:r w:rsidRPr="00BE4AA0">
              <w:rPr>
                <w:rFonts w:ascii="Verdana" w:hAnsi="Verdana" w:cs="Arial"/>
                <w:lang w:eastAsia="es-ES"/>
              </w:rPr>
              <w:t xml:space="preserve">se detalla que, en materia de convenios interadministrativos, y atendiendo al régimen aplicable y a la competencia prevista en el artículo 7 de la Ley 1150 de 2007, no es procedente declarar el siniestro de incumplimiento para afectar la póliza de garantía basándose en hechos ocurridos en la etapa </w:t>
            </w:r>
            <w:proofErr w:type="spellStart"/>
            <w:r w:rsidRPr="00BE4AA0">
              <w:rPr>
                <w:rFonts w:ascii="Verdana" w:hAnsi="Verdana" w:cs="Arial"/>
                <w:lang w:eastAsia="es-ES"/>
              </w:rPr>
              <w:t>postcontractual</w:t>
            </w:r>
            <w:proofErr w:type="spellEnd"/>
            <w:r w:rsidRPr="00BE4AA0">
              <w:rPr>
                <w:rFonts w:ascii="Verdana" w:hAnsi="Verdana" w:cs="Arial"/>
                <w:lang w:eastAsia="es-ES"/>
              </w:rPr>
              <w:t>, como la mora en el reintegro de saldos no ejecutados. Ello obedece a que la competencia legal para declarar siniestros es una potestad exclusiva de la administración en los contratos estatales sometidos al EGCAP, y no se extiende a los convenios interadministrativos, cuya naturaleza asociativa o colaborativa implica que las facultades unilaterales solo pueden ejercerse cuando han sido expresamente estipuladas por las partes. Por tanto, la declaratoria de incumplimiento en un convenio no habilita, por sí misma, la declaratoria del siniestro, pues esta facultad no surge de la ley en este tipo de instrumentos.</w:t>
            </w:r>
          </w:p>
          <w:p w14:paraId="7537F722"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 xml:space="preserve">Así las cosas, aunque la entidad constate un incumplimiento en la etapa </w:t>
            </w:r>
            <w:proofErr w:type="spellStart"/>
            <w:r w:rsidRPr="00BE4AA0">
              <w:rPr>
                <w:rFonts w:ascii="Verdana" w:hAnsi="Verdana" w:cs="Arial"/>
                <w:lang w:eastAsia="es-ES"/>
              </w:rPr>
              <w:t>postcontractual</w:t>
            </w:r>
            <w:proofErr w:type="spellEnd"/>
            <w:r w:rsidRPr="00BE4AA0">
              <w:rPr>
                <w:rFonts w:ascii="Verdana" w:hAnsi="Verdana" w:cs="Arial"/>
                <w:lang w:eastAsia="es-ES"/>
              </w:rPr>
              <w:t xml:space="preserve"> —como la renuencia o mora en devolver recursos no ejecutados— ello no habilita automáticamente la afectación de la garantía. La competencia del artículo 7 de la Ley 1150 de 2007 no es extensible a los convenios interadministrativos que por sus condiciones tienen un propósito colaborativo, y cualquier actuación frente a la póliza debe ajustarse a lo pactado en la minuta y a los mecanismos propios del derecho de los seguros. Así lo ha señalado la Sala de Consulta y Servicio Civil del Consejo de Estado </w:t>
            </w:r>
            <w:r w:rsidRPr="00BE4AA0">
              <w:rPr>
                <w:rFonts w:ascii="Verdana" w:hAnsi="Verdana" w:cs="Arial"/>
                <w:lang w:eastAsia="es-ES"/>
              </w:rPr>
              <w:lastRenderedPageBreak/>
              <w:t>en Concepto con Radicado 2257 del 26 de julio de 2016, al indicar que cuando en un convenio interadministrativo se pacta una póliza de cumplimiento, no procede el ejercicio de potestades unilaterales, por lo que la entidad debe acudir a la reclamación ante la aseguradora conforme a las reglas del contrato de seguro y a las condiciones estipuladas por las partes.</w:t>
            </w:r>
          </w:p>
          <w:p w14:paraId="7F10DA98" w14:textId="77777777" w:rsidR="00BE4AA0" w:rsidRPr="00BE4AA0" w:rsidRDefault="00BE4AA0" w:rsidP="00BE4AA0">
            <w:pPr>
              <w:spacing w:after="120" w:line="276" w:lineRule="auto"/>
              <w:jc w:val="both"/>
              <w:rPr>
                <w:rFonts w:ascii="Verdana" w:hAnsi="Verdana" w:cs="Arial"/>
                <w:lang w:eastAsia="es-ES"/>
              </w:rPr>
            </w:pPr>
            <w:r w:rsidRPr="00BE4AA0">
              <w:rPr>
                <w:rFonts w:ascii="Verdana" w:hAnsi="Verdana" w:cs="Arial"/>
                <w:lang w:val="es-ES" w:eastAsia="es-ES"/>
              </w:rPr>
              <w:t xml:space="preserve">v. En torno al quinto problema jurídico, se detalla que </w:t>
            </w:r>
            <w:r w:rsidRPr="00BE4AA0">
              <w:rPr>
                <w:rFonts w:ascii="Verdana" w:hAnsi="Verdana" w:cs="Arial"/>
                <w:lang w:eastAsia="es-ES"/>
              </w:rPr>
              <w:t>el incumplimiento reiterado derivado de la imposición de multas o de la cláusula penal pecuniaria no genera inhabilidad para contratar cuando el sujeto afectado es una entidad estatal. El artículo 90 de la Ley 1474 de 2011 circunscribe esta inhabilidad a los contratistas particulares, entendidos como sujetos privados que participan en la contratación pública. La Sala de Consulta y Servicio Civil del Consejo de Estado en el Concepto con radicado 2257 del 26 de julio de 2016 ha precisado que las inhabilidades son impedimentos que restringen la capacidad de quienes, por su condición jurídica, pueden disponer de sus derechos mediante la celebración de negocios contractuales, categoría que no comprende a las entidades públicas.</w:t>
            </w:r>
          </w:p>
          <w:p w14:paraId="449EF42D"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A diferencia de los particulares, la capacidad contractual de las entidades estatales no proviene de la autonomía privada, sino de mandatos constitucionales y legales que les imponen la prestación continua de servicios públicos y el cumplimiento permanente de funciones administrativas. Por ello, no pueden ser destinatarias de inhabilidades que afecten su posibilidad de contratar, pues ello desconocería los fines esenciales del Estado y vulneraría el principio de continuidad de la función administrativa previsto en el artículo 2 de la Constitución. El Consejo de Estado ha sido enfático en señalar que la función pública requiere continuidad y que las sanciones contractuales no pueden suspender competencias constitucionales ni limitar situaciones jurídicas definidas por normas de jerarquía superior, como las de carácter orgánico.</w:t>
            </w:r>
          </w:p>
          <w:p w14:paraId="210A3F09"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 xml:space="preserve">En consecuencia, aplicar una inhabilidad a una entidad estatal por incumplimiento reiterado implicaría impedirle cumplir sus fines y contrariar los principios que rigen la función administrativa. La jurisprudencia ha reiterado que las entidades públicas no pueden ser inhabilitadas por sanciones contractuales, pues ello equivaldría a obstaculizar la realización de los cometidos estatales. Así lo sostuvo la Sala en el Concepto 1283 de 2000, al </w:t>
            </w:r>
            <w:r w:rsidRPr="00BE4AA0">
              <w:rPr>
                <w:rFonts w:ascii="Verdana" w:hAnsi="Verdana" w:cs="Arial"/>
                <w:lang w:eastAsia="es-ES"/>
              </w:rPr>
              <w:lastRenderedPageBreak/>
              <w:t>advertir que el Estado no puede inhabilitar a sus propios organismos para el cumplimiento de las funciones que la Constitución les asigna. Por tanto, las sanciones derivadas de multas o cláusula penal pecuniaria no pueden producir inhabilidad para contratar cuando el sujeto es una entidad estatal, dada su naturaleza pública y su régimen constitucional especial.</w:t>
            </w:r>
          </w:p>
          <w:p w14:paraId="21210A32"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Por la misma razón, tales sanciones no generan anotaciones en el Registro Único de Proponentes. El artículo 6 de la Ley 1150 de 2007 prevé la inscripción en dicho registro respecto de las personas naturales o jurídicas que aspiran a celebrar contratos con las entidades estatales, y el reporte de multas y sanciones opera dentro de ese ámbito subjetivo. Las entidades estatales que concurren a un convenio interadministrativo en calidad de cooperantes no son sujetos de inscripción en el Registro Único de Proponentes, de modo que la imposición de una multa o la efectividad de la cláusula penal no produce efecto alguno sobre su capacidad de contratación ni sobre registro alguno que la condicione, sin perjuicio de los deberes de publicidad de la actuación en el SECOP y de las responsabilidades individuales que puedan deducirse frente a los servidores públicos involucrados.</w:t>
            </w:r>
          </w:p>
          <w:p w14:paraId="0B90F669" w14:textId="77777777" w:rsidR="00BE4AA0" w:rsidRPr="00BE4AA0" w:rsidRDefault="00BE4AA0" w:rsidP="00BE4AA0">
            <w:pPr>
              <w:spacing w:after="120" w:line="276" w:lineRule="auto"/>
              <w:jc w:val="both"/>
              <w:rPr>
                <w:rFonts w:ascii="Verdana" w:hAnsi="Verdana" w:cs="Arial"/>
                <w:lang w:eastAsia="es-ES"/>
              </w:rPr>
            </w:pPr>
            <w:r w:rsidRPr="00BE4AA0">
              <w:rPr>
                <w:rFonts w:ascii="Verdana" w:hAnsi="Verdana" w:cs="Arial"/>
                <w:lang w:eastAsia="es-ES"/>
              </w:rPr>
              <w:t>vi. En relación con el sexto problema jurídico, se precisa que el Concepto C</w:t>
            </w:r>
            <w:r w:rsidRPr="00BE4AA0">
              <w:rPr>
                <w:rFonts w:ascii="Verdana" w:hAnsi="Verdana" w:cs="Arial"/>
                <w:lang w:eastAsia="es-ES"/>
              </w:rPr>
              <w:noBreakHyphen/>
              <w:t xml:space="preserve">1207 del 7 de octubre de 2025 expresó que las partes de un convenio interadministrativo deben definir las condiciones y mecanismos para verificar el cumplimiento de las actividades pactadas y asegurar una supervisión adecuada durante su ejecución. Estas estipulaciones deben ajustarse al principio de responsabilidad que rige la contratación estatal, conforme al cual las entidades públicas están obligadas a vigilar la correcta ejecución del objeto contractual y a proteger los derechos de la entidad, del ejecutor y de terceros. En este marco, la supervisión exige un seguimiento técnico, jurídico y permanente de la ejecución, orientado a verificar el cumplimiento del objeto y la adecuada administración de los recursos aportados. </w:t>
            </w:r>
          </w:p>
          <w:p w14:paraId="5349D03E"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 xml:space="preserve">En cuanto a la oportunidad del informe de presunto incumplimiento, el ordenamiento no fija un plazo perentorio y autónomo para que la supervisión lo rinda. El deber de reporte se rige por el principio de oportunidad inherente a la función de vigilancia: el informe debe presentarse tan pronto se verifiquen los hechos que lo motivan, de modo que el ordenador del gasto conserve un margen útil para adoptar las decisiones que correspondan dentro de los </w:t>
            </w:r>
            <w:r w:rsidRPr="00BE4AA0">
              <w:rPr>
                <w:rFonts w:ascii="Verdana" w:hAnsi="Verdana" w:cs="Arial"/>
                <w:lang w:eastAsia="es-ES"/>
              </w:rPr>
              <w:lastRenderedPageBreak/>
              <w:t>términos de competencia de la entidad. En consecuencia, el límite temporal del informe es funcional y no autónomo, pues está determinado por los plazos dentro de los cuales la entidad conserva competencia para liquidar el negocio jurídico y, cuando resulte procedente, para adelantar la actuación sancionatoria y afectar las garantías constituidas.</w:t>
            </w:r>
          </w:p>
          <w:p w14:paraId="51C6B9E8"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Las dificultades internas del ejecutor —como la liquidación de subcontratos o trámites administrativos propios— no son, por regla general, oponibles frente a la entidad aportante, salvo que el propio instrumento haya previsto expresamente tal condicionamiento, pues el cumplimiento de los plazos y obligaciones del convenio se rige por lo pactado entre las partes cooperantes. Por ello, el ejecutor no puede supeditar la firma del acta de liquidación bilateral ni la devolución de saldos no ejecutados a la resolución de sus asuntos internos, pues ello afectaría la autonomía y eficacia del convenio interadministrativo y desconocería los plazos pactados.</w:t>
            </w:r>
          </w:p>
          <w:p w14:paraId="4FD6DBE3" w14:textId="77777777" w:rsidR="00BE4AA0" w:rsidRPr="00BE4AA0" w:rsidRDefault="00BE4AA0" w:rsidP="00BE4AA0">
            <w:pPr>
              <w:spacing w:after="120" w:line="276" w:lineRule="auto"/>
              <w:ind w:firstLine="709"/>
              <w:jc w:val="both"/>
              <w:rPr>
                <w:rFonts w:ascii="Verdana" w:hAnsi="Verdana" w:cs="Arial"/>
                <w:lang w:eastAsia="es-ES"/>
              </w:rPr>
            </w:pPr>
            <w:r w:rsidRPr="00BE4AA0">
              <w:rPr>
                <w:rFonts w:ascii="Verdana" w:hAnsi="Verdana" w:cs="Arial"/>
                <w:lang w:eastAsia="es-ES"/>
              </w:rPr>
              <w:t>En este contexto, el supervisor adquiere un rol determinante en la protección del patrimonio público y en la garantía del cumplimiento de las obligaciones del convenio. La omisión en reportar oportunamente retrasos, incumplimientos o renuencias del ejecutor puede dar lugar a que las autoridades competentes valoren la existencia de una falta disciplinaria en los términos de la Ley 1952 de 2019, modificada por la Ley 2094 de 2021, y a que se inicien las actuaciones de responsabilidad fiscal reguladas en la Ley 610 de 2000, cuando de dicha omisión se derive un daño patrimonial al Estado, como puede ocurrir con la pérdida de competencia para liquidar, el vencimiento de garantías o la imposibilidad de recuperar saldos no ejecutados. La calificación de la conducta, la determinación del grado de culpabilidad y la graduación de la sanción corresponden exclusivamente a las autoridades disciplinarias y fiscales, sin que a esta Agencia le competa pronunciarse sobre ellas.</w:t>
            </w:r>
          </w:p>
          <w:p w14:paraId="00BE6ECE" w14:textId="77777777" w:rsidR="00BE4AA0" w:rsidRPr="00BE4AA0" w:rsidRDefault="00BE4AA0" w:rsidP="00BE4AA0">
            <w:pPr>
              <w:spacing w:after="120" w:line="276" w:lineRule="auto"/>
              <w:ind w:firstLine="709"/>
              <w:jc w:val="both"/>
              <w:rPr>
                <w:rFonts w:ascii="Verdana" w:eastAsia="Calibri" w:hAnsi="Verdana" w:cs="Arial"/>
                <w:color w:val="000000" w:themeColor="text1"/>
                <w:lang w:val="es-ES"/>
              </w:rPr>
            </w:pPr>
            <w:r w:rsidRPr="00BE4AA0">
              <w:rPr>
                <w:rFonts w:ascii="Verdana" w:hAnsi="Verdana" w:cs="Arial"/>
                <w:lang w:eastAsia="es-ES"/>
              </w:rPr>
              <w:t xml:space="preserve">Con todo, </w:t>
            </w:r>
            <w:r w:rsidRPr="00BE4AA0">
              <w:rPr>
                <w:rFonts w:ascii="Verdana" w:eastAsia="Calibri" w:hAnsi="Verdana" w:cs="Arial"/>
                <w:color w:val="000000" w:themeColor="text1"/>
                <w:lang w:val="es-ES"/>
              </w:rPr>
              <w:t>hay que recordar que l</w:t>
            </w:r>
            <w:r w:rsidRPr="00BE4AA0">
              <w:rPr>
                <w:rFonts w:ascii="Verdana" w:eastAsia="Calibri" w:hAnsi="Verdana" w:cs="Arial"/>
                <w:color w:val="000000" w:themeColor="text1"/>
              </w:rPr>
              <w:t xml:space="preserve">a sola denominación de </w:t>
            </w:r>
            <w:r w:rsidRPr="00BE4AA0">
              <w:rPr>
                <w:rFonts w:ascii="Verdana" w:eastAsia="Calibri" w:hAnsi="Verdana" w:cs="Arial"/>
                <w:i/>
                <w:iCs/>
                <w:color w:val="000000" w:themeColor="text1"/>
              </w:rPr>
              <w:t>convenio</w:t>
            </w:r>
            <w:r w:rsidRPr="00BE4AA0">
              <w:rPr>
                <w:rFonts w:ascii="Verdana" w:eastAsia="Calibri" w:hAnsi="Verdana" w:cs="Arial"/>
                <w:color w:val="000000" w:themeColor="text1"/>
              </w:rPr>
              <w:t xml:space="preserve"> no determina su naturaleza jurídica ni habilita, por sí misma, la aplicación del EGCAP por parte de la entidad pública constituyente. La calificación del negocio depende del contenido obligacional y de la estructura de colaboración que lo sustenta. Existe convenio interadministrativo cuando las partes actúan como cooperantes en la consecución de fines comunes, sin intercambio </w:t>
            </w:r>
            <w:r w:rsidRPr="00BE4AA0">
              <w:rPr>
                <w:rFonts w:ascii="Verdana" w:eastAsia="Calibri" w:hAnsi="Verdana" w:cs="Arial"/>
                <w:color w:val="000000" w:themeColor="text1"/>
              </w:rPr>
              <w:lastRenderedPageBreak/>
              <w:t>económico propio de los contratos conmutativos y sin remuneraciones por honorarios, administración o servicios. En contraste, los contratos interadministrativos son negocios conmutativos en los que el valor pactado corresponde al precio de la contraprestación que una entidad debe recibir por el suministro del bien, obra o servicio requerido, configurándose así una relación de intercambio que excluye la lógica cooperativa propia del convenio interadministrativo.</w:t>
            </w:r>
            <w:r w:rsidRPr="00BE4AA0">
              <w:rPr>
                <w:rFonts w:ascii="Verdana" w:eastAsia="Calibri" w:hAnsi="Verdana" w:cs="Arial"/>
                <w:color w:val="000000" w:themeColor="text1"/>
                <w:lang w:val="es-ES"/>
              </w:rPr>
              <w:t xml:space="preserve"> </w:t>
            </w:r>
          </w:p>
          <w:p w14:paraId="24AD986C" w14:textId="77777777" w:rsidR="00BE4AA0" w:rsidRPr="00BE4AA0" w:rsidRDefault="00BE4AA0" w:rsidP="00BE4AA0">
            <w:pPr>
              <w:spacing w:after="120" w:line="276" w:lineRule="auto"/>
              <w:ind w:firstLine="708"/>
              <w:jc w:val="both"/>
              <w:rPr>
                <w:rFonts w:ascii="Verdana" w:eastAsia="Calibri" w:hAnsi="Verdana" w:cs="Arial"/>
                <w:color w:val="000000" w:themeColor="text1"/>
                <w:lang w:val="es-ES"/>
              </w:rPr>
            </w:pPr>
            <w:r w:rsidRPr="00BE4AA0">
              <w:rPr>
                <w:rFonts w:ascii="Verdana" w:eastAsia="Calibri" w:hAnsi="Verdana" w:cs="Arial"/>
                <w:color w:val="000000" w:themeColor="text1"/>
                <w:lang w:val="es-ES"/>
              </w:rPr>
              <w:t xml:space="preserve">Al </w:t>
            </w:r>
            <w:r w:rsidRPr="00BE4AA0">
              <w:rPr>
                <w:rFonts w:ascii="Verdana" w:hAnsi="Verdana" w:cs="Arial"/>
                <w:lang w:val="es-ES_tradnl" w:eastAsia="es-ES"/>
              </w:rPr>
              <w:t>margen de la explicación precedente debe advertirse que el análisis requerido para resolver problemas específicos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tbl>
    <w:p w14:paraId="208A9DAF" w14:textId="77777777" w:rsidR="00BE4AA0" w:rsidRPr="00BE4AA0" w:rsidRDefault="00BE4AA0" w:rsidP="00BE4AA0">
      <w:pPr>
        <w:spacing w:after="0" w:line="276" w:lineRule="auto"/>
        <w:jc w:val="both"/>
        <w:rPr>
          <w:rFonts w:ascii="Verdana" w:eastAsia="Calibri" w:hAnsi="Verdana" w:cs="Arial"/>
          <w:bCs/>
          <w:color w:val="000000" w:themeColor="text1"/>
        </w:rPr>
      </w:pPr>
    </w:p>
    <w:p w14:paraId="00CFFCE9" w14:textId="77777777" w:rsidR="00BE4AA0" w:rsidRPr="00BE4AA0" w:rsidRDefault="00BE4AA0" w:rsidP="00BE4AA0">
      <w:pPr>
        <w:numPr>
          <w:ilvl w:val="0"/>
          <w:numId w:val="16"/>
        </w:numPr>
        <w:tabs>
          <w:tab w:val="left" w:pos="2268"/>
        </w:tabs>
        <w:spacing w:after="0" w:line="256" w:lineRule="auto"/>
        <w:rPr>
          <w:rFonts w:ascii="Verdana" w:eastAsia="Calibri" w:hAnsi="Verdana" w:cs="Times New Roman"/>
          <w:b/>
          <w:bCs/>
          <w:lang w:val="es-ES"/>
        </w:rPr>
      </w:pPr>
      <w:r w:rsidRPr="00BE4AA0">
        <w:rPr>
          <w:rFonts w:ascii="Verdana" w:eastAsia="Calibri" w:hAnsi="Verdana" w:cs="Times New Roman"/>
          <w:b/>
          <w:bCs/>
          <w:lang w:val="es-ES"/>
        </w:rPr>
        <w:t>Razones de la respuesta:</w:t>
      </w:r>
    </w:p>
    <w:p w14:paraId="46262690" w14:textId="77777777" w:rsidR="00BE4AA0" w:rsidRPr="00BE4AA0" w:rsidRDefault="00BE4AA0" w:rsidP="00BE4AA0">
      <w:pPr>
        <w:spacing w:after="0" w:line="256" w:lineRule="auto"/>
        <w:rPr>
          <w:rFonts w:ascii="Verdana" w:eastAsia="Calibri" w:hAnsi="Verdana" w:cs="Times New Roman"/>
          <w:b/>
          <w:bCs/>
          <w:lang w:val="es-ES"/>
        </w:rPr>
      </w:pPr>
    </w:p>
    <w:p w14:paraId="40A22F14" w14:textId="77777777" w:rsidR="00BE4AA0" w:rsidRPr="00BE4AA0" w:rsidRDefault="00BE4AA0" w:rsidP="00BE4AA0">
      <w:pPr>
        <w:spacing w:after="0" w:line="276" w:lineRule="auto"/>
        <w:jc w:val="both"/>
        <w:rPr>
          <w:rFonts w:ascii="Verdana" w:eastAsia="Calibri" w:hAnsi="Verdana" w:cs="Arial"/>
          <w:lang w:val="es-ES"/>
        </w:rPr>
      </w:pPr>
      <w:r w:rsidRPr="00BE4AA0">
        <w:rPr>
          <w:rFonts w:ascii="Verdana" w:eastAsia="Calibri" w:hAnsi="Verdana" w:cs="Arial"/>
          <w:lang w:val="es-ES"/>
        </w:rPr>
        <w:t xml:space="preserve">Lo anterior se sustenta en las siguientes consideraciones: </w:t>
      </w:r>
    </w:p>
    <w:p w14:paraId="28F4E7E9" w14:textId="77777777" w:rsidR="00BE4AA0" w:rsidRPr="00BE4AA0" w:rsidRDefault="00BE4AA0" w:rsidP="00BE4AA0">
      <w:pPr>
        <w:spacing w:after="0" w:line="276" w:lineRule="auto"/>
        <w:jc w:val="both"/>
        <w:rPr>
          <w:rFonts w:ascii="Verdana" w:eastAsia="Calibri" w:hAnsi="Verdana" w:cs="Arial"/>
          <w:color w:val="000000" w:themeColor="text1"/>
          <w:lang w:val="es-ES"/>
        </w:rPr>
      </w:pPr>
    </w:p>
    <w:p w14:paraId="5671A0B9" w14:textId="77777777" w:rsidR="00BE4AA0" w:rsidRPr="00BE4AA0" w:rsidRDefault="00BE4AA0" w:rsidP="00BE4AA0">
      <w:pPr>
        <w:spacing w:after="0" w:line="276" w:lineRule="auto"/>
        <w:jc w:val="both"/>
        <w:rPr>
          <w:rFonts w:ascii="Verdana" w:eastAsia="Times New Roman" w:hAnsi="Verdana" w:cs="Arial"/>
          <w:color w:val="000000"/>
          <w:lang w:val="es-ES"/>
        </w:rPr>
      </w:pPr>
      <w:r w:rsidRPr="00BE4AA0">
        <w:rPr>
          <w:rFonts w:ascii="Verdana" w:eastAsia="Times New Roman" w:hAnsi="Verdana" w:cs="Arial"/>
          <w:color w:val="000000"/>
          <w:lang w:val="es-ES"/>
        </w:rPr>
        <w:t>i. 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00BE4AA0">
        <w:rPr>
          <w:rFonts w:ascii="Verdana" w:eastAsia="Times New Roman" w:hAnsi="Verdana" w:cs="Arial"/>
          <w:color w:val="000000"/>
          <w:vertAlign w:val="superscript"/>
          <w:lang w:val="es-ES"/>
        </w:rPr>
        <w:footnoteReference w:id="1"/>
      </w:r>
      <w:r w:rsidRPr="00BE4AA0">
        <w:rPr>
          <w:rFonts w:ascii="Verdana" w:eastAsia="Times New Roman" w:hAnsi="Verdana" w:cs="Arial"/>
          <w:color w:val="000000"/>
          <w:lang w:val="es-ES"/>
        </w:rPr>
        <w:t>. En armonía con lo anterior, la doctrina ha definido la liquidación de la siguiente manera:</w:t>
      </w:r>
    </w:p>
    <w:p w14:paraId="602FB332" w14:textId="77777777" w:rsidR="00BE4AA0" w:rsidRPr="00BE4AA0" w:rsidRDefault="00BE4AA0" w:rsidP="00BE4AA0">
      <w:pPr>
        <w:spacing w:after="0" w:line="276" w:lineRule="auto"/>
        <w:jc w:val="both"/>
        <w:rPr>
          <w:rFonts w:ascii="Verdana" w:eastAsia="Times New Roman" w:hAnsi="Verdana" w:cs="Arial"/>
          <w:color w:val="000000"/>
          <w:lang w:val="es-ES_tradnl"/>
        </w:rPr>
      </w:pPr>
    </w:p>
    <w:p w14:paraId="20FA64C6" w14:textId="77777777" w:rsidR="00BE4AA0" w:rsidRPr="00BE4AA0" w:rsidRDefault="00BE4AA0" w:rsidP="00BE4AA0">
      <w:pPr>
        <w:spacing w:after="0" w:line="240" w:lineRule="auto"/>
        <w:ind w:left="709" w:right="758"/>
        <w:jc w:val="both"/>
        <w:rPr>
          <w:rFonts w:ascii="Verdana" w:eastAsia="Times New Roman" w:hAnsi="Verdana" w:cs="Arial"/>
          <w:sz w:val="20"/>
          <w:szCs w:val="20"/>
          <w:lang w:val="es-MX"/>
        </w:rPr>
      </w:pPr>
      <w:r w:rsidRPr="00BE4AA0">
        <w:rPr>
          <w:rFonts w:ascii="Verdana" w:eastAsia="Times New Roman" w:hAnsi="Verdana" w:cs="Arial"/>
          <w:i/>
          <w:iCs/>
          <w:color w:val="000000"/>
          <w:sz w:val="20"/>
          <w:szCs w:val="20"/>
          <w:lang w:val="es-ES_tradnl"/>
        </w:rPr>
        <w:t>“</w:t>
      </w:r>
      <w:r w:rsidRPr="00BE4AA0">
        <w:rPr>
          <w:rFonts w:ascii="Verdana" w:eastAsia="Times New Roman" w:hAnsi="Verdana" w:cs="Arial"/>
          <w:sz w:val="20"/>
          <w:szCs w:val="20"/>
          <w:lang w:val="es-MX"/>
        </w:rPr>
        <w:t xml:space="preserve">[…] la liquidación del contrato estatal corresponde al arreglo o ajuste económico, técnico y jurídico al que se llega de forma bilateral (por las </w:t>
      </w:r>
      <w:r w:rsidRPr="00BE4AA0">
        <w:rPr>
          <w:rFonts w:ascii="Verdana" w:eastAsia="Times New Roman" w:hAnsi="Verdana" w:cs="Arial"/>
          <w:sz w:val="20"/>
          <w:szCs w:val="20"/>
          <w:lang w:val="es-MX"/>
        </w:rPr>
        <w:lastRenderedPageBreak/>
        <w:t xml:space="preserve">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w:t>
      </w:r>
      <w:proofErr w:type="spellStart"/>
      <w:r w:rsidRPr="00BE4AA0">
        <w:rPr>
          <w:rFonts w:ascii="Verdana" w:eastAsia="Times New Roman" w:hAnsi="Verdana" w:cs="Arial"/>
          <w:sz w:val="20"/>
          <w:szCs w:val="20"/>
          <w:lang w:val="es-MX"/>
        </w:rPr>
        <w:t>ii</w:t>
      </w:r>
      <w:proofErr w:type="spellEnd"/>
      <w:r w:rsidRPr="00BE4AA0">
        <w:rPr>
          <w:rFonts w:ascii="Verdana" w:eastAsia="Times New Roman" w:hAnsi="Verdana" w:cs="Arial"/>
          <w:sz w:val="20"/>
          <w:szCs w:val="20"/>
          <w:lang w:val="es-MX"/>
        </w:rPr>
        <w:t>) definir la situación jurídica de las partes, estableciendo si pueden constituirse o no a paz y salvo; lo que exige, en la práctica, que los negociantes dialoguen e intenten ponerse de acuerdo (aspecto subjetivo)”</w:t>
      </w:r>
      <w:r w:rsidRPr="00BE4AA0">
        <w:rPr>
          <w:rFonts w:ascii="Verdana" w:eastAsia="Times New Roman" w:hAnsi="Verdana" w:cs="Arial"/>
          <w:sz w:val="20"/>
          <w:szCs w:val="20"/>
          <w:vertAlign w:val="superscript"/>
          <w:lang w:val="es-MX"/>
        </w:rPr>
        <w:footnoteReference w:id="2"/>
      </w:r>
      <w:r w:rsidRPr="00BE4AA0">
        <w:rPr>
          <w:rFonts w:ascii="Verdana" w:eastAsia="Times New Roman" w:hAnsi="Verdana" w:cs="Arial"/>
          <w:sz w:val="20"/>
          <w:szCs w:val="20"/>
          <w:lang w:val="es-MX"/>
        </w:rPr>
        <w:t>.</w:t>
      </w:r>
    </w:p>
    <w:p w14:paraId="40F8D114" w14:textId="77777777" w:rsidR="00BE4AA0" w:rsidRPr="00BE4AA0" w:rsidRDefault="00BE4AA0" w:rsidP="00BE4AA0">
      <w:pPr>
        <w:spacing w:after="0" w:line="276" w:lineRule="auto"/>
        <w:jc w:val="both"/>
        <w:rPr>
          <w:rFonts w:ascii="Verdana" w:eastAsia="Times New Roman" w:hAnsi="Verdana" w:cs="Arial"/>
          <w:color w:val="000000"/>
          <w:sz w:val="20"/>
          <w:szCs w:val="20"/>
          <w:lang w:val="es-ES_tradnl"/>
        </w:rPr>
      </w:pPr>
    </w:p>
    <w:p w14:paraId="2479BB3E" w14:textId="77777777" w:rsidR="00BE4AA0" w:rsidRPr="00BE4AA0" w:rsidRDefault="00BE4AA0" w:rsidP="00BE4AA0">
      <w:pPr>
        <w:spacing w:after="120" w:line="276" w:lineRule="auto"/>
        <w:ind w:firstLine="709"/>
        <w:jc w:val="both"/>
        <w:rPr>
          <w:rFonts w:ascii="Verdana" w:eastAsia="Times New Roman" w:hAnsi="Verdana" w:cs="Arial"/>
          <w:color w:val="000000"/>
          <w:sz w:val="21"/>
          <w:szCs w:val="21"/>
          <w:lang w:val="es-ES_tradnl" w:eastAsia="es-ES_tradnl"/>
        </w:rPr>
      </w:pPr>
      <w:r w:rsidRPr="00BE4AA0">
        <w:rPr>
          <w:rFonts w:ascii="Verdana" w:eastAsia="Times New Roman" w:hAnsi="Verdana" w:cs="Arial"/>
          <w:color w:val="000000"/>
          <w:szCs w:val="24"/>
          <w:lang w:val="es-ES_tradnl" w:eastAsia="es-ES_tradnl"/>
        </w:rPr>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BE4AA0">
        <w:rPr>
          <w:rFonts w:ascii="Verdana" w:eastAsia="Times New Roman" w:hAnsi="Verdana" w:cs="Arial"/>
          <w:i/>
          <w:iCs/>
          <w:color w:val="000000"/>
          <w:szCs w:val="24"/>
          <w:lang w:val="es-ES_tradnl" w:eastAsia="es-ES_tradnl"/>
        </w:rPr>
        <w:t>liquidar</w:t>
      </w:r>
      <w:r w:rsidRPr="00BE4AA0">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BE4AA0">
        <w:rPr>
          <w:rFonts w:ascii="Verdana" w:eastAsia="Times New Roman" w:hAnsi="Verdana" w:cs="Arial"/>
          <w:i/>
          <w:iCs/>
          <w:color w:val="000000"/>
          <w:szCs w:val="24"/>
          <w:lang w:val="es-ES_tradnl" w:eastAsia="es-ES_tradnl"/>
        </w:rPr>
        <w:t>liquidación</w:t>
      </w:r>
      <w:r w:rsidRPr="00BE4AA0">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BE4AA0">
        <w:rPr>
          <w:rFonts w:ascii="Verdana" w:eastAsia="Times New Roman" w:hAnsi="Verdana" w:cs="Arial"/>
          <w:color w:val="000000"/>
          <w:szCs w:val="24"/>
          <w:vertAlign w:val="superscript"/>
          <w:lang w:val="es-ES_tradnl" w:eastAsia="es-ES_tradnl"/>
        </w:rPr>
        <w:footnoteReference w:id="3"/>
      </w:r>
      <w:r w:rsidRPr="00BE4AA0">
        <w:rPr>
          <w:rFonts w:ascii="Verdana" w:eastAsia="Times New Roman" w:hAnsi="Verdana" w:cs="Arial"/>
          <w:color w:val="000000"/>
          <w:szCs w:val="24"/>
          <w:lang w:val="es-ES_tradnl" w:eastAsia="es-ES_tradnl"/>
        </w:rPr>
        <w:t xml:space="preserve">. </w:t>
      </w:r>
    </w:p>
    <w:p w14:paraId="6D10FE3B" w14:textId="77777777" w:rsidR="00BE4AA0" w:rsidRPr="00BE4AA0" w:rsidRDefault="00BE4AA0" w:rsidP="00BE4AA0">
      <w:pPr>
        <w:spacing w:after="0" w:line="276" w:lineRule="auto"/>
        <w:ind w:firstLine="709"/>
        <w:jc w:val="both"/>
        <w:rPr>
          <w:rFonts w:ascii="Verdana" w:eastAsia="Times New Roman" w:hAnsi="Verdana" w:cs="Arial"/>
          <w:color w:val="000000"/>
          <w:lang w:val="es-ES_tradnl"/>
        </w:rPr>
      </w:pPr>
      <w:r w:rsidRPr="00BE4AA0">
        <w:rPr>
          <w:rFonts w:ascii="Verdana" w:eastAsia="Times New Roman" w:hAnsi="Verdana" w:cs="Arial"/>
          <w:color w:val="000000"/>
          <w:lang w:val="es-ES_tradnl"/>
        </w:rPr>
        <w:t xml:space="preserve">Las disposiciones legales que regulan la etapa de liquidación de los contratos estatales son el artículo 60 de la Ley 80 de 1993, modificado por el </w:t>
      </w:r>
      <w:r w:rsidRPr="00BE4AA0">
        <w:rPr>
          <w:rFonts w:ascii="Verdana" w:eastAsia="Times New Roman" w:hAnsi="Verdana" w:cs="Arial"/>
          <w:color w:val="000000"/>
          <w:lang w:val="es-ES_tradnl"/>
        </w:rPr>
        <w:lastRenderedPageBreak/>
        <w:t>artículo 217 del Decreto 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3FF60CED" w14:textId="77777777" w:rsidR="00BE4AA0" w:rsidRPr="00BE4AA0" w:rsidRDefault="00BE4AA0" w:rsidP="00BE4AA0">
      <w:pPr>
        <w:spacing w:after="0" w:line="276" w:lineRule="auto"/>
        <w:ind w:firstLine="708"/>
        <w:jc w:val="both"/>
        <w:rPr>
          <w:rFonts w:ascii="Verdana" w:eastAsia="Times New Roman" w:hAnsi="Verdana" w:cs="Arial"/>
          <w:lang w:val="es-ES"/>
        </w:rPr>
      </w:pPr>
    </w:p>
    <w:p w14:paraId="5D5AC4BA" w14:textId="77777777" w:rsidR="00BE4AA0" w:rsidRPr="00BE4AA0" w:rsidRDefault="00BE4AA0" w:rsidP="00BE4AA0">
      <w:pPr>
        <w:spacing w:after="0" w:line="240" w:lineRule="auto"/>
        <w:ind w:left="709" w:right="758"/>
        <w:jc w:val="both"/>
        <w:rPr>
          <w:rFonts w:ascii="Verdana" w:eastAsia="Times New Roman" w:hAnsi="Verdana" w:cs="Arial"/>
          <w:sz w:val="20"/>
          <w:szCs w:val="20"/>
          <w:lang w:val="es-MX"/>
        </w:rPr>
      </w:pPr>
      <w:r w:rsidRPr="00BE4AA0">
        <w:rPr>
          <w:rFonts w:ascii="Verdana" w:eastAsia="Times New Roman" w:hAnsi="Verdana" w:cs="Arial"/>
          <w:sz w:val="20"/>
          <w:szCs w:val="20"/>
          <w:lang w:val="es-ES"/>
        </w:rPr>
        <w:t>“</w:t>
      </w:r>
      <w:r w:rsidRPr="00BE4AA0">
        <w:rPr>
          <w:rFonts w:ascii="Verdana" w:eastAsia="Times New Roman" w:hAnsi="Verdana" w:cs="Arial"/>
          <w:sz w:val="20"/>
          <w:szCs w:val="20"/>
          <w:lang w:val="es-MX"/>
        </w:rPr>
        <w:t>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‘los acuerdos, conciliaciones y transacciones a que llegaren las partes para poner fin a las divergencias presentadas y poder declararse a paz y salvo’”</w:t>
      </w:r>
      <w:r w:rsidRPr="00BE4AA0">
        <w:rPr>
          <w:rFonts w:ascii="Verdana" w:eastAsia="Times New Roman" w:hAnsi="Verdana" w:cs="Arial"/>
          <w:sz w:val="20"/>
          <w:szCs w:val="20"/>
          <w:vertAlign w:val="superscript"/>
          <w:lang w:val="es-MX"/>
        </w:rPr>
        <w:footnoteReference w:id="4"/>
      </w:r>
      <w:r w:rsidRPr="00BE4AA0">
        <w:rPr>
          <w:rFonts w:ascii="Verdana" w:eastAsia="Times New Roman" w:hAnsi="Verdana" w:cs="Arial"/>
          <w:sz w:val="20"/>
          <w:szCs w:val="20"/>
          <w:lang w:val="es-MX"/>
        </w:rPr>
        <w:t>.</w:t>
      </w:r>
    </w:p>
    <w:p w14:paraId="7E39EB3C" w14:textId="77777777" w:rsidR="00BE4AA0" w:rsidRPr="00BE4AA0" w:rsidRDefault="00BE4AA0" w:rsidP="00BE4AA0">
      <w:pPr>
        <w:spacing w:after="0" w:line="276" w:lineRule="auto"/>
        <w:ind w:left="709" w:right="758"/>
        <w:jc w:val="both"/>
        <w:rPr>
          <w:rFonts w:ascii="Verdana" w:eastAsia="Times New Roman" w:hAnsi="Verdana" w:cs="Arial"/>
          <w:sz w:val="20"/>
          <w:szCs w:val="20"/>
          <w:lang w:val="es-MX"/>
        </w:rPr>
      </w:pPr>
    </w:p>
    <w:p w14:paraId="0F024A92" w14:textId="77777777" w:rsidR="00BE4AA0" w:rsidRPr="00BE4AA0" w:rsidRDefault="00BE4AA0" w:rsidP="00BE4AA0">
      <w:pPr>
        <w:spacing w:after="0" w:line="276" w:lineRule="auto"/>
        <w:ind w:firstLine="709"/>
        <w:jc w:val="both"/>
        <w:rPr>
          <w:rFonts w:ascii="Verdana" w:eastAsia="Times New Roman" w:hAnsi="Verdana" w:cs="Arial"/>
          <w:color w:val="000000"/>
          <w:lang w:val="es-ES_tradnl"/>
        </w:rPr>
      </w:pPr>
      <w:r w:rsidRPr="00BE4AA0">
        <w:rPr>
          <w:rFonts w:ascii="Verdana" w:eastAsia="Times New Roman" w:hAnsi="Verdana" w:cs="Arial"/>
          <w:color w:val="000000"/>
          <w:lang w:val="es-MX"/>
        </w:rPr>
        <w:t xml:space="preserve">De </w:t>
      </w:r>
      <w:r w:rsidRPr="00BE4AA0">
        <w:rPr>
          <w:rFonts w:ascii="Verdana" w:eastAsia="Times New Roman" w:hAnsi="Verdana" w:cs="Arial"/>
          <w:color w:val="000000"/>
          <w:lang w:val="es-ES_tradnl"/>
        </w:rPr>
        <w:t>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BE4AA0">
        <w:rPr>
          <w:rFonts w:ascii="Verdana" w:eastAsia="Times New Roman" w:hAnsi="Verdana" w:cs="Arial"/>
          <w:color w:val="000000"/>
          <w:vertAlign w:val="superscript"/>
          <w:lang w:val="es-ES_tradnl"/>
        </w:rPr>
        <w:footnoteReference w:id="5"/>
      </w:r>
      <w:r w:rsidRPr="00BE4AA0">
        <w:rPr>
          <w:rFonts w:ascii="Verdana" w:eastAsia="Times New Roman" w:hAnsi="Verdana" w:cs="Arial"/>
          <w:color w:val="000000"/>
          <w:lang w:val="es-ES_tradnl"/>
        </w:rPr>
        <w:t xml:space="preserve">, así como la probabilidad de que puedan surgir diferencias durante la ejecución del contrato; sin perjuicio de que, como se indicó, todos los contratos estatales de </w:t>
      </w:r>
      <w:r w:rsidRPr="00BE4AA0">
        <w:rPr>
          <w:rFonts w:ascii="Verdana" w:eastAsia="Times New Roman" w:hAnsi="Verdana" w:cs="Arial"/>
          <w:i/>
          <w:iCs/>
          <w:color w:val="000000"/>
          <w:lang w:val="es-ES_tradnl"/>
        </w:rPr>
        <w:t>tracto sucesivo</w:t>
      </w:r>
      <w:r w:rsidRPr="00BE4AA0">
        <w:rPr>
          <w:rFonts w:ascii="Verdana" w:eastAsia="Times New Roman"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p>
    <w:p w14:paraId="65F37A8F" w14:textId="77777777" w:rsidR="00BE4AA0" w:rsidRPr="00BE4AA0" w:rsidRDefault="00BE4AA0" w:rsidP="00BE4AA0">
      <w:pPr>
        <w:spacing w:after="0" w:line="276" w:lineRule="auto"/>
        <w:jc w:val="both"/>
        <w:rPr>
          <w:rFonts w:ascii="Verdana" w:eastAsia="Times New Roman" w:hAnsi="Verdana" w:cs="Arial"/>
          <w:color w:val="000000"/>
          <w:lang w:val="es-ES"/>
        </w:rPr>
      </w:pPr>
    </w:p>
    <w:p w14:paraId="48B1B0A4" w14:textId="77777777" w:rsidR="00BE4AA0" w:rsidRPr="00BE4AA0" w:rsidRDefault="00BE4AA0" w:rsidP="00BE4AA0">
      <w:pPr>
        <w:spacing w:after="120" w:line="276" w:lineRule="auto"/>
        <w:jc w:val="both"/>
        <w:rPr>
          <w:rFonts w:ascii="Verdana" w:eastAsia="Times New Roman" w:hAnsi="Verdana" w:cs="Arial"/>
          <w:color w:val="000000"/>
          <w:lang w:val="es-ES"/>
        </w:rPr>
      </w:pPr>
      <w:proofErr w:type="spellStart"/>
      <w:r w:rsidRPr="00BE4AA0">
        <w:rPr>
          <w:rFonts w:ascii="Verdana" w:eastAsia="Times New Roman" w:hAnsi="Verdana" w:cs="Arial"/>
          <w:color w:val="000000"/>
          <w:lang w:val="es-ES"/>
        </w:rPr>
        <w:t>ii</w:t>
      </w:r>
      <w:proofErr w:type="spellEnd"/>
      <w:r w:rsidRPr="00BE4AA0">
        <w:rPr>
          <w:rFonts w:ascii="Verdana" w:eastAsia="Times New Roman" w:hAnsi="Verdana" w:cs="Arial"/>
          <w:color w:val="000000"/>
          <w:lang w:val="es-ES"/>
        </w:rPr>
        <w:t>. El artículo 11 de la Ley 1150 de 2007 contiene las reglas de tipo procedimental para liquidar los contratos estatales, las cuales se pasan a explicar</w:t>
      </w:r>
      <w:r w:rsidRPr="00BE4AA0">
        <w:rPr>
          <w:rFonts w:ascii="Verdana" w:eastAsia="Times New Roman" w:hAnsi="Verdana" w:cs="Arial"/>
          <w:color w:val="000000"/>
          <w:vertAlign w:val="superscript"/>
          <w:lang w:val="es-ES"/>
        </w:rPr>
        <w:footnoteReference w:id="6"/>
      </w:r>
      <w:r w:rsidRPr="00BE4AA0">
        <w:rPr>
          <w:rFonts w:ascii="Verdana" w:eastAsia="Times New Roman" w:hAnsi="Verdana" w:cs="Arial"/>
          <w:color w:val="000000"/>
          <w:lang w:val="es-ES"/>
        </w:rPr>
        <w:t xml:space="preserve">. En primer </w:t>
      </w:r>
      <w:r w:rsidRPr="00BE4AA0">
        <w:rPr>
          <w:rFonts w:ascii="Verdana" w:eastAsia="Times New Roman" w:hAnsi="Verdana" w:cs="Arial"/>
          <w:color w:val="000000"/>
          <w:lang w:val="es-ES"/>
        </w:rPr>
        <w:lastRenderedPageBreak/>
        <w:t xml:space="preserve">lugar, 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w:t>
      </w:r>
      <w:proofErr w:type="spellStart"/>
      <w:r w:rsidRPr="00BE4AA0">
        <w:rPr>
          <w:rFonts w:ascii="Verdana" w:eastAsia="Times New Roman" w:hAnsi="Verdana" w:cs="Arial"/>
          <w:color w:val="000000"/>
          <w:lang w:val="es-ES"/>
        </w:rPr>
        <w:t>ii</w:t>
      </w:r>
      <w:proofErr w:type="spellEnd"/>
      <w:r w:rsidRPr="00BE4AA0">
        <w:rPr>
          <w:rFonts w:ascii="Verdana" w:eastAsia="Times New Roman" w:hAnsi="Verdana" w:cs="Arial"/>
          <w:color w:val="000000"/>
          <w:lang w:val="es-ES"/>
        </w:rPr>
        <w:t xml:space="preserve">) la expedición del acto administrativo que ordene la terminación del contrato; o, </w:t>
      </w:r>
      <w:proofErr w:type="spellStart"/>
      <w:r w:rsidRPr="00BE4AA0">
        <w:rPr>
          <w:rFonts w:ascii="Verdana" w:eastAsia="Times New Roman" w:hAnsi="Verdana" w:cs="Arial"/>
          <w:color w:val="000000"/>
          <w:lang w:val="es-ES"/>
        </w:rPr>
        <w:t>iii</w:t>
      </w:r>
      <w:proofErr w:type="spellEnd"/>
      <w:r w:rsidRPr="00BE4AA0">
        <w:rPr>
          <w:rFonts w:ascii="Verdana" w:eastAsia="Times New Roman" w:hAnsi="Verdana" w:cs="Arial"/>
          <w:color w:val="000000"/>
          <w:lang w:val="es-ES"/>
        </w:rPr>
        <w:t>) la fecha del acuerdo que disponga la terminación del contrato.</w:t>
      </w:r>
    </w:p>
    <w:p w14:paraId="63D2649C" w14:textId="77777777" w:rsidR="00BE4AA0" w:rsidRPr="00BE4AA0" w:rsidRDefault="00BE4AA0" w:rsidP="00BE4AA0">
      <w:pPr>
        <w:spacing w:after="120" w:line="276" w:lineRule="auto"/>
        <w:ind w:firstLine="709"/>
        <w:jc w:val="both"/>
        <w:rPr>
          <w:rFonts w:ascii="Verdana" w:eastAsia="Times New Roman" w:hAnsi="Verdana" w:cs="Arial"/>
          <w:lang w:val="es-ES_tradnl" w:eastAsia="es-ES_tradnl"/>
        </w:rPr>
      </w:pPr>
      <w:r w:rsidRPr="00BE4AA0">
        <w:rPr>
          <w:rFonts w:ascii="Verdana" w:eastAsia="Times New Roman" w:hAnsi="Verdana" w:cs="Arial"/>
          <w:szCs w:val="24"/>
          <w:lang w:val="es-ES_tradnl" w:eastAsia="es-ES_tradnl"/>
        </w:rPr>
        <w:t>El artículo 11 de la Ley 1150 de 2007 prescribe que la liquidación de mutuo acuerdo deberá realizar dentro del plazo previsto en “</w:t>
      </w:r>
      <w:r w:rsidRPr="00BE4AA0">
        <w:rPr>
          <w:rFonts w:ascii="Verdana" w:eastAsia="Times New Roman" w:hAnsi="Verdana" w:cs="Arial"/>
          <w:lang w:val="es-ES_tradnl" w:eastAsia="es-ES_tradnl"/>
        </w:rPr>
        <w:t>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w:t>
      </w:r>
      <w:r w:rsidRPr="00BE4AA0">
        <w:rPr>
          <w:rFonts w:ascii="Verdana" w:eastAsia="Times New Roman" w:hAnsi="Verdana" w:cs="Arial"/>
          <w:szCs w:val="24"/>
          <w:lang w:val="es-ES_tradnl" w:eastAsia="es-ES_tradnl"/>
        </w:rPr>
        <w:t>materializa los principios de planeación contractual y de trasparencia, comoquiera que su adecuada formulación permite o garantiza la selección objetiva del contratista de acuerdo con los parámetros de calificación correspondientes para cada tipo de procedimiento [y que</w:t>
      </w:r>
      <w:r w:rsidRPr="00BE4AA0">
        <w:rPr>
          <w:rFonts w:ascii="Verdana" w:eastAsia="Times New Roman" w:hAnsi="Verdana" w:cs="Arial"/>
          <w:lang w:val="es-ES_tradnl" w:eastAsia="es-ES_tradnl"/>
        </w:rPr>
        <w:t>] constituye la ley tanto del procedimiento administrativo de selección del contratista, como del contrato a</w:t>
      </w:r>
      <w:r w:rsidRPr="00BE4AA0">
        <w:rPr>
          <w:rFonts w:ascii="Verdana" w:eastAsia="Times New Roman" w:hAnsi="Verdana" w:cs="Arial"/>
          <w:spacing w:val="-7"/>
          <w:lang w:val="es-ES_tradnl" w:eastAsia="es-ES_tradnl"/>
        </w:rPr>
        <w:t xml:space="preserve"> </w:t>
      </w:r>
      <w:r w:rsidRPr="00BE4AA0">
        <w:rPr>
          <w:rFonts w:ascii="Verdana" w:eastAsia="Times New Roman" w:hAnsi="Verdana" w:cs="Arial"/>
          <w:lang w:val="es-ES_tradnl" w:eastAsia="es-ES_tradnl"/>
        </w:rPr>
        <w:t>celebrar”</w:t>
      </w:r>
      <w:r w:rsidRPr="00BE4AA0">
        <w:rPr>
          <w:rFonts w:ascii="Verdana" w:eastAsia="Times New Roman" w:hAnsi="Verdana" w:cs="Arial"/>
          <w:vertAlign w:val="superscript"/>
          <w:lang w:val="es-ES_tradnl" w:eastAsia="es-ES_tradnl"/>
        </w:rPr>
        <w:footnoteReference w:id="7"/>
      </w:r>
      <w:r w:rsidRPr="00BE4AA0">
        <w:rPr>
          <w:rFonts w:ascii="Verdana" w:eastAsia="Times New Roman" w:hAnsi="Verdana" w:cs="Arial"/>
          <w:lang w:val="es-ES_tradnl" w:eastAsia="es-ES_tradnl"/>
        </w:rPr>
        <w:t>. A partir de tales características debe determinarse la equivalencia de un documento con un pliego de condiciones, la cual puede ejemplificarse con la invitación a participar en los procesos de mínima cuantía</w:t>
      </w:r>
      <w:r w:rsidRPr="00BE4AA0">
        <w:rPr>
          <w:rFonts w:ascii="Verdana" w:eastAsia="Times New Roman" w:hAnsi="Verdana" w:cs="Arial"/>
          <w:vertAlign w:val="superscript"/>
          <w:lang w:val="es-ES_tradnl" w:eastAsia="es-ES_tradnl"/>
        </w:rPr>
        <w:footnoteReference w:id="8"/>
      </w:r>
      <w:r w:rsidRPr="00BE4AA0">
        <w:rPr>
          <w:rFonts w:ascii="Verdana" w:eastAsia="Times New Roman" w:hAnsi="Verdana" w:cs="Arial"/>
          <w:lang w:val="es-ES_tradnl" w:eastAsia="es-ES_tradnl"/>
        </w:rPr>
        <w:t xml:space="preserve">, documento dentro del cual la entidad contratante </w:t>
      </w:r>
      <w:r w:rsidRPr="00BE4AA0">
        <w:rPr>
          <w:rFonts w:ascii="Verdana" w:eastAsia="Times New Roman" w:hAnsi="Verdana" w:cs="Arial"/>
          <w:lang w:val="es-ES_tradnl" w:eastAsia="es-ES_tradnl"/>
        </w:rPr>
        <w:lastRenderedPageBreak/>
        <w:t xml:space="preserve">debe fijar las reglas aplicables al procedimiento de selección, cumpliendo con la función del pliego de condiciones. En tal sentido, es un documento “equivalente” del mismo en los términos del artículo 11 </w:t>
      </w:r>
      <w:r w:rsidRPr="00BE4AA0">
        <w:rPr>
          <w:rFonts w:ascii="Verdana" w:eastAsia="Times New Roman" w:hAnsi="Verdana" w:cs="Arial"/>
          <w:i/>
          <w:iCs/>
          <w:lang w:val="es-ES_tradnl" w:eastAsia="es-ES_tradnl"/>
        </w:rPr>
        <w:t>ibidem</w:t>
      </w:r>
      <w:r w:rsidRPr="00BE4AA0">
        <w:rPr>
          <w:rFonts w:ascii="Verdana" w:eastAsia="Times New Roman" w:hAnsi="Verdana" w:cs="Arial"/>
          <w:lang w:val="es-ES_tradnl" w:eastAsia="es-ES_tradnl"/>
        </w:rPr>
        <w:t xml:space="preserve">, dentro del cual es viable establecer el plazo para la liquidación de mutuo acuerdo. </w:t>
      </w:r>
    </w:p>
    <w:p w14:paraId="196A9721" w14:textId="77777777" w:rsidR="00BE4AA0" w:rsidRPr="00BE4AA0" w:rsidRDefault="00BE4AA0" w:rsidP="00BE4AA0">
      <w:pPr>
        <w:spacing w:after="120" w:line="276" w:lineRule="auto"/>
        <w:ind w:firstLine="709"/>
        <w:jc w:val="both"/>
        <w:rPr>
          <w:rFonts w:ascii="Verdana" w:eastAsia="Times New Roman" w:hAnsi="Verdana" w:cs="Arial"/>
          <w:lang w:val="es-ES" w:eastAsia="es-ES"/>
        </w:rPr>
      </w:pPr>
      <w:r w:rsidRPr="00BE4AA0">
        <w:rPr>
          <w:rFonts w:ascii="Verdana" w:eastAsia="Times New Roman" w:hAnsi="Verdana" w:cs="Arial"/>
          <w:lang w:val="es-ES" w:eastAsia="es-ES"/>
        </w:rPr>
        <w:t>De otra parte, cuando el artículo 11 de la Ley 1150 de 2007 se refiere al término que “acuerden las partes” para efectos de la liquidación de mutuo acuerdo, claramente, está habilitando a las partes para que, en ejercicio de la autonomía de la voluntad que les asiste, prevean, de común acuerdo, un plazo para la liquidación bilateral, el cual, en principio, debe estar recogido en el contrato, al ser este el acto jurídico bilateral en el que se consigna originalmente la voluntad de las partes. Sin embargo, cabe la posibilidad de que en el contrato inicialmente suscrito no se haya previsto un acuerdo para la liquidación bilateral. Este hecho no impide que, en el marco de la ejecución del contrato, las partes acuerden fijar el referido plazo; acuerdo que, en tanto significa una alteración de las reglas que orientan la relación contractual, implica una modificación del contrato. Por tal razón, su celebración debe cumplir con los requisitos del negocio jurídico, ameritando la concurrencia de capacidad jurídica de los agentes, un consentimiento libre de vicios, un objeto y causa lícita, así como la formalidad escrita requerida en materia de contratación estatal</w:t>
      </w:r>
      <w:r w:rsidRPr="00BE4AA0">
        <w:rPr>
          <w:rFonts w:ascii="Verdana" w:eastAsia="Times New Roman" w:hAnsi="Verdana" w:cs="Arial"/>
          <w:vertAlign w:val="superscript"/>
          <w:lang w:val="es-ES" w:eastAsia="es-ES"/>
        </w:rPr>
        <w:footnoteReference w:id="9"/>
      </w:r>
      <w:r w:rsidRPr="00BE4AA0">
        <w:rPr>
          <w:rFonts w:ascii="Verdana" w:eastAsia="Times New Roman" w:hAnsi="Verdana" w:cs="Arial"/>
          <w:lang w:val="es-ES" w:eastAsia="es-ES"/>
        </w:rPr>
        <w:t xml:space="preserve">. </w:t>
      </w:r>
    </w:p>
    <w:p w14:paraId="29349A64" w14:textId="77777777" w:rsidR="00BE4AA0" w:rsidRPr="00BE4AA0" w:rsidRDefault="00BE4AA0" w:rsidP="00BE4AA0">
      <w:pPr>
        <w:spacing w:after="120" w:line="276" w:lineRule="auto"/>
        <w:ind w:firstLine="709"/>
        <w:jc w:val="both"/>
        <w:rPr>
          <w:rFonts w:ascii="Verdana" w:eastAsia="Times New Roman" w:hAnsi="Verdana" w:cs="Arial"/>
          <w:lang w:val="es-ES"/>
        </w:rPr>
      </w:pPr>
      <w:r w:rsidRPr="00BE4AA0">
        <w:rPr>
          <w:rFonts w:ascii="Verdana" w:eastAsia="Times New Roman" w:hAnsi="Verdana" w:cs="Arial"/>
          <w:lang w:val="es-ES"/>
        </w:rPr>
        <w:t xml:space="preserve">Ahora bien, el término de 4 meses previsto en el artículo 11 de la Ley 1150 de 2007, dado su carácter supletivo, solo resulta aplicable ante la ausencia de regulación de este en el pliego de condiciones –documento equivalente– o </w:t>
      </w:r>
      <w:r w:rsidRPr="00BE4AA0">
        <w:rPr>
          <w:rFonts w:ascii="Verdana" w:eastAsia="Times New Roman" w:hAnsi="Verdana" w:cs="Arial"/>
          <w:lang w:val="es-ES"/>
        </w:rPr>
        <w:lastRenderedPageBreak/>
        <w:t>acuerdo entre las partes en torno al plazo de liquidación bilateral. Por lo tanto, las partes, en desarrollo de la autonomía de la voluntad que les asiste, están habilitadas para pactar un término diferente, el cual puede ser inferior o incluso superior al plazo supletivo, ante la ausencia de una prohibición normativa al respecto, y ante la existencia, en cambio, de habilitación legal. Sobre este punto, no debe perderse de vista que las actuaciones contractuales regidas por el Estatuto General de Contratación de la Administración pública están sometidas a los principios de la función administrativa</w:t>
      </w:r>
      <w:r w:rsidRPr="00BE4AA0">
        <w:rPr>
          <w:rFonts w:ascii="Verdana" w:eastAsia="Times New Roman" w:hAnsi="Verdana" w:cs="Arial"/>
          <w:vertAlign w:val="superscript"/>
          <w:lang w:val="es-ES"/>
        </w:rPr>
        <w:footnoteReference w:id="10"/>
      </w:r>
      <w:r w:rsidRPr="00BE4AA0">
        <w:rPr>
          <w:rFonts w:ascii="Verdana" w:eastAsia="Times New Roman" w:hAnsi="Verdana" w:cs="Arial"/>
          <w:lang w:val="es-ES"/>
        </w:rPr>
        <w:t>, lo cual implica que las mismas se desarrollen en procura de la economía y la celeridad</w:t>
      </w:r>
      <w:r w:rsidRPr="00BE4AA0">
        <w:rPr>
          <w:rFonts w:ascii="Verdana" w:eastAsia="Times New Roman" w:hAnsi="Verdana" w:cs="Arial"/>
          <w:vertAlign w:val="superscript"/>
          <w:lang w:val="es-ES"/>
        </w:rPr>
        <w:footnoteReference w:id="11"/>
      </w:r>
      <w:r w:rsidRPr="00BE4AA0">
        <w:rPr>
          <w:rFonts w:ascii="Verdana" w:eastAsia="Times New Roman" w:hAnsi="Verdana" w:cs="Arial"/>
          <w:lang w:val="es-ES"/>
        </w:rPr>
        <w:t>. Esto significa que, en ejercicio de la facultad que les asiste para fijar el plazo para la liquidación bilateral, las partes deben actuar en garantía de estos principios, por lo que el término que se acuerde debe fijarse de manera razonable.</w:t>
      </w:r>
    </w:p>
    <w:p w14:paraId="6213BA27" w14:textId="77777777" w:rsidR="00BE4AA0" w:rsidRPr="00BE4AA0" w:rsidRDefault="00BE4AA0" w:rsidP="00BE4AA0">
      <w:pPr>
        <w:spacing w:after="120" w:line="276" w:lineRule="auto"/>
        <w:ind w:firstLine="709"/>
        <w:jc w:val="both"/>
        <w:rPr>
          <w:rFonts w:ascii="Verdana" w:eastAsia="Times New Roman" w:hAnsi="Verdana" w:cs="Arial"/>
          <w:color w:val="000000"/>
          <w:lang w:val="es-ES_tradnl"/>
        </w:rPr>
      </w:pPr>
      <w:r w:rsidRPr="00BE4AA0">
        <w:rPr>
          <w:rFonts w:ascii="Verdana" w:eastAsia="Times New Roman" w:hAnsi="Verdana" w:cs="Arial"/>
          <w:color w:val="000000"/>
          <w:lang w:val="es-ES_tradnl"/>
        </w:rPr>
        <w:t>Durante este término, el contratista puede solicitar que se adelante el trámite de liquidación. Sin embargo, es responsabilidad de la entidad estatal convocarlo para adelantar la liquidación de común acuerdo o notificarlo para que se presente a realizarla</w:t>
      </w:r>
      <w:r w:rsidRPr="00BE4AA0">
        <w:rPr>
          <w:rFonts w:ascii="Verdana" w:eastAsia="Times New Roman" w:hAnsi="Verdana" w:cs="Arial"/>
          <w:color w:val="000000"/>
          <w:vertAlign w:val="superscript"/>
          <w:lang w:val="es-ES_tradnl"/>
        </w:rPr>
        <w:footnoteReference w:id="12"/>
      </w:r>
      <w:r w:rsidRPr="00BE4AA0">
        <w:rPr>
          <w:rFonts w:ascii="Verdana" w:eastAsia="Times New Roman" w:hAnsi="Verdana" w:cs="Arial"/>
          <w:color w:val="000000"/>
          <w:lang w:val="es-ES_tradnl"/>
        </w:rPr>
        <w:t>, de manera que el contrato pueda liquidarse bilateralmente, bien sea en el plazo previsto en el pliego de condiciones, el acordado por las partes, o el supletivo de cuatro meses dispuesto en la ley, según corresponda. Esta liquidación bilateral puede ser total o parcial</w:t>
      </w:r>
      <w:r w:rsidRPr="00BE4AA0">
        <w:rPr>
          <w:rFonts w:ascii="Verdana" w:eastAsia="Times New Roman" w:hAnsi="Verdana" w:cs="Arial"/>
          <w:iCs/>
          <w:color w:val="000000"/>
          <w:vertAlign w:val="superscript"/>
          <w:lang w:val="es-ES_tradnl"/>
        </w:rPr>
        <w:footnoteReference w:id="13"/>
      </w:r>
      <w:r w:rsidRPr="00BE4AA0">
        <w:rPr>
          <w:rFonts w:ascii="Verdana" w:eastAsia="Times New Roman" w:hAnsi="Verdana" w:cs="Arial"/>
          <w:color w:val="000000"/>
          <w:lang w:val="es-ES_tradnl"/>
        </w:rPr>
        <w:t xml:space="preserve">, y </w:t>
      </w:r>
      <w:r w:rsidRPr="00BE4AA0">
        <w:rPr>
          <w:rFonts w:ascii="Verdana" w:eastAsia="Times New Roman" w:hAnsi="Verdana" w:cs="Arial"/>
          <w:iCs/>
          <w:color w:val="000000"/>
          <w:lang w:val="es-ES_tradnl"/>
        </w:rPr>
        <w:t>el documento que la contiene presta mérito ejecutivo, siempre que se satisfagan los elementos para considerarlo como tal</w:t>
      </w:r>
      <w:r w:rsidRPr="00BE4AA0">
        <w:rPr>
          <w:rFonts w:ascii="Verdana" w:eastAsia="Times New Roman" w:hAnsi="Verdana" w:cs="Arial"/>
          <w:color w:val="000000"/>
          <w:lang w:val="es-ES_tradnl"/>
        </w:rPr>
        <w:t xml:space="preserve">. </w:t>
      </w:r>
      <w:r w:rsidRPr="00BE4AA0">
        <w:rPr>
          <w:rFonts w:ascii="Verdana" w:eastAsia="Times New Roman" w:hAnsi="Verdana" w:cs="Arial"/>
          <w:color w:val="000000"/>
          <w:bdr w:val="none" w:sz="0" w:space="0" w:color="auto" w:frame="1"/>
          <w:shd w:val="clear" w:color="auto" w:fill="FFFFFF"/>
          <w:lang w:val="es-ES" w:eastAsia="es-ES_tradnl"/>
        </w:rPr>
        <w:t xml:space="preserve">Si no es posible efectuar la liquidación de manera bilateral, el ordenamiento jurídico prevé una facultad, de carácter subsidiario, para que la Entidad Estatal realice la liquidación unilateralmente. En </w:t>
      </w:r>
      <w:r w:rsidRPr="00BE4AA0">
        <w:rPr>
          <w:rFonts w:ascii="Verdana" w:eastAsia="Times New Roman" w:hAnsi="Verdana" w:cs="Arial"/>
          <w:color w:val="000000"/>
          <w:bdr w:val="none" w:sz="0" w:space="0" w:color="auto" w:frame="1"/>
          <w:shd w:val="clear" w:color="auto" w:fill="FFFFFF"/>
          <w:lang w:val="es-ES" w:eastAsia="es-ES_tradnl"/>
        </w:rPr>
        <w:lastRenderedPageBreak/>
        <w:t xml:space="preserve">relación con este aspecto, la </w:t>
      </w:r>
      <w:r w:rsidRPr="00BE4AA0">
        <w:rPr>
          <w:rFonts w:ascii="Verdana" w:eastAsia="Times New Roman" w:hAnsi="Verdana" w:cs="Arial"/>
          <w:color w:val="000000"/>
          <w:bdr w:val="none" w:sz="0" w:space="0" w:color="auto" w:frame="1"/>
          <w:shd w:val="clear" w:color="auto" w:fill="FFFFFF"/>
          <w:lang w:val="es-MX" w:eastAsia="es-ES_tradnl"/>
        </w:rPr>
        <w:t xml:space="preserve">Sala de Consulta y Servicio Civil del </w:t>
      </w:r>
      <w:r w:rsidRPr="00BE4AA0">
        <w:rPr>
          <w:rFonts w:ascii="Verdana" w:eastAsia="Times New Roman" w:hAnsi="Verdana" w:cs="Arial"/>
          <w:color w:val="000000"/>
          <w:bdr w:val="none" w:sz="0" w:space="0" w:color="auto" w:frame="1"/>
          <w:shd w:val="clear" w:color="auto" w:fill="FFFFFF"/>
          <w:lang w:val="es-ES" w:eastAsia="es-ES_tradnl"/>
        </w:rPr>
        <w:t>Consejo de Estado</w:t>
      </w:r>
      <w:r w:rsidRPr="00BE4AA0">
        <w:rPr>
          <w:rFonts w:ascii="Verdana" w:eastAsia="Times New Roman" w:hAnsi="Verdana" w:cs="Arial"/>
          <w:color w:val="000000"/>
          <w:bdr w:val="none" w:sz="0" w:space="0" w:color="auto" w:frame="1"/>
          <w:shd w:val="clear" w:color="auto" w:fill="FFFFFF"/>
          <w:lang w:val="es-MX" w:eastAsia="es-ES_tradnl"/>
        </w:rPr>
        <w:t>, en Concepto del 28 de junio de 2016, manifestó que:  </w:t>
      </w:r>
    </w:p>
    <w:p w14:paraId="29D9637B" w14:textId="77777777" w:rsidR="00BE4AA0" w:rsidRPr="00BE4AA0" w:rsidRDefault="00BE4AA0" w:rsidP="00BE4AA0">
      <w:pPr>
        <w:spacing w:after="0" w:line="276" w:lineRule="auto"/>
        <w:ind w:left="705" w:right="750"/>
        <w:jc w:val="both"/>
        <w:rPr>
          <w:rFonts w:ascii="Verdana" w:eastAsia="Times New Roman" w:hAnsi="Verdana" w:cs="Arial"/>
          <w:color w:val="000000"/>
          <w:sz w:val="20"/>
          <w:szCs w:val="20"/>
          <w:lang w:eastAsia="es-ES_tradnl"/>
        </w:rPr>
      </w:pPr>
    </w:p>
    <w:p w14:paraId="13CA1C16" w14:textId="77777777" w:rsidR="00BE4AA0" w:rsidRPr="00BE4AA0" w:rsidRDefault="00BE4AA0" w:rsidP="00BE4AA0">
      <w:pPr>
        <w:spacing w:after="0" w:line="240" w:lineRule="auto"/>
        <w:ind w:left="705" w:right="750"/>
        <w:jc w:val="both"/>
        <w:rPr>
          <w:rFonts w:ascii="Verdana" w:eastAsia="Times New Roman" w:hAnsi="Verdana" w:cs="Arial"/>
          <w:color w:val="000000"/>
          <w:sz w:val="20"/>
          <w:szCs w:val="20"/>
          <w:lang w:eastAsia="es-ES_tradnl"/>
        </w:rPr>
      </w:pPr>
      <w:r w:rsidRPr="00BE4AA0">
        <w:rPr>
          <w:rFonts w:ascii="Verdana" w:eastAsia="Times New Roman" w:hAnsi="Verdana" w:cs="Arial"/>
          <w:i/>
          <w:iCs/>
          <w:sz w:val="20"/>
          <w:szCs w:val="20"/>
          <w:lang w:val="es-ES_tradnl" w:eastAsia="es-ES_tradnl"/>
        </w:rPr>
        <w:t>“</w:t>
      </w:r>
      <w:r w:rsidRPr="00BE4AA0">
        <w:rPr>
          <w:rFonts w:ascii="Verdana" w:eastAsia="Times New Roman" w:hAnsi="Verdana" w:cs="Arial"/>
          <w:color w:val="000000"/>
          <w:sz w:val="20"/>
          <w:szCs w:val="20"/>
          <w:lang w:val="es-ES" w:eastAsia="es-ES_tradnl"/>
        </w:rPr>
        <w:t>[</w:t>
      </w:r>
      <w:r w:rsidRPr="00BE4AA0">
        <w:rPr>
          <w:rFonts w:ascii="Verdana" w:eastAsia="Times New Roman" w:hAnsi="Verdana" w:cs="Arial"/>
          <w:color w:val="000000"/>
          <w:sz w:val="20"/>
          <w:szCs w:val="20"/>
          <w:bdr w:val="none" w:sz="0" w:space="0" w:color="auto" w:frame="1"/>
          <w:shd w:val="clear" w:color="auto" w:fill="FFFFFF"/>
          <w:lang w:eastAsia="es-ES_tradnl"/>
        </w:rPr>
        <w:t>…]</w:t>
      </w:r>
      <w:r w:rsidRPr="00BE4AA0">
        <w:rPr>
          <w:rFonts w:ascii="Verdana" w:eastAsia="Times New Roman" w:hAnsi="Verdana" w:cs="Arial"/>
          <w:color w:val="000000"/>
          <w:sz w:val="20"/>
          <w:szCs w:val="20"/>
          <w:bdr w:val="none" w:sz="0" w:space="0" w:color="auto" w:frame="1"/>
          <w:shd w:val="clear" w:color="auto" w:fill="FFFFFF"/>
          <w:lang w:val="es-ES" w:eastAsia="es-ES_tradnl"/>
        </w:rPr>
        <w:t>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BE4AA0">
        <w:rPr>
          <w:rFonts w:ascii="Verdana" w:eastAsia="Times New Roman" w:hAnsi="Verdana" w:cs="Arial"/>
          <w:color w:val="000000"/>
          <w:sz w:val="20"/>
          <w:szCs w:val="20"/>
          <w:bdr w:val="none" w:sz="0" w:space="0" w:color="auto" w:frame="1"/>
          <w:shd w:val="clear" w:color="auto" w:fill="FFFFFF"/>
          <w:vertAlign w:val="superscript"/>
          <w:lang w:val="es-MX" w:eastAsia="es-ES_tradnl"/>
        </w:rPr>
        <w:footnoteReference w:id="14"/>
      </w:r>
      <w:r w:rsidRPr="00BE4AA0">
        <w:rPr>
          <w:rFonts w:ascii="Verdana" w:eastAsia="Times New Roman" w:hAnsi="Verdana" w:cs="Arial"/>
          <w:color w:val="000000"/>
          <w:sz w:val="20"/>
          <w:szCs w:val="20"/>
          <w:bdr w:val="none" w:sz="0" w:space="0" w:color="auto" w:frame="1"/>
          <w:shd w:val="clear" w:color="auto" w:fill="FFFFFF"/>
          <w:lang w:val="es-ES" w:eastAsia="es-ES_tradnl"/>
        </w:rPr>
        <w:t>. </w:t>
      </w:r>
      <w:r w:rsidRPr="00BE4AA0">
        <w:rPr>
          <w:rFonts w:ascii="Verdana" w:eastAsia="Times New Roman" w:hAnsi="Verdana" w:cs="Arial"/>
          <w:color w:val="000000"/>
          <w:sz w:val="20"/>
          <w:szCs w:val="20"/>
          <w:bdr w:val="none" w:sz="0" w:space="0" w:color="auto" w:frame="1"/>
          <w:shd w:val="clear" w:color="auto" w:fill="FFFFFF"/>
          <w:lang w:eastAsia="es-ES_tradnl"/>
        </w:rPr>
        <w:t>  </w:t>
      </w:r>
    </w:p>
    <w:p w14:paraId="4BA42686" w14:textId="77777777" w:rsidR="00BE4AA0" w:rsidRPr="00BE4AA0" w:rsidRDefault="00BE4AA0" w:rsidP="00BE4AA0">
      <w:pPr>
        <w:spacing w:after="120" w:line="276" w:lineRule="auto"/>
        <w:ind w:left="705" w:right="750"/>
        <w:jc w:val="both"/>
        <w:rPr>
          <w:rFonts w:ascii="Verdana" w:eastAsia="Times New Roman" w:hAnsi="Verdana" w:cs="Arial"/>
          <w:color w:val="000000"/>
          <w:lang w:eastAsia="es-ES_tradnl"/>
        </w:rPr>
      </w:pPr>
    </w:p>
    <w:p w14:paraId="7366B4CC" w14:textId="77777777" w:rsidR="00BE4AA0" w:rsidRPr="00BE4AA0" w:rsidRDefault="00BE4AA0" w:rsidP="00BE4AA0">
      <w:pPr>
        <w:spacing w:after="120" w:line="276" w:lineRule="auto"/>
        <w:ind w:firstLine="703"/>
        <w:jc w:val="both"/>
        <w:rPr>
          <w:rFonts w:ascii="Verdana" w:eastAsia="Times New Roman" w:hAnsi="Verdana" w:cs="Arial"/>
          <w:color w:val="000000"/>
          <w:bdr w:val="none" w:sz="0" w:space="0" w:color="auto" w:frame="1"/>
          <w:shd w:val="clear" w:color="auto" w:fill="FFFFFF"/>
          <w:lang w:val="es-ES_tradnl" w:eastAsia="es-ES_tradnl"/>
        </w:rPr>
      </w:pPr>
      <w:bookmarkStart w:id="8" w:name="_Hlk141851266"/>
      <w:r w:rsidRPr="00BE4AA0">
        <w:rPr>
          <w:rFonts w:ascii="Verdana" w:eastAsia="Times New Roman" w:hAnsi="Verdana" w:cs="Arial"/>
          <w:color w:val="000000"/>
          <w:bdr w:val="none" w:sz="0" w:space="0" w:color="auto" w:frame="1"/>
          <w:shd w:val="clear" w:color="auto" w:fill="FFFFFF"/>
          <w:lang w:val="es-ES" w:eastAsia="es-ES_tradnl"/>
        </w:rPr>
        <w:t xml:space="preserve">Si no se logra la liquidación bilateral del contrato, la entidad estatal tiene la facultad de liquidarlo unilateralmente dentro del término de 2 meses contados a partir del vencimiento del plazo que acuerden las partes para liquidar bilateralmente o, ante el silencio de estas, del vencimiento de los 4 meses supletivo establecido por la ley. En este sentido, la liquidación unilateral </w:t>
      </w:r>
      <w:r w:rsidRPr="00BE4AA0">
        <w:rPr>
          <w:rFonts w:ascii="Verdana" w:eastAsia="Times New Roman" w:hAnsi="Verdana" w:cs="Arial"/>
          <w:color w:val="000000"/>
          <w:bdr w:val="none" w:sz="0" w:space="0" w:color="auto" w:frame="1"/>
          <w:shd w:val="clear" w:color="auto" w:fill="FFFFFF"/>
          <w:lang w:val="es-ES_tradnl" w:eastAsia="es-ES_tradnl"/>
        </w:rPr>
        <w:t>es una habilitación legal que no requiere una estipulación contractual para ejercerla en los contratos estatales sometidos al EGCAP en que sea procedente</w:t>
      </w:r>
      <w:r w:rsidRPr="00BE4AA0">
        <w:rPr>
          <w:rFonts w:ascii="Verdana" w:eastAsia="Times New Roman" w:hAnsi="Verdana" w:cs="Arial"/>
          <w:color w:val="000000"/>
          <w:bdr w:val="none" w:sz="0" w:space="0" w:color="auto" w:frame="1"/>
          <w:shd w:val="clear" w:color="auto" w:fill="FFFFFF"/>
          <w:lang w:val="es-ES" w:eastAsia="es-ES_tradnl"/>
        </w:rPr>
        <w:t xml:space="preserve">, es decir, en </w:t>
      </w:r>
      <w:r w:rsidRPr="00BE4AA0">
        <w:rPr>
          <w:rFonts w:ascii="Verdana" w:eastAsia="Times New Roman" w:hAnsi="Verdana" w:cs="Arial"/>
          <w:color w:val="000000"/>
          <w:bdr w:val="none" w:sz="0" w:space="0" w:color="auto" w:frame="1"/>
          <w:shd w:val="clear" w:color="auto" w:fill="FFFFFF"/>
          <w:lang w:val="es-ES_tradnl" w:eastAsia="es-ES_tradnl"/>
        </w:rPr>
        <w:t>los contratos de tracto sucesivo, aquellos cuyo cumplimiento o ejecución se prolongue en el tiempo y los demás que lo requieran, conforme al artículo 60 de la Ley 80 de 1993.</w:t>
      </w:r>
      <w:r w:rsidRPr="00BE4AA0">
        <w:rPr>
          <w:rFonts w:ascii="Verdana" w:eastAsia="Times New Roman" w:hAnsi="Verdana" w:cs="Arial"/>
          <w:color w:val="000000"/>
          <w:bdr w:val="none" w:sz="0" w:space="0" w:color="auto" w:frame="1"/>
          <w:shd w:val="clear" w:color="auto" w:fill="FFFFFF"/>
          <w:lang w:val="es-ES" w:eastAsia="es-ES_tradnl"/>
        </w:rPr>
        <w:t xml:space="preserve"> De esta manera, liquidación unilateral es subsidiaria del intento de la liquidación bilateral, como manifestación de la garantía del debido proceso, puesto que la primera solo procede si el contratista particular no se presenta, previo requerimiento de la entidad, o si las partes no tienen un acuerdo sobre el contenido</w:t>
      </w:r>
      <w:r w:rsidRPr="00BE4AA0">
        <w:rPr>
          <w:rFonts w:ascii="Verdana" w:eastAsia="Times New Roman" w:hAnsi="Verdana" w:cs="Arial"/>
          <w:color w:val="000000"/>
          <w:bdr w:val="none" w:sz="0" w:space="0" w:color="auto" w:frame="1"/>
          <w:shd w:val="clear" w:color="auto" w:fill="FFFFFF"/>
          <w:vertAlign w:val="superscript"/>
          <w:lang w:val="es-ES" w:eastAsia="es-ES_tradnl"/>
        </w:rPr>
        <w:footnoteReference w:id="15"/>
      </w:r>
      <w:r w:rsidRPr="00BE4AA0">
        <w:rPr>
          <w:rFonts w:ascii="Verdana" w:eastAsia="Times New Roman" w:hAnsi="Verdana" w:cs="Arial"/>
          <w:color w:val="000000"/>
          <w:bdr w:val="none" w:sz="0" w:space="0" w:color="auto" w:frame="1"/>
          <w:shd w:val="clear" w:color="auto" w:fill="FFFFFF"/>
          <w:lang w:val="es-ES" w:eastAsia="es-ES_tradnl"/>
        </w:rPr>
        <w:t xml:space="preserve">. En efecto, la entidad expedirá un acto administrativo previamente motivado, que contenga la liquidación del contrato. Por otro lado, la doctrina señala que la liquidación unilateral también procede en otros supuestos: </w:t>
      </w:r>
    </w:p>
    <w:p w14:paraId="4632F94F" w14:textId="77777777" w:rsidR="00BE4AA0" w:rsidRPr="00BE4AA0" w:rsidRDefault="00BE4AA0" w:rsidP="00BE4AA0">
      <w:pPr>
        <w:spacing w:after="0" w:line="276" w:lineRule="auto"/>
        <w:ind w:firstLine="703"/>
        <w:jc w:val="both"/>
        <w:rPr>
          <w:rFonts w:ascii="Verdana" w:eastAsia="Times New Roman" w:hAnsi="Verdana" w:cs="Arial"/>
          <w:color w:val="000000"/>
          <w:sz w:val="20"/>
          <w:szCs w:val="20"/>
          <w:bdr w:val="none" w:sz="0" w:space="0" w:color="auto" w:frame="1"/>
          <w:shd w:val="clear" w:color="auto" w:fill="FFFFFF"/>
          <w:lang w:val="es-ES" w:eastAsia="es-ES_tradnl"/>
        </w:rPr>
      </w:pPr>
    </w:p>
    <w:p w14:paraId="2C9327A3" w14:textId="77777777" w:rsidR="00BE4AA0" w:rsidRPr="00BE4AA0" w:rsidRDefault="00BE4AA0" w:rsidP="00BE4AA0">
      <w:pPr>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E4AA0">
        <w:rPr>
          <w:rFonts w:ascii="Verdana" w:eastAsia="Times New Roman" w:hAnsi="Verdana" w:cs="Arial"/>
          <w:color w:val="000000"/>
          <w:sz w:val="20"/>
          <w:szCs w:val="20"/>
          <w:bdr w:val="none" w:sz="0" w:space="0" w:color="auto" w:frame="1"/>
          <w:shd w:val="clear" w:color="auto" w:fill="FFFFFF"/>
          <w:lang w:val="es-ES" w:eastAsia="es-ES_tradnl"/>
        </w:rPr>
        <w:lastRenderedPageBreak/>
        <w:t>Incluso, la liquidación unilateral es subsidiaria de la bilateral cuando se procede la terminación anormal del contrato, por incumplimiento grave del contratista, que conduzca a la declaratoria de caducidad. Dentro de tal supuesto, la liquidación del contrato estatal también puede sobrevenir como una consecuencia anticipada del incumplimiento del contratista […]</w:t>
      </w:r>
    </w:p>
    <w:p w14:paraId="24646D2F" w14:textId="77777777" w:rsidR="00BE4AA0" w:rsidRPr="00BE4AA0" w:rsidRDefault="00BE4AA0" w:rsidP="00BE4AA0">
      <w:pPr>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p>
    <w:p w14:paraId="3BBD7D2A" w14:textId="77777777" w:rsidR="00BE4AA0" w:rsidRPr="00BE4AA0" w:rsidRDefault="00BE4AA0" w:rsidP="00BE4AA0">
      <w:pPr>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E4AA0">
        <w:rPr>
          <w:rFonts w:ascii="Verdana" w:eastAsia="Times New Roman" w:hAnsi="Verdana" w:cs="Arial"/>
          <w:color w:val="000000"/>
          <w:sz w:val="20"/>
          <w:szCs w:val="20"/>
          <w:bdr w:val="none" w:sz="0" w:space="0" w:color="auto" w:frame="1"/>
          <w:shd w:val="clear" w:color="auto" w:fill="FFFFFF"/>
          <w:lang w:val="es-ES" w:eastAsia="es-ES_tradnl"/>
        </w:rPr>
        <w:t>En efecto, varias disposiciones de la Ley 80 de 1993 permiten la liquidación por terminación anticipada del contrato: así, en caso de renuncia a la ejecución del contrato, por parte del contratista, por alteración de su valor en un 20% como consecuencia de la modificación unilateral efectuada por la entidad contratante, el artículo 16 de la Ley 80 de 1993 establece que ´se ordenará la liquidación del contrato´. Nada obsta para que la entidad también esté obligada a intentar acordar con el contratista el contenido de dicha liquidación, de tal manera que esta sea bilateral, pues de la expresión ’se ordenará la liquidación del contrato´ no se desprende que tenga que ser, automáticamente, unilateral</w:t>
      </w:r>
      <w:r w:rsidRPr="00BE4AA0">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16"/>
      </w:r>
      <w:r w:rsidRPr="00BE4AA0">
        <w:rPr>
          <w:rFonts w:ascii="Verdana" w:eastAsia="Times New Roman" w:hAnsi="Verdana" w:cs="Arial"/>
          <w:color w:val="000000"/>
          <w:sz w:val="20"/>
          <w:szCs w:val="20"/>
          <w:bdr w:val="none" w:sz="0" w:space="0" w:color="auto" w:frame="1"/>
          <w:shd w:val="clear" w:color="auto" w:fill="FFFFFF"/>
          <w:lang w:val="es-ES" w:eastAsia="es-ES_tradnl"/>
        </w:rPr>
        <w:t xml:space="preserve">. </w:t>
      </w:r>
    </w:p>
    <w:p w14:paraId="6F778CF8" w14:textId="77777777" w:rsidR="00BE4AA0" w:rsidRPr="00BE4AA0" w:rsidRDefault="00BE4AA0" w:rsidP="00BE4AA0">
      <w:pPr>
        <w:spacing w:after="0" w:line="240" w:lineRule="auto"/>
        <w:ind w:left="709" w:right="709"/>
        <w:jc w:val="both"/>
        <w:rPr>
          <w:rFonts w:ascii="Verdana" w:eastAsia="Times New Roman" w:hAnsi="Verdana" w:cs="Arial"/>
          <w:color w:val="000000"/>
          <w:bdr w:val="none" w:sz="0" w:space="0" w:color="auto" w:frame="1"/>
          <w:shd w:val="clear" w:color="auto" w:fill="FFFFFF"/>
          <w:lang w:val="es-ES" w:eastAsia="es-ES_tradnl"/>
        </w:rPr>
      </w:pPr>
    </w:p>
    <w:p w14:paraId="586808B1" w14:textId="77777777" w:rsidR="00BE4AA0" w:rsidRPr="00BE4AA0" w:rsidRDefault="00BE4AA0" w:rsidP="00BE4AA0">
      <w:pPr>
        <w:spacing w:after="120" w:line="276" w:lineRule="auto"/>
        <w:ind w:firstLine="703"/>
        <w:jc w:val="both"/>
        <w:rPr>
          <w:rFonts w:ascii="Verdana" w:eastAsia="Times New Roman" w:hAnsi="Verdana" w:cs="Arial"/>
          <w:color w:val="000000"/>
          <w:bdr w:val="none" w:sz="0" w:space="0" w:color="auto" w:frame="1"/>
          <w:shd w:val="clear" w:color="auto" w:fill="FFFFFF"/>
          <w:lang w:val="es-ES" w:eastAsia="es-ES_tradnl"/>
        </w:rPr>
      </w:pPr>
      <w:r w:rsidRPr="00BE4AA0">
        <w:rPr>
          <w:rFonts w:ascii="Verdana" w:eastAsia="Times New Roman" w:hAnsi="Verdana" w:cs="Arial"/>
          <w:color w:val="000000"/>
          <w:bdr w:val="none" w:sz="0" w:space="0" w:color="auto" w:frame="1"/>
          <w:shd w:val="clear" w:color="auto" w:fill="FFFFFF"/>
          <w:lang w:val="es-ES" w:eastAsia="es-ES_tradnl"/>
        </w:rPr>
        <w:t xml:space="preserve">De esta manera, puede inferirse que la liquidación unilateral procede en aquellos casos de terminación anormal del contrato como es la declaratoria de caducidad, así como en aquellos supuestos de terminación del contrato, como en caso de renuncia por parte del contratista a la ejecución del contrato, así como por causa de la modificación unilateral. En todo caso, la entidad debe revisar de acuerdo con los supuestos que se exponen y a las normas de las compras públicas la procedencia de la liquidación unilateral. </w:t>
      </w:r>
    </w:p>
    <w:p w14:paraId="2A225F38" w14:textId="77777777" w:rsidR="00BE4AA0" w:rsidRPr="00BE4AA0" w:rsidRDefault="00BE4AA0" w:rsidP="00BE4AA0">
      <w:pPr>
        <w:spacing w:after="0" w:line="276" w:lineRule="auto"/>
        <w:ind w:firstLine="703"/>
        <w:jc w:val="both"/>
        <w:rPr>
          <w:rFonts w:ascii="Verdana" w:eastAsia="Times New Roman" w:hAnsi="Verdana" w:cs="Arial"/>
          <w:color w:val="000000"/>
          <w:bdr w:val="none" w:sz="0" w:space="0" w:color="auto" w:frame="1"/>
          <w:shd w:val="clear" w:color="auto" w:fill="FFFFFF"/>
          <w:lang w:val="es-ES" w:eastAsia="es-ES_tradnl"/>
        </w:rPr>
      </w:pPr>
      <w:r w:rsidRPr="00BE4AA0">
        <w:rPr>
          <w:rFonts w:ascii="Verdana" w:eastAsia="Times New Roman" w:hAnsi="Verdana" w:cs="Arial"/>
          <w:color w:val="000000"/>
          <w:bdr w:val="none" w:sz="0" w:space="0" w:color="auto" w:frame="1"/>
          <w:shd w:val="clear" w:color="auto" w:fill="FFFFFF"/>
          <w:lang w:val="es-ES" w:eastAsia="es-ES_tradnl"/>
        </w:rPr>
        <w:t xml:space="preserve">Finalmente, transcurridos estos meses, la liquidación podrá realizarse en cualquier tiempo dentro de los dos años siguientes al vencimiento del término referido, de mutuo acuerdo o unilateralmente, salvo que el contratista haya presentado la demanda con la cual pretenda la liquidación judicial del contrato. De esta manera, durante estos dos años la liquidación podrá hacerse de mutuo acuerdo, unilateralmente por la entidad, o podrá ser solicitada judicialmente por el interesado. </w:t>
      </w:r>
      <w:bookmarkEnd w:id="8"/>
      <w:r w:rsidRPr="00BE4AA0">
        <w:rPr>
          <w:rFonts w:ascii="Verdana" w:eastAsia="Times New Roman" w:hAnsi="Verdana" w:cs="Arial"/>
          <w:color w:val="000000"/>
          <w:bdr w:val="none" w:sz="0" w:space="0" w:color="auto" w:frame="1"/>
          <w:shd w:val="clear" w:color="auto" w:fill="FFFFFF"/>
          <w:lang w:val="es-ES" w:eastAsia="es-ES_tradnl"/>
        </w:rPr>
        <w:t xml:space="preserve">En este sentido, en decisión de unificación de la </w:t>
      </w:r>
      <w:r w:rsidRPr="00BE4AA0">
        <w:rPr>
          <w:rFonts w:ascii="Verdana" w:eastAsia="Times New Roman" w:hAnsi="Verdana" w:cs="Arial"/>
          <w:color w:val="000000"/>
          <w:bdr w:val="none" w:sz="0" w:space="0" w:color="auto" w:frame="1"/>
          <w:shd w:val="clear" w:color="auto" w:fill="FFFFFF"/>
          <w:lang w:val="es-MX" w:eastAsia="es-ES_tradnl"/>
        </w:rPr>
        <w:t>Sección Tercera</w:t>
      </w:r>
      <w:r w:rsidRPr="00BE4AA0">
        <w:rPr>
          <w:rFonts w:ascii="Verdana" w:eastAsia="Times New Roman" w:hAnsi="Verdana" w:cs="Arial"/>
          <w:color w:val="000000"/>
          <w:bdr w:val="none" w:sz="0" w:space="0" w:color="auto" w:frame="1"/>
          <w:shd w:val="clear" w:color="auto" w:fill="FFFFFF"/>
          <w:lang w:val="es-ES" w:eastAsia="es-ES_tradnl"/>
        </w:rPr>
        <w:t xml:space="preserve"> del Consejo de Estado del</w:t>
      </w:r>
      <w:r w:rsidRPr="00BE4AA0">
        <w:rPr>
          <w:rFonts w:ascii="Verdana" w:eastAsia="Times New Roman" w:hAnsi="Verdana" w:cs="Arial"/>
          <w:color w:val="000000"/>
          <w:bdr w:val="none" w:sz="0" w:space="0" w:color="auto" w:frame="1"/>
          <w:shd w:val="clear" w:color="auto" w:fill="FFFFFF"/>
          <w:lang w:val="es-MX" w:eastAsia="es-ES_tradnl"/>
        </w:rPr>
        <w:t> </w:t>
      </w:r>
      <w:r w:rsidRPr="00BE4AA0">
        <w:rPr>
          <w:rFonts w:ascii="Verdana" w:eastAsia="Times New Roman" w:hAnsi="Verdana" w:cs="Arial"/>
          <w:color w:val="000000"/>
          <w:bdr w:val="none" w:sz="0" w:space="0" w:color="auto" w:frame="1"/>
          <w:shd w:val="clear" w:color="auto" w:fill="FFFFFF"/>
          <w:lang w:eastAsia="es-ES_tradnl"/>
        </w:rPr>
        <w:t>1 de agosto de 2019, se expresó: </w:t>
      </w:r>
    </w:p>
    <w:p w14:paraId="03ABB6EC" w14:textId="77777777" w:rsidR="00BE4AA0" w:rsidRPr="00BE4AA0" w:rsidRDefault="00BE4AA0" w:rsidP="00BE4AA0">
      <w:pPr>
        <w:spacing w:after="0" w:line="276" w:lineRule="auto"/>
        <w:ind w:firstLine="705"/>
        <w:jc w:val="both"/>
        <w:rPr>
          <w:rFonts w:ascii="Verdana" w:eastAsia="Times New Roman" w:hAnsi="Verdana" w:cs="Arial"/>
          <w:color w:val="000000"/>
          <w:sz w:val="20"/>
          <w:szCs w:val="20"/>
          <w:lang w:eastAsia="es-ES_tradnl"/>
        </w:rPr>
      </w:pPr>
    </w:p>
    <w:p w14:paraId="6D952B76" w14:textId="77777777" w:rsidR="00BE4AA0" w:rsidRPr="00BE4AA0" w:rsidRDefault="00BE4AA0" w:rsidP="00BE4AA0">
      <w:pPr>
        <w:spacing w:after="0" w:line="240" w:lineRule="auto"/>
        <w:ind w:left="705" w:right="750"/>
        <w:jc w:val="both"/>
        <w:rPr>
          <w:rFonts w:ascii="Verdana" w:eastAsia="Times New Roman" w:hAnsi="Verdana" w:cs="Arial"/>
          <w:color w:val="000000"/>
          <w:sz w:val="20"/>
          <w:szCs w:val="20"/>
          <w:lang w:eastAsia="es-ES_tradnl"/>
        </w:rPr>
      </w:pPr>
      <w:r w:rsidRPr="00BE4AA0">
        <w:rPr>
          <w:rFonts w:ascii="Verdana" w:eastAsia="Times New Roman" w:hAnsi="Verdana" w:cs="Arial"/>
          <w:sz w:val="20"/>
          <w:szCs w:val="20"/>
          <w:lang w:val="es-ES_tradnl" w:eastAsia="es-ES_tradnl"/>
        </w:rPr>
        <w:t>“</w:t>
      </w:r>
      <w:r w:rsidRPr="00BE4AA0">
        <w:rPr>
          <w:rFonts w:ascii="Verdana" w:eastAsia="Times New Roman" w:hAnsi="Verdana" w:cs="Arial"/>
          <w:color w:val="000000"/>
          <w:sz w:val="20"/>
          <w:szCs w:val="20"/>
          <w:bdr w:val="none" w:sz="0" w:space="0" w:color="auto" w:frame="1"/>
          <w:shd w:val="clear" w:color="auto" w:fill="FFFFFF"/>
          <w:lang w:val="es-ES" w:eastAsia="es-ES_tradnl"/>
        </w:rPr>
        <w:t xml:space="preserve">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w:t>
      </w:r>
      <w:r w:rsidRPr="00BE4AA0">
        <w:rPr>
          <w:rFonts w:ascii="Verdana" w:eastAsia="Times New Roman" w:hAnsi="Verdana" w:cs="Arial"/>
          <w:color w:val="000000"/>
          <w:sz w:val="20"/>
          <w:szCs w:val="20"/>
          <w:bdr w:val="none" w:sz="0" w:space="0" w:color="auto" w:frame="1"/>
          <w:shd w:val="clear" w:color="auto" w:fill="FFFFFF"/>
          <w:lang w:val="es-ES" w:eastAsia="es-ES_tradnl"/>
        </w:rPr>
        <w:lastRenderedPageBreak/>
        <w:t>vencimiento sin que la administración lo hubiera liquidado unilateralmente, bajo condición de que el acuerdo </w:t>
      </w:r>
      <w:proofErr w:type="spellStart"/>
      <w:r w:rsidRPr="00BE4AA0">
        <w:rPr>
          <w:rFonts w:ascii="Verdana" w:eastAsia="Times New Roman" w:hAnsi="Verdana" w:cs="Arial"/>
          <w:color w:val="000000"/>
          <w:sz w:val="20"/>
          <w:szCs w:val="20"/>
          <w:bdr w:val="none" w:sz="0" w:space="0" w:color="auto" w:frame="1"/>
          <w:shd w:val="clear" w:color="auto" w:fill="FFFFFF"/>
          <w:lang w:val="es-ES" w:eastAsia="es-ES_tradnl"/>
        </w:rPr>
        <w:t>liquidatorio</w:t>
      </w:r>
      <w:proofErr w:type="spellEnd"/>
      <w:r w:rsidRPr="00BE4AA0">
        <w:rPr>
          <w:rFonts w:ascii="Verdana" w:eastAsia="Times New Roman" w:hAnsi="Verdana" w:cs="Arial"/>
          <w:color w:val="000000"/>
          <w:sz w:val="20"/>
          <w:szCs w:val="20"/>
          <w:bdr w:val="none" w:sz="0" w:space="0" w:color="auto" w:frame="1"/>
          <w:shd w:val="clear" w:color="auto" w:fill="FFFFFF"/>
          <w:lang w:val="es-ES" w:eastAsia="es-ES_tradnl"/>
        </w:rPr>
        <w:t> se logre dentro del lapso de dos años contados a partir del vencimiento del término legalmente conocido para la liquidación unilateral, pues ese es el lapso que el ordenamiento ha fijado para el ejercicio oportuno de la acción</w:t>
      </w:r>
      <w:r w:rsidRPr="00BE4AA0">
        <w:rPr>
          <w:rFonts w:ascii="Verdana" w:eastAsia="Times New Roman" w:hAnsi="Verdana" w:cs="Arial"/>
          <w:sz w:val="20"/>
          <w:szCs w:val="20"/>
          <w:lang w:val="es-ES_tradnl" w:eastAsia="es-ES_tradnl"/>
        </w:rPr>
        <w:t>”</w:t>
      </w:r>
      <w:r w:rsidRPr="00BE4AA0">
        <w:rPr>
          <w:rFonts w:ascii="Verdana" w:eastAsia="Times New Roman" w:hAnsi="Verdana" w:cs="Arial"/>
          <w:color w:val="000000"/>
          <w:sz w:val="20"/>
          <w:szCs w:val="20"/>
          <w:bdr w:val="none" w:sz="0" w:space="0" w:color="auto" w:frame="1"/>
          <w:shd w:val="clear" w:color="auto" w:fill="FFFFFF"/>
          <w:vertAlign w:val="superscript"/>
          <w:lang w:eastAsia="es-ES_tradnl"/>
        </w:rPr>
        <w:t xml:space="preserve"> </w:t>
      </w:r>
      <w:r w:rsidRPr="00BE4AA0">
        <w:rPr>
          <w:rFonts w:ascii="Verdana" w:eastAsia="Times New Roman" w:hAnsi="Verdana" w:cs="Arial"/>
          <w:color w:val="000000"/>
          <w:sz w:val="20"/>
          <w:szCs w:val="20"/>
          <w:bdr w:val="none" w:sz="0" w:space="0" w:color="auto" w:frame="1"/>
          <w:shd w:val="clear" w:color="auto" w:fill="FFFFFF"/>
          <w:vertAlign w:val="superscript"/>
          <w:lang w:eastAsia="es-ES_tradnl"/>
        </w:rPr>
        <w:footnoteReference w:id="17"/>
      </w:r>
      <w:r w:rsidRPr="00BE4AA0">
        <w:rPr>
          <w:rFonts w:ascii="Verdana" w:eastAsia="Times New Roman" w:hAnsi="Verdana" w:cs="Arial"/>
          <w:sz w:val="20"/>
          <w:szCs w:val="20"/>
          <w:lang w:val="es-ES_tradnl" w:eastAsia="es-ES_tradnl"/>
        </w:rPr>
        <w:t>.</w:t>
      </w:r>
      <w:r w:rsidRPr="00BE4AA0">
        <w:rPr>
          <w:rFonts w:ascii="Verdana" w:eastAsia="Times New Roman" w:hAnsi="Verdana" w:cs="Arial"/>
          <w:color w:val="000000"/>
          <w:sz w:val="20"/>
          <w:szCs w:val="20"/>
          <w:bdr w:val="none" w:sz="0" w:space="0" w:color="auto" w:frame="1"/>
          <w:shd w:val="clear" w:color="auto" w:fill="FFFFFF"/>
          <w:lang w:val="es-ES" w:eastAsia="es-ES_tradnl"/>
        </w:rPr>
        <w:t> </w:t>
      </w:r>
    </w:p>
    <w:p w14:paraId="0EB142C2" w14:textId="77777777" w:rsidR="00BE4AA0" w:rsidRPr="00BE4AA0" w:rsidRDefault="00BE4AA0" w:rsidP="00BE4AA0">
      <w:pPr>
        <w:spacing w:after="0" w:line="276" w:lineRule="auto"/>
        <w:ind w:firstLine="708"/>
        <w:jc w:val="both"/>
        <w:rPr>
          <w:rFonts w:ascii="Verdana" w:eastAsia="Times New Roman" w:hAnsi="Verdana" w:cs="Arial"/>
          <w:color w:val="000000"/>
          <w:lang w:eastAsia="es-ES_tradnl"/>
        </w:rPr>
      </w:pPr>
    </w:p>
    <w:p w14:paraId="415ACDBD" w14:textId="77777777" w:rsidR="00BE4AA0" w:rsidRPr="00BE4AA0" w:rsidRDefault="00BE4AA0" w:rsidP="00BE4AA0">
      <w:pPr>
        <w:tabs>
          <w:tab w:val="left" w:pos="709"/>
        </w:tabs>
        <w:spacing w:after="120" w:line="276" w:lineRule="auto"/>
        <w:jc w:val="both"/>
        <w:rPr>
          <w:rFonts w:ascii="Verdana" w:eastAsia="Times New Roman" w:hAnsi="Verdana" w:cs="Arial"/>
          <w:color w:val="000000"/>
          <w:bdr w:val="none" w:sz="0" w:space="0" w:color="auto" w:frame="1"/>
          <w:shd w:val="clear" w:color="auto" w:fill="FFFFFF"/>
          <w:lang w:eastAsia="es-ES_tradnl"/>
        </w:rPr>
      </w:pPr>
      <w:r w:rsidRPr="00BE4AA0">
        <w:rPr>
          <w:rFonts w:ascii="Verdana" w:eastAsia="Times New Roman" w:hAnsi="Verdana" w:cs="Arial"/>
          <w:color w:val="000000"/>
          <w:bdr w:val="none" w:sz="0" w:space="0" w:color="auto" w:frame="1"/>
          <w:shd w:val="clear" w:color="auto" w:fill="FFFFFF"/>
          <w:lang w:eastAsia="es-ES_tradnl"/>
        </w:rPr>
        <w:tab/>
        <w:t xml:space="preserve">A su turno, la liquidación judicial hace parte de una de las pretensiones que admite el medio de control de controversias contractuales. Al respecto, el artículo 141 de la Ley 1437 de 2011 dispone que “[…] el interesado podrá </w:t>
      </w:r>
      <w:bookmarkStart w:id="9" w:name="_Hlk172560769"/>
      <w:r w:rsidRPr="00BE4AA0">
        <w:rPr>
          <w:rFonts w:ascii="Verdana" w:eastAsia="Times New Roman" w:hAnsi="Verdana" w:cs="Arial"/>
          <w:color w:val="000000"/>
          <w:bdr w:val="none" w:sz="0" w:space="0" w:color="auto" w:frame="1"/>
          <w:shd w:val="clear" w:color="auto" w:fill="FFFFFF"/>
          <w:lang w:eastAsia="es-ES_tradnl"/>
        </w:rPr>
        <w:t>solicitar la liquidación judicial</w:t>
      </w:r>
      <w:bookmarkEnd w:id="9"/>
      <w:r w:rsidRPr="00BE4AA0">
        <w:rPr>
          <w:rFonts w:ascii="Verdana" w:eastAsia="Times New Roman" w:hAnsi="Verdana" w:cs="Arial"/>
          <w:color w:val="000000"/>
          <w:bdr w:val="none" w:sz="0" w:space="0" w:color="auto" w:frame="1"/>
          <w:shd w:val="clear" w:color="auto" w:fill="FFFFFF"/>
          <w:lang w:eastAsia="es-ES_tradnl"/>
        </w:rPr>
        <w:t xml:space="preserve"> del contrato cuando esta no se haya logrado de mutuo acuerdo y la entidad estatal no lo haya liquidado unilateralmente dentro de los dos (2) meses siguientes al vencimiento del plazo convenido para liquidar de mutuo acuerdo o, en su defecto, del término establecido por la ley”. Bajo esta perspectiva, para la entidad cesa la facultad de liquidar bilateral o unilateralmente, ya que el tema pasa de la administración a la jurisdicción.</w:t>
      </w:r>
    </w:p>
    <w:p w14:paraId="5393AD84" w14:textId="77777777" w:rsidR="00BE4AA0" w:rsidRPr="00BE4AA0" w:rsidRDefault="00BE4AA0" w:rsidP="00BE4AA0">
      <w:pPr>
        <w:tabs>
          <w:tab w:val="left" w:pos="709"/>
        </w:tabs>
        <w:spacing w:after="0" w:line="276" w:lineRule="auto"/>
        <w:jc w:val="both"/>
        <w:rPr>
          <w:rFonts w:ascii="Verdana" w:eastAsia="Times New Roman" w:hAnsi="Verdana" w:cs="Times New Roman"/>
        </w:rPr>
      </w:pPr>
      <w:r w:rsidRPr="00BE4AA0">
        <w:rPr>
          <w:rFonts w:ascii="Verdana" w:eastAsia="Times New Roman" w:hAnsi="Verdana" w:cs="Arial"/>
          <w:color w:val="000000"/>
          <w:bdr w:val="none" w:sz="0" w:space="0" w:color="auto" w:frame="1"/>
          <w:shd w:val="clear" w:color="auto" w:fill="FFFFFF"/>
          <w:lang w:eastAsia="es-ES_tradnl"/>
        </w:rPr>
        <w:tab/>
        <w:t>En conclusión, la liquidación de un contrato público debe llevarse a cabo de manera bilateral siempre que sea posible, respetando los derechos del contratista al debido proceso. Si no se llega a un acuerdo bilateral, la entidad estatal tiene la facultad de proceder a una liquidación unilateral dentro de un plazo específico, aunque esta solo puede realizarse si el contratista no ha solicitado la liquidación judicial del contrato dentro de los dos años posteriores al vencimiento de los plazos acordados. Si transcurrido este plazo el contratista no ha solicitado la liquidación judicial, la entidad puede liquidar unilateralmente, y si no lo hace, la acción pasa a la jurisdicción para que sea resuelta judicialmente por solicitud del interesado. Esto subraya el principio de que la liquidación del contrato debe ser realizada en un marco de acuerdo o de intervención judicial, priorizando la transparencia y el respeto de los derechos de las partes involucradas.</w:t>
      </w:r>
    </w:p>
    <w:p w14:paraId="63748355" w14:textId="77777777" w:rsidR="00BE4AA0" w:rsidRPr="00BE4AA0" w:rsidRDefault="00BE4AA0" w:rsidP="00BE4AA0">
      <w:pPr>
        <w:spacing w:after="0" w:line="276" w:lineRule="auto"/>
        <w:jc w:val="both"/>
        <w:rPr>
          <w:rFonts w:ascii="Verdana" w:eastAsia="Times New Roman" w:hAnsi="Verdana" w:cs="Arial"/>
          <w:color w:val="000000"/>
          <w:lang w:val="es-ES" w:eastAsia="es-ES"/>
        </w:rPr>
      </w:pPr>
    </w:p>
    <w:p w14:paraId="07DF40AE" w14:textId="77777777" w:rsidR="00BE4AA0" w:rsidRPr="00BE4AA0" w:rsidRDefault="00BE4AA0" w:rsidP="00BE4AA0">
      <w:pPr>
        <w:spacing w:after="120" w:line="276" w:lineRule="auto"/>
        <w:jc w:val="both"/>
        <w:rPr>
          <w:rFonts w:ascii="Verdana" w:eastAsia="Times New Roman" w:hAnsi="Verdana" w:cs="Arial"/>
          <w:color w:val="000000"/>
          <w:lang w:eastAsia="es-CO"/>
        </w:rPr>
      </w:pPr>
      <w:proofErr w:type="spellStart"/>
      <w:r w:rsidRPr="00BE4AA0">
        <w:rPr>
          <w:rFonts w:ascii="Verdana" w:eastAsia="Times New Roman" w:hAnsi="Verdana" w:cs="Arial"/>
          <w:color w:val="000000"/>
          <w:lang w:eastAsia="es-ES"/>
        </w:rPr>
        <w:t>iii</w:t>
      </w:r>
      <w:proofErr w:type="spellEnd"/>
      <w:r w:rsidRPr="00BE4AA0">
        <w:rPr>
          <w:rFonts w:ascii="Verdana" w:eastAsia="Times New Roman" w:hAnsi="Verdana" w:cs="Arial"/>
          <w:color w:val="000000"/>
          <w:lang w:eastAsia="es-ES"/>
        </w:rPr>
        <w:t>.</w:t>
      </w:r>
      <w:r w:rsidRPr="00BE4AA0">
        <w:rPr>
          <w:rFonts w:ascii="Verdana" w:eastAsia="Times New Roman" w:hAnsi="Verdana" w:cs="Arial"/>
          <w:color w:val="000000"/>
          <w:lang w:val="es-ES_tradnl" w:eastAsia="es-CO"/>
        </w:rPr>
        <w:t xml:space="preserve"> La contratación Estatal constituye un instrumento a través del cual las Entidades Públicas realizan el aprovisionamiento de sus bienes, obras y servicios, con el propósito de satisfacer las necesidades e intereses colectivos</w:t>
      </w:r>
      <w:r w:rsidRPr="00BE4AA0">
        <w:rPr>
          <w:vertAlign w:val="superscript"/>
          <w:lang w:eastAsia="es-CO"/>
        </w:rPr>
        <w:footnoteReference w:id="18"/>
      </w:r>
      <w:r w:rsidRPr="00BE4AA0">
        <w:rPr>
          <w:rFonts w:ascii="Verdana" w:eastAsia="Times New Roman" w:hAnsi="Verdana" w:cs="Arial"/>
          <w:color w:val="000000"/>
          <w:lang w:val="es-ES_tradnl" w:eastAsia="es-CO"/>
        </w:rPr>
        <w:t xml:space="preserve">. </w:t>
      </w:r>
      <w:r w:rsidRPr="00BE4AA0">
        <w:rPr>
          <w:rFonts w:ascii="Verdana" w:eastAsia="Times New Roman" w:hAnsi="Verdana" w:cs="Arial"/>
          <w:color w:val="000000"/>
          <w:lang w:val="es-ES_tradnl" w:eastAsia="es-CO"/>
        </w:rPr>
        <w:lastRenderedPageBreak/>
        <w:t xml:space="preserve">Para este propósito se sirve de la colaboración de los particulares o de otras entidades que integran la administración pública. </w:t>
      </w:r>
      <w:r w:rsidRPr="00BE4AA0">
        <w:rPr>
          <w:rFonts w:ascii="Verdana" w:eastAsia="Times New Roman" w:hAnsi="Verdana" w:cs="Arial"/>
          <w:color w:val="000000"/>
          <w:lang w:eastAsia="es-CO"/>
        </w:rPr>
        <w:t>Cuando se trata de contratos celebrados por dos Entidades Estatales, tales negocios jurídicos se han denominado como interadministrativos, en el entendido de que son celebrados entre Entidades Públicas. En efecto, la doctrina ha señalado que “se denominan contratos interadministrativos los contratos bilaterales celebrados entre dos entidades estatales”</w:t>
      </w:r>
      <w:r w:rsidRPr="00BE4AA0">
        <w:rPr>
          <w:vertAlign w:val="superscript"/>
          <w:lang w:eastAsia="es-CO"/>
        </w:rPr>
        <w:footnoteReference w:id="19"/>
      </w:r>
      <w:r w:rsidRPr="00BE4AA0">
        <w:rPr>
          <w:rFonts w:ascii="Verdana" w:eastAsia="Times New Roman" w:hAnsi="Verdana" w:cs="Arial"/>
          <w:color w:val="000000"/>
          <w:lang w:eastAsia="es-CO"/>
        </w:rPr>
        <w:t xml:space="preserve">. </w:t>
      </w:r>
    </w:p>
    <w:p w14:paraId="1AC0FCCC" w14:textId="77777777" w:rsidR="00BE4AA0" w:rsidRPr="00BE4AA0" w:rsidRDefault="00BE4AA0" w:rsidP="00BE4AA0">
      <w:pPr>
        <w:spacing w:after="120" w:line="276" w:lineRule="auto"/>
        <w:ind w:firstLine="707"/>
        <w:jc w:val="both"/>
        <w:rPr>
          <w:rFonts w:ascii="Verdana" w:eastAsiaTheme="minorEastAsia" w:hAnsi="Verdana" w:cs="Arial"/>
          <w:lang w:eastAsia="es-CO"/>
        </w:rPr>
      </w:pPr>
      <w:r w:rsidRPr="00BE4AA0">
        <w:rPr>
          <w:rFonts w:ascii="Verdana" w:eastAsiaTheme="minorEastAsia" w:hAnsi="Verdana" w:cs="Arial"/>
          <w:lang w:eastAsia="es-CO"/>
        </w:rPr>
        <w:t>Si bien los contratos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sometida a la Ley 80 de 1993 celebrar esta clase de negocios jurídicos con una Entidad Estatal de régimen especial y no por ello dejará de ser un contrato o convenio interadministrativo.</w:t>
      </w:r>
    </w:p>
    <w:p w14:paraId="78AEF0AD" w14:textId="77777777" w:rsidR="00BE4AA0" w:rsidRPr="00BE4AA0" w:rsidRDefault="00BE4AA0" w:rsidP="00BE4AA0">
      <w:pPr>
        <w:spacing w:after="120" w:line="276" w:lineRule="auto"/>
        <w:ind w:firstLine="707"/>
        <w:jc w:val="both"/>
        <w:rPr>
          <w:rFonts w:ascii="Verdana" w:eastAsiaTheme="minorEastAsia" w:hAnsi="Verdana" w:cs="Arial"/>
          <w:lang w:eastAsia="es-CO"/>
        </w:rPr>
      </w:pPr>
      <w:r w:rsidRPr="00BE4AA0">
        <w:rPr>
          <w:rFonts w:ascii="Verdana" w:eastAsiaTheme="minorEastAsia" w:hAnsi="Verdana" w:cs="Arial"/>
          <w:lang w:eastAsia="es-CO"/>
        </w:rPr>
        <w:t>Un contrato interadministrativo no está determinado por la modalidad de selección utilizada para celebrarlo. La Ley 1150 de 2007 dispone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con pluralidad de oferentes</w:t>
      </w:r>
      <w:r w:rsidRPr="00BE4AA0">
        <w:rPr>
          <w:rFonts w:ascii="Verdana" w:eastAsiaTheme="minorEastAsia" w:hAnsi="Verdana" w:cs="Arial"/>
          <w:vertAlign w:val="superscript"/>
          <w:lang w:eastAsia="es-CO"/>
        </w:rPr>
        <w:footnoteReference w:id="20"/>
      </w:r>
      <w:r w:rsidRPr="00BE4AA0">
        <w:rPr>
          <w:rFonts w:ascii="Verdana" w:eastAsiaTheme="minorEastAsia" w:hAnsi="Verdana" w:cs="Arial"/>
          <w:lang w:eastAsia="es-CO"/>
        </w:rPr>
        <w:t>. Nótese que, en este caso, lo que cambia es la modalidad de selección y no la naturaleza de contrato</w:t>
      </w:r>
      <w:r w:rsidRPr="00BE4AA0">
        <w:rPr>
          <w:rFonts w:ascii="Verdana" w:eastAsiaTheme="minorEastAsia" w:hAnsi="Verdana" w:cs="Arial"/>
          <w:spacing w:val="-18"/>
          <w:lang w:eastAsia="es-CO"/>
        </w:rPr>
        <w:t xml:space="preserve"> </w:t>
      </w:r>
      <w:r w:rsidRPr="00BE4AA0">
        <w:rPr>
          <w:rFonts w:ascii="Verdana" w:eastAsiaTheme="minorEastAsia" w:hAnsi="Verdana" w:cs="Arial"/>
          <w:lang w:eastAsia="es-CO"/>
        </w:rPr>
        <w:t>interadministrativo.</w:t>
      </w:r>
    </w:p>
    <w:p w14:paraId="6A54237E" w14:textId="77777777" w:rsidR="00BE4AA0" w:rsidRPr="00BE4AA0" w:rsidRDefault="00BE4AA0" w:rsidP="00BE4AA0">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La Corte Constitucional, en Sentencia C-671 de 2015, expresó que “Lo que hace interadministrativo a un contrato o convenio no es el procedimiento de selección aplicable, sino la calidad de los sujetos contratantes, esto es que las dos partes de la relación jurídica contractual formen parte de la administración </w:t>
      </w:r>
      <w:r w:rsidRPr="00BE4AA0">
        <w:rPr>
          <w:rFonts w:ascii="Verdana" w:eastAsiaTheme="minorEastAsia" w:hAnsi="Verdana" w:cs="Arial"/>
          <w:lang w:eastAsia="es-CO"/>
        </w:rPr>
        <w:lastRenderedPageBreak/>
        <w:t>pública”</w:t>
      </w:r>
      <w:r w:rsidRPr="00BE4AA0">
        <w:rPr>
          <w:rFonts w:ascii="Verdana" w:eastAsiaTheme="minorEastAsia" w:hAnsi="Verdana" w:cs="Arial"/>
          <w:vertAlign w:val="superscript"/>
          <w:lang w:eastAsia="es-CO"/>
        </w:rPr>
        <w:footnoteReference w:id="21"/>
      </w:r>
      <w:r w:rsidRPr="00BE4AA0">
        <w:rPr>
          <w:rFonts w:ascii="Verdana" w:eastAsiaTheme="minorEastAsia" w:hAnsi="Verdana" w:cs="Arial"/>
          <w:lang w:eastAsia="es-CO"/>
        </w:rPr>
        <w:t xml:space="preserve">. Así las cosas, esta clase de acuerdos de voluntades se definen por un criterio orgánico, por lo que uno de sus elementos esenciales es que en los extremos de la relación jurídico negocial concurran personas de derecho público. </w:t>
      </w:r>
    </w:p>
    <w:p w14:paraId="38E28259" w14:textId="77777777" w:rsidR="00BE4AA0" w:rsidRPr="00BE4AA0" w:rsidRDefault="00BE4AA0" w:rsidP="00BE4AA0">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Es decir, lo que hace que un contrato o convenio sea interadministrativo es la naturaleza de las partes, independiente del régimen jurídico aplicable. Sin embargo, en los últimos años se han venido diferenciando los conceptos “contrato interadministrativo” y “convenio interadministrativo” como dos instituciones jurídicas independientes con producción de efectos jurídicos distintos. Al respecto, el Consejo de Estado distingue las dos instituciones, de la siguiente forma: </w:t>
      </w:r>
    </w:p>
    <w:p w14:paraId="64AF678C" w14:textId="77777777" w:rsidR="00BE4AA0" w:rsidRPr="00BE4AA0" w:rsidRDefault="00BE4AA0" w:rsidP="00BE4AA0">
      <w:pPr>
        <w:spacing w:after="0" w:line="276" w:lineRule="auto"/>
        <w:ind w:firstLine="709"/>
        <w:jc w:val="both"/>
        <w:rPr>
          <w:rFonts w:ascii="Verdana" w:eastAsiaTheme="minorEastAsia" w:hAnsi="Verdana" w:cs="Arial"/>
          <w:lang w:eastAsia="es-CO"/>
        </w:rPr>
      </w:pPr>
    </w:p>
    <w:p w14:paraId="3824502F" w14:textId="77777777" w:rsidR="00BE4AA0" w:rsidRPr="00BE4AA0" w:rsidRDefault="00BE4AA0" w:rsidP="00BE4AA0">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"Si bien las nociones 'contrato' y 'convenio' interadministrativo tienen notas comunes como la de ser acuerdos de voluntades generadores de obligaciones entre entidades estatales, también resulta incontrovertible que tienen naturaleza, finalidad y características disímiles como son:</w:t>
      </w:r>
    </w:p>
    <w:p w14:paraId="6424EB3F" w14:textId="77777777" w:rsidR="00BE4AA0" w:rsidRPr="00BE4AA0" w:rsidRDefault="00BE4AA0" w:rsidP="00BE4AA0">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val="es-ES" w:eastAsia="es-CO"/>
        </w:rPr>
        <w:t xml:space="preserve">El objeto de los contratos lo constituyen obligaciones de contenido patrimonial y, por </w:t>
      </w:r>
      <w:r w:rsidRPr="00BE4AA0">
        <w:rPr>
          <w:rFonts w:ascii="Verdana" w:eastAsiaTheme="minorEastAsia" w:hAnsi="Verdana" w:cs="Arial"/>
          <w:sz w:val="20"/>
          <w:szCs w:val="20"/>
          <w:lang w:eastAsia="es-CO"/>
        </w:rPr>
        <w:t>lo mismo, son onerosos, lo que implica el gravamen de cada parte en beneficio de la otra. En el contrato, como verdadero acuerdo de voluntades productor de efectos jurídicos, las partes actúan con intereses disímiles y contrapuestos; la entidad estatal contratante en un interés público, la entidad estatal contratista en su propio interés específico económico o de índole privado (es claro que una entidad estatal, puede y debe obtener ganancias, o generar valor respecto de su patrimonio, productos o actividad, si así lo autoriza su objeto social, o las funciones que le haya otorgado la ley);</w:t>
      </w:r>
    </w:p>
    <w:p w14:paraId="7761B75C" w14:textId="77777777" w:rsidR="00BE4AA0" w:rsidRPr="00BE4AA0" w:rsidRDefault="00BE4AA0" w:rsidP="00BE4AA0">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eastAsia="es-CO"/>
        </w:rPr>
        <w:t>Los convenios no tienen un interés puramente económico (es decir, destinados a obtener una ganancia) y su objeto es ejecutar actividades que contribuyen directamente al fin común de los sujetos vinculados al convenio; es decir, las partes tienen intereses convergentes, coincidentes o comunes (cumplimiento de funciones administrativas o prestación de servicios a su cargo que coinciden con el interés general) y cooperan para alcanzar en forma eficaz la finalidad estatal prevista en la Constitución o la ley sin que por esto se reciba por ninguna de ellas el pago de un precio o contraprestación;</w:t>
      </w:r>
    </w:p>
    <w:p w14:paraId="7AC43EB4" w14:textId="77777777" w:rsidR="00BE4AA0" w:rsidRPr="00BE4AA0" w:rsidRDefault="00BE4AA0" w:rsidP="00BE4AA0">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eastAsia="es-CO"/>
        </w:rPr>
        <w:t xml:space="preserve">Los intereses de los que son titulares las partes (entidades públicas contrayentes) y las finalidades que persiguen alcanzar, en virtud del ánimo de cooperación, indican que en los convenios las partes se relacionan en un paralelismo de intereses bajo un ámbito o posición de igualdad o equivalencia, en tanto que los contratos, dados los intereses y finalidades analizadas, se desarrollan en un ámbito de preeminencia o  superioridad </w:t>
      </w:r>
      <w:r w:rsidRPr="00BE4AA0">
        <w:rPr>
          <w:rFonts w:ascii="Verdana" w:eastAsiaTheme="minorEastAsia" w:hAnsi="Verdana" w:cs="Arial"/>
          <w:sz w:val="20"/>
          <w:szCs w:val="20"/>
          <w:lang w:eastAsia="es-CO"/>
        </w:rPr>
        <w:lastRenderedPageBreak/>
        <w:t>jurídica de la entidad estatal contratante respecto de la entidad contratista y, por lo mismo, podrá haber prerrogativas a favor de una de las partes. De esta manera, en el contrato 'se puede identificar contratante y contratista, y el segundo, aunque persona pública, tiene intereses y está en un mercado de forma similar a como lo hace un particular”</w:t>
      </w:r>
      <w:r w:rsidRPr="00BE4AA0">
        <w:rPr>
          <w:rFonts w:ascii="Verdana" w:eastAsiaTheme="minorEastAsia" w:hAnsi="Verdana" w:cs="Arial"/>
          <w:sz w:val="20"/>
          <w:szCs w:val="20"/>
          <w:vertAlign w:val="superscript"/>
          <w:lang w:eastAsia="es-CO"/>
        </w:rPr>
        <w:footnoteReference w:id="22"/>
      </w:r>
      <w:r w:rsidRPr="00BE4AA0">
        <w:rPr>
          <w:rFonts w:ascii="Verdana" w:eastAsiaTheme="minorEastAsia" w:hAnsi="Verdana" w:cs="Arial"/>
          <w:sz w:val="20"/>
          <w:szCs w:val="20"/>
          <w:lang w:eastAsia="es-CO"/>
        </w:rPr>
        <w:t>.</w:t>
      </w:r>
    </w:p>
    <w:p w14:paraId="55A66A03" w14:textId="77777777" w:rsidR="00BE4AA0" w:rsidRPr="00BE4AA0" w:rsidRDefault="00BE4AA0" w:rsidP="00BE4AA0">
      <w:pPr>
        <w:spacing w:after="0" w:line="276" w:lineRule="auto"/>
        <w:ind w:right="709"/>
        <w:jc w:val="both"/>
        <w:rPr>
          <w:rFonts w:ascii="Verdana" w:eastAsia="Times New Roman" w:hAnsi="Verdana" w:cs="Arial"/>
          <w:lang w:eastAsia="es-ES_tradnl"/>
        </w:rPr>
      </w:pPr>
    </w:p>
    <w:p w14:paraId="6C3DE136" w14:textId="77777777" w:rsidR="00BE4AA0" w:rsidRPr="00BE4AA0" w:rsidRDefault="00BE4AA0" w:rsidP="00BE4AA0">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Bajo esta postura del Consejo de Estado, se determina que el convenio interadministrativo es el negocio jurídico en el cual convergen dos entidades públicas, cuyo objeto se relaciona con la coordinación o cooperación para el cumplimiento de los fines comunes de las partes. Por otro lado, el contrato interadministrativo es un negocio jurídico, cuyo objeto está relacionado con la prestación de bienes y servicios, en el que una de las partes actúa como contratante y otra como contratista. Al respecto, la doctrina expresa: </w:t>
      </w:r>
    </w:p>
    <w:p w14:paraId="1CF5B294" w14:textId="77777777" w:rsidR="00BE4AA0" w:rsidRPr="00BE4AA0" w:rsidRDefault="00BE4AA0" w:rsidP="00BE4AA0">
      <w:pPr>
        <w:spacing w:after="0" w:line="276" w:lineRule="auto"/>
        <w:ind w:firstLine="709"/>
        <w:jc w:val="both"/>
        <w:rPr>
          <w:rFonts w:ascii="Verdana" w:eastAsiaTheme="minorEastAsia" w:hAnsi="Verdana" w:cs="Arial"/>
          <w:lang w:eastAsia="es-CO"/>
        </w:rPr>
      </w:pPr>
    </w:p>
    <w:p w14:paraId="18D0A937" w14:textId="77777777" w:rsidR="00BE4AA0" w:rsidRPr="00BE4AA0" w:rsidRDefault="00BE4AA0" w:rsidP="00BE4AA0">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“De acuerdo con todo lo anteriormente expuesto, podemos manifestar que el convenio interadministrativo es el negocio jurídico en el cual están presentes dos entidades públicas en desarrollo de relaciones interadministrativas cuyo objeto es coordinar, cooperar, colaborar o distribuir competencias en la realización de funciones administrativas de interés común a los sujetos negociales.</w:t>
      </w:r>
    </w:p>
    <w:p w14:paraId="17F86778" w14:textId="77777777" w:rsidR="00BE4AA0" w:rsidRPr="00BE4AA0" w:rsidRDefault="00BE4AA0" w:rsidP="00BE4AA0">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w:t>
      </w:r>
    </w:p>
    <w:p w14:paraId="2FA61AD2" w14:textId="77777777" w:rsidR="00BE4AA0" w:rsidRPr="00BE4AA0" w:rsidRDefault="00BE4AA0" w:rsidP="00BE4AA0">
      <w:pPr>
        <w:autoSpaceDE w:val="0"/>
        <w:autoSpaceDN w:val="0"/>
        <w:adjustRightInd w:val="0"/>
        <w:spacing w:after="0" w:line="240" w:lineRule="auto"/>
        <w:ind w:left="709" w:right="709"/>
        <w:jc w:val="both"/>
        <w:rPr>
          <w:rFonts w:ascii="Verdana" w:hAnsi="Verdana" w:cs="Weiss"/>
          <w:sz w:val="20"/>
          <w:szCs w:val="20"/>
        </w:rPr>
      </w:pPr>
      <w:r w:rsidRPr="00BE4AA0">
        <w:rPr>
          <w:rFonts w:ascii="Verdana" w:hAnsi="Verdana" w:cs="Weiss"/>
          <w:sz w:val="20"/>
          <w:szCs w:val="20"/>
        </w:rPr>
        <w:t>El contrato interadministrativo, por su parte, es también celebrado entre dos entidades públicas con capacidad de tener relaciones interadministrativas, con la particularidad de que el contrato es negocio jurídico generador de obligaciones al cual acuden las partes con diversidad de intereses. En el contrato se pueden identificar contratante y contratista, y el segundo, aunque persona pública, tiene intereses y está en un mercado de forma similar a como lo hace el particular”</w:t>
      </w:r>
      <w:r w:rsidRPr="00BE4AA0">
        <w:rPr>
          <w:rFonts w:ascii="Verdana" w:hAnsi="Verdana" w:cs="Weiss"/>
          <w:sz w:val="20"/>
          <w:szCs w:val="20"/>
          <w:vertAlign w:val="superscript"/>
        </w:rPr>
        <w:footnoteReference w:id="23"/>
      </w:r>
      <w:r w:rsidRPr="00BE4AA0">
        <w:rPr>
          <w:rFonts w:ascii="Verdana" w:hAnsi="Verdana" w:cs="Weiss"/>
          <w:sz w:val="20"/>
          <w:szCs w:val="20"/>
        </w:rPr>
        <w:t>.</w:t>
      </w:r>
    </w:p>
    <w:p w14:paraId="125FB4EC" w14:textId="77777777" w:rsidR="00BE4AA0" w:rsidRPr="00BE4AA0" w:rsidRDefault="00BE4AA0" w:rsidP="00BE4AA0">
      <w:pPr>
        <w:spacing w:after="120" w:line="276" w:lineRule="auto"/>
        <w:jc w:val="both"/>
        <w:rPr>
          <w:rFonts w:ascii="Verdana" w:eastAsiaTheme="minorEastAsia" w:hAnsi="Verdana" w:cs="Arial"/>
          <w:sz w:val="20"/>
          <w:szCs w:val="20"/>
          <w:lang w:eastAsia="es-CO"/>
        </w:rPr>
      </w:pPr>
    </w:p>
    <w:p w14:paraId="7CAC71E9" w14:textId="77777777" w:rsidR="00BE4AA0" w:rsidRPr="00BE4AA0" w:rsidRDefault="00BE4AA0" w:rsidP="00BE4AA0">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lastRenderedPageBreak/>
        <w:t>Ahora bien, esta distinción conceptual entre contratos y convenios interadministrativos resulta relevante para precisar el ámbito de aplicación de las instituciones del EGCAP. Al respecto, el Consejo de Estado ha destacado la finalidad asociativa de los convenios interadministrativos, los cuales se caracterizan por la autorregulación de sus propias estipulaciones, que son el resultado de la autonomía de la voluntad de las entidades que actúan como colaboradoras o cooperantes, sin que pueda aludirse a la preponderancia de ciertos regímenes, por lo que no es procedente la aplicación automática del régimen contractual de los contratos estatales</w:t>
      </w:r>
      <w:r w:rsidRPr="00BE4AA0">
        <w:rPr>
          <w:rFonts w:ascii="Verdana" w:eastAsiaTheme="minorEastAsia" w:hAnsi="Verdana" w:cs="Arial"/>
          <w:vertAlign w:val="superscript"/>
          <w:lang w:eastAsia="es-CO"/>
        </w:rPr>
        <w:footnoteReference w:id="24"/>
      </w:r>
      <w:r w:rsidRPr="00BE4AA0">
        <w:rPr>
          <w:rFonts w:ascii="Verdana" w:eastAsiaTheme="minorEastAsia" w:hAnsi="Verdana" w:cs="Arial"/>
          <w:lang w:eastAsia="es-CO"/>
        </w:rPr>
        <w:t xml:space="preserve">. De esta manera, el Consejo de Estado expresa:  </w:t>
      </w:r>
    </w:p>
    <w:p w14:paraId="7E9AEFFA" w14:textId="77777777" w:rsidR="00BE4AA0" w:rsidRPr="00BE4AA0" w:rsidRDefault="00BE4AA0" w:rsidP="00BE4AA0">
      <w:pPr>
        <w:widowControl w:val="0"/>
        <w:autoSpaceDE w:val="0"/>
        <w:autoSpaceDN w:val="0"/>
        <w:spacing w:after="0" w:line="276" w:lineRule="auto"/>
        <w:jc w:val="both"/>
        <w:rPr>
          <w:rFonts w:ascii="Verdana" w:eastAsia="Arial MT" w:hAnsi="Verdana" w:cs="Arial MT"/>
        </w:rPr>
      </w:pPr>
    </w:p>
    <w:p w14:paraId="18F53F3C" w14:textId="77777777" w:rsidR="00BE4AA0" w:rsidRPr="00BE4AA0" w:rsidRDefault="00BE4AA0" w:rsidP="00BE4AA0">
      <w:pPr>
        <w:widowControl w:val="0"/>
        <w:autoSpaceDE w:val="0"/>
        <w:autoSpaceDN w:val="0"/>
        <w:spacing w:after="0" w:line="240" w:lineRule="auto"/>
        <w:ind w:left="709" w:right="709"/>
        <w:jc w:val="both"/>
        <w:rPr>
          <w:rFonts w:ascii="Verdana" w:eastAsia="Arial MT" w:hAnsi="Verdana" w:cs="Arial MT"/>
          <w:i/>
          <w:iCs/>
          <w:sz w:val="20"/>
          <w:szCs w:val="20"/>
        </w:rPr>
      </w:pPr>
      <w:r w:rsidRPr="00BE4AA0">
        <w:rPr>
          <w:rFonts w:ascii="Verdana" w:eastAsia="Arial MT" w:hAnsi="Verdana" w:cs="Arial MT"/>
          <w:i/>
          <w:iCs/>
          <w:sz w:val="20"/>
          <w:szCs w:val="20"/>
        </w:rPr>
        <w:t xml:space="preserve">“La finalidad asociativa de los “convenios interadministrativos” previstos en el artículo 95 de la Ley 489 de 1998, en el plano de derecho público en el que se enmarcan, impide una aplicación automática del régimen contractual de los contratos estatales, imbuido por lo demás por las disposiciones civiles y comerciales, salvo las materias especialmente reguladas en el EGCAP. </w:t>
      </w:r>
    </w:p>
    <w:p w14:paraId="1387AC8D" w14:textId="77777777" w:rsidR="00BE4AA0" w:rsidRPr="00BE4AA0" w:rsidRDefault="00BE4AA0" w:rsidP="00BE4AA0">
      <w:pPr>
        <w:widowControl w:val="0"/>
        <w:autoSpaceDE w:val="0"/>
        <w:autoSpaceDN w:val="0"/>
        <w:spacing w:after="0" w:line="240" w:lineRule="auto"/>
        <w:ind w:left="709" w:right="709"/>
        <w:jc w:val="both"/>
        <w:rPr>
          <w:rFonts w:ascii="Verdana" w:eastAsia="Arial MT" w:hAnsi="Verdana" w:cs="Arial MT"/>
          <w:sz w:val="20"/>
          <w:szCs w:val="20"/>
        </w:rPr>
      </w:pPr>
    </w:p>
    <w:p w14:paraId="56F36933" w14:textId="77777777" w:rsidR="00BE4AA0" w:rsidRPr="00BE4AA0" w:rsidRDefault="00BE4AA0" w:rsidP="00BE4AA0">
      <w:pPr>
        <w:widowControl w:val="0"/>
        <w:autoSpaceDE w:val="0"/>
        <w:autoSpaceDN w:val="0"/>
        <w:spacing w:after="0" w:line="240" w:lineRule="auto"/>
        <w:ind w:left="709" w:right="709"/>
        <w:jc w:val="both"/>
        <w:rPr>
          <w:rFonts w:ascii="Verdana" w:eastAsia="Arial MT" w:hAnsi="Verdana" w:cs="Arial MT"/>
          <w:i/>
          <w:iCs/>
          <w:sz w:val="20"/>
          <w:szCs w:val="20"/>
        </w:rPr>
      </w:pPr>
      <w:r w:rsidRPr="00BE4AA0">
        <w:rPr>
          <w:rFonts w:ascii="Verdana" w:eastAsia="Arial MT" w:hAnsi="Verdana" w:cs="Arial MT"/>
          <w:i/>
          <w:iCs/>
          <w:sz w:val="20"/>
          <w:szCs w:val="20"/>
        </w:rPr>
        <w:t xml:space="preserve">En ese sentido, más allá de la concurrencia de voluntades, se trata de la asunción de objetivos comunes orientados predominantemente por una finalidad de derecho público que, además de que justifica la existencia de dichos convenios, rebasa o excede el sentido tradicional del concepto de “contrato”, por lo que, en cuanto a la normativa aplicable se refiere y en el estado actual de las cosas, aquellos deben interpretarse de forma tal que la regulación del EGCAP y del derecho privado sea de aplicación supletoria, esto es, solo en la medida en que exista una verdadera laguna o falta de regulación normativa y/o convencional. </w:t>
      </w:r>
    </w:p>
    <w:p w14:paraId="5317AA69" w14:textId="77777777" w:rsidR="00BE4AA0" w:rsidRPr="00BE4AA0" w:rsidRDefault="00BE4AA0" w:rsidP="00BE4AA0">
      <w:pPr>
        <w:widowControl w:val="0"/>
        <w:autoSpaceDE w:val="0"/>
        <w:autoSpaceDN w:val="0"/>
        <w:spacing w:after="0" w:line="240" w:lineRule="auto"/>
        <w:ind w:left="709" w:right="709"/>
        <w:jc w:val="both"/>
        <w:rPr>
          <w:rFonts w:ascii="Verdana" w:eastAsia="Arial MT" w:hAnsi="Verdana" w:cs="Arial MT"/>
          <w:sz w:val="20"/>
          <w:szCs w:val="20"/>
        </w:rPr>
      </w:pPr>
    </w:p>
    <w:p w14:paraId="4DF152AA" w14:textId="77777777" w:rsidR="00BE4AA0" w:rsidRPr="00BE4AA0" w:rsidRDefault="00BE4AA0" w:rsidP="00BE4AA0">
      <w:pPr>
        <w:widowControl w:val="0"/>
        <w:autoSpaceDE w:val="0"/>
        <w:autoSpaceDN w:val="0"/>
        <w:spacing w:after="0" w:line="240" w:lineRule="auto"/>
        <w:ind w:left="709" w:right="709"/>
        <w:jc w:val="both"/>
        <w:rPr>
          <w:rFonts w:ascii="Verdana" w:eastAsia="Arial MT" w:hAnsi="Verdana" w:cs="Arial MT"/>
          <w:sz w:val="20"/>
          <w:szCs w:val="20"/>
          <w:lang w:val="es-ES"/>
        </w:rPr>
      </w:pPr>
      <w:r w:rsidRPr="00BE4AA0">
        <w:rPr>
          <w:rFonts w:ascii="Verdana" w:eastAsia="Arial MT" w:hAnsi="Verdana" w:cs="Arial MT"/>
          <w:i/>
          <w:iCs/>
          <w:sz w:val="20"/>
          <w:szCs w:val="20"/>
        </w:rPr>
        <w:t xml:space="preserve">Además, de acuerdo con la Corte Constitucional, el diseño de las normas contenidas en el EGCAP primordialmente ha estado orientado por un criterio del “contrato estatal” como instrumento de aprovisionamiento de bienes y servicios por parte de los órganos públicos para la consecución de los fines del Estado, razón por la cual una aplicación irrestricta de las normas de dicho estatuto, así concebidas, frente a convenios que, según la Corte Constitucional, están ideados esencialmente para concretar la coordinación de las actuaciones entre las autoridades administrativas, conduciría a resultados que malogren y/o desincentiven la cooperación </w:t>
      </w:r>
      <w:r w:rsidRPr="00BE4AA0">
        <w:rPr>
          <w:rFonts w:ascii="Verdana" w:eastAsia="Arial MT" w:hAnsi="Verdana" w:cs="Arial MT"/>
          <w:i/>
          <w:iCs/>
          <w:sz w:val="20"/>
          <w:szCs w:val="20"/>
        </w:rPr>
        <w:lastRenderedPageBreak/>
        <w:t>entre ellas, producto de las incompatibilidades que puedan presentarse”</w:t>
      </w:r>
      <w:r w:rsidRPr="00BE4AA0">
        <w:rPr>
          <w:rFonts w:ascii="Verdana" w:eastAsia="Arial MT" w:hAnsi="Verdana" w:cs="Arial MT"/>
          <w:i/>
          <w:iCs/>
          <w:sz w:val="20"/>
          <w:szCs w:val="20"/>
          <w:vertAlign w:val="superscript"/>
        </w:rPr>
        <w:footnoteReference w:id="25"/>
      </w:r>
      <w:r w:rsidRPr="00BE4AA0">
        <w:rPr>
          <w:rFonts w:ascii="Verdana" w:eastAsia="Arial MT" w:hAnsi="Verdana" w:cs="Arial MT"/>
          <w:i/>
          <w:iCs/>
          <w:sz w:val="20"/>
          <w:szCs w:val="20"/>
        </w:rPr>
        <w:t>.</w:t>
      </w:r>
    </w:p>
    <w:p w14:paraId="3DFD1967" w14:textId="77777777" w:rsidR="00BE4AA0" w:rsidRPr="00BE4AA0" w:rsidRDefault="00BE4AA0" w:rsidP="00BE4AA0">
      <w:pPr>
        <w:spacing w:after="120" w:line="276" w:lineRule="auto"/>
        <w:jc w:val="both"/>
        <w:rPr>
          <w:rFonts w:ascii="Verdana" w:eastAsia="Calibri" w:hAnsi="Verdana" w:cs="Arial"/>
          <w:color w:val="000000" w:themeColor="text1"/>
          <w:lang w:val="es-ES"/>
        </w:rPr>
      </w:pPr>
    </w:p>
    <w:p w14:paraId="31C44F7F" w14:textId="77777777" w:rsidR="00BE4AA0" w:rsidRPr="00BE4AA0" w:rsidRDefault="00BE4AA0" w:rsidP="00BE4AA0">
      <w:pPr>
        <w:tabs>
          <w:tab w:val="left" w:pos="7851"/>
        </w:tabs>
        <w:spacing w:after="120" w:line="276" w:lineRule="auto"/>
        <w:ind w:firstLine="680"/>
        <w:jc w:val="both"/>
        <w:rPr>
          <w:rFonts w:ascii="Verdana" w:eastAsiaTheme="minorEastAsia" w:hAnsi="Verdana" w:cs="Arial"/>
          <w:lang w:eastAsia="es-CO"/>
        </w:rPr>
      </w:pPr>
      <w:r w:rsidRPr="00BE4AA0">
        <w:rPr>
          <w:rFonts w:ascii="Verdana" w:eastAsiaTheme="minorEastAsia" w:hAnsi="Verdana" w:cs="Arial"/>
          <w:lang w:eastAsia="es-CO"/>
        </w:rPr>
        <w:t>En virtud de ello, los convenios no se estructuran bajo una lógica de intercambio oneroso ni de selección de contratistas, sino bajo un esquema de cooperación institucional, lo que impide trasladar de manera automática las reglas del Estatuto General de Contratación de la Administración Pública. En consecuencia, los convenios interadministrativos no se someten, en principio, al régimen contractual previsto en la Ley 80 de 1993 y la Ley 1150 de 2007, pues su finalidad no es contratar bienes, obras o servicios con terceros, sino coordinar esfuerzos entre entidades públicas para el cumplimiento de funciones estatales. La aplicación del Estatuto General de Contratación solo procede de manera supletoria, en la medida en que exista una verdadera laguna o falta de regulación normativa y/o convencional. Mientras ello no ocurra, el convenio se rige por sus propias cláusulas y por los principios de colaboración, coordinación y eficiencia administrativa que orientan la actuación interinstitucional.</w:t>
      </w:r>
    </w:p>
    <w:p w14:paraId="532A9520" w14:textId="77777777" w:rsidR="00BE4AA0" w:rsidRPr="00BE4AA0" w:rsidRDefault="00BE4AA0" w:rsidP="00BE4AA0">
      <w:pPr>
        <w:tabs>
          <w:tab w:val="left" w:pos="7851"/>
        </w:tabs>
        <w:spacing w:after="120" w:line="276" w:lineRule="auto"/>
        <w:ind w:firstLine="680"/>
        <w:jc w:val="both"/>
        <w:rPr>
          <w:rFonts w:ascii="Verdana" w:eastAsiaTheme="minorEastAsia" w:hAnsi="Verdana" w:cs="Arial"/>
          <w:lang w:eastAsia="es-CO"/>
        </w:rPr>
      </w:pPr>
      <w:r w:rsidRPr="00BE4AA0">
        <w:rPr>
          <w:rFonts w:ascii="Verdana" w:eastAsiaTheme="minorEastAsia" w:hAnsi="Verdana" w:cs="Arial"/>
          <w:lang w:eastAsia="es-CO"/>
        </w:rPr>
        <w:t>Esta conclusión exige una precisión adicional, pues el artículo 32 de la Ley 80 de 1993 define como contratos estatales todos los actos jurídicos generadores de obligaciones que celebren las entidades estatales, definición dentro de la cual quedarían comprendidos los convenios interadministrativos suscritos por entidades sometidas al Estatuto. La supletoriedad predicada por la jurisprudencia no opera, sin embargo, de manera uniforme respecto de toda la regulación del EGCAP. Tratándose de normas que regulan aspectos instrumentales del negocio, la aplicación supletoria ante el vacío convencional resulta natural. En cambio, tratándose de disposiciones que atribuyen potestades unilaterales a una de las partes, su traslado automático al convenio interadministrativo es incompatible con la posición de igualdad en que se encuentran las entidades cooperantes, pues supondría reconocer a una de ellas una prerrogativa sobre la otra que la finalidad asociativa excluye. Por ello, el silencio del convenio sobre potestades unilaterales no configura una laguna que deba colmarse con las reglas del EGCAP, sino la expresión de un régimen paritario en el que tales prerrogativas no operan.</w:t>
      </w:r>
    </w:p>
    <w:p w14:paraId="23A7CC3C" w14:textId="77777777" w:rsidR="00BE4AA0" w:rsidRPr="00BE4AA0" w:rsidRDefault="00BE4AA0" w:rsidP="00BE4AA0">
      <w:pPr>
        <w:tabs>
          <w:tab w:val="left" w:pos="7851"/>
        </w:tabs>
        <w:spacing w:after="0" w:line="276" w:lineRule="auto"/>
        <w:ind w:firstLine="680"/>
        <w:jc w:val="both"/>
        <w:rPr>
          <w:rFonts w:ascii="Verdana" w:eastAsiaTheme="minorEastAsia" w:hAnsi="Verdana" w:cs="Arial"/>
          <w:lang w:eastAsia="es-CO"/>
        </w:rPr>
      </w:pPr>
      <w:r w:rsidRPr="00BE4AA0">
        <w:rPr>
          <w:rFonts w:ascii="Verdana" w:eastAsiaTheme="minorEastAsia" w:hAnsi="Verdana" w:cs="Arial"/>
          <w:lang w:eastAsia="es-CO"/>
        </w:rPr>
        <w:lastRenderedPageBreak/>
        <w:t>Conforme a lo expuesto, la denominación de contrato o convenio interadministrativo obedece a que ambos extremos de la relación son entidades públicas, pero el régimen aplicable a cada figura depende del contenido obligacional del negocio. Sobre esta base debe analizarse la procedencia de la liquidación unilateral en los convenios interadministrativos, acudiendo a la línea más reciente expuesta en los conceptos C-605 del 27 de junio de 2025 y C-224 del 11 de marzo de 2026, con las consideraciones especiales que se formulan a continuación</w:t>
      </w:r>
      <w:r w:rsidRPr="00BE4AA0">
        <w:rPr>
          <w:rFonts w:ascii="Verdana" w:eastAsia="Calibri" w:hAnsi="Verdana" w:cs="Times New Roman"/>
          <w:iCs/>
          <w:lang w:val="es-ES"/>
        </w:rPr>
        <w:t xml:space="preserve">. </w:t>
      </w:r>
    </w:p>
    <w:p w14:paraId="7752EAF1" w14:textId="77777777" w:rsidR="00BE4AA0" w:rsidRPr="00BE4AA0" w:rsidRDefault="00BE4AA0" w:rsidP="00BE4AA0">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 </w:t>
      </w:r>
    </w:p>
    <w:p w14:paraId="430C14E3" w14:textId="77777777" w:rsidR="00BE4AA0" w:rsidRPr="00BE4AA0" w:rsidRDefault="00BE4AA0" w:rsidP="00BE4AA0">
      <w:pPr>
        <w:spacing w:after="120" w:line="276" w:lineRule="auto"/>
        <w:jc w:val="both"/>
        <w:rPr>
          <w:rFonts w:ascii="Verdana" w:eastAsia="Times New Roman" w:hAnsi="Verdana" w:cs="Arial"/>
          <w:color w:val="000000" w:themeColor="text1"/>
          <w:szCs w:val="24"/>
          <w:lang w:val="es-ES_tradnl" w:eastAsia="es-ES_tradnl"/>
        </w:rPr>
      </w:pPr>
      <w:proofErr w:type="spellStart"/>
      <w:r w:rsidRPr="00BE4AA0">
        <w:rPr>
          <w:rFonts w:ascii="Verdana" w:eastAsiaTheme="minorEastAsia" w:hAnsi="Verdana" w:cs="Arial"/>
          <w:lang w:eastAsia="es-CO"/>
        </w:rPr>
        <w:t>iv</w:t>
      </w:r>
      <w:proofErr w:type="spellEnd"/>
      <w:r w:rsidRPr="00BE4AA0">
        <w:rPr>
          <w:rFonts w:ascii="Verdana" w:eastAsiaTheme="minorEastAsia" w:hAnsi="Verdana" w:cs="Arial"/>
          <w:lang w:eastAsia="es-CO"/>
        </w:rPr>
        <w:t xml:space="preserve">. </w:t>
      </w:r>
      <w:r w:rsidRPr="00BE4AA0">
        <w:rPr>
          <w:rFonts w:ascii="Verdana" w:eastAsia="Times New Roman" w:hAnsi="Verdana" w:cs="Arial"/>
          <w:color w:val="000000" w:themeColor="text1"/>
          <w:szCs w:val="24"/>
          <w:lang w:val="es-ES_tradnl" w:eastAsia="es-ES_tradnl"/>
        </w:rPr>
        <w:t xml:space="preserve">Como lo prescribe el artículo 60 de la Ley 80 de 1993 y el artículo 11 de la Ley 1150 de 2007 se exige que la liquidación procede en aquellos contratos de tracto sucesivo, </w:t>
      </w:r>
      <w:r w:rsidRPr="00BE4AA0">
        <w:rPr>
          <w:rFonts w:ascii="Verdana" w:eastAsia="Times New Roman" w:hAnsi="Verdana" w:cs="Arial"/>
          <w:color w:val="000000" w:themeColor="text1"/>
          <w:szCs w:val="24"/>
          <w:lang w:eastAsia="es-ES_tradnl"/>
        </w:rPr>
        <w:t xml:space="preserve">aquellos cuya ejecución o cumplimiento se prolongue en el tiempo y los demás que lo requieran. Dicho mandato de liquidación implica que, </w:t>
      </w:r>
      <w:r w:rsidRPr="00BE4AA0">
        <w:rPr>
          <w:rFonts w:ascii="Verdana" w:eastAsia="Times New Roman" w:hAnsi="Verdana" w:cs="Arial"/>
          <w:color w:val="000000" w:themeColor="text1"/>
          <w:szCs w:val="24"/>
          <w:lang w:val="es-ES_tradnl" w:eastAsia="es-ES_tradnl"/>
        </w:rPr>
        <w:t xml:space="preserve">primero, se intente la liquidación de mutuo acuerdo, en el término indicado en el pliego de condiciones o en el documento equivalente o en el pactado por las partes, o, subsidiariamente, en el término de cuatro meses. Si la liquidación no se logra en este término, puede procederse con la liquidación unilateral dentro de los dos meses siguientes. En los dos años posteriores puede efectuarse la liquidación bilateral, unilateral o judicial. </w:t>
      </w:r>
    </w:p>
    <w:p w14:paraId="418A33B0" w14:textId="77777777" w:rsidR="00BE4AA0" w:rsidRPr="00BE4AA0" w:rsidRDefault="00BE4AA0" w:rsidP="00BE4AA0">
      <w:pPr>
        <w:spacing w:after="120" w:line="276" w:lineRule="auto"/>
        <w:ind w:firstLine="708"/>
        <w:jc w:val="both"/>
        <w:rPr>
          <w:rFonts w:ascii="Verdana" w:eastAsia="Times New Roman" w:hAnsi="Verdana" w:cs="Arial"/>
          <w:color w:val="000000" w:themeColor="text1"/>
          <w:lang w:val="es-ES" w:eastAsia="es-ES"/>
        </w:rPr>
      </w:pPr>
      <w:r w:rsidRPr="00BE4AA0">
        <w:rPr>
          <w:rFonts w:ascii="Verdana" w:eastAsia="Times New Roman" w:hAnsi="Verdana" w:cs="Arial"/>
          <w:color w:val="000000" w:themeColor="text1"/>
          <w:lang w:val="es-ES" w:eastAsia="es-ES"/>
        </w:rPr>
        <w:t xml:space="preserve">Dichas reglas se entendían que eran aplicables a los contratos y convenios interadministrativos. Sin embargo, el Consejo de Estado ha modificado sus posturas frente a la posibilidad de aplicar las reglas de la liquidación de los contratos a los convenios interadministrativos, en especial la liquidación unilateral, lo cual implica analizar su evolución jurisprudencial, para efectos de clarificar varias de las preguntas motivo de consulta. </w:t>
      </w:r>
    </w:p>
    <w:p w14:paraId="6DEDBE00" w14:textId="77777777" w:rsidR="00BE4AA0" w:rsidRPr="00BE4AA0" w:rsidRDefault="00BE4AA0" w:rsidP="00BE4AA0">
      <w:pPr>
        <w:spacing w:after="120" w:line="276" w:lineRule="auto"/>
        <w:jc w:val="both"/>
        <w:rPr>
          <w:rFonts w:ascii="Verdana" w:eastAsia="Times New Roman" w:hAnsi="Verdana" w:cs="Arial"/>
          <w:color w:val="000000" w:themeColor="text1"/>
          <w:szCs w:val="24"/>
          <w:lang w:val="es-ES_tradnl" w:eastAsia="es-ES_tradnl"/>
        </w:rPr>
      </w:pPr>
      <w:r w:rsidRPr="00BE4AA0">
        <w:rPr>
          <w:rFonts w:ascii="Verdana" w:eastAsia="Times New Roman" w:hAnsi="Verdana" w:cs="Arial"/>
          <w:color w:val="000000" w:themeColor="text1"/>
          <w:szCs w:val="24"/>
          <w:lang w:val="es-ES_tradnl" w:eastAsia="es-ES_tradnl"/>
        </w:rPr>
        <w:tab/>
        <w:t xml:space="preserve">La Sección Tercera del Consejo de Estado en su momento expresó que tratándose de convenios entre entidades públicas, en un pronunciamiento, indicó que la liquidación unilateral no resulta procedente en aquellos convenios en los que las entidades tienen la “finalidad asociativa”, actuando en pie de igualdad, como sucede en los regulado en el artículo 95 de la Ley 489 de 1998, pues “[…] de obrar en el pacto una finalidad asociativa entre las partes, ninguna de estas podría imponerle a la otra su propio balance de cuentas, porque la situación de paridad entre ambas entidades públicas asociadas en virtud el convenio, es incompatible con el ejercicio de prerrogativas como la liquidación unilateral, </w:t>
      </w:r>
      <w:r w:rsidRPr="00BE4AA0">
        <w:rPr>
          <w:rFonts w:ascii="Verdana" w:eastAsia="Times New Roman" w:hAnsi="Verdana" w:cs="Arial"/>
          <w:color w:val="000000" w:themeColor="text1"/>
          <w:szCs w:val="24"/>
          <w:lang w:val="es-ES_tradnl" w:eastAsia="es-ES_tradnl"/>
        </w:rPr>
        <w:lastRenderedPageBreak/>
        <w:t xml:space="preserve">[…]”. </w:t>
      </w:r>
      <w:r w:rsidRPr="00BE4AA0">
        <w:rPr>
          <w:rFonts w:ascii="Verdana" w:eastAsia="Times New Roman" w:hAnsi="Verdana" w:cs="Arial"/>
          <w:color w:val="000000" w:themeColor="text1"/>
          <w:szCs w:val="24"/>
          <w:lang w:eastAsia="es-ES_tradnl"/>
        </w:rPr>
        <w:t>En la misma providencia, el Consejo de Estado</w:t>
      </w:r>
      <w:r w:rsidRPr="00BE4AA0">
        <w:rPr>
          <w:rFonts w:ascii="Verdana" w:eastAsia="Times New Roman" w:hAnsi="Verdana" w:cs="Arial"/>
          <w:color w:val="000000" w:themeColor="text1"/>
          <w:szCs w:val="24"/>
          <w:vertAlign w:val="superscript"/>
          <w:lang w:val="es-ES_tradnl" w:eastAsia="es-ES_tradnl"/>
        </w:rPr>
        <w:footnoteReference w:id="26"/>
      </w:r>
      <w:r w:rsidRPr="00BE4AA0">
        <w:rPr>
          <w:rFonts w:ascii="Verdana" w:eastAsia="Times New Roman" w:hAnsi="Verdana" w:cs="Arial"/>
          <w:color w:val="000000" w:themeColor="text1"/>
          <w:szCs w:val="24"/>
          <w:lang w:val="es-ES_tradnl" w:eastAsia="es-ES_tradnl"/>
        </w:rPr>
        <w:t xml:space="preserve"> </w:t>
      </w:r>
      <w:r w:rsidRPr="00BE4AA0">
        <w:rPr>
          <w:rFonts w:ascii="Verdana" w:eastAsia="Times New Roman" w:hAnsi="Verdana" w:cs="Arial"/>
          <w:color w:val="000000" w:themeColor="text1"/>
          <w:szCs w:val="24"/>
          <w:lang w:eastAsia="es-ES_tradnl"/>
        </w:rPr>
        <w:t>aclaró que, cuando el contrato interadministrativo no responde a una finalidad asociativa sino a una verdadera relación conmutativa —en virtud de la cual una entidad estatal presta un servicio a la otra o le suministra un bien—, la liquidación unilateral sí resulta procedente.</w:t>
      </w:r>
      <w:r w:rsidRPr="00BE4AA0">
        <w:rPr>
          <w:lang w:val="es-ES_tradnl"/>
        </w:rPr>
        <w:t xml:space="preserve"> </w:t>
      </w:r>
      <w:r w:rsidRPr="00BE4AA0">
        <w:rPr>
          <w:rFonts w:ascii="Verdana" w:eastAsia="Times New Roman" w:hAnsi="Verdana" w:cs="Arial"/>
          <w:color w:val="000000" w:themeColor="text1"/>
          <w:szCs w:val="24"/>
          <w:lang w:val="es-ES_tradnl" w:eastAsia="es-ES_tradnl"/>
        </w:rPr>
        <w:t>En otras palabras, la tesis que se ha venido sosteniendo es que, en los contratos interadministrativos, al fundarse en una relación conmutativa, en la que una entidad presta un servicio o suministra un bien a la otra, se reconoce que es posible la liquidación unilateral.</w:t>
      </w:r>
    </w:p>
    <w:p w14:paraId="549F08C0" w14:textId="77777777" w:rsidR="00BE4AA0" w:rsidRPr="00BE4AA0" w:rsidRDefault="00BE4AA0" w:rsidP="00BE4AA0">
      <w:pPr>
        <w:spacing w:after="120" w:line="276" w:lineRule="auto"/>
        <w:jc w:val="both"/>
        <w:rPr>
          <w:rFonts w:ascii="Verdana" w:hAnsi="Verdana" w:cs="Arial"/>
          <w:color w:val="000000" w:themeColor="text1"/>
          <w:lang w:eastAsia="es-ES_tradnl"/>
        </w:rPr>
      </w:pPr>
      <w:r w:rsidRPr="00BE4AA0">
        <w:rPr>
          <w:rFonts w:ascii="Verdana" w:eastAsia="Times New Roman" w:hAnsi="Verdana" w:cs="Arial"/>
          <w:color w:val="000000" w:themeColor="text1"/>
          <w:szCs w:val="24"/>
          <w:lang w:val="es-ES_tradnl" w:eastAsia="es-ES_tradnl"/>
        </w:rPr>
        <w:tab/>
        <w:t xml:space="preserve">En este aspecto, el Consejo de Estado </w:t>
      </w:r>
      <w:r w:rsidRPr="00BE4AA0">
        <w:rPr>
          <w:rFonts w:ascii="Verdana" w:hAnsi="Verdana" w:cs="Arial"/>
          <w:color w:val="000000" w:themeColor="text1"/>
          <w:lang w:eastAsia="es-ES_tradnl"/>
        </w:rPr>
        <w:t>ha destacado que los convenios interadministrativos previstos en el artículo 95 de la Ley 489 de 1998 responden a una finalidad asociativa y cooperativa, propia del derecho público, que desborda la lógica tradicional del “contrato” como instrumento de intercambio oneroso. Por ello, su estructura se fundamenta en la coordinación de funciones y en la consecución de objetivos comunes entre entidades públicas, lo que impide aplicar de manera automática el Estatuto General de Contratación de la Administración Pública (EGCAP), salvo en materias expresamente reguladas o cuando exista una verdadera laguna normativa. La Corte Constitucional ha precisado que el EGCAP fue diseñado primordialmente para regular contratos estatales orientados al aprovisionamiento de bienes y servicios, por lo que su aplicación irrestricta a convenios concebidos para facilitar la cooperación interinstitucional podría generar incompatibilidades que desincentiven dicha colaboración. En consecuencia, los convenios interadministrativos deben interpretarse bajo su propia lógica asociativa, aplicando el EGCAP y el derecho privado únicamente de manera supletoria cuando resulte indispensable para colmar vacíos normativos o convencionales</w:t>
      </w:r>
      <w:r w:rsidRPr="00BE4AA0">
        <w:rPr>
          <w:rFonts w:ascii="Verdana" w:eastAsia="Times New Roman" w:hAnsi="Verdana" w:cs="Arial"/>
          <w:iCs/>
          <w:color w:val="000000" w:themeColor="text1"/>
          <w:sz w:val="20"/>
          <w:szCs w:val="20"/>
          <w:vertAlign w:val="superscript"/>
          <w:lang w:eastAsia="es-ES_tradnl"/>
        </w:rPr>
        <w:footnoteReference w:id="27"/>
      </w:r>
      <w:r w:rsidRPr="00BE4AA0">
        <w:rPr>
          <w:rFonts w:ascii="Verdana" w:eastAsia="Times New Roman" w:hAnsi="Verdana" w:cs="Arial"/>
          <w:iCs/>
          <w:color w:val="000000" w:themeColor="text1"/>
          <w:sz w:val="20"/>
          <w:szCs w:val="20"/>
          <w:lang w:eastAsia="es-ES_tradnl"/>
        </w:rPr>
        <w:t>.</w:t>
      </w:r>
    </w:p>
    <w:p w14:paraId="741F863D" w14:textId="77777777" w:rsidR="00BE4AA0" w:rsidRPr="00BE4AA0" w:rsidRDefault="00BE4AA0" w:rsidP="00BE4AA0">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val="es-ES_tradnl" w:eastAsia="es-CO"/>
        </w:rPr>
        <w:t xml:space="preserve">Teniendo en cuenta la postura jurisprudencial, el Consejo de Estado ha expresado en varias sentencias que </w:t>
      </w:r>
      <w:r w:rsidRPr="00BE4AA0">
        <w:rPr>
          <w:rFonts w:ascii="Verdana" w:eastAsiaTheme="minorEastAsia" w:hAnsi="Verdana" w:cs="Arial"/>
          <w:lang w:eastAsia="es-CO"/>
        </w:rPr>
        <w:t xml:space="preserve">los convenios interadministrativos no están sometidos a las normas de la Ley 80 de 1993 sobre liquidación de los contratos. En tal sentido, se ha señalado que no es procedente la liquidación bilateral y unilateral del contrato, salvo que se haya pactado por parte de las entidades </w:t>
      </w:r>
      <w:r w:rsidRPr="00BE4AA0">
        <w:rPr>
          <w:rFonts w:ascii="Verdana" w:eastAsiaTheme="minorEastAsia" w:hAnsi="Verdana" w:cs="Arial"/>
          <w:lang w:eastAsia="es-CO"/>
        </w:rPr>
        <w:lastRenderedPageBreak/>
        <w:t>cooperantes, pues no es aplicable en principio el EGCAP</w:t>
      </w:r>
      <w:r w:rsidRPr="00BE4AA0">
        <w:rPr>
          <w:rFonts w:ascii="Verdana" w:eastAsiaTheme="minorEastAsia" w:hAnsi="Verdana" w:cs="Arial"/>
          <w:vertAlign w:val="superscript"/>
          <w:lang w:eastAsia="es-CO"/>
        </w:rPr>
        <w:footnoteReference w:id="28"/>
      </w:r>
      <w:r w:rsidRPr="00BE4AA0">
        <w:rPr>
          <w:rFonts w:ascii="Verdana" w:eastAsiaTheme="minorEastAsia" w:hAnsi="Verdana" w:cs="Arial"/>
          <w:lang w:eastAsia="es-CO"/>
        </w:rPr>
        <w:t>. De esta manera, no es procedente que una entidad estatal liquide unilateralmente un convenio interadministrativo para exigir el reintegro de saldos o recursos no ejecutados cuando no existe pacto expreso en la minuta contractual que habilite dicha actuación, ni puede acudirse al procedimiento administrativo sancionatorio del artículo 86 de la Ley 1474 de 2011, pues estas son reglas del Estatuto General de Contratación de la Administración Pública (EGCAP). En este aspecto, los convenios interadministrativos no están sujetos a las reglas de liquidación bilateral o unilateral previstas en la Ley 80 de 1993, salvo que las entidades cooperantes hayan pactado expresamente tales mecanismos en ejercicio de su autonomía de la voluntad.</w:t>
      </w:r>
    </w:p>
    <w:p w14:paraId="786DBFDA" w14:textId="77777777" w:rsidR="00BE4AA0" w:rsidRPr="00BE4AA0" w:rsidRDefault="00BE4AA0" w:rsidP="00BE4AA0">
      <w:pPr>
        <w:spacing w:after="120" w:line="276" w:lineRule="auto"/>
        <w:ind w:firstLine="709"/>
        <w:jc w:val="both"/>
        <w:rPr>
          <w:rFonts w:ascii="Verdana" w:eastAsia="Calibri" w:hAnsi="Verdana" w:cs="Arial"/>
        </w:rPr>
      </w:pPr>
      <w:r w:rsidRPr="00BE4AA0">
        <w:rPr>
          <w:rFonts w:ascii="Verdana" w:eastAsia="Calibri" w:hAnsi="Verdana" w:cs="Arial"/>
        </w:rPr>
        <w:t xml:space="preserve">En todo caso, es preciso señalar que la denominación de </w:t>
      </w:r>
      <w:r w:rsidRPr="00BE4AA0">
        <w:rPr>
          <w:rFonts w:ascii="Verdana" w:eastAsia="Calibri" w:hAnsi="Verdana" w:cs="Arial"/>
          <w:i/>
          <w:iCs/>
        </w:rPr>
        <w:t>convenio</w:t>
      </w:r>
      <w:r w:rsidRPr="00BE4AA0">
        <w:rPr>
          <w:rFonts w:ascii="Verdana" w:eastAsia="Calibri" w:hAnsi="Verdana" w:cs="Arial"/>
        </w:rPr>
        <w:t xml:space="preserve"> no implica, por sí misma, que se trate de un convenio interadministrativo ni que, en consecuencia, resulte aplicable el EGCAP por parte de la entidad pública que actúa como constituyente. La naturaleza jurídica del negocio no se define por el título del documento, sino por el contenido material de las obligaciones pactadas. En esta línea, habrá convenio interadministrativo cuando las partes actúan como colaboradoras o cooperantes, sin que exista una relación de intercambio propia de los contratos conmutativos, y sin que pueda predicarse la preponderancia de un régimen contractual sobre otro. En estos convenios no se configura un pago por honorarios, administración o remuneración equivalente, pues se entiende que ambas partes aportan recursos, capacidades o actividades para la consecución de los fines comunes establecidos en el instrumento. Por el contrario, los contratos interadministrativos son negocios jurídicos típicamente </w:t>
      </w:r>
      <w:r w:rsidRPr="00BE4AA0">
        <w:rPr>
          <w:rFonts w:ascii="Verdana" w:eastAsia="Calibri" w:hAnsi="Verdana" w:cs="Arial"/>
        </w:rPr>
        <w:lastRenderedPageBreak/>
        <w:t xml:space="preserve">conmutativos, en los cuales el valor del contrato corresponde al precio de la contraprestación que la entidad contratista debe recibir a cambio del suministro del bien, obra o servicio requerido por la entidad contratante. </w:t>
      </w:r>
    </w:p>
    <w:p w14:paraId="25660B67" w14:textId="77777777" w:rsidR="00BE4AA0" w:rsidRPr="00BE4AA0" w:rsidRDefault="00BE4AA0" w:rsidP="00BE4AA0">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Teniendo en cuenta esta precisión, cuando el convenio no contiene cláusulas de liquidación ni procedimientos para exigir el reintegro de recursos no ejecutados, la entidad estatal no puede acudir de manera automática a las potestades unilaterales propias de los contratos estatales ni al procedimiento sancionatorio del artículo 86 de la Ley 1474 de 2011. En estos instrumentos asociativos, las facultades de dirección, control o terminación provienen exclusivamente de lo que las partes hayan definido en el convenio, por lo que cualquier actuación unilateral debe estar expresamente prevista en el convenio y acompañada del procedimiento acordado para su ejercicio.</w:t>
      </w:r>
    </w:p>
    <w:p w14:paraId="56D035F9" w14:textId="77777777" w:rsidR="00BE4AA0" w:rsidRPr="00BE4AA0" w:rsidRDefault="00BE4AA0" w:rsidP="00BE4AA0">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Por lo tanto, un acto administrativo de “liquidación unilateral” dictado sin habilitación convencional no constituye título ejecutivo suficiente para adelantar cobro coactivo para recuperar los recursos no ejecutados, pues carece de fundamento en el régimen aplicable a los convenios interadministrativos. Solo cuando las partes han pactado cláusulas que permitan a una de ellas ejercer potestades unilaterales —incluyendo la determinación de saldos a reintegrar y el procedimiento para hacerlos exigibles— dicho acto podría tener efectos vinculantes y eventualmente servir como título ejecutivo, siempre que se haya seguido el procedimiento acordado. En estos términos, si las partes no estipularon cláusulas de liquidación, mecanismos de reintegro o procedimientos para hacer efectivas potestades unilaterales -imposición de multas o cláusula penal-, la entidad estatal carece de competencia para adelantar actuaciones unilaterales y, por tanto, no puede generar un acto administrativo que constituya título ejecutivo suficiente para cobro coactivo.</w:t>
      </w:r>
    </w:p>
    <w:p w14:paraId="0CB37D35" w14:textId="77777777" w:rsidR="00BE4AA0" w:rsidRPr="00BE4AA0" w:rsidRDefault="00BE4AA0" w:rsidP="00BE4AA0">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Lo anterior no significa, sin embargo, que ante la imposibilidad de expedir dicho acto la entidad aportante quede desprovista de todo instrumento de recuperación. Conforme al artículo 297 del CPACA, prestan mérito ejecutivo las obligaciones claras, expresas y actualmente exigibles que consten en documentos provenientes del deudor o emanados de la actuación contractual. En esa medida, el convenio, sus modificaciones, las actas de recibo, los informes de supervisión y, en su caso, el acta de liquidación bilateral parcial puede conformar un título ejecutivo complejo, siempre que de su lectura conjunta se </w:t>
      </w:r>
      <w:r w:rsidRPr="00BE4AA0">
        <w:rPr>
          <w:rFonts w:ascii="Verdana" w:eastAsiaTheme="minorEastAsia" w:hAnsi="Verdana" w:cs="Arial"/>
          <w:lang w:eastAsia="es-CO"/>
        </w:rPr>
        <w:lastRenderedPageBreak/>
        <w:t>desprenda una obligación de esa naturaleza a cargo de la entidad ejecutora. La calificación corresponde al juez del contrato y depende del contenido concreto de las estipulaciones y de los soportes de ejecución, sin que pueda anticiparse por vía consultiva.</w:t>
      </w:r>
    </w:p>
    <w:p w14:paraId="5CD7155F" w14:textId="77777777" w:rsidR="00BE4AA0" w:rsidRPr="00BE4AA0" w:rsidRDefault="00BE4AA0" w:rsidP="00BE4AA0">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Tratándose de este tipo de convenios, así como de los contratos no sometidos a la Ley 80 de 1993, el cómputo del término de caducidad regulados en el numeral v), literal j), del numeral 2 del artículo 164 del CPACA, debe sujetarse a la forma en que las partes hayan regulado la liquidación en el convenio. Si las partes estipularon únicamente la liquidación bilateral, el término de caducidad se computará desde el vencimiento del plazo pactado o, en su defecto, desde los cuatro meses previstos en el ordinal v), literal j), del numeral 2 del artículo 164 del CPACA. Si estipularon tanto la liquidación bilateral como la unilateral, la caducidad se contará desde el vencimiento del plazo pactado en el contrato y, en su defecto, desde el vencimiento de los dos meses adicionales previstos en la misma norma para realizar la liquidación unilateral. Esta precisión se adopta teniendo en cuenta las disposiciones legales, y en especial, el plazo adicional de los dos meses solo tiene fundamento cuando se haya estipulado la liquidación unilateral y no se fija un término contractual para hacerla</w:t>
      </w:r>
      <w:r w:rsidRPr="00BE4AA0">
        <w:rPr>
          <w:rFonts w:ascii="Verdana" w:eastAsiaTheme="minorEastAsia" w:hAnsi="Verdana" w:cs="Arial"/>
          <w:vertAlign w:val="superscript"/>
          <w:lang w:eastAsia="es-CO"/>
        </w:rPr>
        <w:footnoteReference w:id="29"/>
      </w:r>
      <w:r w:rsidRPr="00BE4AA0">
        <w:rPr>
          <w:rFonts w:ascii="Verdana" w:eastAsiaTheme="minorEastAsia" w:hAnsi="Verdana" w:cs="Arial"/>
          <w:lang w:eastAsia="es-CO"/>
        </w:rPr>
        <w:t xml:space="preserve">. Ahora bien, cuando el convenio interadministrativo carece de cláusula de liquidación unilateral, la administración no tiene competencia contractual para liquidar de manera unilateral el convenio. En consecuencia, si la liquidación bilateral fracasa, no existe un acto contractual que declare el saldo a favor del Estado ni un título ejecutivo derivado de dicha actuación, por lo que la entidad deberá agotar la conciliación extrajudicial en derecho como requisito de procedibilidad del medio de control de controversias contractuales, conforme al numeral 1 del artículo 161 del CPACA. La presentación de la solicitud suspende el término de caducidad en las condiciones del artículo 21 de la Ley 640 de 2001, esto es, hasta que se logre el acuerdo conciliatorio, se expidan las constancias respectivas o venzan los tres meses siguientes, lo que ocurra primero. Fracasada la conciliación, la controversia deberá someterse al juez del contrato, único competente para declarar el incumplimiento y ordenar el reintegro de los recursos no ejecutados. </w:t>
      </w:r>
    </w:p>
    <w:p w14:paraId="425BC36A" w14:textId="77777777" w:rsidR="00BE4AA0" w:rsidRPr="00BE4AA0" w:rsidRDefault="00BE4AA0" w:rsidP="00BE4AA0">
      <w:pPr>
        <w:spacing w:after="120" w:line="276" w:lineRule="auto"/>
        <w:jc w:val="both"/>
        <w:rPr>
          <w:rFonts w:ascii="Verdana" w:eastAsia="Calibri" w:hAnsi="Verdana" w:cs="Arial"/>
          <w:color w:val="000000" w:themeColor="text1"/>
          <w:lang w:val="es-ES"/>
        </w:rPr>
      </w:pPr>
      <w:r w:rsidRPr="00BE4AA0">
        <w:rPr>
          <w:rFonts w:ascii="Verdana" w:eastAsia="Calibri" w:hAnsi="Verdana" w:cs="Arial"/>
          <w:lang w:eastAsia="es-MX"/>
        </w:rPr>
        <w:lastRenderedPageBreak/>
        <w:t xml:space="preserve">v. </w:t>
      </w:r>
      <w:r w:rsidRPr="00BE4AA0">
        <w:rPr>
          <w:rFonts w:ascii="Verdana" w:eastAsia="Times New Roman" w:hAnsi="Verdana" w:cs="Arial"/>
          <w:iCs/>
          <w:lang w:val="es-ES" w:eastAsia="es-ES_tradnl"/>
        </w:rPr>
        <w:t xml:space="preserve">Las </w:t>
      </w:r>
      <w:r w:rsidRPr="00BE4AA0">
        <w:rPr>
          <w:rFonts w:ascii="Verdana" w:eastAsia="Times New Roman" w:hAnsi="Verdana" w:cs="Arial"/>
          <w:i/>
          <w:lang w:val="es-ES" w:eastAsia="es-ES_tradnl"/>
        </w:rPr>
        <w:t>multas</w:t>
      </w:r>
      <w:r w:rsidRPr="00BE4AA0">
        <w:rPr>
          <w:rFonts w:ascii="Verdana" w:eastAsia="Times New Roman" w:hAnsi="Verdana" w:cs="Arial"/>
          <w:iCs/>
          <w:lang w:val="es-ES" w:eastAsia="es-ES_tradnl"/>
        </w:rPr>
        <w:t xml:space="preserve"> proceden en todo contrato estatal siempre que se hayan pactado, y tienen un carácter conminatorio. Por otra parte, según lo dispuesto en el artículo 1592 del Código Civil, la </w:t>
      </w:r>
      <w:r w:rsidRPr="00BE4AA0">
        <w:rPr>
          <w:rFonts w:ascii="Verdana" w:eastAsia="Times New Roman" w:hAnsi="Verdana" w:cs="Arial"/>
          <w:i/>
          <w:lang w:val="es-ES" w:eastAsia="es-ES_tradnl"/>
        </w:rPr>
        <w:t>cláusula penal</w:t>
      </w:r>
      <w:r w:rsidRPr="00BE4AA0">
        <w:rPr>
          <w:rFonts w:ascii="Verdana" w:eastAsia="Times New Roman" w:hAnsi="Verdana" w:cs="Arial"/>
          <w:iCs/>
          <w:lang w:val="es-ES" w:eastAsia="es-ES_tradnl"/>
        </w:rPr>
        <w:t xml:space="preserve"> es aquella en que “</w:t>
      </w:r>
      <w:r w:rsidRPr="00BE4AA0">
        <w:rPr>
          <w:rFonts w:ascii="Verdana" w:eastAsia="Times New Roman" w:hAnsi="Verdana" w:cs="Arial"/>
          <w:lang w:val="es-ES" w:eastAsia="es-ES_tradnl"/>
        </w:rPr>
        <w:t>una persona, para asegurar el cumplimiento de una obligación, se sujeta a una pena que consiste en dar o hacer algo en caso de no ejecutar o retardar la obligación principal</w:t>
      </w:r>
      <w:r w:rsidRPr="00BE4AA0">
        <w:rPr>
          <w:rFonts w:ascii="Verdana" w:eastAsia="Times New Roman" w:hAnsi="Verdana" w:cs="Arial"/>
          <w:i/>
          <w:iCs/>
          <w:lang w:val="es-ES" w:eastAsia="es-ES_tradnl"/>
        </w:rPr>
        <w:t xml:space="preserve">”. </w:t>
      </w:r>
      <w:r w:rsidRPr="00BE4AA0">
        <w:rPr>
          <w:rFonts w:ascii="Verdana" w:eastAsia="Times New Roman" w:hAnsi="Verdana" w:cs="Arial"/>
          <w:lang w:val="es-ES" w:eastAsia="es-ES_tradnl"/>
        </w:rPr>
        <w:t>De esta forma, es una obligación accesoria en la que el contratista se compromete a pagar una suma de dinero estimada de manera previa en caso de un incumplimiento de las obligaciones</w:t>
      </w:r>
      <w:r w:rsidRPr="00BE4AA0">
        <w:rPr>
          <w:rFonts w:ascii="Verdana" w:eastAsia="Times New Roman" w:hAnsi="Verdana" w:cs="Arial"/>
          <w:iCs/>
          <w:lang w:val="es-ES" w:eastAsia="es-ES_tradnl"/>
        </w:rPr>
        <w:t xml:space="preserve">. </w:t>
      </w:r>
      <w:r w:rsidRPr="00BE4AA0">
        <w:rPr>
          <w:rFonts w:ascii="Verdana" w:eastAsia="Calibri" w:hAnsi="Verdana" w:cs="Arial"/>
          <w:color w:val="000000" w:themeColor="text1"/>
          <w:lang w:val="es-ES"/>
        </w:rPr>
        <w:t xml:space="preserve">Así, se ha entendido que la cláusula penal puede cumplir varias funciones, a saber: i) estimación anticipada de perjuicios; </w:t>
      </w:r>
      <w:proofErr w:type="spellStart"/>
      <w:r w:rsidRPr="00BE4AA0">
        <w:rPr>
          <w:rFonts w:ascii="Verdana" w:eastAsia="Calibri" w:hAnsi="Verdana" w:cs="Arial"/>
          <w:color w:val="000000" w:themeColor="text1"/>
          <w:lang w:val="es-ES"/>
        </w:rPr>
        <w:t>ii</w:t>
      </w:r>
      <w:proofErr w:type="spellEnd"/>
      <w:r w:rsidRPr="00BE4AA0">
        <w:rPr>
          <w:rFonts w:ascii="Verdana" w:eastAsia="Calibri" w:hAnsi="Verdana" w:cs="Arial"/>
          <w:color w:val="000000" w:themeColor="text1"/>
          <w:lang w:val="es-ES"/>
        </w:rPr>
        <w:t xml:space="preserve">) medio de apremio al deudor, y </w:t>
      </w:r>
      <w:proofErr w:type="spellStart"/>
      <w:r w:rsidRPr="00BE4AA0">
        <w:rPr>
          <w:rFonts w:ascii="Verdana" w:eastAsia="Calibri" w:hAnsi="Verdana" w:cs="Arial"/>
          <w:color w:val="000000" w:themeColor="text1"/>
          <w:lang w:val="es-ES"/>
        </w:rPr>
        <w:t>iii</w:t>
      </w:r>
      <w:proofErr w:type="spellEnd"/>
      <w:r w:rsidRPr="00BE4AA0">
        <w:rPr>
          <w:rFonts w:ascii="Verdana" w:eastAsia="Calibri" w:hAnsi="Verdana" w:cs="Arial"/>
          <w:color w:val="000000" w:themeColor="text1"/>
          <w:lang w:val="es-ES"/>
        </w:rPr>
        <w:t xml:space="preserve">) caución o garantía del cumplimiento de la obligación principal. </w:t>
      </w:r>
    </w:p>
    <w:p w14:paraId="5564948B" w14:textId="77777777" w:rsidR="00BE4AA0" w:rsidRPr="00BE4AA0" w:rsidRDefault="00BE4AA0" w:rsidP="00BE4AA0">
      <w:pPr>
        <w:spacing w:after="120" w:line="276" w:lineRule="auto"/>
        <w:ind w:firstLine="708"/>
        <w:jc w:val="both"/>
        <w:rPr>
          <w:rFonts w:ascii="Verdana" w:eastAsia="Calibri" w:hAnsi="Verdana" w:cs="Arial"/>
          <w:color w:val="000000" w:themeColor="text1"/>
          <w:lang w:val="es-ES"/>
        </w:rPr>
      </w:pPr>
      <w:r w:rsidRPr="00BE4AA0">
        <w:rPr>
          <w:rFonts w:ascii="Verdana" w:hAnsi="Verdana" w:cs="Arial"/>
          <w:iCs/>
          <w:color w:val="000000" w:themeColor="text1"/>
        </w:rPr>
        <w:t>En este punto, conviene resaltar lo dicho por la Sección Tercera del Consejo de Estado, en relación con las diferencias entre las multas y la cláusula penal, esto es: “Aunque las multas y la cláusula penal pecuniaria tienen una finalidad común –en lo sustancial–, que se concreta en el logro de los objetivos propuestos en el contrato; se diferencian en que la multa por regla general es conminatoria del cumplimiento de las obligaciones en razón al acaecimiento de incumplimientos parciales; la cláusula penal constituye en principio una tasación anticipada de perjuicios, a raíz de la declaratoria de caducidad o del incumplimiento definitivo del contrato”</w:t>
      </w:r>
      <w:r w:rsidRPr="00BE4AA0">
        <w:rPr>
          <w:rFonts w:ascii="Verdana" w:hAnsi="Verdana" w:cs="Arial"/>
          <w:color w:val="000000" w:themeColor="text1"/>
          <w:vertAlign w:val="superscript"/>
        </w:rPr>
        <w:footnoteReference w:id="30"/>
      </w:r>
      <w:r w:rsidRPr="00BE4AA0">
        <w:rPr>
          <w:rFonts w:ascii="Verdana" w:hAnsi="Verdana" w:cs="Arial"/>
          <w:iCs/>
          <w:color w:val="000000" w:themeColor="text1"/>
        </w:rPr>
        <w:t>.</w:t>
      </w:r>
      <w:r w:rsidRPr="00BE4AA0">
        <w:rPr>
          <w:rFonts w:ascii="Verdana" w:eastAsia="Calibri" w:hAnsi="Verdana" w:cs="Arial"/>
          <w:color w:val="000000" w:themeColor="text1"/>
        </w:rPr>
        <w:t xml:space="preserve"> Al respecto, l</w:t>
      </w:r>
      <w:r w:rsidRPr="00BE4AA0">
        <w:rPr>
          <w:rFonts w:ascii="Verdana" w:eastAsia="Calibri" w:hAnsi="Verdana" w:cs="Arial"/>
          <w:color w:val="000000" w:themeColor="text1"/>
          <w:lang w:val="es-ES"/>
        </w:rPr>
        <w:t xml:space="preserve">a Sala de Casación Civil de la Corte Suprema de Justicia sobre la naturaleza de la cláusula penal, expresó: </w:t>
      </w:r>
    </w:p>
    <w:p w14:paraId="0EA38CF0" w14:textId="77777777" w:rsidR="00BE4AA0" w:rsidRPr="00BE4AA0" w:rsidRDefault="00BE4AA0" w:rsidP="00BE4AA0">
      <w:pPr>
        <w:spacing w:after="0" w:line="240" w:lineRule="auto"/>
        <w:ind w:left="709" w:right="709" w:firstLine="709"/>
        <w:jc w:val="both"/>
        <w:rPr>
          <w:rFonts w:ascii="Verdana" w:eastAsia="Calibri" w:hAnsi="Verdana" w:cs="Arial"/>
          <w:color w:val="000000" w:themeColor="text1"/>
          <w:sz w:val="20"/>
          <w:szCs w:val="20"/>
          <w:lang w:val="es-ES"/>
        </w:rPr>
      </w:pPr>
      <w:r w:rsidRPr="00BE4AA0">
        <w:rPr>
          <w:rFonts w:ascii="Arial" w:eastAsia="Calibri" w:hAnsi="Arial" w:cs="Arial"/>
          <w:color w:val="000000" w:themeColor="text1"/>
          <w:sz w:val="21"/>
          <w:szCs w:val="21"/>
          <w:lang w:val="es-ES"/>
        </w:rPr>
        <w:br/>
      </w:r>
      <w:r w:rsidRPr="00BE4AA0">
        <w:rPr>
          <w:rFonts w:ascii="Verdana" w:eastAsia="Calibri" w:hAnsi="Verdana" w:cs="Arial"/>
          <w:color w:val="000000" w:themeColor="text1"/>
          <w:sz w:val="20"/>
          <w:szCs w:val="20"/>
          <w:lang w:val="es-ES"/>
        </w:rPr>
        <w:t xml:space="preserve">[E]n el ámbito de la dogmática jurídica civil, se denomina «cláusula penal» al acuerdo de las partes sobre la estimación de los perjuicios compensatorios o moratorios, para el evento del incumplimiento del convenio o la mora en la satisfacción de las obligaciones derivadas del mismo, recibiendo en el primer caso el nombre de «cláusula penal compensatoria» y en el segundo, «cláusula penal moratoria»; así mismo se reconoce, que cumple la función complementaria de apremiar al deudor para el adecuado cumplimiento de la prestación. En virtud de lo anterior, cabe señalar, que dicho pacto tiene el carácter de una «obligación accesoria», en cuanto tiene por objeto asegurar el cumplimiento de otra obligación; igualmente, constituye una «obligación condicional», porque la pena solo se debe ante el incumplimiento o retardo de la «obligación </w:t>
      </w:r>
      <w:r w:rsidRPr="00BE4AA0">
        <w:rPr>
          <w:rFonts w:ascii="Verdana" w:eastAsia="Calibri" w:hAnsi="Verdana" w:cs="Arial"/>
          <w:color w:val="000000" w:themeColor="text1"/>
          <w:sz w:val="20"/>
          <w:szCs w:val="20"/>
          <w:lang w:val="es-ES"/>
        </w:rPr>
        <w:lastRenderedPageBreak/>
        <w:t>principal»; y también puede representar una liquidación convencional y anticipada de los perjuicios en caso de configurarse alguno de tales supuestos.</w:t>
      </w:r>
      <w:r w:rsidRPr="00BE4AA0">
        <w:rPr>
          <w:rFonts w:ascii="Verdana" w:eastAsia="Calibri" w:hAnsi="Verdana" w:cs="Arial"/>
          <w:color w:val="000000" w:themeColor="text1"/>
          <w:sz w:val="20"/>
          <w:szCs w:val="20"/>
          <w:vertAlign w:val="superscript"/>
          <w:lang w:val="es-ES"/>
        </w:rPr>
        <w:footnoteReference w:id="31"/>
      </w:r>
    </w:p>
    <w:p w14:paraId="33629101" w14:textId="77777777" w:rsidR="00BE4AA0" w:rsidRPr="00BE4AA0" w:rsidRDefault="00BE4AA0" w:rsidP="00BE4AA0">
      <w:pPr>
        <w:spacing w:after="120" w:line="240" w:lineRule="auto"/>
        <w:ind w:left="709" w:right="709" w:firstLine="709"/>
        <w:jc w:val="both"/>
        <w:rPr>
          <w:rFonts w:ascii="Verdana" w:hAnsi="Verdana" w:cs="Arial"/>
          <w:iCs/>
          <w:sz w:val="20"/>
          <w:szCs w:val="20"/>
          <w:lang w:val="es-ES" w:eastAsia="es-ES_tradnl"/>
        </w:rPr>
      </w:pPr>
    </w:p>
    <w:p w14:paraId="6761A795" w14:textId="77777777" w:rsidR="00BE4AA0" w:rsidRPr="00BE4AA0" w:rsidRDefault="00BE4AA0" w:rsidP="00BE4AA0">
      <w:pPr>
        <w:spacing w:after="120" w:line="276" w:lineRule="auto"/>
        <w:ind w:firstLine="709"/>
        <w:jc w:val="both"/>
        <w:rPr>
          <w:rFonts w:ascii="Verdana" w:eastAsia="Batang" w:hAnsi="Verdana" w:cs="Arial"/>
          <w:iCs/>
          <w:lang w:val="es-ES" w:eastAsia="es-ES"/>
        </w:rPr>
      </w:pPr>
      <w:r w:rsidRPr="00BE4AA0">
        <w:rPr>
          <w:rFonts w:ascii="Verdana" w:eastAsia="Times New Roman" w:hAnsi="Verdana" w:cs="Arial"/>
          <w:iCs/>
          <w:lang w:val="es-ES"/>
        </w:rPr>
        <w:t>En tal sentido, es importante destacar que la cláusula penal es un elemento accidental en los contratos porque se pacta de común acuerdo por las partes, de conformidad con el principio de la autonomía de la voluntad. Al respecto, la doctrina expresa: “La cláusula penal pecuniaria se constituye en una tasación anticipada de perjuicios ocasionados por el incumplimiento del deudor de la obligación principal del contrato […]”</w:t>
      </w:r>
      <w:r w:rsidRPr="00BE4AA0">
        <w:rPr>
          <w:rFonts w:ascii="Verdana" w:eastAsia="Times New Roman" w:hAnsi="Verdana" w:cs="Arial"/>
          <w:iCs/>
          <w:vertAlign w:val="superscript"/>
          <w:lang w:val="es-ES"/>
        </w:rPr>
        <w:footnoteReference w:id="32"/>
      </w:r>
      <w:r w:rsidRPr="00BE4AA0">
        <w:rPr>
          <w:rFonts w:ascii="Verdana" w:eastAsia="Times New Roman" w:hAnsi="Verdana" w:cs="Arial"/>
          <w:iCs/>
          <w:lang w:val="es-ES"/>
        </w:rPr>
        <w:t xml:space="preserve">. </w:t>
      </w:r>
      <w:r w:rsidRPr="00BE4AA0">
        <w:rPr>
          <w:rFonts w:ascii="Verdana" w:eastAsia="Times New Roman" w:hAnsi="Verdana" w:cs="Arial"/>
          <w:lang w:val="es-ES" w:eastAsia="x-none"/>
        </w:rPr>
        <w:t>Asimismo, el Consejo de Estado plantea que:</w:t>
      </w:r>
      <w:r w:rsidRPr="00BE4AA0">
        <w:rPr>
          <w:rFonts w:ascii="Verdana" w:eastAsia="Times New Roman" w:hAnsi="Verdana" w:cs="Arial"/>
          <w:iCs/>
          <w:lang w:val="es-ES"/>
        </w:rPr>
        <w:t xml:space="preserve"> “</w:t>
      </w:r>
      <w:r w:rsidRPr="00BE4AA0">
        <w:rPr>
          <w:rFonts w:ascii="Verdana" w:eastAsia="Batang" w:hAnsi="Verdana" w:cs="Arial"/>
          <w:iCs/>
          <w:lang w:val="es-ES" w:eastAsia="es-ES"/>
        </w:rPr>
        <w:t xml:space="preserve">Con la imposición y ejecución de la cláusula penal se penaliza al contratista, por el incumplimiento grave del contrato, constituyendo una verdadera indemnización, </w:t>
      </w:r>
      <w:proofErr w:type="gramStart"/>
      <w:r w:rsidRPr="00BE4AA0">
        <w:rPr>
          <w:rFonts w:ascii="Verdana" w:eastAsia="Batang" w:hAnsi="Verdana" w:cs="Arial"/>
          <w:iCs/>
          <w:lang w:val="es-ES" w:eastAsia="es-ES"/>
        </w:rPr>
        <w:t>que</w:t>
      </w:r>
      <w:proofErr w:type="gramEnd"/>
      <w:r w:rsidRPr="00BE4AA0">
        <w:rPr>
          <w:rFonts w:ascii="Verdana" w:eastAsia="Batang" w:hAnsi="Verdana" w:cs="Arial"/>
          <w:iCs/>
          <w:lang w:val="es-ES" w:eastAsia="es-ES"/>
        </w:rPr>
        <w:t xml:space="preserve"> aunque parcial es definitiva, pues con ella se resarcen los perjuicios, o parte de ellos, a favor de la parte que ha cumplido el negocio</w:t>
      </w:r>
      <w:r w:rsidRPr="00BE4AA0">
        <w:rPr>
          <w:rFonts w:ascii="Verdana" w:eastAsia="Times New Roman" w:hAnsi="Verdana" w:cs="Arial"/>
          <w:iCs/>
          <w:lang w:val="es-ES"/>
        </w:rPr>
        <w:t>”</w:t>
      </w:r>
      <w:r w:rsidRPr="00BE4AA0">
        <w:rPr>
          <w:rFonts w:ascii="Verdana" w:eastAsia="Batang" w:hAnsi="Verdana" w:cs="Arial"/>
          <w:iCs/>
          <w:vertAlign w:val="superscript"/>
          <w:lang w:val="es-ES" w:eastAsia="es-ES"/>
        </w:rPr>
        <w:footnoteReference w:id="33"/>
      </w:r>
      <w:r w:rsidRPr="00BE4AA0">
        <w:rPr>
          <w:rFonts w:ascii="Verdana" w:eastAsia="Batang" w:hAnsi="Verdana" w:cs="Arial"/>
          <w:iCs/>
          <w:lang w:val="es-ES" w:eastAsia="es-ES"/>
        </w:rPr>
        <w:t>.</w:t>
      </w:r>
    </w:p>
    <w:p w14:paraId="2866DF43" w14:textId="77777777" w:rsidR="00BE4AA0" w:rsidRPr="00BE4AA0" w:rsidRDefault="00BE4AA0" w:rsidP="00BE4AA0">
      <w:pPr>
        <w:spacing w:after="120" w:line="276" w:lineRule="auto"/>
        <w:ind w:firstLine="709"/>
        <w:jc w:val="both"/>
        <w:rPr>
          <w:rFonts w:ascii="Verdana" w:eastAsia="Times New Roman" w:hAnsi="Verdana" w:cs="Arial"/>
          <w:iCs/>
          <w:lang w:val="es-ES" w:eastAsia="es-ES_tradnl"/>
        </w:rPr>
      </w:pPr>
      <w:r w:rsidRPr="00BE4AA0">
        <w:rPr>
          <w:rFonts w:ascii="Verdana" w:eastAsia="Batang" w:hAnsi="Verdana" w:cs="Arial"/>
          <w:iCs/>
          <w:lang w:val="es-ES" w:eastAsia="es-ES"/>
        </w:rPr>
        <w:t>Por lo tanto, en virtud de la autonomía de la voluntad –artículo 1602 Código Civil–, las partes de un contrato, para procurar el cumplimiento de las obligaciones a su favor, pueden pactar las cláusulas contractuales de apremio y la pena adjudicable a la parte incumplida. Su naturaleza es punitiva y se causan en los eventos en los que se configure un incumplimiento contractual del deudor.</w:t>
      </w:r>
      <w:r w:rsidRPr="00BE4AA0">
        <w:rPr>
          <w:rFonts w:ascii="Verdana" w:eastAsia="Calibri" w:hAnsi="Verdana" w:cs="Arial"/>
          <w:color w:val="000000" w:themeColor="text1"/>
          <w:lang w:val="es-ES"/>
        </w:rPr>
        <w:t xml:space="preserve"> </w:t>
      </w:r>
      <w:r w:rsidRPr="00BE4AA0">
        <w:rPr>
          <w:rFonts w:ascii="Verdana" w:eastAsia="Times New Roman" w:hAnsi="Verdana" w:cs="Arial"/>
          <w:iCs/>
          <w:lang w:val="es-ES" w:eastAsia="es-ES_tradnl"/>
        </w:rPr>
        <w:t xml:space="preserve">De esta manera, tanto la imposición unilateral de las multas pactadas, como la reclamación de la cláusula penal, ocurre como manifestación de las prerrogativas de control, dirección y coerción que ejerce el Estado ante un incumplimiento por parte de sus contratistas. </w:t>
      </w:r>
    </w:p>
    <w:p w14:paraId="0D8FE8E8" w14:textId="77777777" w:rsidR="00BE4AA0" w:rsidRPr="00BE4AA0" w:rsidRDefault="00BE4AA0" w:rsidP="00BE4AA0">
      <w:pPr>
        <w:spacing w:after="120" w:line="276" w:lineRule="auto"/>
        <w:ind w:firstLine="709"/>
        <w:jc w:val="both"/>
        <w:rPr>
          <w:rFonts w:ascii="Verdana" w:eastAsia="Times New Roman" w:hAnsi="Verdana" w:cs="Arial"/>
          <w:iCs/>
          <w:lang w:val="es-ES" w:eastAsia="es-ES_tradnl"/>
        </w:rPr>
      </w:pPr>
      <w:r w:rsidRPr="00BE4AA0">
        <w:rPr>
          <w:rFonts w:ascii="Verdana" w:eastAsia="Times New Roman" w:hAnsi="Verdana" w:cs="Arial"/>
          <w:iCs/>
          <w:lang w:eastAsia="es-ES_tradnl"/>
        </w:rPr>
        <w:t xml:space="preserve">Ahora bien, esa manifestación de prerrogativa presupone la habilitación legal que la Ley 1150 de 2007 y la Ley 1474 de 2011 confieren a las entidades sometidas al EGCAP frente a sus contratistas. En los convenios </w:t>
      </w:r>
      <w:r w:rsidRPr="00BE4AA0">
        <w:rPr>
          <w:rFonts w:ascii="Verdana" w:eastAsia="Times New Roman" w:hAnsi="Verdana" w:cs="Arial"/>
          <w:iCs/>
          <w:lang w:eastAsia="es-ES_tradnl"/>
        </w:rPr>
        <w:lastRenderedPageBreak/>
        <w:t>interadministrativos, en cambio, es necesario distinguir entre la validez del pacto y la forma en que este se hace efectivo. La estipulación de multas o de cláusula penal pecuniaria genera obligaciones accesorias plenamente exigibles entre las partes cooperantes —su fuente es el artículo 1592 del Código Civil y la autonomía de la voluntad—, pero no constituye por sí misma una competencia administrativa para imponerlas mediante acto administrativo. La potestad sancionatoria contractual y el procedimiento del artículo 86 de la Ley 1474 de 2011 son manifestaciones de poder público sometidas a reserva de ley y de competencia reglada, que no pueden crearse ni atribuirse por acuerdo de voluntades, del mismo modo que las cláusulas excepcionales del artículo 14 de la Ley 80 de 1993 solo pueden pactarse allí donde la ley lo autoriza. En consecuencia, la entidad cooperante puede exigir el pago de las sumas pactadas conforme al procedimiento convenido y, ante la renuencia del ejecutor, acudir a la conciliación extrajudicial y a la jurisdicción, pero no puede erigirse en juez de su propia causa frente a otra entidad estatal situada en posición de igualdad. Situación distinta es la de la liquidación pactada, que no comporta el ejercicio de una prerrogativa sancionatoria sino un mecanismo convencional de cierre y determinación del balance final del negocio.</w:t>
      </w:r>
    </w:p>
    <w:p w14:paraId="64E6BE68" w14:textId="77777777" w:rsidR="00BE4AA0" w:rsidRPr="00BE4AA0" w:rsidRDefault="00BE4AA0" w:rsidP="00BE4AA0">
      <w:pPr>
        <w:spacing w:after="120" w:line="276" w:lineRule="auto"/>
        <w:ind w:firstLine="709"/>
        <w:jc w:val="both"/>
        <w:rPr>
          <w:rFonts w:ascii="Verdana" w:hAnsi="Verdana" w:cs="Arial"/>
          <w:iCs/>
          <w:lang w:eastAsia="es-ES_tradnl"/>
        </w:rPr>
      </w:pPr>
      <w:r w:rsidRPr="00BE4AA0">
        <w:rPr>
          <w:rFonts w:ascii="Verdana" w:hAnsi="Verdana" w:cs="Arial"/>
          <w:iCs/>
          <w:lang w:eastAsia="es-ES_tradnl"/>
        </w:rPr>
        <w:t xml:space="preserve">En cuanto a la competencia temporal para la imposición de sanciones por incumplimientos contractuales, esta no se determina por la denominación de la medida, sino por su naturaleza jurídica y por la función que cumple dentro de la relación contractual. </w:t>
      </w:r>
      <w:r w:rsidRPr="00BE4AA0">
        <w:rPr>
          <w:rFonts w:ascii="Verdana" w:eastAsia="Times New Roman" w:hAnsi="Verdana" w:cs="Arial"/>
          <w:iCs/>
          <w:lang w:eastAsia="es-ES_tradnl"/>
        </w:rPr>
        <w:t>En este sentido, la multa debe imponerse durante la ejecución del convenio, en tanto constituye un mecanismo de coerción orientado a conminar al cooperante al cumplimiento oportuno de sus obligaciones. Su finalidad es esencialmente preventiva y correctiva, por lo que solo resulta procedente mientras el convenio se encuentra vigente y en curso de ejecución.</w:t>
      </w:r>
      <w:r w:rsidRPr="00BE4AA0">
        <w:rPr>
          <w:rFonts w:ascii="Verdana" w:hAnsi="Verdana" w:cs="Arial"/>
          <w:iCs/>
          <w:lang w:eastAsia="es-ES_tradnl"/>
        </w:rPr>
        <w:t xml:space="preserve"> </w:t>
      </w:r>
      <w:r w:rsidRPr="00BE4AA0">
        <w:rPr>
          <w:rFonts w:ascii="Verdana" w:eastAsia="Times New Roman" w:hAnsi="Verdana" w:cs="Arial"/>
          <w:iCs/>
          <w:lang w:eastAsia="es-ES_tradnl"/>
        </w:rPr>
        <w:t xml:space="preserve">Por su parte, la cláusula penal pecuniaria, dada su naturaleza sancionatoria y/o indemnizatoria, puede hacerse efectiva incluso una vez finalizada la relación contractual. Esta facultad se extiende hasta el plazo previsto para la liquidación del convenio interadministrativo, etapa en la cual la entidad puede determinar y cuantificar los perjuicios derivados del incumplimiento, siempre que así se haya estipulado en el instrumento contractual. Respecto de los contratos estatales sometidos al EGCAP, esta postura implica abandonar la tesis sobre competencia temporal contenida en los conceptos C-432 del 27 de julio de 2020, C-646 del 9 de noviembre de 2020, C-329 del 7 de septiembre de 2023 y C-200 del 22 de </w:t>
      </w:r>
      <w:r w:rsidRPr="00BE4AA0">
        <w:rPr>
          <w:rFonts w:ascii="Verdana" w:eastAsia="Times New Roman" w:hAnsi="Verdana" w:cs="Arial"/>
          <w:iCs/>
          <w:lang w:eastAsia="es-ES_tradnl"/>
        </w:rPr>
        <w:lastRenderedPageBreak/>
        <w:t>julio de 2024, conforme a la cual, con fundamento en el artículo 17 de la Ley 1150 de 2007, la administración solo podía imponer multas y hacer efectiva la cláusula penal mientras estuviera pendiente la ejecución de las obligaciones del contratista. Tal lectura no se desprende del texto de la norma, que no condiciona la imposición de estas medidas al plazo de ejecución del contrato, y resulta incompatible con la finalidad indemnizatoria de la cláusula penal, cuya cuantificación solo puede realizarse una vez conocido el alcance definitivo del incumplimiento. En su lugar, se adopta el criterio según el cual el límite temporal se determina por la naturaleza de la medida y por el término de que dispone la administración para liquidar el negocio jurídico</w:t>
      </w:r>
      <w:r w:rsidRPr="00BE4AA0">
        <w:rPr>
          <w:rFonts w:ascii="Verdana" w:eastAsia="Times New Roman" w:hAnsi="Verdana" w:cs="Arial"/>
          <w:iCs/>
          <w:lang w:val="es-ES" w:eastAsia="es-ES_tradnl"/>
        </w:rPr>
        <w:t>.</w:t>
      </w:r>
    </w:p>
    <w:p w14:paraId="0323897B" w14:textId="77777777" w:rsidR="00BE4AA0" w:rsidRPr="00BE4AA0" w:rsidRDefault="00BE4AA0" w:rsidP="00BE4AA0">
      <w:pPr>
        <w:spacing w:after="120" w:line="276" w:lineRule="auto"/>
        <w:ind w:firstLine="709"/>
        <w:jc w:val="both"/>
        <w:rPr>
          <w:rFonts w:ascii="Verdana" w:eastAsia="Times New Roman" w:hAnsi="Verdana" w:cs="Arial"/>
          <w:iCs/>
          <w:lang w:eastAsia="es-ES_tradnl"/>
        </w:rPr>
      </w:pPr>
      <w:r w:rsidRPr="00BE4AA0">
        <w:rPr>
          <w:rFonts w:ascii="Verdana" w:eastAsia="Times New Roman" w:hAnsi="Verdana" w:cs="Arial"/>
          <w:iCs/>
          <w:lang w:eastAsia="es-ES_tradnl"/>
        </w:rPr>
        <w:t>Como lo ha expresado el Consejo de Estado con respecto a estas cláusulas, resulta pertinente precisar que la potestad sancionatoria debe ejercerse de acuerdo con el tipo de medida a imponer, a la culminación de la relación negocial o la fecha prevista para la liquidación del negocio jurídico</w:t>
      </w:r>
      <w:r w:rsidRPr="00BE4AA0">
        <w:rPr>
          <w:rFonts w:ascii="Verdana" w:eastAsia="Times New Roman" w:hAnsi="Verdana" w:cs="Arial"/>
          <w:iCs/>
          <w:vertAlign w:val="superscript"/>
          <w:lang w:eastAsia="es-ES_tradnl"/>
        </w:rPr>
        <w:footnoteReference w:id="34"/>
      </w:r>
      <w:r w:rsidRPr="00BE4AA0">
        <w:rPr>
          <w:rFonts w:ascii="Verdana" w:eastAsia="Times New Roman" w:hAnsi="Verdana" w:cs="Arial"/>
          <w:iCs/>
          <w:lang w:eastAsia="es-ES_tradnl"/>
        </w:rPr>
        <w:t xml:space="preserve">. Esto permite que, en el balance financiero del acta de liquidación, se hagan los cruces y/o compensaciones que correspondan, de acuerdo con las sanciones impuestas en el proceso sancionatorio. </w:t>
      </w:r>
    </w:p>
    <w:p w14:paraId="055DE42B" w14:textId="77777777" w:rsidR="00BE4AA0" w:rsidRPr="00BE4AA0" w:rsidRDefault="00BE4AA0" w:rsidP="00BE4AA0">
      <w:pPr>
        <w:spacing w:after="120" w:line="276" w:lineRule="auto"/>
        <w:ind w:firstLine="709"/>
        <w:jc w:val="both"/>
        <w:rPr>
          <w:rFonts w:ascii="Verdana" w:eastAsia="Times New Roman" w:hAnsi="Verdana" w:cs="Arial"/>
          <w:iCs/>
          <w:lang w:eastAsia="es-ES_tradnl"/>
        </w:rPr>
      </w:pPr>
      <w:r w:rsidRPr="00BE4AA0">
        <w:rPr>
          <w:rFonts w:ascii="Verdana" w:eastAsia="Times New Roman" w:hAnsi="Verdana" w:cs="Arial"/>
          <w:iCs/>
          <w:lang w:eastAsia="es-ES_tradnl"/>
        </w:rPr>
        <w:t xml:space="preserve">Sobre esta base, y a falta de plazo contractual de liquidación, la administración dispone de un término máximo de treinta meses contados desde la terminación del plazo de ejecución para dejar en firme el acto administrativo que resuelve el procedimiento sancionatorio. Dicho guarismo resulta de la suma de los términos del artículo 11 de la Ley 1150 de 2007: cuatro meses para la liquidación bilateral, dos meses adicionales para la liquidación unilateral y veinticuatro meses dentro de los cuales aún puede liquidarse el negocio. Cuando las partes hayan pactado un plazo de liquidación distinto, el cómputo se ajustará a este. En todo caso, el término opera como límite máximo y no como plazo garantizado, pues, conforme precisó la Subsección B de la Sección Tercera del Consejo de Estado en auto del 27 de febrero de 2026, la competencia de la administración cesa anticipadamente con la notificación del auto admisorio de la </w:t>
      </w:r>
      <w:r w:rsidRPr="00BE4AA0">
        <w:rPr>
          <w:rFonts w:ascii="Verdana" w:eastAsia="Times New Roman" w:hAnsi="Verdana" w:cs="Arial"/>
          <w:iCs/>
          <w:lang w:eastAsia="es-ES_tradnl"/>
        </w:rPr>
        <w:lastRenderedPageBreak/>
        <w:t>demanda, momento en el cual se traba la relación jurídico procesal ante el juez natural del contrato. Esta precisión se formula respecto de los contratos sometidos al EGCAP y no se extiende a los convenios interadministrativos, en los cuales la efectividad de las estipulaciones de apremio se rige por lo pactado y por las vías ordinarias de exigibilidad</w:t>
      </w:r>
      <w:r w:rsidRPr="00BE4AA0">
        <w:rPr>
          <w:rFonts w:ascii="Verdana" w:eastAsia="Times New Roman" w:hAnsi="Verdana" w:cs="Arial"/>
          <w:iCs/>
          <w:vertAlign w:val="superscript"/>
          <w:lang w:eastAsia="es-ES_tradnl"/>
        </w:rPr>
        <w:footnoteReference w:id="35"/>
      </w:r>
      <w:r w:rsidRPr="00BE4AA0">
        <w:rPr>
          <w:rFonts w:ascii="Verdana" w:eastAsia="Times New Roman" w:hAnsi="Verdana" w:cs="Arial"/>
          <w:iCs/>
          <w:lang w:eastAsia="es-ES_tradnl"/>
        </w:rPr>
        <w:t>.</w:t>
      </w:r>
    </w:p>
    <w:p w14:paraId="7E06E6BD" w14:textId="77777777" w:rsidR="00BE4AA0" w:rsidRPr="00BE4AA0" w:rsidRDefault="00BE4AA0" w:rsidP="00BE4AA0">
      <w:pPr>
        <w:spacing w:after="120" w:line="276" w:lineRule="auto"/>
        <w:jc w:val="both"/>
        <w:rPr>
          <w:rFonts w:ascii="Verdana" w:eastAsia="Calibri" w:hAnsi="Verdana" w:cs="Arial"/>
          <w:lang w:eastAsia="es-MX"/>
        </w:rPr>
      </w:pPr>
      <w:r w:rsidRPr="00BE4AA0">
        <w:rPr>
          <w:rFonts w:ascii="Verdana" w:eastAsia="Calibri" w:hAnsi="Verdana" w:cs="Arial"/>
          <w:lang w:eastAsia="es-MX"/>
        </w:rPr>
        <w:t>vi. Definidas la procedencia y la competencia temporal de las medidas de apremio, corresponde examinar su relación con el trámite de liquidación. En los convenios interadministrativos la cuestión carece de objeto, pues, como se expuso, el procedimiento administrativo sancionatorio del artículo 86 de la Ley 1474 de 2011 no resulta aplicable a estos instrumentos por tratarse de un procedimiento de reserva legal cuya competencia no puede constituirse por vía convencional. Por la misma razón, el inicio de una actuación de esa naturaleza no suspende ni altera los términos de pérdida de competencia para liquidar, los cuales dependen exclusivamente de la naturaleza del convenio y de la existencia o ausencia de habilitación convencional.</w:t>
      </w:r>
    </w:p>
    <w:p w14:paraId="69CEDC6E" w14:textId="77777777" w:rsidR="00BE4AA0" w:rsidRPr="00BE4AA0" w:rsidRDefault="00BE4AA0" w:rsidP="00BE4AA0">
      <w:pPr>
        <w:spacing w:after="120" w:line="276" w:lineRule="auto"/>
        <w:ind w:firstLine="708"/>
        <w:jc w:val="both"/>
        <w:rPr>
          <w:rFonts w:ascii="Verdana" w:eastAsia="Calibri" w:hAnsi="Verdana" w:cs="Arial"/>
          <w:lang w:eastAsia="es-MX"/>
        </w:rPr>
      </w:pPr>
      <w:r w:rsidRPr="00BE4AA0">
        <w:rPr>
          <w:rFonts w:ascii="Verdana" w:eastAsia="Calibri" w:hAnsi="Verdana" w:cs="Arial"/>
          <w:lang w:eastAsia="es-MX"/>
        </w:rPr>
        <w:t>Tratándose de contratos sometidos al EGCAP, donde ambas actuaciones sí resultan procedentes, no existe prejudicialidad ni orden de prelación entre ellas. El procedimiento sancionatorio y el trámite de liquidación persiguen finalidades distintas —declarar la responsabilidad contractual e imponer la consecuencia patrimonial, el primero; determinar el estado final de cuentas del negocio, el segundo— y pueden adelantarse de manera simultánea, sin que la culminación de aquel constituya presupuesto de este. Antes bien, el ejercicio simultáneo resulta funcional, pues permite incorporar al balance financiero de la liquidación los cruces y compensaciones derivados de las sanciones impuestas.</w:t>
      </w:r>
    </w:p>
    <w:p w14:paraId="3FEB5BBA" w14:textId="77777777" w:rsidR="00BE4AA0" w:rsidRPr="00BE4AA0" w:rsidRDefault="00BE4AA0" w:rsidP="00BE4AA0">
      <w:pPr>
        <w:spacing w:after="120" w:line="276" w:lineRule="auto"/>
        <w:ind w:firstLine="708"/>
        <w:jc w:val="both"/>
        <w:rPr>
          <w:rFonts w:ascii="Verdana" w:eastAsia="Calibri" w:hAnsi="Verdana" w:cs="Arial"/>
          <w:lang w:eastAsia="es-MX"/>
        </w:rPr>
      </w:pPr>
      <w:r w:rsidRPr="00BE4AA0">
        <w:rPr>
          <w:rFonts w:ascii="Verdana" w:eastAsia="Calibri" w:hAnsi="Verdana" w:cs="Arial"/>
          <w:lang w:eastAsia="es-MX"/>
        </w:rPr>
        <w:t xml:space="preserve">Tampoco el inicio del procedimiento sancionatorio suspende los términos previstos en el artículo 11 de la Ley 1150 de 2007. La suspensión de términos de competencia requiere consagración legal expresa, y ni dicha norma ni el artículo 86 de la Ley 1474 de 2011 la establecen; a ello se suma que las reglas sobre pérdida de competencia son de interpretación restrictiva, en cuanto delimitan el ejercicio de potestades públicas. En consecuencia, si el término para </w:t>
      </w:r>
      <w:r w:rsidRPr="00BE4AA0">
        <w:rPr>
          <w:rFonts w:ascii="Verdana" w:eastAsia="Calibri" w:hAnsi="Verdana" w:cs="Arial"/>
          <w:lang w:eastAsia="es-MX"/>
        </w:rPr>
        <w:lastRenderedPageBreak/>
        <w:t>liquidar unilateralmente expira mientras el procedimiento sancionatorio se encuentra en curso, la competencia para liquidar se extingue conforme a las reglas legales, sin que se entienda prorrogada por la actuación en trámite, y el interesado podrá solicitar la liquidación judicial en los términos del artículo 141 del CPACA.</w:t>
      </w:r>
    </w:p>
    <w:p w14:paraId="432ABA66" w14:textId="77777777" w:rsidR="00BE4AA0" w:rsidRPr="00BE4AA0" w:rsidRDefault="00BE4AA0" w:rsidP="00BE4AA0">
      <w:pPr>
        <w:spacing w:after="120" w:line="276" w:lineRule="auto"/>
        <w:ind w:firstLine="708"/>
        <w:jc w:val="both"/>
        <w:rPr>
          <w:rFonts w:ascii="Verdana" w:eastAsia="Calibri" w:hAnsi="Verdana" w:cs="Arial"/>
          <w:lang w:eastAsia="es-MX"/>
        </w:rPr>
      </w:pPr>
      <w:r w:rsidRPr="00BE4AA0">
        <w:rPr>
          <w:rFonts w:ascii="Verdana" w:eastAsia="Calibri" w:hAnsi="Verdana" w:cs="Arial"/>
          <w:lang w:eastAsia="es-MX"/>
        </w:rPr>
        <w:t xml:space="preserve">Finalmente, la procedencia del recurso de reposición contra el acto de liquidación unilateral garantiza la contradicción respecto del balance económico del negocio, pero no sustituye ni hace innecesario el procedimiento sancionatorio cuando este resulte procedente. Al tratarse de actuaciones con objeto, causa y efectos distintos, la garantía procesal reconocida en el trámite </w:t>
      </w:r>
      <w:proofErr w:type="spellStart"/>
      <w:r w:rsidRPr="00BE4AA0">
        <w:rPr>
          <w:rFonts w:ascii="Verdana" w:eastAsia="Calibri" w:hAnsi="Verdana" w:cs="Arial"/>
          <w:lang w:eastAsia="es-MX"/>
        </w:rPr>
        <w:t>liquidatorio</w:t>
      </w:r>
      <w:proofErr w:type="spellEnd"/>
      <w:r w:rsidRPr="00BE4AA0">
        <w:rPr>
          <w:rFonts w:ascii="Verdana" w:eastAsia="Calibri" w:hAnsi="Verdana" w:cs="Arial"/>
          <w:lang w:eastAsia="es-MX"/>
        </w:rPr>
        <w:t xml:space="preserve"> no releva a la administración de observar el debido proceso propio de la actuación sancionatoria, ni la habilita para deducir en el acto de liquidación consecuencias sancionatorias que no hayan sido declaradas en la actuación correspondiente.</w:t>
      </w:r>
    </w:p>
    <w:p w14:paraId="593DAE00" w14:textId="77777777" w:rsidR="00BE4AA0" w:rsidRPr="00BE4AA0" w:rsidRDefault="00BE4AA0" w:rsidP="00BE4AA0">
      <w:pPr>
        <w:spacing w:after="0" w:line="276" w:lineRule="auto"/>
        <w:ind w:firstLine="708"/>
        <w:jc w:val="both"/>
        <w:rPr>
          <w:rFonts w:ascii="Verdana" w:eastAsia="Calibri" w:hAnsi="Verdana" w:cs="Arial"/>
          <w:lang w:eastAsia="es-MX"/>
        </w:rPr>
      </w:pPr>
      <w:r w:rsidRPr="00BE4AA0">
        <w:rPr>
          <w:rFonts w:ascii="Verdana" w:eastAsia="Calibri" w:hAnsi="Verdana" w:cs="Arial"/>
          <w:lang w:eastAsia="es-MX"/>
        </w:rPr>
        <w:t>Precisado lo anterior, resulta pertinente abordar el régimen aplicable a la declaratoria del siniestro en los convenios interadministrativos, teniendo en cuenta que estos instrumentos no se rigen automáticamente por el EGCAP y que las potestades unilaterales solo pueden ejercerse cuando la ley las confiere.</w:t>
      </w:r>
    </w:p>
    <w:p w14:paraId="2E4912C3" w14:textId="77777777" w:rsidR="00BE4AA0" w:rsidRPr="00BE4AA0" w:rsidRDefault="00BE4AA0" w:rsidP="00BE4AA0">
      <w:pPr>
        <w:spacing w:after="0" w:line="276" w:lineRule="auto"/>
        <w:jc w:val="both"/>
        <w:rPr>
          <w:rFonts w:ascii="Verdana" w:eastAsia="Calibri" w:hAnsi="Verdana" w:cs="Arial"/>
          <w:lang w:eastAsia="es-MX"/>
        </w:rPr>
      </w:pPr>
    </w:p>
    <w:p w14:paraId="446197BC" w14:textId="77777777" w:rsidR="00BE4AA0" w:rsidRPr="00BE4AA0" w:rsidRDefault="00BE4AA0" w:rsidP="00BE4AA0">
      <w:pPr>
        <w:spacing w:after="120" w:line="276" w:lineRule="auto"/>
        <w:jc w:val="both"/>
        <w:rPr>
          <w:rFonts w:ascii="Verdana" w:eastAsia="Calibri" w:hAnsi="Verdana" w:cs="Arial"/>
          <w:lang w:eastAsia="es-MX"/>
        </w:rPr>
      </w:pPr>
      <w:proofErr w:type="spellStart"/>
      <w:r w:rsidRPr="00BE4AA0">
        <w:rPr>
          <w:rFonts w:ascii="Verdana" w:eastAsia="Calibri" w:hAnsi="Verdana" w:cs="Arial"/>
          <w:lang w:eastAsia="es-MX"/>
        </w:rPr>
        <w:t>vii</w:t>
      </w:r>
      <w:proofErr w:type="spellEnd"/>
      <w:r w:rsidRPr="00BE4AA0">
        <w:rPr>
          <w:rFonts w:ascii="Verdana" w:eastAsia="Calibri" w:hAnsi="Verdana" w:cs="Arial"/>
          <w:lang w:eastAsia="es-MX"/>
        </w:rPr>
        <w:t xml:space="preserve">. En relación con el régimen aplicable a los convenios interadministrativos y con la competencia prevista en el artículo 7 de la Ley 1150 de 2007, no es procedente declarar el siniestro de incumplimiento para afectar la póliza de garantía que se haya pactado, basándose exclusivamente en hechos ocurridos en la etapa </w:t>
      </w:r>
      <w:proofErr w:type="spellStart"/>
      <w:r w:rsidRPr="00BE4AA0">
        <w:rPr>
          <w:rFonts w:ascii="Verdana" w:eastAsia="Calibri" w:hAnsi="Verdana" w:cs="Arial"/>
          <w:lang w:eastAsia="es-MX"/>
        </w:rPr>
        <w:t>postcontractual</w:t>
      </w:r>
      <w:proofErr w:type="spellEnd"/>
      <w:r w:rsidRPr="00BE4AA0">
        <w:rPr>
          <w:rFonts w:ascii="Verdana" w:eastAsia="Calibri" w:hAnsi="Verdana" w:cs="Arial"/>
          <w:lang w:eastAsia="es-MX"/>
        </w:rPr>
        <w:t>, como la mora en el reintegro de saldos no ejecutados. En estos instrumentos asociativos, la declaratoria de incumplimiento no se traduce automáticamente en la posibilidad de declarar el siniestro, pues la competencia para afectar las garantías constituidas está reservada, por mandato legal expreso, a los contratos estatales sometidos al Estatuto General de Contratación de la Administración Pública.</w:t>
      </w:r>
    </w:p>
    <w:p w14:paraId="6F06D96A" w14:textId="77777777" w:rsidR="00BE4AA0" w:rsidRPr="00BE4AA0" w:rsidRDefault="00BE4AA0" w:rsidP="00BE4AA0">
      <w:pPr>
        <w:spacing w:after="0" w:line="276" w:lineRule="auto"/>
        <w:ind w:firstLine="708"/>
        <w:jc w:val="both"/>
        <w:rPr>
          <w:rFonts w:ascii="Verdana" w:eastAsia="Calibri" w:hAnsi="Verdana" w:cs="Arial"/>
          <w:lang w:eastAsia="es-MX"/>
        </w:rPr>
      </w:pPr>
      <w:r w:rsidRPr="00BE4AA0">
        <w:rPr>
          <w:rFonts w:ascii="Verdana" w:eastAsia="Calibri" w:hAnsi="Verdana" w:cs="Arial"/>
          <w:lang w:eastAsia="es-MX"/>
        </w:rPr>
        <w:t xml:space="preserve">En este contexto, aunque la entidad constate un incumplimiento en la etapa </w:t>
      </w:r>
      <w:proofErr w:type="spellStart"/>
      <w:r w:rsidRPr="00BE4AA0">
        <w:rPr>
          <w:rFonts w:ascii="Verdana" w:eastAsia="Calibri" w:hAnsi="Verdana" w:cs="Arial"/>
          <w:lang w:eastAsia="es-MX"/>
        </w:rPr>
        <w:t>postcontractual</w:t>
      </w:r>
      <w:proofErr w:type="spellEnd"/>
      <w:r w:rsidRPr="00BE4AA0">
        <w:rPr>
          <w:rFonts w:ascii="Verdana" w:eastAsia="Calibri" w:hAnsi="Verdana" w:cs="Arial"/>
          <w:lang w:eastAsia="es-MX"/>
        </w:rPr>
        <w:t xml:space="preserve"> —como la renuencia o mora en devolver recursos no ejecutados— ello no habilita por sí solo la declaratoria del siniestro, pues dicha facultad no surge de la ley en el ámbito de los convenios interadministrativos. La competencia del artículo 7 de la Ley 1150 de 2007 para declarar el siniestro es una potestad exclusiva de la administración en los contratos estatales </w:t>
      </w:r>
      <w:r w:rsidRPr="00BE4AA0">
        <w:rPr>
          <w:rFonts w:ascii="Verdana" w:eastAsia="Calibri" w:hAnsi="Verdana" w:cs="Arial"/>
          <w:lang w:eastAsia="es-MX"/>
        </w:rPr>
        <w:lastRenderedPageBreak/>
        <w:t xml:space="preserve">sometidos al EGCAP y, conforme a lo expuesto en el aparte </w:t>
      </w:r>
      <w:proofErr w:type="spellStart"/>
      <w:r w:rsidRPr="00BE4AA0">
        <w:rPr>
          <w:rFonts w:ascii="Verdana" w:eastAsia="Calibri" w:hAnsi="Verdana" w:cs="Arial"/>
          <w:lang w:eastAsia="es-MX"/>
        </w:rPr>
        <w:t>iii</w:t>
      </w:r>
      <w:proofErr w:type="spellEnd"/>
      <w:r w:rsidRPr="00BE4AA0">
        <w:rPr>
          <w:rFonts w:ascii="Verdana" w:eastAsia="Calibri" w:hAnsi="Verdana" w:cs="Arial"/>
          <w:lang w:eastAsia="es-MX"/>
        </w:rPr>
        <w:t xml:space="preserve">, no puede extenderse a los convenios por vía de aplicación supletoria ni constituirse mediante estipulación de las partes, dada la posición de igualdad en que estas concurren. En consecuencia, cualquier actuación frente a la póliza debe ajustarse a lo pactado en la minuta y a los mecanismos propios del derecho de los seguros. Al respecto, la Sala de Consulta y Servicio Civil del Consejo de Estado expresó: “[…] </w:t>
      </w:r>
      <w:proofErr w:type="gramStart"/>
      <w:r w:rsidRPr="00BE4AA0">
        <w:rPr>
          <w:rFonts w:ascii="Verdana" w:eastAsia="Calibri" w:hAnsi="Verdana" w:cs="Arial"/>
          <w:lang w:eastAsia="es-MX"/>
        </w:rPr>
        <w:t>que</w:t>
      </w:r>
      <w:proofErr w:type="gramEnd"/>
      <w:r w:rsidRPr="00BE4AA0">
        <w:rPr>
          <w:rFonts w:ascii="Verdana" w:eastAsia="Calibri" w:hAnsi="Verdana" w:cs="Arial"/>
          <w:lang w:eastAsia="es-MX"/>
        </w:rPr>
        <w:t xml:space="preserve"> respecto de los convenios interadministrativos, si se ha pactado como garantía una póliza de cumplimiento, al no resultar procedente el ejercicio de potestades unilaterales, deberá realizarse la correspondiente reclamación a la aseguradora siguiendo para el efecto”</w:t>
      </w:r>
      <w:r w:rsidRPr="00BE4AA0">
        <w:rPr>
          <w:rFonts w:ascii="Verdana" w:eastAsia="Calibri" w:hAnsi="Verdana" w:cs="Arial"/>
          <w:vertAlign w:val="superscript"/>
          <w:lang w:eastAsia="es-MX"/>
        </w:rPr>
        <w:footnoteReference w:id="36"/>
      </w:r>
      <w:r w:rsidRPr="00BE4AA0">
        <w:rPr>
          <w:rFonts w:ascii="Verdana" w:eastAsia="Calibri" w:hAnsi="Verdana" w:cs="Arial"/>
          <w:lang w:eastAsia="es-MX"/>
        </w:rPr>
        <w:t>.</w:t>
      </w:r>
    </w:p>
    <w:p w14:paraId="74CFBAB4" w14:textId="77777777" w:rsidR="00BE4AA0" w:rsidRPr="00BE4AA0" w:rsidRDefault="00BE4AA0" w:rsidP="00BE4AA0">
      <w:pPr>
        <w:spacing w:after="0" w:line="276" w:lineRule="auto"/>
        <w:jc w:val="both"/>
        <w:rPr>
          <w:rFonts w:ascii="Verdana" w:eastAsia="Calibri" w:hAnsi="Verdana" w:cs="Arial"/>
          <w:lang w:eastAsia="es-MX"/>
        </w:rPr>
      </w:pPr>
    </w:p>
    <w:p w14:paraId="603A8DB0" w14:textId="77777777" w:rsidR="00BE4AA0" w:rsidRPr="00BE4AA0" w:rsidRDefault="00BE4AA0" w:rsidP="00BE4AA0">
      <w:pPr>
        <w:spacing w:after="120" w:line="276" w:lineRule="auto"/>
        <w:jc w:val="both"/>
        <w:rPr>
          <w:rFonts w:ascii="Verdana" w:eastAsia="Calibri" w:hAnsi="Verdana" w:cs="Arial"/>
          <w:lang w:eastAsia="es-MX"/>
        </w:rPr>
      </w:pPr>
      <w:proofErr w:type="spellStart"/>
      <w:r w:rsidRPr="00BE4AA0">
        <w:rPr>
          <w:rFonts w:ascii="Verdana" w:eastAsia="Calibri" w:hAnsi="Verdana" w:cs="Arial"/>
          <w:lang w:eastAsia="es-MX"/>
        </w:rPr>
        <w:t>viii</w:t>
      </w:r>
      <w:proofErr w:type="spellEnd"/>
      <w:r w:rsidRPr="00BE4AA0">
        <w:rPr>
          <w:rFonts w:ascii="Verdana" w:eastAsia="Calibri" w:hAnsi="Verdana" w:cs="Arial"/>
          <w:lang w:eastAsia="es-MX"/>
        </w:rPr>
        <w:t>. El incumplimiento reiterado derivado de multas o cláusula penal pecuniaria no puede generar inhabilidad para contratar cuando el sujeto afectado es una entidad estatal. El artículo 90 de la Ley 1474 de 2011</w:t>
      </w:r>
      <w:r w:rsidRPr="00BE4AA0">
        <w:rPr>
          <w:rFonts w:ascii="Verdana" w:eastAsia="Calibri" w:hAnsi="Verdana" w:cs="Arial"/>
          <w:vertAlign w:val="superscript"/>
          <w:lang w:eastAsia="es-MX"/>
        </w:rPr>
        <w:footnoteReference w:id="37"/>
      </w:r>
      <w:r w:rsidRPr="00BE4AA0">
        <w:rPr>
          <w:rFonts w:ascii="Verdana" w:eastAsia="Calibri" w:hAnsi="Verdana" w:cs="Arial"/>
          <w:lang w:eastAsia="es-MX"/>
        </w:rPr>
        <w:t xml:space="preserve"> establece dicha inhabilidad únicamente para los </w:t>
      </w:r>
      <w:r w:rsidRPr="00BE4AA0">
        <w:rPr>
          <w:rFonts w:ascii="Verdana" w:eastAsia="Calibri" w:hAnsi="Verdana" w:cs="Arial"/>
          <w:i/>
          <w:iCs/>
          <w:lang w:eastAsia="es-MX"/>
        </w:rPr>
        <w:t>contratistas</w:t>
      </w:r>
      <w:r w:rsidRPr="00BE4AA0">
        <w:rPr>
          <w:rFonts w:ascii="Verdana" w:eastAsia="Calibri" w:hAnsi="Verdana" w:cs="Arial"/>
          <w:lang w:eastAsia="es-MX"/>
        </w:rPr>
        <w:t>, entendidos como particulares que participan en la contratación pública. Tal como señala la Sala de Consulta y Servicio Civil del Consejo de Estado, las inhabilidades son “impedimentos o tachas […] que imposibilitan para participar en procesos de selección, celebrar y ejecutar contratos con las entidades estatales”</w:t>
      </w:r>
      <w:r w:rsidRPr="00BE4AA0">
        <w:rPr>
          <w:rFonts w:ascii="Verdana" w:eastAsia="Calibri" w:hAnsi="Verdana" w:cs="Arial"/>
          <w:vertAlign w:val="superscript"/>
          <w:lang w:eastAsia="es-MX"/>
        </w:rPr>
        <w:footnoteReference w:id="38"/>
      </w:r>
      <w:r w:rsidRPr="00BE4AA0">
        <w:rPr>
          <w:rFonts w:ascii="Verdana" w:eastAsia="Calibri" w:hAnsi="Verdana" w:cs="Arial"/>
          <w:lang w:eastAsia="es-MX"/>
        </w:rPr>
        <w:t xml:space="preserve">, afectando la capacidad de </w:t>
      </w:r>
      <w:r w:rsidRPr="00BE4AA0">
        <w:rPr>
          <w:rFonts w:ascii="Verdana" w:eastAsia="Calibri" w:hAnsi="Verdana" w:cs="Arial"/>
          <w:lang w:eastAsia="es-MX"/>
        </w:rPr>
        <w:lastRenderedPageBreak/>
        <w:t>quienes, por su situación o condición, “no pueden disponer de los suyos mediante la celebración de negocios jurídicos”</w:t>
      </w:r>
      <w:r w:rsidRPr="00BE4AA0">
        <w:rPr>
          <w:rFonts w:ascii="Verdana" w:eastAsia="Calibri" w:hAnsi="Verdana" w:cs="Arial"/>
          <w:vertAlign w:val="superscript"/>
          <w:lang w:eastAsia="es-MX"/>
        </w:rPr>
        <w:footnoteReference w:id="39"/>
      </w:r>
    </w:p>
    <w:p w14:paraId="415A9458" w14:textId="77777777" w:rsidR="00BE4AA0" w:rsidRPr="00BE4AA0" w:rsidRDefault="00BE4AA0" w:rsidP="00BE4AA0">
      <w:pPr>
        <w:spacing w:after="120" w:line="276" w:lineRule="auto"/>
        <w:ind w:firstLine="709"/>
        <w:jc w:val="both"/>
        <w:rPr>
          <w:rFonts w:ascii="Verdana" w:eastAsia="Calibri" w:hAnsi="Verdana" w:cs="Arial"/>
          <w:lang w:eastAsia="es-MX"/>
        </w:rPr>
      </w:pPr>
      <w:r w:rsidRPr="00BE4AA0">
        <w:rPr>
          <w:rFonts w:ascii="Verdana" w:eastAsia="Calibri" w:hAnsi="Verdana" w:cs="Arial"/>
          <w:lang w:eastAsia="es-MX"/>
        </w:rPr>
        <w:t xml:space="preserve">En contraste, las entidades públicas no pueden ser destinatarias de esta inhabilidad porque su capacidad contractual no deriva de la autonomía privada, sino de mandatos constitucionales y legales que les imponen el cumplimiento permanente de funciones administrativas y la prestación continua de servicios públicos. El Consejo de Estado lo expresa con claridad al señalar que las entidades estatales están obligadas a garantizar la continuidad de la función administrativa, pues su actividad se fundamenta en “valores y principios superiores que imponen garantizar la continuidad de la función administrativa”, conforme a lo prescrito en el artículo 2 de la Constitución Política. </w:t>
      </w:r>
    </w:p>
    <w:p w14:paraId="4AF9D407" w14:textId="77777777" w:rsidR="00BE4AA0" w:rsidRPr="00BE4AA0" w:rsidRDefault="00BE4AA0" w:rsidP="00BE4AA0">
      <w:pPr>
        <w:spacing w:after="120" w:line="276" w:lineRule="auto"/>
        <w:ind w:firstLine="709"/>
        <w:jc w:val="both"/>
        <w:rPr>
          <w:rFonts w:ascii="Verdana" w:eastAsia="Calibri" w:hAnsi="Verdana" w:cs="Arial"/>
          <w:lang w:eastAsia="es-MX"/>
        </w:rPr>
      </w:pPr>
      <w:r w:rsidRPr="00BE4AA0">
        <w:rPr>
          <w:rFonts w:ascii="Verdana" w:eastAsia="Calibri" w:hAnsi="Verdana" w:cs="Arial"/>
          <w:lang w:eastAsia="es-MX"/>
        </w:rPr>
        <w:t>Además, aplicar una inhabilidad a una entidad estatal por incumplimiento reiterado implicaría desconocer los fines esenciales del Estado, entre ellos la satisfacción de necesidades colectivas y la prestación eficiente de servicios públicos. La Sala advierte que ello sería incompatible con el principio de continuidad, según el cual la función administrativa debe ejercerse de manera permanente, sin interrupciones que afecten los derechos de los administrados. En palabras del Consejo de Estado, “la función pública requiere continuidad […] condiciones para alcanzar los fines esenciales del Estado”.</w:t>
      </w:r>
    </w:p>
    <w:p w14:paraId="6D47E522" w14:textId="77777777" w:rsidR="00BE4AA0" w:rsidRPr="00BE4AA0" w:rsidRDefault="00BE4AA0" w:rsidP="00BE4AA0">
      <w:pPr>
        <w:spacing w:after="120" w:line="276" w:lineRule="auto"/>
        <w:ind w:firstLine="709"/>
        <w:jc w:val="both"/>
        <w:rPr>
          <w:rFonts w:ascii="Verdana" w:eastAsia="Calibri" w:hAnsi="Verdana" w:cs="Arial"/>
          <w:lang w:eastAsia="es-MX"/>
        </w:rPr>
      </w:pPr>
      <w:r w:rsidRPr="00BE4AA0">
        <w:rPr>
          <w:rFonts w:ascii="Verdana" w:eastAsia="Calibri" w:hAnsi="Verdana" w:cs="Arial"/>
          <w:lang w:eastAsia="es-MX"/>
        </w:rPr>
        <w:t>También resultaría improcedente porque la capacidad de las entidades para contratar proviene de normas, como el Estatuto Orgánico del Presupuesto, que no pueden restringirse por una sanción legal prevista para particulares. El Consejo de Estado lo explicó al afirmar que la imposición de multas o las declaratorias de incumplimiento “no pueden limitar las situaciones jurídicas fijadas por una ley superior como son aquellas de carácter orgánico”, ni permitir que un acto administrativo suspenda temporalmente competencias constitucionales y legales.</w:t>
      </w:r>
    </w:p>
    <w:p w14:paraId="7A2E4C53" w14:textId="77777777" w:rsidR="00BE4AA0" w:rsidRPr="00BE4AA0" w:rsidRDefault="00BE4AA0" w:rsidP="00BE4AA0">
      <w:pPr>
        <w:spacing w:after="120" w:line="276" w:lineRule="auto"/>
        <w:ind w:firstLine="709"/>
        <w:jc w:val="both"/>
        <w:rPr>
          <w:rFonts w:ascii="Verdana" w:eastAsia="Calibri" w:hAnsi="Verdana" w:cs="Arial"/>
          <w:lang w:eastAsia="es-MX"/>
        </w:rPr>
      </w:pPr>
      <w:r w:rsidRPr="00BE4AA0">
        <w:rPr>
          <w:rFonts w:ascii="Verdana" w:eastAsia="Calibri" w:hAnsi="Verdana" w:cs="Arial"/>
          <w:lang w:eastAsia="es-MX"/>
        </w:rPr>
        <w:t xml:space="preserve">Finalmente, el Consejo de Estado ha reiterado que las entidades públicas no pueden ser inhabilitadas por sanciones contractuales, pues ello equivaldría a impedirles cumplir los fines estatales y contrariar los principios de la función administrativa. En el Concepto 1283 de 2000 se sostuvo que “[…] por cuanto </w:t>
      </w:r>
      <w:r w:rsidRPr="00BE4AA0">
        <w:rPr>
          <w:rFonts w:ascii="Verdana" w:eastAsia="Calibri" w:hAnsi="Verdana" w:cs="Arial"/>
          <w:lang w:eastAsia="es-MX"/>
        </w:rPr>
        <w:lastRenderedPageBreak/>
        <w:t>mal podría el mismo Estado en algunos eventos, como en el de la declaratoria de caducidad, inhabilitar a sus organismos o entidades para la realización de los fines atribuidos por la Constitución, contrariando de esta manera los principios generales de la función administrativa”</w:t>
      </w:r>
      <w:r w:rsidRPr="00BE4AA0">
        <w:rPr>
          <w:rFonts w:ascii="Verdana" w:eastAsia="Calibri" w:hAnsi="Verdana" w:cs="Arial"/>
          <w:vertAlign w:val="superscript"/>
          <w:lang w:eastAsia="es-MX"/>
        </w:rPr>
        <w:footnoteReference w:id="40"/>
      </w:r>
      <w:r w:rsidRPr="00BE4AA0">
        <w:rPr>
          <w:rFonts w:ascii="Verdana" w:eastAsia="Calibri" w:hAnsi="Verdana" w:cs="Arial"/>
          <w:lang w:eastAsia="es-MX"/>
        </w:rPr>
        <w:t>. Por tanto, el incumplimiento reiterado derivado de multas o cláusula penal pecuniaria no puede traducirse en inhabilidad para contratar cuando el sujeto es una entidad estatal, dado su régimen constitucional especial y la naturaleza pública de sus funciones.</w:t>
      </w:r>
    </w:p>
    <w:p w14:paraId="5D32F979" w14:textId="77777777" w:rsidR="00BE4AA0" w:rsidRPr="00BE4AA0" w:rsidRDefault="00BE4AA0" w:rsidP="00BE4AA0">
      <w:pPr>
        <w:spacing w:after="0" w:line="276" w:lineRule="auto"/>
        <w:ind w:firstLine="709"/>
        <w:jc w:val="both"/>
        <w:rPr>
          <w:rFonts w:ascii="Verdana" w:eastAsia="Calibri" w:hAnsi="Verdana" w:cs="Arial"/>
          <w:lang w:eastAsia="es-MX"/>
        </w:rPr>
      </w:pPr>
      <w:r w:rsidRPr="00BE4AA0">
        <w:rPr>
          <w:rFonts w:ascii="Verdana" w:eastAsia="Calibri" w:hAnsi="Verdana" w:cs="Arial"/>
          <w:lang w:eastAsia="es-MX"/>
        </w:rPr>
        <w:t>La misma razón excluye cualquier efecto registral. El artículo 6 de la Ley 1150 de 2007 dispone la inscripción en el Registro Único de Proponentes de las personas naturales o jurídicas nacionales o extranjeras domiciliadas o con sucursal en Colombia que aspiren a celebrar contratos con las entidades estatales, y prevé el reporte de las multas y sanciones impuestas dentro de ese mismo ámbito subjetivo. Las entidades estatales que concurren a un convenio interadministrativo en calidad de cooperantes no son sujetos de inscripción en dicho registro, de manera que la imposición de una multa o la efectividad de la cláusula penal no genera anotación alguna ni produce efecto sobre su capacidad de contratación, sin perjuicio de los deberes de publicidad de la actuación en el SECOP y de las responsabilidades individuales que las autoridades competentes puedan deducir frente a los servidores públicos involucrados.</w:t>
      </w:r>
    </w:p>
    <w:p w14:paraId="07997166" w14:textId="77777777" w:rsidR="00BE4AA0" w:rsidRPr="00BE4AA0" w:rsidRDefault="00BE4AA0" w:rsidP="00BE4AA0">
      <w:pPr>
        <w:spacing w:after="0" w:line="276" w:lineRule="auto"/>
        <w:jc w:val="both"/>
        <w:rPr>
          <w:rFonts w:ascii="Verdana" w:eastAsia="Calibri" w:hAnsi="Verdana" w:cs="Arial"/>
          <w:lang w:eastAsia="es-MX"/>
        </w:rPr>
      </w:pPr>
    </w:p>
    <w:p w14:paraId="24A012C0" w14:textId="77777777" w:rsidR="00BE4AA0" w:rsidRPr="00BE4AA0" w:rsidRDefault="00BE4AA0" w:rsidP="00BE4AA0">
      <w:pPr>
        <w:spacing w:after="120" w:line="276" w:lineRule="auto"/>
        <w:jc w:val="both"/>
        <w:rPr>
          <w:rFonts w:ascii="Verdana" w:hAnsi="Verdana"/>
        </w:rPr>
      </w:pPr>
      <w:proofErr w:type="spellStart"/>
      <w:r w:rsidRPr="00BE4AA0">
        <w:rPr>
          <w:rFonts w:ascii="Verdana" w:eastAsia="Calibri" w:hAnsi="Verdana" w:cs="Arial"/>
          <w:lang w:eastAsia="es-MX"/>
        </w:rPr>
        <w:t>ix</w:t>
      </w:r>
      <w:proofErr w:type="spellEnd"/>
      <w:r w:rsidRPr="00BE4AA0">
        <w:rPr>
          <w:rFonts w:ascii="Verdana" w:eastAsia="Calibri" w:hAnsi="Verdana" w:cs="Arial"/>
          <w:lang w:eastAsia="es-MX"/>
        </w:rPr>
        <w:t xml:space="preserve">. </w:t>
      </w:r>
      <w:r w:rsidRPr="00BE4AA0">
        <w:rPr>
          <w:rFonts w:ascii="Verdana" w:hAnsi="Verdana"/>
        </w:rPr>
        <w:t>Con respecto a la supervisión de los convenios interadministrativos, es importante reiterar que una de sus características principales es que tienen como fuente la autonomía contractual. En particular, los convenios interadministrativos tienen un grado de excepcionalidad frente a las demás tipologías contractuales y se caracterizan por la autorregulación de sus propias estipulaciones, sin que pueda predicarse la aplicación automática de la generalidad de las normas del EGCAP, incluyendo aquellas referidas en el artículo 83 y siguientes de la Ley 1474 de 2011 en materia de supervisión contractual</w:t>
      </w:r>
      <w:r w:rsidRPr="00BE4AA0">
        <w:rPr>
          <w:rFonts w:ascii="Verdana" w:hAnsi="Verdana"/>
          <w:vertAlign w:val="superscript"/>
        </w:rPr>
        <w:footnoteReference w:id="41"/>
      </w:r>
      <w:r w:rsidRPr="00BE4AA0">
        <w:rPr>
          <w:rFonts w:ascii="Verdana" w:hAnsi="Verdana"/>
        </w:rPr>
        <w:t xml:space="preserve">, puesto que este régimen será de aplicación supletoria. </w:t>
      </w:r>
    </w:p>
    <w:p w14:paraId="2BFC082C" w14:textId="77777777" w:rsidR="00BE4AA0" w:rsidRPr="00BE4AA0" w:rsidRDefault="00BE4AA0" w:rsidP="00BE4AA0">
      <w:pPr>
        <w:spacing w:after="120" w:line="276" w:lineRule="auto"/>
        <w:ind w:firstLine="709"/>
        <w:jc w:val="both"/>
        <w:rPr>
          <w:rFonts w:ascii="Verdana" w:hAnsi="Verdana"/>
        </w:rPr>
      </w:pPr>
      <w:r w:rsidRPr="00BE4AA0">
        <w:rPr>
          <w:rFonts w:ascii="Verdana" w:hAnsi="Verdana"/>
        </w:rPr>
        <w:lastRenderedPageBreak/>
        <w:t>En virtud de lo anterior, en el Concepto de esta Agencia el C-1207 del 7 de octubre de 2025 expresó que las partes del convenio interadministrativo deben establecer las condiciones y medidas que emplearán para verificar el cumplimiento de las actividades pactadas y para realizar una supervisión adecuada durante su ejecución. De cualquier modo, estas estipulaciones deben cumplir con el principio de responsabilidad que rige la contratación estatal, según el cual las entidades públicas están obligadas a vigilar la correcta ejecución del objeto contratado y a proteger tanto los derechos de la propia entidad como los del contratista, ejecutor y terceros que puedan verse afectados por la ejecución del contrato</w:t>
      </w:r>
      <w:r w:rsidRPr="00BE4AA0">
        <w:rPr>
          <w:rFonts w:ascii="Verdana" w:hAnsi="Verdana"/>
          <w:vertAlign w:val="superscript"/>
        </w:rPr>
        <w:footnoteReference w:id="42"/>
      </w:r>
      <w:r w:rsidRPr="00BE4AA0">
        <w:rPr>
          <w:rFonts w:ascii="Verdana" w:hAnsi="Verdana"/>
        </w:rPr>
        <w:t>. Para lo anterior, las partes del convenio podrán adoptar mecanismos de supervisión que sean acordes con el modelo dispuesto para la contratación regida por el EGCAP. La jurisprudencia contencioso-administrativa ha considerado que la obligación de vigilar la correcta ejecución del objeto contractual es una función de la entidad contratante, en los siguientes términos:</w:t>
      </w:r>
    </w:p>
    <w:p w14:paraId="7ED25134" w14:textId="77777777" w:rsidR="00BE4AA0" w:rsidRPr="00BE4AA0" w:rsidRDefault="00BE4AA0" w:rsidP="00BE4AA0">
      <w:pPr>
        <w:spacing w:after="0" w:line="276" w:lineRule="auto"/>
        <w:ind w:firstLine="709"/>
        <w:jc w:val="both"/>
        <w:rPr>
          <w:rFonts w:ascii="Verdana" w:hAnsi="Verdana"/>
        </w:rPr>
      </w:pPr>
    </w:p>
    <w:p w14:paraId="65823432" w14:textId="77777777" w:rsidR="00BE4AA0" w:rsidRPr="00BE4AA0" w:rsidRDefault="00BE4AA0" w:rsidP="00BE4AA0">
      <w:pPr>
        <w:spacing w:after="0" w:line="240" w:lineRule="auto"/>
        <w:ind w:left="709" w:right="709"/>
        <w:jc w:val="both"/>
        <w:rPr>
          <w:rFonts w:ascii="Verdana" w:hAnsi="Verdana"/>
          <w:sz w:val="20"/>
          <w:szCs w:val="20"/>
        </w:rPr>
      </w:pPr>
      <w:r w:rsidRPr="00BE4AA0">
        <w:rPr>
          <w:rFonts w:ascii="Verdana" w:hAnsi="Verdana"/>
          <w:sz w:val="20"/>
          <w:szCs w:val="20"/>
        </w:rPr>
        <w:t>“La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BE4AA0">
        <w:rPr>
          <w:rFonts w:ascii="Verdana" w:hAnsi="Verdana"/>
          <w:sz w:val="20"/>
          <w:szCs w:val="20"/>
          <w:vertAlign w:val="superscript"/>
        </w:rPr>
        <w:footnoteReference w:id="43"/>
      </w:r>
      <w:r w:rsidRPr="00BE4AA0">
        <w:rPr>
          <w:rFonts w:ascii="Verdana" w:hAnsi="Verdana"/>
          <w:sz w:val="20"/>
          <w:szCs w:val="20"/>
        </w:rPr>
        <w:t xml:space="preserve"> .</w:t>
      </w:r>
    </w:p>
    <w:p w14:paraId="4F194931" w14:textId="77777777" w:rsidR="00BE4AA0" w:rsidRPr="00BE4AA0" w:rsidRDefault="00BE4AA0" w:rsidP="00BE4AA0">
      <w:pPr>
        <w:spacing w:after="0" w:line="276" w:lineRule="auto"/>
        <w:ind w:firstLine="709"/>
        <w:jc w:val="both"/>
        <w:rPr>
          <w:rFonts w:ascii="Verdana" w:hAnsi="Verdana"/>
        </w:rPr>
      </w:pPr>
    </w:p>
    <w:p w14:paraId="1819AD47" w14:textId="77777777" w:rsidR="00BE4AA0" w:rsidRPr="00BE4AA0" w:rsidRDefault="00BE4AA0" w:rsidP="00BE4AA0">
      <w:pPr>
        <w:spacing w:after="120" w:line="276" w:lineRule="auto"/>
        <w:ind w:firstLine="708"/>
        <w:jc w:val="both"/>
        <w:rPr>
          <w:rFonts w:ascii="Verdana" w:eastAsia="Calibri" w:hAnsi="Verdana" w:cs="Arial"/>
          <w:lang w:eastAsia="es-MX"/>
        </w:rPr>
      </w:pPr>
      <w:r w:rsidRPr="00BE4AA0">
        <w:rPr>
          <w:rFonts w:ascii="Verdana" w:eastAsia="Calibri" w:hAnsi="Verdana" w:cs="Arial"/>
          <w:lang w:eastAsia="es-MX"/>
        </w:rPr>
        <w:t>En este marco, la supervisión implica un seguimiento permanente, técnico y jurídico de la ejecución, orientado a verificar que el objeto se cumpla en la forma, tiempo y condiciones convenidas, y que los recursos aportados se administren con diligencia y transparencia. Así, la supervisión no solo exige velar por el cumplimiento de las obligaciones, sino también actuar oportunamente frente a retrasos, incumplimientos o riesgos que afecten la ejecución,</w:t>
      </w:r>
      <w:r w:rsidRPr="00BE4AA0">
        <w:t xml:space="preserve"> </w:t>
      </w:r>
      <w:r w:rsidRPr="00BE4AA0">
        <w:rPr>
          <w:rFonts w:ascii="Verdana" w:eastAsia="Calibri" w:hAnsi="Verdana" w:cs="Arial"/>
          <w:lang w:eastAsia="es-MX"/>
        </w:rPr>
        <w:t xml:space="preserve">sin que las dificultades internas del ejecutor —como la liquidación de subcontratos o </w:t>
      </w:r>
      <w:r w:rsidRPr="00BE4AA0">
        <w:rPr>
          <w:rFonts w:ascii="Verdana" w:eastAsia="Calibri" w:hAnsi="Verdana" w:cs="Arial"/>
          <w:lang w:eastAsia="es-MX"/>
        </w:rPr>
        <w:lastRenderedPageBreak/>
        <w:t>trámites administrativos propios— puedan oponerse, por regla general, para justificar demoras o impedir la liquidación del convenio principal.</w:t>
      </w:r>
    </w:p>
    <w:p w14:paraId="2C19336B" w14:textId="77777777" w:rsidR="00BE4AA0" w:rsidRPr="00BE4AA0" w:rsidRDefault="00BE4AA0" w:rsidP="00BE4AA0">
      <w:pPr>
        <w:spacing w:after="120" w:line="276" w:lineRule="auto"/>
        <w:ind w:firstLine="708"/>
        <w:jc w:val="both"/>
        <w:rPr>
          <w:rFonts w:ascii="Verdana" w:eastAsia="Calibri" w:hAnsi="Verdana" w:cs="Arial"/>
          <w:lang w:eastAsia="es-MX"/>
        </w:rPr>
      </w:pPr>
      <w:r w:rsidRPr="00BE4AA0">
        <w:rPr>
          <w:rFonts w:ascii="Verdana" w:eastAsia="Calibri" w:hAnsi="Verdana" w:cs="Arial"/>
          <w:lang w:eastAsia="es-MX"/>
        </w:rPr>
        <w:t xml:space="preserve">De esa exigencia de actuación oportuna se desprende la respuesta sobre el momento y el límite temporal del informe de presunto incumplimiento. El ordenamiento no fija un plazo perentorio y autónomo para rendirlo: ni el artículo 84 de la Ley 1474 de 2011 ni las normas que regulan la supervisión establecen un término preclusivo al efecto. El deber de reporte se rige, por tanto, por el principio de oportunidad inherente a la función de vigilancia, conforme al cual el informe debe presentarse tan pronto se verifiquen los hechos que lo motivan, de modo que el ordenador del gasto conserve un margen útil para adoptar las decisiones que correspondan. El límite temporal del informe es, en consecuencia, funcional y no autónomo: viene determinado por los plazos dentro de los cuales la entidad conserva competencia para liquidar el negocio jurídico y, cuando </w:t>
      </w:r>
      <w:proofErr w:type="gramStart"/>
      <w:r w:rsidRPr="00BE4AA0">
        <w:rPr>
          <w:rFonts w:ascii="Verdana" w:eastAsia="Calibri" w:hAnsi="Verdana" w:cs="Arial"/>
          <w:lang w:eastAsia="es-MX"/>
        </w:rPr>
        <w:t>resulte</w:t>
      </w:r>
      <w:proofErr w:type="gramEnd"/>
      <w:r w:rsidRPr="00BE4AA0">
        <w:rPr>
          <w:rFonts w:ascii="Verdana" w:eastAsia="Calibri" w:hAnsi="Verdana" w:cs="Arial"/>
          <w:lang w:eastAsia="es-MX"/>
        </w:rPr>
        <w:t xml:space="preserve"> procedente, para adelantar la actuación sancionatoria y afectar las garantías constituidas, según lo expuesto en los apartes v y vi. Un informe rendido con posterioridad a esos términos, aunque no sea extemporáneo en sí mismo, priva de eficacia a las decisiones que debía sustentar.</w:t>
      </w:r>
    </w:p>
    <w:p w14:paraId="5DD6534E" w14:textId="77777777" w:rsidR="00BE4AA0" w:rsidRPr="00BE4AA0" w:rsidRDefault="00BE4AA0" w:rsidP="00BE4AA0">
      <w:pPr>
        <w:spacing w:after="120" w:line="276" w:lineRule="auto"/>
        <w:ind w:firstLine="708"/>
        <w:jc w:val="both"/>
        <w:rPr>
          <w:rFonts w:ascii="Verdana" w:eastAsia="Calibri" w:hAnsi="Verdana" w:cs="Arial"/>
          <w:lang w:eastAsia="es-MX"/>
        </w:rPr>
      </w:pPr>
      <w:r w:rsidRPr="00BE4AA0">
        <w:rPr>
          <w:rFonts w:ascii="Verdana" w:eastAsia="Calibri" w:hAnsi="Verdana" w:cs="Arial"/>
          <w:lang w:eastAsia="es-MX"/>
        </w:rPr>
        <w:t>En este contexto, las demoras en la liquidación de contratos celebrados por el ejecutor con terceros, así como sus disputas internas, no son, por regla general, oponibles frente a la entidad aportante, salvo que el propio convenio haya previsto expresamente tal condicionamiento, pues el cumplimiento de los plazos y obligaciones del convenio principal se rige por lo pactado entre las partes cooperantes. En esta línea, el ejecutor no puede supeditar la firma del acta de liquidación bilateral ni la devolución de saldos no ejecutados a la resolución de sus trámites contractuales internos, pues ello desnaturalizaría la autonomía y eficacia del convenio interadministrativo.</w:t>
      </w:r>
    </w:p>
    <w:p w14:paraId="0246C376" w14:textId="77777777" w:rsidR="00BE4AA0" w:rsidRPr="00BE4AA0" w:rsidRDefault="00BE4AA0" w:rsidP="00BE4AA0">
      <w:pPr>
        <w:spacing w:after="120" w:line="276" w:lineRule="auto"/>
        <w:ind w:firstLine="709"/>
        <w:jc w:val="both"/>
        <w:rPr>
          <w:rFonts w:ascii="Verdana" w:eastAsia="Calibri" w:hAnsi="Verdana" w:cs="Arial"/>
          <w:lang w:eastAsia="es-MX"/>
        </w:rPr>
      </w:pPr>
      <w:r w:rsidRPr="00BE4AA0">
        <w:rPr>
          <w:rFonts w:ascii="Verdana" w:eastAsia="Calibri" w:hAnsi="Verdana" w:cs="Arial"/>
          <w:lang w:eastAsia="es-MX"/>
        </w:rPr>
        <w:t xml:space="preserve">En efecto, el supervisor del convenio adquiere un papel determinante en la vigilancia del cumplimiento de las obligaciones y en la protección de los recursos públicos del convenio interadministrativo. Si detecta mora, renuencia a reintegrar saldos o cualquier incumplimiento material y omite reportarlo de manera formal y oportuna al ordenador del gasto, tal conducta puede dar lugar a que las autoridades competentes valoren la existencia de una falta disciplinaria en los términos de la Ley 1952 de 2019, modificada por la Ley 2094 de 2021, en cuanto la omisión en el ejercicio de los deberes de control, custodia y </w:t>
      </w:r>
      <w:r w:rsidRPr="00BE4AA0">
        <w:rPr>
          <w:rFonts w:ascii="Verdana" w:eastAsia="Calibri" w:hAnsi="Verdana" w:cs="Arial"/>
          <w:lang w:eastAsia="es-MX"/>
        </w:rPr>
        <w:lastRenderedPageBreak/>
        <w:t>seguimiento de la ejecución contractual compromete la adecuada gestión de los recursos públicos y afecta los principios de responsabilidad y eficiencia que rigen la actuación de los servidores públicos. Del mismo modo, cuando de esa omisión se derive un daño patrimonial al Estado —como puede ocurrir con la pérdida de competencia para liquidar, el vencimiento de las garantías o la imposibilidad de recuperar los saldos no ejecutados— podrá adelantarse el proceso de responsabilidad fiscal regulado en la Ley 610 de 2000. En todo caso, la calificación de la conducta, la determinación del grado de culpabilidad y la graduación de la sanción corresponden exclusivamente a las autoridades disciplinarias y fiscales, sin que a esta Agencia le competa pronunciarse sobre ellas.</w:t>
      </w:r>
    </w:p>
    <w:p w14:paraId="6FC53D76" w14:textId="77777777" w:rsidR="00BE4AA0" w:rsidRPr="00BE4AA0" w:rsidRDefault="00BE4AA0" w:rsidP="00BE4AA0">
      <w:pPr>
        <w:spacing w:after="120" w:line="276" w:lineRule="auto"/>
        <w:ind w:firstLine="709"/>
        <w:jc w:val="both"/>
        <w:rPr>
          <w:rFonts w:ascii="Verdana" w:eastAsia="Calibri" w:hAnsi="Verdana" w:cs="Arial"/>
          <w:lang w:eastAsia="es-MX"/>
        </w:rPr>
      </w:pPr>
      <w:r w:rsidRPr="00BE4AA0">
        <w:rPr>
          <w:rFonts w:ascii="Verdana" w:eastAsia="Calibri" w:hAnsi="Verdana" w:cs="Arial"/>
          <w:lang w:eastAsia="es-MX"/>
        </w:rPr>
        <w:t>En suma, las justificaciones operativas del ejecutor no excusan el incumplimiento ni afectan la exigibilidad de las obligaciones del convenio, y el supervisor debe actuar con diligencia reforzada para evitar riesgos disciplinarios y fiscales. La regla sobre inoponibilidad de trámites internos y la responsabilidad del supervisor convergen en un mismo principio: la protección efectiva del patrimonio público y la garantía de que los convenios interadministrativos se ejecuten y liquiden conforme a los plazos y obligaciones pactados entre las partes cooperantes.</w:t>
      </w:r>
    </w:p>
    <w:p w14:paraId="7CD3CF87" w14:textId="77777777" w:rsidR="00BE4AA0" w:rsidRPr="00BE4AA0" w:rsidRDefault="00BE4AA0" w:rsidP="00BE4AA0">
      <w:pPr>
        <w:spacing w:after="120" w:line="276" w:lineRule="auto"/>
        <w:ind w:firstLine="708"/>
        <w:jc w:val="both"/>
        <w:rPr>
          <w:rFonts w:ascii="Verdana" w:eastAsia="Calibri" w:hAnsi="Verdana" w:cs="Arial"/>
          <w:color w:val="000000" w:themeColor="text1"/>
          <w:lang w:val="es-ES"/>
        </w:rPr>
      </w:pPr>
      <w:r w:rsidRPr="00BE4AA0">
        <w:rPr>
          <w:rFonts w:ascii="Verdana" w:eastAsia="Calibri" w:hAnsi="Verdana" w:cs="Arial"/>
          <w:color w:val="000000" w:themeColor="text1"/>
          <w:lang w:val="es-ES"/>
        </w:rPr>
        <w:t xml:space="preserve">Al </w:t>
      </w:r>
      <w:r w:rsidRPr="00BE4AA0">
        <w:rPr>
          <w:rFonts w:ascii="Verdana" w:hAnsi="Verdana" w:cs="Arial"/>
          <w:lang w:val="es-ES_tradnl" w:eastAsia="es-ES"/>
        </w:rPr>
        <w:t>margen de la explicación precedente debe advertirse que el análisis requerido para resolver problemas específicos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4CD61F5" w14:textId="77777777" w:rsidR="00BE4AA0" w:rsidRPr="00BE4AA0" w:rsidRDefault="00BE4AA0" w:rsidP="00BE4AA0">
      <w:pPr>
        <w:spacing w:after="0" w:line="276" w:lineRule="auto"/>
        <w:ind w:firstLine="709"/>
        <w:jc w:val="both"/>
        <w:rPr>
          <w:rFonts w:ascii="Verdana" w:hAnsi="Verdana" w:cs="Arial"/>
          <w:lang w:val="es-ES" w:eastAsia="es-ES"/>
        </w:rPr>
      </w:pPr>
      <w:r w:rsidRPr="00BE4AA0">
        <w:rPr>
          <w:rFonts w:ascii="Verdana" w:hAnsi="Verdana" w:cs="Arial"/>
          <w:lang w:val="es-ES" w:eastAsia="es-ES"/>
        </w:rPr>
        <w:t xml:space="preserve">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w:t>
      </w:r>
      <w:r w:rsidRPr="00BE4AA0">
        <w:rPr>
          <w:rFonts w:ascii="Verdana" w:hAnsi="Verdana" w:cs="Arial"/>
          <w:lang w:val="es-ES" w:eastAsia="es-ES"/>
        </w:rPr>
        <w:lastRenderedPageBreak/>
        <w:t>de juridicidad. Así, cada entidad definirá la forma de adelantar su gestión contractual, sin que sea atribución de Colombia Compra Eficiente validar sus actuaciones.</w:t>
      </w:r>
    </w:p>
    <w:p w14:paraId="3633CDD8" w14:textId="77777777" w:rsidR="00BE4AA0" w:rsidRPr="00BE4AA0" w:rsidRDefault="00BE4AA0" w:rsidP="00BE4AA0">
      <w:pPr>
        <w:spacing w:after="0" w:line="276" w:lineRule="auto"/>
        <w:jc w:val="both"/>
        <w:rPr>
          <w:rFonts w:ascii="Verdana" w:eastAsia="Calibri" w:hAnsi="Verdana" w:cs="Arial"/>
          <w:lang w:val="es-ES" w:eastAsia="es-MX"/>
        </w:rPr>
      </w:pPr>
    </w:p>
    <w:p w14:paraId="7C6CA923" w14:textId="77777777" w:rsidR="00BE4AA0" w:rsidRPr="00BE4AA0" w:rsidRDefault="00BE4AA0" w:rsidP="00BE4AA0">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BE4AA0">
        <w:rPr>
          <w:rFonts w:ascii="Verdana" w:eastAsia="Century Gothic" w:hAnsi="Verdana" w:cs="Century Gothic"/>
          <w:b/>
          <w:bCs/>
          <w:lang w:val="es-ES"/>
        </w:rPr>
        <w:t>Referencias normativas</w:t>
      </w:r>
    </w:p>
    <w:p w14:paraId="6FA1A377" w14:textId="77777777" w:rsidR="00BE4AA0" w:rsidRPr="00BE4AA0" w:rsidRDefault="00BE4AA0" w:rsidP="00BE4AA0">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E4AA0" w:rsidRPr="00BE4AA0" w14:paraId="709B9F0D" w14:textId="77777777" w:rsidTr="00486E91">
        <w:trPr>
          <w:trHeight w:val="595"/>
          <w:jc w:val="center"/>
        </w:trPr>
        <w:tc>
          <w:tcPr>
            <w:tcW w:w="8647" w:type="dxa"/>
          </w:tcPr>
          <w:p w14:paraId="270900E5"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Constitución Política, artículo 2.</w:t>
            </w:r>
          </w:p>
          <w:p w14:paraId="1F7423FD"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Código Civil, artículos 1592, 1600 y 1602.</w:t>
            </w:r>
          </w:p>
          <w:p w14:paraId="45956FBC"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Ley 80 de 1993, artículos 14, 32, 39, 41, 60 y 61.</w:t>
            </w:r>
          </w:p>
          <w:p w14:paraId="10EC5C70"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Ley 489 de 1998, artículo 95.</w:t>
            </w:r>
          </w:p>
          <w:p w14:paraId="56A2DFB2"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Ley 610 de 2000.</w:t>
            </w:r>
          </w:p>
          <w:p w14:paraId="416C938B"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Ley 640 de 2001, artículo 21.</w:t>
            </w:r>
          </w:p>
          <w:p w14:paraId="7D651A34"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Ley 1150 de 2007, artículos 2, 6, 7, 11 y 17.</w:t>
            </w:r>
          </w:p>
          <w:p w14:paraId="2AAB2D82"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Ley 1437 de 2011, artículos 28, 141, 161, 164 y 297.</w:t>
            </w:r>
          </w:p>
          <w:p w14:paraId="03FDAE5F"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Ley 1474 de 2011, artículos 83, 84, 85, 86 y 90.</w:t>
            </w:r>
          </w:p>
          <w:p w14:paraId="36171355"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Decreto Ley 019 de 2012, artículo 217.</w:t>
            </w:r>
          </w:p>
          <w:p w14:paraId="2E4D6CC9" w14:textId="77777777" w:rsidR="00BE4AA0" w:rsidRPr="00BE4AA0" w:rsidRDefault="00BE4AA0" w:rsidP="00BE4AA0">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BE4AA0">
              <w:rPr>
                <w:rFonts w:ascii="Verdana" w:eastAsia="Arial MT" w:hAnsi="Verdana" w:cs="Arial"/>
                <w:lang w:val="es-ES" w:eastAsia="es-ES" w:bidi="es-ES"/>
              </w:rPr>
              <w:t>Decreto 1082 de 2015, artículos 2.2.1.2.1.4.1 y 2.2.1.2.1.4.4.</w:t>
            </w:r>
          </w:p>
          <w:p w14:paraId="6B532ABE" w14:textId="77777777" w:rsidR="00BE4AA0" w:rsidRPr="00BE4AA0" w:rsidRDefault="00BE4AA0" w:rsidP="00BE4AA0">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BE4AA0">
              <w:rPr>
                <w:rFonts w:ascii="Verdana" w:eastAsia="Arial MT" w:hAnsi="Verdana" w:cs="Arial"/>
                <w:lang w:val="es-ES" w:eastAsia="es-ES" w:bidi="es-ES"/>
              </w:rPr>
              <w:t>Ley 1952 de 2019, modificada por la Ley 2094 de 202</w:t>
            </w:r>
            <w:r w:rsidRPr="00BE4AA0">
              <w:rPr>
                <w:rFonts w:ascii="Verdana" w:eastAsia="Arial MT" w:hAnsi="Verdana" w:cs="Arial"/>
                <w:lang w:eastAsia="es-ES" w:bidi="es-ES"/>
              </w:rPr>
              <w:t>1.</w:t>
            </w:r>
          </w:p>
        </w:tc>
      </w:tr>
    </w:tbl>
    <w:p w14:paraId="1D31A272" w14:textId="77777777" w:rsidR="00BE4AA0" w:rsidRPr="00BE4AA0" w:rsidRDefault="00BE4AA0" w:rsidP="00BE4AA0">
      <w:pPr>
        <w:tabs>
          <w:tab w:val="left" w:pos="142"/>
          <w:tab w:val="left" w:pos="284"/>
        </w:tabs>
        <w:spacing w:after="0" w:line="276" w:lineRule="auto"/>
        <w:contextualSpacing/>
        <w:jc w:val="both"/>
        <w:rPr>
          <w:rFonts w:ascii="Verdana" w:hAnsi="Verdana" w:cs="Arial"/>
          <w:color w:val="000000"/>
          <w:lang w:eastAsia="es-ES"/>
        </w:rPr>
      </w:pPr>
    </w:p>
    <w:p w14:paraId="1431B879" w14:textId="77777777" w:rsidR="00BE4AA0" w:rsidRPr="00BE4AA0" w:rsidRDefault="00BE4AA0" w:rsidP="00BE4AA0">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BE4AA0">
        <w:rPr>
          <w:rFonts w:ascii="Verdana" w:eastAsia="Century Gothic" w:hAnsi="Verdana" w:cs="Century Gothic"/>
          <w:b/>
          <w:bCs/>
          <w:lang w:val="es-ES"/>
        </w:rPr>
        <w:t>Doctrina de la Agencia Nacional de Contratación Pública:</w:t>
      </w:r>
    </w:p>
    <w:p w14:paraId="527EB141" w14:textId="77777777" w:rsidR="00BE4AA0" w:rsidRPr="00BE4AA0" w:rsidRDefault="00BE4AA0" w:rsidP="00BE4AA0">
      <w:pPr>
        <w:widowControl w:val="0"/>
        <w:autoSpaceDE w:val="0"/>
        <w:autoSpaceDN w:val="0"/>
        <w:spacing w:after="0" w:line="276" w:lineRule="auto"/>
        <w:jc w:val="both"/>
        <w:rPr>
          <w:rFonts w:ascii="Verdana" w:hAnsi="Verdana" w:cs="Arial"/>
        </w:rPr>
      </w:pPr>
    </w:p>
    <w:p w14:paraId="6162E666" w14:textId="77777777" w:rsidR="00BE4AA0" w:rsidRPr="00BE4AA0" w:rsidRDefault="00BE4AA0" w:rsidP="00BE4AA0">
      <w:pPr>
        <w:widowControl w:val="0"/>
        <w:autoSpaceDE w:val="0"/>
        <w:autoSpaceDN w:val="0"/>
        <w:spacing w:after="0" w:line="276" w:lineRule="auto"/>
        <w:jc w:val="both"/>
        <w:rPr>
          <w:rFonts w:ascii="Verdana" w:hAnsi="Verdana" w:cs="Arial"/>
          <w:bCs/>
          <w:shd w:val="clear" w:color="auto" w:fill="FFFFFF"/>
        </w:rPr>
      </w:pPr>
      <w:r w:rsidRPr="00BE4AA0">
        <w:rPr>
          <w:rFonts w:ascii="Verdana" w:hAnsi="Verdana" w:cs="Arial"/>
          <w:shd w:val="clear" w:color="auto" w:fill="FFFFFF"/>
        </w:rPr>
        <w:t xml:space="preserve">Esta Subdirección se ha pronunciado sobre la liquidación en los conceptos 4201912000004908 del 27 de septiembre de 2019, CU-028 de 25 de febrero de 2020, C-221 de 21 de abril de 2020, C-078 del 17 de marzo de 2021, C-220 del 18 de mayo de 2021, C-444 del 23 de julio de 2021, C-747 del 8 de noviembre de 2022, C-739 del 29 de noviembre de 2022, C-176 del 3 de mayo de 2023, C-158 del 6 de junio de 2023, C-326 del 15 de agosto de 2024, C-568 del 18 de octubre de 2024 y C-774 del 20 de noviembre de 2024, C-510 del 4 de junio de 2025, entre otros. </w:t>
      </w:r>
      <w:r w:rsidRPr="00BE4AA0">
        <w:rPr>
          <w:rFonts w:ascii="Verdana" w:hAnsi="Verdana" w:cs="Arial"/>
          <w:bCs/>
          <w:shd w:val="clear" w:color="auto" w:fill="FFFFFF"/>
        </w:rPr>
        <w:t xml:space="preserve">En torno a la liquidación en convenios interadministrativos se ha pronunciado en los conceptos C-168 del 21 de abril de 2021, C-427 del 27 </w:t>
      </w:r>
      <w:r w:rsidRPr="00BE4AA0">
        <w:rPr>
          <w:rFonts w:ascii="Verdana" w:hAnsi="Verdana" w:cs="Arial"/>
          <w:bCs/>
          <w:shd w:val="clear" w:color="auto" w:fill="FFFFFF"/>
        </w:rPr>
        <w:lastRenderedPageBreak/>
        <w:t>de noviembre de 2023, la cual se unificó y condensó en el Concepto C-605 del 27 de junio de 2025, C-224 del 11 de marzo de 2026.</w:t>
      </w:r>
      <w:r w:rsidRPr="00BE4AA0">
        <w:rPr>
          <w:rFonts w:ascii="Verdana" w:hAnsi="Verdana"/>
        </w:rPr>
        <w:t xml:space="preserve"> En todo caso, se incorporan nuevas consideraciones sobre los convenios interadministrativos y las particularidades que los distinguen dentro del régimen de contratación estatal. Asimismo, mediante el presente concepto se cambia línea doctrinal sostenida en los conceptos C-432 del 27 de julio de 2020, C-646 del 9 de noviembre de 2020, C-329 del 7 de septiembre de 2023 y C-200 del 22 de julio de 2024, en lo relativo a la competencia temporal para imponer multas y hacer efectiva la cláusula penal pecuniaria en los contratos sometidos al EGCAP, en los términos expuestos en el aparte v del acápite III de este documento.  </w:t>
      </w:r>
      <w:r w:rsidRPr="00BE4AA0">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A2DC474" w14:textId="77777777" w:rsidR="00BE4AA0" w:rsidRPr="00BE4AA0" w:rsidRDefault="00BE4AA0" w:rsidP="00BE4AA0">
      <w:pPr>
        <w:spacing w:after="0" w:line="256" w:lineRule="auto"/>
        <w:jc w:val="both"/>
        <w:rPr>
          <w:rFonts w:ascii="Verdana" w:eastAsia="Calibri" w:hAnsi="Verdana" w:cs="Times New Roman"/>
        </w:rPr>
      </w:pPr>
      <w:hyperlink r:id="rId13" w:history="1">
        <w:r w:rsidRPr="00BE4AA0">
          <w:rPr>
            <w:rFonts w:ascii="Verdana" w:hAnsi="Verdana"/>
            <w:color w:val="0000FF"/>
            <w:u w:val="single"/>
          </w:rPr>
          <w:t>https://www.colombiacompra.gov.co/normativa-y-relatoria/conoce-la-relatoria</w:t>
        </w:r>
      </w:hyperlink>
      <w:r w:rsidRPr="00BE4AA0">
        <w:rPr>
          <w:rFonts w:ascii="Verdana" w:hAnsi="Verdana"/>
        </w:rPr>
        <w:t xml:space="preserve"> </w:t>
      </w:r>
    </w:p>
    <w:p w14:paraId="38D6511C" w14:textId="77777777" w:rsidR="00BE4AA0" w:rsidRPr="00BE4AA0" w:rsidRDefault="00BE4AA0" w:rsidP="00BE4AA0">
      <w:pPr>
        <w:spacing w:after="0" w:line="240" w:lineRule="auto"/>
        <w:rPr>
          <w:rFonts w:ascii="Verdana" w:eastAsia="Verdana" w:hAnsi="Verdana" w:cs="Verdana"/>
          <w:bCs/>
        </w:rPr>
      </w:pPr>
    </w:p>
    <w:p w14:paraId="10F27724" w14:textId="77777777" w:rsidR="00BE4AA0" w:rsidRPr="00BE4AA0" w:rsidRDefault="00BE4AA0" w:rsidP="00BE4AA0">
      <w:pPr>
        <w:spacing w:after="0" w:line="256" w:lineRule="auto"/>
        <w:jc w:val="both"/>
        <w:rPr>
          <w:rFonts w:ascii="Verdana" w:eastAsia="Calibri" w:hAnsi="Verdana" w:cs="Times New Roman"/>
        </w:rPr>
      </w:pPr>
      <w:r w:rsidRPr="00BE4AA0">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BE4AA0">
        <w:rPr>
          <w:rFonts w:ascii="Verdana" w:eastAsia="Calibri" w:hAnsi="Verdana" w:cs="Times New Roman"/>
          <w:b/>
          <w:bCs/>
        </w:rPr>
        <w:t>Curso de Contratación Pública Sostenible y Socialmente Responsable</w:t>
      </w:r>
      <w:r w:rsidRPr="00BE4AA0">
        <w:rPr>
          <w:rFonts w:ascii="Verdana" w:eastAsia="Calibri" w:hAnsi="Verdana" w:cs="Times New Roman"/>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BE4AA0">
        <w:rPr>
          <w:rFonts w:ascii="Verdana" w:eastAsia="Calibri" w:hAnsi="Verdana" w:cs="Times New Roman"/>
        </w:rPr>
        <w:br/>
      </w:r>
      <w:hyperlink r:id="rId14" w:tgtFrame="_new" w:history="1">
        <w:r w:rsidRPr="00BE4AA0">
          <w:rPr>
            <w:rFonts w:ascii="Verdana" w:eastAsia="Calibri" w:hAnsi="Verdana" w:cs="Times New Roman"/>
            <w:color w:val="0000FF"/>
            <w:u w:val="single"/>
          </w:rPr>
          <w:t>https://formacionvirtual.colombiacompra.gov.co/mod/page/view.php?id=3718</w:t>
        </w:r>
      </w:hyperlink>
    </w:p>
    <w:p w14:paraId="40D15CFF" w14:textId="77777777" w:rsidR="00BE4AA0" w:rsidRPr="00BE4AA0" w:rsidRDefault="00BE4AA0" w:rsidP="00BE4AA0">
      <w:pPr>
        <w:spacing w:after="0" w:line="256" w:lineRule="auto"/>
        <w:jc w:val="both"/>
        <w:rPr>
          <w:rFonts w:ascii="Verdana" w:eastAsia="Calibri" w:hAnsi="Verdana" w:cs="Times New Roman"/>
        </w:rPr>
      </w:pPr>
    </w:p>
    <w:p w14:paraId="3AE96FF7" w14:textId="77777777" w:rsidR="00BE4AA0" w:rsidRPr="00BE4AA0" w:rsidRDefault="00BE4AA0" w:rsidP="00BE4AA0">
      <w:pPr>
        <w:spacing w:after="0" w:line="256" w:lineRule="auto"/>
        <w:jc w:val="both"/>
        <w:rPr>
          <w:rFonts w:ascii="Verdana" w:eastAsia="Calibri" w:hAnsi="Verdana" w:cs="Times New Roman"/>
        </w:rPr>
      </w:pPr>
      <w:r w:rsidRPr="00BE4AA0">
        <w:rPr>
          <w:rFonts w:ascii="Verdana" w:eastAsia="Calibri" w:hAnsi="Verdana" w:cs="Times New Roman"/>
        </w:rPr>
        <w:t xml:space="preserve">De otro lado, te contamos que esta Agencia ha dado un paso decisivo en la estandarización y modernización del </w:t>
      </w:r>
      <w:r w:rsidRPr="00BE4AA0">
        <w:rPr>
          <w:rFonts w:ascii="Verdana" w:eastAsia="Calibri" w:hAnsi="Verdana" w:cs="Times New Roman"/>
          <w:b/>
          <w:bCs/>
        </w:rPr>
        <w:t>sector social</w:t>
      </w:r>
      <w:r w:rsidRPr="00BE4AA0">
        <w:rPr>
          <w:rFonts w:ascii="Verdana" w:eastAsia="Calibri" w:hAnsi="Verdana" w:cs="Times New Roman"/>
        </w:rPr>
        <w:t xml:space="preserve"> con la expedición de las </w:t>
      </w:r>
      <w:r w:rsidRPr="00BE4AA0">
        <w:rPr>
          <w:rFonts w:ascii="Verdana" w:eastAsia="Calibri" w:hAnsi="Verdana" w:cs="Times New Roman"/>
          <w:b/>
          <w:bCs/>
        </w:rPr>
        <w:t>Resoluciones 539, 540, 541, 952 y 953 de 2025</w:t>
      </w:r>
      <w:r w:rsidRPr="00BE4AA0">
        <w:rPr>
          <w:rFonts w:ascii="Verdana" w:eastAsia="Calibri" w:hAnsi="Verdana" w:cs="Times New Roman"/>
        </w:rPr>
        <w:t xml:space="preserve">, </w:t>
      </w:r>
      <w:r w:rsidRPr="00BE4AA0">
        <w:rPr>
          <w:rFonts w:ascii="Verdana" w:eastAsia="Calibri" w:hAnsi="Verdana" w:cs="Times New Roman"/>
          <w:b/>
          <w:bCs/>
        </w:rPr>
        <w:t>mediante las cuales adoptó Documentos Tipo</w:t>
      </w:r>
      <w:r w:rsidRPr="00BE4AA0">
        <w:rPr>
          <w:rFonts w:ascii="Verdana" w:eastAsia="Calibri" w:hAnsi="Verdana" w:cs="Times New Roman"/>
        </w:rPr>
        <w:t xml:space="preserve"> para las modalidades de selección de</w:t>
      </w:r>
      <w:r w:rsidRPr="00BE4AA0">
        <w:rPr>
          <w:rFonts w:ascii="Verdana" w:eastAsia="Calibri" w:hAnsi="Verdana" w:cs="Times New Roman"/>
          <w:b/>
          <w:bCs/>
        </w:rPr>
        <w:t xml:space="preserve"> licitación pública (versión 2), selección abreviada de menor cuantía, mínima cuantía, consultoría e interventoría</w:t>
      </w:r>
      <w:r w:rsidRPr="00BE4AA0">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BE4AA0">
          <w:rPr>
            <w:rFonts w:ascii="Verdana" w:eastAsia="Calibri" w:hAnsi="Verdana" w:cs="Times New Roman"/>
            <w:color w:val="0000FF"/>
            <w:u w:val="single"/>
          </w:rPr>
          <w:t>https://www.colombiacompra.gov.co/normativa-y-relatoria/documentos-tipo</w:t>
        </w:r>
      </w:hyperlink>
    </w:p>
    <w:p w14:paraId="28791B97" w14:textId="77777777" w:rsidR="00BE4AA0" w:rsidRPr="00BE4AA0" w:rsidRDefault="00BE4AA0" w:rsidP="00BE4AA0">
      <w:pPr>
        <w:spacing w:after="0" w:line="256" w:lineRule="auto"/>
        <w:jc w:val="both"/>
        <w:rPr>
          <w:rFonts w:ascii="Verdana" w:eastAsia="Calibri" w:hAnsi="Verdana" w:cs="Times New Roman"/>
        </w:rPr>
      </w:pPr>
    </w:p>
    <w:p w14:paraId="492446EC" w14:textId="77777777" w:rsidR="00BE4AA0" w:rsidRPr="00BE4AA0" w:rsidRDefault="00BE4AA0" w:rsidP="00BE4AA0">
      <w:pPr>
        <w:spacing w:after="0" w:line="256" w:lineRule="auto"/>
        <w:jc w:val="both"/>
        <w:rPr>
          <w:rFonts w:ascii="Verdana" w:eastAsia="Calibri" w:hAnsi="Verdana" w:cs="Times New Roman"/>
        </w:rPr>
      </w:pPr>
      <w:r w:rsidRPr="00BE4AA0">
        <w:rPr>
          <w:rFonts w:ascii="Verdana" w:eastAsia="Calibri" w:hAnsi="Verdana" w:cs="Times New Roman"/>
        </w:rPr>
        <w:lastRenderedPageBreak/>
        <w:t xml:space="preserve">Si quieres conocer más sobre la aplicación de Documentos Tipo puedes consultar la última versión de la </w:t>
      </w:r>
      <w:r w:rsidRPr="00BE4AA0">
        <w:rPr>
          <w:rFonts w:ascii="Verdana" w:eastAsia="Calibri" w:hAnsi="Verdana" w:cs="Times New Roman"/>
          <w:b/>
          <w:bCs/>
        </w:rPr>
        <w:t>Guía para la comprensión e implementación de los Documentos Tipo de obra pública de infraestructura de transporte</w:t>
      </w:r>
      <w:r w:rsidRPr="00BE4AA0">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BE4AA0">
        <w:rPr>
          <w:rFonts w:ascii="Verdana" w:eastAsia="Calibri" w:hAnsi="Verdana" w:cs="Times New Roman"/>
        </w:rPr>
        <w:br/>
      </w:r>
      <w:hyperlink r:id="rId16" w:tgtFrame="_new" w:history="1">
        <w:r w:rsidRPr="00BE4AA0">
          <w:rPr>
            <w:rFonts w:ascii="Verdana" w:eastAsia="Calibri"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0FC1A820" w14:textId="77777777" w:rsidR="00BE4AA0" w:rsidRPr="00BE4AA0" w:rsidRDefault="00BE4AA0" w:rsidP="00BE4AA0">
      <w:pPr>
        <w:spacing w:after="0" w:line="240" w:lineRule="auto"/>
        <w:jc w:val="both"/>
        <w:rPr>
          <w:rFonts w:ascii="Verdana" w:hAnsi="Verdana"/>
        </w:rPr>
      </w:pPr>
    </w:p>
    <w:p w14:paraId="135B85AE" w14:textId="77777777" w:rsidR="00BE4AA0" w:rsidRPr="00BE4AA0" w:rsidRDefault="00BE4AA0" w:rsidP="00BE4AA0">
      <w:pPr>
        <w:spacing w:after="0"/>
        <w:jc w:val="both"/>
        <w:rPr>
          <w:rFonts w:ascii="Verdana" w:hAnsi="Verdana"/>
        </w:rPr>
      </w:pPr>
      <w:r w:rsidRPr="00BE4AA0">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39242493" w14:textId="77777777" w:rsidR="00BE4AA0" w:rsidRPr="00BE4AA0" w:rsidRDefault="00BE4AA0" w:rsidP="00BE4AA0">
      <w:pPr>
        <w:spacing w:after="0"/>
        <w:jc w:val="both"/>
        <w:rPr>
          <w:rFonts w:ascii="Verdana" w:hAnsi="Verdana"/>
        </w:rPr>
      </w:pPr>
    </w:p>
    <w:p w14:paraId="3A9BF65E" w14:textId="77777777" w:rsidR="00BE4AA0" w:rsidRPr="00BE4AA0" w:rsidRDefault="00BE4AA0" w:rsidP="00BE4AA0">
      <w:pPr>
        <w:numPr>
          <w:ilvl w:val="0"/>
          <w:numId w:val="15"/>
        </w:numPr>
        <w:spacing w:after="0" w:line="240" w:lineRule="auto"/>
        <w:contextualSpacing/>
        <w:jc w:val="both"/>
        <w:rPr>
          <w:rFonts w:ascii="Verdana" w:eastAsia="Verdana" w:hAnsi="Verdana" w:cs="Verdana"/>
          <w:color w:val="4472C4" w:themeColor="accent1"/>
          <w:u w:val="single"/>
          <w:lang w:val="es-MX"/>
        </w:rPr>
      </w:pPr>
      <w:r w:rsidRPr="00BE4AA0">
        <w:rPr>
          <w:rFonts w:ascii="Verdana" w:eastAsia="Verdana" w:hAnsi="Verdana" w:cs="Verdana"/>
          <w:lang w:val="es-MX"/>
        </w:rPr>
        <w:t xml:space="preserve">Línea nacional gratuita o servicio a la ciudadanía (Mesa de servicio): </w:t>
      </w:r>
      <w:r w:rsidRPr="00BE4AA0">
        <w:rPr>
          <w:rFonts w:ascii="Verdana" w:hAnsi="Verdana"/>
          <w:color w:val="0000FF"/>
          <w:u w:val="single"/>
          <w:lang w:val="es-ES"/>
        </w:rPr>
        <w:t>01800 0520808</w:t>
      </w:r>
    </w:p>
    <w:p w14:paraId="0C473B42" w14:textId="77777777" w:rsidR="00BE4AA0" w:rsidRPr="00BE4AA0" w:rsidRDefault="00BE4AA0" w:rsidP="00BE4AA0">
      <w:pPr>
        <w:numPr>
          <w:ilvl w:val="0"/>
          <w:numId w:val="15"/>
        </w:numPr>
        <w:spacing w:after="0"/>
        <w:contextualSpacing/>
        <w:rPr>
          <w:rFonts w:ascii="Verdana" w:eastAsia="Verdana" w:hAnsi="Verdana" w:cs="Verdana"/>
          <w:color w:val="4472C4" w:themeColor="accent1"/>
          <w:u w:val="single"/>
          <w:lang w:val="es-MX"/>
        </w:rPr>
      </w:pPr>
      <w:r w:rsidRPr="00BE4AA0">
        <w:rPr>
          <w:rFonts w:ascii="Verdana" w:eastAsia="Verdana" w:hAnsi="Verdana" w:cs="Verdana"/>
          <w:lang w:val="es-MX"/>
        </w:rPr>
        <w:t>Línea en Bogotá (Mesa de servicio</w:t>
      </w:r>
      <w:proofErr w:type="gramStart"/>
      <w:r w:rsidRPr="00BE4AA0">
        <w:rPr>
          <w:rFonts w:ascii="Verdana" w:eastAsia="Verdana" w:hAnsi="Verdana" w:cs="Verdana"/>
          <w:lang w:val="es-MX"/>
        </w:rPr>
        <w:t>):</w:t>
      </w:r>
      <w:r w:rsidRPr="00BE4AA0">
        <w:rPr>
          <w:rFonts w:ascii="Verdana" w:hAnsi="Verdana"/>
          <w:color w:val="0000FF"/>
          <w:u w:val="single"/>
          <w:lang w:val="es-ES"/>
        </w:rPr>
        <w:t>+</w:t>
      </w:r>
      <w:proofErr w:type="gramEnd"/>
      <w:r w:rsidRPr="00BE4AA0">
        <w:rPr>
          <w:rFonts w:ascii="Verdana" w:hAnsi="Verdana"/>
          <w:color w:val="0000FF"/>
          <w:u w:val="single"/>
          <w:lang w:val="es-ES"/>
        </w:rPr>
        <w:t>57 601 7456788</w:t>
      </w:r>
    </w:p>
    <w:p w14:paraId="23B914EA" w14:textId="77777777" w:rsidR="00BE4AA0" w:rsidRPr="00BE4AA0" w:rsidRDefault="00BE4AA0" w:rsidP="00BE4AA0">
      <w:pPr>
        <w:numPr>
          <w:ilvl w:val="0"/>
          <w:numId w:val="15"/>
        </w:numPr>
        <w:spacing w:after="0"/>
        <w:contextualSpacing/>
        <w:rPr>
          <w:rFonts w:ascii="Verdana" w:eastAsia="Verdana" w:hAnsi="Verdana" w:cs="Verdana"/>
          <w:color w:val="0000FF"/>
          <w:u w:val="single"/>
          <w:lang w:val="es-MX"/>
        </w:rPr>
      </w:pPr>
      <w:r w:rsidRPr="00BE4AA0">
        <w:rPr>
          <w:rFonts w:ascii="Verdana" w:eastAsia="Verdana" w:hAnsi="Verdana" w:cs="Verdana"/>
          <w:lang w:val="es-MX"/>
        </w:rPr>
        <w:t xml:space="preserve">Correo de radicación de correspondencia: </w:t>
      </w:r>
      <w:hyperlink r:id="rId17">
        <w:r w:rsidRPr="00BE4AA0">
          <w:rPr>
            <w:rFonts w:ascii="Verdana" w:eastAsia="Verdana" w:hAnsi="Verdana" w:cs="Verdana"/>
            <w:color w:val="0000FF"/>
            <w:u w:val="single"/>
            <w:lang w:val="es-MX"/>
          </w:rPr>
          <w:t>ventanilladeradicacion@colombiacompra.gov.co</w:t>
        </w:r>
      </w:hyperlink>
    </w:p>
    <w:p w14:paraId="0E6428DB" w14:textId="77777777" w:rsidR="00BE4AA0" w:rsidRPr="00BE4AA0" w:rsidRDefault="00BE4AA0" w:rsidP="00BE4AA0">
      <w:pPr>
        <w:numPr>
          <w:ilvl w:val="0"/>
          <w:numId w:val="15"/>
        </w:numPr>
        <w:spacing w:after="0"/>
        <w:contextualSpacing/>
        <w:rPr>
          <w:rFonts w:ascii="Verdana" w:eastAsia="Verdana" w:hAnsi="Verdana" w:cs="Verdana"/>
          <w:color w:val="0000FF"/>
          <w:u w:val="single"/>
          <w:lang w:val="es-MX"/>
        </w:rPr>
      </w:pPr>
      <w:r w:rsidRPr="00BE4AA0">
        <w:rPr>
          <w:rFonts w:ascii="Verdana" w:eastAsia="Verdana" w:hAnsi="Verdana" w:cs="Verdana"/>
          <w:lang w:val="es-ES"/>
        </w:rPr>
        <w:t>Formulario web para</w:t>
      </w:r>
      <w:r w:rsidRPr="00BE4AA0">
        <w:rPr>
          <w:rFonts w:ascii="Verdana" w:eastAsia="Verdana" w:hAnsi="Verdana" w:cs="Verdana"/>
          <w:lang w:val="es"/>
        </w:rPr>
        <w:t xml:space="preserve"> PQRSD: </w:t>
      </w:r>
      <w:hyperlink r:id="rId18">
        <w:r w:rsidRPr="00BE4AA0">
          <w:rPr>
            <w:rFonts w:ascii="Verdana" w:eastAsia="Verdana" w:hAnsi="Verdana" w:cs="Verdana"/>
            <w:color w:val="0000FF"/>
            <w:u w:val="single"/>
            <w:lang w:val="es-MX"/>
          </w:rPr>
          <w:t>https://www.colombiacompra.gov.co/pqrsd/informacion-importante-antes-de-formular-una-pqrsd</w:t>
        </w:r>
      </w:hyperlink>
    </w:p>
    <w:p w14:paraId="338016DA" w14:textId="77777777" w:rsidR="00BE4AA0" w:rsidRPr="00BE4AA0" w:rsidRDefault="00BE4AA0" w:rsidP="00BE4AA0">
      <w:pPr>
        <w:spacing w:after="0" w:line="240" w:lineRule="auto"/>
        <w:ind w:left="720"/>
        <w:jc w:val="both"/>
        <w:rPr>
          <w:rFonts w:ascii="Verdana" w:hAnsi="Verdana"/>
        </w:rPr>
      </w:pPr>
    </w:p>
    <w:p w14:paraId="53F97300" w14:textId="77777777" w:rsidR="00BE4AA0" w:rsidRPr="00BE4AA0" w:rsidRDefault="00BE4AA0" w:rsidP="00BE4AA0">
      <w:pPr>
        <w:spacing w:after="0" w:line="240" w:lineRule="auto"/>
        <w:rPr>
          <w:rFonts w:ascii="Verdana" w:hAnsi="Verdana"/>
        </w:rPr>
      </w:pPr>
      <w:r w:rsidRPr="00BE4AA0">
        <w:rPr>
          <w:rFonts w:ascii="Verdana" w:hAnsi="Verdana"/>
        </w:rPr>
        <w:t xml:space="preserve">Evalúa el servicio que ofrece la Agencia por el canal de atención de PQRSD en el siguiente </w:t>
      </w:r>
      <w:proofErr w:type="gramStart"/>
      <w:r w:rsidRPr="00BE4AA0">
        <w:rPr>
          <w:rFonts w:ascii="Verdana" w:hAnsi="Verdana"/>
        </w:rPr>
        <w:t>enlace :</w:t>
      </w:r>
      <w:proofErr w:type="gramEnd"/>
      <w:hyperlink r:id="rId19" w:tgtFrame="_blank" w:tooltip="https://forms.office.com/r/pphywvs2sz" w:history="1">
        <w:r w:rsidRPr="00BE4AA0">
          <w:rPr>
            <w:rFonts w:ascii="Verdana" w:hAnsi="Verdana"/>
            <w:color w:val="0000FF"/>
            <w:u w:val="single"/>
          </w:rPr>
          <w:t>https://forms.office.com/r/pPHyWVs2SZ</w:t>
        </w:r>
      </w:hyperlink>
      <w:r w:rsidRPr="00BE4AA0">
        <w:rPr>
          <w:rFonts w:ascii="Verdana" w:hAnsi="Verdana"/>
        </w:rPr>
        <w:t xml:space="preserve"> .¡Ayúdanos a mejorar porque el compromiso es de todos!</w:t>
      </w:r>
    </w:p>
    <w:p w14:paraId="23BD9D9F" w14:textId="77777777" w:rsidR="00BE4AA0" w:rsidRPr="00BE4AA0" w:rsidRDefault="00BE4AA0" w:rsidP="00BE4AA0">
      <w:pPr>
        <w:spacing w:after="0" w:line="240" w:lineRule="auto"/>
        <w:rPr>
          <w:rFonts w:ascii="Verdana" w:hAnsi="Verdana"/>
        </w:rPr>
      </w:pPr>
    </w:p>
    <w:p w14:paraId="3C548F57" w14:textId="77777777" w:rsidR="00BE4AA0" w:rsidRPr="00BE4AA0" w:rsidRDefault="00BE4AA0" w:rsidP="00BE4AA0">
      <w:pPr>
        <w:spacing w:after="0" w:line="240" w:lineRule="auto"/>
        <w:jc w:val="both"/>
        <w:rPr>
          <w:rFonts w:ascii="Verdana" w:hAnsi="Verdana"/>
        </w:rPr>
      </w:pPr>
      <w:r w:rsidRPr="00BE4AA0">
        <w:rPr>
          <w:rFonts w:ascii="Verdana" w:hAnsi="Verdana"/>
        </w:rPr>
        <w:t xml:space="preserve">Por último, lo invitamos a seguirnos en las redes sociales en las cuales se difunde información institucional: </w:t>
      </w:r>
    </w:p>
    <w:p w14:paraId="130BC763" w14:textId="77777777" w:rsidR="00BE4AA0" w:rsidRPr="00BE4AA0" w:rsidRDefault="00BE4AA0" w:rsidP="00BE4AA0">
      <w:pPr>
        <w:spacing w:after="0" w:line="240" w:lineRule="auto"/>
        <w:jc w:val="both"/>
        <w:rPr>
          <w:rFonts w:ascii="Verdana" w:hAnsi="Verdana"/>
        </w:rPr>
      </w:pPr>
    </w:p>
    <w:p w14:paraId="45ECDF15" w14:textId="77777777" w:rsidR="00BE4AA0" w:rsidRPr="00BE4AA0" w:rsidRDefault="00BE4AA0" w:rsidP="00BE4AA0">
      <w:pPr>
        <w:spacing w:after="0" w:line="240" w:lineRule="auto"/>
        <w:jc w:val="both"/>
        <w:rPr>
          <w:rFonts w:ascii="Verdana" w:hAnsi="Verdana"/>
        </w:rPr>
      </w:pPr>
      <w:r w:rsidRPr="00BE4AA0">
        <w:rPr>
          <w:rFonts w:ascii="Verdana" w:hAnsi="Verdana"/>
        </w:rPr>
        <w:t xml:space="preserve">Twitter: </w:t>
      </w:r>
      <w:r w:rsidRPr="00BE4AA0">
        <w:rPr>
          <w:rFonts w:ascii="Verdana" w:hAnsi="Verdana"/>
          <w:color w:val="0000FF"/>
          <w:u w:val="single"/>
        </w:rPr>
        <w:t>@colombiacompra</w:t>
      </w:r>
      <w:r w:rsidRPr="00BE4AA0">
        <w:rPr>
          <w:rFonts w:ascii="Verdana" w:hAnsi="Verdana"/>
        </w:rPr>
        <w:t xml:space="preserve"> </w:t>
      </w:r>
    </w:p>
    <w:p w14:paraId="2B36F25C" w14:textId="77777777" w:rsidR="00BE4AA0" w:rsidRPr="00BE4AA0" w:rsidRDefault="00BE4AA0" w:rsidP="00BE4AA0">
      <w:pPr>
        <w:spacing w:after="0" w:line="240" w:lineRule="auto"/>
        <w:jc w:val="both"/>
        <w:rPr>
          <w:rFonts w:ascii="Verdana" w:hAnsi="Verdana"/>
        </w:rPr>
      </w:pPr>
      <w:r w:rsidRPr="00BE4AA0">
        <w:rPr>
          <w:rFonts w:ascii="Verdana" w:hAnsi="Verdana"/>
        </w:rPr>
        <w:t xml:space="preserve">Facebook: </w:t>
      </w:r>
      <w:proofErr w:type="spellStart"/>
      <w:r w:rsidRPr="00BE4AA0">
        <w:rPr>
          <w:rFonts w:ascii="Verdana" w:hAnsi="Verdana"/>
          <w:color w:val="0000FF"/>
          <w:u w:val="single"/>
        </w:rPr>
        <w:t>ColombiaCompraEficiente</w:t>
      </w:r>
      <w:proofErr w:type="spellEnd"/>
    </w:p>
    <w:p w14:paraId="75FC8311" w14:textId="77777777" w:rsidR="00BE4AA0" w:rsidRPr="00BE4AA0" w:rsidRDefault="00BE4AA0" w:rsidP="00BE4AA0">
      <w:pPr>
        <w:spacing w:after="0" w:line="240" w:lineRule="auto"/>
        <w:jc w:val="both"/>
        <w:rPr>
          <w:rFonts w:ascii="Verdana" w:hAnsi="Verdana"/>
        </w:rPr>
      </w:pPr>
      <w:r w:rsidRPr="00BE4AA0">
        <w:rPr>
          <w:rFonts w:ascii="Verdana" w:hAnsi="Verdana"/>
        </w:rPr>
        <w:lastRenderedPageBreak/>
        <w:t xml:space="preserve">LinkedIn: </w:t>
      </w:r>
      <w:r w:rsidRPr="00BE4AA0">
        <w:rPr>
          <w:rFonts w:ascii="Verdana" w:hAnsi="Verdana"/>
          <w:color w:val="0000FF"/>
          <w:u w:val="single"/>
        </w:rPr>
        <w:t>Agencia Nacional de Contratación Pública - Colombia Compra Eficiente</w:t>
      </w:r>
      <w:r w:rsidRPr="00BE4AA0">
        <w:rPr>
          <w:rFonts w:ascii="Verdana" w:hAnsi="Verdana"/>
        </w:rPr>
        <w:t xml:space="preserve"> Instagram: </w:t>
      </w:r>
      <w:r w:rsidRPr="00BE4AA0">
        <w:rPr>
          <w:rFonts w:ascii="Verdana" w:hAnsi="Verdana"/>
          <w:color w:val="0000FF"/>
          <w:u w:val="single"/>
        </w:rPr>
        <w:t>@colombiacompraeficiente_cce</w:t>
      </w:r>
    </w:p>
    <w:p w14:paraId="733D2699" w14:textId="77777777" w:rsidR="00BE4AA0" w:rsidRPr="00BE4AA0" w:rsidRDefault="00BE4AA0" w:rsidP="00BE4AA0">
      <w:pPr>
        <w:spacing w:after="0" w:line="240" w:lineRule="auto"/>
        <w:jc w:val="both"/>
        <w:rPr>
          <w:rFonts w:ascii="Verdana" w:hAnsi="Verdana"/>
        </w:rPr>
      </w:pPr>
    </w:p>
    <w:p w14:paraId="0BFEAC81" w14:textId="77777777" w:rsidR="00BE4AA0" w:rsidRPr="00BE4AA0" w:rsidRDefault="00BE4AA0" w:rsidP="00BE4AA0">
      <w:pPr>
        <w:spacing w:after="0" w:line="256" w:lineRule="auto"/>
        <w:jc w:val="both"/>
        <w:rPr>
          <w:rFonts w:ascii="Verdana" w:eastAsia="Calibri" w:hAnsi="Verdana" w:cs="Times New Roman"/>
          <w:bCs/>
          <w:lang w:val="es-ES_tradnl"/>
        </w:rPr>
      </w:pPr>
      <w:r w:rsidRPr="00BE4AA0">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42C7A26" w14:textId="77777777" w:rsidR="00BE4AA0" w:rsidRPr="00BE4AA0" w:rsidRDefault="00BE4AA0" w:rsidP="00BE4AA0">
      <w:pPr>
        <w:spacing w:after="0" w:line="256" w:lineRule="auto"/>
        <w:jc w:val="both"/>
        <w:rPr>
          <w:rFonts w:ascii="Verdana" w:eastAsia="Calibri" w:hAnsi="Verdana" w:cs="Times New Roman"/>
          <w:lang w:val="es-ES_tradnl"/>
        </w:rPr>
      </w:pPr>
    </w:p>
    <w:p w14:paraId="7956E0DD" w14:textId="77777777" w:rsidR="00BE4AA0" w:rsidRPr="00BE4AA0" w:rsidRDefault="00BE4AA0" w:rsidP="00BE4AA0">
      <w:pPr>
        <w:spacing w:after="0" w:line="256" w:lineRule="auto"/>
        <w:jc w:val="both"/>
        <w:rPr>
          <w:rFonts w:ascii="Verdana" w:eastAsia="Calibri" w:hAnsi="Verdana" w:cs="Times New Roman"/>
        </w:rPr>
      </w:pPr>
      <w:r w:rsidRPr="00BE4AA0">
        <w:rPr>
          <w:rFonts w:ascii="Verdana" w:eastAsia="Calibri" w:hAnsi="Verdana" w:cs="Times New Roman"/>
        </w:rPr>
        <w:t>Atentamente,</w:t>
      </w:r>
    </w:p>
    <w:p w14:paraId="14FD6F0E" w14:textId="77777777" w:rsidR="00BE4AA0" w:rsidRPr="00BE4AA0" w:rsidRDefault="00BE4AA0" w:rsidP="00BE4AA0">
      <w:pPr>
        <w:spacing w:after="0" w:line="256" w:lineRule="auto"/>
        <w:jc w:val="center"/>
        <w:rPr>
          <w:rFonts w:ascii="Verdana" w:hAnsi="Verdana"/>
          <w:noProof/>
          <w:sz w:val="16"/>
          <w:szCs w:val="16"/>
          <w:lang w:val="en-US"/>
        </w:rPr>
      </w:pPr>
    </w:p>
    <w:p w14:paraId="599A2DCC" w14:textId="49DF152D" w:rsidR="00BE4AA0" w:rsidRPr="00BE4AA0" w:rsidRDefault="00E31898" w:rsidP="00BE4AA0">
      <w:pPr>
        <w:spacing w:after="0" w:line="256" w:lineRule="auto"/>
        <w:jc w:val="center"/>
        <w:rPr>
          <w:rFonts w:ascii="Century Gothic" w:hAnsi="Century Gothic"/>
          <w:noProof/>
          <w:sz w:val="16"/>
          <w:szCs w:val="16"/>
          <w:lang w:val="en-US"/>
        </w:rPr>
      </w:pPr>
      <w:r w:rsidRPr="00E31898">
        <w:rPr>
          <w:rFonts w:ascii="Century Gothic" w:eastAsia="Calibri" w:hAnsi="Century Gothic" w:cs="Calibri"/>
          <w:noProof/>
          <w:lang w:val="en-US" w:eastAsia="es-ES_tradnl"/>
        </w:rPr>
        <w:drawing>
          <wp:inline distT="0" distB="0" distL="0" distR="0" wp14:anchorId="0E3C2928" wp14:editId="350393C9">
            <wp:extent cx="3247038" cy="1186774"/>
            <wp:effectExtent l="0" t="0" r="0" b="0"/>
            <wp:docPr id="64273248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358959" cy="1227680"/>
                    </a:xfrm>
                    <a:prstGeom prst="rect">
                      <a:avLst/>
                    </a:prstGeom>
                  </pic:spPr>
                </pic:pic>
              </a:graphicData>
            </a:graphic>
          </wp:inline>
        </w:drawing>
      </w:r>
    </w:p>
    <w:p w14:paraId="0ADBD06A" w14:textId="77777777" w:rsidR="00BE4AA0" w:rsidRPr="00BE4AA0" w:rsidRDefault="00BE4AA0" w:rsidP="00BE4AA0">
      <w:pPr>
        <w:spacing w:after="0" w:line="256" w:lineRule="auto"/>
        <w:jc w:val="center"/>
        <w:rPr>
          <w:rFonts w:ascii="Century Gothic" w:hAnsi="Century Gothic"/>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BE4AA0" w:rsidRPr="00BE4AA0" w14:paraId="3FFE958B" w14:textId="77777777" w:rsidTr="00486E91">
        <w:trPr>
          <w:trHeight w:val="409"/>
        </w:trPr>
        <w:tc>
          <w:tcPr>
            <w:tcW w:w="817" w:type="dxa"/>
            <w:tcBorders>
              <w:top w:val="nil"/>
              <w:left w:val="nil"/>
              <w:bottom w:val="nil"/>
              <w:right w:val="nil"/>
            </w:tcBorders>
            <w:vAlign w:val="center"/>
            <w:hideMark/>
          </w:tcPr>
          <w:p w14:paraId="2DD73C2A"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352BDFF0"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José Luis Sánchez Cardona</w:t>
            </w:r>
          </w:p>
          <w:p w14:paraId="6F3ADB5E"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Contratista de la Subdirección de Gestión Contractual</w:t>
            </w:r>
          </w:p>
        </w:tc>
      </w:tr>
      <w:tr w:rsidR="00BE4AA0" w:rsidRPr="00BE4AA0" w14:paraId="256F0051" w14:textId="77777777" w:rsidTr="00486E91">
        <w:trPr>
          <w:trHeight w:val="409"/>
        </w:trPr>
        <w:tc>
          <w:tcPr>
            <w:tcW w:w="817" w:type="dxa"/>
            <w:tcBorders>
              <w:top w:val="nil"/>
              <w:left w:val="nil"/>
              <w:bottom w:val="nil"/>
              <w:right w:val="nil"/>
            </w:tcBorders>
            <w:vAlign w:val="center"/>
            <w:hideMark/>
          </w:tcPr>
          <w:p w14:paraId="24BBBAA8"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50F48B9B"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Alejandro R. Sarmiento Cantillo</w:t>
            </w:r>
          </w:p>
          <w:p w14:paraId="509CAB93"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Gestor T1-15 de la Subdirección de Gestión Contractual </w:t>
            </w:r>
          </w:p>
        </w:tc>
      </w:tr>
      <w:tr w:rsidR="00BE4AA0" w:rsidRPr="00BE4AA0" w14:paraId="566D4AC2" w14:textId="77777777" w:rsidTr="00486E91">
        <w:trPr>
          <w:trHeight w:val="389"/>
        </w:trPr>
        <w:tc>
          <w:tcPr>
            <w:tcW w:w="817" w:type="dxa"/>
            <w:tcBorders>
              <w:top w:val="nil"/>
              <w:left w:val="nil"/>
              <w:bottom w:val="nil"/>
              <w:right w:val="nil"/>
            </w:tcBorders>
            <w:vAlign w:val="center"/>
            <w:hideMark/>
          </w:tcPr>
          <w:p w14:paraId="2E6BFC11"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7FB1ED71"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Carolina Quintero Gacharná</w:t>
            </w:r>
          </w:p>
          <w:p w14:paraId="67EEFD03" w14:textId="77777777" w:rsidR="00BE4AA0" w:rsidRPr="00BE4AA0" w:rsidRDefault="00BE4AA0" w:rsidP="00BE4AA0">
            <w:pPr>
              <w:spacing w:after="0" w:line="256" w:lineRule="auto"/>
              <w:rPr>
                <w:rFonts w:ascii="Verdana" w:eastAsia="Calibri" w:hAnsi="Verdana" w:cs="Times New Roman"/>
                <w:sz w:val="16"/>
                <w:szCs w:val="16"/>
              </w:rPr>
            </w:pPr>
            <w:r w:rsidRPr="00BE4AA0">
              <w:rPr>
                <w:rFonts w:ascii="Verdana" w:eastAsia="Calibri" w:hAnsi="Verdana" w:cs="Times New Roman"/>
                <w:sz w:val="16"/>
                <w:szCs w:val="16"/>
              </w:rPr>
              <w:t>Subdirectora de Gestión Contractual ANCP – CCE</w:t>
            </w:r>
          </w:p>
        </w:tc>
      </w:tr>
    </w:tbl>
    <w:p w14:paraId="39D9D92E" w14:textId="77777777" w:rsidR="00BE4AA0" w:rsidRPr="00BE4AA0" w:rsidRDefault="00BE4AA0" w:rsidP="00BE4AA0">
      <w:pPr>
        <w:spacing w:after="0" w:line="240" w:lineRule="auto"/>
        <w:jc w:val="both"/>
        <w:textAlignment w:val="baseline"/>
        <w:rPr>
          <w:rFonts w:ascii="Verdana" w:eastAsia="Verdana" w:hAnsi="Verdana" w:cs="Verdana"/>
          <w:lang w:eastAsia="es-CO"/>
        </w:rPr>
      </w:pPr>
    </w:p>
    <w:p w14:paraId="756D9858" w14:textId="4A1B5421" w:rsidR="00BE4AA0" w:rsidRPr="00BE4AA0" w:rsidRDefault="00BE4AA0" w:rsidP="00BE4AA0">
      <w:pPr>
        <w:spacing w:after="0" w:line="240" w:lineRule="auto"/>
        <w:textAlignment w:val="baseline"/>
        <w:rPr>
          <w:rFonts w:ascii="Verdana" w:eastAsia="Verdana" w:hAnsi="Verdana" w:cs="Verdana"/>
          <w:lang w:eastAsia="es-CO"/>
        </w:rPr>
      </w:pPr>
      <w:r w:rsidRPr="00BE4AA0">
        <w:rPr>
          <w:rFonts w:ascii="Verdana" w:eastAsia="Verdana" w:hAnsi="Verdana" w:cs="Verdana"/>
          <w:lang w:eastAsia="es-CO"/>
        </w:rPr>
        <w:t> </w:t>
      </w:r>
      <w:bookmarkEnd w:id="0"/>
    </w:p>
    <w:p w14:paraId="73C61EC8" w14:textId="6F72BE13" w:rsidR="00EB224C" w:rsidRPr="00BE4AA0" w:rsidRDefault="00EB224C" w:rsidP="00BE4AA0"/>
    <w:sectPr w:rsidR="00EB224C" w:rsidRPr="00BE4AA0"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7779C" w14:textId="77777777" w:rsidR="004A77A6" w:rsidRDefault="004A77A6" w:rsidP="004A1847">
      <w:pPr>
        <w:spacing w:after="0" w:line="240" w:lineRule="auto"/>
      </w:pPr>
      <w:r>
        <w:separator/>
      </w:r>
    </w:p>
  </w:endnote>
  <w:endnote w:type="continuationSeparator" w:id="0">
    <w:p w14:paraId="058ABC49" w14:textId="77777777" w:rsidR="004A77A6" w:rsidRDefault="004A77A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Weiss">
    <w:panose1 w:val="00000000000000000000"/>
    <w:charset w:val="00"/>
    <w:family w:val="roman"/>
    <w:notTrueType/>
    <w:pitch w:val="default"/>
    <w:sig w:usb0="00000003" w:usb1="00000000" w:usb2="00000000" w:usb3="00000000" w:csb0="00000001" w:csb1="00000000"/>
  </w:font>
  <w:font w:name="Arial MT">
    <w:charset w:val="01"/>
    <w:family w:val="swiss"/>
    <w:pitch w:val="variable"/>
  </w:font>
  <w:font w:name="Batang">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5146BA10"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B56A37" w:rsidRPr="00B56A37">
      <w:rPr>
        <w:rFonts w:ascii="Verdana" w:eastAsiaTheme="minorEastAsia" w:hAnsi="Verdana"/>
        <w:b/>
        <w:bCs/>
        <w:noProof/>
        <w:sz w:val="16"/>
        <w:szCs w:val="16"/>
      </w:rPr>
      <w:t>34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5D99A" w14:textId="77777777" w:rsidR="004A77A6" w:rsidRDefault="004A77A6" w:rsidP="004A1847">
      <w:pPr>
        <w:spacing w:after="0" w:line="240" w:lineRule="auto"/>
      </w:pPr>
      <w:r>
        <w:separator/>
      </w:r>
    </w:p>
  </w:footnote>
  <w:footnote w:type="continuationSeparator" w:id="0">
    <w:p w14:paraId="1458A6D1" w14:textId="77777777" w:rsidR="004A77A6" w:rsidRDefault="004A77A6" w:rsidP="004A1847">
      <w:pPr>
        <w:spacing w:after="0" w:line="240" w:lineRule="auto"/>
      </w:pPr>
      <w:r>
        <w:continuationSeparator/>
      </w:r>
    </w:p>
  </w:footnote>
  <w:footnote w:id="1">
    <w:p w14:paraId="021BB9A4" w14:textId="77777777" w:rsidR="00BE4AA0" w:rsidRPr="00A30AAD" w:rsidRDefault="00BE4AA0" w:rsidP="00BE4AA0">
      <w:pPr>
        <w:pStyle w:val="Textonotapie"/>
        <w:ind w:firstLine="708"/>
        <w:jc w:val="both"/>
        <w:rPr>
          <w:rFonts w:ascii="Verdana" w:hAnsi="Verdana"/>
          <w:sz w:val="16"/>
          <w:szCs w:val="16"/>
        </w:rPr>
      </w:pPr>
      <w:r w:rsidRPr="005519CB">
        <w:rPr>
          <w:rFonts w:ascii="Verdana" w:hAnsi="Verdana" w:cs="Arial"/>
          <w:color w:val="000000"/>
          <w:sz w:val="16"/>
          <w:szCs w:val="16"/>
          <w:vertAlign w:val="superscript"/>
        </w:rPr>
        <w:footnoteRef/>
      </w:r>
      <w:r w:rsidRPr="005519CB">
        <w:rPr>
          <w:rFonts w:ascii="Verdana" w:hAnsi="Verdana" w:cs="Arial"/>
          <w:color w:val="000000"/>
          <w:sz w:val="16"/>
          <w:szCs w:val="16"/>
        </w:rPr>
        <w:t xml:space="preserve"> “L</w:t>
      </w:r>
      <w:r w:rsidRPr="00A30AAD">
        <w:rPr>
          <w:rFonts w:ascii="Verdana" w:hAnsi="Verdana" w:cs="Arial"/>
          <w:color w:val="000000"/>
          <w:sz w:val="16"/>
          <w:szCs w:val="16"/>
        </w:rPr>
        <w:t>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A30AAD">
        <w:rPr>
          <w:rFonts w:ascii="Verdana" w:hAnsi="Verdana" w:cs="Arial"/>
          <w:color w:val="000000"/>
          <w:sz w:val="16"/>
          <w:szCs w:val="16"/>
          <w:shd w:val="clear" w:color="auto" w:fill="FFFFFF"/>
        </w:rPr>
        <w:t>” (</w:t>
      </w:r>
      <w:r w:rsidRPr="00A30AAD">
        <w:rPr>
          <w:rFonts w:ascii="Verdana" w:hAnsi="Verdana" w:cs="Arial"/>
          <w:color w:val="000000"/>
          <w:sz w:val="16"/>
          <w:szCs w:val="16"/>
        </w:rPr>
        <w:t>EXPOSITO, Juan Carlos. Forma y contenido del contrato estatal. Bogotá: Universidad Externado de Colombia, p. 89 y 90).</w:t>
      </w:r>
    </w:p>
  </w:footnote>
  <w:footnote w:id="2">
    <w:p w14:paraId="7CAD8BDC" w14:textId="77777777" w:rsidR="00BE4AA0" w:rsidRPr="00A30AAD" w:rsidRDefault="00BE4AA0" w:rsidP="00BE4AA0">
      <w:pPr>
        <w:pStyle w:val="Textonotapie"/>
        <w:ind w:firstLine="708"/>
        <w:jc w:val="both"/>
        <w:rPr>
          <w:rFonts w:ascii="Verdana" w:hAnsi="Verdana" w:cs="Arial"/>
          <w:color w:val="000000"/>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footnote>
  <w:footnote w:id="3">
    <w:p w14:paraId="28DB7B79" w14:textId="77777777" w:rsidR="00BE4AA0" w:rsidRPr="00A30AAD" w:rsidRDefault="00BE4AA0" w:rsidP="00BE4AA0">
      <w:pPr>
        <w:spacing w:after="0" w:line="240" w:lineRule="auto"/>
        <w:ind w:firstLine="708"/>
        <w:jc w:val="both"/>
        <w:rPr>
          <w:rFonts w:ascii="Verdana" w:hAnsi="Verdana" w:cs="Arial"/>
          <w:color w:val="000000"/>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Consejo </w:t>
      </w:r>
      <w:r>
        <w:rPr>
          <w:rFonts w:ascii="Verdana" w:hAnsi="Verdana" w:cs="Arial"/>
          <w:color w:val="000000"/>
          <w:sz w:val="16"/>
          <w:szCs w:val="16"/>
        </w:rPr>
        <w:t>d</w:t>
      </w:r>
      <w:r w:rsidRPr="00A30AAD">
        <w:rPr>
          <w:rFonts w:ascii="Verdana" w:hAnsi="Verdana" w:cs="Arial"/>
          <w:color w:val="000000"/>
          <w:sz w:val="16"/>
          <w:szCs w:val="16"/>
        </w:rPr>
        <w:t>e Estado. Sección Tercera. Subsección C. Sentencia del 20 de octubre de 2014, C.P: Enrique Gil Botero.</w:t>
      </w:r>
      <w:r w:rsidRPr="005519CB">
        <w:rPr>
          <w:rFonts w:ascii="Verdana" w:hAnsi="Verdana"/>
          <w:sz w:val="16"/>
          <w:szCs w:val="16"/>
        </w:rPr>
        <w:t xml:space="preserve"> </w:t>
      </w:r>
      <w:r>
        <w:rPr>
          <w:rFonts w:ascii="Verdana" w:hAnsi="Verdana" w:cs="Arial"/>
          <w:color w:val="000000"/>
          <w:sz w:val="16"/>
          <w:szCs w:val="16"/>
        </w:rPr>
        <w:t xml:space="preserve">Exp. </w:t>
      </w:r>
      <w:r w:rsidRPr="00A30AAD">
        <w:rPr>
          <w:rFonts w:ascii="Verdana" w:hAnsi="Verdana" w:cs="Arial"/>
          <w:color w:val="000000"/>
          <w:sz w:val="16"/>
          <w:szCs w:val="16"/>
        </w:rPr>
        <w:t>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4">
    <w:p w14:paraId="071CA7CD" w14:textId="77777777" w:rsidR="00BE4AA0" w:rsidRPr="00A30AAD" w:rsidRDefault="00BE4AA0" w:rsidP="00BE4AA0">
      <w:pPr>
        <w:pStyle w:val="Textonotapie"/>
        <w:ind w:firstLine="708"/>
        <w:jc w:val="both"/>
        <w:rPr>
          <w:rFonts w:ascii="Verdana" w:hAnsi="Verdana"/>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EXPÓSITO VÉLEZ, Juan Carlos. Forma y contenido del contrato estatal, </w:t>
      </w:r>
      <w:r>
        <w:rPr>
          <w:rFonts w:ascii="Verdana" w:hAnsi="Verdana" w:cs="Arial"/>
          <w:color w:val="000000"/>
          <w:sz w:val="16"/>
          <w:szCs w:val="16"/>
        </w:rPr>
        <w:t xml:space="preserve">Op. Cit., </w:t>
      </w:r>
      <w:r w:rsidRPr="00A30AAD">
        <w:rPr>
          <w:rFonts w:ascii="Verdana" w:hAnsi="Verdana" w:cs="Arial"/>
          <w:color w:val="000000"/>
          <w:sz w:val="16"/>
          <w:szCs w:val="16"/>
        </w:rPr>
        <w:t>p. 90.</w:t>
      </w:r>
    </w:p>
  </w:footnote>
  <w:footnote w:id="5">
    <w:p w14:paraId="715E2AF4" w14:textId="77777777" w:rsidR="00BE4AA0" w:rsidRPr="00A30AAD" w:rsidRDefault="00BE4AA0" w:rsidP="00BE4AA0">
      <w:pPr>
        <w:pStyle w:val="Textonotapie"/>
        <w:ind w:firstLine="708"/>
        <w:jc w:val="both"/>
        <w:rPr>
          <w:rFonts w:ascii="Verdana" w:hAnsi="Verdana" w:cs="Arial"/>
          <w:color w:val="000000"/>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Consejo </w:t>
      </w:r>
      <w:r>
        <w:rPr>
          <w:rFonts w:ascii="Verdana" w:hAnsi="Verdana" w:cs="Arial"/>
          <w:color w:val="000000"/>
          <w:sz w:val="16"/>
          <w:szCs w:val="16"/>
        </w:rPr>
        <w:t>d</w:t>
      </w:r>
      <w:r w:rsidRPr="00A30AAD">
        <w:rPr>
          <w:rFonts w:ascii="Verdana" w:hAnsi="Verdana" w:cs="Arial"/>
          <w:color w:val="000000"/>
          <w:sz w:val="16"/>
          <w:szCs w:val="16"/>
        </w:rPr>
        <w:t xml:space="preserve">e Estado, Sala de Consulta y Servicio Civil. </w:t>
      </w:r>
      <w:r w:rsidRPr="005519CB">
        <w:rPr>
          <w:rFonts w:ascii="Verdana" w:hAnsi="Verdana" w:cs="Arial"/>
          <w:color w:val="000000"/>
          <w:sz w:val="16"/>
          <w:szCs w:val="16"/>
          <w:lang w:val="pt-BR"/>
        </w:rPr>
        <w:t xml:space="preserve">Concepto de 6 de agosto de 2003. </w:t>
      </w:r>
      <w:r w:rsidRPr="00A30AAD">
        <w:rPr>
          <w:rFonts w:ascii="Verdana" w:hAnsi="Verdana" w:cs="Arial"/>
          <w:color w:val="000000"/>
          <w:sz w:val="16"/>
          <w:szCs w:val="16"/>
        </w:rPr>
        <w:t>C.P. Augusto Trejos. Rad. No. 1453.</w:t>
      </w:r>
    </w:p>
  </w:footnote>
  <w:footnote w:id="6">
    <w:p w14:paraId="44A2B76B" w14:textId="77777777" w:rsidR="00BE4AA0" w:rsidRPr="00A30AAD" w:rsidRDefault="00BE4AA0" w:rsidP="00BE4AA0">
      <w:pPr>
        <w:pStyle w:val="Textonotapie"/>
        <w:ind w:firstLine="708"/>
        <w:jc w:val="both"/>
        <w:rPr>
          <w:rFonts w:ascii="Verdana" w:hAnsi="Verdana" w:cs="Arial"/>
          <w:color w:val="000000"/>
          <w:sz w:val="16"/>
          <w:szCs w:val="16"/>
          <w:lang w:val="es-ES"/>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w:t>
      </w:r>
      <w:r w:rsidRPr="00A30AAD">
        <w:rPr>
          <w:rFonts w:ascii="Verdana" w:hAnsi="Verdana" w:cs="Arial"/>
          <w:color w:val="000000"/>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3163698D" w14:textId="77777777" w:rsidR="00BE4AA0" w:rsidRPr="00A30AAD" w:rsidRDefault="00BE4AA0" w:rsidP="00BE4AA0">
      <w:pPr>
        <w:pStyle w:val="Textonotapie"/>
        <w:ind w:firstLine="708"/>
        <w:jc w:val="both"/>
        <w:rPr>
          <w:rFonts w:ascii="Verdana" w:hAnsi="Verdana" w:cs="Arial"/>
          <w:color w:val="000000"/>
          <w:sz w:val="16"/>
          <w:szCs w:val="16"/>
          <w:lang w:val="es-ES"/>
        </w:rPr>
      </w:pPr>
      <w:r w:rsidRPr="00A30AAD">
        <w:rPr>
          <w:rFonts w:ascii="Verdana" w:hAnsi="Verdana" w:cs="Arial"/>
          <w:color w:val="000000"/>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4DD50C5B" w14:textId="77777777" w:rsidR="00BE4AA0" w:rsidRPr="00A30AAD" w:rsidRDefault="00BE4AA0" w:rsidP="00BE4AA0">
      <w:pPr>
        <w:pStyle w:val="Textonotapie"/>
        <w:ind w:firstLine="708"/>
        <w:jc w:val="both"/>
        <w:rPr>
          <w:rFonts w:ascii="Verdana" w:hAnsi="Verdana" w:cs="Arial"/>
          <w:color w:val="000000"/>
          <w:sz w:val="16"/>
          <w:szCs w:val="16"/>
          <w:lang w:val="es-ES"/>
        </w:rPr>
      </w:pPr>
      <w:r w:rsidRPr="00A30AAD">
        <w:rPr>
          <w:rFonts w:ascii="Verdana" w:hAnsi="Verdana" w:cs="Arial"/>
          <w:color w:val="000000"/>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0147D980" w14:textId="77777777" w:rsidR="00BE4AA0" w:rsidRPr="00A30AAD" w:rsidRDefault="00BE4AA0" w:rsidP="00BE4AA0">
      <w:pPr>
        <w:pStyle w:val="Textonotapie"/>
        <w:ind w:firstLine="708"/>
        <w:jc w:val="both"/>
        <w:rPr>
          <w:rFonts w:ascii="Verdana" w:hAnsi="Verdana"/>
          <w:sz w:val="16"/>
          <w:szCs w:val="16"/>
        </w:rPr>
      </w:pPr>
      <w:r w:rsidRPr="00A30AAD">
        <w:rPr>
          <w:rFonts w:ascii="Verdana" w:hAnsi="Verdana" w:cs="Arial"/>
          <w:color w:val="000000"/>
          <w:sz w:val="16"/>
          <w:szCs w:val="16"/>
          <w:lang w:val="es-ES"/>
        </w:rPr>
        <w:t>Los contratistas tendrán derecho a efectuar salvedades a la liquidación por mutuo acuerdo, y en este evento la liquidación unilateral solo procederá en relación con los aspectos que no hayan sido objeto de acuerdo”.</w:t>
      </w:r>
    </w:p>
  </w:footnote>
  <w:footnote w:id="7">
    <w:p w14:paraId="3C6FC031" w14:textId="77777777" w:rsidR="00BE4AA0" w:rsidRPr="00A30AAD" w:rsidRDefault="00BE4AA0" w:rsidP="00BE4AA0">
      <w:pPr>
        <w:pStyle w:val="Textonotapie"/>
        <w:ind w:firstLine="709"/>
        <w:jc w:val="both"/>
        <w:rPr>
          <w:rFonts w:ascii="Verdana" w:hAnsi="Verdana"/>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Consejo De Estado, Sección Tercera, Subsección C. Sentencia del 24 de julio de 2013. C.P. Enrique Gil Botero. </w:t>
      </w:r>
      <w:r>
        <w:rPr>
          <w:rFonts w:ascii="Verdana" w:hAnsi="Verdana" w:cs="Arial"/>
          <w:color w:val="000000"/>
          <w:sz w:val="16"/>
          <w:szCs w:val="16"/>
        </w:rPr>
        <w:t xml:space="preserve">Exp. </w:t>
      </w:r>
      <w:r w:rsidRPr="00A30AAD">
        <w:rPr>
          <w:rFonts w:ascii="Verdana" w:hAnsi="Verdana" w:cs="Arial"/>
          <w:color w:val="000000"/>
          <w:sz w:val="16"/>
          <w:szCs w:val="16"/>
        </w:rPr>
        <w:t xml:space="preserve">25.642. </w:t>
      </w:r>
    </w:p>
  </w:footnote>
  <w:footnote w:id="8">
    <w:p w14:paraId="262CF697" w14:textId="77777777" w:rsidR="00BE4AA0" w:rsidRPr="00A30AAD" w:rsidRDefault="00BE4AA0" w:rsidP="00BE4AA0">
      <w:pPr>
        <w:pStyle w:val="NormalWeb"/>
        <w:spacing w:before="0" w:beforeAutospacing="0" w:after="0" w:afterAutospacing="0"/>
        <w:ind w:firstLine="709"/>
        <w:jc w:val="both"/>
        <w:rPr>
          <w:rFonts w:ascii="Verdana" w:hAnsi="Verdana" w:cs="Arial"/>
          <w:color w:val="000000"/>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Decreto 1082 de 2015 “</w:t>
      </w:r>
      <w:r w:rsidRPr="00A30AAD">
        <w:rPr>
          <w:rStyle w:val="Fuerte"/>
          <w:rFonts w:ascii="Verdana" w:hAnsi="Verdana" w:cs="Arial"/>
          <w:b w:val="0"/>
          <w:bCs w:val="0"/>
          <w:color w:val="000000"/>
          <w:sz w:val="16"/>
          <w:szCs w:val="16"/>
        </w:rPr>
        <w:t>Artículo 2.2.1.2.1.5.2.</w:t>
      </w:r>
      <w:r w:rsidRPr="00A30AAD">
        <w:rPr>
          <w:rStyle w:val="Fuerte"/>
          <w:rFonts w:ascii="Verdana" w:hAnsi="Verdana" w:cs="Arial"/>
          <w:color w:val="000000"/>
          <w:sz w:val="16"/>
          <w:szCs w:val="16"/>
        </w:rPr>
        <w:t> </w:t>
      </w:r>
      <w:r w:rsidRPr="00A30AAD">
        <w:rPr>
          <w:rStyle w:val="nfasis"/>
          <w:rFonts w:ascii="Verdana" w:eastAsia="MS Mincho" w:hAnsi="Verdana" w:cs="Arial"/>
          <w:color w:val="000000"/>
          <w:sz w:val="16"/>
          <w:szCs w:val="16"/>
        </w:rPr>
        <w:t>Procedimiento para la contratación de mínima cuantía. </w:t>
      </w:r>
      <w:r w:rsidRPr="00A30AAD">
        <w:rPr>
          <w:rFonts w:ascii="Verdana" w:hAnsi="Verdana" w:cs="Arial"/>
          <w:color w:val="000000"/>
          <w:sz w:val="16"/>
          <w:szCs w:val="16"/>
        </w:rPr>
        <w:t>Las siguientes reglas son aplicables a la contratación cuyo valor no excede del 10% de la menor cuantía de la Entidad Estatal, independientemente de su objeto: </w:t>
      </w:r>
    </w:p>
    <w:p w14:paraId="25FCB52E" w14:textId="77777777" w:rsidR="00BE4AA0" w:rsidRPr="00A30AAD" w:rsidRDefault="00BE4AA0" w:rsidP="00BE4AA0">
      <w:pPr>
        <w:pStyle w:val="NormalWeb"/>
        <w:spacing w:before="0" w:beforeAutospacing="0" w:after="0" w:afterAutospacing="0"/>
        <w:jc w:val="both"/>
        <w:rPr>
          <w:rFonts w:ascii="Verdana" w:hAnsi="Verdana"/>
          <w:sz w:val="16"/>
          <w:szCs w:val="16"/>
        </w:rPr>
      </w:pPr>
      <w:r w:rsidRPr="00A30AAD">
        <w:rPr>
          <w:rFonts w:ascii="Verdana" w:hAnsi="Verdana" w:cs="Arial"/>
          <w:color w:val="000000"/>
          <w:sz w:val="16"/>
          <w:szCs w:val="16"/>
        </w:rPr>
        <w:t>  </w:t>
      </w:r>
      <w:r w:rsidRPr="00A30AAD">
        <w:rPr>
          <w:rFonts w:ascii="Verdana" w:hAnsi="Verdana" w:cs="Arial"/>
          <w:color w:val="000000"/>
          <w:sz w:val="16"/>
          <w:szCs w:val="16"/>
        </w:rPr>
        <w:tab/>
        <w:t>“1. La Entidad Estatal debe señalar en la invitación a participar en procesos de mínima cuantía la información a la que se refieren los numerales 2, 3 y 4 del artículo anterior, y la forma como el interesado debe acreditar su capacidad jurídica y la experiencia mínima, si se exige esta última, y el cumplimiento de las condiciones técnicas exigidas […]”. </w:t>
      </w:r>
    </w:p>
  </w:footnote>
  <w:footnote w:id="9">
    <w:p w14:paraId="6ABF73A2" w14:textId="77777777" w:rsidR="00BE4AA0" w:rsidRPr="00A30AAD" w:rsidRDefault="00BE4AA0" w:rsidP="00BE4AA0">
      <w:pPr>
        <w:pStyle w:val="NormalWeb"/>
        <w:spacing w:before="0" w:beforeAutospacing="0" w:after="0" w:afterAutospacing="0"/>
        <w:ind w:firstLine="720"/>
        <w:jc w:val="both"/>
        <w:rPr>
          <w:rFonts w:ascii="Verdana" w:hAnsi="Verdana" w:cs="Arial"/>
          <w:color w:val="000000"/>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Ley 80 de 1993 </w:t>
      </w:r>
      <w:r w:rsidRPr="00A30AAD">
        <w:rPr>
          <w:rFonts w:ascii="Verdana" w:hAnsi="Verdana" w:cs="Arial"/>
          <w:b/>
          <w:bCs/>
          <w:color w:val="000000"/>
          <w:sz w:val="16"/>
          <w:szCs w:val="16"/>
        </w:rPr>
        <w:t>“</w:t>
      </w:r>
      <w:r w:rsidRPr="00A30AAD">
        <w:rPr>
          <w:rStyle w:val="Fuerte"/>
          <w:rFonts w:ascii="Verdana" w:hAnsi="Verdana" w:cs="Arial"/>
          <w:b w:val="0"/>
          <w:bCs w:val="0"/>
          <w:color w:val="000000"/>
          <w:sz w:val="16"/>
          <w:szCs w:val="16"/>
        </w:rPr>
        <w:t>Articulo 39. De la forma del contrato estatal. </w:t>
      </w:r>
      <w:r w:rsidRPr="00A30AAD">
        <w:rPr>
          <w:rFonts w:ascii="Verdana" w:hAnsi="Verdana" w:cs="Arial"/>
          <w:color w:val="000000"/>
          <w:sz w:val="16"/>
          <w:szCs w:val="16"/>
        </w:rPr>
        <w:t>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14:paraId="4DC40A75" w14:textId="77777777" w:rsidR="00BE4AA0" w:rsidRPr="00A30AAD" w:rsidRDefault="00BE4AA0" w:rsidP="00BE4AA0">
      <w:pPr>
        <w:pStyle w:val="NormalWeb"/>
        <w:spacing w:before="0" w:beforeAutospacing="0" w:after="0" w:afterAutospacing="0"/>
        <w:jc w:val="both"/>
        <w:rPr>
          <w:rFonts w:ascii="Verdana" w:hAnsi="Verdana" w:cs="Arial"/>
          <w:color w:val="000000"/>
          <w:sz w:val="16"/>
          <w:szCs w:val="16"/>
        </w:rPr>
      </w:pPr>
      <w:r w:rsidRPr="00A30AAD">
        <w:rPr>
          <w:rFonts w:ascii="Verdana" w:hAnsi="Verdana" w:cs="Arial"/>
          <w:color w:val="000000"/>
          <w:sz w:val="16"/>
          <w:szCs w:val="16"/>
        </w:rPr>
        <w:t>  </w:t>
      </w:r>
      <w:r w:rsidRPr="00A30AAD">
        <w:rPr>
          <w:rFonts w:ascii="Verdana" w:hAnsi="Verdana" w:cs="Arial"/>
          <w:color w:val="000000"/>
          <w:sz w:val="16"/>
          <w:szCs w:val="16"/>
        </w:rPr>
        <w:tab/>
        <w:t>[…]</w:t>
      </w:r>
      <w:bookmarkStart w:id="1" w:name="ver_1790147"/>
      <w:bookmarkStart w:id="2" w:name="ver_30220791"/>
      <w:bookmarkStart w:id="3" w:name="ver_1790148"/>
      <w:bookmarkEnd w:id="1"/>
      <w:bookmarkEnd w:id="2"/>
    </w:p>
    <w:p w14:paraId="74D206F6" w14:textId="77777777" w:rsidR="00BE4AA0" w:rsidRPr="00A30AAD" w:rsidRDefault="00BE4AA0" w:rsidP="00BE4AA0">
      <w:pPr>
        <w:pStyle w:val="NormalWeb"/>
        <w:spacing w:before="0" w:beforeAutospacing="0" w:after="0" w:afterAutospacing="0"/>
        <w:ind w:firstLine="720"/>
        <w:jc w:val="both"/>
        <w:rPr>
          <w:rFonts w:ascii="Verdana" w:hAnsi="Verdana" w:cs="Arial"/>
          <w:color w:val="000000"/>
          <w:sz w:val="16"/>
          <w:szCs w:val="16"/>
        </w:rPr>
      </w:pPr>
      <w:r w:rsidRPr="00A30AAD">
        <w:rPr>
          <w:rStyle w:val="Fuerte"/>
          <w:rFonts w:ascii="Verdana" w:hAnsi="Verdana" w:cs="Arial"/>
          <w:b w:val="0"/>
          <w:bCs w:val="0"/>
          <w:color w:val="000000"/>
          <w:sz w:val="16"/>
          <w:szCs w:val="16"/>
        </w:rPr>
        <w:t>Artículo 40. Del contenido del contrato estatal.</w:t>
      </w:r>
      <w:r w:rsidRPr="00A30AAD">
        <w:rPr>
          <w:rFonts w:ascii="Verdana" w:hAnsi="Verdana" w:cs="Arial"/>
          <w:color w:val="000000"/>
          <w:sz w:val="16"/>
          <w:szCs w:val="16"/>
        </w:rPr>
        <w:t> Las estipulaciones de los contratos serán las que de acuerdo con las normas civiles, comerciales y las previstas en esta ley, correspondan a su esencia y naturaleza. </w:t>
      </w:r>
    </w:p>
    <w:p w14:paraId="3862111D" w14:textId="77777777" w:rsidR="00BE4AA0" w:rsidRPr="00A30AAD" w:rsidRDefault="00BE4AA0" w:rsidP="00BE4AA0">
      <w:pPr>
        <w:pStyle w:val="NormalWeb"/>
        <w:spacing w:before="0" w:beforeAutospacing="0" w:after="0" w:afterAutospacing="0"/>
        <w:ind w:firstLine="720"/>
        <w:jc w:val="both"/>
        <w:rPr>
          <w:rFonts w:ascii="Verdana" w:hAnsi="Verdana" w:cs="Arial"/>
          <w:color w:val="000000"/>
          <w:sz w:val="16"/>
          <w:szCs w:val="16"/>
        </w:rPr>
      </w:pPr>
      <w:r w:rsidRPr="00A30AAD">
        <w:rPr>
          <w:rFonts w:ascii="Verdana" w:hAnsi="Verdana" w:cs="Arial"/>
          <w:color w:val="000000"/>
          <w:sz w:val="16"/>
          <w:szCs w:val="16"/>
        </w:rPr>
        <w:t>Las entidades podrán celebrar los contratos y acuerdos que permitan la autonomía de la voluntad y requieran el cumplimiento de los fines estatales. </w:t>
      </w:r>
    </w:p>
    <w:p w14:paraId="25376838" w14:textId="77777777" w:rsidR="00BE4AA0" w:rsidRPr="00A30AAD" w:rsidRDefault="00BE4AA0" w:rsidP="00BE4AA0">
      <w:pPr>
        <w:pStyle w:val="NormalWeb"/>
        <w:spacing w:before="0" w:beforeAutospacing="0" w:after="0" w:afterAutospacing="0"/>
        <w:jc w:val="both"/>
        <w:rPr>
          <w:rFonts w:ascii="Verdana" w:hAnsi="Verdana" w:cs="Arial"/>
          <w:color w:val="000000"/>
          <w:sz w:val="16"/>
          <w:szCs w:val="16"/>
        </w:rPr>
      </w:pPr>
      <w:r w:rsidRPr="00A30AAD">
        <w:rPr>
          <w:rFonts w:ascii="Verdana" w:hAnsi="Verdana" w:cs="Arial"/>
          <w:color w:val="000000"/>
          <w:sz w:val="16"/>
          <w:szCs w:val="16"/>
        </w:rPr>
        <w:t>  </w:t>
      </w:r>
      <w:r w:rsidRPr="00A30AAD">
        <w:rPr>
          <w:rFonts w:ascii="Verdana" w:hAnsi="Verdana" w:cs="Arial"/>
          <w:color w:val="000000"/>
          <w:sz w:val="16"/>
          <w:szCs w:val="16"/>
        </w:rPr>
        <w:tab/>
        <w:t>[…]  </w:t>
      </w:r>
    </w:p>
    <w:p w14:paraId="59A5E849" w14:textId="77777777" w:rsidR="00BE4AA0" w:rsidRPr="00A30AAD" w:rsidRDefault="00BE4AA0" w:rsidP="00BE4AA0">
      <w:pPr>
        <w:pStyle w:val="NormalWeb"/>
        <w:spacing w:before="0" w:beforeAutospacing="0" w:after="0" w:afterAutospacing="0"/>
        <w:ind w:firstLine="720"/>
        <w:jc w:val="both"/>
        <w:rPr>
          <w:rFonts w:ascii="Verdana" w:hAnsi="Verdana"/>
          <w:sz w:val="16"/>
          <w:szCs w:val="16"/>
        </w:rPr>
      </w:pPr>
      <w:bookmarkStart w:id="4" w:name="ver_30161420"/>
      <w:bookmarkStart w:id="5" w:name="ver_1790149"/>
      <w:bookmarkStart w:id="6" w:name="ver_30161408"/>
      <w:bookmarkStart w:id="7" w:name="ver_30161443"/>
      <w:bookmarkEnd w:id="3"/>
      <w:bookmarkEnd w:id="4"/>
      <w:bookmarkEnd w:id="5"/>
      <w:bookmarkEnd w:id="6"/>
      <w:bookmarkEnd w:id="7"/>
      <w:r w:rsidRPr="00A30AAD">
        <w:rPr>
          <w:rStyle w:val="Fuerte"/>
          <w:rFonts w:ascii="Verdana" w:hAnsi="Verdana" w:cs="Arial"/>
          <w:b w:val="0"/>
          <w:bCs w:val="0"/>
          <w:color w:val="000000"/>
          <w:sz w:val="16"/>
          <w:szCs w:val="16"/>
        </w:rPr>
        <w:t>Artículo 41. Del perfeccionamiento del contrato.</w:t>
      </w:r>
      <w:r w:rsidRPr="00A30AAD">
        <w:rPr>
          <w:rFonts w:ascii="Verdana" w:hAnsi="Verdana" w:cs="Arial"/>
          <w:b/>
          <w:bCs/>
          <w:color w:val="000000"/>
          <w:sz w:val="16"/>
          <w:szCs w:val="16"/>
        </w:rPr>
        <w:t xml:space="preserve"> Los </w:t>
      </w:r>
      <w:r w:rsidRPr="00A30AAD">
        <w:rPr>
          <w:rFonts w:ascii="Verdana" w:hAnsi="Verdana" w:cs="Arial"/>
          <w:color w:val="000000"/>
          <w:sz w:val="16"/>
          <w:szCs w:val="16"/>
        </w:rPr>
        <w:t>contratos del Estado se perfeccionan cuando se logre acuerdo sobre el objeto y la contraprestación y éste se eleve a escrito […]”.</w:t>
      </w:r>
    </w:p>
  </w:footnote>
  <w:footnote w:id="10">
    <w:p w14:paraId="4CCD1E59" w14:textId="77777777" w:rsidR="00BE4AA0" w:rsidRPr="00A30AAD" w:rsidRDefault="00BE4AA0" w:rsidP="00BE4AA0">
      <w:pPr>
        <w:pStyle w:val="Textonotapie"/>
        <w:ind w:firstLine="709"/>
        <w:jc w:val="both"/>
        <w:rPr>
          <w:rFonts w:ascii="Verdana" w:hAnsi="Verdana"/>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Ley 80 de 1993 “</w:t>
      </w:r>
      <w:r w:rsidRPr="00A30AAD">
        <w:rPr>
          <w:rStyle w:val="Fuerte"/>
          <w:rFonts w:ascii="Verdana" w:hAnsi="Verdana" w:cs="Arial"/>
          <w:b w:val="0"/>
          <w:bCs w:val="0"/>
          <w:color w:val="000000"/>
          <w:sz w:val="16"/>
          <w:szCs w:val="16"/>
        </w:rPr>
        <w:t>Artículo 77. De la normatividad aplicable en las actuaciones administrativas.</w:t>
      </w:r>
      <w:r w:rsidRPr="00A30AAD">
        <w:rPr>
          <w:rFonts w:ascii="Verdana" w:hAnsi="Verdana" w:cs="Arial"/>
          <w:color w:val="000000"/>
          <w:sz w:val="16"/>
          <w:szCs w:val="16"/>
        </w:rPr>
        <w:t> En cuanto sean compatibles con la finalidad y los principios de esta ley, las normas que rigen los procedimientos y actuaciones en la función administrativa serán aplicables en las actuaciones contractuales. A falta de estas, regirán las disposiciones del Código de Procedimiento Civil […]”. </w:t>
      </w:r>
    </w:p>
  </w:footnote>
  <w:footnote w:id="11">
    <w:p w14:paraId="74121066" w14:textId="77777777" w:rsidR="00BE4AA0" w:rsidRPr="00A30AAD" w:rsidRDefault="00BE4AA0" w:rsidP="00BE4AA0">
      <w:pPr>
        <w:pStyle w:val="NormalWeb"/>
        <w:spacing w:before="0" w:beforeAutospacing="0" w:after="0" w:afterAutospacing="0"/>
        <w:ind w:firstLine="709"/>
        <w:jc w:val="both"/>
        <w:rPr>
          <w:rFonts w:ascii="Verdana" w:hAnsi="Verdana" w:cs="Arial"/>
          <w:color w:val="000000"/>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Ley 80 de 1993 “</w:t>
      </w:r>
      <w:r w:rsidRPr="00C5078E">
        <w:rPr>
          <w:rStyle w:val="Fuerte"/>
          <w:rFonts w:ascii="Verdana" w:hAnsi="Verdana" w:cs="Arial"/>
          <w:b w:val="0"/>
          <w:bCs w:val="0"/>
          <w:color w:val="000000"/>
          <w:sz w:val="16"/>
          <w:szCs w:val="16"/>
        </w:rPr>
        <w:t>Artículo 25. Del principio de economía.</w:t>
      </w:r>
      <w:r w:rsidRPr="00A30AAD">
        <w:rPr>
          <w:rFonts w:ascii="Verdana" w:hAnsi="Verdana" w:cs="Arial"/>
          <w:color w:val="000000"/>
          <w:sz w:val="16"/>
          <w:szCs w:val="16"/>
        </w:rPr>
        <w:t> En virtud de este principio: </w:t>
      </w:r>
    </w:p>
    <w:p w14:paraId="740C119D" w14:textId="77777777" w:rsidR="00BE4AA0" w:rsidRPr="00A30AAD" w:rsidRDefault="00BE4AA0" w:rsidP="00BE4AA0">
      <w:pPr>
        <w:pStyle w:val="NormalWeb"/>
        <w:spacing w:before="0" w:beforeAutospacing="0" w:after="0" w:afterAutospacing="0"/>
        <w:ind w:firstLine="709"/>
        <w:jc w:val="both"/>
        <w:rPr>
          <w:rFonts w:ascii="Verdana" w:hAnsi="Verdana" w:cs="Arial"/>
          <w:color w:val="000000"/>
          <w:sz w:val="16"/>
          <w:szCs w:val="16"/>
        </w:rPr>
      </w:pPr>
      <w:r w:rsidRPr="00A30AAD">
        <w:rPr>
          <w:rFonts w:ascii="Verdana" w:hAnsi="Verdana" w:cs="Arial"/>
          <w:color w:val="000000"/>
          <w:sz w:val="16"/>
          <w:szCs w:val="16"/>
        </w:rPr>
        <w:t>[…]</w:t>
      </w:r>
    </w:p>
    <w:p w14:paraId="0E0C97EB" w14:textId="77777777" w:rsidR="00BE4AA0" w:rsidRPr="00A30AAD" w:rsidRDefault="00BE4AA0" w:rsidP="00BE4AA0">
      <w:pPr>
        <w:pStyle w:val="NormalWeb"/>
        <w:spacing w:before="0" w:beforeAutospacing="0" w:after="0" w:afterAutospacing="0"/>
        <w:ind w:firstLine="709"/>
        <w:jc w:val="both"/>
        <w:rPr>
          <w:rFonts w:ascii="Verdana" w:hAnsi="Verdana" w:cs="Arial"/>
          <w:color w:val="000000"/>
          <w:sz w:val="16"/>
          <w:szCs w:val="16"/>
        </w:rPr>
      </w:pPr>
      <w:r w:rsidRPr="00A30AAD">
        <w:rPr>
          <w:rFonts w:ascii="Verdana" w:hAnsi="Verdana" w:cs="Arial"/>
          <w:color w:val="000000"/>
          <w:sz w:val="16"/>
          <w:szCs w:val="16"/>
        </w:rPr>
        <w:t>4o. Los trámites se adelantarán con austeridad de tiempo, medios y gastos y se impedirán las dilaciones y los retardos en la ejecución del contrato. </w:t>
      </w:r>
    </w:p>
    <w:p w14:paraId="142CCACC" w14:textId="77777777" w:rsidR="00BE4AA0" w:rsidRPr="00A30AAD" w:rsidRDefault="00BE4AA0" w:rsidP="00BE4AA0">
      <w:pPr>
        <w:pStyle w:val="NormalWeb"/>
        <w:spacing w:before="0" w:beforeAutospacing="0" w:after="0" w:afterAutospacing="0"/>
        <w:jc w:val="both"/>
        <w:rPr>
          <w:rFonts w:ascii="Verdana" w:hAnsi="Verdana"/>
          <w:sz w:val="16"/>
          <w:szCs w:val="16"/>
        </w:rPr>
      </w:pPr>
      <w:r w:rsidRPr="00A30AAD">
        <w:rPr>
          <w:rFonts w:ascii="Verdana" w:hAnsi="Verdana" w:cs="Arial"/>
          <w:color w:val="000000"/>
          <w:sz w:val="16"/>
          <w:szCs w:val="16"/>
        </w:rPr>
        <w:t>  </w:t>
      </w:r>
      <w:r w:rsidRPr="00A30AAD">
        <w:rPr>
          <w:rFonts w:ascii="Verdana" w:hAnsi="Verdana" w:cs="Arial"/>
          <w:color w:val="000000"/>
          <w:sz w:val="16"/>
          <w:szCs w:val="16"/>
        </w:rPr>
        <w:tab/>
        <w:t>5o. Se adoptarán procedimientos que garanticen la pronta solución de las diferencias y controversias que con motivo de la celebración y ejecución del contrato se presenten […]”.</w:t>
      </w:r>
    </w:p>
  </w:footnote>
  <w:footnote w:id="12">
    <w:p w14:paraId="156C9EF9" w14:textId="77777777" w:rsidR="00BE4AA0" w:rsidRPr="0084736F" w:rsidRDefault="00BE4AA0" w:rsidP="00BE4AA0">
      <w:pPr>
        <w:pStyle w:val="Textonotapie"/>
        <w:ind w:firstLine="708"/>
        <w:jc w:val="both"/>
        <w:rPr>
          <w:rFonts w:ascii="Verdana" w:hAnsi="Verdana" w:cs="Arial"/>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COLOMBIA COMPRA EFICIENTE. Guía para la Liquidación de los Procesos de Contratación. página 5, disponible en: </w:t>
      </w:r>
      <w:hyperlink r:id="rId1" w:history="1">
        <w:r w:rsidRPr="00A30AAD">
          <w:rPr>
            <w:rStyle w:val="Hipervnculo"/>
            <w:rFonts w:ascii="Verdana" w:hAnsi="Verdana" w:cs="Arial"/>
            <w:sz w:val="16"/>
            <w:szCs w:val="16"/>
          </w:rPr>
          <w:t>https://www.colombiacompra.gov.co/sites/cce_public/files/cce_documents/cce_guia_liquidacion_procesos.pdf</w:t>
        </w:r>
      </w:hyperlink>
      <w:r w:rsidRPr="00A30AAD">
        <w:rPr>
          <w:rFonts w:ascii="Verdana" w:hAnsi="Verdana" w:cs="Arial"/>
          <w:sz w:val="16"/>
          <w:szCs w:val="16"/>
        </w:rPr>
        <w:t xml:space="preserve"> </w:t>
      </w:r>
    </w:p>
  </w:footnote>
  <w:footnote w:id="13">
    <w:p w14:paraId="031B660A" w14:textId="77777777" w:rsidR="00BE4AA0" w:rsidRPr="00A30AAD" w:rsidRDefault="00BE4AA0" w:rsidP="00BE4AA0">
      <w:pPr>
        <w:pStyle w:val="Textonotapie"/>
        <w:ind w:firstLine="708"/>
        <w:jc w:val="both"/>
        <w:rPr>
          <w:rFonts w:ascii="Verdana" w:hAnsi="Verdana"/>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14">
    <w:p w14:paraId="4D264E38" w14:textId="77777777" w:rsidR="00BE4AA0" w:rsidRPr="00A30AAD" w:rsidRDefault="00BE4AA0" w:rsidP="00BE4AA0">
      <w:pPr>
        <w:pStyle w:val="Textonotapie"/>
        <w:ind w:firstLine="708"/>
        <w:jc w:val="both"/>
        <w:rPr>
          <w:rFonts w:ascii="Verdana" w:hAnsi="Verdana" w:cs="Arial"/>
          <w:color w:val="000000"/>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Consejo </w:t>
      </w:r>
      <w:r>
        <w:rPr>
          <w:rFonts w:ascii="Verdana" w:hAnsi="Verdana" w:cs="Arial"/>
          <w:color w:val="000000"/>
          <w:sz w:val="16"/>
          <w:szCs w:val="16"/>
        </w:rPr>
        <w:t>d</w:t>
      </w:r>
      <w:r w:rsidRPr="00A30AAD">
        <w:rPr>
          <w:rFonts w:ascii="Verdana" w:hAnsi="Verdana" w:cs="Arial"/>
          <w:color w:val="000000"/>
          <w:sz w:val="16"/>
          <w:szCs w:val="16"/>
        </w:rPr>
        <w:t xml:space="preserve">e Estado. Sala de Consulta y Servicio Civil. Concepto de 28 de Junio de 2016. C.P. Álvaro Namén Vargas. Rad. No 2253. </w:t>
      </w:r>
    </w:p>
  </w:footnote>
  <w:footnote w:id="15">
    <w:p w14:paraId="5193AA37" w14:textId="77777777" w:rsidR="00BE4AA0" w:rsidRPr="00A30AAD" w:rsidRDefault="00BE4AA0" w:rsidP="00BE4AA0">
      <w:pPr>
        <w:pStyle w:val="Textonotapie"/>
        <w:ind w:firstLine="708"/>
        <w:jc w:val="both"/>
        <w:rPr>
          <w:rFonts w:ascii="Verdana" w:hAnsi="Verdana"/>
          <w:sz w:val="16"/>
          <w:szCs w:val="16"/>
          <w:lang w:val="es-ES"/>
        </w:rPr>
      </w:pPr>
      <w:r w:rsidRPr="00A30AAD">
        <w:rPr>
          <w:rStyle w:val="Refdenotaalpie"/>
          <w:rFonts w:ascii="Verdana" w:hAnsi="Verdana"/>
          <w:sz w:val="16"/>
          <w:szCs w:val="16"/>
        </w:rPr>
        <w:footnoteRef/>
      </w:r>
      <w:r w:rsidRPr="00A30AAD">
        <w:rPr>
          <w:rFonts w:ascii="Verdana" w:hAnsi="Verdana"/>
          <w:sz w:val="16"/>
          <w:szCs w:val="16"/>
        </w:rPr>
        <w:t xml:space="preserve"> </w:t>
      </w:r>
      <w:r w:rsidRPr="00A30AAD">
        <w:rPr>
          <w:rFonts w:ascii="Verdana" w:hAnsi="Verdana" w:cs="Arial"/>
          <w:color w:val="000000"/>
          <w:sz w:val="16"/>
          <w:szCs w:val="16"/>
        </w:rPr>
        <w:t xml:space="preserve">DÍAZ DÍEZ, Cristian Andrés. La liquidación. Op. cit. p. 207. </w:t>
      </w:r>
    </w:p>
  </w:footnote>
  <w:footnote w:id="16">
    <w:p w14:paraId="28F5D1BB" w14:textId="77777777" w:rsidR="00BE4AA0" w:rsidRPr="00A30AAD" w:rsidRDefault="00BE4AA0" w:rsidP="00BE4AA0">
      <w:pPr>
        <w:pStyle w:val="Textonotapie"/>
        <w:ind w:firstLine="708"/>
        <w:jc w:val="both"/>
        <w:rPr>
          <w:rFonts w:ascii="Verdana" w:hAnsi="Verdana"/>
          <w:sz w:val="16"/>
          <w:szCs w:val="16"/>
          <w:lang w:val="es-ES"/>
        </w:rPr>
      </w:pPr>
      <w:r w:rsidRPr="00A30AAD">
        <w:rPr>
          <w:rStyle w:val="Refdenotaalpie"/>
          <w:rFonts w:ascii="Verdana" w:hAnsi="Verdana"/>
          <w:sz w:val="16"/>
          <w:szCs w:val="16"/>
        </w:rPr>
        <w:footnoteRef/>
      </w:r>
      <w:r w:rsidRPr="00A30AAD">
        <w:rPr>
          <w:rFonts w:ascii="Verdana" w:hAnsi="Verdana"/>
          <w:sz w:val="16"/>
          <w:szCs w:val="16"/>
        </w:rPr>
        <w:t xml:space="preserve"> Ibídem., pp.208-209. </w:t>
      </w:r>
    </w:p>
  </w:footnote>
  <w:footnote w:id="17">
    <w:p w14:paraId="797BACED" w14:textId="77777777" w:rsidR="00BE4AA0" w:rsidRPr="00A30AAD" w:rsidRDefault="00BE4AA0" w:rsidP="00BE4AA0">
      <w:pPr>
        <w:pStyle w:val="Textonotapie"/>
        <w:ind w:firstLine="708"/>
        <w:jc w:val="both"/>
        <w:rPr>
          <w:rFonts w:ascii="Verdana" w:hAnsi="Verdana"/>
          <w:sz w:val="16"/>
          <w:szCs w:val="16"/>
        </w:rPr>
      </w:pPr>
      <w:r w:rsidRPr="00A30AAD">
        <w:rPr>
          <w:rFonts w:ascii="Verdana" w:hAnsi="Verdana" w:cs="Arial"/>
          <w:color w:val="000000"/>
          <w:sz w:val="16"/>
          <w:szCs w:val="16"/>
          <w:vertAlign w:val="superscript"/>
        </w:rPr>
        <w:footnoteRef/>
      </w:r>
      <w:r w:rsidRPr="00A30AAD">
        <w:rPr>
          <w:rFonts w:ascii="Verdana" w:hAnsi="Verdana" w:cs="Arial"/>
          <w:color w:val="000000"/>
          <w:sz w:val="16"/>
          <w:szCs w:val="16"/>
        </w:rPr>
        <w:t xml:space="preserve"> Consejo </w:t>
      </w:r>
      <w:r>
        <w:rPr>
          <w:rFonts w:ascii="Verdana" w:hAnsi="Verdana" w:cs="Arial"/>
          <w:color w:val="000000"/>
          <w:sz w:val="16"/>
          <w:szCs w:val="16"/>
        </w:rPr>
        <w:t>d</w:t>
      </w:r>
      <w:r w:rsidRPr="00A30AAD">
        <w:rPr>
          <w:rFonts w:ascii="Verdana" w:hAnsi="Verdana" w:cs="Arial"/>
          <w:color w:val="000000"/>
          <w:sz w:val="16"/>
          <w:szCs w:val="16"/>
        </w:rPr>
        <w:t xml:space="preserve">e Estado. Sección Tercera. </w:t>
      </w:r>
      <w:r w:rsidRPr="00A30AAD">
        <w:rPr>
          <w:rFonts w:ascii="Verdana" w:hAnsi="Verdana" w:cs="Arial"/>
          <w:color w:val="000000"/>
          <w:sz w:val="16"/>
          <w:szCs w:val="16"/>
          <w:lang w:val="es-CO"/>
        </w:rPr>
        <w:t xml:space="preserve">Sala Plena. Auto del 1 de agosto de 2019. C.P. Jaime Enrique Rodríguez Navas. </w:t>
      </w:r>
      <w:r>
        <w:rPr>
          <w:rFonts w:ascii="Verdana" w:hAnsi="Verdana" w:cs="Arial"/>
          <w:color w:val="000000"/>
          <w:sz w:val="16"/>
          <w:szCs w:val="16"/>
          <w:lang w:val="es-CO"/>
        </w:rPr>
        <w:t xml:space="preserve">Exp. </w:t>
      </w:r>
      <w:r w:rsidRPr="00A30AAD">
        <w:rPr>
          <w:rFonts w:ascii="Verdana" w:hAnsi="Verdana" w:cs="Arial"/>
          <w:color w:val="000000"/>
          <w:sz w:val="16"/>
          <w:szCs w:val="16"/>
          <w:lang w:val="es-CO"/>
        </w:rPr>
        <w:t>62009.</w:t>
      </w:r>
      <w:r w:rsidRPr="00A30AAD">
        <w:rPr>
          <w:rFonts w:ascii="Verdana" w:hAnsi="Verdana"/>
          <w:color w:val="000000"/>
          <w:sz w:val="16"/>
          <w:szCs w:val="16"/>
          <w:lang w:val="es-ES"/>
        </w:rPr>
        <w:t xml:space="preserve"> </w:t>
      </w:r>
    </w:p>
  </w:footnote>
  <w:footnote w:id="18">
    <w:p w14:paraId="18A5F091" w14:textId="77777777" w:rsidR="00BE4AA0" w:rsidRPr="00A30AAD" w:rsidRDefault="00BE4AA0" w:rsidP="00BE4AA0">
      <w:pPr>
        <w:pStyle w:val="Textonotapie"/>
        <w:ind w:firstLine="708"/>
        <w:jc w:val="both"/>
        <w:rPr>
          <w:rFonts w:ascii="Verdana" w:hAnsi="Verdana" w:cs="Arial"/>
          <w:sz w:val="16"/>
          <w:szCs w:val="16"/>
        </w:rPr>
      </w:pPr>
      <w:r w:rsidRPr="00A30AAD">
        <w:rPr>
          <w:rFonts w:ascii="Verdana" w:hAnsi="Verdana"/>
          <w:sz w:val="16"/>
          <w:szCs w:val="16"/>
          <w:vertAlign w:val="superscript"/>
        </w:rPr>
        <w:footnoteRef/>
      </w:r>
      <w:r w:rsidRPr="00A30AAD">
        <w:rPr>
          <w:rFonts w:ascii="Verdana" w:hAnsi="Verdana" w:cs="Arial"/>
          <w:sz w:val="16"/>
          <w:szCs w:val="16"/>
        </w:rPr>
        <w:t xml:space="preserve"> Corte Constitucional, Sentencia C-449 de 1992, y Consejo de Estado, Sala de lo Contencioso Administrativo, Sección Tercera, Sentencia del 3 de diciembre de 2007, expedientes acumulados: (25206, 25409, 24524, 27834, 25410, 26105, 28244, 31447).</w:t>
      </w:r>
    </w:p>
  </w:footnote>
  <w:footnote w:id="19">
    <w:p w14:paraId="310AB6E1" w14:textId="77777777" w:rsidR="00BE4AA0" w:rsidRPr="00A30AAD" w:rsidRDefault="00BE4AA0" w:rsidP="00BE4AA0">
      <w:pPr>
        <w:pStyle w:val="Textonotapie"/>
        <w:ind w:firstLine="708"/>
        <w:jc w:val="both"/>
        <w:rPr>
          <w:rFonts w:ascii="Verdana" w:hAnsi="Verdana" w:cs="Arial"/>
          <w:sz w:val="16"/>
          <w:szCs w:val="16"/>
        </w:rPr>
      </w:pPr>
      <w:r w:rsidRPr="00A30AAD">
        <w:rPr>
          <w:rFonts w:ascii="Verdana" w:hAnsi="Verdana"/>
          <w:sz w:val="16"/>
          <w:szCs w:val="16"/>
          <w:vertAlign w:val="superscript"/>
        </w:rPr>
        <w:footnoteRef/>
      </w:r>
      <w:r w:rsidRPr="00A30AAD">
        <w:rPr>
          <w:rFonts w:ascii="Verdana" w:hAnsi="Verdana" w:cs="Arial"/>
          <w:sz w:val="16"/>
          <w:szCs w:val="16"/>
          <w:vertAlign w:val="superscript"/>
        </w:rPr>
        <w:t xml:space="preserve"> </w:t>
      </w:r>
      <w:r w:rsidRPr="00A30AAD">
        <w:rPr>
          <w:rFonts w:ascii="Verdana" w:hAnsi="Verdana" w:cs="Arial"/>
          <w:sz w:val="16"/>
          <w:szCs w:val="16"/>
        </w:rPr>
        <w:t>DÁVILA VINUEZA. Luis Guillermo. Régimen jurídico de la contratación estatal. 3ª ed. Bogotá: Temis, 2016. p. 494.</w:t>
      </w:r>
    </w:p>
  </w:footnote>
  <w:footnote w:id="20">
    <w:p w14:paraId="0316A52B" w14:textId="77777777" w:rsidR="00BE4AA0" w:rsidRPr="00A30AAD" w:rsidRDefault="00BE4AA0" w:rsidP="00BE4AA0">
      <w:pPr>
        <w:spacing w:after="0" w:line="240" w:lineRule="auto"/>
        <w:ind w:firstLine="709"/>
        <w:jc w:val="both"/>
        <w:rPr>
          <w:rFonts w:ascii="Verdana" w:hAnsi="Verdana" w:cs="Arial"/>
          <w:sz w:val="16"/>
          <w:szCs w:val="16"/>
        </w:rPr>
      </w:pPr>
      <w:r w:rsidRPr="00A30AAD">
        <w:rPr>
          <w:rStyle w:val="Refdenotaalpie"/>
          <w:rFonts w:ascii="Verdana" w:hAnsi="Verdana" w:cs="Arial"/>
          <w:sz w:val="16"/>
          <w:szCs w:val="16"/>
        </w:rPr>
        <w:footnoteRef/>
      </w:r>
      <w:r w:rsidRPr="00A30AAD">
        <w:rPr>
          <w:rFonts w:ascii="Verdana" w:hAnsi="Verdana" w:cs="Arial"/>
          <w:sz w:val="16"/>
          <w:szCs w:val="16"/>
        </w:rPr>
        <w:t xml:space="preserve"> 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w:t>
      </w:r>
      <w:r w:rsidRPr="00A30AAD">
        <w:rPr>
          <w:rFonts w:ascii="Verdana" w:hAnsi="Verdana" w:cs="Arial"/>
          <w:spacing w:val="-6"/>
          <w:sz w:val="16"/>
          <w:szCs w:val="16"/>
        </w:rPr>
        <w:t xml:space="preserve"> </w:t>
      </w:r>
      <w:r w:rsidRPr="00A30AAD">
        <w:rPr>
          <w:rFonts w:ascii="Verdana" w:hAnsi="Verdana" w:cs="Arial"/>
          <w:sz w:val="16"/>
          <w:szCs w:val="16"/>
        </w:rPr>
        <w:t>artículo”.</w:t>
      </w:r>
    </w:p>
  </w:footnote>
  <w:footnote w:id="21">
    <w:p w14:paraId="16CB046B" w14:textId="77777777" w:rsidR="00BE4AA0" w:rsidRPr="00A30AAD" w:rsidRDefault="00BE4AA0" w:rsidP="00BE4AA0">
      <w:pPr>
        <w:pStyle w:val="Textonotapie"/>
        <w:ind w:firstLine="708"/>
        <w:jc w:val="both"/>
        <w:rPr>
          <w:rFonts w:ascii="Verdana" w:hAnsi="Verdana"/>
          <w:sz w:val="16"/>
          <w:szCs w:val="16"/>
        </w:rPr>
      </w:pPr>
      <w:r w:rsidRPr="00A30AAD">
        <w:rPr>
          <w:rStyle w:val="Refdenotaalpie"/>
          <w:rFonts w:ascii="Verdana" w:hAnsi="Verdana"/>
          <w:sz w:val="16"/>
          <w:szCs w:val="16"/>
        </w:rPr>
        <w:footnoteRef/>
      </w:r>
      <w:r w:rsidRPr="00A30AAD">
        <w:rPr>
          <w:rFonts w:ascii="Verdana" w:hAnsi="Verdana"/>
          <w:sz w:val="16"/>
          <w:szCs w:val="16"/>
          <w:lang w:val="pt-BR"/>
        </w:rPr>
        <w:t xml:space="preserve"> Corte Constitucional. Sentencia C-671 de 2005. </w:t>
      </w:r>
      <w:r w:rsidRPr="00A30AAD">
        <w:rPr>
          <w:rFonts w:ascii="Verdana" w:hAnsi="Verdana"/>
          <w:sz w:val="16"/>
          <w:szCs w:val="16"/>
        </w:rPr>
        <w:t xml:space="preserve">M.P. Álvaro Tafur Galvis. </w:t>
      </w:r>
    </w:p>
  </w:footnote>
  <w:footnote w:id="22">
    <w:p w14:paraId="05752D48" w14:textId="77777777" w:rsidR="00BE4AA0" w:rsidRPr="00A30AAD" w:rsidRDefault="00BE4AA0" w:rsidP="00BE4AA0">
      <w:pPr>
        <w:pStyle w:val="Textonotapie"/>
        <w:ind w:firstLine="708"/>
        <w:jc w:val="both"/>
        <w:rPr>
          <w:rFonts w:ascii="Verdana" w:hAnsi="Verdana"/>
          <w:bCs/>
          <w:sz w:val="16"/>
          <w:szCs w:val="16"/>
        </w:rPr>
      </w:pPr>
      <w:r w:rsidRPr="00A30AAD">
        <w:rPr>
          <w:rStyle w:val="Refdenotaalpie"/>
          <w:rFonts w:ascii="Verdana" w:hAnsi="Verdana"/>
          <w:sz w:val="16"/>
          <w:szCs w:val="16"/>
        </w:rPr>
        <w:footnoteRef/>
      </w:r>
      <w:r w:rsidRPr="00A30AAD">
        <w:rPr>
          <w:rFonts w:ascii="Verdana" w:hAnsi="Verdana"/>
          <w:sz w:val="16"/>
          <w:szCs w:val="16"/>
        </w:rPr>
        <w:t xml:space="preserve"> </w:t>
      </w:r>
      <w:r w:rsidRPr="00A30AAD">
        <w:rPr>
          <w:rFonts w:ascii="Verdana" w:hAnsi="Verdana"/>
          <w:sz w:val="16"/>
          <w:szCs w:val="16"/>
          <w:lang w:val="es-CO"/>
        </w:rPr>
        <w:t xml:space="preserve">Consejo de Estado. Sala de Consulta y Servicio Civil. Concepto no. 2257 del 26 de julio de 2016, C.P. Álvaro Namén Vargas; CONSEJO DE ESTADO, Sección Tercera, Subsección A. Sentencia del 23 de junio de 2010. C.P. Mauricio Fajardo Gómez. Exp 17860; Sección Tercera. Auto del 4 de octubre de 2024. C.P. Fredy Ibarra Martínez. Exp </w:t>
      </w:r>
      <w:r w:rsidRPr="00A30AAD">
        <w:rPr>
          <w:rFonts w:ascii="Verdana" w:hAnsi="Verdana"/>
          <w:bCs/>
          <w:sz w:val="16"/>
          <w:szCs w:val="16"/>
        </w:rPr>
        <w:t xml:space="preserve">70313. </w:t>
      </w:r>
    </w:p>
  </w:footnote>
  <w:footnote w:id="23">
    <w:p w14:paraId="7B56D44E" w14:textId="77777777" w:rsidR="00BE4AA0" w:rsidRPr="00A30AAD" w:rsidRDefault="00BE4AA0" w:rsidP="00BE4AA0">
      <w:pPr>
        <w:pStyle w:val="Textonotapie"/>
        <w:ind w:firstLine="708"/>
        <w:jc w:val="both"/>
        <w:rPr>
          <w:rFonts w:ascii="Verdana" w:hAnsi="Verdana"/>
          <w:sz w:val="16"/>
          <w:szCs w:val="16"/>
          <w:lang w:val="es-CO"/>
        </w:rPr>
      </w:pPr>
      <w:r w:rsidRPr="00A30AAD">
        <w:rPr>
          <w:rStyle w:val="Refdenotaalpie"/>
          <w:rFonts w:ascii="Verdana" w:hAnsi="Verdana"/>
          <w:sz w:val="16"/>
          <w:szCs w:val="16"/>
        </w:rPr>
        <w:footnoteRef/>
      </w:r>
      <w:r w:rsidRPr="00A30AAD">
        <w:rPr>
          <w:rFonts w:ascii="Verdana" w:hAnsi="Verdana"/>
          <w:sz w:val="16"/>
          <w:szCs w:val="16"/>
        </w:rPr>
        <w:t xml:space="preserve"> SANTOS RODRÍGUEZ, Jorge Enrique. Consideraciones sobre los contratos y convenios interadministrativos. En: Revista Digital de Derecho Administrativo, 2008. p.p. 10-11. De igual forma, Augusto Ramón Chavéz Marín expresa: “</w:t>
      </w:r>
      <w:r w:rsidRPr="00A30AAD">
        <w:rPr>
          <w:rFonts w:ascii="Verdana" w:hAnsi="Verdana"/>
          <w:sz w:val="16"/>
          <w:szCs w:val="16"/>
          <w:lang w:val="es-CO"/>
        </w:rPr>
        <w:t xml:space="preserve">Los convenios interadministrativos se distinguen de los contratos interadministrativos porque estos últimos, celebrados al igual que los primeros entre personas jurídicas públicas, no tienen como objeto la realización común de intereses compartidos como ocurre con los convenios interadministrativos típicos, sino el logro de los fines estatales de alguna de las partes. En los contratos interadministrativos se busca obtener de otra persona jurídica publica la prestación de un servicio específico, la ejecución de una obra o el suministro de un bien, en fin, la realización de una actividad determinada que podría llevar a cabo un particular” (CHAVÉZ MARÍN, Augusto Ramón. Los convenios de la Administración. Entre la gestión pública y la actividad contractual. Bogotá: Temis, 2020. p. 126). </w:t>
      </w:r>
    </w:p>
  </w:footnote>
  <w:footnote w:id="24">
    <w:p w14:paraId="4D1BBA88" w14:textId="77777777" w:rsidR="00BE4AA0" w:rsidRPr="008B115C" w:rsidRDefault="00BE4AA0" w:rsidP="00BE4AA0">
      <w:pPr>
        <w:pStyle w:val="Textonotapie"/>
        <w:ind w:firstLine="708"/>
        <w:jc w:val="both"/>
        <w:rPr>
          <w:rFonts w:ascii="Verdana" w:hAnsi="Verdana"/>
          <w:sz w:val="16"/>
          <w:szCs w:val="16"/>
        </w:rPr>
      </w:pPr>
      <w:r w:rsidRPr="00A30AAD">
        <w:rPr>
          <w:rStyle w:val="Refdenotaalpie"/>
          <w:rFonts w:ascii="Verdana" w:hAnsi="Verdana"/>
          <w:sz w:val="16"/>
          <w:szCs w:val="16"/>
        </w:rPr>
        <w:footnoteRef/>
      </w:r>
      <w:r w:rsidRPr="00A30AAD">
        <w:rPr>
          <w:rFonts w:ascii="Verdana" w:hAnsi="Verdana"/>
          <w:sz w:val="16"/>
          <w:szCs w:val="16"/>
        </w:rPr>
        <w:t xml:space="preserve"> Consejo de Estado. Sección Tercera, Subsección A. Sentencia del 25 de mayo de 2025. C.P. María Adriana Marín Hernández. Exp. 70.504; Sección Tercera, Subsección A. Sentencia del 16 de agosto de 2022, C.P.: María Adriana Marín. Exp. 60434.</w:t>
      </w:r>
    </w:p>
  </w:footnote>
  <w:footnote w:id="25">
    <w:p w14:paraId="3BCFD989" w14:textId="77777777" w:rsidR="00BE4AA0" w:rsidRPr="00A30AAD" w:rsidRDefault="00BE4AA0" w:rsidP="00BE4AA0">
      <w:pPr>
        <w:pStyle w:val="Textonotapie"/>
        <w:ind w:firstLine="708"/>
        <w:jc w:val="both"/>
        <w:rPr>
          <w:rFonts w:ascii="Verdana" w:hAnsi="Verdana"/>
          <w:sz w:val="16"/>
          <w:szCs w:val="16"/>
          <w:lang w:val="es-ES"/>
        </w:rPr>
      </w:pPr>
      <w:r w:rsidRPr="00A30AAD">
        <w:rPr>
          <w:rStyle w:val="Refdenotaalpie"/>
          <w:rFonts w:ascii="Verdana" w:hAnsi="Verdana"/>
          <w:sz w:val="16"/>
          <w:szCs w:val="16"/>
        </w:rPr>
        <w:footnoteRef/>
      </w:r>
      <w:r w:rsidRPr="00A30AAD">
        <w:rPr>
          <w:rFonts w:ascii="Verdana" w:hAnsi="Verdana"/>
          <w:sz w:val="16"/>
          <w:szCs w:val="16"/>
        </w:rPr>
        <w:t xml:space="preserve"> </w:t>
      </w:r>
      <w:r w:rsidRPr="00A30AAD">
        <w:rPr>
          <w:rFonts w:ascii="Verdana" w:hAnsi="Verdana"/>
          <w:sz w:val="16"/>
          <w:szCs w:val="16"/>
          <w:lang w:val="es-CO"/>
        </w:rPr>
        <w:t xml:space="preserve">Consejo de Estado. Sección Tercera, Subsección A. Sentencia del 14 de junio de 2019, C.P.: Marta Nubia Velásquez Rico. Rad.: 25000-23-37-000-2010-02552-01 (AP); Sección Tercera, Subsección A. Sentencia del 25 de mayo de 2025. C.P. María Adriana Marín Hernández. Exp. 70.504. </w:t>
      </w:r>
    </w:p>
  </w:footnote>
  <w:footnote w:id="26">
    <w:p w14:paraId="2FD9265A" w14:textId="77777777" w:rsidR="00BE4AA0" w:rsidRPr="006503CF" w:rsidRDefault="00BE4AA0" w:rsidP="00BE4AA0">
      <w:pPr>
        <w:pStyle w:val="Textonotapie"/>
        <w:ind w:firstLine="708"/>
        <w:jc w:val="both"/>
        <w:rPr>
          <w:rFonts w:ascii="Verdana" w:hAnsi="Verdana"/>
          <w:sz w:val="16"/>
          <w:szCs w:val="16"/>
        </w:rPr>
      </w:pPr>
      <w:r w:rsidRPr="006503CF">
        <w:rPr>
          <w:rStyle w:val="Refdenotaalpie"/>
          <w:rFonts w:ascii="Verdana" w:hAnsi="Verdana"/>
          <w:sz w:val="16"/>
          <w:szCs w:val="16"/>
        </w:rPr>
        <w:footnoteRef/>
      </w:r>
      <w:r w:rsidRPr="006503CF">
        <w:rPr>
          <w:rFonts w:ascii="Verdana" w:hAnsi="Verdana"/>
          <w:sz w:val="16"/>
          <w:szCs w:val="16"/>
        </w:rPr>
        <w:t xml:space="preserve"> </w:t>
      </w:r>
      <w:r w:rsidRPr="006503CF">
        <w:rPr>
          <w:rFonts w:ascii="Verdana" w:hAnsi="Verdana"/>
          <w:spacing w:val="-9"/>
          <w:sz w:val="16"/>
          <w:szCs w:val="16"/>
        </w:rPr>
        <w:t xml:space="preserve">CONSEJO DE ESTADO, </w:t>
      </w:r>
      <w:r w:rsidRPr="006503CF">
        <w:rPr>
          <w:rFonts w:ascii="Verdana" w:hAnsi="Verdana" w:cs="Arial"/>
          <w:sz w:val="16"/>
          <w:szCs w:val="16"/>
        </w:rPr>
        <w:t>Sección</w:t>
      </w:r>
      <w:r w:rsidRPr="006503CF">
        <w:rPr>
          <w:rFonts w:ascii="Verdana" w:hAnsi="Verdana" w:cs="Arial"/>
          <w:spacing w:val="-7"/>
          <w:sz w:val="16"/>
          <w:szCs w:val="16"/>
        </w:rPr>
        <w:t xml:space="preserve"> </w:t>
      </w:r>
      <w:r w:rsidRPr="006503CF">
        <w:rPr>
          <w:rFonts w:ascii="Verdana" w:hAnsi="Verdana" w:cs="Arial"/>
          <w:sz w:val="16"/>
          <w:szCs w:val="16"/>
        </w:rPr>
        <w:t>Tercera, Sala Plena. Auto del 1 de agosto de 2019. C.P. Jaime Enrique Rodríguez Navas. Exp. 62009</w:t>
      </w:r>
      <w:r w:rsidRPr="006503CF">
        <w:rPr>
          <w:rFonts w:ascii="Verdana" w:hAnsi="Verdana" w:cs="Arial"/>
          <w:spacing w:val="1"/>
          <w:sz w:val="16"/>
          <w:szCs w:val="16"/>
        </w:rPr>
        <w:t>.</w:t>
      </w:r>
    </w:p>
  </w:footnote>
  <w:footnote w:id="27">
    <w:p w14:paraId="38A10C68" w14:textId="77777777" w:rsidR="00BE4AA0" w:rsidRPr="00A30AAD" w:rsidRDefault="00BE4AA0" w:rsidP="00BE4AA0">
      <w:pPr>
        <w:pStyle w:val="Textonotapie"/>
        <w:ind w:firstLine="708"/>
        <w:jc w:val="both"/>
        <w:rPr>
          <w:rFonts w:ascii="Verdana" w:hAnsi="Verdana"/>
          <w:sz w:val="16"/>
          <w:szCs w:val="16"/>
          <w:lang w:val="es-ES"/>
        </w:rPr>
      </w:pPr>
      <w:r w:rsidRPr="00A30AAD">
        <w:rPr>
          <w:rStyle w:val="Refdenotaalpie"/>
          <w:rFonts w:ascii="Verdana" w:hAnsi="Verdana"/>
          <w:sz w:val="16"/>
          <w:szCs w:val="16"/>
        </w:rPr>
        <w:footnoteRef/>
      </w:r>
      <w:r w:rsidRPr="00A30AAD">
        <w:rPr>
          <w:rFonts w:ascii="Verdana" w:hAnsi="Verdana"/>
          <w:sz w:val="16"/>
          <w:szCs w:val="16"/>
        </w:rPr>
        <w:t xml:space="preserve"> Consejo </w:t>
      </w:r>
      <w:r>
        <w:rPr>
          <w:rFonts w:ascii="Verdana" w:hAnsi="Verdana"/>
          <w:sz w:val="16"/>
          <w:szCs w:val="16"/>
        </w:rPr>
        <w:t>d</w:t>
      </w:r>
      <w:r w:rsidRPr="00A30AAD">
        <w:rPr>
          <w:rFonts w:ascii="Verdana" w:hAnsi="Verdana"/>
          <w:sz w:val="16"/>
          <w:szCs w:val="16"/>
        </w:rPr>
        <w:t>e Estado, Sección Tercera, Subsección A. Sentencia del 14 de junio de 2019, C.P. Marta Nubia Velásquez Rico. Rad. 25000-23-37-000-2010-02552-01 (AP).</w:t>
      </w:r>
    </w:p>
  </w:footnote>
  <w:footnote w:id="28">
    <w:p w14:paraId="1565D716" w14:textId="77777777" w:rsidR="00BE4AA0" w:rsidRPr="00A30AAD" w:rsidRDefault="00BE4AA0" w:rsidP="00BE4AA0">
      <w:pPr>
        <w:pStyle w:val="Textonotapie"/>
        <w:ind w:firstLine="708"/>
        <w:jc w:val="both"/>
        <w:rPr>
          <w:rFonts w:ascii="Verdana" w:hAnsi="Verdana"/>
          <w:sz w:val="16"/>
          <w:szCs w:val="16"/>
          <w:lang w:val="es-CO"/>
        </w:rPr>
      </w:pPr>
      <w:r w:rsidRPr="00A30AAD">
        <w:rPr>
          <w:rStyle w:val="Refdenotaalpie"/>
          <w:rFonts w:ascii="Verdana" w:hAnsi="Verdana"/>
          <w:sz w:val="16"/>
          <w:szCs w:val="16"/>
        </w:rPr>
        <w:footnoteRef/>
      </w:r>
      <w:r w:rsidRPr="00A30AAD">
        <w:rPr>
          <w:rFonts w:ascii="Verdana" w:hAnsi="Verdana"/>
          <w:sz w:val="16"/>
          <w:szCs w:val="16"/>
        </w:rPr>
        <w:t xml:space="preserve"> </w:t>
      </w:r>
      <w:r w:rsidRPr="00A30AAD">
        <w:rPr>
          <w:rFonts w:ascii="Verdana" w:hAnsi="Verdana"/>
          <w:sz w:val="16"/>
          <w:szCs w:val="16"/>
          <w:lang w:val="es-CO"/>
        </w:rPr>
        <w:t>De este modo, se consolida una postura por parte del Consejo de Estado en varios pronunciamientos judiciales, en la que se precisa que si no se estipuló la facultad contractual para que las entidades liquiden de forma unilateral el convenio interadministrativo, no es posible aplicar automáticamente las disposiciones que regulan la liquidación unilateral en el EGCAP, y por tanto, procederá el término para la liquidación bilateral sumado a los dos (2) años para la liquidación judicial. En esta línea, se destaca el siguiente apartado expresado en el Consejo de Estado: “</w:t>
      </w:r>
      <w:r w:rsidRPr="00A30AAD">
        <w:rPr>
          <w:rFonts w:ascii="Verdana" w:hAnsi="Verdana"/>
          <w:iCs/>
          <w:sz w:val="16"/>
          <w:szCs w:val="16"/>
          <w:lang w:val="es-CO"/>
        </w:rPr>
        <w:t xml:space="preserve">56. En efecto, con la sola mención abstracta a esos cuerpos normativos no puede entenderse que las partes otorgaron la potestad para liquidar unilateralmente el acuerdo al Ministerio, en tanto las facultades convencionales de carácter unilateral deben ser pactadas de manera expresa y con una claridad suficiente que evidencie el consentimiento explícito, que no dé lugar a equívocos y que no suponga el ejercicio de una posición dominante de una parte hacia la otra. Sobre el particular, esta Subsección ha señalado que la adopción de decisiones unilaterales en relaciones jurídicas en igualdad es válida, únicamente si se produce en virtud de la anuencia previa de los contratantes. </w:t>
      </w:r>
      <w:r w:rsidRPr="00A30AAD">
        <w:rPr>
          <w:rFonts w:ascii="Verdana" w:hAnsi="Verdana"/>
          <w:sz w:val="16"/>
          <w:szCs w:val="16"/>
          <w:lang w:val="es-CO"/>
        </w:rPr>
        <w:t xml:space="preserve">57. En ese sentido, no se discute que en los convenios interadministrativos </w:t>
      </w:r>
      <w:r w:rsidRPr="00A30AAD">
        <w:rPr>
          <w:rFonts w:ascii="Verdana" w:hAnsi="Verdana"/>
          <w:iCs/>
          <w:sz w:val="16"/>
          <w:szCs w:val="16"/>
          <w:lang w:val="es-CO"/>
        </w:rPr>
        <w:t>resulta válido que una de las partes realice la liquidación unilateral, siempre y cuando ello esté expresamente acordado, sin equívocos y de manera clara y precisa, según el acuerdo de voluntades”.</w:t>
      </w:r>
      <w:r w:rsidRPr="00A30AAD">
        <w:rPr>
          <w:rFonts w:ascii="Verdana" w:hAnsi="Verdana"/>
          <w:sz w:val="16"/>
          <w:szCs w:val="16"/>
          <w:lang w:val="es-CO"/>
        </w:rPr>
        <w:t xml:space="preserve"> </w:t>
      </w:r>
      <w:r w:rsidRPr="00A30AAD">
        <w:rPr>
          <w:rFonts w:ascii="Verdana" w:hAnsi="Verdana"/>
          <w:iCs/>
          <w:sz w:val="16"/>
          <w:szCs w:val="16"/>
          <w:lang w:val="es-CO"/>
        </w:rPr>
        <w:t xml:space="preserve">Consejo de Estado, Sección Tercera, Subsección A. Sentencia del 13 de agosto de 2024, C.P. Fernando Alexei Pardo Flórez. </w:t>
      </w:r>
      <w:r>
        <w:rPr>
          <w:rFonts w:ascii="Verdana" w:hAnsi="Verdana"/>
          <w:iCs/>
          <w:sz w:val="16"/>
          <w:szCs w:val="16"/>
          <w:lang w:val="es-CO"/>
        </w:rPr>
        <w:t xml:space="preserve">Exp. </w:t>
      </w:r>
      <w:r w:rsidRPr="00A30AAD">
        <w:rPr>
          <w:rFonts w:ascii="Verdana" w:hAnsi="Verdana"/>
          <w:iCs/>
          <w:sz w:val="16"/>
          <w:szCs w:val="16"/>
          <w:lang w:val="es-CO"/>
        </w:rPr>
        <w:t xml:space="preserve">70.405.  </w:t>
      </w:r>
    </w:p>
  </w:footnote>
  <w:footnote w:id="29">
    <w:p w14:paraId="7EF930A5" w14:textId="77777777" w:rsidR="00BE4AA0" w:rsidRPr="00A30AAD" w:rsidRDefault="00BE4AA0" w:rsidP="00BE4AA0">
      <w:pPr>
        <w:pStyle w:val="Textonotapie"/>
        <w:ind w:firstLine="708"/>
        <w:jc w:val="both"/>
        <w:rPr>
          <w:rFonts w:ascii="Verdana" w:hAnsi="Verdana"/>
          <w:sz w:val="16"/>
          <w:szCs w:val="16"/>
        </w:rPr>
      </w:pPr>
      <w:r w:rsidRPr="00A30AAD">
        <w:rPr>
          <w:rStyle w:val="Refdenotaalpie"/>
          <w:rFonts w:ascii="Verdana" w:hAnsi="Verdana"/>
          <w:sz w:val="16"/>
          <w:szCs w:val="16"/>
        </w:rPr>
        <w:footnoteRef/>
      </w:r>
      <w:r w:rsidRPr="00A30AAD">
        <w:rPr>
          <w:rFonts w:ascii="Verdana" w:hAnsi="Verdana"/>
          <w:sz w:val="16"/>
          <w:szCs w:val="16"/>
        </w:rPr>
        <w:t xml:space="preserve"> </w:t>
      </w:r>
      <w:r w:rsidRPr="00A30AAD">
        <w:rPr>
          <w:rFonts w:ascii="Verdana" w:hAnsi="Verdana"/>
          <w:sz w:val="16"/>
          <w:szCs w:val="16"/>
          <w:lang w:val="es-CO"/>
        </w:rPr>
        <w:t xml:space="preserve">Consejo de Estado, Sección Tercera, Subsección B. Sentencia del 20 de mayo de 2024, C.P. Martín Bermúdez Muñoz. </w:t>
      </w:r>
      <w:r>
        <w:rPr>
          <w:rFonts w:ascii="Verdana" w:hAnsi="Verdana"/>
          <w:sz w:val="16"/>
          <w:szCs w:val="16"/>
          <w:lang w:val="es-CO"/>
        </w:rPr>
        <w:t>Exp.</w:t>
      </w:r>
      <w:r w:rsidRPr="00A30AAD">
        <w:rPr>
          <w:rFonts w:ascii="Verdana" w:hAnsi="Verdana"/>
          <w:sz w:val="16"/>
          <w:szCs w:val="16"/>
          <w:lang w:val="es-CO"/>
        </w:rPr>
        <w:t>70.086</w:t>
      </w:r>
      <w:r>
        <w:rPr>
          <w:rFonts w:ascii="Verdana" w:hAnsi="Verdana"/>
          <w:sz w:val="16"/>
          <w:szCs w:val="16"/>
          <w:lang w:val="es-CO"/>
        </w:rPr>
        <w:t>.</w:t>
      </w:r>
    </w:p>
  </w:footnote>
  <w:footnote w:id="30">
    <w:p w14:paraId="38CC18FC" w14:textId="77777777" w:rsidR="00BE4AA0" w:rsidRPr="00A30AAD" w:rsidRDefault="00BE4AA0" w:rsidP="00BE4AA0">
      <w:pPr>
        <w:pStyle w:val="Textonotapie"/>
        <w:jc w:val="both"/>
        <w:rPr>
          <w:rFonts w:ascii="Verdana" w:hAnsi="Verdana" w:cs="Arial"/>
          <w:color w:val="000000" w:themeColor="text1"/>
          <w:sz w:val="16"/>
          <w:szCs w:val="16"/>
        </w:rPr>
      </w:pPr>
      <w:r w:rsidRPr="00A30AAD">
        <w:rPr>
          <w:rFonts w:ascii="Verdana" w:hAnsi="Verdana" w:cs="Arial"/>
          <w:color w:val="000000" w:themeColor="text1"/>
          <w:sz w:val="16"/>
          <w:szCs w:val="16"/>
          <w:vertAlign w:val="superscript"/>
        </w:rPr>
        <w:tab/>
      </w:r>
      <w:r w:rsidRPr="00A30AAD">
        <w:rPr>
          <w:rFonts w:ascii="Verdana" w:hAnsi="Verdana" w:cs="Arial"/>
          <w:color w:val="000000" w:themeColor="text1"/>
          <w:sz w:val="16"/>
          <w:szCs w:val="16"/>
          <w:vertAlign w:val="superscript"/>
        </w:rPr>
        <w:footnoteRef/>
      </w:r>
      <w:r w:rsidRPr="00A30AAD">
        <w:rPr>
          <w:rFonts w:ascii="Verdana" w:hAnsi="Verdana" w:cs="Arial"/>
          <w:color w:val="000000" w:themeColor="text1"/>
          <w:sz w:val="16"/>
          <w:szCs w:val="16"/>
        </w:rPr>
        <w:t xml:space="preserve"> Consejo de Estado. Sección Tercera. </w:t>
      </w:r>
      <w:r w:rsidRPr="00A30AAD">
        <w:rPr>
          <w:rFonts w:ascii="Verdana" w:hAnsi="Verdana" w:cs="Arial"/>
          <w:color w:val="000000" w:themeColor="text1"/>
          <w:sz w:val="16"/>
          <w:szCs w:val="16"/>
          <w:vertAlign w:val="superscript"/>
        </w:rPr>
        <w:t xml:space="preserve"> </w:t>
      </w:r>
      <w:r w:rsidRPr="00A30AAD">
        <w:rPr>
          <w:rFonts w:ascii="Verdana" w:hAnsi="Verdana" w:cs="Arial"/>
          <w:color w:val="000000" w:themeColor="text1"/>
          <w:sz w:val="16"/>
          <w:szCs w:val="16"/>
        </w:rPr>
        <w:t>Sentencia del 13 de noviembre de 2008</w:t>
      </w:r>
      <w:r>
        <w:rPr>
          <w:rFonts w:ascii="Verdana" w:hAnsi="Verdana" w:cs="Arial"/>
          <w:color w:val="000000" w:themeColor="text1"/>
          <w:sz w:val="16"/>
          <w:szCs w:val="16"/>
        </w:rPr>
        <w:t xml:space="preserve">. </w:t>
      </w:r>
      <w:r w:rsidRPr="00A30AAD">
        <w:rPr>
          <w:rFonts w:ascii="Verdana" w:hAnsi="Verdana" w:cs="Arial"/>
          <w:color w:val="000000" w:themeColor="text1"/>
          <w:sz w:val="16"/>
          <w:szCs w:val="16"/>
        </w:rPr>
        <w:t>C.P. Enrique Gil Botero.</w:t>
      </w:r>
      <w:r w:rsidRPr="00586E4D">
        <w:rPr>
          <w:rFonts w:ascii="Verdana" w:hAnsi="Verdana" w:cs="Arial"/>
          <w:color w:val="000000" w:themeColor="text1"/>
          <w:sz w:val="16"/>
          <w:szCs w:val="16"/>
          <w:lang w:val="es-CO"/>
        </w:rPr>
        <w:t xml:space="preserve"> </w:t>
      </w:r>
      <w:r>
        <w:rPr>
          <w:rFonts w:ascii="Verdana" w:hAnsi="Verdana" w:cs="Arial"/>
          <w:color w:val="000000" w:themeColor="text1"/>
          <w:sz w:val="16"/>
          <w:szCs w:val="16"/>
          <w:lang w:val="es-CO"/>
        </w:rPr>
        <w:t>Exp.</w:t>
      </w:r>
      <w:r w:rsidRPr="00586E4D">
        <w:rPr>
          <w:rFonts w:ascii="Verdana" w:hAnsi="Verdana" w:cs="Arial"/>
          <w:color w:val="000000" w:themeColor="text1"/>
          <w:sz w:val="16"/>
          <w:szCs w:val="16"/>
          <w:lang w:val="es-CO"/>
        </w:rPr>
        <w:t xml:space="preserve"> 17.009,</w:t>
      </w:r>
    </w:p>
  </w:footnote>
  <w:footnote w:id="31">
    <w:p w14:paraId="08E75CE2" w14:textId="77777777" w:rsidR="00BE4AA0" w:rsidRPr="00A30AAD" w:rsidRDefault="00BE4AA0" w:rsidP="00BE4AA0">
      <w:pPr>
        <w:snapToGrid w:val="0"/>
        <w:spacing w:after="0" w:line="240" w:lineRule="auto"/>
        <w:ind w:firstLine="709"/>
        <w:jc w:val="both"/>
        <w:rPr>
          <w:rFonts w:ascii="Verdana" w:hAnsi="Verdana" w:cs="Arial"/>
          <w:sz w:val="16"/>
          <w:szCs w:val="16"/>
        </w:rPr>
      </w:pPr>
      <w:r w:rsidRPr="00A30AAD">
        <w:rPr>
          <w:rStyle w:val="Refdenotaalpie"/>
          <w:rFonts w:ascii="Verdana" w:hAnsi="Verdana" w:cs="Arial"/>
          <w:sz w:val="16"/>
          <w:szCs w:val="16"/>
        </w:rPr>
        <w:footnoteRef/>
      </w:r>
      <w:r w:rsidRPr="00A30AAD">
        <w:rPr>
          <w:rFonts w:ascii="Verdana" w:hAnsi="Verdana" w:cs="Arial"/>
          <w:sz w:val="16"/>
          <w:szCs w:val="16"/>
        </w:rPr>
        <w:t xml:space="preserve"> Corte Suprema </w:t>
      </w:r>
      <w:r>
        <w:rPr>
          <w:rFonts w:ascii="Verdana" w:hAnsi="Verdana" w:cs="Arial"/>
          <w:sz w:val="16"/>
          <w:szCs w:val="16"/>
        </w:rPr>
        <w:t>d</w:t>
      </w:r>
      <w:r w:rsidRPr="00A30AAD">
        <w:rPr>
          <w:rFonts w:ascii="Verdana" w:hAnsi="Verdana" w:cs="Arial"/>
          <w:sz w:val="16"/>
          <w:szCs w:val="16"/>
        </w:rPr>
        <w:t>e Justicia, Sala de Casación Civil, sentencia del 31 de julio de 2018, Radicación n.º 25899-31-03-002-2013-00162-01, M.P. Luis Alonso Rico Puerta.</w:t>
      </w:r>
    </w:p>
  </w:footnote>
  <w:footnote w:id="32">
    <w:p w14:paraId="2EE2FBB5" w14:textId="77777777" w:rsidR="00BE4AA0" w:rsidRPr="00A30AAD" w:rsidRDefault="00BE4AA0" w:rsidP="00BE4AA0">
      <w:pPr>
        <w:pStyle w:val="Textonotapie"/>
        <w:snapToGrid w:val="0"/>
        <w:ind w:firstLine="709"/>
        <w:jc w:val="both"/>
        <w:rPr>
          <w:rFonts w:ascii="Verdana" w:hAnsi="Verdana" w:cs="Arial"/>
          <w:sz w:val="16"/>
          <w:szCs w:val="16"/>
        </w:rPr>
      </w:pPr>
      <w:r w:rsidRPr="00A30AAD">
        <w:rPr>
          <w:rStyle w:val="Refdenotaalpie"/>
          <w:rFonts w:ascii="Verdana" w:hAnsi="Verdana" w:cs="Arial"/>
          <w:sz w:val="16"/>
          <w:szCs w:val="16"/>
        </w:rPr>
        <w:footnoteRef/>
      </w:r>
      <w:r w:rsidRPr="00A30AAD">
        <w:rPr>
          <w:rFonts w:ascii="Verdana" w:hAnsi="Verdana" w:cs="Arial"/>
          <w:sz w:val="16"/>
          <w:szCs w:val="16"/>
        </w:rPr>
        <w:t xml:space="preserve"> EXPÓSITO VÉLEZ, Juan Carlos. Forma y contenido del contrato estatal. Bogotá: Universidad Externado de Colombia, 2013. p. 181. Frente a este tema, David Suárez Tamayo expresa: </w:t>
      </w:r>
      <w:r w:rsidRPr="00A30AAD">
        <w:rPr>
          <w:rFonts w:ascii="Verdana" w:eastAsia="Times New Roman" w:hAnsi="Verdana" w:cs="Arial"/>
          <w:iCs/>
          <w:sz w:val="16"/>
          <w:szCs w:val="16"/>
          <w:lang w:val="es-ES_tradnl"/>
        </w:rPr>
        <w:t>«</w:t>
      </w:r>
      <w:r w:rsidRPr="00A30AAD">
        <w:rPr>
          <w:rFonts w:ascii="Verdana" w:hAnsi="Verdana" w:cs="Arial"/>
          <w:sz w:val="16"/>
          <w:szCs w:val="16"/>
        </w:rPr>
        <w:t xml:space="preserve"> […] las multas se han considerado como un apremio, acoso, conminación para que el contratista se ponga al día en sus compromisos, pero igualmente tienen una connotación sancionatoria; de otra parte, la penal pecuniaria es una estimación anticipada, pero no de perjuicios, es decir, tiene un carácter resarcitorio, indemnizatorio, de garantía, pero al igual que las multas, también puede llegar a considerarse como una sanción</w:t>
      </w:r>
      <w:r w:rsidRPr="00A30AAD">
        <w:rPr>
          <w:rFonts w:ascii="Verdana" w:eastAsia="Times New Roman" w:hAnsi="Verdana" w:cs="Arial"/>
          <w:iCs/>
          <w:sz w:val="16"/>
          <w:szCs w:val="16"/>
          <w:lang w:val="es-ES_tradnl"/>
        </w:rPr>
        <w:t>»</w:t>
      </w:r>
      <w:r w:rsidRPr="00A30AAD">
        <w:rPr>
          <w:rFonts w:ascii="Verdana" w:hAnsi="Verdana" w:cs="Arial"/>
          <w:sz w:val="16"/>
          <w:szCs w:val="16"/>
        </w:rPr>
        <w:t xml:space="preserve"> (</w:t>
      </w:r>
      <w:r w:rsidRPr="00A30AAD">
        <w:rPr>
          <w:rFonts w:ascii="Verdana" w:hAnsi="Verdana" w:cs="Arial"/>
          <w:sz w:val="16"/>
          <w:szCs w:val="16"/>
          <w:lang w:val="es-CO"/>
        </w:rPr>
        <w:t>SUÁREZ TAMAYO, David. Cláusula de multas y penal pecuniaria. Medellín: Librería Jurídica Sánchez R Ltda y CEDA, 2014.</w:t>
      </w:r>
      <w:r w:rsidRPr="00A30AAD">
        <w:rPr>
          <w:rFonts w:ascii="Verdana" w:hAnsi="Verdana" w:cs="Arial"/>
          <w:sz w:val="16"/>
          <w:szCs w:val="16"/>
        </w:rPr>
        <w:t xml:space="preserve"> p. 10).</w:t>
      </w:r>
    </w:p>
  </w:footnote>
  <w:footnote w:id="33">
    <w:p w14:paraId="54DF0BAB" w14:textId="77777777" w:rsidR="00BE4AA0" w:rsidRPr="00A30AAD" w:rsidRDefault="00BE4AA0" w:rsidP="00BE4AA0">
      <w:pPr>
        <w:pStyle w:val="Textonotapie"/>
        <w:snapToGrid w:val="0"/>
        <w:ind w:firstLine="708"/>
        <w:jc w:val="both"/>
        <w:rPr>
          <w:rFonts w:ascii="Verdana" w:hAnsi="Verdana" w:cs="Arial"/>
          <w:sz w:val="16"/>
          <w:szCs w:val="16"/>
          <w:lang w:val="es-CO"/>
        </w:rPr>
      </w:pPr>
      <w:r w:rsidRPr="00A30AAD">
        <w:rPr>
          <w:rStyle w:val="Refdenotaalpie"/>
          <w:rFonts w:ascii="Verdana" w:hAnsi="Verdana" w:cs="Arial"/>
          <w:sz w:val="16"/>
          <w:szCs w:val="16"/>
        </w:rPr>
        <w:footnoteRef/>
      </w:r>
      <w:r w:rsidRPr="00A30AAD">
        <w:rPr>
          <w:rFonts w:ascii="Verdana" w:hAnsi="Verdana" w:cs="Arial"/>
          <w:sz w:val="16"/>
          <w:szCs w:val="16"/>
        </w:rPr>
        <w:t xml:space="preserve"> Consejo de Estado. Sección Tercera. Op. cit., Exp. 17.009. </w:t>
      </w:r>
      <w:r w:rsidRPr="00A30AAD">
        <w:rPr>
          <w:rFonts w:ascii="Verdana" w:hAnsi="Verdana" w:cs="Arial"/>
          <w:i/>
          <w:sz w:val="16"/>
          <w:szCs w:val="16"/>
          <w:lang w:val="es-CO"/>
        </w:rPr>
        <w:t>Ibídem.</w:t>
      </w:r>
      <w:r w:rsidRPr="00A30AAD">
        <w:rPr>
          <w:rFonts w:ascii="Verdana" w:hAnsi="Verdana" w:cs="Arial"/>
          <w:sz w:val="16"/>
          <w:szCs w:val="16"/>
          <w:lang w:val="es-CO"/>
        </w:rPr>
        <w:t xml:space="preserve"> </w:t>
      </w:r>
    </w:p>
  </w:footnote>
  <w:footnote w:id="34">
    <w:p w14:paraId="0BCF92D0" w14:textId="77777777" w:rsidR="00BE4AA0" w:rsidRPr="00A30AAD" w:rsidRDefault="00BE4AA0" w:rsidP="00BE4AA0">
      <w:pPr>
        <w:spacing w:after="0" w:line="240" w:lineRule="auto"/>
        <w:ind w:firstLine="708"/>
        <w:jc w:val="both"/>
        <w:rPr>
          <w:rFonts w:ascii="Verdana" w:eastAsia="Verdana" w:hAnsi="Verdana" w:cs="Verdana"/>
          <w:sz w:val="16"/>
          <w:szCs w:val="16"/>
          <w:lang w:val="es-ES"/>
        </w:rPr>
      </w:pPr>
      <w:r w:rsidRPr="00A30AAD">
        <w:rPr>
          <w:rStyle w:val="Refdenotaalpie"/>
          <w:rFonts w:ascii="Verdana" w:hAnsi="Verdana"/>
          <w:sz w:val="16"/>
          <w:szCs w:val="16"/>
        </w:rPr>
        <w:footnoteRef/>
      </w:r>
      <w:r w:rsidRPr="00A30AAD">
        <w:rPr>
          <w:rFonts w:ascii="Verdana" w:hAnsi="Verdana"/>
          <w:sz w:val="16"/>
          <w:szCs w:val="16"/>
        </w:rPr>
        <w:t xml:space="preserve"> </w:t>
      </w:r>
      <w:r w:rsidRPr="00A30AAD">
        <w:rPr>
          <w:rFonts w:ascii="Verdana" w:eastAsia="Verdana" w:hAnsi="Verdana" w:cs="Verdana"/>
          <w:sz w:val="16"/>
          <w:szCs w:val="16"/>
          <w:lang w:val="es-ES"/>
        </w:rPr>
        <w:t>“</w:t>
      </w:r>
      <w:r w:rsidRPr="00A30AAD">
        <w:rPr>
          <w:rFonts w:ascii="Verdana" w:hAnsi="Verdana"/>
          <w:sz w:val="16"/>
          <w:szCs w:val="16"/>
        </w:rPr>
        <w:t>[…]</w:t>
      </w:r>
      <w:r w:rsidRPr="00A30AAD">
        <w:rPr>
          <w:rFonts w:ascii="Verdana" w:eastAsia="Verdana" w:hAnsi="Verdana" w:cs="Verdana"/>
          <w:sz w:val="16"/>
          <w:szCs w:val="16"/>
          <w:lang w:val="es-ES"/>
        </w:rPr>
        <w:t xml:space="preserve"> la posibilidad de hacer efectiva la cláusula penal se extiende hasta el término de la liquidación, lo cual, con la Ley 1150 de 2007, se compagina con el término de caducidad.</w:t>
      </w:r>
    </w:p>
    <w:p w14:paraId="353FFA6C" w14:textId="77777777" w:rsidR="00BE4AA0" w:rsidRPr="00A30AAD" w:rsidRDefault="00BE4AA0" w:rsidP="00BE4AA0">
      <w:pPr>
        <w:spacing w:after="0" w:line="240" w:lineRule="auto"/>
        <w:ind w:firstLine="708"/>
        <w:jc w:val="both"/>
        <w:rPr>
          <w:rFonts w:ascii="Verdana" w:eastAsia="Verdana" w:hAnsi="Verdana" w:cs="Verdana"/>
          <w:sz w:val="16"/>
          <w:szCs w:val="16"/>
          <w:lang w:val="es-ES"/>
        </w:rPr>
      </w:pPr>
      <w:r w:rsidRPr="00A30AAD">
        <w:rPr>
          <w:rFonts w:ascii="Verdana" w:eastAsia="Verdana" w:hAnsi="Verdana" w:cs="Verdana"/>
          <w:sz w:val="16"/>
          <w:szCs w:val="16"/>
          <w:lang w:val="es-ES"/>
        </w:rPr>
        <w:t xml:space="preserve">Aunque la Sala no desconoce que el término de caducidad es diferente al de liquidación, es la misma ley la que permite que, durante los dos años siguientes al vencimiento del plazo para la liquidación unilateral, y mientras no se acuda ante el juez, se pueda surtir la liquidación, lo cual mutatis mutandis, permite que la entidad contratante declare el incumplimiento para hacer efectiva la cláusula penal -resaltando, además, que no exista una disposición que restrinja el ejercicio de esta facultad-.” </w:t>
      </w:r>
      <w:r w:rsidRPr="00A30AAD">
        <w:rPr>
          <w:rFonts w:ascii="Verdana" w:hAnsi="Verdana"/>
          <w:sz w:val="16"/>
          <w:szCs w:val="16"/>
        </w:rPr>
        <w:t>Consejo de Estado. Sección tercera. Sentencia del 31 de marzo del 2023. Exp</w:t>
      </w:r>
      <w:r>
        <w:rPr>
          <w:rFonts w:ascii="Verdana" w:hAnsi="Verdana"/>
          <w:sz w:val="16"/>
          <w:szCs w:val="16"/>
        </w:rPr>
        <w:t>.</w:t>
      </w:r>
      <w:r w:rsidRPr="00A30AAD">
        <w:rPr>
          <w:rFonts w:ascii="Verdana" w:hAnsi="Verdana"/>
          <w:sz w:val="16"/>
          <w:szCs w:val="16"/>
        </w:rPr>
        <w:t xml:space="preserve"> </w:t>
      </w:r>
      <w:r w:rsidRPr="00A30AAD">
        <w:rPr>
          <w:rFonts w:ascii="Verdana" w:eastAsia="Verdana" w:hAnsi="Verdana" w:cs="Verdana"/>
          <w:sz w:val="16"/>
          <w:szCs w:val="16"/>
          <w:lang w:val="es-ES"/>
        </w:rPr>
        <w:t>56.002. C.P: Adriana Marín.</w:t>
      </w:r>
    </w:p>
  </w:footnote>
  <w:footnote w:id="35">
    <w:p w14:paraId="7276D84C" w14:textId="77777777" w:rsidR="00BE4AA0" w:rsidRPr="006503CF" w:rsidRDefault="00BE4AA0" w:rsidP="00BE4AA0">
      <w:pPr>
        <w:pStyle w:val="Textonotapie"/>
        <w:ind w:firstLine="708"/>
        <w:jc w:val="both"/>
        <w:rPr>
          <w:rFonts w:ascii="Verdana" w:eastAsia="Verdana" w:hAnsi="Verdana" w:cs="Verdana"/>
          <w:sz w:val="16"/>
          <w:szCs w:val="16"/>
          <w:lang w:val="es-CO"/>
        </w:rPr>
      </w:pPr>
      <w:r w:rsidRPr="006503CF">
        <w:rPr>
          <w:rStyle w:val="Refdenotaalpie"/>
          <w:rFonts w:ascii="Verdana" w:hAnsi="Verdana"/>
          <w:sz w:val="16"/>
          <w:szCs w:val="16"/>
        </w:rPr>
        <w:footnoteRef/>
      </w:r>
      <w:r w:rsidRPr="006503CF">
        <w:rPr>
          <w:rFonts w:ascii="Verdana" w:hAnsi="Verdana"/>
          <w:sz w:val="16"/>
          <w:szCs w:val="16"/>
        </w:rPr>
        <w:t xml:space="preserve"> </w:t>
      </w:r>
      <w:r w:rsidRPr="006503CF">
        <w:rPr>
          <w:rFonts w:ascii="Verdana" w:eastAsia="Verdana" w:hAnsi="Verdana" w:cs="Verdana"/>
          <w:sz w:val="16"/>
          <w:szCs w:val="16"/>
          <w:lang w:val="es-ES"/>
        </w:rPr>
        <w:t>“</w:t>
      </w:r>
      <w:r w:rsidRPr="006503CF">
        <w:rPr>
          <w:rFonts w:ascii="Verdana" w:eastAsia="Verdana" w:hAnsi="Verdana" w:cs="Verdana"/>
          <w:sz w:val="16"/>
          <w:szCs w:val="16"/>
          <w:lang w:val="es-CO"/>
        </w:rPr>
        <w:t xml:space="preserve">En suma, la Administración podrá declarar el incumplimiento después del vencimiento del plazo contractual de ejecución y antes de la liquidación o dentro del acto liquidatorio mismo, pero no después de la expedición de éste”. </w:t>
      </w:r>
      <w:r w:rsidRPr="006503CF">
        <w:rPr>
          <w:rFonts w:ascii="Verdana" w:eastAsia="Verdana" w:hAnsi="Verdana" w:cs="Verdana"/>
          <w:sz w:val="16"/>
          <w:szCs w:val="16"/>
          <w:lang w:val="es-ES"/>
        </w:rPr>
        <w:t xml:space="preserve">Consejo de Estado. Sección Tercera. Subsección C. Sentencia del 25 de mayo de 2011. Exp. 18017. C.P. Jaime Orlando Santofimio Gamboa. En el mismo sentido ver sentencia del </w:t>
      </w:r>
      <w:r w:rsidRPr="005519CB">
        <w:rPr>
          <w:rFonts w:ascii="Verdana" w:hAnsi="Verdana"/>
          <w:color w:val="000000" w:themeColor="text1"/>
          <w:sz w:val="16"/>
          <w:szCs w:val="16"/>
          <w:lang w:val="es-ES"/>
        </w:rPr>
        <w:t>CONSEJO DE ESTADO. Sección Tercera, Subsección C. Sentencia del 11 de agosto de 2025. Rad. 68001-23-33-000-2018-00923-01 (71554). M.P. Nicolás Yepes Corrales.</w:t>
      </w:r>
    </w:p>
  </w:footnote>
  <w:footnote w:id="36">
    <w:p w14:paraId="5454DE5C" w14:textId="77777777" w:rsidR="00BE4AA0" w:rsidRPr="005519CB" w:rsidRDefault="00BE4AA0" w:rsidP="00BE4AA0">
      <w:pPr>
        <w:pStyle w:val="Textonotapie"/>
        <w:ind w:firstLine="709"/>
        <w:jc w:val="both"/>
        <w:rPr>
          <w:rFonts w:ascii="Verdana" w:hAnsi="Verdana"/>
          <w:sz w:val="16"/>
          <w:szCs w:val="16"/>
        </w:rPr>
      </w:pPr>
      <w:r w:rsidRPr="005519CB">
        <w:rPr>
          <w:rStyle w:val="Refdenotaalpie"/>
          <w:rFonts w:ascii="Verdana" w:hAnsi="Verdana"/>
          <w:sz w:val="16"/>
          <w:szCs w:val="16"/>
        </w:rPr>
        <w:footnoteRef/>
      </w:r>
      <w:r w:rsidRPr="005519CB">
        <w:rPr>
          <w:rFonts w:ascii="Verdana" w:hAnsi="Verdana"/>
          <w:sz w:val="16"/>
          <w:szCs w:val="16"/>
        </w:rPr>
        <w:t xml:space="preserve"> CONSEJO DE ESTADO, Sala de Consulta y Servicio Civil, Concepto del 26 de julio de 2016, C.P. Álvaro Namén Vargas, Radicación interna 2257, Radicación 11001-03-06-000-2015-00102-00 </w:t>
      </w:r>
    </w:p>
  </w:footnote>
  <w:footnote w:id="37">
    <w:p w14:paraId="56E347E9" w14:textId="77777777" w:rsidR="00BE4AA0" w:rsidRPr="00F66346" w:rsidRDefault="00BE4AA0" w:rsidP="00BE4AA0">
      <w:pPr>
        <w:pStyle w:val="Textonotapie"/>
        <w:ind w:firstLine="708"/>
        <w:jc w:val="both"/>
        <w:rPr>
          <w:rFonts w:ascii="Verdana" w:hAnsi="Verdana"/>
          <w:sz w:val="16"/>
          <w:szCs w:val="16"/>
          <w:lang w:val="es-CO"/>
        </w:rPr>
      </w:pPr>
      <w:r w:rsidRPr="00F66346">
        <w:rPr>
          <w:rStyle w:val="Refdenotaalpie"/>
          <w:rFonts w:ascii="Verdana" w:hAnsi="Verdana"/>
          <w:sz w:val="16"/>
          <w:szCs w:val="16"/>
        </w:rPr>
        <w:footnoteRef/>
      </w:r>
      <w:r w:rsidRPr="00F66346">
        <w:rPr>
          <w:rFonts w:ascii="Verdana" w:hAnsi="Verdana"/>
          <w:sz w:val="16"/>
          <w:szCs w:val="16"/>
        </w:rPr>
        <w:t xml:space="preserve"> </w:t>
      </w:r>
      <w:r w:rsidRPr="00F66346">
        <w:rPr>
          <w:rFonts w:ascii="Verdana" w:hAnsi="Verdana"/>
          <w:sz w:val="16"/>
          <w:szCs w:val="16"/>
          <w:lang w:val="es-CO"/>
        </w:rPr>
        <w:t>Artículo 90. </w:t>
      </w:r>
      <w:r w:rsidRPr="00F66346">
        <w:rPr>
          <w:rFonts w:ascii="Verdana" w:hAnsi="Verdana"/>
          <w:i/>
          <w:iCs/>
          <w:sz w:val="16"/>
          <w:szCs w:val="16"/>
          <w:lang w:val="es-CO"/>
        </w:rPr>
        <w:t>Inhabilidad por incumplimiento reiterado. </w:t>
      </w:r>
      <w:r w:rsidRPr="00F66346">
        <w:rPr>
          <w:rFonts w:ascii="Verdana" w:hAnsi="Verdana"/>
          <w:sz w:val="16"/>
          <w:szCs w:val="16"/>
          <w:lang w:val="es-CO"/>
        </w:rPr>
        <w:t>Quedará inhabilitado el contratista que incurra en alguna de las siguientes con</w:t>
      </w:r>
      <w:r w:rsidRPr="00F66346">
        <w:rPr>
          <w:rFonts w:ascii="Verdana" w:hAnsi="Verdana"/>
          <w:sz w:val="16"/>
          <w:szCs w:val="16"/>
          <w:lang w:val="es-CO"/>
        </w:rPr>
        <w:softHyphen/>
        <w:t>ductas: </w:t>
      </w:r>
    </w:p>
    <w:p w14:paraId="684AA356" w14:textId="77777777" w:rsidR="00BE4AA0" w:rsidRPr="00F66346" w:rsidRDefault="00BE4AA0" w:rsidP="00BE4AA0">
      <w:pPr>
        <w:pStyle w:val="Textonotapie"/>
        <w:ind w:firstLine="708"/>
        <w:jc w:val="both"/>
        <w:rPr>
          <w:rFonts w:ascii="Verdana" w:hAnsi="Verdana"/>
          <w:sz w:val="16"/>
          <w:szCs w:val="16"/>
          <w:lang w:val="es-CO"/>
        </w:rPr>
      </w:pPr>
      <w:r w:rsidRPr="00F66346">
        <w:rPr>
          <w:rFonts w:ascii="Verdana" w:hAnsi="Verdana"/>
          <w:sz w:val="16"/>
          <w:szCs w:val="16"/>
          <w:lang w:val="es-CO"/>
        </w:rPr>
        <w:t>a) Haber sido objeto de imposición de cinco (5) o más multas durante la ejecución de uno o varios contratos, con una o va</w:t>
      </w:r>
      <w:r w:rsidRPr="00F66346">
        <w:rPr>
          <w:rFonts w:ascii="Verdana" w:hAnsi="Verdana"/>
          <w:sz w:val="16"/>
          <w:szCs w:val="16"/>
          <w:lang w:val="es-CO"/>
        </w:rPr>
        <w:softHyphen/>
        <w:t>rias entidades estatales, durante los últimos tres (3) años; </w:t>
      </w:r>
    </w:p>
    <w:p w14:paraId="12691773" w14:textId="77777777" w:rsidR="00BE4AA0" w:rsidRPr="00F66346" w:rsidRDefault="00BE4AA0" w:rsidP="00BE4AA0">
      <w:pPr>
        <w:pStyle w:val="Textonotapie"/>
        <w:ind w:firstLine="708"/>
        <w:jc w:val="both"/>
        <w:rPr>
          <w:rFonts w:ascii="Verdana" w:hAnsi="Verdana"/>
          <w:sz w:val="16"/>
          <w:szCs w:val="16"/>
          <w:lang w:val="es-CO"/>
        </w:rPr>
      </w:pPr>
      <w:r w:rsidRPr="00F66346">
        <w:rPr>
          <w:rFonts w:ascii="Verdana" w:hAnsi="Verdana"/>
          <w:sz w:val="16"/>
          <w:szCs w:val="16"/>
          <w:lang w:val="es-CO"/>
        </w:rPr>
        <w:t>b) Haber sido objeto de declaratorias de incumplimiento con</w:t>
      </w:r>
      <w:r w:rsidRPr="00F66346">
        <w:rPr>
          <w:rFonts w:ascii="Verdana" w:hAnsi="Verdana"/>
          <w:sz w:val="16"/>
          <w:szCs w:val="16"/>
          <w:lang w:val="es-CO"/>
        </w:rPr>
        <w:softHyphen/>
        <w:t>tractual en por lo menos dos (2) contratos, con una o varias entidades estatales, durante los últimos tres (3) años; </w:t>
      </w:r>
    </w:p>
    <w:p w14:paraId="64B55E42" w14:textId="77777777" w:rsidR="00BE4AA0" w:rsidRPr="00F66346" w:rsidRDefault="00BE4AA0" w:rsidP="00BE4AA0">
      <w:pPr>
        <w:pStyle w:val="Textonotapie"/>
        <w:ind w:firstLine="708"/>
        <w:jc w:val="both"/>
        <w:rPr>
          <w:rFonts w:ascii="Verdana" w:hAnsi="Verdana"/>
          <w:sz w:val="16"/>
          <w:szCs w:val="16"/>
          <w:lang w:val="es-CO"/>
        </w:rPr>
      </w:pPr>
      <w:r w:rsidRPr="00F66346">
        <w:rPr>
          <w:rFonts w:ascii="Verdana" w:hAnsi="Verdana"/>
          <w:sz w:val="16"/>
          <w:szCs w:val="16"/>
          <w:lang w:val="es-CO"/>
        </w:rPr>
        <w:t>c) Haber sido objeto de imposición de dos (2) multas y un (1) incumplimiento durante una misma vigencia fiscal, con una o varias entidades estatales. </w:t>
      </w:r>
    </w:p>
    <w:p w14:paraId="1CEDEEC2" w14:textId="77777777" w:rsidR="00BE4AA0" w:rsidRPr="00F66346" w:rsidRDefault="00BE4AA0" w:rsidP="00BE4AA0">
      <w:pPr>
        <w:pStyle w:val="Textonotapie"/>
        <w:ind w:firstLine="708"/>
        <w:jc w:val="both"/>
        <w:rPr>
          <w:rFonts w:ascii="Verdana" w:hAnsi="Verdana"/>
          <w:sz w:val="16"/>
          <w:szCs w:val="16"/>
          <w:lang w:val="es-CO"/>
        </w:rPr>
      </w:pPr>
      <w:r w:rsidRPr="00F66346">
        <w:rPr>
          <w:rFonts w:ascii="Verdana" w:hAnsi="Verdana"/>
          <w:sz w:val="16"/>
          <w:szCs w:val="16"/>
          <w:lang w:val="es-CO"/>
        </w:rPr>
        <w:t>d) Haber sido objeto de incumplimiento contractual o de imposición de dos (2) o más multas, con una o varias entidades, cuando se trate de contratos cuyo objeto esté relacionado con el Programa de Alimentación Escolar. Esta inhabilidad se extenderá por un término de diez (10) años, contados a partir de la publicación del acto administrativo que impone la inscripción de la última multa o incumplimiento en el Registro Único de Proponentes, de acuerdo con la información remitida por las entidades públicas. </w:t>
      </w:r>
      <w:r w:rsidRPr="00F66346">
        <w:rPr>
          <w:rFonts w:ascii="Verdana" w:hAnsi="Verdana"/>
          <w:sz w:val="16"/>
          <w:szCs w:val="16"/>
          <w:lang w:val="es-CO"/>
        </w:rPr>
        <w:br/>
        <w:t>La inhabilidad pertinente se hará explícita en el Registro Único de Proponentes cuando a ello haya lugar. </w:t>
      </w:r>
    </w:p>
    <w:p w14:paraId="6EED47B7" w14:textId="77777777" w:rsidR="00BE4AA0" w:rsidRPr="00F66346" w:rsidRDefault="00BE4AA0" w:rsidP="00BE4AA0">
      <w:pPr>
        <w:pStyle w:val="Textonotapie"/>
        <w:ind w:firstLine="708"/>
        <w:jc w:val="both"/>
        <w:rPr>
          <w:rFonts w:ascii="Verdana" w:hAnsi="Verdana"/>
          <w:sz w:val="16"/>
          <w:szCs w:val="16"/>
          <w:lang w:val="es-CO"/>
        </w:rPr>
      </w:pPr>
      <w:r w:rsidRPr="00F66346">
        <w:rPr>
          <w:rFonts w:ascii="Verdana" w:hAnsi="Verdana"/>
          <w:sz w:val="16"/>
          <w:szCs w:val="16"/>
          <w:lang w:val="es-CO"/>
        </w:rPr>
        <w:t>La inhabilidad se extenderá por un término de tres (3) años, con</w:t>
      </w:r>
      <w:r w:rsidRPr="00F66346">
        <w:rPr>
          <w:rFonts w:ascii="Verdana" w:hAnsi="Verdana"/>
          <w:sz w:val="16"/>
          <w:szCs w:val="16"/>
          <w:lang w:val="es-CO"/>
        </w:rPr>
        <w:softHyphen/>
        <w:t>tados a partir de la publicación del acto administrativo que impone la inscripción de la última multa o incumplimiento en el Registro Único de Proponentes, de acuerdo con la información remitida por las entida</w:t>
      </w:r>
      <w:r w:rsidRPr="00F66346">
        <w:rPr>
          <w:rFonts w:ascii="Verdana" w:hAnsi="Verdana"/>
          <w:sz w:val="16"/>
          <w:szCs w:val="16"/>
          <w:lang w:val="es-CO"/>
        </w:rPr>
        <w:softHyphen/>
        <w:t>des públicas. La inhabilidad pertinente se hará explícita en el Registro Único de Proponentes cuando a ello haya lugar. </w:t>
      </w:r>
    </w:p>
    <w:p w14:paraId="1FE51D03" w14:textId="77777777" w:rsidR="00BE4AA0" w:rsidRPr="00F66346" w:rsidRDefault="00BE4AA0" w:rsidP="00BE4AA0">
      <w:pPr>
        <w:pStyle w:val="Textonotapie"/>
        <w:ind w:firstLine="708"/>
        <w:jc w:val="both"/>
        <w:rPr>
          <w:rFonts w:ascii="Verdana" w:hAnsi="Verdana"/>
          <w:sz w:val="16"/>
          <w:szCs w:val="16"/>
          <w:lang w:val="es-CO"/>
        </w:rPr>
      </w:pPr>
      <w:r w:rsidRPr="00F66346">
        <w:rPr>
          <w:rFonts w:ascii="Verdana" w:hAnsi="Verdana"/>
          <w:sz w:val="16"/>
          <w:szCs w:val="16"/>
          <w:lang w:val="es-CO"/>
        </w:rPr>
        <w:t>Parágrafo. La inhabilidad a que se refiere el presente artículo se ex</w:t>
      </w:r>
      <w:r w:rsidRPr="00F66346">
        <w:rPr>
          <w:rFonts w:ascii="Verdana" w:hAnsi="Verdana"/>
          <w:sz w:val="16"/>
          <w:szCs w:val="16"/>
          <w:lang w:val="es-CO"/>
        </w:rPr>
        <w:softHyphen/>
        <w:t>tenderá a los socios de sociedades de personas a las cuales se haya de</w:t>
      </w:r>
      <w:r w:rsidRPr="00F66346">
        <w:rPr>
          <w:rFonts w:ascii="Verdana" w:hAnsi="Verdana"/>
          <w:sz w:val="16"/>
          <w:szCs w:val="16"/>
          <w:lang w:val="es-CO"/>
        </w:rPr>
        <w:softHyphen/>
        <w:t>clarado esta inhabilidad, así como a las sociedades de personas de las que aquellos formen parte con posterioridad a dicha declaratoria. </w:t>
      </w:r>
    </w:p>
  </w:footnote>
  <w:footnote w:id="38">
    <w:p w14:paraId="3396B45D" w14:textId="77777777" w:rsidR="00BE4AA0" w:rsidRPr="00F66346" w:rsidRDefault="00BE4AA0" w:rsidP="00BE4AA0">
      <w:pPr>
        <w:pStyle w:val="Textonotapie"/>
        <w:ind w:firstLine="708"/>
        <w:jc w:val="both"/>
        <w:rPr>
          <w:rFonts w:ascii="Verdana" w:hAnsi="Verdana"/>
          <w:sz w:val="16"/>
          <w:szCs w:val="16"/>
        </w:rPr>
      </w:pPr>
      <w:r w:rsidRPr="00F66346">
        <w:rPr>
          <w:rStyle w:val="Refdenotaalpie"/>
          <w:rFonts w:ascii="Verdana" w:hAnsi="Verdana"/>
          <w:sz w:val="16"/>
          <w:szCs w:val="16"/>
        </w:rPr>
        <w:footnoteRef/>
      </w:r>
      <w:r w:rsidRPr="00F66346">
        <w:rPr>
          <w:rFonts w:ascii="Verdana" w:hAnsi="Verdana"/>
          <w:sz w:val="16"/>
          <w:szCs w:val="16"/>
        </w:rPr>
        <w:t xml:space="preserve"> </w:t>
      </w:r>
      <w:r w:rsidRPr="00CA2B06">
        <w:rPr>
          <w:rFonts w:ascii="Verdana" w:hAnsi="Verdana"/>
          <w:sz w:val="16"/>
          <w:szCs w:val="16"/>
          <w:lang w:val="es-CO"/>
        </w:rPr>
        <w:t xml:space="preserve">Consejo de Estado. Sala de Consulta y Servicio Civil. Concepto del 26 de julio de 2016. C.P. Alvaro Namén Vargas. Rad. 2257. </w:t>
      </w:r>
    </w:p>
  </w:footnote>
  <w:footnote w:id="39">
    <w:p w14:paraId="37921712" w14:textId="77777777" w:rsidR="00BE4AA0" w:rsidRPr="005519CB" w:rsidRDefault="00BE4AA0" w:rsidP="00BE4AA0">
      <w:pPr>
        <w:pStyle w:val="Textonotapie"/>
        <w:ind w:firstLine="708"/>
        <w:jc w:val="both"/>
        <w:rPr>
          <w:rFonts w:ascii="Verdana" w:hAnsi="Verdana"/>
          <w:sz w:val="16"/>
          <w:szCs w:val="16"/>
        </w:rPr>
      </w:pPr>
      <w:r w:rsidRPr="00F66346">
        <w:rPr>
          <w:rStyle w:val="Refdenotaalpie"/>
          <w:rFonts w:ascii="Verdana" w:hAnsi="Verdana"/>
          <w:sz w:val="16"/>
          <w:szCs w:val="16"/>
        </w:rPr>
        <w:footnoteRef/>
      </w:r>
      <w:r w:rsidRPr="00F66346">
        <w:rPr>
          <w:rFonts w:ascii="Verdana" w:hAnsi="Verdana"/>
          <w:sz w:val="16"/>
          <w:szCs w:val="16"/>
        </w:rPr>
        <w:t xml:space="preserve"> NAMÉN Vargas, William, “Las limitaciones a la libertad de acceso a la contratación con las entidades estatales. Régimen de inhabilidades e incompatibilidades”, en Misión de Contratación: Hacia una política para la eficiencia y la transparencia en la contratación pública. Tomo II, Departamento Nacional de Planeación, 2002, p. 495.</w:t>
      </w:r>
    </w:p>
  </w:footnote>
  <w:footnote w:id="40">
    <w:p w14:paraId="7A8BEBB8" w14:textId="77777777" w:rsidR="00BE4AA0" w:rsidRPr="006B320E" w:rsidRDefault="00BE4AA0" w:rsidP="00BE4AA0">
      <w:pPr>
        <w:pStyle w:val="Textonotapie"/>
        <w:ind w:firstLine="708"/>
        <w:jc w:val="both"/>
        <w:rPr>
          <w:rFonts w:ascii="Verdana" w:hAnsi="Verdana"/>
          <w:sz w:val="16"/>
          <w:szCs w:val="16"/>
        </w:rPr>
      </w:pPr>
      <w:r w:rsidRPr="006B320E">
        <w:rPr>
          <w:rStyle w:val="Refdenotaalpie"/>
          <w:rFonts w:ascii="Verdana" w:hAnsi="Verdana"/>
          <w:sz w:val="16"/>
          <w:szCs w:val="16"/>
        </w:rPr>
        <w:footnoteRef/>
      </w:r>
      <w:r w:rsidRPr="006B320E">
        <w:rPr>
          <w:rFonts w:ascii="Verdana" w:hAnsi="Verdana"/>
          <w:sz w:val="16"/>
          <w:szCs w:val="16"/>
        </w:rPr>
        <w:t xml:space="preserve"> </w:t>
      </w:r>
      <w:r w:rsidRPr="006503CF">
        <w:rPr>
          <w:rFonts w:ascii="Verdana" w:hAnsi="Verdana"/>
          <w:sz w:val="16"/>
          <w:szCs w:val="16"/>
        </w:rPr>
        <w:t>CONSEJO DE ESTADO</w:t>
      </w:r>
      <w:r w:rsidRPr="006B320E">
        <w:rPr>
          <w:rFonts w:ascii="Verdana" w:hAnsi="Verdana"/>
          <w:sz w:val="16"/>
          <w:szCs w:val="16"/>
        </w:rPr>
        <w:t>, Sala de Consulta y Servicio Civil, Concepto de 4 de septiembre de 2000, Radicado n.º 1283</w:t>
      </w:r>
    </w:p>
  </w:footnote>
  <w:footnote w:id="41">
    <w:p w14:paraId="64DEFE68" w14:textId="77777777" w:rsidR="00BE4AA0" w:rsidRPr="006B320E" w:rsidRDefault="00BE4AA0" w:rsidP="00BE4AA0">
      <w:pPr>
        <w:pStyle w:val="Textonotapie"/>
        <w:ind w:firstLine="709"/>
        <w:jc w:val="both"/>
        <w:rPr>
          <w:rFonts w:ascii="Verdana" w:hAnsi="Verdana"/>
          <w:sz w:val="16"/>
          <w:szCs w:val="16"/>
        </w:rPr>
      </w:pPr>
      <w:r w:rsidRPr="006B320E">
        <w:rPr>
          <w:rStyle w:val="Refdenotaalpie"/>
          <w:rFonts w:ascii="Verdana" w:hAnsi="Verdana"/>
          <w:sz w:val="16"/>
          <w:szCs w:val="16"/>
        </w:rPr>
        <w:footnoteRef/>
      </w:r>
      <w:r w:rsidRPr="006B320E">
        <w:rPr>
          <w:rFonts w:ascii="Verdana" w:hAnsi="Verdana"/>
          <w:sz w:val="16"/>
          <w:szCs w:val="16"/>
        </w:rPr>
        <w:t xml:space="preserve"> </w:t>
      </w:r>
      <w:r w:rsidRPr="006B320E">
        <w:rPr>
          <w:rFonts w:ascii="Verdana" w:hAnsi="Verdana"/>
          <w:sz w:val="16"/>
          <w:szCs w:val="16"/>
          <w:lang w:val="es-CO"/>
        </w:rPr>
        <w:t>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w:t>
      </w:r>
    </w:p>
  </w:footnote>
  <w:footnote w:id="42">
    <w:p w14:paraId="59D2D2B1" w14:textId="77777777" w:rsidR="00BE4AA0" w:rsidRPr="009B0144" w:rsidRDefault="00BE4AA0" w:rsidP="00BE4AA0">
      <w:pPr>
        <w:pStyle w:val="Textonotapie"/>
        <w:ind w:firstLine="709"/>
        <w:jc w:val="both"/>
        <w:rPr>
          <w:rFonts w:ascii="Verdana" w:hAnsi="Verdana"/>
          <w:sz w:val="16"/>
          <w:szCs w:val="16"/>
          <w:lang w:val="es-CO"/>
        </w:rPr>
      </w:pPr>
      <w:r w:rsidRPr="009B0144">
        <w:rPr>
          <w:rStyle w:val="Refdenotaalpie"/>
          <w:rFonts w:ascii="Verdana" w:hAnsi="Verdana"/>
          <w:sz w:val="16"/>
          <w:szCs w:val="16"/>
        </w:rPr>
        <w:footnoteRef/>
      </w:r>
      <w:r w:rsidRPr="009B0144">
        <w:rPr>
          <w:rFonts w:ascii="Verdana" w:hAnsi="Verdana"/>
          <w:sz w:val="16"/>
          <w:szCs w:val="16"/>
        </w:rPr>
        <w:t xml:space="preserve"> </w:t>
      </w:r>
      <w:r w:rsidRPr="009B0144">
        <w:rPr>
          <w:rFonts w:ascii="Verdana" w:hAnsi="Verdana"/>
          <w:sz w:val="16"/>
          <w:szCs w:val="16"/>
          <w:lang w:val="es-CO"/>
        </w:rPr>
        <w:t xml:space="preserve">Ley 80 de 1993: “Artículo 26. Del principio de responsabilidad. En virtud de este principio: </w:t>
      </w:r>
    </w:p>
    <w:p w14:paraId="07E9B442" w14:textId="77777777" w:rsidR="00BE4AA0" w:rsidRPr="009B0144" w:rsidRDefault="00BE4AA0" w:rsidP="00BE4AA0">
      <w:pPr>
        <w:pStyle w:val="Textonotapie"/>
        <w:ind w:firstLine="709"/>
        <w:jc w:val="both"/>
        <w:rPr>
          <w:rFonts w:ascii="Verdana" w:hAnsi="Verdana"/>
          <w:sz w:val="16"/>
          <w:szCs w:val="16"/>
        </w:rPr>
      </w:pPr>
      <w:r w:rsidRPr="009B0144">
        <w:rPr>
          <w:rFonts w:ascii="Verdana" w:hAnsi="Verdana"/>
          <w:sz w:val="16"/>
          <w:szCs w:val="16"/>
          <w:lang w:val="es-CO"/>
        </w:rPr>
        <w:t>“1. Los servidores públicos están obligados a buscar el cumplimiento de los fines de la contratación, a vigilar la correcta ejecución del objeto contratado y a proteger los derechos de la entidad, del contratista y de los terceros que puedan verse afectados por la ejecución del contrato”.</w:t>
      </w:r>
    </w:p>
  </w:footnote>
  <w:footnote w:id="43">
    <w:p w14:paraId="2BB5074B" w14:textId="77777777" w:rsidR="00BE4AA0" w:rsidRPr="00FD0A03" w:rsidRDefault="00BE4AA0" w:rsidP="00BE4AA0">
      <w:pPr>
        <w:pStyle w:val="Textonotapie"/>
        <w:ind w:firstLine="709"/>
        <w:jc w:val="both"/>
        <w:rPr>
          <w:rFonts w:ascii="Verdana" w:hAnsi="Verdana"/>
          <w:sz w:val="16"/>
          <w:szCs w:val="16"/>
        </w:rPr>
      </w:pPr>
      <w:r w:rsidRPr="005519CB">
        <w:rPr>
          <w:rStyle w:val="Refdenotaalpie"/>
          <w:rFonts w:ascii="Verdana" w:hAnsi="Verdana"/>
          <w:sz w:val="16"/>
          <w:szCs w:val="16"/>
        </w:rPr>
        <w:footnoteRef/>
      </w:r>
      <w:r w:rsidRPr="005519CB">
        <w:rPr>
          <w:rFonts w:ascii="Verdana" w:hAnsi="Verdana"/>
          <w:sz w:val="16"/>
          <w:szCs w:val="16"/>
        </w:rPr>
        <w:t xml:space="preserve"> </w:t>
      </w:r>
      <w:r w:rsidRPr="006503CF">
        <w:rPr>
          <w:rFonts w:ascii="Verdana" w:hAnsi="Verdana"/>
          <w:sz w:val="16"/>
          <w:szCs w:val="16"/>
        </w:rPr>
        <w:t>CONSEJO DE ESTADO.</w:t>
      </w:r>
      <w:r w:rsidRPr="00FD0A03">
        <w:rPr>
          <w:rFonts w:ascii="Verdana" w:hAnsi="Verdana"/>
          <w:sz w:val="16"/>
          <w:szCs w:val="16"/>
        </w:rPr>
        <w:t xml:space="preserve"> Sección Tercera –Subsección C. Sentencia del 27 de noviembre de 2017.</w:t>
      </w:r>
      <w:r w:rsidRPr="003D494E">
        <w:rPr>
          <w:rFonts w:ascii="Verdana" w:hAnsi="Verdana"/>
          <w:sz w:val="16"/>
          <w:szCs w:val="16"/>
          <w:lang w:val="es-CO"/>
        </w:rPr>
        <w:t xml:space="preserve"> Exp. 51.802</w:t>
      </w:r>
      <w:r>
        <w:rPr>
          <w:rFonts w:ascii="Verdana" w:hAnsi="Verdana"/>
          <w:sz w:val="16"/>
          <w:szCs w:val="16"/>
          <w:lang w:val="es-CO"/>
        </w:rPr>
        <w:t>.</w:t>
      </w:r>
      <w:r>
        <w:rPr>
          <w:rFonts w:ascii="Verdana" w:hAnsi="Verdana"/>
          <w:sz w:val="16"/>
          <w:szCs w:val="16"/>
        </w:rPr>
        <w:t xml:space="preserve"> C</w:t>
      </w:r>
      <w:r w:rsidRPr="00FD0A03">
        <w:rPr>
          <w:rFonts w:ascii="Verdana" w:hAnsi="Verdana"/>
          <w:sz w:val="16"/>
          <w:szCs w:val="16"/>
        </w:rPr>
        <w:t>.P. Jaime Orlando Santofimio</w:t>
      </w:r>
      <w:r>
        <w:rPr>
          <w:rFonts w:ascii="Verdana" w:hAnsi="Verdana"/>
          <w:sz w:val="16"/>
          <w:szCs w:val="16"/>
        </w:rPr>
        <w:t xml:space="preserve"> Gamboa</w:t>
      </w:r>
      <w:r w:rsidRPr="00FD0A03">
        <w:rPr>
          <w:rFonts w:ascii="Verdana" w:hAnsi="Verdana"/>
          <w:sz w:val="16"/>
          <w:szCs w:val="16"/>
        </w:rPr>
        <w:t xml:space="preserve">. </w:t>
      </w:r>
    </w:p>
    <w:p w14:paraId="5AE58E61" w14:textId="77777777" w:rsidR="00BE4AA0" w:rsidRPr="005519CB" w:rsidRDefault="00BE4AA0" w:rsidP="00BE4AA0">
      <w:pPr>
        <w:pStyle w:val="Textonotapie"/>
        <w:jc w:val="both"/>
        <w:rPr>
          <w:rFonts w:ascii="Verdana" w:hAnsi="Verdana"/>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BC11A90"/>
    <w:multiLevelType w:val="multilevel"/>
    <w:tmpl w:val="6D5C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7" w15:restartNumberingAfterBreak="0">
    <w:nsid w:val="1E251E51"/>
    <w:multiLevelType w:val="multilevel"/>
    <w:tmpl w:val="9998E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050B2F"/>
    <w:multiLevelType w:val="multilevel"/>
    <w:tmpl w:val="683C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E6D4CB7"/>
    <w:multiLevelType w:val="multilevel"/>
    <w:tmpl w:val="7BB8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69D6D3E"/>
    <w:multiLevelType w:val="multilevel"/>
    <w:tmpl w:val="7A4AC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66640D"/>
    <w:multiLevelType w:val="multilevel"/>
    <w:tmpl w:val="2098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32819FE"/>
    <w:multiLevelType w:val="multilevel"/>
    <w:tmpl w:val="9954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592960"/>
    <w:multiLevelType w:val="multilevel"/>
    <w:tmpl w:val="F2E8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E40CE0"/>
    <w:multiLevelType w:val="multilevel"/>
    <w:tmpl w:val="44060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D1179"/>
    <w:multiLevelType w:val="multilevel"/>
    <w:tmpl w:val="FE1E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FD095D"/>
    <w:multiLevelType w:val="multilevel"/>
    <w:tmpl w:val="CE14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7" w15:restartNumberingAfterBreak="0">
    <w:nsid w:val="686E1035"/>
    <w:multiLevelType w:val="multilevel"/>
    <w:tmpl w:val="F3245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DE3ACC"/>
    <w:multiLevelType w:val="multilevel"/>
    <w:tmpl w:val="C928C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66F5E"/>
    <w:multiLevelType w:val="multilevel"/>
    <w:tmpl w:val="7C3A3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4193185">
    <w:abstractNumId w:val="15"/>
  </w:num>
  <w:num w:numId="2" w16cid:durableId="193231847">
    <w:abstractNumId w:val="3"/>
  </w:num>
  <w:num w:numId="3" w16cid:durableId="1096943890">
    <w:abstractNumId w:val="13"/>
  </w:num>
  <w:num w:numId="4" w16cid:durableId="4099317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0367354">
    <w:abstractNumId w:val="3"/>
  </w:num>
  <w:num w:numId="6" w16cid:durableId="793476298">
    <w:abstractNumId w:val="30"/>
  </w:num>
  <w:num w:numId="7" w16cid:durableId="1388140985">
    <w:abstractNumId w:val="14"/>
  </w:num>
  <w:num w:numId="8" w16cid:durableId="8221745">
    <w:abstractNumId w:val="29"/>
  </w:num>
  <w:num w:numId="9" w16cid:durableId="44108025">
    <w:abstractNumId w:val="17"/>
  </w:num>
  <w:num w:numId="10" w16cid:durableId="1696543001">
    <w:abstractNumId w:val="28"/>
  </w:num>
  <w:num w:numId="11" w16cid:durableId="78798313">
    <w:abstractNumId w:val="18"/>
  </w:num>
  <w:num w:numId="12" w16cid:durableId="1454789457">
    <w:abstractNumId w:val="1"/>
  </w:num>
  <w:num w:numId="13" w16cid:durableId="1691956119">
    <w:abstractNumId w:val="8"/>
  </w:num>
  <w:num w:numId="14" w16cid:durableId="2087654391">
    <w:abstractNumId w:val="31"/>
  </w:num>
  <w:num w:numId="15" w16cid:durableId="1096054913">
    <w:abstractNumId w:val="26"/>
  </w:num>
  <w:num w:numId="16" w16cid:durableId="336543805">
    <w:abstractNumId w:val="10"/>
  </w:num>
  <w:num w:numId="17" w16cid:durableId="1497068304">
    <w:abstractNumId w:val="20"/>
  </w:num>
  <w:num w:numId="18" w16cid:durableId="1424061722">
    <w:abstractNumId w:val="36"/>
  </w:num>
  <w:num w:numId="19" w16cid:durableId="1329286817">
    <w:abstractNumId w:val="35"/>
  </w:num>
  <w:num w:numId="20" w16cid:durableId="648248107">
    <w:abstractNumId w:val="2"/>
  </w:num>
  <w:num w:numId="21" w16cid:durableId="64300868">
    <w:abstractNumId w:val="6"/>
  </w:num>
  <w:num w:numId="22" w16cid:durableId="277875109">
    <w:abstractNumId w:val="12"/>
  </w:num>
  <w:num w:numId="23" w16cid:durableId="1614360989">
    <w:abstractNumId w:val="5"/>
  </w:num>
  <w:num w:numId="24" w16cid:durableId="465394615">
    <w:abstractNumId w:val="33"/>
  </w:num>
  <w:num w:numId="25" w16cid:durableId="361709235">
    <w:abstractNumId w:val="0"/>
  </w:num>
  <w:num w:numId="26" w16cid:durableId="80181472">
    <w:abstractNumId w:val="27"/>
  </w:num>
  <w:num w:numId="27" w16cid:durableId="1143738307">
    <w:abstractNumId w:val="34"/>
  </w:num>
  <w:num w:numId="28" w16cid:durableId="2047440707">
    <w:abstractNumId w:val="24"/>
  </w:num>
  <w:num w:numId="29" w16cid:durableId="1039817304">
    <w:abstractNumId w:val="7"/>
  </w:num>
  <w:num w:numId="30" w16cid:durableId="676345886">
    <w:abstractNumId w:val="16"/>
  </w:num>
  <w:num w:numId="31" w16cid:durableId="851723613">
    <w:abstractNumId w:val="11"/>
  </w:num>
  <w:num w:numId="32" w16cid:durableId="1042285766">
    <w:abstractNumId w:val="19"/>
  </w:num>
  <w:num w:numId="33" w16cid:durableId="2089500761">
    <w:abstractNumId w:val="23"/>
  </w:num>
  <w:num w:numId="34" w16cid:durableId="697508553">
    <w:abstractNumId w:val="22"/>
  </w:num>
  <w:num w:numId="35" w16cid:durableId="1105348612">
    <w:abstractNumId w:val="9"/>
  </w:num>
  <w:num w:numId="36" w16cid:durableId="939874751">
    <w:abstractNumId w:val="4"/>
  </w:num>
  <w:num w:numId="37" w16cid:durableId="599410674">
    <w:abstractNumId w:val="21"/>
  </w:num>
  <w:num w:numId="38" w16cid:durableId="855731440">
    <w:abstractNumId w:val="25"/>
  </w:num>
  <w:num w:numId="39" w16cid:durableId="5321570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13E7"/>
    <w:rsid w:val="00012E0B"/>
    <w:rsid w:val="000134D5"/>
    <w:rsid w:val="00016F78"/>
    <w:rsid w:val="00017BA6"/>
    <w:rsid w:val="00024D50"/>
    <w:rsid w:val="000347FE"/>
    <w:rsid w:val="000353BD"/>
    <w:rsid w:val="00040BDB"/>
    <w:rsid w:val="00043DDF"/>
    <w:rsid w:val="00046945"/>
    <w:rsid w:val="000507EB"/>
    <w:rsid w:val="0005427E"/>
    <w:rsid w:val="00056046"/>
    <w:rsid w:val="00061A0B"/>
    <w:rsid w:val="00061B2A"/>
    <w:rsid w:val="0006777E"/>
    <w:rsid w:val="000711CF"/>
    <w:rsid w:val="0007556F"/>
    <w:rsid w:val="000765E5"/>
    <w:rsid w:val="00076D52"/>
    <w:rsid w:val="00080B1D"/>
    <w:rsid w:val="00082362"/>
    <w:rsid w:val="00085193"/>
    <w:rsid w:val="000856DA"/>
    <w:rsid w:val="0009079C"/>
    <w:rsid w:val="000954E1"/>
    <w:rsid w:val="000A1642"/>
    <w:rsid w:val="000A5D8B"/>
    <w:rsid w:val="000A66E5"/>
    <w:rsid w:val="000A683E"/>
    <w:rsid w:val="000A6849"/>
    <w:rsid w:val="000A6C37"/>
    <w:rsid w:val="000A6E14"/>
    <w:rsid w:val="000B0FAA"/>
    <w:rsid w:val="000B19B9"/>
    <w:rsid w:val="000B27F0"/>
    <w:rsid w:val="000C2056"/>
    <w:rsid w:val="000C5A9E"/>
    <w:rsid w:val="000C6E70"/>
    <w:rsid w:val="000C70C9"/>
    <w:rsid w:val="000D0334"/>
    <w:rsid w:val="000D0A9B"/>
    <w:rsid w:val="000D1DC8"/>
    <w:rsid w:val="000D4734"/>
    <w:rsid w:val="000D5DA7"/>
    <w:rsid w:val="000E47A8"/>
    <w:rsid w:val="000E6E2C"/>
    <w:rsid w:val="000F01E9"/>
    <w:rsid w:val="000F078F"/>
    <w:rsid w:val="000F3444"/>
    <w:rsid w:val="000F512E"/>
    <w:rsid w:val="000F6486"/>
    <w:rsid w:val="000F7FD4"/>
    <w:rsid w:val="00105757"/>
    <w:rsid w:val="00105C57"/>
    <w:rsid w:val="00110C2A"/>
    <w:rsid w:val="00113184"/>
    <w:rsid w:val="00115003"/>
    <w:rsid w:val="001161CA"/>
    <w:rsid w:val="001168F2"/>
    <w:rsid w:val="00116940"/>
    <w:rsid w:val="001174FC"/>
    <w:rsid w:val="00125105"/>
    <w:rsid w:val="00125539"/>
    <w:rsid w:val="00127233"/>
    <w:rsid w:val="001328F3"/>
    <w:rsid w:val="001428DC"/>
    <w:rsid w:val="00145E22"/>
    <w:rsid w:val="00151DF7"/>
    <w:rsid w:val="0015699B"/>
    <w:rsid w:val="001615EA"/>
    <w:rsid w:val="00171640"/>
    <w:rsid w:val="00174D6E"/>
    <w:rsid w:val="0018058D"/>
    <w:rsid w:val="00180F5A"/>
    <w:rsid w:val="00187095"/>
    <w:rsid w:val="0019787F"/>
    <w:rsid w:val="001A12F0"/>
    <w:rsid w:val="001A33BF"/>
    <w:rsid w:val="001A58B8"/>
    <w:rsid w:val="001A58F1"/>
    <w:rsid w:val="001C4172"/>
    <w:rsid w:val="001C5AE4"/>
    <w:rsid w:val="001C61B3"/>
    <w:rsid w:val="001D02CC"/>
    <w:rsid w:val="001D0D40"/>
    <w:rsid w:val="001D64AE"/>
    <w:rsid w:val="001E2E05"/>
    <w:rsid w:val="001E4177"/>
    <w:rsid w:val="001E753F"/>
    <w:rsid w:val="001F0B24"/>
    <w:rsid w:val="001F3374"/>
    <w:rsid w:val="001F7DC6"/>
    <w:rsid w:val="00207466"/>
    <w:rsid w:val="00211E12"/>
    <w:rsid w:val="00212AD1"/>
    <w:rsid w:val="002167D9"/>
    <w:rsid w:val="00216E19"/>
    <w:rsid w:val="00217FCA"/>
    <w:rsid w:val="002209DE"/>
    <w:rsid w:val="00221A13"/>
    <w:rsid w:val="002233DB"/>
    <w:rsid w:val="0022400B"/>
    <w:rsid w:val="002357D7"/>
    <w:rsid w:val="002417DF"/>
    <w:rsid w:val="002421BB"/>
    <w:rsid w:val="0025053F"/>
    <w:rsid w:val="00251160"/>
    <w:rsid w:val="00251CE3"/>
    <w:rsid w:val="00253436"/>
    <w:rsid w:val="00255611"/>
    <w:rsid w:val="0025796E"/>
    <w:rsid w:val="0026579C"/>
    <w:rsid w:val="002707A2"/>
    <w:rsid w:val="002750F1"/>
    <w:rsid w:val="00275455"/>
    <w:rsid w:val="00275482"/>
    <w:rsid w:val="00277C07"/>
    <w:rsid w:val="00283103"/>
    <w:rsid w:val="00286A65"/>
    <w:rsid w:val="0028778F"/>
    <w:rsid w:val="00287C1E"/>
    <w:rsid w:val="00292FDC"/>
    <w:rsid w:val="002931E1"/>
    <w:rsid w:val="002941CC"/>
    <w:rsid w:val="0029425D"/>
    <w:rsid w:val="002951A0"/>
    <w:rsid w:val="00296222"/>
    <w:rsid w:val="002962BC"/>
    <w:rsid w:val="002975A4"/>
    <w:rsid w:val="00297D6B"/>
    <w:rsid w:val="002A093D"/>
    <w:rsid w:val="002A0DD0"/>
    <w:rsid w:val="002A49AC"/>
    <w:rsid w:val="002A64FD"/>
    <w:rsid w:val="002B32D7"/>
    <w:rsid w:val="002B48C1"/>
    <w:rsid w:val="002B730F"/>
    <w:rsid w:val="002C3A66"/>
    <w:rsid w:val="002C4DD0"/>
    <w:rsid w:val="002C7A84"/>
    <w:rsid w:val="002D2211"/>
    <w:rsid w:val="002E05EF"/>
    <w:rsid w:val="002E2BF8"/>
    <w:rsid w:val="002E4FD9"/>
    <w:rsid w:val="002F0847"/>
    <w:rsid w:val="002F2F91"/>
    <w:rsid w:val="002F6815"/>
    <w:rsid w:val="0030657A"/>
    <w:rsid w:val="00311774"/>
    <w:rsid w:val="00312AF3"/>
    <w:rsid w:val="003136DC"/>
    <w:rsid w:val="0031527E"/>
    <w:rsid w:val="003156BF"/>
    <w:rsid w:val="00316053"/>
    <w:rsid w:val="003228E3"/>
    <w:rsid w:val="00322A85"/>
    <w:rsid w:val="00322C00"/>
    <w:rsid w:val="00322D77"/>
    <w:rsid w:val="00324168"/>
    <w:rsid w:val="0032625C"/>
    <w:rsid w:val="00330834"/>
    <w:rsid w:val="003332A8"/>
    <w:rsid w:val="003347CE"/>
    <w:rsid w:val="00343DE7"/>
    <w:rsid w:val="003448F4"/>
    <w:rsid w:val="0035626D"/>
    <w:rsid w:val="00374F5E"/>
    <w:rsid w:val="003769E1"/>
    <w:rsid w:val="00377E3E"/>
    <w:rsid w:val="00381BAB"/>
    <w:rsid w:val="00396CBE"/>
    <w:rsid w:val="003A1366"/>
    <w:rsid w:val="003A237D"/>
    <w:rsid w:val="003A779E"/>
    <w:rsid w:val="003B0DFC"/>
    <w:rsid w:val="003B31AB"/>
    <w:rsid w:val="003C0ED7"/>
    <w:rsid w:val="003C1254"/>
    <w:rsid w:val="003C553A"/>
    <w:rsid w:val="003D0D9C"/>
    <w:rsid w:val="003D0F4D"/>
    <w:rsid w:val="003D494E"/>
    <w:rsid w:val="003D54FF"/>
    <w:rsid w:val="003D5937"/>
    <w:rsid w:val="003D5B0D"/>
    <w:rsid w:val="003E0499"/>
    <w:rsid w:val="003E29A0"/>
    <w:rsid w:val="003E4950"/>
    <w:rsid w:val="003E4F80"/>
    <w:rsid w:val="003E6439"/>
    <w:rsid w:val="003F0D94"/>
    <w:rsid w:val="003F18C5"/>
    <w:rsid w:val="003F1FD8"/>
    <w:rsid w:val="003F28C6"/>
    <w:rsid w:val="003F3941"/>
    <w:rsid w:val="00403AEF"/>
    <w:rsid w:val="00403EFA"/>
    <w:rsid w:val="00406575"/>
    <w:rsid w:val="004140B3"/>
    <w:rsid w:val="00414C74"/>
    <w:rsid w:val="004174F1"/>
    <w:rsid w:val="00420334"/>
    <w:rsid w:val="004242C8"/>
    <w:rsid w:val="0042722E"/>
    <w:rsid w:val="00427632"/>
    <w:rsid w:val="004314E4"/>
    <w:rsid w:val="00431A27"/>
    <w:rsid w:val="00442F68"/>
    <w:rsid w:val="0044528D"/>
    <w:rsid w:val="00445D98"/>
    <w:rsid w:val="0044779E"/>
    <w:rsid w:val="00451137"/>
    <w:rsid w:val="0045269B"/>
    <w:rsid w:val="004555EA"/>
    <w:rsid w:val="0045785F"/>
    <w:rsid w:val="00462E65"/>
    <w:rsid w:val="00466E39"/>
    <w:rsid w:val="00466FBE"/>
    <w:rsid w:val="004779E9"/>
    <w:rsid w:val="00484100"/>
    <w:rsid w:val="00484E40"/>
    <w:rsid w:val="0048787A"/>
    <w:rsid w:val="00492C4A"/>
    <w:rsid w:val="00494F04"/>
    <w:rsid w:val="00495B2F"/>
    <w:rsid w:val="00495B94"/>
    <w:rsid w:val="004A0A0B"/>
    <w:rsid w:val="004A0E5C"/>
    <w:rsid w:val="004A1847"/>
    <w:rsid w:val="004A305D"/>
    <w:rsid w:val="004A77A6"/>
    <w:rsid w:val="004B3DAC"/>
    <w:rsid w:val="004B73B9"/>
    <w:rsid w:val="004C0DBB"/>
    <w:rsid w:val="004D2B6F"/>
    <w:rsid w:val="004D5FE1"/>
    <w:rsid w:val="004D6783"/>
    <w:rsid w:val="004D7DDA"/>
    <w:rsid w:val="004E2180"/>
    <w:rsid w:val="004E2B92"/>
    <w:rsid w:val="004F095F"/>
    <w:rsid w:val="004F21C4"/>
    <w:rsid w:val="004F685F"/>
    <w:rsid w:val="005000A1"/>
    <w:rsid w:val="005004E8"/>
    <w:rsid w:val="005010DD"/>
    <w:rsid w:val="00502670"/>
    <w:rsid w:val="00511182"/>
    <w:rsid w:val="00511191"/>
    <w:rsid w:val="005136A0"/>
    <w:rsid w:val="00513BF7"/>
    <w:rsid w:val="00515153"/>
    <w:rsid w:val="00516AC5"/>
    <w:rsid w:val="00517955"/>
    <w:rsid w:val="005229DB"/>
    <w:rsid w:val="00534886"/>
    <w:rsid w:val="00536A0E"/>
    <w:rsid w:val="0055262A"/>
    <w:rsid w:val="00552637"/>
    <w:rsid w:val="00553040"/>
    <w:rsid w:val="005566E8"/>
    <w:rsid w:val="00560385"/>
    <w:rsid w:val="00560892"/>
    <w:rsid w:val="005655AF"/>
    <w:rsid w:val="005678BE"/>
    <w:rsid w:val="00570B00"/>
    <w:rsid w:val="00572622"/>
    <w:rsid w:val="00573280"/>
    <w:rsid w:val="00574867"/>
    <w:rsid w:val="00582C1A"/>
    <w:rsid w:val="0058663F"/>
    <w:rsid w:val="00586E4D"/>
    <w:rsid w:val="0058772E"/>
    <w:rsid w:val="00587D96"/>
    <w:rsid w:val="00591460"/>
    <w:rsid w:val="00592C94"/>
    <w:rsid w:val="005A2627"/>
    <w:rsid w:val="005A2CAB"/>
    <w:rsid w:val="005A442F"/>
    <w:rsid w:val="005A52A7"/>
    <w:rsid w:val="005A65E0"/>
    <w:rsid w:val="005B482A"/>
    <w:rsid w:val="005B7EBF"/>
    <w:rsid w:val="005C0881"/>
    <w:rsid w:val="005C3777"/>
    <w:rsid w:val="005C531B"/>
    <w:rsid w:val="005C5CDC"/>
    <w:rsid w:val="005D2566"/>
    <w:rsid w:val="005D476C"/>
    <w:rsid w:val="005D55D7"/>
    <w:rsid w:val="005D5B89"/>
    <w:rsid w:val="005D61A0"/>
    <w:rsid w:val="005E08FE"/>
    <w:rsid w:val="005E1D66"/>
    <w:rsid w:val="005E55A7"/>
    <w:rsid w:val="005F20A4"/>
    <w:rsid w:val="00600D92"/>
    <w:rsid w:val="00603C5B"/>
    <w:rsid w:val="00611CE6"/>
    <w:rsid w:val="006137E1"/>
    <w:rsid w:val="00616733"/>
    <w:rsid w:val="00617200"/>
    <w:rsid w:val="00617E91"/>
    <w:rsid w:val="006200BF"/>
    <w:rsid w:val="006205E9"/>
    <w:rsid w:val="0062143E"/>
    <w:rsid w:val="006219F8"/>
    <w:rsid w:val="0062315A"/>
    <w:rsid w:val="00624A89"/>
    <w:rsid w:val="00624EEC"/>
    <w:rsid w:val="006302F7"/>
    <w:rsid w:val="00631EF1"/>
    <w:rsid w:val="0063226B"/>
    <w:rsid w:val="0063737C"/>
    <w:rsid w:val="00646B9F"/>
    <w:rsid w:val="00646F24"/>
    <w:rsid w:val="006547C3"/>
    <w:rsid w:val="00660C46"/>
    <w:rsid w:val="00660CCF"/>
    <w:rsid w:val="0066364E"/>
    <w:rsid w:val="00663A04"/>
    <w:rsid w:val="00665D70"/>
    <w:rsid w:val="00672188"/>
    <w:rsid w:val="00676743"/>
    <w:rsid w:val="00683001"/>
    <w:rsid w:val="00684F67"/>
    <w:rsid w:val="00685D6C"/>
    <w:rsid w:val="0068758B"/>
    <w:rsid w:val="006900D9"/>
    <w:rsid w:val="0069741A"/>
    <w:rsid w:val="00697423"/>
    <w:rsid w:val="006A2A36"/>
    <w:rsid w:val="006A2BE4"/>
    <w:rsid w:val="006B320E"/>
    <w:rsid w:val="006B3EF3"/>
    <w:rsid w:val="006B4566"/>
    <w:rsid w:val="006B4707"/>
    <w:rsid w:val="006D0F23"/>
    <w:rsid w:val="006D13BA"/>
    <w:rsid w:val="006D4140"/>
    <w:rsid w:val="006D591D"/>
    <w:rsid w:val="006D64EE"/>
    <w:rsid w:val="006E545F"/>
    <w:rsid w:val="006E7A71"/>
    <w:rsid w:val="006F07FB"/>
    <w:rsid w:val="006F2238"/>
    <w:rsid w:val="006F234B"/>
    <w:rsid w:val="006F4199"/>
    <w:rsid w:val="006F497B"/>
    <w:rsid w:val="007009D7"/>
    <w:rsid w:val="0070101F"/>
    <w:rsid w:val="007025D7"/>
    <w:rsid w:val="00703A14"/>
    <w:rsid w:val="00706C16"/>
    <w:rsid w:val="007074DE"/>
    <w:rsid w:val="007102A1"/>
    <w:rsid w:val="00710B6A"/>
    <w:rsid w:val="007110E4"/>
    <w:rsid w:val="00713AFC"/>
    <w:rsid w:val="00713D5F"/>
    <w:rsid w:val="0071557C"/>
    <w:rsid w:val="00720171"/>
    <w:rsid w:val="007279E3"/>
    <w:rsid w:val="00731F30"/>
    <w:rsid w:val="007340C3"/>
    <w:rsid w:val="00735081"/>
    <w:rsid w:val="0073510E"/>
    <w:rsid w:val="00737675"/>
    <w:rsid w:val="007444C1"/>
    <w:rsid w:val="007458D3"/>
    <w:rsid w:val="0075235A"/>
    <w:rsid w:val="0075248F"/>
    <w:rsid w:val="00752CDB"/>
    <w:rsid w:val="0075557D"/>
    <w:rsid w:val="00756841"/>
    <w:rsid w:val="00763703"/>
    <w:rsid w:val="007649AB"/>
    <w:rsid w:val="00770C32"/>
    <w:rsid w:val="00771AEF"/>
    <w:rsid w:val="00771D0C"/>
    <w:rsid w:val="00780533"/>
    <w:rsid w:val="00781BF3"/>
    <w:rsid w:val="00782ED2"/>
    <w:rsid w:val="007833AC"/>
    <w:rsid w:val="00793B78"/>
    <w:rsid w:val="00795086"/>
    <w:rsid w:val="007A037B"/>
    <w:rsid w:val="007A0D6B"/>
    <w:rsid w:val="007A1830"/>
    <w:rsid w:val="007A31DE"/>
    <w:rsid w:val="007A3FF4"/>
    <w:rsid w:val="007A606F"/>
    <w:rsid w:val="007B268C"/>
    <w:rsid w:val="007B5A84"/>
    <w:rsid w:val="007B7171"/>
    <w:rsid w:val="007C0C0F"/>
    <w:rsid w:val="007C216A"/>
    <w:rsid w:val="007C3DC2"/>
    <w:rsid w:val="007C3E65"/>
    <w:rsid w:val="007C4353"/>
    <w:rsid w:val="007C4DB2"/>
    <w:rsid w:val="007C51DA"/>
    <w:rsid w:val="007D3058"/>
    <w:rsid w:val="007D4B12"/>
    <w:rsid w:val="007D5866"/>
    <w:rsid w:val="007D74E8"/>
    <w:rsid w:val="007E0DBC"/>
    <w:rsid w:val="007E43AC"/>
    <w:rsid w:val="007E5497"/>
    <w:rsid w:val="007F3A7E"/>
    <w:rsid w:val="007F4FA5"/>
    <w:rsid w:val="00803066"/>
    <w:rsid w:val="00803584"/>
    <w:rsid w:val="00804DAC"/>
    <w:rsid w:val="0080620E"/>
    <w:rsid w:val="00806F5F"/>
    <w:rsid w:val="008103F6"/>
    <w:rsid w:val="008152AC"/>
    <w:rsid w:val="00820278"/>
    <w:rsid w:val="008258C9"/>
    <w:rsid w:val="00825DDB"/>
    <w:rsid w:val="00830893"/>
    <w:rsid w:val="008322D0"/>
    <w:rsid w:val="00833286"/>
    <w:rsid w:val="00834708"/>
    <w:rsid w:val="00836232"/>
    <w:rsid w:val="00837A57"/>
    <w:rsid w:val="00841E29"/>
    <w:rsid w:val="00844AE9"/>
    <w:rsid w:val="0084736F"/>
    <w:rsid w:val="0085545E"/>
    <w:rsid w:val="00855F89"/>
    <w:rsid w:val="00856174"/>
    <w:rsid w:val="00857015"/>
    <w:rsid w:val="008617E9"/>
    <w:rsid w:val="0086364D"/>
    <w:rsid w:val="00867F95"/>
    <w:rsid w:val="00870EAF"/>
    <w:rsid w:val="00871AAC"/>
    <w:rsid w:val="00873F13"/>
    <w:rsid w:val="008843B6"/>
    <w:rsid w:val="00886410"/>
    <w:rsid w:val="008902AD"/>
    <w:rsid w:val="008914BF"/>
    <w:rsid w:val="00891928"/>
    <w:rsid w:val="00897878"/>
    <w:rsid w:val="008A446D"/>
    <w:rsid w:val="008A518C"/>
    <w:rsid w:val="008B0D0F"/>
    <w:rsid w:val="008B115C"/>
    <w:rsid w:val="008B186A"/>
    <w:rsid w:val="008B25F1"/>
    <w:rsid w:val="008C11FD"/>
    <w:rsid w:val="008C1A4D"/>
    <w:rsid w:val="008C2316"/>
    <w:rsid w:val="008C4DD5"/>
    <w:rsid w:val="008C517A"/>
    <w:rsid w:val="008C6AE5"/>
    <w:rsid w:val="008D1660"/>
    <w:rsid w:val="008D180B"/>
    <w:rsid w:val="008D4937"/>
    <w:rsid w:val="008D4EFD"/>
    <w:rsid w:val="008D5159"/>
    <w:rsid w:val="008E54D0"/>
    <w:rsid w:val="008F0EA7"/>
    <w:rsid w:val="008F17DC"/>
    <w:rsid w:val="008F18B7"/>
    <w:rsid w:val="008F27BF"/>
    <w:rsid w:val="008F4334"/>
    <w:rsid w:val="008F553F"/>
    <w:rsid w:val="008F6705"/>
    <w:rsid w:val="00901213"/>
    <w:rsid w:val="009037F6"/>
    <w:rsid w:val="00904C67"/>
    <w:rsid w:val="009050C5"/>
    <w:rsid w:val="0091143C"/>
    <w:rsid w:val="00920817"/>
    <w:rsid w:val="00921358"/>
    <w:rsid w:val="00923EEF"/>
    <w:rsid w:val="0093233A"/>
    <w:rsid w:val="00933773"/>
    <w:rsid w:val="00933E3F"/>
    <w:rsid w:val="00940299"/>
    <w:rsid w:val="009419F9"/>
    <w:rsid w:val="00951036"/>
    <w:rsid w:val="0095685E"/>
    <w:rsid w:val="00960AB1"/>
    <w:rsid w:val="00961B09"/>
    <w:rsid w:val="00962446"/>
    <w:rsid w:val="00963E12"/>
    <w:rsid w:val="00964321"/>
    <w:rsid w:val="009647CA"/>
    <w:rsid w:val="00965334"/>
    <w:rsid w:val="0096699C"/>
    <w:rsid w:val="0097093E"/>
    <w:rsid w:val="009722DE"/>
    <w:rsid w:val="00984A71"/>
    <w:rsid w:val="00984DB3"/>
    <w:rsid w:val="00986F0A"/>
    <w:rsid w:val="00992E19"/>
    <w:rsid w:val="009966A1"/>
    <w:rsid w:val="009A0486"/>
    <w:rsid w:val="009A0DFA"/>
    <w:rsid w:val="009B28B9"/>
    <w:rsid w:val="009B2D26"/>
    <w:rsid w:val="009B43BD"/>
    <w:rsid w:val="009C4C8D"/>
    <w:rsid w:val="009C517D"/>
    <w:rsid w:val="009C71FA"/>
    <w:rsid w:val="009C72E7"/>
    <w:rsid w:val="009C7F7E"/>
    <w:rsid w:val="009D23F2"/>
    <w:rsid w:val="009D3058"/>
    <w:rsid w:val="009D6645"/>
    <w:rsid w:val="009E1F28"/>
    <w:rsid w:val="009E6894"/>
    <w:rsid w:val="009E6924"/>
    <w:rsid w:val="009E7AED"/>
    <w:rsid w:val="009E7EA9"/>
    <w:rsid w:val="009F007C"/>
    <w:rsid w:val="009F0A87"/>
    <w:rsid w:val="009F2041"/>
    <w:rsid w:val="009F3A13"/>
    <w:rsid w:val="009F4B67"/>
    <w:rsid w:val="009F5C2C"/>
    <w:rsid w:val="009F7A6E"/>
    <w:rsid w:val="00A0334B"/>
    <w:rsid w:val="00A0526C"/>
    <w:rsid w:val="00A122D3"/>
    <w:rsid w:val="00A14468"/>
    <w:rsid w:val="00A17F13"/>
    <w:rsid w:val="00A20739"/>
    <w:rsid w:val="00A210B8"/>
    <w:rsid w:val="00A23AF9"/>
    <w:rsid w:val="00A302EB"/>
    <w:rsid w:val="00A30AAD"/>
    <w:rsid w:val="00A31A76"/>
    <w:rsid w:val="00A324CF"/>
    <w:rsid w:val="00A33C78"/>
    <w:rsid w:val="00A378C5"/>
    <w:rsid w:val="00A41154"/>
    <w:rsid w:val="00A41649"/>
    <w:rsid w:val="00A42330"/>
    <w:rsid w:val="00A53338"/>
    <w:rsid w:val="00A53D47"/>
    <w:rsid w:val="00A56863"/>
    <w:rsid w:val="00A66C56"/>
    <w:rsid w:val="00A701AB"/>
    <w:rsid w:val="00A72869"/>
    <w:rsid w:val="00A73F45"/>
    <w:rsid w:val="00A84D8D"/>
    <w:rsid w:val="00A86CD9"/>
    <w:rsid w:val="00A933F4"/>
    <w:rsid w:val="00A93DEF"/>
    <w:rsid w:val="00AA1E47"/>
    <w:rsid w:val="00AA5110"/>
    <w:rsid w:val="00AA751C"/>
    <w:rsid w:val="00AB0ADB"/>
    <w:rsid w:val="00AB0DB9"/>
    <w:rsid w:val="00AB436E"/>
    <w:rsid w:val="00AB70B0"/>
    <w:rsid w:val="00AD173A"/>
    <w:rsid w:val="00AD27D3"/>
    <w:rsid w:val="00AD2F97"/>
    <w:rsid w:val="00AD7D5F"/>
    <w:rsid w:val="00AE1F6E"/>
    <w:rsid w:val="00AE3513"/>
    <w:rsid w:val="00AE5DD2"/>
    <w:rsid w:val="00AE5FC4"/>
    <w:rsid w:val="00AF1348"/>
    <w:rsid w:val="00AF5A10"/>
    <w:rsid w:val="00AF7207"/>
    <w:rsid w:val="00AF734B"/>
    <w:rsid w:val="00AF7B1D"/>
    <w:rsid w:val="00AF7E47"/>
    <w:rsid w:val="00B00C0E"/>
    <w:rsid w:val="00B01B1A"/>
    <w:rsid w:val="00B04DA1"/>
    <w:rsid w:val="00B11075"/>
    <w:rsid w:val="00B1349A"/>
    <w:rsid w:val="00B202CD"/>
    <w:rsid w:val="00B23199"/>
    <w:rsid w:val="00B233EE"/>
    <w:rsid w:val="00B234CF"/>
    <w:rsid w:val="00B238E5"/>
    <w:rsid w:val="00B32C2D"/>
    <w:rsid w:val="00B33917"/>
    <w:rsid w:val="00B358CD"/>
    <w:rsid w:val="00B3644E"/>
    <w:rsid w:val="00B36698"/>
    <w:rsid w:val="00B37EB5"/>
    <w:rsid w:val="00B43658"/>
    <w:rsid w:val="00B44A47"/>
    <w:rsid w:val="00B44E34"/>
    <w:rsid w:val="00B44EF5"/>
    <w:rsid w:val="00B533BA"/>
    <w:rsid w:val="00B54271"/>
    <w:rsid w:val="00B5550F"/>
    <w:rsid w:val="00B56A37"/>
    <w:rsid w:val="00B6149C"/>
    <w:rsid w:val="00B633F2"/>
    <w:rsid w:val="00B64484"/>
    <w:rsid w:val="00B65164"/>
    <w:rsid w:val="00B65A45"/>
    <w:rsid w:val="00B66E24"/>
    <w:rsid w:val="00B71FD5"/>
    <w:rsid w:val="00B72CD3"/>
    <w:rsid w:val="00B72FFF"/>
    <w:rsid w:val="00B73096"/>
    <w:rsid w:val="00B74092"/>
    <w:rsid w:val="00B77F34"/>
    <w:rsid w:val="00B95DAC"/>
    <w:rsid w:val="00BA2EB9"/>
    <w:rsid w:val="00BA6B60"/>
    <w:rsid w:val="00BA703D"/>
    <w:rsid w:val="00BB163A"/>
    <w:rsid w:val="00BB6821"/>
    <w:rsid w:val="00BB734C"/>
    <w:rsid w:val="00BC3D36"/>
    <w:rsid w:val="00BC5D42"/>
    <w:rsid w:val="00BC70CB"/>
    <w:rsid w:val="00BD13AC"/>
    <w:rsid w:val="00BD54A6"/>
    <w:rsid w:val="00BD7F72"/>
    <w:rsid w:val="00BE2ABC"/>
    <w:rsid w:val="00BE4AA0"/>
    <w:rsid w:val="00BE5004"/>
    <w:rsid w:val="00BE62A4"/>
    <w:rsid w:val="00BF00CB"/>
    <w:rsid w:val="00BF056C"/>
    <w:rsid w:val="00BF2217"/>
    <w:rsid w:val="00BF36C1"/>
    <w:rsid w:val="00BF3B66"/>
    <w:rsid w:val="00BF5C08"/>
    <w:rsid w:val="00BF65DD"/>
    <w:rsid w:val="00BF7425"/>
    <w:rsid w:val="00C04FB3"/>
    <w:rsid w:val="00C11D8B"/>
    <w:rsid w:val="00C12C3E"/>
    <w:rsid w:val="00C134D9"/>
    <w:rsid w:val="00C150FC"/>
    <w:rsid w:val="00C161F1"/>
    <w:rsid w:val="00C173F5"/>
    <w:rsid w:val="00C251B0"/>
    <w:rsid w:val="00C330EB"/>
    <w:rsid w:val="00C33DD4"/>
    <w:rsid w:val="00C35DE5"/>
    <w:rsid w:val="00C419DF"/>
    <w:rsid w:val="00C5078E"/>
    <w:rsid w:val="00C5085A"/>
    <w:rsid w:val="00C50D69"/>
    <w:rsid w:val="00C5365C"/>
    <w:rsid w:val="00C57972"/>
    <w:rsid w:val="00C619D4"/>
    <w:rsid w:val="00C61D93"/>
    <w:rsid w:val="00C70BA7"/>
    <w:rsid w:val="00C75039"/>
    <w:rsid w:val="00C754BE"/>
    <w:rsid w:val="00C76B1C"/>
    <w:rsid w:val="00C8198C"/>
    <w:rsid w:val="00C82374"/>
    <w:rsid w:val="00C82667"/>
    <w:rsid w:val="00C90C96"/>
    <w:rsid w:val="00C925AC"/>
    <w:rsid w:val="00C92D05"/>
    <w:rsid w:val="00C94828"/>
    <w:rsid w:val="00C963BE"/>
    <w:rsid w:val="00C96B64"/>
    <w:rsid w:val="00CA2858"/>
    <w:rsid w:val="00CA2B06"/>
    <w:rsid w:val="00CB02F1"/>
    <w:rsid w:val="00CB6357"/>
    <w:rsid w:val="00CB72F3"/>
    <w:rsid w:val="00CC0BAB"/>
    <w:rsid w:val="00CC1B26"/>
    <w:rsid w:val="00CD4C85"/>
    <w:rsid w:val="00CE2588"/>
    <w:rsid w:val="00CE3C1C"/>
    <w:rsid w:val="00CE4026"/>
    <w:rsid w:val="00CE649C"/>
    <w:rsid w:val="00CF0202"/>
    <w:rsid w:val="00CF1F95"/>
    <w:rsid w:val="00CF3E87"/>
    <w:rsid w:val="00D020BC"/>
    <w:rsid w:val="00D06146"/>
    <w:rsid w:val="00D0699E"/>
    <w:rsid w:val="00D1210B"/>
    <w:rsid w:val="00D15061"/>
    <w:rsid w:val="00D22D2B"/>
    <w:rsid w:val="00D25380"/>
    <w:rsid w:val="00D334DD"/>
    <w:rsid w:val="00D34EA3"/>
    <w:rsid w:val="00D361FD"/>
    <w:rsid w:val="00D423A2"/>
    <w:rsid w:val="00D44E26"/>
    <w:rsid w:val="00D50884"/>
    <w:rsid w:val="00D51A5D"/>
    <w:rsid w:val="00D520D8"/>
    <w:rsid w:val="00D532D4"/>
    <w:rsid w:val="00D5360A"/>
    <w:rsid w:val="00D55590"/>
    <w:rsid w:val="00D56F8A"/>
    <w:rsid w:val="00D570B0"/>
    <w:rsid w:val="00D60825"/>
    <w:rsid w:val="00D625B2"/>
    <w:rsid w:val="00D6267C"/>
    <w:rsid w:val="00D62B9C"/>
    <w:rsid w:val="00D63395"/>
    <w:rsid w:val="00D63AC2"/>
    <w:rsid w:val="00D64111"/>
    <w:rsid w:val="00D64AFC"/>
    <w:rsid w:val="00D7383B"/>
    <w:rsid w:val="00D73DBD"/>
    <w:rsid w:val="00D7489F"/>
    <w:rsid w:val="00D7541C"/>
    <w:rsid w:val="00D7678A"/>
    <w:rsid w:val="00D7788A"/>
    <w:rsid w:val="00D85F06"/>
    <w:rsid w:val="00D91954"/>
    <w:rsid w:val="00D936A2"/>
    <w:rsid w:val="00DA231B"/>
    <w:rsid w:val="00DA7C5A"/>
    <w:rsid w:val="00DB13F4"/>
    <w:rsid w:val="00DB3F21"/>
    <w:rsid w:val="00DB55DA"/>
    <w:rsid w:val="00DB7D16"/>
    <w:rsid w:val="00DC39FC"/>
    <w:rsid w:val="00DC724C"/>
    <w:rsid w:val="00DC7CCB"/>
    <w:rsid w:val="00DD2923"/>
    <w:rsid w:val="00DD4B25"/>
    <w:rsid w:val="00DD7EC7"/>
    <w:rsid w:val="00DE30E5"/>
    <w:rsid w:val="00DE39BF"/>
    <w:rsid w:val="00DE6EC3"/>
    <w:rsid w:val="00DF3911"/>
    <w:rsid w:val="00DF4F7E"/>
    <w:rsid w:val="00DF5254"/>
    <w:rsid w:val="00E02524"/>
    <w:rsid w:val="00E02B1A"/>
    <w:rsid w:val="00E0335E"/>
    <w:rsid w:val="00E1159D"/>
    <w:rsid w:val="00E118AA"/>
    <w:rsid w:val="00E1451E"/>
    <w:rsid w:val="00E16408"/>
    <w:rsid w:val="00E20894"/>
    <w:rsid w:val="00E21BBE"/>
    <w:rsid w:val="00E245AB"/>
    <w:rsid w:val="00E25EB4"/>
    <w:rsid w:val="00E27341"/>
    <w:rsid w:val="00E27374"/>
    <w:rsid w:val="00E2764C"/>
    <w:rsid w:val="00E27F2E"/>
    <w:rsid w:val="00E30041"/>
    <w:rsid w:val="00E30231"/>
    <w:rsid w:val="00E31225"/>
    <w:rsid w:val="00E31898"/>
    <w:rsid w:val="00E37A41"/>
    <w:rsid w:val="00E4341D"/>
    <w:rsid w:val="00E43773"/>
    <w:rsid w:val="00E45C25"/>
    <w:rsid w:val="00E469B7"/>
    <w:rsid w:val="00E478E6"/>
    <w:rsid w:val="00E501E7"/>
    <w:rsid w:val="00E50AFE"/>
    <w:rsid w:val="00E53B74"/>
    <w:rsid w:val="00E565B9"/>
    <w:rsid w:val="00E577E2"/>
    <w:rsid w:val="00E60573"/>
    <w:rsid w:val="00E615C4"/>
    <w:rsid w:val="00E61D9B"/>
    <w:rsid w:val="00E64004"/>
    <w:rsid w:val="00E67743"/>
    <w:rsid w:val="00E67ABA"/>
    <w:rsid w:val="00E7032F"/>
    <w:rsid w:val="00E71E1B"/>
    <w:rsid w:val="00E72F52"/>
    <w:rsid w:val="00E75C92"/>
    <w:rsid w:val="00E76FEE"/>
    <w:rsid w:val="00E771DC"/>
    <w:rsid w:val="00E8772A"/>
    <w:rsid w:val="00E90F6B"/>
    <w:rsid w:val="00E91AED"/>
    <w:rsid w:val="00E92C27"/>
    <w:rsid w:val="00E96B5C"/>
    <w:rsid w:val="00EA000E"/>
    <w:rsid w:val="00EA0229"/>
    <w:rsid w:val="00EA0E3D"/>
    <w:rsid w:val="00EA2D10"/>
    <w:rsid w:val="00EA2DC0"/>
    <w:rsid w:val="00EA426C"/>
    <w:rsid w:val="00EA6D0E"/>
    <w:rsid w:val="00EB224C"/>
    <w:rsid w:val="00EB4106"/>
    <w:rsid w:val="00EB79CE"/>
    <w:rsid w:val="00EC006D"/>
    <w:rsid w:val="00EC2898"/>
    <w:rsid w:val="00EC297F"/>
    <w:rsid w:val="00EC38A7"/>
    <w:rsid w:val="00EC5051"/>
    <w:rsid w:val="00EC7744"/>
    <w:rsid w:val="00ED316B"/>
    <w:rsid w:val="00ED4980"/>
    <w:rsid w:val="00EE1AA8"/>
    <w:rsid w:val="00EE265D"/>
    <w:rsid w:val="00EE3D99"/>
    <w:rsid w:val="00EF1D4F"/>
    <w:rsid w:val="00EF5E13"/>
    <w:rsid w:val="00EF647F"/>
    <w:rsid w:val="00F010DA"/>
    <w:rsid w:val="00F03314"/>
    <w:rsid w:val="00F04EBD"/>
    <w:rsid w:val="00F0580C"/>
    <w:rsid w:val="00F10829"/>
    <w:rsid w:val="00F133ED"/>
    <w:rsid w:val="00F218D2"/>
    <w:rsid w:val="00F23FEA"/>
    <w:rsid w:val="00F27B7B"/>
    <w:rsid w:val="00F31EDC"/>
    <w:rsid w:val="00F34294"/>
    <w:rsid w:val="00F37CEB"/>
    <w:rsid w:val="00F462B3"/>
    <w:rsid w:val="00F55AB5"/>
    <w:rsid w:val="00F5664F"/>
    <w:rsid w:val="00F575AE"/>
    <w:rsid w:val="00F57EF0"/>
    <w:rsid w:val="00F62215"/>
    <w:rsid w:val="00F63A05"/>
    <w:rsid w:val="00F66346"/>
    <w:rsid w:val="00F666C4"/>
    <w:rsid w:val="00F7428D"/>
    <w:rsid w:val="00F76AFC"/>
    <w:rsid w:val="00F81BF0"/>
    <w:rsid w:val="00F82E88"/>
    <w:rsid w:val="00F841CB"/>
    <w:rsid w:val="00F86E11"/>
    <w:rsid w:val="00F86E3E"/>
    <w:rsid w:val="00F8773B"/>
    <w:rsid w:val="00F91A81"/>
    <w:rsid w:val="00F95C74"/>
    <w:rsid w:val="00FA0AE1"/>
    <w:rsid w:val="00FA47C0"/>
    <w:rsid w:val="00FA4D47"/>
    <w:rsid w:val="00FA5FFD"/>
    <w:rsid w:val="00FA6C37"/>
    <w:rsid w:val="00FA756F"/>
    <w:rsid w:val="00FB5DD1"/>
    <w:rsid w:val="00FC2B5D"/>
    <w:rsid w:val="00FC469F"/>
    <w:rsid w:val="00FD1DDC"/>
    <w:rsid w:val="00FD3AD2"/>
    <w:rsid w:val="00FD6D38"/>
    <w:rsid w:val="00FE5289"/>
    <w:rsid w:val="00FF1449"/>
    <w:rsid w:val="00FF227D"/>
    <w:rsid w:val="00FF2B86"/>
    <w:rsid w:val="00FF72B0"/>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743"/>
  </w:style>
  <w:style w:type="paragraph" w:styleId="Ttulo2">
    <w:name w:val="heading 2"/>
    <w:basedOn w:val="Normal"/>
    <w:next w:val="Normal"/>
    <w:link w:val="Ttulo2Car"/>
    <w:uiPriority w:val="9"/>
    <w:semiHidden/>
    <w:unhideWhenUsed/>
    <w:qFormat/>
    <w:rsid w:val="003C55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322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Fuerte">
    <w:name w:val="Strong"/>
    <w:basedOn w:val="Fuentedeprrafopredeter"/>
    <w:uiPriority w:val="22"/>
    <w:qFormat/>
    <w:rsid w:val="00F575AE"/>
    <w:rPr>
      <w:b/>
      <w:bCs/>
    </w:rPr>
  </w:style>
  <w:style w:type="character" w:customStyle="1" w:styleId="NormalWebCar">
    <w:name w:val="Normal (Web) Car"/>
    <w:link w:val="NormalWeb"/>
    <w:uiPriority w:val="99"/>
    <w:locked/>
    <w:rsid w:val="00F575AE"/>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F575AE"/>
    <w:rPr>
      <w:i/>
      <w:iCs/>
    </w:rPr>
  </w:style>
  <w:style w:type="character" w:customStyle="1" w:styleId="Ttulo2Car">
    <w:name w:val="Título 2 Car"/>
    <w:basedOn w:val="Fuentedeprrafopredeter"/>
    <w:link w:val="Ttulo2"/>
    <w:uiPriority w:val="9"/>
    <w:semiHidden/>
    <w:rsid w:val="003C553A"/>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713AFC"/>
    <w:rPr>
      <w:color w:val="605E5C"/>
      <w:shd w:val="clear" w:color="auto" w:fill="E1DFDD"/>
    </w:rPr>
  </w:style>
  <w:style w:type="character" w:customStyle="1" w:styleId="Ttulo3Car">
    <w:name w:val="Título 3 Car"/>
    <w:basedOn w:val="Fuentedeprrafopredeter"/>
    <w:link w:val="Ttulo3"/>
    <w:uiPriority w:val="9"/>
    <w:semiHidden/>
    <w:rsid w:val="008322D0"/>
    <w:rPr>
      <w:rFonts w:asciiTheme="majorHAnsi" w:eastAsiaTheme="majorEastAsia" w:hAnsiTheme="majorHAnsi" w:cstheme="majorBidi"/>
      <w:color w:val="1F3763" w:themeColor="accent1" w:themeShade="7F"/>
      <w:sz w:val="24"/>
      <w:szCs w:val="24"/>
    </w:rPr>
  </w:style>
  <w:style w:type="paragraph" w:styleId="Sinespaciado">
    <w:name w:val="No Spacing"/>
    <w:uiPriority w:val="1"/>
    <w:qFormat/>
    <w:rsid w:val="00A56863"/>
    <w:pPr>
      <w:spacing w:after="0" w:line="240" w:lineRule="auto"/>
    </w:pPr>
    <w:rPr>
      <w:sz w:val="24"/>
      <w:szCs w:val="24"/>
      <w:lang w:val="es-ES_tradnl"/>
    </w:rPr>
  </w:style>
  <w:style w:type="character" w:styleId="Refdecomentario">
    <w:name w:val="annotation reference"/>
    <w:basedOn w:val="Fuentedeprrafopredeter"/>
    <w:uiPriority w:val="99"/>
    <w:semiHidden/>
    <w:unhideWhenUsed/>
    <w:rsid w:val="00A56863"/>
    <w:rPr>
      <w:sz w:val="16"/>
      <w:szCs w:val="16"/>
    </w:rPr>
  </w:style>
  <w:style w:type="paragraph" w:styleId="Textocomentario">
    <w:name w:val="annotation text"/>
    <w:basedOn w:val="Normal"/>
    <w:link w:val="TextocomentarioCar"/>
    <w:uiPriority w:val="99"/>
    <w:unhideWhenUsed/>
    <w:rsid w:val="00A56863"/>
    <w:pPr>
      <w:spacing w:after="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A56863"/>
    <w:rPr>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normativa-y-relatoria/conoce-la-relatoria"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bogado.oscar.munoz@gmail.com"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sites/cce_public/files/cce_documents/cce_guia_liquidacion_proceso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D7AA2-1C8F-471C-8355-18073CB70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E8E21-5770-4F3E-B957-A333756C0F50}">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56</Pages>
  <Words>20145</Words>
  <Characters>110801</Characters>
  <Application>Microsoft Office Word</Application>
  <DocSecurity>0</DocSecurity>
  <Lines>923</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24</cp:revision>
  <cp:lastPrinted>2023-01-10T21:18:00Z</cp:lastPrinted>
  <dcterms:created xsi:type="dcterms:W3CDTF">2026-07-24T18:24:00Z</dcterms:created>
  <dcterms:modified xsi:type="dcterms:W3CDTF">2026-07-25T16:53:00Z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