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271535" w14:textId="77777777" w:rsidR="00495A4B" w:rsidRPr="00572E66" w:rsidRDefault="00495A4B" w:rsidP="00495A4B">
      <w:pPr>
        <w:spacing w:line="276" w:lineRule="auto"/>
        <w:jc w:val="both"/>
        <w:rPr>
          <w:rFonts w:ascii="Verdana" w:hAnsi="Verdana" w:cs="Arial"/>
          <w:b/>
          <w:bCs/>
          <w:color w:val="000000" w:themeColor="text1"/>
          <w:lang w:val="es-ES"/>
        </w:rPr>
      </w:pPr>
      <w:bookmarkStart w:id="0" w:name="_Hlk213674657"/>
      <w:bookmarkStart w:id="1" w:name="_Hlk143780582"/>
      <w:bookmarkEnd w:id="0"/>
      <w:r w:rsidRPr="00572E66">
        <w:rPr>
          <w:rFonts w:ascii="Verdana" w:hAnsi="Verdana" w:cs="Arial"/>
          <w:b/>
          <w:bCs/>
          <w:color w:val="000000" w:themeColor="text1"/>
          <w:lang w:val="es-ES"/>
        </w:rPr>
        <w:t xml:space="preserve">SUBSANABILIDAD – Aplicación – Regla general – Excepciones </w:t>
      </w:r>
    </w:p>
    <w:p w14:paraId="7C655B9B" w14:textId="77777777" w:rsidR="00495A4B" w:rsidRDefault="00495A4B" w:rsidP="00495A4B">
      <w:pPr>
        <w:spacing w:after="0" w:line="240" w:lineRule="auto"/>
        <w:jc w:val="both"/>
        <w:rPr>
          <w:rFonts w:ascii="Verdana" w:eastAsia="Times New Roman" w:hAnsi="Verdana" w:cs="Arial"/>
          <w:sz w:val="20"/>
          <w:szCs w:val="20"/>
          <w:lang w:val="es-ES" w:eastAsia="es-ES"/>
        </w:rPr>
      </w:pPr>
      <w:r w:rsidRPr="00EC0EEB">
        <w:rPr>
          <w:rFonts w:ascii="Verdana" w:hAnsi="Verdana" w:cs="Arial"/>
          <w:noProof/>
          <w:sz w:val="20"/>
          <w:szCs w:val="20"/>
          <w:lang w:val="es-ES"/>
        </w:rPr>
        <w:t>L</w:t>
      </w:r>
      <w:r w:rsidRPr="00EC0EEB">
        <w:rPr>
          <w:rFonts w:ascii="Verdana" w:eastAsia="Times New Roman" w:hAnsi="Verdana" w:cs="Arial"/>
          <w:sz w:val="20"/>
          <w:szCs w:val="20"/>
        </w:rPr>
        <w:t xml:space="preserve">a regla de la </w:t>
      </w:r>
      <w:proofErr w:type="spellStart"/>
      <w:r w:rsidRPr="00EC0EEB">
        <w:rPr>
          <w:rFonts w:ascii="Verdana" w:eastAsia="Times New Roman" w:hAnsi="Verdana" w:cs="Arial"/>
          <w:sz w:val="20"/>
          <w:szCs w:val="20"/>
        </w:rPr>
        <w:t>subsanabilidad</w:t>
      </w:r>
      <w:proofErr w:type="spellEnd"/>
      <w:r w:rsidRPr="00EC0EEB">
        <w:rPr>
          <w:rFonts w:ascii="Verdana" w:eastAsia="Times New Roman" w:hAnsi="Verdana" w:cs="Arial"/>
          <w:sz w:val="20"/>
          <w:szCs w:val="20"/>
        </w:rPr>
        <w:t xml:space="preserve"> de las ofertas en los procedimientos de selección</w:t>
      </w:r>
      <w:r w:rsidRPr="00EC0EEB">
        <w:rPr>
          <w:rFonts w:ascii="Verdana" w:eastAsia="Times New Roman" w:hAnsi="Verdana" w:cs="Arial"/>
          <w:b/>
          <w:bCs/>
          <w:sz w:val="20"/>
          <w:szCs w:val="20"/>
        </w:rPr>
        <w:t xml:space="preserve"> </w:t>
      </w:r>
      <w:r w:rsidRPr="00EC0EEB">
        <w:rPr>
          <w:rFonts w:ascii="Verdana" w:eastAsia="Times New Roman" w:hAnsi="Verdana" w:cs="Arial"/>
          <w:sz w:val="20"/>
          <w:szCs w:val="20"/>
          <w:lang w:val="es-ES" w:eastAsia="es-ES"/>
        </w:rPr>
        <w:t>indica que, por regla general, la falta de entrega y los defectos en la acreditación de los requisitos habilitantes son aspectos subsanables. La excepción corresponde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577842D7" w14:textId="77777777" w:rsidR="00495A4B" w:rsidRDefault="00495A4B" w:rsidP="00495A4B">
      <w:pPr>
        <w:spacing w:after="0" w:line="240" w:lineRule="auto"/>
        <w:jc w:val="both"/>
        <w:rPr>
          <w:rFonts w:ascii="Verdana" w:eastAsia="Times New Roman" w:hAnsi="Verdana" w:cs="Arial"/>
          <w:sz w:val="20"/>
          <w:szCs w:val="20"/>
          <w:lang w:val="es-ES" w:eastAsia="es-ES"/>
        </w:rPr>
      </w:pPr>
    </w:p>
    <w:p w14:paraId="3BA923EC" w14:textId="77777777" w:rsidR="00495A4B" w:rsidRDefault="00495A4B" w:rsidP="00495A4B">
      <w:pPr>
        <w:spacing w:after="0" w:line="240" w:lineRule="auto"/>
        <w:jc w:val="both"/>
        <w:rPr>
          <w:rFonts w:ascii="Verdana" w:hAnsi="Verdana" w:cs="Arial"/>
          <w:b/>
          <w:bCs/>
          <w:color w:val="000000" w:themeColor="text1"/>
          <w:lang w:val="es-ES"/>
        </w:rPr>
      </w:pPr>
      <w:r w:rsidRPr="00572E66">
        <w:rPr>
          <w:rFonts w:ascii="Verdana" w:hAnsi="Verdana" w:cs="Arial"/>
          <w:b/>
          <w:bCs/>
          <w:color w:val="000000" w:themeColor="text1"/>
          <w:lang w:val="es-ES"/>
        </w:rPr>
        <w:t>SUBSANABILIDAD – Ley 1882 de 2018</w:t>
      </w:r>
    </w:p>
    <w:p w14:paraId="62D3EB33" w14:textId="77777777" w:rsidR="00495A4B" w:rsidRDefault="00495A4B" w:rsidP="00495A4B">
      <w:pPr>
        <w:spacing w:after="0" w:line="240" w:lineRule="auto"/>
        <w:jc w:val="both"/>
        <w:rPr>
          <w:rFonts w:ascii="Verdana" w:hAnsi="Verdana" w:cs="Arial"/>
          <w:b/>
          <w:bCs/>
          <w:color w:val="000000" w:themeColor="text1"/>
          <w:lang w:val="es-ES"/>
        </w:rPr>
      </w:pPr>
    </w:p>
    <w:p w14:paraId="76F2F4E4" w14:textId="77777777" w:rsidR="00495A4B" w:rsidRPr="00EC0EEB" w:rsidRDefault="00495A4B" w:rsidP="00495A4B">
      <w:pPr>
        <w:spacing w:after="0" w:line="240" w:lineRule="auto"/>
        <w:jc w:val="both"/>
        <w:rPr>
          <w:rFonts w:ascii="Verdana" w:eastAsia="Times New Roman" w:hAnsi="Verdana" w:cs="Arial"/>
          <w:sz w:val="20"/>
          <w:szCs w:val="20"/>
          <w:lang w:val="es-ES" w:eastAsia="es-ES"/>
        </w:rPr>
      </w:pPr>
      <w:r w:rsidRPr="00EC0EEB">
        <w:rPr>
          <w:rFonts w:ascii="Verdana" w:eastAsia="Arial" w:hAnsi="Verdana" w:cs="Arial"/>
          <w:color w:val="000000"/>
          <w:sz w:val="20"/>
          <w:szCs w:val="20"/>
        </w:rPr>
        <w:t xml:space="preserve">[…] el legislador expidió la Ley 1882 de 2018, con la finalidad de introducir cambios y ajustes para fortalecer la contratación pública. […] esta norma: i) mantiene el criterio de la Ley 80 de 1993, relativo a que todo lo que no sea necesario para la comparación de propuestas no es título suficiente para su rechazo; </w:t>
      </w:r>
      <w:proofErr w:type="spellStart"/>
      <w:r w:rsidRPr="00EC0EEB">
        <w:rPr>
          <w:rFonts w:ascii="Verdana" w:eastAsia="Arial" w:hAnsi="Verdana" w:cs="Arial"/>
          <w:color w:val="000000"/>
          <w:sz w:val="20"/>
          <w:szCs w:val="20"/>
        </w:rPr>
        <w:t>ii</w:t>
      </w:r>
      <w:proofErr w:type="spellEnd"/>
      <w:r w:rsidRPr="00EC0EEB">
        <w:rPr>
          <w:rFonts w:ascii="Verdana" w:eastAsia="Arial" w:hAnsi="Verdana" w:cs="Arial"/>
          <w:color w:val="000000"/>
          <w:sz w:val="20"/>
          <w:szCs w:val="20"/>
        </w:rPr>
        <w:t xml:space="preserve">) mantiene el criterio aclaratorio de la Ley 1150 de 2007, según el cual todo lo que no afecte la asignación de puntaje puede subsanarse e </w:t>
      </w:r>
      <w:proofErr w:type="spellStart"/>
      <w:r w:rsidRPr="00EC0EEB">
        <w:rPr>
          <w:rFonts w:ascii="Verdana" w:eastAsia="Arial" w:hAnsi="Verdana" w:cs="Arial"/>
          <w:color w:val="000000"/>
          <w:sz w:val="20"/>
          <w:szCs w:val="20"/>
        </w:rPr>
        <w:t>iii</w:t>
      </w:r>
      <w:proofErr w:type="spellEnd"/>
      <w:r w:rsidRPr="00EC0EEB">
        <w:rPr>
          <w:rFonts w:ascii="Verdana" w:eastAsia="Arial" w:hAnsi="Verdana" w:cs="Arial"/>
          <w:color w:val="000000"/>
          <w:sz w:val="20"/>
          <w:szCs w:val="20"/>
        </w:rPr>
        <w:t xml:space="preserve">) introduce modificaciones en relación con algunos aspectos que se analizarán a continuación. </w:t>
      </w:r>
    </w:p>
    <w:p w14:paraId="61A9C836" w14:textId="77777777" w:rsidR="00495A4B" w:rsidRDefault="00495A4B" w:rsidP="00495A4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4972A359" w14:textId="77777777" w:rsidR="00495A4B" w:rsidRDefault="00495A4B" w:rsidP="00495A4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EC0EEB">
        <w:rPr>
          <w:rFonts w:ascii="Verdana" w:eastAsia="Arial" w:hAnsi="Verdana" w:cs="Arial"/>
          <w:color w:val="000000"/>
          <w:sz w:val="20"/>
          <w:szCs w:val="20"/>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 en el último, los documentos o requisitos subsanables pueden y deben solicitarse hasta el momento previo a su realización.</w:t>
      </w:r>
    </w:p>
    <w:p w14:paraId="4DF15E1B" w14:textId="77777777" w:rsidR="00495A4B" w:rsidRDefault="00495A4B" w:rsidP="00495A4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3FB4044E" w14:textId="77777777" w:rsidR="00495A4B" w:rsidRDefault="00495A4B" w:rsidP="00495A4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EC0EEB">
        <w:rPr>
          <w:rFonts w:ascii="Verdana" w:eastAsia="Arial" w:hAnsi="Verdana" w:cs="Arial"/>
          <w:color w:val="000000"/>
          <w:sz w:val="20"/>
          <w:szCs w:val="20"/>
        </w:rPr>
        <w:t xml:space="preserve">[…] </w:t>
      </w:r>
    </w:p>
    <w:p w14:paraId="7815FDA6" w14:textId="77777777" w:rsidR="00495A4B" w:rsidRDefault="00495A4B" w:rsidP="00495A4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7EB0B6EC" w14:textId="77777777" w:rsidR="00495A4B" w:rsidRDefault="00495A4B" w:rsidP="00495A4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EC0EEB">
        <w:rPr>
          <w:rFonts w:ascii="Verdana" w:eastAsia="Arial" w:hAnsi="Verdana" w:cs="Arial"/>
          <w:color w:val="000000"/>
          <w:sz w:val="20"/>
          <w:szCs w:val="20"/>
        </w:rPr>
        <w:t xml:space="preserve">Así pues, 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w:t>
      </w:r>
    </w:p>
    <w:p w14:paraId="5C66720B" w14:textId="77777777" w:rsidR="00495A4B" w:rsidRDefault="00495A4B" w:rsidP="00495A4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61320901" w14:textId="77777777" w:rsidR="00495A4B" w:rsidRPr="00EC0EEB" w:rsidRDefault="00495A4B" w:rsidP="00495A4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EC0EEB">
        <w:rPr>
          <w:rFonts w:ascii="Verdana" w:eastAsia="Arial" w:hAnsi="Verdana" w:cs="Arial"/>
          <w:color w:val="000000"/>
          <w:sz w:val="20"/>
          <w:szCs w:val="20"/>
        </w:rPr>
        <w:t>De otro lado, el segundo cambio importante de la Ley 1882 de 2018 fue la introducción de un criterio material, directamente relacionado con los aspectos subsanables: “los proponentes no podrán acreditar circunstancias ocurridas con posterioridad al cierre del proceso”</w:t>
      </w:r>
      <w:r w:rsidRPr="00EC0EEB">
        <w:rPr>
          <w:rFonts w:ascii="Verdana" w:eastAsia="Arial" w:hAnsi="Verdana" w:cs="Arial"/>
          <w:b/>
          <w:i/>
          <w:color w:val="000000"/>
          <w:sz w:val="20"/>
          <w:szCs w:val="20"/>
        </w:rPr>
        <w:t>.</w:t>
      </w:r>
      <w:r w:rsidRPr="00EC0EEB">
        <w:rPr>
          <w:rFonts w:ascii="Verdana" w:eastAsia="Arial" w:hAnsi="Verdana" w:cs="Arial"/>
          <w:b/>
          <w:color w:val="000000"/>
          <w:sz w:val="20"/>
          <w:szCs w:val="20"/>
        </w:rPr>
        <w:t xml:space="preserve"> </w:t>
      </w:r>
    </w:p>
    <w:p w14:paraId="5790529D" w14:textId="77777777" w:rsidR="00495A4B" w:rsidRDefault="00495A4B" w:rsidP="00495A4B">
      <w:pPr>
        <w:pBdr>
          <w:top w:val="nil"/>
          <w:left w:val="nil"/>
          <w:bottom w:val="nil"/>
          <w:right w:val="nil"/>
          <w:between w:val="nil"/>
        </w:pBdr>
        <w:tabs>
          <w:tab w:val="left" w:pos="284"/>
        </w:tabs>
        <w:spacing w:after="0" w:line="240" w:lineRule="auto"/>
        <w:jc w:val="both"/>
        <w:rPr>
          <w:rFonts w:ascii="Verdana" w:eastAsia="Arial" w:hAnsi="Verdana" w:cs="Arial"/>
          <w:bCs/>
          <w:color w:val="000000"/>
          <w:sz w:val="20"/>
          <w:szCs w:val="20"/>
        </w:rPr>
      </w:pPr>
    </w:p>
    <w:p w14:paraId="56BE3669" w14:textId="77777777" w:rsidR="00495A4B" w:rsidRPr="00EC0EEB" w:rsidRDefault="00495A4B" w:rsidP="00495A4B">
      <w:pPr>
        <w:pBdr>
          <w:top w:val="nil"/>
          <w:left w:val="nil"/>
          <w:bottom w:val="nil"/>
          <w:right w:val="nil"/>
          <w:between w:val="nil"/>
        </w:pBdr>
        <w:tabs>
          <w:tab w:val="left" w:pos="284"/>
        </w:tabs>
        <w:spacing w:after="0" w:line="240" w:lineRule="auto"/>
        <w:jc w:val="both"/>
        <w:rPr>
          <w:rFonts w:ascii="Verdana" w:eastAsia="Arial" w:hAnsi="Verdana" w:cs="Arial"/>
          <w:bCs/>
          <w:color w:val="000000"/>
          <w:sz w:val="20"/>
          <w:szCs w:val="20"/>
        </w:rPr>
      </w:pPr>
      <w:r w:rsidRPr="00EC0EEB">
        <w:rPr>
          <w:rFonts w:ascii="Verdana" w:eastAsia="Arial" w:hAnsi="Verdana" w:cs="Arial"/>
          <w:bCs/>
          <w:color w:val="000000"/>
          <w:sz w:val="20"/>
          <w:szCs w:val="20"/>
        </w:rPr>
        <w:lastRenderedPageBreak/>
        <w:t xml:space="preserve">[…] </w:t>
      </w:r>
    </w:p>
    <w:p w14:paraId="5A3A5121" w14:textId="77777777" w:rsidR="00495A4B" w:rsidRDefault="00495A4B" w:rsidP="00495A4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0A4749EA" w14:textId="77777777" w:rsidR="00495A4B" w:rsidRPr="00EC0EEB" w:rsidRDefault="00495A4B" w:rsidP="00495A4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EC0EEB">
        <w:rPr>
          <w:rFonts w:ascii="Verdana" w:eastAsia="Arial" w:hAnsi="Verdana" w:cs="Arial"/>
          <w:color w:val="000000"/>
          <w:sz w:val="20"/>
          <w:szCs w:val="20"/>
        </w:rPr>
        <w:t xml:space="preserve">Un mejor entendimiento del significado de la expresión “circunstancias ocurridas con posterioridad al cierre del proceso” lleva necesariamente a distinguir entre la prueba de un hecho y el hecho mismo. En el caso de la </w:t>
      </w:r>
      <w:proofErr w:type="spellStart"/>
      <w:r w:rsidRPr="00EC0EEB">
        <w:rPr>
          <w:rFonts w:ascii="Verdana" w:eastAsia="Arial" w:hAnsi="Verdana" w:cs="Arial"/>
          <w:color w:val="000000"/>
          <w:sz w:val="20"/>
          <w:szCs w:val="20"/>
        </w:rPr>
        <w:t>subsanabilidad</w:t>
      </w:r>
      <w:proofErr w:type="spellEnd"/>
      <w:r w:rsidRPr="00EC0EEB">
        <w:rPr>
          <w:rFonts w:ascii="Verdana" w:eastAsia="Arial" w:hAnsi="Verdana" w:cs="Arial"/>
          <w:color w:val="000000"/>
          <w:sz w:val="20"/>
          <w:szCs w:val="20"/>
        </w:rPr>
        <w:t xml:space="preserve">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w:t>
      </w:r>
    </w:p>
    <w:p w14:paraId="6BEB5133" w14:textId="77777777" w:rsidR="00495A4B" w:rsidRDefault="00495A4B" w:rsidP="00495A4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3D96FE66" w14:textId="77777777" w:rsidR="00495A4B" w:rsidRDefault="00495A4B" w:rsidP="00495A4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EC0EEB">
        <w:rPr>
          <w:rFonts w:ascii="Verdana" w:eastAsia="Arial" w:hAnsi="Verdana" w:cs="Arial"/>
          <w:color w:val="000000"/>
          <w:sz w:val="20"/>
          <w:szCs w:val="20"/>
        </w:rPr>
        <w:t>Lo anterior quiere decir que no es la prueba –usualmente un documento– lo que debe ser anterior al cierre del proceso, sino el hecho que ella acredita, es decir, ante la solicitud de la Administración de subsanar un requisito, el documento podría estar fechado con posterioridad al vencimiento del término para recibir propuestas, siempre y cuando el hecho que acredite haya ocurrido antes, esto es, que no sea una circunstancia ocurrida con posterioridad al cierre del proceso. Es por ello que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p>
    <w:p w14:paraId="64AA660B" w14:textId="77777777" w:rsidR="00495A4B" w:rsidRPr="006D73DE" w:rsidRDefault="00495A4B" w:rsidP="00495A4B">
      <w:pPr>
        <w:spacing w:after="0"/>
        <w:rPr>
          <w:rFonts w:ascii="Verdana" w:eastAsia="Calibri" w:hAnsi="Verdana" w:cs="Arial"/>
          <w:lang w:eastAsia="es-ES"/>
        </w:rPr>
      </w:pPr>
    </w:p>
    <w:p w14:paraId="7819AFC6" w14:textId="77777777" w:rsidR="00495A4B" w:rsidRDefault="00495A4B" w:rsidP="00495A4B">
      <w:pPr>
        <w:spacing w:after="0" w:line="240" w:lineRule="auto"/>
        <w:jc w:val="both"/>
        <w:rPr>
          <w:rFonts w:ascii="Verdana" w:hAnsi="Verdana" w:cs="Arial"/>
          <w:b/>
          <w:bCs/>
          <w:color w:val="000000" w:themeColor="text1"/>
          <w:lang w:val="es-ES"/>
        </w:rPr>
      </w:pPr>
      <w:r>
        <w:rPr>
          <w:rFonts w:ascii="Verdana" w:hAnsi="Verdana" w:cs="Arial"/>
          <w:b/>
          <w:bCs/>
          <w:color w:val="000000" w:themeColor="text1"/>
          <w:lang w:val="es-ES"/>
        </w:rPr>
        <w:t xml:space="preserve">DOCUMENTOS TIPO – Sector Transporte - Acreditación – Empresas y emprendimientos de mujeres – </w:t>
      </w:r>
      <w:proofErr w:type="spellStart"/>
      <w:r>
        <w:rPr>
          <w:rFonts w:ascii="Verdana" w:hAnsi="Verdana" w:cs="Arial"/>
          <w:b/>
          <w:bCs/>
          <w:color w:val="000000" w:themeColor="text1"/>
          <w:lang w:val="es-ES"/>
        </w:rPr>
        <w:t>Subsanabilidad</w:t>
      </w:r>
      <w:proofErr w:type="spellEnd"/>
      <w:r>
        <w:rPr>
          <w:rFonts w:ascii="Verdana" w:hAnsi="Verdana" w:cs="Arial"/>
          <w:b/>
          <w:bCs/>
          <w:color w:val="000000" w:themeColor="text1"/>
          <w:lang w:val="es-ES"/>
        </w:rPr>
        <w:t xml:space="preserve"> </w:t>
      </w:r>
    </w:p>
    <w:p w14:paraId="0C7941D5" w14:textId="77777777" w:rsidR="00495A4B" w:rsidRDefault="00495A4B" w:rsidP="00495A4B">
      <w:pPr>
        <w:spacing w:after="0" w:line="240" w:lineRule="auto"/>
        <w:jc w:val="both"/>
        <w:rPr>
          <w:rFonts w:ascii="Verdana" w:hAnsi="Verdana" w:cs="Arial"/>
          <w:b/>
          <w:bCs/>
          <w:color w:val="000000" w:themeColor="text1"/>
          <w:lang w:val="es-ES"/>
        </w:rPr>
      </w:pPr>
    </w:p>
    <w:p w14:paraId="22DF4872" w14:textId="77777777" w:rsidR="00495A4B" w:rsidRDefault="00495A4B" w:rsidP="00495A4B">
      <w:pPr>
        <w:spacing w:after="0" w:line="240" w:lineRule="auto"/>
        <w:jc w:val="both"/>
        <w:rPr>
          <w:rFonts w:ascii="Verdana" w:eastAsia="Calibri" w:hAnsi="Verdana" w:cs="Arial"/>
          <w:sz w:val="20"/>
          <w:szCs w:val="20"/>
          <w:lang w:val="es-ES" w:eastAsia="es-ES"/>
        </w:rPr>
      </w:pPr>
      <w:r w:rsidRPr="00253E90">
        <w:rPr>
          <w:rFonts w:ascii="Verdana" w:eastAsia="Calibri" w:hAnsi="Verdana" w:cs="Arial"/>
          <w:sz w:val="20"/>
          <w:szCs w:val="20"/>
          <w:lang w:val="es-ES" w:eastAsia="es-ES"/>
        </w:rPr>
        <w:t>Ahora bien, tratándose de los procesos regidos por los Documentos Tipo y a modo de ejemplo, los del sector de infraestructura de transporte, estos establecen reglas específicas respecto de la acreditación de la condición de emprendimientos y empresas de mujeres como factor de asignación de puntaje. En particular, el numeral 4.6 de los Documentos Tipo señala:</w:t>
      </w:r>
    </w:p>
    <w:p w14:paraId="6AEAFC80" w14:textId="77777777" w:rsidR="00495A4B" w:rsidRPr="00253E90" w:rsidRDefault="00495A4B" w:rsidP="00495A4B">
      <w:pPr>
        <w:spacing w:after="0" w:line="240" w:lineRule="auto"/>
        <w:jc w:val="both"/>
        <w:rPr>
          <w:rFonts w:ascii="Verdana" w:eastAsia="Calibri" w:hAnsi="Verdana" w:cs="Arial"/>
          <w:sz w:val="20"/>
          <w:szCs w:val="20"/>
          <w:lang w:val="es-ES" w:eastAsia="es-ES"/>
        </w:rPr>
      </w:pPr>
    </w:p>
    <w:p w14:paraId="53E5B874" w14:textId="77777777" w:rsidR="00495A4B" w:rsidRPr="00253E90" w:rsidRDefault="00495A4B" w:rsidP="00495A4B">
      <w:pPr>
        <w:spacing w:line="240" w:lineRule="auto"/>
        <w:ind w:right="49"/>
        <w:jc w:val="both"/>
        <w:rPr>
          <w:rFonts w:ascii="Verdana" w:eastAsia="Calibri" w:hAnsi="Verdana" w:cs="Arial"/>
          <w:sz w:val="20"/>
          <w:szCs w:val="20"/>
          <w:lang w:val="es-ES"/>
        </w:rPr>
      </w:pPr>
      <w:r w:rsidRPr="00253E90">
        <w:rPr>
          <w:rFonts w:ascii="Verdana" w:eastAsia="Calibri" w:hAnsi="Verdana" w:cs="Arial"/>
          <w:sz w:val="20"/>
          <w:szCs w:val="20"/>
          <w:lang w:val="es-ES"/>
        </w:rPr>
        <w:t>“4.6 EMPRENDIMIENTOS Y EMPRESAS DE MUJERES</w:t>
      </w:r>
    </w:p>
    <w:p w14:paraId="2EE22105" w14:textId="77777777" w:rsidR="00495A4B" w:rsidRPr="00253E90" w:rsidRDefault="00495A4B" w:rsidP="00495A4B">
      <w:pPr>
        <w:spacing w:line="240" w:lineRule="auto"/>
        <w:ind w:right="49"/>
        <w:jc w:val="both"/>
        <w:rPr>
          <w:rFonts w:ascii="Verdana" w:eastAsia="Calibri" w:hAnsi="Verdana" w:cs="Arial"/>
          <w:sz w:val="20"/>
          <w:szCs w:val="20"/>
          <w:lang w:val="es-ES"/>
        </w:rPr>
      </w:pPr>
      <w:r w:rsidRPr="00253E90">
        <w:rPr>
          <w:rFonts w:ascii="Verdana" w:eastAsia="Calibri" w:hAnsi="Verdana" w:cs="Arial"/>
          <w:sz w:val="20"/>
          <w:szCs w:val="20"/>
          <w:lang w:val="es-ES"/>
        </w:rPr>
        <w:t xml:space="preserve">La Entidad asignará un puntaje de </w:t>
      </w:r>
      <w:proofErr w:type="gramStart"/>
      <w:r w:rsidRPr="00253E90">
        <w:rPr>
          <w:rFonts w:ascii="Verdana" w:eastAsia="Calibri" w:hAnsi="Verdana" w:cs="Arial"/>
          <w:sz w:val="20"/>
          <w:szCs w:val="20"/>
          <w:lang w:val="es-ES"/>
        </w:rPr>
        <w:t>cero punto</w:t>
      </w:r>
      <w:proofErr w:type="gramEnd"/>
      <w:r w:rsidRPr="00253E90">
        <w:rPr>
          <w:rFonts w:ascii="Verdana" w:eastAsia="Calibri" w:hAnsi="Verdana" w:cs="Arial"/>
          <w:sz w:val="20"/>
          <w:szCs w:val="20"/>
          <w:lang w:val="es-ES"/>
        </w:rPr>
        <w:t xml:space="preserve"> veinticinco (0.25) puntos al Proponente que acredite la calidad de emprendimientos y empresas de mujeres con domicilio en el territorio nacional de conformidad con lo previsto en el artículo 2.2.1.2.4.2.14. del Decreto 1082 de 2015 o la norma que lo modifique, sustituya o complemente.</w:t>
      </w:r>
    </w:p>
    <w:p w14:paraId="34197F5B" w14:textId="77777777" w:rsidR="00495A4B" w:rsidRPr="00253E90" w:rsidRDefault="00495A4B" w:rsidP="00495A4B">
      <w:pPr>
        <w:spacing w:line="240" w:lineRule="auto"/>
        <w:ind w:right="49"/>
        <w:jc w:val="both"/>
        <w:rPr>
          <w:rFonts w:ascii="Verdana" w:eastAsia="Calibri" w:hAnsi="Verdana" w:cs="Arial"/>
          <w:sz w:val="20"/>
          <w:szCs w:val="20"/>
          <w:lang w:val="es-ES"/>
        </w:rPr>
      </w:pPr>
      <w:r w:rsidRPr="00253E90">
        <w:rPr>
          <w:rFonts w:ascii="Verdana" w:eastAsia="Calibri" w:hAnsi="Verdana" w:cs="Arial"/>
          <w:sz w:val="20"/>
          <w:szCs w:val="20"/>
          <w:lang w:val="es-ES"/>
        </w:rPr>
        <w:t>Para que el Proponente obtenga este puntaje debe diligenciar el Formato 12 – Acreditación de emprendimientos y empresas de mujeres y aportar la documentación requerida. Si el Proponente debió subsanar la entrega de dicho formato y/o los documentos exigidos para probar esta condición será válido para el criterio diferencial en cuanto al requisito habilitante relacionado con el número de contratos aportados para demostrar la experiencia solicitada. Sin embargo, no se tendrán en cuenta para la asignación de puntaje, por lo que obtendrá cero (0) puntos por este factor de evaluación.</w:t>
      </w:r>
    </w:p>
    <w:p w14:paraId="513784EC" w14:textId="77777777" w:rsidR="00495A4B" w:rsidRPr="00253E90" w:rsidRDefault="00495A4B" w:rsidP="00495A4B">
      <w:pPr>
        <w:spacing w:line="240" w:lineRule="auto"/>
        <w:ind w:right="49"/>
        <w:jc w:val="both"/>
        <w:rPr>
          <w:rFonts w:ascii="Verdana" w:eastAsia="Calibri" w:hAnsi="Verdana" w:cs="Arial"/>
          <w:sz w:val="20"/>
          <w:szCs w:val="20"/>
          <w:lang w:val="es-ES"/>
        </w:rPr>
      </w:pPr>
      <w:r w:rsidRPr="00253E90">
        <w:rPr>
          <w:rFonts w:ascii="Verdana" w:eastAsia="Calibri" w:hAnsi="Verdana" w:cs="Arial"/>
          <w:sz w:val="20"/>
          <w:szCs w:val="20"/>
          <w:lang w:val="es-ES"/>
        </w:rPr>
        <w:lastRenderedPageBreak/>
        <w:t>Tratándose de Proponentes Plurales este puntaje solo se otorgará si por lo menos uno de los integrantes acredita la calidad de emprendimientos y empresas de mujeres y tiene una participación igual o superior al diez por ciento (10 %) en el Consorcio o en la Unión Temporal.</w:t>
      </w:r>
    </w:p>
    <w:p w14:paraId="59F33AC8" w14:textId="77777777" w:rsidR="00495A4B" w:rsidRPr="00253E90" w:rsidRDefault="00495A4B" w:rsidP="00495A4B">
      <w:pPr>
        <w:spacing w:line="240" w:lineRule="auto"/>
        <w:ind w:right="49"/>
        <w:jc w:val="both"/>
        <w:rPr>
          <w:rFonts w:ascii="Verdana" w:eastAsia="Calibri" w:hAnsi="Verdana" w:cs="Arial"/>
          <w:sz w:val="20"/>
          <w:szCs w:val="20"/>
          <w:lang w:val="es-ES"/>
        </w:rPr>
      </w:pPr>
      <w:r w:rsidRPr="00253E90">
        <w:rPr>
          <w:rFonts w:ascii="Verdana" w:eastAsia="Calibri" w:hAnsi="Verdana" w:cs="Arial"/>
          <w:sz w:val="20"/>
          <w:szCs w:val="20"/>
          <w:lang w:val="es-ES"/>
        </w:rPr>
        <w:t xml:space="preserve">La asignación de este puntaje no excluye la aplicación del puntaje para </w:t>
      </w:r>
      <w:proofErr w:type="spellStart"/>
      <w:r w:rsidRPr="00253E90">
        <w:rPr>
          <w:rFonts w:ascii="Verdana" w:eastAsia="Calibri" w:hAnsi="Verdana" w:cs="Arial"/>
          <w:sz w:val="20"/>
          <w:szCs w:val="20"/>
          <w:lang w:val="es-ES"/>
        </w:rPr>
        <w:t>Mipyme</w:t>
      </w:r>
      <w:proofErr w:type="spellEnd"/>
      <w:r w:rsidRPr="00253E90">
        <w:rPr>
          <w:rFonts w:ascii="Verdana" w:eastAsia="Calibri" w:hAnsi="Verdana" w:cs="Arial"/>
          <w:sz w:val="20"/>
          <w:szCs w:val="20"/>
          <w:lang w:val="es-ES"/>
        </w:rPr>
        <w:t>”.</w:t>
      </w:r>
    </w:p>
    <w:p w14:paraId="6322FDD2" w14:textId="77777777" w:rsidR="00495A4B" w:rsidRDefault="00495A4B" w:rsidP="00495A4B">
      <w:pPr>
        <w:spacing w:after="0"/>
        <w:ind w:right="49"/>
        <w:rPr>
          <w:rFonts w:ascii="Verdana" w:eastAsia="Calibri" w:hAnsi="Verdana" w:cs="Arial"/>
          <w:lang w:val="es-ES" w:eastAsia="es-ES"/>
        </w:rPr>
      </w:pPr>
    </w:p>
    <w:p w14:paraId="50704219" w14:textId="77777777" w:rsidR="00495A4B" w:rsidRDefault="00495A4B" w:rsidP="00495A4B">
      <w:pPr>
        <w:spacing w:after="0"/>
        <w:rPr>
          <w:rFonts w:ascii="Verdana" w:eastAsia="Calibri" w:hAnsi="Verdana" w:cs="Arial"/>
          <w:lang w:val="es-ES" w:eastAsia="es-ES"/>
        </w:rPr>
      </w:pPr>
    </w:p>
    <w:p w14:paraId="7DA486A1" w14:textId="77777777" w:rsidR="00495A4B" w:rsidRDefault="00495A4B" w:rsidP="00495A4B">
      <w:pPr>
        <w:spacing w:after="0"/>
        <w:rPr>
          <w:rFonts w:ascii="Verdana" w:eastAsia="Calibri" w:hAnsi="Verdana" w:cs="Arial"/>
          <w:lang w:val="es-ES" w:eastAsia="es-ES"/>
        </w:rPr>
      </w:pPr>
    </w:p>
    <w:p w14:paraId="2BCDCE9E" w14:textId="77777777" w:rsidR="00495A4B" w:rsidRDefault="00495A4B" w:rsidP="00495A4B">
      <w:pPr>
        <w:spacing w:after="0"/>
        <w:rPr>
          <w:rFonts w:ascii="Verdana" w:eastAsia="Calibri" w:hAnsi="Verdana" w:cs="Arial"/>
          <w:lang w:val="es-ES" w:eastAsia="es-ES"/>
        </w:rPr>
      </w:pPr>
    </w:p>
    <w:p w14:paraId="117C4E41" w14:textId="77777777" w:rsidR="00495A4B" w:rsidRDefault="00495A4B" w:rsidP="00495A4B">
      <w:pPr>
        <w:spacing w:after="0"/>
        <w:rPr>
          <w:rFonts w:ascii="Verdana" w:eastAsia="Calibri" w:hAnsi="Verdana" w:cs="Arial"/>
          <w:lang w:val="es-ES" w:eastAsia="es-ES"/>
        </w:rPr>
      </w:pPr>
    </w:p>
    <w:p w14:paraId="68D2D8B2" w14:textId="77777777" w:rsidR="00495A4B" w:rsidRDefault="00495A4B" w:rsidP="00495A4B">
      <w:pPr>
        <w:spacing w:after="0"/>
        <w:rPr>
          <w:rFonts w:ascii="Verdana" w:eastAsia="Calibri" w:hAnsi="Verdana" w:cs="Arial"/>
          <w:lang w:val="es-ES" w:eastAsia="es-ES"/>
        </w:rPr>
      </w:pPr>
    </w:p>
    <w:p w14:paraId="7BD010A2" w14:textId="77777777" w:rsidR="00495A4B" w:rsidRDefault="00495A4B" w:rsidP="00495A4B">
      <w:pPr>
        <w:spacing w:after="0"/>
        <w:rPr>
          <w:rFonts w:ascii="Verdana" w:eastAsia="Calibri" w:hAnsi="Verdana" w:cs="Arial"/>
          <w:lang w:val="es-ES" w:eastAsia="es-ES"/>
        </w:rPr>
      </w:pPr>
    </w:p>
    <w:p w14:paraId="781B0D3C" w14:textId="77777777" w:rsidR="00495A4B" w:rsidRDefault="00495A4B" w:rsidP="00495A4B">
      <w:pPr>
        <w:spacing w:after="0"/>
        <w:rPr>
          <w:rFonts w:ascii="Verdana" w:eastAsia="Calibri" w:hAnsi="Verdana" w:cs="Arial"/>
          <w:lang w:val="es-ES" w:eastAsia="es-ES"/>
        </w:rPr>
      </w:pPr>
    </w:p>
    <w:p w14:paraId="40D7B6B3" w14:textId="77777777" w:rsidR="00495A4B" w:rsidRDefault="00495A4B" w:rsidP="00495A4B">
      <w:pPr>
        <w:spacing w:after="0"/>
        <w:rPr>
          <w:rFonts w:ascii="Verdana" w:eastAsia="Calibri" w:hAnsi="Verdana" w:cs="Arial"/>
          <w:lang w:val="es-ES" w:eastAsia="es-ES"/>
        </w:rPr>
      </w:pPr>
    </w:p>
    <w:p w14:paraId="2E88CD44" w14:textId="77777777" w:rsidR="00495A4B" w:rsidRDefault="00495A4B" w:rsidP="00495A4B">
      <w:pPr>
        <w:spacing w:after="0"/>
        <w:rPr>
          <w:rFonts w:ascii="Verdana" w:eastAsia="Calibri" w:hAnsi="Verdana" w:cs="Arial"/>
          <w:lang w:val="es-ES" w:eastAsia="es-ES"/>
        </w:rPr>
      </w:pPr>
    </w:p>
    <w:p w14:paraId="5137742E" w14:textId="77777777" w:rsidR="00495A4B" w:rsidRDefault="00495A4B" w:rsidP="00495A4B">
      <w:pPr>
        <w:spacing w:after="0"/>
        <w:rPr>
          <w:rFonts w:ascii="Verdana" w:eastAsia="Calibri" w:hAnsi="Verdana" w:cs="Arial"/>
          <w:lang w:val="es-ES" w:eastAsia="es-ES"/>
        </w:rPr>
      </w:pPr>
    </w:p>
    <w:p w14:paraId="5770F7AE" w14:textId="77777777" w:rsidR="00495A4B" w:rsidRDefault="00495A4B" w:rsidP="00495A4B">
      <w:pPr>
        <w:spacing w:after="0"/>
        <w:rPr>
          <w:rFonts w:ascii="Verdana" w:eastAsia="Calibri" w:hAnsi="Verdana" w:cs="Arial"/>
          <w:lang w:val="es-ES" w:eastAsia="es-ES"/>
        </w:rPr>
      </w:pPr>
    </w:p>
    <w:p w14:paraId="23DAA86D" w14:textId="77777777" w:rsidR="00495A4B" w:rsidRDefault="00495A4B" w:rsidP="00495A4B">
      <w:pPr>
        <w:spacing w:after="0"/>
        <w:rPr>
          <w:rFonts w:ascii="Verdana" w:eastAsia="Calibri" w:hAnsi="Verdana" w:cs="Arial"/>
          <w:lang w:val="es-ES" w:eastAsia="es-ES"/>
        </w:rPr>
      </w:pPr>
    </w:p>
    <w:p w14:paraId="167C2BC0" w14:textId="77777777" w:rsidR="00495A4B" w:rsidRDefault="00495A4B" w:rsidP="00495A4B">
      <w:pPr>
        <w:spacing w:after="0"/>
        <w:rPr>
          <w:rFonts w:ascii="Verdana" w:eastAsia="Calibri" w:hAnsi="Verdana" w:cs="Arial"/>
          <w:lang w:val="es-ES" w:eastAsia="es-ES"/>
        </w:rPr>
      </w:pPr>
    </w:p>
    <w:p w14:paraId="34A72989" w14:textId="77777777" w:rsidR="00495A4B" w:rsidRDefault="00495A4B" w:rsidP="00495A4B">
      <w:pPr>
        <w:spacing w:after="0"/>
        <w:rPr>
          <w:rFonts w:ascii="Verdana" w:eastAsia="Calibri" w:hAnsi="Verdana" w:cs="Arial"/>
          <w:lang w:val="es-ES" w:eastAsia="es-ES"/>
        </w:rPr>
      </w:pPr>
    </w:p>
    <w:p w14:paraId="0BF13CDF" w14:textId="77777777" w:rsidR="00495A4B" w:rsidRDefault="00495A4B" w:rsidP="00495A4B">
      <w:pPr>
        <w:spacing w:after="0"/>
        <w:rPr>
          <w:rFonts w:ascii="Verdana" w:eastAsia="Calibri" w:hAnsi="Verdana" w:cs="Arial"/>
          <w:lang w:val="es-ES" w:eastAsia="es-ES"/>
        </w:rPr>
      </w:pPr>
    </w:p>
    <w:p w14:paraId="40B8F128" w14:textId="77777777" w:rsidR="00495A4B" w:rsidRDefault="00495A4B" w:rsidP="00495A4B">
      <w:pPr>
        <w:spacing w:after="0"/>
        <w:rPr>
          <w:rFonts w:ascii="Verdana" w:eastAsia="Calibri" w:hAnsi="Verdana" w:cs="Arial"/>
          <w:lang w:val="es-ES" w:eastAsia="es-ES"/>
        </w:rPr>
      </w:pPr>
    </w:p>
    <w:p w14:paraId="12086393" w14:textId="77777777" w:rsidR="00495A4B" w:rsidRDefault="00495A4B" w:rsidP="00495A4B">
      <w:pPr>
        <w:spacing w:after="0"/>
        <w:rPr>
          <w:rFonts w:ascii="Verdana" w:eastAsia="Calibri" w:hAnsi="Verdana" w:cs="Arial"/>
          <w:lang w:val="es-ES" w:eastAsia="es-ES"/>
        </w:rPr>
      </w:pPr>
    </w:p>
    <w:p w14:paraId="66E0C249" w14:textId="77777777" w:rsidR="00495A4B" w:rsidRDefault="00495A4B" w:rsidP="00495A4B">
      <w:pPr>
        <w:spacing w:after="0"/>
        <w:rPr>
          <w:rFonts w:ascii="Verdana" w:eastAsia="Calibri" w:hAnsi="Verdana" w:cs="Arial"/>
          <w:lang w:val="es-ES" w:eastAsia="es-ES"/>
        </w:rPr>
      </w:pPr>
    </w:p>
    <w:p w14:paraId="578A5A16" w14:textId="77777777" w:rsidR="00495A4B" w:rsidRDefault="00495A4B" w:rsidP="00495A4B">
      <w:pPr>
        <w:spacing w:after="0"/>
        <w:rPr>
          <w:rFonts w:ascii="Verdana" w:eastAsia="Calibri" w:hAnsi="Verdana" w:cs="Arial"/>
          <w:lang w:val="es-ES" w:eastAsia="es-ES"/>
        </w:rPr>
      </w:pPr>
    </w:p>
    <w:p w14:paraId="71AEE996" w14:textId="77777777" w:rsidR="00495A4B" w:rsidRDefault="00495A4B" w:rsidP="00495A4B">
      <w:pPr>
        <w:spacing w:after="0"/>
        <w:rPr>
          <w:rFonts w:ascii="Verdana" w:eastAsia="Calibri" w:hAnsi="Verdana" w:cs="Arial"/>
          <w:lang w:val="es-ES" w:eastAsia="es-ES"/>
        </w:rPr>
      </w:pPr>
    </w:p>
    <w:p w14:paraId="5E441966" w14:textId="77777777" w:rsidR="00495A4B" w:rsidRDefault="00495A4B" w:rsidP="00495A4B">
      <w:pPr>
        <w:spacing w:after="0"/>
        <w:rPr>
          <w:rFonts w:ascii="Verdana" w:eastAsia="Calibri" w:hAnsi="Verdana" w:cs="Arial"/>
          <w:lang w:val="es-ES" w:eastAsia="es-ES"/>
        </w:rPr>
      </w:pPr>
    </w:p>
    <w:p w14:paraId="758F4C45" w14:textId="77777777" w:rsidR="00495A4B" w:rsidRDefault="00495A4B" w:rsidP="00495A4B">
      <w:pPr>
        <w:spacing w:after="0"/>
        <w:rPr>
          <w:rFonts w:ascii="Verdana" w:eastAsia="Calibri" w:hAnsi="Verdana" w:cs="Arial"/>
          <w:lang w:val="es-ES" w:eastAsia="es-ES"/>
        </w:rPr>
      </w:pPr>
    </w:p>
    <w:p w14:paraId="156DFAB1" w14:textId="77777777" w:rsidR="00495A4B" w:rsidRDefault="00495A4B" w:rsidP="00495A4B">
      <w:pPr>
        <w:spacing w:after="0"/>
        <w:rPr>
          <w:rFonts w:ascii="Verdana" w:eastAsia="Calibri" w:hAnsi="Verdana" w:cs="Arial"/>
          <w:lang w:val="es-ES" w:eastAsia="es-ES"/>
        </w:rPr>
      </w:pPr>
    </w:p>
    <w:p w14:paraId="37370316" w14:textId="77777777" w:rsidR="00495A4B" w:rsidRDefault="00495A4B" w:rsidP="00495A4B">
      <w:pPr>
        <w:spacing w:after="0"/>
        <w:rPr>
          <w:rFonts w:ascii="Verdana" w:eastAsia="Calibri" w:hAnsi="Verdana" w:cs="Arial"/>
          <w:lang w:val="es-ES" w:eastAsia="es-ES"/>
        </w:rPr>
      </w:pPr>
    </w:p>
    <w:p w14:paraId="547E31F7" w14:textId="77777777" w:rsidR="00495A4B" w:rsidRDefault="00495A4B" w:rsidP="00495A4B">
      <w:pPr>
        <w:spacing w:after="0"/>
        <w:rPr>
          <w:rFonts w:ascii="Verdana" w:eastAsia="Calibri" w:hAnsi="Verdana" w:cs="Arial"/>
          <w:lang w:val="es-ES" w:eastAsia="es-ES"/>
        </w:rPr>
      </w:pPr>
    </w:p>
    <w:p w14:paraId="084FBBCF" w14:textId="77777777" w:rsidR="00495A4B" w:rsidRDefault="00495A4B" w:rsidP="00495A4B">
      <w:pPr>
        <w:spacing w:after="0"/>
        <w:rPr>
          <w:rFonts w:ascii="Verdana" w:eastAsia="Calibri" w:hAnsi="Verdana" w:cs="Arial"/>
          <w:lang w:val="es-ES" w:eastAsia="es-ES"/>
        </w:rPr>
      </w:pPr>
    </w:p>
    <w:p w14:paraId="75E496F7" w14:textId="77777777" w:rsidR="00495A4B" w:rsidRDefault="00495A4B" w:rsidP="00495A4B">
      <w:pPr>
        <w:spacing w:after="0"/>
        <w:rPr>
          <w:rFonts w:ascii="Verdana" w:eastAsia="Calibri" w:hAnsi="Verdana" w:cs="Arial"/>
          <w:lang w:val="es-ES" w:eastAsia="es-ES"/>
        </w:rPr>
      </w:pPr>
    </w:p>
    <w:p w14:paraId="5D80665C" w14:textId="77777777" w:rsidR="00495A4B" w:rsidRDefault="00495A4B" w:rsidP="00495A4B">
      <w:pPr>
        <w:spacing w:after="0"/>
        <w:rPr>
          <w:rFonts w:ascii="Verdana" w:eastAsia="Calibri" w:hAnsi="Verdana" w:cs="Arial"/>
          <w:lang w:val="es-ES" w:eastAsia="es-ES"/>
        </w:rPr>
      </w:pPr>
    </w:p>
    <w:p w14:paraId="21E3AF2A" w14:textId="77777777" w:rsidR="00495A4B" w:rsidRDefault="00495A4B" w:rsidP="00495A4B">
      <w:pPr>
        <w:spacing w:after="0"/>
        <w:rPr>
          <w:rFonts w:ascii="Verdana" w:eastAsia="Calibri" w:hAnsi="Verdana" w:cs="Arial"/>
          <w:lang w:val="es-ES" w:eastAsia="es-ES"/>
        </w:rPr>
      </w:pPr>
    </w:p>
    <w:p w14:paraId="36C3ACA2" w14:textId="77777777" w:rsidR="00495A4B" w:rsidRDefault="00495A4B" w:rsidP="00495A4B">
      <w:pPr>
        <w:spacing w:after="0"/>
        <w:rPr>
          <w:rFonts w:ascii="Verdana" w:eastAsia="Calibri" w:hAnsi="Verdana" w:cs="Arial"/>
          <w:lang w:val="es-ES" w:eastAsia="es-ES"/>
        </w:rPr>
      </w:pPr>
    </w:p>
    <w:p w14:paraId="0BC29C8B" w14:textId="77777777" w:rsidR="00495A4B" w:rsidRDefault="00495A4B" w:rsidP="00495A4B">
      <w:pPr>
        <w:spacing w:after="0"/>
        <w:rPr>
          <w:rFonts w:ascii="Verdana" w:eastAsia="Calibri" w:hAnsi="Verdana" w:cs="Arial"/>
          <w:lang w:val="es-ES" w:eastAsia="es-ES"/>
        </w:rPr>
      </w:pPr>
    </w:p>
    <w:p w14:paraId="43FC443B" w14:textId="77777777" w:rsidR="00495A4B" w:rsidRDefault="00495A4B" w:rsidP="00495A4B">
      <w:pPr>
        <w:spacing w:after="0"/>
        <w:rPr>
          <w:rFonts w:ascii="Verdana" w:eastAsia="Calibri" w:hAnsi="Verdana" w:cs="Arial"/>
          <w:lang w:val="es-ES" w:eastAsia="es-ES"/>
        </w:rPr>
      </w:pPr>
    </w:p>
    <w:p w14:paraId="06AEF2A8" w14:textId="54E80133" w:rsidR="00495A4B" w:rsidRDefault="00492940" w:rsidP="00495A4B">
      <w:pPr>
        <w:spacing w:after="0"/>
        <w:rPr>
          <w:rFonts w:ascii="Verdana" w:eastAsia="Calibri" w:hAnsi="Verdana" w:cs="Arial"/>
          <w:color w:val="000000" w:themeColor="text1"/>
          <w:lang w:eastAsia="es-ES"/>
        </w:rPr>
      </w:pPr>
      <w:r w:rsidRPr="00492940">
        <w:rPr>
          <w:rFonts w:ascii="Verdana" w:eastAsia="Calibri" w:hAnsi="Verdana" w:cs="Arial"/>
          <w:color w:val="000000" w:themeColor="text1"/>
          <w:lang w:eastAsia="es-ES"/>
        </w:rPr>
        <w:lastRenderedPageBreak/>
        <w:t>Bogotá D.C, 17 Julio 2026 </w:t>
      </w:r>
    </w:p>
    <w:p w14:paraId="12CA712A" w14:textId="6382E375" w:rsidR="00492940" w:rsidRPr="004B5B63" w:rsidRDefault="0072450D" w:rsidP="00495A4B">
      <w:pPr>
        <w:spacing w:after="0"/>
        <w:rPr>
          <w:rFonts w:ascii="Verdana" w:hAnsi="Verdana"/>
        </w:rPr>
      </w:pPr>
      <w:r w:rsidRPr="00B15109">
        <w:rPr>
          <w:rFonts w:ascii="Verdana" w:hAnsi="Verdana"/>
          <w:noProof/>
        </w:rPr>
        <w:drawing>
          <wp:anchor distT="0" distB="0" distL="114300" distR="114300" simplePos="0" relativeHeight="251659264" behindDoc="0" locked="0" layoutInCell="1" allowOverlap="1" wp14:anchorId="1E9757EA" wp14:editId="62EE3741">
            <wp:simplePos x="0" y="0"/>
            <wp:positionH relativeFrom="margin">
              <wp:posOffset>3337560</wp:posOffset>
            </wp:positionH>
            <wp:positionV relativeFrom="margin">
              <wp:posOffset>190500</wp:posOffset>
            </wp:positionV>
            <wp:extent cx="2596515" cy="762635"/>
            <wp:effectExtent l="0" t="0" r="0" b="0"/>
            <wp:wrapSquare wrapText="bothSides"/>
            <wp:docPr id="884700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7007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96515" cy="762635"/>
                    </a:xfrm>
                    <a:prstGeom prst="rect">
                      <a:avLst/>
                    </a:prstGeom>
                  </pic:spPr>
                </pic:pic>
              </a:graphicData>
            </a:graphic>
            <wp14:sizeRelH relativeFrom="margin">
              <wp14:pctWidth>0</wp14:pctWidth>
            </wp14:sizeRelH>
            <wp14:sizeRelV relativeFrom="margin">
              <wp14:pctHeight>0</wp14:pctHeight>
            </wp14:sizeRelV>
          </wp:anchor>
        </w:drawing>
      </w:r>
    </w:p>
    <w:p w14:paraId="009FC378" w14:textId="4E3A05EF" w:rsidR="00495A4B" w:rsidRPr="004B5B63" w:rsidRDefault="00495A4B" w:rsidP="00495A4B">
      <w:pPr>
        <w:spacing w:after="0" w:line="240" w:lineRule="auto"/>
        <w:jc w:val="both"/>
        <w:rPr>
          <w:rFonts w:ascii="Verdana" w:eastAsia="Calibri" w:hAnsi="Verdana" w:cs="Arial"/>
          <w:lang w:eastAsia="es-ES"/>
        </w:rPr>
      </w:pPr>
      <w:r w:rsidRPr="004B5B63">
        <w:rPr>
          <w:rFonts w:ascii="Verdana" w:eastAsia="Calibri" w:hAnsi="Verdana" w:cs="Arial"/>
          <w:lang w:eastAsia="es-ES"/>
        </w:rPr>
        <w:t>Señor</w:t>
      </w:r>
    </w:p>
    <w:p w14:paraId="0C1A7B0F" w14:textId="5DE9F088" w:rsidR="00495A4B" w:rsidRPr="004B5B63" w:rsidRDefault="00495A4B" w:rsidP="00495A4B">
      <w:pPr>
        <w:pStyle w:val="Ttulo2"/>
        <w:spacing w:line="240" w:lineRule="auto"/>
        <w:rPr>
          <w:rFonts w:ascii="Verdana" w:eastAsia="Calibri" w:hAnsi="Verdana" w:cs="Arial"/>
          <w:b/>
          <w:bCs/>
          <w:color w:val="auto"/>
          <w:sz w:val="22"/>
          <w:szCs w:val="22"/>
          <w:lang w:eastAsia="es-ES"/>
        </w:rPr>
      </w:pPr>
      <w:r w:rsidRPr="004B5B63">
        <w:rPr>
          <w:rFonts w:ascii="Verdana" w:eastAsia="Calibri" w:hAnsi="Verdana" w:cs="Arial"/>
          <w:b/>
          <w:bCs/>
          <w:color w:val="auto"/>
          <w:sz w:val="22"/>
          <w:szCs w:val="22"/>
          <w:lang w:eastAsia="es-ES"/>
        </w:rPr>
        <w:t>Robinson Cerquera Manchola</w:t>
      </w:r>
    </w:p>
    <w:p w14:paraId="6EEFA538" w14:textId="77777777" w:rsidR="00495A4B" w:rsidRPr="004B5B63" w:rsidRDefault="00495A4B" w:rsidP="00495A4B">
      <w:pPr>
        <w:pStyle w:val="Ttulo2"/>
        <w:spacing w:line="240" w:lineRule="auto"/>
        <w:rPr>
          <w:rFonts w:ascii="Verdana" w:hAnsi="Verdana"/>
          <w:sz w:val="22"/>
          <w:szCs w:val="22"/>
          <w:lang w:eastAsia="es-ES"/>
        </w:rPr>
      </w:pPr>
      <w:hyperlink r:id="rId11" w:history="1">
        <w:r w:rsidRPr="004B5B63">
          <w:rPr>
            <w:rStyle w:val="Hipervnculo"/>
            <w:rFonts w:ascii="Verdana" w:hAnsi="Verdana"/>
            <w:sz w:val="22"/>
            <w:szCs w:val="22"/>
            <w:lang w:eastAsia="es-ES"/>
          </w:rPr>
          <w:t>ing_rocer@hotmail.com</w:t>
        </w:r>
      </w:hyperlink>
    </w:p>
    <w:p w14:paraId="7AA25894" w14:textId="77777777" w:rsidR="00495A4B" w:rsidRDefault="00495A4B" w:rsidP="00495A4B">
      <w:pPr>
        <w:rPr>
          <w:rFonts w:ascii="Verdana" w:hAnsi="Verdana"/>
          <w:lang w:eastAsia="es-ES"/>
        </w:rPr>
      </w:pPr>
      <w:r w:rsidRPr="004B5B63">
        <w:rPr>
          <w:rFonts w:ascii="Verdana" w:hAnsi="Verdana"/>
          <w:lang w:eastAsia="es-ES"/>
        </w:rPr>
        <w:t>Bogotá D.C.</w:t>
      </w:r>
    </w:p>
    <w:p w14:paraId="412D1855" w14:textId="77777777" w:rsidR="00495A4B" w:rsidRPr="005C5558" w:rsidRDefault="00495A4B" w:rsidP="00495A4B">
      <w:pPr>
        <w:rPr>
          <w:rFonts w:ascii="Verdana" w:hAnsi="Verdana"/>
          <w:lang w:eastAsia="es-E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495A4B" w:rsidRPr="0067220C" w14:paraId="486A4936" w14:textId="77777777">
        <w:trPr>
          <w:trHeight w:val="162"/>
        </w:trPr>
        <w:tc>
          <w:tcPr>
            <w:tcW w:w="3119" w:type="dxa"/>
          </w:tcPr>
          <w:p w14:paraId="7A0B4460" w14:textId="77777777" w:rsidR="00495A4B" w:rsidRPr="0067220C" w:rsidRDefault="00495A4B">
            <w:pPr>
              <w:jc w:val="both"/>
              <w:rPr>
                <w:rFonts w:ascii="Verdana" w:eastAsia="Calibri" w:hAnsi="Verdana" w:cs="Arial"/>
                <w:b/>
                <w:bCs/>
                <w:lang w:val="it-CH" w:eastAsia="es-ES_tradnl"/>
              </w:rPr>
            </w:pPr>
          </w:p>
        </w:tc>
        <w:tc>
          <w:tcPr>
            <w:tcW w:w="5670" w:type="dxa"/>
          </w:tcPr>
          <w:p w14:paraId="1D4B0C5D" w14:textId="2A0AF6E9" w:rsidR="00495A4B" w:rsidRPr="0067220C" w:rsidRDefault="00495A4B">
            <w:pPr>
              <w:jc w:val="both"/>
              <w:rPr>
                <w:rFonts w:ascii="Verdana" w:eastAsia="Calibri" w:hAnsi="Verdana" w:cs="Arial"/>
                <w:b/>
                <w:bCs/>
                <w:lang w:eastAsia="es-ES"/>
              </w:rPr>
            </w:pPr>
            <w:r w:rsidRPr="1FAF2E19">
              <w:rPr>
                <w:rFonts w:ascii="Verdana" w:eastAsia="Calibri" w:hAnsi="Verdana" w:cs="Arial"/>
                <w:b/>
                <w:bCs/>
                <w:lang w:eastAsia="es-ES"/>
              </w:rPr>
              <w:t>Concepto C-</w:t>
            </w:r>
            <w:r>
              <w:rPr>
                <w:rFonts w:ascii="Verdana" w:eastAsia="Calibri" w:hAnsi="Verdana" w:cs="Arial"/>
                <w:b/>
                <w:bCs/>
                <w:lang w:eastAsia="es-ES"/>
              </w:rPr>
              <w:t>940</w:t>
            </w:r>
            <w:r w:rsidRPr="1FAF2E19">
              <w:rPr>
                <w:rFonts w:ascii="Verdana" w:eastAsia="Calibri" w:hAnsi="Verdana" w:cs="Arial"/>
                <w:b/>
                <w:bCs/>
                <w:lang w:eastAsia="es-ES"/>
              </w:rPr>
              <w:t xml:space="preserve"> de 2026</w:t>
            </w:r>
          </w:p>
          <w:p w14:paraId="63261E6E" w14:textId="77777777" w:rsidR="00495A4B" w:rsidRPr="0067220C" w:rsidRDefault="00495A4B">
            <w:pPr>
              <w:jc w:val="both"/>
              <w:rPr>
                <w:rFonts w:ascii="Verdana" w:eastAsia="Calibri" w:hAnsi="Verdana" w:cs="Arial"/>
                <w:b/>
                <w:bCs/>
                <w:lang w:eastAsia="es-ES"/>
              </w:rPr>
            </w:pPr>
          </w:p>
        </w:tc>
      </w:tr>
      <w:tr w:rsidR="00495A4B" w:rsidRPr="00055752" w14:paraId="734BA2E5" w14:textId="77777777">
        <w:trPr>
          <w:trHeight w:val="884"/>
        </w:trPr>
        <w:tc>
          <w:tcPr>
            <w:tcW w:w="3119" w:type="dxa"/>
          </w:tcPr>
          <w:p w14:paraId="308781FF" w14:textId="77777777" w:rsidR="00495A4B" w:rsidRPr="0067220C" w:rsidRDefault="00495A4B">
            <w:pPr>
              <w:jc w:val="both"/>
              <w:rPr>
                <w:rFonts w:ascii="Verdana" w:eastAsia="Calibri" w:hAnsi="Verdana" w:cs="Arial"/>
                <w:lang w:eastAsia="es-ES_tradnl"/>
              </w:rPr>
            </w:pPr>
            <w:r w:rsidRPr="0067220C">
              <w:rPr>
                <w:rFonts w:ascii="Verdana" w:eastAsia="Calibri" w:hAnsi="Verdana" w:cs="Arial"/>
                <w:b/>
                <w:lang w:eastAsia="es-ES_tradnl"/>
              </w:rPr>
              <w:t>Temas:</w:t>
            </w:r>
            <w:r w:rsidRPr="0067220C">
              <w:rPr>
                <w:rFonts w:ascii="Verdana" w:eastAsia="Calibri" w:hAnsi="Verdana" w:cs="Arial"/>
                <w:lang w:eastAsia="es-ES_tradnl"/>
              </w:rPr>
              <w:t xml:space="preserve">                  </w:t>
            </w:r>
          </w:p>
        </w:tc>
        <w:tc>
          <w:tcPr>
            <w:tcW w:w="5670" w:type="dxa"/>
          </w:tcPr>
          <w:p w14:paraId="5992E442" w14:textId="77777777" w:rsidR="00495A4B" w:rsidRPr="00A17EA6" w:rsidRDefault="00495A4B">
            <w:pPr>
              <w:jc w:val="both"/>
              <w:rPr>
                <w:rFonts w:ascii="Verdana" w:hAnsi="Verdana" w:cs="Arial"/>
                <w:color w:val="000000" w:themeColor="text1"/>
                <w:lang w:val="es-ES"/>
              </w:rPr>
            </w:pPr>
            <w:r w:rsidRPr="00A17EA6">
              <w:rPr>
                <w:rFonts w:ascii="Verdana" w:hAnsi="Verdana" w:cs="Arial"/>
                <w:color w:val="000000" w:themeColor="text1"/>
                <w:lang w:val="es-ES"/>
              </w:rPr>
              <w:t xml:space="preserve">SUBSANABILIDAD – Aplicación – Regla general – Excepciones / SUBSANABILIDAD – Ley 1882 de 2018 / DOCUMENTOS TIPO – Sector Transporte - Acreditación – Empresas y emprendimientos de mujeres – </w:t>
            </w:r>
            <w:proofErr w:type="spellStart"/>
            <w:r w:rsidRPr="00A17EA6">
              <w:rPr>
                <w:rFonts w:ascii="Verdana" w:hAnsi="Verdana" w:cs="Arial"/>
                <w:color w:val="000000" w:themeColor="text1"/>
                <w:lang w:val="es-ES"/>
              </w:rPr>
              <w:t>Subsanabilidad</w:t>
            </w:r>
            <w:proofErr w:type="spellEnd"/>
            <w:r w:rsidRPr="00A17EA6">
              <w:rPr>
                <w:rFonts w:ascii="Verdana" w:hAnsi="Verdana" w:cs="Arial"/>
                <w:color w:val="000000" w:themeColor="text1"/>
                <w:lang w:val="es-ES"/>
              </w:rPr>
              <w:t xml:space="preserve"> </w:t>
            </w:r>
          </w:p>
        </w:tc>
      </w:tr>
      <w:tr w:rsidR="00495A4B" w:rsidRPr="0067220C" w14:paraId="4821A691" w14:textId="77777777">
        <w:tc>
          <w:tcPr>
            <w:tcW w:w="3119" w:type="dxa"/>
          </w:tcPr>
          <w:p w14:paraId="37B5331D" w14:textId="77777777" w:rsidR="00495A4B" w:rsidRPr="0067220C" w:rsidRDefault="00495A4B">
            <w:pPr>
              <w:jc w:val="both"/>
              <w:rPr>
                <w:rFonts w:ascii="Verdana" w:eastAsia="Calibri" w:hAnsi="Verdana" w:cs="Arial"/>
                <w:b/>
                <w:lang w:eastAsia="es-ES_tradnl"/>
              </w:rPr>
            </w:pPr>
            <w:r w:rsidRPr="0067220C">
              <w:rPr>
                <w:rFonts w:ascii="Verdana" w:eastAsia="Calibri" w:hAnsi="Verdana" w:cs="Arial"/>
                <w:b/>
                <w:lang w:eastAsia="es-ES_tradnl"/>
              </w:rPr>
              <w:t>Radicación:</w:t>
            </w:r>
            <w:r w:rsidRPr="0067220C">
              <w:rPr>
                <w:rFonts w:ascii="Verdana" w:eastAsia="Calibri" w:hAnsi="Verdana" w:cs="Arial"/>
                <w:lang w:eastAsia="es-ES_tradnl"/>
              </w:rPr>
              <w:t xml:space="preserve">               </w:t>
            </w:r>
          </w:p>
        </w:tc>
        <w:tc>
          <w:tcPr>
            <w:tcW w:w="5670" w:type="dxa"/>
          </w:tcPr>
          <w:p w14:paraId="3D76A631" w14:textId="77777777" w:rsidR="00495A4B" w:rsidRPr="00BD0D4C" w:rsidRDefault="00495A4B">
            <w:pPr>
              <w:jc w:val="both"/>
              <w:rPr>
                <w:rFonts w:ascii="Verdana" w:eastAsia="Calibri" w:hAnsi="Verdana" w:cs="Arial"/>
                <w:lang w:eastAsia="es-ES_tradnl"/>
              </w:rPr>
            </w:pPr>
            <w:r w:rsidRPr="0067220C">
              <w:rPr>
                <w:rFonts w:ascii="Verdana" w:eastAsia="Calibri" w:hAnsi="Verdana" w:cs="Arial"/>
                <w:lang w:eastAsia="es-ES_tradnl"/>
              </w:rPr>
              <w:t>Respuesta a consultas con radicado No.</w:t>
            </w:r>
            <w:r>
              <w:t xml:space="preserve"> </w:t>
            </w:r>
            <w:r w:rsidRPr="004B5B63">
              <w:rPr>
                <w:rFonts w:ascii="Verdana" w:eastAsia="Calibri" w:hAnsi="Verdana" w:cs="Arial"/>
                <w:lang w:eastAsia="es-ES_tradnl"/>
              </w:rPr>
              <w:t>1_2026_06_05_007746</w:t>
            </w:r>
          </w:p>
          <w:p w14:paraId="0BD28AA8" w14:textId="77777777" w:rsidR="00495A4B" w:rsidRPr="0067220C" w:rsidRDefault="00495A4B">
            <w:pPr>
              <w:jc w:val="both"/>
              <w:rPr>
                <w:rFonts w:ascii="Verdana" w:eastAsia="Calibri" w:hAnsi="Verdana" w:cs="Arial"/>
                <w:lang w:eastAsia="es-ES_tradnl"/>
              </w:rPr>
            </w:pPr>
          </w:p>
          <w:p w14:paraId="271E153E" w14:textId="77777777" w:rsidR="00495A4B" w:rsidRPr="0067220C" w:rsidRDefault="00495A4B">
            <w:pPr>
              <w:jc w:val="both"/>
              <w:rPr>
                <w:rFonts w:ascii="Verdana" w:eastAsia="Calibri" w:hAnsi="Verdana" w:cs="Arial"/>
                <w:lang w:eastAsia="es-ES_tradnl"/>
              </w:rPr>
            </w:pPr>
          </w:p>
        </w:tc>
      </w:tr>
    </w:tbl>
    <w:p w14:paraId="4DFFE79C" w14:textId="77777777" w:rsidR="00495A4B" w:rsidRPr="0067220C" w:rsidRDefault="00495A4B" w:rsidP="00495A4B">
      <w:pPr>
        <w:spacing w:after="0" w:line="276" w:lineRule="auto"/>
        <w:jc w:val="both"/>
        <w:rPr>
          <w:rFonts w:ascii="Verdana" w:eastAsia="Calibri" w:hAnsi="Verdana" w:cs="Arial"/>
          <w:lang w:eastAsia="es-ES"/>
        </w:rPr>
      </w:pPr>
      <w:r w:rsidRPr="0067220C">
        <w:rPr>
          <w:rFonts w:ascii="Verdana" w:eastAsia="Calibri" w:hAnsi="Verdana" w:cs="Arial"/>
          <w:lang w:eastAsia="es-ES"/>
        </w:rPr>
        <w:t>Estimad</w:t>
      </w:r>
      <w:r>
        <w:rPr>
          <w:rFonts w:ascii="Verdana" w:eastAsia="Calibri" w:hAnsi="Verdana" w:cs="Arial"/>
          <w:lang w:eastAsia="es-ES"/>
        </w:rPr>
        <w:t>a</w:t>
      </w:r>
      <w:r w:rsidRPr="0067220C">
        <w:rPr>
          <w:rFonts w:ascii="Verdana" w:eastAsia="Calibri" w:hAnsi="Verdana" w:cs="Arial"/>
          <w:lang w:eastAsia="es-ES"/>
        </w:rPr>
        <w:t xml:space="preserve"> señor</w:t>
      </w:r>
      <w:r>
        <w:rPr>
          <w:rFonts w:ascii="Verdana" w:eastAsia="Calibri" w:hAnsi="Verdana" w:cs="Arial"/>
          <w:lang w:eastAsia="es-ES"/>
        </w:rPr>
        <w:t xml:space="preserve"> Robinson, </w:t>
      </w:r>
      <w:r w:rsidRPr="0067220C">
        <w:rPr>
          <w:rFonts w:ascii="Verdana" w:eastAsia="Calibri" w:hAnsi="Verdana" w:cs="Arial"/>
          <w:lang w:eastAsia="es-ES"/>
        </w:rPr>
        <w:t xml:space="preserve">cordial Saludo: </w:t>
      </w:r>
    </w:p>
    <w:p w14:paraId="6D652AD4" w14:textId="77777777" w:rsidR="00495A4B" w:rsidRPr="0067220C" w:rsidRDefault="00495A4B" w:rsidP="00495A4B">
      <w:pPr>
        <w:tabs>
          <w:tab w:val="left" w:pos="3768"/>
        </w:tabs>
        <w:spacing w:after="0" w:line="240" w:lineRule="auto"/>
        <w:jc w:val="both"/>
        <w:rPr>
          <w:rFonts w:ascii="Verdana" w:eastAsia="Calibri" w:hAnsi="Verdana" w:cs="Arial"/>
          <w:lang w:eastAsia="es-ES"/>
        </w:rPr>
      </w:pPr>
    </w:p>
    <w:p w14:paraId="5D28FB14" w14:textId="77777777" w:rsidR="00495A4B" w:rsidRPr="008873B2" w:rsidRDefault="00495A4B" w:rsidP="00495A4B">
      <w:pPr>
        <w:tabs>
          <w:tab w:val="left" w:pos="3768"/>
        </w:tabs>
        <w:spacing w:after="0" w:line="276" w:lineRule="auto"/>
        <w:jc w:val="both"/>
        <w:rPr>
          <w:rFonts w:ascii="Verdana" w:eastAsia="Calibri" w:hAnsi="Verdana" w:cs="Arial"/>
          <w:lang w:eastAsia="es-ES"/>
        </w:rPr>
      </w:pPr>
      <w:r w:rsidRPr="0067220C">
        <w:rPr>
          <w:rFonts w:ascii="Verdana" w:eastAsia="Calibri" w:hAnsi="Verdana" w:cs="Arial"/>
          <w:lang w:eastAsia="es-ES"/>
        </w:rPr>
        <w:t>En ejercicio de la competencia otorgada por los artículos 3, numeral 5º, y 11, numeral 8º, del Decreto Ley 4170 de 2011,</w:t>
      </w:r>
      <w:r w:rsidRPr="0067220C">
        <w:rPr>
          <w:rFonts w:ascii="Verdana" w:eastAsia="Arial MT" w:hAnsi="Verdana" w:cs="Arial MT"/>
          <w:lang w:eastAsia="es-ES"/>
        </w:rPr>
        <w:t xml:space="preserve"> </w:t>
      </w:r>
      <w:r w:rsidRPr="0067220C">
        <w:rPr>
          <w:rFonts w:ascii="Verdana" w:hAnsi="Verdana" w:cs="Arial"/>
        </w:rPr>
        <w:t xml:space="preserve">así como lo establecido en la Resolución 469 de 2025 expedida por esta Entidad, </w:t>
      </w:r>
      <w:r w:rsidRPr="0067220C">
        <w:rPr>
          <w:rFonts w:ascii="Verdana" w:eastAsia="Calibri" w:hAnsi="Verdana" w:cs="Arial"/>
          <w:lang w:eastAsia="es-ES"/>
        </w:rPr>
        <w:t xml:space="preserve">la Agencia Nacional de Contratación Pública – Colombia Compra Eficiente– responde su solicitud de consulta de fecha </w:t>
      </w:r>
      <w:r>
        <w:rPr>
          <w:rFonts w:ascii="Verdana" w:eastAsia="Calibri" w:hAnsi="Verdana" w:cs="Arial"/>
          <w:lang w:eastAsia="es-ES"/>
        </w:rPr>
        <w:t xml:space="preserve">05 de junio </w:t>
      </w:r>
      <w:r w:rsidRPr="0067220C">
        <w:rPr>
          <w:rFonts w:ascii="Verdana" w:eastAsia="Calibri" w:hAnsi="Verdana" w:cs="Arial"/>
          <w:lang w:eastAsia="es-ES"/>
        </w:rPr>
        <w:t xml:space="preserve">de 2026, en la cual manifiesta lo siguiente: </w:t>
      </w:r>
    </w:p>
    <w:p w14:paraId="0835160C" w14:textId="77777777" w:rsidR="00495A4B" w:rsidRPr="0067220C" w:rsidRDefault="00495A4B" w:rsidP="00495A4B">
      <w:pPr>
        <w:pStyle w:val="Prrafodelista"/>
        <w:tabs>
          <w:tab w:val="left" w:pos="142"/>
          <w:tab w:val="left" w:pos="284"/>
        </w:tabs>
        <w:spacing w:after="0" w:line="276" w:lineRule="auto"/>
        <w:ind w:left="142"/>
        <w:contextualSpacing w:val="0"/>
        <w:jc w:val="both"/>
        <w:rPr>
          <w:rFonts w:ascii="Verdana" w:eastAsia="Century Gothic" w:hAnsi="Verdana" w:cs="Century Gothic"/>
          <w:b/>
          <w:i/>
          <w:sz w:val="20"/>
          <w:szCs w:val="20"/>
        </w:rPr>
      </w:pPr>
    </w:p>
    <w:p w14:paraId="779B6D6C" w14:textId="77777777" w:rsidR="00495A4B" w:rsidRPr="0067220C" w:rsidRDefault="00495A4B" w:rsidP="00495A4B">
      <w:pPr>
        <w:spacing w:after="0" w:line="240" w:lineRule="auto"/>
        <w:ind w:left="709" w:right="709"/>
        <w:jc w:val="both"/>
        <w:rPr>
          <w:rFonts w:ascii="Verdana" w:eastAsia="Century Gothic" w:hAnsi="Verdana" w:cs="Century Gothic"/>
          <w:i/>
          <w:sz w:val="20"/>
          <w:szCs w:val="20"/>
        </w:rPr>
      </w:pPr>
      <w:bookmarkStart w:id="2" w:name="_Hlk192699624"/>
      <w:bookmarkStart w:id="3" w:name="_Hlk199394899"/>
      <w:r w:rsidRPr="0067220C">
        <w:rPr>
          <w:rFonts w:ascii="Verdana" w:eastAsia="Century Gothic" w:hAnsi="Verdana" w:cs="Century Gothic"/>
          <w:i/>
          <w:sz w:val="20"/>
          <w:szCs w:val="20"/>
        </w:rPr>
        <w:t>“</w:t>
      </w:r>
      <w:bookmarkEnd w:id="2"/>
      <w:bookmarkEnd w:id="3"/>
      <w:r w:rsidRPr="004B5B63">
        <w:rPr>
          <w:rFonts w:ascii="Verdana" w:eastAsia="Century Gothic" w:hAnsi="Verdana" w:cs="Century Gothic"/>
          <w:i/>
          <w:sz w:val="20"/>
          <w:szCs w:val="20"/>
        </w:rPr>
        <w:t>Subsanar la carta de presentación de la oferta, (error o falta de diligenciamiento de la composición accionaria solicitada en la carta de presentación) traería como consecuencia el no otorgamiento de puntaje por empresa de mujere</w:t>
      </w:r>
      <w:r>
        <w:rPr>
          <w:rFonts w:ascii="Verdana" w:eastAsia="Century Gothic" w:hAnsi="Verdana" w:cs="Century Gothic"/>
          <w:i/>
          <w:sz w:val="20"/>
          <w:szCs w:val="20"/>
        </w:rPr>
        <w:t>s</w:t>
      </w:r>
      <w:r w:rsidRPr="0067220C">
        <w:rPr>
          <w:rFonts w:ascii="Verdana" w:eastAsia="Century Gothic" w:hAnsi="Verdana" w:cs="Century Gothic"/>
          <w:i/>
          <w:sz w:val="20"/>
          <w:szCs w:val="20"/>
        </w:rPr>
        <w:t xml:space="preserve">” </w:t>
      </w:r>
    </w:p>
    <w:p w14:paraId="20C1C8BD" w14:textId="77777777" w:rsidR="00495A4B" w:rsidRPr="008E4F36" w:rsidRDefault="00495A4B" w:rsidP="00495A4B">
      <w:pPr>
        <w:spacing w:after="0" w:line="240" w:lineRule="auto"/>
        <w:ind w:right="709"/>
        <w:jc w:val="both"/>
        <w:rPr>
          <w:rFonts w:ascii="Verdana" w:hAnsi="Verdana"/>
          <w:color w:val="218BFC"/>
          <w:sz w:val="20"/>
          <w:szCs w:val="20"/>
        </w:rPr>
      </w:pPr>
    </w:p>
    <w:p w14:paraId="453EC1EB" w14:textId="77777777" w:rsidR="00495A4B" w:rsidRPr="00D21468" w:rsidRDefault="00495A4B" w:rsidP="00495A4B">
      <w:pPr>
        <w:spacing w:before="120" w:after="0" w:line="276" w:lineRule="auto"/>
        <w:ind w:firstLine="709"/>
        <w:jc w:val="both"/>
        <w:rPr>
          <w:rFonts w:ascii="Verdana" w:eastAsia="Calibri" w:hAnsi="Verdana" w:cs="Arial"/>
          <w:lang w:eastAsia="es-ES"/>
        </w:rPr>
      </w:pPr>
      <w:r w:rsidRPr="00D21468">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w:t>
      </w:r>
      <w:r w:rsidRPr="00D21468">
        <w:rPr>
          <w:rFonts w:ascii="Verdana" w:eastAsia="Calibri" w:hAnsi="Verdana" w:cs="Arial"/>
          <w:lang w:eastAsia="es-ES"/>
        </w:rPr>
        <w:lastRenderedPageBreak/>
        <w:t xml:space="preserve">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3A2243F" w14:textId="77777777" w:rsidR="00495A4B" w:rsidRPr="00D21468" w:rsidRDefault="00495A4B" w:rsidP="00495A4B">
      <w:pPr>
        <w:spacing w:before="120" w:after="0" w:line="276" w:lineRule="auto"/>
        <w:ind w:firstLine="709"/>
        <w:jc w:val="both"/>
        <w:rPr>
          <w:rFonts w:ascii="Verdana" w:eastAsia="Calibri" w:hAnsi="Verdana" w:cs="Arial"/>
          <w:lang w:eastAsia="es-ES"/>
        </w:rPr>
      </w:pPr>
      <w:r w:rsidRPr="00D21468">
        <w:rPr>
          <w:rFonts w:ascii="Verdana" w:eastAsia="Calibri" w:hAnsi="Verdana" w:cs="Arial"/>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4E55507D" w14:textId="77777777" w:rsidR="00495A4B" w:rsidRPr="00D21468" w:rsidRDefault="00495A4B" w:rsidP="00495A4B">
      <w:pPr>
        <w:spacing w:after="0"/>
        <w:ind w:firstLine="709"/>
        <w:jc w:val="both"/>
        <w:rPr>
          <w:rFonts w:ascii="Verdana" w:eastAsia="Calibri" w:hAnsi="Verdana" w:cs="Arial"/>
          <w:lang w:eastAsia="es-ES"/>
        </w:rPr>
      </w:pPr>
    </w:p>
    <w:p w14:paraId="39FDAFD1" w14:textId="77777777" w:rsidR="00495A4B" w:rsidRPr="007A337D" w:rsidRDefault="00495A4B" w:rsidP="00495A4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rPr>
      </w:pPr>
      <w:r w:rsidRPr="007A337D">
        <w:rPr>
          <w:rFonts w:ascii="Verdana" w:eastAsia="Century Gothic" w:hAnsi="Verdana" w:cs="Century Gothic"/>
          <w:b/>
        </w:rPr>
        <w:t>Problema planteado:</w:t>
      </w:r>
    </w:p>
    <w:p w14:paraId="544EA7B0" w14:textId="77777777" w:rsidR="00495A4B" w:rsidRPr="007A337D" w:rsidRDefault="00495A4B" w:rsidP="00495A4B">
      <w:pPr>
        <w:spacing w:after="0" w:line="276" w:lineRule="auto"/>
        <w:jc w:val="both"/>
        <w:rPr>
          <w:rFonts w:ascii="Verdana" w:eastAsia="Calibri" w:hAnsi="Verdana" w:cs="Arial"/>
          <w:highlight w:val="yellow"/>
          <w:lang w:eastAsia="es-ES"/>
        </w:rPr>
      </w:pPr>
    </w:p>
    <w:p w14:paraId="6883DEB5" w14:textId="77777777" w:rsidR="00495A4B" w:rsidRPr="008C25D3" w:rsidRDefault="00495A4B" w:rsidP="00495A4B">
      <w:pPr>
        <w:spacing w:after="0" w:line="276" w:lineRule="auto"/>
        <w:jc w:val="both"/>
        <w:rPr>
          <w:rFonts w:ascii="Verdana" w:eastAsia="Century Gothic" w:hAnsi="Verdana" w:cs="Century Gothic"/>
          <w:lang w:val="es-ES"/>
        </w:rPr>
      </w:pPr>
      <w:r w:rsidRPr="007A337D">
        <w:rPr>
          <w:rFonts w:ascii="Verdana" w:eastAsia="Calibri" w:hAnsi="Verdana" w:cs="Arial"/>
          <w:lang w:eastAsia="es-ES"/>
        </w:rPr>
        <w:t xml:space="preserve">De acuerdo con el contenido de su solicitud, esta Agencia resolverá el siguiente problema jurídico: </w:t>
      </w:r>
      <w:r>
        <w:rPr>
          <w:rFonts w:ascii="Verdana" w:eastAsia="Calibri" w:hAnsi="Verdana" w:cs="Arial"/>
          <w:lang w:eastAsia="es-ES"/>
        </w:rPr>
        <w:t xml:space="preserve">I). </w:t>
      </w:r>
      <w:r w:rsidRPr="008C25D3">
        <w:rPr>
          <w:rFonts w:ascii="Verdana" w:eastAsia="Century Gothic" w:hAnsi="Verdana" w:cs="Century Gothic"/>
          <w:lang w:val="es-ES"/>
        </w:rPr>
        <w:t>¿La omisión o error en la información aportada para acreditar la condición de emprendimiento o empresa de mujeres dentro de una oferta puede ser subsanada, o genera la pérdida del puntaje asociado a dicha condición?</w:t>
      </w:r>
    </w:p>
    <w:p w14:paraId="2603A271" w14:textId="77777777" w:rsidR="00495A4B" w:rsidRPr="00253E90" w:rsidRDefault="00495A4B" w:rsidP="00495A4B">
      <w:pPr>
        <w:spacing w:after="0" w:line="276" w:lineRule="auto"/>
        <w:jc w:val="both"/>
        <w:rPr>
          <w:rFonts w:ascii="Verdana" w:eastAsia="Century Gothic" w:hAnsi="Verdana" w:cs="Century Gothic"/>
          <w:b/>
        </w:rPr>
      </w:pPr>
      <w:r w:rsidRPr="007A337D">
        <w:rPr>
          <w:rFonts w:ascii="Verdana" w:eastAsia="Century Gothic" w:hAnsi="Verdana" w:cs="Century Gothic"/>
          <w:b/>
        </w:rPr>
        <w:t>2. Respuesta</w:t>
      </w:r>
      <w:r>
        <w:rPr>
          <w:rFonts w:ascii="Verdana" w:eastAsia="Century Gothic" w:hAnsi="Verdana" w:cs="Century Gothic"/>
          <w:b/>
        </w:rPr>
        <w:t>:</w:t>
      </w:r>
    </w:p>
    <w:tbl>
      <w:tblPr>
        <w:tblStyle w:val="Tablaconcuadrcula"/>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95A4B" w:rsidRPr="008E4F36" w14:paraId="71D0242C" w14:textId="77777777">
        <w:trPr>
          <w:trHeight w:val="5272"/>
        </w:trPr>
        <w:tc>
          <w:tcPr>
            <w:tcW w:w="8828" w:type="dxa"/>
          </w:tcPr>
          <w:p w14:paraId="747B96F9" w14:textId="77777777" w:rsidR="00495A4B" w:rsidRDefault="00495A4B">
            <w:pPr>
              <w:spacing w:after="120" w:line="276" w:lineRule="auto"/>
              <w:jc w:val="both"/>
              <w:rPr>
                <w:rFonts w:ascii="Verdana" w:eastAsia="Times New Roman" w:hAnsi="Verdana" w:cs="Arial"/>
                <w:lang w:val="es-ES" w:eastAsia="es-ES"/>
              </w:rPr>
            </w:pPr>
            <w:r>
              <w:rPr>
                <w:rFonts w:ascii="Verdana" w:hAnsi="Verdana" w:cs="Arial"/>
                <w:color w:val="000000" w:themeColor="text1"/>
                <w:lang w:val="es-ES"/>
              </w:rPr>
              <w:t xml:space="preserve">I). </w:t>
            </w:r>
            <w:r w:rsidRPr="3F2B4452">
              <w:rPr>
                <w:rFonts w:ascii="Verdana" w:hAnsi="Verdana" w:cs="Arial"/>
                <w:noProof/>
                <w:lang w:val="es-ES"/>
              </w:rPr>
              <w:t>L</w:t>
            </w:r>
            <w:r w:rsidRPr="3F2B4452">
              <w:rPr>
                <w:rFonts w:ascii="Verdana" w:eastAsia="Times New Roman" w:hAnsi="Verdana" w:cs="Arial"/>
              </w:rPr>
              <w:t xml:space="preserve">a regla de la </w:t>
            </w:r>
            <w:proofErr w:type="spellStart"/>
            <w:r w:rsidRPr="3F2B4452">
              <w:rPr>
                <w:rFonts w:ascii="Verdana" w:eastAsia="Times New Roman" w:hAnsi="Verdana" w:cs="Arial"/>
              </w:rPr>
              <w:t>subsanabilidad</w:t>
            </w:r>
            <w:proofErr w:type="spellEnd"/>
            <w:r w:rsidRPr="3F2B4452">
              <w:rPr>
                <w:rFonts w:ascii="Verdana" w:eastAsia="Times New Roman" w:hAnsi="Verdana" w:cs="Arial"/>
              </w:rPr>
              <w:t xml:space="preserve"> de las ofertas en los procedimientos de selección</w:t>
            </w:r>
            <w:r w:rsidRPr="3F2B4452">
              <w:rPr>
                <w:rFonts w:ascii="Verdana" w:eastAsia="Times New Roman" w:hAnsi="Verdana" w:cs="Arial"/>
                <w:b/>
                <w:bCs/>
              </w:rPr>
              <w:t xml:space="preserve"> </w:t>
            </w:r>
            <w:r w:rsidRPr="3F2B4452">
              <w:rPr>
                <w:rFonts w:ascii="Verdana" w:eastAsia="Times New Roman" w:hAnsi="Verdana" w:cs="Arial"/>
                <w:lang w:val="es-ES" w:eastAsia="es-ES"/>
              </w:rPr>
              <w:t xml:space="preserve">indica que, por regla general, la falta de entrega y los defectos en la acreditación de los requisitos habilitantes son aspectos subsanables. La excepción </w:t>
            </w:r>
            <w:r>
              <w:rPr>
                <w:rFonts w:ascii="Verdana" w:eastAsia="Times New Roman" w:hAnsi="Verdana" w:cs="Arial"/>
                <w:lang w:val="es-ES" w:eastAsia="es-ES"/>
              </w:rPr>
              <w:t>corresponde</w:t>
            </w:r>
            <w:r w:rsidRPr="3F2B4452">
              <w:rPr>
                <w:rFonts w:ascii="Verdana" w:eastAsia="Times New Roman" w:hAnsi="Verdana" w:cs="Arial"/>
                <w:lang w:val="es-ES" w:eastAsia="es-ES"/>
              </w:rPr>
              <w:t xml:space="preserve">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445BCB10" w14:textId="77777777" w:rsidR="00495A4B" w:rsidRDefault="00495A4B">
            <w:pPr>
              <w:pBdr>
                <w:top w:val="nil"/>
                <w:left w:val="nil"/>
                <w:bottom w:val="nil"/>
                <w:right w:val="nil"/>
                <w:between w:val="nil"/>
              </w:pBdr>
              <w:tabs>
                <w:tab w:val="left" w:pos="284"/>
              </w:tabs>
              <w:spacing w:before="120" w:line="276" w:lineRule="auto"/>
              <w:ind w:firstLine="709"/>
              <w:jc w:val="both"/>
              <w:rPr>
                <w:rFonts w:ascii="Verdana" w:eastAsia="Arial" w:hAnsi="Verdana" w:cs="Arial"/>
                <w:color w:val="000000"/>
              </w:rPr>
            </w:pPr>
            <w:r w:rsidRPr="00C64261">
              <w:rPr>
                <w:rFonts w:ascii="Verdana" w:eastAsia="Arial" w:hAnsi="Verdana" w:cs="Arial"/>
                <w:color w:val="000000"/>
              </w:rPr>
              <w:t xml:space="preserve">El artículo 5 </w:t>
            </w:r>
            <w:r>
              <w:rPr>
                <w:rFonts w:ascii="Verdana" w:eastAsia="Arial" w:hAnsi="Verdana" w:cs="Arial"/>
                <w:color w:val="000000"/>
              </w:rPr>
              <w:t xml:space="preserve">de la Ley 1882 de 2018 </w:t>
            </w:r>
            <w:r w:rsidRPr="00C64261">
              <w:rPr>
                <w:rFonts w:ascii="Verdana" w:eastAsia="Arial" w:hAnsi="Verdana" w:cs="Arial"/>
                <w:color w:val="000000"/>
              </w:rPr>
              <w:t xml:space="preserve">modificó el parágrafo 1º del artículo 5 de la Ley 1150 de 2007 en los siguientes términos: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w:t>
            </w:r>
            <w:r w:rsidRPr="00C64261">
              <w:rPr>
                <w:rFonts w:ascii="Verdana" w:eastAsia="Arial" w:hAnsi="Verdana" w:cs="Arial"/>
                <w:color w:val="000000"/>
              </w:rPr>
              <w:lastRenderedPageBreak/>
              <w:t xml:space="preserve">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108A015A" w14:textId="77777777" w:rsidR="00495A4B" w:rsidRDefault="00495A4B">
            <w:pPr>
              <w:ind w:firstLine="709"/>
              <w:jc w:val="both"/>
              <w:rPr>
                <w:rFonts w:ascii="Verdana" w:eastAsia="Arial" w:hAnsi="Verdana" w:cs="Arial"/>
                <w:color w:val="000000" w:themeColor="text1"/>
              </w:rPr>
            </w:pPr>
          </w:p>
          <w:p w14:paraId="196299B0" w14:textId="77777777" w:rsidR="00495A4B" w:rsidRDefault="00495A4B">
            <w:pPr>
              <w:spacing w:line="276" w:lineRule="auto"/>
              <w:ind w:firstLine="709"/>
              <w:jc w:val="both"/>
              <w:rPr>
                <w:rFonts w:ascii="Verdana" w:eastAsia="Arial" w:hAnsi="Verdana" w:cs="Arial"/>
                <w:color w:val="000000" w:themeColor="text1"/>
              </w:rPr>
            </w:pPr>
            <w:r w:rsidRPr="05E3EA9D">
              <w:rPr>
                <w:rFonts w:ascii="Verdana" w:eastAsia="Arial" w:hAnsi="Verdana" w:cs="Arial"/>
                <w:color w:val="000000" w:themeColor="text1"/>
              </w:rPr>
              <w:t xml:space="preserve">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“cierre del proceso”. </w:t>
            </w:r>
          </w:p>
          <w:p w14:paraId="76AEAD0E" w14:textId="77777777" w:rsidR="00495A4B" w:rsidRDefault="00495A4B">
            <w:pPr>
              <w:spacing w:before="120" w:line="276" w:lineRule="auto"/>
              <w:ind w:firstLine="709"/>
              <w:jc w:val="both"/>
              <w:rPr>
                <w:rFonts w:ascii="Verdana" w:eastAsia="Arial" w:hAnsi="Verdana" w:cs="Arial"/>
                <w:color w:val="000000"/>
              </w:rPr>
            </w:pPr>
            <w:r w:rsidRPr="00C64261">
              <w:rPr>
                <w:rFonts w:ascii="Verdana" w:eastAsia="Arial" w:hAnsi="Verdana" w:cs="Arial"/>
                <w:color w:val="000000"/>
              </w:rPr>
              <w:t xml:space="preserve">Un mejor entendimiento del significado de la expresión “circunstancias ocurridas con posterioridad al cierre del proceso” lleva necesariamente a distinguir entre la prueba de un hecho y el hecho mismo. En el caso de la </w:t>
            </w:r>
            <w:proofErr w:type="spellStart"/>
            <w:r w:rsidRPr="00C64261">
              <w:rPr>
                <w:rFonts w:ascii="Verdana" w:eastAsia="Arial" w:hAnsi="Verdana" w:cs="Arial"/>
                <w:color w:val="000000"/>
              </w:rPr>
              <w:t>subsanabilidad</w:t>
            </w:r>
            <w:proofErr w:type="spellEnd"/>
            <w:r w:rsidRPr="00C64261">
              <w:rPr>
                <w:rFonts w:ascii="Verdana" w:eastAsia="Arial" w:hAnsi="Verdana" w:cs="Arial"/>
                <w:color w:val="000000"/>
              </w:rPr>
              <w:t xml:space="preserve">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w:t>
            </w:r>
          </w:p>
          <w:p w14:paraId="2631F42A" w14:textId="77777777" w:rsidR="00495A4B" w:rsidRDefault="00495A4B">
            <w:pPr>
              <w:spacing w:before="120" w:line="276" w:lineRule="auto"/>
              <w:ind w:firstLine="709"/>
              <w:jc w:val="both"/>
              <w:rPr>
                <w:rFonts w:ascii="Verdana" w:eastAsia="Arial" w:hAnsi="Verdana" w:cs="Arial"/>
                <w:color w:val="000000"/>
                <w:lang w:val="es-ES"/>
              </w:rPr>
            </w:pPr>
            <w:r w:rsidRPr="000D6D43">
              <w:rPr>
                <w:rFonts w:ascii="Verdana" w:eastAsia="Arial" w:hAnsi="Verdana" w:cs="Arial"/>
                <w:color w:val="000000"/>
                <w:lang w:val="es-ES"/>
              </w:rPr>
              <w:t>Visto lo anterior, una vez verificada la ausencia de requisitos y/o documentos de la oferta, para saber si se puede subsanar, la Administración debe determinar si lo omitido corresponde a un documento o información que otorga puntaje y si el cumplimiento del requisito constituye una circunstancia ocurrida con anterioridad o con posterioridad al cierre del proceso. Para arribar a la conclusión de que lo omitido puede subsanarse, se debe establecer que lo omitido no sea un factor que otorgue puntaje y que corresponda a la prueba de una circunstancia o hecho que ocurrió con anterioridad al cierre del proceso.</w:t>
            </w:r>
          </w:p>
          <w:p w14:paraId="6570AF52" w14:textId="77777777" w:rsidR="00495A4B" w:rsidRDefault="00495A4B">
            <w:pPr>
              <w:spacing w:before="120" w:line="276" w:lineRule="auto"/>
              <w:ind w:firstLine="709"/>
              <w:jc w:val="both"/>
              <w:rPr>
                <w:rFonts w:ascii="Verdana" w:eastAsia="Arial" w:hAnsi="Verdana" w:cs="Arial"/>
                <w:color w:val="000000"/>
              </w:rPr>
            </w:pPr>
            <w:r w:rsidRPr="000D6D43">
              <w:rPr>
                <w:rFonts w:ascii="Verdana" w:eastAsia="Arial" w:hAnsi="Verdana" w:cs="Arial"/>
                <w:color w:val="000000"/>
              </w:rPr>
              <w:t>Bajo esta regla, los Documentos Tipo de infraestructura de transporte regulan expresamente el factor de evaluación relacionado con los emprendimientos y empresas de mujeres, asignando un puntaje de cero punto veinticinco (0.25) puntos al proponente que acredite dicha condición, conforme al artículo 2.2.1.2.4.2.14 del Decreto 1082 de 2015. Para obtener este puntaje, el proponente debe diligenciar el Formato 12 – Acreditación de emprendimientos y empresas de mujeres y aportar la documentación exigida para demostrar dicha calidad.</w:t>
            </w:r>
          </w:p>
          <w:p w14:paraId="2F02C23E" w14:textId="77777777" w:rsidR="00495A4B" w:rsidRPr="000D6D43" w:rsidRDefault="00495A4B">
            <w:pPr>
              <w:spacing w:before="120" w:line="276" w:lineRule="auto"/>
              <w:ind w:firstLine="709"/>
              <w:jc w:val="both"/>
              <w:rPr>
                <w:rFonts w:ascii="Verdana" w:eastAsia="Arial" w:hAnsi="Verdana" w:cs="Arial"/>
                <w:color w:val="000000"/>
                <w:lang w:val="es-ES"/>
              </w:rPr>
            </w:pPr>
            <w:r w:rsidRPr="000D6D43">
              <w:rPr>
                <w:rFonts w:ascii="Verdana" w:eastAsia="Arial" w:hAnsi="Verdana" w:cs="Arial"/>
                <w:color w:val="000000"/>
                <w:lang w:val="es-ES"/>
              </w:rPr>
              <w:lastRenderedPageBreak/>
              <w:t xml:space="preserve">No obstante, los mismos Documentos Tipo </w:t>
            </w:r>
            <w:r>
              <w:rPr>
                <w:rFonts w:ascii="Verdana" w:eastAsia="Arial" w:hAnsi="Verdana" w:cs="Arial"/>
                <w:color w:val="000000"/>
                <w:lang w:val="es-ES"/>
              </w:rPr>
              <w:t>señalan</w:t>
            </w:r>
            <w:r w:rsidRPr="000D6D43">
              <w:rPr>
                <w:rFonts w:ascii="Verdana" w:eastAsia="Arial" w:hAnsi="Verdana" w:cs="Arial"/>
                <w:color w:val="000000"/>
                <w:lang w:val="es-ES"/>
              </w:rPr>
              <w:t xml:space="preserve"> que, cuando el proponente deba subsanar la entrega del formato o de los documentos exigidos para acreditar la condición de emprendimiento o empresa de mujeres, dicha subsanación será válida únicamente para efectos del criterio diferencial relacionado con requisitos habilitantes, pero </w:t>
            </w:r>
            <w:r w:rsidRPr="000D6D43">
              <w:rPr>
                <w:rFonts w:ascii="Verdana" w:eastAsia="Arial" w:hAnsi="Verdana" w:cs="Arial"/>
                <w:b/>
                <w:bCs/>
                <w:color w:val="000000"/>
                <w:lang w:val="es-ES"/>
              </w:rPr>
              <w:t>no será tenida en cuenta para la asignación del puntaje</w:t>
            </w:r>
            <w:r w:rsidRPr="000D6D43">
              <w:rPr>
                <w:rFonts w:ascii="Verdana" w:eastAsia="Arial" w:hAnsi="Verdana" w:cs="Arial"/>
                <w:color w:val="000000"/>
                <w:lang w:val="es-ES"/>
              </w:rPr>
              <w:t>, razón por la cual el proponente obtendrá cero (0) puntos por este factor de evaluación.</w:t>
            </w:r>
          </w:p>
          <w:p w14:paraId="17E29C1E" w14:textId="77777777" w:rsidR="00495A4B" w:rsidRDefault="00495A4B">
            <w:pPr>
              <w:spacing w:before="120" w:line="276" w:lineRule="auto"/>
              <w:ind w:firstLine="709"/>
              <w:jc w:val="both"/>
              <w:rPr>
                <w:rFonts w:ascii="Verdana" w:eastAsia="Arial" w:hAnsi="Verdana" w:cs="Arial"/>
                <w:color w:val="000000"/>
                <w:lang w:val="es-ES"/>
              </w:rPr>
            </w:pPr>
            <w:r w:rsidRPr="000D6D43">
              <w:rPr>
                <w:rFonts w:ascii="Verdana" w:eastAsia="Arial" w:hAnsi="Verdana" w:cs="Arial"/>
                <w:color w:val="000000"/>
                <w:lang w:val="es-ES"/>
              </w:rPr>
              <w:t>En consecuencia, una vez identificada la ausencia o inconsistencia de información relacionada con la acreditación de emprendimientos y empresas de mujeres, la Entidad deberá determinar si dicha documentación corresponde a un elemento susceptible de subsanación o si, por el contrario, está relacionada directamente con un factor de asignación de puntaje. Así, aunque la acreditación de esta condición pueda ser subsanable como prueba de una circunstancia preexistente, cuando dicha subsanación se presenta con posterioridad al término inicial de entrega de ofertas, no podrá generar el reconocimiento del puntaje previsto para este factor</w:t>
            </w:r>
          </w:p>
          <w:p w14:paraId="6B8BEB56" w14:textId="77777777" w:rsidR="00495A4B" w:rsidRPr="000D6D43" w:rsidRDefault="00495A4B">
            <w:pPr>
              <w:spacing w:before="120" w:line="276" w:lineRule="auto"/>
              <w:jc w:val="both"/>
              <w:rPr>
                <w:rFonts w:ascii="Verdana" w:eastAsia="Arial" w:hAnsi="Verdana" w:cs="Arial"/>
                <w:color w:val="000000"/>
                <w:lang w:val="es-ES"/>
              </w:rPr>
            </w:pPr>
          </w:p>
        </w:tc>
      </w:tr>
    </w:tbl>
    <w:p w14:paraId="59089568" w14:textId="77777777" w:rsidR="00495A4B" w:rsidRPr="006A31B9" w:rsidRDefault="00495A4B" w:rsidP="00495A4B">
      <w:pPr>
        <w:tabs>
          <w:tab w:val="left" w:pos="142"/>
          <w:tab w:val="left" w:pos="284"/>
        </w:tabs>
        <w:spacing w:after="0" w:line="276" w:lineRule="auto"/>
        <w:jc w:val="both"/>
        <w:rPr>
          <w:rFonts w:ascii="Verdana" w:eastAsia="Century Gothic" w:hAnsi="Verdana" w:cs="Century Gothic"/>
          <w:b/>
        </w:rPr>
      </w:pPr>
    </w:p>
    <w:p w14:paraId="3958A680" w14:textId="77777777" w:rsidR="00495A4B" w:rsidRDefault="00495A4B" w:rsidP="00495A4B">
      <w:pPr>
        <w:tabs>
          <w:tab w:val="left" w:pos="142"/>
          <w:tab w:val="left" w:pos="284"/>
        </w:tabs>
        <w:spacing w:after="0" w:line="276" w:lineRule="auto"/>
        <w:jc w:val="both"/>
        <w:rPr>
          <w:rFonts w:ascii="Verdana" w:eastAsia="Century Gothic" w:hAnsi="Verdana" w:cs="Century Gothic"/>
          <w:b/>
        </w:rPr>
      </w:pPr>
      <w:r w:rsidRPr="006A31B9">
        <w:rPr>
          <w:rFonts w:ascii="Verdana" w:eastAsia="Century Gothic" w:hAnsi="Verdana" w:cs="Century Gothic"/>
          <w:b/>
        </w:rPr>
        <w:t>3. Razones de la respuesta:</w:t>
      </w:r>
    </w:p>
    <w:p w14:paraId="18F84FAC" w14:textId="77777777" w:rsidR="00495A4B" w:rsidRDefault="00495A4B" w:rsidP="00495A4B">
      <w:pPr>
        <w:tabs>
          <w:tab w:val="left" w:pos="142"/>
          <w:tab w:val="left" w:pos="284"/>
        </w:tabs>
        <w:spacing w:after="0" w:line="276" w:lineRule="auto"/>
        <w:jc w:val="both"/>
        <w:rPr>
          <w:rFonts w:ascii="Verdana" w:eastAsia="Century Gothic" w:hAnsi="Verdana" w:cs="Century Gothic"/>
          <w:b/>
        </w:rPr>
      </w:pPr>
    </w:p>
    <w:p w14:paraId="091544CA" w14:textId="77777777" w:rsidR="00495A4B" w:rsidRPr="0055341A" w:rsidDel="004D5F83" w:rsidRDefault="00495A4B" w:rsidP="00495A4B">
      <w:pPr>
        <w:spacing w:after="120" w:line="276" w:lineRule="auto"/>
        <w:jc w:val="both"/>
        <w:rPr>
          <w:rFonts w:ascii="Verdana" w:eastAsia="Times New Roman" w:hAnsi="Verdana" w:cs="Arial"/>
          <w:lang w:val="es-ES" w:eastAsia="es-ES"/>
        </w:rPr>
      </w:pPr>
      <w:r w:rsidRPr="000D6D43">
        <w:rPr>
          <w:rFonts w:ascii="Verdana" w:eastAsia="Century Gothic" w:hAnsi="Verdana" w:cs="Century Gothic"/>
          <w:bCs/>
        </w:rPr>
        <w:t xml:space="preserve">I). </w:t>
      </w:r>
      <w:bookmarkStart w:id="4" w:name="_Hlk204854194"/>
      <w:r w:rsidRPr="3F2B4452">
        <w:rPr>
          <w:rFonts w:ascii="Verdana" w:hAnsi="Verdana" w:cs="Arial"/>
          <w:noProof/>
          <w:lang w:val="es-ES"/>
        </w:rPr>
        <w:t>L</w:t>
      </w:r>
      <w:r w:rsidRPr="3F2B4452">
        <w:rPr>
          <w:rFonts w:ascii="Verdana" w:eastAsia="Times New Roman" w:hAnsi="Verdana" w:cs="Arial"/>
        </w:rPr>
        <w:t xml:space="preserve">a regla de la </w:t>
      </w:r>
      <w:proofErr w:type="spellStart"/>
      <w:r w:rsidRPr="3F2B4452">
        <w:rPr>
          <w:rFonts w:ascii="Verdana" w:eastAsia="Times New Roman" w:hAnsi="Verdana" w:cs="Arial"/>
        </w:rPr>
        <w:t>subsanabilidad</w:t>
      </w:r>
      <w:proofErr w:type="spellEnd"/>
      <w:r w:rsidRPr="3F2B4452">
        <w:rPr>
          <w:rFonts w:ascii="Verdana" w:eastAsia="Times New Roman" w:hAnsi="Verdana" w:cs="Arial"/>
        </w:rPr>
        <w:t xml:space="preserve"> de las ofertas en los procedimientos de selección</w:t>
      </w:r>
      <w:r w:rsidRPr="3F2B4452">
        <w:rPr>
          <w:rFonts w:ascii="Verdana" w:eastAsia="Times New Roman" w:hAnsi="Verdana" w:cs="Arial"/>
          <w:b/>
          <w:bCs/>
        </w:rPr>
        <w:t xml:space="preserve"> </w:t>
      </w:r>
      <w:r w:rsidRPr="3F2B4452">
        <w:rPr>
          <w:rFonts w:ascii="Verdana" w:eastAsia="Times New Roman" w:hAnsi="Verdana" w:cs="Arial"/>
          <w:lang w:val="es-ES" w:eastAsia="es-ES"/>
        </w:rPr>
        <w:t xml:space="preserve">indica que, por regla general, la falta de entrega y los defectos en la acreditación de los requisitos habilitantes son aspectos subsanables. La excepción </w:t>
      </w:r>
      <w:r>
        <w:rPr>
          <w:rFonts w:ascii="Verdana" w:eastAsia="Times New Roman" w:hAnsi="Verdana" w:cs="Arial"/>
          <w:lang w:val="es-ES" w:eastAsia="es-ES"/>
        </w:rPr>
        <w:t>corresponde</w:t>
      </w:r>
      <w:r w:rsidRPr="3F2B4452">
        <w:rPr>
          <w:rFonts w:ascii="Verdana" w:eastAsia="Times New Roman" w:hAnsi="Verdana" w:cs="Arial"/>
          <w:lang w:val="es-ES" w:eastAsia="es-ES"/>
        </w:rPr>
        <w:t xml:space="preserve">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0FFCC1EB" w14:textId="77777777" w:rsidR="00495A4B" w:rsidRDefault="00495A4B" w:rsidP="00495A4B">
      <w:pPr>
        <w:tabs>
          <w:tab w:val="left" w:pos="3828"/>
        </w:tabs>
        <w:spacing w:after="120" w:line="276" w:lineRule="auto"/>
        <w:ind w:firstLine="709"/>
        <w:jc w:val="both"/>
        <w:rPr>
          <w:rFonts w:ascii="Verdana" w:eastAsia="Times New Roman" w:hAnsi="Verdana" w:cs="Arial"/>
          <w:lang w:val="es-ES" w:eastAsia="es-ES"/>
        </w:rPr>
      </w:pPr>
      <w:r w:rsidRPr="37C57DE6">
        <w:rPr>
          <w:rFonts w:ascii="Verdana" w:eastAsia="Times New Roman" w:hAnsi="Verdana" w:cs="Arial"/>
          <w:lang w:val="es-ES" w:eastAsia="es-ES"/>
        </w:rPr>
        <w:t>La posibilidad de enmendar, corregir o subsanar los errores en los que se incurre en los documentos contentivos de la oferta</w:t>
      </w:r>
      <w:r>
        <w:rPr>
          <w:rFonts w:ascii="Verdana" w:eastAsia="Times New Roman" w:hAnsi="Verdana" w:cs="Arial"/>
          <w:lang w:val="es-ES" w:eastAsia="es-ES"/>
        </w:rPr>
        <w:t>,</w:t>
      </w:r>
      <w:r w:rsidRPr="37C57DE6">
        <w:rPr>
          <w:rFonts w:ascii="Verdana" w:eastAsia="Times New Roman" w:hAnsi="Verdana" w:cs="Arial"/>
          <w:lang w:val="es-ES" w:eastAsia="es-ES"/>
        </w:rPr>
        <w:t xml:space="preserve"> es un </w:t>
      </w:r>
      <w:r>
        <w:rPr>
          <w:rFonts w:ascii="Verdana" w:eastAsia="Times New Roman" w:hAnsi="Verdana" w:cs="Arial"/>
          <w:lang w:val="es-ES" w:eastAsia="es-ES"/>
        </w:rPr>
        <w:t xml:space="preserve">asunto </w:t>
      </w:r>
      <w:r w:rsidRPr="37C57DE6">
        <w:rPr>
          <w:rFonts w:ascii="Verdana" w:eastAsia="Times New Roman" w:hAnsi="Verdana" w:cs="Arial"/>
          <w:lang w:val="es-ES" w:eastAsia="es-ES"/>
        </w:rPr>
        <w:t>que ha tenido diferentes momentos o etapas en el ordenamiento jurídico colombiano</w:t>
      </w:r>
      <w:r>
        <w:rPr>
          <w:rFonts w:ascii="Verdana" w:eastAsia="Times New Roman" w:hAnsi="Verdana" w:cs="Arial"/>
          <w:lang w:val="es-ES" w:eastAsia="es-ES"/>
        </w:rPr>
        <w:t xml:space="preserve">. </w:t>
      </w:r>
    </w:p>
    <w:p w14:paraId="6EA80140" w14:textId="77777777" w:rsidR="00495A4B" w:rsidRDefault="00495A4B" w:rsidP="00495A4B">
      <w:pPr>
        <w:spacing w:after="120" w:line="276" w:lineRule="auto"/>
        <w:ind w:firstLine="709"/>
        <w:jc w:val="both"/>
        <w:rPr>
          <w:rFonts w:ascii="Verdana" w:eastAsia="Arial" w:hAnsi="Verdana" w:cs="Arial"/>
          <w:color w:val="000000" w:themeColor="text1"/>
        </w:rPr>
      </w:pPr>
      <w:r w:rsidRPr="05E3EA9D">
        <w:rPr>
          <w:rFonts w:ascii="Verdana" w:eastAsia="Arial" w:hAnsi="Verdana" w:cs="Arial"/>
          <w:color w:val="000000" w:themeColor="text1"/>
        </w:rPr>
        <w:t xml:space="preserve">En un </w:t>
      </w:r>
      <w:r w:rsidRPr="05E3EA9D">
        <w:rPr>
          <w:rFonts w:ascii="Verdana" w:eastAsia="Arial" w:hAnsi="Verdana" w:cs="Arial"/>
          <w:i/>
          <w:color w:val="000000" w:themeColor="text1"/>
        </w:rPr>
        <w:t>primer momento</w:t>
      </w:r>
      <w:r w:rsidRPr="05E3EA9D">
        <w:rPr>
          <w:rFonts w:ascii="Verdana" w:eastAsia="Arial" w:hAnsi="Verdana" w:cs="Arial"/>
          <w:color w:val="000000" w:themeColor="text1"/>
        </w:rPr>
        <w:t xml:space="preserve">, antes de expedirse la Constitución Política de 1991, el régimen jurídico de la </w:t>
      </w:r>
      <w:proofErr w:type="spellStart"/>
      <w:r w:rsidRPr="05E3EA9D">
        <w:rPr>
          <w:rFonts w:ascii="Verdana" w:eastAsia="Arial" w:hAnsi="Verdana" w:cs="Arial"/>
          <w:color w:val="000000" w:themeColor="text1"/>
        </w:rPr>
        <w:t>subsanabilidad</w:t>
      </w:r>
      <w:proofErr w:type="spellEnd"/>
      <w:r w:rsidRPr="05E3EA9D">
        <w:rPr>
          <w:rFonts w:ascii="Verdana" w:eastAsia="Arial" w:hAnsi="Verdana" w:cs="Arial"/>
          <w:color w:val="000000" w:themeColor="text1"/>
        </w:rPr>
        <w:t xml:space="preserve"> de las ofertas estaba compuesto por el Decreto-ley 150 de 1976 y el Decreto-ley 222 de 1983. Bajo el imperio de estas normas, la posibilidad de subsanar errores era prácticamente inexistente, </w:t>
      </w:r>
      <w:r w:rsidRPr="05E3EA9D">
        <w:rPr>
          <w:rFonts w:ascii="Verdana" w:eastAsia="Arial" w:hAnsi="Verdana" w:cs="Arial"/>
          <w:color w:val="000000" w:themeColor="text1"/>
        </w:rPr>
        <w:lastRenderedPageBreak/>
        <w:t xml:space="preserve">debido al excesivo formalismo procedimental que irradiaba la actuación administrativa. En este contexto, por ejemplo, no era extraordinario que una oferta fuera rechazada por no aportar una copia de esta. </w:t>
      </w:r>
    </w:p>
    <w:p w14:paraId="3E44ECE3" w14:textId="77777777" w:rsidR="00495A4B" w:rsidRPr="00166975" w:rsidRDefault="00495A4B" w:rsidP="00495A4B">
      <w:pPr>
        <w:spacing w:before="120" w:after="0" w:line="276" w:lineRule="auto"/>
        <w:ind w:firstLine="709"/>
        <w:jc w:val="both"/>
        <w:rPr>
          <w:rFonts w:ascii="Verdana" w:eastAsia="Arial" w:hAnsi="Verdana" w:cs="Arial"/>
          <w:color w:val="000000" w:themeColor="text1"/>
        </w:rPr>
      </w:pPr>
      <w:r w:rsidRPr="00C64261">
        <w:rPr>
          <w:rFonts w:ascii="Verdana" w:eastAsia="Arial" w:hAnsi="Verdana" w:cs="Arial"/>
          <w:color w:val="000000"/>
        </w:rPr>
        <w:t xml:space="preserve">En un </w:t>
      </w:r>
      <w:r w:rsidRPr="00C64261">
        <w:rPr>
          <w:rFonts w:ascii="Verdana" w:eastAsia="Arial" w:hAnsi="Verdana" w:cs="Arial"/>
          <w:i/>
          <w:color w:val="000000"/>
        </w:rPr>
        <w:t>segundo momento</w:t>
      </w:r>
      <w:r w:rsidRPr="00C64261">
        <w:rPr>
          <w:rFonts w:ascii="Verdana" w:eastAsia="Arial" w:hAnsi="Verdana" w:cs="Arial"/>
          <w:color w:val="000000"/>
        </w:rPr>
        <w:t xml:space="preserve"> se expidió la Ley 80 de 1993, bajo el paradigma que supuso la Constitución de 1991, particularmente en la forma como se relaciona lo formal y lo sustancial en las actuaciones judiciales y administrativas. Este cambio ideológico quedó consignado en el artículo 228, que introdujo el principio de supremacía o prevalencia del derecho sustancial sobre el procedimental. En este nuevo escenario constitucional, el numeral 15 del artículo 25 de la Ley 80 de 1993 dispuso lo siguiente: </w:t>
      </w:r>
    </w:p>
    <w:p w14:paraId="75408505" w14:textId="77777777" w:rsidR="00495A4B" w:rsidRPr="00C64261" w:rsidRDefault="00495A4B" w:rsidP="00495A4B">
      <w:pPr>
        <w:spacing w:after="0" w:line="240" w:lineRule="auto"/>
        <w:jc w:val="both"/>
        <w:rPr>
          <w:rFonts w:ascii="Verdana" w:eastAsia="Arial" w:hAnsi="Verdana" w:cs="Arial"/>
          <w:color w:val="000000"/>
        </w:rPr>
      </w:pPr>
    </w:p>
    <w:p w14:paraId="473C18BC" w14:textId="77777777" w:rsidR="00495A4B" w:rsidRPr="00216288" w:rsidRDefault="00495A4B" w:rsidP="00495A4B">
      <w:pPr>
        <w:spacing w:after="0" w:line="240" w:lineRule="auto"/>
        <w:ind w:left="709" w:right="709"/>
        <w:jc w:val="both"/>
        <w:rPr>
          <w:rFonts w:ascii="Verdana" w:eastAsia="Arial" w:hAnsi="Verdana" w:cs="Arial"/>
          <w:color w:val="000000"/>
          <w:sz w:val="20"/>
          <w:szCs w:val="20"/>
        </w:rPr>
      </w:pPr>
      <w:r w:rsidRPr="00216288">
        <w:rPr>
          <w:rFonts w:ascii="Verdana" w:eastAsia="Arial" w:hAnsi="Verdana" w:cs="Arial"/>
          <w:color w:val="000000"/>
          <w:sz w:val="20"/>
          <w:szCs w:val="20"/>
        </w:rPr>
        <w:t xml:space="preserve">“15. 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678DD151" w14:textId="77777777" w:rsidR="00495A4B" w:rsidRDefault="00495A4B" w:rsidP="00495A4B">
      <w:pPr>
        <w:spacing w:after="0" w:line="240" w:lineRule="auto"/>
        <w:ind w:left="709" w:right="709"/>
        <w:jc w:val="both"/>
        <w:rPr>
          <w:rFonts w:ascii="Verdana" w:eastAsia="Arial" w:hAnsi="Verdana" w:cs="Arial"/>
          <w:color w:val="000000" w:themeColor="text1"/>
          <w:sz w:val="20"/>
          <w:szCs w:val="20"/>
        </w:rPr>
      </w:pPr>
    </w:p>
    <w:p w14:paraId="46A3F547" w14:textId="77777777" w:rsidR="00495A4B" w:rsidRPr="001F283D" w:rsidRDefault="00495A4B" w:rsidP="00495A4B">
      <w:pPr>
        <w:spacing w:after="0" w:line="240" w:lineRule="auto"/>
        <w:ind w:left="709" w:right="709"/>
        <w:jc w:val="both"/>
        <w:rPr>
          <w:rFonts w:ascii="Verdana" w:eastAsia="Arial" w:hAnsi="Verdana" w:cs="Arial"/>
          <w:color w:val="000000"/>
          <w:sz w:val="20"/>
          <w:szCs w:val="20"/>
        </w:rPr>
      </w:pPr>
      <w:r w:rsidRPr="05E3EA9D">
        <w:rPr>
          <w:rFonts w:ascii="Verdana" w:eastAsia="Arial" w:hAnsi="Verdana" w:cs="Arial"/>
          <w:color w:val="000000" w:themeColor="text1"/>
          <w:sz w:val="20"/>
          <w:szCs w:val="20"/>
        </w:rPr>
        <w:t xml:space="preserve">La ausencia de requisitos o la falta de documentos referentes a la futura contratación o al proponente, no necesarios para la comparación de propuestas, no servirá de título suficiente para el rechazo de los ofrecimientos hechos”. </w:t>
      </w:r>
    </w:p>
    <w:p w14:paraId="1B05915E" w14:textId="77777777" w:rsidR="00495A4B" w:rsidRPr="00693ABA" w:rsidRDefault="00495A4B" w:rsidP="00495A4B">
      <w:pPr>
        <w:spacing w:after="0" w:line="240" w:lineRule="auto"/>
        <w:ind w:left="709" w:right="709"/>
        <w:jc w:val="both"/>
        <w:rPr>
          <w:rFonts w:ascii="Verdana" w:eastAsia="Arial" w:hAnsi="Verdana" w:cs="Arial"/>
          <w:color w:val="000000"/>
        </w:rPr>
      </w:pPr>
    </w:p>
    <w:p w14:paraId="3FA67E31" w14:textId="77777777" w:rsidR="00495A4B" w:rsidRDefault="00495A4B" w:rsidP="00495A4B">
      <w:pPr>
        <w:spacing w:after="0" w:line="276" w:lineRule="auto"/>
        <w:ind w:firstLine="709"/>
        <w:jc w:val="both"/>
        <w:rPr>
          <w:rFonts w:ascii="Verdana" w:eastAsia="Arial" w:hAnsi="Verdana" w:cs="Arial"/>
          <w:color w:val="000000"/>
        </w:rPr>
      </w:pPr>
      <w:r w:rsidRPr="05E3EA9D">
        <w:rPr>
          <w:rFonts w:ascii="Verdana" w:eastAsia="Arial" w:hAnsi="Verdana" w:cs="Arial"/>
          <w:color w:val="000000" w:themeColor="text1"/>
        </w:rPr>
        <w:t xml:space="preserve">Bajo el amparo de esta norma, el régimen jurídico de </w:t>
      </w:r>
      <w:proofErr w:type="spellStart"/>
      <w:r w:rsidRPr="05E3EA9D">
        <w:rPr>
          <w:rFonts w:ascii="Verdana" w:eastAsia="Arial" w:hAnsi="Verdana" w:cs="Arial"/>
          <w:color w:val="000000" w:themeColor="text1"/>
        </w:rPr>
        <w:t>subsanabilidad</w:t>
      </w:r>
      <w:proofErr w:type="spellEnd"/>
      <w:r w:rsidRPr="05E3EA9D">
        <w:rPr>
          <w:rFonts w:ascii="Verdana" w:eastAsia="Arial" w:hAnsi="Verdana" w:cs="Arial"/>
          <w:color w:val="000000" w:themeColor="text1"/>
        </w:rPr>
        <w:t xml:space="preserve"> de las ofertas sufre un cambio fundamental, pues ya no era posible rechazar las ofertas por falta de requisitos o documentos que no fueran “</w:t>
      </w:r>
      <w:r w:rsidRPr="05E3EA9D">
        <w:rPr>
          <w:rFonts w:ascii="Verdana" w:eastAsia="Arial" w:hAnsi="Verdana" w:cs="Arial"/>
          <w:i/>
          <w:color w:val="000000" w:themeColor="text1"/>
        </w:rPr>
        <w:t>necesarios para la comparación de propuestas</w:t>
      </w:r>
      <w:r w:rsidRPr="05E3EA9D">
        <w:rPr>
          <w:rFonts w:ascii="Verdana" w:eastAsia="Arial" w:hAnsi="Verdana" w:cs="Arial"/>
          <w:color w:val="000000" w:themeColor="text1"/>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7143FCBB" w14:textId="77777777" w:rsidR="00495A4B" w:rsidRDefault="00495A4B" w:rsidP="00495A4B">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El artículo 25</w:t>
      </w:r>
      <w:r>
        <w:rPr>
          <w:rFonts w:ascii="Verdana" w:eastAsia="Arial" w:hAnsi="Verdana" w:cs="Arial"/>
          <w:color w:val="000000"/>
        </w:rPr>
        <w:t xml:space="preserve"> numeral 1</w:t>
      </w:r>
      <w:r w:rsidRPr="00C64261">
        <w:rPr>
          <w:rFonts w:ascii="Verdana" w:eastAsia="Arial" w:hAnsi="Verdana" w:cs="Arial"/>
          <w:color w:val="000000"/>
        </w:rPr>
        <w:t xml:space="preserve">5 </w:t>
      </w:r>
      <w:r>
        <w:rPr>
          <w:rFonts w:ascii="Verdana" w:eastAsia="Arial" w:hAnsi="Verdana" w:cs="Arial"/>
          <w:color w:val="000000"/>
        </w:rPr>
        <w:t xml:space="preserve">de la Ley 80 de 1993 </w:t>
      </w:r>
      <w:r w:rsidRPr="00C64261">
        <w:rPr>
          <w:rFonts w:ascii="Verdana" w:eastAsia="Arial" w:hAnsi="Verdana" w:cs="Arial"/>
          <w:color w:val="000000"/>
        </w:rPr>
        <w:t>debía leerse en conjunto con otras de</w:t>
      </w:r>
      <w:r>
        <w:rPr>
          <w:rFonts w:ascii="Verdana" w:eastAsia="Arial" w:hAnsi="Verdana" w:cs="Arial"/>
          <w:color w:val="000000"/>
        </w:rPr>
        <w:t>l EGCAP</w:t>
      </w:r>
      <w:r w:rsidRPr="00C64261">
        <w:rPr>
          <w:rFonts w:ascii="Verdana" w:eastAsia="Arial" w:hAnsi="Verdana" w:cs="Arial"/>
          <w:color w:val="000000"/>
        </w:rPr>
        <w:t>, particularmente con el artículo 30</w:t>
      </w:r>
      <w:r>
        <w:rPr>
          <w:rFonts w:ascii="Verdana" w:eastAsia="Arial" w:hAnsi="Verdana" w:cs="Arial"/>
          <w:color w:val="000000"/>
        </w:rPr>
        <w:t xml:space="preserve"> numeral </w:t>
      </w:r>
      <w:r w:rsidRPr="00C64261">
        <w:rPr>
          <w:rFonts w:ascii="Verdana" w:eastAsia="Arial" w:hAnsi="Verdana" w:cs="Arial"/>
          <w:color w:val="000000"/>
        </w:rPr>
        <w:t>7</w:t>
      </w:r>
      <w:r w:rsidRPr="00C64261">
        <w:rPr>
          <w:rFonts w:ascii="Verdana" w:eastAsia="Arial" w:hAnsi="Verdana" w:cs="Arial"/>
          <w:color w:val="000000"/>
          <w:vertAlign w:val="superscript"/>
        </w:rPr>
        <w:footnoteReference w:id="2"/>
      </w:r>
      <w:r w:rsidRPr="00C64261">
        <w:rPr>
          <w:rFonts w:ascii="Verdana" w:eastAsia="Arial" w:hAnsi="Verdana" w:cs="Arial"/>
          <w:color w:val="000000"/>
        </w:rPr>
        <w:t xml:space="preserve">, que ordena a la </w:t>
      </w:r>
      <w:r w:rsidRPr="003C06BF">
        <w:rPr>
          <w:rFonts w:ascii="Verdana" w:eastAsia="Arial" w:hAnsi="Verdana" w:cs="Arial"/>
          <w:color w:val="000000"/>
        </w:rPr>
        <w:t xml:space="preserve">entidad señalar un plazo razonable para evaluar las propuestas y pedir a los proponentes, de ser necesario, que aclaren o expliquen aspectos que ofrezcan </w:t>
      </w:r>
      <w:r w:rsidRPr="003C06BF">
        <w:rPr>
          <w:rFonts w:ascii="Verdana" w:eastAsia="Arial" w:hAnsi="Verdana" w:cs="Arial"/>
          <w:color w:val="000000"/>
        </w:rPr>
        <w:lastRenderedPageBreak/>
        <w:t>dudas y resulten indispensables para hacer la evaluación</w:t>
      </w:r>
      <w:r>
        <w:rPr>
          <w:rFonts w:ascii="Verdana" w:eastAsia="Arial" w:hAnsi="Verdana" w:cs="Arial"/>
          <w:color w:val="000000"/>
        </w:rPr>
        <w:t>. C</w:t>
      </w:r>
      <w:r w:rsidRPr="003C06BF">
        <w:rPr>
          <w:rFonts w:ascii="Verdana" w:eastAsia="Arial" w:hAnsi="Verdana" w:cs="Arial"/>
          <w:color w:val="000000"/>
        </w:rPr>
        <w:t>on el artículo 30</w:t>
      </w:r>
      <w:r>
        <w:rPr>
          <w:rFonts w:ascii="Verdana" w:eastAsia="Arial" w:hAnsi="Verdana" w:cs="Arial"/>
          <w:color w:val="000000"/>
        </w:rPr>
        <w:t xml:space="preserve"> numeral </w:t>
      </w:r>
      <w:r w:rsidRPr="003C06BF">
        <w:rPr>
          <w:rFonts w:ascii="Verdana" w:eastAsia="Arial" w:hAnsi="Verdana" w:cs="Arial"/>
          <w:color w:val="000000"/>
        </w:rPr>
        <w:t>8</w:t>
      </w:r>
      <w:r w:rsidRPr="003C06BF">
        <w:rPr>
          <w:rFonts w:ascii="Verdana" w:eastAsia="Arial" w:hAnsi="Verdana" w:cs="Arial"/>
          <w:color w:val="000000"/>
          <w:vertAlign w:val="superscript"/>
        </w:rPr>
        <w:footnoteReference w:id="3"/>
      </w:r>
      <w:r w:rsidRPr="003C06BF">
        <w:rPr>
          <w:rFonts w:ascii="Verdana" w:eastAsia="Arial" w:hAnsi="Verdana" w:cs="Arial"/>
          <w:color w:val="000000"/>
        </w:rPr>
        <w:t>, que consagró el término de 5 días hábiles para que los oferentes presenten observaciones al informe de evaluación de las propuestas, sin que sea posible completar, adicionar, modificar o mejorar la oferta. A partir de la lectura integrada de estas tres normas</w:t>
      </w:r>
      <w:r>
        <w:rPr>
          <w:rFonts w:ascii="Verdana" w:eastAsia="Arial" w:hAnsi="Verdana" w:cs="Arial"/>
          <w:color w:val="000000"/>
        </w:rPr>
        <w:t>,</w:t>
      </w:r>
      <w:r w:rsidRPr="003C06BF">
        <w:rPr>
          <w:rFonts w:ascii="Verdana" w:eastAsia="Arial" w:hAnsi="Verdana" w:cs="Arial"/>
          <w:color w:val="000000"/>
        </w:rPr>
        <w:t xml:space="preserve"> debía concluirse que con la Ley 80 de 1993 era posible subsanar las propuestas, y la omisión o el error en algún aspecto de la misma no podía llevar a su rechazo, sin antes verificar que lo omitido fuera un aspecto necesario para la comparación.</w:t>
      </w:r>
      <w:r w:rsidRPr="00C64261">
        <w:rPr>
          <w:rFonts w:ascii="Verdana" w:eastAsia="Arial" w:hAnsi="Verdana" w:cs="Arial"/>
          <w:color w:val="000000"/>
        </w:rPr>
        <w:t xml:space="preserve"> </w:t>
      </w:r>
    </w:p>
    <w:p w14:paraId="58439774" w14:textId="77777777" w:rsidR="00495A4B" w:rsidRDefault="00495A4B" w:rsidP="00495A4B">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En un </w:t>
      </w:r>
      <w:r w:rsidRPr="00C64261">
        <w:rPr>
          <w:rFonts w:ascii="Verdana" w:eastAsia="Arial" w:hAnsi="Verdana" w:cs="Arial"/>
          <w:i/>
          <w:color w:val="000000"/>
        </w:rPr>
        <w:t>tercer momento</w:t>
      </w:r>
      <w:r w:rsidRPr="00C64261">
        <w:rPr>
          <w:rFonts w:ascii="Verdana" w:eastAsia="Arial" w:hAnsi="Verdana" w:cs="Arial"/>
          <w:color w:val="000000"/>
        </w:rPr>
        <w:t>, y siguiendo la línea trazada por la Ley 80 de 1993, el legislador expidió la Ley 1150 de 2007, que, en el parágrafo 1º del artículo 5, determinó lo siguiente: “La ausencia de requisitos o la falta de documentos referentes a la futura contratación o al proponente, no necesarios para la comparación de las propuestas no servirán de título suficiente para el rechazo de los ofrecimientos hechos. En consecuencia</w:t>
      </w:r>
      <w:r w:rsidRPr="00C64261">
        <w:rPr>
          <w:rFonts w:ascii="Verdana" w:eastAsia="Arial" w:hAnsi="Verdana" w:cs="Arial"/>
          <w:b/>
          <w:color w:val="000000"/>
        </w:rPr>
        <w:t xml:space="preserve">, </w:t>
      </w:r>
      <w:r w:rsidRPr="00C64261">
        <w:rPr>
          <w:rFonts w:ascii="Verdana" w:eastAsia="Arial" w:hAnsi="Verdana" w:cs="Arial"/>
          <w:color w:val="000000"/>
        </w:rPr>
        <w:t>todos aquellos requisitos de la propuesta que no afecten la asignación de puntaje</w:t>
      </w:r>
      <w:r>
        <w:rPr>
          <w:rFonts w:ascii="Verdana" w:eastAsia="Arial" w:hAnsi="Verdana" w:cs="Arial"/>
          <w:color w:val="000000"/>
        </w:rPr>
        <w:t>,</w:t>
      </w:r>
      <w:r w:rsidRPr="00C64261">
        <w:rPr>
          <w:rFonts w:ascii="Verdana" w:eastAsia="Arial" w:hAnsi="Verdana" w:cs="Arial"/>
          <w:color w:val="000000"/>
        </w:rPr>
        <w:t xml:space="preserve"> podrán ser solicitados por las entidades en cualquier momento, hasta la adjudicación. No obstante lo anterior, en aquellos procesos de selección en los que se utilice el mecanismo de subasta, deberán ser solicitados hasta el momento previo a su realización”. </w:t>
      </w:r>
    </w:p>
    <w:p w14:paraId="3416315B" w14:textId="77777777" w:rsidR="00495A4B" w:rsidRDefault="00495A4B" w:rsidP="00495A4B">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al verificar la Administración encuentra que lo omitido por el proponente es un aspecto que otorga puntaje, no es posible subsanarlo; pero, si no otorga puntaje, la Administración debe requerir al proponente para que lo subsane.  </w:t>
      </w:r>
    </w:p>
    <w:p w14:paraId="52703F55" w14:textId="77777777" w:rsidR="00495A4B" w:rsidRPr="00C64261" w:rsidRDefault="00495A4B" w:rsidP="00495A4B">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El artículo 5 de la Ley 1150 de 2007, además de consagrar un criterio más claro, y, de paso, reducir la discrecionalidad de la Administración, fijó un ámbito </w:t>
      </w:r>
      <w:r w:rsidRPr="00C64261">
        <w:rPr>
          <w:rFonts w:ascii="Verdana" w:eastAsia="Arial" w:hAnsi="Verdana" w:cs="Arial"/>
          <w:color w:val="000000"/>
        </w:rPr>
        <w:lastRenderedPageBreak/>
        <w:t>temporal para la subsanación de las ofertas: “</w:t>
      </w:r>
      <w:r w:rsidRPr="00C64261">
        <w:rPr>
          <w:rFonts w:ascii="Verdana" w:eastAsia="Arial" w:hAnsi="Verdana" w:cs="Arial"/>
          <w:i/>
          <w:color w:val="000000"/>
        </w:rPr>
        <w:t>en cualquier momento, hasta la adjudicación</w:t>
      </w:r>
      <w:r w:rsidRPr="00C64261">
        <w:rPr>
          <w:rFonts w:ascii="Verdana" w:eastAsia="Arial" w:hAnsi="Verdana" w:cs="Arial"/>
          <w:color w:val="000000"/>
        </w:rPr>
        <w:t xml:space="preserve">”. El Consejo de Estado, con particular sindéresis, concluyó que a partir del parágrafo 1º del artículo 5 de la Ley 1150, la definición de lo que es subsanable y lo que no lo es surge a partir del planteamiento de la pregunta sobre si el defecto asigna puntaje o no, en estos términos: </w:t>
      </w:r>
    </w:p>
    <w:p w14:paraId="373A8076" w14:textId="77777777" w:rsidR="00495A4B" w:rsidRPr="00C64261" w:rsidRDefault="00495A4B" w:rsidP="00495A4B">
      <w:pPr>
        <w:spacing w:after="0" w:line="240" w:lineRule="auto"/>
        <w:jc w:val="both"/>
        <w:rPr>
          <w:rFonts w:ascii="Verdana" w:eastAsia="Arial" w:hAnsi="Verdana" w:cs="Arial"/>
          <w:color w:val="000000"/>
        </w:rPr>
      </w:pPr>
    </w:p>
    <w:p w14:paraId="5A5F0DE0" w14:textId="77777777" w:rsidR="00495A4B" w:rsidRPr="00EC0EEB" w:rsidRDefault="00495A4B" w:rsidP="00495A4B">
      <w:pPr>
        <w:spacing w:after="0" w:line="240" w:lineRule="auto"/>
        <w:ind w:left="709" w:right="709"/>
        <w:jc w:val="both"/>
        <w:rPr>
          <w:rFonts w:ascii="Verdana" w:eastAsia="Arial" w:hAnsi="Verdana" w:cs="Arial"/>
          <w:color w:val="000000"/>
          <w:sz w:val="20"/>
          <w:szCs w:val="20"/>
        </w:rPr>
      </w:pPr>
      <w:r w:rsidRPr="003C06BF">
        <w:rPr>
          <w:rFonts w:ascii="Verdana" w:eastAsia="Arial" w:hAnsi="Verdana" w:cs="Arial"/>
          <w:color w:val="000000"/>
          <w:sz w:val="20"/>
          <w:szCs w:val="20"/>
        </w:rPr>
        <w:t>“Esto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a no a problemas de capacidad o a requisitos cumplidos antes o después de presentadas las ofertas, con la condición de que cuando le pidan la acreditación la satisfaga suficientemente”</w:t>
      </w:r>
      <w:r w:rsidRPr="003C06BF">
        <w:rPr>
          <w:rFonts w:ascii="Verdana" w:eastAsia="Arial" w:hAnsi="Verdana" w:cs="Arial"/>
          <w:color w:val="000000"/>
          <w:sz w:val="20"/>
          <w:szCs w:val="20"/>
          <w:vertAlign w:val="superscript"/>
        </w:rPr>
        <w:footnoteReference w:id="4"/>
      </w:r>
      <w:r w:rsidRPr="003C06BF">
        <w:rPr>
          <w:rFonts w:ascii="Verdana" w:eastAsia="Arial" w:hAnsi="Verdana" w:cs="Arial"/>
          <w:color w:val="000000"/>
          <w:sz w:val="20"/>
          <w:szCs w:val="20"/>
        </w:rPr>
        <w:t>.</w:t>
      </w:r>
    </w:p>
    <w:p w14:paraId="0BA43081" w14:textId="77777777" w:rsidR="00495A4B" w:rsidRDefault="00495A4B" w:rsidP="00495A4B">
      <w:pPr>
        <w:pBdr>
          <w:top w:val="nil"/>
          <w:left w:val="nil"/>
          <w:bottom w:val="nil"/>
          <w:right w:val="nil"/>
          <w:between w:val="nil"/>
        </w:pBdr>
        <w:tabs>
          <w:tab w:val="left" w:pos="284"/>
        </w:tabs>
        <w:spacing w:after="0" w:line="276" w:lineRule="auto"/>
        <w:ind w:firstLine="709"/>
        <w:jc w:val="both"/>
        <w:rPr>
          <w:rFonts w:ascii="Verdana" w:eastAsia="Arial" w:hAnsi="Verdana" w:cs="Arial"/>
          <w:color w:val="000000"/>
        </w:rPr>
      </w:pPr>
      <w:r w:rsidRPr="00C64261">
        <w:rPr>
          <w:rFonts w:ascii="Verdana" w:eastAsia="Arial" w:hAnsi="Verdana" w:cs="Arial"/>
          <w:color w:val="000000"/>
        </w:rPr>
        <w:t>Esa interpretación fue compartida por la Agencia Nacional de Contratación Pública – Colombia Compra Eficiente, pues en la Circular Externa Única</w:t>
      </w:r>
      <w:r>
        <w:rPr>
          <w:rStyle w:val="Refdenotaalpie"/>
          <w:rFonts w:ascii="Verdana" w:eastAsia="Arial" w:hAnsi="Verdana" w:cs="Arial"/>
          <w:color w:val="000000"/>
        </w:rPr>
        <w:footnoteReference w:id="5"/>
      </w:r>
      <w:r w:rsidRPr="00C64261">
        <w:rPr>
          <w:rFonts w:ascii="Verdana" w:eastAsia="Arial" w:hAnsi="Verdana" w:cs="Arial"/>
          <w:color w:val="000000"/>
        </w:rPr>
        <w:t xml:space="preserve"> se había precisado que</w:t>
      </w:r>
      <w:r>
        <w:rPr>
          <w:rFonts w:ascii="Verdana" w:eastAsia="Arial" w:hAnsi="Verdana" w:cs="Arial"/>
          <w:color w:val="000000"/>
        </w:rPr>
        <w:t>,</w:t>
      </w:r>
      <w:r w:rsidRPr="00C64261">
        <w:rPr>
          <w:rFonts w:ascii="Verdana" w:eastAsia="Arial" w:hAnsi="Verdana" w:cs="Arial"/>
          <w:color w:val="000000"/>
        </w:rPr>
        <w:t xml:space="preserve"> si durante un proceso de contratación hay proponentes que no acreditaron en sus ofertas requisitos que no afectan la asignación de puntaje o la comparación de las mismas, la entidad estatal deberá indicarlo en el informe de evaluación y advertir que la correspondiente oferta no será evaluada hasta que se subsane.</w:t>
      </w:r>
    </w:p>
    <w:p w14:paraId="34E58E72" w14:textId="77777777" w:rsidR="00495A4B" w:rsidRDefault="00495A4B" w:rsidP="00495A4B">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En un </w:t>
      </w:r>
      <w:r w:rsidRPr="00C64261">
        <w:rPr>
          <w:rFonts w:ascii="Verdana" w:eastAsia="Arial" w:hAnsi="Verdana" w:cs="Arial"/>
          <w:i/>
          <w:color w:val="000000"/>
        </w:rPr>
        <w:t>cuarto momento</w:t>
      </w:r>
      <w:r w:rsidRPr="00C64261">
        <w:rPr>
          <w:rFonts w:ascii="Verdana" w:eastAsia="Arial" w:hAnsi="Verdana" w:cs="Arial"/>
          <w:color w:val="000000"/>
        </w:rPr>
        <w:t xml:space="preserve">, el legislador expidió la Ley 1882 de 2018, con la finalidad de introducir cambios y ajustes para fortalecer la contratación pública. El artículo 5 modificó el parágrafo 1º del artículo 5 de la Ley 1150 de 2007 en los siguientes términos: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w:t>
      </w:r>
      <w:r w:rsidRPr="00C64261">
        <w:rPr>
          <w:rFonts w:ascii="Verdana" w:eastAsia="Arial" w:hAnsi="Verdana" w:cs="Arial"/>
          <w:color w:val="000000"/>
        </w:rPr>
        <w:lastRenderedPageBreak/>
        <w:t xml:space="preserve">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65966D20" w14:textId="77777777" w:rsidR="00495A4B" w:rsidRDefault="00495A4B" w:rsidP="00495A4B">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Como puede observarse, esta norma: i) mantiene el criterio de la Ley 80 de 1993, relativo a que todo lo que no sea necesario para la comparación de propuestas no es título suficiente para su rechazo; </w:t>
      </w:r>
      <w:proofErr w:type="spellStart"/>
      <w:r w:rsidRPr="00C64261">
        <w:rPr>
          <w:rFonts w:ascii="Verdana" w:eastAsia="Arial" w:hAnsi="Verdana" w:cs="Arial"/>
          <w:color w:val="000000"/>
        </w:rPr>
        <w:t>ii</w:t>
      </w:r>
      <w:proofErr w:type="spellEnd"/>
      <w:r w:rsidRPr="00C64261">
        <w:rPr>
          <w:rFonts w:ascii="Verdana" w:eastAsia="Arial" w:hAnsi="Verdana" w:cs="Arial"/>
          <w:color w:val="000000"/>
        </w:rPr>
        <w:t xml:space="preserve">) mantiene el criterio aclaratorio de la Ley 1150 de 2007, según el cual todo lo que no afecte la asignación de puntaje puede subsanarse e </w:t>
      </w:r>
      <w:proofErr w:type="spellStart"/>
      <w:r w:rsidRPr="00C64261">
        <w:rPr>
          <w:rFonts w:ascii="Verdana" w:eastAsia="Arial" w:hAnsi="Verdana" w:cs="Arial"/>
          <w:color w:val="000000"/>
        </w:rPr>
        <w:t>iii</w:t>
      </w:r>
      <w:proofErr w:type="spellEnd"/>
      <w:r w:rsidRPr="00C64261">
        <w:rPr>
          <w:rFonts w:ascii="Verdana" w:eastAsia="Arial" w:hAnsi="Verdana" w:cs="Arial"/>
          <w:color w:val="000000"/>
        </w:rPr>
        <w:t xml:space="preserve">) introduce modificaciones en relación con algunos aspectos que se analizarán a continuación. </w:t>
      </w:r>
    </w:p>
    <w:p w14:paraId="56E549ED" w14:textId="77777777" w:rsidR="00495A4B" w:rsidRDefault="00495A4B" w:rsidP="00495A4B">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w:t>
      </w:r>
      <w:r w:rsidRPr="00C64261">
        <w:rPr>
          <w:rFonts w:ascii="Verdana" w:eastAsia="Arial" w:hAnsi="Verdana" w:cs="Arial"/>
          <w:color w:val="000000"/>
          <w:vertAlign w:val="superscript"/>
        </w:rPr>
        <w:footnoteReference w:id="6"/>
      </w:r>
      <w:r w:rsidRPr="00C64261">
        <w:rPr>
          <w:rFonts w:ascii="Verdana" w:eastAsia="Arial" w:hAnsi="Verdana" w:cs="Arial"/>
          <w:color w:val="000000"/>
        </w:rPr>
        <w:t>; en el último</w:t>
      </w:r>
      <w:r>
        <w:rPr>
          <w:rFonts w:ascii="Verdana" w:eastAsia="Arial" w:hAnsi="Verdana" w:cs="Arial"/>
          <w:color w:val="000000"/>
        </w:rPr>
        <w:t>,</w:t>
      </w:r>
      <w:r w:rsidRPr="00C64261">
        <w:rPr>
          <w:rFonts w:ascii="Verdana" w:eastAsia="Arial" w:hAnsi="Verdana" w:cs="Arial"/>
          <w:color w:val="000000"/>
        </w:rPr>
        <w:t xml:space="preserve"> los documentos o requisitos subsanables pueden y deben solicitarse hasta el momento previo a su realización.</w:t>
      </w:r>
    </w:p>
    <w:p w14:paraId="3551F91E" w14:textId="77777777" w:rsidR="00495A4B" w:rsidRDefault="00495A4B" w:rsidP="00495A4B">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Frente a la regla general, la norma fijó un límite final para que la Administración y los oferentes subsanen los requisitos o documentos que puedan y deban ser subsanados, pero nada impide, y la norma no lo hace, que la Administración requiera al proponente antes de publicar el informe de evaluación. En efecto, la redacción de la norma permite que la Administración solicite a los oferentes subsanar y que estos lo hagan hasta antes del término del traslado del informe de evaluación: “deberán ser solicitados por las entidades estatales y deberán ser entregados por los proponentes hasta el término de traslado del informe de evaluación que corresponda a cada modalidad de selección”. </w:t>
      </w:r>
    </w:p>
    <w:p w14:paraId="24CEBC95" w14:textId="77777777" w:rsidR="00495A4B" w:rsidRDefault="00495A4B" w:rsidP="00495A4B">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lastRenderedPageBreak/>
        <w:t xml:space="preserve">No obstante, de la lectura de este aparte podrían, en la práctica, darse dos interpretaciones que dan lugar a dos formas de proceder en los procesos de selección, en lo que se refiere a la </w:t>
      </w:r>
      <w:proofErr w:type="spellStart"/>
      <w:r w:rsidRPr="00C64261">
        <w:rPr>
          <w:rFonts w:ascii="Verdana" w:eastAsia="Arial" w:hAnsi="Verdana" w:cs="Arial"/>
          <w:color w:val="000000"/>
        </w:rPr>
        <w:t>subsanabilidad</w:t>
      </w:r>
      <w:proofErr w:type="spellEnd"/>
      <w:r w:rsidRPr="00C64261">
        <w:rPr>
          <w:rFonts w:ascii="Verdana" w:eastAsia="Arial" w:hAnsi="Verdana" w:cs="Arial"/>
          <w:color w:val="000000"/>
        </w:rPr>
        <w:t xml:space="preserve"> de las ofertas. </w:t>
      </w:r>
      <w:r w:rsidRPr="00C64261">
        <w:rPr>
          <w:rFonts w:ascii="Verdana" w:eastAsia="Arial" w:hAnsi="Verdana" w:cs="Arial"/>
          <w:i/>
          <w:color w:val="000000"/>
        </w:rPr>
        <w:t>Primera</w:t>
      </w:r>
      <w:r w:rsidRPr="00C64261">
        <w:rPr>
          <w:rFonts w:ascii="Verdana" w:eastAsia="Arial" w:hAnsi="Verdana" w:cs="Arial"/>
          <w:color w:val="000000"/>
        </w:rPr>
        <w:t xml:space="preserve">, que la posibilidad de los oferentes para subsanar es el término del traslado del informe de evaluación, ya que en este documento es donde la Administración establece los requisitos o documentos omitidos que los oferentes deben subsanar, so pena de rechazo; </w:t>
      </w:r>
      <w:r w:rsidRPr="00C64261">
        <w:rPr>
          <w:rFonts w:ascii="Verdana" w:eastAsia="Arial" w:hAnsi="Verdana" w:cs="Arial"/>
          <w:i/>
          <w:color w:val="000000"/>
        </w:rPr>
        <w:t>segunda</w:t>
      </w:r>
      <w:r w:rsidRPr="00C64261">
        <w:rPr>
          <w:rFonts w:ascii="Verdana" w:eastAsia="Arial" w:hAnsi="Verdana" w:cs="Arial"/>
          <w:color w:val="000000"/>
        </w:rPr>
        <w:t xml:space="preserve">, que el término del traslado del informe de evaluación es el límite para la subsanación de ofertas, pero no el único momento para hacerlo. </w:t>
      </w:r>
    </w:p>
    <w:p w14:paraId="2A255AF3" w14:textId="77777777" w:rsidR="00495A4B" w:rsidRDefault="00495A4B" w:rsidP="00495A4B">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De acuerdo con la primera interpretación, el informe de evaluación se convierte en la oportunidad que adopta la Administración para comunicarles a los oferentes qué documentos o requisitos omitieron y deben subsanar y, consecuentemente, el término del traslado es la oportunidad del proponente para cumplir con lo solicitado. La segunda interpretación permitiría que la Administración requiera al oferente durante el proceso de evaluación de las propuestas, tan pronto advierta que hace falta un documento o requisito que se puede subsanar. En este caso, la subsanación se lleva a cabo con anterioridad a la publicación del informe de evaluación, de manera que una vez se publique el informe ya se encuentren subsanadas las propuestas, sin perjuicio del término límite que concedió la ley.</w:t>
      </w:r>
    </w:p>
    <w:p w14:paraId="761EE64E" w14:textId="77777777" w:rsidR="00495A4B" w:rsidRDefault="00495A4B" w:rsidP="00495A4B">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En criterio de esta Subdirección, la segunda interpretación es la que más se ajusta a la norma, pero, además, es la más conveniente para el desarrollo del proceso de selección, porque garantiza que el informe de evaluación presente una comparación de propuestas más depurada y el término de traslado para observaciones al mismo sea una oportunidad en la que se planteen aspectos sustanciales o de fondo a la evaluación, teniendo en cuenta que ya las propuestas estarán consolidadas en lo formal. Subsanar antes del informe de evaluación ofrece mayor seguridad y certeza al proceso de selección, a la Administración y a los oferentes. </w:t>
      </w:r>
    </w:p>
    <w:p w14:paraId="1A7629DC" w14:textId="77777777" w:rsidR="00495A4B" w:rsidRDefault="00495A4B" w:rsidP="00495A4B">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Así pues, 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w:t>
      </w:r>
      <w:r w:rsidRPr="00C64261">
        <w:rPr>
          <w:rFonts w:ascii="Verdana" w:eastAsia="Arial" w:hAnsi="Verdana" w:cs="Arial"/>
          <w:color w:val="000000"/>
        </w:rPr>
        <w:lastRenderedPageBreak/>
        <w:t xml:space="preserve">Administración advierta el defecto le solicite directamente al oferente que subsane. Esta interpretación es más consistente con los principios de economía, transparencia y selección objetiva. </w:t>
      </w:r>
    </w:p>
    <w:p w14:paraId="4230A993" w14:textId="77777777" w:rsidR="00495A4B" w:rsidRDefault="00495A4B" w:rsidP="00495A4B">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De otro lado, el segundo cambio importante de la Ley 1882 de 2018 fue la introducción de un criterio material, directamente relacionado con los aspectos subsanables: “los proponentes no podrán acreditar circunstancias ocurridas con posterioridad al cierre del proceso”</w:t>
      </w:r>
      <w:r w:rsidRPr="00C64261">
        <w:rPr>
          <w:rFonts w:ascii="Verdana" w:eastAsia="Arial" w:hAnsi="Verdana" w:cs="Arial"/>
          <w:b/>
          <w:i/>
          <w:color w:val="000000"/>
        </w:rPr>
        <w:t>.</w:t>
      </w:r>
      <w:r w:rsidRPr="00C64261">
        <w:rPr>
          <w:rFonts w:ascii="Verdana" w:eastAsia="Arial" w:hAnsi="Verdana" w:cs="Arial"/>
          <w:b/>
          <w:color w:val="000000"/>
        </w:rPr>
        <w:t xml:space="preserve"> </w:t>
      </w:r>
      <w:r w:rsidRPr="00C64261">
        <w:rPr>
          <w:rFonts w:ascii="Verdana" w:eastAsia="Arial" w:hAnsi="Verdana" w:cs="Arial"/>
          <w:color w:val="000000"/>
        </w:rPr>
        <w:t xml:space="preserve">Lo anterior ofrece dos aspectos que merecen clarificación: </w:t>
      </w:r>
      <w:r w:rsidRPr="00C64261">
        <w:rPr>
          <w:rFonts w:ascii="Verdana" w:eastAsia="Arial" w:hAnsi="Verdana" w:cs="Arial"/>
          <w:i/>
          <w:color w:val="000000"/>
        </w:rPr>
        <w:t>primero</w:t>
      </w:r>
      <w:r w:rsidRPr="00C64261">
        <w:rPr>
          <w:rFonts w:ascii="Verdana" w:eastAsia="Arial" w:hAnsi="Verdana" w:cs="Arial"/>
          <w:color w:val="000000"/>
        </w:rPr>
        <w:t xml:space="preserve">, qué debe entenderse por circunstancias ocurridas con posterioridad; y </w:t>
      </w:r>
      <w:r w:rsidRPr="00C64261">
        <w:rPr>
          <w:rFonts w:ascii="Verdana" w:eastAsia="Arial" w:hAnsi="Verdana" w:cs="Arial"/>
          <w:i/>
          <w:color w:val="000000"/>
        </w:rPr>
        <w:t>segundo</w:t>
      </w:r>
      <w:r w:rsidRPr="00C64261">
        <w:rPr>
          <w:rFonts w:ascii="Verdana" w:eastAsia="Arial" w:hAnsi="Verdana" w:cs="Arial"/>
          <w:color w:val="000000"/>
        </w:rPr>
        <w:t>, qué es el cierre del proceso.</w:t>
      </w:r>
    </w:p>
    <w:p w14:paraId="5FE63F45" w14:textId="77777777" w:rsidR="00495A4B" w:rsidRPr="00C64261" w:rsidRDefault="00495A4B" w:rsidP="00495A4B">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La Sala de Consulta y Servicio Civil del Consejo de Estado ya había tenido la oportunidad de precisar estas expresiones, a propósito de un concepto en el que se refirió al artículo 10 del derogado Decreto 2474 de 2008</w:t>
      </w:r>
      <w:r w:rsidRPr="00C64261">
        <w:rPr>
          <w:rFonts w:ascii="Verdana" w:eastAsia="Arial" w:hAnsi="Verdana" w:cs="Arial"/>
          <w:color w:val="000000"/>
          <w:vertAlign w:val="superscript"/>
        </w:rPr>
        <w:footnoteReference w:id="7"/>
      </w:r>
      <w:r w:rsidRPr="00C64261">
        <w:rPr>
          <w:rFonts w:ascii="Verdana" w:eastAsia="Arial" w:hAnsi="Verdana" w:cs="Arial"/>
          <w:color w:val="000000"/>
        </w:rPr>
        <w:t xml:space="preserve">, que había determinado que en ningún caso la entidad podía permitir que se acreditaran circunstancias ocurridas con posterioridad al cierre del proceso. El Consejo de Estado precisó que por cierre del proceso debe entenderse el vencimiento del plazo para la presentación de las ofertas y que lo subsanable son las circunstancias que ocurrieron con anterioridad a esa fecha: </w:t>
      </w:r>
    </w:p>
    <w:p w14:paraId="1F16363A" w14:textId="77777777" w:rsidR="00495A4B" w:rsidRPr="00C64261" w:rsidRDefault="00495A4B" w:rsidP="00495A4B">
      <w:pPr>
        <w:spacing w:after="0" w:line="240" w:lineRule="auto"/>
        <w:ind w:left="709" w:right="709"/>
        <w:jc w:val="both"/>
        <w:rPr>
          <w:rFonts w:ascii="Verdana" w:eastAsia="Arial" w:hAnsi="Verdana" w:cs="Arial"/>
          <w:color w:val="000000"/>
        </w:rPr>
      </w:pPr>
    </w:p>
    <w:p w14:paraId="322B01B9" w14:textId="77777777" w:rsidR="00495A4B" w:rsidRPr="00817F71" w:rsidRDefault="00495A4B" w:rsidP="00495A4B">
      <w:pPr>
        <w:spacing w:after="120" w:line="240" w:lineRule="auto"/>
        <w:ind w:left="709" w:right="709"/>
        <w:jc w:val="both"/>
        <w:rPr>
          <w:rFonts w:ascii="Verdana" w:eastAsia="Arial" w:hAnsi="Verdana" w:cs="Arial"/>
          <w:color w:val="000000"/>
          <w:sz w:val="20"/>
          <w:szCs w:val="20"/>
        </w:rPr>
      </w:pPr>
      <w:r w:rsidRPr="00817F71">
        <w:rPr>
          <w:rFonts w:ascii="Verdana" w:eastAsia="Arial" w:hAnsi="Verdana" w:cs="Arial"/>
          <w:color w:val="000000"/>
          <w:sz w:val="20"/>
          <w:szCs w:val="20"/>
        </w:rPr>
        <w:t xml:space="preserve">“Sin embargo, debe tenerse en cuenta que la última norma en cita -Decreto 2474 de 2008, aparte subrayado-, establece un límite a la </w:t>
      </w:r>
      <w:proofErr w:type="spellStart"/>
      <w:r w:rsidRPr="00817F71">
        <w:rPr>
          <w:rFonts w:ascii="Verdana" w:eastAsia="Arial" w:hAnsi="Verdana" w:cs="Arial"/>
          <w:color w:val="000000"/>
          <w:sz w:val="20"/>
          <w:szCs w:val="20"/>
        </w:rPr>
        <w:t>subsanabilidad</w:t>
      </w:r>
      <w:proofErr w:type="spellEnd"/>
      <w:r w:rsidRPr="00817F71">
        <w:rPr>
          <w:rFonts w:ascii="Verdana" w:eastAsia="Arial" w:hAnsi="Verdana" w:cs="Arial"/>
          <w:color w:val="000000"/>
          <w:sz w:val="20"/>
          <w:szCs w:val="20"/>
        </w:rPr>
        <w:t>, puesto que en cualquier caso debe referirse o recaer sobre circunstancias ocurridas antes del cierre del respectivo proceso, esto es, del vencimiento del plazo para presentar ofertas.</w:t>
      </w:r>
    </w:p>
    <w:p w14:paraId="36EDE7F4" w14:textId="77777777" w:rsidR="00495A4B" w:rsidRPr="001F283D" w:rsidRDefault="00495A4B" w:rsidP="00495A4B">
      <w:pPr>
        <w:spacing w:after="0" w:line="240" w:lineRule="auto"/>
        <w:ind w:left="709" w:right="709"/>
        <w:jc w:val="both"/>
        <w:rPr>
          <w:rFonts w:ascii="Verdana" w:eastAsia="Arial" w:hAnsi="Verdana" w:cs="Arial"/>
          <w:color w:val="000000"/>
          <w:sz w:val="20"/>
          <w:szCs w:val="20"/>
        </w:rPr>
      </w:pPr>
      <w:r w:rsidRPr="00817F71">
        <w:rPr>
          <w:rFonts w:ascii="Verdana" w:eastAsia="Arial" w:hAnsi="Verdana" w:cs="Arial"/>
          <w:color w:val="000000"/>
          <w:sz w:val="20"/>
          <w:szCs w:val="20"/>
        </w:rPr>
        <w:lastRenderedPageBreak/>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w:t>
      </w:r>
      <w:r w:rsidRPr="00817F71">
        <w:rPr>
          <w:rFonts w:ascii="Verdana" w:eastAsia="Arial" w:hAnsi="Verdana" w:cs="Arial"/>
          <w:color w:val="000000"/>
          <w:sz w:val="20"/>
          <w:szCs w:val="20"/>
          <w:vertAlign w:val="superscript"/>
        </w:rPr>
        <w:footnoteReference w:id="8"/>
      </w:r>
      <w:r w:rsidRPr="00817F71">
        <w:rPr>
          <w:rFonts w:ascii="Verdana" w:eastAsia="Arial" w:hAnsi="Verdana" w:cs="Arial"/>
          <w:color w:val="000000"/>
          <w:sz w:val="20"/>
          <w:szCs w:val="20"/>
        </w:rPr>
        <w:t>.</w:t>
      </w:r>
    </w:p>
    <w:p w14:paraId="5FE85BFF" w14:textId="77777777" w:rsidR="00495A4B" w:rsidRPr="00693ABA" w:rsidRDefault="00495A4B" w:rsidP="00495A4B">
      <w:pPr>
        <w:spacing w:after="0" w:line="240" w:lineRule="auto"/>
        <w:ind w:left="709" w:right="709"/>
        <w:jc w:val="both"/>
        <w:rPr>
          <w:rFonts w:ascii="Verdana" w:eastAsia="Arial" w:hAnsi="Verdana" w:cs="Arial"/>
          <w:color w:val="000000"/>
        </w:rPr>
      </w:pPr>
    </w:p>
    <w:p w14:paraId="701E361A" w14:textId="77777777" w:rsidR="00495A4B" w:rsidRDefault="00495A4B" w:rsidP="00495A4B">
      <w:pPr>
        <w:spacing w:after="0" w:line="276" w:lineRule="auto"/>
        <w:ind w:firstLine="709"/>
        <w:jc w:val="both"/>
        <w:rPr>
          <w:rFonts w:ascii="Verdana" w:eastAsia="Arial" w:hAnsi="Verdana" w:cs="Arial"/>
          <w:color w:val="000000"/>
        </w:rPr>
      </w:pPr>
      <w:r w:rsidRPr="05E3EA9D">
        <w:rPr>
          <w:rFonts w:ascii="Verdana" w:eastAsia="Arial" w:hAnsi="Verdana" w:cs="Arial"/>
          <w:color w:val="000000" w:themeColor="text1"/>
        </w:rPr>
        <w:t xml:space="preserve">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520E75EF" w14:textId="77777777" w:rsidR="00495A4B" w:rsidRDefault="00495A4B" w:rsidP="00495A4B">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Un mejor entendimiento del significado de la expresión “circunstancias ocurridas con posterioridad al cierre del proceso” lleva necesariamente a distinguir entre la prueba de un hecho y el hecho mismo. En el caso de la </w:t>
      </w:r>
      <w:proofErr w:type="spellStart"/>
      <w:r w:rsidRPr="00C64261">
        <w:rPr>
          <w:rFonts w:ascii="Verdana" w:eastAsia="Arial" w:hAnsi="Verdana" w:cs="Arial"/>
          <w:color w:val="000000"/>
        </w:rPr>
        <w:t>subsanabilidad</w:t>
      </w:r>
      <w:proofErr w:type="spellEnd"/>
      <w:r w:rsidRPr="00C64261">
        <w:rPr>
          <w:rFonts w:ascii="Verdana" w:eastAsia="Arial" w:hAnsi="Verdana" w:cs="Arial"/>
          <w:color w:val="000000"/>
        </w:rPr>
        <w:t xml:space="preserve">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w:t>
      </w:r>
    </w:p>
    <w:p w14:paraId="0FCF40A5" w14:textId="77777777" w:rsidR="00495A4B" w:rsidRDefault="00495A4B" w:rsidP="00495A4B">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Por ejemplo: i) si un oferente olvidó adjuntar con su propuesta el certificado que da cuenta de su inscripción en el RUP, el requisito será </w:t>
      </w:r>
      <w:r w:rsidRPr="00C64261">
        <w:rPr>
          <w:rFonts w:ascii="Verdana" w:eastAsia="Arial" w:hAnsi="Verdana" w:cs="Arial"/>
          <w:color w:val="000000"/>
        </w:rPr>
        <w:lastRenderedPageBreak/>
        <w:t xml:space="preserve">subsanable siempre que la prueba allegada demuestre que el hecho, esto es, la inscripción en el registro, ocurrió con anterioridad al cierre del proceso; </w:t>
      </w:r>
      <w:proofErr w:type="spellStart"/>
      <w:r w:rsidRPr="00C64261">
        <w:rPr>
          <w:rFonts w:ascii="Verdana" w:eastAsia="Arial" w:hAnsi="Verdana" w:cs="Arial"/>
          <w:color w:val="000000"/>
        </w:rPr>
        <w:t>ii</w:t>
      </w:r>
      <w:proofErr w:type="spellEnd"/>
      <w:r w:rsidRPr="00C64261">
        <w:rPr>
          <w:rFonts w:ascii="Verdana" w:eastAsia="Arial" w:hAnsi="Verdana" w:cs="Arial"/>
          <w:color w:val="000000"/>
        </w:rPr>
        <w:t>) si un oferente presentó la propuesta sin aportar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C64261">
        <w:rPr>
          <w:rFonts w:ascii="Verdana" w:eastAsia="Arial" w:hAnsi="Verdana" w:cs="Arial"/>
          <w:color w:val="000000"/>
          <w:vertAlign w:val="superscript"/>
        </w:rPr>
        <w:footnoteReference w:id="9"/>
      </w:r>
      <w:r w:rsidRPr="00C64261">
        <w:rPr>
          <w:rFonts w:ascii="Verdana" w:eastAsia="Arial" w:hAnsi="Verdana" w:cs="Arial"/>
          <w:color w:val="000000"/>
        </w:rPr>
        <w:t xml:space="preserve">; </w:t>
      </w:r>
      <w:proofErr w:type="spellStart"/>
      <w:r w:rsidRPr="00C64261">
        <w:rPr>
          <w:rFonts w:ascii="Verdana" w:eastAsia="Arial" w:hAnsi="Verdana" w:cs="Arial"/>
          <w:color w:val="000000"/>
        </w:rPr>
        <w:t>iii</w:t>
      </w:r>
      <w:proofErr w:type="spellEnd"/>
      <w:r w:rsidRPr="00C64261">
        <w:rPr>
          <w:rFonts w:ascii="Verdana" w:eastAsia="Arial" w:hAnsi="Verdana" w:cs="Arial"/>
          <w:color w:val="000000"/>
        </w:rPr>
        <w:t>) si un oferente no anexó el certificado de existencia y representación legal, el documento aportado con posterioridad debe dar cuenta de que la sociedad existe desde antes del cierre del proceso</w:t>
      </w:r>
      <w:r w:rsidRPr="00C64261">
        <w:rPr>
          <w:rFonts w:ascii="Verdana" w:eastAsia="Arial" w:hAnsi="Verdana" w:cs="Arial"/>
          <w:color w:val="000000"/>
          <w:vertAlign w:val="superscript"/>
        </w:rPr>
        <w:footnoteReference w:id="10"/>
      </w:r>
      <w:r w:rsidRPr="00C64261">
        <w:rPr>
          <w:rFonts w:ascii="Verdana" w:eastAsia="Arial" w:hAnsi="Verdana" w:cs="Arial"/>
          <w:color w:val="000000"/>
        </w:rPr>
        <w:t xml:space="preserve">; </w:t>
      </w:r>
      <w:proofErr w:type="spellStart"/>
      <w:r w:rsidRPr="00C64261">
        <w:rPr>
          <w:rFonts w:ascii="Verdana" w:eastAsia="Arial" w:hAnsi="Verdana" w:cs="Arial"/>
          <w:color w:val="000000"/>
        </w:rPr>
        <w:t>iv</w:t>
      </w:r>
      <w:proofErr w:type="spellEnd"/>
      <w:r w:rsidRPr="00C64261">
        <w:rPr>
          <w:rFonts w:ascii="Verdana" w:eastAsia="Arial" w:hAnsi="Verdana" w:cs="Arial"/>
          <w:color w:val="000000"/>
        </w:rPr>
        <w:t xml:space="preserve">) si un oferente olvidó adjuntar un certificado que demuestra un título universitario, el documento, aunque tenga fecha posterior al cierre del proceso, debe acreditar que el título académico se obtuvo con anterioridad al cierre del proceso; v) si un oferente no aportó un certificado de experiencia, el documento que subsana –sin importar que tenga fecha posterior– debe demostrar que la experiencia que se pretende hacer valer se obtuvo antes de vencerse el término para presentar ofertas, </w:t>
      </w:r>
      <w:r>
        <w:rPr>
          <w:rFonts w:ascii="Verdana" w:eastAsia="Arial" w:hAnsi="Verdana" w:cs="Arial"/>
          <w:color w:val="000000"/>
        </w:rPr>
        <w:t>o</w:t>
      </w:r>
      <w:r w:rsidRPr="00C64261">
        <w:rPr>
          <w:rFonts w:ascii="Verdana" w:eastAsia="Arial" w:hAnsi="Verdana" w:cs="Arial"/>
          <w:color w:val="000000"/>
        </w:rPr>
        <w:t xml:space="preserve"> vi) si el oferente olvidó firmar la propuesta o presentar una copia de ella, puede subsanar sin que se entienda que acreditó una circunstancia ocurrida con posterioridad al cierre del proceso. </w:t>
      </w:r>
    </w:p>
    <w:p w14:paraId="1CEFC639" w14:textId="77777777" w:rsidR="00495A4B" w:rsidRPr="00C64261" w:rsidRDefault="00495A4B" w:rsidP="00495A4B">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Lo anterior quiere decir que no es la prueba –usualmente un documento– lo que debe ser anterior al cierre del proceso, sino el hecho que ella acredita, es decir, ante la solicitud de la Administración de subsanar un requisito, el documento podría estar fechado con posterioridad al vencimiento del término para recibir propuestas, siempre y cuando el hecho que acredite haya ocurrido antes, esto es, que no sea una circunstancia ocurrida con posterioridad al cierre del proceso. Es por ello que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C64261">
        <w:rPr>
          <w:rFonts w:ascii="Verdana" w:eastAsia="Arial" w:hAnsi="Verdana" w:cs="Arial"/>
          <w:color w:val="000000"/>
          <w:vertAlign w:val="superscript"/>
        </w:rPr>
        <w:footnoteReference w:id="11"/>
      </w:r>
      <w:r w:rsidRPr="00C64261">
        <w:rPr>
          <w:rFonts w:ascii="Verdana" w:eastAsia="Arial" w:hAnsi="Verdana" w:cs="Arial"/>
          <w:color w:val="000000"/>
        </w:rPr>
        <w:t xml:space="preserve">. </w:t>
      </w:r>
    </w:p>
    <w:p w14:paraId="359428BD" w14:textId="77777777" w:rsidR="00495A4B" w:rsidRDefault="00495A4B" w:rsidP="00495A4B">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lastRenderedPageBreak/>
        <w:t xml:space="preserve">Visto lo anterior, una vez verificada la ausencia de requisitos y/o documentos de la oferta, para saber si se puede subsanar, la Administración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otorgue puntaje, y la respuesta al segundo interrogante debe dar cuenta de que lo omitido sea la prueba de una circunstancia o hecho que ocurrió con anterioridad al cierre del proceso. </w:t>
      </w:r>
    </w:p>
    <w:p w14:paraId="0FEB9EB3" w14:textId="77777777" w:rsidR="00495A4B" w:rsidRDefault="00495A4B" w:rsidP="00495A4B">
      <w:pPr>
        <w:spacing w:before="120" w:after="0" w:line="276" w:lineRule="auto"/>
        <w:ind w:firstLine="709"/>
        <w:jc w:val="both"/>
        <w:rPr>
          <w:rFonts w:ascii="Verdana" w:eastAsia="Arial" w:hAnsi="Verdana" w:cs="Arial"/>
          <w:color w:val="000000"/>
        </w:rPr>
      </w:pPr>
      <w:r w:rsidRPr="05E3EA9D">
        <w:rPr>
          <w:rFonts w:ascii="Verdana" w:eastAsia="Arial" w:hAnsi="Verdana" w:cs="Arial"/>
          <w:color w:val="000000" w:themeColor="text1"/>
        </w:rPr>
        <w:t>Finalmente, el parágrafo 3 del artículo 5 de la Ley 1882 de 2018 determinó, de manera expresa, que “la no entrega de la garantía de seriedad junto con la propuesta no será subsanable y será causal de rechazo de la misma”, dejando claro que se trata de un documento de obligatoria presentación junto con la propuesta y que materializa los principios de seriedad e irrevocabilidad de la oferta.</w:t>
      </w:r>
    </w:p>
    <w:p w14:paraId="5D33E9CE" w14:textId="77777777" w:rsidR="00495A4B" w:rsidRDefault="00495A4B" w:rsidP="00495A4B">
      <w:pPr>
        <w:spacing w:after="0" w:line="240" w:lineRule="auto"/>
        <w:ind w:firstLine="709"/>
        <w:jc w:val="both"/>
        <w:rPr>
          <w:rFonts w:ascii="Verdana" w:eastAsia="Arial" w:hAnsi="Verdana" w:cs="Arial"/>
          <w:color w:val="000000"/>
        </w:rPr>
      </w:pPr>
    </w:p>
    <w:p w14:paraId="2B9D6731" w14:textId="77777777" w:rsidR="00495A4B" w:rsidRDefault="00495A4B" w:rsidP="00495A4B">
      <w:pPr>
        <w:spacing w:line="276" w:lineRule="auto"/>
        <w:ind w:firstLine="708"/>
        <w:jc w:val="both"/>
        <w:rPr>
          <w:rFonts w:ascii="Verdana" w:eastAsia="Calibri" w:hAnsi="Verdana" w:cs="Arial"/>
        </w:rPr>
      </w:pPr>
      <w:r>
        <w:rPr>
          <w:rFonts w:ascii="Verdana" w:eastAsia="Calibri" w:hAnsi="Verdana" w:cs="Arial"/>
        </w:rPr>
        <w:t>Por otro lado, el</w:t>
      </w:r>
      <w:r w:rsidRPr="00E85A8F">
        <w:rPr>
          <w:rFonts w:ascii="Verdana" w:eastAsia="Calibri" w:hAnsi="Verdana" w:cs="Arial"/>
        </w:rPr>
        <w:t xml:space="preserve"> Manual para determinar y verificar los requisitos habilitantes en los Procesos de Contratación, elaborado por Colombia Compra Eficiente</w:t>
      </w:r>
      <w:r>
        <w:rPr>
          <w:rStyle w:val="Refdenotaalpie"/>
          <w:rFonts w:ascii="Verdana" w:eastAsia="Calibri" w:hAnsi="Verdana" w:cs="Arial"/>
        </w:rPr>
        <w:footnoteReference w:id="12"/>
      </w:r>
      <w:r w:rsidRPr="00E85A8F">
        <w:rPr>
          <w:rFonts w:ascii="Verdana" w:eastAsia="Calibri" w:hAnsi="Verdana" w:cs="Arial"/>
        </w:rPr>
        <w:t xml:space="preserve">, constituye una herramienta técnica fundamental para las entidades estatales y los proponentes, ya que establece criterios claros y uniformes sobre cómo definir, exigir y verificar los requisitos habilitantes en los distintos procesos de selección. Este manual orienta a las entidades para que dichos requisitos respondan a la naturaleza del objeto contractual, se ajusten al principio de proporcionalidad y no constituyan barreras injustificadas al acceso. Además, delimita con precisión cuáles documentos pueden ser objeto de subsanación, brindando seguridad jurídica en la evaluación de ofertas. </w:t>
      </w:r>
    </w:p>
    <w:p w14:paraId="508C9718" w14:textId="77777777" w:rsidR="00495A4B" w:rsidRDefault="00495A4B" w:rsidP="00495A4B">
      <w:pPr>
        <w:spacing w:line="276" w:lineRule="auto"/>
        <w:ind w:firstLine="708"/>
        <w:jc w:val="both"/>
        <w:rPr>
          <w:rFonts w:ascii="Verdana" w:eastAsia="Calibri" w:hAnsi="Verdana" w:cs="Arial"/>
          <w:lang w:val="es-ES" w:eastAsia="es-ES"/>
        </w:rPr>
      </w:pPr>
      <w:r w:rsidRPr="00E7221E">
        <w:rPr>
          <w:rFonts w:ascii="Verdana" w:eastAsia="Calibri" w:hAnsi="Verdana" w:cs="Arial"/>
          <w:lang w:val="es-ES" w:eastAsia="es-ES"/>
        </w:rPr>
        <w:t xml:space="preserve">Ahora bien, tratándose de los procesos regidos por los Documentos Tipo </w:t>
      </w:r>
      <w:r>
        <w:rPr>
          <w:rFonts w:ascii="Verdana" w:eastAsia="Calibri" w:hAnsi="Verdana" w:cs="Arial"/>
          <w:lang w:val="es-ES" w:eastAsia="es-ES"/>
        </w:rPr>
        <w:t xml:space="preserve">y a modo de ejemplo, los del sector </w:t>
      </w:r>
      <w:r w:rsidRPr="00E7221E">
        <w:rPr>
          <w:rFonts w:ascii="Verdana" w:eastAsia="Calibri" w:hAnsi="Verdana" w:cs="Arial"/>
          <w:lang w:val="es-ES" w:eastAsia="es-ES"/>
        </w:rPr>
        <w:t>de infraestructura de transporte, estos establecen reglas específicas respecto de la acreditación de la condición de emprendimientos y empresas de mujeres como factor de asignación de puntaje. En particular, el numeral 4.6 de los Documentos Tipo señala:</w:t>
      </w:r>
    </w:p>
    <w:p w14:paraId="3C8D5AD2" w14:textId="77777777" w:rsidR="00495A4B" w:rsidRPr="002A605F" w:rsidRDefault="00495A4B" w:rsidP="00495A4B">
      <w:pPr>
        <w:spacing w:line="276" w:lineRule="auto"/>
        <w:ind w:right="709" w:firstLine="708"/>
        <w:jc w:val="both"/>
        <w:rPr>
          <w:rFonts w:ascii="Verdana" w:eastAsia="Calibri" w:hAnsi="Verdana" w:cs="Arial"/>
          <w:sz w:val="21"/>
          <w:szCs w:val="21"/>
          <w:lang w:val="es-ES"/>
        </w:rPr>
      </w:pPr>
      <w:r>
        <w:rPr>
          <w:rFonts w:ascii="Verdana" w:eastAsia="Calibri" w:hAnsi="Verdana" w:cs="Arial"/>
          <w:sz w:val="21"/>
          <w:szCs w:val="21"/>
          <w:lang w:val="es-ES"/>
        </w:rPr>
        <w:lastRenderedPageBreak/>
        <w:t>“</w:t>
      </w:r>
      <w:r w:rsidRPr="002A605F">
        <w:rPr>
          <w:rFonts w:ascii="Verdana" w:eastAsia="Calibri" w:hAnsi="Verdana" w:cs="Arial"/>
          <w:sz w:val="21"/>
          <w:szCs w:val="21"/>
          <w:lang w:val="es-ES"/>
        </w:rPr>
        <w:t>4.6 EMPRENDIMIENTOS Y EMPRESAS DE MUJERES</w:t>
      </w:r>
    </w:p>
    <w:p w14:paraId="15E201BC" w14:textId="77777777" w:rsidR="00495A4B" w:rsidRPr="002A605F" w:rsidRDefault="00495A4B" w:rsidP="00495A4B">
      <w:pPr>
        <w:spacing w:line="276" w:lineRule="auto"/>
        <w:ind w:left="709" w:right="709"/>
        <w:jc w:val="both"/>
        <w:rPr>
          <w:rFonts w:ascii="Verdana" w:eastAsia="Calibri" w:hAnsi="Verdana" w:cs="Arial"/>
          <w:sz w:val="21"/>
          <w:szCs w:val="21"/>
          <w:lang w:val="es-ES"/>
        </w:rPr>
      </w:pPr>
      <w:r w:rsidRPr="002A605F">
        <w:rPr>
          <w:rFonts w:ascii="Verdana" w:eastAsia="Calibri" w:hAnsi="Verdana" w:cs="Arial"/>
          <w:sz w:val="21"/>
          <w:szCs w:val="21"/>
          <w:lang w:val="es-ES"/>
        </w:rPr>
        <w:t xml:space="preserve">La Entidad asignará un puntaje de </w:t>
      </w:r>
      <w:proofErr w:type="gramStart"/>
      <w:r w:rsidRPr="002A605F">
        <w:rPr>
          <w:rFonts w:ascii="Verdana" w:eastAsia="Calibri" w:hAnsi="Verdana" w:cs="Arial"/>
          <w:sz w:val="21"/>
          <w:szCs w:val="21"/>
          <w:lang w:val="es-ES"/>
        </w:rPr>
        <w:t>cero punto</w:t>
      </w:r>
      <w:proofErr w:type="gramEnd"/>
      <w:r w:rsidRPr="002A605F">
        <w:rPr>
          <w:rFonts w:ascii="Verdana" w:eastAsia="Calibri" w:hAnsi="Verdana" w:cs="Arial"/>
          <w:sz w:val="21"/>
          <w:szCs w:val="21"/>
          <w:lang w:val="es-ES"/>
        </w:rPr>
        <w:t xml:space="preserve"> veinticinco (0.25) puntos al Proponente que acredite la calidad de emprendimientos y empresas de mujeres con domicilio en el territorio nacional de conformidad con lo previsto en el artículo 2.2.1.2.4.2.14. del Decreto 1082 de 2015 o la norma que lo modifique, sustituya o complemente.</w:t>
      </w:r>
    </w:p>
    <w:p w14:paraId="1A693BCD" w14:textId="77777777" w:rsidR="00495A4B" w:rsidRPr="002A605F" w:rsidRDefault="00495A4B" w:rsidP="00495A4B">
      <w:pPr>
        <w:spacing w:line="276" w:lineRule="auto"/>
        <w:ind w:left="709" w:right="709"/>
        <w:jc w:val="both"/>
        <w:rPr>
          <w:rFonts w:ascii="Verdana" w:eastAsia="Calibri" w:hAnsi="Verdana" w:cs="Arial"/>
          <w:sz w:val="21"/>
          <w:szCs w:val="21"/>
          <w:lang w:val="es-ES"/>
        </w:rPr>
      </w:pPr>
      <w:r w:rsidRPr="002A605F">
        <w:rPr>
          <w:rFonts w:ascii="Verdana" w:eastAsia="Calibri" w:hAnsi="Verdana" w:cs="Arial"/>
          <w:sz w:val="21"/>
          <w:szCs w:val="21"/>
          <w:lang w:val="es-ES"/>
        </w:rPr>
        <w:t>Para que el Proponente obtenga este puntaje debe diligenciar el Formato 12 – Acreditación de emprendimientos y empresas de mujeres y aportar la documentación requerida. Si el Proponente debió subsanar la entrega de dicho formato y/o los documentos exigidos para probar esta condición será válido para el criterio diferencial en cuanto al requisito habilitante relacionado con el número de contratos aportados para demostrar la experiencia solicitada. Sin embargo, no se tendrán en cuenta para la asignación de puntaje, por lo que obtendrá cero (0) puntos por este factor de evaluación.</w:t>
      </w:r>
    </w:p>
    <w:p w14:paraId="5227EB48" w14:textId="77777777" w:rsidR="00495A4B" w:rsidRPr="002A605F" w:rsidRDefault="00495A4B" w:rsidP="00495A4B">
      <w:pPr>
        <w:spacing w:line="276" w:lineRule="auto"/>
        <w:ind w:left="709" w:right="709"/>
        <w:jc w:val="both"/>
        <w:rPr>
          <w:rFonts w:ascii="Verdana" w:eastAsia="Calibri" w:hAnsi="Verdana" w:cs="Arial"/>
          <w:sz w:val="21"/>
          <w:szCs w:val="21"/>
          <w:lang w:val="es-ES"/>
        </w:rPr>
      </w:pPr>
      <w:r w:rsidRPr="002A605F">
        <w:rPr>
          <w:rFonts w:ascii="Verdana" w:eastAsia="Calibri" w:hAnsi="Verdana" w:cs="Arial"/>
          <w:sz w:val="21"/>
          <w:szCs w:val="21"/>
          <w:lang w:val="es-ES"/>
        </w:rPr>
        <w:t>Tratándose de Proponentes Plurales este puntaje solo se otorgará si por lo menos uno de los integrantes acredita la calidad de emprendimientos y empresas de mujeres y tiene una participación igual o superior al diez por ciento (10 %) en el Consorcio o en la Unión Temporal.</w:t>
      </w:r>
    </w:p>
    <w:p w14:paraId="607A11C1" w14:textId="77777777" w:rsidR="00495A4B" w:rsidRPr="00E7221E" w:rsidRDefault="00495A4B" w:rsidP="00495A4B">
      <w:pPr>
        <w:spacing w:line="276" w:lineRule="auto"/>
        <w:ind w:left="709" w:right="709"/>
        <w:jc w:val="both"/>
        <w:rPr>
          <w:rFonts w:ascii="Verdana" w:eastAsia="Calibri" w:hAnsi="Verdana" w:cs="Arial"/>
          <w:sz w:val="21"/>
          <w:szCs w:val="21"/>
          <w:lang w:val="es-ES"/>
        </w:rPr>
      </w:pPr>
      <w:r w:rsidRPr="002A605F">
        <w:rPr>
          <w:rFonts w:ascii="Verdana" w:eastAsia="Calibri" w:hAnsi="Verdana" w:cs="Arial"/>
          <w:sz w:val="21"/>
          <w:szCs w:val="21"/>
          <w:lang w:val="es-ES"/>
        </w:rPr>
        <w:t xml:space="preserve">La asignación de este puntaje no excluye la aplicación del puntaje para </w:t>
      </w:r>
      <w:proofErr w:type="spellStart"/>
      <w:r w:rsidRPr="002A605F">
        <w:rPr>
          <w:rFonts w:ascii="Verdana" w:eastAsia="Calibri" w:hAnsi="Verdana" w:cs="Arial"/>
          <w:sz w:val="21"/>
          <w:szCs w:val="21"/>
          <w:lang w:val="es-ES"/>
        </w:rPr>
        <w:t>Mipyme</w:t>
      </w:r>
      <w:proofErr w:type="spellEnd"/>
      <w:r>
        <w:rPr>
          <w:rFonts w:ascii="Verdana" w:eastAsia="Calibri" w:hAnsi="Verdana" w:cs="Arial"/>
          <w:sz w:val="21"/>
          <w:szCs w:val="21"/>
          <w:lang w:val="es-ES"/>
        </w:rPr>
        <w:t>”.</w:t>
      </w:r>
    </w:p>
    <w:p w14:paraId="460808D5" w14:textId="77777777" w:rsidR="00495A4B" w:rsidRPr="00EA783B" w:rsidRDefault="00495A4B" w:rsidP="00495A4B">
      <w:pPr>
        <w:spacing w:after="120" w:line="276" w:lineRule="auto"/>
        <w:jc w:val="both"/>
        <w:rPr>
          <w:rFonts w:ascii="Verdana" w:eastAsia="Calibri" w:hAnsi="Verdana" w:cs="Arial"/>
          <w:lang w:val="es-ES" w:eastAsia="es-ES"/>
        </w:rPr>
      </w:pPr>
      <w:r w:rsidRPr="00E7221E">
        <w:rPr>
          <w:rFonts w:ascii="Verdana" w:eastAsia="Calibri" w:hAnsi="Verdana" w:cs="Arial"/>
          <w:lang w:val="es-ES" w:eastAsia="es-ES"/>
        </w:rPr>
        <w:t>De esta manera, los Documentos Tipo establecen una regla especial frente a la subsanación de los documentos destinados a acreditar la condición de emprendimiento o empresa de mujeres, permitiendo su corrección para efectos distintos a la asignación de puntaje, pero excluyendo expresamente la posibilidad de obtener el beneficio cuando dicha acreditación fue aportada mediante subsanación.</w:t>
      </w:r>
      <w:bookmarkEnd w:id="4"/>
    </w:p>
    <w:p w14:paraId="3D47A68D" w14:textId="77777777" w:rsidR="00495A4B" w:rsidRDefault="00495A4B" w:rsidP="00495A4B">
      <w:pPr>
        <w:tabs>
          <w:tab w:val="left" w:pos="142"/>
          <w:tab w:val="left" w:pos="284"/>
          <w:tab w:val="left" w:pos="3828"/>
        </w:tabs>
        <w:spacing w:after="0" w:line="240" w:lineRule="auto"/>
        <w:rPr>
          <w:rFonts w:ascii="Verdana" w:eastAsia="Century Gothic" w:hAnsi="Verdana" w:cs="Century Gothic"/>
          <w:b/>
          <w:bCs/>
        </w:rPr>
      </w:pPr>
      <w:r w:rsidRPr="005644FE">
        <w:rPr>
          <w:rFonts w:ascii="Verdana" w:eastAsia="Century Gothic" w:hAnsi="Verdana" w:cs="Century Gothic"/>
          <w:b/>
          <w:bCs/>
        </w:rPr>
        <w:t>4. 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p>
    <w:p w14:paraId="00CD3A88" w14:textId="77777777" w:rsidR="00495A4B" w:rsidRPr="005644FE" w:rsidRDefault="00495A4B" w:rsidP="00495A4B">
      <w:pPr>
        <w:tabs>
          <w:tab w:val="left" w:pos="142"/>
          <w:tab w:val="left" w:pos="284"/>
          <w:tab w:val="left" w:pos="3828"/>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95A4B" w:rsidRPr="005644FE" w14:paraId="6B29D8F5" w14:textId="77777777">
        <w:trPr>
          <w:trHeight w:val="1288"/>
          <w:jc w:val="center"/>
        </w:trPr>
        <w:tc>
          <w:tcPr>
            <w:tcW w:w="8647" w:type="dxa"/>
          </w:tcPr>
          <w:p w14:paraId="5C4B1592" w14:textId="77777777" w:rsidR="00495A4B" w:rsidRPr="005644FE" w:rsidRDefault="00495A4B">
            <w:pPr>
              <w:tabs>
                <w:tab w:val="left" w:pos="142"/>
                <w:tab w:val="left" w:pos="284"/>
                <w:tab w:val="left" w:pos="3828"/>
              </w:tabs>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95A4B" w:rsidRPr="005644FE" w14:paraId="3C3D6626" w14:textId="77777777">
              <w:trPr>
                <w:trHeight w:val="1288"/>
                <w:jc w:val="center"/>
              </w:trPr>
              <w:tc>
                <w:tcPr>
                  <w:tcW w:w="8647" w:type="dxa"/>
                </w:tcPr>
                <w:p w14:paraId="47877BA6" w14:textId="77777777" w:rsidR="00495A4B" w:rsidRPr="003A6C10" w:rsidRDefault="00495A4B" w:rsidP="00495A4B">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3A6C10">
                    <w:rPr>
                      <w:rFonts w:ascii="Verdana" w:eastAsia="Arial" w:hAnsi="Verdana" w:cs="Arial"/>
                      <w:color w:val="000000" w:themeColor="text1"/>
                    </w:rPr>
                    <w:lastRenderedPageBreak/>
                    <w:t>Decreto-ley 150 de 1976.</w:t>
                  </w:r>
                </w:p>
                <w:p w14:paraId="339F6D0B" w14:textId="77777777" w:rsidR="00495A4B" w:rsidRPr="003A6C10" w:rsidRDefault="00495A4B" w:rsidP="00495A4B">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3A6C10">
                    <w:rPr>
                      <w:rFonts w:ascii="Verdana" w:eastAsia="Arial" w:hAnsi="Verdana" w:cs="Arial"/>
                      <w:color w:val="000000" w:themeColor="text1"/>
                    </w:rPr>
                    <w:t>Decreto-ley 222 de 1983.</w:t>
                  </w:r>
                </w:p>
                <w:p w14:paraId="0626FB64" w14:textId="77777777" w:rsidR="00495A4B" w:rsidRPr="003A6C10" w:rsidRDefault="00495A4B" w:rsidP="00495A4B">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3A6C10">
                    <w:rPr>
                      <w:rFonts w:ascii="Verdana" w:eastAsia="Arial" w:hAnsi="Verdana" w:cs="Arial"/>
                      <w:color w:val="000000" w:themeColor="text1"/>
                    </w:rPr>
                    <w:t>Constitución Política. Artículo 228.</w:t>
                  </w:r>
                </w:p>
                <w:p w14:paraId="2086EE3E" w14:textId="77777777" w:rsidR="00495A4B" w:rsidRPr="003A6C10" w:rsidRDefault="00495A4B" w:rsidP="00495A4B">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3A6C10">
                    <w:rPr>
                      <w:rFonts w:ascii="Verdana" w:eastAsia="Arial" w:hAnsi="Verdana" w:cs="Arial"/>
                      <w:color w:val="000000" w:themeColor="text1"/>
                    </w:rPr>
                    <w:t>Ley 80 de 1993. Artículo 25 numeral 15, 30 numerales 7 y 8.</w:t>
                  </w:r>
                </w:p>
                <w:p w14:paraId="736E7BDD" w14:textId="77777777" w:rsidR="00495A4B" w:rsidRPr="003A6C10" w:rsidRDefault="00495A4B" w:rsidP="00495A4B">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3A6C10">
                    <w:rPr>
                      <w:rFonts w:ascii="Verdana" w:eastAsia="Aptos" w:hAnsi="Verdana" w:cs="Arial"/>
                    </w:rPr>
                    <w:t xml:space="preserve">Ley 1150 de 2007. Artículo 5 parágrafo 1. </w:t>
                  </w:r>
                </w:p>
                <w:p w14:paraId="7092C817" w14:textId="77777777" w:rsidR="00495A4B" w:rsidRPr="003A6C10" w:rsidRDefault="00495A4B" w:rsidP="00495A4B">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3A6C10">
                    <w:rPr>
                      <w:rFonts w:ascii="Verdana" w:eastAsia="Arial" w:hAnsi="Verdana" w:cs="Arial"/>
                      <w:color w:val="000000"/>
                    </w:rPr>
                    <w:t>Ley 1882 de 2018. Artículo 5.</w:t>
                  </w:r>
                </w:p>
                <w:p w14:paraId="4A130F78" w14:textId="77777777" w:rsidR="00495A4B" w:rsidRPr="003A6C10" w:rsidRDefault="00495A4B" w:rsidP="00495A4B">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3A6C10">
                    <w:rPr>
                      <w:rFonts w:ascii="Verdana" w:eastAsia="Aptos" w:hAnsi="Verdana" w:cs="Arial"/>
                    </w:rPr>
                    <w:t>Consejo de Estado. Sala de Consulta y Servicio Civil, concepto del 6 de noviembre de 2008. Rad. 2008-00079-00 (1927). C.P. William Zambrano Cetina.</w:t>
                  </w:r>
                </w:p>
                <w:p w14:paraId="584544D6" w14:textId="77777777" w:rsidR="00495A4B" w:rsidRPr="003A6C10" w:rsidRDefault="00495A4B" w:rsidP="00495A4B">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3A6C10">
                    <w:rPr>
                      <w:rFonts w:ascii="Verdana" w:eastAsia="Aptos" w:hAnsi="Verdana" w:cs="Arial"/>
                    </w:rPr>
                    <w:t xml:space="preserve">Consejo de Estado. Sala de lo Contencioso Administrativo. Sección Tercera, Subsección C. Sentencia del 26 de febrero de 2011. Radicado: 11001-03-26-000-2009-00018-00 (36.408). C.P. Jaime Orlando Santofimio.   </w:t>
                  </w:r>
                </w:p>
                <w:p w14:paraId="746EA233" w14:textId="77777777" w:rsidR="00495A4B" w:rsidRPr="003A6C10" w:rsidRDefault="00495A4B" w:rsidP="00495A4B">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3A6C10">
                    <w:rPr>
                      <w:rFonts w:ascii="Verdana" w:eastAsia="Aptos" w:hAnsi="Verdana" w:cs="Arial"/>
                    </w:rPr>
                    <w:t xml:space="preserve">Consejo de Estado, Sección Tercera, Subsección C. Sentencia del 26 de febrero de 2014. C.P. Enrique Gil Botero. Radicado: 13001-23-31-000-1999-00113-01 (25.804). M.P: Enrique Gil Botero.   </w:t>
                  </w:r>
                </w:p>
                <w:p w14:paraId="53518446" w14:textId="77777777" w:rsidR="00495A4B" w:rsidRPr="003A6C10" w:rsidRDefault="00495A4B" w:rsidP="00495A4B">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3A6C10">
                    <w:rPr>
                      <w:rFonts w:ascii="Verdana" w:eastAsia="Aptos" w:hAnsi="Verdana" w:cs="Arial"/>
                    </w:rPr>
                    <w:t>Consejo de Estado. Sala de Consulta y Servicio Civil. Concepto del 20 de mayo de 2010. Rad. 2010-00034-00 (1992). C.P. Enrique José Arboleda Perdomo.</w:t>
                  </w:r>
                </w:p>
                <w:p w14:paraId="794C541B" w14:textId="77777777" w:rsidR="00495A4B" w:rsidRPr="003A6C10" w:rsidRDefault="00495A4B" w:rsidP="00495A4B">
                  <w:pPr>
                    <w:pStyle w:val="Prrafodelista"/>
                    <w:numPr>
                      <w:ilvl w:val="0"/>
                      <w:numId w:val="17"/>
                    </w:numPr>
                    <w:jc w:val="both"/>
                    <w:rPr>
                      <w:rFonts w:ascii="Verdana" w:eastAsia="Aptos" w:hAnsi="Verdana" w:cs="Arial"/>
                    </w:rPr>
                  </w:pPr>
                  <w:r w:rsidRPr="003A6C10">
                    <w:rPr>
                      <w:rFonts w:ascii="Verdana" w:eastAsia="Aptos" w:hAnsi="Verdana" w:cs="Arial"/>
                    </w:rPr>
                    <w:t xml:space="preserve">Circular Única Externa. Agencia Nacional de Contratación Pública. Disponible en </w:t>
                  </w:r>
                  <w:hyperlink r:id="rId12" w:history="1">
                    <w:r w:rsidRPr="003A6C10">
                      <w:rPr>
                        <w:rStyle w:val="Hipervnculo"/>
                        <w:rFonts w:ascii="Verdana" w:hAnsi="Verdana"/>
                        <w:lang w:val="es-CO"/>
                      </w:rPr>
                      <w:t>circular_externa_unica_version_3_vf49.pdf</w:t>
                    </w:r>
                  </w:hyperlink>
                </w:p>
                <w:p w14:paraId="0043987B" w14:textId="77777777" w:rsidR="00495A4B" w:rsidRPr="005F35CB" w:rsidRDefault="00495A4B">
                  <w:pPr>
                    <w:pStyle w:val="Prrafodelista"/>
                    <w:jc w:val="both"/>
                    <w:rPr>
                      <w:rFonts w:ascii="Verdana" w:eastAsia="Aptos" w:hAnsi="Verdana" w:cs="Arial"/>
                    </w:rPr>
                  </w:pPr>
                  <w:r w:rsidRPr="005F35CB">
                    <w:rPr>
                      <w:rFonts w:ascii="Verdana" w:eastAsia="Aptos" w:hAnsi="Verdana" w:cs="Arial"/>
                    </w:rPr>
                    <w:t xml:space="preserve"> </w:t>
                  </w:r>
                </w:p>
              </w:tc>
            </w:tr>
          </w:tbl>
          <w:p w14:paraId="1A8493E1" w14:textId="77777777" w:rsidR="00495A4B" w:rsidRPr="005F35CB" w:rsidRDefault="00495A4B">
            <w:pPr>
              <w:pStyle w:val="Prrafodelista"/>
              <w:ind w:left="0"/>
              <w:jc w:val="both"/>
              <w:rPr>
                <w:rFonts w:ascii="Verdana" w:eastAsia="Aptos" w:hAnsi="Verdana" w:cs="Arial"/>
              </w:rPr>
            </w:pPr>
          </w:p>
        </w:tc>
      </w:tr>
    </w:tbl>
    <w:p w14:paraId="3F750E03" w14:textId="77777777" w:rsidR="00495A4B" w:rsidRPr="005644FE" w:rsidRDefault="00495A4B" w:rsidP="00495A4B">
      <w:pPr>
        <w:widowControl w:val="0"/>
        <w:tabs>
          <w:tab w:val="left" w:pos="3828"/>
        </w:tabs>
        <w:autoSpaceDE w:val="0"/>
        <w:autoSpaceDN w:val="0"/>
        <w:spacing w:after="0" w:line="276" w:lineRule="auto"/>
        <w:jc w:val="both"/>
        <w:rPr>
          <w:rFonts w:ascii="Verdana" w:hAnsi="Verdana" w:cs="Arial"/>
        </w:rPr>
      </w:pPr>
    </w:p>
    <w:p w14:paraId="08A76F39" w14:textId="77777777" w:rsidR="00495A4B" w:rsidRPr="005644FE" w:rsidRDefault="00495A4B" w:rsidP="00495A4B">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1A6280ED" w14:textId="77777777" w:rsidR="00495A4B" w:rsidRPr="005644FE" w:rsidRDefault="00495A4B" w:rsidP="00495A4B">
      <w:pPr>
        <w:widowControl w:val="0"/>
        <w:tabs>
          <w:tab w:val="left" w:pos="3828"/>
        </w:tabs>
        <w:autoSpaceDE w:val="0"/>
        <w:autoSpaceDN w:val="0"/>
        <w:spacing w:after="0" w:line="276" w:lineRule="auto"/>
        <w:jc w:val="both"/>
        <w:rPr>
          <w:rFonts w:ascii="Verdana" w:hAnsi="Verdana" w:cs="Arial"/>
          <w:shd w:val="clear" w:color="auto" w:fill="FFFFFF"/>
        </w:rPr>
      </w:pPr>
    </w:p>
    <w:p w14:paraId="4FF8C5CF" w14:textId="77777777" w:rsidR="00495A4B" w:rsidRDefault="00495A4B" w:rsidP="00495A4B">
      <w:pPr>
        <w:widowControl w:val="0"/>
        <w:autoSpaceDE w:val="0"/>
        <w:autoSpaceDN w:val="0"/>
        <w:spacing w:after="0" w:line="276" w:lineRule="auto"/>
        <w:jc w:val="both"/>
        <w:rPr>
          <w:rStyle w:val="normaltextrun"/>
          <w:rFonts w:ascii="Verdana" w:hAnsi="Verdana" w:cs="Arial"/>
          <w:shd w:val="clear" w:color="auto" w:fill="FFFFFF"/>
          <w:lang w:val="es-ES"/>
        </w:rPr>
      </w:pPr>
      <w:r w:rsidRPr="00277E26">
        <w:rPr>
          <w:rStyle w:val="normaltextrun"/>
          <w:rFonts w:ascii="Verdana" w:hAnsi="Verdana" w:cs="Arial"/>
          <w:shd w:val="clear" w:color="auto" w:fill="FFFFFF"/>
          <w:lang w:val="es-ES"/>
        </w:rPr>
        <w:t>Esta Subdirección</w:t>
      </w:r>
      <w:r>
        <w:rPr>
          <w:rStyle w:val="normaltextrun"/>
          <w:rFonts w:ascii="Verdana" w:hAnsi="Verdana" w:cs="Arial"/>
          <w:shd w:val="clear" w:color="auto" w:fill="FFFFFF"/>
          <w:lang w:val="es-ES"/>
        </w:rPr>
        <w:t xml:space="preserve"> </w:t>
      </w:r>
      <w:r w:rsidRPr="009D1699">
        <w:rPr>
          <w:rStyle w:val="normaltextrun"/>
          <w:rFonts w:ascii="Verdana" w:hAnsi="Verdana" w:cs="Arial"/>
          <w:shd w:val="clear" w:color="auto" w:fill="FFFFFF"/>
          <w:lang w:val="es-ES"/>
        </w:rPr>
        <w:t xml:space="preserve">se ha pronunciado sobre la </w:t>
      </w:r>
      <w:r>
        <w:rPr>
          <w:rStyle w:val="normaltextrun"/>
          <w:rFonts w:ascii="Verdana" w:hAnsi="Verdana" w:cs="Arial"/>
          <w:shd w:val="clear" w:color="auto" w:fill="FFFFFF"/>
          <w:lang w:val="es-ES"/>
        </w:rPr>
        <w:t xml:space="preserve">regla de </w:t>
      </w:r>
      <w:proofErr w:type="spellStart"/>
      <w:r>
        <w:rPr>
          <w:rStyle w:val="normaltextrun"/>
          <w:rFonts w:ascii="Verdana" w:hAnsi="Verdana" w:cs="Arial"/>
          <w:shd w:val="clear" w:color="auto" w:fill="FFFFFF"/>
          <w:lang w:val="es-ES"/>
        </w:rPr>
        <w:t>subsanabilidad</w:t>
      </w:r>
      <w:proofErr w:type="spellEnd"/>
      <w:r w:rsidRPr="00277E26">
        <w:rPr>
          <w:rStyle w:val="normaltextrun"/>
          <w:rFonts w:ascii="Verdana" w:hAnsi="Verdana" w:cs="Arial"/>
          <w:shd w:val="clear" w:color="auto" w:fill="FFFFFF"/>
          <w:lang w:val="es-ES"/>
        </w:rPr>
        <w:t xml:space="preserve"> en los Conceptos </w:t>
      </w:r>
      <w:r w:rsidRPr="00E90148">
        <w:rPr>
          <w:rStyle w:val="normaltextrun"/>
          <w:rFonts w:ascii="Verdana" w:hAnsi="Verdana" w:cs="Arial"/>
          <w:shd w:val="clear" w:color="auto" w:fill="FFFFFF"/>
          <w:lang w:val="es-ES"/>
        </w:rPr>
        <w:t xml:space="preserve">C-218 del 2 de abril de 2020, C-229 del 16 de abril de 2020, C-307 del 21 de mayo de 2020, C-396 del 16 de julio de 2020, C-410 del 26 de junio de 2020, C-429 del 24 de julio de 2020, C-481 del 27 de julio de 2020, C-548 del 21 de agosto de 2020, C-633 del 2 de octubre de 2020, C-634 del 21 de octubre de 2020, C-675 del 25 de noviembre de 2020, C-802 del 1° de febrero de 2021, C-010 del 16 de febrero de 2021, C-083 del 18 de marzo de 2021, C-090 del 23 de marzo de 2021, C-565 del 11 de octubre de 2021, C-691 del 28 de diciembre de 2021, C-716 del 23 de enero de 2022, C-728 del 26 de enero de 2022, C-753 del 6 de febrero de 2022, C-114 del 22 de marzo de 2022, C-140 del 28 de marzo de 2022, C-162 del 5 de abril de 2022, C-285 del 20 de mayo de 2022, C-343 del 31 de mayo de 2022, C-381 del 15 de julio de 2022, </w:t>
      </w:r>
      <w:r w:rsidRPr="00E90148">
        <w:rPr>
          <w:rStyle w:val="normaltextrun"/>
          <w:rFonts w:ascii="Verdana" w:hAnsi="Verdana" w:cs="Arial"/>
          <w:shd w:val="clear" w:color="auto" w:fill="FFFFFF"/>
          <w:lang w:val="es-ES"/>
        </w:rPr>
        <w:lastRenderedPageBreak/>
        <w:t>C-416 del 30 de junio de 2022, C-431 del 7 de julio de 2022, C-434 del 8 de julio de 2022, C-542 del 23 de agosto de 2022, C-595 del 9 de septiembre de 2022, C-772 del 28 de noviembre de 2022, C-793 del 21 de noviembre de 2022, C-923 del 27 de diciembre de 2022, C-965 del 27 de enero de 2023, C-058 del 10 de mayo de 2023, C-082 del 19 de abril de 2023</w:t>
      </w:r>
      <w:r>
        <w:rPr>
          <w:rStyle w:val="normaltextrun"/>
          <w:rFonts w:ascii="Verdana" w:hAnsi="Verdana" w:cs="Arial"/>
          <w:shd w:val="clear" w:color="auto" w:fill="FFFFFF"/>
          <w:lang w:val="es-ES"/>
        </w:rPr>
        <w:t>,</w:t>
      </w:r>
      <w:r w:rsidRPr="00E90148">
        <w:rPr>
          <w:rStyle w:val="normaltextrun"/>
          <w:rFonts w:ascii="Verdana" w:hAnsi="Verdana" w:cs="Arial"/>
          <w:shd w:val="clear" w:color="auto" w:fill="FFFFFF"/>
          <w:lang w:val="es-ES"/>
        </w:rPr>
        <w:t xml:space="preserve"> C-216 del 6 de junio de 2023</w:t>
      </w:r>
      <w:r>
        <w:rPr>
          <w:rStyle w:val="normaltextrun"/>
          <w:rFonts w:ascii="Verdana" w:hAnsi="Verdana" w:cs="Arial"/>
          <w:shd w:val="clear" w:color="auto" w:fill="FFFFFF"/>
          <w:lang w:val="es-ES"/>
        </w:rPr>
        <w:t>, C-304 del 4 de julio de 2023, C-051 del 21 de febrero de 2025, C-293 del 16 de abril de 2025, C-295 del 16 de abril de 2025, C-678 del 9 de julio de 2025, C- 1363 del 30 de octubre de 2025, C-1376 del 31 de octubre de 2025,</w:t>
      </w:r>
      <w:r w:rsidRPr="0025059F">
        <w:rPr>
          <w:rStyle w:val="normaltextrun"/>
          <w:rFonts w:ascii="Verdana" w:hAnsi="Verdana" w:cs="Arial"/>
          <w:shd w:val="clear" w:color="auto" w:fill="FFFFFF"/>
          <w:lang w:val="es-ES"/>
        </w:rPr>
        <w:t xml:space="preserve"> </w:t>
      </w:r>
      <w:r w:rsidRPr="0025059F">
        <w:rPr>
          <w:rFonts w:ascii="Verdana" w:hAnsi="Verdana" w:cs="Arial"/>
          <w:shd w:val="clear" w:color="auto" w:fill="FFFFFF"/>
        </w:rPr>
        <w:t xml:space="preserve"> C-1465 del 6 de Noviembre de 2025, </w:t>
      </w:r>
      <w:r w:rsidRPr="0025059F">
        <w:rPr>
          <w:rStyle w:val="normaltextrun"/>
          <w:rFonts w:ascii="Verdana" w:hAnsi="Verdana" w:cs="Arial"/>
          <w:shd w:val="clear" w:color="auto" w:fill="FFFFFF"/>
          <w:lang w:val="es-ES"/>
        </w:rPr>
        <w:t xml:space="preserve">entre otros. </w:t>
      </w:r>
    </w:p>
    <w:p w14:paraId="15C97B81" w14:textId="77777777" w:rsidR="00495A4B" w:rsidRDefault="00495A4B" w:rsidP="00495A4B">
      <w:pPr>
        <w:widowControl w:val="0"/>
        <w:autoSpaceDE w:val="0"/>
        <w:autoSpaceDN w:val="0"/>
        <w:spacing w:after="0" w:line="276" w:lineRule="auto"/>
        <w:jc w:val="both"/>
        <w:rPr>
          <w:rFonts w:ascii="Verdana" w:eastAsia="Aptos" w:hAnsi="Verdana" w:cs="Arial"/>
          <w:shd w:val="clear" w:color="auto" w:fill="FFFFFF"/>
          <w:lang w:val="es-ES"/>
        </w:rPr>
      </w:pPr>
    </w:p>
    <w:p w14:paraId="6D93CD84" w14:textId="77777777" w:rsidR="00495A4B" w:rsidRPr="00B94603" w:rsidRDefault="00495A4B" w:rsidP="00495A4B">
      <w:pPr>
        <w:widowControl w:val="0"/>
        <w:autoSpaceDE w:val="0"/>
        <w:autoSpaceDN w:val="0"/>
        <w:spacing w:after="0" w:line="276" w:lineRule="auto"/>
        <w:jc w:val="both"/>
        <w:rPr>
          <w:rFonts w:ascii="Verdana" w:eastAsia="Aptos" w:hAnsi="Verdana" w:cs="Arial"/>
          <w:shd w:val="clear" w:color="auto" w:fill="FFFFFF"/>
          <w:lang w:val="es-ES_tradnl"/>
        </w:rPr>
      </w:pPr>
      <w:r w:rsidRPr="00B536D9">
        <w:rPr>
          <w:rFonts w:ascii="Verdana" w:eastAsia="Aptos" w:hAnsi="Verdana" w:cs="Arial"/>
          <w:shd w:val="clear" w:color="auto" w:fill="FFFFFF"/>
          <w:lang w:val="es-ES"/>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w:t>
      </w:r>
      <w:r w:rsidRPr="00B536D9">
        <w:rPr>
          <w:rFonts w:ascii="Verdana" w:eastAsia="Aptos" w:hAnsi="Verdana" w:cs="Arial"/>
          <w:color w:val="218BFC"/>
          <w:shd w:val="clear" w:color="auto" w:fill="FFFFFF"/>
          <w:lang w:val="es-ES"/>
        </w:rPr>
        <w:t>: </w:t>
      </w:r>
      <w:hyperlink r:id="rId13" w:tgtFrame="_blank" w:tooltip="Dirección URL original: https://relatoria.colombiacompra.gov.co/. Haga clic o pulse si confía en este vínculo." w:history="1">
        <w:r w:rsidRPr="00B536D9">
          <w:rPr>
            <w:rStyle w:val="Hipervnculo"/>
            <w:rFonts w:ascii="Verdana" w:eastAsia="Aptos" w:hAnsi="Verdana" w:cs="Arial"/>
            <w:shd w:val="clear" w:color="auto" w:fill="FFFFFF"/>
            <w:lang w:val="es-ES"/>
          </w:rPr>
          <w:t>https://relatoria.colombiacompra.gov.co/</w:t>
        </w:r>
      </w:hyperlink>
      <w:r w:rsidRPr="00B536D9">
        <w:rPr>
          <w:rFonts w:ascii="Verdana" w:eastAsia="Aptos" w:hAnsi="Verdana" w:cs="Arial"/>
          <w:color w:val="218BFC"/>
          <w:shd w:val="clear" w:color="auto" w:fill="FFFFFF"/>
          <w:lang w:val="es-ES"/>
        </w:rPr>
        <w:t>.</w:t>
      </w:r>
    </w:p>
    <w:p w14:paraId="5A402FFF" w14:textId="77777777" w:rsidR="00495A4B" w:rsidRPr="00B536D9" w:rsidRDefault="00495A4B" w:rsidP="00495A4B">
      <w:pPr>
        <w:widowControl w:val="0"/>
        <w:autoSpaceDE w:val="0"/>
        <w:autoSpaceDN w:val="0"/>
        <w:spacing w:after="0" w:line="276" w:lineRule="auto"/>
        <w:jc w:val="both"/>
        <w:rPr>
          <w:rFonts w:ascii="Verdana" w:eastAsia="Aptos" w:hAnsi="Verdana" w:cs="Arial"/>
          <w:color w:val="218BFC"/>
          <w:shd w:val="clear" w:color="auto" w:fill="FFFFFF"/>
          <w:lang w:val="es-ES_tradnl"/>
        </w:rPr>
      </w:pPr>
    </w:p>
    <w:p w14:paraId="6B7E2AF7" w14:textId="77777777" w:rsidR="00495A4B" w:rsidRPr="00B536D9" w:rsidRDefault="00495A4B" w:rsidP="00495A4B">
      <w:pPr>
        <w:widowControl w:val="0"/>
        <w:autoSpaceDE w:val="0"/>
        <w:autoSpaceDN w:val="0"/>
        <w:spacing w:after="0" w:line="276" w:lineRule="auto"/>
        <w:jc w:val="both"/>
        <w:rPr>
          <w:rFonts w:ascii="Verdana" w:eastAsia="Aptos" w:hAnsi="Verdana" w:cs="Arial"/>
          <w:shd w:val="clear" w:color="auto" w:fill="FFFFFF"/>
          <w:lang w:val="es-ES_tradnl"/>
        </w:rPr>
      </w:pPr>
      <w:r w:rsidRPr="00B536D9">
        <w:rPr>
          <w:rFonts w:ascii="Verdana" w:eastAsia="Aptos" w:hAnsi="Verdana" w:cs="Arial"/>
          <w:shd w:val="clear" w:color="auto" w:fill="FFFFFF"/>
          <w:lang w:val="es-ES_tradnl"/>
        </w:rPr>
        <w:t>La</w:t>
      </w:r>
      <w:r w:rsidRPr="00B536D9">
        <w:rPr>
          <w:rFonts w:ascii="Verdana" w:eastAsia="Aptos" w:hAnsi="Verdana" w:cs="Arial"/>
          <w:b/>
          <w:bCs/>
          <w:shd w:val="clear" w:color="auto" w:fill="FFFFFF"/>
          <w:lang w:val="es-ES_tradnl"/>
        </w:rPr>
        <w:t xml:space="preserve"> Agencia Nacional de Contratación Pública - Colombia Compra Eficiente</w:t>
      </w:r>
      <w:r w:rsidRPr="00B536D9">
        <w:rPr>
          <w:rFonts w:ascii="Verdana" w:eastAsia="Aptos" w:hAnsi="Verdana" w:cs="Arial"/>
          <w:shd w:val="clear" w:color="auto" w:fill="FFFFFF"/>
          <w:lang w:val="es-ES_tradnl"/>
        </w:rPr>
        <w:t> recomienda a todas las entidades públicas, independientemente de su naturaleza, que gestionan recursos públicos, la aplicación de los </w:t>
      </w:r>
      <w:r w:rsidRPr="00B536D9">
        <w:rPr>
          <w:rFonts w:ascii="Verdana" w:eastAsia="Aptos" w:hAnsi="Verdana" w:cs="Arial"/>
          <w:b/>
          <w:bCs/>
          <w:shd w:val="clear" w:color="auto" w:fill="FFFFFF"/>
          <w:lang w:val="es-ES_tradnl"/>
        </w:rPr>
        <w:t>Documentos Tipo</w:t>
      </w:r>
      <w:r w:rsidRPr="00B536D9">
        <w:rPr>
          <w:rFonts w:ascii="Verdana" w:eastAsia="Aptos" w:hAnsi="Verdana" w:cs="Arial"/>
          <w:shd w:val="clear" w:color="auto" w:fill="FFFFFF"/>
          <w:lang w:val="es-ES_tradnl"/>
        </w:rPr>
        <w:t>. Esta recomendación es válida tanto para su uso obligatorio, cuando así lo establezca la normatividad vigente, como para su implementación como una buena práctica. El objetivo es garantizar la </w:t>
      </w:r>
      <w:r w:rsidRPr="00B536D9">
        <w:rPr>
          <w:rFonts w:ascii="Verdana" w:eastAsia="Aptos" w:hAnsi="Verdana" w:cs="Arial"/>
          <w:b/>
          <w:bCs/>
          <w:shd w:val="clear" w:color="auto" w:fill="FFFFFF"/>
          <w:lang w:val="es-ES_tradnl"/>
        </w:rPr>
        <w:t>transparencia</w:t>
      </w:r>
      <w:r w:rsidRPr="00B536D9">
        <w:rPr>
          <w:rFonts w:ascii="Verdana" w:eastAsia="Aptos" w:hAnsi="Verdana" w:cs="Arial"/>
          <w:shd w:val="clear" w:color="auto" w:fill="FFFFFF"/>
          <w:lang w:val="es-ES_tradnl"/>
        </w:rPr>
        <w:t> y promover un proceso de </w:t>
      </w:r>
      <w:r w:rsidRPr="00B536D9">
        <w:rPr>
          <w:rFonts w:ascii="Verdana" w:eastAsia="Aptos" w:hAnsi="Verdana" w:cs="Arial"/>
          <w:b/>
          <w:bCs/>
          <w:shd w:val="clear" w:color="auto" w:fill="FFFFFF"/>
          <w:lang w:val="es-ES_tradnl"/>
        </w:rPr>
        <w:t>selección objetiva</w:t>
      </w:r>
      <w:r w:rsidRPr="00B536D9">
        <w:rPr>
          <w:rFonts w:ascii="Verdana" w:eastAsia="Aptos" w:hAnsi="Verdana" w:cs="Arial"/>
          <w:shd w:val="clear" w:color="auto" w:fill="FFFFFF"/>
          <w:lang w:val="es-ES_tradnl"/>
        </w:rPr>
        <w:t> en la contratación pública, contribuyendo así a mejorar la eficiencia, la competencia y la confianza en el manejo de los recursos del Estado.</w:t>
      </w:r>
    </w:p>
    <w:p w14:paraId="6243440F" w14:textId="77777777" w:rsidR="00495A4B" w:rsidRDefault="00495A4B" w:rsidP="00495A4B">
      <w:pPr>
        <w:widowControl w:val="0"/>
        <w:autoSpaceDE w:val="0"/>
        <w:autoSpaceDN w:val="0"/>
        <w:spacing w:after="0" w:line="276" w:lineRule="auto"/>
        <w:jc w:val="both"/>
        <w:rPr>
          <w:rFonts w:ascii="Verdana" w:eastAsia="Aptos" w:hAnsi="Verdana" w:cs="Arial"/>
          <w:shd w:val="clear" w:color="auto" w:fill="FFFFFF"/>
          <w:lang w:val="es-ES"/>
        </w:rPr>
      </w:pPr>
    </w:p>
    <w:p w14:paraId="4996D6E1" w14:textId="77777777" w:rsidR="00495A4B" w:rsidRDefault="00495A4B" w:rsidP="00495A4B">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Por último, lo invitamos a seguirnos en las redes sociales en las cuales se difunde información institucional:  </w:t>
      </w:r>
    </w:p>
    <w:p w14:paraId="3ABE5100" w14:textId="77777777" w:rsidR="00495A4B" w:rsidRPr="007F13BA" w:rsidRDefault="00495A4B" w:rsidP="00495A4B">
      <w:pPr>
        <w:widowControl w:val="0"/>
        <w:autoSpaceDE w:val="0"/>
        <w:autoSpaceDN w:val="0"/>
        <w:spacing w:after="0" w:line="276" w:lineRule="auto"/>
        <w:jc w:val="both"/>
        <w:rPr>
          <w:rFonts w:ascii="Verdana" w:hAnsi="Verdana" w:cs="Arial"/>
          <w:shd w:val="clear" w:color="auto" w:fill="FFFFFF"/>
        </w:rPr>
      </w:pPr>
    </w:p>
    <w:p w14:paraId="32364FFB" w14:textId="77777777" w:rsidR="00495A4B" w:rsidRPr="007F13BA" w:rsidRDefault="00495A4B" w:rsidP="00495A4B">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Twitter: </w:t>
      </w:r>
      <w:r w:rsidRPr="007F13BA">
        <w:rPr>
          <w:rFonts w:ascii="Verdana" w:hAnsi="Verdana" w:cs="Arial"/>
          <w:u w:val="single"/>
          <w:shd w:val="clear" w:color="auto" w:fill="FFFFFF"/>
        </w:rPr>
        <w:t>@colombiacompra</w:t>
      </w:r>
      <w:r w:rsidRPr="007F13BA">
        <w:rPr>
          <w:rFonts w:ascii="Verdana" w:hAnsi="Verdana" w:cs="Arial"/>
          <w:shd w:val="clear" w:color="auto" w:fill="FFFFFF"/>
        </w:rPr>
        <w:t>  </w:t>
      </w:r>
    </w:p>
    <w:p w14:paraId="68A727FF" w14:textId="77777777" w:rsidR="00495A4B" w:rsidRDefault="00495A4B" w:rsidP="00495A4B">
      <w:pPr>
        <w:widowControl w:val="0"/>
        <w:autoSpaceDE w:val="0"/>
        <w:autoSpaceDN w:val="0"/>
        <w:spacing w:after="0" w:line="276" w:lineRule="auto"/>
        <w:jc w:val="both"/>
        <w:rPr>
          <w:rFonts w:ascii="Verdana" w:hAnsi="Verdana" w:cs="Arial"/>
          <w:shd w:val="clear" w:color="auto" w:fill="FFFFFF"/>
        </w:rPr>
      </w:pPr>
      <w:r w:rsidRPr="00911583">
        <w:rPr>
          <w:rFonts w:ascii="Verdana" w:hAnsi="Verdana" w:cs="Arial"/>
          <w:shd w:val="clear" w:color="auto" w:fill="FFFFFF"/>
        </w:rPr>
        <w:t>Facebook: </w:t>
      </w:r>
      <w:r w:rsidRPr="00911583">
        <w:rPr>
          <w:rFonts w:ascii="Verdana" w:hAnsi="Verdana" w:cs="Arial"/>
          <w:u w:val="single"/>
          <w:shd w:val="clear" w:color="auto" w:fill="FFFFFF"/>
        </w:rPr>
        <w:t>ColombiaCompraEficiente</w:t>
      </w:r>
      <w:r w:rsidRPr="00146A73">
        <w:rPr>
          <w:rFonts w:ascii="Verdana" w:hAnsi="Verdana" w:cs="Arial"/>
          <w:shd w:val="clear" w:color="auto" w:fill="FFFFFF"/>
        </w:rPr>
        <w:t> </w:t>
      </w:r>
    </w:p>
    <w:p w14:paraId="6FB65D57" w14:textId="77777777" w:rsidR="00495A4B" w:rsidRPr="00146A73" w:rsidRDefault="00495A4B" w:rsidP="00495A4B">
      <w:pPr>
        <w:widowControl w:val="0"/>
        <w:autoSpaceDE w:val="0"/>
        <w:autoSpaceDN w:val="0"/>
        <w:spacing w:after="0" w:line="276" w:lineRule="auto"/>
        <w:jc w:val="both"/>
        <w:rPr>
          <w:rFonts w:ascii="Verdana" w:hAnsi="Verdana" w:cs="Arial"/>
          <w:shd w:val="clear" w:color="auto" w:fill="FFFFFF"/>
        </w:rPr>
      </w:pPr>
      <w:r w:rsidRPr="00833F05">
        <w:rPr>
          <w:rFonts w:ascii="Verdana" w:hAnsi="Verdana" w:cs="Arial"/>
          <w:shd w:val="clear" w:color="auto" w:fill="FFFFFF"/>
        </w:rPr>
        <w:t>LinkedIn: Agencia Nacional de Contratación Pública - Colombia Compra Eficiente</w:t>
      </w:r>
    </w:p>
    <w:p w14:paraId="4227CE89" w14:textId="77777777" w:rsidR="00495A4B" w:rsidRDefault="00495A4B" w:rsidP="00495A4B">
      <w:pPr>
        <w:widowControl w:val="0"/>
        <w:autoSpaceDE w:val="0"/>
        <w:autoSpaceDN w:val="0"/>
        <w:spacing w:after="0" w:line="276" w:lineRule="auto"/>
        <w:jc w:val="both"/>
        <w:rPr>
          <w:rFonts w:ascii="Verdana" w:hAnsi="Verdana" w:cs="Arial"/>
          <w:u w:val="single"/>
          <w:shd w:val="clear" w:color="auto" w:fill="FFFFFF"/>
        </w:rPr>
      </w:pPr>
      <w:r w:rsidRPr="007F13BA">
        <w:rPr>
          <w:rFonts w:ascii="Verdana" w:hAnsi="Verdana" w:cs="Arial"/>
          <w:shd w:val="clear" w:color="auto" w:fill="FFFFFF"/>
        </w:rPr>
        <w:t>Instagram: </w:t>
      </w:r>
      <w:r w:rsidRPr="007F13BA">
        <w:rPr>
          <w:rFonts w:ascii="Verdana" w:hAnsi="Verdana" w:cs="Arial"/>
          <w:u w:val="single"/>
          <w:shd w:val="clear" w:color="auto" w:fill="FFFFFF"/>
        </w:rPr>
        <w:t>@colombiacompraeficiente_cce</w:t>
      </w:r>
    </w:p>
    <w:p w14:paraId="0C2B4865" w14:textId="77777777" w:rsidR="00495A4B" w:rsidRPr="0067177D" w:rsidRDefault="00495A4B" w:rsidP="00495A4B">
      <w:pPr>
        <w:widowControl w:val="0"/>
        <w:autoSpaceDE w:val="0"/>
        <w:autoSpaceDN w:val="0"/>
        <w:spacing w:after="0" w:line="276" w:lineRule="auto"/>
        <w:jc w:val="both"/>
        <w:rPr>
          <w:rFonts w:ascii="Verdana" w:hAnsi="Verdana" w:cs="Arial"/>
          <w:shd w:val="clear" w:color="auto" w:fill="FFFFFF"/>
        </w:rPr>
      </w:pPr>
    </w:p>
    <w:p w14:paraId="7385105F" w14:textId="77777777" w:rsidR="00495A4B" w:rsidRPr="00146A73" w:rsidRDefault="00495A4B" w:rsidP="00495A4B">
      <w:pPr>
        <w:spacing w:after="0" w:line="276" w:lineRule="auto"/>
        <w:jc w:val="both"/>
        <w:rPr>
          <w:rFonts w:ascii="Verdana" w:hAnsi="Verdana"/>
        </w:rPr>
      </w:pPr>
      <w:r w:rsidRPr="007F13BA">
        <w:rPr>
          <w:rFonts w:ascii="Verdana" w:hAnsi="Verdana"/>
        </w:rPr>
        <w:t xml:space="preserve">Este concepto tiene el alcance previsto en el artículo 28 del Código de Procedimiento Administrativo y de lo Contencioso Administrativo y las </w:t>
      </w:r>
      <w:r w:rsidRPr="007F13BA">
        <w:rPr>
          <w:rFonts w:ascii="Verdana" w:hAnsi="Verdana"/>
        </w:rPr>
        <w:lastRenderedPageBreak/>
        <w:t>expresiones utilizadas con mayúscula inicial de</w:t>
      </w:r>
      <w:r w:rsidRPr="00911583">
        <w:rPr>
          <w:rFonts w:ascii="Verdana" w:hAnsi="Verdana"/>
        </w:rPr>
        <w:t>ben ser entendidas con el significado que les otorga el artículo 2.2.1.1.1.3.1 del Decreto 1082 de 2015.</w:t>
      </w:r>
    </w:p>
    <w:p w14:paraId="52D209DE" w14:textId="77777777" w:rsidR="00495A4B" w:rsidRPr="007F13BA" w:rsidRDefault="00495A4B" w:rsidP="00495A4B">
      <w:pPr>
        <w:spacing w:after="0" w:line="276" w:lineRule="auto"/>
        <w:jc w:val="both"/>
        <w:rPr>
          <w:rFonts w:ascii="Verdana" w:eastAsia="Calibri" w:hAnsi="Verdana" w:cs="Times New Roman"/>
        </w:rPr>
      </w:pPr>
    </w:p>
    <w:p w14:paraId="5ED15F24" w14:textId="2706496B" w:rsidR="00495A4B" w:rsidRDefault="00495A4B" w:rsidP="00495A4B">
      <w:pPr>
        <w:spacing w:after="0" w:line="276" w:lineRule="auto"/>
        <w:jc w:val="both"/>
        <w:rPr>
          <w:rFonts w:ascii="Verdana" w:eastAsia="Calibri" w:hAnsi="Verdana" w:cs="Times New Roman"/>
        </w:rPr>
      </w:pPr>
      <w:r w:rsidRPr="007F13BA">
        <w:rPr>
          <w:rFonts w:ascii="Verdana" w:eastAsia="Calibri" w:hAnsi="Verdana" w:cs="Times New Roman"/>
        </w:rPr>
        <w:t>Atentamente,</w:t>
      </w:r>
    </w:p>
    <w:p w14:paraId="7858C67E" w14:textId="4B323691" w:rsidR="00495A4B" w:rsidRDefault="0072450D" w:rsidP="0072450D">
      <w:pPr>
        <w:spacing w:after="0" w:line="276" w:lineRule="auto"/>
        <w:jc w:val="center"/>
        <w:rPr>
          <w:rFonts w:ascii="Verdana" w:eastAsia="Calibri" w:hAnsi="Verdana" w:cs="Times New Roman"/>
        </w:rPr>
      </w:pPr>
      <w:r>
        <w:rPr>
          <w:rFonts w:ascii="Verdana" w:eastAsia="Calibri" w:hAnsi="Verdana" w:cs="Times New Roman"/>
          <w:noProof/>
        </w:rPr>
        <w:drawing>
          <wp:inline distT="0" distB="0" distL="0" distR="0" wp14:anchorId="3BC0CAC6" wp14:editId="45EC758B">
            <wp:extent cx="3098675" cy="1151864"/>
            <wp:effectExtent l="0" t="0" r="6985" b="0"/>
            <wp:docPr id="25652928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529284" name="Imagen 256529284"/>
                    <pic:cNvPicPr/>
                  </pic:nvPicPr>
                  <pic:blipFill>
                    <a:blip r:embed="rId14">
                      <a:extLst>
                        <a:ext uri="{28A0092B-C50C-407E-A947-70E740481C1C}">
                          <a14:useLocalDpi xmlns:a14="http://schemas.microsoft.com/office/drawing/2010/main" val="0"/>
                        </a:ext>
                      </a:extLst>
                    </a:blip>
                    <a:stretch>
                      <a:fillRect/>
                    </a:stretch>
                  </pic:blipFill>
                  <pic:spPr>
                    <a:xfrm>
                      <a:off x="0" y="0"/>
                      <a:ext cx="3103738" cy="1153746"/>
                    </a:xfrm>
                    <a:prstGeom prst="rect">
                      <a:avLst/>
                    </a:prstGeom>
                  </pic:spPr>
                </pic:pic>
              </a:graphicData>
            </a:graphic>
          </wp:inline>
        </w:drawing>
      </w:r>
    </w:p>
    <w:p w14:paraId="00C3BC20" w14:textId="77777777" w:rsidR="00495A4B" w:rsidRPr="00902D8C" w:rsidRDefault="00495A4B" w:rsidP="00495A4B">
      <w:pPr>
        <w:spacing w:after="0" w:line="276" w:lineRule="auto"/>
        <w:jc w:val="center"/>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95A4B" w:rsidRPr="00FA01CB" w14:paraId="20F30B82" w14:textId="77777777">
        <w:trPr>
          <w:trHeight w:val="315"/>
        </w:trPr>
        <w:tc>
          <w:tcPr>
            <w:tcW w:w="893" w:type="dxa"/>
            <w:vAlign w:val="center"/>
            <w:hideMark/>
          </w:tcPr>
          <w:p w14:paraId="7014BDE9" w14:textId="77777777" w:rsidR="00495A4B" w:rsidRPr="00FA01CB" w:rsidRDefault="00495A4B">
            <w:pPr>
              <w:contextualSpacing/>
              <w:rPr>
                <w:rFonts w:ascii="Verdana" w:hAnsi="Verdana" w:cs="Arial"/>
                <w:sz w:val="16"/>
                <w:szCs w:val="16"/>
                <w:lang w:eastAsia="es-ES"/>
              </w:rPr>
            </w:pPr>
            <w:r w:rsidRPr="00FA01CB">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6C68CE1" w14:textId="77777777" w:rsidR="00495A4B" w:rsidRPr="00FA01CB" w:rsidRDefault="00495A4B">
            <w:pPr>
              <w:contextualSpacing/>
              <w:rPr>
                <w:rFonts w:ascii="Verdana" w:hAnsi="Verdana"/>
                <w:sz w:val="16"/>
                <w:szCs w:val="16"/>
              </w:rPr>
            </w:pPr>
            <w:r w:rsidRPr="00FA01CB">
              <w:rPr>
                <w:rFonts w:ascii="Verdana" w:hAnsi="Verdana"/>
                <w:sz w:val="16"/>
                <w:szCs w:val="16"/>
              </w:rPr>
              <w:t>Denis Andrea Cárdenas Hernández</w:t>
            </w:r>
          </w:p>
          <w:p w14:paraId="6A177511" w14:textId="77777777" w:rsidR="00495A4B" w:rsidRPr="00FA01CB" w:rsidRDefault="00495A4B">
            <w:pPr>
              <w:contextualSpacing/>
              <w:rPr>
                <w:rFonts w:ascii="Verdana" w:eastAsia="Arial" w:hAnsi="Verdana" w:cs="Arial"/>
                <w:sz w:val="16"/>
                <w:szCs w:val="16"/>
              </w:rPr>
            </w:pPr>
            <w:r w:rsidRPr="00FA01CB">
              <w:rPr>
                <w:rFonts w:ascii="Verdana" w:hAnsi="Verdana"/>
                <w:sz w:val="16"/>
                <w:szCs w:val="16"/>
              </w:rPr>
              <w:t xml:space="preserve">Analista </w:t>
            </w:r>
            <w:r w:rsidRPr="00FA01CB">
              <w:rPr>
                <w:rFonts w:ascii="Verdana" w:hAnsi="Verdana" w:cs="Arial"/>
                <w:sz w:val="16"/>
                <w:szCs w:val="16"/>
                <w:lang w:val="es-ES_tradnl"/>
              </w:rPr>
              <w:t>T2 ‒ 1 de la Subdirección de Gestión Contractual</w:t>
            </w:r>
          </w:p>
        </w:tc>
      </w:tr>
      <w:tr w:rsidR="00495A4B" w:rsidRPr="00FA01CB" w14:paraId="200F39AB" w14:textId="77777777">
        <w:trPr>
          <w:trHeight w:val="330"/>
        </w:trPr>
        <w:tc>
          <w:tcPr>
            <w:tcW w:w="893" w:type="dxa"/>
            <w:vAlign w:val="center"/>
            <w:hideMark/>
          </w:tcPr>
          <w:p w14:paraId="270D3725" w14:textId="77777777" w:rsidR="00495A4B" w:rsidRPr="00FA01CB" w:rsidRDefault="00495A4B">
            <w:pPr>
              <w:contextualSpacing/>
              <w:rPr>
                <w:rFonts w:ascii="Verdana" w:hAnsi="Verdana" w:cs="Arial"/>
                <w:sz w:val="16"/>
                <w:szCs w:val="16"/>
                <w:lang w:eastAsia="es-ES"/>
              </w:rPr>
            </w:pPr>
            <w:r w:rsidRPr="00FA01CB">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10953C5" w14:textId="77777777" w:rsidR="00495A4B" w:rsidRPr="006C0D39" w:rsidRDefault="00495A4B">
            <w:pPr>
              <w:textAlignment w:val="baseline"/>
              <w:rPr>
                <w:rFonts w:ascii="Verdana" w:hAnsi="Verdana" w:cs="Segoe UI"/>
                <w:sz w:val="16"/>
                <w:szCs w:val="16"/>
                <w:lang w:val="es-ES_tradnl" w:eastAsia="es-ES_tradnl"/>
              </w:rPr>
            </w:pPr>
            <w:r>
              <w:rPr>
                <w:rFonts w:ascii="Verdana" w:hAnsi="Verdana" w:cs="Segoe UI"/>
                <w:sz w:val="16"/>
                <w:szCs w:val="16"/>
                <w:lang w:val="es-ES_tradnl" w:eastAsia="es-ES_tradnl"/>
              </w:rPr>
              <w:t>Adriana Katherine López Rodríguez</w:t>
            </w:r>
          </w:p>
          <w:p w14:paraId="1DDF716E" w14:textId="77777777" w:rsidR="00495A4B" w:rsidRPr="00FA01CB" w:rsidRDefault="00495A4B">
            <w:pPr>
              <w:contextualSpacing/>
              <w:textAlignment w:val="baseline"/>
              <w:rPr>
                <w:rFonts w:ascii="Verdana" w:eastAsia="Times New Roman" w:hAnsi="Verdana" w:cs="Segoe UI"/>
                <w:sz w:val="16"/>
                <w:szCs w:val="16"/>
                <w:lang w:eastAsia="es-ES_tradnl"/>
              </w:rPr>
            </w:pPr>
            <w:r w:rsidRPr="006C0D39">
              <w:rPr>
                <w:rFonts w:ascii="Verdana" w:hAnsi="Verdana" w:cs="Arial"/>
                <w:sz w:val="16"/>
                <w:szCs w:val="16"/>
                <w:lang w:val="es-ES_tradnl" w:eastAsia="es-ES_tradnl"/>
              </w:rPr>
              <w:t>Contratista de la Subdirección de Gestión Contractual </w:t>
            </w:r>
          </w:p>
        </w:tc>
      </w:tr>
      <w:tr w:rsidR="00495A4B" w:rsidRPr="00FA01CB" w14:paraId="3ED6AC7C" w14:textId="77777777">
        <w:trPr>
          <w:trHeight w:val="300"/>
        </w:trPr>
        <w:tc>
          <w:tcPr>
            <w:tcW w:w="893" w:type="dxa"/>
            <w:vAlign w:val="center"/>
          </w:tcPr>
          <w:p w14:paraId="03240B26" w14:textId="77777777" w:rsidR="00495A4B" w:rsidRPr="00FA01CB" w:rsidRDefault="00495A4B">
            <w:pPr>
              <w:contextualSpacing/>
              <w:rPr>
                <w:rFonts w:ascii="Verdana" w:hAnsi="Verdana" w:cs="Arial"/>
                <w:sz w:val="16"/>
                <w:szCs w:val="16"/>
                <w:lang w:eastAsia="es-ES"/>
              </w:rPr>
            </w:pPr>
            <w:r w:rsidRPr="00FA01CB">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8CC62DC" w14:textId="77777777" w:rsidR="00495A4B" w:rsidRPr="00FA01CB" w:rsidRDefault="00495A4B">
            <w:pPr>
              <w:contextualSpacing/>
              <w:rPr>
                <w:rFonts w:ascii="Verdana" w:eastAsia="Calibri" w:hAnsi="Verdana" w:cs="Arial"/>
                <w:sz w:val="16"/>
                <w:szCs w:val="16"/>
                <w:lang w:eastAsia="es-ES"/>
              </w:rPr>
            </w:pPr>
            <w:r w:rsidRPr="00FA01CB">
              <w:rPr>
                <w:rFonts w:ascii="Verdana" w:eastAsia="Calibri" w:hAnsi="Verdana" w:cs="Arial"/>
                <w:sz w:val="16"/>
                <w:szCs w:val="16"/>
                <w:lang w:eastAsia="es-ES"/>
              </w:rPr>
              <w:t>Carolina Quintero Gacharná</w:t>
            </w:r>
          </w:p>
          <w:p w14:paraId="73F95249" w14:textId="77777777" w:rsidR="00495A4B" w:rsidRPr="00FA01CB" w:rsidRDefault="00495A4B">
            <w:pPr>
              <w:contextualSpacing/>
              <w:rPr>
                <w:rFonts w:ascii="Verdana" w:eastAsia="Calibri" w:hAnsi="Verdana" w:cs="Arial"/>
                <w:sz w:val="16"/>
                <w:szCs w:val="16"/>
                <w:lang w:eastAsia="es-ES"/>
              </w:rPr>
            </w:pPr>
            <w:r w:rsidRPr="00FA01CB">
              <w:rPr>
                <w:rFonts w:ascii="Verdana" w:eastAsia="Calibri" w:hAnsi="Verdana" w:cs="Arial"/>
                <w:sz w:val="16"/>
                <w:szCs w:val="16"/>
                <w:lang w:eastAsia="es-ES"/>
              </w:rPr>
              <w:t>Subdirectora de Gestión Contractual ANCP – CCE</w:t>
            </w:r>
          </w:p>
        </w:tc>
      </w:tr>
    </w:tbl>
    <w:p w14:paraId="4CA3F586" w14:textId="77777777" w:rsidR="00495A4B" w:rsidRPr="00E02524" w:rsidRDefault="00495A4B" w:rsidP="00495A4B">
      <w:pPr>
        <w:spacing w:after="0" w:line="240" w:lineRule="auto"/>
        <w:jc w:val="both"/>
        <w:rPr>
          <w:rFonts w:ascii="Verdana" w:eastAsia="Verdana" w:hAnsi="Verdana" w:cs="Verdana"/>
          <w:b/>
          <w:bCs/>
          <w:lang w:val="es-MX"/>
        </w:rPr>
      </w:pPr>
    </w:p>
    <w:p w14:paraId="4FFA06CE" w14:textId="77777777" w:rsidR="0072450D" w:rsidRDefault="0072450D" w:rsidP="00495A4B">
      <w:pPr>
        <w:spacing w:after="0" w:line="240" w:lineRule="auto"/>
        <w:jc w:val="both"/>
        <w:textAlignment w:val="baseline"/>
        <w:rPr>
          <w:noProof/>
        </w:rPr>
      </w:pPr>
    </w:p>
    <w:p w14:paraId="7C9026E2" w14:textId="45E3DF55" w:rsidR="002A0DD0" w:rsidRPr="000E2B93" w:rsidRDefault="002A0DD0" w:rsidP="00495A4B">
      <w:pPr>
        <w:spacing w:after="0" w:line="240" w:lineRule="auto"/>
        <w:jc w:val="both"/>
        <w:textAlignment w:val="baseline"/>
        <w:rPr>
          <w:rFonts w:ascii="Verdana" w:eastAsia="Verdana" w:hAnsi="Verdana" w:cs="Verdana"/>
          <w:lang w:eastAsia="es-CO"/>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48D46958" w:rsidR="00C15139" w:rsidRPr="30821638" w:rsidRDefault="00C15139" w:rsidP="30821638">
      <w:pPr>
        <w:spacing w:after="0" w:line="240" w:lineRule="auto"/>
        <w:textAlignment w:val="baseline"/>
        <w:rPr>
          <w:rFonts w:ascii="Verdana" w:eastAsia="Verdana" w:hAnsi="Verdana" w:cs="Verdana"/>
          <w:color w:val="4E4D4D"/>
          <w:lang w:val="es-ES" w:eastAsia="es-CO"/>
        </w:rPr>
      </w:pPr>
      <w:r w:rsidRPr="30821638">
        <w:rPr>
          <w:rFonts w:ascii="Verdana" w:eastAsia="Verdana" w:hAnsi="Verdana" w:cs="Verdana"/>
          <w:lang w:eastAsia="es-CO"/>
        </w:rPr>
        <w:t> </w:t>
      </w:r>
    </w:p>
    <w:bookmarkEnd w:id="1"/>
    <w:p w14:paraId="0F293BF4" w14:textId="11CCAD60" w:rsidR="00127233" w:rsidRPr="0015699B" w:rsidRDefault="00127233" w:rsidP="00495A4B">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F50E10" w14:textId="77777777" w:rsidR="00984309" w:rsidRDefault="00984309" w:rsidP="004A1847">
      <w:pPr>
        <w:spacing w:after="0" w:line="240" w:lineRule="auto"/>
      </w:pPr>
      <w:r>
        <w:separator/>
      </w:r>
    </w:p>
  </w:endnote>
  <w:endnote w:type="continuationSeparator" w:id="0">
    <w:p w14:paraId="5A70A3AB" w14:textId="77777777" w:rsidR="00984309" w:rsidRDefault="00984309" w:rsidP="004A1847">
      <w:pPr>
        <w:spacing w:after="0" w:line="240" w:lineRule="auto"/>
      </w:pPr>
      <w:r>
        <w:continuationSeparator/>
      </w:r>
    </w:p>
  </w:endnote>
  <w:endnote w:type="continuationNotice" w:id="1">
    <w:p w14:paraId="78416402" w14:textId="77777777" w:rsidR="00984309" w:rsidRDefault="0098430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51AB85" w14:textId="77777777" w:rsidR="00984309" w:rsidRDefault="00984309" w:rsidP="004A1847">
      <w:pPr>
        <w:spacing w:after="0" w:line="240" w:lineRule="auto"/>
      </w:pPr>
      <w:r>
        <w:separator/>
      </w:r>
    </w:p>
  </w:footnote>
  <w:footnote w:type="continuationSeparator" w:id="0">
    <w:p w14:paraId="1097F0F3" w14:textId="77777777" w:rsidR="00984309" w:rsidRDefault="00984309" w:rsidP="004A1847">
      <w:pPr>
        <w:spacing w:after="0" w:line="240" w:lineRule="auto"/>
      </w:pPr>
      <w:r>
        <w:continuationSeparator/>
      </w:r>
    </w:p>
  </w:footnote>
  <w:footnote w:type="continuationNotice" w:id="1">
    <w:p w14:paraId="0AFE48F3" w14:textId="77777777" w:rsidR="00984309" w:rsidRDefault="00984309">
      <w:pPr>
        <w:spacing w:after="0" w:line="240" w:lineRule="auto"/>
      </w:pPr>
    </w:p>
  </w:footnote>
  <w:footnote w:id="2">
    <w:p w14:paraId="0821DE39" w14:textId="77777777" w:rsidR="00495A4B" w:rsidRPr="00AF56B9" w:rsidRDefault="00495A4B" w:rsidP="00495A4B">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p w14:paraId="1656D400" w14:textId="77777777" w:rsidR="00495A4B" w:rsidRPr="00AF56B9" w:rsidRDefault="00495A4B" w:rsidP="00495A4B">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3">
    <w:p w14:paraId="1C0FCCAF" w14:textId="77777777" w:rsidR="00495A4B" w:rsidRPr="00AF56B9" w:rsidRDefault="00495A4B" w:rsidP="00495A4B">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4">
    <w:p w14:paraId="252C1065" w14:textId="77777777" w:rsidR="00495A4B" w:rsidRPr="00AF56B9" w:rsidRDefault="00495A4B" w:rsidP="00495A4B">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Consejo de Estado. Sala de lo Contencioso Administrativo Sección Tercera, Subsección C. Sentencia del 26 de febrero de 2014. Radicado: 1999-00113-01 (25.804). C.P. Enrique Gil Botero. </w:t>
      </w:r>
    </w:p>
    <w:p w14:paraId="267DBCB9" w14:textId="77777777" w:rsidR="00495A4B" w:rsidRPr="00AF56B9" w:rsidRDefault="00495A4B" w:rsidP="00495A4B">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5">
    <w:p w14:paraId="40BDCA5E" w14:textId="77777777" w:rsidR="00495A4B" w:rsidRPr="00AF56B9" w:rsidRDefault="00495A4B" w:rsidP="00495A4B">
      <w:pPr>
        <w:pStyle w:val="Textonotapie"/>
        <w:ind w:firstLine="709"/>
        <w:jc w:val="both"/>
        <w:rPr>
          <w:rFonts w:ascii="Verdana" w:hAnsi="Verdana"/>
          <w:sz w:val="16"/>
          <w:szCs w:val="16"/>
        </w:rPr>
      </w:pPr>
      <w:r w:rsidRPr="00AF56B9">
        <w:rPr>
          <w:rStyle w:val="Refdenotaalpie"/>
          <w:rFonts w:ascii="Verdana" w:hAnsi="Verdana"/>
          <w:sz w:val="16"/>
          <w:szCs w:val="16"/>
        </w:rPr>
        <w:footnoteRef/>
      </w:r>
      <w:r w:rsidRPr="00AF56B9">
        <w:rPr>
          <w:rFonts w:ascii="Verdana" w:hAnsi="Verdana"/>
          <w:sz w:val="16"/>
          <w:szCs w:val="16"/>
        </w:rPr>
        <w:t xml:space="preserve"> En </w:t>
      </w:r>
      <w:hyperlink r:id="rId1" w:history="1">
        <w:r w:rsidRPr="00AF56B9">
          <w:rPr>
            <w:rStyle w:val="Hipervnculo"/>
            <w:rFonts w:ascii="Verdana" w:hAnsi="Verdana"/>
            <w:sz w:val="16"/>
            <w:szCs w:val="16"/>
            <w:lang w:val="es-CO"/>
          </w:rPr>
          <w:t>circular_externa_unica_version_3_vf49.pdf</w:t>
        </w:r>
      </w:hyperlink>
    </w:p>
  </w:footnote>
  <w:footnote w:id="6">
    <w:p w14:paraId="4C0944BA" w14:textId="77777777" w:rsidR="00495A4B" w:rsidRPr="00AF56B9" w:rsidRDefault="00495A4B" w:rsidP="00495A4B">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vertAlign w:val="superscript"/>
        </w:rPr>
        <w:t xml:space="preserve"> </w:t>
      </w:r>
      <w:r w:rsidRPr="00AF56B9">
        <w:rPr>
          <w:rFonts w:ascii="Verdana" w:eastAsia="Arial"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footnote>
  <w:footnote w:id="7">
    <w:p w14:paraId="1A9E5F7A" w14:textId="77777777" w:rsidR="00495A4B" w:rsidRPr="00AF56B9" w:rsidRDefault="00495A4B" w:rsidP="00495A4B">
      <w:pP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Decreto 2474 de 2008 (DEROGADO): “art. 10. Reglas de subsanabilidad. En todo proceso de selección de contratistas primará lo sustancial sobre lo formal. En consecuencia no podrá rechazarse una propuesta por la ausencia de requisitos o la falta de documentos que verifiquen las condiciones del proponente o soporten el contenido de la oferta, y que no constituyan los factores de escogencia establecidos por la entidad en el pliego de condiciones, de conformidad con lo previsto en los numerales 2º, 3º y 4º del artículo 5º de la </w:t>
      </w:r>
      <w:hyperlink r:id="rId2">
        <w:r w:rsidRPr="00AF56B9">
          <w:rPr>
            <w:rFonts w:ascii="Verdana" w:eastAsia="Arial" w:hAnsi="Verdana" w:cs="Arial"/>
            <w:color w:val="000000"/>
            <w:sz w:val="16"/>
            <w:szCs w:val="16"/>
          </w:rPr>
          <w:t>Ley 1150 de 2007</w:t>
        </w:r>
      </w:hyperlink>
      <w:r w:rsidRPr="00AF56B9">
        <w:rPr>
          <w:rFonts w:ascii="Verdana" w:eastAsia="Arial" w:hAnsi="Verdana" w:cs="Arial"/>
          <w:color w:val="000000"/>
          <w:sz w:val="16"/>
          <w:szCs w:val="16"/>
        </w:rPr>
        <w:t> y en el presente decreto.</w:t>
      </w:r>
    </w:p>
    <w:p w14:paraId="48C17EDF" w14:textId="77777777" w:rsidR="00495A4B" w:rsidRPr="00AF56B9" w:rsidRDefault="00495A4B" w:rsidP="00495A4B">
      <w:pPr>
        <w:spacing w:after="0" w:line="240" w:lineRule="auto"/>
        <w:ind w:firstLine="709"/>
        <w:jc w:val="both"/>
        <w:rPr>
          <w:rFonts w:ascii="Verdana" w:eastAsia="Arial" w:hAnsi="Verdana" w:cs="Arial"/>
          <w:color w:val="000000"/>
          <w:sz w:val="16"/>
          <w:szCs w:val="16"/>
        </w:rPr>
      </w:pPr>
      <w:r w:rsidRPr="00AF56B9">
        <w:rPr>
          <w:rFonts w:ascii="Verdana" w:eastAsia="Arial" w:hAnsi="Verdana" w:cs="Arial"/>
          <w:color w:val="000000"/>
          <w:sz w:val="16"/>
          <w:szCs w:val="16"/>
        </w:rPr>
        <w:t>Tales requisitos o documentos podrán ser requeridos por la entidad en condiciones de igualdad para todos los proponentes hasta la adjudicación, o hasta el momento en que la entidad lo establezca en los pliegos de condiciones, sin que tal previsión haga nugatorio el principio contemplado en el inciso anterior.</w:t>
      </w:r>
    </w:p>
    <w:p w14:paraId="422D09A7" w14:textId="77777777" w:rsidR="00495A4B" w:rsidRPr="00AF56B9" w:rsidRDefault="00495A4B" w:rsidP="00495A4B">
      <w:pPr>
        <w:spacing w:after="0" w:line="240" w:lineRule="auto"/>
        <w:ind w:firstLine="709"/>
        <w:jc w:val="both"/>
        <w:rPr>
          <w:rFonts w:ascii="Verdana" w:eastAsia="Arial" w:hAnsi="Verdana" w:cs="Arial"/>
          <w:color w:val="000000"/>
          <w:sz w:val="16"/>
          <w:szCs w:val="16"/>
        </w:rPr>
      </w:pPr>
      <w:r w:rsidRPr="00AF56B9">
        <w:rPr>
          <w:rFonts w:ascii="Verdana" w:eastAsia="Arial" w:hAnsi="Verdana" w:cs="Arial"/>
          <w:color w:val="000000"/>
          <w:sz w:val="16"/>
          <w:szCs w:val="16"/>
        </w:rPr>
        <w:t>Será rechazada la oferta del proponente que dentro del término previsto en el pliego o en la solicitud, no responda al requerimiento que le haga la entidad para subsanarla.</w:t>
      </w:r>
    </w:p>
    <w:p w14:paraId="54D820EF" w14:textId="77777777" w:rsidR="00495A4B" w:rsidRPr="00AF56B9" w:rsidRDefault="00495A4B" w:rsidP="00495A4B">
      <w:pPr>
        <w:spacing w:after="0" w:line="240" w:lineRule="auto"/>
        <w:ind w:firstLine="709"/>
        <w:jc w:val="both"/>
        <w:rPr>
          <w:rFonts w:ascii="Verdana" w:eastAsia="Arial" w:hAnsi="Verdana" w:cs="Arial"/>
          <w:color w:val="000000"/>
          <w:sz w:val="16"/>
          <w:szCs w:val="16"/>
        </w:rPr>
      </w:pPr>
      <w:r w:rsidRPr="00AF56B9">
        <w:rPr>
          <w:rFonts w:ascii="Verdana" w:eastAsia="Arial" w:hAnsi="Verdana" w:cs="Arial"/>
          <w:color w:val="000000"/>
          <w:sz w:val="16"/>
          <w:szCs w:val="16"/>
        </w:rPr>
        <w:t>Cuando se utilice el mecanismo de subasta esta posibilidad deberá ejercerse hasta el momento previo a su realización, de conformidad con el artículo 22 del presente decreto.</w:t>
      </w:r>
    </w:p>
    <w:p w14:paraId="027465CB" w14:textId="77777777" w:rsidR="00495A4B" w:rsidRDefault="00495A4B" w:rsidP="00495A4B">
      <w:pPr>
        <w:spacing w:after="0" w:line="240" w:lineRule="auto"/>
        <w:ind w:firstLine="709"/>
        <w:jc w:val="both"/>
        <w:rPr>
          <w:rFonts w:ascii="Verdana" w:eastAsia="Arial" w:hAnsi="Verdana" w:cs="Arial"/>
          <w:color w:val="000000"/>
          <w:sz w:val="14"/>
          <w:szCs w:val="14"/>
        </w:rPr>
      </w:pPr>
      <w:r w:rsidRPr="00AF56B9">
        <w:rPr>
          <w:rFonts w:ascii="Verdana" w:eastAsia="Arial" w:hAnsi="Verdana" w:cs="Arial"/>
          <w:color w:val="000000"/>
          <w:sz w:val="16"/>
          <w:szCs w:val="16"/>
        </w:rPr>
        <w:t xml:space="preserve">En ningún caso la entidad podrá señalar taxativamente los requisitos o documentos subsanables o no subsanables en el pliego de condiciones, </w:t>
      </w:r>
      <w:r w:rsidRPr="00AF56B9">
        <w:rPr>
          <w:rFonts w:ascii="Verdana" w:eastAsia="Arial" w:hAnsi="Verdana" w:cs="Arial"/>
          <w:i/>
          <w:color w:val="000000"/>
          <w:sz w:val="16"/>
          <w:szCs w:val="16"/>
        </w:rPr>
        <w:t>ni permitir que se subsane la falta de capacidad para presentar la oferta, ni que se acrediten circunstancias ocurridas con posterioridad al cierre del proceso</w:t>
      </w:r>
      <w:r w:rsidRPr="00AF56B9">
        <w:rPr>
          <w:rFonts w:ascii="Verdana" w:eastAsia="Arial" w:hAnsi="Verdana" w:cs="Arial"/>
          <w:color w:val="000000"/>
          <w:sz w:val="16"/>
          <w:szCs w:val="16"/>
        </w:rPr>
        <w:t>”. (Cursivas fuera de texto).</w:t>
      </w:r>
      <w:r w:rsidRPr="00817F71">
        <w:rPr>
          <w:rFonts w:ascii="Verdana" w:eastAsia="Arial" w:hAnsi="Verdana" w:cs="Arial"/>
          <w:color w:val="000000"/>
          <w:sz w:val="14"/>
          <w:szCs w:val="14"/>
        </w:rPr>
        <w:t xml:space="preserve"> </w:t>
      </w:r>
    </w:p>
    <w:p w14:paraId="4671BE9D" w14:textId="77777777" w:rsidR="00495A4B" w:rsidRPr="00817F71" w:rsidRDefault="00495A4B" w:rsidP="00495A4B">
      <w:pPr>
        <w:spacing w:after="0" w:line="240" w:lineRule="auto"/>
        <w:ind w:firstLine="709"/>
        <w:jc w:val="both"/>
        <w:rPr>
          <w:rFonts w:ascii="Verdana" w:eastAsia="Arial" w:hAnsi="Verdana" w:cs="Arial"/>
          <w:color w:val="000000"/>
          <w:sz w:val="14"/>
          <w:szCs w:val="14"/>
        </w:rPr>
      </w:pPr>
    </w:p>
  </w:footnote>
  <w:footnote w:id="8">
    <w:p w14:paraId="14AA6AC7" w14:textId="77777777" w:rsidR="00495A4B" w:rsidRPr="00AF56B9" w:rsidRDefault="00495A4B" w:rsidP="00495A4B">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Consejo de Estado. Sala de Consulta y Servicio Civil, concepto del 6 de noviembre de 2008. Rad. 2008-00079-00 (1927). C.P. William Zambrano Cetina.</w:t>
      </w:r>
    </w:p>
  </w:footnote>
  <w:footnote w:id="9">
    <w:p w14:paraId="68CF0153" w14:textId="77777777" w:rsidR="00495A4B" w:rsidRPr="00AF56B9" w:rsidRDefault="00495A4B" w:rsidP="00495A4B">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Ver Consejo de Estado. Sala de lo Contencioso Administrativo. Sección Tercera, Subsección C. Sentencia del 26 de febrero de 2011. Radicado: 11001-03-26-000-2009-00018-00 (36.408). C.P. Jaime Orlando Santofimio.   </w:t>
      </w:r>
    </w:p>
    <w:p w14:paraId="6872AD5C" w14:textId="77777777" w:rsidR="00495A4B" w:rsidRPr="00AF56B9" w:rsidRDefault="00495A4B" w:rsidP="00495A4B">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10">
    <w:p w14:paraId="127184F5" w14:textId="77777777" w:rsidR="00495A4B" w:rsidRPr="00AF56B9" w:rsidRDefault="00495A4B" w:rsidP="00495A4B">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Ver Consejo de Estado, Sección Tercera, Subsección C. Sentencia del 26 de febrero de 2014. C.P. Enrique Gil Botero. Radicado: 13001-23-31-000-1999-00113-01 (25.804). M.P: Enrique Gil Botero.   </w:t>
      </w:r>
    </w:p>
    <w:p w14:paraId="28065903" w14:textId="77777777" w:rsidR="00495A4B" w:rsidRPr="00AF56B9" w:rsidRDefault="00495A4B" w:rsidP="00495A4B">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11">
    <w:p w14:paraId="16918FCD" w14:textId="77777777" w:rsidR="00495A4B" w:rsidRPr="00AF56B9" w:rsidRDefault="00495A4B" w:rsidP="00495A4B">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Consejo de Estado. Sala de Consulta y Servicio Civil. Concepto del 20 de mayo de 2010. Rad. 2010-00034-00 (1992). C.P. Enrique José Arboleda Perdomo.</w:t>
      </w:r>
    </w:p>
    <w:p w14:paraId="6946586D" w14:textId="77777777" w:rsidR="00495A4B" w:rsidRPr="00AF56B9" w:rsidRDefault="00495A4B" w:rsidP="00495A4B">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12">
    <w:p w14:paraId="4ABB4D33" w14:textId="77777777" w:rsidR="00495A4B" w:rsidRPr="00A76E99" w:rsidRDefault="00495A4B" w:rsidP="00495A4B">
      <w:pPr>
        <w:pStyle w:val="Textonotapie"/>
        <w:ind w:firstLine="709"/>
        <w:rPr>
          <w:rFonts w:ascii="Verdana" w:hAnsi="Verdana"/>
          <w:sz w:val="16"/>
          <w:szCs w:val="16"/>
          <w:lang w:val="es-CO"/>
        </w:rPr>
      </w:pPr>
      <w:r w:rsidRPr="00AF56B9">
        <w:rPr>
          <w:rStyle w:val="Refdenotaalpie"/>
          <w:rFonts w:ascii="Verdana" w:hAnsi="Verdana"/>
          <w:sz w:val="16"/>
          <w:szCs w:val="16"/>
        </w:rPr>
        <w:footnoteRef/>
      </w:r>
      <w:r w:rsidRPr="00AF56B9">
        <w:rPr>
          <w:rFonts w:ascii="Verdana" w:hAnsi="Verdana"/>
          <w:sz w:val="16"/>
          <w:szCs w:val="16"/>
          <w:lang w:val="es-CO"/>
        </w:rPr>
        <w:t xml:space="preserve"> Disponible en </w:t>
      </w:r>
      <w:hyperlink r:id="rId3" w:history="1">
        <w:r w:rsidRPr="00AF56B9">
          <w:rPr>
            <w:rStyle w:val="Hipervnculo"/>
            <w:rFonts w:ascii="Verdana" w:hAnsi="Verdana"/>
            <w:sz w:val="16"/>
            <w:szCs w:val="16"/>
            <w:lang w:val="es-CO"/>
          </w:rPr>
          <w:t>cce-eicp-ma-04._manual_requisitos_habilitantes_v3_29-09-2023.pdf</w:t>
        </w:r>
      </w:hyperlink>
    </w:p>
    <w:p w14:paraId="0E8D842F" w14:textId="77777777" w:rsidR="00495A4B" w:rsidRPr="00AF56B9" w:rsidRDefault="00495A4B" w:rsidP="00495A4B">
      <w:pPr>
        <w:pStyle w:val="Textonotapie"/>
        <w:ind w:firstLine="709"/>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0"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1"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FD188E"/>
    <w:multiLevelType w:val="hybridMultilevel"/>
    <w:tmpl w:val="888829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560793310">
    <w:abstractNumId w:val="0"/>
  </w:num>
  <w:num w:numId="17" w16cid:durableId="14366326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1E35"/>
    <w:rsid w:val="000D5DA7"/>
    <w:rsid w:val="000E1F6A"/>
    <w:rsid w:val="000F157F"/>
    <w:rsid w:val="000F6486"/>
    <w:rsid w:val="001062EB"/>
    <w:rsid w:val="00106915"/>
    <w:rsid w:val="00116940"/>
    <w:rsid w:val="00125105"/>
    <w:rsid w:val="00127233"/>
    <w:rsid w:val="001462AA"/>
    <w:rsid w:val="0015699B"/>
    <w:rsid w:val="0017596F"/>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E6140"/>
    <w:rsid w:val="0030657A"/>
    <w:rsid w:val="00322A85"/>
    <w:rsid w:val="00324168"/>
    <w:rsid w:val="00330834"/>
    <w:rsid w:val="003448F4"/>
    <w:rsid w:val="00374F5E"/>
    <w:rsid w:val="00377E3E"/>
    <w:rsid w:val="003A779E"/>
    <w:rsid w:val="003B3B87"/>
    <w:rsid w:val="003D0F4D"/>
    <w:rsid w:val="003D5B0D"/>
    <w:rsid w:val="003E0499"/>
    <w:rsid w:val="003E4F80"/>
    <w:rsid w:val="003E6439"/>
    <w:rsid w:val="003F3941"/>
    <w:rsid w:val="00406575"/>
    <w:rsid w:val="00414C74"/>
    <w:rsid w:val="0042722E"/>
    <w:rsid w:val="0044528D"/>
    <w:rsid w:val="00466E39"/>
    <w:rsid w:val="0048548B"/>
    <w:rsid w:val="00492940"/>
    <w:rsid w:val="00495A4B"/>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47D53"/>
    <w:rsid w:val="00665D70"/>
    <w:rsid w:val="006900D9"/>
    <w:rsid w:val="006C00BB"/>
    <w:rsid w:val="00706C16"/>
    <w:rsid w:val="0072450D"/>
    <w:rsid w:val="007340C3"/>
    <w:rsid w:val="0075235A"/>
    <w:rsid w:val="00756841"/>
    <w:rsid w:val="007649AB"/>
    <w:rsid w:val="00771D0C"/>
    <w:rsid w:val="007833AC"/>
    <w:rsid w:val="007A27BD"/>
    <w:rsid w:val="007B268C"/>
    <w:rsid w:val="007B7171"/>
    <w:rsid w:val="007C0C0F"/>
    <w:rsid w:val="007C3DC2"/>
    <w:rsid w:val="007E5497"/>
    <w:rsid w:val="007E5E2B"/>
    <w:rsid w:val="00806F5F"/>
    <w:rsid w:val="00820278"/>
    <w:rsid w:val="008258C9"/>
    <w:rsid w:val="00844AE9"/>
    <w:rsid w:val="00867F95"/>
    <w:rsid w:val="008843B6"/>
    <w:rsid w:val="00891928"/>
    <w:rsid w:val="008A446D"/>
    <w:rsid w:val="008B25F1"/>
    <w:rsid w:val="008D180B"/>
    <w:rsid w:val="008F0EA7"/>
    <w:rsid w:val="0091781F"/>
    <w:rsid w:val="00923EEF"/>
    <w:rsid w:val="009419F9"/>
    <w:rsid w:val="00956283"/>
    <w:rsid w:val="0095685E"/>
    <w:rsid w:val="00961B09"/>
    <w:rsid w:val="00965334"/>
    <w:rsid w:val="0097093E"/>
    <w:rsid w:val="00984309"/>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51790"/>
    <w:rsid w:val="00A901D6"/>
    <w:rsid w:val="00AB0ADB"/>
    <w:rsid w:val="00AF30C3"/>
    <w:rsid w:val="00B00C0E"/>
    <w:rsid w:val="00B01B1A"/>
    <w:rsid w:val="00B0381D"/>
    <w:rsid w:val="00B15109"/>
    <w:rsid w:val="00B44A47"/>
    <w:rsid w:val="00B72CD3"/>
    <w:rsid w:val="00B72FFF"/>
    <w:rsid w:val="00BC13B5"/>
    <w:rsid w:val="00BC3D36"/>
    <w:rsid w:val="00BD54A6"/>
    <w:rsid w:val="00BD7F72"/>
    <w:rsid w:val="00BF7425"/>
    <w:rsid w:val="00C04FB3"/>
    <w:rsid w:val="00C11D8B"/>
    <w:rsid w:val="00C15139"/>
    <w:rsid w:val="00C22480"/>
    <w:rsid w:val="00C330EB"/>
    <w:rsid w:val="00C4018E"/>
    <w:rsid w:val="00C50D69"/>
    <w:rsid w:val="00C5365C"/>
    <w:rsid w:val="00C754BE"/>
    <w:rsid w:val="00C76B1C"/>
    <w:rsid w:val="00C925AC"/>
    <w:rsid w:val="00CB6357"/>
    <w:rsid w:val="00CC1B26"/>
    <w:rsid w:val="00CF6051"/>
    <w:rsid w:val="00D209E6"/>
    <w:rsid w:val="00D361FD"/>
    <w:rsid w:val="00D423A2"/>
    <w:rsid w:val="00D44E26"/>
    <w:rsid w:val="00D520D8"/>
    <w:rsid w:val="00D63AC2"/>
    <w:rsid w:val="00D7036F"/>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3CCA"/>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2">
    <w:name w:val="heading 2"/>
    <w:basedOn w:val="Normal"/>
    <w:next w:val="Normal"/>
    <w:link w:val="Ttulo2Car"/>
    <w:uiPriority w:val="9"/>
    <w:unhideWhenUsed/>
    <w:qFormat/>
    <w:rsid w:val="0048548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2Car">
    <w:name w:val="Título 2 Car"/>
    <w:basedOn w:val="Fuentedeprrafopredeter"/>
    <w:link w:val="Ttulo2"/>
    <w:uiPriority w:val="9"/>
    <w:rsid w:val="0048548B"/>
    <w:rPr>
      <w:rFonts w:asciiTheme="majorHAnsi" w:eastAsiaTheme="majorEastAsia" w:hAnsiTheme="majorHAnsi" w:cstheme="majorBidi"/>
      <w:color w:val="2F5496" w:themeColor="accent1" w:themeShade="BF"/>
      <w:sz w:val="26"/>
      <w:szCs w:val="26"/>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8548B"/>
    <w:rPr>
      <w:rFonts w:ascii="Geomanist Light" w:hAnsi="Geomanist Light"/>
      <w:lang w:val="es-ES"/>
    </w:rPr>
  </w:style>
  <w:style w:type="paragraph" w:customStyle="1" w:styleId="Appelnotedebasde">
    <w:name w:val="Appel note de bas de..."/>
    <w:basedOn w:val="Normal"/>
    <w:link w:val="Refdenotaalpie"/>
    <w:uiPriority w:val="99"/>
    <w:rsid w:val="0048548B"/>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wp-content/uploads/2024/08/circular_externa_unica_version_3_vf49.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g_rocer@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4/08/cce-eicp-ma-04._manual_requisitos_habilitantes_v3_29-09-2023.pdf" TargetMode="External"/><Relationship Id="rId2" Type="http://schemas.openxmlformats.org/officeDocument/2006/relationships/hyperlink" Target="http://www.lexbase.biz/lexbase/normas/leyes/2007/L1150de2007.htm" TargetMode="External"/><Relationship Id="rId1" Type="http://schemas.openxmlformats.org/officeDocument/2006/relationships/hyperlink" Target="https://www.colombiacompra.gov.co/wp-content/uploads/2024/08/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ECF0EB-C151-4DE2-9F41-D184BD7C50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20</Pages>
  <Words>6491</Words>
  <Characters>35706</Characters>
  <Application>Microsoft Office Word</Application>
  <DocSecurity>0</DocSecurity>
  <Lines>297</Lines>
  <Paragraphs>84</Paragraphs>
  <ScaleCrop>false</ScaleCrop>
  <Company/>
  <LinksUpToDate>false</LinksUpToDate>
  <CharactersWithSpaces>42113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2026-07-17T14:46:00Z</dcterms:created>
  <dcterms:modified xsi:type="dcterms:W3CDTF">2026-07-17T17:05:00Z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