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E630D" w14:textId="77777777" w:rsidR="00850E03" w:rsidRDefault="00850E03" w:rsidP="002E7082">
      <w:pPr>
        <w:spacing w:after="0" w:line="240" w:lineRule="auto"/>
        <w:jc w:val="both"/>
        <w:rPr>
          <w:rFonts w:ascii="Verdana" w:hAnsi="Verdana"/>
          <w:b/>
        </w:rPr>
      </w:pPr>
      <w:bookmarkStart w:id="0" w:name="_Hlk143780582"/>
      <w:r>
        <w:rPr>
          <w:rFonts w:ascii="Verdana" w:hAnsi="Verdana"/>
          <w:b/>
        </w:rPr>
        <w:t>ACTO DE ADJUDICACIÓN – Naturaleza jurídica – Características</w:t>
      </w:r>
    </w:p>
    <w:p w14:paraId="73AAA8BC" w14:textId="77777777" w:rsidR="00850E03" w:rsidRDefault="00850E03" w:rsidP="002E7082">
      <w:pPr>
        <w:spacing w:after="0" w:line="240" w:lineRule="auto"/>
        <w:jc w:val="both"/>
        <w:rPr>
          <w:rFonts w:ascii="Verdana" w:hAnsi="Verdana"/>
          <w:bCs/>
          <w:sz w:val="20"/>
          <w:szCs w:val="20"/>
        </w:rPr>
      </w:pPr>
    </w:p>
    <w:p w14:paraId="75182B48" w14:textId="77777777" w:rsidR="00850E03" w:rsidRDefault="00850E03" w:rsidP="002E7082">
      <w:pPr>
        <w:spacing w:after="0" w:line="240" w:lineRule="auto"/>
        <w:jc w:val="both"/>
        <w:rPr>
          <w:rFonts w:ascii="Verdana" w:eastAsia="Calibri" w:hAnsi="Verdana" w:cs="Arial"/>
          <w:sz w:val="20"/>
          <w:szCs w:val="20"/>
          <w:shd w:val="clear" w:color="auto" w:fill="FFFFFF"/>
          <w:lang w:val="es-ES"/>
        </w:rPr>
      </w:pPr>
      <w:r>
        <w:rPr>
          <w:rFonts w:ascii="Verdana" w:eastAsia="Calibri" w:hAnsi="Verdana" w:cs="Arial"/>
          <w:sz w:val="20"/>
          <w:szCs w:val="20"/>
          <w:shd w:val="clear" w:color="auto" w:fill="FFFFFF"/>
          <w:lang w:val="es-ES"/>
        </w:rPr>
        <w:t xml:space="preserve">El acto de adjudicación es la actuación final de la fase del procedimiento de selección, en la cual se manifiesta la voluntad de la Administración de realizar la contratación con uno o varios oferentes determinados. El acto de adjudicación es una de las formalidades más importantes para la configuración del contrato estatal, en la medida que es a partir de ella que se origina la obligación para las partes de celebrar el contrato objeto del procedimiento de selección. Así lo ha anotado la doctrina al señalar que: “con la adjudicación del contrato surge una relación jurídica de la cual se deriva el compromiso para las partes de observar las formalidades propias del perfeccionamiento del contrato”. </w:t>
      </w:r>
    </w:p>
    <w:p w14:paraId="3B415414" w14:textId="77777777" w:rsidR="00850E03" w:rsidRDefault="00850E03" w:rsidP="002E7082">
      <w:pPr>
        <w:spacing w:after="0" w:line="240" w:lineRule="auto"/>
        <w:jc w:val="both"/>
        <w:rPr>
          <w:rFonts w:ascii="Verdana" w:eastAsia="Calibri" w:hAnsi="Verdana" w:cs="Arial"/>
          <w:sz w:val="20"/>
          <w:szCs w:val="20"/>
          <w:shd w:val="clear" w:color="auto" w:fill="FFFFFF"/>
          <w:lang w:val="es-ES"/>
        </w:rPr>
      </w:pPr>
    </w:p>
    <w:p w14:paraId="544364E5" w14:textId="77777777" w:rsidR="00850E03" w:rsidRDefault="00850E03" w:rsidP="002E7082">
      <w:pPr>
        <w:spacing w:after="0" w:line="240" w:lineRule="auto"/>
        <w:jc w:val="both"/>
        <w:rPr>
          <w:rFonts w:ascii="Verdana" w:eastAsia="Arial MT" w:hAnsi="Verdana" w:cs="Arial"/>
          <w:sz w:val="20"/>
          <w:szCs w:val="20"/>
          <w:lang w:eastAsia="es-ES" w:bidi="es-ES"/>
        </w:rPr>
      </w:pPr>
      <w:r>
        <w:rPr>
          <w:rFonts w:ascii="Verdana" w:eastAsia="Arial MT" w:hAnsi="Verdana" w:cs="Arial"/>
          <w:sz w:val="20"/>
          <w:szCs w:val="20"/>
          <w:lang w:eastAsia="es-ES" w:bidi="es-ES"/>
        </w:rPr>
        <w:t xml:space="preserve">Adicionalmente, tanto la jurisprudencia del Consejo de Estado como la doctrina han distinguido tres (3) características del acto de adjudicación del contrato estatal, que pueden sintetizarse así: i) es un acto administrativo de carácter definitivo y de alcance particular; </w:t>
      </w:r>
      <w:proofErr w:type="spellStart"/>
      <w:r>
        <w:rPr>
          <w:rFonts w:ascii="Verdana" w:eastAsia="Arial MT" w:hAnsi="Verdana" w:cs="Arial"/>
          <w:sz w:val="20"/>
          <w:szCs w:val="20"/>
          <w:lang w:eastAsia="es-ES" w:bidi="es-ES"/>
        </w:rPr>
        <w:t>ii</w:t>
      </w:r>
      <w:proofErr w:type="spellEnd"/>
      <w:r>
        <w:rPr>
          <w:rFonts w:ascii="Verdana" w:eastAsia="Arial MT" w:hAnsi="Verdana" w:cs="Arial"/>
          <w:sz w:val="20"/>
          <w:szCs w:val="20"/>
          <w:lang w:eastAsia="es-ES" w:bidi="es-ES"/>
        </w:rPr>
        <w:t xml:space="preserve">) es irrevocable, por regla general, y </w:t>
      </w:r>
      <w:proofErr w:type="spellStart"/>
      <w:r>
        <w:rPr>
          <w:rFonts w:ascii="Verdana" w:eastAsia="Arial MT" w:hAnsi="Verdana" w:cs="Arial"/>
          <w:sz w:val="20"/>
          <w:szCs w:val="20"/>
          <w:lang w:eastAsia="es-ES" w:bidi="es-ES"/>
        </w:rPr>
        <w:t>iii</w:t>
      </w:r>
      <w:proofErr w:type="spellEnd"/>
      <w:r>
        <w:rPr>
          <w:rFonts w:ascii="Verdana" w:eastAsia="Arial MT" w:hAnsi="Verdana" w:cs="Arial"/>
          <w:sz w:val="20"/>
          <w:szCs w:val="20"/>
          <w:lang w:eastAsia="es-ES" w:bidi="es-ES"/>
        </w:rPr>
        <w:t>) es obligatorio, tanto para la entidad contratante como para el adjudicatario.</w:t>
      </w:r>
    </w:p>
    <w:p w14:paraId="38829908" w14:textId="77777777" w:rsidR="00850E03" w:rsidRDefault="00850E03" w:rsidP="002E7082">
      <w:pPr>
        <w:spacing w:after="0" w:line="240" w:lineRule="auto"/>
        <w:jc w:val="both"/>
        <w:rPr>
          <w:rFonts w:ascii="Verdana" w:hAnsi="Verdana"/>
          <w:bCs/>
          <w:sz w:val="20"/>
          <w:szCs w:val="20"/>
        </w:rPr>
      </w:pPr>
    </w:p>
    <w:p w14:paraId="05359AB5" w14:textId="77777777" w:rsidR="00850E03" w:rsidRDefault="00850E03" w:rsidP="002E7082">
      <w:pPr>
        <w:spacing w:after="0" w:line="240" w:lineRule="auto"/>
        <w:jc w:val="both"/>
        <w:rPr>
          <w:rFonts w:ascii="Verdana" w:hAnsi="Verdana"/>
          <w:b/>
        </w:rPr>
      </w:pPr>
      <w:r>
        <w:rPr>
          <w:rFonts w:ascii="Verdana" w:hAnsi="Verdana"/>
          <w:b/>
        </w:rPr>
        <w:t>ACTO DE ADJUDICACIÓN – Carácter vinculante</w:t>
      </w:r>
    </w:p>
    <w:p w14:paraId="747CBA36" w14:textId="77777777" w:rsidR="00850E03" w:rsidRDefault="00850E03" w:rsidP="002E7082">
      <w:pPr>
        <w:spacing w:after="0" w:line="240" w:lineRule="auto"/>
        <w:jc w:val="both"/>
        <w:rPr>
          <w:rFonts w:ascii="Verdana" w:hAnsi="Verdana"/>
          <w:bCs/>
          <w:sz w:val="20"/>
          <w:szCs w:val="20"/>
        </w:rPr>
      </w:pPr>
    </w:p>
    <w:p w14:paraId="7000AD1D" w14:textId="77777777" w:rsidR="00850E03" w:rsidRDefault="00850E03" w:rsidP="002E7082">
      <w:pPr>
        <w:spacing w:after="0" w:line="240" w:lineRule="auto"/>
        <w:jc w:val="both"/>
        <w:rPr>
          <w:rFonts w:ascii="Verdana" w:hAnsi="Verdana"/>
          <w:b/>
          <w:bCs/>
          <w:sz w:val="20"/>
          <w:szCs w:val="20"/>
        </w:rPr>
      </w:pPr>
      <w:r>
        <w:rPr>
          <w:rFonts w:ascii="Verdana" w:eastAsia="Arial MT" w:hAnsi="Verdana" w:cs="Arial"/>
          <w:sz w:val="20"/>
          <w:szCs w:val="20"/>
          <w:lang w:eastAsia="es-ES" w:bidi="es-ES"/>
        </w:rPr>
        <w:t>Como se observa, el acto administrativo de adjudicación es irrevocable y obligatorio para las partes, lo que significa que produce el derecho del adjudicatario para contratar con el Estado y el correlativo deber de la entidad contratante de celebrar el contrato, en los términos fijados en los pliegos de condiciones. En este puno es necesario señalar que, tal regla tiene dos excepciones. Al respecto, el artículo 9 de la Ley 1150 de 2007 trajo consigo un cambio frente al numeral 11 del artículo 30 de la Ley 80, que consiste en prever dos excepciones a la irrevocabilidad del acto de adjudicación, que antes estaba consagrada en términos absolutos.</w:t>
      </w:r>
    </w:p>
    <w:p w14:paraId="64FE2958" w14:textId="77777777" w:rsidR="00850E03" w:rsidRDefault="00850E03" w:rsidP="002E7082">
      <w:pPr>
        <w:spacing w:after="0" w:line="240" w:lineRule="auto"/>
        <w:jc w:val="both"/>
        <w:rPr>
          <w:rFonts w:ascii="Verdana" w:hAnsi="Verdana"/>
          <w:b/>
          <w:bCs/>
          <w:sz w:val="20"/>
          <w:szCs w:val="20"/>
        </w:rPr>
      </w:pPr>
    </w:p>
    <w:p w14:paraId="0584FFE5" w14:textId="77777777" w:rsidR="00850E03" w:rsidRDefault="00850E03" w:rsidP="002E7082">
      <w:pPr>
        <w:spacing w:after="0" w:line="240" w:lineRule="auto"/>
        <w:jc w:val="both"/>
        <w:rPr>
          <w:rFonts w:ascii="Verdana" w:hAnsi="Verdana"/>
          <w:b/>
          <w:bCs/>
        </w:rPr>
      </w:pPr>
      <w:r>
        <w:rPr>
          <w:rFonts w:ascii="Verdana" w:hAnsi="Verdana"/>
          <w:b/>
          <w:bCs/>
        </w:rPr>
        <w:t>REVOCACIÓN DIRECTA – Noción</w:t>
      </w:r>
    </w:p>
    <w:p w14:paraId="5A59AF62" w14:textId="77777777" w:rsidR="00850E03" w:rsidRDefault="00850E03" w:rsidP="002E7082">
      <w:pPr>
        <w:spacing w:after="0" w:line="240" w:lineRule="auto"/>
        <w:jc w:val="both"/>
        <w:rPr>
          <w:rFonts w:ascii="Verdana" w:hAnsi="Verdana"/>
          <w:b/>
          <w:bCs/>
          <w:sz w:val="20"/>
          <w:szCs w:val="20"/>
        </w:rPr>
      </w:pPr>
    </w:p>
    <w:p w14:paraId="3DAA2F79" w14:textId="77777777" w:rsidR="00850E03" w:rsidRDefault="00850E03" w:rsidP="002E7082">
      <w:pPr>
        <w:spacing w:after="0" w:line="240" w:lineRule="auto"/>
        <w:jc w:val="both"/>
        <w:rPr>
          <w:rFonts w:ascii="Verdana" w:hAnsi="Verdana"/>
          <w:sz w:val="20"/>
          <w:szCs w:val="20"/>
        </w:rPr>
      </w:pPr>
      <w:r>
        <w:rPr>
          <w:rFonts w:ascii="Verdana" w:hAnsi="Verdana"/>
          <w:sz w:val="20"/>
          <w:szCs w:val="20"/>
        </w:rPr>
        <w:t>La revocación directa puede definirse como una de las especies de extinción de los actos administrativos en sede administrativa. Esta especie de extinción se diferencia de otras, pues “se trata de un mecanismo de extinción del acto administrativo y de sus efectos que opera por la voluntad de la propia administración. […] Esta figura debe distinguirse […] de la anulación, que es la desaparición o extinción del acto por decisión de autoridad jurisdiccional”.</w:t>
      </w:r>
    </w:p>
    <w:p w14:paraId="44EC0BE0" w14:textId="77777777" w:rsidR="00850E03" w:rsidRDefault="00850E03" w:rsidP="002E7082">
      <w:pPr>
        <w:spacing w:after="0" w:line="240" w:lineRule="auto"/>
        <w:jc w:val="both"/>
        <w:rPr>
          <w:rFonts w:ascii="Verdana" w:hAnsi="Verdana"/>
          <w:sz w:val="20"/>
          <w:szCs w:val="20"/>
        </w:rPr>
      </w:pPr>
    </w:p>
    <w:p w14:paraId="2E905ED4" w14:textId="77777777" w:rsidR="00850E03" w:rsidRDefault="00850E03" w:rsidP="002E7082">
      <w:pPr>
        <w:spacing w:after="0" w:line="240" w:lineRule="auto"/>
        <w:jc w:val="both"/>
        <w:rPr>
          <w:rFonts w:ascii="Verdana" w:hAnsi="Verdana"/>
          <w:b/>
          <w:bCs/>
        </w:rPr>
      </w:pPr>
      <w:r>
        <w:rPr>
          <w:rFonts w:ascii="Verdana" w:hAnsi="Verdana"/>
          <w:b/>
          <w:bCs/>
        </w:rPr>
        <w:t>REVOCACIÓN DIRECTA – Naturaleza Jurídica</w:t>
      </w:r>
    </w:p>
    <w:p w14:paraId="7392A54F" w14:textId="77777777" w:rsidR="00850E03" w:rsidRDefault="00850E03" w:rsidP="002E7082">
      <w:pPr>
        <w:spacing w:after="0" w:line="240" w:lineRule="auto"/>
        <w:jc w:val="both"/>
        <w:rPr>
          <w:rFonts w:ascii="Verdana" w:hAnsi="Verdana"/>
          <w:b/>
          <w:bCs/>
          <w:sz w:val="20"/>
          <w:szCs w:val="20"/>
        </w:rPr>
      </w:pPr>
    </w:p>
    <w:p w14:paraId="5BDCADAD" w14:textId="77777777" w:rsidR="00850E03" w:rsidRDefault="00850E03" w:rsidP="002E7082">
      <w:pPr>
        <w:spacing w:after="0" w:line="240" w:lineRule="auto"/>
        <w:jc w:val="both"/>
        <w:rPr>
          <w:rFonts w:ascii="Verdana" w:hAnsi="Verdana" w:cs="Arial"/>
          <w:sz w:val="20"/>
          <w:szCs w:val="20"/>
          <w:lang w:val="es-ES"/>
        </w:rPr>
      </w:pPr>
      <w:r>
        <w:rPr>
          <w:rFonts w:ascii="Verdana" w:hAnsi="Verdana" w:cs="Arial"/>
          <w:sz w:val="20"/>
          <w:szCs w:val="20"/>
          <w:lang w:val="es-ES"/>
        </w:rPr>
        <w:t xml:space="preserve">La revocación directa puede definirse como una de las especies de extinción de los actos administrativos en sede administrativa. Esta especie de extinción se diferencia de otras, pues “se trata de un mecanismo de extinción del acto administrativo y de sus efectos que opera por la voluntad de la propia administración. […] Esta figura debe distinguirse […] de la anulación, que es la desaparición o extinción del acto por decisión de autoridad jurisdiccional”. Adicionalmente, sobre la particular manera en que el legislador ha </w:t>
      </w:r>
      <w:r>
        <w:rPr>
          <w:rFonts w:ascii="Verdana" w:hAnsi="Verdana" w:cs="Arial"/>
          <w:sz w:val="20"/>
          <w:szCs w:val="20"/>
          <w:lang w:val="es-ES"/>
        </w:rPr>
        <w:lastRenderedPageBreak/>
        <w:t xml:space="preserve">reglamentado la revocación directa en Colombia, debe decirse que se trata de un mecanismo unilateral de la administración, otorgado por el legislador para que esta revise sus propias decisiones. </w:t>
      </w:r>
    </w:p>
    <w:p w14:paraId="3BFFA7EE" w14:textId="77777777" w:rsidR="00850E03" w:rsidRDefault="00850E03" w:rsidP="002E7082">
      <w:pPr>
        <w:spacing w:after="0" w:line="240" w:lineRule="auto"/>
        <w:jc w:val="both"/>
        <w:rPr>
          <w:rFonts w:ascii="Verdana" w:hAnsi="Verdana"/>
          <w:sz w:val="20"/>
          <w:szCs w:val="20"/>
          <w:lang w:val="es-ES"/>
        </w:rPr>
      </w:pPr>
    </w:p>
    <w:p w14:paraId="59DA2662" w14:textId="77777777" w:rsidR="00850E03" w:rsidRDefault="00850E03" w:rsidP="002E7082">
      <w:pPr>
        <w:spacing w:after="0" w:line="240" w:lineRule="auto"/>
        <w:jc w:val="both"/>
        <w:rPr>
          <w:rFonts w:ascii="Verdana" w:hAnsi="Verdana"/>
          <w:b/>
          <w:bCs/>
        </w:rPr>
      </w:pPr>
      <w:r>
        <w:rPr>
          <w:rFonts w:ascii="Verdana" w:hAnsi="Verdana"/>
          <w:b/>
          <w:bCs/>
        </w:rPr>
        <w:t>REVOCACIÓN DIRECTA – Acto de adjudicación – Consentimiento previo</w:t>
      </w:r>
    </w:p>
    <w:p w14:paraId="20FF5E09" w14:textId="77777777" w:rsidR="00850E03" w:rsidRDefault="00850E03" w:rsidP="002E7082">
      <w:pPr>
        <w:spacing w:after="0" w:line="240" w:lineRule="auto"/>
        <w:jc w:val="both"/>
        <w:rPr>
          <w:rFonts w:ascii="Verdana" w:hAnsi="Verdana"/>
          <w:b/>
          <w:bCs/>
          <w:sz w:val="20"/>
          <w:szCs w:val="20"/>
        </w:rPr>
      </w:pPr>
    </w:p>
    <w:p w14:paraId="02329193" w14:textId="0FAE7564" w:rsidR="00364690" w:rsidRPr="00850E03" w:rsidRDefault="00850E03" w:rsidP="002E7082">
      <w:pPr>
        <w:spacing w:after="0" w:line="240" w:lineRule="auto"/>
        <w:jc w:val="both"/>
        <w:rPr>
          <w:rFonts w:ascii="Verdana" w:hAnsi="Verdana" w:cs="Arial"/>
          <w:sz w:val="20"/>
          <w:szCs w:val="20"/>
          <w:lang w:val="es-ES"/>
        </w:rPr>
      </w:pPr>
      <w:r>
        <w:rPr>
          <w:rFonts w:ascii="Verdana" w:hAnsi="Verdana"/>
          <w:sz w:val="20"/>
          <w:szCs w:val="20"/>
        </w:rPr>
        <w:t xml:space="preserve">[…] </w:t>
      </w:r>
      <w:r>
        <w:rPr>
          <w:rFonts w:ascii="Verdana" w:hAnsi="Verdana" w:cs="Arial"/>
          <w:sz w:val="20"/>
          <w:szCs w:val="20"/>
          <w:lang w:val="es-ES"/>
        </w:rPr>
        <w:t>para revocar el acto administrativo de adjudicación de un contrato estatal, cuando se verifique alguna de las dos causales que lo permiten, según el artículo 9, inciso tercero, de la Ley 1150 de 2007, no es necesario obtener “consentimiento previo, expreso y escrito del respectivo” adjudicatario, como lo ordena el artículo 97 del CPACA. Lo anterior es así, pues el artículo 9 de la Ley 1150 de 2007 consagra un régimen especial de revocatoria directa del acto de adjudicación que no exige permiso del titular. La ausencia de una regla en ese sentido, en el entendido de esta Subdirección, no puede interpretarse como un vacío que deba ser llenado con el CPACA, sino como un régimen jurídico diferente: situación análoga a la que en su momento ocurría con los regímenes de la Ley 80 de 1993 y el CCA.</w:t>
      </w:r>
    </w:p>
    <w:p w14:paraId="5909D85D" w14:textId="77777777" w:rsidR="00364690" w:rsidRPr="00981FA7" w:rsidRDefault="00364690" w:rsidP="002E7082">
      <w:pPr>
        <w:spacing w:after="0" w:line="240" w:lineRule="auto"/>
        <w:jc w:val="both"/>
        <w:rPr>
          <w:rFonts w:ascii="Verdana" w:eastAsia="Verdana" w:hAnsi="Verdana" w:cs="Verdana"/>
          <w:b/>
          <w:bCs/>
          <w:lang w:val="es-ES"/>
        </w:rPr>
      </w:pPr>
    </w:p>
    <w:p w14:paraId="1AE5E291" w14:textId="46634F49" w:rsidR="00364690" w:rsidRPr="00981FA7" w:rsidRDefault="00281CF0" w:rsidP="002E7082">
      <w:pPr>
        <w:spacing w:after="0" w:line="240" w:lineRule="auto"/>
        <w:jc w:val="both"/>
        <w:rPr>
          <w:rFonts w:ascii="Verdana" w:eastAsia="Verdana" w:hAnsi="Verdana" w:cs="Verdana"/>
          <w:b/>
          <w:bCs/>
          <w:lang w:val="es-ES"/>
        </w:rPr>
      </w:pPr>
      <w:r w:rsidRPr="00981FA7">
        <w:rPr>
          <w:rFonts w:ascii="Verdana" w:eastAsia="Verdana" w:hAnsi="Verdana" w:cs="Verdana"/>
          <w:b/>
          <w:bCs/>
          <w:lang w:val="es-ES"/>
        </w:rPr>
        <w:t xml:space="preserve">ACTO DE ADJUDICACIÓN – Revocatoria directa – Debido proceso </w:t>
      </w:r>
    </w:p>
    <w:p w14:paraId="09B69585" w14:textId="77777777" w:rsidR="00364690" w:rsidRPr="009251BE" w:rsidRDefault="00364690" w:rsidP="002E7082">
      <w:pPr>
        <w:spacing w:after="0" w:line="240" w:lineRule="auto"/>
        <w:jc w:val="both"/>
        <w:rPr>
          <w:rFonts w:ascii="Verdana" w:eastAsia="Verdana" w:hAnsi="Verdana" w:cs="Verdana"/>
          <w:sz w:val="20"/>
          <w:szCs w:val="20"/>
          <w:lang w:val="es-ES"/>
        </w:rPr>
      </w:pPr>
    </w:p>
    <w:p w14:paraId="50CD8AF9" w14:textId="77777777" w:rsidR="009251BE" w:rsidRPr="009251BE" w:rsidRDefault="009251BE" w:rsidP="002E7082">
      <w:pPr>
        <w:spacing w:after="0" w:line="240" w:lineRule="auto"/>
        <w:jc w:val="both"/>
        <w:rPr>
          <w:rFonts w:ascii="Verdana" w:eastAsia="Verdana" w:hAnsi="Verdana" w:cs="Verdana"/>
          <w:sz w:val="20"/>
          <w:szCs w:val="20"/>
        </w:rPr>
      </w:pPr>
      <w:r w:rsidRPr="009251BE">
        <w:rPr>
          <w:rFonts w:ascii="Verdana" w:eastAsia="Verdana" w:hAnsi="Verdana" w:cs="Verdana"/>
          <w:sz w:val="20"/>
          <w:szCs w:val="20"/>
        </w:rPr>
        <w:t>En cuanto a la posibilidad de revocar el acto de adjudicación, el punto de partida no es el artículo 97 del CPACA sino el inciso tercero del artículo 9 de la Ley 1150 de 2007, norma especial que, conforme a la cláusula de salvedad del propio artículo 97 —"salvo las excepciones establecidas en la ley"—, regula íntegramente la materia. Bajo ese régimen, el acto de adjudicación es irrevocable, y solo cede ante la configuración probada de una inhabilidad o incompatibilidad sobreviniente o de la obtención por medios ilegales. De ello se derivan dos consecuencias simétricas: por una parte, verificada la causal mediante un procedimiento respetuoso del debido proceso, la entidad puede revocar sin consentimiento del adjudicatario; por otra, no verificada la causal —como ocurre cuando la irregularidad es exclusivamente imputable a la entidad—, la revocatoria resulta improcedente aun mediando aquiescencia del particular, pues la irrevocabilidad no está establecida únicamente en su interés individual.</w:t>
      </w:r>
    </w:p>
    <w:p w14:paraId="67F10724" w14:textId="77777777" w:rsidR="00364690" w:rsidRPr="009251BE" w:rsidRDefault="00364690" w:rsidP="002E7082">
      <w:pPr>
        <w:spacing w:after="0" w:line="240" w:lineRule="auto"/>
        <w:jc w:val="both"/>
        <w:rPr>
          <w:rFonts w:ascii="Verdana" w:eastAsia="Verdana" w:hAnsi="Verdana" w:cs="Verdana"/>
          <w:b/>
          <w:bCs/>
        </w:rPr>
      </w:pPr>
    </w:p>
    <w:p w14:paraId="567E1D9D" w14:textId="77777777" w:rsidR="00364690" w:rsidRPr="00981FA7" w:rsidRDefault="00281CF0" w:rsidP="002E7082">
      <w:pPr>
        <w:spacing w:after="0" w:line="240" w:lineRule="auto"/>
        <w:jc w:val="both"/>
        <w:rPr>
          <w:rFonts w:ascii="Verdana" w:eastAsia="Verdana" w:hAnsi="Verdana" w:cs="Verdana"/>
          <w:b/>
          <w:bCs/>
          <w:lang w:val="es-ES"/>
        </w:rPr>
      </w:pPr>
      <w:r w:rsidRPr="00981FA7">
        <w:rPr>
          <w:rFonts w:ascii="Verdana" w:eastAsia="Verdana" w:hAnsi="Verdana" w:cs="Verdana"/>
          <w:b/>
          <w:bCs/>
          <w:lang w:val="es-ES"/>
        </w:rPr>
        <w:t xml:space="preserve">REVOCATORIA DIRECTA – Acto de adjudicación – Obtención por medios ilegales – Alcance </w:t>
      </w:r>
    </w:p>
    <w:p w14:paraId="07211062" w14:textId="77777777" w:rsidR="00364690" w:rsidRPr="00613E1C" w:rsidRDefault="00364690" w:rsidP="002E7082">
      <w:pPr>
        <w:spacing w:after="0" w:line="240" w:lineRule="auto"/>
        <w:jc w:val="both"/>
        <w:rPr>
          <w:rFonts w:ascii="Verdana" w:eastAsia="Verdana" w:hAnsi="Verdana" w:cs="Verdana"/>
          <w:sz w:val="20"/>
          <w:szCs w:val="20"/>
          <w:lang w:val="es-ES"/>
        </w:rPr>
      </w:pPr>
    </w:p>
    <w:p w14:paraId="000494FB" w14:textId="6F135166" w:rsidR="00613E1C" w:rsidRPr="00613E1C" w:rsidRDefault="00613E1C" w:rsidP="002E7082">
      <w:pPr>
        <w:spacing w:after="0" w:line="240" w:lineRule="auto"/>
        <w:jc w:val="both"/>
        <w:rPr>
          <w:rFonts w:ascii="Verdana" w:eastAsia="Verdana" w:hAnsi="Verdana" w:cs="Verdana"/>
          <w:sz w:val="20"/>
          <w:szCs w:val="20"/>
        </w:rPr>
      </w:pPr>
      <w:r w:rsidRPr="00613E1C">
        <w:rPr>
          <w:rFonts w:ascii="Verdana" w:eastAsia="Verdana" w:hAnsi="Verdana" w:cs="Verdana"/>
          <w:sz w:val="20"/>
          <w:szCs w:val="20"/>
        </w:rPr>
        <w:t xml:space="preserve">De igual manera, el Consejo de Estado ha señalado que la administración está facultada para revocar el acto de adjudicación cuando este se haya obtenido mediante “medios ilegales”, entendidos como comportamientos que comprometen la integridad del procedimiento y afectan los principios de transparencia, moralidad y selección objetiva. Dentro de esta categoría, el Consejo de Estado ha incluido expresamente los “actos de corrupción”, al considerar que cualquier práctica corrupta que influya en la decisión de adjudicar —ya sea por soborno, colusión, manipulación de la evaluación o cualquier otra forma de fraude— se enmarca en la noción de “obtención por medios ilegales” y habilita la revocatoria unilateral sin necesidad del consentimiento del adjudicatario. </w:t>
      </w:r>
    </w:p>
    <w:p w14:paraId="0C5C340F" w14:textId="77777777" w:rsidR="00613E1C" w:rsidRPr="00613E1C" w:rsidRDefault="00613E1C" w:rsidP="002E7082">
      <w:pPr>
        <w:spacing w:after="0" w:line="240" w:lineRule="auto"/>
        <w:jc w:val="both"/>
        <w:rPr>
          <w:rFonts w:ascii="Verdana" w:eastAsia="Verdana" w:hAnsi="Verdana" w:cs="Verdana"/>
          <w:sz w:val="20"/>
          <w:szCs w:val="20"/>
        </w:rPr>
      </w:pPr>
    </w:p>
    <w:p w14:paraId="78602214" w14:textId="4AD41D6D" w:rsidR="00364690" w:rsidRPr="00613E1C" w:rsidRDefault="00613E1C" w:rsidP="002E7082">
      <w:pPr>
        <w:spacing w:after="0" w:line="240" w:lineRule="auto"/>
        <w:jc w:val="both"/>
        <w:rPr>
          <w:rFonts w:ascii="Verdana" w:eastAsia="Verdana" w:hAnsi="Verdana" w:cs="Verdana"/>
          <w:sz w:val="20"/>
          <w:szCs w:val="20"/>
        </w:rPr>
      </w:pPr>
      <w:r w:rsidRPr="00613E1C">
        <w:rPr>
          <w:rFonts w:ascii="Verdana" w:eastAsia="Verdana" w:hAnsi="Verdana" w:cs="Verdana"/>
          <w:sz w:val="20"/>
          <w:szCs w:val="20"/>
        </w:rPr>
        <w:t>En este punto debe precisarse que la interpretación de la expresión obtenido por</w:t>
      </w:r>
      <w:r w:rsidRPr="00613E1C">
        <w:rPr>
          <w:rFonts w:ascii="Verdana" w:eastAsia="Verdana" w:hAnsi="Verdana" w:cs="Verdana"/>
          <w:i/>
          <w:iCs/>
          <w:sz w:val="20"/>
          <w:szCs w:val="20"/>
        </w:rPr>
        <w:t xml:space="preserve"> “medios ilegales”</w:t>
      </w:r>
      <w:r w:rsidRPr="00613E1C">
        <w:rPr>
          <w:rFonts w:ascii="Verdana" w:eastAsia="Verdana" w:hAnsi="Verdana" w:cs="Verdana"/>
          <w:sz w:val="20"/>
          <w:szCs w:val="20"/>
        </w:rPr>
        <w:t xml:space="preserve"> debe realizarse de manera restrictiva, por tratarse de una excepción legal al principio de irrevocabilidad del acto de adjudicación. En esa medida, la configuración de esta causal exige la existencia de actuaciones fraudulentas encaminadas a obtener indebidamente la adjudicación, las cuales, conforme a los ejemplos desarrollados por la Sala de Consulta y Servicio Civil, normalmente se manifiestan mediante conductas atribuibles al adjudicatario o a quienes actúan en su beneficio. En consecuencia, las irregularidades derivadas exclusivamente de errores de apreciación, interpretación o actuación de la administración, sin evidencia de fraude, engaño, ocultamiento deliberado o cualquier otra conducta orientada a alterar ilegítimamente el resultado del procedimiento, no configuran por sí solas la causal excepcional prevista en el artículo 9 de la Ley 1150 de 2007.</w:t>
      </w:r>
    </w:p>
    <w:p w14:paraId="4E517254" w14:textId="77777777" w:rsidR="00613E1C" w:rsidRPr="00981FA7" w:rsidRDefault="00613E1C" w:rsidP="002E7082">
      <w:pPr>
        <w:spacing w:after="0" w:line="240" w:lineRule="auto"/>
        <w:jc w:val="both"/>
        <w:rPr>
          <w:rFonts w:ascii="Verdana" w:eastAsia="Verdana" w:hAnsi="Verdana" w:cs="Verdana"/>
          <w:b/>
          <w:bCs/>
          <w:lang w:val="es-ES"/>
        </w:rPr>
      </w:pPr>
    </w:p>
    <w:p w14:paraId="055AED7E" w14:textId="77777777" w:rsidR="00364690" w:rsidRPr="00981FA7" w:rsidRDefault="00281CF0" w:rsidP="002E7082">
      <w:pPr>
        <w:spacing w:after="0" w:line="240" w:lineRule="auto"/>
        <w:jc w:val="both"/>
        <w:rPr>
          <w:rFonts w:ascii="Verdana" w:eastAsia="Verdana" w:hAnsi="Verdana" w:cs="Verdana"/>
          <w:b/>
          <w:bCs/>
          <w:lang w:val="es-ES"/>
        </w:rPr>
      </w:pPr>
      <w:r w:rsidRPr="00981FA7">
        <w:rPr>
          <w:rFonts w:ascii="Verdana" w:eastAsia="Verdana" w:hAnsi="Verdana" w:cs="Verdana"/>
          <w:b/>
          <w:bCs/>
          <w:lang w:val="es-ES"/>
        </w:rPr>
        <w:t xml:space="preserve">REVOCATORIA DIRECTA – Consentimiento previo – Errores de la Administración – Buena fe </w:t>
      </w:r>
    </w:p>
    <w:p w14:paraId="50A860CA" w14:textId="77777777" w:rsidR="00364690" w:rsidRPr="00236D25" w:rsidRDefault="00364690" w:rsidP="002E7082">
      <w:pPr>
        <w:spacing w:after="0" w:line="240" w:lineRule="auto"/>
        <w:jc w:val="both"/>
        <w:rPr>
          <w:rFonts w:ascii="Verdana" w:eastAsia="Verdana" w:hAnsi="Verdana" w:cs="Verdana"/>
          <w:sz w:val="20"/>
          <w:szCs w:val="20"/>
          <w:lang w:val="es-ES"/>
        </w:rPr>
      </w:pPr>
    </w:p>
    <w:p w14:paraId="27627236" w14:textId="77777777" w:rsidR="00AF427B" w:rsidRDefault="00AF427B" w:rsidP="002E7082">
      <w:pPr>
        <w:spacing w:after="0" w:line="240" w:lineRule="auto"/>
        <w:jc w:val="both"/>
        <w:rPr>
          <w:rFonts w:ascii="Verdana" w:eastAsia="Verdana" w:hAnsi="Verdana" w:cs="Verdana"/>
          <w:sz w:val="20"/>
          <w:szCs w:val="20"/>
        </w:rPr>
      </w:pPr>
      <w:r w:rsidRPr="00236D25">
        <w:rPr>
          <w:rFonts w:ascii="Verdana" w:eastAsia="Verdana" w:hAnsi="Verdana" w:cs="Verdana"/>
          <w:sz w:val="20"/>
          <w:szCs w:val="20"/>
        </w:rPr>
        <w:t>Desde esta perspectiva, la ilegalidad derivada de la actuación de la entidad constituye un vicio de legalidad del acto de adjudicación, relacionado con la infracción de normas procedimentales dentro del proceso de contratación, la falsa motivación o incluso la desviación de poder. Sin embargo, este tipo de irregularidades no encajan en la categoría de “obtención por medios ilegales” en sentido estricto, pues no implican una conducta dolosa del adjudicatario dirigida a obtener indebidamente la adjudicación. En este sentido, se insiste que la causal de medios ilegales es excepcional y requiere prueba plena de la conducta fraudulenta, de modo que no puede extenderse a errores administrativos, por más graves que sean, si no existe participación o beneficio ilícito del proponente adjudicatario.</w:t>
      </w:r>
    </w:p>
    <w:p w14:paraId="0F3BA3EA" w14:textId="77777777" w:rsidR="00236D25" w:rsidRPr="00236D25" w:rsidRDefault="00236D25" w:rsidP="002E7082">
      <w:pPr>
        <w:spacing w:after="0" w:line="240" w:lineRule="auto"/>
        <w:jc w:val="both"/>
        <w:rPr>
          <w:rFonts w:ascii="Verdana" w:eastAsia="Verdana" w:hAnsi="Verdana" w:cs="Verdana"/>
          <w:sz w:val="20"/>
          <w:szCs w:val="20"/>
        </w:rPr>
      </w:pPr>
    </w:p>
    <w:p w14:paraId="06C456AA" w14:textId="77777777" w:rsidR="00AF427B" w:rsidRPr="00236D25" w:rsidRDefault="00AF427B" w:rsidP="002E7082">
      <w:pPr>
        <w:spacing w:after="0" w:line="240" w:lineRule="auto"/>
        <w:jc w:val="both"/>
        <w:rPr>
          <w:rFonts w:ascii="Verdana" w:eastAsia="Verdana" w:hAnsi="Verdana" w:cs="Verdana"/>
          <w:sz w:val="20"/>
          <w:szCs w:val="20"/>
        </w:rPr>
      </w:pPr>
      <w:r w:rsidRPr="00236D25">
        <w:rPr>
          <w:rFonts w:ascii="Verdana" w:eastAsia="Verdana" w:hAnsi="Verdana" w:cs="Verdana"/>
          <w:sz w:val="20"/>
          <w:szCs w:val="20"/>
        </w:rPr>
        <w:t>En cuanto a la posibilidad de revocar el acto de adjudicación, el punto de partida no es el artículo 97 del CPACA sino el inciso tercero del artículo 9 de la Ley 1150 de 2007, norma especial que, conforme a la cláusula de salvedad del propio artículo 97 —"salvo las excepciones establecidas en la ley"—, regula íntegramente la materia. Bajo ese régimen, el acto de adjudicación es irrevocable, y solo cede ante la configuración probada de una inhabilidad o incompatibilidad sobreviniente o de la obtención por medios ilegales. De ello se derivan dos consecuencias simétricas: por una parte, verificada la causal mediante un procedimiento respetuoso del debido proceso, la entidad puede revocar sin consentimiento del adjudicatario; por otra, no verificada la causal —como ocurre cuando la irregularidad es exclusivamente imputable a la entidad—, la revocatoria resulta improcedente aun mediando aquiescencia del particular, pues la irrevocabilidad no está establecida únicamente en su interés individual.</w:t>
      </w:r>
    </w:p>
    <w:p w14:paraId="2330A219" w14:textId="77777777" w:rsidR="00364690" w:rsidRPr="00AF427B" w:rsidRDefault="00364690" w:rsidP="002E7082">
      <w:pPr>
        <w:spacing w:after="0" w:line="240" w:lineRule="auto"/>
        <w:jc w:val="both"/>
        <w:rPr>
          <w:rFonts w:ascii="Verdana" w:eastAsia="Verdana" w:hAnsi="Verdana" w:cs="Verdana"/>
          <w:b/>
          <w:bCs/>
        </w:rPr>
      </w:pPr>
    </w:p>
    <w:p w14:paraId="7F019BBC" w14:textId="77777777" w:rsidR="00364690" w:rsidRPr="00981FA7" w:rsidRDefault="00281CF0" w:rsidP="002E7082">
      <w:pPr>
        <w:spacing w:after="0" w:line="240" w:lineRule="auto"/>
        <w:jc w:val="both"/>
        <w:rPr>
          <w:rFonts w:ascii="Verdana" w:eastAsia="Verdana" w:hAnsi="Verdana" w:cs="Verdana"/>
          <w:b/>
          <w:bCs/>
          <w:lang w:val="es-ES"/>
        </w:rPr>
      </w:pPr>
      <w:r w:rsidRPr="00981FA7">
        <w:rPr>
          <w:rFonts w:ascii="Verdana" w:eastAsia="Verdana" w:hAnsi="Verdana" w:cs="Verdana"/>
          <w:b/>
          <w:bCs/>
          <w:lang w:val="es-ES"/>
        </w:rPr>
        <w:t xml:space="preserve">SUBSANABILIDAD – Documentos que otorgan puntaje – Improcedencia </w:t>
      </w:r>
    </w:p>
    <w:p w14:paraId="233784B3" w14:textId="77777777" w:rsidR="00364690" w:rsidRPr="00981FA7" w:rsidRDefault="00364690" w:rsidP="002E7082">
      <w:pPr>
        <w:spacing w:after="0" w:line="240" w:lineRule="auto"/>
        <w:jc w:val="both"/>
        <w:rPr>
          <w:rFonts w:ascii="Verdana" w:eastAsia="Verdana" w:hAnsi="Verdana" w:cs="Verdana"/>
          <w:b/>
          <w:bCs/>
          <w:lang w:val="es-ES"/>
        </w:rPr>
      </w:pPr>
    </w:p>
    <w:p w14:paraId="65EF15AA" w14:textId="6714024F" w:rsidR="00EF71DC" w:rsidRDefault="00EF71DC" w:rsidP="002E7082">
      <w:pPr>
        <w:spacing w:after="0" w:line="240" w:lineRule="auto"/>
        <w:jc w:val="both"/>
        <w:rPr>
          <w:rFonts w:ascii="Verdana" w:eastAsia="Verdana" w:hAnsi="Verdana" w:cs="Verdana"/>
          <w:sz w:val="20"/>
          <w:szCs w:val="20"/>
          <w:lang w:val="es-ES"/>
        </w:rPr>
      </w:pPr>
      <w:r w:rsidRPr="00EF71DC">
        <w:rPr>
          <w:rFonts w:ascii="Verdana" w:eastAsia="Verdana" w:hAnsi="Verdana" w:cs="Verdana"/>
          <w:sz w:val="20"/>
          <w:szCs w:val="20"/>
        </w:rPr>
        <w:lastRenderedPageBreak/>
        <w:t xml:space="preserve">En contraste, cuando la irregularidad deriva exclusivamente de la actuación de la entidad —como sucede con la valoración oficiosa de documentos presentados de manera extemporánea, en abierta vulneración del término preclusivo de la subsanación y con incidencia directa en el orden de elegibilidad del proceso de contratación— no se configura, en principio, un medio ilegal atribuible al particular. En estos supuestos, el vicio corresponde a un incumplimiento de las reglas de </w:t>
      </w:r>
      <w:proofErr w:type="spellStart"/>
      <w:r w:rsidRPr="00EF71DC">
        <w:rPr>
          <w:rFonts w:ascii="Verdana" w:eastAsia="Verdana" w:hAnsi="Verdana" w:cs="Verdana"/>
          <w:sz w:val="20"/>
          <w:szCs w:val="20"/>
        </w:rPr>
        <w:t>subsanabilidad</w:t>
      </w:r>
      <w:proofErr w:type="spellEnd"/>
      <w:r w:rsidRPr="00EF71DC">
        <w:rPr>
          <w:rFonts w:ascii="Verdana" w:eastAsia="Verdana" w:hAnsi="Verdana" w:cs="Verdana"/>
          <w:sz w:val="20"/>
          <w:szCs w:val="20"/>
        </w:rPr>
        <w:t xml:space="preserve"> contempladas en el </w:t>
      </w:r>
      <w:r w:rsidRPr="00EF71DC">
        <w:rPr>
          <w:rFonts w:ascii="Verdana" w:eastAsia="Verdana" w:hAnsi="Verdana" w:cs="Verdana"/>
          <w:sz w:val="20"/>
          <w:szCs w:val="20"/>
          <w:lang w:val="es-ES"/>
        </w:rPr>
        <w:t>artículo 5° de la Ley 1882 de 2018, el cual establece que se mantiene el criterio del artículo 25, numeral 15 de la Ley 80 de 1993 y el parágrafo 1° del artículo 5° de la Ley 1150 de 2007, normas que reafirman que todo lo que no afecte la asignación de puntaje puede subsanarse. Por tanto, si los requisitos no otorgan puntaje y tienen el carácter de habilitantes para la participación en el proceso de contratación, se entiende que, en principio, son objeto de subsanación.</w:t>
      </w:r>
    </w:p>
    <w:p w14:paraId="3CDEC04C" w14:textId="77777777" w:rsidR="00EF71DC" w:rsidRPr="00EF71DC" w:rsidRDefault="00EF71DC" w:rsidP="002E7082">
      <w:pPr>
        <w:spacing w:after="0" w:line="240" w:lineRule="auto"/>
        <w:jc w:val="both"/>
        <w:rPr>
          <w:rFonts w:ascii="Verdana" w:eastAsia="Verdana" w:hAnsi="Verdana" w:cs="Verdana"/>
          <w:sz w:val="20"/>
          <w:szCs w:val="20"/>
          <w:lang w:val="es-ES"/>
        </w:rPr>
      </w:pPr>
    </w:p>
    <w:p w14:paraId="201F0E13" w14:textId="77777777" w:rsidR="00EF71DC" w:rsidRPr="00EF71DC" w:rsidRDefault="00EF71DC" w:rsidP="002E7082">
      <w:pPr>
        <w:spacing w:after="0" w:line="240" w:lineRule="auto"/>
        <w:jc w:val="both"/>
        <w:rPr>
          <w:rFonts w:ascii="Verdana" w:eastAsia="Verdana" w:hAnsi="Verdana" w:cs="Verdana"/>
          <w:sz w:val="20"/>
          <w:szCs w:val="20"/>
          <w:lang w:val="es-ES"/>
        </w:rPr>
      </w:pPr>
      <w:r w:rsidRPr="00EF71DC">
        <w:rPr>
          <w:rFonts w:ascii="Verdana" w:eastAsia="Verdana" w:hAnsi="Verdana" w:cs="Verdana"/>
          <w:sz w:val="20"/>
          <w:szCs w:val="20"/>
        </w:rPr>
        <w:t xml:space="preserve">Ahora bien, debe distinguirse con precisión entre la regla material de </w:t>
      </w:r>
      <w:proofErr w:type="spellStart"/>
      <w:r w:rsidRPr="00EF71DC">
        <w:rPr>
          <w:rFonts w:ascii="Verdana" w:eastAsia="Verdana" w:hAnsi="Verdana" w:cs="Verdana"/>
          <w:sz w:val="20"/>
          <w:szCs w:val="20"/>
        </w:rPr>
        <w:t>subsanabilidad</w:t>
      </w:r>
      <w:proofErr w:type="spellEnd"/>
      <w:r w:rsidRPr="00EF71DC">
        <w:rPr>
          <w:rFonts w:ascii="Verdana" w:eastAsia="Verdana" w:hAnsi="Verdana" w:cs="Verdana"/>
          <w:sz w:val="20"/>
          <w:szCs w:val="20"/>
        </w:rPr>
        <w:t xml:space="preserve"> y la regla temporal para ejercerla, pues se trata de dos limitaciones autónomas y acumulativas. La regla material, contenida en el parágrafo 1 del artículo 5 de la Ley 1150 de 2007, modificado por el artículo 5 de la Ley 1882 de 2018, excluye de plano la posibilidad de subsanar aquello que incide en la asignación de puntaje, así como los asuntos relacionados con la falta de capacidad para presentar la oferta y la acreditación de circunstancias ocurridas con posterioridad al cierre del proceso. La regla temporal, por su parte, opera sobre lo que sí es materialmente subsanable y fija como límite el traslado del informe de evaluación. En consecuencia, cuando la irregularidad consiste en valorar oficiosamente documentos que otorgan puntaje aportados con posterioridad al cierre, no se está ante una subsanación extemporánea sino ante la valoración de documentos materialmente no subsanables, hipótesis que resulta aún más gravosa desde la perspectiva de la selección objetiva y de la igualdad entre los oferentes, y que impacta directamente la conformación del orden de elegibilidad.</w:t>
      </w:r>
    </w:p>
    <w:p w14:paraId="7713E564" w14:textId="77777777" w:rsidR="00364690" w:rsidRPr="00981FA7" w:rsidRDefault="00364690" w:rsidP="002E7082">
      <w:pPr>
        <w:spacing w:after="0" w:line="240" w:lineRule="auto"/>
        <w:jc w:val="both"/>
        <w:rPr>
          <w:rFonts w:ascii="Verdana" w:eastAsia="Verdana" w:hAnsi="Verdana" w:cs="Verdana"/>
          <w:b/>
          <w:bCs/>
          <w:lang w:val="es-ES"/>
        </w:rPr>
      </w:pPr>
    </w:p>
    <w:p w14:paraId="472C2A07" w14:textId="72B93FE6" w:rsidR="00281CF0" w:rsidRDefault="00281CF0" w:rsidP="002E7082">
      <w:pPr>
        <w:spacing w:after="0" w:line="240" w:lineRule="auto"/>
        <w:jc w:val="both"/>
        <w:rPr>
          <w:rFonts w:ascii="Verdana" w:eastAsia="Verdana" w:hAnsi="Verdana" w:cs="Verdana"/>
          <w:b/>
          <w:bCs/>
          <w:lang w:val="es-ES"/>
        </w:rPr>
      </w:pPr>
      <w:r w:rsidRPr="00981FA7">
        <w:rPr>
          <w:rFonts w:ascii="Verdana" w:eastAsia="Verdana" w:hAnsi="Verdana" w:cs="Verdana"/>
          <w:b/>
          <w:bCs/>
          <w:lang w:val="es-ES"/>
        </w:rPr>
        <w:t>DOCUMENTOS TIPO – Inalterabilidad – Efectos</w:t>
      </w:r>
    </w:p>
    <w:p w14:paraId="7EAC490C" w14:textId="77777777" w:rsidR="007F78F5" w:rsidRPr="00236D25" w:rsidRDefault="007F78F5" w:rsidP="002E7082">
      <w:pPr>
        <w:spacing w:after="0" w:line="240" w:lineRule="auto"/>
        <w:jc w:val="both"/>
        <w:rPr>
          <w:rFonts w:ascii="Verdana" w:eastAsia="Verdana" w:hAnsi="Verdana" w:cs="Verdana"/>
          <w:sz w:val="20"/>
          <w:szCs w:val="20"/>
          <w:lang w:val="es-ES"/>
        </w:rPr>
      </w:pPr>
    </w:p>
    <w:p w14:paraId="18E9AFEE" w14:textId="77A521C1" w:rsidR="003A373F" w:rsidRPr="00236D25" w:rsidRDefault="003A373F" w:rsidP="002E7082">
      <w:pPr>
        <w:spacing w:after="0" w:line="240" w:lineRule="auto"/>
        <w:jc w:val="both"/>
        <w:rPr>
          <w:rFonts w:ascii="Verdana" w:eastAsia="Verdana" w:hAnsi="Verdana" w:cs="Verdana"/>
          <w:sz w:val="20"/>
          <w:szCs w:val="20"/>
        </w:rPr>
      </w:pPr>
      <w:r w:rsidRPr="00236D25">
        <w:rPr>
          <w:rFonts w:ascii="Verdana" w:eastAsia="Verdana" w:hAnsi="Verdana" w:cs="Verdana"/>
          <w:sz w:val="20"/>
          <w:szCs w:val="20"/>
        </w:rPr>
        <w:t>Finalmente, conviene precisar que la conclusión anterior no varía por el hecho de que el proceso de contratación se rija por Documentos Tipo. El artículo 1 de la Ley 2022 de 2020, que modificó el artículo 4 de la Ley 1882 de 2018, atribuye a la Agencia Nacional de Contratación Pública – Colombia Compra Eficiente la competencia para adoptar Documentos Tipo de obligatorio cumplimiento, cuyos parámetros son inalterables por las entidades estatales, salvo en los apartados expresamente definidos como variables o de diligenciamiento por la entidad. La inobservancia de esa inalterabilidad —incluida la que se produce al aplicar reglas de evaluación o de subsanación distintas de las previstas en el documento tipo— compromete la legalidad del procedimiento y puede dar lugar a las responsabilidades disciplinarias, fiscales y penales a que haya lugar. Sin embargo, se trata igualmente de un vicio imputable a la entidad y, por sí solo, no traslada al adjudicatario la conducta fraudulenta que exige la causal de obtención por medios ilegales, salvo que se acredite su concertación con los servidores públicos que adelantaron la evaluación.</w:t>
      </w:r>
    </w:p>
    <w:p w14:paraId="3DE6CAA7" w14:textId="77777777" w:rsidR="007F78F5" w:rsidRPr="003A373F" w:rsidRDefault="007F78F5" w:rsidP="00981FA7">
      <w:pPr>
        <w:spacing w:after="0"/>
        <w:jc w:val="both"/>
        <w:rPr>
          <w:rFonts w:ascii="Verdana" w:eastAsia="Verdana" w:hAnsi="Verdana" w:cs="Verdana"/>
          <w:b/>
          <w:bCs/>
        </w:rPr>
      </w:pPr>
    </w:p>
    <w:p w14:paraId="4870FE4E" w14:textId="77777777" w:rsidR="007F78F5" w:rsidRPr="00981FA7" w:rsidRDefault="007F78F5" w:rsidP="00981FA7">
      <w:pPr>
        <w:spacing w:after="0"/>
        <w:jc w:val="both"/>
        <w:rPr>
          <w:rFonts w:ascii="Verdana" w:eastAsia="Verdana" w:hAnsi="Verdana" w:cs="Verdana"/>
          <w:b/>
          <w:bCs/>
          <w:lang w:val="es-ES"/>
        </w:rPr>
      </w:pPr>
    </w:p>
    <w:p w14:paraId="392729E7" w14:textId="5514957E" w:rsidR="002439E3" w:rsidRPr="0099435D" w:rsidRDefault="00277D16" w:rsidP="002439E3">
      <w:pPr>
        <w:spacing w:after="0"/>
        <w:rPr>
          <w:rFonts w:ascii="Verdana" w:hAnsi="Verdana"/>
        </w:rPr>
      </w:pPr>
      <w:r w:rsidRPr="00277D16">
        <w:rPr>
          <w:noProof/>
        </w:rPr>
        <w:drawing>
          <wp:anchor distT="0" distB="0" distL="114300" distR="114300" simplePos="0" relativeHeight="251658240" behindDoc="0" locked="0" layoutInCell="1" allowOverlap="1" wp14:anchorId="1CF914AE" wp14:editId="04F9E271">
            <wp:simplePos x="0" y="0"/>
            <wp:positionH relativeFrom="column">
              <wp:posOffset>2640965</wp:posOffset>
            </wp:positionH>
            <wp:positionV relativeFrom="paragraph">
              <wp:posOffset>200025</wp:posOffset>
            </wp:positionV>
            <wp:extent cx="2943860" cy="815340"/>
            <wp:effectExtent l="0" t="0" r="8890" b="3810"/>
            <wp:wrapSquare wrapText="bothSides"/>
            <wp:docPr id="12007186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43860" cy="815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439E3" w:rsidRPr="30821638">
        <w:rPr>
          <w:rFonts w:ascii="Verdana" w:eastAsia="Verdana" w:hAnsi="Verdana" w:cs="Verdana"/>
        </w:rPr>
        <w:t>Bogotá D.C.,</w:t>
      </w:r>
      <w:r w:rsidR="0002735B">
        <w:rPr>
          <w:rFonts w:ascii="Verdana" w:eastAsia="Verdana" w:hAnsi="Verdana" w:cs="Verdana"/>
        </w:rPr>
        <w:t xml:space="preserve"> 21 de julio de 2026</w:t>
      </w:r>
      <w:r w:rsidR="002439E3">
        <w:tab/>
      </w:r>
      <w:r w:rsidR="002439E3">
        <w:br/>
      </w:r>
    </w:p>
    <w:p w14:paraId="2E7F574A" w14:textId="06557393" w:rsidR="002439E3" w:rsidRPr="0099435D" w:rsidRDefault="002439E3" w:rsidP="002439E3">
      <w:pPr>
        <w:spacing w:after="0" w:line="240" w:lineRule="auto"/>
        <w:rPr>
          <w:rFonts w:ascii="Verdana" w:hAnsi="Verdana"/>
        </w:rPr>
      </w:pPr>
    </w:p>
    <w:p w14:paraId="66447996" w14:textId="77777777" w:rsidR="002439E3" w:rsidRPr="0099435D" w:rsidRDefault="002439E3" w:rsidP="002439E3">
      <w:pPr>
        <w:spacing w:after="0" w:line="240" w:lineRule="auto"/>
        <w:rPr>
          <w:rFonts w:ascii="Verdana" w:eastAsia="Calibri" w:hAnsi="Verdana" w:cs="Times New Roman"/>
          <w:lang w:val="es-MX"/>
        </w:rPr>
      </w:pPr>
      <w:r w:rsidRPr="0099435D">
        <w:rPr>
          <w:rFonts w:ascii="Verdana" w:eastAsia="Calibri" w:hAnsi="Verdana" w:cs="Times New Roman"/>
          <w:lang w:val="es-MX"/>
        </w:rPr>
        <w:t xml:space="preserve">Señor </w:t>
      </w:r>
    </w:p>
    <w:p w14:paraId="6BF9692C" w14:textId="77777777" w:rsidR="002439E3" w:rsidRPr="0099435D" w:rsidRDefault="002439E3" w:rsidP="002439E3">
      <w:pPr>
        <w:spacing w:after="0" w:line="240" w:lineRule="auto"/>
        <w:rPr>
          <w:rFonts w:ascii="Verdana" w:eastAsia="Calibri" w:hAnsi="Verdana" w:cs="Times New Roman"/>
          <w:b/>
          <w:lang w:val="es-MX"/>
        </w:rPr>
      </w:pPr>
      <w:r w:rsidRPr="0099435D">
        <w:rPr>
          <w:rFonts w:ascii="Verdana" w:eastAsia="Calibri" w:hAnsi="Verdana" w:cs="Times New Roman"/>
          <w:b/>
          <w:lang w:val="es-MX"/>
        </w:rPr>
        <w:t xml:space="preserve">Omar Yire Mendoza Comas </w:t>
      </w:r>
    </w:p>
    <w:p w14:paraId="5A44BC96" w14:textId="77777777" w:rsidR="002439E3" w:rsidRPr="0099435D" w:rsidRDefault="002439E3" w:rsidP="002439E3">
      <w:pPr>
        <w:spacing w:after="0" w:line="240" w:lineRule="auto"/>
        <w:rPr>
          <w:rFonts w:ascii="Verdana" w:hAnsi="Verdana"/>
        </w:rPr>
      </w:pPr>
      <w:r w:rsidRPr="0099435D">
        <w:rPr>
          <w:rFonts w:ascii="Verdana" w:hAnsi="Verdana"/>
        </w:rPr>
        <w:t>Medellín, Antioquia</w:t>
      </w:r>
    </w:p>
    <w:p w14:paraId="1A03AD39" w14:textId="77777777" w:rsidR="002439E3" w:rsidRPr="0099435D" w:rsidRDefault="002439E3" w:rsidP="002439E3">
      <w:pPr>
        <w:spacing w:after="0" w:line="240" w:lineRule="auto"/>
        <w:rPr>
          <w:rFonts w:ascii="Verdana" w:eastAsia="Calibri" w:hAnsi="Verdana" w:cs="Times New Roman"/>
        </w:rPr>
      </w:pPr>
    </w:p>
    <w:p w14:paraId="1A19184F" w14:textId="77777777" w:rsidR="002439E3" w:rsidRPr="0099435D" w:rsidRDefault="002439E3" w:rsidP="002439E3">
      <w:pPr>
        <w:spacing w:after="0" w:line="240" w:lineRule="auto"/>
        <w:rPr>
          <w:rFonts w:ascii="Verdana" w:eastAsia="Calibri" w:hAnsi="Verdana" w:cs="Times New Roman"/>
        </w:rPr>
      </w:pPr>
    </w:p>
    <w:p w14:paraId="4FC655CE" w14:textId="77777777" w:rsidR="002439E3" w:rsidRPr="0099435D" w:rsidRDefault="002439E3" w:rsidP="002439E3">
      <w:pPr>
        <w:spacing w:after="0" w:line="256" w:lineRule="auto"/>
        <w:rPr>
          <w:rFonts w:ascii="Verdana" w:eastAsia="Calibri" w:hAnsi="Verdana" w:cs="Times New Roman"/>
          <w:b/>
          <w:bCs/>
          <w:lang w:val="es-ES"/>
        </w:rPr>
      </w:pPr>
      <w:r w:rsidRPr="0099435D">
        <w:rPr>
          <w:rFonts w:ascii="Verdana" w:eastAsia="Calibri" w:hAnsi="Verdana" w:cs="Times New Roman"/>
          <w:b/>
          <w:bCs/>
          <w:lang w:val="es-ES"/>
        </w:rPr>
        <w:t xml:space="preserve">                                    Concepto C–9</w:t>
      </w:r>
      <w:r>
        <w:rPr>
          <w:rFonts w:ascii="Verdana" w:eastAsia="Calibri" w:hAnsi="Verdana" w:cs="Times New Roman"/>
          <w:b/>
          <w:bCs/>
          <w:lang w:val="es-ES"/>
        </w:rPr>
        <w:t>41</w:t>
      </w:r>
      <w:r w:rsidRPr="0099435D">
        <w:rPr>
          <w:rFonts w:ascii="Verdana" w:eastAsia="Calibri" w:hAnsi="Verdana" w:cs="Times New Roman"/>
          <w:b/>
          <w:bCs/>
          <w:lang w:val="es-ES"/>
        </w:rPr>
        <w:t xml:space="preserve"> de 2026 </w:t>
      </w:r>
    </w:p>
    <w:p w14:paraId="06D6A824" w14:textId="77777777" w:rsidR="002439E3" w:rsidRPr="0099435D" w:rsidRDefault="002439E3" w:rsidP="002439E3">
      <w:pPr>
        <w:spacing w:after="0" w:line="256" w:lineRule="auto"/>
        <w:rPr>
          <w:rFonts w:ascii="Verdana" w:eastAsia="Calibri" w:hAnsi="Verdana" w:cs="Times New Roman"/>
          <w:lang w:val="es-ES_tradnl"/>
        </w:rPr>
      </w:pPr>
    </w:p>
    <w:tbl>
      <w:tblPr>
        <w:tblStyle w:val="Tablaconcuadrcula1"/>
        <w:tblW w:w="1516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5"/>
        <w:gridCol w:w="6241"/>
        <w:gridCol w:w="6237"/>
      </w:tblGrid>
      <w:tr w:rsidR="002439E3" w:rsidRPr="0099435D" w14:paraId="50C47DE5" w14:textId="77777777" w:rsidTr="00677F53">
        <w:trPr>
          <w:trHeight w:val="645"/>
        </w:trPr>
        <w:tc>
          <w:tcPr>
            <w:tcW w:w="2685" w:type="dxa"/>
            <w:hideMark/>
          </w:tcPr>
          <w:p w14:paraId="73FD1A8F" w14:textId="77777777" w:rsidR="002439E3" w:rsidRPr="0099435D" w:rsidRDefault="002439E3" w:rsidP="00677F53">
            <w:pPr>
              <w:spacing w:line="276" w:lineRule="auto"/>
              <w:rPr>
                <w:rFonts w:ascii="Verdana" w:hAnsi="Verdana"/>
                <w:b/>
                <w:bCs/>
                <w:lang w:val="es-ES_tradnl"/>
              </w:rPr>
            </w:pPr>
            <w:r w:rsidRPr="0099435D">
              <w:rPr>
                <w:rFonts w:ascii="Verdana" w:hAnsi="Verdana"/>
                <w:b/>
                <w:bCs/>
                <w:lang w:val="es-ES_tradnl"/>
              </w:rPr>
              <w:t xml:space="preserve">Temas:                   </w:t>
            </w:r>
          </w:p>
        </w:tc>
        <w:tc>
          <w:tcPr>
            <w:tcW w:w="6241" w:type="dxa"/>
            <w:hideMark/>
          </w:tcPr>
          <w:p w14:paraId="4FF0C39A" w14:textId="47D53CC9" w:rsidR="002439E3" w:rsidRPr="0099435D" w:rsidRDefault="002439E3" w:rsidP="00677F53">
            <w:pPr>
              <w:spacing w:line="276" w:lineRule="auto"/>
              <w:jc w:val="both"/>
              <w:rPr>
                <w:rFonts w:ascii="Verdana" w:hAnsi="Verdana" w:cs="Arial"/>
                <w:lang w:val="es-ES" w:eastAsia="es-ES"/>
              </w:rPr>
            </w:pPr>
            <w:r w:rsidRPr="00C50A6D">
              <w:rPr>
                <w:rFonts w:ascii="Verdana" w:hAnsi="Verdana" w:cs="Arial"/>
                <w:lang w:val="es-ES" w:eastAsia="es-ES"/>
              </w:rPr>
              <w:t>ACTO DE ADJUDICACIÓN – Naturaleza jurídica – Características / ACTO DE ADJUDICACIÓN – Carácter vinculante / REVOCATORIA DIRECTA – Noción / REVOCATORIA DIRECTA – Naturaleza jurídica / REVOCATORIA DIRECTA – Acto de adjudicación – Consentimiento previo / ACTO DE ADJUDICACIÓN – Revocatoria directa – Debido proceso / REVOCATORIA DIRECTA – Acto de adjudicación – Obtención por medios ilegales – Alcance / REVOCATORIA DIRECTA – Consentimiento previo – Errores de la Administración – Buena fe / SUBSANABILIDAD – Documentos que otorgan puntaje – Improcedencia / DOCUMENTOS TIPO – Inalterabilidad – Efectos</w:t>
            </w:r>
          </w:p>
        </w:tc>
        <w:tc>
          <w:tcPr>
            <w:tcW w:w="6237" w:type="dxa"/>
          </w:tcPr>
          <w:p w14:paraId="628CDB43" w14:textId="77777777" w:rsidR="002439E3" w:rsidRPr="0099435D" w:rsidRDefault="002439E3" w:rsidP="00677F53">
            <w:pPr>
              <w:spacing w:line="256" w:lineRule="auto"/>
              <w:rPr>
                <w:rFonts w:ascii="Verdana" w:hAnsi="Verdana"/>
              </w:rPr>
            </w:pPr>
          </w:p>
        </w:tc>
      </w:tr>
      <w:tr w:rsidR="002439E3" w:rsidRPr="0099435D" w14:paraId="33A86185" w14:textId="77777777" w:rsidTr="00677F53">
        <w:tc>
          <w:tcPr>
            <w:tcW w:w="2685" w:type="dxa"/>
          </w:tcPr>
          <w:p w14:paraId="1D1E8AE4" w14:textId="77777777" w:rsidR="002439E3" w:rsidRPr="0099435D" w:rsidRDefault="002439E3" w:rsidP="00677F53">
            <w:pPr>
              <w:spacing w:line="256" w:lineRule="auto"/>
              <w:rPr>
                <w:rFonts w:ascii="Verdana" w:hAnsi="Verdana"/>
                <w:lang w:val="es-ES_tradnl"/>
              </w:rPr>
            </w:pPr>
          </w:p>
          <w:p w14:paraId="37C3185B" w14:textId="77777777" w:rsidR="002439E3" w:rsidRPr="0099435D" w:rsidRDefault="002439E3" w:rsidP="00677F53">
            <w:pPr>
              <w:spacing w:line="256" w:lineRule="auto"/>
              <w:rPr>
                <w:rFonts w:ascii="Verdana" w:hAnsi="Verdana"/>
                <w:b/>
                <w:bCs/>
                <w:lang w:val="es-ES_tradnl"/>
              </w:rPr>
            </w:pPr>
            <w:r w:rsidRPr="0099435D">
              <w:rPr>
                <w:rFonts w:ascii="Verdana" w:hAnsi="Verdana"/>
                <w:b/>
                <w:bCs/>
                <w:lang w:val="es-ES_tradnl"/>
              </w:rPr>
              <w:t xml:space="preserve">Radicación:               </w:t>
            </w:r>
          </w:p>
        </w:tc>
        <w:tc>
          <w:tcPr>
            <w:tcW w:w="6241" w:type="dxa"/>
          </w:tcPr>
          <w:p w14:paraId="528A387E" w14:textId="77777777" w:rsidR="002439E3" w:rsidRPr="0099435D" w:rsidRDefault="002439E3" w:rsidP="00677F53">
            <w:pPr>
              <w:spacing w:line="257" w:lineRule="auto"/>
              <w:rPr>
                <w:rFonts w:ascii="Verdana" w:hAnsi="Verdana"/>
                <w:lang w:val="es-ES_tradnl"/>
              </w:rPr>
            </w:pPr>
          </w:p>
          <w:p w14:paraId="1BA62705" w14:textId="77777777" w:rsidR="002439E3" w:rsidRPr="0099435D" w:rsidRDefault="002439E3" w:rsidP="00677F53">
            <w:pPr>
              <w:spacing w:line="257" w:lineRule="auto"/>
              <w:jc w:val="both"/>
              <w:rPr>
                <w:rFonts w:ascii="Verdana" w:hAnsi="Verdana"/>
              </w:rPr>
            </w:pPr>
            <w:r w:rsidRPr="0099435D">
              <w:rPr>
                <w:rFonts w:ascii="Verdana" w:hAnsi="Verdana"/>
                <w:lang w:val="es-ES_tradnl"/>
              </w:rPr>
              <w:t xml:space="preserve">Respuesta a consulta con radicado No. </w:t>
            </w:r>
            <w:r w:rsidRPr="0099435D">
              <w:rPr>
                <w:rFonts w:ascii="Verdana" w:hAnsi="Verdana"/>
              </w:rPr>
              <w:t>1_2026_06_06_007748</w:t>
            </w:r>
          </w:p>
          <w:p w14:paraId="5033BE36" w14:textId="77777777" w:rsidR="002439E3" w:rsidRPr="0099435D" w:rsidRDefault="002439E3" w:rsidP="00677F53">
            <w:pPr>
              <w:spacing w:line="257" w:lineRule="auto"/>
              <w:jc w:val="both"/>
              <w:rPr>
                <w:rFonts w:ascii="Verdana" w:hAnsi="Verdana"/>
              </w:rPr>
            </w:pPr>
          </w:p>
          <w:p w14:paraId="6C14FDD3" w14:textId="77777777" w:rsidR="002439E3" w:rsidRPr="0099435D" w:rsidRDefault="002439E3" w:rsidP="00677F53">
            <w:pPr>
              <w:spacing w:line="257" w:lineRule="auto"/>
              <w:jc w:val="both"/>
              <w:rPr>
                <w:rFonts w:ascii="Verdana" w:hAnsi="Verdana"/>
              </w:rPr>
            </w:pPr>
          </w:p>
        </w:tc>
        <w:tc>
          <w:tcPr>
            <w:tcW w:w="6237" w:type="dxa"/>
          </w:tcPr>
          <w:p w14:paraId="7C5A6A2E" w14:textId="77777777" w:rsidR="002439E3" w:rsidRPr="0099435D" w:rsidRDefault="002439E3" w:rsidP="00677F53">
            <w:pPr>
              <w:spacing w:line="256" w:lineRule="auto"/>
              <w:rPr>
                <w:rFonts w:ascii="Verdana" w:hAnsi="Verdana"/>
                <w:lang w:val="es-ES_tradnl"/>
              </w:rPr>
            </w:pPr>
          </w:p>
        </w:tc>
      </w:tr>
    </w:tbl>
    <w:p w14:paraId="5DB1FA11" w14:textId="77777777" w:rsidR="002439E3" w:rsidRPr="009037F6" w:rsidRDefault="002439E3" w:rsidP="002439E3">
      <w:pPr>
        <w:spacing w:after="0" w:line="256" w:lineRule="auto"/>
        <w:rPr>
          <w:rFonts w:ascii="Verdana" w:eastAsia="Calibri" w:hAnsi="Verdana" w:cs="Times New Roman"/>
          <w:lang w:val="es-ES"/>
        </w:rPr>
      </w:pPr>
      <w:r>
        <w:rPr>
          <w:rFonts w:ascii="Verdana" w:eastAsia="Calibri" w:hAnsi="Verdana" w:cs="Times New Roman"/>
          <w:lang w:val="es-ES"/>
        </w:rPr>
        <w:t>Estimado Señor Mendoza</w:t>
      </w:r>
      <w:r w:rsidRPr="009037F6">
        <w:rPr>
          <w:rFonts w:ascii="Verdana" w:eastAsia="Calibri" w:hAnsi="Verdana" w:cs="Times New Roman"/>
          <w:lang w:val="es-ES"/>
        </w:rPr>
        <w:t xml:space="preserve">: </w:t>
      </w:r>
    </w:p>
    <w:p w14:paraId="0FD33459" w14:textId="77777777" w:rsidR="002439E3" w:rsidRPr="009037F6" w:rsidRDefault="002439E3" w:rsidP="002439E3">
      <w:pPr>
        <w:spacing w:after="0" w:line="276" w:lineRule="auto"/>
        <w:rPr>
          <w:rFonts w:ascii="Verdana" w:eastAsia="Calibri" w:hAnsi="Verdana" w:cs="Times New Roman"/>
          <w:lang w:val="es-ES"/>
        </w:rPr>
      </w:pPr>
    </w:p>
    <w:p w14:paraId="348BE977" w14:textId="77777777" w:rsidR="002439E3" w:rsidRDefault="002439E3" w:rsidP="002439E3">
      <w:pPr>
        <w:spacing w:after="0" w:line="276" w:lineRule="auto"/>
        <w:jc w:val="both"/>
        <w:rPr>
          <w:rFonts w:ascii="Verdana" w:eastAsia="Calibri" w:hAnsi="Verdana" w:cs="Times New Roman"/>
          <w:bCs/>
          <w:lang w:val="es-ES" w:bidi="es-ES"/>
        </w:rPr>
      </w:pPr>
      <w:r w:rsidRPr="009037F6">
        <w:rPr>
          <w:rFonts w:ascii="Verdana" w:eastAsia="Calibri" w:hAnsi="Verdana" w:cs="Times New Roman"/>
          <w:bCs/>
          <w:lang w:bidi="es-ES"/>
        </w:rPr>
        <w:t xml:space="preserve">La Agencia Nacional de Contratación Pública – Colombia Compra Eficiente –, en ejercicio de las competencias otorgadas por los Decretos 4170 de 2011 y 1822 de 2019 y de conformidad con las modalidades del derecho de petición contempladas en la Ley 1755 de 2015, así como lo establecido en la Resolución </w:t>
      </w:r>
      <w:proofErr w:type="spellStart"/>
      <w:r w:rsidRPr="009037F6">
        <w:rPr>
          <w:rFonts w:ascii="Verdana" w:eastAsia="Calibri" w:hAnsi="Verdana" w:cs="Times New Roman"/>
          <w:bCs/>
          <w:lang w:bidi="es-ES"/>
        </w:rPr>
        <w:t>N°</w:t>
      </w:r>
      <w:proofErr w:type="spellEnd"/>
      <w:r w:rsidRPr="009037F6">
        <w:rPr>
          <w:rFonts w:ascii="Verdana" w:eastAsia="Calibri" w:hAnsi="Verdana" w:cs="Times New Roman"/>
          <w:bCs/>
          <w:lang w:bidi="es-ES"/>
        </w:rPr>
        <w:t xml:space="preserve"> 469 del 2025 expedida por esta Agencia, </w:t>
      </w:r>
      <w:r w:rsidRPr="009037F6">
        <w:rPr>
          <w:rFonts w:ascii="Verdana" w:eastAsia="Calibri" w:hAnsi="Verdana" w:cs="Times New Roman"/>
          <w:bCs/>
          <w:lang w:val="es-ES" w:bidi="es-ES"/>
        </w:rPr>
        <w:t>respond</w:t>
      </w:r>
      <w:r>
        <w:rPr>
          <w:rFonts w:ascii="Verdana" w:eastAsia="Calibri" w:hAnsi="Verdana" w:cs="Times New Roman"/>
          <w:bCs/>
          <w:lang w:val="es-ES" w:bidi="es-ES"/>
        </w:rPr>
        <w:t>e la solicitud de consulta del 6 de junio de 2026</w:t>
      </w:r>
      <w:r w:rsidRPr="009037F6">
        <w:rPr>
          <w:rFonts w:ascii="Verdana" w:eastAsia="Calibri" w:hAnsi="Verdana" w:cs="Times New Roman"/>
          <w:bCs/>
          <w:lang w:val="es-ES" w:bidi="es-ES"/>
        </w:rPr>
        <w:t xml:space="preserve">, en la cual manifiesta: </w:t>
      </w:r>
    </w:p>
    <w:p w14:paraId="7688375E" w14:textId="77777777" w:rsidR="002439E3" w:rsidRPr="009037F6" w:rsidRDefault="002439E3" w:rsidP="002439E3">
      <w:pPr>
        <w:spacing w:after="0" w:line="276" w:lineRule="auto"/>
        <w:jc w:val="both"/>
        <w:rPr>
          <w:rFonts w:ascii="Verdana" w:eastAsia="Calibri" w:hAnsi="Verdana" w:cs="Times New Roman"/>
          <w:bCs/>
          <w:lang w:val="es-ES" w:bidi="es-ES"/>
        </w:rPr>
      </w:pPr>
    </w:p>
    <w:p w14:paraId="62C119BE" w14:textId="77777777" w:rsidR="002439E3" w:rsidRPr="00BB1B59" w:rsidRDefault="002439E3" w:rsidP="002439E3">
      <w:pPr>
        <w:spacing w:after="0" w:line="240" w:lineRule="auto"/>
        <w:ind w:left="709" w:right="709"/>
        <w:jc w:val="both"/>
        <w:rPr>
          <w:rFonts w:ascii="Verdana" w:eastAsia="Calibri" w:hAnsi="Verdana" w:cs="Times New Roman"/>
          <w:bCs/>
          <w:sz w:val="20"/>
          <w:szCs w:val="20"/>
          <w:lang w:bidi="es-ES"/>
        </w:rPr>
      </w:pPr>
      <w:r>
        <w:rPr>
          <w:rFonts w:ascii="Verdana" w:eastAsia="Calibri" w:hAnsi="Verdana" w:cs="Times New Roman"/>
          <w:bCs/>
          <w:sz w:val="20"/>
          <w:szCs w:val="20"/>
          <w:lang w:bidi="es-ES"/>
        </w:rPr>
        <w:t>“</w:t>
      </w:r>
      <w:r w:rsidRPr="00BB1B59">
        <w:rPr>
          <w:rFonts w:ascii="Verdana" w:eastAsia="Calibri" w:hAnsi="Verdana" w:cs="Times New Roman"/>
          <w:bCs/>
          <w:sz w:val="20"/>
          <w:szCs w:val="20"/>
          <w:lang w:bidi="es-ES"/>
        </w:rPr>
        <w:t>¿La alteración antijurídica del</w:t>
      </w:r>
      <w:r>
        <w:rPr>
          <w:rFonts w:ascii="Verdana" w:eastAsia="Calibri" w:hAnsi="Verdana" w:cs="Times New Roman"/>
          <w:bCs/>
          <w:sz w:val="20"/>
          <w:szCs w:val="20"/>
          <w:lang w:bidi="es-ES"/>
        </w:rPr>
        <w:t xml:space="preserve"> </w:t>
      </w:r>
      <w:r w:rsidRPr="00BB1B59">
        <w:rPr>
          <w:rFonts w:ascii="Verdana" w:eastAsia="Calibri" w:hAnsi="Verdana" w:cs="Times New Roman"/>
          <w:bCs/>
          <w:sz w:val="20"/>
          <w:szCs w:val="20"/>
          <w:lang w:bidi="es-ES"/>
        </w:rPr>
        <w:t>orden de elegibilidad, derivada de la asignación de puntajes</w:t>
      </w:r>
      <w:r>
        <w:rPr>
          <w:rFonts w:ascii="Verdana" w:eastAsia="Calibri" w:hAnsi="Verdana" w:cs="Times New Roman"/>
          <w:bCs/>
          <w:sz w:val="20"/>
          <w:szCs w:val="20"/>
          <w:lang w:bidi="es-ES"/>
        </w:rPr>
        <w:t xml:space="preserve"> </w:t>
      </w:r>
      <w:r w:rsidRPr="00BB1B59">
        <w:rPr>
          <w:rFonts w:ascii="Verdana" w:eastAsia="Calibri" w:hAnsi="Verdana" w:cs="Times New Roman"/>
          <w:bCs/>
          <w:sz w:val="20"/>
          <w:szCs w:val="20"/>
          <w:lang w:bidi="es-ES"/>
        </w:rPr>
        <w:t>mediante la valoración oficiosa de documentos aportados de</w:t>
      </w:r>
      <w:r>
        <w:rPr>
          <w:rFonts w:ascii="Verdana" w:eastAsia="Calibri" w:hAnsi="Verdana" w:cs="Times New Roman"/>
          <w:bCs/>
          <w:sz w:val="20"/>
          <w:szCs w:val="20"/>
          <w:lang w:bidi="es-ES"/>
        </w:rPr>
        <w:t xml:space="preserve"> </w:t>
      </w:r>
      <w:r w:rsidRPr="00BB1B59">
        <w:rPr>
          <w:rFonts w:ascii="Verdana" w:eastAsia="Calibri" w:hAnsi="Verdana" w:cs="Times New Roman"/>
          <w:bCs/>
          <w:sz w:val="20"/>
          <w:szCs w:val="20"/>
          <w:lang w:bidi="es-ES"/>
        </w:rPr>
        <w:t>forma extemporánea que vulneran el régimen preclusivo de</w:t>
      </w:r>
    </w:p>
    <w:p w14:paraId="25056CF6" w14:textId="77777777" w:rsidR="002439E3" w:rsidRPr="005000A1" w:rsidRDefault="002439E3" w:rsidP="002439E3">
      <w:pPr>
        <w:spacing w:after="0" w:line="240" w:lineRule="auto"/>
        <w:ind w:left="709" w:right="709"/>
        <w:jc w:val="both"/>
        <w:rPr>
          <w:rFonts w:ascii="Verdana" w:eastAsia="Calibri" w:hAnsi="Verdana" w:cs="Times New Roman"/>
          <w:bCs/>
          <w:sz w:val="20"/>
          <w:szCs w:val="20"/>
          <w:lang w:bidi="es-ES"/>
        </w:rPr>
      </w:pPr>
      <w:r w:rsidRPr="00BB1B59">
        <w:rPr>
          <w:rFonts w:ascii="Verdana" w:eastAsia="Calibri" w:hAnsi="Verdana" w:cs="Times New Roman"/>
          <w:bCs/>
          <w:sz w:val="20"/>
          <w:szCs w:val="20"/>
          <w:lang w:bidi="es-ES"/>
        </w:rPr>
        <w:t>subsanación y la inalterabilidad de los Documentos Tipo,</w:t>
      </w:r>
      <w:r>
        <w:rPr>
          <w:rFonts w:ascii="Verdana" w:eastAsia="Calibri" w:hAnsi="Verdana" w:cs="Times New Roman"/>
          <w:bCs/>
          <w:sz w:val="20"/>
          <w:szCs w:val="20"/>
          <w:lang w:bidi="es-ES"/>
        </w:rPr>
        <w:t xml:space="preserve"> </w:t>
      </w:r>
      <w:r w:rsidRPr="00BB1B59">
        <w:rPr>
          <w:rFonts w:ascii="Verdana" w:eastAsia="Calibri" w:hAnsi="Verdana" w:cs="Times New Roman"/>
          <w:bCs/>
          <w:sz w:val="20"/>
          <w:szCs w:val="20"/>
          <w:lang w:bidi="es-ES"/>
        </w:rPr>
        <w:t>configura y materializa per se la causal excepcional de</w:t>
      </w:r>
      <w:r>
        <w:rPr>
          <w:rFonts w:ascii="Verdana" w:eastAsia="Calibri" w:hAnsi="Verdana" w:cs="Times New Roman"/>
          <w:bCs/>
          <w:sz w:val="20"/>
          <w:szCs w:val="20"/>
          <w:lang w:bidi="es-ES"/>
        </w:rPr>
        <w:t xml:space="preserve"> </w:t>
      </w:r>
      <w:r w:rsidRPr="00BB1B59">
        <w:rPr>
          <w:rFonts w:ascii="Verdana" w:eastAsia="Calibri" w:hAnsi="Verdana" w:cs="Times New Roman"/>
          <w:bCs/>
          <w:sz w:val="20"/>
          <w:szCs w:val="20"/>
          <w:lang w:bidi="es-ES"/>
        </w:rPr>
        <w:t>obtención por 'medios ilegales' requerida para que la entidad</w:t>
      </w:r>
      <w:r>
        <w:rPr>
          <w:rFonts w:ascii="Verdana" w:eastAsia="Calibri" w:hAnsi="Verdana" w:cs="Times New Roman"/>
          <w:bCs/>
          <w:sz w:val="20"/>
          <w:szCs w:val="20"/>
          <w:lang w:bidi="es-ES"/>
        </w:rPr>
        <w:t xml:space="preserve"> </w:t>
      </w:r>
      <w:r w:rsidRPr="00BB1B59">
        <w:rPr>
          <w:rFonts w:ascii="Verdana" w:eastAsia="Calibri" w:hAnsi="Verdana" w:cs="Times New Roman"/>
          <w:bCs/>
          <w:sz w:val="20"/>
          <w:szCs w:val="20"/>
          <w:lang w:bidi="es-ES"/>
        </w:rPr>
        <w:t>active legítimamente su potestad revocatoria unilateral?</w:t>
      </w:r>
      <w:r>
        <w:rPr>
          <w:rFonts w:ascii="Verdana" w:eastAsia="Calibri" w:hAnsi="Verdana" w:cs="Times New Roman"/>
          <w:bCs/>
          <w:sz w:val="20"/>
          <w:szCs w:val="20"/>
          <w:lang w:bidi="es-ES"/>
        </w:rPr>
        <w:t>”</w:t>
      </w:r>
    </w:p>
    <w:p w14:paraId="5C31D229" w14:textId="77777777" w:rsidR="002439E3" w:rsidRPr="005000A1" w:rsidRDefault="002439E3" w:rsidP="002439E3">
      <w:pPr>
        <w:spacing w:after="0" w:line="240" w:lineRule="auto"/>
        <w:ind w:right="709"/>
        <w:jc w:val="both"/>
        <w:rPr>
          <w:rFonts w:ascii="Verdana" w:eastAsia="Calibri" w:hAnsi="Verdana" w:cs="Times New Roman"/>
          <w:bCs/>
          <w:sz w:val="21"/>
          <w:szCs w:val="21"/>
          <w:lang w:bidi="es-ES"/>
        </w:rPr>
      </w:pPr>
    </w:p>
    <w:p w14:paraId="7E5862F4" w14:textId="77777777" w:rsidR="002439E3" w:rsidRPr="009037F6" w:rsidRDefault="002439E3" w:rsidP="002439E3">
      <w:pPr>
        <w:spacing w:after="120" w:line="276" w:lineRule="auto"/>
        <w:ind w:firstLine="709"/>
        <w:jc w:val="both"/>
        <w:rPr>
          <w:rFonts w:ascii="Verdana" w:eastAsia="Calibri" w:hAnsi="Verdana" w:cs="Times New Roman"/>
          <w:lang w:val="es-ES"/>
        </w:rPr>
      </w:pPr>
      <w:r w:rsidRPr="009037F6">
        <w:rPr>
          <w:rFonts w:ascii="Verdana" w:eastAsia="Calibri" w:hAnsi="Verdana" w:cs="Times New Roman"/>
          <w:lang w:val="es-ES"/>
        </w:rPr>
        <w:t>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ni a determinar grados de responsabilidad por las actuaciones de los diferentes participes del sistema de compra pública.</w:t>
      </w:r>
    </w:p>
    <w:p w14:paraId="1FD938B5" w14:textId="77777777" w:rsidR="002439E3" w:rsidRPr="009037F6" w:rsidRDefault="002439E3" w:rsidP="002439E3">
      <w:pPr>
        <w:spacing w:after="0" w:line="276" w:lineRule="auto"/>
        <w:ind w:firstLine="708"/>
        <w:jc w:val="both"/>
        <w:rPr>
          <w:rFonts w:ascii="Verdana" w:eastAsia="Calibri" w:hAnsi="Verdana" w:cs="Times New Roman"/>
          <w:lang w:val="es-ES"/>
        </w:rPr>
      </w:pPr>
      <w:r w:rsidRPr="009037F6">
        <w:rPr>
          <w:rFonts w:ascii="Verdana" w:eastAsia="Calibri" w:hAnsi="Verdana" w:cs="Times New Roman"/>
          <w:lang w:val="es-ES"/>
        </w:rPr>
        <w:t>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w:t>
      </w:r>
      <w:r>
        <w:rPr>
          <w:rFonts w:ascii="Verdana" w:eastAsia="Calibri" w:hAnsi="Verdana" w:cs="Times New Roman"/>
          <w:lang w:val="es-ES"/>
        </w:rPr>
        <w:t xml:space="preserve"> el problema jurídico de su consulta. </w:t>
      </w:r>
    </w:p>
    <w:p w14:paraId="6B613A37" w14:textId="77777777" w:rsidR="002439E3" w:rsidRPr="009037F6" w:rsidRDefault="002439E3" w:rsidP="002439E3">
      <w:pPr>
        <w:spacing w:after="0" w:line="276" w:lineRule="auto"/>
        <w:rPr>
          <w:rFonts w:ascii="Verdana" w:eastAsia="Calibri" w:hAnsi="Verdana" w:cs="Times New Roman"/>
          <w:lang w:val="es-ES"/>
        </w:rPr>
      </w:pPr>
    </w:p>
    <w:p w14:paraId="0C032E3E" w14:textId="77777777" w:rsidR="002439E3" w:rsidRPr="009037F6" w:rsidRDefault="002439E3" w:rsidP="002439E3">
      <w:pPr>
        <w:numPr>
          <w:ilvl w:val="0"/>
          <w:numId w:val="16"/>
        </w:numPr>
        <w:spacing w:after="0" w:line="276" w:lineRule="auto"/>
        <w:rPr>
          <w:rFonts w:ascii="Verdana" w:eastAsia="Calibri" w:hAnsi="Verdana" w:cs="Times New Roman"/>
          <w:b/>
          <w:bCs/>
          <w:lang w:val="es-ES"/>
        </w:rPr>
      </w:pPr>
      <w:r w:rsidRPr="009037F6">
        <w:rPr>
          <w:rFonts w:ascii="Verdana" w:eastAsia="Calibri" w:hAnsi="Verdana" w:cs="Times New Roman"/>
          <w:b/>
          <w:bCs/>
          <w:lang w:val="es-ES"/>
        </w:rPr>
        <w:t>Problema planteado:</w:t>
      </w:r>
    </w:p>
    <w:p w14:paraId="7111C77A" w14:textId="77777777" w:rsidR="002439E3" w:rsidRPr="009037F6" w:rsidRDefault="002439E3" w:rsidP="002439E3">
      <w:pPr>
        <w:spacing w:after="0" w:line="276" w:lineRule="auto"/>
        <w:rPr>
          <w:rFonts w:ascii="Verdana" w:eastAsia="Calibri" w:hAnsi="Verdana" w:cs="Times New Roman"/>
        </w:rPr>
      </w:pPr>
    </w:p>
    <w:p w14:paraId="521E940C" w14:textId="77777777" w:rsidR="002439E3" w:rsidRDefault="002439E3" w:rsidP="002439E3">
      <w:pPr>
        <w:spacing w:after="0" w:line="276" w:lineRule="auto"/>
        <w:jc w:val="both"/>
        <w:rPr>
          <w:rFonts w:ascii="Verdana" w:eastAsia="Calibri" w:hAnsi="Verdana" w:cs="Times New Roman"/>
        </w:rPr>
      </w:pPr>
      <w:r w:rsidRPr="00E83DC3">
        <w:rPr>
          <w:rFonts w:ascii="Verdana" w:eastAsia="Calibri" w:hAnsi="Verdana" w:cs="Times New Roman"/>
        </w:rPr>
        <w:t>De acuerdo con el contenido de sus solicitudes, la Agencia procede a resolver el siguiente problema jurídico: ¿la valoración oficiosa de documentos aportados con posterioridad al cierre del proceso —</w:t>
      </w:r>
      <w:r w:rsidRPr="00B408AA">
        <w:rPr>
          <w:rFonts w:ascii="Verdana" w:eastAsia="Calibri" w:hAnsi="Verdana" w:cs="Times New Roman"/>
        </w:rPr>
        <w:t>sea por inobservancia del término preclusivo de subsanación, sea por recaer sobre aspectos materialmente no subsanables</w:t>
      </w:r>
      <w:r w:rsidRPr="00E83DC3">
        <w:rPr>
          <w:rFonts w:ascii="Verdana" w:eastAsia="Calibri" w:hAnsi="Verdana" w:cs="Times New Roman"/>
        </w:rPr>
        <w:t xml:space="preserve">— que altera el orden de elegibilidad dentro de un proceso de contratación, configura la causal de revocatoria directa del acto de adjudicación </w:t>
      </w:r>
      <w:r w:rsidRPr="00E83DC3">
        <w:rPr>
          <w:rFonts w:ascii="Verdana" w:eastAsia="Calibri" w:hAnsi="Verdana" w:cs="Times New Roman"/>
        </w:rPr>
        <w:lastRenderedPageBreak/>
        <w:t>por "obtención por medios ilegales" prevista en el inciso tercero del artículo 9 de la Ley 1150 de 2007</w:t>
      </w:r>
      <w:r>
        <w:rPr>
          <w:rFonts w:ascii="Verdana" w:eastAsia="Calibri" w:hAnsi="Verdana" w:cs="Times New Roman"/>
        </w:rPr>
        <w:t>?</w:t>
      </w:r>
    </w:p>
    <w:p w14:paraId="7A226C98" w14:textId="77777777" w:rsidR="002439E3" w:rsidRPr="00394F0C" w:rsidRDefault="002439E3" w:rsidP="002439E3">
      <w:pPr>
        <w:spacing w:after="0" w:line="276" w:lineRule="auto"/>
        <w:jc w:val="both"/>
        <w:rPr>
          <w:rFonts w:ascii="Verdana" w:eastAsia="Calibri" w:hAnsi="Verdana" w:cs="Times New Roman"/>
          <w:i/>
          <w:iCs/>
        </w:rPr>
      </w:pPr>
    </w:p>
    <w:p w14:paraId="15ACF410" w14:textId="77777777" w:rsidR="002439E3" w:rsidRDefault="002439E3" w:rsidP="002439E3">
      <w:pPr>
        <w:numPr>
          <w:ilvl w:val="0"/>
          <w:numId w:val="16"/>
        </w:numPr>
        <w:spacing w:after="0" w:line="276" w:lineRule="auto"/>
        <w:contextualSpacing/>
        <w:rPr>
          <w:rFonts w:ascii="Verdana" w:eastAsia="Calibri" w:hAnsi="Verdana" w:cs="Times New Roman"/>
          <w:b/>
          <w:bCs/>
          <w:lang w:val="es-ES"/>
        </w:rPr>
      </w:pPr>
      <w:r w:rsidRPr="00A12CB6">
        <w:rPr>
          <w:rFonts w:ascii="Verdana" w:eastAsia="Calibri" w:hAnsi="Verdana" w:cs="Times New Roman"/>
          <w:b/>
          <w:bCs/>
          <w:lang w:val="es-ES"/>
        </w:rPr>
        <w:t>Respuesta:</w:t>
      </w:r>
    </w:p>
    <w:p w14:paraId="271BD292" w14:textId="77777777" w:rsidR="002439E3" w:rsidRPr="00A12CB6" w:rsidRDefault="002439E3" w:rsidP="002439E3">
      <w:pPr>
        <w:spacing w:after="0" w:line="276" w:lineRule="auto"/>
        <w:rPr>
          <w:rFonts w:ascii="Verdana" w:eastAsia="Calibri" w:hAnsi="Verdana" w:cs="Times New Roman"/>
          <w:b/>
          <w:bCs/>
          <w:lang w:val="es-ES"/>
        </w:rPr>
      </w:pPr>
    </w:p>
    <w:tbl>
      <w:tblPr>
        <w:tblStyle w:val="Tablaconcuadrcula"/>
        <w:tblW w:w="8784"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784"/>
      </w:tblGrid>
      <w:tr w:rsidR="002439E3" w:rsidRPr="001205D1" w14:paraId="6518208A" w14:textId="77777777" w:rsidTr="00677F53">
        <w:trPr>
          <w:trHeight w:val="345"/>
          <w:jc w:val="center"/>
        </w:trPr>
        <w:tc>
          <w:tcPr>
            <w:tcW w:w="8784" w:type="dxa"/>
            <w:tcBorders>
              <w:bottom w:val="single" w:sz="4" w:space="0" w:color="auto"/>
            </w:tcBorders>
          </w:tcPr>
          <w:p w14:paraId="7169ECD3" w14:textId="77777777" w:rsidR="002439E3" w:rsidRDefault="002439E3" w:rsidP="00677F53">
            <w:pPr>
              <w:spacing w:after="120" w:line="276" w:lineRule="auto"/>
              <w:jc w:val="both"/>
              <w:rPr>
                <w:rFonts w:ascii="Verdana" w:eastAsia="Calibri" w:hAnsi="Verdana" w:cs="Arial"/>
                <w:bCs/>
                <w:color w:val="000000" w:themeColor="text1"/>
              </w:rPr>
            </w:pPr>
            <w:r w:rsidRPr="00DB14FE">
              <w:rPr>
                <w:rFonts w:ascii="Verdana" w:eastAsia="Calibri" w:hAnsi="Verdana" w:cs="Arial"/>
                <w:bCs/>
                <w:color w:val="000000" w:themeColor="text1"/>
              </w:rPr>
              <w:t xml:space="preserve">En relación </w:t>
            </w:r>
            <w:r>
              <w:rPr>
                <w:rFonts w:ascii="Verdana" w:eastAsia="Calibri" w:hAnsi="Verdana" w:cs="Arial"/>
                <w:bCs/>
                <w:color w:val="000000" w:themeColor="text1"/>
              </w:rPr>
              <w:t>con el</w:t>
            </w:r>
            <w:r w:rsidRPr="00DB14FE">
              <w:rPr>
                <w:rFonts w:ascii="Verdana" w:eastAsia="Calibri" w:hAnsi="Verdana" w:cs="Arial"/>
                <w:bCs/>
                <w:color w:val="000000" w:themeColor="text1"/>
              </w:rPr>
              <w:t xml:space="preserve"> problema jurídico de su consulta, </w:t>
            </w:r>
            <w:r>
              <w:rPr>
                <w:rFonts w:ascii="Verdana" w:eastAsia="Calibri" w:hAnsi="Verdana" w:cs="Arial"/>
                <w:bCs/>
                <w:color w:val="000000" w:themeColor="text1"/>
              </w:rPr>
              <w:t>l</w:t>
            </w:r>
            <w:r w:rsidRPr="00740829">
              <w:rPr>
                <w:rFonts w:ascii="Verdana" w:eastAsia="Calibri" w:hAnsi="Verdana" w:cs="Arial"/>
                <w:bCs/>
                <w:color w:val="000000" w:themeColor="text1"/>
              </w:rPr>
              <w:t>a determinación de si un acto de adjudicación puede ser revocado directamente por haber sido “obtenido por medios ilegales”, conforme al artículo 9 de la Ley 1150 de 2007, exige una interpretación estricta de esta causal excepcional</w:t>
            </w:r>
            <w:r>
              <w:rPr>
                <w:rFonts w:ascii="Verdana" w:eastAsia="Calibri" w:hAnsi="Verdana" w:cs="Arial"/>
                <w:bCs/>
                <w:color w:val="000000" w:themeColor="text1"/>
              </w:rPr>
              <w:t>. La</w:t>
            </w:r>
            <w:r w:rsidRPr="00740829">
              <w:rPr>
                <w:rFonts w:ascii="Verdana" w:eastAsia="Calibri" w:hAnsi="Verdana" w:cs="Arial"/>
                <w:bCs/>
                <w:color w:val="000000" w:themeColor="text1"/>
              </w:rPr>
              <w:t xml:space="preserve"> Sala de Consulta y Servicio Civil del Consejo de Estado —</w:t>
            </w:r>
            <w:r>
              <w:rPr>
                <w:rFonts w:ascii="Verdana" w:eastAsia="Calibri" w:hAnsi="Verdana" w:cs="Arial"/>
                <w:bCs/>
                <w:color w:val="000000" w:themeColor="text1"/>
              </w:rPr>
              <w:t xml:space="preserve">particularmente en los </w:t>
            </w:r>
            <w:r w:rsidRPr="00740829">
              <w:rPr>
                <w:rFonts w:ascii="Verdana" w:eastAsia="Calibri" w:hAnsi="Verdana" w:cs="Arial"/>
                <w:bCs/>
                <w:color w:val="000000" w:themeColor="text1"/>
              </w:rPr>
              <w:t>conceptos 2260, 2264 y 2346—</w:t>
            </w:r>
            <w:r>
              <w:rPr>
                <w:rFonts w:ascii="Verdana" w:eastAsia="Calibri" w:hAnsi="Verdana" w:cs="Arial"/>
                <w:bCs/>
                <w:color w:val="000000" w:themeColor="text1"/>
              </w:rPr>
              <w:t>, ha señalado que uno de los eventos en los cuales puede configurarse dicha causal</w:t>
            </w:r>
            <w:r w:rsidRPr="00740829">
              <w:rPr>
                <w:rFonts w:ascii="Verdana" w:eastAsia="Calibri" w:hAnsi="Verdana" w:cs="Arial"/>
                <w:bCs/>
                <w:color w:val="000000" w:themeColor="text1"/>
              </w:rPr>
              <w:t xml:space="preserve"> </w:t>
            </w:r>
            <w:r>
              <w:rPr>
                <w:rFonts w:ascii="Verdana" w:eastAsia="Calibri" w:hAnsi="Verdana" w:cs="Arial"/>
                <w:bCs/>
                <w:color w:val="000000" w:themeColor="text1"/>
              </w:rPr>
              <w:t xml:space="preserve">corresponde a aquellos casos en los que el adjudicatario obtiene la adjudicación mediante el ocultamiento doloso de circunstancias </w:t>
            </w:r>
            <w:r w:rsidRPr="00CF0C02">
              <w:rPr>
                <w:rFonts w:ascii="Verdana" w:eastAsia="Calibri" w:hAnsi="Verdana" w:cs="Arial"/>
                <w:bCs/>
                <w:color w:val="000000" w:themeColor="text1"/>
              </w:rPr>
              <w:t>constitutivas de inhabilidad o incompatibilidad o mediante el suministro de información o documentos falsos, inexactos o incompletos.</w:t>
            </w:r>
            <w:r w:rsidRPr="0033013C">
              <w:t xml:space="preserve"> </w:t>
            </w:r>
            <w:r w:rsidRPr="0033013C">
              <w:rPr>
                <w:rFonts w:ascii="Verdana" w:eastAsia="Calibri" w:hAnsi="Verdana" w:cs="Arial"/>
                <w:bCs/>
                <w:color w:val="000000" w:themeColor="text1"/>
              </w:rPr>
              <w:t>A partir de estos criterios interpretativos, resulta posible sostener que la causal se refiere, en términos generales, a actuaciones fraudulentas encaminadas a obtener indebidamente la adjudicación. En ese contexto, prácticas como la corrupción, la colusión o el soborno podrían, según las circunstancias acreditadas en cada caso y siempre que hubieren incidido de manera determinante en la obtención de la adjudicación, configurar un supuesto de obtención por medios ilegales</w:t>
            </w:r>
            <w:r>
              <w:rPr>
                <w:rFonts w:ascii="Verdana" w:eastAsia="Calibri" w:hAnsi="Verdana" w:cs="Arial"/>
                <w:bCs/>
                <w:color w:val="000000" w:themeColor="text1"/>
              </w:rPr>
              <w:t xml:space="preserve">. </w:t>
            </w:r>
          </w:p>
          <w:p w14:paraId="07AF46ED" w14:textId="77777777" w:rsidR="002439E3" w:rsidRPr="008240FB" w:rsidRDefault="002439E3" w:rsidP="00677F53">
            <w:pPr>
              <w:spacing w:after="120" w:line="276" w:lineRule="auto"/>
              <w:ind w:firstLine="708"/>
              <w:jc w:val="both"/>
              <w:rPr>
                <w:rFonts w:ascii="Verdana" w:eastAsia="Calibri" w:hAnsi="Verdana" w:cs="Arial"/>
                <w:bCs/>
                <w:color w:val="000000" w:themeColor="text1"/>
              </w:rPr>
            </w:pPr>
            <w:r w:rsidRPr="008240FB">
              <w:rPr>
                <w:rFonts w:ascii="Verdana" w:eastAsia="Calibri" w:hAnsi="Verdana" w:cs="Arial"/>
                <w:bCs/>
                <w:color w:val="000000" w:themeColor="text1"/>
              </w:rPr>
              <w:t xml:space="preserve">Por el contrario, cuando la irregularidad proviene exclusivamente de la administración —como la valoración oficiosa de documentos aportados con posterioridad al cierre, </w:t>
            </w:r>
            <w:r w:rsidRPr="00B408AA">
              <w:rPr>
                <w:rFonts w:ascii="Verdana" w:eastAsia="Calibri" w:hAnsi="Verdana" w:cs="Arial"/>
                <w:bCs/>
                <w:color w:val="000000" w:themeColor="text1"/>
              </w:rPr>
              <w:t>sea porque se recibieron por fuera del término preclusivo de subsanación previsto en la Ley 1882 de 2018, sea porque recaen sobre aspectos materialmente no subsanables por incidir en la asignación de puntaje</w:t>
            </w:r>
            <w:r w:rsidRPr="008240FB">
              <w:rPr>
                <w:rFonts w:ascii="Verdana" w:eastAsia="Calibri" w:hAnsi="Verdana" w:cs="Arial"/>
                <w:bCs/>
                <w:color w:val="000000" w:themeColor="text1"/>
              </w:rPr>
              <w:t xml:space="preserve">, con incidencia directa en el orden de elegibilidad del proceso de contratación— el acto puede ser ilegal, pero no se entiende obtenido por medios ilegales, </w:t>
            </w:r>
            <w:r w:rsidRPr="00B408AA">
              <w:rPr>
                <w:rFonts w:ascii="Verdana" w:eastAsia="Calibri" w:hAnsi="Verdana" w:cs="Arial"/>
                <w:bCs/>
                <w:color w:val="000000" w:themeColor="text1"/>
              </w:rPr>
              <w:t>pues se trata de un yerro atribuible a la administración y no de una conducta dolosa del oferente</w:t>
            </w:r>
            <w:r w:rsidRPr="008240FB">
              <w:rPr>
                <w:rFonts w:ascii="Verdana" w:eastAsia="Calibri" w:hAnsi="Verdana" w:cs="Arial"/>
                <w:bCs/>
                <w:color w:val="000000" w:themeColor="text1"/>
              </w:rPr>
              <w:t xml:space="preserve">. En tales supuestos, la irregularidad corresponde a un vicio de legalidad del acto, relacionado con la infracción de normas procedimentales, la falsa motivación o incluso la desviación de poder, pero no configura fraude del particular. Por consiguiente, </w:t>
            </w:r>
            <w:r w:rsidRPr="00B408AA">
              <w:rPr>
                <w:rFonts w:ascii="Verdana" w:eastAsia="Calibri" w:hAnsi="Verdana" w:cs="Arial"/>
                <w:bCs/>
                <w:color w:val="000000" w:themeColor="text1"/>
              </w:rPr>
              <w:t xml:space="preserve">cuando no existe evidencia de dolo, fraude, engaño u ocultamiento atribuible al adjudicatario, </w:t>
            </w:r>
            <w:r w:rsidRPr="00B408AA">
              <w:rPr>
                <w:rFonts w:ascii="Verdana" w:eastAsia="Calibri" w:hAnsi="Verdana" w:cs="Arial"/>
                <w:bCs/>
                <w:color w:val="000000" w:themeColor="text1"/>
              </w:rPr>
              <w:lastRenderedPageBreak/>
              <w:t>la administración carece de habilitación legal para revocar unilateralmente el acto de adjudicación, por no configurarse el supuesto excepcional previsto en el inciso tercero del artículo 9 de la Ley 1150 de 2007, el cual exige que la conducta irregular provenga del beneficiario de la decisión y no de errores, omisiones o actuaciones indebidas imputables a la autoridad contratante.</w:t>
            </w:r>
          </w:p>
          <w:p w14:paraId="6A40B7B4" w14:textId="77777777" w:rsidR="002439E3" w:rsidRDefault="002439E3" w:rsidP="00677F53">
            <w:pPr>
              <w:spacing w:after="120" w:line="276" w:lineRule="auto"/>
              <w:ind w:firstLine="708"/>
              <w:jc w:val="both"/>
              <w:rPr>
                <w:rFonts w:ascii="Verdana" w:eastAsia="Calibri" w:hAnsi="Verdana" w:cs="Arial"/>
                <w:bCs/>
                <w:color w:val="000000" w:themeColor="text1"/>
              </w:rPr>
            </w:pPr>
            <w:r w:rsidRPr="00E148C0">
              <w:rPr>
                <w:rFonts w:ascii="Verdana" w:eastAsia="Calibri" w:hAnsi="Verdana" w:cs="Arial"/>
                <w:bCs/>
                <w:color w:val="000000" w:themeColor="text1"/>
              </w:rPr>
              <w:t>Bajo esta distinción, la administración no está facultada para revocar unilateralmente el acto de adjudicación cuando el vicio deriva de su propia actuación y no existe evidencia de colusión, engaño o manipulación por parte del adjudicatario. Debe precisarse que el fundamento de esta conclusión no es el artículo 97 del CPACA, sino el propio artículo 9 de la Ley 1150 de 2007, que consagra un régimen especial y más estricto: el acto de adjudicación es irrevocable de manera objetiva, sin que dicha irrevocabilidad sea disponible por la voluntad del adjudicatario. Por ello, fuera de las dos causales taxativas —inhabilidad o incompatibilidad sobreviniente y obtención por medios ilegales—, la entidad no puede revocar el acto de adjudicación ni siquiera contando con el consentimiento previo, expreso y escrito del titular, pues no se trata de una garantía renunciable en favor del particular, sino de una regla de orden público contractual dirigida a preservar la seriedad del procedimiento de selección, la buena fe y la confianza legítima (artículo 83 de la Constitución Política). El artículo 97 del CPACA opera únicamente como referente sistemático y como fuente de la regla de remisión al juez cuando la administración estima que su propio acto es contrario al ordenamiento.</w:t>
            </w:r>
            <w:r w:rsidRPr="00D327D7">
              <w:rPr>
                <w:rFonts w:ascii="Verdana" w:eastAsia="Calibri" w:hAnsi="Verdana" w:cs="Arial"/>
                <w:bCs/>
                <w:color w:val="000000" w:themeColor="text1"/>
              </w:rPr>
              <w:t xml:space="preserve"> Esta conclusión no varía cuando el proceso se rige por Documentos Tipo, pues la inobservancia de su inalterabilidad, aun comprometiendo la legalidad del procedimiento, sigue siendo un vicio imputable a la entidad</w:t>
            </w:r>
            <w:r>
              <w:rPr>
                <w:rFonts w:ascii="Verdana" w:eastAsia="Calibri" w:hAnsi="Verdana" w:cs="Arial"/>
                <w:bCs/>
                <w:color w:val="000000" w:themeColor="text1"/>
              </w:rPr>
              <w:t>.</w:t>
            </w:r>
          </w:p>
          <w:p w14:paraId="4FD46AC7" w14:textId="77777777" w:rsidR="002439E3" w:rsidRDefault="002439E3" w:rsidP="00677F53">
            <w:pPr>
              <w:spacing w:after="120" w:line="276" w:lineRule="auto"/>
              <w:ind w:firstLine="708"/>
              <w:jc w:val="both"/>
              <w:rPr>
                <w:rFonts w:ascii="Verdana" w:eastAsia="Calibri" w:hAnsi="Verdana" w:cs="Arial"/>
                <w:bCs/>
                <w:color w:val="000000" w:themeColor="text1"/>
              </w:rPr>
            </w:pPr>
            <w:r w:rsidRPr="00D52877">
              <w:rPr>
                <w:rFonts w:ascii="Verdana" w:eastAsia="Calibri" w:hAnsi="Verdana" w:cs="Arial"/>
                <w:bCs/>
                <w:color w:val="000000" w:themeColor="text1"/>
              </w:rPr>
              <w:t xml:space="preserve">Por último, cuando la entidad advierte que su propio incumplimiento de las reglas del proceso de contratación afectó la transparencia y la objetividad del procedimiento, la vía idónea para corregir el vicio es acudir al medio de control de nulidad y restablecimiento del derecho, mediante el cual puede demandar su propia decisión ante la jurisdicción de lo contencioso administrativo. Para evitar que el contrato se perfeccione o se ejecute mientras se resuelve de fondo la controversia, la entidad debe solicitar la suspensión provisional del acto de adjudicación, medida cautelar que neutraliza temporalmente sus efectos y evita que la ilegalidad se proyecte hacia la celebración o ejecución del contrato. Esta vía está sujeta a un término </w:t>
            </w:r>
            <w:r w:rsidRPr="00D52877">
              <w:rPr>
                <w:rFonts w:ascii="Verdana" w:eastAsia="Calibri" w:hAnsi="Verdana" w:cs="Arial"/>
                <w:bCs/>
                <w:color w:val="000000" w:themeColor="text1"/>
              </w:rPr>
              <w:lastRenderedPageBreak/>
              <w:t>breve de caducidad —treinta (30) días, por tratarse de un acto proferido antes de la celebración del contrato—, lo que impone a la entidad una especial diligencia.</w:t>
            </w:r>
          </w:p>
          <w:p w14:paraId="23112DD6" w14:textId="77777777" w:rsidR="002439E3" w:rsidRPr="00546825" w:rsidRDefault="002439E3" w:rsidP="00677F53">
            <w:pPr>
              <w:spacing w:after="120" w:line="276" w:lineRule="auto"/>
              <w:ind w:firstLine="708"/>
              <w:jc w:val="both"/>
              <w:rPr>
                <w:rFonts w:ascii="Verdana" w:eastAsia="Calibri" w:hAnsi="Verdana" w:cs="Arial"/>
                <w:bCs/>
                <w:color w:val="000000" w:themeColor="text1"/>
              </w:rPr>
            </w:pPr>
            <w:r w:rsidRPr="00465568">
              <w:rPr>
                <w:rFonts w:ascii="Verdana" w:eastAsia="Calibri" w:hAnsi="Verdana" w:cs="Arial"/>
                <w:bCs/>
                <w:color w:val="000000" w:themeColor="text1"/>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tc>
      </w:tr>
    </w:tbl>
    <w:p w14:paraId="69A53801" w14:textId="77777777" w:rsidR="002439E3" w:rsidRPr="00A12CB6" w:rsidRDefault="002439E3" w:rsidP="002439E3">
      <w:pPr>
        <w:spacing w:after="0" w:line="240" w:lineRule="auto"/>
        <w:jc w:val="both"/>
        <w:rPr>
          <w:rFonts w:ascii="Verdana" w:eastAsia="Calibri" w:hAnsi="Verdana" w:cs="Arial"/>
          <w:bCs/>
          <w:color w:val="000000" w:themeColor="text1"/>
        </w:rPr>
      </w:pPr>
    </w:p>
    <w:p w14:paraId="02627175" w14:textId="77777777" w:rsidR="002439E3" w:rsidRPr="0093558D" w:rsidRDefault="002439E3" w:rsidP="002439E3">
      <w:pPr>
        <w:numPr>
          <w:ilvl w:val="0"/>
          <w:numId w:val="16"/>
        </w:numPr>
        <w:tabs>
          <w:tab w:val="left" w:pos="2268"/>
        </w:tabs>
        <w:spacing w:after="0" w:line="240" w:lineRule="auto"/>
        <w:rPr>
          <w:rFonts w:ascii="Verdana" w:eastAsia="Calibri" w:hAnsi="Verdana" w:cs="Times New Roman"/>
          <w:b/>
          <w:bCs/>
          <w:lang w:val="es-ES"/>
        </w:rPr>
      </w:pPr>
      <w:r w:rsidRPr="134495F9">
        <w:rPr>
          <w:rFonts w:ascii="Verdana" w:eastAsia="Calibri" w:hAnsi="Verdana" w:cs="Times New Roman"/>
          <w:b/>
          <w:bCs/>
          <w:lang w:val="es-ES"/>
        </w:rPr>
        <w:t>Razones de la respuesta:</w:t>
      </w:r>
    </w:p>
    <w:p w14:paraId="15A748FC" w14:textId="77777777" w:rsidR="002439E3" w:rsidRPr="00A12CB6" w:rsidRDefault="002439E3" w:rsidP="002439E3">
      <w:pPr>
        <w:spacing w:after="0" w:line="240" w:lineRule="auto"/>
        <w:rPr>
          <w:rFonts w:ascii="Verdana" w:eastAsia="Calibri" w:hAnsi="Verdana" w:cs="Times New Roman"/>
          <w:b/>
          <w:bCs/>
          <w:lang w:val="es-ES"/>
        </w:rPr>
      </w:pPr>
    </w:p>
    <w:p w14:paraId="4DA796DB" w14:textId="77777777" w:rsidR="002439E3" w:rsidRPr="00A12CB6" w:rsidRDefault="002439E3" w:rsidP="002439E3">
      <w:pPr>
        <w:spacing w:after="0" w:line="240" w:lineRule="auto"/>
        <w:jc w:val="both"/>
        <w:rPr>
          <w:rFonts w:ascii="Verdana" w:eastAsia="Calibri" w:hAnsi="Verdana" w:cs="Arial"/>
          <w:lang w:val="es-ES"/>
        </w:rPr>
      </w:pPr>
      <w:r w:rsidRPr="00A12CB6">
        <w:rPr>
          <w:rFonts w:ascii="Verdana" w:eastAsia="Calibri" w:hAnsi="Verdana" w:cs="Arial"/>
          <w:lang w:val="es-ES"/>
        </w:rPr>
        <w:t xml:space="preserve">Lo anterior se sustenta en las siguientes consideraciones: </w:t>
      </w:r>
    </w:p>
    <w:p w14:paraId="31533FF4" w14:textId="77777777" w:rsidR="002439E3" w:rsidRPr="00465568" w:rsidRDefault="002439E3" w:rsidP="002439E3">
      <w:pPr>
        <w:tabs>
          <w:tab w:val="left" w:pos="142"/>
          <w:tab w:val="left" w:pos="284"/>
        </w:tabs>
        <w:spacing w:after="0" w:line="276" w:lineRule="auto"/>
        <w:jc w:val="both"/>
        <w:rPr>
          <w:rFonts w:ascii="Verdana" w:eastAsia="Century Gothic" w:hAnsi="Verdana" w:cs="Century Gothic"/>
          <w:b/>
          <w:bCs/>
        </w:rPr>
      </w:pPr>
    </w:p>
    <w:p w14:paraId="61C938CC" w14:textId="77777777" w:rsidR="002439E3" w:rsidRPr="00465568" w:rsidRDefault="002439E3" w:rsidP="002439E3">
      <w:pPr>
        <w:spacing w:after="120" w:line="276" w:lineRule="auto"/>
        <w:jc w:val="both"/>
        <w:rPr>
          <w:rFonts w:ascii="Verdana" w:eastAsia="Calibri" w:hAnsi="Verdana" w:cs="Arial"/>
          <w:shd w:val="clear" w:color="auto" w:fill="FFFFFF"/>
          <w:lang w:val="es-ES"/>
        </w:rPr>
      </w:pPr>
      <w:r w:rsidRPr="00465568">
        <w:rPr>
          <w:rFonts w:ascii="Verdana" w:eastAsia="Calibri" w:hAnsi="Verdana" w:cs="Arial"/>
        </w:rPr>
        <w:t xml:space="preserve">i. </w:t>
      </w:r>
      <w:r w:rsidRPr="00465568">
        <w:rPr>
          <w:rFonts w:ascii="Verdana" w:eastAsia="Calibri" w:hAnsi="Verdana" w:cs="Arial"/>
          <w:shd w:val="clear" w:color="auto" w:fill="FFFFFF"/>
          <w:lang w:val="es-ES"/>
        </w:rPr>
        <w:t xml:space="preserve">El </w:t>
      </w:r>
      <w:r w:rsidRPr="00465568">
        <w:rPr>
          <w:rFonts w:ascii="Verdana" w:eastAsia="Calibri" w:hAnsi="Verdana" w:cs="Arial"/>
          <w:i/>
          <w:iCs/>
          <w:shd w:val="clear" w:color="auto" w:fill="FFFFFF"/>
          <w:lang w:val="es-ES"/>
        </w:rPr>
        <w:t>acto de adjudicación</w:t>
      </w:r>
      <w:r w:rsidRPr="00465568">
        <w:rPr>
          <w:rFonts w:ascii="Verdana" w:eastAsia="Calibri" w:hAnsi="Verdana" w:cs="Arial"/>
          <w:shd w:val="clear" w:color="auto" w:fill="FFFFFF"/>
          <w:lang w:val="es-ES"/>
        </w:rPr>
        <w:t xml:space="preserve"> es la actuación final de la fase del procedimiento de selección, en la cual se manifiesta la voluntad de la Administración de realizar la contratación con uno o varios oferentes determinados. El acto de adjudicación es una de las formalidades más importantes para la configuración del contrato estatal, en la medida que es a partir de ella que se origina la obligación para las partes de celebrar el contrato objeto del procedimiento de selección</w:t>
      </w:r>
      <w:r w:rsidRPr="00465568">
        <w:rPr>
          <w:rFonts w:ascii="Verdana" w:eastAsia="Calibri" w:hAnsi="Verdana" w:cs="Arial"/>
          <w:shd w:val="clear" w:color="auto" w:fill="FFFFFF"/>
          <w:vertAlign w:val="superscript"/>
          <w:lang w:val="es-ES"/>
        </w:rPr>
        <w:footnoteReference w:id="1"/>
      </w:r>
      <w:r w:rsidRPr="00465568">
        <w:rPr>
          <w:rFonts w:ascii="Verdana" w:eastAsia="Calibri" w:hAnsi="Verdana" w:cs="Arial"/>
          <w:shd w:val="clear" w:color="auto" w:fill="FFFFFF"/>
          <w:lang w:val="es-ES"/>
        </w:rPr>
        <w:t>. Así lo ha anotado la doctrina al señalar que “con la adjudicación del contrato surge una relación jurídica de la cual se deriva el compromiso para las partes de observar las formalidades propias del perfeccionamiento del contrato”</w:t>
      </w:r>
      <w:r w:rsidRPr="00465568">
        <w:rPr>
          <w:rFonts w:ascii="Verdana" w:eastAsia="Calibri" w:hAnsi="Verdana" w:cs="Arial"/>
          <w:shd w:val="clear" w:color="auto" w:fill="FFFFFF"/>
          <w:vertAlign w:val="superscript"/>
          <w:lang w:val="es-ES"/>
        </w:rPr>
        <w:footnoteReference w:id="2"/>
      </w:r>
      <w:r w:rsidRPr="00465568">
        <w:rPr>
          <w:rFonts w:ascii="Verdana" w:eastAsia="Calibri" w:hAnsi="Verdana" w:cs="Arial"/>
          <w:shd w:val="clear" w:color="auto" w:fill="FFFFFF"/>
          <w:lang w:val="es-ES"/>
        </w:rPr>
        <w:t xml:space="preserve">. </w:t>
      </w:r>
    </w:p>
    <w:p w14:paraId="7F94DD0C" w14:textId="77777777" w:rsidR="002439E3" w:rsidRPr="00465568" w:rsidRDefault="002439E3" w:rsidP="002439E3">
      <w:pPr>
        <w:spacing w:after="120" w:line="276" w:lineRule="auto"/>
        <w:ind w:firstLine="709"/>
        <w:jc w:val="both"/>
        <w:rPr>
          <w:rFonts w:ascii="Verdana" w:eastAsia="Arial MT" w:hAnsi="Verdana" w:cs="Arial"/>
          <w:lang w:eastAsia="es-ES" w:bidi="es-ES"/>
        </w:rPr>
      </w:pPr>
      <w:r w:rsidRPr="00465568">
        <w:rPr>
          <w:rFonts w:ascii="Verdana" w:eastAsia="Calibri" w:hAnsi="Verdana" w:cs="Arial"/>
          <w:shd w:val="clear" w:color="auto" w:fill="FFFFFF"/>
          <w:lang w:val="es-ES"/>
        </w:rPr>
        <w:t xml:space="preserve">Por su parte, la Sala de Consulta y Servicio Civil del Consejo de Estado ha señalado que “la adjudicación del contrato estatal ha sido entendida jurisprudencial y doctrinalmente como el acto (administrativo) mediante el cual una entidad pública manifiesta su aceptación a la propuesta u oferta presentada por alguno de los participantes en un proceso de selección, y se obliga a suscribir </w:t>
      </w:r>
      <w:r w:rsidRPr="00465568">
        <w:rPr>
          <w:rFonts w:ascii="Verdana" w:eastAsia="Calibri" w:hAnsi="Verdana" w:cs="Arial"/>
          <w:shd w:val="clear" w:color="auto" w:fill="FFFFFF"/>
          <w:lang w:val="es-ES"/>
        </w:rPr>
        <w:lastRenderedPageBreak/>
        <w:t>con este el contrato proyectado”</w:t>
      </w:r>
      <w:r w:rsidRPr="00465568">
        <w:rPr>
          <w:rFonts w:ascii="Verdana" w:eastAsia="Calibri" w:hAnsi="Verdana" w:cs="Arial"/>
          <w:shd w:val="clear" w:color="auto" w:fill="FFFFFF"/>
          <w:vertAlign w:val="superscript"/>
          <w:lang w:val="es-ES"/>
        </w:rPr>
        <w:footnoteReference w:id="3"/>
      </w:r>
      <w:r w:rsidRPr="00465568">
        <w:rPr>
          <w:rFonts w:ascii="Verdana" w:eastAsia="Calibri" w:hAnsi="Verdana" w:cs="Arial"/>
          <w:shd w:val="clear" w:color="auto" w:fill="FFFFFF"/>
          <w:lang w:val="es-ES"/>
        </w:rPr>
        <w:t xml:space="preserve">. </w:t>
      </w:r>
      <w:r w:rsidRPr="00465568">
        <w:rPr>
          <w:rFonts w:ascii="Verdana" w:eastAsia="Arial MT" w:hAnsi="Verdana" w:cs="Arial"/>
          <w:lang w:val="es-ES" w:eastAsia="es-ES" w:bidi="es-ES"/>
        </w:rPr>
        <w:t>La referida Corporación ha señalado que</w:t>
      </w:r>
      <w:r w:rsidRPr="00465568">
        <w:rPr>
          <w:rFonts w:ascii="Verdana" w:eastAsia="Arial MT" w:hAnsi="Verdana" w:cs="Arial"/>
          <w:lang w:eastAsia="es-ES" w:bidi="es-ES"/>
        </w:rPr>
        <w:t xml:space="preserve"> la adjudicación del contrato estatal se asemeja a la aceptación de la oferta de los contratos privados, con la diferencia de que aquellos, en virtud de los principios de la autonomía de la voluntad y de la consensualidad, la sola aceptación oportuna perfecciona el contrato suscrito, como regla general, salvo que el contrato privado haga parte de los denominados solemnes y reales, y es fuente de derechos y obligaciones que se hubiesen pactado derivado del mismo. </w:t>
      </w:r>
    </w:p>
    <w:p w14:paraId="0CF107A1" w14:textId="77777777" w:rsidR="002439E3" w:rsidRPr="00465568" w:rsidRDefault="002439E3" w:rsidP="002439E3">
      <w:pPr>
        <w:spacing w:after="120" w:line="276" w:lineRule="auto"/>
        <w:ind w:firstLine="709"/>
        <w:jc w:val="both"/>
        <w:rPr>
          <w:rFonts w:ascii="Verdana" w:eastAsia="Arial MT" w:hAnsi="Verdana" w:cs="Arial"/>
          <w:lang w:eastAsia="es-ES" w:bidi="es-ES"/>
        </w:rPr>
      </w:pPr>
      <w:r w:rsidRPr="00465568">
        <w:rPr>
          <w:rFonts w:ascii="Verdana" w:eastAsia="Arial MT" w:hAnsi="Verdana" w:cs="Arial"/>
          <w:lang w:eastAsia="es-ES" w:bidi="es-ES"/>
        </w:rPr>
        <w:t>Lo anterior, a diferencia de los contratos estatales, dado que, en virtud del artículo 41 de la Ley 80 de 1993, su carácter es solemne, por cuanto no se perfeccionan con la notificación del acto de adjudicación, de manera que su perfeccionamiento solo se da en la medida en que las partes suscriban el documento que contiene las respectivas cláusulas o estipulaciones, con algunas pocas excepciones</w:t>
      </w:r>
      <w:r w:rsidRPr="00465568">
        <w:rPr>
          <w:rFonts w:ascii="Verdana" w:eastAsia="Arial MT" w:hAnsi="Verdana" w:cs="Arial"/>
          <w:vertAlign w:val="superscript"/>
          <w:lang w:eastAsia="es-ES" w:bidi="es-ES"/>
        </w:rPr>
        <w:footnoteReference w:id="4"/>
      </w:r>
      <w:r w:rsidRPr="00465568">
        <w:rPr>
          <w:rFonts w:ascii="Verdana" w:eastAsia="Arial MT" w:hAnsi="Verdana" w:cs="Arial"/>
          <w:lang w:eastAsia="es-ES" w:bidi="es-ES"/>
        </w:rPr>
        <w:t>. Esto resulta importante porque el acto de adjudicación no produce en sí mismo las obligaciones y derechos que se desprenden del contrato, pero sí da origen a otras obligaciones y derechos que son recíprocos entre las partes, como por ejemplo, el derecho a suscribir el contrato proyectado, en el plazo acordado y con las previsiones estipuladas en tal documento, en sus modificaciones, adendas, anexos y en la misma propuesta que fue aceptada, siempre que aquella no contradiga el contenido de los documentos del proceso.</w:t>
      </w:r>
    </w:p>
    <w:p w14:paraId="15BE5F1E" w14:textId="77777777" w:rsidR="002439E3" w:rsidRPr="00465568" w:rsidRDefault="002439E3" w:rsidP="002439E3">
      <w:pPr>
        <w:spacing w:after="120" w:line="276" w:lineRule="auto"/>
        <w:jc w:val="both"/>
        <w:rPr>
          <w:rFonts w:ascii="Verdana" w:eastAsia="Arial MT" w:hAnsi="Verdana" w:cs="Arial"/>
          <w:lang w:eastAsia="es-ES" w:bidi="es-ES"/>
        </w:rPr>
      </w:pPr>
      <w:r w:rsidRPr="00465568">
        <w:rPr>
          <w:rFonts w:ascii="Verdana" w:eastAsia="Arial MT" w:hAnsi="Verdana" w:cs="Arial"/>
          <w:lang w:eastAsia="es-ES" w:bidi="es-ES"/>
        </w:rPr>
        <w:tab/>
        <w:t xml:space="preserve">Adicionalmente, tanto la jurisprudencia del Consejo de Estado como la doctrina han distinguido tres (3) características del acto de adjudicación del contrato estatal, que pueden sintetizarse así: i) es un acto administrativo de carácter definitivo y de alcance particular; </w:t>
      </w:r>
      <w:proofErr w:type="spellStart"/>
      <w:r w:rsidRPr="00465568">
        <w:rPr>
          <w:rFonts w:ascii="Verdana" w:eastAsia="Arial MT" w:hAnsi="Verdana" w:cs="Arial"/>
          <w:lang w:eastAsia="es-ES" w:bidi="es-ES"/>
        </w:rPr>
        <w:t>ii</w:t>
      </w:r>
      <w:proofErr w:type="spellEnd"/>
      <w:r w:rsidRPr="00465568">
        <w:rPr>
          <w:rFonts w:ascii="Verdana" w:eastAsia="Arial MT" w:hAnsi="Verdana" w:cs="Arial"/>
          <w:lang w:eastAsia="es-ES" w:bidi="es-ES"/>
        </w:rPr>
        <w:t xml:space="preserve">) es irrevocable, por regla general, y </w:t>
      </w:r>
      <w:proofErr w:type="spellStart"/>
      <w:r w:rsidRPr="00465568">
        <w:rPr>
          <w:rFonts w:ascii="Verdana" w:eastAsia="Arial MT" w:hAnsi="Verdana" w:cs="Arial"/>
          <w:lang w:eastAsia="es-ES" w:bidi="es-ES"/>
        </w:rPr>
        <w:t>iii</w:t>
      </w:r>
      <w:proofErr w:type="spellEnd"/>
      <w:r w:rsidRPr="00465568">
        <w:rPr>
          <w:rFonts w:ascii="Verdana" w:eastAsia="Arial MT" w:hAnsi="Verdana" w:cs="Arial"/>
          <w:lang w:eastAsia="es-ES" w:bidi="es-ES"/>
        </w:rPr>
        <w:t>) es obligatorio, tanto para la entidad contratante como para el adjudicatario.</w:t>
      </w:r>
    </w:p>
    <w:p w14:paraId="4353BB25" w14:textId="77777777" w:rsidR="002439E3" w:rsidRPr="00465568" w:rsidRDefault="002439E3" w:rsidP="002439E3">
      <w:pPr>
        <w:spacing w:after="120" w:line="276" w:lineRule="auto"/>
        <w:jc w:val="both"/>
        <w:rPr>
          <w:rFonts w:ascii="Verdana" w:eastAsia="Arial MT" w:hAnsi="Verdana" w:cs="Arial"/>
          <w:lang w:eastAsia="es-ES" w:bidi="es-ES"/>
        </w:rPr>
      </w:pPr>
      <w:r w:rsidRPr="00465568">
        <w:rPr>
          <w:rFonts w:ascii="Verdana" w:eastAsia="Arial MT" w:hAnsi="Verdana" w:cs="Arial"/>
          <w:lang w:eastAsia="es-ES" w:bidi="es-ES"/>
        </w:rPr>
        <w:tab/>
        <w:t xml:space="preserve">De lo anterior se coligen varios elementos: i) al ser un acto administrativo, aquel debe ser motivado en forma razonada y suficiente y debe producirse con las formalidades propias de los actos jurídicos; </w:t>
      </w:r>
      <w:proofErr w:type="spellStart"/>
      <w:r w:rsidRPr="00465568">
        <w:rPr>
          <w:rFonts w:ascii="Verdana" w:eastAsia="Arial MT" w:hAnsi="Verdana" w:cs="Arial"/>
          <w:lang w:eastAsia="es-ES" w:bidi="es-ES"/>
        </w:rPr>
        <w:t>ii</w:t>
      </w:r>
      <w:proofErr w:type="spellEnd"/>
      <w:r w:rsidRPr="00465568">
        <w:rPr>
          <w:rFonts w:ascii="Verdana" w:eastAsia="Arial MT" w:hAnsi="Verdana" w:cs="Arial"/>
          <w:lang w:eastAsia="es-ES" w:bidi="es-ES"/>
        </w:rPr>
        <w:t xml:space="preserve">) al ser un acto administrativo </w:t>
      </w:r>
      <w:r w:rsidRPr="00465568">
        <w:rPr>
          <w:rFonts w:ascii="Verdana" w:eastAsia="Arial MT" w:hAnsi="Verdana" w:cs="Arial"/>
          <w:lang w:eastAsia="es-ES" w:bidi="es-ES"/>
        </w:rPr>
        <w:lastRenderedPageBreak/>
        <w:t xml:space="preserve">de carácter definitivo, significa esto que termina el proceso de selección con su producción y se decide de manera definitiva sobre la futura celebración del contrato estatal y, </w:t>
      </w:r>
      <w:proofErr w:type="spellStart"/>
      <w:r w:rsidRPr="00465568">
        <w:rPr>
          <w:rFonts w:ascii="Verdana" w:eastAsia="Arial MT" w:hAnsi="Verdana" w:cs="Arial"/>
          <w:lang w:eastAsia="es-ES" w:bidi="es-ES"/>
        </w:rPr>
        <w:t>iii</w:t>
      </w:r>
      <w:proofErr w:type="spellEnd"/>
      <w:r w:rsidRPr="00465568">
        <w:rPr>
          <w:rFonts w:ascii="Verdana" w:eastAsia="Arial MT" w:hAnsi="Verdana" w:cs="Arial"/>
          <w:lang w:eastAsia="es-ES" w:bidi="es-ES"/>
        </w:rPr>
        <w:t>) al ser un acto administrativo de alcance particular, la administración está obligada a notificarlo al adjudicatario y comunicarlo a los demás oferentes.</w:t>
      </w:r>
    </w:p>
    <w:p w14:paraId="7E3F4B96" w14:textId="77777777" w:rsidR="002439E3" w:rsidRPr="00465568" w:rsidRDefault="002439E3" w:rsidP="002439E3">
      <w:pPr>
        <w:spacing w:after="120" w:line="276" w:lineRule="auto"/>
        <w:ind w:firstLine="709"/>
        <w:jc w:val="both"/>
        <w:rPr>
          <w:rFonts w:ascii="Verdana" w:eastAsia="Calibri" w:hAnsi="Verdana" w:cs="Arial"/>
          <w:shd w:val="clear" w:color="auto" w:fill="FFFFFF"/>
          <w:lang w:val="es-ES"/>
        </w:rPr>
      </w:pPr>
      <w:r w:rsidRPr="00465568">
        <w:rPr>
          <w:rFonts w:ascii="Verdana" w:eastAsia="Calibri" w:hAnsi="Verdana" w:cs="Arial"/>
          <w:shd w:val="clear" w:color="auto" w:fill="FFFFFF"/>
          <w:lang w:val="es-ES"/>
        </w:rPr>
        <w:t>Conforme a lo expuesto, la adjudicación es una de las formalidades principales dentro del recorrido de formación del contrato del Estado, ya que su existencia genera de manera inmediata una relación jurídica que compromete a las partes a celebrar el respectivo contrato. Esto es, firmar un documento en el que conste el acuerdo sobre el objeto y la contraprestación, así como las respectivas previsiones para el correcto desarrollo del objeto contractual</w:t>
      </w:r>
      <w:r w:rsidRPr="00465568">
        <w:rPr>
          <w:rFonts w:ascii="Verdana" w:eastAsia="Calibri" w:hAnsi="Verdana" w:cs="Arial"/>
          <w:shd w:val="clear" w:color="auto" w:fill="FFFFFF"/>
          <w:vertAlign w:val="superscript"/>
          <w:lang w:val="es-ES"/>
        </w:rPr>
        <w:footnoteReference w:id="5"/>
      </w:r>
      <w:r w:rsidRPr="00465568">
        <w:rPr>
          <w:rFonts w:ascii="Verdana" w:eastAsia="Calibri" w:hAnsi="Verdana" w:cs="Arial"/>
          <w:shd w:val="clear" w:color="auto" w:fill="FFFFFF"/>
          <w:lang w:val="es-ES"/>
        </w:rPr>
        <w:t xml:space="preserve">. Así se desprende del artículo 9° de la Ley 1150 de 2007 cuando expresa que </w:t>
      </w:r>
      <w:r w:rsidRPr="00465568">
        <w:rPr>
          <w:rFonts w:ascii="Verdana" w:eastAsia="Calibri" w:hAnsi="Verdana" w:cs="Arial"/>
          <w:i/>
          <w:iCs/>
          <w:shd w:val="clear" w:color="auto" w:fill="FFFFFF"/>
          <w:lang w:val="es-ES"/>
        </w:rPr>
        <w:t>“</w:t>
      </w:r>
      <w:r w:rsidRPr="00465568">
        <w:rPr>
          <w:rFonts w:ascii="Verdana" w:eastAsia="Calibri" w:hAnsi="Verdana" w:cs="Arial"/>
          <w:shd w:val="clear" w:color="auto" w:fill="FFFFFF"/>
          <w:lang w:val="es-ES"/>
        </w:rPr>
        <w:t>el acto de adjudicación es irrevocable y obliga a la entidad y al adjudicatario”. Se concluye entonces que, es una obligación reciproca, esto es, oponible tanto a la Administración como al adjudicatario.</w:t>
      </w:r>
    </w:p>
    <w:p w14:paraId="5D43AED4" w14:textId="77777777" w:rsidR="002439E3" w:rsidRPr="00465568" w:rsidRDefault="002439E3" w:rsidP="002439E3">
      <w:pPr>
        <w:spacing w:after="0" w:line="276" w:lineRule="auto"/>
        <w:jc w:val="both"/>
        <w:rPr>
          <w:rFonts w:ascii="Verdana" w:eastAsia="Arial MT" w:hAnsi="Verdana" w:cs="Arial"/>
          <w:lang w:eastAsia="es-ES" w:bidi="es-ES"/>
        </w:rPr>
      </w:pPr>
      <w:r w:rsidRPr="00465568">
        <w:rPr>
          <w:rFonts w:ascii="Verdana" w:eastAsia="Arial MT" w:hAnsi="Verdana" w:cs="Arial"/>
          <w:lang w:eastAsia="es-ES" w:bidi="es-ES"/>
        </w:rPr>
        <w:tab/>
        <w:t xml:space="preserve">En relación con la obligatoriedad y la irrevocabilidad del acto de adjudicación del contrato estatal, vale la pena mencionar, en primer lugar, que el numeral 11 del artículo 30 de la Ley 80 de 1993 –referente a la “estructura de los procedimientos de selección”– preceptuaba originalmente lo siguiente: </w:t>
      </w:r>
    </w:p>
    <w:p w14:paraId="0896E63E" w14:textId="77777777" w:rsidR="002439E3" w:rsidRPr="00465568" w:rsidRDefault="002439E3" w:rsidP="002439E3">
      <w:pPr>
        <w:spacing w:after="0" w:line="276" w:lineRule="auto"/>
        <w:jc w:val="both"/>
        <w:rPr>
          <w:rFonts w:ascii="Verdana" w:eastAsia="Arial MT" w:hAnsi="Verdana" w:cs="Arial"/>
          <w:lang w:eastAsia="es-ES" w:bidi="es-ES"/>
        </w:rPr>
      </w:pPr>
    </w:p>
    <w:p w14:paraId="200B893B" w14:textId="77777777" w:rsidR="002439E3" w:rsidRPr="00465568" w:rsidRDefault="002439E3" w:rsidP="002439E3">
      <w:pPr>
        <w:spacing w:after="0" w:line="240" w:lineRule="auto"/>
        <w:ind w:left="709" w:right="709"/>
        <w:jc w:val="both"/>
        <w:rPr>
          <w:rFonts w:ascii="Verdana" w:eastAsia="Arial MT" w:hAnsi="Verdana" w:cs="Arial"/>
          <w:sz w:val="20"/>
          <w:szCs w:val="20"/>
          <w:lang w:eastAsia="es-ES" w:bidi="es-ES"/>
        </w:rPr>
      </w:pPr>
      <w:r w:rsidRPr="00465568">
        <w:rPr>
          <w:rFonts w:ascii="Verdana" w:eastAsia="Arial MT" w:hAnsi="Verdana" w:cs="Arial"/>
          <w:sz w:val="20"/>
          <w:szCs w:val="20"/>
          <w:lang w:eastAsia="es-ES" w:bidi="es-ES"/>
        </w:rPr>
        <w:t xml:space="preserve">“11. El acto de adjudicación se hará mediante resolución motivada que se notificará personalmente al proponente favorecido en la forma y términos establecidos para los actos administrativos y, en el evento de no haberse realizado en audiencia pública, se comunicará a los no favorecidos dentro de los cinco (5) días calendario siguientes. </w:t>
      </w:r>
    </w:p>
    <w:p w14:paraId="759C5274" w14:textId="77777777" w:rsidR="002439E3" w:rsidRPr="00465568" w:rsidRDefault="002439E3" w:rsidP="002439E3">
      <w:pPr>
        <w:spacing w:after="0" w:line="240" w:lineRule="auto"/>
        <w:ind w:left="709" w:right="709"/>
        <w:jc w:val="both"/>
        <w:rPr>
          <w:rFonts w:ascii="Verdana" w:eastAsia="Arial MT" w:hAnsi="Verdana" w:cs="Arial"/>
          <w:sz w:val="20"/>
          <w:szCs w:val="20"/>
          <w:lang w:eastAsia="es-ES" w:bidi="es-ES"/>
        </w:rPr>
      </w:pPr>
    </w:p>
    <w:p w14:paraId="09142AEC" w14:textId="77777777" w:rsidR="002439E3" w:rsidRPr="00465568" w:rsidRDefault="002439E3" w:rsidP="002439E3">
      <w:pPr>
        <w:spacing w:after="0" w:line="240" w:lineRule="auto"/>
        <w:ind w:left="709" w:right="709"/>
        <w:jc w:val="both"/>
        <w:rPr>
          <w:rFonts w:ascii="Verdana" w:eastAsia="Arial MT" w:hAnsi="Verdana" w:cs="Arial"/>
          <w:sz w:val="20"/>
          <w:szCs w:val="20"/>
          <w:lang w:eastAsia="es-ES" w:bidi="es-ES"/>
        </w:rPr>
      </w:pPr>
      <w:r w:rsidRPr="00465568">
        <w:rPr>
          <w:rFonts w:ascii="Verdana" w:eastAsia="Arial MT" w:hAnsi="Verdana" w:cs="Arial"/>
          <w:i/>
          <w:sz w:val="20"/>
          <w:szCs w:val="20"/>
          <w:lang w:eastAsia="es-ES" w:bidi="es-ES"/>
        </w:rPr>
        <w:t>El acto de adjudicación es irrevocable y obliga a la entidad y al adjudicatario</w:t>
      </w:r>
      <w:r w:rsidRPr="00465568">
        <w:rPr>
          <w:rFonts w:ascii="Verdana" w:eastAsia="Arial MT" w:hAnsi="Verdana" w:cs="Arial"/>
          <w:sz w:val="20"/>
          <w:szCs w:val="20"/>
          <w:lang w:eastAsia="es-ES" w:bidi="es-ES"/>
        </w:rPr>
        <w:t xml:space="preserve">”. (Énfasis fuera del texto) </w:t>
      </w:r>
    </w:p>
    <w:p w14:paraId="65BF6019" w14:textId="77777777" w:rsidR="002439E3" w:rsidRPr="00465568" w:rsidRDefault="002439E3" w:rsidP="002439E3">
      <w:pPr>
        <w:spacing w:after="0" w:line="276" w:lineRule="auto"/>
        <w:jc w:val="both"/>
        <w:rPr>
          <w:rFonts w:ascii="Verdana" w:eastAsia="Arial MT" w:hAnsi="Verdana" w:cs="Arial"/>
          <w:lang w:eastAsia="es-ES" w:bidi="es-ES"/>
        </w:rPr>
      </w:pPr>
    </w:p>
    <w:p w14:paraId="79D67A0B" w14:textId="77777777" w:rsidR="002439E3" w:rsidRPr="00465568" w:rsidRDefault="002439E3" w:rsidP="002439E3">
      <w:pPr>
        <w:spacing w:after="0" w:line="276" w:lineRule="auto"/>
        <w:ind w:firstLine="708"/>
        <w:jc w:val="both"/>
        <w:rPr>
          <w:rFonts w:ascii="Verdana" w:eastAsia="Arial MT" w:hAnsi="Verdana" w:cs="Arial"/>
          <w:lang w:eastAsia="es-ES" w:bidi="es-ES"/>
        </w:rPr>
      </w:pPr>
      <w:r w:rsidRPr="00465568">
        <w:rPr>
          <w:rFonts w:ascii="Verdana" w:eastAsia="Arial MT" w:hAnsi="Verdana" w:cs="Arial"/>
          <w:lang w:eastAsia="es-ES" w:bidi="es-ES"/>
        </w:rPr>
        <w:t xml:space="preserve">Aunque el numeral citado fue derogado expresamente por la Ley 1150 de 2007 –artículo 32–, la misma norma o regla de derecho contenida allí fue reproducida, con algunas modificaciones importantes, por el artículo 9º de la Ley 1150, que dispone, en su inciso tercero, lo siguiente: </w:t>
      </w:r>
    </w:p>
    <w:p w14:paraId="3414E578" w14:textId="77777777" w:rsidR="002439E3" w:rsidRPr="00465568" w:rsidRDefault="002439E3" w:rsidP="002439E3">
      <w:pPr>
        <w:spacing w:after="0" w:line="276" w:lineRule="auto"/>
        <w:jc w:val="both"/>
        <w:rPr>
          <w:rFonts w:ascii="Verdana" w:eastAsia="Arial MT" w:hAnsi="Verdana" w:cs="Arial"/>
          <w:sz w:val="20"/>
          <w:szCs w:val="20"/>
          <w:lang w:eastAsia="es-ES" w:bidi="es-ES"/>
        </w:rPr>
      </w:pPr>
    </w:p>
    <w:p w14:paraId="20B3EE9C" w14:textId="77777777" w:rsidR="002439E3" w:rsidRPr="00465568" w:rsidRDefault="002439E3" w:rsidP="002439E3">
      <w:pPr>
        <w:spacing w:after="0" w:line="240" w:lineRule="auto"/>
        <w:ind w:left="709" w:right="709"/>
        <w:jc w:val="both"/>
        <w:rPr>
          <w:rFonts w:ascii="Verdana" w:eastAsia="Arial MT" w:hAnsi="Verdana" w:cs="Arial"/>
          <w:sz w:val="20"/>
          <w:szCs w:val="20"/>
          <w:lang w:eastAsia="es-ES" w:bidi="es-ES"/>
        </w:rPr>
      </w:pPr>
      <w:r w:rsidRPr="00465568">
        <w:rPr>
          <w:rFonts w:ascii="Verdana" w:eastAsia="Arial MT" w:hAnsi="Verdana" w:cs="Arial"/>
          <w:sz w:val="20"/>
          <w:szCs w:val="20"/>
          <w:lang w:eastAsia="es-ES" w:bidi="es-ES"/>
        </w:rPr>
        <w:lastRenderedPageBreak/>
        <w:t xml:space="preserve">“Artículo 9o. De la adjudicación. […] </w:t>
      </w:r>
      <w:r w:rsidRPr="00465568">
        <w:rPr>
          <w:rFonts w:ascii="Verdana" w:eastAsia="Arial MT" w:hAnsi="Verdana" w:cs="Arial"/>
          <w:i/>
          <w:sz w:val="20"/>
          <w:szCs w:val="20"/>
          <w:lang w:eastAsia="es-ES" w:bidi="es-ES"/>
        </w:rPr>
        <w:t>El acto de adjudicación es irrevocable y obliga a la entidad y al adjudicatario.</w:t>
      </w:r>
      <w:r w:rsidRPr="00465568">
        <w:rPr>
          <w:rFonts w:ascii="Verdana" w:eastAsia="Arial MT" w:hAnsi="Verdana" w:cs="Arial"/>
          <w:sz w:val="20"/>
          <w:szCs w:val="20"/>
          <w:lang w:eastAsia="es-ES" w:bidi="es-ES"/>
        </w:rPr>
        <w:t xml:space="preserve"> No </w:t>
      </w:r>
      <w:proofErr w:type="gramStart"/>
      <w:r w:rsidRPr="00465568">
        <w:rPr>
          <w:rFonts w:ascii="Verdana" w:eastAsia="Arial MT" w:hAnsi="Verdana" w:cs="Arial"/>
          <w:sz w:val="20"/>
          <w:szCs w:val="20"/>
          <w:lang w:eastAsia="es-ES" w:bidi="es-ES"/>
        </w:rPr>
        <w:t>obstante</w:t>
      </w:r>
      <w:proofErr w:type="gramEnd"/>
      <w:r w:rsidRPr="00465568">
        <w:rPr>
          <w:rFonts w:ascii="Verdana" w:eastAsia="Arial MT" w:hAnsi="Verdana" w:cs="Arial"/>
          <w:sz w:val="20"/>
          <w:szCs w:val="20"/>
          <w:lang w:eastAsia="es-ES" w:bidi="es-ES"/>
        </w:rPr>
        <w:t xml:space="preserve"> lo anterior, si dentro del plazo comprendido entre la adjudicación del contrato y la suscripción </w:t>
      </w:r>
      <w:proofErr w:type="gramStart"/>
      <w:r w:rsidRPr="00465568">
        <w:rPr>
          <w:rFonts w:ascii="Verdana" w:eastAsia="Arial MT" w:hAnsi="Verdana" w:cs="Arial"/>
          <w:sz w:val="20"/>
          <w:szCs w:val="20"/>
          <w:lang w:eastAsia="es-ES" w:bidi="es-ES"/>
        </w:rPr>
        <w:t>del mismo</w:t>
      </w:r>
      <w:proofErr w:type="gramEnd"/>
      <w:r w:rsidRPr="00465568">
        <w:rPr>
          <w:rFonts w:ascii="Verdana" w:eastAsia="Arial MT" w:hAnsi="Verdana" w:cs="Arial"/>
          <w:sz w:val="20"/>
          <w:szCs w:val="20"/>
          <w:lang w:eastAsia="es-ES" w:bidi="es-ES"/>
        </w:rPr>
        <w:t>, sobreviene una inhabilidad o incompatibilidad o si se demuestra que el acto se obtuvo por medios ilegales, este podrá ser revocado, caso en el cual, la entidad podrá aplicar lo previsto en el inciso final del numeral 12 del artículo 30 de la Ley 80 de 1993. […]”. (Énfasis fuera del texto)</w:t>
      </w:r>
    </w:p>
    <w:p w14:paraId="31D58B1F" w14:textId="77777777" w:rsidR="002439E3" w:rsidRPr="00465568" w:rsidRDefault="002439E3" w:rsidP="002439E3">
      <w:pPr>
        <w:spacing w:after="0" w:line="276" w:lineRule="auto"/>
        <w:ind w:left="709" w:right="709"/>
        <w:jc w:val="both"/>
        <w:rPr>
          <w:rFonts w:ascii="Verdana" w:eastAsia="Arial MT" w:hAnsi="Verdana" w:cs="Arial"/>
          <w:lang w:eastAsia="es-ES" w:bidi="es-ES"/>
        </w:rPr>
      </w:pPr>
    </w:p>
    <w:p w14:paraId="684703CB" w14:textId="77777777" w:rsidR="002439E3" w:rsidRPr="00465568" w:rsidRDefault="002439E3" w:rsidP="002439E3">
      <w:pPr>
        <w:spacing w:after="0" w:line="276" w:lineRule="auto"/>
        <w:ind w:firstLine="708"/>
        <w:jc w:val="both"/>
        <w:rPr>
          <w:rFonts w:ascii="Verdana" w:eastAsia="Arial MT" w:hAnsi="Verdana" w:cs="Arial"/>
          <w:lang w:eastAsia="es-ES" w:bidi="es-ES"/>
        </w:rPr>
      </w:pPr>
      <w:r w:rsidRPr="00465568">
        <w:rPr>
          <w:rFonts w:ascii="Verdana" w:eastAsia="Arial MT" w:hAnsi="Verdana" w:cs="Arial"/>
          <w:lang w:eastAsia="es-ES" w:bidi="es-ES"/>
        </w:rPr>
        <w:t xml:space="preserve">Sobre la obligatoriedad y la irrevocabilidad del acto de adjudicación la jurisprudencia del Consejo de Estado se ha manifestado en repetidas ocasiones. Así, por ejemplo, en Sentencia del 13 de junio de 2011, la Sección Tercera sostuvo: </w:t>
      </w:r>
    </w:p>
    <w:p w14:paraId="0769734B" w14:textId="77777777" w:rsidR="002439E3" w:rsidRPr="00465568" w:rsidRDefault="002439E3" w:rsidP="002439E3">
      <w:pPr>
        <w:spacing w:after="0" w:line="276" w:lineRule="auto"/>
        <w:ind w:left="709" w:right="709" w:firstLine="708"/>
        <w:jc w:val="both"/>
        <w:rPr>
          <w:rFonts w:ascii="Verdana" w:eastAsia="Arial MT" w:hAnsi="Verdana" w:cs="Arial"/>
          <w:lang w:eastAsia="es-ES" w:bidi="es-ES"/>
        </w:rPr>
      </w:pPr>
    </w:p>
    <w:p w14:paraId="7378B0FA" w14:textId="77777777" w:rsidR="002439E3" w:rsidRPr="00465568" w:rsidRDefault="002439E3" w:rsidP="002439E3">
      <w:pPr>
        <w:spacing w:after="0" w:line="240" w:lineRule="auto"/>
        <w:ind w:left="709" w:right="709"/>
        <w:jc w:val="both"/>
        <w:rPr>
          <w:rFonts w:ascii="Verdana" w:eastAsia="Arial MT" w:hAnsi="Verdana" w:cs="Arial"/>
          <w:sz w:val="20"/>
          <w:szCs w:val="20"/>
          <w:lang w:eastAsia="es-ES" w:bidi="es-ES"/>
        </w:rPr>
      </w:pPr>
      <w:r w:rsidRPr="00465568">
        <w:rPr>
          <w:rFonts w:ascii="Verdana" w:eastAsia="Arial MT" w:hAnsi="Verdana" w:cs="Arial"/>
          <w:sz w:val="20"/>
          <w:szCs w:val="20"/>
          <w:lang w:eastAsia="es-ES" w:bidi="es-ES"/>
        </w:rPr>
        <w:t xml:space="preserve">“[…] Sin embargo, conviene precisar que el acto de adjudicación, en tanto por él se acepta la oferta del oferente favorecido y se concluye el procedimiento licitatorio, en el derecho </w:t>
      </w:r>
      <w:proofErr w:type="gramStart"/>
      <w:r w:rsidRPr="00465568">
        <w:rPr>
          <w:rFonts w:ascii="Verdana" w:eastAsia="Arial MT" w:hAnsi="Verdana" w:cs="Arial"/>
          <w:sz w:val="20"/>
          <w:szCs w:val="20"/>
          <w:lang w:eastAsia="es-ES" w:bidi="es-ES"/>
        </w:rPr>
        <w:t>nacional</w:t>
      </w:r>
      <w:proofErr w:type="gramEnd"/>
      <w:r w:rsidRPr="00465568">
        <w:rPr>
          <w:rFonts w:ascii="Verdana" w:eastAsia="Arial MT" w:hAnsi="Verdana" w:cs="Arial"/>
          <w:sz w:val="20"/>
          <w:szCs w:val="20"/>
          <w:lang w:eastAsia="es-ES" w:bidi="es-ES"/>
        </w:rPr>
        <w:t xml:space="preserve"> aunque no perfecciona el vínculo jurídico en tratándose del contrato estatal, es presupuesto </w:t>
      </w:r>
      <w:r w:rsidRPr="00465568">
        <w:rPr>
          <w:rFonts w:ascii="Verdana" w:eastAsia="Arial MT" w:hAnsi="Verdana" w:cs="Arial"/>
          <w:i/>
          <w:sz w:val="20"/>
          <w:szCs w:val="20"/>
          <w:lang w:eastAsia="es-ES" w:bidi="es-ES"/>
        </w:rPr>
        <w:t>sine qua non</w:t>
      </w:r>
      <w:r w:rsidRPr="00465568">
        <w:rPr>
          <w:rFonts w:ascii="Verdana" w:eastAsia="Arial MT" w:hAnsi="Verdana" w:cs="Arial"/>
          <w:sz w:val="20"/>
          <w:szCs w:val="20"/>
          <w:lang w:eastAsia="es-ES" w:bidi="es-ES"/>
        </w:rPr>
        <w:t xml:space="preserve"> para la ulterior celebración del respectivo contrato, como que crea la obligación tanto para la administración como para el adjudicatario de elevar a escrito el acuerdo de voluntades. </w:t>
      </w:r>
    </w:p>
    <w:p w14:paraId="782A5184" w14:textId="77777777" w:rsidR="002439E3" w:rsidRPr="00465568" w:rsidRDefault="002439E3" w:rsidP="002439E3">
      <w:pPr>
        <w:spacing w:after="0" w:line="240" w:lineRule="auto"/>
        <w:ind w:left="709" w:right="709"/>
        <w:jc w:val="both"/>
        <w:rPr>
          <w:rFonts w:ascii="Verdana" w:eastAsia="Arial MT" w:hAnsi="Verdana" w:cs="Arial"/>
          <w:sz w:val="20"/>
          <w:szCs w:val="20"/>
          <w:lang w:eastAsia="es-ES" w:bidi="es-ES"/>
        </w:rPr>
      </w:pPr>
    </w:p>
    <w:p w14:paraId="0A8627F9" w14:textId="77777777" w:rsidR="002439E3" w:rsidRPr="00465568" w:rsidRDefault="002439E3" w:rsidP="002439E3">
      <w:pPr>
        <w:spacing w:after="0" w:line="240" w:lineRule="auto"/>
        <w:ind w:left="709" w:right="709"/>
        <w:jc w:val="both"/>
        <w:rPr>
          <w:rFonts w:ascii="Verdana" w:eastAsia="Arial MT" w:hAnsi="Verdana" w:cs="Arial"/>
          <w:sz w:val="20"/>
          <w:szCs w:val="20"/>
          <w:lang w:eastAsia="es-ES" w:bidi="es-ES"/>
        </w:rPr>
      </w:pPr>
      <w:r w:rsidRPr="00465568">
        <w:rPr>
          <w:rFonts w:ascii="Verdana" w:eastAsia="Arial MT" w:hAnsi="Verdana" w:cs="Arial"/>
          <w:sz w:val="20"/>
          <w:szCs w:val="20"/>
          <w:lang w:eastAsia="es-ES" w:bidi="es-ES"/>
        </w:rPr>
        <w:t xml:space="preserve">De modo que la suscripción no es sino la formalización de la voluntad administrativa de la entidad licitante expresada a lo largo de ese proceso y de la del </w:t>
      </w:r>
      <w:proofErr w:type="spellStart"/>
      <w:r w:rsidRPr="00465568">
        <w:rPr>
          <w:rFonts w:ascii="Verdana" w:eastAsia="Arial MT" w:hAnsi="Verdana" w:cs="Arial"/>
          <w:sz w:val="20"/>
          <w:szCs w:val="20"/>
          <w:lang w:eastAsia="es-ES" w:bidi="es-ES"/>
        </w:rPr>
        <w:t>co-contratante</w:t>
      </w:r>
      <w:proofErr w:type="spellEnd"/>
      <w:r w:rsidRPr="00465568">
        <w:rPr>
          <w:rFonts w:ascii="Verdana" w:eastAsia="Arial MT" w:hAnsi="Verdana" w:cs="Arial"/>
          <w:sz w:val="20"/>
          <w:szCs w:val="20"/>
          <w:lang w:eastAsia="es-ES" w:bidi="es-ES"/>
        </w:rPr>
        <w:t xml:space="preserve"> que formuló la oferta seleccionada, en lo que Alessi llama “fase integrativa”, con el fin de lograr el perfeccionamiento del contrato en los términos del artículo 41 de la Ley 80. Con esta perspectiva, el artículo 9º de la Ley 1150 de 2007 establece que el acto de adjudicación es irrevocable y obliga a la entidad y al adjudicatario.</w:t>
      </w:r>
    </w:p>
    <w:p w14:paraId="57B8280A" w14:textId="77777777" w:rsidR="002439E3" w:rsidRPr="00465568" w:rsidRDefault="002439E3" w:rsidP="002439E3">
      <w:pPr>
        <w:spacing w:after="0" w:line="240" w:lineRule="auto"/>
        <w:ind w:left="709" w:right="709"/>
        <w:jc w:val="both"/>
        <w:rPr>
          <w:rFonts w:ascii="Verdana" w:eastAsia="Arial MT" w:hAnsi="Verdana" w:cs="Arial"/>
          <w:sz w:val="20"/>
          <w:szCs w:val="20"/>
          <w:lang w:eastAsia="es-ES" w:bidi="es-ES"/>
        </w:rPr>
      </w:pPr>
    </w:p>
    <w:p w14:paraId="4EE4E465" w14:textId="77777777" w:rsidR="002439E3" w:rsidRPr="00465568" w:rsidRDefault="002439E3" w:rsidP="002439E3">
      <w:pPr>
        <w:spacing w:after="0" w:line="240" w:lineRule="auto"/>
        <w:ind w:left="709" w:right="709"/>
        <w:jc w:val="both"/>
        <w:rPr>
          <w:rFonts w:ascii="Verdana" w:eastAsia="Arial MT" w:hAnsi="Verdana" w:cs="Arial"/>
          <w:i/>
          <w:sz w:val="20"/>
          <w:szCs w:val="20"/>
          <w:lang w:eastAsia="es-ES" w:bidi="es-ES"/>
        </w:rPr>
      </w:pPr>
      <w:r w:rsidRPr="00465568">
        <w:rPr>
          <w:rFonts w:ascii="Verdana" w:eastAsia="Arial MT" w:hAnsi="Verdana" w:cs="Arial"/>
          <w:sz w:val="20"/>
          <w:szCs w:val="20"/>
          <w:lang w:eastAsia="es-ES" w:bidi="es-ES"/>
        </w:rPr>
        <w:t xml:space="preserve">Así lo había reconocido, de antaño, la jurisprudencia de esta Corporación: </w:t>
      </w:r>
      <w:r w:rsidRPr="00465568">
        <w:rPr>
          <w:rFonts w:ascii="Verdana" w:eastAsia="Arial MT" w:hAnsi="Verdana" w:cs="Arial"/>
          <w:i/>
          <w:sz w:val="20"/>
          <w:szCs w:val="20"/>
          <w:lang w:eastAsia="es-ES" w:bidi="es-ES"/>
        </w:rPr>
        <w:t xml:space="preserve">“Los efectos de la adjudicación son bien conocidos, como que se ha afirmado constantemente que, desde que ella se comunica, surge entre adjudicatario y </w:t>
      </w:r>
      <w:proofErr w:type="spellStart"/>
      <w:r w:rsidRPr="00465568">
        <w:rPr>
          <w:rFonts w:ascii="Verdana" w:eastAsia="Arial MT" w:hAnsi="Verdana" w:cs="Arial"/>
          <w:i/>
          <w:sz w:val="20"/>
          <w:szCs w:val="20"/>
          <w:lang w:eastAsia="es-ES" w:bidi="es-ES"/>
        </w:rPr>
        <w:t>adjudicante</w:t>
      </w:r>
      <w:proofErr w:type="spellEnd"/>
      <w:r w:rsidRPr="00465568">
        <w:rPr>
          <w:rFonts w:ascii="Verdana" w:eastAsia="Arial MT" w:hAnsi="Verdana" w:cs="Arial"/>
          <w:i/>
          <w:sz w:val="20"/>
          <w:szCs w:val="20"/>
          <w:lang w:eastAsia="es-ES" w:bidi="es-ES"/>
        </w:rPr>
        <w:t xml:space="preserve"> una situación contentiva de mutuos derechos y obligaciones, y de la que el contrato no viene a ser sino la forma instrumental o el acto formal”. </w:t>
      </w:r>
    </w:p>
    <w:p w14:paraId="3E1ACB96" w14:textId="77777777" w:rsidR="002439E3" w:rsidRPr="00465568" w:rsidRDefault="002439E3" w:rsidP="002439E3">
      <w:pPr>
        <w:spacing w:after="0" w:line="240" w:lineRule="auto"/>
        <w:ind w:left="709" w:right="709"/>
        <w:jc w:val="both"/>
        <w:rPr>
          <w:rFonts w:ascii="Verdana" w:eastAsia="Arial MT" w:hAnsi="Verdana" w:cs="Arial"/>
          <w:i/>
          <w:iCs/>
          <w:sz w:val="20"/>
          <w:szCs w:val="20"/>
          <w:lang w:eastAsia="es-ES" w:bidi="es-ES"/>
        </w:rPr>
      </w:pPr>
    </w:p>
    <w:p w14:paraId="25010B9E" w14:textId="77777777" w:rsidR="002439E3" w:rsidRPr="00465568" w:rsidRDefault="002439E3" w:rsidP="002439E3">
      <w:pPr>
        <w:spacing w:after="0" w:line="240" w:lineRule="auto"/>
        <w:ind w:left="709" w:right="709"/>
        <w:jc w:val="both"/>
        <w:rPr>
          <w:rFonts w:ascii="Verdana" w:eastAsia="Arial MT" w:hAnsi="Verdana" w:cs="Arial"/>
          <w:sz w:val="20"/>
          <w:szCs w:val="20"/>
          <w:lang w:eastAsia="es-ES" w:bidi="es-ES"/>
        </w:rPr>
      </w:pPr>
      <w:r w:rsidRPr="00465568">
        <w:rPr>
          <w:rFonts w:ascii="Verdana" w:eastAsia="Arial MT" w:hAnsi="Verdana" w:cs="Arial"/>
          <w:i/>
          <w:sz w:val="20"/>
          <w:szCs w:val="20"/>
          <w:lang w:eastAsia="es-ES" w:bidi="es-ES"/>
        </w:rPr>
        <w:t xml:space="preserve">Por manera que, el acto administrativo de adjudicación produce una serie de consecuencias jurídicas respecto de las partes intervinientes en el procedimiento: i) el derecho subjetivo del adjudicatario, como situación excluyente para contratar con el Estado; </w:t>
      </w:r>
      <w:proofErr w:type="spellStart"/>
      <w:r w:rsidRPr="00465568">
        <w:rPr>
          <w:rFonts w:ascii="Verdana" w:eastAsia="Arial MT" w:hAnsi="Verdana" w:cs="Arial"/>
          <w:i/>
          <w:sz w:val="20"/>
          <w:szCs w:val="20"/>
          <w:lang w:eastAsia="es-ES" w:bidi="es-ES"/>
        </w:rPr>
        <w:t>ii</w:t>
      </w:r>
      <w:proofErr w:type="spellEnd"/>
      <w:r w:rsidRPr="00465568">
        <w:rPr>
          <w:rFonts w:ascii="Verdana" w:eastAsia="Arial MT" w:hAnsi="Verdana" w:cs="Arial"/>
          <w:i/>
          <w:sz w:val="20"/>
          <w:szCs w:val="20"/>
          <w:lang w:eastAsia="es-ES" w:bidi="es-ES"/>
        </w:rPr>
        <w:t xml:space="preserve">) deber jurídico correlativo del licitante de contratar con el adjudicatario; </w:t>
      </w:r>
      <w:proofErr w:type="spellStart"/>
      <w:r w:rsidRPr="00465568">
        <w:rPr>
          <w:rFonts w:ascii="Verdana" w:eastAsia="Arial MT" w:hAnsi="Verdana" w:cs="Arial"/>
          <w:i/>
          <w:sz w:val="20"/>
          <w:szCs w:val="20"/>
          <w:lang w:eastAsia="es-ES" w:bidi="es-ES"/>
        </w:rPr>
        <w:t>iii</w:t>
      </w:r>
      <w:proofErr w:type="spellEnd"/>
      <w:r w:rsidRPr="00465568">
        <w:rPr>
          <w:rFonts w:ascii="Verdana" w:eastAsia="Arial MT" w:hAnsi="Verdana" w:cs="Arial"/>
          <w:i/>
          <w:sz w:val="20"/>
          <w:szCs w:val="20"/>
          <w:lang w:eastAsia="es-ES" w:bidi="es-ES"/>
        </w:rPr>
        <w:t xml:space="preserve">) mantenimiento inalterable </w:t>
      </w:r>
      <w:r w:rsidRPr="00465568">
        <w:rPr>
          <w:rFonts w:ascii="Verdana" w:eastAsia="Arial MT" w:hAnsi="Verdana" w:cs="Arial"/>
          <w:i/>
          <w:sz w:val="20"/>
          <w:szCs w:val="20"/>
          <w:lang w:eastAsia="es-ES" w:bidi="es-ES"/>
        </w:rPr>
        <w:lastRenderedPageBreak/>
        <w:t>de los pliegos de condiciones, entre otros, directamente entroncados con la celebración misma del negocio jurídico</w:t>
      </w:r>
      <w:r w:rsidRPr="00465568">
        <w:rPr>
          <w:rFonts w:ascii="Verdana" w:eastAsia="Arial MT" w:hAnsi="Verdana" w:cs="Arial"/>
          <w:sz w:val="20"/>
          <w:szCs w:val="20"/>
          <w:lang w:eastAsia="es-ES" w:bidi="es-ES"/>
        </w:rPr>
        <w:t>”</w:t>
      </w:r>
      <w:r w:rsidRPr="00465568">
        <w:rPr>
          <w:rFonts w:ascii="Verdana" w:eastAsia="Arial MT" w:hAnsi="Verdana" w:cs="Arial"/>
          <w:sz w:val="20"/>
          <w:szCs w:val="20"/>
          <w:vertAlign w:val="superscript"/>
          <w:lang w:eastAsia="es-ES" w:bidi="es-ES"/>
        </w:rPr>
        <w:t xml:space="preserve"> </w:t>
      </w:r>
      <w:r w:rsidRPr="00465568">
        <w:rPr>
          <w:rFonts w:ascii="Verdana" w:eastAsia="Arial MT" w:hAnsi="Verdana" w:cs="Arial"/>
          <w:sz w:val="20"/>
          <w:szCs w:val="20"/>
          <w:vertAlign w:val="superscript"/>
          <w:lang w:eastAsia="es-ES" w:bidi="es-ES"/>
        </w:rPr>
        <w:footnoteReference w:id="6"/>
      </w:r>
      <w:r w:rsidRPr="00465568">
        <w:rPr>
          <w:rFonts w:ascii="Verdana" w:eastAsia="Arial MT" w:hAnsi="Verdana" w:cs="Arial"/>
          <w:sz w:val="20"/>
          <w:szCs w:val="20"/>
          <w:lang w:eastAsia="es-ES" w:bidi="es-ES"/>
        </w:rPr>
        <w:t>. (Énfasis fuera del texto)</w:t>
      </w:r>
    </w:p>
    <w:p w14:paraId="342762DF" w14:textId="77777777" w:rsidR="002439E3" w:rsidRPr="00465568" w:rsidRDefault="002439E3" w:rsidP="002439E3">
      <w:pPr>
        <w:spacing w:after="0" w:line="276" w:lineRule="auto"/>
        <w:ind w:left="709" w:right="709" w:firstLine="709"/>
        <w:jc w:val="both"/>
        <w:rPr>
          <w:rFonts w:ascii="Verdana" w:eastAsia="Arial MT" w:hAnsi="Verdana" w:cs="Arial"/>
          <w:lang w:eastAsia="es-ES" w:bidi="es-ES"/>
        </w:rPr>
      </w:pPr>
    </w:p>
    <w:p w14:paraId="6608E0DF" w14:textId="77777777" w:rsidR="002439E3" w:rsidRPr="00465568" w:rsidRDefault="002439E3" w:rsidP="002439E3">
      <w:pPr>
        <w:spacing w:after="0" w:line="276" w:lineRule="auto"/>
        <w:ind w:firstLine="709"/>
        <w:jc w:val="both"/>
        <w:rPr>
          <w:rFonts w:ascii="Verdana" w:eastAsia="Arial MT" w:hAnsi="Verdana" w:cs="Arial"/>
          <w:lang w:eastAsia="es-ES" w:bidi="es-ES"/>
        </w:rPr>
      </w:pPr>
      <w:r w:rsidRPr="00465568">
        <w:rPr>
          <w:rFonts w:ascii="Verdana" w:eastAsia="Arial MT" w:hAnsi="Verdana" w:cs="Arial"/>
          <w:lang w:eastAsia="es-ES" w:bidi="es-ES"/>
        </w:rPr>
        <w:t>Como se observa, el acto administrativo de adjudicación es irrevocable y obligatorio para las partes, lo que significa que produce el derecho del adjudicatario para contratar con el Estado y el correlativo deber de la entidad contratante de celebrar el contrato, en los términos fijados en los pliegos de condiciones. En este pun</w:t>
      </w:r>
      <w:r>
        <w:rPr>
          <w:rFonts w:ascii="Verdana" w:eastAsia="Arial MT" w:hAnsi="Verdana" w:cs="Arial"/>
          <w:lang w:eastAsia="es-ES" w:bidi="es-ES"/>
        </w:rPr>
        <w:t>t</w:t>
      </w:r>
      <w:r w:rsidRPr="00465568">
        <w:rPr>
          <w:rFonts w:ascii="Verdana" w:eastAsia="Arial MT" w:hAnsi="Verdana" w:cs="Arial"/>
          <w:lang w:eastAsia="es-ES" w:bidi="es-ES"/>
        </w:rPr>
        <w:t xml:space="preserve">o es necesario señalar que, tal regla tiene dos excepciones. Al respecto, el artículo 9 de la Ley 1150 de 2007 trajo consigo un cambio frente al numeral 11 del artículo 30 de la Ley 80, que consiste en prever dos excepciones a la irrevocabilidad del acto de adjudicación, que antes estaba consagrada en términos absolutos. Tales salvedades serán analizadas a continuación. </w:t>
      </w:r>
    </w:p>
    <w:p w14:paraId="7DA7BF5F" w14:textId="77777777" w:rsidR="002439E3" w:rsidRPr="00465568" w:rsidRDefault="002439E3" w:rsidP="002439E3">
      <w:pPr>
        <w:spacing w:after="0" w:line="276" w:lineRule="auto"/>
        <w:jc w:val="both"/>
        <w:rPr>
          <w:rFonts w:ascii="Verdana" w:eastAsia="Arial MT" w:hAnsi="Verdana" w:cs="Arial"/>
          <w:lang w:eastAsia="es-ES" w:bidi="es-ES"/>
        </w:rPr>
      </w:pPr>
    </w:p>
    <w:p w14:paraId="2765A316" w14:textId="77777777" w:rsidR="002439E3" w:rsidRPr="00465568" w:rsidRDefault="002439E3" w:rsidP="002439E3">
      <w:pPr>
        <w:spacing w:after="120" w:line="276" w:lineRule="auto"/>
        <w:jc w:val="both"/>
        <w:rPr>
          <w:rFonts w:ascii="Verdana" w:hAnsi="Verdana" w:cs="Arial"/>
          <w:lang w:val="es-ES"/>
        </w:rPr>
      </w:pPr>
      <w:proofErr w:type="spellStart"/>
      <w:r w:rsidRPr="00465568">
        <w:rPr>
          <w:rFonts w:ascii="Verdana" w:eastAsia="Arial MT" w:hAnsi="Verdana" w:cs="Arial"/>
          <w:lang w:eastAsia="es-ES" w:bidi="es-ES"/>
        </w:rPr>
        <w:t>ii</w:t>
      </w:r>
      <w:proofErr w:type="spellEnd"/>
      <w:r w:rsidRPr="00465568">
        <w:rPr>
          <w:rFonts w:ascii="Verdana" w:eastAsia="Arial MT" w:hAnsi="Verdana" w:cs="Arial"/>
          <w:lang w:eastAsia="es-ES" w:bidi="es-ES"/>
        </w:rPr>
        <w:t xml:space="preserve">. </w:t>
      </w:r>
      <w:r w:rsidRPr="00465568">
        <w:rPr>
          <w:rFonts w:ascii="Verdana" w:hAnsi="Verdana" w:cs="Arial"/>
          <w:lang w:val="es-ES"/>
        </w:rPr>
        <w:t xml:space="preserve">La </w:t>
      </w:r>
      <w:r w:rsidRPr="00465568">
        <w:rPr>
          <w:rFonts w:ascii="Verdana" w:hAnsi="Verdana" w:cs="Arial"/>
          <w:i/>
          <w:iCs/>
          <w:lang w:val="es-ES"/>
        </w:rPr>
        <w:t>revoca</w:t>
      </w:r>
      <w:r>
        <w:rPr>
          <w:rFonts w:ascii="Verdana" w:hAnsi="Verdana" w:cs="Arial"/>
          <w:i/>
          <w:iCs/>
          <w:lang w:val="es-ES"/>
        </w:rPr>
        <w:t>toria</w:t>
      </w:r>
      <w:r w:rsidRPr="00465568">
        <w:rPr>
          <w:rFonts w:ascii="Verdana" w:hAnsi="Verdana" w:cs="Arial"/>
          <w:i/>
          <w:iCs/>
          <w:lang w:val="es-ES"/>
        </w:rPr>
        <w:t xml:space="preserve"> directa</w:t>
      </w:r>
      <w:r w:rsidRPr="00465568">
        <w:rPr>
          <w:rFonts w:ascii="Verdana" w:hAnsi="Verdana" w:cs="Arial"/>
          <w:lang w:val="es-ES"/>
        </w:rPr>
        <w:t xml:space="preserve"> puede definirse como una de las especies de extinción de los actos administrativos en sede administrativa</w:t>
      </w:r>
      <w:r w:rsidRPr="00465568">
        <w:rPr>
          <w:rFonts w:ascii="Verdana" w:hAnsi="Verdana" w:cs="Arial"/>
          <w:vertAlign w:val="superscript"/>
          <w:lang w:val="es-ES"/>
        </w:rPr>
        <w:footnoteReference w:id="7"/>
      </w:r>
      <w:r w:rsidRPr="00465568">
        <w:rPr>
          <w:rFonts w:ascii="Verdana" w:hAnsi="Verdana" w:cs="Arial"/>
          <w:lang w:val="es-ES"/>
        </w:rPr>
        <w:t xml:space="preserve">. Esta especie de extinción se diferencia de otras, pues “se trata de un mecanismo de extinción del acto administrativo y de sus efectos que opera por la voluntad de la propia administración. […] Esta figura debe distinguirse […] de la </w:t>
      </w:r>
      <w:r w:rsidRPr="00465568">
        <w:rPr>
          <w:rFonts w:ascii="Verdana" w:hAnsi="Verdana" w:cs="Arial"/>
          <w:i/>
          <w:iCs/>
          <w:lang w:val="es-ES"/>
        </w:rPr>
        <w:t xml:space="preserve">anulación, </w:t>
      </w:r>
      <w:r w:rsidRPr="00465568">
        <w:rPr>
          <w:rFonts w:ascii="Verdana" w:hAnsi="Verdana" w:cs="Arial"/>
          <w:lang w:val="es-ES"/>
        </w:rPr>
        <w:t>que es la desaparición o extinción del acto por decisión de autoridad jurisdiccional”</w:t>
      </w:r>
      <w:r w:rsidRPr="00465568">
        <w:rPr>
          <w:rFonts w:ascii="Verdana" w:hAnsi="Verdana" w:cs="Arial"/>
          <w:vertAlign w:val="superscript"/>
          <w:lang w:val="es-ES"/>
        </w:rPr>
        <w:footnoteReference w:id="8"/>
      </w:r>
      <w:r w:rsidRPr="00465568">
        <w:rPr>
          <w:rFonts w:ascii="Verdana" w:hAnsi="Verdana" w:cs="Arial"/>
          <w:lang w:val="es-ES"/>
        </w:rPr>
        <w:t xml:space="preserve">. Adicionalmente, sobre la particular manera en que el legislador ha reglamentado la </w:t>
      </w:r>
      <w:r>
        <w:rPr>
          <w:rFonts w:ascii="Verdana" w:hAnsi="Verdana" w:cs="Arial"/>
          <w:lang w:val="es-ES"/>
        </w:rPr>
        <w:t>revocatoria</w:t>
      </w:r>
      <w:r w:rsidRPr="00465568">
        <w:rPr>
          <w:rFonts w:ascii="Verdana" w:hAnsi="Verdana" w:cs="Arial"/>
          <w:lang w:val="es-ES"/>
        </w:rPr>
        <w:t xml:space="preserve"> directa en Colombia, debe decirse que se trata de un mecanismo unilateral de la administración, otorgado por el legislador para que esta revise sus propias decisiones</w:t>
      </w:r>
      <w:r w:rsidRPr="00465568">
        <w:rPr>
          <w:rFonts w:ascii="Verdana" w:hAnsi="Verdana" w:cs="Arial"/>
          <w:vertAlign w:val="superscript"/>
          <w:lang w:val="es-ES"/>
        </w:rPr>
        <w:footnoteReference w:id="9"/>
      </w:r>
      <w:r w:rsidRPr="00465568">
        <w:rPr>
          <w:rFonts w:ascii="Verdana" w:hAnsi="Verdana" w:cs="Arial"/>
          <w:lang w:val="es-ES"/>
        </w:rPr>
        <w:t xml:space="preserve">. </w:t>
      </w:r>
    </w:p>
    <w:p w14:paraId="012E5B56" w14:textId="77777777" w:rsidR="002439E3" w:rsidRPr="00465568" w:rsidRDefault="002439E3" w:rsidP="002439E3">
      <w:pPr>
        <w:spacing w:after="120" w:line="276" w:lineRule="auto"/>
        <w:ind w:firstLine="709"/>
        <w:jc w:val="both"/>
        <w:rPr>
          <w:rFonts w:ascii="Verdana" w:hAnsi="Verdana" w:cs="Arial"/>
          <w:lang w:val="es-ES"/>
        </w:rPr>
      </w:pPr>
      <w:r w:rsidRPr="00465568">
        <w:rPr>
          <w:rFonts w:ascii="Verdana" w:hAnsi="Verdana" w:cs="Arial"/>
          <w:lang w:val="es-ES"/>
        </w:rPr>
        <w:t xml:space="preserve">De acuerdo con lo anterior, puede afirmarse que la revocación de los propios actos es una de las prerrogativas otorgadas en el ordenamiento jurídico a las administraciones públicas para lograr el cumplimiento de sus finalidades. En ese marco conceptual es preciso señalar que una de las labores fundamentales del legislador cuando reconoce o crea una prerrogativa es compatibilizar su uso y ejercicio con los derechos de los administrados </w:t>
      </w:r>
      <w:r w:rsidRPr="00465568">
        <w:rPr>
          <w:rFonts w:ascii="Verdana" w:hAnsi="Verdana" w:cs="Arial"/>
          <w:lang w:val="es-ES"/>
        </w:rPr>
        <w:lastRenderedPageBreak/>
        <w:t xml:space="preserve">potencialmente involucrados o afectados. Por lo anterior, en las normas generales sobre procedimiento administrativo, o en otras normas especiales de derecho administrativo que contemplan la institución de la revocatoria directa, existe una decisión particular del legislador que da cuenta de la armonización que se ha hecho, para el caso particular, entre los derechos de los administrados y los intereses públicos en juego. </w:t>
      </w:r>
    </w:p>
    <w:p w14:paraId="6A72ABA3" w14:textId="77777777" w:rsidR="002439E3" w:rsidRPr="00465568" w:rsidRDefault="002439E3" w:rsidP="002439E3">
      <w:pPr>
        <w:spacing w:after="120" w:line="276" w:lineRule="auto"/>
        <w:ind w:firstLine="709"/>
        <w:jc w:val="both"/>
        <w:rPr>
          <w:rFonts w:ascii="Verdana" w:hAnsi="Verdana" w:cs="Arial"/>
          <w:lang w:val="es-ES"/>
        </w:rPr>
      </w:pPr>
      <w:r w:rsidRPr="00465568">
        <w:rPr>
          <w:rFonts w:ascii="Verdana" w:hAnsi="Verdana" w:cs="Arial"/>
          <w:lang w:val="es-ES"/>
        </w:rPr>
        <w:t>El derogado Código de lo Contencioso Administrativo, Decreto 01 de 1984, preveía en su artículo 7</w:t>
      </w:r>
      <w:r>
        <w:rPr>
          <w:rFonts w:ascii="Verdana" w:hAnsi="Verdana" w:cs="Arial"/>
          <w:lang w:val="es-ES"/>
        </w:rPr>
        <w:t>3</w:t>
      </w:r>
      <w:r w:rsidRPr="00465568">
        <w:rPr>
          <w:rFonts w:ascii="Verdana" w:hAnsi="Verdana" w:cs="Arial"/>
          <w:lang w:val="es-ES"/>
        </w:rPr>
        <w:t xml:space="preserve"> que cuando un acto administrativo hubiese creado o modificado una situación de carácter particular y concreto o reconocido un derecho, este no podría ser revocado sin el consentimiento expreso y escrito del respectivo titular. Ello era así, salvo cuando esos actos resultasen como consecuencia de la aplicación del silencio administrativo positivo y se evidenciaba una de las causales de revocación, o si fuese evidente que el acto ocurrió por medios ilegales. Es decir, que los actos administrativos de contenido particular eran en general irrevocables sin consentimiento del titular, salvo cuando se verificara alguna de las dos condiciones recién mencionadas que permitían su revocación, según lo normado por el artículo 7</w:t>
      </w:r>
      <w:r>
        <w:rPr>
          <w:rFonts w:ascii="Verdana" w:hAnsi="Verdana" w:cs="Arial"/>
          <w:lang w:val="es-ES"/>
        </w:rPr>
        <w:t>3</w:t>
      </w:r>
      <w:r w:rsidRPr="00465568">
        <w:rPr>
          <w:rFonts w:ascii="Verdana" w:hAnsi="Verdana" w:cs="Arial"/>
          <w:lang w:val="es-ES"/>
        </w:rPr>
        <w:t xml:space="preserve"> del CCA.   </w:t>
      </w:r>
    </w:p>
    <w:p w14:paraId="4C2F6B4D" w14:textId="77777777" w:rsidR="002439E3" w:rsidRPr="00465568" w:rsidRDefault="002439E3" w:rsidP="002439E3">
      <w:pPr>
        <w:spacing w:after="120" w:line="276" w:lineRule="auto"/>
        <w:ind w:firstLine="709"/>
        <w:jc w:val="both"/>
        <w:rPr>
          <w:rFonts w:ascii="Verdana" w:hAnsi="Verdana" w:cs="Arial"/>
          <w:lang w:val="es-ES"/>
        </w:rPr>
      </w:pPr>
      <w:r w:rsidRPr="00465568">
        <w:rPr>
          <w:rFonts w:ascii="Verdana" w:hAnsi="Verdana" w:cs="Arial"/>
          <w:lang w:val="es-ES"/>
        </w:rPr>
        <w:t xml:space="preserve">De otro lado, las disposiciones que regulaban la contratación estatal contenían una norma especial sobre la posibilidad de revocar el acto de adjudicación. El numeral 11 del artículo 30 de la Ley 80 de 1993, hoy derogado, disponía que “El acto de adjudicación es irrevocable y obliga a la entidad y al adjudicatario”. Nótese cómo la norma citada, sin lugar a duda, contiene un régimen de revocabilidad mucho más estricto que aquel contenido en las normas sobre procedimiento administrativo general vigente para ese entonces. Lo anterior es así, pues mientras el CCA admitía la revocación en dos casos –silencio administrativo y obtención por medios ilegales–, la Ley 80 de 1993 no permitía la revocación ni si quiera en esos casos, pues claramente postulaba la irrevocabilidad del acto de adjudicación en términos absolutos.  </w:t>
      </w:r>
    </w:p>
    <w:p w14:paraId="52343B2B" w14:textId="77777777" w:rsidR="002439E3" w:rsidRPr="001D5070" w:rsidRDefault="002439E3" w:rsidP="002439E3">
      <w:pPr>
        <w:spacing w:after="120" w:line="276" w:lineRule="auto"/>
        <w:ind w:firstLine="709"/>
        <w:jc w:val="both"/>
        <w:rPr>
          <w:rFonts w:ascii="Verdana" w:hAnsi="Verdana" w:cs="Arial"/>
        </w:rPr>
      </w:pPr>
      <w:r w:rsidRPr="00465568">
        <w:rPr>
          <w:rFonts w:ascii="Verdana" w:hAnsi="Verdana" w:cs="Arial"/>
          <w:lang w:val="es-ES"/>
        </w:rPr>
        <w:t xml:space="preserve">Como se señaló anteriormente, la Ley 1150 de 2007, particularmente su artículo 9, reemplazó esta regla absoluta de irrevocabilidad y estableció dos excepciones. La primera, cuando entre la adjudicación y la suscripción del contrato sobreviene una inhabilidad o incompatibilidad y, la segunda, cuando se demuestra que el acto se obtuvo por medios ilegales. En estos casos, la norma </w:t>
      </w:r>
      <w:r w:rsidRPr="00465568">
        <w:rPr>
          <w:rFonts w:ascii="Verdana" w:hAnsi="Verdana" w:cs="Arial"/>
          <w:lang w:val="es-ES"/>
        </w:rPr>
        <w:lastRenderedPageBreak/>
        <w:t>prescribe que “este podrá ser revocado”</w:t>
      </w:r>
      <w:r w:rsidRPr="00465568">
        <w:rPr>
          <w:rFonts w:ascii="Verdana" w:hAnsi="Verdana" w:cs="Arial"/>
          <w:vertAlign w:val="superscript"/>
          <w:lang w:val="es-ES"/>
        </w:rPr>
        <w:footnoteReference w:id="10"/>
      </w:r>
      <w:r w:rsidRPr="00465568">
        <w:rPr>
          <w:rFonts w:ascii="Verdana" w:hAnsi="Verdana" w:cs="Arial"/>
          <w:lang w:val="es-ES"/>
        </w:rPr>
        <w:t xml:space="preserve">. </w:t>
      </w:r>
      <w:r w:rsidRPr="00B408AA">
        <w:rPr>
          <w:rFonts w:ascii="Verdana" w:hAnsi="Verdana" w:cs="Arial"/>
        </w:rPr>
        <w:t xml:space="preserve">Debe subrayarse que la potestad excepcional de revocatoria está temporalmente acotada: el propio artículo 9 la circunscribe al lapso "comprendido entre la adjudicación del contrato y la suscripción </w:t>
      </w:r>
      <w:proofErr w:type="gramStart"/>
      <w:r w:rsidRPr="00B408AA">
        <w:rPr>
          <w:rFonts w:ascii="Verdana" w:hAnsi="Verdana" w:cs="Arial"/>
        </w:rPr>
        <w:t>del mismo</w:t>
      </w:r>
      <w:proofErr w:type="gramEnd"/>
      <w:r w:rsidRPr="00B408AA">
        <w:rPr>
          <w:rFonts w:ascii="Verdana" w:hAnsi="Verdana" w:cs="Arial"/>
        </w:rPr>
        <w:t>". Perfeccionado el contrato, la revocatoria del acto de adjudicación resulta jurídicamente inviable, pues el acto previo se integra al negocio jurídico y la eventual ilegalidad debe canalizarse por las causales de nulidad absoluta del contrato previstas en los artículos 44 y siguientes de la Ley 80 de 1993, o bien mediante la facultad de terminación unilateral del artículo 45 ibidem cuando se configuren las hipótesis allí señaladas.</w:t>
      </w:r>
    </w:p>
    <w:p w14:paraId="38CEC46D" w14:textId="77777777" w:rsidR="002439E3" w:rsidRPr="00465568" w:rsidRDefault="002439E3" w:rsidP="002439E3">
      <w:pPr>
        <w:spacing w:after="0" w:line="276" w:lineRule="auto"/>
        <w:ind w:firstLine="709"/>
        <w:jc w:val="both"/>
        <w:rPr>
          <w:rFonts w:ascii="Verdana" w:hAnsi="Verdana" w:cs="Arial"/>
          <w:lang w:val="es-ES"/>
        </w:rPr>
      </w:pPr>
      <w:r w:rsidRPr="00465568">
        <w:rPr>
          <w:rFonts w:ascii="Verdana" w:hAnsi="Verdana" w:cs="Arial"/>
          <w:lang w:val="es-ES"/>
        </w:rPr>
        <w:t>Sobre esta nueva regla de origen legal, el Consejo de Estado considera que:</w:t>
      </w:r>
    </w:p>
    <w:p w14:paraId="6F526156" w14:textId="77777777" w:rsidR="002439E3" w:rsidRPr="00465568" w:rsidRDefault="002439E3" w:rsidP="002439E3">
      <w:pPr>
        <w:spacing w:after="0" w:line="276" w:lineRule="auto"/>
        <w:jc w:val="both"/>
        <w:rPr>
          <w:rFonts w:ascii="Verdana" w:hAnsi="Verdana" w:cs="Arial"/>
          <w:lang w:val="es-ES"/>
        </w:rPr>
      </w:pPr>
    </w:p>
    <w:p w14:paraId="466D14FB" w14:textId="77777777" w:rsidR="002439E3" w:rsidRPr="00465568" w:rsidRDefault="002439E3" w:rsidP="002439E3">
      <w:pPr>
        <w:spacing w:after="0" w:line="240" w:lineRule="auto"/>
        <w:ind w:left="709" w:right="709"/>
        <w:jc w:val="both"/>
        <w:rPr>
          <w:rFonts w:ascii="Verdana" w:hAnsi="Verdana" w:cs="Arial"/>
          <w:sz w:val="20"/>
          <w:szCs w:val="20"/>
          <w:lang w:val="es-ES"/>
        </w:rPr>
      </w:pPr>
      <w:r w:rsidRPr="00465568">
        <w:rPr>
          <w:rFonts w:ascii="Verdana" w:hAnsi="Verdana" w:cs="Arial"/>
          <w:sz w:val="20"/>
          <w:szCs w:val="20"/>
          <w:lang w:val="es-ES"/>
        </w:rPr>
        <w:t>“Como se observa, el cambio principal que trajo esta norma, frente al numeral 11 del artículo 30 de la Ley 80, consiste en prever dos excepciones a la irrevocabilidad del acto de adjudicación, que antes estaba consagrada en términos absolutos. Tales salvedades son: (i) cuando el adjudicatario incurre en una inhabilidad o incompatibilidad sobreviniente, esto es, posterior a la adjudicación y anterior a la celebración del contrato, y (</w:t>
      </w:r>
      <w:proofErr w:type="spellStart"/>
      <w:r w:rsidRPr="00465568">
        <w:rPr>
          <w:rFonts w:ascii="Verdana" w:hAnsi="Verdana" w:cs="Arial"/>
          <w:sz w:val="20"/>
          <w:szCs w:val="20"/>
          <w:lang w:val="es-ES"/>
        </w:rPr>
        <w:t>ii</w:t>
      </w:r>
      <w:proofErr w:type="spellEnd"/>
      <w:r w:rsidRPr="00465568">
        <w:rPr>
          <w:rFonts w:ascii="Verdana" w:hAnsi="Verdana" w:cs="Arial"/>
          <w:sz w:val="20"/>
          <w:szCs w:val="20"/>
          <w:lang w:val="es-ES"/>
        </w:rPr>
        <w:t>) cuando pueda demostrarse que la adjudicación “se obtuvo por medios ilegales”</w:t>
      </w:r>
      <w:r w:rsidRPr="00465568">
        <w:rPr>
          <w:rFonts w:ascii="Verdana" w:hAnsi="Verdana" w:cs="Arial"/>
          <w:sz w:val="20"/>
          <w:szCs w:val="20"/>
          <w:vertAlign w:val="superscript"/>
          <w:lang w:val="es-ES"/>
        </w:rPr>
        <w:footnoteReference w:id="11"/>
      </w:r>
      <w:r w:rsidRPr="00465568">
        <w:rPr>
          <w:rFonts w:ascii="Verdana" w:hAnsi="Verdana" w:cs="Arial"/>
          <w:sz w:val="20"/>
          <w:szCs w:val="20"/>
          <w:lang w:val="es-ES"/>
        </w:rPr>
        <w:t>.</w:t>
      </w:r>
    </w:p>
    <w:p w14:paraId="61CABB05" w14:textId="77777777" w:rsidR="002439E3" w:rsidRPr="00465568" w:rsidRDefault="002439E3" w:rsidP="002439E3">
      <w:pPr>
        <w:spacing w:after="0"/>
        <w:ind w:left="709" w:right="709"/>
        <w:jc w:val="both"/>
        <w:rPr>
          <w:rFonts w:ascii="Verdana" w:hAnsi="Verdana" w:cs="Arial"/>
          <w:lang w:val="es-ES"/>
        </w:rPr>
      </w:pPr>
    </w:p>
    <w:p w14:paraId="718ED295" w14:textId="386506DB" w:rsidR="002439E3" w:rsidRPr="00715389" w:rsidRDefault="002439E3" w:rsidP="00715389">
      <w:pPr>
        <w:spacing w:after="120" w:line="276" w:lineRule="auto"/>
        <w:ind w:firstLine="709"/>
        <w:jc w:val="both"/>
        <w:rPr>
          <w:rFonts w:ascii="Verdana" w:eastAsia="Arial MT" w:hAnsi="Verdana" w:cs="Arial"/>
          <w:lang w:eastAsia="es-ES" w:bidi="es-ES"/>
        </w:rPr>
      </w:pPr>
      <w:r w:rsidRPr="007F34D5">
        <w:rPr>
          <w:rFonts w:ascii="Verdana" w:eastAsia="Arial MT" w:hAnsi="Verdana" w:cs="Arial"/>
          <w:lang w:eastAsia="es-ES" w:bidi="es-ES"/>
        </w:rPr>
        <w:t>El inciso tercero del artículo 9 prevé, además, una consecuencia práctica relevante</w:t>
      </w:r>
      <w:r w:rsidRPr="00005A46">
        <w:rPr>
          <w:rFonts w:ascii="Verdana" w:eastAsia="Arial MT" w:hAnsi="Verdana" w:cs="Arial"/>
          <w:lang w:eastAsia="es-ES" w:bidi="es-ES"/>
        </w:rPr>
        <w:t xml:space="preserve">: revocado el acto de adjudicación por alguna de las dos causales, la entidad podrá aplicar lo previsto en el inciso final del numeral 12 del artículo 30 </w:t>
      </w:r>
      <w:r w:rsidRPr="00005A46">
        <w:rPr>
          <w:rFonts w:ascii="Verdana" w:eastAsia="Arial MT" w:hAnsi="Verdana" w:cs="Arial"/>
          <w:lang w:eastAsia="es-ES" w:bidi="es-ES"/>
        </w:rPr>
        <w:lastRenderedPageBreak/>
        <w:t>de la Ley 80 de 1993, esto es, adjudicar el contrato al proponente calificado en segundo lugar en el orden de elegibilidad, siempre que su propuesta resulte igualmente favorable para la entidad y dentro del término allí señalado. Esta habilitación confirma que la revocatoria opera como mecanismo de saneamiento del procedimiento de selección y no como fuente de declaratoria de desierto automático.</w:t>
      </w:r>
    </w:p>
    <w:p w14:paraId="0F3192B8" w14:textId="77777777" w:rsidR="002439E3" w:rsidRPr="00465568" w:rsidRDefault="002439E3" w:rsidP="002439E3">
      <w:pPr>
        <w:spacing w:after="120" w:line="276" w:lineRule="auto"/>
        <w:ind w:firstLine="709"/>
        <w:jc w:val="both"/>
        <w:rPr>
          <w:rFonts w:ascii="Verdana" w:hAnsi="Verdana" w:cs="Arial"/>
          <w:lang w:val="es-ES"/>
        </w:rPr>
      </w:pPr>
      <w:r w:rsidRPr="00465568">
        <w:rPr>
          <w:rFonts w:ascii="Verdana" w:hAnsi="Verdana" w:cs="Arial"/>
          <w:lang w:val="es-ES"/>
        </w:rPr>
        <w:t xml:space="preserve">Con base en lo dicho puede afirmarse que, las normas vigentes en materia de contratación estatal prevén que el acto de adjudicación es por regla general irrevocable, salvo en las dos situaciones previstas por el artículo 9 de la Ley 1150 de 2007, en cuyo caso la entidad estatal podrá revocarlo. Se considera importante hacer énfasis en el hecho de que la norma utiliza el verbo </w:t>
      </w:r>
      <w:r w:rsidRPr="00465568">
        <w:rPr>
          <w:rFonts w:ascii="Verdana" w:hAnsi="Verdana" w:cs="Arial"/>
          <w:i/>
          <w:iCs/>
          <w:lang w:val="es-ES"/>
        </w:rPr>
        <w:t>podrá</w:t>
      </w:r>
      <w:r w:rsidRPr="00465568">
        <w:rPr>
          <w:rFonts w:ascii="Verdana" w:hAnsi="Verdana" w:cs="Arial"/>
          <w:lang w:val="es-ES"/>
        </w:rPr>
        <w:t xml:space="preserve">, sin indicación de ningún requisito adicional para el ejercicio de la prerrogativa de revocación del acto de adjudicación. </w:t>
      </w:r>
    </w:p>
    <w:p w14:paraId="7BD66898" w14:textId="77777777" w:rsidR="002439E3" w:rsidRPr="00465568" w:rsidRDefault="002439E3" w:rsidP="002439E3">
      <w:pPr>
        <w:spacing w:after="0" w:line="276" w:lineRule="auto"/>
        <w:ind w:firstLine="709"/>
        <w:jc w:val="both"/>
        <w:rPr>
          <w:rFonts w:ascii="Verdana" w:hAnsi="Verdana" w:cs="Arial"/>
          <w:lang w:val="es-ES"/>
        </w:rPr>
      </w:pPr>
      <w:r w:rsidRPr="00465568">
        <w:rPr>
          <w:rFonts w:ascii="Verdana" w:hAnsi="Verdana" w:cs="Arial"/>
          <w:lang w:val="es-ES"/>
        </w:rPr>
        <w:t>Esta conclusión permanece inalterada a pesar de que han cambiado las reglas de procedimiento administrativo generales en materia de revocatoria de lo</w:t>
      </w:r>
      <w:r>
        <w:rPr>
          <w:rFonts w:ascii="Verdana" w:hAnsi="Verdana" w:cs="Arial"/>
          <w:lang w:val="es-ES"/>
        </w:rPr>
        <w:t>s</w:t>
      </w:r>
      <w:r w:rsidRPr="00465568">
        <w:rPr>
          <w:rFonts w:ascii="Verdana" w:hAnsi="Verdana" w:cs="Arial"/>
          <w:lang w:val="es-ES"/>
        </w:rPr>
        <w:t xml:space="preserve"> actos administrativos. El CPACA estableció un régimen jurídico para la revocación de actos de carácter particular y concreto mucho más estricto que el contenido en el antiguo CCA y que, en alguna medida, se asemeja al que consagrase en su momento el texto original de la Ley 80 de 1993. En efecto, el artículo 97 de la Ley 1437 de 201</w:t>
      </w:r>
      <w:r>
        <w:rPr>
          <w:rFonts w:ascii="Verdana" w:hAnsi="Verdana" w:cs="Arial"/>
          <w:lang w:val="es-ES"/>
        </w:rPr>
        <w:t>1</w:t>
      </w:r>
      <w:r w:rsidRPr="00465568">
        <w:rPr>
          <w:rFonts w:ascii="Verdana" w:hAnsi="Verdana" w:cs="Arial"/>
          <w:lang w:val="es-ES"/>
        </w:rPr>
        <w:t xml:space="preserve"> dispone:</w:t>
      </w:r>
    </w:p>
    <w:p w14:paraId="6B77818F" w14:textId="77777777" w:rsidR="002439E3" w:rsidRPr="00465568" w:rsidRDefault="002439E3" w:rsidP="002439E3">
      <w:pPr>
        <w:spacing w:after="0" w:line="276" w:lineRule="auto"/>
        <w:ind w:left="709" w:right="760"/>
        <w:jc w:val="both"/>
        <w:rPr>
          <w:rFonts w:ascii="Verdana" w:hAnsi="Verdana" w:cs="Arial"/>
          <w:lang w:val="es-ES"/>
        </w:rPr>
      </w:pPr>
    </w:p>
    <w:p w14:paraId="62B22BFB" w14:textId="77777777" w:rsidR="002439E3" w:rsidRPr="00465568" w:rsidRDefault="002439E3" w:rsidP="002439E3">
      <w:pPr>
        <w:spacing w:after="0" w:line="240" w:lineRule="auto"/>
        <w:ind w:left="709" w:right="760"/>
        <w:jc w:val="both"/>
        <w:rPr>
          <w:rFonts w:ascii="Verdana" w:hAnsi="Verdana" w:cs="Arial"/>
          <w:sz w:val="20"/>
          <w:szCs w:val="20"/>
          <w:lang w:val="es-ES"/>
        </w:rPr>
      </w:pPr>
      <w:r w:rsidRPr="00465568">
        <w:rPr>
          <w:rFonts w:ascii="Verdana" w:hAnsi="Verdana" w:cs="Arial"/>
          <w:sz w:val="20"/>
          <w:szCs w:val="20"/>
          <w:lang w:val="es-ES"/>
        </w:rPr>
        <w:t>“Artículo 97. Revocación de actos de carácter particular y concreto. Salvo las excepciones establecidas en la ley, cuando un acto administrativo, bien sea expreso o ficto, haya creado o modificado una situación jurídica de carácter particular y concreto o reconocido un derecho de igual categoría, no podrá ser revocado sin el consentimiento previo, expreso y escrito del respectivo titular.</w:t>
      </w:r>
    </w:p>
    <w:p w14:paraId="684E1EB6" w14:textId="77777777" w:rsidR="002439E3" w:rsidRPr="00465568" w:rsidRDefault="002439E3" w:rsidP="002439E3">
      <w:pPr>
        <w:spacing w:after="0" w:line="240" w:lineRule="auto"/>
        <w:ind w:left="709" w:right="760"/>
        <w:jc w:val="both"/>
        <w:rPr>
          <w:rFonts w:ascii="Verdana" w:hAnsi="Verdana" w:cs="Arial"/>
          <w:sz w:val="20"/>
          <w:szCs w:val="20"/>
          <w:lang w:val="es-ES"/>
        </w:rPr>
      </w:pPr>
      <w:r w:rsidRPr="00465568">
        <w:rPr>
          <w:rFonts w:ascii="Verdana" w:hAnsi="Verdana" w:cs="Arial"/>
          <w:sz w:val="20"/>
          <w:szCs w:val="20"/>
          <w:lang w:val="es-ES"/>
        </w:rPr>
        <w:t>Si el titular niega su consentimiento y la autoridad considera que el acto es contrario a la Constitución o a la ley, deberá demandarlo ante la Jurisdicción de lo Contencioso Administrativo.</w:t>
      </w:r>
    </w:p>
    <w:p w14:paraId="17FD26DA" w14:textId="77777777" w:rsidR="002439E3" w:rsidRPr="00465568" w:rsidRDefault="002439E3" w:rsidP="002439E3">
      <w:pPr>
        <w:spacing w:after="0" w:line="240" w:lineRule="auto"/>
        <w:ind w:left="709" w:right="760"/>
        <w:jc w:val="both"/>
        <w:rPr>
          <w:rFonts w:ascii="Verdana" w:hAnsi="Verdana" w:cs="Arial"/>
          <w:sz w:val="20"/>
          <w:szCs w:val="20"/>
          <w:lang w:val="es-ES"/>
        </w:rPr>
      </w:pPr>
      <w:r w:rsidRPr="00465568">
        <w:rPr>
          <w:rFonts w:ascii="Verdana" w:hAnsi="Verdana" w:cs="Arial"/>
          <w:sz w:val="20"/>
          <w:szCs w:val="20"/>
          <w:lang w:val="es-ES"/>
        </w:rPr>
        <w:t>Si la Administración considera que el acto ocurrió por medios ilegales o fraudulentos lo demandará sin acudir al procedimiento previo de conciliación y solicitará al juez su suspensión provisional.</w:t>
      </w:r>
    </w:p>
    <w:p w14:paraId="65C840E6" w14:textId="77777777" w:rsidR="002439E3" w:rsidRPr="00465568" w:rsidRDefault="002439E3" w:rsidP="002439E3">
      <w:pPr>
        <w:spacing w:after="0" w:line="240" w:lineRule="auto"/>
        <w:ind w:left="709" w:right="760"/>
        <w:jc w:val="both"/>
        <w:rPr>
          <w:rFonts w:ascii="Verdana" w:hAnsi="Verdana" w:cs="Arial"/>
          <w:sz w:val="20"/>
          <w:szCs w:val="20"/>
          <w:lang w:val="es-ES"/>
        </w:rPr>
      </w:pPr>
      <w:r w:rsidRPr="00465568">
        <w:rPr>
          <w:rFonts w:ascii="Verdana" w:hAnsi="Verdana" w:cs="Arial"/>
          <w:sz w:val="20"/>
          <w:szCs w:val="20"/>
          <w:lang w:val="es-ES"/>
        </w:rPr>
        <w:t>PARÁGRAFO. En el trámite de la revocación directa se garantizarán los derechos de audiencia y defensa”.</w:t>
      </w:r>
    </w:p>
    <w:p w14:paraId="4E6EB13D" w14:textId="77777777" w:rsidR="002439E3" w:rsidRPr="00465568" w:rsidRDefault="002439E3" w:rsidP="002439E3">
      <w:pPr>
        <w:spacing w:after="0" w:line="276" w:lineRule="auto"/>
        <w:jc w:val="both"/>
        <w:rPr>
          <w:rFonts w:ascii="Verdana" w:hAnsi="Verdana" w:cs="Arial"/>
          <w:lang w:val="es-ES"/>
        </w:rPr>
      </w:pPr>
    </w:p>
    <w:p w14:paraId="07924A67" w14:textId="77777777" w:rsidR="002439E3" w:rsidRPr="00465568" w:rsidRDefault="002439E3" w:rsidP="002439E3">
      <w:pPr>
        <w:spacing w:after="120" w:line="276" w:lineRule="auto"/>
        <w:jc w:val="both"/>
        <w:rPr>
          <w:rFonts w:ascii="Verdana" w:hAnsi="Verdana" w:cs="Arial"/>
          <w:lang w:val="es-ES"/>
        </w:rPr>
      </w:pPr>
      <w:r w:rsidRPr="00465568">
        <w:rPr>
          <w:rFonts w:ascii="Verdana" w:hAnsi="Verdana" w:cs="Arial"/>
          <w:lang w:val="es-ES"/>
        </w:rPr>
        <w:tab/>
        <w:t xml:space="preserve">Son varios los aspectos de esta norma sobre los cuales debe llamarse la atención. El artículo claramente prevé una regla general y “absoluta” de </w:t>
      </w:r>
      <w:r w:rsidRPr="00465568">
        <w:rPr>
          <w:rFonts w:ascii="Verdana" w:hAnsi="Verdana" w:cs="Arial"/>
          <w:lang w:val="es-ES"/>
        </w:rPr>
        <w:lastRenderedPageBreak/>
        <w:t xml:space="preserve">irrevocabilidad, pues ningún acto puede ser revocado, en aplicación del CPACA, sin consentimiento previo, expreso y escrito del respectivo titular. Ello es así incluso si el acto ocurrió por medios ilegales, en cuyo caso solamente se autoriza a la Administración a no acudir al procedimiento previo de conciliación y a solicitar al juez su suspensión provisional. Las reglas del CPACA tampoco establecieron excepción, como lo hiciera el CCA, para los actos administrativos fictos producidos como consecuencia de un silencio administrativo positivo y en los cuales se evidenciaba una causal de revocación. </w:t>
      </w:r>
    </w:p>
    <w:p w14:paraId="123D11B6" w14:textId="77777777" w:rsidR="002439E3" w:rsidRPr="00465568" w:rsidRDefault="002439E3" w:rsidP="002439E3">
      <w:pPr>
        <w:spacing w:after="120" w:line="276" w:lineRule="auto"/>
        <w:ind w:firstLine="720"/>
        <w:jc w:val="both"/>
        <w:rPr>
          <w:rFonts w:ascii="Verdana" w:hAnsi="Verdana" w:cs="Arial"/>
          <w:lang w:val="es-ES"/>
        </w:rPr>
      </w:pPr>
      <w:r w:rsidRPr="00465568">
        <w:rPr>
          <w:rFonts w:ascii="Verdana" w:hAnsi="Verdana" w:cs="Arial"/>
          <w:lang w:val="es-ES"/>
        </w:rPr>
        <w:t xml:space="preserve">En todos los casos en los cuales la norma aplicable sea el CPACA, entonces, se debe recurrir a demandar el acto administrativo de carácter particular cuando quiera que no se obtenga la autorización expresa del titular para proceder a la revocación. Dicho ello, no puede perderse de vista que la primera frase del artículo 97 del CPACA es “salvo las excepciones establecidas en la ley”. Esto quiere decir que la ley puede contemplar en normas especiales “excepciones” a la regla absoluta de irrevocabilidad sin el consentimiento del destinatario del acto que contiene el Código en mención. </w:t>
      </w:r>
    </w:p>
    <w:p w14:paraId="4BDD20C0" w14:textId="77777777" w:rsidR="002439E3" w:rsidRPr="00465568" w:rsidRDefault="002439E3" w:rsidP="002439E3">
      <w:pPr>
        <w:spacing w:after="120" w:line="276" w:lineRule="auto"/>
        <w:jc w:val="both"/>
        <w:rPr>
          <w:rFonts w:ascii="Verdana" w:hAnsi="Verdana" w:cs="Arial"/>
          <w:lang w:val="es-ES"/>
        </w:rPr>
      </w:pPr>
      <w:r w:rsidRPr="00465568">
        <w:rPr>
          <w:rFonts w:ascii="Verdana" w:hAnsi="Verdana" w:cs="Arial"/>
          <w:lang w:val="es-ES"/>
        </w:rPr>
        <w:tab/>
        <w:t xml:space="preserve">Esta regla del artículo 97 </w:t>
      </w:r>
      <w:proofErr w:type="spellStart"/>
      <w:r w:rsidRPr="00465568">
        <w:rPr>
          <w:rFonts w:ascii="Verdana" w:hAnsi="Verdana" w:cs="Arial"/>
          <w:i/>
          <w:iCs/>
          <w:lang w:val="es-ES"/>
        </w:rPr>
        <w:t>ibídem</w:t>
      </w:r>
      <w:proofErr w:type="spellEnd"/>
      <w:r w:rsidRPr="00465568">
        <w:rPr>
          <w:rFonts w:ascii="Verdana" w:hAnsi="Verdana" w:cs="Arial"/>
          <w:i/>
          <w:iCs/>
          <w:lang w:val="es-ES"/>
        </w:rPr>
        <w:t xml:space="preserve"> </w:t>
      </w:r>
      <w:r w:rsidRPr="00465568">
        <w:rPr>
          <w:rFonts w:ascii="Verdana" w:hAnsi="Verdana" w:cs="Arial"/>
          <w:lang w:val="es-ES"/>
        </w:rPr>
        <w:t xml:space="preserve">se ajusta perfectamente a la lógica de procedimiento general que tiene el CPACA, cuyas funciones son servir como fuente para llenar vacíos en leyes especiales sobre procedimientos, y ser aplicadas ante la ausencia total de una norma especial. En ese orden de ideas, si una norma especial prevé la posibilidad de realizar la revocación directa, no será necesario recurrir a las normas generales de procedimiento, pues existiría una norma especial que regula la materia y no se evidencia la existencia de un vacío que requiera ser llenado. La diferencia en el régimen jurídico contenido en las normas del CPACA y de la Ley 1150 de 2007 da cuenta del ejercicio de la libertad de configuración del legislador, que adoptó para los dos casos decisiones diferentes teniendo en cuenta los intereses públicos en juego y la tensión entre estos y los derechos de los administrados. </w:t>
      </w:r>
    </w:p>
    <w:p w14:paraId="7D3E30F9" w14:textId="77777777" w:rsidR="002439E3" w:rsidRPr="00465568" w:rsidRDefault="002439E3" w:rsidP="002439E3">
      <w:pPr>
        <w:spacing w:after="120" w:line="276" w:lineRule="auto"/>
        <w:jc w:val="both"/>
        <w:rPr>
          <w:rFonts w:ascii="Verdana" w:hAnsi="Verdana" w:cs="Arial"/>
          <w:lang w:val="es-ES"/>
        </w:rPr>
      </w:pPr>
      <w:r w:rsidRPr="00465568">
        <w:rPr>
          <w:rFonts w:ascii="Verdana" w:hAnsi="Verdana" w:cs="Arial"/>
          <w:lang w:val="es-ES"/>
        </w:rPr>
        <w:tab/>
        <w:t xml:space="preserve">Con base en las anteriores consideraciones es posible concluir que, para revocar el acto administrativo de adjudicación de un contrato estatal, cuando se verifique alguna de las dos causales que lo permiten, según el artículo 9, inciso tercero, de la Ley 1150 de 2007, no es necesario obtener “consentimiento previo, expreso y escrito del respectivo” adjudicatario, como lo ordena el artículo 97 del CPACA. Lo anterior es así, pues el artículo 9 de la Ley 1150 de 2007 </w:t>
      </w:r>
      <w:r w:rsidRPr="00465568">
        <w:rPr>
          <w:rFonts w:ascii="Verdana" w:hAnsi="Verdana" w:cs="Arial"/>
          <w:lang w:val="es-ES"/>
        </w:rPr>
        <w:lastRenderedPageBreak/>
        <w:t>consagra un régimen especial de revocatoria directa del acto de adjudicación que no exige permiso del titular. La ausencia de una regla en ese sentido, en el entendido de esta Subdirección, no puede interpretarse como un vacío que deba ser llenado con el CPACA, sino como un régimen jurídico diferente: situación análoga a la que en su momento ocurría con los regímenes de la Ley 80 de 1993 y el CCA.</w:t>
      </w:r>
    </w:p>
    <w:p w14:paraId="55E9CEBF" w14:textId="77777777" w:rsidR="002439E3" w:rsidRPr="00465568" w:rsidRDefault="002439E3" w:rsidP="002439E3">
      <w:pPr>
        <w:spacing w:after="120" w:line="276" w:lineRule="auto"/>
        <w:jc w:val="both"/>
        <w:rPr>
          <w:rFonts w:ascii="Verdana" w:hAnsi="Verdana" w:cs="Arial"/>
          <w:lang w:val="es-ES"/>
        </w:rPr>
      </w:pPr>
      <w:r w:rsidRPr="00465568">
        <w:rPr>
          <w:rFonts w:ascii="Verdana" w:hAnsi="Verdana" w:cs="Arial"/>
          <w:lang w:val="es-ES"/>
        </w:rPr>
        <w:tab/>
        <w:t xml:space="preserve">Ahora bien, lo anterior quiere decir que, en términos prácticos, la Entidad Estatal debe respetar el debido proceso del adjudicatario cuando pretenda establecer si i) ha sobrevenido una causal de inhabilidad e incompatibilidad entre el acto de adjudicación y la suscripción del contrato o </w:t>
      </w:r>
      <w:proofErr w:type="spellStart"/>
      <w:r w:rsidRPr="00465568">
        <w:rPr>
          <w:rFonts w:ascii="Verdana" w:hAnsi="Verdana" w:cs="Arial"/>
          <w:lang w:val="es-ES"/>
        </w:rPr>
        <w:t>ii</w:t>
      </w:r>
      <w:proofErr w:type="spellEnd"/>
      <w:r w:rsidRPr="00465568">
        <w:rPr>
          <w:rFonts w:ascii="Verdana" w:hAnsi="Verdana" w:cs="Arial"/>
          <w:lang w:val="es-ES"/>
        </w:rPr>
        <w:t xml:space="preserve">) si el acto de adjudicación se obtuvo por medios ilegales. En otros términos, con el objeto de verificar la existencia de alguna de las causales que permite la revocación directa del acto de adjudicación, la Entidad Estatal debe llevar a cabo un procedimiento administrativo en el cual se respeten las garantías de que trata el artículo 29 superior y en particular los derechos de audiencia y defensa del adjudicatario. </w:t>
      </w:r>
      <w:r w:rsidRPr="005C07D2">
        <w:rPr>
          <w:rFonts w:ascii="Verdana" w:hAnsi="Verdana" w:cs="Arial"/>
        </w:rPr>
        <w:t>Este deber no deriva del parágrafo del artículo 97 del CPACA —cuya aplicación queda desplazada por la norma especial—, sino directamente del artículo 29 de la Constitución Política y de los artículos 3 y 34 y siguientes de la Ley 1437 de 2011, que gobiernan el procedimiento administrativo general en aquello no regulado por la norma contractual especial. En consecuencia, la entidad debe adelantar una actuación administrativa en la que comunique al adjudicatario los hechos y fundamentos jurídicos que soportarían la causal, le permita ejercer su derecho de contradicción y aportar y controvertir pruebas, y decida mediante acto motivado susceptible de los recursos que correspondan.</w:t>
      </w:r>
      <w:r w:rsidRPr="00465568">
        <w:rPr>
          <w:rFonts w:ascii="Verdana" w:hAnsi="Verdana" w:cs="Arial"/>
          <w:lang w:val="es-ES"/>
        </w:rPr>
        <w:t xml:space="preserve"> Sin embargo, a la finalización de ese procedimiento administrativo, si la Administración verifica la ocurrencia de alguna de estas situaciones, puede proceder a la revocación del acto administrativo de adjudicación incluso si el adjudicatario no otorga su consentimiento para ello. </w:t>
      </w:r>
    </w:p>
    <w:p w14:paraId="05AD4CD5" w14:textId="77777777" w:rsidR="002439E3" w:rsidRDefault="002439E3" w:rsidP="002439E3">
      <w:pPr>
        <w:spacing w:after="0" w:line="276" w:lineRule="auto"/>
        <w:ind w:firstLine="708"/>
        <w:jc w:val="both"/>
        <w:rPr>
          <w:rFonts w:ascii="Verdana" w:hAnsi="Verdana" w:cs="Arial"/>
        </w:rPr>
      </w:pPr>
      <w:r w:rsidRPr="00465568">
        <w:rPr>
          <w:rFonts w:ascii="Verdana" w:hAnsi="Verdana" w:cs="Arial"/>
        </w:rPr>
        <w:t>Del recuento legal y jurisprudencial efectuado hasta ahora en relación con el acto de adjudicación del contrato estatal, se concluye claramente que, en la actualidad, dicho acto administrativo solamente puede ser revocado cuando se presente alguna de las dos situaciones descritas en el artículo 9º de la Ley 1150 de 2007, o ambas causales simultáneamente, razón por la cual podría afirmarse, en principio, que únicamente en esos casos la Entidad Estatal que ha hecho la adjudicación no estaría obligada a celebrar el respectivo contrato.</w:t>
      </w:r>
    </w:p>
    <w:p w14:paraId="646939E1" w14:textId="77777777" w:rsidR="002439E3" w:rsidRDefault="002439E3" w:rsidP="002439E3">
      <w:pPr>
        <w:spacing w:after="0" w:line="276" w:lineRule="auto"/>
        <w:jc w:val="both"/>
        <w:rPr>
          <w:rFonts w:ascii="Verdana" w:hAnsi="Verdana" w:cs="Arial"/>
        </w:rPr>
      </w:pPr>
    </w:p>
    <w:p w14:paraId="33DE56EA" w14:textId="77777777" w:rsidR="002439E3" w:rsidRPr="00A152E0" w:rsidRDefault="002439E3" w:rsidP="002439E3">
      <w:pPr>
        <w:spacing w:after="120" w:line="276" w:lineRule="auto"/>
        <w:jc w:val="both"/>
        <w:rPr>
          <w:rFonts w:ascii="Verdana" w:hAnsi="Verdana" w:cs="Arial"/>
        </w:rPr>
      </w:pPr>
      <w:proofErr w:type="spellStart"/>
      <w:r>
        <w:rPr>
          <w:rFonts w:ascii="Verdana" w:hAnsi="Verdana" w:cs="Arial"/>
        </w:rPr>
        <w:t>iii</w:t>
      </w:r>
      <w:proofErr w:type="spellEnd"/>
      <w:r>
        <w:rPr>
          <w:rFonts w:ascii="Verdana" w:hAnsi="Verdana" w:cs="Arial"/>
        </w:rPr>
        <w:t>. U</w:t>
      </w:r>
      <w:r w:rsidRPr="00047A57">
        <w:rPr>
          <w:rFonts w:ascii="Verdana" w:hAnsi="Verdana" w:cs="Arial"/>
        </w:rPr>
        <w:t>na de las dos causales que habilitan excepcionalmente la revocatoria directa del acto de adjudicación es que este se haya obtenido mediante "medios ilegales"</w:t>
      </w:r>
      <w:r>
        <w:rPr>
          <w:rFonts w:ascii="Verdana" w:hAnsi="Verdana" w:cs="Arial"/>
        </w:rPr>
        <w:t xml:space="preserve">. </w:t>
      </w:r>
      <w:r w:rsidRPr="00A152E0">
        <w:rPr>
          <w:rFonts w:ascii="Verdana" w:hAnsi="Verdana" w:cs="Arial"/>
        </w:rPr>
        <w:t>Sobre este punto, la Sala de Consulta y Servicio Civil</w:t>
      </w:r>
      <w:r>
        <w:rPr>
          <w:rStyle w:val="Refdenotaalpie"/>
          <w:rFonts w:ascii="Verdana" w:hAnsi="Verdana" w:cs="Arial"/>
        </w:rPr>
        <w:footnoteReference w:id="12"/>
      </w:r>
      <w:r w:rsidRPr="00A152E0">
        <w:rPr>
          <w:rFonts w:ascii="Verdana" w:hAnsi="Verdana" w:cs="Arial"/>
        </w:rPr>
        <w:t xml:space="preserve"> ha precisado que </w:t>
      </w:r>
      <w:r w:rsidRPr="00B408AA">
        <w:rPr>
          <w:rFonts w:ascii="Verdana" w:hAnsi="Verdana" w:cs="Arial"/>
        </w:rPr>
        <w:t>uno de los supuestos</w:t>
      </w:r>
      <w:r w:rsidRPr="00A152E0">
        <w:rPr>
          <w:rFonts w:ascii="Verdana" w:hAnsi="Verdana" w:cs="Arial"/>
        </w:rPr>
        <w:t xml:space="preserve"> en que puede configurarse dicha causal ocurre cuando el adjudicatario oculta dolosamente hechos o circunstancias constitutivas de una inhabilidad o incompatibilidad, o cuando suministra información o documentos falsos, inexactos o incompletos destinados a obtener la adjudicación. </w:t>
      </w:r>
      <w:r w:rsidRPr="00B408AA">
        <w:rPr>
          <w:rFonts w:ascii="Verdana" w:hAnsi="Verdana" w:cs="Arial"/>
        </w:rPr>
        <w:t>La utilización de tales ejemplos por la Sala evidencia que la causal se refiere a actuaciones fraudulentas dirigidas a obtener indebidamente el acto administrativo, sin que ello implique que toda irregularidad del procedimiento constituya, por ese solo hecho, un medio ilegal en los términos del artículo 9 de la Ley 1150 de 2007</w:t>
      </w:r>
      <w:r>
        <w:rPr>
          <w:rFonts w:ascii="Verdana" w:hAnsi="Verdana" w:cs="Arial"/>
        </w:rPr>
        <w:t>.</w:t>
      </w:r>
    </w:p>
    <w:p w14:paraId="73B9113E" w14:textId="77777777" w:rsidR="002439E3" w:rsidRDefault="002439E3" w:rsidP="002439E3">
      <w:pPr>
        <w:spacing w:after="120" w:line="276" w:lineRule="auto"/>
        <w:ind w:firstLine="708"/>
        <w:jc w:val="both"/>
        <w:rPr>
          <w:rFonts w:ascii="Verdana" w:hAnsi="Verdana" w:cs="Arial"/>
        </w:rPr>
      </w:pPr>
      <w:r w:rsidRPr="001558A6">
        <w:rPr>
          <w:rFonts w:ascii="Verdana" w:hAnsi="Verdana" w:cs="Arial"/>
        </w:rPr>
        <w:t xml:space="preserve">De igual manera, el Consejo de Estado ha señalado que la administración está facultada para revocar el acto de adjudicación cuando este se haya obtenido mediante “medios ilegales”, entendidos como comportamientos que comprometen la integridad del procedimiento y afectan los principios de transparencia, moralidad y selección objetiva. Dentro de esta categoría, </w:t>
      </w:r>
      <w:r>
        <w:rPr>
          <w:rFonts w:ascii="Verdana" w:hAnsi="Verdana" w:cs="Arial"/>
        </w:rPr>
        <w:t xml:space="preserve">el Consejo de Estado </w:t>
      </w:r>
      <w:r w:rsidRPr="001558A6">
        <w:rPr>
          <w:rFonts w:ascii="Verdana" w:hAnsi="Verdana" w:cs="Arial"/>
        </w:rPr>
        <w:t xml:space="preserve">ha incluido expresamente los </w:t>
      </w:r>
      <w:r>
        <w:rPr>
          <w:rFonts w:ascii="Verdana" w:hAnsi="Verdana" w:cs="Arial"/>
        </w:rPr>
        <w:t>“</w:t>
      </w:r>
      <w:r w:rsidRPr="001558A6">
        <w:rPr>
          <w:rFonts w:ascii="Verdana" w:hAnsi="Verdana" w:cs="Arial"/>
        </w:rPr>
        <w:t>actos de corrupción</w:t>
      </w:r>
      <w:r>
        <w:rPr>
          <w:rFonts w:ascii="Verdana" w:hAnsi="Verdana" w:cs="Arial"/>
        </w:rPr>
        <w:t>”</w:t>
      </w:r>
      <w:r w:rsidRPr="001558A6">
        <w:rPr>
          <w:rFonts w:ascii="Verdana" w:hAnsi="Verdana" w:cs="Arial"/>
        </w:rPr>
        <w:t xml:space="preserve">, al considerar que cualquier práctica corrupta que influya en la decisión de adjudicar —ya sea por soborno, colusión, manipulación de la evaluación o cualquier otra forma de fraude— se enmarca en la noción de </w:t>
      </w:r>
      <w:r>
        <w:rPr>
          <w:rFonts w:ascii="Verdana" w:hAnsi="Verdana" w:cs="Arial"/>
        </w:rPr>
        <w:t xml:space="preserve">“obtención por </w:t>
      </w:r>
      <w:r w:rsidRPr="001558A6">
        <w:rPr>
          <w:rFonts w:ascii="Verdana" w:hAnsi="Verdana" w:cs="Arial"/>
        </w:rPr>
        <w:t>medios ilegales</w:t>
      </w:r>
      <w:r>
        <w:rPr>
          <w:rFonts w:ascii="Verdana" w:hAnsi="Verdana" w:cs="Arial"/>
        </w:rPr>
        <w:t>”</w:t>
      </w:r>
      <w:r w:rsidRPr="001558A6">
        <w:rPr>
          <w:rFonts w:ascii="Verdana" w:hAnsi="Verdana" w:cs="Arial"/>
        </w:rPr>
        <w:t xml:space="preserve"> y habilita la revocatoria unilateral sin necesidad del consentimiento del adjudicatario</w:t>
      </w:r>
      <w:r>
        <w:rPr>
          <w:rStyle w:val="Refdenotaalpie"/>
          <w:rFonts w:ascii="Verdana" w:hAnsi="Verdana" w:cs="Arial"/>
        </w:rPr>
        <w:footnoteReference w:id="13"/>
      </w:r>
      <w:r w:rsidRPr="001558A6">
        <w:rPr>
          <w:rFonts w:ascii="Verdana" w:hAnsi="Verdana" w:cs="Arial"/>
        </w:rPr>
        <w:t>.</w:t>
      </w:r>
      <w:r>
        <w:rPr>
          <w:rFonts w:ascii="Verdana" w:hAnsi="Verdana" w:cs="Arial"/>
        </w:rPr>
        <w:t xml:space="preserve"> </w:t>
      </w:r>
    </w:p>
    <w:p w14:paraId="1DD7673E" w14:textId="77777777" w:rsidR="002439E3" w:rsidRDefault="002439E3" w:rsidP="002439E3">
      <w:pPr>
        <w:spacing w:after="0" w:line="276" w:lineRule="auto"/>
        <w:ind w:firstLine="709"/>
        <w:jc w:val="both"/>
        <w:rPr>
          <w:rFonts w:ascii="Verdana" w:hAnsi="Verdana" w:cs="Arial"/>
        </w:rPr>
      </w:pPr>
      <w:r w:rsidRPr="0084365B">
        <w:rPr>
          <w:rFonts w:ascii="Verdana" w:hAnsi="Verdana" w:cs="Arial"/>
        </w:rPr>
        <w:t>En este punto debe precisarse que la interpretación de la expresión obtenido por</w:t>
      </w:r>
      <w:r w:rsidRPr="00B408AA">
        <w:rPr>
          <w:rFonts w:ascii="Verdana" w:hAnsi="Verdana" w:cs="Arial"/>
          <w:i/>
          <w:iCs/>
        </w:rPr>
        <w:t xml:space="preserve"> </w:t>
      </w:r>
      <w:r>
        <w:rPr>
          <w:rFonts w:ascii="Verdana" w:hAnsi="Verdana" w:cs="Arial"/>
          <w:i/>
          <w:iCs/>
        </w:rPr>
        <w:t>“</w:t>
      </w:r>
      <w:r w:rsidRPr="00B408AA">
        <w:rPr>
          <w:rFonts w:ascii="Verdana" w:hAnsi="Verdana" w:cs="Arial"/>
          <w:i/>
          <w:iCs/>
        </w:rPr>
        <w:t>medios ilegales”</w:t>
      </w:r>
      <w:r w:rsidRPr="0084365B">
        <w:rPr>
          <w:rFonts w:ascii="Verdana" w:hAnsi="Verdana" w:cs="Arial"/>
        </w:rPr>
        <w:t xml:space="preserve"> debe realizarse de manera restrictiva, por tratarse de una excepción legal al principio de irrevocabilidad del acto de adjudicación. En esa medida, la configuración de esta causal exige la existencia de actuaciones fraudulentas encaminadas a obtener indebidamente la adjudicación, las cuales, conforme a los ejemplos desarrollados por la Sala de Consulta y Servicio Civil, normalmente se manifiestan mediante conductas </w:t>
      </w:r>
      <w:r w:rsidRPr="0084365B">
        <w:rPr>
          <w:rFonts w:ascii="Verdana" w:hAnsi="Verdana" w:cs="Arial"/>
        </w:rPr>
        <w:lastRenderedPageBreak/>
        <w:t>atribuibles al adjudicatario o a quienes actúan en su beneficio. En consecuencia, las irregularidades derivadas exclusivamente de errores de apreciación, interpretación o actuación de la administración, sin evidencia de fraude, engaño, ocultamiento deliberado o cualquier otra conducta orientada a alterar ilegítimamente el resultado del procedimiento, no configuran por sí solas la causal excepcional prevista en el artículo 9 de la Ley 1150 de 2007.</w:t>
      </w:r>
      <w:r>
        <w:rPr>
          <w:rFonts w:ascii="Verdana" w:hAnsi="Verdana" w:cs="Arial"/>
        </w:rPr>
        <w:t xml:space="preserve"> Al respecto, la doctrina expresa:</w:t>
      </w:r>
    </w:p>
    <w:p w14:paraId="6BA088C4" w14:textId="77777777" w:rsidR="002439E3" w:rsidRDefault="002439E3" w:rsidP="002439E3">
      <w:pPr>
        <w:spacing w:after="0" w:line="276" w:lineRule="auto"/>
        <w:ind w:firstLine="709"/>
        <w:jc w:val="both"/>
        <w:rPr>
          <w:rFonts w:ascii="Verdana" w:hAnsi="Verdana" w:cs="Arial"/>
        </w:rPr>
      </w:pPr>
    </w:p>
    <w:p w14:paraId="08ABBFD7" w14:textId="77777777" w:rsidR="002439E3" w:rsidRDefault="002439E3" w:rsidP="002439E3">
      <w:pPr>
        <w:spacing w:after="0" w:line="240" w:lineRule="auto"/>
        <w:ind w:left="709" w:right="709"/>
        <w:jc w:val="both"/>
        <w:rPr>
          <w:rFonts w:ascii="Verdana" w:hAnsi="Verdana" w:cs="Arial"/>
          <w:sz w:val="20"/>
          <w:szCs w:val="20"/>
        </w:rPr>
      </w:pPr>
      <w:r w:rsidRPr="00934790">
        <w:rPr>
          <w:rFonts w:ascii="Verdana" w:hAnsi="Verdana" w:cs="Arial"/>
          <w:sz w:val="20"/>
          <w:szCs w:val="20"/>
        </w:rPr>
        <w:t xml:space="preserve">En adición a lo anterior, basta acudir a lo literal de la expresión” obtuvo por medios ilegales” contenida en la citada disposición, para colegir que el legislador solo permite la revocatoria del acto de adjudicación cuando quien la “obtuvo” lo haya hecho por medio ilegales. Por exclusión lógica derivada de la lectura de la norma, la entidad estatal o un tercero de quien supuestamente pudiera derivar el medio ilegal, no son quienes obtienen la adjudicación; de quien únicamente, se puede predicar la obtención de la adjudicación, es del adjudicatario, luego solo de él puede provenir el medio ilegal para considerar posible la revocatoria del acto por virtud del cual se otorga la adjudicación. </w:t>
      </w:r>
    </w:p>
    <w:p w14:paraId="3FEB5FAA" w14:textId="77777777" w:rsidR="002439E3" w:rsidRDefault="002439E3" w:rsidP="002439E3">
      <w:pPr>
        <w:spacing w:after="0" w:line="240" w:lineRule="auto"/>
        <w:ind w:left="709" w:right="709"/>
        <w:jc w:val="both"/>
        <w:rPr>
          <w:rFonts w:ascii="Verdana" w:hAnsi="Verdana" w:cs="Arial"/>
          <w:sz w:val="20"/>
          <w:szCs w:val="20"/>
        </w:rPr>
      </w:pPr>
      <w:r>
        <w:rPr>
          <w:rFonts w:ascii="Verdana" w:hAnsi="Verdana" w:cs="Arial"/>
          <w:sz w:val="20"/>
          <w:szCs w:val="20"/>
        </w:rPr>
        <w:t>[…]</w:t>
      </w:r>
    </w:p>
    <w:p w14:paraId="43C1DE51" w14:textId="77777777" w:rsidR="002439E3" w:rsidRPr="00934790" w:rsidRDefault="002439E3" w:rsidP="002439E3">
      <w:pPr>
        <w:spacing w:after="0" w:line="240" w:lineRule="auto"/>
        <w:ind w:left="709" w:right="709"/>
        <w:jc w:val="both"/>
        <w:rPr>
          <w:rFonts w:ascii="Verdana" w:hAnsi="Verdana" w:cs="Arial"/>
          <w:sz w:val="20"/>
          <w:szCs w:val="20"/>
        </w:rPr>
      </w:pPr>
      <w:r>
        <w:rPr>
          <w:rFonts w:ascii="Verdana" w:hAnsi="Verdana" w:cs="Arial"/>
          <w:sz w:val="20"/>
          <w:szCs w:val="20"/>
        </w:rPr>
        <w:t>Una lectura a la norma comentada podría ubicarnos también en el absurdo de concluir que la regla general de los actos de adjudicación es la revocabilidad y no lo contrario, pues cualquier medio ilegal derivado de cualquier persona (adjudicatario, entidad o tercero) constituiría causal de revocatoria, siendo exacta la situación que si se tratara de la causal de revocatoria de los actos administrativos previstos en el numeral 1° del Artículo 93 del CPACA, caso en el cual resultaría inocua la provisión contenida en el artículo 9 de la Ley 1150 de 2007 relativo a la excepción a la irrevocabilidad del acto de adjudicación comentada</w:t>
      </w:r>
      <w:r>
        <w:rPr>
          <w:rStyle w:val="Refdenotaalpie"/>
          <w:rFonts w:ascii="Verdana" w:hAnsi="Verdana" w:cs="Arial"/>
          <w:sz w:val="20"/>
          <w:szCs w:val="20"/>
        </w:rPr>
        <w:footnoteReference w:id="14"/>
      </w:r>
      <w:r>
        <w:rPr>
          <w:rFonts w:ascii="Verdana" w:hAnsi="Verdana" w:cs="Arial"/>
          <w:sz w:val="20"/>
          <w:szCs w:val="20"/>
        </w:rPr>
        <w:t xml:space="preserve">. </w:t>
      </w:r>
    </w:p>
    <w:p w14:paraId="7F7A8FEE" w14:textId="77777777" w:rsidR="002439E3" w:rsidRPr="001558A6" w:rsidRDefault="002439E3" w:rsidP="002439E3">
      <w:pPr>
        <w:spacing w:after="120" w:line="276" w:lineRule="auto"/>
        <w:jc w:val="both"/>
        <w:rPr>
          <w:rFonts w:ascii="Verdana" w:hAnsi="Verdana" w:cs="Arial"/>
        </w:rPr>
      </w:pPr>
    </w:p>
    <w:p w14:paraId="1BF09ABE" w14:textId="77777777" w:rsidR="002439E3" w:rsidRDefault="002439E3" w:rsidP="002439E3">
      <w:pPr>
        <w:spacing w:after="120" w:line="276" w:lineRule="auto"/>
        <w:ind w:firstLine="709"/>
        <w:jc w:val="both"/>
        <w:rPr>
          <w:rFonts w:ascii="Verdana" w:hAnsi="Verdana" w:cs="Arial"/>
        </w:rPr>
      </w:pPr>
      <w:r w:rsidRPr="00934790">
        <w:rPr>
          <w:rFonts w:ascii="Verdana" w:hAnsi="Verdana" w:cs="Arial"/>
        </w:rPr>
        <w:t xml:space="preserve">La determinación de si la actuación descrita configura la causal de obtención del acto administrativo por “medios ilegales” exige distinguir entre las irregularidades imputables al proponente y aquellas atribuibles exclusivamente a la administración. En efecto, esta causal de revocatoria se estructura cuando el adjudicatario incurre en dolo, fraude, colusión o engaño, ya sea ocultando información relevante, presentando documentos falsos o manipulando el procedimiento para obtener una ventaja indebida. </w:t>
      </w:r>
    </w:p>
    <w:p w14:paraId="786D3978" w14:textId="77777777" w:rsidR="002439E3" w:rsidRPr="00CC3836" w:rsidRDefault="002439E3" w:rsidP="002439E3">
      <w:pPr>
        <w:spacing w:after="120" w:line="276" w:lineRule="auto"/>
        <w:ind w:firstLine="709"/>
        <w:jc w:val="both"/>
        <w:rPr>
          <w:rFonts w:ascii="Verdana" w:hAnsi="Verdana" w:cs="Arial"/>
          <w:lang w:val="es-ES"/>
        </w:rPr>
      </w:pPr>
      <w:r w:rsidRPr="001B7F79">
        <w:rPr>
          <w:rFonts w:ascii="Verdana" w:hAnsi="Verdana" w:cs="Arial"/>
        </w:rPr>
        <w:lastRenderedPageBreak/>
        <w:t>En contraste, cuando la irregularidad deriva exclusivamente de la actuación de la entidad —como sucede con la valoración oficiosa de documentos presentados de manera extemporánea, en abierta vulneración del término preclusivo de la subsanación y con incidencia directa en el orden de elegibilidad del proceso de contratación— no se configura, en principio, un medio ilegal atribuible al particular. En esto</w:t>
      </w:r>
      <w:r>
        <w:rPr>
          <w:rFonts w:ascii="Verdana" w:hAnsi="Verdana" w:cs="Arial"/>
        </w:rPr>
        <w:t>s supuestos</w:t>
      </w:r>
      <w:r w:rsidRPr="001B7F79">
        <w:rPr>
          <w:rFonts w:ascii="Verdana" w:hAnsi="Verdana" w:cs="Arial"/>
        </w:rPr>
        <w:t xml:space="preserve">, el vicio corresponde a </w:t>
      </w:r>
      <w:r>
        <w:rPr>
          <w:rFonts w:ascii="Verdana" w:hAnsi="Verdana" w:cs="Arial"/>
        </w:rPr>
        <w:t xml:space="preserve">un incumplimiento de las reglas de </w:t>
      </w:r>
      <w:proofErr w:type="spellStart"/>
      <w:r>
        <w:rPr>
          <w:rFonts w:ascii="Verdana" w:hAnsi="Verdana" w:cs="Arial"/>
        </w:rPr>
        <w:t>subsanabilidad</w:t>
      </w:r>
      <w:proofErr w:type="spellEnd"/>
      <w:r>
        <w:rPr>
          <w:rFonts w:ascii="Verdana" w:hAnsi="Verdana" w:cs="Arial"/>
        </w:rPr>
        <w:t xml:space="preserve"> contempladas en el </w:t>
      </w:r>
      <w:r w:rsidRPr="00CC3836">
        <w:rPr>
          <w:rFonts w:ascii="Verdana" w:hAnsi="Verdana" w:cs="Arial"/>
          <w:lang w:val="es-ES"/>
        </w:rPr>
        <w:t>artículo 5° de la Ley 1882 de 2018</w:t>
      </w:r>
      <w:r>
        <w:rPr>
          <w:rStyle w:val="Refdenotaalpie"/>
          <w:rFonts w:ascii="Verdana" w:hAnsi="Verdana" w:cs="Arial"/>
          <w:lang w:val="es-ES"/>
        </w:rPr>
        <w:footnoteReference w:id="15"/>
      </w:r>
      <w:r w:rsidRPr="00CC3836">
        <w:rPr>
          <w:rFonts w:ascii="Verdana" w:hAnsi="Verdana" w:cs="Arial"/>
          <w:lang w:val="es-ES"/>
        </w:rPr>
        <w:t xml:space="preserve">, </w:t>
      </w:r>
      <w:r>
        <w:rPr>
          <w:rFonts w:ascii="Verdana" w:hAnsi="Verdana" w:cs="Arial"/>
          <w:lang w:val="es-ES"/>
        </w:rPr>
        <w:t xml:space="preserve">el cual </w:t>
      </w:r>
      <w:r w:rsidRPr="00CC3836">
        <w:rPr>
          <w:rFonts w:ascii="Verdana" w:hAnsi="Verdana" w:cs="Arial"/>
          <w:lang w:val="es-ES"/>
        </w:rPr>
        <w:t>establece que se mantiene el criterio del artículo 25, numeral 15 de la Ley 80 de 1993 y el parágrafo 1° del artículo 5° de la Ley 1150 de 2007, normas que reafirman que todo lo que no afecte la asignación de puntaje puede subsanarse. Por tanto, si los requisitos no otorgan puntaje y tienen el carácter de habilitantes para la participación en el proceso de contratación, se entiende que, en principio, son objeto de subsanación.</w:t>
      </w:r>
    </w:p>
    <w:p w14:paraId="1142B79E" w14:textId="77777777" w:rsidR="002439E3" w:rsidRPr="00CC3836" w:rsidRDefault="002439E3" w:rsidP="002439E3">
      <w:pPr>
        <w:spacing w:after="120" w:line="276" w:lineRule="auto"/>
        <w:ind w:firstLine="709"/>
        <w:jc w:val="both"/>
        <w:rPr>
          <w:rFonts w:ascii="Verdana" w:hAnsi="Verdana" w:cs="Arial"/>
          <w:lang w:val="es-ES"/>
        </w:rPr>
      </w:pPr>
      <w:r w:rsidRPr="00DB5E23">
        <w:rPr>
          <w:rFonts w:ascii="Verdana" w:hAnsi="Verdana" w:cs="Arial"/>
        </w:rPr>
        <w:t xml:space="preserve">Ahora bien, debe distinguirse con precisión entre la regla material de </w:t>
      </w:r>
      <w:proofErr w:type="spellStart"/>
      <w:r w:rsidRPr="00DB5E23">
        <w:rPr>
          <w:rFonts w:ascii="Verdana" w:hAnsi="Verdana" w:cs="Arial"/>
        </w:rPr>
        <w:t>subsanabilidad</w:t>
      </w:r>
      <w:proofErr w:type="spellEnd"/>
      <w:r w:rsidRPr="00DB5E23">
        <w:rPr>
          <w:rFonts w:ascii="Verdana" w:hAnsi="Verdana" w:cs="Arial"/>
        </w:rPr>
        <w:t xml:space="preserve"> y la regla temporal para ejercerla, pues se trata de dos limitaciones autónomas y acumulativas. La regla material, contenida en el parágrafo 1 del artículo 5 de la Ley 1150 de 2007, modificado por el artículo 5 de la Ley 1882 de 2018, </w:t>
      </w:r>
      <w:r w:rsidRPr="00D015B1">
        <w:rPr>
          <w:rFonts w:ascii="Verdana" w:hAnsi="Verdana" w:cs="Arial"/>
        </w:rPr>
        <w:t xml:space="preserve">excluye de plano la posibilidad de subsanar aquello que incide en la asignación de puntaje, así como los asuntos relacionados con la falta de capacidad para presentar la oferta y la acreditación de circunstancias </w:t>
      </w:r>
      <w:r w:rsidRPr="00D015B1">
        <w:rPr>
          <w:rFonts w:ascii="Verdana" w:hAnsi="Verdana" w:cs="Arial"/>
        </w:rPr>
        <w:lastRenderedPageBreak/>
        <w:t>ocurridas con posterioridad al cierre del proceso</w:t>
      </w:r>
      <w:r w:rsidRPr="00DB5E23">
        <w:rPr>
          <w:rFonts w:ascii="Verdana" w:hAnsi="Verdana" w:cs="Arial"/>
        </w:rPr>
        <w:t>. La regla temporal, por su parte, opera sobre lo que sí es materialmente subsanable y fija como límite el traslado del informe de evaluación. En consecuencia, cuando la irregularidad consiste en valorar oficiosamente documentos que otorgan puntaje aportados con posterioridad al cierre, no se está ante una subsanación extemporánea sino ante la valoración de documentos materialmente no subsanables, hipótesis que resulta aún más gravosa desde la perspectiva de la selección objetiva y de la igualdad entre los oferentes, y que impacta directamente la conformación del orden de elegibilidad.</w:t>
      </w:r>
    </w:p>
    <w:p w14:paraId="478AE82A" w14:textId="77777777" w:rsidR="002439E3" w:rsidRPr="00CC3836" w:rsidRDefault="002439E3" w:rsidP="002439E3">
      <w:pPr>
        <w:spacing w:after="120" w:line="276" w:lineRule="auto"/>
        <w:ind w:firstLine="709"/>
        <w:jc w:val="both"/>
        <w:rPr>
          <w:rFonts w:ascii="Verdana" w:hAnsi="Verdana" w:cs="Arial"/>
        </w:rPr>
      </w:pPr>
      <w:r w:rsidRPr="00CC3836">
        <w:rPr>
          <w:rFonts w:ascii="Verdana" w:hAnsi="Verdana" w:cs="Arial"/>
          <w:lang w:val="es-ES"/>
        </w:rPr>
        <w:t xml:space="preserve">En cuanto al término para subsanar, </w:t>
      </w:r>
      <w:r w:rsidRPr="00CC3836">
        <w:rPr>
          <w:rFonts w:ascii="Verdana" w:hAnsi="Verdana" w:cs="Arial"/>
          <w:lang w:val="es-ES_tradnl"/>
        </w:rPr>
        <w:t xml:space="preserve">la Ley 1882 de 2018 fijó una regla general y una excepción. La regla general es que el límite para que la entidad solicite y para que el proponente subsane es hasta el término de traslado del informe de evaluación que corresponda a cada modalidad de selección. La excepción es que el límite anterior no aplica para los procesos de mínima cuantía y para aquellos procesos de selección a través del sistema de subasta; en el último los documentos o requisitos subsanables pueden y deben solicitarse hasta el momento previo a la celebración de la audiencia. En cuanto al proceso de mínima cuantía, el Decreto 1082 de 2015 modificado por el Decreto 1860 de 2021, en su artículo 2.2.1.2.1.5.2., numeral 5° dispone que los proponentes podrán subsanar sus ofertas hasta antes que finalice el traslado del informe de evaluación, en el evento que la entidad estatal en la invitación y en los documentos del proceso no haya establecido dicho término. </w:t>
      </w:r>
    </w:p>
    <w:p w14:paraId="36F95CD7" w14:textId="77777777" w:rsidR="002439E3" w:rsidRPr="00934790" w:rsidRDefault="002439E3" w:rsidP="002439E3">
      <w:pPr>
        <w:spacing w:after="120" w:line="276" w:lineRule="auto"/>
        <w:ind w:firstLine="708"/>
        <w:jc w:val="both"/>
        <w:rPr>
          <w:rFonts w:ascii="Verdana" w:hAnsi="Verdana" w:cs="Arial"/>
        </w:rPr>
      </w:pPr>
      <w:r w:rsidRPr="003E51D1">
        <w:rPr>
          <w:rFonts w:ascii="Verdana" w:hAnsi="Verdana" w:cs="Arial"/>
        </w:rPr>
        <w:t>La eventual subsanación realizada por fuera de las reglas previstas en la Ley 1882 de 2018 constituye, en principio, un yerro atribuible a la administración y no una conducta dolosa del oferente. Solo sería posible predicar la existencia de “medios ilegales” si se demuestra, de manera clara y suficiente, la presencia de un acuerdo fraudulento entre el proponente y los funcionarios encargados de verificar los requisitos habilitantes y los criterios de evaluación. Únicamente una concertación de esa naturaleza permitiría transformar la irregularidad administrativa en una actuación deliberada orientada a manipular el resultado del proceso de selección.</w:t>
      </w:r>
    </w:p>
    <w:p w14:paraId="176B65D2" w14:textId="77777777" w:rsidR="002439E3" w:rsidRPr="00BC2C78" w:rsidRDefault="002439E3" w:rsidP="002439E3">
      <w:pPr>
        <w:spacing w:after="120" w:line="276" w:lineRule="auto"/>
        <w:ind w:firstLine="708"/>
        <w:jc w:val="both"/>
        <w:rPr>
          <w:rFonts w:ascii="Verdana" w:hAnsi="Verdana" w:cs="Arial"/>
        </w:rPr>
      </w:pPr>
      <w:r w:rsidRPr="00B408AA">
        <w:rPr>
          <w:rFonts w:ascii="Verdana" w:hAnsi="Verdana" w:cs="Arial"/>
        </w:rPr>
        <w:t xml:space="preserve">No obsta a lo anterior que el documento valorado extemporáneamente haya sido aportado materialmente por el proponente. La presentación tardía de un documento no constituye, por sí misma, una conducta fraudulenta en los </w:t>
      </w:r>
      <w:r w:rsidRPr="00B408AA">
        <w:rPr>
          <w:rFonts w:ascii="Verdana" w:hAnsi="Verdana" w:cs="Arial"/>
        </w:rPr>
        <w:lastRenderedPageBreak/>
        <w:t>términos analizados, pues no comporta engaño, falsedad ni ocultamiento: el proponente aporta un documento auténtico y la entidad conserva íntegro el deber de rechazarlo por extemporáneo o por recaer sobre un aspecto no subsanable. El desvalor jurídico se concentra, entonces, en la omisión del deber de verificación objetiva que corresponde a la administración. Cuestión distinta sería que se acreditara que el aporte tardío obedeció a un acuerdo previo con los servidores públicos encargados de la evaluación, o que el documento fuera falso o inexacto, supuestos en los cuales sí podría estructurarse la causal, siempre bajo estándar de prueba plena y previo agotamiento del procedimiento administrativo con garantía de audiencia y defensa.</w:t>
      </w:r>
    </w:p>
    <w:p w14:paraId="0E2DE83B" w14:textId="77777777" w:rsidR="002439E3" w:rsidRPr="00934790" w:rsidRDefault="002439E3" w:rsidP="002439E3">
      <w:pPr>
        <w:spacing w:after="120" w:line="276" w:lineRule="auto"/>
        <w:ind w:firstLine="709"/>
        <w:jc w:val="both"/>
        <w:rPr>
          <w:rFonts w:ascii="Verdana" w:hAnsi="Verdana" w:cs="Arial"/>
        </w:rPr>
      </w:pPr>
      <w:r w:rsidRPr="00934790">
        <w:rPr>
          <w:rFonts w:ascii="Verdana" w:hAnsi="Verdana" w:cs="Arial"/>
        </w:rPr>
        <w:t xml:space="preserve">Desde esta perspectiva, la ilegalidad derivada de la actuación de la entidad constituye un vicio de legalidad del acto de adjudicación, relacionado con la infracción de normas procedimentales </w:t>
      </w:r>
      <w:r>
        <w:rPr>
          <w:rFonts w:ascii="Verdana" w:hAnsi="Verdana" w:cs="Arial"/>
        </w:rPr>
        <w:t>dentro del proceso de contratación</w:t>
      </w:r>
      <w:r w:rsidRPr="00934790">
        <w:rPr>
          <w:rFonts w:ascii="Verdana" w:hAnsi="Verdana" w:cs="Arial"/>
        </w:rPr>
        <w:t>, la falsa motivación o incluso la desviación de poder. Sin embargo, este tipo de irregularidades no encajan en la categoría de “</w:t>
      </w:r>
      <w:r>
        <w:rPr>
          <w:rFonts w:ascii="Verdana" w:hAnsi="Verdana" w:cs="Arial"/>
        </w:rPr>
        <w:t xml:space="preserve">obtención por </w:t>
      </w:r>
      <w:r w:rsidRPr="00934790">
        <w:rPr>
          <w:rFonts w:ascii="Verdana" w:hAnsi="Verdana" w:cs="Arial"/>
        </w:rPr>
        <w:t xml:space="preserve">medios ilegales” en sentido estricto, pues no implican una conducta dolosa del adjudicatario dirigida a obtener indebidamente la adjudicación. </w:t>
      </w:r>
      <w:r>
        <w:rPr>
          <w:rFonts w:ascii="Verdana" w:hAnsi="Verdana" w:cs="Arial"/>
        </w:rPr>
        <w:t>En este sentido, se insiste que</w:t>
      </w:r>
      <w:r w:rsidRPr="00934790">
        <w:rPr>
          <w:rFonts w:ascii="Verdana" w:hAnsi="Verdana" w:cs="Arial"/>
        </w:rPr>
        <w:t xml:space="preserve"> la causal de medios ilegales es excepcional y requiere prueba plena de la conducta fraudulenta, de modo que no puede extenderse a errores administrativos, por más graves que sean, si no existe participación o beneficio ilícito del</w:t>
      </w:r>
      <w:r>
        <w:rPr>
          <w:rFonts w:ascii="Verdana" w:hAnsi="Verdana" w:cs="Arial"/>
        </w:rPr>
        <w:t xml:space="preserve"> proponente adjudicatario</w:t>
      </w:r>
      <w:r w:rsidRPr="00934790">
        <w:rPr>
          <w:rFonts w:ascii="Verdana" w:hAnsi="Verdana" w:cs="Arial"/>
        </w:rPr>
        <w:t>.</w:t>
      </w:r>
    </w:p>
    <w:p w14:paraId="1232E917" w14:textId="77777777" w:rsidR="002439E3" w:rsidRPr="00934790" w:rsidRDefault="002439E3" w:rsidP="002439E3">
      <w:pPr>
        <w:spacing w:after="120" w:line="276" w:lineRule="auto"/>
        <w:ind w:firstLine="709"/>
        <w:jc w:val="both"/>
        <w:rPr>
          <w:rFonts w:ascii="Verdana" w:hAnsi="Verdana" w:cs="Arial"/>
        </w:rPr>
      </w:pPr>
      <w:r w:rsidRPr="00FF0746">
        <w:rPr>
          <w:rFonts w:ascii="Verdana" w:hAnsi="Verdana" w:cs="Arial"/>
        </w:rPr>
        <w:t>En cuanto a la posibilidad de revocar el acto de adjudicación, el punto de partida no es el artículo 97 del CPACA sino el inciso tercero del artículo 9 de la Ley 1150 de 2007, norma especial que, conforme a la cláusula de salvedad del propio artículo 97 —"salvo las excepciones establecidas en la ley"—, regula íntegramente la materia. Bajo ese régimen, el acto de adjudicación es irrevocable, y solo cede ante la configuración probada de una inhabilidad o incompatibilidad sobreviniente o de la obtención por medios ilegales. De ello se derivan dos consecuencias simétricas: por una parte, verificada la causal mediante un procedimiento respetuoso del debido proceso, la entidad puede revocar sin consentimiento del adjudicatario; por otra, no verificada la causal —como ocurre cuando la irregularidad es exclusivamente imputable a la entidad—, la revocatoria resulta improcedente aun mediando aquiescencia del particular, pues la irrevocabilidad no está establecida únicamente en su interés individual.</w:t>
      </w:r>
    </w:p>
    <w:p w14:paraId="4624E009" w14:textId="77777777" w:rsidR="002439E3" w:rsidRPr="00561C52" w:rsidRDefault="002439E3" w:rsidP="002439E3">
      <w:pPr>
        <w:spacing w:after="120" w:line="276" w:lineRule="auto"/>
        <w:ind w:firstLine="709"/>
        <w:jc w:val="both"/>
        <w:rPr>
          <w:rFonts w:ascii="Verdana" w:hAnsi="Verdana" w:cs="Arial"/>
        </w:rPr>
      </w:pPr>
      <w:r w:rsidRPr="00B408AA">
        <w:rPr>
          <w:rFonts w:ascii="Verdana" w:hAnsi="Verdana" w:cs="Arial"/>
        </w:rPr>
        <w:lastRenderedPageBreak/>
        <w:t>Por consiguiente, cuando la entidad advierte que, por un error propio, alteró ilegalmente el orden de elegibilidad y vulneró los principios de transparencia y selección objetiva, no le es dado corregir el vicio mediante revocatoria directa, con independencia de la posición que asuma el adjudicatario frente a ella.</w:t>
      </w:r>
      <w:r w:rsidRPr="00561C52">
        <w:rPr>
          <w:rFonts w:ascii="Verdana" w:hAnsi="Verdana" w:cs="Arial"/>
        </w:rPr>
        <w:t xml:space="preserve"> En este escenario, la vía idónea para corregir el vicio es acudir al medio de control de nulidad y restablecimiento del derecho previsto en el artículo 138 del CPACA, mediante el cual la entidad demanda su propio acto ante la jurisdicción </w:t>
      </w:r>
      <w:r w:rsidRPr="00B408AA">
        <w:rPr>
          <w:rFonts w:ascii="Verdana" w:hAnsi="Verdana" w:cs="Arial"/>
        </w:rPr>
        <w:t>de lo</w:t>
      </w:r>
      <w:r w:rsidRPr="00561C52">
        <w:rPr>
          <w:rFonts w:ascii="Verdana" w:hAnsi="Verdana" w:cs="Arial"/>
        </w:rPr>
        <w:t xml:space="preserve"> contencioso administrativo para obtener su anulación. Además, para impedir que el contrato se perfeccione o ejecute mientras el juez decide de fondo, la entidad debe solicitar la suspensión provisional de los efectos del acto de adjudicación como medida cautelar, con el fin de neutralizar temporalmente sus efectos y evitar que la ilegalidad se proyecte hacia la celebración o ejecución de un contrato afectado desde su origen por un error sustancial en la evaluación de las ofertas.</w:t>
      </w:r>
    </w:p>
    <w:p w14:paraId="0FB39A74" w14:textId="77777777" w:rsidR="002439E3" w:rsidRPr="00561C52" w:rsidRDefault="002439E3" w:rsidP="002439E3">
      <w:pPr>
        <w:spacing w:after="120" w:line="276" w:lineRule="auto"/>
        <w:ind w:firstLine="709"/>
        <w:jc w:val="both"/>
        <w:rPr>
          <w:rFonts w:ascii="Verdana" w:hAnsi="Verdana" w:cs="Arial"/>
        </w:rPr>
      </w:pPr>
      <w:r w:rsidRPr="00B408AA">
        <w:rPr>
          <w:rFonts w:ascii="Verdana" w:hAnsi="Verdana" w:cs="Arial"/>
        </w:rPr>
        <w:t>Ahora bien, esta vía está sujeta a un condicionamiento procesal determinante:</w:t>
      </w:r>
      <w:r w:rsidRPr="00561C52">
        <w:rPr>
          <w:rFonts w:ascii="Verdana" w:hAnsi="Verdana" w:cs="Arial"/>
        </w:rPr>
        <w:t xml:space="preserve"> por tratarse de un acto administrativo proferido antes de la celebración del contrato, el literal c) del numeral 2 del artículo 164 de la Ley 1437 de 2011 fija un término de caducidad de treinta (30) días contados a partir del día siguiente a su comunicación, notificación, ejecución o publicación, según el caso. Vencido ese término sin que se haya presentado la demanda, y celebrado el contrato, el acto de adjudicación solo podrá controvertirse a través de la pretensión de nulidad absoluta del contrato, conforme al parágrafo del artículo 141 del mismo estatuto.</w:t>
      </w:r>
      <w:r w:rsidRPr="00295A19">
        <w:rPr>
          <w:rFonts w:ascii="Verdana" w:hAnsi="Verdana" w:cs="Arial"/>
        </w:rPr>
        <w:t xml:space="preserve"> </w:t>
      </w:r>
      <w:r w:rsidRPr="00B408AA">
        <w:rPr>
          <w:rFonts w:ascii="Verdana" w:hAnsi="Verdana" w:cs="Arial"/>
        </w:rPr>
        <w:t>A ello se suma una precisión que la entidad debe considerar al planear su actuación: el inciso tercero del artículo 97 del CPACA exonera del procedimiento previo de conciliación únicamente cuando la administración estima que el acto ocurrió por medios ilegales o fraudulentos, hipótesis que, conforme a lo expuesto, no se configura cuando la irregularidad es exclusivamente imputable a la entidad. En consecuencia, en ese escenario la conciliación extrajudicial opera como requisito de procedibilidad, sin perjuicio de que su solicitud suspenda el término de caducidad en los términos previstos en la normativa que regula la materia.</w:t>
      </w:r>
      <w:r w:rsidRPr="00295A19">
        <w:rPr>
          <w:rFonts w:ascii="Verdana" w:hAnsi="Verdana" w:cs="Arial"/>
        </w:rPr>
        <w:t xml:space="preserve"> </w:t>
      </w:r>
      <w:r w:rsidRPr="00561C52">
        <w:rPr>
          <w:rFonts w:ascii="Verdana" w:hAnsi="Verdana" w:cs="Arial"/>
        </w:rPr>
        <w:t xml:space="preserve"> Esta circunstancia impone a la entidad una especial diligencia, pues la corrección del vicio depende de una actuación oportuna.</w:t>
      </w:r>
    </w:p>
    <w:p w14:paraId="78391E2B" w14:textId="77777777" w:rsidR="002439E3" w:rsidRPr="00465568" w:rsidRDefault="002439E3" w:rsidP="002439E3">
      <w:pPr>
        <w:spacing w:after="0" w:line="276" w:lineRule="auto"/>
        <w:ind w:firstLine="709"/>
        <w:jc w:val="both"/>
        <w:rPr>
          <w:rFonts w:ascii="Verdana" w:hAnsi="Verdana" w:cs="Arial"/>
        </w:rPr>
      </w:pPr>
      <w:r w:rsidRPr="00FC0DD3">
        <w:rPr>
          <w:rFonts w:ascii="Verdana" w:hAnsi="Verdana" w:cs="Arial"/>
        </w:rPr>
        <w:t xml:space="preserve">Finalmente, conviene precisar que la conclusión anterior no varía por el hecho de que el proceso de contratación se rija por Documentos Tipo. El artículo </w:t>
      </w:r>
      <w:r w:rsidRPr="00FC0DD3">
        <w:rPr>
          <w:rFonts w:ascii="Verdana" w:hAnsi="Verdana" w:cs="Arial"/>
        </w:rPr>
        <w:lastRenderedPageBreak/>
        <w:t>1 de la Ley 2022 de 2020</w:t>
      </w:r>
      <w:r>
        <w:rPr>
          <w:rFonts w:ascii="Verdana" w:hAnsi="Verdana" w:cs="Arial"/>
        </w:rPr>
        <w:t xml:space="preserve">, </w:t>
      </w:r>
      <w:r w:rsidRPr="000D63C9">
        <w:rPr>
          <w:rFonts w:ascii="Verdana" w:hAnsi="Verdana" w:cs="Arial"/>
        </w:rPr>
        <w:t xml:space="preserve">que modificó el artículo 4 de la Ley 1882 de </w:t>
      </w:r>
      <w:proofErr w:type="gramStart"/>
      <w:r w:rsidRPr="000D63C9">
        <w:rPr>
          <w:rFonts w:ascii="Verdana" w:hAnsi="Verdana" w:cs="Arial"/>
        </w:rPr>
        <w:t xml:space="preserve">2018, </w:t>
      </w:r>
      <w:r w:rsidRPr="00FC0DD3">
        <w:rPr>
          <w:rFonts w:ascii="Verdana" w:hAnsi="Verdana" w:cs="Arial"/>
        </w:rPr>
        <w:t xml:space="preserve"> atribuye</w:t>
      </w:r>
      <w:proofErr w:type="gramEnd"/>
      <w:r w:rsidRPr="00FC0DD3">
        <w:rPr>
          <w:rFonts w:ascii="Verdana" w:hAnsi="Verdana" w:cs="Arial"/>
        </w:rPr>
        <w:t xml:space="preserve"> a la Agencia Nacional de Contratación Pública – Colombia Compra Eficiente la competencia para adoptar Documentos Tipo de obligatorio cumplimiento, cuyos parámetros son inalterables por las entidades estatales, salvo en los apartados expresamente definidos como variables o de diligenciamiento por la entidad. La inobservancia de esa inalterabilidad —incluida la que se produce al aplicar reglas de evaluación o de subsanación distintas de las previstas en el documento tipo— compromete la legalidad del procedimiento y puede dar lugar a las responsabilidades disciplinarias, fiscales y penales a que haya lugar. Sin embargo, se trata igualmente de un vicio imputable a la entidad y, por sí solo, no traslada al adjudicatario la conducta fraudulenta que exige la causal de obtención por medios ilegales, salvo que se acredite su concertación con los servidores públicos que adelantaron la evaluación.</w:t>
      </w:r>
    </w:p>
    <w:p w14:paraId="42474325" w14:textId="77777777" w:rsidR="002439E3" w:rsidRPr="00465568" w:rsidRDefault="002439E3" w:rsidP="002439E3">
      <w:pPr>
        <w:spacing w:after="0" w:line="276" w:lineRule="auto"/>
        <w:jc w:val="both"/>
        <w:rPr>
          <w:rFonts w:ascii="Verdana" w:eastAsia="Calibri" w:hAnsi="Verdana" w:cs="Arial"/>
          <w:color w:val="000000"/>
          <w:szCs w:val="24"/>
          <w:lang w:val="es-ES_tradnl" w:eastAsia="es-ES_tradnl"/>
        </w:rPr>
      </w:pPr>
    </w:p>
    <w:p w14:paraId="42E7AF18" w14:textId="77777777" w:rsidR="002439E3" w:rsidRPr="00465568" w:rsidRDefault="002439E3" w:rsidP="002439E3">
      <w:pPr>
        <w:spacing w:after="120" w:line="276" w:lineRule="auto"/>
        <w:jc w:val="both"/>
        <w:rPr>
          <w:rFonts w:ascii="Verdana" w:eastAsia="Calibri" w:hAnsi="Verdana" w:cs="Arial"/>
          <w:bCs/>
          <w:color w:val="000000" w:themeColor="text1"/>
        </w:rPr>
      </w:pPr>
      <w:proofErr w:type="spellStart"/>
      <w:r w:rsidRPr="00465568">
        <w:rPr>
          <w:rFonts w:ascii="Verdana" w:eastAsia="Calibri" w:hAnsi="Verdana" w:cs="Arial"/>
          <w:bCs/>
          <w:color w:val="000000" w:themeColor="text1"/>
        </w:rPr>
        <w:t>i</w:t>
      </w:r>
      <w:r>
        <w:rPr>
          <w:rFonts w:ascii="Verdana" w:eastAsia="Calibri" w:hAnsi="Verdana" w:cs="Arial"/>
          <w:bCs/>
          <w:color w:val="000000" w:themeColor="text1"/>
        </w:rPr>
        <w:t>v</w:t>
      </w:r>
      <w:proofErr w:type="spellEnd"/>
      <w:r w:rsidRPr="00465568">
        <w:rPr>
          <w:rFonts w:ascii="Verdana" w:eastAsia="Calibri" w:hAnsi="Verdana" w:cs="Arial"/>
          <w:bCs/>
          <w:color w:val="000000" w:themeColor="text1"/>
        </w:rPr>
        <w:t xml:space="preserve">. Al margen de la explicación precedente debe advertirse que </w:t>
      </w:r>
      <w:r w:rsidRPr="00B714E4">
        <w:rPr>
          <w:rFonts w:ascii="Verdana" w:eastAsia="Calibri" w:hAnsi="Verdana" w:cs="Arial"/>
          <w:color w:val="000000" w:themeColor="text1"/>
        </w:rPr>
        <w:t xml:space="preserve">el análisis requerido para resolver problemas específicos en torno a los errores en la </w:t>
      </w:r>
      <w:r w:rsidRPr="00B714E4">
        <w:rPr>
          <w:rFonts w:ascii="Verdana" w:eastAsia="Calibri" w:hAnsi="Verdana" w:cs="Arial"/>
          <w:bCs/>
          <w:color w:val="000000" w:themeColor="text1"/>
        </w:rPr>
        <w:t>verificación</w:t>
      </w:r>
      <w:r w:rsidRPr="00B714E4">
        <w:rPr>
          <w:rFonts w:ascii="Verdana" w:eastAsia="Calibri" w:hAnsi="Verdana" w:cs="Arial"/>
          <w:color w:val="000000" w:themeColor="text1"/>
        </w:rPr>
        <w:t xml:space="preserve"> de </w:t>
      </w:r>
      <w:r w:rsidRPr="00B714E4">
        <w:rPr>
          <w:rFonts w:ascii="Verdana" w:eastAsia="Calibri" w:hAnsi="Verdana" w:cs="Arial"/>
          <w:bCs/>
          <w:color w:val="000000" w:themeColor="text1"/>
        </w:rPr>
        <w:t xml:space="preserve">requisitos habilitantes y en </w:t>
      </w:r>
      <w:r w:rsidRPr="00B714E4">
        <w:rPr>
          <w:rFonts w:ascii="Verdana" w:eastAsia="Calibri" w:hAnsi="Verdana" w:cs="Arial"/>
          <w:color w:val="000000" w:themeColor="text1"/>
        </w:rPr>
        <w:t xml:space="preserve">la </w:t>
      </w:r>
      <w:r w:rsidRPr="00B714E4">
        <w:rPr>
          <w:rFonts w:ascii="Verdana" w:eastAsia="Calibri" w:hAnsi="Verdana" w:cs="Arial"/>
          <w:bCs/>
          <w:color w:val="000000" w:themeColor="text1"/>
        </w:rPr>
        <w:t>asignación de puntaje dentro del proceso de selección</w:t>
      </w:r>
      <w:r w:rsidRPr="00B714E4">
        <w:rPr>
          <w:rFonts w:ascii="Verdana" w:eastAsia="Calibri" w:hAnsi="Verdana" w:cs="Arial"/>
          <w:color w:val="000000" w:themeColor="text1"/>
        </w:rPr>
        <w:t xml:space="preserve"> debe ser realizado por quienes tengan interés en ello, de acuerdo con lo explicado </w:t>
      </w:r>
      <w:r w:rsidRPr="00B714E4">
        <w:rPr>
          <w:rFonts w:ascii="Verdana" w:eastAsia="Calibri" w:hAnsi="Verdana" w:cs="Arial"/>
          <w:bCs/>
          <w:color w:val="000000" w:themeColor="text1"/>
        </w:rPr>
        <w:t xml:space="preserve">en </w:t>
      </w:r>
      <w:r w:rsidRPr="00B714E4">
        <w:rPr>
          <w:rFonts w:ascii="Verdana" w:eastAsia="Calibri" w:hAnsi="Verdana" w:cs="Arial"/>
          <w:color w:val="000000" w:themeColor="text1"/>
        </w:rPr>
        <w:t>la aclaración preliminar del presente oficio</w:t>
      </w:r>
      <w:r w:rsidRPr="00465568">
        <w:rPr>
          <w:rFonts w:ascii="Verdana" w:eastAsia="Calibri" w:hAnsi="Verdana" w:cs="Arial"/>
          <w:bCs/>
          <w:color w:val="000000" w:themeColor="text1"/>
        </w:rPr>
        <w:t xml:space="preserve">. De esta manera, las afirmaciones aquí realizadas no pueden ser interpretadas como juicios de valor sobre circunstancias concretas relacionadas con los hechos que motivan la consulta. </w:t>
      </w:r>
      <w:r w:rsidRPr="00B714E4">
        <w:rPr>
          <w:rFonts w:ascii="Verdana" w:eastAsia="Calibri" w:hAnsi="Verdana" w:cs="Arial"/>
          <w:bCs/>
          <w:color w:val="000000" w:themeColor="text1"/>
        </w:rPr>
        <w:t>Por lo anterior, previo concepto de sus asesores, la solución de situaciones particulares corresponde a los interesados adoptar la decisión correspondiente y, en caso de conflicto, a las autoridades judiciales, fiscales y disciplinarias.</w:t>
      </w:r>
    </w:p>
    <w:p w14:paraId="4D34FE97" w14:textId="77777777" w:rsidR="002439E3" w:rsidRPr="00465568" w:rsidRDefault="002439E3" w:rsidP="002439E3">
      <w:pPr>
        <w:spacing w:after="0" w:line="276" w:lineRule="auto"/>
        <w:ind w:firstLine="708"/>
        <w:jc w:val="both"/>
        <w:rPr>
          <w:rFonts w:ascii="Verdana" w:eastAsia="Calibri" w:hAnsi="Verdana" w:cs="Arial"/>
          <w:bCs/>
          <w:color w:val="000000" w:themeColor="text1"/>
        </w:rPr>
      </w:pPr>
      <w:r w:rsidRPr="00465568">
        <w:rPr>
          <w:rFonts w:ascii="Verdana" w:eastAsia="Calibri" w:hAnsi="Verdana" w:cs="Arial"/>
          <w:bCs/>
          <w:color w:val="000000" w:themeColor="text1"/>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p w14:paraId="0517BCA7" w14:textId="77777777" w:rsidR="002439E3" w:rsidRPr="00465568" w:rsidRDefault="002439E3" w:rsidP="002439E3">
      <w:pPr>
        <w:tabs>
          <w:tab w:val="left" w:pos="709"/>
        </w:tabs>
        <w:spacing w:after="0" w:line="276" w:lineRule="auto"/>
        <w:jc w:val="both"/>
        <w:rPr>
          <w:rFonts w:ascii="Verdana" w:eastAsia="Calibri" w:hAnsi="Verdana" w:cs="Arial"/>
          <w:color w:val="000000" w:themeColor="text1"/>
        </w:rPr>
      </w:pPr>
    </w:p>
    <w:p w14:paraId="7AAD0551" w14:textId="77777777" w:rsidR="002439E3" w:rsidRPr="002E44F0" w:rsidRDefault="002439E3" w:rsidP="002439E3">
      <w:pPr>
        <w:pStyle w:val="Prrafodelista"/>
        <w:numPr>
          <w:ilvl w:val="0"/>
          <w:numId w:val="16"/>
        </w:numPr>
        <w:tabs>
          <w:tab w:val="left" w:pos="142"/>
          <w:tab w:val="left" w:pos="284"/>
        </w:tabs>
        <w:spacing w:after="0" w:line="276" w:lineRule="auto"/>
        <w:jc w:val="both"/>
        <w:rPr>
          <w:rFonts w:ascii="Verdana" w:eastAsia="Century Gothic" w:hAnsi="Verdana" w:cs="Century Gothic"/>
          <w:b/>
        </w:rPr>
      </w:pPr>
      <w:r w:rsidRPr="002E44F0">
        <w:rPr>
          <w:rFonts w:ascii="Verdana" w:eastAsia="Century Gothic" w:hAnsi="Verdana" w:cs="Century Gothic"/>
          <w:b/>
        </w:rPr>
        <w:lastRenderedPageBreak/>
        <w:t>Referencias normativas:</w:t>
      </w:r>
    </w:p>
    <w:p w14:paraId="5AB1EC89" w14:textId="77777777" w:rsidR="002439E3" w:rsidRPr="00465568" w:rsidRDefault="002439E3" w:rsidP="002439E3">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2439E3" w:rsidRPr="00465568" w14:paraId="69784A8D" w14:textId="77777777" w:rsidTr="00677F53">
        <w:trPr>
          <w:trHeight w:val="439"/>
          <w:jc w:val="center"/>
        </w:trPr>
        <w:tc>
          <w:tcPr>
            <w:tcW w:w="8647" w:type="dxa"/>
          </w:tcPr>
          <w:p w14:paraId="76CC2433" w14:textId="77777777" w:rsidR="002439E3" w:rsidRPr="00465568" w:rsidRDefault="002439E3" w:rsidP="00677F53">
            <w:pPr>
              <w:widowControl w:val="0"/>
              <w:numPr>
                <w:ilvl w:val="0"/>
                <w:numId w:val="17"/>
              </w:numPr>
              <w:autoSpaceDE w:val="0"/>
              <w:autoSpaceDN w:val="0"/>
              <w:spacing w:after="120" w:line="276" w:lineRule="auto"/>
              <w:ind w:left="714" w:hanging="357"/>
              <w:jc w:val="both"/>
              <w:rPr>
                <w:rFonts w:ascii="Verdana" w:hAnsi="Verdana" w:cs="Arial"/>
                <w:lang w:val="es-ES"/>
              </w:rPr>
            </w:pPr>
            <w:r w:rsidRPr="00465568">
              <w:rPr>
                <w:rFonts w:ascii="Verdana" w:hAnsi="Verdana" w:cs="Arial"/>
                <w:lang w:val="es-ES"/>
              </w:rPr>
              <w:t>Constitución Política de 1991, artículo</w:t>
            </w:r>
            <w:r>
              <w:rPr>
                <w:rFonts w:ascii="Verdana" w:hAnsi="Verdana" w:cs="Arial"/>
                <w:lang w:val="es-ES"/>
              </w:rPr>
              <w:t>s</w:t>
            </w:r>
            <w:r w:rsidRPr="00465568">
              <w:rPr>
                <w:rFonts w:ascii="Verdana" w:hAnsi="Verdana" w:cs="Arial"/>
                <w:lang w:val="es-ES"/>
              </w:rPr>
              <w:t xml:space="preserve"> 29</w:t>
            </w:r>
            <w:r>
              <w:rPr>
                <w:rFonts w:ascii="Verdana" w:hAnsi="Verdana" w:cs="Arial"/>
                <w:lang w:val="es-ES"/>
              </w:rPr>
              <w:t xml:space="preserve"> y 83</w:t>
            </w:r>
            <w:r w:rsidRPr="00465568">
              <w:rPr>
                <w:rFonts w:ascii="Verdana" w:hAnsi="Verdana" w:cs="Arial"/>
                <w:lang w:val="es-ES"/>
              </w:rPr>
              <w:t>.</w:t>
            </w:r>
          </w:p>
          <w:p w14:paraId="1095AFF7" w14:textId="77777777" w:rsidR="002439E3" w:rsidRPr="00465568" w:rsidRDefault="002439E3" w:rsidP="00677F53">
            <w:pPr>
              <w:widowControl w:val="0"/>
              <w:numPr>
                <w:ilvl w:val="0"/>
                <w:numId w:val="17"/>
              </w:numPr>
              <w:autoSpaceDE w:val="0"/>
              <w:autoSpaceDN w:val="0"/>
              <w:spacing w:after="120" w:line="276" w:lineRule="auto"/>
              <w:ind w:left="714" w:hanging="357"/>
              <w:jc w:val="both"/>
              <w:rPr>
                <w:rFonts w:ascii="Verdana" w:hAnsi="Verdana" w:cs="Arial"/>
                <w:lang w:val="es-ES"/>
              </w:rPr>
            </w:pPr>
            <w:r w:rsidRPr="00465568">
              <w:rPr>
                <w:rFonts w:ascii="Verdana" w:hAnsi="Verdana" w:cs="Arial"/>
                <w:lang w:val="es-ES"/>
              </w:rPr>
              <w:t xml:space="preserve">Ley 80 de 1993, artículos </w:t>
            </w:r>
            <w:r>
              <w:rPr>
                <w:rFonts w:ascii="Verdana" w:hAnsi="Verdana" w:cs="Arial"/>
                <w:lang w:val="es-ES"/>
              </w:rPr>
              <w:t>30</w:t>
            </w:r>
            <w:r w:rsidRPr="00465568">
              <w:rPr>
                <w:rFonts w:ascii="Verdana" w:hAnsi="Verdana" w:cs="Arial"/>
                <w:lang w:val="es-ES"/>
              </w:rPr>
              <w:t xml:space="preserve">, </w:t>
            </w:r>
            <w:r>
              <w:rPr>
                <w:rFonts w:ascii="Verdana" w:hAnsi="Verdana" w:cs="Arial"/>
                <w:lang w:val="es-ES"/>
              </w:rPr>
              <w:t xml:space="preserve">40, </w:t>
            </w:r>
            <w:r w:rsidRPr="00465568">
              <w:rPr>
                <w:rFonts w:ascii="Verdana" w:hAnsi="Verdana" w:cs="Arial"/>
                <w:lang w:val="es-ES"/>
              </w:rPr>
              <w:t>4</w:t>
            </w:r>
            <w:r>
              <w:rPr>
                <w:rFonts w:ascii="Verdana" w:hAnsi="Verdana" w:cs="Arial"/>
                <w:lang w:val="es-ES"/>
              </w:rPr>
              <w:t>1, 44 y 45</w:t>
            </w:r>
            <w:r w:rsidRPr="00465568">
              <w:rPr>
                <w:rFonts w:ascii="Verdana" w:hAnsi="Verdana" w:cs="Arial"/>
                <w:lang w:val="es-ES"/>
              </w:rPr>
              <w:t>.</w:t>
            </w:r>
          </w:p>
          <w:p w14:paraId="598C5EE3" w14:textId="77777777" w:rsidR="002439E3" w:rsidRPr="00465568" w:rsidRDefault="002439E3" w:rsidP="00677F53">
            <w:pPr>
              <w:widowControl w:val="0"/>
              <w:numPr>
                <w:ilvl w:val="0"/>
                <w:numId w:val="17"/>
              </w:numPr>
              <w:autoSpaceDE w:val="0"/>
              <w:autoSpaceDN w:val="0"/>
              <w:spacing w:after="120" w:line="276" w:lineRule="auto"/>
              <w:ind w:left="714" w:hanging="357"/>
              <w:jc w:val="both"/>
              <w:rPr>
                <w:rFonts w:ascii="Verdana" w:hAnsi="Verdana" w:cs="Arial"/>
                <w:lang w:val="es-ES"/>
              </w:rPr>
            </w:pPr>
            <w:r w:rsidRPr="00465568">
              <w:rPr>
                <w:rFonts w:ascii="Verdana" w:hAnsi="Verdana" w:cs="Arial"/>
                <w:lang w:val="es-ES"/>
              </w:rPr>
              <w:t>Ley 1150 de 2007, artículo</w:t>
            </w:r>
            <w:r>
              <w:rPr>
                <w:rFonts w:ascii="Verdana" w:hAnsi="Verdana" w:cs="Arial"/>
                <w:lang w:val="es-ES"/>
              </w:rPr>
              <w:t>s 5 y</w:t>
            </w:r>
            <w:r w:rsidRPr="00465568">
              <w:rPr>
                <w:rFonts w:ascii="Verdana" w:hAnsi="Verdana" w:cs="Arial"/>
                <w:lang w:val="es-ES"/>
              </w:rPr>
              <w:t xml:space="preserve"> 9.</w:t>
            </w:r>
          </w:p>
          <w:p w14:paraId="7921013B" w14:textId="77777777" w:rsidR="002439E3" w:rsidRPr="007E5C87" w:rsidRDefault="002439E3" w:rsidP="00677F53">
            <w:pPr>
              <w:widowControl w:val="0"/>
              <w:numPr>
                <w:ilvl w:val="0"/>
                <w:numId w:val="17"/>
              </w:numPr>
              <w:autoSpaceDE w:val="0"/>
              <w:autoSpaceDN w:val="0"/>
              <w:spacing w:after="120" w:line="276" w:lineRule="auto"/>
              <w:ind w:left="714" w:hanging="357"/>
              <w:jc w:val="both"/>
              <w:rPr>
                <w:rFonts w:ascii="Verdana" w:hAnsi="Verdana" w:cs="Arial"/>
                <w:color w:val="000000" w:themeColor="text1"/>
                <w:lang w:val="es-ES_tradnl"/>
              </w:rPr>
            </w:pPr>
            <w:r w:rsidRPr="00465568">
              <w:rPr>
                <w:rFonts w:ascii="Verdana" w:eastAsia="Calibri" w:hAnsi="Verdana" w:cs="Arial"/>
                <w:bCs/>
                <w:color w:val="000000" w:themeColor="text1"/>
                <w:lang w:val="es-ES_tradnl"/>
              </w:rPr>
              <w:t>Ley 1437 de 2011, artículo</w:t>
            </w:r>
            <w:r>
              <w:rPr>
                <w:rFonts w:ascii="Verdana" w:eastAsia="Calibri" w:hAnsi="Verdana" w:cs="Arial"/>
                <w:bCs/>
                <w:color w:val="000000" w:themeColor="text1"/>
                <w:lang w:val="es-ES_tradnl"/>
              </w:rPr>
              <w:t>s 3, 34, 93,</w:t>
            </w:r>
            <w:r w:rsidRPr="00465568">
              <w:rPr>
                <w:rFonts w:ascii="Verdana" w:eastAsia="Calibri" w:hAnsi="Verdana" w:cs="Arial"/>
                <w:bCs/>
                <w:color w:val="000000" w:themeColor="text1"/>
                <w:lang w:val="es-ES_tradnl"/>
              </w:rPr>
              <w:t xml:space="preserve"> 97</w:t>
            </w:r>
            <w:r>
              <w:rPr>
                <w:rFonts w:ascii="Verdana" w:eastAsia="Calibri" w:hAnsi="Verdana" w:cs="Arial"/>
                <w:bCs/>
                <w:color w:val="000000" w:themeColor="text1"/>
                <w:lang w:val="es-ES_tradnl"/>
              </w:rPr>
              <w:t>, 137, 138, 141 y 164</w:t>
            </w:r>
            <w:r w:rsidRPr="00465568">
              <w:rPr>
                <w:rFonts w:ascii="Verdana" w:eastAsia="Calibri" w:hAnsi="Verdana" w:cs="Arial"/>
                <w:bCs/>
                <w:color w:val="000000" w:themeColor="text1"/>
                <w:lang w:val="es-ES_tradnl"/>
              </w:rPr>
              <w:t>.</w:t>
            </w:r>
          </w:p>
          <w:p w14:paraId="02391B50" w14:textId="77777777" w:rsidR="002439E3" w:rsidRPr="002E44F0" w:rsidRDefault="002439E3" w:rsidP="00677F53">
            <w:pPr>
              <w:widowControl w:val="0"/>
              <w:numPr>
                <w:ilvl w:val="0"/>
                <w:numId w:val="17"/>
              </w:numPr>
              <w:autoSpaceDE w:val="0"/>
              <w:autoSpaceDN w:val="0"/>
              <w:spacing w:after="120" w:line="276" w:lineRule="auto"/>
              <w:ind w:left="714" w:hanging="357"/>
              <w:jc w:val="both"/>
              <w:rPr>
                <w:rFonts w:ascii="Verdana" w:hAnsi="Verdana" w:cs="Arial"/>
                <w:color w:val="000000" w:themeColor="text1"/>
                <w:lang w:val="es-ES_tradnl"/>
              </w:rPr>
            </w:pPr>
            <w:r>
              <w:rPr>
                <w:rFonts w:ascii="Verdana" w:eastAsia="Calibri" w:hAnsi="Verdana" w:cs="Arial"/>
                <w:bCs/>
                <w:color w:val="000000" w:themeColor="text1"/>
                <w:lang w:val="es-ES_tradnl"/>
              </w:rPr>
              <w:t xml:space="preserve">Ley 1882 de 2018, artículo 5. </w:t>
            </w:r>
          </w:p>
          <w:p w14:paraId="63D98EAC" w14:textId="77777777" w:rsidR="002439E3" w:rsidRPr="007E5C87" w:rsidRDefault="002439E3" w:rsidP="00677F53">
            <w:pPr>
              <w:widowControl w:val="0"/>
              <w:numPr>
                <w:ilvl w:val="0"/>
                <w:numId w:val="17"/>
              </w:numPr>
              <w:autoSpaceDE w:val="0"/>
              <w:autoSpaceDN w:val="0"/>
              <w:spacing w:after="120" w:line="276" w:lineRule="auto"/>
              <w:ind w:left="714" w:hanging="357"/>
              <w:jc w:val="both"/>
              <w:rPr>
                <w:rFonts w:ascii="Verdana" w:hAnsi="Verdana" w:cs="Arial"/>
                <w:color w:val="000000" w:themeColor="text1"/>
                <w:lang w:val="es-ES_tradnl"/>
              </w:rPr>
            </w:pPr>
            <w:r>
              <w:rPr>
                <w:rFonts w:ascii="Verdana" w:eastAsia="Calibri" w:hAnsi="Verdana" w:cs="Arial"/>
                <w:bCs/>
                <w:color w:val="000000" w:themeColor="text1"/>
                <w:lang w:val="es-ES_tradnl"/>
              </w:rPr>
              <w:t xml:space="preserve">Ley 2022 de 2020, artículo 1. </w:t>
            </w:r>
          </w:p>
          <w:p w14:paraId="2C4348AF" w14:textId="77777777" w:rsidR="002439E3" w:rsidRPr="00B408AA" w:rsidRDefault="002439E3" w:rsidP="00677F53">
            <w:pPr>
              <w:widowControl w:val="0"/>
              <w:numPr>
                <w:ilvl w:val="0"/>
                <w:numId w:val="17"/>
              </w:numPr>
              <w:autoSpaceDE w:val="0"/>
              <w:autoSpaceDN w:val="0"/>
              <w:spacing w:after="120" w:line="276" w:lineRule="auto"/>
              <w:ind w:left="714" w:hanging="357"/>
              <w:jc w:val="both"/>
              <w:rPr>
                <w:rFonts w:ascii="Verdana" w:hAnsi="Verdana" w:cs="Arial"/>
                <w:color w:val="000000" w:themeColor="text1"/>
                <w:lang w:val="es-ES_tradnl"/>
              </w:rPr>
            </w:pPr>
            <w:r>
              <w:rPr>
                <w:rFonts w:ascii="Verdana" w:eastAsia="Calibri" w:hAnsi="Verdana" w:cs="Arial"/>
                <w:bCs/>
                <w:color w:val="000000" w:themeColor="text1"/>
                <w:lang w:val="es-ES_tradnl"/>
              </w:rPr>
              <w:t xml:space="preserve">Decreto 1082 de 2015, artículo </w:t>
            </w:r>
            <w:r w:rsidRPr="007E5C87">
              <w:rPr>
                <w:rFonts w:ascii="Verdana" w:eastAsia="Calibri" w:hAnsi="Verdana" w:cs="Arial"/>
                <w:bCs/>
                <w:color w:val="000000" w:themeColor="text1"/>
                <w:lang w:val="es-ES_tradnl"/>
              </w:rPr>
              <w:t>2.2.1.2.1.5.2.</w:t>
            </w:r>
          </w:p>
          <w:p w14:paraId="2C483725" w14:textId="77777777" w:rsidR="002439E3" w:rsidRPr="00745C1E" w:rsidRDefault="002439E3" w:rsidP="00677F53">
            <w:pPr>
              <w:widowControl w:val="0"/>
              <w:numPr>
                <w:ilvl w:val="0"/>
                <w:numId w:val="17"/>
              </w:numPr>
              <w:autoSpaceDE w:val="0"/>
              <w:autoSpaceDN w:val="0"/>
              <w:spacing w:after="120" w:line="276" w:lineRule="auto"/>
              <w:ind w:left="714" w:hanging="357"/>
              <w:jc w:val="both"/>
              <w:rPr>
                <w:rFonts w:ascii="Verdana" w:hAnsi="Verdana" w:cs="Arial"/>
                <w:color w:val="000000" w:themeColor="text1"/>
                <w:lang w:val="es-ES_tradnl"/>
              </w:rPr>
            </w:pPr>
            <w:r>
              <w:rPr>
                <w:rFonts w:ascii="Verdana" w:eastAsia="Calibri" w:hAnsi="Verdana" w:cs="Arial"/>
                <w:bCs/>
                <w:color w:val="000000" w:themeColor="text1"/>
                <w:lang w:val="es-ES_tradnl"/>
              </w:rPr>
              <w:t xml:space="preserve">Decreto 1860 de 2021. </w:t>
            </w:r>
          </w:p>
        </w:tc>
      </w:tr>
    </w:tbl>
    <w:p w14:paraId="46D0E155" w14:textId="77777777" w:rsidR="002439E3" w:rsidRPr="00465568" w:rsidRDefault="002439E3" w:rsidP="002439E3">
      <w:pPr>
        <w:widowControl w:val="0"/>
        <w:autoSpaceDE w:val="0"/>
        <w:autoSpaceDN w:val="0"/>
        <w:spacing w:after="0" w:line="276" w:lineRule="auto"/>
        <w:jc w:val="both"/>
        <w:rPr>
          <w:rFonts w:ascii="Verdana" w:hAnsi="Verdana" w:cs="Arial"/>
        </w:rPr>
      </w:pPr>
    </w:p>
    <w:p w14:paraId="5661591D" w14:textId="77777777" w:rsidR="002439E3" w:rsidRPr="00465568" w:rsidRDefault="002439E3" w:rsidP="002439E3">
      <w:pPr>
        <w:numPr>
          <w:ilvl w:val="0"/>
          <w:numId w:val="16"/>
        </w:numPr>
        <w:tabs>
          <w:tab w:val="left" w:pos="142"/>
          <w:tab w:val="left" w:pos="284"/>
        </w:tabs>
        <w:spacing w:after="0" w:line="276" w:lineRule="auto"/>
        <w:ind w:left="0" w:firstLine="0"/>
        <w:jc w:val="both"/>
        <w:rPr>
          <w:rFonts w:ascii="Verdana" w:eastAsia="Century Gothic" w:hAnsi="Verdana" w:cs="Century Gothic"/>
          <w:b/>
          <w:bCs/>
          <w:lang w:val="es-ES"/>
        </w:rPr>
      </w:pPr>
      <w:r w:rsidRPr="00465568">
        <w:rPr>
          <w:rFonts w:ascii="Verdana" w:eastAsia="Century Gothic" w:hAnsi="Verdana" w:cs="Century Gothic"/>
          <w:b/>
          <w:bCs/>
          <w:lang w:val="es-ES"/>
        </w:rPr>
        <w:t>Doctrina de la Agencia Nacional de Contratación Pública:</w:t>
      </w:r>
    </w:p>
    <w:p w14:paraId="6FA48234" w14:textId="77777777" w:rsidR="002439E3" w:rsidRPr="00465568" w:rsidRDefault="002439E3" w:rsidP="002439E3">
      <w:pPr>
        <w:widowControl w:val="0"/>
        <w:autoSpaceDE w:val="0"/>
        <w:autoSpaceDN w:val="0"/>
        <w:spacing w:after="0" w:line="276" w:lineRule="auto"/>
        <w:jc w:val="both"/>
        <w:rPr>
          <w:rFonts w:ascii="Verdana" w:hAnsi="Verdana" w:cs="Arial"/>
        </w:rPr>
      </w:pPr>
    </w:p>
    <w:p w14:paraId="1523E879" w14:textId="77777777" w:rsidR="002439E3" w:rsidRPr="005D2193" w:rsidRDefault="002439E3" w:rsidP="002439E3">
      <w:pPr>
        <w:spacing w:after="0" w:line="276" w:lineRule="auto"/>
        <w:jc w:val="both"/>
        <w:rPr>
          <w:rStyle w:val="normaltextrun"/>
          <w:rFonts w:ascii="Verdana" w:eastAsia="Calibri" w:hAnsi="Verdana" w:cs="Times New Roman"/>
        </w:rPr>
      </w:pPr>
      <w:r w:rsidRPr="009619F1">
        <w:rPr>
          <w:rFonts w:ascii="Verdana" w:eastAsia="Calibri" w:hAnsi="Verdana" w:cs="Arial"/>
          <w:shd w:val="clear" w:color="auto" w:fill="FFFFFF"/>
        </w:rPr>
        <w:t xml:space="preserve">La </w:t>
      </w:r>
      <w:r w:rsidRPr="006E1034">
        <w:rPr>
          <w:rFonts w:ascii="Verdana" w:eastAsia="Calibri" w:hAnsi="Verdana" w:cs="Arial"/>
          <w:shd w:val="clear" w:color="auto" w:fill="FFFFFF"/>
        </w:rPr>
        <w:t xml:space="preserve">Agencia Nacional de Contratación Pública – Colombia Compra Eficiente se pronunció sobre la revocatoria del acto de adjudicación en los Conceptos </w:t>
      </w:r>
      <w:r w:rsidRPr="00B408AA">
        <w:rPr>
          <w:rFonts w:ascii="Verdana" w:eastAsia="Calibri" w:hAnsi="Verdana" w:cs="Arial"/>
          <w:shd w:val="clear" w:color="auto" w:fill="FFFFFF"/>
        </w:rPr>
        <w:t>C</w:t>
      </w:r>
      <w:r w:rsidRPr="00B408AA">
        <w:rPr>
          <w:rFonts w:ascii="Verdana" w:eastAsia="Calibri" w:hAnsi="Verdana" w:cs="Arial"/>
          <w:shd w:val="clear" w:color="auto" w:fill="FFFFFF"/>
        </w:rPr>
        <w:noBreakHyphen/>
        <w:t>524</w:t>
      </w:r>
      <w:r w:rsidRPr="006E1034">
        <w:rPr>
          <w:rFonts w:ascii="Verdana" w:eastAsia="Calibri" w:hAnsi="Verdana" w:cs="Arial"/>
          <w:shd w:val="clear" w:color="auto" w:fill="FFFFFF"/>
        </w:rPr>
        <w:t xml:space="preserve"> del 18 de agosto de 2020, </w:t>
      </w:r>
      <w:r w:rsidRPr="00B408AA">
        <w:rPr>
          <w:rFonts w:ascii="Verdana" w:eastAsia="Calibri" w:hAnsi="Verdana" w:cs="Arial"/>
          <w:shd w:val="clear" w:color="auto" w:fill="FFFFFF"/>
        </w:rPr>
        <w:t>C</w:t>
      </w:r>
      <w:r w:rsidRPr="00B408AA">
        <w:rPr>
          <w:rFonts w:ascii="Verdana" w:eastAsia="Calibri" w:hAnsi="Verdana" w:cs="Arial"/>
          <w:shd w:val="clear" w:color="auto" w:fill="FFFFFF"/>
        </w:rPr>
        <w:noBreakHyphen/>
        <w:t>549</w:t>
      </w:r>
      <w:r w:rsidRPr="006E1034">
        <w:rPr>
          <w:rFonts w:ascii="Verdana" w:eastAsia="Calibri" w:hAnsi="Verdana" w:cs="Arial"/>
          <w:shd w:val="clear" w:color="auto" w:fill="FFFFFF"/>
        </w:rPr>
        <w:t xml:space="preserve"> del 28 de agosto de 2020, </w:t>
      </w:r>
      <w:r w:rsidRPr="00B408AA">
        <w:rPr>
          <w:rFonts w:ascii="Verdana" w:eastAsia="Calibri" w:hAnsi="Verdana" w:cs="Arial"/>
          <w:shd w:val="clear" w:color="auto" w:fill="FFFFFF"/>
        </w:rPr>
        <w:t>C</w:t>
      </w:r>
      <w:r w:rsidRPr="00B408AA">
        <w:rPr>
          <w:rFonts w:ascii="Verdana" w:eastAsia="Calibri" w:hAnsi="Verdana" w:cs="Arial"/>
          <w:shd w:val="clear" w:color="auto" w:fill="FFFFFF"/>
        </w:rPr>
        <w:noBreakHyphen/>
        <w:t>363</w:t>
      </w:r>
      <w:r w:rsidRPr="006E1034">
        <w:rPr>
          <w:rFonts w:ascii="Verdana" w:eastAsia="Calibri" w:hAnsi="Verdana" w:cs="Arial"/>
          <w:shd w:val="clear" w:color="auto" w:fill="FFFFFF"/>
        </w:rPr>
        <w:t xml:space="preserve"> del 14 de septiembre de 2021, </w:t>
      </w:r>
      <w:r w:rsidRPr="00B408AA">
        <w:rPr>
          <w:rFonts w:ascii="Verdana" w:eastAsia="Calibri" w:hAnsi="Verdana" w:cs="Arial"/>
          <w:shd w:val="clear" w:color="auto" w:fill="FFFFFF"/>
        </w:rPr>
        <w:t>C</w:t>
      </w:r>
      <w:r w:rsidRPr="00B408AA">
        <w:rPr>
          <w:rFonts w:ascii="Verdana" w:eastAsia="Calibri" w:hAnsi="Verdana" w:cs="Arial"/>
          <w:shd w:val="clear" w:color="auto" w:fill="FFFFFF"/>
        </w:rPr>
        <w:noBreakHyphen/>
        <w:t>618</w:t>
      </w:r>
      <w:r w:rsidRPr="006E1034">
        <w:rPr>
          <w:rFonts w:ascii="Verdana" w:eastAsia="Calibri" w:hAnsi="Verdana" w:cs="Arial"/>
          <w:shd w:val="clear" w:color="auto" w:fill="FFFFFF"/>
        </w:rPr>
        <w:t xml:space="preserve"> del 5 de octubre de 2022, </w:t>
      </w:r>
      <w:r w:rsidRPr="00B408AA">
        <w:rPr>
          <w:rFonts w:ascii="Verdana" w:eastAsia="Calibri" w:hAnsi="Verdana" w:cs="Arial"/>
          <w:shd w:val="clear" w:color="auto" w:fill="FFFFFF"/>
        </w:rPr>
        <w:t>C</w:t>
      </w:r>
      <w:r w:rsidRPr="00B408AA">
        <w:rPr>
          <w:rFonts w:ascii="Verdana" w:eastAsia="Calibri" w:hAnsi="Verdana" w:cs="Arial"/>
          <w:shd w:val="clear" w:color="auto" w:fill="FFFFFF"/>
        </w:rPr>
        <w:noBreakHyphen/>
        <w:t>633</w:t>
      </w:r>
      <w:r w:rsidRPr="006E1034">
        <w:rPr>
          <w:rFonts w:ascii="Verdana" w:eastAsia="Calibri" w:hAnsi="Verdana" w:cs="Arial"/>
          <w:shd w:val="clear" w:color="auto" w:fill="FFFFFF"/>
        </w:rPr>
        <w:t xml:space="preserve"> del 25 de octubre de 2022, </w:t>
      </w:r>
      <w:r w:rsidRPr="00B408AA">
        <w:rPr>
          <w:rFonts w:ascii="Verdana" w:eastAsia="Calibri" w:hAnsi="Verdana" w:cs="Arial"/>
          <w:shd w:val="clear" w:color="auto" w:fill="FFFFFF"/>
        </w:rPr>
        <w:t>C</w:t>
      </w:r>
      <w:r w:rsidRPr="00B408AA">
        <w:rPr>
          <w:rFonts w:ascii="Verdana" w:eastAsia="Calibri" w:hAnsi="Verdana" w:cs="Arial"/>
          <w:shd w:val="clear" w:color="auto" w:fill="FFFFFF"/>
        </w:rPr>
        <w:noBreakHyphen/>
        <w:t>750</w:t>
      </w:r>
      <w:r w:rsidRPr="006E1034">
        <w:rPr>
          <w:rFonts w:ascii="Verdana" w:eastAsia="Calibri" w:hAnsi="Verdana" w:cs="Arial"/>
          <w:shd w:val="clear" w:color="auto" w:fill="FFFFFF"/>
        </w:rPr>
        <w:t xml:space="preserve"> del 1 de diciembre de 2022, </w:t>
      </w:r>
      <w:r w:rsidRPr="00B408AA">
        <w:rPr>
          <w:rFonts w:ascii="Verdana" w:eastAsia="Calibri" w:hAnsi="Verdana" w:cs="Arial"/>
          <w:shd w:val="clear" w:color="auto" w:fill="FFFFFF"/>
        </w:rPr>
        <w:t>C</w:t>
      </w:r>
      <w:r w:rsidRPr="00B408AA">
        <w:rPr>
          <w:rFonts w:ascii="Verdana" w:eastAsia="Calibri" w:hAnsi="Verdana" w:cs="Arial"/>
          <w:shd w:val="clear" w:color="auto" w:fill="FFFFFF"/>
        </w:rPr>
        <w:noBreakHyphen/>
        <w:t>252</w:t>
      </w:r>
      <w:r w:rsidRPr="006E1034">
        <w:rPr>
          <w:rFonts w:ascii="Verdana" w:eastAsia="Calibri" w:hAnsi="Verdana" w:cs="Arial"/>
          <w:shd w:val="clear" w:color="auto" w:fill="FFFFFF"/>
        </w:rPr>
        <w:t xml:space="preserve"> del 7 de julio de 2023, </w:t>
      </w:r>
      <w:r w:rsidRPr="00B408AA">
        <w:rPr>
          <w:rFonts w:ascii="Verdana" w:eastAsia="Calibri" w:hAnsi="Verdana" w:cs="Arial"/>
          <w:shd w:val="clear" w:color="auto" w:fill="FFFFFF"/>
        </w:rPr>
        <w:t>C</w:t>
      </w:r>
      <w:r w:rsidRPr="00B408AA">
        <w:rPr>
          <w:rFonts w:ascii="Verdana" w:eastAsia="Calibri" w:hAnsi="Verdana" w:cs="Arial"/>
          <w:shd w:val="clear" w:color="auto" w:fill="FFFFFF"/>
        </w:rPr>
        <w:noBreakHyphen/>
        <w:t>770</w:t>
      </w:r>
      <w:r w:rsidRPr="006E1034">
        <w:rPr>
          <w:rFonts w:ascii="Verdana" w:eastAsia="Calibri" w:hAnsi="Verdana" w:cs="Arial"/>
          <w:shd w:val="clear" w:color="auto" w:fill="FFFFFF"/>
        </w:rPr>
        <w:t xml:space="preserve"> del 5 de diciembre de 2024, </w:t>
      </w:r>
      <w:r w:rsidRPr="00B408AA">
        <w:rPr>
          <w:rFonts w:ascii="Verdana" w:eastAsia="Calibri" w:hAnsi="Verdana" w:cs="Arial"/>
          <w:shd w:val="clear" w:color="auto" w:fill="FFFFFF"/>
        </w:rPr>
        <w:t>C</w:t>
      </w:r>
      <w:r w:rsidRPr="00B408AA">
        <w:rPr>
          <w:rFonts w:ascii="Verdana" w:eastAsia="Calibri" w:hAnsi="Verdana" w:cs="Arial"/>
          <w:shd w:val="clear" w:color="auto" w:fill="FFFFFF"/>
        </w:rPr>
        <w:noBreakHyphen/>
        <w:t>988</w:t>
      </w:r>
      <w:r w:rsidRPr="006E1034">
        <w:rPr>
          <w:rFonts w:ascii="Verdana" w:eastAsia="Calibri" w:hAnsi="Verdana" w:cs="Arial"/>
          <w:shd w:val="clear" w:color="auto" w:fill="FFFFFF"/>
        </w:rPr>
        <w:t xml:space="preserve"> del 28 de enero de 2025, </w:t>
      </w:r>
      <w:r w:rsidRPr="00B408AA">
        <w:rPr>
          <w:rFonts w:ascii="Verdana" w:eastAsia="Calibri" w:hAnsi="Verdana" w:cs="Arial"/>
          <w:shd w:val="clear" w:color="auto" w:fill="FFFFFF"/>
        </w:rPr>
        <w:t>C</w:t>
      </w:r>
      <w:r w:rsidRPr="00B408AA">
        <w:rPr>
          <w:rFonts w:ascii="Verdana" w:eastAsia="Calibri" w:hAnsi="Verdana" w:cs="Arial"/>
          <w:shd w:val="clear" w:color="auto" w:fill="FFFFFF"/>
        </w:rPr>
        <w:noBreakHyphen/>
        <w:t>063</w:t>
      </w:r>
      <w:r w:rsidRPr="006E1034">
        <w:rPr>
          <w:rFonts w:ascii="Verdana" w:eastAsia="Calibri" w:hAnsi="Verdana" w:cs="Arial"/>
          <w:shd w:val="clear" w:color="auto" w:fill="FFFFFF"/>
        </w:rPr>
        <w:t xml:space="preserve"> del 3 de marzo de 2025, </w:t>
      </w:r>
      <w:r w:rsidRPr="00B408AA">
        <w:rPr>
          <w:rFonts w:ascii="Verdana" w:eastAsia="Calibri" w:hAnsi="Verdana" w:cs="Arial"/>
          <w:shd w:val="clear" w:color="auto" w:fill="FFFFFF"/>
        </w:rPr>
        <w:t>C</w:t>
      </w:r>
      <w:r w:rsidRPr="00B408AA">
        <w:rPr>
          <w:rFonts w:ascii="Verdana" w:eastAsia="Calibri" w:hAnsi="Verdana" w:cs="Arial"/>
          <w:shd w:val="clear" w:color="auto" w:fill="FFFFFF"/>
        </w:rPr>
        <w:noBreakHyphen/>
        <w:t>999</w:t>
      </w:r>
      <w:r w:rsidRPr="006E1034">
        <w:rPr>
          <w:rFonts w:ascii="Verdana" w:eastAsia="Calibri" w:hAnsi="Verdana" w:cs="Arial"/>
          <w:shd w:val="clear" w:color="auto" w:fill="FFFFFF"/>
        </w:rPr>
        <w:t xml:space="preserve"> del 28 de julio de 2025, </w:t>
      </w:r>
      <w:r w:rsidRPr="00B408AA">
        <w:rPr>
          <w:rFonts w:ascii="Verdana" w:eastAsia="Calibri" w:hAnsi="Verdana" w:cs="Arial"/>
          <w:shd w:val="clear" w:color="auto" w:fill="FFFFFF"/>
        </w:rPr>
        <w:t>C</w:t>
      </w:r>
      <w:r w:rsidRPr="00B408AA">
        <w:rPr>
          <w:rFonts w:ascii="Verdana" w:eastAsia="Calibri" w:hAnsi="Verdana" w:cs="Arial"/>
          <w:shd w:val="clear" w:color="auto" w:fill="FFFFFF"/>
        </w:rPr>
        <w:noBreakHyphen/>
        <w:t>1052</w:t>
      </w:r>
      <w:r w:rsidRPr="006E1034">
        <w:rPr>
          <w:rFonts w:ascii="Verdana" w:eastAsia="Calibri" w:hAnsi="Verdana" w:cs="Arial"/>
          <w:shd w:val="clear" w:color="auto" w:fill="FFFFFF"/>
        </w:rPr>
        <w:t xml:space="preserve"> del 11 de agosto de 2025 y </w:t>
      </w:r>
      <w:r w:rsidRPr="00B408AA">
        <w:rPr>
          <w:rFonts w:ascii="Verdana" w:eastAsia="Calibri" w:hAnsi="Verdana" w:cs="Arial"/>
          <w:shd w:val="clear" w:color="auto" w:fill="FFFFFF"/>
        </w:rPr>
        <w:t>C</w:t>
      </w:r>
      <w:r w:rsidRPr="00B408AA">
        <w:rPr>
          <w:rFonts w:ascii="Verdana" w:eastAsia="Calibri" w:hAnsi="Verdana" w:cs="Arial"/>
          <w:shd w:val="clear" w:color="auto" w:fill="FFFFFF"/>
        </w:rPr>
        <w:noBreakHyphen/>
        <w:t>557</w:t>
      </w:r>
      <w:r w:rsidRPr="006E1034">
        <w:rPr>
          <w:rFonts w:ascii="Verdana" w:eastAsia="Calibri" w:hAnsi="Verdana" w:cs="Arial"/>
          <w:shd w:val="clear" w:color="auto" w:fill="FFFFFF"/>
        </w:rPr>
        <w:t xml:space="preserve"> del 18 de mayo de 2026, entre otros. En esta oportunidad se profundiza en la causal de revocatoria por "obtención por medios ilegales", precisando su carácter excepcional y de interpretación restrictiva, sus elementos estructurales —en particular la exigencia</w:t>
      </w:r>
      <w:r w:rsidRPr="009619F1">
        <w:rPr>
          <w:rFonts w:ascii="Verdana" w:eastAsia="Calibri" w:hAnsi="Verdana" w:cs="Arial"/>
          <w:shd w:val="clear" w:color="auto" w:fill="FFFFFF"/>
        </w:rPr>
        <w:t xml:space="preserve"> de una conducta fraudulenta imputable al adjudicatario— y su delimitación frente a los vicios de legalidad derivados de actuaciones exclusivamente imputables a la entidad contratante. 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w:t>
      </w:r>
      <w:r w:rsidRPr="009619F1">
        <w:rPr>
          <w:rFonts w:ascii="Verdana" w:eastAsia="Calibri" w:hAnsi="Verdana" w:cs="Arial"/>
          <w:b/>
          <w:bCs/>
          <w:shd w:val="clear" w:color="auto" w:fill="FFFFFF"/>
        </w:rPr>
        <w:t>enlace:</w:t>
      </w:r>
      <w:hyperlink r:id="rId12" w:history="1">
        <w:r w:rsidRPr="00E47CAB">
          <w:rPr>
            <w:rStyle w:val="Hipervnculo"/>
            <w:rFonts w:ascii="Verdana" w:hAnsi="Verdana"/>
          </w:rPr>
          <w:t>https://www.colombiacompra.gov.co/normativa-y-relatoria/conoce-la-relatoria</w:t>
        </w:r>
      </w:hyperlink>
      <w:r w:rsidRPr="00E47CAB">
        <w:rPr>
          <w:rFonts w:ascii="Verdana" w:hAnsi="Verdana"/>
        </w:rPr>
        <w:t xml:space="preserve"> </w:t>
      </w:r>
    </w:p>
    <w:p w14:paraId="1D9A2CDF" w14:textId="77777777" w:rsidR="002439E3" w:rsidRDefault="002439E3" w:rsidP="002439E3">
      <w:pPr>
        <w:spacing w:after="0" w:line="240" w:lineRule="auto"/>
        <w:rPr>
          <w:rFonts w:ascii="Verdana" w:eastAsia="Verdana" w:hAnsi="Verdana" w:cs="Verdana"/>
          <w:bCs/>
        </w:rPr>
      </w:pPr>
    </w:p>
    <w:p w14:paraId="3EB8225B" w14:textId="77777777" w:rsidR="002439E3" w:rsidRPr="00231A97" w:rsidRDefault="002439E3" w:rsidP="002439E3">
      <w:pPr>
        <w:spacing w:after="0" w:line="256" w:lineRule="auto"/>
        <w:jc w:val="both"/>
        <w:rPr>
          <w:rFonts w:ascii="Verdana" w:eastAsia="Calibri" w:hAnsi="Verdana" w:cs="Times New Roman"/>
        </w:rPr>
      </w:pPr>
      <w:r w:rsidRPr="00231A97">
        <w:rPr>
          <w:rFonts w:ascii="Verdana" w:eastAsia="Calibri" w:hAnsi="Verdana" w:cs="Times New Roman"/>
        </w:rPr>
        <w:t xml:space="preserve">La sostenibilidad no es una opción, es una obligación. Por ello, la Agencia Nacional de Contratación Pública –Colombia Compra Eficiente– te invita a realizar el </w:t>
      </w:r>
      <w:r w:rsidRPr="00231A97">
        <w:rPr>
          <w:rFonts w:ascii="Verdana" w:eastAsia="Calibri" w:hAnsi="Verdana" w:cs="Times New Roman"/>
          <w:b/>
          <w:bCs/>
        </w:rPr>
        <w:t>Curso de Contratación Pública Sostenible y Socialmente Responsable</w:t>
      </w:r>
      <w:r w:rsidRPr="00231A97">
        <w:rPr>
          <w:rFonts w:ascii="Verdana" w:eastAsia="Calibri" w:hAnsi="Verdana" w:cs="Times New Roman"/>
        </w:rPr>
        <w:t>,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w:t>
      </w:r>
      <w:r w:rsidRPr="00231A97">
        <w:rPr>
          <w:rFonts w:ascii="Verdana" w:eastAsia="Calibri" w:hAnsi="Verdana" w:cs="Times New Roman"/>
        </w:rPr>
        <w:br/>
      </w:r>
      <w:hyperlink r:id="rId13" w:tgtFrame="_new" w:history="1">
        <w:r w:rsidRPr="00231A97">
          <w:rPr>
            <w:rStyle w:val="Hipervnculo"/>
            <w:rFonts w:ascii="Verdana" w:eastAsia="Calibri" w:hAnsi="Verdana" w:cs="Times New Roman"/>
          </w:rPr>
          <w:t>https://formacionvirtual.colombiacompra.gov.co/mod/page/view.php?id=3718</w:t>
        </w:r>
      </w:hyperlink>
    </w:p>
    <w:p w14:paraId="390AD181" w14:textId="77777777" w:rsidR="002439E3" w:rsidRDefault="002439E3" w:rsidP="002439E3">
      <w:pPr>
        <w:spacing w:after="0" w:line="256" w:lineRule="auto"/>
        <w:jc w:val="both"/>
        <w:rPr>
          <w:rFonts w:ascii="Verdana" w:eastAsia="Calibri" w:hAnsi="Verdana" w:cs="Times New Roman"/>
        </w:rPr>
      </w:pPr>
    </w:p>
    <w:p w14:paraId="6F141089" w14:textId="77777777" w:rsidR="002439E3" w:rsidRPr="00231A97" w:rsidRDefault="002439E3" w:rsidP="002439E3">
      <w:pPr>
        <w:spacing w:after="0" w:line="256" w:lineRule="auto"/>
        <w:jc w:val="both"/>
        <w:rPr>
          <w:rFonts w:ascii="Verdana" w:eastAsia="Calibri" w:hAnsi="Verdana" w:cs="Times New Roman"/>
        </w:rPr>
      </w:pPr>
      <w:r w:rsidRPr="00231A97">
        <w:rPr>
          <w:rFonts w:ascii="Verdana" w:eastAsia="Calibri" w:hAnsi="Verdana" w:cs="Times New Roman"/>
        </w:rPr>
        <w:t xml:space="preserve">De otro lado, te contamos que esta Agencia ha da un paso decisivo en la estandarización y modernización del </w:t>
      </w:r>
      <w:r w:rsidRPr="00231A97">
        <w:rPr>
          <w:rFonts w:ascii="Verdana" w:eastAsia="Calibri" w:hAnsi="Verdana" w:cs="Times New Roman"/>
          <w:b/>
          <w:bCs/>
        </w:rPr>
        <w:t>sector  social</w:t>
      </w:r>
      <w:r w:rsidRPr="00231A97">
        <w:rPr>
          <w:rFonts w:ascii="Verdana" w:eastAsia="Calibri" w:hAnsi="Verdana" w:cs="Times New Roman"/>
        </w:rPr>
        <w:t xml:space="preserve"> con la expedición de las </w:t>
      </w:r>
      <w:r w:rsidRPr="00231A97">
        <w:rPr>
          <w:rFonts w:ascii="Verdana" w:eastAsia="Calibri" w:hAnsi="Verdana" w:cs="Times New Roman"/>
          <w:b/>
          <w:bCs/>
        </w:rPr>
        <w:t>Resoluciones 539, 540, 541, 952 y 953 de 2025</w:t>
      </w:r>
      <w:r w:rsidRPr="00231A97">
        <w:rPr>
          <w:rFonts w:ascii="Verdana" w:eastAsia="Calibri" w:hAnsi="Verdana" w:cs="Times New Roman"/>
        </w:rPr>
        <w:t xml:space="preserve">, </w:t>
      </w:r>
      <w:r w:rsidRPr="00231A97">
        <w:rPr>
          <w:rFonts w:ascii="Verdana" w:eastAsia="Calibri" w:hAnsi="Verdana" w:cs="Times New Roman"/>
          <w:b/>
          <w:bCs/>
        </w:rPr>
        <w:t>mediante las cuales adoptó Documentos Tipo</w:t>
      </w:r>
      <w:r w:rsidRPr="00231A97">
        <w:rPr>
          <w:rFonts w:ascii="Verdana" w:eastAsia="Calibri" w:hAnsi="Verdana" w:cs="Times New Roman"/>
        </w:rPr>
        <w:t xml:space="preserve"> para las modalidades de selección de</w:t>
      </w:r>
      <w:r w:rsidRPr="00231A97">
        <w:rPr>
          <w:rFonts w:ascii="Verdana" w:eastAsia="Calibri" w:hAnsi="Verdana" w:cs="Times New Roman"/>
          <w:b/>
          <w:bCs/>
        </w:rPr>
        <w:t xml:space="preserve"> licitación pública (versión 2), selección abreviada de menor cuantía, mínima cuantía, consultoría e interventoría</w:t>
      </w:r>
      <w:r w:rsidRPr="00231A97">
        <w:rPr>
          <w:rFonts w:ascii="Verdana" w:eastAsia="Calibri" w:hAnsi="Verdana" w:cs="Times New Roman"/>
        </w:rPr>
        <w:t xml:space="preserve">, promoviendo procesos más transparentes, eficientes  competitivos y sostenibles en sectores estratégicos como educación, salud, cultura, recreación, deporte, institucional y vivienda. Consulta y descarga los documentos aquí: </w:t>
      </w:r>
      <w:hyperlink r:id="rId14" w:tgtFrame="_new" w:history="1">
        <w:r w:rsidRPr="00231A97">
          <w:rPr>
            <w:rStyle w:val="Hipervnculo"/>
            <w:rFonts w:ascii="Verdana" w:eastAsia="Calibri" w:hAnsi="Verdana" w:cs="Times New Roman"/>
          </w:rPr>
          <w:t>https://www.colombiacompra.gov.co/normativa-y-relatoria/documentos-tipo</w:t>
        </w:r>
      </w:hyperlink>
    </w:p>
    <w:p w14:paraId="6FCB4D54" w14:textId="77777777" w:rsidR="002439E3" w:rsidRDefault="002439E3" w:rsidP="002439E3">
      <w:pPr>
        <w:spacing w:after="0" w:line="256" w:lineRule="auto"/>
        <w:jc w:val="both"/>
        <w:rPr>
          <w:rFonts w:ascii="Verdana" w:eastAsia="Calibri" w:hAnsi="Verdana" w:cs="Times New Roman"/>
        </w:rPr>
      </w:pPr>
    </w:p>
    <w:p w14:paraId="65628F91" w14:textId="77777777" w:rsidR="002439E3" w:rsidRPr="00231A97" w:rsidRDefault="002439E3" w:rsidP="002439E3">
      <w:pPr>
        <w:spacing w:after="0" w:line="256" w:lineRule="auto"/>
        <w:jc w:val="both"/>
        <w:rPr>
          <w:rFonts w:ascii="Verdana" w:eastAsia="Calibri" w:hAnsi="Verdana" w:cs="Times New Roman"/>
        </w:rPr>
      </w:pPr>
      <w:r w:rsidRPr="00231A97">
        <w:rPr>
          <w:rFonts w:ascii="Verdana" w:eastAsia="Calibri" w:hAnsi="Verdana" w:cs="Times New Roman"/>
        </w:rPr>
        <w:t xml:space="preserve">Si quieres conocer más sobre la aplicación de Documentos Tipo puedes consultar la última versión de la </w:t>
      </w:r>
      <w:r w:rsidRPr="00231A97">
        <w:rPr>
          <w:rFonts w:ascii="Verdana" w:eastAsia="Calibri" w:hAnsi="Verdana" w:cs="Times New Roman"/>
          <w:b/>
          <w:bCs/>
        </w:rPr>
        <w:t>Guía para la comprensión e implementación de los Documentos Tipo de obra pública de infraestructura de transporte</w:t>
      </w:r>
      <w:r w:rsidRPr="00231A97">
        <w:rPr>
          <w:rFonts w:ascii="Verdana" w:eastAsia="Calibri" w:hAnsi="Verdana" w:cs="Times New Roman"/>
        </w:rPr>
        <w:t>.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w:t>
      </w:r>
      <w:r w:rsidRPr="00231A97">
        <w:rPr>
          <w:rFonts w:ascii="Verdana" w:eastAsia="Calibri" w:hAnsi="Verdana" w:cs="Times New Roman"/>
        </w:rPr>
        <w:br/>
      </w:r>
      <w:hyperlink r:id="rId15" w:tgtFrame="_new" w:history="1">
        <w:r w:rsidRPr="00231A97">
          <w:rPr>
            <w:rStyle w:val="Hipervnculo"/>
            <w:rFonts w:ascii="Verdana" w:eastAsia="Calibri" w:hAnsi="Verdana" w:cs="Times New Roman"/>
          </w:rPr>
          <w:t>https://www.colombiacompra.gov.co/archivos/manual/guia-para-la-comprension-e-implementacion-de-los-documentos-tipo-de-obra-publica-de-infraestructura-de-transporte-bajo-las-diferentes-modalidades-de-contratacion-vigentes</w:t>
        </w:r>
      </w:hyperlink>
    </w:p>
    <w:p w14:paraId="112A97DA" w14:textId="77777777" w:rsidR="002439E3" w:rsidRPr="009037F6" w:rsidRDefault="002439E3" w:rsidP="002439E3">
      <w:pPr>
        <w:spacing w:after="0" w:line="240" w:lineRule="auto"/>
        <w:jc w:val="both"/>
        <w:rPr>
          <w:rFonts w:ascii="Verdana" w:hAnsi="Verdana"/>
        </w:rPr>
      </w:pPr>
    </w:p>
    <w:p w14:paraId="2A10486F" w14:textId="77777777" w:rsidR="002439E3" w:rsidRPr="00116940" w:rsidRDefault="002439E3" w:rsidP="002439E3">
      <w:pPr>
        <w:spacing w:after="0"/>
        <w:jc w:val="both"/>
        <w:rPr>
          <w:rFonts w:ascii="Verdana" w:hAnsi="Verdana"/>
        </w:rPr>
      </w:pPr>
      <w:r w:rsidRPr="00E02524">
        <w:rPr>
          <w:rFonts w:ascii="Verdana" w:hAnsi="Verdana"/>
        </w:rPr>
        <w:t xml:space="preserve">Por último, aprovechamos la oportunidad de manifestar la entera disposición de la </w:t>
      </w:r>
      <w:r w:rsidRPr="00116940">
        <w:rPr>
          <w:rFonts w:ascii="Verdana" w:hAnsi="Verdana"/>
        </w:rPr>
        <w:t xml:space="preserve">Agencia Nacional de Contratación Pública –Colombia Compra Eficiente– para atender las peticiones o solicitudes, así como para brindar el apoyo que se </w:t>
      </w:r>
      <w:r w:rsidRPr="00116940">
        <w:rPr>
          <w:rFonts w:ascii="Verdana" w:hAnsi="Verdana"/>
        </w:rPr>
        <w:lastRenderedPageBreak/>
        <w:t xml:space="preserve">requiera en el marco de nuestras funciones a través de nuestros diferentes canales de atención: </w:t>
      </w:r>
    </w:p>
    <w:p w14:paraId="4DB793AE" w14:textId="77777777" w:rsidR="002439E3" w:rsidRPr="00116940" w:rsidRDefault="002439E3" w:rsidP="002439E3">
      <w:pPr>
        <w:spacing w:after="0"/>
        <w:jc w:val="both"/>
        <w:rPr>
          <w:rFonts w:ascii="Verdana" w:hAnsi="Verdana"/>
        </w:rPr>
      </w:pPr>
    </w:p>
    <w:p w14:paraId="16A94D62" w14:textId="77777777" w:rsidR="002439E3" w:rsidRPr="00116940" w:rsidRDefault="002439E3" w:rsidP="002439E3">
      <w:pPr>
        <w:pStyle w:val="Prrafodelista"/>
        <w:numPr>
          <w:ilvl w:val="0"/>
          <w:numId w:val="15"/>
        </w:numPr>
        <w:spacing w:after="0" w:line="240" w:lineRule="auto"/>
        <w:jc w:val="both"/>
        <w:rPr>
          <w:rFonts w:ascii="Verdana" w:eastAsia="Verdana" w:hAnsi="Verdana" w:cs="Verdana"/>
          <w:color w:val="4472C4" w:themeColor="accent1"/>
          <w:u w:val="single"/>
          <w:lang w:val="es-MX"/>
        </w:rPr>
      </w:pPr>
      <w:r w:rsidRPr="00116940">
        <w:rPr>
          <w:rFonts w:ascii="Verdana" w:eastAsia="Verdana" w:hAnsi="Verdana" w:cs="Verdana"/>
          <w:lang w:val="es-MX"/>
        </w:rPr>
        <w:t xml:space="preserve">Línea nacional gratuita o servicio a la ciudadanía (Mesa de servicio): </w:t>
      </w:r>
      <w:r w:rsidRPr="00116940">
        <w:rPr>
          <w:rStyle w:val="Hipervnculo"/>
          <w:rFonts w:ascii="Verdana" w:hAnsi="Verdana"/>
        </w:rPr>
        <w:t>01800 0520808</w:t>
      </w:r>
    </w:p>
    <w:p w14:paraId="780A73E7" w14:textId="77777777" w:rsidR="002439E3" w:rsidRPr="00116940" w:rsidRDefault="002439E3" w:rsidP="002439E3">
      <w:pPr>
        <w:pStyle w:val="Prrafodelista"/>
        <w:numPr>
          <w:ilvl w:val="0"/>
          <w:numId w:val="15"/>
        </w:numPr>
        <w:spacing w:after="0"/>
        <w:rPr>
          <w:rFonts w:ascii="Verdana" w:eastAsia="Verdana" w:hAnsi="Verdana" w:cs="Verdana"/>
          <w:color w:val="4472C4" w:themeColor="accent1"/>
          <w:u w:val="single"/>
          <w:lang w:val="es-MX"/>
        </w:rPr>
      </w:pPr>
      <w:r w:rsidRPr="00116940">
        <w:rPr>
          <w:rFonts w:ascii="Verdana" w:eastAsia="Verdana" w:hAnsi="Verdana" w:cs="Verdana"/>
          <w:lang w:val="es-MX"/>
        </w:rPr>
        <w:t>Línea en Bogotá (Mesa de servicio</w:t>
      </w:r>
      <w:proofErr w:type="gramStart"/>
      <w:r w:rsidRPr="00116940">
        <w:rPr>
          <w:rFonts w:ascii="Verdana" w:eastAsia="Verdana" w:hAnsi="Verdana" w:cs="Verdana"/>
          <w:lang w:val="es-MX"/>
        </w:rPr>
        <w:t>):</w:t>
      </w:r>
      <w:r w:rsidRPr="00116940">
        <w:rPr>
          <w:rStyle w:val="Hipervnculo"/>
          <w:rFonts w:ascii="Verdana" w:hAnsi="Verdana"/>
        </w:rPr>
        <w:t>+</w:t>
      </w:r>
      <w:proofErr w:type="gramEnd"/>
      <w:r w:rsidRPr="00116940">
        <w:rPr>
          <w:rStyle w:val="Hipervnculo"/>
          <w:rFonts w:ascii="Verdana" w:hAnsi="Verdana"/>
        </w:rPr>
        <w:t>57 601 7456788</w:t>
      </w:r>
    </w:p>
    <w:p w14:paraId="440D53D0" w14:textId="77777777" w:rsidR="002439E3" w:rsidRPr="00116940" w:rsidRDefault="002439E3" w:rsidP="002439E3">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lang w:val="es-MX"/>
        </w:rPr>
        <w:t xml:space="preserve">Correo de radicación de correspondencia: </w:t>
      </w:r>
      <w:hyperlink r:id="rId16">
        <w:r w:rsidRPr="00116940">
          <w:rPr>
            <w:rStyle w:val="Hipervnculo"/>
            <w:rFonts w:ascii="Verdana" w:eastAsia="Verdana" w:hAnsi="Verdana" w:cs="Verdana"/>
            <w:lang w:val="es-MX"/>
          </w:rPr>
          <w:t>ventanilladeradicacion@colombiacompra.gov.co</w:t>
        </w:r>
      </w:hyperlink>
    </w:p>
    <w:p w14:paraId="4E5525CF" w14:textId="77777777" w:rsidR="002439E3" w:rsidRPr="00116940" w:rsidRDefault="002439E3" w:rsidP="002439E3">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rPr>
        <w:t>Formulario web para</w:t>
      </w:r>
      <w:r w:rsidRPr="00116940">
        <w:rPr>
          <w:rFonts w:ascii="Verdana" w:eastAsia="Verdana" w:hAnsi="Verdana" w:cs="Verdana"/>
          <w:lang w:val="es"/>
        </w:rPr>
        <w:t xml:space="preserve"> PQRSD: </w:t>
      </w:r>
      <w:hyperlink r:id="rId17">
        <w:r w:rsidRPr="00116940">
          <w:rPr>
            <w:rStyle w:val="Hipervnculo"/>
            <w:rFonts w:ascii="Verdana" w:eastAsia="Verdana" w:hAnsi="Verdana" w:cs="Verdana"/>
            <w:lang w:val="es-MX"/>
          </w:rPr>
          <w:t>https://www.colombiacompra.gov.co/pqrsd/informacion-importante-antes-de-formular-una-pqrsd</w:t>
        </w:r>
      </w:hyperlink>
    </w:p>
    <w:p w14:paraId="33984879" w14:textId="77777777" w:rsidR="002439E3" w:rsidRPr="00116940" w:rsidRDefault="002439E3" w:rsidP="002439E3">
      <w:pPr>
        <w:spacing w:after="0" w:line="240" w:lineRule="auto"/>
        <w:ind w:left="720"/>
        <w:jc w:val="both"/>
        <w:rPr>
          <w:rFonts w:ascii="Verdana" w:hAnsi="Verdana"/>
        </w:rPr>
      </w:pPr>
    </w:p>
    <w:p w14:paraId="74210E5D" w14:textId="77777777" w:rsidR="002439E3" w:rsidRPr="00116940" w:rsidRDefault="002439E3" w:rsidP="002439E3">
      <w:pPr>
        <w:spacing w:after="0" w:line="240" w:lineRule="auto"/>
        <w:rPr>
          <w:rFonts w:ascii="Verdana" w:hAnsi="Verdana"/>
        </w:rPr>
      </w:pPr>
      <w:r w:rsidRPr="00116940">
        <w:rPr>
          <w:rFonts w:ascii="Verdana" w:hAnsi="Verdana"/>
        </w:rPr>
        <w:t xml:space="preserve">Evalúa el servicio que ofrece la Agencia por el canal de atención de PQRSD en el siguiente </w:t>
      </w:r>
      <w:proofErr w:type="gramStart"/>
      <w:r w:rsidRPr="00116940">
        <w:rPr>
          <w:rFonts w:ascii="Verdana" w:hAnsi="Verdana"/>
        </w:rPr>
        <w:t>enlace :</w:t>
      </w:r>
      <w:proofErr w:type="gramEnd"/>
      <w:hyperlink r:id="rId18" w:tgtFrame="_blank" w:tooltip="https://forms.office.com/r/pphywvs2sz" w:history="1">
        <w:r w:rsidRPr="00116940">
          <w:rPr>
            <w:rStyle w:val="Hipervnculo"/>
            <w:rFonts w:ascii="Verdana" w:hAnsi="Verdana"/>
          </w:rPr>
          <w:t>https://forms.office.com/r/pPHyWVs2SZ</w:t>
        </w:r>
      </w:hyperlink>
      <w:r w:rsidRPr="00116940">
        <w:rPr>
          <w:rFonts w:ascii="Verdana" w:hAnsi="Verdana"/>
        </w:rPr>
        <w:t xml:space="preserve"> .¡Ayúdanos a mejorar porque el compromiso es de todos!</w:t>
      </w:r>
    </w:p>
    <w:p w14:paraId="3330FFC5" w14:textId="77777777" w:rsidR="002439E3" w:rsidRPr="00116940" w:rsidRDefault="002439E3" w:rsidP="002439E3">
      <w:pPr>
        <w:spacing w:after="0" w:line="240" w:lineRule="auto"/>
        <w:rPr>
          <w:rFonts w:ascii="Verdana" w:hAnsi="Verdana"/>
        </w:rPr>
      </w:pPr>
    </w:p>
    <w:p w14:paraId="79D0F750" w14:textId="77777777" w:rsidR="002439E3" w:rsidRPr="00116940" w:rsidRDefault="002439E3" w:rsidP="002439E3">
      <w:pPr>
        <w:spacing w:after="0" w:line="240" w:lineRule="auto"/>
        <w:jc w:val="both"/>
        <w:rPr>
          <w:rFonts w:ascii="Verdana" w:hAnsi="Verdana"/>
        </w:rPr>
      </w:pPr>
      <w:r w:rsidRPr="00116940">
        <w:rPr>
          <w:rFonts w:ascii="Verdana" w:hAnsi="Verdana"/>
        </w:rPr>
        <w:t xml:space="preserve">Por último, lo invitamos a seguirnos en las redes sociales en las cuales se difunde información institucional: </w:t>
      </w:r>
    </w:p>
    <w:p w14:paraId="60ACB497" w14:textId="77777777" w:rsidR="002439E3" w:rsidRPr="00116940" w:rsidRDefault="002439E3" w:rsidP="002439E3">
      <w:pPr>
        <w:spacing w:after="0" w:line="240" w:lineRule="auto"/>
        <w:jc w:val="both"/>
        <w:rPr>
          <w:rFonts w:ascii="Verdana" w:hAnsi="Verdana"/>
        </w:rPr>
      </w:pPr>
    </w:p>
    <w:p w14:paraId="5C9900DC" w14:textId="77777777" w:rsidR="002439E3" w:rsidRPr="00116940" w:rsidRDefault="002439E3" w:rsidP="002439E3">
      <w:pPr>
        <w:spacing w:after="0" w:line="240"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74C2E95C" w14:textId="77777777" w:rsidR="002439E3" w:rsidRPr="00116940" w:rsidRDefault="002439E3" w:rsidP="002439E3">
      <w:pPr>
        <w:spacing w:after="0" w:line="240" w:lineRule="auto"/>
        <w:jc w:val="both"/>
        <w:rPr>
          <w:rFonts w:ascii="Verdana" w:hAnsi="Verdana"/>
        </w:rPr>
      </w:pPr>
      <w:r w:rsidRPr="00116940">
        <w:rPr>
          <w:rFonts w:ascii="Verdana" w:hAnsi="Verdana"/>
        </w:rPr>
        <w:t xml:space="preserve">Facebook: </w:t>
      </w:r>
      <w:proofErr w:type="spellStart"/>
      <w:r w:rsidRPr="00116940">
        <w:rPr>
          <w:rStyle w:val="Hipervnculo"/>
          <w:rFonts w:ascii="Verdana" w:hAnsi="Verdana"/>
        </w:rPr>
        <w:t>ColombiaCompraEficiente</w:t>
      </w:r>
      <w:proofErr w:type="spellEnd"/>
    </w:p>
    <w:p w14:paraId="747F6EC5" w14:textId="77777777" w:rsidR="002439E3" w:rsidRPr="00116940" w:rsidRDefault="002439E3" w:rsidP="002439E3">
      <w:pPr>
        <w:spacing w:after="0" w:line="240"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57C9819D" w14:textId="77777777" w:rsidR="002439E3" w:rsidRPr="00116940" w:rsidRDefault="002439E3" w:rsidP="002439E3">
      <w:pPr>
        <w:spacing w:after="0" w:line="240" w:lineRule="auto"/>
        <w:jc w:val="both"/>
        <w:rPr>
          <w:rFonts w:ascii="Verdana" w:hAnsi="Verdana"/>
        </w:rPr>
      </w:pPr>
    </w:p>
    <w:p w14:paraId="687E3C39" w14:textId="77777777" w:rsidR="002439E3" w:rsidRPr="009037F6" w:rsidRDefault="002439E3" w:rsidP="002439E3">
      <w:pPr>
        <w:spacing w:after="0" w:line="256" w:lineRule="auto"/>
        <w:jc w:val="both"/>
        <w:rPr>
          <w:rFonts w:ascii="Verdana" w:eastAsia="Calibri" w:hAnsi="Verdana" w:cs="Times New Roman"/>
          <w:bCs/>
          <w:lang w:val="es-ES_tradnl"/>
        </w:rPr>
      </w:pPr>
      <w:r w:rsidRPr="009037F6">
        <w:rPr>
          <w:rFonts w:ascii="Verdana" w:eastAsia="Calibri" w:hAnsi="Verdana" w:cs="Times New Roman"/>
          <w:lang w:val="es-ES_tradnl"/>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4DD94EE4" w14:textId="77777777" w:rsidR="002439E3" w:rsidRPr="00492C4A" w:rsidRDefault="002439E3" w:rsidP="002439E3">
      <w:pPr>
        <w:spacing w:after="0" w:line="256" w:lineRule="auto"/>
        <w:jc w:val="both"/>
        <w:rPr>
          <w:rFonts w:ascii="Verdana" w:eastAsia="Calibri" w:hAnsi="Verdana" w:cs="Times New Roman"/>
          <w:lang w:val="es-ES_tradnl"/>
        </w:rPr>
      </w:pPr>
    </w:p>
    <w:p w14:paraId="24B46828" w14:textId="77777777" w:rsidR="002439E3" w:rsidRDefault="002439E3" w:rsidP="002439E3">
      <w:pPr>
        <w:spacing w:after="0" w:line="256" w:lineRule="auto"/>
        <w:jc w:val="both"/>
        <w:rPr>
          <w:rFonts w:ascii="Verdana" w:eastAsia="Calibri" w:hAnsi="Verdana" w:cs="Times New Roman"/>
        </w:rPr>
      </w:pPr>
      <w:r w:rsidRPr="009037F6">
        <w:rPr>
          <w:rFonts w:ascii="Verdana" w:eastAsia="Calibri" w:hAnsi="Verdana" w:cs="Times New Roman"/>
        </w:rPr>
        <w:t>Atentamente,</w:t>
      </w:r>
    </w:p>
    <w:p w14:paraId="380C8C84" w14:textId="77777777" w:rsidR="002439E3" w:rsidRPr="005D569B" w:rsidRDefault="002439E3" w:rsidP="002439E3">
      <w:pPr>
        <w:spacing w:after="0" w:line="256" w:lineRule="auto"/>
        <w:jc w:val="both"/>
        <w:rPr>
          <w:rFonts w:ascii="Verdana" w:eastAsia="Calibri" w:hAnsi="Verdana" w:cs="Times New Roman"/>
        </w:rPr>
      </w:pPr>
    </w:p>
    <w:p w14:paraId="54777074" w14:textId="4D7A9CB4" w:rsidR="002439E3" w:rsidRPr="00364C7E" w:rsidRDefault="00EC20F0" w:rsidP="002439E3">
      <w:pPr>
        <w:spacing w:after="0" w:line="256" w:lineRule="auto"/>
        <w:jc w:val="center"/>
        <w:rPr>
          <w:rFonts w:ascii="Calibri" w:eastAsia="Calibri" w:hAnsi="Calibri" w:cs="Times New Roman"/>
          <w:noProof/>
          <w:lang w:val="en-US"/>
        </w:rPr>
      </w:pPr>
      <w:r>
        <w:rPr>
          <w:rFonts w:ascii="Verdana" w:hAnsi="Verdana"/>
          <w:noProof/>
          <w:lang w:val="es-ES_tradnl"/>
        </w:rPr>
        <w:drawing>
          <wp:inline distT="0" distB="0" distL="0" distR="0" wp14:anchorId="73DA7D81" wp14:editId="200DAF15">
            <wp:extent cx="3639058" cy="1343212"/>
            <wp:effectExtent l="0" t="0" r="0" b="0"/>
            <wp:docPr id="1996873022"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873022" name="Imagen 1" descr="Texto&#10;&#10;Descripción generada automáticamente"/>
                    <pic:cNvPicPr/>
                  </pic:nvPicPr>
                  <pic:blipFill>
                    <a:blip r:embed="rId19">
                      <a:extLst>
                        <a:ext uri="{28A0092B-C50C-407E-A947-70E740481C1C}">
                          <a14:useLocalDpi xmlns:a14="http://schemas.microsoft.com/office/drawing/2010/main" val="0"/>
                        </a:ext>
                      </a:extLst>
                    </a:blip>
                    <a:stretch>
                      <a:fillRect/>
                    </a:stretch>
                  </pic:blipFill>
                  <pic:spPr>
                    <a:xfrm>
                      <a:off x="0" y="0"/>
                      <a:ext cx="3639058" cy="1343212"/>
                    </a:xfrm>
                    <a:prstGeom prst="rect">
                      <a:avLst/>
                    </a:prstGeom>
                  </pic:spPr>
                </pic:pic>
              </a:graphicData>
            </a:graphic>
          </wp:inline>
        </w:drawing>
      </w:r>
    </w:p>
    <w:p w14:paraId="0521FD71" w14:textId="77777777" w:rsidR="002439E3" w:rsidRPr="00364C7E" w:rsidRDefault="002439E3" w:rsidP="002439E3">
      <w:pPr>
        <w:spacing w:after="0" w:line="256" w:lineRule="auto"/>
        <w:jc w:val="center"/>
        <w:rPr>
          <w:rFonts w:ascii="Verdana" w:eastAsia="Calibri" w:hAnsi="Verdana" w:cs="Times New Roman"/>
          <w:noProof/>
          <w:sz w:val="16"/>
          <w:szCs w:val="16"/>
          <w:lang w:val="en-US"/>
        </w:rPr>
      </w:pPr>
    </w:p>
    <w:tbl>
      <w:tblPr>
        <w:tblW w:w="57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7"/>
        <w:gridCol w:w="4937"/>
      </w:tblGrid>
      <w:tr w:rsidR="002439E3" w:rsidRPr="00364C7E" w14:paraId="043BF899" w14:textId="77777777" w:rsidTr="00677F53">
        <w:trPr>
          <w:trHeight w:val="409"/>
        </w:trPr>
        <w:tc>
          <w:tcPr>
            <w:tcW w:w="817" w:type="dxa"/>
            <w:tcBorders>
              <w:top w:val="nil"/>
              <w:left w:val="nil"/>
              <w:bottom w:val="nil"/>
              <w:right w:val="nil"/>
            </w:tcBorders>
            <w:vAlign w:val="center"/>
            <w:hideMark/>
          </w:tcPr>
          <w:p w14:paraId="04048FBA" w14:textId="77777777" w:rsidR="002439E3" w:rsidRPr="00364C7E" w:rsidRDefault="002439E3" w:rsidP="00677F53">
            <w:pPr>
              <w:spacing w:after="0" w:line="256" w:lineRule="auto"/>
              <w:rPr>
                <w:rFonts w:ascii="Verdana" w:eastAsia="Calibri" w:hAnsi="Verdana" w:cs="Times New Roman"/>
                <w:sz w:val="16"/>
                <w:szCs w:val="16"/>
              </w:rPr>
            </w:pPr>
            <w:r w:rsidRPr="00364C7E">
              <w:rPr>
                <w:rFonts w:ascii="Verdana" w:eastAsia="Calibri" w:hAnsi="Verdana" w:cs="Times New Roman"/>
                <w:sz w:val="16"/>
                <w:szCs w:val="16"/>
              </w:rPr>
              <w:lastRenderedPageBreak/>
              <w:t>Elaboró: </w:t>
            </w:r>
          </w:p>
        </w:tc>
        <w:tc>
          <w:tcPr>
            <w:tcW w:w="4937" w:type="dxa"/>
            <w:tcBorders>
              <w:top w:val="nil"/>
              <w:left w:val="nil"/>
              <w:bottom w:val="dotted" w:sz="6" w:space="0" w:color="7F7F7F"/>
              <w:right w:val="nil"/>
            </w:tcBorders>
            <w:vAlign w:val="center"/>
            <w:hideMark/>
          </w:tcPr>
          <w:p w14:paraId="3E0A8479" w14:textId="77777777" w:rsidR="002439E3" w:rsidRPr="00364C7E" w:rsidRDefault="002439E3" w:rsidP="00677F53">
            <w:pPr>
              <w:spacing w:after="0" w:line="256" w:lineRule="auto"/>
              <w:rPr>
                <w:rFonts w:ascii="Verdana" w:eastAsia="Calibri" w:hAnsi="Verdana" w:cs="Times New Roman"/>
                <w:sz w:val="16"/>
                <w:szCs w:val="16"/>
              </w:rPr>
            </w:pPr>
            <w:r w:rsidRPr="00364C7E">
              <w:rPr>
                <w:rFonts w:ascii="Verdana" w:eastAsia="Calibri" w:hAnsi="Verdana" w:cs="Times New Roman"/>
                <w:sz w:val="16"/>
                <w:szCs w:val="16"/>
              </w:rPr>
              <w:t>José Luis Sánchez Cardona</w:t>
            </w:r>
          </w:p>
          <w:p w14:paraId="3488EEC0" w14:textId="77777777" w:rsidR="002439E3" w:rsidRPr="00364C7E" w:rsidRDefault="002439E3" w:rsidP="00677F53">
            <w:pPr>
              <w:spacing w:after="0" w:line="256" w:lineRule="auto"/>
              <w:rPr>
                <w:rFonts w:ascii="Verdana" w:eastAsia="Calibri" w:hAnsi="Verdana" w:cs="Times New Roman"/>
                <w:sz w:val="16"/>
                <w:szCs w:val="16"/>
              </w:rPr>
            </w:pPr>
            <w:r w:rsidRPr="00364C7E">
              <w:rPr>
                <w:rFonts w:ascii="Verdana" w:eastAsia="Calibri" w:hAnsi="Verdana" w:cs="Times New Roman"/>
                <w:sz w:val="16"/>
                <w:szCs w:val="16"/>
              </w:rPr>
              <w:t>Contratista de la Subdirección de Gestión Contractual</w:t>
            </w:r>
          </w:p>
        </w:tc>
      </w:tr>
      <w:tr w:rsidR="002439E3" w:rsidRPr="00364C7E" w14:paraId="634C1C2C" w14:textId="77777777" w:rsidTr="00677F53">
        <w:trPr>
          <w:trHeight w:val="409"/>
        </w:trPr>
        <w:tc>
          <w:tcPr>
            <w:tcW w:w="817" w:type="dxa"/>
            <w:tcBorders>
              <w:top w:val="nil"/>
              <w:left w:val="nil"/>
              <w:bottom w:val="nil"/>
              <w:right w:val="nil"/>
            </w:tcBorders>
            <w:vAlign w:val="center"/>
            <w:hideMark/>
          </w:tcPr>
          <w:p w14:paraId="0BBCA594" w14:textId="77777777" w:rsidR="002439E3" w:rsidRPr="00364C7E" w:rsidRDefault="002439E3" w:rsidP="00677F53">
            <w:pPr>
              <w:spacing w:after="0" w:line="256" w:lineRule="auto"/>
              <w:rPr>
                <w:rFonts w:ascii="Verdana" w:eastAsia="Calibri" w:hAnsi="Verdana" w:cs="Times New Roman"/>
                <w:sz w:val="16"/>
                <w:szCs w:val="16"/>
              </w:rPr>
            </w:pPr>
            <w:r w:rsidRPr="00364C7E">
              <w:rPr>
                <w:rFonts w:ascii="Verdana" w:eastAsia="Calibri" w:hAnsi="Verdana" w:cs="Times New Roman"/>
                <w:sz w:val="16"/>
                <w:szCs w:val="16"/>
              </w:rPr>
              <w:t>Revisó </w:t>
            </w:r>
          </w:p>
        </w:tc>
        <w:tc>
          <w:tcPr>
            <w:tcW w:w="4937" w:type="dxa"/>
            <w:tcBorders>
              <w:top w:val="dotted" w:sz="6" w:space="0" w:color="7F7F7F"/>
              <w:left w:val="nil"/>
              <w:bottom w:val="dotted" w:sz="6" w:space="0" w:color="7F7F7F"/>
              <w:right w:val="nil"/>
            </w:tcBorders>
            <w:vAlign w:val="center"/>
            <w:hideMark/>
          </w:tcPr>
          <w:p w14:paraId="5F28E7BF" w14:textId="77777777" w:rsidR="002439E3" w:rsidRPr="00364C7E" w:rsidRDefault="002439E3" w:rsidP="00677F53">
            <w:pPr>
              <w:spacing w:after="0" w:line="256" w:lineRule="auto"/>
              <w:rPr>
                <w:rFonts w:ascii="Verdana" w:eastAsia="Calibri" w:hAnsi="Verdana" w:cs="Times New Roman"/>
                <w:sz w:val="16"/>
                <w:szCs w:val="16"/>
              </w:rPr>
            </w:pPr>
            <w:r w:rsidRPr="00364C7E">
              <w:rPr>
                <w:rFonts w:ascii="Verdana" w:eastAsia="Calibri" w:hAnsi="Verdana" w:cs="Times New Roman"/>
                <w:sz w:val="16"/>
                <w:szCs w:val="16"/>
              </w:rPr>
              <w:t xml:space="preserve">Alejandro </w:t>
            </w:r>
            <w:r>
              <w:rPr>
                <w:rFonts w:ascii="Verdana" w:eastAsia="Calibri" w:hAnsi="Verdana" w:cs="Times New Roman"/>
                <w:sz w:val="16"/>
                <w:szCs w:val="16"/>
              </w:rPr>
              <w:t xml:space="preserve">Raúl </w:t>
            </w:r>
            <w:r w:rsidRPr="00364C7E">
              <w:rPr>
                <w:rFonts w:ascii="Verdana" w:eastAsia="Calibri" w:hAnsi="Verdana" w:cs="Times New Roman"/>
                <w:sz w:val="16"/>
                <w:szCs w:val="16"/>
              </w:rPr>
              <w:t>Sarmiento Cantillo</w:t>
            </w:r>
          </w:p>
          <w:p w14:paraId="3F4F6114" w14:textId="77777777" w:rsidR="002439E3" w:rsidRPr="00364C7E" w:rsidRDefault="002439E3" w:rsidP="00677F53">
            <w:pPr>
              <w:spacing w:after="0" w:line="256" w:lineRule="auto"/>
              <w:rPr>
                <w:rFonts w:ascii="Verdana" w:eastAsia="Calibri" w:hAnsi="Verdana" w:cs="Times New Roman"/>
                <w:sz w:val="16"/>
                <w:szCs w:val="16"/>
              </w:rPr>
            </w:pPr>
            <w:r w:rsidRPr="00364C7E">
              <w:rPr>
                <w:rFonts w:ascii="Verdana" w:eastAsia="Calibri" w:hAnsi="Verdana" w:cs="Times New Roman"/>
                <w:sz w:val="16"/>
                <w:szCs w:val="16"/>
              </w:rPr>
              <w:t>Gestor T1-15 de la Subdirección de Gestión Contractual </w:t>
            </w:r>
          </w:p>
        </w:tc>
      </w:tr>
      <w:tr w:rsidR="002439E3" w:rsidRPr="00364C7E" w14:paraId="40211C5F" w14:textId="77777777" w:rsidTr="00677F53">
        <w:trPr>
          <w:trHeight w:val="389"/>
        </w:trPr>
        <w:tc>
          <w:tcPr>
            <w:tcW w:w="817" w:type="dxa"/>
            <w:tcBorders>
              <w:top w:val="nil"/>
              <w:left w:val="nil"/>
              <w:bottom w:val="nil"/>
              <w:right w:val="nil"/>
            </w:tcBorders>
            <w:vAlign w:val="center"/>
            <w:hideMark/>
          </w:tcPr>
          <w:p w14:paraId="79E1B100" w14:textId="77777777" w:rsidR="002439E3" w:rsidRPr="00364C7E" w:rsidRDefault="002439E3" w:rsidP="00677F53">
            <w:pPr>
              <w:spacing w:after="0" w:line="256" w:lineRule="auto"/>
              <w:rPr>
                <w:rFonts w:ascii="Verdana" w:eastAsia="Calibri" w:hAnsi="Verdana" w:cs="Times New Roman"/>
                <w:sz w:val="16"/>
                <w:szCs w:val="16"/>
              </w:rPr>
            </w:pPr>
            <w:r w:rsidRPr="00364C7E">
              <w:rPr>
                <w:rFonts w:ascii="Verdana" w:eastAsia="Calibri" w:hAnsi="Verdana" w:cs="Times New Roman"/>
                <w:sz w:val="16"/>
                <w:szCs w:val="16"/>
              </w:rPr>
              <w:t>Aprobó: </w:t>
            </w:r>
          </w:p>
        </w:tc>
        <w:tc>
          <w:tcPr>
            <w:tcW w:w="4937" w:type="dxa"/>
            <w:tcBorders>
              <w:top w:val="dotted" w:sz="6" w:space="0" w:color="7F7F7F"/>
              <w:left w:val="nil"/>
              <w:bottom w:val="dotted" w:sz="6" w:space="0" w:color="7F7F7F"/>
              <w:right w:val="nil"/>
            </w:tcBorders>
            <w:vAlign w:val="center"/>
            <w:hideMark/>
          </w:tcPr>
          <w:p w14:paraId="62505837" w14:textId="77777777" w:rsidR="002439E3" w:rsidRPr="00364C7E" w:rsidRDefault="002439E3" w:rsidP="00677F53">
            <w:pPr>
              <w:spacing w:after="0" w:line="256" w:lineRule="auto"/>
              <w:rPr>
                <w:rFonts w:ascii="Verdana" w:eastAsia="Calibri" w:hAnsi="Verdana" w:cs="Times New Roman"/>
                <w:sz w:val="16"/>
                <w:szCs w:val="16"/>
              </w:rPr>
            </w:pPr>
            <w:r w:rsidRPr="00364C7E">
              <w:rPr>
                <w:rFonts w:ascii="Verdana" w:eastAsia="Calibri" w:hAnsi="Verdana" w:cs="Times New Roman"/>
                <w:sz w:val="16"/>
                <w:szCs w:val="16"/>
              </w:rPr>
              <w:t>Carolina Quintero Gacharná</w:t>
            </w:r>
          </w:p>
          <w:p w14:paraId="3F5522B4" w14:textId="77777777" w:rsidR="002439E3" w:rsidRPr="00364C7E" w:rsidRDefault="002439E3" w:rsidP="00677F53">
            <w:pPr>
              <w:spacing w:after="0" w:line="256" w:lineRule="auto"/>
              <w:rPr>
                <w:rFonts w:ascii="Verdana" w:eastAsia="Calibri" w:hAnsi="Verdana" w:cs="Times New Roman"/>
                <w:sz w:val="16"/>
                <w:szCs w:val="16"/>
              </w:rPr>
            </w:pPr>
            <w:r w:rsidRPr="00364C7E">
              <w:rPr>
                <w:rFonts w:ascii="Verdana" w:eastAsia="Calibri" w:hAnsi="Verdana" w:cs="Times New Roman"/>
                <w:sz w:val="16"/>
                <w:szCs w:val="16"/>
              </w:rPr>
              <w:t>Subdirectora de Gestión Contractual ANCP – CCE</w:t>
            </w:r>
          </w:p>
        </w:tc>
      </w:tr>
    </w:tbl>
    <w:p w14:paraId="514A3F34" w14:textId="77777777" w:rsidR="002439E3" w:rsidRPr="000E2B93" w:rsidRDefault="002439E3" w:rsidP="002439E3">
      <w:pPr>
        <w:spacing w:after="0" w:line="240" w:lineRule="auto"/>
        <w:jc w:val="both"/>
        <w:textAlignment w:val="baseline"/>
        <w:rPr>
          <w:rFonts w:ascii="Verdana" w:eastAsia="Verdana" w:hAnsi="Verdana" w:cs="Verdana"/>
          <w:lang w:eastAsia="es-CO"/>
        </w:rPr>
      </w:pPr>
    </w:p>
    <w:p w14:paraId="28678DCD" w14:textId="5A935485" w:rsidR="002439E3" w:rsidRPr="000E2B93" w:rsidRDefault="002439E3" w:rsidP="002439E3">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p w14:paraId="73C61EC8" w14:textId="1AB7930B" w:rsidR="00EB224C" w:rsidRPr="002439E3" w:rsidRDefault="00EB224C" w:rsidP="002439E3"/>
    <w:sectPr w:rsidR="00EB224C" w:rsidRPr="002439E3" w:rsidSect="007C0C0F">
      <w:headerReference w:type="default" r:id="rId20"/>
      <w:footerReference w:type="default" r:id="rId21"/>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10B82" w14:textId="77777777" w:rsidR="002F5F7D" w:rsidRDefault="002F5F7D" w:rsidP="004A1847">
      <w:pPr>
        <w:spacing w:after="0" w:line="240" w:lineRule="auto"/>
      </w:pPr>
      <w:r>
        <w:separator/>
      </w:r>
    </w:p>
  </w:endnote>
  <w:endnote w:type="continuationSeparator" w:id="0">
    <w:p w14:paraId="2EBAAE32" w14:textId="77777777" w:rsidR="002F5F7D" w:rsidRDefault="002F5F7D"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3332A8" w:rsidRDefault="003332A8">
    <w:pPr>
      <w:pStyle w:val="Piedepgina"/>
    </w:pPr>
  </w:p>
  <w:p w14:paraId="594D6D9F" w14:textId="5146BA10" w:rsidR="003332A8" w:rsidRPr="00174B77" w:rsidRDefault="003332A8" w:rsidP="00D520D8">
    <w:pPr>
      <w:pBdr>
        <w:top w:val="single" w:sz="4" w:space="1" w:color="auto"/>
      </w:pBdr>
      <w:spacing w:after="0"/>
      <w:rPr>
        <w:rFonts w:ascii="Verdana" w:hAnsi="Verdana"/>
        <w:b/>
        <w:bCs/>
        <w:sz w:val="20"/>
        <w:szCs w:val="20"/>
      </w:rPr>
    </w:pPr>
    <w:r>
      <w:rPr>
        <w:rFonts w:ascii="Verdana" w:hAnsi="Verdana"/>
        <w:b/>
        <w:bCs/>
        <w:sz w:val="20"/>
        <w:szCs w:val="20"/>
      </w:rPr>
      <w:t>A</w:t>
    </w:r>
    <w:r w:rsidRPr="008E4D59">
      <w:rPr>
        <w:rFonts w:ascii="Verdana" w:hAnsi="Verdana"/>
        <w:b/>
        <w:bCs/>
        <w:sz w:val="20"/>
        <w:szCs w:val="20"/>
      </w:rPr>
      <w:t>gencia Nacional de Contratación</w:t>
    </w:r>
    <w:r>
      <w:rPr>
        <w:rFonts w:ascii="Verdana" w:hAnsi="Verdana"/>
        <w:b/>
        <w:bCs/>
        <w:sz w:val="20"/>
        <w:szCs w:val="20"/>
      </w:rPr>
      <w:t xml:space="preserve"> </w:t>
    </w:r>
    <w:r w:rsidRPr="008E4D59">
      <w:rPr>
        <w:rFonts w:ascii="Verdana" w:hAnsi="Verdana"/>
        <w:b/>
        <w:bCs/>
        <w:sz w:val="20"/>
        <w:szCs w:val="20"/>
      </w:rPr>
      <w:t>Pública</w:t>
    </w:r>
    <w:r>
      <w:rPr>
        <w:rFonts w:ascii="Verdana" w:hAnsi="Verdana"/>
        <w:b/>
        <w:bCs/>
        <w:sz w:val="20"/>
        <w:szCs w:val="20"/>
      </w:rPr>
      <w:t xml:space="preserve">                                              </w:t>
    </w:r>
    <w:r w:rsidRPr="002E1330">
      <w:rPr>
        <w:rFonts w:ascii="Verdana" w:eastAsiaTheme="majorEastAsia" w:hAnsi="Verdana" w:cstheme="majorBidi"/>
        <w:b/>
        <w:bCs/>
        <w:sz w:val="16"/>
        <w:szCs w:val="16"/>
        <w:lang w:val="es-ES"/>
      </w:rPr>
      <w:t xml:space="preserve">pág. </w:t>
    </w:r>
    <w:r w:rsidRPr="002E1330">
      <w:rPr>
        <w:rFonts w:ascii="Verdana" w:eastAsiaTheme="minorEastAsia" w:hAnsi="Verdana"/>
        <w:b/>
        <w:bCs/>
        <w:sz w:val="16"/>
        <w:szCs w:val="16"/>
      </w:rPr>
      <w:fldChar w:fldCharType="begin"/>
    </w:r>
    <w:r w:rsidRPr="002E1330">
      <w:rPr>
        <w:rFonts w:ascii="Verdana" w:hAnsi="Verdana"/>
        <w:b/>
        <w:bCs/>
        <w:sz w:val="16"/>
        <w:szCs w:val="16"/>
      </w:rPr>
      <w:instrText>PAGE    \* MERGEFORMAT</w:instrText>
    </w:r>
    <w:r w:rsidRPr="002E1330">
      <w:rPr>
        <w:rFonts w:ascii="Verdana" w:eastAsiaTheme="minorEastAsia" w:hAnsi="Verdana"/>
        <w:b/>
        <w:bCs/>
        <w:sz w:val="16"/>
        <w:szCs w:val="16"/>
      </w:rPr>
      <w:fldChar w:fldCharType="separate"/>
    </w:r>
    <w:r w:rsidR="00B56A37" w:rsidRPr="00B56A37">
      <w:rPr>
        <w:rFonts w:ascii="Verdana" w:eastAsiaTheme="minorEastAsia" w:hAnsi="Verdana"/>
        <w:b/>
        <w:bCs/>
        <w:noProof/>
        <w:sz w:val="16"/>
        <w:szCs w:val="16"/>
      </w:rPr>
      <w:t>34</w:t>
    </w:r>
    <w:r w:rsidRPr="002E1330">
      <w:rPr>
        <w:rFonts w:ascii="Verdana" w:eastAsiaTheme="majorEastAsia" w:hAnsi="Verdana" w:cstheme="majorBidi"/>
        <w:b/>
        <w:bCs/>
        <w:sz w:val="16"/>
        <w:szCs w:val="16"/>
      </w:rPr>
      <w:fldChar w:fldCharType="end"/>
    </w:r>
    <w:r>
      <w:rPr>
        <w:rFonts w:ascii="Verdana" w:hAnsi="Verdana"/>
        <w:b/>
        <w:bCs/>
        <w:sz w:val="20"/>
        <w:szCs w:val="20"/>
      </w:rPr>
      <w:t xml:space="preserve">              </w:t>
    </w:r>
    <w:r w:rsidRPr="008E4D59">
      <w:rPr>
        <w:rFonts w:ascii="Verdana" w:hAnsi="Verdana"/>
        <w:b/>
        <w:bCs/>
        <w:sz w:val="20"/>
        <w:szCs w:val="20"/>
      </w:rPr>
      <w:t xml:space="preserve">Colombia Compra Eficiente         </w:t>
    </w:r>
    <w:r w:rsidRPr="008E4D59">
      <w:rPr>
        <w:rFonts w:ascii="Verdana" w:hAnsi="Verdana"/>
        <w:b/>
        <w:bCs/>
        <w:sz w:val="20"/>
        <w:szCs w:val="20"/>
        <w:lang w:val="es-ES"/>
      </w:rPr>
      <w:t xml:space="preserve"> </w:t>
    </w:r>
    <w:r>
      <w:rPr>
        <w:rFonts w:ascii="Verdana" w:hAnsi="Verdana"/>
        <w:b/>
        <w:bCs/>
        <w:sz w:val="20"/>
        <w:szCs w:val="20"/>
      </w:rPr>
      <w:t xml:space="preserve">                                                  </w:t>
    </w:r>
  </w:p>
  <w:p w14:paraId="0A735DD5" w14:textId="77777777" w:rsidR="003332A8" w:rsidRDefault="003332A8" w:rsidP="00D520D8">
    <w:pPr>
      <w:spacing w:after="0"/>
      <w:jc w:val="both"/>
      <w:rPr>
        <w:rFonts w:ascii="Verdana" w:hAnsi="Verdana"/>
        <w:sz w:val="18"/>
        <w:szCs w:val="18"/>
      </w:rPr>
    </w:pPr>
    <w:r w:rsidRPr="00E41027">
      <w:rPr>
        <w:rFonts w:ascii="Verdana" w:hAnsi="Verdana"/>
        <w:sz w:val="18"/>
        <w:szCs w:val="18"/>
      </w:rPr>
      <w:t>Dirección: Carrera 7 # 26 – 20 - Bogotá, Colombia</w:t>
    </w:r>
  </w:p>
  <w:p w14:paraId="06E36B88" w14:textId="77777777" w:rsidR="003332A8" w:rsidRPr="00E41027" w:rsidRDefault="003332A8" w:rsidP="00D520D8">
    <w:pPr>
      <w:spacing w:after="0"/>
      <w:jc w:val="both"/>
      <w:rPr>
        <w:rFonts w:ascii="Verdana" w:hAnsi="Verdana"/>
        <w:sz w:val="18"/>
        <w:szCs w:val="18"/>
      </w:rPr>
    </w:pPr>
    <w:r w:rsidRPr="00E41027">
      <w:rPr>
        <w:rFonts w:ascii="Verdana" w:hAnsi="Verdana"/>
        <w:sz w:val="18"/>
        <w:szCs w:val="18"/>
      </w:rPr>
      <w:t>Mesa de servicio: (+57) 601 7456788</w:t>
    </w:r>
  </w:p>
  <w:p w14:paraId="744661F5" w14:textId="46D7CAE9" w:rsidR="003332A8" w:rsidRDefault="003332A8">
    <w:r w:rsidRPr="00E41027">
      <w:rPr>
        <w:rFonts w:ascii="Verdana" w:hAnsi="Verdana"/>
        <w:sz w:val="18"/>
        <w:szCs w:val="18"/>
      </w:rPr>
      <w:t>Atención al ciudadano:</w:t>
    </w:r>
    <w:r>
      <w:rPr>
        <w:rFonts w:ascii="Verdana" w:hAnsi="Verdana"/>
        <w:sz w:val="18"/>
        <w:szCs w:val="18"/>
      </w:rPr>
      <w:t xml:space="preserve"> </w:t>
    </w:r>
    <w:r w:rsidRPr="00E41027">
      <w:rPr>
        <w:rFonts w:ascii="Verdana" w:hAnsi="Verdana"/>
        <w:sz w:val="18"/>
        <w:szCs w:val="18"/>
      </w:rPr>
      <w:t>(+57) 601 7956600</w:t>
    </w:r>
    <w:r>
      <w:rPr>
        <w:rFonts w:ascii="Verdana" w:hAnsi="Verdana"/>
        <w:sz w:val="18"/>
        <w:szCs w:val="18"/>
      </w:rPr>
      <w:t xml:space="preserve">                  </w:t>
    </w:r>
    <w:r w:rsidRPr="004A305D">
      <w:rPr>
        <w:rFonts w:ascii="Century Gothic" w:eastAsia="Geo" w:hAnsi="Century Gothic" w:cs="Geo"/>
        <w:b/>
        <w:color w:val="000000"/>
        <w:sz w:val="16"/>
        <w:szCs w:val="16"/>
        <w:lang w:eastAsia="es-CO"/>
      </w:rPr>
      <w:t xml:space="preserve">Código: </w:t>
    </w:r>
    <w:r w:rsidRPr="004A305D">
      <w:rPr>
        <w:rFonts w:ascii="Century Gothic" w:eastAsia="Geo" w:hAnsi="Century Gothic" w:cs="Geo"/>
        <w:bCs/>
        <w:color w:val="000000"/>
        <w:sz w:val="16"/>
        <w:szCs w:val="16"/>
        <w:lang w:eastAsia="es-CO"/>
      </w:rPr>
      <w:t>CCE-</w:t>
    </w:r>
    <w:r>
      <w:rPr>
        <w:rFonts w:ascii="Century Gothic" w:eastAsia="Geo" w:hAnsi="Century Gothic" w:cs="Geo"/>
        <w:bCs/>
        <w:color w:val="000000"/>
        <w:sz w:val="16"/>
        <w:szCs w:val="16"/>
        <w:lang w:eastAsia="es-CO"/>
      </w:rPr>
      <w:t>REC</w:t>
    </w:r>
    <w:r w:rsidRPr="004A305D">
      <w:rPr>
        <w:rFonts w:ascii="Century Gothic" w:eastAsia="Geo" w:hAnsi="Century Gothic" w:cs="Geo"/>
        <w:bCs/>
        <w:color w:val="000000"/>
        <w:sz w:val="16"/>
        <w:szCs w:val="16"/>
        <w:lang w:eastAsia="es-CO"/>
      </w:rPr>
      <w:t>-FM-</w:t>
    </w:r>
    <w:r>
      <w:rPr>
        <w:rFonts w:ascii="Century Gothic" w:eastAsia="Geo" w:hAnsi="Century Gothic" w:cs="Geo"/>
        <w:bCs/>
        <w:color w:val="000000"/>
        <w:sz w:val="16"/>
        <w:szCs w:val="16"/>
        <w:lang w:eastAsia="es-CO"/>
      </w:rPr>
      <w:t xml:space="preserve">17 </w:t>
    </w:r>
    <w:r w:rsidRPr="004A305D">
      <w:rPr>
        <w:rFonts w:ascii="Century Gothic" w:eastAsia="Geo" w:hAnsi="Century Gothic" w:cs="Geo"/>
        <w:b/>
        <w:color w:val="000000"/>
        <w:sz w:val="16"/>
        <w:szCs w:val="16"/>
        <w:lang w:eastAsia="es-CO"/>
      </w:rPr>
      <w:t>V</w:t>
    </w:r>
    <w:r w:rsidRPr="004A305D">
      <w:rPr>
        <w:rFonts w:ascii="Century Gothic" w:eastAsia="Arial Nova" w:hAnsi="Century Gothic" w:cs="Arial Nova"/>
        <w:b/>
        <w:color w:val="000000"/>
        <w:sz w:val="16"/>
        <w:szCs w:val="16"/>
        <w:lang w:eastAsia="es-CO"/>
      </w:rPr>
      <w:t xml:space="preserve">: </w:t>
    </w:r>
    <w:r w:rsidRPr="004A305D">
      <w:rPr>
        <w:rFonts w:ascii="Century Gothic" w:eastAsia="Geo" w:hAnsi="Century Gothic" w:cs="Geo"/>
        <w:sz w:val="16"/>
        <w:szCs w:val="16"/>
        <w:lang w:eastAsia="es-CO"/>
      </w:rPr>
      <w:t>0</w:t>
    </w:r>
    <w:r>
      <w:rPr>
        <w:rFonts w:ascii="Century Gothic" w:eastAsia="Geo" w:hAnsi="Century Gothic" w:cs="Geo"/>
        <w:sz w:val="16"/>
        <w:szCs w:val="16"/>
        <w:lang w:eastAsia="es-CO"/>
      </w:rPr>
      <w:t>3</w:t>
    </w:r>
    <w:r w:rsidRPr="004A305D">
      <w:rPr>
        <w:rFonts w:ascii="Century Gothic" w:eastAsia="Geo" w:hAnsi="Century Gothic" w:cs="Geo"/>
        <w:sz w:val="16"/>
        <w:szCs w:val="16"/>
        <w:lang w:eastAsia="es-CO"/>
      </w:rPr>
      <w:t xml:space="preserve"> </w:t>
    </w:r>
    <w:r>
      <w:rPr>
        <w:rFonts w:ascii="Century Gothic" w:eastAsia="Geo" w:hAnsi="Century Gothic" w:cs="Geo"/>
        <w:sz w:val="16"/>
        <w:szCs w:val="16"/>
        <w:lang w:eastAsia="es-CO"/>
      </w:rPr>
      <w:t>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62975" w14:textId="77777777" w:rsidR="002F5F7D" w:rsidRDefault="002F5F7D" w:rsidP="004A1847">
      <w:pPr>
        <w:spacing w:after="0" w:line="240" w:lineRule="auto"/>
      </w:pPr>
      <w:r>
        <w:separator/>
      </w:r>
    </w:p>
  </w:footnote>
  <w:footnote w:type="continuationSeparator" w:id="0">
    <w:p w14:paraId="76357292" w14:textId="77777777" w:rsidR="002F5F7D" w:rsidRDefault="002F5F7D" w:rsidP="004A1847">
      <w:pPr>
        <w:spacing w:after="0" w:line="240" w:lineRule="auto"/>
      </w:pPr>
      <w:r>
        <w:continuationSeparator/>
      </w:r>
    </w:p>
  </w:footnote>
  <w:footnote w:id="1">
    <w:p w14:paraId="35EF0605" w14:textId="77777777" w:rsidR="002439E3" w:rsidRPr="001A441E" w:rsidRDefault="002439E3" w:rsidP="002439E3">
      <w:pPr>
        <w:pStyle w:val="Textonotapie"/>
        <w:ind w:firstLine="720"/>
        <w:contextualSpacing/>
        <w:jc w:val="both"/>
        <w:rPr>
          <w:rFonts w:ascii="Verdana" w:hAnsi="Verdana"/>
          <w:sz w:val="16"/>
          <w:szCs w:val="16"/>
        </w:rPr>
      </w:pPr>
      <w:r w:rsidRPr="001A441E">
        <w:rPr>
          <w:rStyle w:val="Refdenotaalpie"/>
          <w:rFonts w:ascii="Verdana" w:hAnsi="Verdana"/>
          <w:sz w:val="16"/>
          <w:szCs w:val="16"/>
        </w:rPr>
        <w:footnoteRef/>
      </w:r>
      <w:r w:rsidRPr="001A441E">
        <w:rPr>
          <w:rFonts w:ascii="Verdana" w:hAnsi="Verdana"/>
          <w:sz w:val="16"/>
          <w:szCs w:val="16"/>
          <w:lang w:val="es-CO"/>
        </w:rPr>
        <w:t xml:space="preserve"> EXPÓSITO VÉLEZ, Juan Carlos. </w:t>
      </w:r>
      <w:r w:rsidRPr="001A441E">
        <w:rPr>
          <w:rFonts w:ascii="Verdana" w:hAnsi="Verdana"/>
          <w:sz w:val="16"/>
          <w:szCs w:val="16"/>
        </w:rPr>
        <w:t xml:space="preserve">Forma y contenido del contrato estatal. Serie de Derecho administrativo. Universidad Externado de Colombia. Página 70. </w:t>
      </w:r>
    </w:p>
  </w:footnote>
  <w:footnote w:id="2">
    <w:p w14:paraId="2DC6BBAB" w14:textId="77777777" w:rsidR="002439E3" w:rsidRPr="001A441E" w:rsidRDefault="002439E3" w:rsidP="002439E3">
      <w:pPr>
        <w:pStyle w:val="Textonotapie"/>
        <w:ind w:firstLine="708"/>
        <w:contextualSpacing/>
        <w:jc w:val="both"/>
        <w:rPr>
          <w:rFonts w:ascii="Verdana" w:hAnsi="Verdana"/>
          <w:sz w:val="16"/>
          <w:szCs w:val="16"/>
        </w:rPr>
      </w:pPr>
      <w:r w:rsidRPr="001A441E">
        <w:rPr>
          <w:rStyle w:val="Refdenotaalpie"/>
          <w:rFonts w:ascii="Verdana" w:hAnsi="Verdana"/>
          <w:sz w:val="16"/>
          <w:szCs w:val="16"/>
        </w:rPr>
        <w:footnoteRef/>
      </w:r>
      <w:r w:rsidRPr="001A441E">
        <w:rPr>
          <w:rFonts w:ascii="Verdana" w:hAnsi="Verdana"/>
          <w:sz w:val="16"/>
          <w:szCs w:val="16"/>
        </w:rPr>
        <w:t xml:space="preserve"> ESCOBAR Gil, Rodrigo. Teoría General de los contratos de la Administración Pública.</w:t>
      </w:r>
      <w:r w:rsidRPr="001A441E">
        <w:rPr>
          <w:rFonts w:ascii="Verdana" w:hAnsi="Verdana" w:cs="Arial"/>
          <w:i/>
          <w:iCs/>
          <w:color w:val="222222"/>
          <w:sz w:val="16"/>
          <w:szCs w:val="16"/>
          <w:shd w:val="clear" w:color="auto" w:fill="FFFFFF"/>
          <w:lang w:val="es-CO"/>
        </w:rPr>
        <w:t xml:space="preserve"> </w:t>
      </w:r>
      <w:r w:rsidRPr="001A441E">
        <w:rPr>
          <w:rFonts w:ascii="Verdana" w:hAnsi="Verdana"/>
          <w:i/>
          <w:iCs/>
          <w:sz w:val="16"/>
          <w:szCs w:val="16"/>
          <w:lang w:val="es-CO"/>
        </w:rPr>
        <w:t xml:space="preserve">Bogotá: </w:t>
      </w:r>
      <w:r w:rsidRPr="001A441E">
        <w:rPr>
          <w:rFonts w:ascii="Verdana" w:hAnsi="Verdana"/>
          <w:sz w:val="16"/>
          <w:szCs w:val="16"/>
          <w:lang w:val="es-CO"/>
        </w:rPr>
        <w:t>Legis, 2003.</w:t>
      </w:r>
      <w:r w:rsidRPr="001A441E">
        <w:rPr>
          <w:rFonts w:ascii="Verdana" w:hAnsi="Verdana"/>
          <w:sz w:val="16"/>
          <w:szCs w:val="16"/>
        </w:rPr>
        <w:t xml:space="preserve"> p. 214. </w:t>
      </w:r>
    </w:p>
  </w:footnote>
  <w:footnote w:id="3">
    <w:p w14:paraId="3C1A5E65" w14:textId="77777777" w:rsidR="002439E3" w:rsidRPr="001A441E" w:rsidRDefault="002439E3" w:rsidP="002439E3">
      <w:pPr>
        <w:pStyle w:val="Textonotapie"/>
        <w:ind w:firstLine="708"/>
        <w:contextualSpacing/>
        <w:jc w:val="both"/>
        <w:rPr>
          <w:rFonts w:ascii="Verdana" w:hAnsi="Verdana"/>
          <w:sz w:val="16"/>
          <w:szCs w:val="16"/>
          <w:lang w:val="es-CO"/>
        </w:rPr>
      </w:pPr>
      <w:r w:rsidRPr="001A441E">
        <w:rPr>
          <w:rStyle w:val="Refdenotaalpie"/>
          <w:rFonts w:ascii="Verdana" w:hAnsi="Verdana"/>
          <w:sz w:val="16"/>
          <w:szCs w:val="16"/>
        </w:rPr>
        <w:footnoteRef/>
      </w:r>
      <w:r w:rsidRPr="001A441E">
        <w:rPr>
          <w:rFonts w:ascii="Verdana" w:hAnsi="Verdana"/>
          <w:sz w:val="16"/>
          <w:szCs w:val="16"/>
        </w:rPr>
        <w:t xml:space="preserve"> </w:t>
      </w:r>
      <w:r w:rsidRPr="001A441E">
        <w:rPr>
          <w:rFonts w:ascii="Verdana" w:hAnsi="Verdana"/>
          <w:sz w:val="16"/>
          <w:szCs w:val="16"/>
          <w:lang w:val="es-CO"/>
        </w:rPr>
        <w:t>CONSEJO DE ESTADO. Sala de Consulta y Servicio Civil. Concepto del 15 de agosto de 2017. C.P. Álvaro Namén Vargas. Rad. 2346.</w:t>
      </w:r>
    </w:p>
  </w:footnote>
  <w:footnote w:id="4">
    <w:p w14:paraId="5AA42946" w14:textId="77777777" w:rsidR="002439E3" w:rsidRPr="001A441E" w:rsidRDefault="002439E3" w:rsidP="002439E3">
      <w:pPr>
        <w:pStyle w:val="Textonotapie"/>
        <w:ind w:firstLine="708"/>
        <w:contextualSpacing/>
        <w:jc w:val="both"/>
        <w:rPr>
          <w:rFonts w:ascii="Verdana" w:hAnsi="Verdana"/>
          <w:sz w:val="16"/>
          <w:szCs w:val="16"/>
          <w:lang w:val="es-CO"/>
        </w:rPr>
      </w:pPr>
      <w:r w:rsidRPr="001A441E">
        <w:rPr>
          <w:rStyle w:val="Refdenotaalpie"/>
          <w:rFonts w:ascii="Verdana" w:hAnsi="Verdana"/>
          <w:sz w:val="16"/>
          <w:szCs w:val="16"/>
        </w:rPr>
        <w:footnoteRef/>
      </w:r>
      <w:r w:rsidRPr="001A441E">
        <w:rPr>
          <w:rFonts w:ascii="Verdana" w:hAnsi="Verdana"/>
          <w:sz w:val="16"/>
          <w:szCs w:val="16"/>
        </w:rPr>
        <w:t xml:space="preserve"> </w:t>
      </w:r>
      <w:r w:rsidRPr="001A441E">
        <w:rPr>
          <w:rFonts w:ascii="Verdana" w:hAnsi="Verdana"/>
          <w:sz w:val="16"/>
          <w:szCs w:val="16"/>
          <w:lang w:val="es-CO"/>
        </w:rPr>
        <w:t>Como cuando el contrato estatal se celebra en el exterior, caso en el cual se rige por las leyes del país en donde se perfecciona (“lex loci contractus”), en cuanto a su existencia y validez, y también en cuanto a su ejecución, si así se estipula, a menos que deba cumplirse en Colombia, de acuerdo con lo dispuesto por el artículo 13 de la Ley 80 de 1993. También podría prescindirse del documento escrito en la hipótesis prevista en el inciso cuarto del artículo 41 de la misma ley: “En caso de situaciones de urgencia manifiesta a que se refiere el artículo 42 de esta ley que no permitan la suscripción de contrato escrito, se prescindirá de éste y aún del acuerdo acerca de la remuneración, no obstante, deberá dejarse constancia escrita de la autorización impartida por la entidad estatal contratante.”</w:t>
      </w:r>
    </w:p>
  </w:footnote>
  <w:footnote w:id="5">
    <w:p w14:paraId="66D04170" w14:textId="77777777" w:rsidR="002439E3" w:rsidRPr="001A441E" w:rsidRDefault="002439E3" w:rsidP="002439E3">
      <w:pPr>
        <w:pStyle w:val="Textonotapie"/>
        <w:ind w:firstLine="708"/>
        <w:contextualSpacing/>
        <w:jc w:val="both"/>
        <w:rPr>
          <w:rFonts w:ascii="Verdana" w:hAnsi="Verdana"/>
          <w:sz w:val="16"/>
          <w:szCs w:val="16"/>
        </w:rPr>
      </w:pPr>
      <w:r w:rsidRPr="001A441E">
        <w:rPr>
          <w:rStyle w:val="Refdenotaalpie"/>
          <w:rFonts w:ascii="Verdana" w:hAnsi="Verdana"/>
          <w:sz w:val="16"/>
          <w:szCs w:val="16"/>
        </w:rPr>
        <w:footnoteRef/>
      </w:r>
      <w:r w:rsidRPr="001A441E">
        <w:rPr>
          <w:rFonts w:ascii="Verdana" w:hAnsi="Verdana"/>
          <w:sz w:val="16"/>
          <w:szCs w:val="16"/>
        </w:rPr>
        <w:t xml:space="preserve"> EXPOSITO. </w:t>
      </w:r>
      <w:r w:rsidRPr="001A441E">
        <w:rPr>
          <w:rFonts w:ascii="Verdana" w:hAnsi="Verdana"/>
          <w:sz w:val="16"/>
          <w:szCs w:val="16"/>
        </w:rPr>
        <w:t xml:space="preserve">Op. Cit. p. 73. </w:t>
      </w:r>
    </w:p>
  </w:footnote>
  <w:footnote w:id="6">
    <w:p w14:paraId="5E6B4BD0" w14:textId="77777777" w:rsidR="002439E3" w:rsidRPr="001A441E" w:rsidRDefault="002439E3" w:rsidP="002439E3">
      <w:pPr>
        <w:pStyle w:val="Textonotapie"/>
        <w:ind w:firstLine="708"/>
        <w:contextualSpacing/>
        <w:jc w:val="both"/>
        <w:rPr>
          <w:rFonts w:ascii="Verdana" w:hAnsi="Verdana"/>
          <w:sz w:val="16"/>
          <w:szCs w:val="16"/>
        </w:rPr>
      </w:pPr>
      <w:r w:rsidRPr="001A441E">
        <w:rPr>
          <w:rStyle w:val="Refdenotaalpie"/>
          <w:rFonts w:ascii="Verdana" w:hAnsi="Verdana"/>
          <w:sz w:val="16"/>
          <w:szCs w:val="16"/>
        </w:rPr>
        <w:footnoteRef/>
      </w:r>
      <w:r w:rsidRPr="001A441E">
        <w:rPr>
          <w:rFonts w:ascii="Verdana" w:hAnsi="Verdana"/>
          <w:sz w:val="16"/>
          <w:szCs w:val="16"/>
        </w:rPr>
        <w:t xml:space="preserve"> </w:t>
      </w:r>
      <w:r w:rsidRPr="001A441E">
        <w:rPr>
          <w:rFonts w:ascii="Verdana" w:hAnsi="Verdana"/>
          <w:sz w:val="16"/>
          <w:szCs w:val="16"/>
          <w:lang w:val="es-CO"/>
        </w:rPr>
        <w:t>Consejo de Estado, Sala de lo Contencioso Administrativo, Sección Tercera, sentencia del 13 de junio de 2011, expediente 19936.</w:t>
      </w:r>
    </w:p>
  </w:footnote>
  <w:footnote w:id="7">
    <w:p w14:paraId="55485A81" w14:textId="77777777" w:rsidR="002439E3" w:rsidRPr="001A441E" w:rsidRDefault="002439E3" w:rsidP="002439E3">
      <w:pPr>
        <w:pStyle w:val="Textonotapie"/>
        <w:ind w:firstLine="708"/>
        <w:contextualSpacing/>
        <w:jc w:val="both"/>
        <w:rPr>
          <w:rFonts w:ascii="Verdana" w:hAnsi="Verdana" w:cs="Arial"/>
          <w:sz w:val="16"/>
          <w:szCs w:val="16"/>
          <w:lang w:val="es-ES"/>
        </w:rPr>
      </w:pPr>
      <w:r w:rsidRPr="001A441E">
        <w:rPr>
          <w:rStyle w:val="Refdenotaalpie"/>
          <w:rFonts w:ascii="Verdana" w:hAnsi="Verdana" w:cs="Arial"/>
          <w:sz w:val="16"/>
          <w:szCs w:val="16"/>
        </w:rPr>
        <w:footnoteRef/>
      </w:r>
      <w:r w:rsidRPr="001A441E">
        <w:rPr>
          <w:rFonts w:ascii="Verdana" w:hAnsi="Verdana" w:cs="Arial"/>
          <w:sz w:val="16"/>
          <w:szCs w:val="16"/>
        </w:rPr>
        <w:t xml:space="preserve"> </w:t>
      </w:r>
      <w:r w:rsidRPr="001A441E">
        <w:rPr>
          <w:rFonts w:ascii="Verdana" w:hAnsi="Verdana" w:cs="Arial"/>
          <w:sz w:val="16"/>
          <w:szCs w:val="16"/>
          <w:lang w:val="es-ES"/>
        </w:rPr>
        <w:t xml:space="preserve">SANTOS RODRÍGUEZ. Jorge Enrique. Construcción doctrinaria de la revocación del acto administrativo ilegal. Universidad Externado de Colombia, 2005. p. 27. </w:t>
      </w:r>
    </w:p>
  </w:footnote>
  <w:footnote w:id="8">
    <w:p w14:paraId="53C4EEF0" w14:textId="77777777" w:rsidR="002439E3" w:rsidRPr="001A441E" w:rsidRDefault="002439E3" w:rsidP="002439E3">
      <w:pPr>
        <w:pStyle w:val="Textonotapie"/>
        <w:ind w:firstLine="708"/>
        <w:contextualSpacing/>
        <w:jc w:val="both"/>
        <w:rPr>
          <w:rFonts w:ascii="Verdana" w:hAnsi="Verdana" w:cs="Arial"/>
          <w:sz w:val="16"/>
          <w:szCs w:val="16"/>
        </w:rPr>
      </w:pPr>
      <w:r w:rsidRPr="001A441E">
        <w:rPr>
          <w:rStyle w:val="Refdenotaalpie"/>
          <w:rFonts w:ascii="Verdana" w:hAnsi="Verdana" w:cs="Arial"/>
          <w:sz w:val="16"/>
          <w:szCs w:val="16"/>
        </w:rPr>
        <w:footnoteRef/>
      </w:r>
      <w:r w:rsidRPr="001A441E">
        <w:rPr>
          <w:rFonts w:ascii="Verdana" w:hAnsi="Verdana" w:cs="Arial"/>
          <w:sz w:val="16"/>
          <w:szCs w:val="16"/>
        </w:rPr>
        <w:t xml:space="preserve"> RODRÍGUEZ. Libardo. Derecho Administrativo General y colombiano. Vigésima Edición. Tomo II. Editorial Temis, 2017. p. 85. </w:t>
      </w:r>
    </w:p>
  </w:footnote>
  <w:footnote w:id="9">
    <w:p w14:paraId="450F527E" w14:textId="77777777" w:rsidR="002439E3" w:rsidRPr="001A441E" w:rsidRDefault="002439E3" w:rsidP="002439E3">
      <w:pPr>
        <w:pStyle w:val="Textonotapie"/>
        <w:ind w:firstLine="708"/>
        <w:contextualSpacing/>
        <w:jc w:val="both"/>
        <w:rPr>
          <w:rFonts w:ascii="Verdana" w:hAnsi="Verdana" w:cs="Arial"/>
          <w:sz w:val="16"/>
          <w:szCs w:val="16"/>
          <w:lang w:val="es-ES"/>
        </w:rPr>
      </w:pPr>
      <w:r w:rsidRPr="001A441E">
        <w:rPr>
          <w:rStyle w:val="Refdenotaalpie"/>
          <w:rFonts w:ascii="Verdana" w:hAnsi="Verdana" w:cs="Arial"/>
          <w:sz w:val="16"/>
          <w:szCs w:val="16"/>
        </w:rPr>
        <w:footnoteRef/>
      </w:r>
      <w:r w:rsidRPr="001A441E">
        <w:rPr>
          <w:rFonts w:ascii="Verdana" w:hAnsi="Verdana" w:cs="Arial"/>
          <w:sz w:val="16"/>
          <w:szCs w:val="16"/>
        </w:rPr>
        <w:t xml:space="preserve"> </w:t>
      </w:r>
      <w:r w:rsidRPr="001A441E">
        <w:rPr>
          <w:rFonts w:ascii="Verdana" w:hAnsi="Verdana" w:cs="Arial"/>
          <w:color w:val="000000" w:themeColor="text1"/>
          <w:sz w:val="16"/>
          <w:szCs w:val="16"/>
          <w:lang w:val="es-ES"/>
        </w:rPr>
        <w:t xml:space="preserve">SANTOFIMIO GAMBOA, Jaime Orlando. Ob. Cit. Párrafo 1414 y siguientes. </w:t>
      </w:r>
    </w:p>
  </w:footnote>
  <w:footnote w:id="10">
    <w:p w14:paraId="77DC756D" w14:textId="77777777" w:rsidR="002439E3" w:rsidRPr="001A441E" w:rsidRDefault="002439E3" w:rsidP="002439E3">
      <w:pPr>
        <w:pStyle w:val="Textonotapie"/>
        <w:ind w:firstLine="708"/>
        <w:contextualSpacing/>
        <w:jc w:val="both"/>
        <w:rPr>
          <w:rFonts w:ascii="Verdana" w:hAnsi="Verdana" w:cs="Arial"/>
          <w:sz w:val="16"/>
          <w:szCs w:val="16"/>
        </w:rPr>
      </w:pPr>
      <w:r w:rsidRPr="001A441E">
        <w:rPr>
          <w:rStyle w:val="Refdenotaalpie"/>
          <w:rFonts w:ascii="Verdana" w:hAnsi="Verdana" w:cs="Arial"/>
          <w:sz w:val="16"/>
          <w:szCs w:val="16"/>
        </w:rPr>
        <w:footnoteRef/>
      </w:r>
      <w:r w:rsidRPr="001A441E">
        <w:rPr>
          <w:rFonts w:ascii="Verdana" w:hAnsi="Verdana" w:cs="Arial"/>
          <w:sz w:val="16"/>
          <w:szCs w:val="16"/>
        </w:rPr>
        <w:t xml:space="preserve"> El citado artículo 9 de la Ley 1150 de 2007 dispone: “ARTÍCULO 9o. DE LA ADJUDICACIÓN. En el evento previsto en el artículo 273 de la Constitución Política y en general en los procesos de licitación pública, la adjudicación se hará de forma obligatoria en audiencia pública, mediante resolución motivada, que se entenderá notificada al proponente favorecido en dicha audiencia.</w:t>
      </w:r>
    </w:p>
    <w:p w14:paraId="5F91C5A4" w14:textId="77777777" w:rsidR="002439E3" w:rsidRPr="001A441E" w:rsidRDefault="002439E3" w:rsidP="002439E3">
      <w:pPr>
        <w:pStyle w:val="Textonotapie"/>
        <w:ind w:firstLine="708"/>
        <w:contextualSpacing/>
        <w:jc w:val="both"/>
        <w:rPr>
          <w:rFonts w:ascii="Verdana" w:hAnsi="Verdana" w:cs="Arial"/>
          <w:sz w:val="16"/>
          <w:szCs w:val="16"/>
        </w:rPr>
      </w:pPr>
      <w:r w:rsidRPr="001A441E">
        <w:rPr>
          <w:rFonts w:ascii="Verdana" w:hAnsi="Verdana" w:cs="Arial"/>
          <w:sz w:val="16"/>
          <w:szCs w:val="16"/>
        </w:rPr>
        <w:t>Durante la misma audiencia, y previamente a la adopción de la decisión definitiva de adjudicación, los interesados podrán pronunciarse sobre la respuesta dada por la entidad contratante a las observaciones presentadas respecto de los informes de evaluación.</w:t>
      </w:r>
    </w:p>
    <w:p w14:paraId="765805E8" w14:textId="77777777" w:rsidR="002439E3" w:rsidRPr="001A441E" w:rsidRDefault="002439E3" w:rsidP="002439E3">
      <w:pPr>
        <w:pStyle w:val="Textonotapie"/>
        <w:ind w:firstLine="708"/>
        <w:contextualSpacing/>
        <w:jc w:val="both"/>
        <w:rPr>
          <w:rFonts w:ascii="Verdana" w:hAnsi="Verdana" w:cs="Arial"/>
          <w:sz w:val="16"/>
          <w:szCs w:val="16"/>
        </w:rPr>
      </w:pPr>
      <w:r w:rsidRPr="001A441E">
        <w:rPr>
          <w:rFonts w:ascii="Verdana" w:hAnsi="Verdana" w:cs="Arial"/>
          <w:sz w:val="16"/>
          <w:szCs w:val="16"/>
        </w:rPr>
        <w:t xml:space="preserve">El acto de adjudicación es irrevocable y obliga a la entidad y al adjudicatario. No </w:t>
      </w:r>
      <w:r w:rsidRPr="001A441E">
        <w:rPr>
          <w:rFonts w:ascii="Verdana" w:hAnsi="Verdana" w:cs="Arial"/>
          <w:sz w:val="16"/>
          <w:szCs w:val="16"/>
        </w:rPr>
        <w:t>obstante lo anterior, si dentro del plazo comprendido entre la adjudicación del contrato y la suscripción del mismo, sobreviene una inhabilidad o incompatibilidad o si se demuestra que el acto se obtuvo por medios ilegales, este podrá ser revocado, caso en el cual, la entidad podrá aplicar lo previsto en el inciso final del numeral 12 del artículo 30 de la Ley 80 de 1993.</w:t>
      </w:r>
    </w:p>
    <w:p w14:paraId="29E7939D" w14:textId="77777777" w:rsidR="002439E3" w:rsidRPr="001A441E" w:rsidRDefault="002439E3" w:rsidP="002439E3">
      <w:pPr>
        <w:pStyle w:val="Textonotapie"/>
        <w:ind w:firstLine="708"/>
        <w:contextualSpacing/>
        <w:jc w:val="both"/>
        <w:rPr>
          <w:rFonts w:ascii="Verdana" w:hAnsi="Verdana" w:cs="Arial"/>
          <w:sz w:val="16"/>
          <w:szCs w:val="16"/>
        </w:rPr>
      </w:pPr>
      <w:r w:rsidRPr="001A441E">
        <w:rPr>
          <w:rFonts w:ascii="Verdana" w:hAnsi="Verdana" w:cs="Arial"/>
          <w:sz w:val="16"/>
          <w:szCs w:val="16"/>
        </w:rPr>
        <w:t>Sin perjuicio de las potestades a que se refiere el artículo 18 de la Ley 80 de 1993, en aquellos casos en que la entidad declare la caducidad del contrato y se encuentre pendiente de ejecución un porcentaje igual o superior al cincuenta por ciento (50%) del mismo, con excepción de los contratos de concesión, se podrá contratar al proponente calificado en el segundo lugar en el proceso de selección respectivo, previa revisión de las condiciones a que haya lugar”.</w:t>
      </w:r>
    </w:p>
  </w:footnote>
  <w:footnote w:id="11">
    <w:p w14:paraId="3416AB1A" w14:textId="77777777" w:rsidR="002439E3" w:rsidRPr="001A441E" w:rsidRDefault="002439E3" w:rsidP="002439E3">
      <w:pPr>
        <w:pStyle w:val="Textonotapie"/>
        <w:ind w:firstLine="708"/>
        <w:contextualSpacing/>
        <w:jc w:val="both"/>
        <w:rPr>
          <w:rFonts w:ascii="Verdana" w:hAnsi="Verdana" w:cs="Arial"/>
          <w:sz w:val="16"/>
          <w:szCs w:val="16"/>
          <w:lang w:val="es-ES"/>
        </w:rPr>
      </w:pPr>
      <w:r w:rsidRPr="001A441E">
        <w:rPr>
          <w:rStyle w:val="Refdenotaalpie"/>
          <w:rFonts w:ascii="Verdana" w:hAnsi="Verdana" w:cs="Arial"/>
          <w:sz w:val="16"/>
          <w:szCs w:val="16"/>
        </w:rPr>
        <w:footnoteRef/>
      </w:r>
      <w:r w:rsidRPr="001A441E">
        <w:rPr>
          <w:rFonts w:ascii="Verdana" w:hAnsi="Verdana" w:cs="Arial"/>
          <w:sz w:val="16"/>
          <w:szCs w:val="16"/>
        </w:rPr>
        <w:t xml:space="preserve"> Consejo de Estado. Sala de Consulta y Servicio Civil. Concepto de 15 de agosto de 2017.</w:t>
      </w:r>
      <w:r w:rsidRPr="001A441E">
        <w:rPr>
          <w:rFonts w:ascii="Verdana" w:hAnsi="Verdana" w:cs="Arial"/>
          <w:sz w:val="16"/>
          <w:szCs w:val="16"/>
          <w:lang w:val="es-CO"/>
        </w:rPr>
        <w:t xml:space="preserve"> C.P. Álvaro Namén Vargas. </w:t>
      </w:r>
      <w:r w:rsidRPr="001A441E">
        <w:rPr>
          <w:rFonts w:ascii="Verdana" w:hAnsi="Verdana" w:cs="Arial"/>
          <w:sz w:val="16"/>
          <w:szCs w:val="16"/>
        </w:rPr>
        <w:t xml:space="preserve"> Rad. 2346. </w:t>
      </w:r>
    </w:p>
  </w:footnote>
  <w:footnote w:id="12">
    <w:p w14:paraId="64AEDFB5" w14:textId="77777777" w:rsidR="002439E3" w:rsidRPr="001A441E" w:rsidRDefault="002439E3" w:rsidP="002439E3">
      <w:pPr>
        <w:pStyle w:val="Textonotapie"/>
        <w:ind w:firstLine="708"/>
        <w:jc w:val="both"/>
        <w:rPr>
          <w:rFonts w:ascii="Verdana" w:hAnsi="Verdana"/>
          <w:sz w:val="16"/>
          <w:szCs w:val="16"/>
          <w:lang w:val="es-CO"/>
        </w:rPr>
      </w:pPr>
      <w:r w:rsidRPr="001A441E">
        <w:rPr>
          <w:rStyle w:val="Refdenotaalpie"/>
          <w:rFonts w:ascii="Verdana" w:hAnsi="Verdana"/>
          <w:sz w:val="16"/>
          <w:szCs w:val="16"/>
        </w:rPr>
        <w:footnoteRef/>
      </w:r>
      <w:r w:rsidRPr="001A441E">
        <w:rPr>
          <w:rFonts w:ascii="Verdana" w:hAnsi="Verdana"/>
          <w:sz w:val="16"/>
          <w:szCs w:val="16"/>
        </w:rPr>
        <w:t xml:space="preserve"> </w:t>
      </w:r>
      <w:r w:rsidRPr="001A441E">
        <w:rPr>
          <w:rFonts w:ascii="Verdana" w:hAnsi="Verdana"/>
          <w:sz w:val="16"/>
          <w:szCs w:val="16"/>
          <w:lang w:val="es-CO"/>
        </w:rPr>
        <w:t>Consejo de Estado, Sala de Consulta y Servicio Civil. Concepto del 10 de agosto de 2015. C.P. ´Álvaro Namen Vargas. Rad. 2260. Consejo de Estado. Sala de Consulta y Servicio Civil. Concepto del 27 de agosto de 2015. C.P. Álvaro Namen Vargas. Rad. 2264; Consejo de Estado. Sala de Consulta y Servicio Civil. Concepto del 15 de agosto de 2017. C.P. Álvaro Namen Vargas. Rad. 2386.</w:t>
      </w:r>
    </w:p>
  </w:footnote>
  <w:footnote w:id="13">
    <w:p w14:paraId="23C905BC" w14:textId="77777777" w:rsidR="002439E3" w:rsidRPr="001A441E" w:rsidRDefault="002439E3" w:rsidP="002439E3">
      <w:pPr>
        <w:pStyle w:val="Textonotapie"/>
        <w:ind w:firstLine="708"/>
        <w:jc w:val="both"/>
        <w:rPr>
          <w:rFonts w:ascii="Verdana" w:hAnsi="Verdana"/>
          <w:sz w:val="16"/>
          <w:szCs w:val="16"/>
          <w:lang w:val="es-CO"/>
        </w:rPr>
      </w:pPr>
      <w:r w:rsidRPr="001A441E">
        <w:rPr>
          <w:rStyle w:val="Refdenotaalpie"/>
          <w:rFonts w:ascii="Verdana" w:hAnsi="Verdana"/>
          <w:sz w:val="16"/>
          <w:szCs w:val="16"/>
        </w:rPr>
        <w:footnoteRef/>
      </w:r>
      <w:r w:rsidRPr="001A441E">
        <w:rPr>
          <w:rFonts w:ascii="Verdana" w:hAnsi="Verdana"/>
          <w:sz w:val="16"/>
          <w:szCs w:val="16"/>
        </w:rPr>
        <w:t xml:space="preserve"> </w:t>
      </w:r>
      <w:r w:rsidRPr="001A441E">
        <w:rPr>
          <w:rFonts w:ascii="Verdana" w:hAnsi="Verdana"/>
          <w:sz w:val="16"/>
          <w:szCs w:val="16"/>
        </w:rPr>
        <w:t xml:space="preserve">Ibídem. </w:t>
      </w:r>
    </w:p>
  </w:footnote>
  <w:footnote w:id="14">
    <w:p w14:paraId="71EDD51C" w14:textId="77777777" w:rsidR="002439E3" w:rsidRPr="009146BB" w:rsidRDefault="002439E3" w:rsidP="002439E3">
      <w:pPr>
        <w:pStyle w:val="Textonotapie"/>
        <w:ind w:firstLine="708"/>
        <w:jc w:val="both"/>
        <w:rPr>
          <w:rFonts w:ascii="Verdana" w:hAnsi="Verdana"/>
          <w:sz w:val="16"/>
          <w:szCs w:val="16"/>
          <w:lang w:val="es-CO"/>
        </w:rPr>
      </w:pPr>
      <w:r w:rsidRPr="009146BB">
        <w:rPr>
          <w:rStyle w:val="Refdenotaalpie"/>
          <w:rFonts w:ascii="Verdana" w:hAnsi="Verdana"/>
          <w:sz w:val="16"/>
          <w:szCs w:val="16"/>
        </w:rPr>
        <w:footnoteRef/>
      </w:r>
      <w:r w:rsidRPr="009146BB">
        <w:rPr>
          <w:rFonts w:ascii="Verdana" w:hAnsi="Verdana"/>
          <w:sz w:val="16"/>
          <w:szCs w:val="16"/>
        </w:rPr>
        <w:t xml:space="preserve"> BAHAMÓN FALLA, María del Pilar. Revocabilidad de la resolución de adjudicación en los procesos de selección abreviada y en la licitación pública por error de la administración. En: Contratos Estatales. Tomo I. Bogotá: Grupo Editorial Ibañez y Universidad del Rosario, 2022. p. 528. </w:t>
      </w:r>
    </w:p>
  </w:footnote>
  <w:footnote w:id="15">
    <w:p w14:paraId="4C158EE1" w14:textId="77777777" w:rsidR="002439E3" w:rsidRPr="009146BB" w:rsidRDefault="002439E3" w:rsidP="002439E3">
      <w:pPr>
        <w:pStyle w:val="Textonotapie"/>
        <w:ind w:firstLine="708"/>
        <w:jc w:val="both"/>
        <w:rPr>
          <w:rFonts w:ascii="Verdana" w:hAnsi="Verdana"/>
          <w:sz w:val="16"/>
          <w:szCs w:val="16"/>
          <w:lang w:val="es-CO"/>
        </w:rPr>
      </w:pPr>
      <w:r w:rsidRPr="009146BB">
        <w:rPr>
          <w:rStyle w:val="Refdenotaalpie"/>
          <w:rFonts w:ascii="Verdana" w:hAnsi="Verdana"/>
          <w:sz w:val="16"/>
          <w:szCs w:val="16"/>
        </w:rPr>
        <w:footnoteRef/>
      </w:r>
      <w:r w:rsidRPr="009146BB">
        <w:rPr>
          <w:rFonts w:ascii="Verdana" w:hAnsi="Verdana"/>
          <w:sz w:val="16"/>
          <w:szCs w:val="16"/>
        </w:rPr>
        <w:t xml:space="preserve"> </w:t>
      </w:r>
      <w:bookmarkStart w:id="1" w:name="5"/>
      <w:r w:rsidRPr="009146BB">
        <w:rPr>
          <w:rFonts w:ascii="Verdana" w:hAnsi="Verdana"/>
          <w:sz w:val="16"/>
          <w:szCs w:val="16"/>
          <w:lang w:val="es-CO"/>
        </w:rPr>
        <w:t>ARTÍCULO 5o.</w:t>
      </w:r>
      <w:bookmarkEnd w:id="1"/>
      <w:r w:rsidRPr="009146BB">
        <w:rPr>
          <w:rFonts w:ascii="Verdana" w:hAnsi="Verdana"/>
          <w:sz w:val="16"/>
          <w:szCs w:val="16"/>
          <w:lang w:val="es-CO"/>
        </w:rPr>
        <w:t> Modifíquese el parágrafo 1 e inclúyanse los parágrafos 3, 4 y 5 de artículo </w:t>
      </w:r>
      <w:hyperlink r:id="rId1" w:anchor="5" w:history="1">
        <w:r w:rsidRPr="009146BB">
          <w:rPr>
            <w:rStyle w:val="Hipervnculo"/>
            <w:rFonts w:ascii="Verdana" w:hAnsi="Verdana"/>
            <w:sz w:val="16"/>
            <w:szCs w:val="16"/>
            <w:lang w:val="es-CO"/>
          </w:rPr>
          <w:t>5o</w:t>
        </w:r>
      </w:hyperlink>
      <w:r w:rsidRPr="009146BB">
        <w:rPr>
          <w:rFonts w:ascii="Verdana" w:hAnsi="Verdana"/>
          <w:sz w:val="16"/>
          <w:szCs w:val="16"/>
          <w:lang w:val="es-CO"/>
        </w:rPr>
        <w:t> de la Ley 1150 de 2007, los cuales quedarán así:</w:t>
      </w:r>
    </w:p>
    <w:p w14:paraId="72172361" w14:textId="77777777" w:rsidR="002439E3" w:rsidRPr="009146BB" w:rsidRDefault="002439E3" w:rsidP="002439E3">
      <w:pPr>
        <w:pStyle w:val="Textonotapie"/>
        <w:jc w:val="both"/>
        <w:rPr>
          <w:rFonts w:ascii="Verdana" w:hAnsi="Verdana"/>
          <w:sz w:val="16"/>
          <w:szCs w:val="16"/>
          <w:lang w:val="es-CO"/>
        </w:rPr>
      </w:pPr>
      <w:r w:rsidRPr="009146BB">
        <w:rPr>
          <w:rFonts w:ascii="Verdana" w:hAnsi="Verdana"/>
          <w:sz w:val="16"/>
          <w:szCs w:val="16"/>
          <w:lang w:val="es-CO"/>
        </w:rPr>
        <w:t>Artículo </w:t>
      </w:r>
      <w:hyperlink r:id="rId2" w:anchor="5" w:history="1">
        <w:r w:rsidRPr="009146BB">
          <w:rPr>
            <w:rStyle w:val="Hipervnculo"/>
            <w:rFonts w:ascii="Verdana" w:hAnsi="Verdana"/>
            <w:sz w:val="16"/>
            <w:szCs w:val="16"/>
            <w:lang w:val="es-CO"/>
          </w:rPr>
          <w:t>5o</w:t>
        </w:r>
      </w:hyperlink>
      <w:r w:rsidRPr="009146BB">
        <w:rPr>
          <w:rFonts w:ascii="Verdana" w:hAnsi="Verdana"/>
          <w:sz w:val="16"/>
          <w:szCs w:val="16"/>
          <w:lang w:val="es-CO"/>
        </w:rPr>
        <w:t>. De la selección objetiva.</w:t>
      </w:r>
    </w:p>
    <w:p w14:paraId="7CB531AD" w14:textId="77777777" w:rsidR="002439E3" w:rsidRPr="009146BB" w:rsidRDefault="002439E3" w:rsidP="002439E3">
      <w:pPr>
        <w:pStyle w:val="Textonotapie"/>
        <w:jc w:val="both"/>
        <w:rPr>
          <w:rFonts w:ascii="Verdana" w:hAnsi="Verdana"/>
          <w:sz w:val="16"/>
          <w:szCs w:val="16"/>
          <w:lang w:val="es-CO"/>
        </w:rPr>
      </w:pPr>
      <w:r w:rsidRPr="009146BB">
        <w:rPr>
          <w:rFonts w:ascii="Verdana" w:hAnsi="Verdana"/>
          <w:sz w:val="16"/>
          <w:szCs w:val="16"/>
          <w:lang w:val="es-CO"/>
        </w:rPr>
        <w:t>(...)</w:t>
      </w:r>
    </w:p>
    <w:p w14:paraId="4E3FBA59" w14:textId="77777777" w:rsidR="002439E3" w:rsidRPr="009146BB" w:rsidRDefault="002439E3" w:rsidP="002439E3">
      <w:pPr>
        <w:pStyle w:val="Textonotapie"/>
        <w:ind w:firstLine="708"/>
        <w:jc w:val="both"/>
        <w:rPr>
          <w:rFonts w:ascii="Verdana" w:hAnsi="Verdana"/>
          <w:sz w:val="16"/>
          <w:szCs w:val="16"/>
          <w:lang w:val="es-CO"/>
        </w:rPr>
      </w:pPr>
      <w:r w:rsidRPr="009146BB">
        <w:rPr>
          <w:rFonts w:ascii="Verdana" w:hAnsi="Verdana"/>
          <w:sz w:val="16"/>
          <w:szCs w:val="16"/>
          <w:lang w:val="es-CO"/>
        </w:rPr>
        <w:t xml:space="preserve">PARÁGRAFO 1. La ausencia de requisitos o la falta de documentos referentes a la futura contratación o al proponente, no necesarios para la comparación de las propuestas no servirán de título suficiente para el rechazo de los ofrecimientos hechos. En consecuencia, todos aquellos requisitos de la propuesta que no afecten la asignación de </w:t>
      </w:r>
      <w:r w:rsidRPr="009146BB">
        <w:rPr>
          <w:rFonts w:ascii="Verdana" w:hAnsi="Verdana"/>
          <w:sz w:val="16"/>
          <w:szCs w:val="16"/>
          <w:lang w:val="es-CO"/>
        </w:rPr>
        <w:t>puntaje, deberán ser solicitados por las entidades estatales y deberán ser entregados por los proponentes hasta el término de traslado del informe de evaluación que corresponda a cada modalidad de selección, salvo lo dispuesto para el proceso de Mínima cuantía y para el proceso de selección a través del sistema de subasta. Serán rechazadas las ofertas de aquellos proponentes que no suministren la información y la documentación solicitada por la entidad estatal hasta el plazo anteriormente señalado.</w:t>
      </w:r>
    </w:p>
    <w:p w14:paraId="7DDCD5F3" w14:textId="77777777" w:rsidR="002439E3" w:rsidRPr="009146BB" w:rsidRDefault="002439E3" w:rsidP="002439E3">
      <w:pPr>
        <w:pStyle w:val="Textonotapie"/>
        <w:jc w:val="both"/>
        <w:rPr>
          <w:rFonts w:ascii="Verdana" w:hAnsi="Verdana"/>
          <w:sz w:val="16"/>
          <w:szCs w:val="16"/>
          <w:lang w:val="es-CO"/>
        </w:rPr>
      </w:pPr>
      <w:r w:rsidRPr="009146BB">
        <w:rPr>
          <w:rFonts w:ascii="Verdana" w:hAnsi="Verdana"/>
          <w:sz w:val="16"/>
          <w:szCs w:val="16"/>
          <w:lang w:val="es-CO"/>
        </w:rPr>
        <w:t>Durante el término otorgado para subsanar las ofertas, los proponentes no podrán acreditar circunstancias ocurridas con posterioridad al cierre del proceso.</w:t>
      </w:r>
    </w:p>
    <w:p w14:paraId="1C08C184" w14:textId="77777777" w:rsidR="002439E3" w:rsidRPr="009146BB" w:rsidRDefault="002439E3" w:rsidP="002439E3">
      <w:pPr>
        <w:pStyle w:val="Textonotapie"/>
        <w:jc w:val="both"/>
        <w:rPr>
          <w:rFonts w:ascii="Verdana" w:hAnsi="Verdana"/>
          <w:sz w:val="16"/>
          <w:szCs w:val="16"/>
          <w:lang w:val="es-CO"/>
        </w:rPr>
      </w:pPr>
      <w:r w:rsidRPr="009146BB">
        <w:rPr>
          <w:rFonts w:ascii="Verdana" w:hAnsi="Verdana"/>
          <w:sz w:val="16"/>
          <w:szCs w:val="16"/>
          <w:lang w:val="es-CO"/>
        </w:rPr>
        <w:t>(...)</w:t>
      </w:r>
    </w:p>
    <w:p w14:paraId="16F4B0B5" w14:textId="77777777" w:rsidR="002439E3" w:rsidRPr="009146BB" w:rsidRDefault="002439E3" w:rsidP="002439E3">
      <w:pPr>
        <w:pStyle w:val="Textonotapie"/>
        <w:ind w:firstLine="708"/>
        <w:jc w:val="both"/>
        <w:rPr>
          <w:rFonts w:ascii="Verdana" w:hAnsi="Verdana"/>
          <w:sz w:val="16"/>
          <w:szCs w:val="16"/>
          <w:lang w:val="es-CO"/>
        </w:rPr>
      </w:pPr>
      <w:r w:rsidRPr="009146BB">
        <w:rPr>
          <w:rFonts w:ascii="Verdana" w:hAnsi="Verdana"/>
          <w:sz w:val="16"/>
          <w:szCs w:val="16"/>
          <w:lang w:val="es-CO"/>
        </w:rPr>
        <w:t>PARÁGRAFO 3. La no entrega de la garantía de seriedad junto con la propuesta no será subsanable y será causal de rechazo de la misma.</w:t>
      </w:r>
    </w:p>
    <w:p w14:paraId="442BDBBB" w14:textId="77777777" w:rsidR="002439E3" w:rsidRPr="009146BB" w:rsidRDefault="002439E3" w:rsidP="002439E3">
      <w:pPr>
        <w:pStyle w:val="Textonotapie"/>
        <w:ind w:firstLine="708"/>
        <w:jc w:val="both"/>
        <w:rPr>
          <w:rFonts w:ascii="Verdana" w:hAnsi="Verdana"/>
          <w:sz w:val="16"/>
          <w:szCs w:val="16"/>
          <w:lang w:val="es-CO"/>
        </w:rPr>
      </w:pPr>
      <w:r w:rsidRPr="009146BB">
        <w:rPr>
          <w:rFonts w:ascii="Verdana" w:hAnsi="Verdana"/>
          <w:sz w:val="16"/>
          <w:szCs w:val="16"/>
          <w:lang w:val="es-CO"/>
        </w:rPr>
        <w:t>PARÁGRAFO 4. En aquellos procesos de selección en los que se utilice el mecanismo de subasta, los documentos referentes a la futura contratación o al proponente, no necesarios para la comparación de las propuestas, deberán ser solicitados hasta el momento previo a su realización.</w:t>
      </w:r>
    </w:p>
    <w:p w14:paraId="619975D0" w14:textId="77777777" w:rsidR="002439E3" w:rsidRPr="009146BB" w:rsidRDefault="002439E3" w:rsidP="002439E3">
      <w:pPr>
        <w:pStyle w:val="Textonotapie"/>
        <w:ind w:firstLine="708"/>
        <w:jc w:val="both"/>
        <w:rPr>
          <w:rFonts w:ascii="Verdana" w:hAnsi="Verdana"/>
          <w:sz w:val="16"/>
          <w:szCs w:val="16"/>
          <w:lang w:val="es-CO"/>
        </w:rPr>
      </w:pPr>
      <w:r w:rsidRPr="009146BB">
        <w:rPr>
          <w:rFonts w:ascii="Verdana" w:hAnsi="Verdana"/>
          <w:sz w:val="16"/>
          <w:szCs w:val="16"/>
          <w:lang w:val="es-CO"/>
        </w:rPr>
        <w:t>PARÁGRAFO 5. En los procesos de contratación, las entidades estatales deberán aceptar la experiencia adquirida por los proponentes a través de la ejecución de contratos con particulares.</w:t>
      </w:r>
    </w:p>
    <w:p w14:paraId="5749A772" w14:textId="77777777" w:rsidR="002439E3" w:rsidRPr="009146BB" w:rsidRDefault="002439E3" w:rsidP="002439E3">
      <w:pPr>
        <w:pStyle w:val="Textonotapie"/>
        <w:rPr>
          <w:lang w:val="es-C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3332A8" w:rsidRDefault="003332A8" w:rsidP="00844AE9">
    <w:pPr>
      <w:pStyle w:val="Encabezado"/>
      <w:spacing w:line="120" w:lineRule="auto"/>
    </w:pPr>
    <w:r>
      <w:rPr>
        <w:rFonts w:ascii="Geomanist Bold" w:hAnsi="Geomanist Bold"/>
        <w:b/>
        <w:bCs/>
        <w:noProof/>
        <w:color w:val="002060"/>
        <w:sz w:val="24"/>
        <w:szCs w:val="24"/>
        <w:lang w:val="en-US"/>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Pr>
        <w:rFonts w:ascii="Geomanist Bold" w:hAnsi="Geomanist Bold"/>
        <w:b/>
        <w:bCs/>
        <w:noProof/>
        <w:color w:val="002060"/>
        <w:sz w:val="24"/>
        <w:szCs w:val="24"/>
        <w:lang w:val="en-US"/>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3332A8" w:rsidRDefault="003332A8">
    <w:pPr>
      <w:pStyle w:val="Encabezado"/>
    </w:pPr>
  </w:p>
  <w:p w14:paraId="5E18350A" w14:textId="705F7B76" w:rsidR="003332A8" w:rsidRPr="004A305D" w:rsidRDefault="003332A8" w:rsidP="00B01B1A">
    <w:pPr>
      <w:spacing w:after="0" w:line="120" w:lineRule="auto"/>
      <w:rPr>
        <w:rFonts w:ascii="Century Gothic" w:eastAsia="Geo" w:hAnsi="Century Gothic" w:cs="Geo"/>
        <w:sz w:val="16"/>
        <w:szCs w:val="16"/>
        <w:lang w:eastAsia="es-CO"/>
      </w:rPr>
    </w:pPr>
  </w:p>
  <w:p w14:paraId="211B7F5D" w14:textId="77777777" w:rsidR="003332A8" w:rsidRDefault="003332A8" w:rsidP="00844AE9">
    <w:pPr>
      <w:spacing w:after="0" w:line="240" w:lineRule="auto"/>
      <w:rPr>
        <w:rFonts w:ascii="Verdana" w:hAnsi="Verdana"/>
        <w:sz w:val="24"/>
        <w:szCs w:val="24"/>
      </w:rPr>
    </w:pPr>
  </w:p>
  <w:p w14:paraId="5A0054B1" w14:textId="77777777" w:rsidR="003332A8" w:rsidRPr="00C925AC" w:rsidRDefault="003332A8" w:rsidP="00844AE9">
    <w:pPr>
      <w:spacing w:after="0" w:line="240" w:lineRule="auto"/>
      <w:rPr>
        <w:rFonts w:ascii="Verdana" w:hAnsi="Verdana"/>
        <w:sz w:val="24"/>
        <w:szCs w:val="24"/>
      </w:rPr>
    </w:pPr>
  </w:p>
  <w:p w14:paraId="1FD1C243" w14:textId="37C5500A" w:rsidR="003332A8" w:rsidRPr="00C925AC" w:rsidRDefault="003332A8" w:rsidP="000D5DA7">
    <w:pPr>
      <w:spacing w:after="0" w:line="480" w:lineRule="auto"/>
      <w:rPr>
        <w:rFonts w:ascii="Verdana" w:hAnsi="Verdana"/>
        <w:b/>
        <w:bCs/>
        <w:sz w:val="24"/>
        <w:szCs w:val="24"/>
      </w:rPr>
    </w:pPr>
    <w:r w:rsidRPr="00C925AC">
      <w:rPr>
        <w:rFonts w:ascii="Verdana" w:hAnsi="Verdana"/>
        <w:b/>
        <w:bCs/>
        <w:sz w:val="24"/>
        <w:szCs w:val="24"/>
      </w:rPr>
      <w:t>FORMATO</w:t>
    </w:r>
    <w:r>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1B13"/>
      </v:shape>
    </w:pict>
  </w:numPicBullet>
  <w:abstractNum w:abstractNumId="0" w15:restartNumberingAfterBreak="0">
    <w:nsid w:val="01C06310"/>
    <w:multiLevelType w:val="multilevel"/>
    <w:tmpl w:val="47FE4C7E"/>
    <w:lvl w:ilvl="0">
      <w:start w:val="1"/>
      <w:numFmt w:val="upperRoman"/>
      <w:lvlText w:val="%1."/>
      <w:lvlJc w:val="right"/>
      <w:pPr>
        <w:ind w:left="1068" w:hanging="360"/>
      </w:pPr>
      <w:rPr>
        <w:b/>
        <w:color w:val="000000" w:themeColor="text1"/>
      </w:rPr>
    </w:lvl>
    <w:lvl w:ilvl="1">
      <w:start w:val="2"/>
      <w:numFmt w:val="decimal"/>
      <w:isLgl/>
      <w:lvlText w:val="%1.%2"/>
      <w:lvlJc w:val="left"/>
      <w:pPr>
        <w:ind w:left="708"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A36B19"/>
    <w:multiLevelType w:val="hybridMultilevel"/>
    <w:tmpl w:val="261425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104262F7"/>
    <w:multiLevelType w:val="hybridMultilevel"/>
    <w:tmpl w:val="9BDCE9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9549AB"/>
    <w:multiLevelType w:val="hybridMultilevel"/>
    <w:tmpl w:val="DEF623AC"/>
    <w:lvl w:ilvl="0" w:tplc="04090017">
      <w:start w:val="1"/>
      <w:numFmt w:val="lowerLetter"/>
      <w:lvlText w:val="%1)"/>
      <w:lvlJc w:val="left"/>
      <w:pPr>
        <w:ind w:left="2204" w:hanging="360"/>
      </w:pPr>
      <w:rPr>
        <w:rFonts w:hint="default"/>
      </w:rPr>
    </w:lvl>
    <w:lvl w:ilvl="1" w:tplc="04090019" w:tentative="1">
      <w:start w:val="1"/>
      <w:numFmt w:val="lowerLetter"/>
      <w:lvlText w:val="%2."/>
      <w:lvlJc w:val="left"/>
      <w:pPr>
        <w:ind w:left="2924" w:hanging="360"/>
      </w:pPr>
    </w:lvl>
    <w:lvl w:ilvl="2" w:tplc="0409001B" w:tentative="1">
      <w:start w:val="1"/>
      <w:numFmt w:val="lowerRoman"/>
      <w:lvlText w:val="%3."/>
      <w:lvlJc w:val="right"/>
      <w:pPr>
        <w:ind w:left="3644" w:hanging="180"/>
      </w:pPr>
    </w:lvl>
    <w:lvl w:ilvl="3" w:tplc="0409000F" w:tentative="1">
      <w:start w:val="1"/>
      <w:numFmt w:val="decimal"/>
      <w:lvlText w:val="%4."/>
      <w:lvlJc w:val="left"/>
      <w:pPr>
        <w:ind w:left="4364" w:hanging="360"/>
      </w:pPr>
    </w:lvl>
    <w:lvl w:ilvl="4" w:tplc="04090019" w:tentative="1">
      <w:start w:val="1"/>
      <w:numFmt w:val="lowerLetter"/>
      <w:lvlText w:val="%5."/>
      <w:lvlJc w:val="left"/>
      <w:pPr>
        <w:ind w:left="5084" w:hanging="360"/>
      </w:pPr>
    </w:lvl>
    <w:lvl w:ilvl="5" w:tplc="0409001B" w:tentative="1">
      <w:start w:val="1"/>
      <w:numFmt w:val="lowerRoman"/>
      <w:lvlText w:val="%6."/>
      <w:lvlJc w:val="right"/>
      <w:pPr>
        <w:ind w:left="5804" w:hanging="180"/>
      </w:pPr>
    </w:lvl>
    <w:lvl w:ilvl="6" w:tplc="0409000F" w:tentative="1">
      <w:start w:val="1"/>
      <w:numFmt w:val="decimal"/>
      <w:lvlText w:val="%7."/>
      <w:lvlJc w:val="left"/>
      <w:pPr>
        <w:ind w:left="6524" w:hanging="360"/>
      </w:pPr>
    </w:lvl>
    <w:lvl w:ilvl="7" w:tplc="04090019" w:tentative="1">
      <w:start w:val="1"/>
      <w:numFmt w:val="lowerLetter"/>
      <w:lvlText w:val="%8."/>
      <w:lvlJc w:val="left"/>
      <w:pPr>
        <w:ind w:left="7244" w:hanging="360"/>
      </w:pPr>
    </w:lvl>
    <w:lvl w:ilvl="8" w:tplc="0409001B" w:tentative="1">
      <w:start w:val="1"/>
      <w:numFmt w:val="lowerRoman"/>
      <w:lvlText w:val="%9."/>
      <w:lvlJc w:val="right"/>
      <w:pPr>
        <w:ind w:left="7964" w:hanging="180"/>
      </w:pPr>
    </w:lvl>
  </w:abstractNum>
  <w:abstractNum w:abstractNumId="6" w15:restartNumberingAfterBreak="0">
    <w:nsid w:val="1BCB7E97"/>
    <w:multiLevelType w:val="multilevel"/>
    <w:tmpl w:val="55AAE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D5425A2"/>
    <w:multiLevelType w:val="hybridMultilevel"/>
    <w:tmpl w:val="405C6ADC"/>
    <w:lvl w:ilvl="0" w:tplc="E4762024">
      <w:start w:val="1"/>
      <w:numFmt w:val="upperRoman"/>
      <w:lvlText w:val="%1."/>
      <w:lvlJc w:val="left"/>
      <w:pPr>
        <w:ind w:left="1080" w:hanging="720"/>
      </w:pPr>
      <w:rPr>
        <w:rFonts w:hint="default"/>
        <w:lang w:val="es-C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FEF29CA"/>
    <w:multiLevelType w:val="hybridMultilevel"/>
    <w:tmpl w:val="151400D2"/>
    <w:lvl w:ilvl="0" w:tplc="7C509E50">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0"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3AC97265"/>
    <w:multiLevelType w:val="multilevel"/>
    <w:tmpl w:val="D6B44A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8"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30C755D"/>
    <w:multiLevelType w:val="hybridMultilevel"/>
    <w:tmpl w:val="EEC215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976DE6"/>
    <w:multiLevelType w:val="hybridMultilevel"/>
    <w:tmpl w:val="C144C02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7BB51875"/>
    <w:multiLevelType w:val="multilevel"/>
    <w:tmpl w:val="C66E0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A48279"/>
    <w:multiLevelType w:val="hybridMultilevel"/>
    <w:tmpl w:val="61658AB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410349753">
    <w:abstractNumId w:val="12"/>
  </w:num>
  <w:num w:numId="2" w16cid:durableId="1946184546">
    <w:abstractNumId w:val="3"/>
  </w:num>
  <w:num w:numId="3" w16cid:durableId="1075712442">
    <w:abstractNumId w:val="10"/>
  </w:num>
  <w:num w:numId="4" w16cid:durableId="4405385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81502381">
    <w:abstractNumId w:val="3"/>
  </w:num>
  <w:num w:numId="6" w16cid:durableId="1243444641">
    <w:abstractNumId w:val="20"/>
  </w:num>
  <w:num w:numId="7" w16cid:durableId="882787554">
    <w:abstractNumId w:val="11"/>
  </w:num>
  <w:num w:numId="8" w16cid:durableId="608321375">
    <w:abstractNumId w:val="19"/>
  </w:num>
  <w:num w:numId="9" w16cid:durableId="811556709">
    <w:abstractNumId w:val="13"/>
  </w:num>
  <w:num w:numId="10" w16cid:durableId="1186167989">
    <w:abstractNumId w:val="18"/>
  </w:num>
  <w:num w:numId="11" w16cid:durableId="1985356568">
    <w:abstractNumId w:val="14"/>
  </w:num>
  <w:num w:numId="12" w16cid:durableId="2003196186">
    <w:abstractNumId w:val="1"/>
  </w:num>
  <w:num w:numId="13" w16cid:durableId="1504395235">
    <w:abstractNumId w:val="7"/>
  </w:num>
  <w:num w:numId="14" w16cid:durableId="1815485222">
    <w:abstractNumId w:val="21"/>
  </w:num>
  <w:num w:numId="15" w16cid:durableId="1936283001">
    <w:abstractNumId w:val="17"/>
  </w:num>
  <w:num w:numId="16" w16cid:durableId="1584606919">
    <w:abstractNumId w:val="8"/>
  </w:num>
  <w:num w:numId="17" w16cid:durableId="1678191188">
    <w:abstractNumId w:val="15"/>
  </w:num>
  <w:num w:numId="18" w16cid:durableId="988746004">
    <w:abstractNumId w:val="25"/>
  </w:num>
  <w:num w:numId="19" w16cid:durableId="1986857660">
    <w:abstractNumId w:val="23"/>
  </w:num>
  <w:num w:numId="20" w16cid:durableId="278799950">
    <w:abstractNumId w:val="2"/>
  </w:num>
  <w:num w:numId="21" w16cid:durableId="2058895677">
    <w:abstractNumId w:val="5"/>
  </w:num>
  <w:num w:numId="22" w16cid:durableId="1443262622">
    <w:abstractNumId w:val="9"/>
  </w:num>
  <w:num w:numId="23" w16cid:durableId="1209687368">
    <w:abstractNumId w:val="4"/>
  </w:num>
  <w:num w:numId="24" w16cid:durableId="903566419">
    <w:abstractNumId w:val="22"/>
  </w:num>
  <w:num w:numId="25" w16cid:durableId="323048915">
    <w:abstractNumId w:val="0"/>
  </w:num>
  <w:num w:numId="26" w16cid:durableId="1026710947">
    <w:abstractNumId w:val="6"/>
  </w:num>
  <w:num w:numId="27" w16cid:durableId="285937495">
    <w:abstractNumId w:val="24"/>
  </w:num>
  <w:num w:numId="28" w16cid:durableId="117075928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847"/>
    <w:rsid w:val="000134D5"/>
    <w:rsid w:val="00016F78"/>
    <w:rsid w:val="0002237A"/>
    <w:rsid w:val="0002735B"/>
    <w:rsid w:val="000301A2"/>
    <w:rsid w:val="00030B2E"/>
    <w:rsid w:val="000353BD"/>
    <w:rsid w:val="0004179C"/>
    <w:rsid w:val="00046945"/>
    <w:rsid w:val="00047D6F"/>
    <w:rsid w:val="00061B2A"/>
    <w:rsid w:val="00066E74"/>
    <w:rsid w:val="000711CF"/>
    <w:rsid w:val="00076D52"/>
    <w:rsid w:val="00080B1D"/>
    <w:rsid w:val="00082362"/>
    <w:rsid w:val="00085193"/>
    <w:rsid w:val="0009079C"/>
    <w:rsid w:val="000909DC"/>
    <w:rsid w:val="000A1642"/>
    <w:rsid w:val="000A66E5"/>
    <w:rsid w:val="000A683E"/>
    <w:rsid w:val="000B0FAA"/>
    <w:rsid w:val="000B19B9"/>
    <w:rsid w:val="000B27F0"/>
    <w:rsid w:val="000B3BFC"/>
    <w:rsid w:val="000B6782"/>
    <w:rsid w:val="000C5898"/>
    <w:rsid w:val="000C5A9E"/>
    <w:rsid w:val="000D0334"/>
    <w:rsid w:val="000D1DC8"/>
    <w:rsid w:val="000D4734"/>
    <w:rsid w:val="000D5DA7"/>
    <w:rsid w:val="000E4336"/>
    <w:rsid w:val="000E6E2C"/>
    <w:rsid w:val="000F01E9"/>
    <w:rsid w:val="000F078F"/>
    <w:rsid w:val="000F2C15"/>
    <w:rsid w:val="000F3444"/>
    <w:rsid w:val="000F512E"/>
    <w:rsid w:val="000F63C2"/>
    <w:rsid w:val="000F6486"/>
    <w:rsid w:val="000F7FD4"/>
    <w:rsid w:val="001013E3"/>
    <w:rsid w:val="001054EE"/>
    <w:rsid w:val="00105C57"/>
    <w:rsid w:val="00113184"/>
    <w:rsid w:val="001161CA"/>
    <w:rsid w:val="001168F2"/>
    <w:rsid w:val="00116940"/>
    <w:rsid w:val="001169FF"/>
    <w:rsid w:val="00125105"/>
    <w:rsid w:val="00127233"/>
    <w:rsid w:val="001328F3"/>
    <w:rsid w:val="00134B08"/>
    <w:rsid w:val="001410A4"/>
    <w:rsid w:val="001415FC"/>
    <w:rsid w:val="00142416"/>
    <w:rsid w:val="001428DC"/>
    <w:rsid w:val="00143BF0"/>
    <w:rsid w:val="001558A6"/>
    <w:rsid w:val="0015699B"/>
    <w:rsid w:val="001615EA"/>
    <w:rsid w:val="001667D8"/>
    <w:rsid w:val="00171640"/>
    <w:rsid w:val="00174D6E"/>
    <w:rsid w:val="00183D54"/>
    <w:rsid w:val="0019787F"/>
    <w:rsid w:val="001A12F0"/>
    <w:rsid w:val="001A33BF"/>
    <w:rsid w:val="001A441E"/>
    <w:rsid w:val="001B7F79"/>
    <w:rsid w:val="001C5AE4"/>
    <w:rsid w:val="001C61B3"/>
    <w:rsid w:val="001D02CC"/>
    <w:rsid w:val="001D5CDB"/>
    <w:rsid w:val="001D64AE"/>
    <w:rsid w:val="001E2E05"/>
    <w:rsid w:val="001E306B"/>
    <w:rsid w:val="001E4177"/>
    <w:rsid w:val="001E4B0C"/>
    <w:rsid w:val="001F0B24"/>
    <w:rsid w:val="001F4D26"/>
    <w:rsid w:val="001F7DC6"/>
    <w:rsid w:val="00207466"/>
    <w:rsid w:val="00211E12"/>
    <w:rsid w:val="00212AD1"/>
    <w:rsid w:val="00217FCA"/>
    <w:rsid w:val="002209DE"/>
    <w:rsid w:val="0022400B"/>
    <w:rsid w:val="00232D37"/>
    <w:rsid w:val="002336A5"/>
    <w:rsid w:val="00236D25"/>
    <w:rsid w:val="002421BB"/>
    <w:rsid w:val="002439E3"/>
    <w:rsid w:val="00244D7F"/>
    <w:rsid w:val="00251160"/>
    <w:rsid w:val="00253436"/>
    <w:rsid w:val="00253926"/>
    <w:rsid w:val="0025796E"/>
    <w:rsid w:val="00263AC0"/>
    <w:rsid w:val="0026579C"/>
    <w:rsid w:val="0026666C"/>
    <w:rsid w:val="002707A2"/>
    <w:rsid w:val="0027233C"/>
    <w:rsid w:val="002748B2"/>
    <w:rsid w:val="00274B41"/>
    <w:rsid w:val="00275482"/>
    <w:rsid w:val="00277C07"/>
    <w:rsid w:val="00277D16"/>
    <w:rsid w:val="00281CF0"/>
    <w:rsid w:val="0028778F"/>
    <w:rsid w:val="00287949"/>
    <w:rsid w:val="00292FDC"/>
    <w:rsid w:val="002941CC"/>
    <w:rsid w:val="002951A0"/>
    <w:rsid w:val="002962BC"/>
    <w:rsid w:val="002975A4"/>
    <w:rsid w:val="002A093D"/>
    <w:rsid w:val="002A0DD0"/>
    <w:rsid w:val="002A1A13"/>
    <w:rsid w:val="002A33C6"/>
    <w:rsid w:val="002A49AC"/>
    <w:rsid w:val="002A64FD"/>
    <w:rsid w:val="002B0181"/>
    <w:rsid w:val="002B730F"/>
    <w:rsid w:val="002B78AD"/>
    <w:rsid w:val="002C3A66"/>
    <w:rsid w:val="002C7A84"/>
    <w:rsid w:val="002D15E2"/>
    <w:rsid w:val="002D6D9C"/>
    <w:rsid w:val="002E05EF"/>
    <w:rsid w:val="002E0FD3"/>
    <w:rsid w:val="002E2BF8"/>
    <w:rsid w:val="002E4FD9"/>
    <w:rsid w:val="002E7082"/>
    <w:rsid w:val="002F0847"/>
    <w:rsid w:val="002F52BF"/>
    <w:rsid w:val="002F5F7D"/>
    <w:rsid w:val="0030657A"/>
    <w:rsid w:val="003074F0"/>
    <w:rsid w:val="003136DC"/>
    <w:rsid w:val="003156BF"/>
    <w:rsid w:val="00316053"/>
    <w:rsid w:val="003171D7"/>
    <w:rsid w:val="00322A85"/>
    <w:rsid w:val="00322C00"/>
    <w:rsid w:val="00322D77"/>
    <w:rsid w:val="00324168"/>
    <w:rsid w:val="00330834"/>
    <w:rsid w:val="003332A8"/>
    <w:rsid w:val="003448F4"/>
    <w:rsid w:val="0035119C"/>
    <w:rsid w:val="0035172D"/>
    <w:rsid w:val="00361960"/>
    <w:rsid w:val="00364690"/>
    <w:rsid w:val="0036685C"/>
    <w:rsid w:val="00374F5E"/>
    <w:rsid w:val="003769E1"/>
    <w:rsid w:val="00377E3E"/>
    <w:rsid w:val="00380CF7"/>
    <w:rsid w:val="00381BAB"/>
    <w:rsid w:val="00393814"/>
    <w:rsid w:val="00394F0C"/>
    <w:rsid w:val="003A373F"/>
    <w:rsid w:val="003A4B3F"/>
    <w:rsid w:val="003A779E"/>
    <w:rsid w:val="003B0DFC"/>
    <w:rsid w:val="003C0ED7"/>
    <w:rsid w:val="003C5C73"/>
    <w:rsid w:val="003D0F4D"/>
    <w:rsid w:val="003D2035"/>
    <w:rsid w:val="003D2A0C"/>
    <w:rsid w:val="003D494E"/>
    <w:rsid w:val="003D5B0D"/>
    <w:rsid w:val="003E0499"/>
    <w:rsid w:val="003E1F0E"/>
    <w:rsid w:val="003E260A"/>
    <w:rsid w:val="003E4F80"/>
    <w:rsid w:val="003E51D1"/>
    <w:rsid w:val="003E6439"/>
    <w:rsid w:val="003E72CA"/>
    <w:rsid w:val="003F18C5"/>
    <w:rsid w:val="003F1FD8"/>
    <w:rsid w:val="003F3941"/>
    <w:rsid w:val="00400570"/>
    <w:rsid w:val="00403EFA"/>
    <w:rsid w:val="00406575"/>
    <w:rsid w:val="004103D9"/>
    <w:rsid w:val="004140B3"/>
    <w:rsid w:val="00414C74"/>
    <w:rsid w:val="00415E4C"/>
    <w:rsid w:val="00426C86"/>
    <w:rsid w:val="0042722E"/>
    <w:rsid w:val="00434F8C"/>
    <w:rsid w:val="004366FA"/>
    <w:rsid w:val="0044528D"/>
    <w:rsid w:val="00450DE2"/>
    <w:rsid w:val="00451137"/>
    <w:rsid w:val="004555EA"/>
    <w:rsid w:val="0045785F"/>
    <w:rsid w:val="00465568"/>
    <w:rsid w:val="0046563C"/>
    <w:rsid w:val="0046625B"/>
    <w:rsid w:val="00466E39"/>
    <w:rsid w:val="00470877"/>
    <w:rsid w:val="004733A7"/>
    <w:rsid w:val="00484E40"/>
    <w:rsid w:val="0048787A"/>
    <w:rsid w:val="00492C4A"/>
    <w:rsid w:val="00494F04"/>
    <w:rsid w:val="004A0A0B"/>
    <w:rsid w:val="004A0E5C"/>
    <w:rsid w:val="004A1847"/>
    <w:rsid w:val="004A305D"/>
    <w:rsid w:val="004B3DAC"/>
    <w:rsid w:val="004B73B9"/>
    <w:rsid w:val="004C0DBB"/>
    <w:rsid w:val="004C2BE9"/>
    <w:rsid w:val="004D2B6F"/>
    <w:rsid w:val="004D36B1"/>
    <w:rsid w:val="004D5F0A"/>
    <w:rsid w:val="004E2B92"/>
    <w:rsid w:val="004E338A"/>
    <w:rsid w:val="004F21C4"/>
    <w:rsid w:val="004F685F"/>
    <w:rsid w:val="005000A1"/>
    <w:rsid w:val="005010E9"/>
    <w:rsid w:val="0050166E"/>
    <w:rsid w:val="00511182"/>
    <w:rsid w:val="00511712"/>
    <w:rsid w:val="00513BF7"/>
    <w:rsid w:val="005154FE"/>
    <w:rsid w:val="0051724E"/>
    <w:rsid w:val="00517955"/>
    <w:rsid w:val="0052042F"/>
    <w:rsid w:val="00522174"/>
    <w:rsid w:val="005229DB"/>
    <w:rsid w:val="00523621"/>
    <w:rsid w:val="00534886"/>
    <w:rsid w:val="00534E41"/>
    <w:rsid w:val="00536A0E"/>
    <w:rsid w:val="00542843"/>
    <w:rsid w:val="00551081"/>
    <w:rsid w:val="0055262A"/>
    <w:rsid w:val="00553040"/>
    <w:rsid w:val="005566E8"/>
    <w:rsid w:val="00560892"/>
    <w:rsid w:val="005630C3"/>
    <w:rsid w:val="00570B00"/>
    <w:rsid w:val="00571E6F"/>
    <w:rsid w:val="00572622"/>
    <w:rsid w:val="00573280"/>
    <w:rsid w:val="00574867"/>
    <w:rsid w:val="00581866"/>
    <w:rsid w:val="00591460"/>
    <w:rsid w:val="00592C94"/>
    <w:rsid w:val="005A2CAB"/>
    <w:rsid w:val="005A52A7"/>
    <w:rsid w:val="005A65E0"/>
    <w:rsid w:val="005B71AF"/>
    <w:rsid w:val="005C0881"/>
    <w:rsid w:val="005C199E"/>
    <w:rsid w:val="005C1A73"/>
    <w:rsid w:val="005C3777"/>
    <w:rsid w:val="005C5CDC"/>
    <w:rsid w:val="005D2566"/>
    <w:rsid w:val="005D476C"/>
    <w:rsid w:val="005D5624"/>
    <w:rsid w:val="005D61A0"/>
    <w:rsid w:val="005D673E"/>
    <w:rsid w:val="005E15F3"/>
    <w:rsid w:val="005E55A7"/>
    <w:rsid w:val="005E6FBD"/>
    <w:rsid w:val="005F20A4"/>
    <w:rsid w:val="00600D92"/>
    <w:rsid w:val="00603C5B"/>
    <w:rsid w:val="00604E8F"/>
    <w:rsid w:val="00611CE6"/>
    <w:rsid w:val="00612DA0"/>
    <w:rsid w:val="006137E1"/>
    <w:rsid w:val="00613E1C"/>
    <w:rsid w:val="0061432C"/>
    <w:rsid w:val="00617200"/>
    <w:rsid w:val="00617E91"/>
    <w:rsid w:val="006200BF"/>
    <w:rsid w:val="0062143E"/>
    <w:rsid w:val="006219F8"/>
    <w:rsid w:val="00624A89"/>
    <w:rsid w:val="00624EEC"/>
    <w:rsid w:val="006302F7"/>
    <w:rsid w:val="0063390D"/>
    <w:rsid w:val="00635EB3"/>
    <w:rsid w:val="006405A0"/>
    <w:rsid w:val="00646B9F"/>
    <w:rsid w:val="00646F24"/>
    <w:rsid w:val="006547C3"/>
    <w:rsid w:val="00660C46"/>
    <w:rsid w:val="00663A04"/>
    <w:rsid w:val="00665317"/>
    <w:rsid w:val="00665D70"/>
    <w:rsid w:val="00674995"/>
    <w:rsid w:val="00684F67"/>
    <w:rsid w:val="0068758B"/>
    <w:rsid w:val="006900D9"/>
    <w:rsid w:val="0069347B"/>
    <w:rsid w:val="0069545C"/>
    <w:rsid w:val="0069741A"/>
    <w:rsid w:val="006A2BE4"/>
    <w:rsid w:val="006A7462"/>
    <w:rsid w:val="006B4707"/>
    <w:rsid w:val="006D13BA"/>
    <w:rsid w:val="006D5180"/>
    <w:rsid w:val="006D591D"/>
    <w:rsid w:val="006D64EE"/>
    <w:rsid w:val="006E1A5E"/>
    <w:rsid w:val="006E1FDC"/>
    <w:rsid w:val="006F2238"/>
    <w:rsid w:val="006F234B"/>
    <w:rsid w:val="006F28D0"/>
    <w:rsid w:val="006F4199"/>
    <w:rsid w:val="007003B8"/>
    <w:rsid w:val="00700703"/>
    <w:rsid w:val="007009D7"/>
    <w:rsid w:val="0070111E"/>
    <w:rsid w:val="007025D7"/>
    <w:rsid w:val="00703A14"/>
    <w:rsid w:val="00706C16"/>
    <w:rsid w:val="00707460"/>
    <w:rsid w:val="00715389"/>
    <w:rsid w:val="0071557C"/>
    <w:rsid w:val="00723857"/>
    <w:rsid w:val="007276F5"/>
    <w:rsid w:val="007279E3"/>
    <w:rsid w:val="00731F30"/>
    <w:rsid w:val="007340C3"/>
    <w:rsid w:val="0073510E"/>
    <w:rsid w:val="00740829"/>
    <w:rsid w:val="00745165"/>
    <w:rsid w:val="007458D3"/>
    <w:rsid w:val="00745C1E"/>
    <w:rsid w:val="007469E9"/>
    <w:rsid w:val="0075235A"/>
    <w:rsid w:val="00752CDB"/>
    <w:rsid w:val="0075557D"/>
    <w:rsid w:val="00756841"/>
    <w:rsid w:val="00762B83"/>
    <w:rsid w:val="007649AB"/>
    <w:rsid w:val="007714BE"/>
    <w:rsid w:val="00771AEF"/>
    <w:rsid w:val="00771D0C"/>
    <w:rsid w:val="00782ED2"/>
    <w:rsid w:val="007833AC"/>
    <w:rsid w:val="00795086"/>
    <w:rsid w:val="00796D17"/>
    <w:rsid w:val="007A037B"/>
    <w:rsid w:val="007A1830"/>
    <w:rsid w:val="007A7950"/>
    <w:rsid w:val="007B1275"/>
    <w:rsid w:val="007B268C"/>
    <w:rsid w:val="007B7171"/>
    <w:rsid w:val="007C0C0F"/>
    <w:rsid w:val="007C0FED"/>
    <w:rsid w:val="007C3DC2"/>
    <w:rsid w:val="007C4353"/>
    <w:rsid w:val="007C51DA"/>
    <w:rsid w:val="007C5A0D"/>
    <w:rsid w:val="007C738B"/>
    <w:rsid w:val="007D3058"/>
    <w:rsid w:val="007D4B12"/>
    <w:rsid w:val="007D5064"/>
    <w:rsid w:val="007D5866"/>
    <w:rsid w:val="007D63B3"/>
    <w:rsid w:val="007E43AC"/>
    <w:rsid w:val="007E5497"/>
    <w:rsid w:val="007E5C87"/>
    <w:rsid w:val="007E7D60"/>
    <w:rsid w:val="007F1853"/>
    <w:rsid w:val="007F1E8E"/>
    <w:rsid w:val="007F78F5"/>
    <w:rsid w:val="00802BF6"/>
    <w:rsid w:val="00803584"/>
    <w:rsid w:val="00806F5F"/>
    <w:rsid w:val="008103F6"/>
    <w:rsid w:val="00817435"/>
    <w:rsid w:val="00820278"/>
    <w:rsid w:val="008258C9"/>
    <w:rsid w:val="00830893"/>
    <w:rsid w:val="00833286"/>
    <w:rsid w:val="00836232"/>
    <w:rsid w:val="00840A5B"/>
    <w:rsid w:val="00841E29"/>
    <w:rsid w:val="00844AE9"/>
    <w:rsid w:val="00850E03"/>
    <w:rsid w:val="0085545E"/>
    <w:rsid w:val="00856B3F"/>
    <w:rsid w:val="008642AB"/>
    <w:rsid w:val="00867F95"/>
    <w:rsid w:val="00871AAC"/>
    <w:rsid w:val="00882B18"/>
    <w:rsid w:val="008843B6"/>
    <w:rsid w:val="00885FD1"/>
    <w:rsid w:val="00886410"/>
    <w:rsid w:val="00891928"/>
    <w:rsid w:val="008A446D"/>
    <w:rsid w:val="008A6401"/>
    <w:rsid w:val="008B0D0F"/>
    <w:rsid w:val="008B25F1"/>
    <w:rsid w:val="008B3817"/>
    <w:rsid w:val="008C11FD"/>
    <w:rsid w:val="008C2316"/>
    <w:rsid w:val="008C4DD5"/>
    <w:rsid w:val="008C517A"/>
    <w:rsid w:val="008C6AE5"/>
    <w:rsid w:val="008D1660"/>
    <w:rsid w:val="008D180B"/>
    <w:rsid w:val="008D1C79"/>
    <w:rsid w:val="008D6A0D"/>
    <w:rsid w:val="008D730A"/>
    <w:rsid w:val="008E0851"/>
    <w:rsid w:val="008F0EA7"/>
    <w:rsid w:val="008F17DC"/>
    <w:rsid w:val="008F4334"/>
    <w:rsid w:val="008F5207"/>
    <w:rsid w:val="008F553F"/>
    <w:rsid w:val="008F6705"/>
    <w:rsid w:val="00901213"/>
    <w:rsid w:val="009037F6"/>
    <w:rsid w:val="00904B3D"/>
    <w:rsid w:val="0091143C"/>
    <w:rsid w:val="00914290"/>
    <w:rsid w:val="00920817"/>
    <w:rsid w:val="009214E9"/>
    <w:rsid w:val="00923EEF"/>
    <w:rsid w:val="009251BE"/>
    <w:rsid w:val="00933E3F"/>
    <w:rsid w:val="00934790"/>
    <w:rsid w:val="009360DC"/>
    <w:rsid w:val="009419F9"/>
    <w:rsid w:val="0094361F"/>
    <w:rsid w:val="0095685E"/>
    <w:rsid w:val="00960A3E"/>
    <w:rsid w:val="00961B09"/>
    <w:rsid w:val="00963E12"/>
    <w:rsid w:val="00964321"/>
    <w:rsid w:val="00965334"/>
    <w:rsid w:val="009654AC"/>
    <w:rsid w:val="009662D0"/>
    <w:rsid w:val="0097093E"/>
    <w:rsid w:val="009722DE"/>
    <w:rsid w:val="00976026"/>
    <w:rsid w:val="00981FA7"/>
    <w:rsid w:val="00984DB3"/>
    <w:rsid w:val="00990DC8"/>
    <w:rsid w:val="00992E19"/>
    <w:rsid w:val="0099435D"/>
    <w:rsid w:val="0099483E"/>
    <w:rsid w:val="009966CB"/>
    <w:rsid w:val="009A0486"/>
    <w:rsid w:val="009A0DFA"/>
    <w:rsid w:val="009B02CC"/>
    <w:rsid w:val="009B28B9"/>
    <w:rsid w:val="009B2D26"/>
    <w:rsid w:val="009B43BD"/>
    <w:rsid w:val="009C468C"/>
    <w:rsid w:val="009C4809"/>
    <w:rsid w:val="009C4FA9"/>
    <w:rsid w:val="009C71FA"/>
    <w:rsid w:val="009C72E7"/>
    <w:rsid w:val="009C7F7E"/>
    <w:rsid w:val="009D23F2"/>
    <w:rsid w:val="009D3058"/>
    <w:rsid w:val="009D6614"/>
    <w:rsid w:val="009E1F28"/>
    <w:rsid w:val="009E6924"/>
    <w:rsid w:val="009E7AED"/>
    <w:rsid w:val="009F3A13"/>
    <w:rsid w:val="009F4B67"/>
    <w:rsid w:val="009F7A6E"/>
    <w:rsid w:val="00A0334B"/>
    <w:rsid w:val="00A0526C"/>
    <w:rsid w:val="00A122D3"/>
    <w:rsid w:val="00A14468"/>
    <w:rsid w:val="00A17F13"/>
    <w:rsid w:val="00A20739"/>
    <w:rsid w:val="00A209C9"/>
    <w:rsid w:val="00A224E1"/>
    <w:rsid w:val="00A23389"/>
    <w:rsid w:val="00A23AF9"/>
    <w:rsid w:val="00A31A76"/>
    <w:rsid w:val="00A31B8F"/>
    <w:rsid w:val="00A326BD"/>
    <w:rsid w:val="00A33C78"/>
    <w:rsid w:val="00A46B73"/>
    <w:rsid w:val="00A53338"/>
    <w:rsid w:val="00A56247"/>
    <w:rsid w:val="00A64594"/>
    <w:rsid w:val="00A70338"/>
    <w:rsid w:val="00A714BC"/>
    <w:rsid w:val="00A73F45"/>
    <w:rsid w:val="00A756EF"/>
    <w:rsid w:val="00A77A83"/>
    <w:rsid w:val="00A806C6"/>
    <w:rsid w:val="00A8133F"/>
    <w:rsid w:val="00A8570B"/>
    <w:rsid w:val="00A871C4"/>
    <w:rsid w:val="00A93598"/>
    <w:rsid w:val="00A966B2"/>
    <w:rsid w:val="00AA1A0D"/>
    <w:rsid w:val="00AA1B94"/>
    <w:rsid w:val="00AA1E47"/>
    <w:rsid w:val="00AA54B2"/>
    <w:rsid w:val="00AB0ADB"/>
    <w:rsid w:val="00AB436E"/>
    <w:rsid w:val="00AB4EB7"/>
    <w:rsid w:val="00AB66EE"/>
    <w:rsid w:val="00AD173A"/>
    <w:rsid w:val="00AD500F"/>
    <w:rsid w:val="00AD61AE"/>
    <w:rsid w:val="00AD7D5F"/>
    <w:rsid w:val="00AE1F6E"/>
    <w:rsid w:val="00AE2846"/>
    <w:rsid w:val="00AE3513"/>
    <w:rsid w:val="00AE425A"/>
    <w:rsid w:val="00AE5DD2"/>
    <w:rsid w:val="00AF1348"/>
    <w:rsid w:val="00AF427B"/>
    <w:rsid w:val="00AF5A10"/>
    <w:rsid w:val="00AF7207"/>
    <w:rsid w:val="00AF7B1D"/>
    <w:rsid w:val="00B00C0E"/>
    <w:rsid w:val="00B01B1A"/>
    <w:rsid w:val="00B04DA1"/>
    <w:rsid w:val="00B11075"/>
    <w:rsid w:val="00B15477"/>
    <w:rsid w:val="00B234CF"/>
    <w:rsid w:val="00B236AF"/>
    <w:rsid w:val="00B27283"/>
    <w:rsid w:val="00B355B0"/>
    <w:rsid w:val="00B358CD"/>
    <w:rsid w:val="00B373BD"/>
    <w:rsid w:val="00B37EB5"/>
    <w:rsid w:val="00B43658"/>
    <w:rsid w:val="00B44A47"/>
    <w:rsid w:val="00B44EF5"/>
    <w:rsid w:val="00B53460"/>
    <w:rsid w:val="00B54271"/>
    <w:rsid w:val="00B5550F"/>
    <w:rsid w:val="00B56A37"/>
    <w:rsid w:val="00B6149C"/>
    <w:rsid w:val="00B6378A"/>
    <w:rsid w:val="00B64484"/>
    <w:rsid w:val="00B71FD5"/>
    <w:rsid w:val="00B72CD3"/>
    <w:rsid w:val="00B72FFF"/>
    <w:rsid w:val="00B74092"/>
    <w:rsid w:val="00B8595E"/>
    <w:rsid w:val="00B90641"/>
    <w:rsid w:val="00B95DAC"/>
    <w:rsid w:val="00BA2EB9"/>
    <w:rsid w:val="00BA703D"/>
    <w:rsid w:val="00BB1B59"/>
    <w:rsid w:val="00BB661C"/>
    <w:rsid w:val="00BC20FB"/>
    <w:rsid w:val="00BC3D36"/>
    <w:rsid w:val="00BC5D42"/>
    <w:rsid w:val="00BC5D5D"/>
    <w:rsid w:val="00BC70CB"/>
    <w:rsid w:val="00BD13AC"/>
    <w:rsid w:val="00BD18C3"/>
    <w:rsid w:val="00BD239F"/>
    <w:rsid w:val="00BD455C"/>
    <w:rsid w:val="00BD54A6"/>
    <w:rsid w:val="00BD7C29"/>
    <w:rsid w:val="00BD7F72"/>
    <w:rsid w:val="00BF056C"/>
    <w:rsid w:val="00BF3B66"/>
    <w:rsid w:val="00BF5C08"/>
    <w:rsid w:val="00BF623D"/>
    <w:rsid w:val="00BF7425"/>
    <w:rsid w:val="00C00A97"/>
    <w:rsid w:val="00C01082"/>
    <w:rsid w:val="00C04BBF"/>
    <w:rsid w:val="00C04FB3"/>
    <w:rsid w:val="00C11D8B"/>
    <w:rsid w:val="00C12C3E"/>
    <w:rsid w:val="00C134D9"/>
    <w:rsid w:val="00C17916"/>
    <w:rsid w:val="00C251B0"/>
    <w:rsid w:val="00C2594E"/>
    <w:rsid w:val="00C26317"/>
    <w:rsid w:val="00C330EB"/>
    <w:rsid w:val="00C419DF"/>
    <w:rsid w:val="00C445F3"/>
    <w:rsid w:val="00C50D69"/>
    <w:rsid w:val="00C52763"/>
    <w:rsid w:val="00C5365C"/>
    <w:rsid w:val="00C619D4"/>
    <w:rsid w:val="00C61D93"/>
    <w:rsid w:val="00C754BE"/>
    <w:rsid w:val="00C767C0"/>
    <w:rsid w:val="00C76B1C"/>
    <w:rsid w:val="00C8183E"/>
    <w:rsid w:val="00C82667"/>
    <w:rsid w:val="00C82DED"/>
    <w:rsid w:val="00C90206"/>
    <w:rsid w:val="00C90C96"/>
    <w:rsid w:val="00C925AC"/>
    <w:rsid w:val="00C94828"/>
    <w:rsid w:val="00C963BE"/>
    <w:rsid w:val="00C96B64"/>
    <w:rsid w:val="00CA2858"/>
    <w:rsid w:val="00CB02F1"/>
    <w:rsid w:val="00CB6357"/>
    <w:rsid w:val="00CB72F3"/>
    <w:rsid w:val="00CC1B26"/>
    <w:rsid w:val="00CC3836"/>
    <w:rsid w:val="00CD4467"/>
    <w:rsid w:val="00CD4C85"/>
    <w:rsid w:val="00CE3C1C"/>
    <w:rsid w:val="00CE4026"/>
    <w:rsid w:val="00CF3E87"/>
    <w:rsid w:val="00CF51EB"/>
    <w:rsid w:val="00D06146"/>
    <w:rsid w:val="00D0699E"/>
    <w:rsid w:val="00D07139"/>
    <w:rsid w:val="00D074C7"/>
    <w:rsid w:val="00D1210B"/>
    <w:rsid w:val="00D22D2B"/>
    <w:rsid w:val="00D27368"/>
    <w:rsid w:val="00D276C7"/>
    <w:rsid w:val="00D302C1"/>
    <w:rsid w:val="00D31B0E"/>
    <w:rsid w:val="00D334DD"/>
    <w:rsid w:val="00D34EA3"/>
    <w:rsid w:val="00D361FD"/>
    <w:rsid w:val="00D423A2"/>
    <w:rsid w:val="00D44E26"/>
    <w:rsid w:val="00D51A5D"/>
    <w:rsid w:val="00D520D8"/>
    <w:rsid w:val="00D521A1"/>
    <w:rsid w:val="00D532D4"/>
    <w:rsid w:val="00D56F8A"/>
    <w:rsid w:val="00D57445"/>
    <w:rsid w:val="00D57BEB"/>
    <w:rsid w:val="00D62B9C"/>
    <w:rsid w:val="00D63AC2"/>
    <w:rsid w:val="00D64111"/>
    <w:rsid w:val="00D64AFC"/>
    <w:rsid w:val="00D7293D"/>
    <w:rsid w:val="00D7383B"/>
    <w:rsid w:val="00D73DBD"/>
    <w:rsid w:val="00D7541C"/>
    <w:rsid w:val="00D75ACF"/>
    <w:rsid w:val="00D7650F"/>
    <w:rsid w:val="00D77328"/>
    <w:rsid w:val="00D7788A"/>
    <w:rsid w:val="00D8066A"/>
    <w:rsid w:val="00D85F06"/>
    <w:rsid w:val="00D936A2"/>
    <w:rsid w:val="00D946C5"/>
    <w:rsid w:val="00DA231B"/>
    <w:rsid w:val="00DB13F4"/>
    <w:rsid w:val="00DB14FE"/>
    <w:rsid w:val="00DB55DA"/>
    <w:rsid w:val="00DB69B3"/>
    <w:rsid w:val="00DC1F16"/>
    <w:rsid w:val="00DC39FC"/>
    <w:rsid w:val="00DC7CCB"/>
    <w:rsid w:val="00DE39BF"/>
    <w:rsid w:val="00DE6EC3"/>
    <w:rsid w:val="00DE75F5"/>
    <w:rsid w:val="00DF5254"/>
    <w:rsid w:val="00E012D6"/>
    <w:rsid w:val="00E0153B"/>
    <w:rsid w:val="00E02524"/>
    <w:rsid w:val="00E03665"/>
    <w:rsid w:val="00E1159D"/>
    <w:rsid w:val="00E1451E"/>
    <w:rsid w:val="00E15951"/>
    <w:rsid w:val="00E16408"/>
    <w:rsid w:val="00E20894"/>
    <w:rsid w:val="00E20F45"/>
    <w:rsid w:val="00E22C72"/>
    <w:rsid w:val="00E245AB"/>
    <w:rsid w:val="00E27341"/>
    <w:rsid w:val="00E2764C"/>
    <w:rsid w:val="00E27F2E"/>
    <w:rsid w:val="00E31225"/>
    <w:rsid w:val="00E32A33"/>
    <w:rsid w:val="00E35609"/>
    <w:rsid w:val="00E40EDD"/>
    <w:rsid w:val="00E501E7"/>
    <w:rsid w:val="00E50AFE"/>
    <w:rsid w:val="00E53AD8"/>
    <w:rsid w:val="00E577E2"/>
    <w:rsid w:val="00E615C4"/>
    <w:rsid w:val="00E637D0"/>
    <w:rsid w:val="00E703AF"/>
    <w:rsid w:val="00E71E1B"/>
    <w:rsid w:val="00E75C92"/>
    <w:rsid w:val="00E771DC"/>
    <w:rsid w:val="00E8312F"/>
    <w:rsid w:val="00E8314C"/>
    <w:rsid w:val="00E8772A"/>
    <w:rsid w:val="00E90F6B"/>
    <w:rsid w:val="00E90FF1"/>
    <w:rsid w:val="00E91AED"/>
    <w:rsid w:val="00E92C27"/>
    <w:rsid w:val="00E96B5C"/>
    <w:rsid w:val="00EA0E3D"/>
    <w:rsid w:val="00EA2DC0"/>
    <w:rsid w:val="00EA33B7"/>
    <w:rsid w:val="00EA426C"/>
    <w:rsid w:val="00EA57C0"/>
    <w:rsid w:val="00EA6D0E"/>
    <w:rsid w:val="00EB224C"/>
    <w:rsid w:val="00EC006D"/>
    <w:rsid w:val="00EC20F0"/>
    <w:rsid w:val="00EC297F"/>
    <w:rsid w:val="00EC38A7"/>
    <w:rsid w:val="00EC5051"/>
    <w:rsid w:val="00EC5413"/>
    <w:rsid w:val="00ED4980"/>
    <w:rsid w:val="00ED70BA"/>
    <w:rsid w:val="00EE1AA8"/>
    <w:rsid w:val="00EE265D"/>
    <w:rsid w:val="00EE3D99"/>
    <w:rsid w:val="00EF1D4F"/>
    <w:rsid w:val="00EF2F88"/>
    <w:rsid w:val="00EF5E13"/>
    <w:rsid w:val="00EF647F"/>
    <w:rsid w:val="00EF71DC"/>
    <w:rsid w:val="00EF7E0B"/>
    <w:rsid w:val="00F000C6"/>
    <w:rsid w:val="00F03314"/>
    <w:rsid w:val="00F0580C"/>
    <w:rsid w:val="00F173DD"/>
    <w:rsid w:val="00F23FEA"/>
    <w:rsid w:val="00F27A6B"/>
    <w:rsid w:val="00F27B7B"/>
    <w:rsid w:val="00F31EDC"/>
    <w:rsid w:val="00F34294"/>
    <w:rsid w:val="00F40502"/>
    <w:rsid w:val="00F462B3"/>
    <w:rsid w:val="00F5664F"/>
    <w:rsid w:val="00F575AE"/>
    <w:rsid w:val="00F61E7A"/>
    <w:rsid w:val="00F666C4"/>
    <w:rsid w:val="00F67765"/>
    <w:rsid w:val="00F67DB3"/>
    <w:rsid w:val="00F7561F"/>
    <w:rsid w:val="00F76AFC"/>
    <w:rsid w:val="00F81BF0"/>
    <w:rsid w:val="00F82E88"/>
    <w:rsid w:val="00F86E11"/>
    <w:rsid w:val="00F86E3E"/>
    <w:rsid w:val="00F93777"/>
    <w:rsid w:val="00F95C74"/>
    <w:rsid w:val="00FA47C0"/>
    <w:rsid w:val="00FA5FFD"/>
    <w:rsid w:val="00FB0A7C"/>
    <w:rsid w:val="00FB34C3"/>
    <w:rsid w:val="00FB5DD1"/>
    <w:rsid w:val="00FC082C"/>
    <w:rsid w:val="00FC29ED"/>
    <w:rsid w:val="00FC2B5D"/>
    <w:rsid w:val="00FC2F9D"/>
    <w:rsid w:val="00FD1DDC"/>
    <w:rsid w:val="00FD3AD2"/>
    <w:rsid w:val="00FF1449"/>
    <w:rsid w:val="00FF227D"/>
    <w:rsid w:val="00FF4E53"/>
    <w:rsid w:val="00FF62DF"/>
    <w:rsid w:val="00FF7963"/>
    <w:rsid w:val="09908A09"/>
    <w:rsid w:val="19A2EC2C"/>
    <w:rsid w:val="2859CA1B"/>
    <w:rsid w:val="69614A15"/>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5113DB00-9368-47DE-A928-A008ACB96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61A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customStyle="1" w:styleId="Mencinsinresolver1">
    <w:name w:val="Mención sin resolver1"/>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7A183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7A1830"/>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A73F45"/>
    <w:rPr>
      <w:rFonts w:ascii="Geomanist Light" w:hAnsi="Geomanist Light"/>
      <w:lang w:val="es-ES"/>
    </w:rPr>
  </w:style>
  <w:style w:type="paragraph" w:styleId="Textodeglobo">
    <w:name w:val="Balloon Text"/>
    <w:basedOn w:val="Normal"/>
    <w:link w:val="TextodegloboCar"/>
    <w:uiPriority w:val="99"/>
    <w:semiHidden/>
    <w:unhideWhenUsed/>
    <w:rsid w:val="00076D5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76D52"/>
    <w:rPr>
      <w:rFonts w:ascii="Segoe UI" w:hAnsi="Segoe UI" w:cs="Segoe UI"/>
      <w:sz w:val="18"/>
      <w:szCs w:val="18"/>
    </w:rPr>
  </w:style>
  <w:style w:type="table" w:customStyle="1" w:styleId="Tablaconcuadrcula11">
    <w:name w:val="Tabla con cuadrícula11"/>
    <w:basedOn w:val="Tablanormal"/>
    <w:next w:val="Tablaconcuadrcula"/>
    <w:uiPriority w:val="59"/>
    <w:qFormat/>
    <w:rsid w:val="00903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next w:val="Tablaconcuadrcula"/>
    <w:uiPriority w:val="39"/>
    <w:qFormat/>
    <w:rsid w:val="009037F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DB13F4"/>
    <w:rPr>
      <w:color w:val="605E5C"/>
      <w:shd w:val="clear" w:color="auto" w:fill="E1DFDD"/>
    </w:rPr>
  </w:style>
  <w:style w:type="paragraph" w:styleId="Textoindependiente">
    <w:name w:val="Body Text"/>
    <w:basedOn w:val="Normal"/>
    <w:link w:val="TextoindependienteCar"/>
    <w:uiPriority w:val="1"/>
    <w:unhideWhenUsed/>
    <w:qFormat/>
    <w:rsid w:val="00B234CF"/>
    <w:pPr>
      <w:spacing w:after="120"/>
    </w:pPr>
  </w:style>
  <w:style w:type="character" w:customStyle="1" w:styleId="TextoindependienteCar">
    <w:name w:val="Texto independiente Car"/>
    <w:basedOn w:val="Fuentedeprrafopredeter"/>
    <w:link w:val="Textoindependiente"/>
    <w:uiPriority w:val="1"/>
    <w:rsid w:val="00B234CF"/>
  </w:style>
  <w:style w:type="character" w:styleId="Fuerte">
    <w:name w:val="Strong"/>
    <w:basedOn w:val="Fuentedeprrafopredeter"/>
    <w:uiPriority w:val="22"/>
    <w:qFormat/>
    <w:rsid w:val="00F575AE"/>
    <w:rPr>
      <w:b/>
      <w:bCs/>
    </w:rPr>
  </w:style>
  <w:style w:type="character" w:customStyle="1" w:styleId="NormalWebCar">
    <w:name w:val="Normal (Web) Car"/>
    <w:link w:val="NormalWeb"/>
    <w:uiPriority w:val="99"/>
    <w:locked/>
    <w:rsid w:val="00F575AE"/>
    <w:rPr>
      <w:rFonts w:ascii="Times New Roman" w:eastAsia="Times New Roman" w:hAnsi="Times New Roman" w:cs="Times New Roman"/>
      <w:sz w:val="24"/>
      <w:szCs w:val="24"/>
      <w:lang w:eastAsia="es-CO"/>
    </w:rPr>
  </w:style>
  <w:style w:type="character" w:styleId="nfasis">
    <w:name w:val="Emphasis"/>
    <w:basedOn w:val="Fuentedeprrafopredeter"/>
    <w:uiPriority w:val="20"/>
    <w:qFormat/>
    <w:rsid w:val="00F575AE"/>
    <w:rPr>
      <w:i/>
      <w:iCs/>
    </w:rPr>
  </w:style>
  <w:style w:type="character" w:styleId="Mencinsinresolver">
    <w:name w:val="Unresolved Mention"/>
    <w:basedOn w:val="Fuentedeprrafopredeter"/>
    <w:uiPriority w:val="99"/>
    <w:semiHidden/>
    <w:unhideWhenUsed/>
    <w:rsid w:val="00A326BD"/>
    <w:rPr>
      <w:color w:val="605E5C"/>
      <w:shd w:val="clear" w:color="auto" w:fill="E1DFDD"/>
    </w:rPr>
  </w:style>
  <w:style w:type="character" w:styleId="Refdecomentario">
    <w:name w:val="annotation reference"/>
    <w:basedOn w:val="Fuentedeprrafopredeter"/>
    <w:uiPriority w:val="99"/>
    <w:semiHidden/>
    <w:unhideWhenUsed/>
    <w:rsid w:val="002439E3"/>
    <w:rPr>
      <w:sz w:val="16"/>
      <w:szCs w:val="16"/>
    </w:rPr>
  </w:style>
  <w:style w:type="paragraph" w:styleId="Textocomentario">
    <w:name w:val="annotation text"/>
    <w:basedOn w:val="Normal"/>
    <w:link w:val="TextocomentarioCar"/>
    <w:uiPriority w:val="99"/>
    <w:unhideWhenUsed/>
    <w:rsid w:val="002439E3"/>
    <w:pPr>
      <w:spacing w:line="240" w:lineRule="auto"/>
    </w:pPr>
    <w:rPr>
      <w:sz w:val="20"/>
      <w:szCs w:val="20"/>
    </w:rPr>
  </w:style>
  <w:style w:type="character" w:customStyle="1" w:styleId="TextocomentarioCar">
    <w:name w:val="Texto comentario Car"/>
    <w:basedOn w:val="Fuentedeprrafopredeter"/>
    <w:link w:val="Textocomentario"/>
    <w:uiPriority w:val="99"/>
    <w:rsid w:val="002439E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6905">
      <w:bodyDiv w:val="1"/>
      <w:marLeft w:val="0"/>
      <w:marRight w:val="0"/>
      <w:marTop w:val="0"/>
      <w:marBottom w:val="0"/>
      <w:divBdr>
        <w:top w:val="none" w:sz="0" w:space="0" w:color="auto"/>
        <w:left w:val="none" w:sz="0" w:space="0" w:color="auto"/>
        <w:bottom w:val="none" w:sz="0" w:space="0" w:color="auto"/>
        <w:right w:val="none" w:sz="0" w:space="0" w:color="auto"/>
      </w:divBdr>
    </w:div>
    <w:div w:id="474102498">
      <w:bodyDiv w:val="1"/>
      <w:marLeft w:val="0"/>
      <w:marRight w:val="0"/>
      <w:marTop w:val="0"/>
      <w:marBottom w:val="0"/>
      <w:divBdr>
        <w:top w:val="none" w:sz="0" w:space="0" w:color="auto"/>
        <w:left w:val="none" w:sz="0" w:space="0" w:color="auto"/>
        <w:bottom w:val="none" w:sz="0" w:space="0" w:color="auto"/>
        <w:right w:val="none" w:sz="0" w:space="0" w:color="auto"/>
      </w:divBdr>
    </w:div>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624190896">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914365341">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1808545951">
      <w:bodyDiv w:val="1"/>
      <w:marLeft w:val="0"/>
      <w:marRight w:val="0"/>
      <w:marTop w:val="0"/>
      <w:marBottom w:val="0"/>
      <w:divBdr>
        <w:top w:val="none" w:sz="0" w:space="0" w:color="auto"/>
        <w:left w:val="none" w:sz="0" w:space="0" w:color="auto"/>
        <w:bottom w:val="none" w:sz="0" w:space="0" w:color="auto"/>
        <w:right w:val="none" w:sz="0" w:space="0" w:color="auto"/>
      </w:divBdr>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ormacionvirtual.colombiacompra.gov.co/mod/page/view.php?id=3718" TargetMode="External"/><Relationship Id="rId18" Type="http://schemas.openxmlformats.org/officeDocument/2006/relationships/hyperlink" Target="https://forms.office.com/r/pPHyWVs2SZ"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colombiacompra.gov.co/normativa-y-relatoria/conoce-la-relatoria" TargetMode="External"/><Relationship Id="rId17" Type="http://schemas.openxmlformats.org/officeDocument/2006/relationships/hyperlink" Target="https://www.colombiacompra.gov.co/pqrsd/informacion-importante-antes-de-formular-una-pqrsd" TargetMode="External"/><Relationship Id="rId2" Type="http://schemas.openxmlformats.org/officeDocument/2006/relationships/customXml" Target="../customXml/item2.xml"/><Relationship Id="rId16" Type="http://schemas.openxmlformats.org/officeDocument/2006/relationships/hyperlink" Target="mailto:ventanilladeradicacion@colombiacompra.gov.c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5" Type="http://schemas.openxmlformats.org/officeDocument/2006/relationships/numbering" Target="numbering.xml"/><Relationship Id="rId15"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lombiacompra.gov.co/normativa-y-relatoria/documentos-tipo"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secretariasenado.gov.co/senado/basedoc/ley_1150_2007.html" TargetMode="External"/><Relationship Id="rId1" Type="http://schemas.openxmlformats.org/officeDocument/2006/relationships/hyperlink" Target="http://www.secretariasenado.gov.co/senado/basedoc/ley_1150_2007.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6cb9e4b-f1d1-4245-83ec-6cad768d538a" xsi:nil="true"/>
    <lcf76f155ced4ddcb4097134ff3c332f xmlns="9d85dbaf-23eb-4e57-a637-93dcacc8b1a1">
      <Terms xmlns="http://schemas.microsoft.com/office/infopath/2007/PartnerControls"/>
    </lcf76f155ced4ddcb4097134ff3c332f>
    <No xmlns="9d85dbaf-23eb-4e57-a637-93dcacc8b1a1" xsi:nil="true"/>
    <_Flow_SignoffStatus xmlns="9d85dbaf-23eb-4e57-a637-93dcacc8b1a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a6cb9e4b-f1d1-4245-83ec-6cad768d538a"/>
    <ds:schemaRef ds:uri="9d85dbaf-23eb-4e57-a637-93dcacc8b1a1"/>
  </ds:schemaRefs>
</ds:datastoreItem>
</file>

<file path=customXml/itemProps3.xml><?xml version="1.0" encoding="utf-8"?>
<ds:datastoreItem xmlns:ds="http://schemas.openxmlformats.org/officeDocument/2006/customXml" ds:itemID="{FD4E8E21-5770-4F3E-B957-A333756C0F50}">
  <ds:schemaRefs>
    <ds:schemaRef ds:uri="http://schemas.openxmlformats.org/officeDocument/2006/bibliography"/>
  </ds:schemaRefs>
</ds:datastoreItem>
</file>

<file path=customXml/itemProps4.xml><?xml version="1.0" encoding="utf-8"?>
<ds:datastoreItem xmlns:ds="http://schemas.openxmlformats.org/officeDocument/2006/customXml" ds:itemID="{449200EC-DE08-4000-BA77-E86A890A55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29</Pages>
  <Words>10130</Words>
  <Characters>55716</Characters>
  <Application>Microsoft Office Word</Application>
  <DocSecurity>0</DocSecurity>
  <Lines>464</Lines>
  <Paragraphs>131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153</cp:revision>
  <cp:lastPrinted>2023-01-10T21:18:00Z</cp:lastPrinted>
  <dcterms:created xsi:type="dcterms:W3CDTF">2026-07-18T21:38:00Z</dcterms:created>
  <dcterms:modified xsi:type="dcterms:W3CDTF">2026-07-22T14:02:00Z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