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D9FF1" w14:textId="77777777" w:rsidR="00982BC9" w:rsidRPr="005745E4" w:rsidRDefault="00982BC9" w:rsidP="00982BC9">
      <w:pPr>
        <w:spacing w:after="0" w:line="240" w:lineRule="auto"/>
        <w:jc w:val="both"/>
        <w:rPr>
          <w:rFonts w:ascii="Verdana" w:eastAsia="Aptos" w:hAnsi="Verdana" w:cs="Arial"/>
          <w:b/>
          <w:bCs/>
        </w:rPr>
      </w:pPr>
      <w:bookmarkStart w:id="0" w:name="_Hlk143780582"/>
      <w:r w:rsidRPr="005745E4">
        <w:rPr>
          <w:rFonts w:ascii="Verdana" w:eastAsia="Aptos" w:hAnsi="Verdana" w:cs="Arial"/>
          <w:b/>
          <w:bCs/>
        </w:rPr>
        <w:t>PRINCIPIO DE SELECCIÓN OBJETIVA – Aplicación – Procesos de contratación Pública – Escogencia del contratista</w:t>
      </w:r>
    </w:p>
    <w:p w14:paraId="7F2DCE3E" w14:textId="77777777" w:rsidR="00982BC9" w:rsidRPr="005745E4" w:rsidRDefault="00982BC9" w:rsidP="00982BC9">
      <w:pPr>
        <w:spacing w:after="0" w:line="240" w:lineRule="auto"/>
        <w:jc w:val="both"/>
        <w:rPr>
          <w:rFonts w:ascii="Verdana" w:eastAsia="Aptos" w:hAnsi="Verdana" w:cs="Arial"/>
        </w:rPr>
      </w:pPr>
    </w:p>
    <w:p w14:paraId="1B4E1DBB" w14:textId="77777777" w:rsidR="00982BC9" w:rsidRPr="005745E4" w:rsidRDefault="00982BC9" w:rsidP="00982BC9">
      <w:pPr>
        <w:spacing w:after="0" w:line="240" w:lineRule="auto"/>
        <w:jc w:val="both"/>
        <w:rPr>
          <w:rFonts w:ascii="Verdana" w:eastAsia="Aptos" w:hAnsi="Verdana" w:cs="Arial"/>
          <w:sz w:val="20"/>
          <w:szCs w:val="20"/>
        </w:rPr>
      </w:pPr>
      <w:r w:rsidRPr="005745E4">
        <w:rPr>
          <w:rFonts w:ascii="Verdana" w:eastAsia="Aptos" w:hAnsi="Verdana" w:cs="Arial"/>
          <w:sz w:val="20"/>
          <w:szCs w:val="20"/>
        </w:rPr>
        <w:t>[...] con fundamento en el principio de selección objetiva, la escogencia del futuro contratista en el marco de un proceso de contratación debe fundarse en factores objetivos, de carácter técnico, jurídico y financiero, y no en criterios subjetivos, como el afecto, la amistad, el ánimo de ayuda, el interés personal, etc. […].</w:t>
      </w:r>
    </w:p>
    <w:p w14:paraId="1ED7567E" w14:textId="77777777" w:rsidR="00982BC9" w:rsidRPr="005745E4" w:rsidRDefault="00982BC9" w:rsidP="00982BC9">
      <w:pPr>
        <w:spacing w:after="0" w:line="240" w:lineRule="auto"/>
        <w:jc w:val="both"/>
        <w:rPr>
          <w:rFonts w:ascii="Verdana" w:eastAsia="Aptos" w:hAnsi="Verdana" w:cs="Arial"/>
          <w:sz w:val="20"/>
          <w:szCs w:val="20"/>
        </w:rPr>
      </w:pPr>
      <w:r w:rsidRPr="005745E4">
        <w:rPr>
          <w:rFonts w:ascii="Verdana" w:eastAsia="Aptos" w:hAnsi="Verdana" w:cs="Arial"/>
          <w:sz w:val="20"/>
          <w:szCs w:val="20"/>
        </w:rPr>
        <w:t>[…]</w:t>
      </w:r>
    </w:p>
    <w:p w14:paraId="461DE528" w14:textId="77777777" w:rsidR="00982BC9" w:rsidRPr="005745E4" w:rsidRDefault="00982BC9" w:rsidP="00982BC9">
      <w:pPr>
        <w:spacing w:after="0" w:line="240" w:lineRule="auto"/>
        <w:jc w:val="both"/>
        <w:rPr>
          <w:rFonts w:ascii="Verdana" w:eastAsia="Aptos" w:hAnsi="Verdana" w:cs="Arial"/>
          <w:sz w:val="20"/>
          <w:szCs w:val="20"/>
        </w:rPr>
      </w:pPr>
      <w:r w:rsidRPr="005745E4">
        <w:rPr>
          <w:rFonts w:ascii="Verdana" w:eastAsia="Aptos" w:hAnsi="Verdana" w:cs="Arial"/>
          <w:sz w:val="20"/>
          <w:szCs w:val="20"/>
        </w:rPr>
        <w:t>De acuerdo con el artículo 5 de la Ley 1150 de 2007, el deber de selección objetiva supone que las Entidades Estatales escojan en los procesos de selección el “[…] ofrecimiento más favorable a la entidad y a los fines que ella busca […]”. Tal favorabilidad debe determinarse a partir de criterios que pueden variar de acuerdo con el objeto contractual o la modalidad de selección aplicable, los cuales, en todo caso, para que la selección sea objetiva, deben señalarse en el pliego de condiciones o documento equivalente.</w:t>
      </w:r>
    </w:p>
    <w:p w14:paraId="03ED1104" w14:textId="77777777" w:rsidR="00982BC9" w:rsidRPr="005745E4" w:rsidRDefault="00982BC9" w:rsidP="00982BC9">
      <w:pPr>
        <w:spacing w:after="0" w:line="240" w:lineRule="auto"/>
        <w:jc w:val="both"/>
        <w:rPr>
          <w:rFonts w:ascii="Verdana" w:eastAsia="Aptos" w:hAnsi="Verdana" w:cs="Times New Roman"/>
          <w:sz w:val="20"/>
          <w:szCs w:val="20"/>
        </w:rPr>
      </w:pPr>
    </w:p>
    <w:p w14:paraId="38B285FE" w14:textId="77777777" w:rsidR="00982BC9" w:rsidRPr="005745E4" w:rsidRDefault="00982BC9" w:rsidP="00982BC9">
      <w:pPr>
        <w:spacing w:after="0" w:line="240" w:lineRule="auto"/>
        <w:jc w:val="both"/>
        <w:rPr>
          <w:rFonts w:ascii="Verdana" w:eastAsia="Aptos" w:hAnsi="Verdana" w:cs="Times New Roman"/>
          <w:b/>
          <w:bCs/>
        </w:rPr>
      </w:pPr>
      <w:r w:rsidRPr="005745E4">
        <w:rPr>
          <w:rFonts w:ascii="Verdana" w:eastAsia="Aptos" w:hAnsi="Verdana" w:cs="Times New Roman"/>
          <w:b/>
          <w:bCs/>
        </w:rPr>
        <w:t>INFORMACIÓN INEXACTA – Documentos tipo – Verificación - Consecuencias</w:t>
      </w:r>
    </w:p>
    <w:p w14:paraId="33CB3C50" w14:textId="77777777" w:rsidR="00982BC9" w:rsidRPr="005745E4" w:rsidRDefault="00982BC9" w:rsidP="00982BC9">
      <w:pPr>
        <w:spacing w:after="0" w:line="240" w:lineRule="auto"/>
        <w:rPr>
          <w:rFonts w:ascii="Verdana" w:eastAsia="Aptos" w:hAnsi="Verdana" w:cs="Times New Roman"/>
          <w:sz w:val="20"/>
          <w:szCs w:val="20"/>
          <w:highlight w:val="yellow"/>
        </w:rPr>
      </w:pPr>
    </w:p>
    <w:p w14:paraId="16D59724" w14:textId="77777777" w:rsidR="00982BC9" w:rsidRPr="005745E4" w:rsidRDefault="00982BC9" w:rsidP="00982BC9">
      <w:pPr>
        <w:spacing w:after="0" w:line="240" w:lineRule="auto"/>
        <w:jc w:val="both"/>
        <w:rPr>
          <w:rFonts w:ascii="Verdana" w:eastAsia="Calibri" w:hAnsi="Verdana" w:cs="Arial"/>
          <w:sz w:val="20"/>
          <w:szCs w:val="20"/>
          <w:lang w:val="es-ES"/>
        </w:rPr>
      </w:pPr>
      <w:r w:rsidRPr="005745E4">
        <w:rPr>
          <w:rFonts w:ascii="Verdana" w:eastAsia="Calibri" w:hAnsi="Verdana" w:cs="Arial"/>
          <w:sz w:val="20"/>
          <w:szCs w:val="20"/>
          <w:lang w:val="es-ES_tradnl" w:eastAsia="es-ES"/>
        </w:rPr>
        <w:t xml:space="preserve">[…] los Documentos Tipo </w:t>
      </w:r>
      <w:r w:rsidRPr="005745E4">
        <w:rPr>
          <w:rFonts w:ascii="Verdana" w:eastAsia="Calibri" w:hAnsi="Verdana" w:cs="Arial"/>
          <w:sz w:val="20"/>
          <w:szCs w:val="20"/>
          <w:lang w:val="es-ES"/>
        </w:rPr>
        <w:t>adoptados por esta Agencia establecen las condiciones habilitantes, los factores técnicos y económicos de escogencia y los sistemas de ponderación que son de obligatoria observancia para las Entidades Estatales obligadas a aplicar dichos documentos. En ese sentido, en lo que corresponde a la “información inexacta”, se aclara que el numeral 1.11 del “Documento Base” de los Documentos Tipo de licitación de obra pública de infraestructura de transporte – Versión 4, establece dos (2) reglas para que las Entidades Estatales verifiquen la información suministrada por los proponentes al momento de presentar sus ofertas.</w:t>
      </w:r>
    </w:p>
    <w:p w14:paraId="1B13FDE6" w14:textId="77777777" w:rsidR="00982BC9" w:rsidRPr="005745E4" w:rsidRDefault="00982BC9" w:rsidP="00982BC9">
      <w:pPr>
        <w:spacing w:after="0" w:line="240" w:lineRule="auto"/>
        <w:jc w:val="both"/>
        <w:rPr>
          <w:rFonts w:ascii="Verdana" w:eastAsia="Calibri" w:hAnsi="Verdana" w:cs="Arial"/>
          <w:sz w:val="20"/>
          <w:szCs w:val="20"/>
          <w:lang w:val="es-ES"/>
        </w:rPr>
      </w:pPr>
    </w:p>
    <w:p w14:paraId="69000E69" w14:textId="77777777" w:rsidR="00982BC9" w:rsidRPr="005745E4" w:rsidRDefault="00982BC9" w:rsidP="00982BC9">
      <w:pPr>
        <w:spacing w:after="0" w:line="240" w:lineRule="auto"/>
        <w:jc w:val="both"/>
        <w:rPr>
          <w:rFonts w:ascii="Verdana" w:eastAsia="Calibri" w:hAnsi="Verdana" w:cs="Arial"/>
          <w:sz w:val="20"/>
          <w:szCs w:val="20"/>
          <w:lang w:val="es-ES"/>
        </w:rPr>
      </w:pPr>
      <w:r w:rsidRPr="005745E4">
        <w:rPr>
          <w:rFonts w:ascii="Verdana" w:eastAsia="Calibri" w:hAnsi="Verdana" w:cs="Arial"/>
          <w:sz w:val="20"/>
          <w:szCs w:val="20"/>
          <w:lang w:val="es-ES"/>
        </w:rPr>
        <w:t>[…] Dicha regla de verificación, contempla dos (2) supuestos con consecuencias diferentes, así: el primero, señala que una vez verificada la información con las autoridades, personas, empresas o entidades, y evidenciada la inconsistencia, la Entidad Estatal tendrá por no acreditada la información. Por ejemplo, cuando se presente documentación para acreditar un requisito habilitante y ante las observaciones recibidas en el traslado del informe de evaluación no se logre constatar con exactitud lo acreditado o la veracidad del mismo, ante esta duda, la entidad no tendrá en cuenta la documentación aportada, sin perjuicio de que el proponente cumpla con el requisito habilitante con los demás documentos que aporte. En este evento, se trata de inconsistencias que no pueden ser superadas por la ausencia de medio probatorio, pero que en principio no tienen la connotación de falsedad.</w:t>
      </w:r>
    </w:p>
    <w:p w14:paraId="4235B247" w14:textId="77777777" w:rsidR="00982BC9" w:rsidRPr="005745E4" w:rsidRDefault="00982BC9" w:rsidP="00982BC9">
      <w:pPr>
        <w:spacing w:after="0" w:line="240" w:lineRule="auto"/>
        <w:jc w:val="both"/>
        <w:rPr>
          <w:rFonts w:ascii="Verdana" w:eastAsia="Calibri" w:hAnsi="Verdana" w:cs="Arial"/>
          <w:sz w:val="20"/>
          <w:szCs w:val="20"/>
          <w:lang w:val="es-ES"/>
        </w:rPr>
      </w:pPr>
    </w:p>
    <w:p w14:paraId="2105295C" w14:textId="77777777" w:rsidR="00982BC9" w:rsidRPr="005745E4" w:rsidRDefault="00982BC9" w:rsidP="00982BC9">
      <w:pPr>
        <w:spacing w:after="0" w:line="240" w:lineRule="auto"/>
        <w:jc w:val="both"/>
        <w:rPr>
          <w:rFonts w:ascii="Verdana" w:eastAsia="Calibri" w:hAnsi="Verdana" w:cs="Arial"/>
          <w:sz w:val="20"/>
          <w:szCs w:val="20"/>
          <w:lang w:val="es-ES" w:eastAsia="es-ES"/>
        </w:rPr>
      </w:pPr>
      <w:r w:rsidRPr="6267EEE5">
        <w:rPr>
          <w:rFonts w:ascii="Verdana" w:eastAsia="Calibri" w:hAnsi="Verdana" w:cs="Arial"/>
          <w:sz w:val="20"/>
          <w:szCs w:val="20"/>
          <w:lang w:val="es-ES" w:eastAsia="es-ES"/>
        </w:rPr>
        <w:t xml:space="preserve">El segundo evento, aplica cuando de la verificación realizada por la Entidad Estatal se corrobora que las inconsistencias pueden devenir de una presunta falsedad no desvirtuada por el proponente, caso en el cual se procede con el rechazo de la oferta y se informa a las autoridades correspondientes. Por ejemplo, ante una certificación de experiencia, la Entidad Estatal, al comunicarse con la entidad para la cual se ejecutó el </w:t>
      </w:r>
      <w:r w:rsidRPr="6267EEE5">
        <w:rPr>
          <w:rFonts w:ascii="Verdana" w:eastAsia="Calibri" w:hAnsi="Verdana" w:cs="Arial"/>
          <w:sz w:val="20"/>
          <w:szCs w:val="20"/>
          <w:lang w:val="es-ES" w:eastAsia="es-ES"/>
        </w:rPr>
        <w:lastRenderedPageBreak/>
        <w:t>contrato a acreditar, es informada de que la certificación aportada por el proponente no fue expedida por cuanto ese objeto no ha sido contratado; en este supuesto, cuando la Entidad Estatal tiene el suficiente convencimiento de la existencia de la presunta falsedad, y luego de dar la oportunidad para que el proponente se manifieste, es procedente rechazar la oferta y compulsar copias a las autoridades competentes, quienes adelantarán las respectivas investigaciones.</w:t>
      </w:r>
    </w:p>
    <w:p w14:paraId="5E10608C" w14:textId="77777777" w:rsidR="00982BC9" w:rsidRPr="005745E4" w:rsidRDefault="00982BC9" w:rsidP="00982BC9">
      <w:pPr>
        <w:spacing w:after="0" w:line="240" w:lineRule="auto"/>
        <w:rPr>
          <w:rFonts w:ascii="Verdana" w:eastAsia="Aptos" w:hAnsi="Verdana" w:cs="Times New Roman"/>
          <w:sz w:val="20"/>
          <w:szCs w:val="20"/>
        </w:rPr>
      </w:pPr>
    </w:p>
    <w:p w14:paraId="3554C88E" w14:textId="77777777" w:rsidR="00982BC9" w:rsidRPr="005745E4" w:rsidRDefault="00982BC9" w:rsidP="00982BC9">
      <w:pPr>
        <w:spacing w:after="0" w:line="240" w:lineRule="auto"/>
        <w:rPr>
          <w:rFonts w:ascii="Verdana" w:eastAsia="Aptos" w:hAnsi="Verdana" w:cs="Times New Roman"/>
          <w:sz w:val="20"/>
          <w:szCs w:val="20"/>
        </w:rPr>
      </w:pPr>
    </w:p>
    <w:p w14:paraId="109EC66E" w14:textId="77777777" w:rsidR="00982BC9" w:rsidRPr="005745E4" w:rsidRDefault="00982BC9" w:rsidP="00982BC9">
      <w:pPr>
        <w:spacing w:after="0" w:line="240" w:lineRule="auto"/>
        <w:rPr>
          <w:rFonts w:ascii="Verdana" w:eastAsia="Aptos" w:hAnsi="Verdana" w:cs="Times New Roman"/>
          <w:sz w:val="20"/>
          <w:szCs w:val="20"/>
        </w:rPr>
      </w:pPr>
    </w:p>
    <w:p w14:paraId="362F3172" w14:textId="77777777" w:rsidR="00982BC9" w:rsidRPr="005745E4" w:rsidRDefault="00982BC9" w:rsidP="00982BC9">
      <w:pPr>
        <w:spacing w:after="0" w:line="240" w:lineRule="auto"/>
        <w:rPr>
          <w:rFonts w:ascii="Verdana" w:eastAsia="Aptos" w:hAnsi="Verdana" w:cs="Times New Roman"/>
          <w:sz w:val="20"/>
          <w:szCs w:val="20"/>
        </w:rPr>
      </w:pPr>
    </w:p>
    <w:p w14:paraId="4B88A0D4" w14:textId="77777777" w:rsidR="00982BC9" w:rsidRPr="005745E4" w:rsidRDefault="00982BC9" w:rsidP="00982BC9">
      <w:pPr>
        <w:spacing w:after="0" w:line="240" w:lineRule="auto"/>
        <w:rPr>
          <w:rFonts w:ascii="Verdana" w:eastAsia="Aptos" w:hAnsi="Verdana" w:cs="Times New Roman"/>
          <w:sz w:val="20"/>
          <w:szCs w:val="20"/>
        </w:rPr>
      </w:pPr>
    </w:p>
    <w:p w14:paraId="538ECA9E" w14:textId="77777777" w:rsidR="00982BC9" w:rsidRPr="005745E4" w:rsidRDefault="00982BC9" w:rsidP="00982BC9">
      <w:pPr>
        <w:spacing w:after="0" w:line="240" w:lineRule="auto"/>
        <w:rPr>
          <w:rFonts w:ascii="Verdana" w:eastAsia="Aptos" w:hAnsi="Verdana" w:cs="Times New Roman"/>
          <w:sz w:val="20"/>
          <w:szCs w:val="20"/>
        </w:rPr>
      </w:pPr>
    </w:p>
    <w:p w14:paraId="27FFF4EE" w14:textId="77777777" w:rsidR="00982BC9" w:rsidRPr="005745E4" w:rsidRDefault="00982BC9" w:rsidP="00982BC9">
      <w:pPr>
        <w:spacing w:after="0" w:line="240" w:lineRule="auto"/>
        <w:rPr>
          <w:rFonts w:ascii="Verdana" w:eastAsia="Aptos" w:hAnsi="Verdana" w:cs="Times New Roman"/>
          <w:sz w:val="20"/>
          <w:szCs w:val="20"/>
        </w:rPr>
      </w:pPr>
    </w:p>
    <w:p w14:paraId="216406A9" w14:textId="77777777" w:rsidR="00982BC9" w:rsidRPr="005745E4" w:rsidRDefault="00982BC9" w:rsidP="00982BC9">
      <w:pPr>
        <w:spacing w:after="0" w:line="240" w:lineRule="auto"/>
        <w:rPr>
          <w:rFonts w:ascii="Verdana" w:eastAsia="Aptos" w:hAnsi="Verdana" w:cs="Times New Roman"/>
          <w:sz w:val="20"/>
          <w:szCs w:val="20"/>
        </w:rPr>
      </w:pPr>
    </w:p>
    <w:p w14:paraId="15603DB7" w14:textId="77777777" w:rsidR="00982BC9" w:rsidRPr="005745E4" w:rsidRDefault="00982BC9" w:rsidP="00982BC9">
      <w:pPr>
        <w:spacing w:after="0" w:line="240" w:lineRule="auto"/>
        <w:rPr>
          <w:rFonts w:ascii="Verdana" w:eastAsia="Aptos" w:hAnsi="Verdana" w:cs="Times New Roman"/>
          <w:sz w:val="20"/>
          <w:szCs w:val="20"/>
        </w:rPr>
      </w:pPr>
    </w:p>
    <w:p w14:paraId="282C516D" w14:textId="77777777" w:rsidR="00982BC9" w:rsidRPr="005745E4" w:rsidRDefault="00982BC9" w:rsidP="00982BC9">
      <w:pPr>
        <w:spacing w:after="0" w:line="240" w:lineRule="auto"/>
        <w:rPr>
          <w:rFonts w:ascii="Verdana" w:eastAsia="Aptos" w:hAnsi="Verdana" w:cs="Times New Roman"/>
          <w:sz w:val="20"/>
          <w:szCs w:val="20"/>
        </w:rPr>
      </w:pPr>
    </w:p>
    <w:p w14:paraId="473C8210" w14:textId="77777777" w:rsidR="00982BC9" w:rsidRPr="005745E4" w:rsidRDefault="00982BC9" w:rsidP="00982BC9">
      <w:pPr>
        <w:spacing w:after="0" w:line="240" w:lineRule="auto"/>
        <w:rPr>
          <w:rFonts w:ascii="Verdana" w:eastAsia="Aptos" w:hAnsi="Verdana" w:cs="Times New Roman"/>
          <w:sz w:val="20"/>
          <w:szCs w:val="20"/>
        </w:rPr>
      </w:pPr>
    </w:p>
    <w:p w14:paraId="775673E1" w14:textId="77777777" w:rsidR="00982BC9" w:rsidRPr="005745E4" w:rsidRDefault="00982BC9" w:rsidP="00982BC9">
      <w:pPr>
        <w:spacing w:after="0" w:line="240" w:lineRule="auto"/>
        <w:rPr>
          <w:rFonts w:ascii="Verdana" w:eastAsia="Aptos" w:hAnsi="Verdana" w:cs="Times New Roman"/>
          <w:sz w:val="20"/>
          <w:szCs w:val="20"/>
        </w:rPr>
      </w:pPr>
    </w:p>
    <w:p w14:paraId="4AA8774C" w14:textId="77777777" w:rsidR="00982BC9" w:rsidRPr="005745E4" w:rsidRDefault="00982BC9" w:rsidP="00982BC9">
      <w:pPr>
        <w:spacing w:after="0" w:line="240" w:lineRule="auto"/>
        <w:rPr>
          <w:rFonts w:ascii="Verdana" w:eastAsia="Aptos" w:hAnsi="Verdana" w:cs="Times New Roman"/>
          <w:sz w:val="20"/>
          <w:szCs w:val="20"/>
        </w:rPr>
      </w:pPr>
    </w:p>
    <w:p w14:paraId="3BF5827D" w14:textId="77777777" w:rsidR="00982BC9" w:rsidRPr="005745E4" w:rsidRDefault="00982BC9" w:rsidP="00982BC9">
      <w:pPr>
        <w:spacing w:after="0" w:line="240" w:lineRule="auto"/>
        <w:rPr>
          <w:rFonts w:ascii="Verdana" w:eastAsia="Aptos" w:hAnsi="Verdana" w:cs="Times New Roman"/>
          <w:sz w:val="20"/>
          <w:szCs w:val="20"/>
        </w:rPr>
      </w:pPr>
    </w:p>
    <w:p w14:paraId="549BD41E" w14:textId="77777777" w:rsidR="00982BC9" w:rsidRPr="005745E4" w:rsidRDefault="00982BC9" w:rsidP="00982BC9">
      <w:pPr>
        <w:spacing w:after="0" w:line="240" w:lineRule="auto"/>
        <w:rPr>
          <w:rFonts w:ascii="Verdana" w:eastAsia="Aptos" w:hAnsi="Verdana" w:cs="Times New Roman"/>
          <w:sz w:val="20"/>
          <w:szCs w:val="20"/>
        </w:rPr>
      </w:pPr>
    </w:p>
    <w:p w14:paraId="79257383" w14:textId="77777777" w:rsidR="00982BC9" w:rsidRPr="005745E4" w:rsidRDefault="00982BC9" w:rsidP="00982BC9">
      <w:pPr>
        <w:spacing w:after="0" w:line="240" w:lineRule="auto"/>
        <w:rPr>
          <w:rFonts w:ascii="Verdana" w:eastAsia="Aptos" w:hAnsi="Verdana" w:cs="Times New Roman"/>
          <w:sz w:val="20"/>
          <w:szCs w:val="20"/>
        </w:rPr>
      </w:pPr>
    </w:p>
    <w:p w14:paraId="2CCD6905" w14:textId="77777777" w:rsidR="00982BC9" w:rsidRPr="005745E4" w:rsidRDefault="00982BC9" w:rsidP="00982BC9">
      <w:pPr>
        <w:spacing w:after="0" w:line="240" w:lineRule="auto"/>
        <w:rPr>
          <w:rFonts w:ascii="Verdana" w:eastAsia="Aptos" w:hAnsi="Verdana" w:cs="Times New Roman"/>
          <w:sz w:val="20"/>
          <w:szCs w:val="20"/>
        </w:rPr>
      </w:pPr>
    </w:p>
    <w:p w14:paraId="5F42A52E" w14:textId="77777777" w:rsidR="00982BC9" w:rsidRPr="005745E4" w:rsidRDefault="00982BC9" w:rsidP="00982BC9">
      <w:pPr>
        <w:spacing w:after="0" w:line="240" w:lineRule="auto"/>
        <w:rPr>
          <w:rFonts w:ascii="Verdana" w:eastAsia="Aptos" w:hAnsi="Verdana" w:cs="Times New Roman"/>
          <w:sz w:val="20"/>
          <w:szCs w:val="20"/>
        </w:rPr>
      </w:pPr>
    </w:p>
    <w:p w14:paraId="1AC7B0AD" w14:textId="77777777" w:rsidR="00982BC9" w:rsidRPr="005745E4" w:rsidRDefault="00982BC9" w:rsidP="00982BC9">
      <w:pPr>
        <w:spacing w:after="0" w:line="240" w:lineRule="auto"/>
        <w:rPr>
          <w:rFonts w:ascii="Verdana" w:eastAsia="Aptos" w:hAnsi="Verdana" w:cs="Times New Roman"/>
          <w:sz w:val="20"/>
          <w:szCs w:val="20"/>
        </w:rPr>
      </w:pPr>
    </w:p>
    <w:p w14:paraId="79D1A3F4" w14:textId="77777777" w:rsidR="00982BC9" w:rsidRPr="005745E4" w:rsidRDefault="00982BC9" w:rsidP="00982BC9">
      <w:pPr>
        <w:spacing w:after="0" w:line="240" w:lineRule="auto"/>
        <w:rPr>
          <w:rFonts w:ascii="Verdana" w:eastAsia="Aptos" w:hAnsi="Verdana" w:cs="Times New Roman"/>
          <w:sz w:val="20"/>
          <w:szCs w:val="20"/>
        </w:rPr>
      </w:pPr>
    </w:p>
    <w:p w14:paraId="7A8BAFF0" w14:textId="77777777" w:rsidR="00982BC9" w:rsidRPr="005745E4" w:rsidRDefault="00982BC9" w:rsidP="00982BC9">
      <w:pPr>
        <w:spacing w:after="0" w:line="240" w:lineRule="auto"/>
        <w:rPr>
          <w:rFonts w:ascii="Verdana" w:eastAsia="Aptos" w:hAnsi="Verdana" w:cs="Times New Roman"/>
          <w:sz w:val="20"/>
          <w:szCs w:val="20"/>
        </w:rPr>
      </w:pPr>
    </w:p>
    <w:p w14:paraId="5BE98465" w14:textId="77777777" w:rsidR="00982BC9" w:rsidRPr="005745E4" w:rsidRDefault="00982BC9" w:rsidP="00982BC9">
      <w:pPr>
        <w:spacing w:after="0" w:line="240" w:lineRule="auto"/>
        <w:rPr>
          <w:rFonts w:ascii="Verdana" w:eastAsia="Aptos" w:hAnsi="Verdana" w:cs="Times New Roman"/>
          <w:sz w:val="20"/>
          <w:szCs w:val="20"/>
        </w:rPr>
      </w:pPr>
    </w:p>
    <w:p w14:paraId="2888FA6C" w14:textId="77777777" w:rsidR="00982BC9" w:rsidRPr="005745E4" w:rsidRDefault="00982BC9" w:rsidP="00982BC9">
      <w:pPr>
        <w:spacing w:after="0" w:line="240" w:lineRule="auto"/>
        <w:rPr>
          <w:rFonts w:ascii="Verdana" w:eastAsia="Aptos" w:hAnsi="Verdana" w:cs="Times New Roman"/>
          <w:sz w:val="20"/>
          <w:szCs w:val="20"/>
        </w:rPr>
      </w:pPr>
    </w:p>
    <w:p w14:paraId="29FBD202" w14:textId="77777777" w:rsidR="00982BC9" w:rsidRPr="005745E4" w:rsidRDefault="00982BC9" w:rsidP="00982BC9">
      <w:pPr>
        <w:spacing w:after="0" w:line="240" w:lineRule="auto"/>
        <w:rPr>
          <w:rFonts w:ascii="Verdana" w:eastAsia="Aptos" w:hAnsi="Verdana" w:cs="Times New Roman"/>
          <w:sz w:val="20"/>
          <w:szCs w:val="20"/>
        </w:rPr>
      </w:pPr>
    </w:p>
    <w:p w14:paraId="3CB46939" w14:textId="77777777" w:rsidR="00982BC9" w:rsidRPr="005745E4" w:rsidRDefault="00982BC9" w:rsidP="00982BC9">
      <w:pPr>
        <w:spacing w:after="0" w:line="240" w:lineRule="auto"/>
        <w:rPr>
          <w:rFonts w:ascii="Verdana" w:eastAsia="Aptos" w:hAnsi="Verdana" w:cs="Times New Roman"/>
          <w:sz w:val="20"/>
          <w:szCs w:val="20"/>
        </w:rPr>
      </w:pPr>
    </w:p>
    <w:p w14:paraId="70358905" w14:textId="77777777" w:rsidR="00982BC9" w:rsidRPr="005745E4" w:rsidRDefault="00982BC9" w:rsidP="00982BC9">
      <w:pPr>
        <w:spacing w:after="0" w:line="240" w:lineRule="auto"/>
        <w:rPr>
          <w:rFonts w:ascii="Verdana" w:eastAsia="Aptos" w:hAnsi="Verdana" w:cs="Times New Roman"/>
          <w:sz w:val="20"/>
          <w:szCs w:val="20"/>
        </w:rPr>
      </w:pPr>
    </w:p>
    <w:p w14:paraId="50D67270" w14:textId="77777777" w:rsidR="00982BC9" w:rsidRPr="005745E4" w:rsidRDefault="00982BC9" w:rsidP="00982BC9">
      <w:pPr>
        <w:spacing w:after="0" w:line="240" w:lineRule="auto"/>
        <w:rPr>
          <w:rFonts w:ascii="Verdana" w:eastAsia="Aptos" w:hAnsi="Verdana" w:cs="Times New Roman"/>
          <w:sz w:val="20"/>
          <w:szCs w:val="20"/>
        </w:rPr>
      </w:pPr>
    </w:p>
    <w:p w14:paraId="4DF102A3" w14:textId="77777777" w:rsidR="00982BC9" w:rsidRPr="005745E4" w:rsidRDefault="00982BC9" w:rsidP="00982BC9">
      <w:pPr>
        <w:spacing w:after="0" w:line="240" w:lineRule="auto"/>
        <w:rPr>
          <w:rFonts w:ascii="Verdana" w:eastAsia="Aptos" w:hAnsi="Verdana" w:cs="Times New Roman"/>
          <w:sz w:val="20"/>
          <w:szCs w:val="20"/>
        </w:rPr>
      </w:pPr>
    </w:p>
    <w:p w14:paraId="31FEF9C9" w14:textId="77777777" w:rsidR="00982BC9" w:rsidRPr="005745E4" w:rsidRDefault="00982BC9" w:rsidP="00982BC9">
      <w:pPr>
        <w:spacing w:after="0" w:line="240" w:lineRule="auto"/>
        <w:rPr>
          <w:rFonts w:ascii="Verdana" w:eastAsia="Aptos" w:hAnsi="Verdana" w:cs="Times New Roman"/>
          <w:sz w:val="20"/>
          <w:szCs w:val="20"/>
        </w:rPr>
      </w:pPr>
    </w:p>
    <w:p w14:paraId="1DC1744E" w14:textId="77777777" w:rsidR="00982BC9" w:rsidRPr="005745E4" w:rsidRDefault="00982BC9" w:rsidP="00982BC9">
      <w:pPr>
        <w:spacing w:after="0" w:line="240" w:lineRule="auto"/>
        <w:rPr>
          <w:rFonts w:ascii="Verdana" w:eastAsia="Aptos" w:hAnsi="Verdana" w:cs="Times New Roman"/>
          <w:sz w:val="20"/>
          <w:szCs w:val="20"/>
        </w:rPr>
      </w:pPr>
    </w:p>
    <w:p w14:paraId="21979779" w14:textId="77777777" w:rsidR="00982BC9" w:rsidRPr="005745E4" w:rsidRDefault="00982BC9" w:rsidP="00982BC9">
      <w:pPr>
        <w:spacing w:after="0" w:line="240" w:lineRule="auto"/>
        <w:rPr>
          <w:rFonts w:ascii="Verdana" w:eastAsia="Aptos" w:hAnsi="Verdana" w:cs="Times New Roman"/>
          <w:sz w:val="20"/>
          <w:szCs w:val="20"/>
        </w:rPr>
      </w:pPr>
    </w:p>
    <w:p w14:paraId="4F9ACD34" w14:textId="77777777" w:rsidR="00982BC9" w:rsidRPr="005745E4" w:rsidRDefault="00982BC9" w:rsidP="00982BC9">
      <w:pPr>
        <w:spacing w:after="0" w:line="240" w:lineRule="auto"/>
        <w:rPr>
          <w:rFonts w:ascii="Verdana" w:eastAsia="Aptos" w:hAnsi="Verdana" w:cs="Times New Roman"/>
          <w:sz w:val="20"/>
          <w:szCs w:val="20"/>
        </w:rPr>
      </w:pPr>
    </w:p>
    <w:p w14:paraId="00BF3257" w14:textId="77777777" w:rsidR="00982BC9" w:rsidRPr="005745E4" w:rsidRDefault="00982BC9" w:rsidP="00982BC9">
      <w:pPr>
        <w:spacing w:after="0" w:line="240" w:lineRule="auto"/>
        <w:rPr>
          <w:rFonts w:ascii="Verdana" w:eastAsia="Aptos" w:hAnsi="Verdana" w:cs="Times New Roman"/>
          <w:sz w:val="20"/>
          <w:szCs w:val="20"/>
        </w:rPr>
      </w:pPr>
    </w:p>
    <w:p w14:paraId="41FADD0B" w14:textId="77777777" w:rsidR="00982BC9" w:rsidRPr="005745E4" w:rsidRDefault="00982BC9" w:rsidP="00982BC9">
      <w:pPr>
        <w:spacing w:after="0" w:line="240" w:lineRule="auto"/>
        <w:rPr>
          <w:rFonts w:ascii="Verdana" w:eastAsia="Aptos" w:hAnsi="Verdana" w:cs="Times New Roman"/>
          <w:sz w:val="20"/>
          <w:szCs w:val="20"/>
        </w:rPr>
      </w:pPr>
    </w:p>
    <w:p w14:paraId="4FFEB3A2" w14:textId="77777777" w:rsidR="00982BC9" w:rsidRPr="005745E4" w:rsidRDefault="00982BC9" w:rsidP="00982BC9">
      <w:pPr>
        <w:spacing w:after="0" w:line="240" w:lineRule="auto"/>
        <w:rPr>
          <w:rFonts w:ascii="Verdana" w:eastAsia="Aptos" w:hAnsi="Verdana" w:cs="Times New Roman"/>
          <w:sz w:val="20"/>
          <w:szCs w:val="20"/>
        </w:rPr>
      </w:pPr>
    </w:p>
    <w:p w14:paraId="793E1B79" w14:textId="77777777" w:rsidR="00982BC9" w:rsidRPr="005745E4" w:rsidRDefault="00982BC9" w:rsidP="00982BC9">
      <w:pPr>
        <w:spacing w:after="0" w:line="240" w:lineRule="auto"/>
        <w:rPr>
          <w:rFonts w:ascii="Verdana" w:eastAsia="Aptos" w:hAnsi="Verdana" w:cs="Times New Roman"/>
          <w:sz w:val="20"/>
          <w:szCs w:val="20"/>
        </w:rPr>
      </w:pPr>
    </w:p>
    <w:p w14:paraId="5EB0F80D" w14:textId="77777777" w:rsidR="00982BC9" w:rsidRPr="005745E4" w:rsidRDefault="00982BC9" w:rsidP="00982BC9">
      <w:pPr>
        <w:spacing w:after="0" w:line="240" w:lineRule="auto"/>
        <w:rPr>
          <w:rFonts w:ascii="Verdana" w:eastAsia="Aptos" w:hAnsi="Verdana" w:cs="Times New Roman"/>
          <w:sz w:val="20"/>
          <w:szCs w:val="20"/>
        </w:rPr>
      </w:pPr>
    </w:p>
    <w:p w14:paraId="4628F7BE" w14:textId="77777777" w:rsidR="00982BC9" w:rsidRPr="005745E4" w:rsidRDefault="00982BC9" w:rsidP="00982BC9">
      <w:pPr>
        <w:spacing w:after="0" w:line="240" w:lineRule="auto"/>
        <w:rPr>
          <w:rFonts w:ascii="Verdana" w:eastAsia="Aptos" w:hAnsi="Verdana" w:cs="Times New Roman"/>
          <w:sz w:val="20"/>
          <w:szCs w:val="20"/>
        </w:rPr>
      </w:pPr>
    </w:p>
    <w:p w14:paraId="2CB518E1" w14:textId="77777777" w:rsidR="00982BC9" w:rsidRPr="005745E4" w:rsidRDefault="00982BC9" w:rsidP="00982BC9">
      <w:pPr>
        <w:spacing w:after="0" w:line="240" w:lineRule="auto"/>
        <w:rPr>
          <w:rFonts w:ascii="Verdana" w:eastAsia="Aptos" w:hAnsi="Verdana" w:cs="Times New Roman"/>
          <w:sz w:val="20"/>
          <w:szCs w:val="20"/>
        </w:rPr>
      </w:pPr>
    </w:p>
    <w:p w14:paraId="3A8835F2" w14:textId="77777777" w:rsidR="00982BC9" w:rsidRPr="005745E4" w:rsidRDefault="00982BC9" w:rsidP="00982BC9">
      <w:pPr>
        <w:spacing w:after="0" w:line="240" w:lineRule="auto"/>
        <w:rPr>
          <w:rFonts w:ascii="Verdana" w:eastAsia="Aptos" w:hAnsi="Verdana" w:cs="Times New Roman"/>
          <w:sz w:val="20"/>
          <w:szCs w:val="20"/>
        </w:rPr>
      </w:pPr>
    </w:p>
    <w:p w14:paraId="168A6653" w14:textId="531D84CF" w:rsidR="00982BC9" w:rsidRPr="005745E4" w:rsidRDefault="00982BC9" w:rsidP="00982BC9">
      <w:pPr>
        <w:spacing w:after="0" w:line="240" w:lineRule="auto"/>
        <w:jc w:val="both"/>
        <w:rPr>
          <w:rFonts w:ascii="Verdana" w:eastAsia="Calibri" w:hAnsi="Verdana" w:cs="Arial"/>
          <w:lang w:val="es-ES"/>
        </w:rPr>
      </w:pPr>
      <w:r w:rsidRPr="009A3FFF">
        <w:rPr>
          <w:rFonts w:ascii="Verdana" w:eastAsia="Geomanist Light" w:hAnsi="Verdana" w:cs="Arial"/>
          <w:lang w:val="es-MX"/>
        </w:rPr>
        <w:lastRenderedPageBreak/>
        <w:t>Bogotá D.C., </w:t>
      </w:r>
      <w:r w:rsidR="00585DAA">
        <w:rPr>
          <w:rFonts w:ascii="Verdana" w:eastAsia="Geomanist Light" w:hAnsi="Verdana" w:cs="Arial"/>
          <w:lang w:val="es-MX"/>
        </w:rPr>
        <w:t>24 de julio de 2026</w:t>
      </w:r>
    </w:p>
    <w:p w14:paraId="568436B9" w14:textId="77777777" w:rsidR="00982BC9" w:rsidRDefault="00982BC9" w:rsidP="00982BC9">
      <w:pPr>
        <w:spacing w:after="0" w:line="240" w:lineRule="auto"/>
        <w:jc w:val="right"/>
        <w:rPr>
          <w:rFonts w:ascii="Verdana" w:eastAsia="Calibri" w:hAnsi="Verdana" w:cs="Arial"/>
          <w:noProof/>
          <w:lang w:val="es-ES"/>
        </w:rPr>
      </w:pPr>
    </w:p>
    <w:p w14:paraId="5916D4B3" w14:textId="35D355B4" w:rsidR="006126BE" w:rsidRPr="005745E4" w:rsidRDefault="00261F05" w:rsidP="00982BC9">
      <w:pPr>
        <w:spacing w:after="0" w:line="240" w:lineRule="auto"/>
        <w:jc w:val="right"/>
        <w:rPr>
          <w:rFonts w:ascii="Verdana" w:eastAsia="Calibri" w:hAnsi="Verdana" w:cs="Arial"/>
          <w:noProof/>
          <w:lang w:val="es-ES"/>
        </w:rPr>
      </w:pPr>
      <w:r w:rsidRPr="00261F05">
        <w:rPr>
          <w:rFonts w:ascii="Verdana" w:eastAsia="Calibri" w:hAnsi="Verdana" w:cs="Arial"/>
          <w:noProof/>
          <w:lang w:val="es-ES"/>
        </w:rPr>
        <w:drawing>
          <wp:inline distT="0" distB="0" distL="0" distR="0" wp14:anchorId="078BA180" wp14:editId="12BF6D71">
            <wp:extent cx="2229161" cy="628738"/>
            <wp:effectExtent l="0" t="0" r="0" b="0"/>
            <wp:docPr id="6543137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13749" name=""/>
                    <pic:cNvPicPr/>
                  </pic:nvPicPr>
                  <pic:blipFill>
                    <a:blip r:embed="rId10"/>
                    <a:stretch>
                      <a:fillRect/>
                    </a:stretch>
                  </pic:blipFill>
                  <pic:spPr>
                    <a:xfrm>
                      <a:off x="0" y="0"/>
                      <a:ext cx="2229161" cy="628738"/>
                    </a:xfrm>
                    <a:prstGeom prst="rect">
                      <a:avLst/>
                    </a:prstGeom>
                  </pic:spPr>
                </pic:pic>
              </a:graphicData>
            </a:graphic>
          </wp:inline>
        </w:drawing>
      </w:r>
    </w:p>
    <w:p w14:paraId="2934365E" w14:textId="77777777" w:rsidR="00982BC9" w:rsidRPr="005745E4" w:rsidRDefault="00982BC9" w:rsidP="00982BC9">
      <w:pPr>
        <w:spacing w:after="0" w:line="240" w:lineRule="auto"/>
        <w:jc w:val="right"/>
        <w:rPr>
          <w:rFonts w:ascii="Verdana" w:eastAsia="Calibri" w:hAnsi="Verdana" w:cs="Arial"/>
          <w:lang w:val="es-ES"/>
        </w:rPr>
      </w:pPr>
    </w:p>
    <w:p w14:paraId="531681D9" w14:textId="77777777" w:rsidR="00982BC9" w:rsidRPr="005745E4" w:rsidRDefault="00982BC9" w:rsidP="00982BC9">
      <w:pPr>
        <w:spacing w:after="0" w:line="240" w:lineRule="auto"/>
        <w:jc w:val="both"/>
        <w:rPr>
          <w:rFonts w:ascii="Verdana" w:eastAsia="Calibri" w:hAnsi="Verdana" w:cs="Arial"/>
          <w:lang w:val="es-ES" w:eastAsia="es-ES"/>
        </w:rPr>
      </w:pPr>
      <w:r w:rsidRPr="005745E4">
        <w:rPr>
          <w:rFonts w:ascii="Verdana" w:eastAsia="Calibri" w:hAnsi="Verdana" w:cs="Arial"/>
          <w:lang w:val="es-ES" w:eastAsia="es-ES"/>
        </w:rPr>
        <w:t>Señor</w:t>
      </w:r>
    </w:p>
    <w:p w14:paraId="21804989" w14:textId="77777777" w:rsidR="00982BC9" w:rsidRPr="005745E4" w:rsidRDefault="00982BC9" w:rsidP="00982BC9">
      <w:pPr>
        <w:spacing w:after="0" w:line="240" w:lineRule="auto"/>
        <w:rPr>
          <w:rFonts w:ascii="Verdana" w:eastAsia="Calibri" w:hAnsi="Verdana" w:cs="Arial"/>
          <w:b/>
          <w:lang w:val="es-ES" w:eastAsia="es-ES"/>
        </w:rPr>
      </w:pPr>
      <w:r w:rsidRPr="005745E4">
        <w:rPr>
          <w:rFonts w:ascii="Verdana" w:eastAsia="Calibri" w:hAnsi="Verdana" w:cs="Arial"/>
          <w:b/>
          <w:lang w:val="es-ES" w:eastAsia="es-ES"/>
        </w:rPr>
        <w:t>Omar Yire Mendoza Comas</w:t>
      </w:r>
    </w:p>
    <w:p w14:paraId="5191CF3B" w14:textId="77777777" w:rsidR="00982BC9" w:rsidRPr="005745E4" w:rsidRDefault="00982BC9" w:rsidP="00982BC9">
      <w:pPr>
        <w:spacing w:after="0" w:line="240" w:lineRule="auto"/>
        <w:rPr>
          <w:rFonts w:ascii="Verdana" w:eastAsia="Aptos" w:hAnsi="Verdana" w:cs="Arial"/>
        </w:rPr>
      </w:pPr>
      <w:hyperlink r:id="rId11" w:history="1">
        <w:r w:rsidRPr="005745E4">
          <w:rPr>
            <w:rFonts w:ascii="Verdana" w:eastAsia="Aptos" w:hAnsi="Verdana" w:cs="Arial"/>
            <w:color w:val="0000FF"/>
            <w:u w:val="single"/>
          </w:rPr>
          <w:t>omaryire@hotmail.es</w:t>
        </w:r>
      </w:hyperlink>
    </w:p>
    <w:p w14:paraId="61C7E8B1" w14:textId="77777777" w:rsidR="00982BC9" w:rsidRPr="005745E4" w:rsidRDefault="00982BC9" w:rsidP="00982BC9">
      <w:pPr>
        <w:spacing w:after="0" w:line="240" w:lineRule="auto"/>
        <w:rPr>
          <w:rFonts w:ascii="Verdana" w:eastAsia="Calibri" w:hAnsi="Verdana" w:cs="Arial"/>
          <w:b/>
          <w:bCs/>
          <w:lang w:val="es-ES" w:eastAsia="es-ES"/>
        </w:rPr>
      </w:pPr>
      <w:r w:rsidRPr="005745E4">
        <w:rPr>
          <w:rFonts w:ascii="Verdana" w:eastAsia="Calibri" w:hAnsi="Verdana" w:cs="Arial"/>
          <w:lang w:val="es-ES" w:eastAsia="es-ES"/>
        </w:rPr>
        <w:t>Medellín, Antioquia</w:t>
      </w:r>
    </w:p>
    <w:p w14:paraId="4D36BB79" w14:textId="77777777" w:rsidR="00982BC9" w:rsidRPr="005745E4" w:rsidRDefault="00982BC9" w:rsidP="00982BC9">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82BC9" w:rsidRPr="005745E4" w14:paraId="4C331D4A" w14:textId="77777777" w:rsidTr="00171DEA">
        <w:trPr>
          <w:trHeight w:val="308"/>
        </w:trPr>
        <w:tc>
          <w:tcPr>
            <w:tcW w:w="2689" w:type="dxa"/>
          </w:tcPr>
          <w:p w14:paraId="47C2DD62" w14:textId="77777777" w:rsidR="00982BC9" w:rsidRPr="005745E4" w:rsidRDefault="00982BC9" w:rsidP="00171DEA">
            <w:pPr>
              <w:jc w:val="both"/>
              <w:rPr>
                <w:rFonts w:ascii="Verdana" w:eastAsia="Calibri" w:hAnsi="Verdana" w:cs="Arial"/>
                <w:b/>
                <w:bCs/>
                <w:lang w:val="es-ES_tradnl" w:eastAsia="es-ES_tradnl"/>
              </w:rPr>
            </w:pPr>
          </w:p>
        </w:tc>
        <w:tc>
          <w:tcPr>
            <w:tcW w:w="6100" w:type="dxa"/>
          </w:tcPr>
          <w:p w14:paraId="19B3DCEF" w14:textId="77777777" w:rsidR="00982BC9" w:rsidRPr="005745E4" w:rsidRDefault="00982BC9" w:rsidP="00171DEA">
            <w:pPr>
              <w:jc w:val="both"/>
              <w:rPr>
                <w:rFonts w:ascii="Verdana" w:eastAsia="Calibri" w:hAnsi="Verdana" w:cs="Arial"/>
                <w:b/>
                <w:bCs/>
                <w:lang w:val="es-ES" w:eastAsia="es-ES"/>
              </w:rPr>
            </w:pPr>
            <w:r w:rsidRPr="005745E4">
              <w:rPr>
                <w:rFonts w:ascii="Verdana" w:eastAsia="Calibri" w:hAnsi="Verdana" w:cs="Arial"/>
                <w:b/>
                <w:bCs/>
                <w:lang w:val="es-ES" w:eastAsia="es-ES"/>
              </w:rPr>
              <w:t>Concepto C-942 de 2026</w:t>
            </w:r>
          </w:p>
          <w:p w14:paraId="242F789E" w14:textId="77777777" w:rsidR="00982BC9" w:rsidRPr="005745E4" w:rsidRDefault="00982BC9" w:rsidP="00171DEA">
            <w:pPr>
              <w:jc w:val="both"/>
              <w:rPr>
                <w:rFonts w:ascii="Verdana" w:eastAsia="Calibri" w:hAnsi="Verdana" w:cs="Arial"/>
                <w:b/>
                <w:bCs/>
                <w:lang w:val="es-ES" w:eastAsia="es-ES"/>
              </w:rPr>
            </w:pPr>
          </w:p>
        </w:tc>
      </w:tr>
      <w:tr w:rsidR="00982BC9" w:rsidRPr="005745E4" w14:paraId="091B5A86" w14:textId="77777777" w:rsidTr="00171DEA">
        <w:trPr>
          <w:trHeight w:val="884"/>
        </w:trPr>
        <w:tc>
          <w:tcPr>
            <w:tcW w:w="2689" w:type="dxa"/>
          </w:tcPr>
          <w:p w14:paraId="5FF77C31" w14:textId="77777777" w:rsidR="00982BC9" w:rsidRPr="005745E4" w:rsidRDefault="00982BC9" w:rsidP="00171DEA">
            <w:pPr>
              <w:jc w:val="both"/>
              <w:rPr>
                <w:rFonts w:ascii="Verdana" w:eastAsia="Calibri" w:hAnsi="Verdana" w:cs="Arial"/>
                <w:highlight w:val="yellow"/>
                <w:lang w:val="es-ES_tradnl" w:eastAsia="es-ES_tradnl"/>
              </w:rPr>
            </w:pPr>
            <w:r w:rsidRPr="005745E4">
              <w:rPr>
                <w:rFonts w:ascii="Verdana" w:eastAsia="Calibri" w:hAnsi="Verdana" w:cs="Arial"/>
                <w:b/>
                <w:lang w:val="es-ES_tradnl" w:eastAsia="es-ES_tradnl"/>
              </w:rPr>
              <w:t>Temas:</w:t>
            </w:r>
            <w:r w:rsidRPr="005745E4">
              <w:rPr>
                <w:rFonts w:ascii="Verdana" w:eastAsia="Calibri" w:hAnsi="Verdana" w:cs="Arial"/>
                <w:lang w:val="es-ES_tradnl" w:eastAsia="es-ES_tradnl"/>
              </w:rPr>
              <w:t xml:space="preserve">                   </w:t>
            </w:r>
          </w:p>
        </w:tc>
        <w:tc>
          <w:tcPr>
            <w:tcW w:w="6100" w:type="dxa"/>
          </w:tcPr>
          <w:p w14:paraId="34645B9D" w14:textId="77777777" w:rsidR="00982BC9" w:rsidRPr="005745E4" w:rsidRDefault="00982BC9" w:rsidP="00171DEA">
            <w:pPr>
              <w:spacing w:line="276" w:lineRule="auto"/>
              <w:jc w:val="both"/>
              <w:rPr>
                <w:rFonts w:ascii="Verdana" w:eastAsia="Calibri" w:hAnsi="Verdana" w:cs="Arial"/>
                <w:highlight w:val="yellow"/>
                <w:lang w:val="es-ES" w:eastAsia="es-ES"/>
              </w:rPr>
            </w:pPr>
            <w:r w:rsidRPr="005745E4">
              <w:rPr>
                <w:rFonts w:ascii="Verdana" w:eastAsia="Calibri" w:hAnsi="Verdana" w:cs="Arial"/>
                <w:lang w:val="es-ES" w:eastAsia="es-ES"/>
              </w:rPr>
              <w:t>PRINCIPIO DE SELECCIÓN OBJETIVA – Aplicación – Procesos de contratación Pública – Escogencia del contratista / INFORMACIÓN INEXACTA – Documentos tipo – Verificación - Consecuencias</w:t>
            </w:r>
          </w:p>
        </w:tc>
      </w:tr>
    </w:tbl>
    <w:p w14:paraId="796C7AE7" w14:textId="77777777" w:rsidR="00982BC9" w:rsidRPr="005745E4" w:rsidRDefault="00982BC9" w:rsidP="00982BC9">
      <w:pPr>
        <w:spacing w:after="0" w:line="240" w:lineRule="auto"/>
        <w:rPr>
          <w:rFonts w:ascii="Verdana" w:eastAsia="Calibri" w:hAnsi="Verdana" w:cs="Arial"/>
          <w:b/>
          <w:bCs/>
          <w:lang w:val="es-ES_tradnl" w:eastAsia="es-ES_tradnl"/>
        </w:rPr>
      </w:pPr>
    </w:p>
    <w:tbl>
      <w:tblPr>
        <w:tblStyle w:val="Tablaconcuadrcula"/>
        <w:tblW w:w="878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982BC9" w:rsidRPr="005745E4" w14:paraId="24AE0069" w14:textId="77777777" w:rsidTr="00171DEA">
        <w:tc>
          <w:tcPr>
            <w:tcW w:w="2689" w:type="dxa"/>
          </w:tcPr>
          <w:p w14:paraId="51B3E0E9" w14:textId="77777777" w:rsidR="00982BC9" w:rsidRPr="005745E4" w:rsidRDefault="00982BC9" w:rsidP="00171DEA">
            <w:pPr>
              <w:jc w:val="both"/>
              <w:rPr>
                <w:rFonts w:ascii="Verdana" w:eastAsia="Calibri" w:hAnsi="Verdana" w:cs="Arial"/>
                <w:b/>
                <w:lang w:val="es-ES_tradnl" w:eastAsia="es-ES_tradnl"/>
              </w:rPr>
            </w:pPr>
            <w:r w:rsidRPr="005745E4">
              <w:rPr>
                <w:rFonts w:ascii="Verdana" w:eastAsia="Calibri" w:hAnsi="Verdana" w:cs="Arial"/>
                <w:b/>
                <w:lang w:val="es-ES_tradnl" w:eastAsia="es-ES_tradnl"/>
              </w:rPr>
              <w:t>Radicación:</w:t>
            </w:r>
            <w:r w:rsidRPr="005745E4">
              <w:rPr>
                <w:rFonts w:ascii="Verdana" w:eastAsia="Calibri" w:hAnsi="Verdana" w:cs="Arial"/>
                <w:lang w:val="es-ES_tradnl" w:eastAsia="es-ES_tradnl"/>
              </w:rPr>
              <w:t xml:space="preserve">               </w:t>
            </w:r>
          </w:p>
        </w:tc>
        <w:tc>
          <w:tcPr>
            <w:tcW w:w="6100" w:type="dxa"/>
          </w:tcPr>
          <w:p w14:paraId="7CC8212F" w14:textId="77777777" w:rsidR="00982BC9" w:rsidRPr="005745E4" w:rsidRDefault="00982BC9" w:rsidP="00171DEA">
            <w:pPr>
              <w:jc w:val="both"/>
              <w:rPr>
                <w:rFonts w:ascii="Verdana" w:eastAsia="Calibri" w:hAnsi="Verdana" w:cs="Arial"/>
                <w:lang w:val="es-ES_tradnl" w:eastAsia="es-ES_tradnl"/>
              </w:rPr>
            </w:pPr>
            <w:r w:rsidRPr="005745E4">
              <w:rPr>
                <w:rFonts w:ascii="Verdana" w:eastAsia="Calibri" w:hAnsi="Verdana" w:cs="Arial"/>
                <w:lang w:val="es-ES_tradnl" w:eastAsia="es-ES_tradnl"/>
              </w:rPr>
              <w:t>Respuesta a consulta con radicado No. 1_2026_06_08_007752</w:t>
            </w:r>
          </w:p>
        </w:tc>
      </w:tr>
    </w:tbl>
    <w:p w14:paraId="42528B32" w14:textId="77777777" w:rsidR="00982BC9" w:rsidRPr="005745E4" w:rsidRDefault="00982BC9" w:rsidP="00982BC9">
      <w:pPr>
        <w:spacing w:after="0" w:line="240" w:lineRule="auto"/>
        <w:jc w:val="both"/>
        <w:rPr>
          <w:rFonts w:ascii="Verdana" w:eastAsia="Calibri" w:hAnsi="Verdana" w:cs="Arial"/>
          <w:lang w:val="es-ES_tradnl" w:eastAsia="es-ES_tradnl"/>
        </w:rPr>
      </w:pPr>
    </w:p>
    <w:p w14:paraId="73B2C8D7" w14:textId="77777777" w:rsidR="00982BC9" w:rsidRPr="005745E4" w:rsidRDefault="00982BC9" w:rsidP="00982BC9">
      <w:pPr>
        <w:spacing w:after="0" w:line="240" w:lineRule="auto"/>
        <w:jc w:val="both"/>
        <w:rPr>
          <w:rFonts w:ascii="Verdana" w:eastAsia="Calibri" w:hAnsi="Verdana" w:cs="Arial"/>
          <w:lang w:val="es-ES_tradnl" w:eastAsia="es-ES_tradnl"/>
        </w:rPr>
      </w:pPr>
    </w:p>
    <w:p w14:paraId="2CCFCB7B" w14:textId="77777777" w:rsidR="00982BC9" w:rsidRPr="005745E4" w:rsidRDefault="00982BC9" w:rsidP="00982BC9">
      <w:pPr>
        <w:spacing w:after="0" w:line="276" w:lineRule="auto"/>
        <w:jc w:val="both"/>
        <w:rPr>
          <w:rFonts w:ascii="Verdana" w:eastAsia="Calibri" w:hAnsi="Verdana" w:cs="Arial"/>
          <w:lang w:val="es-ES" w:eastAsia="es-ES"/>
        </w:rPr>
      </w:pPr>
      <w:r w:rsidRPr="005745E4">
        <w:rPr>
          <w:rFonts w:ascii="Verdana" w:eastAsia="Calibri" w:hAnsi="Verdana" w:cs="Arial"/>
          <w:lang w:val="es-ES" w:eastAsia="es-ES"/>
        </w:rPr>
        <w:t xml:space="preserve">Estimado Señor Mendoza: </w:t>
      </w:r>
    </w:p>
    <w:p w14:paraId="3ABDEC66" w14:textId="77777777" w:rsidR="00982BC9" w:rsidRPr="005745E4" w:rsidRDefault="00982BC9" w:rsidP="00982BC9">
      <w:pPr>
        <w:tabs>
          <w:tab w:val="left" w:pos="3768"/>
        </w:tabs>
        <w:spacing w:after="0" w:line="276" w:lineRule="auto"/>
        <w:jc w:val="both"/>
        <w:rPr>
          <w:rFonts w:ascii="Verdana" w:eastAsia="Calibri" w:hAnsi="Verdana" w:cs="Arial"/>
          <w:lang w:val="es-ES" w:eastAsia="es-ES"/>
        </w:rPr>
      </w:pPr>
    </w:p>
    <w:p w14:paraId="2322E02B" w14:textId="77777777" w:rsidR="00982BC9" w:rsidRPr="005745E4" w:rsidRDefault="00982BC9" w:rsidP="00982BC9">
      <w:pPr>
        <w:spacing w:after="0" w:line="276" w:lineRule="auto"/>
        <w:jc w:val="both"/>
        <w:rPr>
          <w:rFonts w:ascii="Verdana" w:eastAsia="Calibri" w:hAnsi="Verdana" w:cs="Arial"/>
          <w:lang w:val="es-ES" w:eastAsia="es-ES"/>
        </w:rPr>
      </w:pPr>
      <w:r w:rsidRPr="005745E4">
        <w:rPr>
          <w:rFonts w:ascii="Verdana" w:eastAsia="Calibri" w:hAnsi="Verdana" w:cs="Arial"/>
          <w:lang w:val="es-ES" w:eastAsia="es-ES"/>
        </w:rPr>
        <w:t>En ejercicio de la competencia otorgada por los artículos 3, numeral 5º, y 11, numeral 8º, del Decreto Ley 4170 de 2011,</w:t>
      </w:r>
      <w:r w:rsidRPr="005745E4">
        <w:rPr>
          <w:rFonts w:ascii="Verdana" w:eastAsia="Arial MT" w:hAnsi="Verdana" w:cs="Arial MT"/>
          <w:lang w:val="es-ES" w:eastAsia="es-ES"/>
        </w:rPr>
        <w:t xml:space="preserve"> </w:t>
      </w:r>
      <w:r w:rsidRPr="005745E4">
        <w:rPr>
          <w:rFonts w:ascii="Verdana" w:eastAsia="Aptos" w:hAnsi="Verdana" w:cs="Arial"/>
        </w:rPr>
        <w:t xml:space="preserve">así como lo establecido en el artículo 4 de la Resolución 1707 de 2018 expedida por esta Entidad, </w:t>
      </w:r>
      <w:r w:rsidRPr="005745E4">
        <w:rPr>
          <w:rFonts w:ascii="Verdana" w:eastAsia="Calibri" w:hAnsi="Verdana" w:cs="Arial"/>
          <w:lang w:val="es-ES" w:eastAsia="es-ES"/>
        </w:rPr>
        <w:t xml:space="preserve">la Agencia Nacional de Contratación Pública – Colombia Compra Eficiente– responde su petición del 09 de junio de 2026, en la que, respecto de los Documentos Tipo expedidos esta Agencia, usted por realiza la siguiente consulta: </w:t>
      </w:r>
    </w:p>
    <w:p w14:paraId="0BFEA6AB" w14:textId="77777777" w:rsidR="00982BC9" w:rsidRPr="005745E4" w:rsidRDefault="00982BC9" w:rsidP="00982BC9">
      <w:pPr>
        <w:spacing w:after="0" w:line="276" w:lineRule="auto"/>
        <w:jc w:val="both"/>
        <w:rPr>
          <w:rFonts w:ascii="Verdana" w:eastAsia="Calibri" w:hAnsi="Verdana" w:cs="Arial"/>
          <w:lang w:val="es-ES" w:eastAsia="es-ES"/>
        </w:rPr>
      </w:pPr>
    </w:p>
    <w:p w14:paraId="434CA7D1" w14:textId="77777777" w:rsidR="00982BC9" w:rsidRPr="005745E4" w:rsidRDefault="00982BC9" w:rsidP="00982BC9">
      <w:pPr>
        <w:spacing w:after="0" w:line="240" w:lineRule="auto"/>
        <w:ind w:left="709" w:right="709"/>
        <w:jc w:val="both"/>
        <w:rPr>
          <w:rFonts w:ascii="Verdana" w:eastAsia="Calibri" w:hAnsi="Verdana" w:cs="Arial"/>
          <w:sz w:val="20"/>
          <w:szCs w:val="20"/>
          <w:lang w:val="es-MX"/>
        </w:rPr>
      </w:pPr>
      <w:r w:rsidRPr="005745E4">
        <w:rPr>
          <w:rFonts w:ascii="Verdana" w:eastAsia="Calibri" w:hAnsi="Verdana" w:cs="Arial"/>
          <w:sz w:val="20"/>
          <w:szCs w:val="20"/>
          <w:lang w:val="es-MX"/>
        </w:rPr>
        <w:t xml:space="preserve">“¿Cuál es el alcance jurídico de legalidad probatoria, selección objetiva, buena fe y debido proceso frente a la valoración de la información aportada por los proponentes en un procedimiento de selección, cuando una condición habilitante o puntuable ha sido acreditada mediante el medio de prueba expresamente previsto por la ley o por los documentos del proceso? En particular, ¿resulta jurídicamente procedente que una entidad estatal concluya la existencia de información inexacta, inconsciente, contradictoria o carente de veracidad con fundamento en elementos de juicio distintos a aquellos legamente establecidos como </w:t>
      </w:r>
      <w:r w:rsidRPr="005745E4">
        <w:rPr>
          <w:rFonts w:ascii="Verdana" w:eastAsia="Calibri" w:hAnsi="Verdana" w:cs="Arial"/>
          <w:sz w:val="20"/>
          <w:szCs w:val="20"/>
          <w:lang w:val="es-MX"/>
        </w:rPr>
        <w:lastRenderedPageBreak/>
        <w:t>prueba idónea del hecho acreditado, o mediante la conformación con documentos que no tienen aptitud lega para certificar dicho hecho? Así mismo, ¿qué criterios deben observar las entidades estales para determinar cuándo un medio probatorio es conducente, pertinente e idóneo para demostrar la supuesta inexactitud de la información suministrada por un proponente, y cuáles son las consecuencias jurídicas de fundamentar una decisión de rechazo, exclusión o pérdida de puntaje en pruebas inconducentes, impertinentes o carentes de aptitud legal para desvirtuar la información acreditada mediante el medio probatorio expresamente reconocido por el ordenamiento jurídico o por las reglas de selección? Finalmente, ¿para que pueda configurarse válidamente una causal de rechazo por información inexacta o inconsistente, es necesario que la contradicción surja de medios probatorios legalmente aptos para acreditar el mismo hecho objeto de verificación, o puede la entidad estructurar dicha conclusión a partir de inferencias, indicios o documentos que carecen de competencia legal para certificar la información controvertida?” [sic]</w:t>
      </w:r>
    </w:p>
    <w:p w14:paraId="6ECED184" w14:textId="77777777" w:rsidR="00982BC9" w:rsidRPr="005745E4" w:rsidRDefault="00982BC9" w:rsidP="00982BC9">
      <w:pPr>
        <w:spacing w:after="0" w:line="276" w:lineRule="auto"/>
        <w:jc w:val="both"/>
        <w:rPr>
          <w:rFonts w:ascii="Verdana" w:eastAsia="Calibri" w:hAnsi="Verdana" w:cs="Arial"/>
          <w:lang w:val="es-ES" w:eastAsia="es-ES"/>
        </w:rPr>
      </w:pPr>
    </w:p>
    <w:p w14:paraId="0F48B7EE" w14:textId="77777777" w:rsidR="00982BC9" w:rsidRPr="005745E4" w:rsidRDefault="00982BC9" w:rsidP="00982BC9">
      <w:pPr>
        <w:spacing w:after="120" w:line="276" w:lineRule="auto"/>
        <w:jc w:val="both"/>
        <w:rPr>
          <w:rFonts w:ascii="Verdana" w:eastAsia="Calibri" w:hAnsi="Verdana" w:cs="Arial"/>
          <w:lang w:val="es-ES" w:eastAsia="es-ES"/>
        </w:rPr>
      </w:pPr>
      <w:r w:rsidRPr="005745E4">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y Contratación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73C4EC6A" w14:textId="77777777" w:rsidR="00982BC9" w:rsidRPr="005745E4" w:rsidRDefault="00982BC9" w:rsidP="00982BC9">
      <w:pPr>
        <w:spacing w:after="0" w:line="276" w:lineRule="auto"/>
        <w:ind w:firstLine="709"/>
        <w:jc w:val="both"/>
        <w:rPr>
          <w:rFonts w:ascii="Verdana" w:eastAsia="Calibri" w:hAnsi="Verdana" w:cs="Arial"/>
          <w:lang w:val="es-ES" w:eastAsia="es-ES"/>
        </w:rPr>
      </w:pPr>
      <w:r w:rsidRPr="005745E4">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64AE9F3C" w14:textId="77777777" w:rsidR="00982BC9" w:rsidRPr="005745E4" w:rsidRDefault="00982BC9" w:rsidP="00982BC9">
      <w:pPr>
        <w:spacing w:after="0" w:line="276" w:lineRule="auto"/>
        <w:ind w:firstLine="709"/>
        <w:jc w:val="both"/>
        <w:rPr>
          <w:rFonts w:ascii="Verdana" w:eastAsia="Calibri" w:hAnsi="Verdana" w:cs="Arial"/>
          <w:lang w:val="es-ES" w:eastAsia="es-ES"/>
        </w:rPr>
      </w:pPr>
    </w:p>
    <w:p w14:paraId="1A1F9D09" w14:textId="77777777" w:rsidR="00982BC9" w:rsidRPr="005745E4" w:rsidRDefault="00982BC9" w:rsidP="00982BC9">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5745E4">
        <w:rPr>
          <w:rFonts w:ascii="Verdana" w:eastAsia="Arial" w:hAnsi="Verdana" w:cs="Arial"/>
          <w:b/>
          <w:bCs/>
          <w:lang w:val="es-ES"/>
        </w:rPr>
        <w:t>1. Problema planteado:</w:t>
      </w:r>
    </w:p>
    <w:p w14:paraId="49D82CBF" w14:textId="77777777" w:rsidR="00982BC9" w:rsidRPr="005745E4" w:rsidRDefault="00982BC9" w:rsidP="00982BC9">
      <w:pPr>
        <w:tabs>
          <w:tab w:val="left" w:pos="426"/>
        </w:tabs>
        <w:spacing w:after="0" w:line="276" w:lineRule="auto"/>
        <w:jc w:val="both"/>
        <w:rPr>
          <w:rFonts w:ascii="Verdana" w:eastAsia="Century Gothic" w:hAnsi="Verdana" w:cs="Century Gothic"/>
          <w:lang w:val="es-ES"/>
        </w:rPr>
      </w:pPr>
    </w:p>
    <w:p w14:paraId="05398A5C" w14:textId="77777777" w:rsidR="00982BC9" w:rsidRPr="005745E4" w:rsidRDefault="00982BC9" w:rsidP="00982BC9">
      <w:pPr>
        <w:spacing w:after="0"/>
        <w:jc w:val="both"/>
        <w:rPr>
          <w:rFonts w:ascii="Verdana" w:eastAsia="Century Gothic" w:hAnsi="Verdana" w:cs="Century Gothic"/>
        </w:rPr>
      </w:pPr>
      <w:r w:rsidRPr="005745E4">
        <w:rPr>
          <w:rFonts w:ascii="Verdana" w:eastAsia="Century Gothic" w:hAnsi="Verdana" w:cs="Century Gothic"/>
        </w:rPr>
        <w:lastRenderedPageBreak/>
        <w:t xml:space="preserve">De acuerdo con el contenido de su solicitud, le informamos que la misma se resolverá desde </w:t>
      </w:r>
      <w:bookmarkStart w:id="1" w:name="_Hlk171070029"/>
      <w:r w:rsidRPr="005745E4">
        <w:rPr>
          <w:rFonts w:ascii="Verdana" w:eastAsia="Century Gothic" w:hAnsi="Verdana" w:cs="Century Gothic"/>
        </w:rPr>
        <w:t>el siguiente interrogante: En el marco de los Documentos Tipo adoptados por la Agencia Nacional de Contratación Pública – Colombia Compra Eficiente ¿Cuáles son las consecuencias de aportar información inexacta en la presentación de la oferta?</w:t>
      </w:r>
    </w:p>
    <w:p w14:paraId="0B7D9F47" w14:textId="77777777" w:rsidR="00982BC9" w:rsidRPr="005745E4" w:rsidRDefault="00982BC9" w:rsidP="00982BC9">
      <w:pPr>
        <w:spacing w:after="0"/>
        <w:jc w:val="both"/>
        <w:rPr>
          <w:rFonts w:ascii="Verdana" w:eastAsia="Aptos" w:hAnsi="Verdana" w:cs="Arial"/>
        </w:rPr>
      </w:pPr>
    </w:p>
    <w:bookmarkEnd w:id="1"/>
    <w:p w14:paraId="6D540E94" w14:textId="77777777" w:rsidR="00982BC9" w:rsidRPr="005745E4" w:rsidRDefault="00982BC9" w:rsidP="00982BC9">
      <w:pPr>
        <w:widowControl w:val="0"/>
        <w:autoSpaceDE w:val="0"/>
        <w:autoSpaceDN w:val="0"/>
        <w:spacing w:before="1" w:after="0" w:line="240" w:lineRule="auto"/>
        <w:jc w:val="both"/>
        <w:outlineLvl w:val="0"/>
        <w:rPr>
          <w:rFonts w:ascii="Verdana" w:eastAsia="Arial" w:hAnsi="Verdana" w:cs="Arial"/>
          <w:b/>
          <w:bCs/>
          <w:lang w:val="es-ES"/>
        </w:rPr>
      </w:pPr>
      <w:r w:rsidRPr="005745E4">
        <w:rPr>
          <w:rFonts w:ascii="Verdana" w:eastAsia="Arial" w:hAnsi="Verdana" w:cs="Arial"/>
          <w:b/>
          <w:bCs/>
          <w:lang w:val="es-ES"/>
        </w:rPr>
        <w:t>2. Respuesta:</w:t>
      </w:r>
    </w:p>
    <w:p w14:paraId="4CC02EEA" w14:textId="77777777" w:rsidR="00982BC9" w:rsidRPr="005745E4" w:rsidRDefault="00982BC9" w:rsidP="00982BC9">
      <w:pPr>
        <w:spacing w:after="0"/>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982BC9" w:rsidRPr="005745E4" w14:paraId="48B0C5E0" w14:textId="77777777" w:rsidTr="00171DEA">
        <w:tc>
          <w:tcPr>
            <w:tcW w:w="8828" w:type="dxa"/>
          </w:tcPr>
          <w:p w14:paraId="03D49743" w14:textId="77777777" w:rsidR="00982BC9" w:rsidRPr="005745E4" w:rsidRDefault="00982BC9" w:rsidP="00171DEA">
            <w:pPr>
              <w:spacing w:line="276" w:lineRule="auto"/>
              <w:jc w:val="both"/>
              <w:rPr>
                <w:rFonts w:ascii="Verdana" w:eastAsia="Calibri" w:hAnsi="Verdana" w:cs="Arial"/>
                <w:lang w:val="es-ES"/>
              </w:rPr>
            </w:pPr>
            <w:bookmarkStart w:id="2" w:name="_Hlk171067516"/>
            <w:r w:rsidRPr="005745E4">
              <w:rPr>
                <w:rFonts w:ascii="Verdana" w:eastAsia="Calibri" w:hAnsi="Verdana" w:cs="Arial"/>
                <w:lang w:val="es-ES_tradnl" w:eastAsia="es-ES"/>
              </w:rPr>
              <w:t xml:space="preserve">Sobre el particular, debe precisarse que los Documentos Tipo </w:t>
            </w:r>
            <w:r w:rsidRPr="005745E4">
              <w:rPr>
                <w:rFonts w:ascii="Verdana" w:eastAsia="Calibri" w:hAnsi="Verdana" w:cs="Arial"/>
                <w:lang w:val="es-ES"/>
              </w:rPr>
              <w:t>adoptados por esta Agencia establecen las condiciones habilitantes, los factores técnicos y económicos de escogencia y los sistemas de ponderación que son de obligatoria observancia para las Entidades Estatales obligadas a aplicar dichos documentos. En ese sentido, en lo que corresponde a la “información inexacta”, se aclara que el numeral 1.11 del “Documento Base” de los Documentos Tipo de licitación de obra pública de infraestructura de transporte – Versión 4, establece dos (2) reglas con consecuencias diferentes para que las Entidades Estatales verifiquen la información suministrada por los proponentes al momento de presentar sus ofertas.</w:t>
            </w:r>
          </w:p>
          <w:p w14:paraId="0DBB8710" w14:textId="77777777" w:rsidR="00982BC9" w:rsidRPr="005745E4" w:rsidRDefault="00982BC9" w:rsidP="00171DEA">
            <w:pPr>
              <w:spacing w:before="120" w:line="276" w:lineRule="auto"/>
              <w:jc w:val="both"/>
              <w:rPr>
                <w:rFonts w:ascii="Verdana" w:eastAsia="Calibri" w:hAnsi="Verdana" w:cs="Arial"/>
                <w:lang w:val="es-ES"/>
              </w:rPr>
            </w:pPr>
            <w:r w:rsidRPr="005745E4">
              <w:rPr>
                <w:rFonts w:ascii="Verdana" w:eastAsia="Calibri" w:hAnsi="Verdana" w:cs="Arial"/>
                <w:lang w:val="es-ES"/>
              </w:rPr>
              <w:tab/>
              <w:t xml:space="preserve">En cuanto a </w:t>
            </w:r>
            <w:r w:rsidRPr="005745E4">
              <w:rPr>
                <w:rFonts w:ascii="Verdana" w:eastAsia="Calibri" w:hAnsi="Verdana" w:cs="Arial"/>
                <w:i/>
                <w:iCs/>
                <w:lang w:val="es-ES"/>
              </w:rPr>
              <w:t xml:space="preserve">la primera, </w:t>
            </w:r>
            <w:r w:rsidRPr="005745E4">
              <w:rPr>
                <w:rFonts w:ascii="Verdana" w:eastAsia="Calibri" w:hAnsi="Verdana" w:cs="Arial"/>
                <w:lang w:val="es-ES"/>
              </w:rPr>
              <w:t>dicho numeral señala que una vez verificada la información con las autoridades, personas, empresas o entidades, y evidenciada alguna inconsistencia, la Entidad Estatal tendrá por no acreditada la información. Por ejemplo, cuando se presente documentación para acreditar un requisito habilitante y ante las observaciones recibidas en el traslado del informe de evaluación no se logre constatar con exactitud lo acreditado o la veracidad del mismo, ante esta duda, la entidad no tendrá en cuenta la documentación aportada, sin perjuicio de que el proponente cumpla con el requisito habilitante con los demás documentos que aporte. En este evento, se trata de inconsistencias que no pueden ser superadas por la ausencia de medio probatorio, pero que en principio no tienen la connotación de falsedad.</w:t>
            </w:r>
          </w:p>
          <w:p w14:paraId="6E391A3F" w14:textId="77777777" w:rsidR="00982BC9" w:rsidRPr="005745E4" w:rsidRDefault="00982BC9" w:rsidP="00171DEA">
            <w:pPr>
              <w:spacing w:before="120" w:line="276" w:lineRule="auto"/>
              <w:jc w:val="both"/>
              <w:rPr>
                <w:rFonts w:ascii="Verdana" w:eastAsia="Calibri" w:hAnsi="Verdana" w:cs="Arial"/>
                <w:lang w:val="es-ES"/>
              </w:rPr>
            </w:pPr>
            <w:r w:rsidRPr="005745E4">
              <w:rPr>
                <w:rFonts w:ascii="Verdana" w:eastAsia="Calibri" w:hAnsi="Verdana" w:cs="Arial"/>
                <w:lang w:val="es-ES"/>
              </w:rPr>
              <w:tab/>
              <w:t xml:space="preserve">Y respecto de </w:t>
            </w:r>
            <w:r w:rsidRPr="005745E4">
              <w:rPr>
                <w:rFonts w:ascii="Verdana" w:eastAsia="Calibri" w:hAnsi="Verdana" w:cs="Arial"/>
                <w:i/>
                <w:iCs/>
                <w:lang w:val="es-ES"/>
              </w:rPr>
              <w:t>la segunda</w:t>
            </w:r>
            <w:r w:rsidRPr="005745E4">
              <w:rPr>
                <w:rFonts w:ascii="Verdana" w:eastAsia="Calibri" w:hAnsi="Verdana" w:cs="Arial"/>
                <w:lang w:val="es-ES"/>
              </w:rPr>
              <w:t xml:space="preserve">, se establece que, cuando durante la verificación realizada por la entidad esta corrobore que las inconsistencias puedan devenir de una presunta falsedad no desvirtuada por el proponente, deberá proceder con el rechazo de la oferta e informar a las autoridades correspondientes. Por ejemplo, ante una certificación de experiencia, la Entidad Estatal, al comunicarse con la entidad para la cual se ejecutó el contrato a acreditar, es informada de que la certificación aportada por el </w:t>
            </w:r>
            <w:r w:rsidRPr="005745E4">
              <w:rPr>
                <w:rFonts w:ascii="Verdana" w:eastAsia="Calibri" w:hAnsi="Verdana" w:cs="Arial"/>
                <w:lang w:val="es-ES"/>
              </w:rPr>
              <w:lastRenderedPageBreak/>
              <w:t>proponente no fue expedida por cuanto ese objeto no ha sido contratado. En este supuesto, cuando la Entidad Estatal tiene el suficiente convencimiento de la existencia de la presunta falsedad, y luego de dar la oportunidad para que el proponente se manifieste, es procedente rechazar la oferta y compulsar copias a las autoridades competentes, quienes adelantarán las respectivas investigaciones.</w:t>
            </w:r>
          </w:p>
          <w:p w14:paraId="1FB0CDE3" w14:textId="77777777" w:rsidR="00982BC9" w:rsidRPr="005745E4" w:rsidRDefault="00982BC9" w:rsidP="00171DEA">
            <w:pPr>
              <w:spacing w:before="120" w:line="276" w:lineRule="auto"/>
              <w:ind w:firstLine="708"/>
              <w:jc w:val="both"/>
              <w:rPr>
                <w:rFonts w:ascii="Verdana" w:eastAsia="Calibri" w:hAnsi="Verdana" w:cs="Arial"/>
                <w:lang w:val="es-ES"/>
              </w:rPr>
            </w:pPr>
            <w:r w:rsidRPr="005745E4">
              <w:rPr>
                <w:rFonts w:ascii="Verdana" w:eastAsia="Calibri" w:hAnsi="Verdana" w:cs="Arial"/>
                <w:lang w:val="es-ES"/>
              </w:rPr>
              <w:t>En ese sentido, las reglas previstas en el numeral 1.11 del “Documento Base” de los referidos Documentos Tipo, aplican frente a la totalidad de la información y documentación aportada para el cumplimiento de los requisitos habilitantes y de ponderación de las propuestas. Por lo que, incluso, en el numeral 1.15 ibidem, se estableció en el literal H, la siguiente causal de rechazo: “H. Que el Proponente aporte información inexacta sobre la cual pueda existir una posible falsedad en los términos de la sección 1.11 del Documento Base”.</w:t>
            </w:r>
          </w:p>
          <w:p w14:paraId="5CD73FA0" w14:textId="77777777" w:rsidR="00982BC9" w:rsidRPr="005745E4" w:rsidRDefault="00982BC9" w:rsidP="00171DEA">
            <w:pPr>
              <w:spacing w:before="120" w:line="276" w:lineRule="auto"/>
              <w:ind w:firstLine="709"/>
              <w:jc w:val="both"/>
              <w:rPr>
                <w:rFonts w:ascii="Verdana" w:eastAsia="Calibri" w:hAnsi="Verdana" w:cs="Arial"/>
                <w:lang w:val="es-ES"/>
              </w:rPr>
            </w:pPr>
            <w:r w:rsidRPr="005745E4">
              <w:rPr>
                <w:rFonts w:ascii="Verdana" w:eastAsia="Calibri" w:hAnsi="Verdana" w:cs="Arial"/>
                <w:lang w:val="es-ES"/>
              </w:rPr>
              <w:t>Así pues, los supuestos señalados en el numeral 1.11 e incluso la causal de rechazo del referido literal H del numeral 1.15, pretenden que las Entidades Estatales que, en el marco de la aplicación de los Documentos Tipo de licitación de obra pública de infraestructura de transporte – Versión 4, corroboren la veracidad de la información suministrada por el proponente para evitar vicios en la adjudicación y en el contrato. Así, durante el plazo de evaluación de las ofertas, las entidades contratantes tienen el deber de corroborar la veracidad de la información que se allegue con las propuestas, bien sea mediante solicitud de aclaraciones al mismo oferente o mediante la constatación con fuentes externas, pues de ello depende no solamente la correcta escogencia del contratista y la forma más idónea de ejecución del contrato, sino también, la validez misma de la decisión de adjudicación, y por ende, del contrato celebrado.</w:t>
            </w:r>
          </w:p>
        </w:tc>
      </w:tr>
      <w:bookmarkEnd w:id="2"/>
    </w:tbl>
    <w:p w14:paraId="40A3F9AB" w14:textId="77777777" w:rsidR="00982BC9" w:rsidRPr="005745E4" w:rsidRDefault="00982BC9" w:rsidP="00982BC9">
      <w:pPr>
        <w:widowControl w:val="0"/>
        <w:autoSpaceDE w:val="0"/>
        <w:autoSpaceDN w:val="0"/>
        <w:spacing w:before="1" w:after="0" w:line="240" w:lineRule="auto"/>
        <w:ind w:left="360" w:hanging="360"/>
        <w:outlineLvl w:val="0"/>
        <w:rPr>
          <w:rFonts w:ascii="Verdana" w:eastAsia="Arial" w:hAnsi="Verdana" w:cs="Arial"/>
          <w:b/>
        </w:rPr>
      </w:pPr>
    </w:p>
    <w:p w14:paraId="6DADE00C" w14:textId="77777777" w:rsidR="00982BC9" w:rsidRPr="005745E4" w:rsidRDefault="00982BC9" w:rsidP="00982BC9">
      <w:pPr>
        <w:widowControl w:val="0"/>
        <w:autoSpaceDE w:val="0"/>
        <w:autoSpaceDN w:val="0"/>
        <w:spacing w:before="1" w:after="0" w:line="240" w:lineRule="auto"/>
        <w:ind w:left="360" w:hanging="360"/>
        <w:outlineLvl w:val="0"/>
        <w:rPr>
          <w:rFonts w:ascii="Verdana" w:eastAsia="Arial" w:hAnsi="Verdana" w:cs="Arial"/>
          <w:b/>
          <w:bCs/>
          <w:lang w:val="es-ES"/>
        </w:rPr>
      </w:pPr>
      <w:r w:rsidRPr="005745E4">
        <w:rPr>
          <w:rFonts w:ascii="Verdana" w:eastAsia="Arial" w:hAnsi="Verdana" w:cs="Arial"/>
          <w:b/>
          <w:bCs/>
          <w:lang w:val="es-ES"/>
        </w:rPr>
        <w:t>3. Razones de la respuesta</w:t>
      </w:r>
    </w:p>
    <w:p w14:paraId="42791EC6" w14:textId="77777777" w:rsidR="00982BC9" w:rsidRPr="005745E4" w:rsidRDefault="00982BC9" w:rsidP="00982BC9">
      <w:pPr>
        <w:spacing w:after="0" w:line="276" w:lineRule="auto"/>
        <w:jc w:val="both"/>
        <w:rPr>
          <w:rFonts w:ascii="Verdana" w:eastAsia="Calibri" w:hAnsi="Verdana" w:cs="Arial"/>
          <w:lang w:val="es-ES"/>
        </w:rPr>
      </w:pPr>
    </w:p>
    <w:p w14:paraId="3B9E79DB" w14:textId="77777777" w:rsidR="00982BC9" w:rsidRPr="005745E4" w:rsidRDefault="00982BC9" w:rsidP="00982BC9">
      <w:pPr>
        <w:spacing w:after="0" w:line="276" w:lineRule="auto"/>
        <w:jc w:val="both"/>
        <w:rPr>
          <w:rFonts w:ascii="Verdana" w:eastAsia="Calibri" w:hAnsi="Verdana" w:cs="Arial"/>
          <w:lang w:val="es-ES"/>
        </w:rPr>
      </w:pPr>
      <w:r w:rsidRPr="005745E4">
        <w:rPr>
          <w:rFonts w:ascii="Verdana" w:eastAsia="Calibri" w:hAnsi="Verdana" w:cs="Arial"/>
          <w:lang w:val="es-ES"/>
        </w:rPr>
        <w:t xml:space="preserve">Las respuestas anteriores se sustentan en las siguientes consideraciones: </w:t>
      </w:r>
    </w:p>
    <w:p w14:paraId="49B59DED" w14:textId="77777777" w:rsidR="00982BC9" w:rsidRPr="005745E4" w:rsidRDefault="00982BC9" w:rsidP="00982BC9">
      <w:pPr>
        <w:spacing w:after="0" w:line="276" w:lineRule="auto"/>
        <w:jc w:val="both"/>
        <w:rPr>
          <w:rFonts w:ascii="Verdana" w:eastAsia="Calibri" w:hAnsi="Verdana" w:cs="Arial"/>
          <w:lang w:val="es-ES"/>
        </w:rPr>
      </w:pPr>
    </w:p>
    <w:p w14:paraId="57785EFE" w14:textId="77777777" w:rsidR="00982BC9" w:rsidRPr="005745E4" w:rsidRDefault="00982BC9" w:rsidP="00982BC9">
      <w:pPr>
        <w:spacing w:after="0" w:line="276" w:lineRule="auto"/>
        <w:jc w:val="both"/>
        <w:rPr>
          <w:rFonts w:ascii="Verdana" w:eastAsia="Calibri" w:hAnsi="Verdana" w:cs="Arial"/>
          <w:bCs/>
        </w:rPr>
      </w:pPr>
      <w:r w:rsidRPr="005745E4">
        <w:rPr>
          <w:rFonts w:ascii="Verdana" w:eastAsia="Calibri" w:hAnsi="Verdana" w:cs="Arial"/>
          <w:bCs/>
        </w:rPr>
        <w:t xml:space="preserve">Inicialmente debe precisarse que, con fundamento en el principio de selección objetiva, la escogencia del futuro contratista en el marco de un proceso de contratación debe fundarse en factores objetivos, </w:t>
      </w:r>
      <w:r w:rsidRPr="005745E4">
        <w:rPr>
          <w:rFonts w:ascii="Verdana" w:eastAsia="Arial" w:hAnsi="Verdana" w:cs="Arial"/>
        </w:rPr>
        <w:t xml:space="preserve">de carácter técnico, jurídico y financiero, y no en criterios subjetivos, como el afecto, la amistad, el ánimo de </w:t>
      </w:r>
      <w:r w:rsidRPr="005745E4">
        <w:rPr>
          <w:rFonts w:ascii="Verdana" w:eastAsia="Arial" w:hAnsi="Verdana" w:cs="Arial"/>
        </w:rPr>
        <w:lastRenderedPageBreak/>
        <w:t>ayuda, el interés personal, etc. Si bien dentro de la historia de la contratación pública en Colombia se vislumbran antecedentes normativos que consagraban dicho principio</w:t>
      </w:r>
      <w:r w:rsidRPr="005745E4">
        <w:rPr>
          <w:rFonts w:ascii="Verdana" w:eastAsia="Arial" w:hAnsi="Verdana" w:cs="Arial"/>
          <w:vertAlign w:val="superscript"/>
        </w:rPr>
        <w:footnoteReference w:id="1"/>
      </w:r>
      <w:r w:rsidRPr="005745E4">
        <w:rPr>
          <w:rFonts w:ascii="Verdana" w:eastAsia="Arial" w:hAnsi="Verdana" w:cs="Arial"/>
        </w:rPr>
        <w:t xml:space="preserve">, en la actualidad la disposición legal que lo prevé de manera más clara y contundente es el artículo 5 de la Ley 1150 de 2007, modificado por el artículo 88 de la Ley 1474 de 2011 y por el artículo 5 de la Ley 1882 de 2018. Esta norma prescribe lo siguiente: </w:t>
      </w:r>
    </w:p>
    <w:p w14:paraId="3FE12491" w14:textId="77777777" w:rsidR="00982BC9" w:rsidRPr="005745E4" w:rsidRDefault="00982BC9" w:rsidP="00982BC9">
      <w:pPr>
        <w:spacing w:after="0" w:line="276" w:lineRule="auto"/>
        <w:jc w:val="both"/>
        <w:rPr>
          <w:rFonts w:ascii="Verdana" w:eastAsia="Arial" w:hAnsi="Verdana" w:cs="Arial"/>
        </w:rPr>
      </w:pPr>
    </w:p>
    <w:p w14:paraId="3B44B6E7"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“ARTÍCULO 5o. DE LA SELECCIÓN OBJETIVA. Es objetiva la selección en la cual la escogencia se haga al ofrecimiento más favorable a la entidad y a los fines que ella busca, sin tener en consideración factores de afecto o de interés y, en general, cualquier clase de motivación subjetiva. En consecuencia, los factores de escogencia y calificación que establezcan las entidades en los pliegos de condiciones o sus equivalentes, tendrán en cuenta los siguientes criterios:</w:t>
      </w:r>
    </w:p>
    <w:p w14:paraId="562988CB"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1. 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naturaleza del contrato a suscribir y a su valor. La verificación documental de las condiciones antes señaladas será efectuada por las Cámaras de Comercio de conformidad con lo establecido en el artículo 6o de la presente ley, de acuerdo con lo cual se expedirá la respectiva certificación.</w:t>
      </w:r>
    </w:p>
    <w:p w14:paraId="1271BB86"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lastRenderedPageBreak/>
        <w:t>2. &lt;Numeral modificado por el artículo 88 de la Ley 1474 de 2011. El nuevo texto es el siguiente:&gt;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En los contratos de obra pública, el menor plazo ofrecido no será objeto de evaluación. La entidad efectuará las comparaciones del caso mediante el cotejo de los ofrecimientos recibidos y la consulta de precios o condiciones del mercado y los estudios y deducciones de la entidad o de los organismos consultores o asesores designados para ello.</w:t>
      </w:r>
    </w:p>
    <w:p w14:paraId="3033CD1C"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En los procesos de selección en los que se tenga en cuenta los factores técnicos y económicos, la oferta más ventajosa será la que resulte de aplicar alguna de las siguientes alternativas:</w:t>
      </w:r>
    </w:p>
    <w:p w14:paraId="4E50854F"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a) La ponderación de los elementos de calidad y precio soportados en puntajes o fórmulas señaladas en el pliego de condiciones; o</w:t>
      </w:r>
    </w:p>
    <w:p w14:paraId="02171540"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b) La ponderación de los elementos de calidad y precio que representen la mejor relación de costo-beneficio para la entidad.</w:t>
      </w:r>
    </w:p>
    <w:p w14:paraId="4A96DACB"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3. Sin perjuicio de lo previsto en el numeral 1 del presente artículo, en los pliegos de condiciones para las contrataciones cuyo objeto sea la adquisición o suministro de bienes y servicios de características técnicas uniformes y común utilización, las entidades estatales incluirán como único factor de evaluación el menor precio ofrecido.</w:t>
      </w:r>
    </w:p>
    <w:p w14:paraId="18546D7A"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4. En los procesos para la selección de consultores se hará uso de factores de calificación destinados a valorar los aspectos técnicos de la oferta o proyecto. De conformidad con las condiciones que señale el reglamento, se podrán utilizar criterios de experiencia específica del oferente y del equipo de trabajo, en el campo de que se trate.</w:t>
      </w:r>
    </w:p>
    <w:p w14:paraId="79F88F9F"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En ningún caso se podrá incluir el precio, como factor de escogencia para la selección de consultores.</w:t>
      </w:r>
    </w:p>
    <w:p w14:paraId="4FAAD0B4"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 xml:space="preserve">PARÁGRAFO 1o. &lt;Parágrafo modificado por el artículo 5 de la Ley 1882 de 2018. El nuevo texto es el siguiente:&gt;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 sistema de subasta. Serán rechazadas las ofertas de aquellos </w:t>
      </w:r>
      <w:r w:rsidRPr="005745E4">
        <w:rPr>
          <w:rFonts w:ascii="Verdana" w:eastAsia="Arial" w:hAnsi="Verdana" w:cs="Arial"/>
          <w:sz w:val="20"/>
          <w:szCs w:val="20"/>
        </w:rPr>
        <w:lastRenderedPageBreak/>
        <w:t>proponentes que no suministren la información y la documentación solicitada por la entidad estatal hasta el plazo anteriormente señalado.</w:t>
      </w:r>
    </w:p>
    <w:p w14:paraId="671572AA"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Durante el término otorgado para subsanar las ofertas, los proponentes no podrán acreditar circunstancias ocurridas con posterioridad al cierre del proceso.</w:t>
      </w:r>
    </w:p>
    <w:p w14:paraId="3CDCC577"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PARÁGRAFO 2o. Las certificaciones de sistemas de gestión de calidad no serán objeto de calificación, ni podrán establecerse como documento habilitante para participar en licitaciones o concursos.</w:t>
      </w:r>
    </w:p>
    <w:p w14:paraId="7C903AAC"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PARÁGRAFO 3o. &lt;Parágrafo adicionado por el artículo 5 de la Ley 1882 de 2018. El nuevo texto es el siguiente:&gt; La no entrega de la garantía de seriedad junto con la propuesta no será subsanable y será causal de rechazo de la misma.</w:t>
      </w:r>
    </w:p>
    <w:p w14:paraId="4427CD86"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PARÁGRAFO 4o. &lt;Parágrafo adicionado por el artículo 5 de la Ley 1882 de 2018. El nuevo texto es el siguiente:&gt; En aquellos procesos de selección en los que se utilice el mecanismo de subasta, los documentos referentes a la futura contratación o al proponente, no necesarios para la comparación de las propuestas, deberán ser solicitados hasta el momento previo a su realización.</w:t>
      </w:r>
    </w:p>
    <w:p w14:paraId="46045D07" w14:textId="77777777" w:rsidR="00982BC9" w:rsidRPr="005745E4" w:rsidRDefault="00982BC9" w:rsidP="00982BC9">
      <w:pPr>
        <w:spacing w:after="0" w:line="240" w:lineRule="auto"/>
        <w:ind w:left="709" w:right="709"/>
        <w:jc w:val="both"/>
        <w:rPr>
          <w:rFonts w:ascii="Verdana" w:eastAsia="Arial" w:hAnsi="Verdana" w:cs="Arial"/>
          <w:sz w:val="20"/>
          <w:szCs w:val="20"/>
        </w:rPr>
      </w:pPr>
      <w:r w:rsidRPr="005745E4">
        <w:rPr>
          <w:rFonts w:ascii="Verdana" w:eastAsia="Arial" w:hAnsi="Verdana" w:cs="Arial"/>
          <w:sz w:val="20"/>
          <w:szCs w:val="20"/>
        </w:rPr>
        <w:t xml:space="preserve">PARÁGRAFO 5o. &lt;Parágrafo adicionado por el artículo 5 de la Ley 1882 de 2018. El nuevo texto es el siguiente:&gt; En los procesos de contratación, las entidades estatales deberán aceptar la experiencia adquirida por los proponentes a través de la ejecución de contratos con particulares”. </w:t>
      </w:r>
    </w:p>
    <w:p w14:paraId="3071BD18" w14:textId="77777777" w:rsidR="00982BC9" w:rsidRPr="005745E4" w:rsidRDefault="00982BC9" w:rsidP="00982BC9">
      <w:pPr>
        <w:spacing w:after="0" w:line="276" w:lineRule="auto"/>
        <w:jc w:val="both"/>
        <w:rPr>
          <w:rFonts w:ascii="Verdana" w:eastAsia="Arial" w:hAnsi="Verdana" w:cs="Arial"/>
        </w:rPr>
      </w:pPr>
    </w:p>
    <w:p w14:paraId="16701C9C" w14:textId="77777777" w:rsidR="00982BC9" w:rsidRPr="005745E4" w:rsidRDefault="00982BC9" w:rsidP="00982BC9">
      <w:pPr>
        <w:tabs>
          <w:tab w:val="left" w:pos="0"/>
        </w:tabs>
        <w:spacing w:after="120" w:line="276" w:lineRule="auto"/>
        <w:jc w:val="both"/>
        <w:rPr>
          <w:rFonts w:ascii="Verdana" w:eastAsia="Arial" w:hAnsi="Verdana" w:cs="Arial"/>
        </w:rPr>
      </w:pPr>
      <w:r w:rsidRPr="005745E4">
        <w:rPr>
          <w:rFonts w:ascii="Verdana" w:eastAsia="Arial" w:hAnsi="Verdana" w:cs="Arial"/>
        </w:rPr>
        <w:tab/>
        <w:t xml:space="preserve">De acuerdo con el artículo 5 de la Ley 1150 de 2007, el deber de selección objetiva supone que las Entidades Estatales escojan en los procesos de selección el “[…] ofrecimiento más favorable a la entidad y a los fines que ella busca […]”. Tal favorabilidad debe determinarse a partir de criterios que pueden variar de acuerdo con el objeto contractual o la modalidad de selección aplicable, los cuales, en todo caso, para que la selección sea objetiva, deben señalarse en el pliego de condiciones o documento equivalente. </w:t>
      </w:r>
      <w:bookmarkStart w:id="3" w:name="_1fob9te" w:colFirst="0" w:colLast="0"/>
      <w:bookmarkEnd w:id="3"/>
    </w:p>
    <w:p w14:paraId="66064CCF" w14:textId="77777777" w:rsidR="00982BC9" w:rsidRPr="005745E4" w:rsidRDefault="00982BC9" w:rsidP="00982BC9">
      <w:pPr>
        <w:tabs>
          <w:tab w:val="left" w:pos="0"/>
        </w:tabs>
        <w:spacing w:after="0" w:line="276" w:lineRule="auto"/>
        <w:jc w:val="both"/>
        <w:rPr>
          <w:rFonts w:ascii="Verdana" w:eastAsia="Arial" w:hAnsi="Verdana" w:cs="Arial"/>
        </w:rPr>
      </w:pPr>
      <w:r w:rsidRPr="005745E4">
        <w:rPr>
          <w:rFonts w:ascii="Verdana" w:eastAsia="Arial" w:hAnsi="Verdana" w:cs="Arial"/>
        </w:rPr>
        <w:tab/>
        <w:t xml:space="preserve">En ese sentido, el referido artículo alude a su vez, a diferentes conceptos como factores de escogencia, de calificación, técnicos y económicos de escogencia, de evaluación y calificación. Además, el artículo alude a unos factores que no otorgan puntaje y de otros que inciden en la comparación de ofertas. Por ello, la doctrina define los requisitos o factores ponderables como “[…] aquellas condiciones de la oferta y no de quien la presenta, que sí entrarán a ser evaluadas por la Administración y que en consecuencia, darán lugar a la </w:t>
      </w:r>
      <w:r w:rsidRPr="005745E4">
        <w:rPr>
          <w:rFonts w:ascii="Verdana" w:eastAsia="Arial" w:hAnsi="Verdana" w:cs="Arial"/>
        </w:rPr>
        <w:lastRenderedPageBreak/>
        <w:t>escogencia objetiva de la mejor propuesta para la entidad”</w:t>
      </w:r>
      <w:r w:rsidRPr="005745E4">
        <w:rPr>
          <w:rFonts w:ascii="Verdana" w:eastAsia="Arial" w:hAnsi="Verdana" w:cs="Arial"/>
          <w:vertAlign w:val="superscript"/>
        </w:rPr>
        <w:footnoteReference w:id="2"/>
      </w:r>
      <w:r w:rsidRPr="005745E4">
        <w:rPr>
          <w:rFonts w:ascii="Verdana" w:eastAsia="Arial" w:hAnsi="Verdana" w:cs="Arial"/>
        </w:rPr>
        <w:t>. Todas estas categorías designan los “[…] factores a los cuales cabe otorgarles puntajes o que pueden ser ponderados, precisamente, pues estos son los factores que en últimas permiten una comparación de ofertas y una diferenciación entre ellas”</w:t>
      </w:r>
      <w:r w:rsidRPr="005745E4">
        <w:rPr>
          <w:rFonts w:ascii="Verdana" w:eastAsia="Arial" w:hAnsi="Verdana" w:cs="Arial"/>
          <w:vertAlign w:val="superscript"/>
        </w:rPr>
        <w:footnoteReference w:id="3"/>
      </w:r>
      <w:r w:rsidRPr="005745E4">
        <w:rPr>
          <w:rFonts w:ascii="Verdana" w:eastAsia="Arial" w:hAnsi="Verdana" w:cs="Arial"/>
        </w:rPr>
        <w:t>. Conforme a esto, la doctrina explica que:</w:t>
      </w:r>
    </w:p>
    <w:p w14:paraId="1ABD8DA0" w14:textId="77777777" w:rsidR="00982BC9" w:rsidRPr="005745E4" w:rsidRDefault="00982BC9" w:rsidP="00982BC9">
      <w:pPr>
        <w:tabs>
          <w:tab w:val="left" w:pos="0"/>
        </w:tabs>
        <w:spacing w:after="0" w:line="276" w:lineRule="auto"/>
        <w:ind w:left="709" w:right="709"/>
        <w:jc w:val="both"/>
        <w:rPr>
          <w:rFonts w:ascii="Verdana" w:eastAsia="Arial" w:hAnsi="Verdana" w:cs="Arial"/>
        </w:rPr>
      </w:pPr>
    </w:p>
    <w:p w14:paraId="74EEE03B" w14:textId="77777777" w:rsidR="00982BC9" w:rsidRPr="005745E4" w:rsidRDefault="00982BC9" w:rsidP="00982BC9">
      <w:pPr>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 xml:space="preserve">“De acuerdo con ese entendimiento, el numeral 2 del artículo 5.° de la Ley 1150 de 2007, modificado por el artículo 88 de la Ley 1474 de 2011, comienza por señalar que ‘la oferta más favorable será aquella que, teniendo en cuenta los factores técnicos y económicos de escogencia y la ponderación precisa y detallada de los mismos, contenida en los pliegos de condiciones o sus equivalentes, resulte ser la más ventajosa para la entidad, sin que la favorabilidad la constituyan factores diferentes a los contenidos en dichos documentos’. Es decir que los factores de ponderación o de evaluación son los que en realidad determinan la propuesta que mejor satisface las necesidades de la Administración y no simplemente cuál de los proponentes es el más idóneo en la ejecución del contrato, pues, se insiste, todo oferente que supere los requisitos mínimos habilitantes se entiende que es suficientemente idóneo para la ejecución del objeto contractual. </w:t>
      </w:r>
    </w:p>
    <w:p w14:paraId="0B1D1E9D" w14:textId="77777777" w:rsidR="00982BC9" w:rsidRPr="005745E4" w:rsidRDefault="00982BC9" w:rsidP="00982BC9">
      <w:pPr>
        <w:tabs>
          <w:tab w:val="left" w:pos="0"/>
        </w:tabs>
        <w:spacing w:after="0" w:line="240" w:lineRule="auto"/>
        <w:ind w:left="709" w:right="709"/>
        <w:jc w:val="both"/>
        <w:rPr>
          <w:rFonts w:ascii="Verdana" w:eastAsia="Arial" w:hAnsi="Verdana" w:cs="Arial"/>
          <w:sz w:val="20"/>
          <w:szCs w:val="20"/>
        </w:rPr>
      </w:pPr>
      <w:r w:rsidRPr="005745E4">
        <w:rPr>
          <w:rFonts w:ascii="Verdana" w:eastAsia="Arial" w:hAnsi="Verdana" w:cs="Arial"/>
          <w:sz w:val="20"/>
          <w:szCs w:val="20"/>
        </w:rPr>
        <w:t xml:space="preserve">De nuevo, aquí es preciso señalar que es el pliego de condiciones el que debe determinar cuáles son esos factores que en cada caso concreto permiten hacer una comparación entre las ofertas presentadas y, con base en ello, determinar cuál es la más favorable para la Administración Pública. </w:t>
      </w:r>
    </w:p>
    <w:p w14:paraId="772C2527" w14:textId="77777777" w:rsidR="00982BC9" w:rsidRPr="005745E4" w:rsidRDefault="00982BC9" w:rsidP="00982BC9">
      <w:pPr>
        <w:tabs>
          <w:tab w:val="left" w:pos="0"/>
        </w:tabs>
        <w:spacing w:after="120" w:line="240" w:lineRule="auto"/>
        <w:ind w:left="709" w:right="709"/>
        <w:jc w:val="both"/>
        <w:rPr>
          <w:rFonts w:ascii="Verdana" w:eastAsia="Arial" w:hAnsi="Verdana" w:cs="Arial"/>
          <w:sz w:val="20"/>
          <w:szCs w:val="20"/>
        </w:rPr>
      </w:pPr>
      <w:r w:rsidRPr="005745E4">
        <w:rPr>
          <w:rFonts w:ascii="Verdana" w:eastAsia="Arial" w:hAnsi="Verdana" w:cs="Arial"/>
          <w:sz w:val="20"/>
          <w:szCs w:val="20"/>
        </w:rPr>
        <w:t>[…]</w:t>
      </w:r>
    </w:p>
    <w:p w14:paraId="739A4B3E" w14:textId="77777777" w:rsidR="00982BC9" w:rsidRPr="005745E4" w:rsidRDefault="00982BC9" w:rsidP="00982BC9">
      <w:pPr>
        <w:spacing w:after="0" w:line="240" w:lineRule="auto"/>
        <w:ind w:left="709" w:right="709"/>
        <w:jc w:val="both"/>
        <w:rPr>
          <w:rFonts w:ascii="Verdana" w:eastAsia="Arial" w:hAnsi="Verdana" w:cs="Arial"/>
          <w:sz w:val="20"/>
          <w:szCs w:val="20"/>
        </w:rPr>
      </w:pPr>
      <w:r w:rsidRPr="005745E4">
        <w:rPr>
          <w:rFonts w:ascii="Verdana" w:eastAsia="Arial" w:hAnsi="Verdana" w:cs="Arial"/>
          <w:sz w:val="20"/>
          <w:szCs w:val="20"/>
        </w:rPr>
        <w:t>Una siguiente conclusión que se deriva de la norma parcialmente transcrita consiste en que los pliegos de condiciones deben determinar dos situaciones por separado: 1. cuáles serán los factores o requisitos que serán evaluados por la Administración y 2. cuáles son los criterios para asignar puntaje a cada uno de los factores de evaluación y, con base en ello, poder hacer la comparación entre las ofertas y concluir cuál de ellas es la más ventajosa para la entidad estatal”</w:t>
      </w:r>
      <w:r w:rsidRPr="005745E4">
        <w:rPr>
          <w:rFonts w:ascii="Verdana" w:eastAsia="Arial" w:hAnsi="Verdana" w:cs="Arial"/>
          <w:sz w:val="20"/>
          <w:szCs w:val="20"/>
          <w:vertAlign w:val="superscript"/>
        </w:rPr>
        <w:footnoteReference w:id="4"/>
      </w:r>
      <w:r w:rsidRPr="005745E4">
        <w:rPr>
          <w:rFonts w:ascii="Verdana" w:eastAsia="Arial" w:hAnsi="Verdana" w:cs="Arial"/>
          <w:sz w:val="20"/>
          <w:szCs w:val="20"/>
        </w:rPr>
        <w:t>.</w:t>
      </w:r>
    </w:p>
    <w:p w14:paraId="01456FF4" w14:textId="77777777" w:rsidR="00982BC9" w:rsidRPr="005745E4" w:rsidRDefault="00982BC9" w:rsidP="00982BC9">
      <w:pPr>
        <w:tabs>
          <w:tab w:val="left" w:pos="0"/>
        </w:tabs>
        <w:spacing w:after="0" w:line="276" w:lineRule="auto"/>
        <w:ind w:left="709" w:right="709"/>
        <w:jc w:val="both"/>
        <w:rPr>
          <w:rFonts w:ascii="Verdana" w:eastAsia="Arial" w:hAnsi="Verdana" w:cs="Arial"/>
        </w:rPr>
      </w:pPr>
    </w:p>
    <w:p w14:paraId="5FE4A2CE" w14:textId="77777777" w:rsidR="00982BC9" w:rsidRPr="005745E4" w:rsidRDefault="00982BC9" w:rsidP="00982BC9">
      <w:pPr>
        <w:tabs>
          <w:tab w:val="left" w:pos="0"/>
        </w:tabs>
        <w:spacing w:after="120" w:line="276" w:lineRule="auto"/>
        <w:jc w:val="both"/>
        <w:rPr>
          <w:rFonts w:ascii="Verdana" w:eastAsia="Arial" w:hAnsi="Verdana" w:cs="Arial"/>
        </w:rPr>
      </w:pPr>
      <w:r w:rsidRPr="005745E4">
        <w:rPr>
          <w:rFonts w:ascii="Verdana" w:eastAsia="Arial" w:hAnsi="Verdana" w:cs="Arial"/>
        </w:rPr>
        <w:tab/>
        <w:t xml:space="preserve">De acuerdo con lo anterior, es posible asimilar las diferentes categorías a las que hace referencia el artículo 5 de la Ley 1150 de 2007, cuando alude a los </w:t>
      </w:r>
      <w:r w:rsidRPr="005745E4">
        <w:rPr>
          <w:rFonts w:ascii="Verdana" w:eastAsia="Arial" w:hAnsi="Verdana" w:cs="Arial"/>
        </w:rPr>
        <w:lastRenderedPageBreak/>
        <w:t xml:space="preserve">factores que, a diferencia de los requisitos habilitantes, determinan la oferta más favorable para la Entidad Estatal contratante, y que, por lo tanto, hacen que una oferta sea mejor que otra, pese a tener que cumplir todas ellas los requisitos habilitantes. Es frente a aquellos factores que determinan comparativamente que una oferta sea mejor que otra, que la entidad concibe el otorgamiento de puntajes, como mecanismos para ponderar y comparar los ofrecimientos, con el fin de determinar objetivamente la oferta más favorable, aplicando para ello las reglas establecidas en el pliego o documento equivalente para la ponderación de las ofertas. </w:t>
      </w:r>
    </w:p>
    <w:p w14:paraId="61469765" w14:textId="77777777" w:rsidR="00982BC9" w:rsidRPr="005745E4" w:rsidRDefault="00982BC9" w:rsidP="00982BC9">
      <w:pPr>
        <w:spacing w:after="120" w:line="276" w:lineRule="auto"/>
        <w:ind w:firstLine="709"/>
        <w:jc w:val="both"/>
        <w:rPr>
          <w:rFonts w:ascii="Verdana" w:eastAsia="Arial" w:hAnsi="Verdana" w:cs="Arial"/>
          <w:color w:val="000000"/>
        </w:rPr>
      </w:pPr>
      <w:r w:rsidRPr="005745E4">
        <w:rPr>
          <w:rFonts w:ascii="Verdana" w:eastAsia="Arial" w:hAnsi="Verdana" w:cs="Arial"/>
        </w:rPr>
        <w:t>De esta forma, el deber de selección objetiva está ligado a la determinación del ofrecimiento más favorable, cuyo contenido deber ser precisado a partir de las diferentes</w:t>
      </w:r>
      <w:r w:rsidRPr="005745E4">
        <w:rPr>
          <w:rFonts w:ascii="Verdana" w:eastAsia="Arial" w:hAnsi="Verdana" w:cs="Arial"/>
          <w:color w:val="000000"/>
        </w:rPr>
        <w:t xml:space="preserve"> alternativas del artículo 5 de la Ley 1150 de 2007, reglamentado por el artículo 2.2.1.1.2.2.2 del Decreto 1082 de 2015, que en todo caso deben reflejarse en el pliego de condiciones o documento equivalente para el respectivo proceso de selección. Estas disposiciones establecen que en los procesos de selección deben evaluarse, fuera de los requisitos habilitantes, los factores de calificación, valoración o evaluación. Estos pueden ponderarse mediante la asignación de puntaje, por lo que la norma se refiere a factores que no otorgan puntaje para diferenciar los requisitos habilitantes de los mencionados factores de calificación. Lo anterior, bajo el entendido que son estos últimos los que determinan la oferta más favorable para la entidad y la que en consecuencia debe elegirse.</w:t>
      </w:r>
    </w:p>
    <w:p w14:paraId="6C2AEBD5" w14:textId="77777777" w:rsidR="00982BC9" w:rsidRPr="005745E4" w:rsidRDefault="00982BC9" w:rsidP="00982BC9">
      <w:pPr>
        <w:widowControl w:val="0"/>
        <w:autoSpaceDE w:val="0"/>
        <w:autoSpaceDN w:val="0"/>
        <w:spacing w:after="120" w:line="276" w:lineRule="auto"/>
        <w:ind w:firstLine="708"/>
        <w:jc w:val="both"/>
        <w:rPr>
          <w:rFonts w:ascii="Verdana" w:eastAsia="Arial" w:hAnsi="Verdana" w:cs="Arial"/>
          <w:lang w:eastAsia="es-ES" w:bidi="es-ES"/>
        </w:rPr>
      </w:pPr>
      <w:r w:rsidRPr="005745E4">
        <w:rPr>
          <w:rFonts w:ascii="Verdana" w:eastAsia="Arial" w:hAnsi="Verdana" w:cs="Arial"/>
          <w:lang w:eastAsia="es-ES" w:bidi="es-ES"/>
        </w:rPr>
        <w:t>Dentro de este marco, el pliego de condiciones constituye la hoja de ruta o plan sobre el cual se diseña, estructura y concreta el procedimiento de selección de contratistas</w:t>
      </w:r>
      <w:r w:rsidRPr="005745E4">
        <w:rPr>
          <w:rFonts w:ascii="Verdana" w:eastAsia="Arial" w:hAnsi="Verdana" w:cs="Arial"/>
          <w:vertAlign w:val="superscript"/>
          <w:lang w:eastAsia="es-ES" w:bidi="es-ES"/>
        </w:rPr>
        <w:footnoteReference w:id="5"/>
      </w:r>
      <w:r w:rsidRPr="005745E4">
        <w:rPr>
          <w:rFonts w:ascii="Verdana" w:eastAsia="Arial" w:hAnsi="Verdana" w:cs="Arial"/>
          <w:lang w:eastAsia="es-ES" w:bidi="es-ES"/>
        </w:rPr>
        <w:t>. Este ha sido definido como un “acto jurídico mixto que nace como un acto administrativo de contenido general, y que, con la adjudicación y suscripción del contrato estatal, algunos de sus contenidos se transforman para incorporarse al texto del negocio jurídico y, por consiguiente, se convierten en cláusulas vinculantes del mismo”</w:t>
      </w:r>
      <w:r w:rsidRPr="005745E4">
        <w:rPr>
          <w:rFonts w:ascii="Verdana" w:eastAsia="Arial" w:hAnsi="Verdana" w:cs="Arial"/>
          <w:vertAlign w:val="superscript"/>
          <w:lang w:eastAsia="es-ES" w:bidi="es-ES"/>
        </w:rPr>
        <w:footnoteReference w:id="6"/>
      </w:r>
      <w:r w:rsidRPr="005745E4">
        <w:rPr>
          <w:rFonts w:ascii="Verdana" w:eastAsia="Arial" w:hAnsi="Verdana" w:cs="Arial"/>
          <w:lang w:eastAsia="es-ES" w:bidi="es-ES"/>
        </w:rPr>
        <w:t>.</w:t>
      </w:r>
    </w:p>
    <w:p w14:paraId="45A64B08" w14:textId="77777777" w:rsidR="00982BC9" w:rsidRPr="005745E4" w:rsidRDefault="00982BC9" w:rsidP="00982BC9">
      <w:pPr>
        <w:tabs>
          <w:tab w:val="left" w:pos="0"/>
        </w:tabs>
        <w:spacing w:after="120" w:line="276" w:lineRule="auto"/>
        <w:jc w:val="both"/>
        <w:rPr>
          <w:rFonts w:ascii="Verdana" w:eastAsia="Arial" w:hAnsi="Verdana" w:cs="Arial"/>
        </w:rPr>
      </w:pPr>
      <w:r w:rsidRPr="005745E4">
        <w:rPr>
          <w:rFonts w:ascii="Verdana" w:eastAsia="Arial" w:hAnsi="Verdana" w:cs="Arial"/>
          <w:lang w:eastAsia="es-ES" w:bidi="es-ES"/>
        </w:rPr>
        <w:tab/>
        <w:t xml:space="preserve">En efecto, el pliego es un instrumento en el cual se materializa el principio de transparencia, ya que en él se establecen de manera previa las reglas de escogencia del contratista del Estado, garantizando la selección objetiva de la </w:t>
      </w:r>
      <w:r w:rsidRPr="005745E4">
        <w:rPr>
          <w:rFonts w:ascii="Verdana" w:eastAsia="Arial" w:hAnsi="Verdana" w:cs="Arial"/>
          <w:lang w:eastAsia="es-ES" w:bidi="es-ES"/>
        </w:rPr>
        <w:lastRenderedPageBreak/>
        <w:t>mejor oferta, la adjudicación y la posterior celebración y ejecución del contrato, en el que incluso, se establecen las formas en las que, conforme a la ley, deben acreditarse tanto los requisitos habilitantes como los que la Entidad Estatal haya definido como ponderables. Sin embargo, en el “Manual para determinar y verificar los requisitos habilitantes en los procesos de contratación”</w:t>
      </w:r>
      <w:r w:rsidRPr="005745E4">
        <w:rPr>
          <w:rFonts w:ascii="Verdana" w:eastAsia="Arial" w:hAnsi="Verdana" w:cs="Arial"/>
          <w:vertAlign w:val="superscript"/>
          <w:lang w:eastAsia="es-ES" w:bidi="es-ES"/>
        </w:rPr>
        <w:footnoteReference w:id="7"/>
      </w:r>
      <w:r w:rsidRPr="005745E4">
        <w:rPr>
          <w:rFonts w:ascii="Verdana" w:eastAsia="Arial" w:hAnsi="Verdana" w:cs="Arial"/>
          <w:lang w:eastAsia="es-ES" w:bidi="es-ES"/>
        </w:rPr>
        <w:t xml:space="preserve"> emitido por esta Agencia, se ha precisado que: “[…] las entidades que se rigen por el EGCAP, como regla general, deben tener en cuenta la información contenida en el certificado del RUP al momento de determinar y evaluar los requisitos habilitantes; en los casos en que la Ley no exija dicho documento deberán realizar la verificación de los requisitos directamente”.</w:t>
      </w:r>
    </w:p>
    <w:p w14:paraId="1799471A" w14:textId="77777777" w:rsidR="00982BC9" w:rsidRPr="005745E4" w:rsidRDefault="00982BC9" w:rsidP="00982BC9">
      <w:pPr>
        <w:spacing w:after="0" w:line="276" w:lineRule="auto"/>
        <w:jc w:val="both"/>
        <w:rPr>
          <w:rFonts w:ascii="Verdana" w:eastAsia="Calibri" w:hAnsi="Verdana" w:cs="Arial"/>
          <w:lang w:val="es-ES"/>
        </w:rPr>
      </w:pPr>
      <w:r w:rsidRPr="005745E4">
        <w:rPr>
          <w:rFonts w:ascii="Verdana" w:eastAsia="Calibri" w:hAnsi="Verdana" w:cs="Arial"/>
          <w:lang w:val="es-ES"/>
        </w:rPr>
        <w:tab/>
        <w:t>Por su parte, en caso de que el proceso de contratación se adelante en aplicación de los Documentos Tipo adoptados por Colombia Compra Eficiente, debe tenerse presente que en estos se establecen las condiciones habilitantes, los factores técnicos y económicos de escogencia y los sistemas de ponderación que son de obligatoria observancia para las Entidades Estatales obligadas a aplicar dichos documentos. En ese sentido, y por resultar relevante al objeto bajo consulta, se aclara que en lo que correspondiente a la “información inexacta”, el numeral 1.11 del “Documento Base” de los Documentos Tipo de licitación de obra pública de infraestructura de transporte – Versión 4, se establecen dos (2) reglas para que las Entidades Estatales verifiquen la información suministrada por los proponentes al momento de presentar sus ofertas, así:</w:t>
      </w:r>
    </w:p>
    <w:p w14:paraId="6E497813" w14:textId="77777777" w:rsidR="00982BC9" w:rsidRPr="005745E4" w:rsidRDefault="00982BC9" w:rsidP="00982BC9">
      <w:pPr>
        <w:spacing w:after="0" w:line="276" w:lineRule="auto"/>
        <w:jc w:val="both"/>
        <w:rPr>
          <w:rFonts w:ascii="Verdana" w:eastAsia="Calibri" w:hAnsi="Verdana" w:cs="Arial"/>
          <w:lang w:val="es-ES"/>
        </w:rPr>
      </w:pPr>
    </w:p>
    <w:p w14:paraId="1390639F" w14:textId="77777777" w:rsidR="00982BC9" w:rsidRPr="005745E4" w:rsidRDefault="00982BC9" w:rsidP="00982BC9">
      <w:pPr>
        <w:keepNext/>
        <w:keepLines/>
        <w:numPr>
          <w:ilvl w:val="1"/>
          <w:numId w:val="0"/>
        </w:numPr>
        <w:spacing w:after="120" w:line="240" w:lineRule="auto"/>
        <w:ind w:left="709" w:right="709"/>
        <w:jc w:val="both"/>
        <w:outlineLvl w:val="1"/>
        <w:rPr>
          <w:rFonts w:ascii="Verdana" w:eastAsia="Yu Gothic Light" w:hAnsi="Verdana" w:cs="Times New Roman"/>
          <w:b/>
          <w:caps/>
          <w:color w:val="000000"/>
          <w:sz w:val="20"/>
          <w:szCs w:val="20"/>
          <w:lang w:val="es-MX"/>
        </w:rPr>
      </w:pPr>
      <w:r w:rsidRPr="005745E4">
        <w:rPr>
          <w:rFonts w:ascii="Verdana" w:eastAsia="Calibri" w:hAnsi="Verdana" w:cs="Arial"/>
          <w:sz w:val="20"/>
          <w:szCs w:val="20"/>
          <w:lang w:val="es-ES"/>
        </w:rPr>
        <w:t>“</w:t>
      </w:r>
      <w:r w:rsidRPr="005745E4">
        <w:rPr>
          <w:rFonts w:ascii="Verdana" w:eastAsia="Yu Gothic Light" w:hAnsi="Verdana" w:cs="Times New Roman"/>
          <w:b/>
          <w:caps/>
          <w:color w:val="000000"/>
          <w:sz w:val="20"/>
          <w:szCs w:val="20"/>
          <w:lang w:val="es-MX"/>
        </w:rPr>
        <w:t>1.11. INFORMACIÓN INEXACTA</w:t>
      </w:r>
    </w:p>
    <w:p w14:paraId="254A81D6" w14:textId="77777777" w:rsidR="00982BC9" w:rsidRPr="005745E4" w:rsidRDefault="00982BC9" w:rsidP="00982BC9">
      <w:pPr>
        <w:spacing w:line="240" w:lineRule="auto"/>
        <w:ind w:left="709" w:right="709"/>
        <w:jc w:val="both"/>
        <w:rPr>
          <w:rFonts w:ascii="Verdana" w:eastAsia="Calibri" w:hAnsi="Verdana" w:cs="Arial"/>
          <w:color w:val="000000"/>
          <w:sz w:val="20"/>
          <w:szCs w:val="20"/>
          <w:lang w:val="es-MX"/>
        </w:rPr>
      </w:pPr>
      <w:r w:rsidRPr="005745E4">
        <w:rPr>
          <w:rFonts w:ascii="Verdana" w:eastAsia="Calibri" w:hAnsi="Verdana" w:cs="Arial"/>
          <w:color w:val="000000"/>
          <w:sz w:val="20"/>
          <w:szCs w:val="20"/>
          <w:lang w:val="es-MX"/>
        </w:rPr>
        <w:t xml:space="preserve">La entidad se reserva el derecho de verificar integralmente la información aportada por el proponente. Para esto, puede acudir a las autoridades, personas, empresas o entidades respectivas. </w:t>
      </w:r>
    </w:p>
    <w:p w14:paraId="3663B5A0" w14:textId="77777777" w:rsidR="00982BC9" w:rsidRPr="005745E4" w:rsidRDefault="00982BC9" w:rsidP="00982BC9">
      <w:pPr>
        <w:spacing w:line="240" w:lineRule="auto"/>
        <w:ind w:left="709" w:right="709"/>
        <w:jc w:val="both"/>
        <w:rPr>
          <w:rFonts w:ascii="Verdana" w:eastAsia="Calibri" w:hAnsi="Verdana" w:cs="Arial"/>
          <w:color w:val="000000"/>
          <w:sz w:val="20"/>
          <w:szCs w:val="20"/>
          <w:lang w:val="es-MX"/>
        </w:rPr>
      </w:pPr>
      <w:r w:rsidRPr="005745E4">
        <w:rPr>
          <w:rFonts w:ascii="Verdana" w:eastAsia="Calibri" w:hAnsi="Verdana" w:cs="Arial"/>
          <w:color w:val="000000"/>
          <w:sz w:val="20"/>
          <w:szCs w:val="20"/>
          <w:lang w:val="es-MX"/>
        </w:rPr>
        <w:t xml:space="preserve">Cuando exista inconsistencia entre la información suministrada por el proponente y la verificada por la entidad, la información que pretende demostrar el proponente se tendrá por no acreditada. </w:t>
      </w:r>
    </w:p>
    <w:p w14:paraId="2A3B8E86" w14:textId="77777777" w:rsidR="00982BC9" w:rsidRPr="005745E4" w:rsidRDefault="00982BC9" w:rsidP="00982BC9">
      <w:pPr>
        <w:spacing w:after="0" w:line="276" w:lineRule="auto"/>
        <w:ind w:left="709" w:right="709"/>
        <w:jc w:val="both"/>
        <w:rPr>
          <w:rFonts w:ascii="Verdana" w:eastAsia="Calibri" w:hAnsi="Verdana" w:cs="Arial"/>
          <w:sz w:val="20"/>
          <w:szCs w:val="20"/>
          <w:lang w:val="es-ES"/>
        </w:rPr>
      </w:pPr>
      <w:r w:rsidRPr="005745E4">
        <w:rPr>
          <w:rFonts w:ascii="Verdana" w:eastAsia="Calibri" w:hAnsi="Verdana" w:cs="Arial"/>
          <w:color w:val="000000"/>
          <w:sz w:val="20"/>
          <w:szCs w:val="20"/>
          <w:lang w:val="es-MX"/>
        </w:rPr>
        <w:t>La entidad compulsará copias a las autoridades competentes en aquellos eventos en los cuales la información aportada tenga inconsistencias sobre las cuales pueda existir una posible falsedad, sin que el proponente haya demostrado lo contrario, y rechazará la oferta”.</w:t>
      </w:r>
    </w:p>
    <w:p w14:paraId="49D76486" w14:textId="77777777" w:rsidR="00982BC9" w:rsidRPr="005745E4" w:rsidRDefault="00982BC9" w:rsidP="00982BC9">
      <w:pPr>
        <w:spacing w:after="0" w:line="276" w:lineRule="auto"/>
        <w:jc w:val="both"/>
        <w:rPr>
          <w:rFonts w:ascii="Verdana" w:eastAsia="Calibri" w:hAnsi="Verdana" w:cs="Arial"/>
          <w:lang w:val="es-ES"/>
        </w:rPr>
      </w:pPr>
    </w:p>
    <w:p w14:paraId="67384B35" w14:textId="77777777" w:rsidR="00982BC9" w:rsidRPr="005745E4" w:rsidRDefault="00982BC9" w:rsidP="00982BC9">
      <w:pPr>
        <w:spacing w:after="0" w:line="276" w:lineRule="auto"/>
        <w:jc w:val="both"/>
        <w:rPr>
          <w:rFonts w:ascii="Verdana" w:eastAsia="Calibri" w:hAnsi="Verdana" w:cs="Arial"/>
          <w:lang w:val="es-ES"/>
        </w:rPr>
      </w:pPr>
      <w:r w:rsidRPr="005745E4">
        <w:rPr>
          <w:rFonts w:ascii="Verdana" w:eastAsia="Calibri" w:hAnsi="Verdana" w:cs="Arial"/>
          <w:lang w:val="es-ES"/>
        </w:rPr>
        <w:lastRenderedPageBreak/>
        <w:tab/>
        <w:t xml:space="preserve">Lo precisado en dicho aparte, permite que la Entidad Estatal agote los medios a su alcance para corroborar la información que aporte el proponente, para lo cual puede recurrir a las autoridades, personas, empresas o entidades. Dicha regla de verificación, contempla dos (2) supuestos con consecuencias diferentes, así: </w:t>
      </w:r>
      <w:r w:rsidRPr="005745E4">
        <w:rPr>
          <w:rFonts w:ascii="Verdana" w:eastAsia="Calibri" w:hAnsi="Verdana" w:cs="Arial"/>
          <w:i/>
          <w:iCs/>
          <w:lang w:val="es-ES"/>
        </w:rPr>
        <w:t xml:space="preserve">el primero, </w:t>
      </w:r>
      <w:r w:rsidRPr="005745E4">
        <w:rPr>
          <w:rFonts w:ascii="Verdana" w:eastAsia="Calibri" w:hAnsi="Verdana" w:cs="Arial"/>
          <w:lang w:val="es-ES"/>
        </w:rPr>
        <w:t>señala que una vez verificada la información con las autoridades, personas, empresas o entidades, y evidenciada la inconsistencia, la Entidad Estatal tendrá por no acreditada la información. Por ejemplo, cuando se presente documentación para acreditar un requisito habilitante y ante las observaciones recibidas en el traslado del informe de evaluación no se logre constatar con exactitud lo acreditado o la veracidad del mismo, ante esta duda, la entidad no tendrá en cuenta la documentación aportada, sin perjuicio de que el proponente cumpla con el requisito habilitante con los demás documentos que aporte. En este evento, se trata de inconsistencias que no pueden ser superadas por la ausencia de medio probatorio, pero que en principio no tienen la connotación de falsedad.</w:t>
      </w:r>
    </w:p>
    <w:p w14:paraId="75AA2AFC" w14:textId="77777777" w:rsidR="00982BC9" w:rsidRPr="005745E4" w:rsidRDefault="00982BC9" w:rsidP="00982BC9">
      <w:pPr>
        <w:spacing w:before="120" w:after="0" w:line="276" w:lineRule="auto"/>
        <w:jc w:val="both"/>
        <w:rPr>
          <w:rFonts w:ascii="Verdana" w:eastAsia="Calibri" w:hAnsi="Verdana" w:cs="Arial"/>
          <w:lang w:val="es-ES"/>
        </w:rPr>
      </w:pPr>
      <w:r w:rsidRPr="005745E4">
        <w:rPr>
          <w:rFonts w:ascii="Verdana" w:eastAsia="Calibri" w:hAnsi="Verdana" w:cs="Arial"/>
          <w:lang w:val="es-ES"/>
        </w:rPr>
        <w:tab/>
      </w:r>
      <w:r w:rsidRPr="005745E4">
        <w:rPr>
          <w:rFonts w:ascii="Verdana" w:eastAsia="Calibri" w:hAnsi="Verdana" w:cs="Arial"/>
          <w:i/>
          <w:iCs/>
          <w:lang w:val="es-ES"/>
        </w:rPr>
        <w:t xml:space="preserve">El segundo evento, </w:t>
      </w:r>
      <w:r w:rsidRPr="005745E4">
        <w:rPr>
          <w:rFonts w:ascii="Verdana" w:eastAsia="Calibri" w:hAnsi="Verdana" w:cs="Arial"/>
          <w:lang w:val="es-ES"/>
        </w:rPr>
        <w:t>aplica cuando de la verificación realizada por la Entidad Estatal se corrobora que las inconsistencias pueden devenir de una presunta falsedad no desvirtuada por el proponente, caso en el cual se procede con el rechazo de la oferta y se informa a las autoridades correspondientes. Por ejemplo, ante una certificación de experiencia, la Entidad Estatal, al comunicarse con la entidad para la cual se ejecutó el contrato a acreditar, es informada de que la certificación aportada por el proponente no fue expedida por cuanto ese objeto no ha sido contratado; en este supuesto, cuando la Entidad Estatal tiene el suficiente convencimiento de la existencia de la presunta falsedad, y luego de dar la oportunidad para que el proponente se manifieste, es procedente rechazar la oferta y compulsar copias a las autoridades competentes, quienes adelantarán las respectivas investigaciones.</w:t>
      </w:r>
    </w:p>
    <w:p w14:paraId="1C3FF39E" w14:textId="77777777" w:rsidR="00982BC9" w:rsidRPr="005745E4" w:rsidRDefault="00982BC9" w:rsidP="00982BC9">
      <w:pPr>
        <w:spacing w:before="120" w:after="0" w:line="276" w:lineRule="auto"/>
        <w:jc w:val="both"/>
        <w:rPr>
          <w:rFonts w:ascii="Verdana" w:eastAsia="Calibri" w:hAnsi="Verdana" w:cs="Arial"/>
          <w:lang w:val="es-ES"/>
        </w:rPr>
      </w:pPr>
      <w:r w:rsidRPr="005745E4">
        <w:rPr>
          <w:rFonts w:ascii="Verdana" w:eastAsia="Calibri" w:hAnsi="Verdana" w:cs="Arial"/>
          <w:lang w:val="es-ES"/>
        </w:rPr>
        <w:tab/>
        <w:t xml:space="preserve">En ese sentido, las reglas previstas en el numeral 1.11 del “Documento Base” de los referidos Documentos Tipo, aplican frente a la totalidad de la información y documentación aportada para el cumplimiento de los requisitos habilitantes y de ponderación de las propuestas. Por lo que, incluso, en el numeral 1.15 ibidem, se estableció la causal de rechazo del literal H, que en su tenor literal señala: </w:t>
      </w:r>
    </w:p>
    <w:p w14:paraId="5C71C7CB" w14:textId="77777777" w:rsidR="00982BC9" w:rsidRPr="005745E4" w:rsidRDefault="00982BC9" w:rsidP="00982BC9">
      <w:pPr>
        <w:spacing w:after="0" w:line="276" w:lineRule="auto"/>
        <w:ind w:left="709" w:right="709"/>
        <w:jc w:val="both"/>
        <w:rPr>
          <w:rFonts w:ascii="Verdana" w:eastAsia="Calibri" w:hAnsi="Verdana" w:cs="Arial"/>
          <w:lang w:val="es-ES"/>
        </w:rPr>
      </w:pPr>
    </w:p>
    <w:p w14:paraId="140A96F5" w14:textId="77777777" w:rsidR="00982BC9" w:rsidRPr="005745E4" w:rsidRDefault="00982BC9" w:rsidP="00982BC9">
      <w:pPr>
        <w:spacing w:after="0" w:line="240" w:lineRule="auto"/>
        <w:ind w:left="709" w:right="709"/>
        <w:jc w:val="both"/>
        <w:rPr>
          <w:rFonts w:ascii="Verdana" w:eastAsia="Calibri" w:hAnsi="Verdana" w:cs="Arial"/>
          <w:sz w:val="20"/>
          <w:szCs w:val="20"/>
          <w:lang w:val="es-ES"/>
        </w:rPr>
      </w:pPr>
      <w:r w:rsidRPr="005745E4">
        <w:rPr>
          <w:rFonts w:ascii="Verdana" w:eastAsia="Calibri" w:hAnsi="Verdana" w:cs="Arial"/>
          <w:sz w:val="20"/>
          <w:szCs w:val="20"/>
          <w:lang w:val="es-ES"/>
        </w:rPr>
        <w:lastRenderedPageBreak/>
        <w:t xml:space="preserve">“Son causales de rechazo de las propuestas las siguientes </w:t>
      </w:r>
      <w:r w:rsidRPr="005745E4">
        <w:rPr>
          <w:rFonts w:ascii="Verdana" w:eastAsia="Calibri" w:hAnsi="Verdana" w:cs="Arial"/>
          <w:sz w:val="20"/>
          <w:szCs w:val="20"/>
          <w:highlight w:val="lightGray"/>
          <w:lang w:val="es-ES"/>
        </w:rPr>
        <w:t>[Las entidades no podrán incluir causales de rechazo distintas a las señaladas en la presente sección]:</w:t>
      </w:r>
    </w:p>
    <w:p w14:paraId="754DF12B" w14:textId="77777777" w:rsidR="00982BC9" w:rsidRPr="005745E4" w:rsidRDefault="00982BC9" w:rsidP="00982BC9">
      <w:pPr>
        <w:spacing w:after="0" w:line="240" w:lineRule="auto"/>
        <w:ind w:left="709" w:right="709"/>
        <w:jc w:val="both"/>
        <w:rPr>
          <w:rFonts w:ascii="Verdana" w:eastAsia="Calibri" w:hAnsi="Verdana" w:cs="Arial"/>
          <w:sz w:val="20"/>
          <w:szCs w:val="20"/>
          <w:lang w:val="es-ES"/>
        </w:rPr>
      </w:pPr>
      <w:r w:rsidRPr="005745E4">
        <w:rPr>
          <w:rFonts w:ascii="Verdana" w:eastAsia="Calibri" w:hAnsi="Verdana" w:cs="Arial"/>
          <w:sz w:val="20"/>
          <w:szCs w:val="20"/>
          <w:lang w:val="es-ES"/>
        </w:rPr>
        <w:t>[…]</w:t>
      </w:r>
    </w:p>
    <w:p w14:paraId="4A29F95A" w14:textId="77777777" w:rsidR="00982BC9" w:rsidRPr="005745E4" w:rsidRDefault="00982BC9" w:rsidP="00982BC9">
      <w:pPr>
        <w:spacing w:after="0" w:line="240" w:lineRule="auto"/>
        <w:ind w:left="709" w:right="709"/>
        <w:jc w:val="both"/>
        <w:rPr>
          <w:rFonts w:ascii="Verdana" w:eastAsia="Calibri" w:hAnsi="Verdana" w:cs="Arial"/>
          <w:sz w:val="20"/>
          <w:szCs w:val="20"/>
          <w:lang w:val="es-ES"/>
        </w:rPr>
      </w:pPr>
      <w:r w:rsidRPr="005745E4">
        <w:rPr>
          <w:rFonts w:ascii="Verdana" w:eastAsia="Calibri" w:hAnsi="Verdana" w:cs="Arial"/>
          <w:sz w:val="20"/>
          <w:szCs w:val="20"/>
          <w:lang w:val="es-ES"/>
        </w:rPr>
        <w:t>H. Que el Proponente aporte información inexacta sobre la cual pueda existir una posible falsedad en los términos de la sección 1.11 del Documento Base</w:t>
      </w:r>
    </w:p>
    <w:p w14:paraId="474FDFEA" w14:textId="77777777" w:rsidR="00982BC9" w:rsidRPr="005745E4" w:rsidRDefault="00982BC9" w:rsidP="00982BC9">
      <w:pPr>
        <w:spacing w:after="0" w:line="240" w:lineRule="auto"/>
        <w:ind w:left="709" w:right="709"/>
        <w:jc w:val="both"/>
        <w:rPr>
          <w:rFonts w:ascii="Verdana" w:eastAsia="Calibri" w:hAnsi="Verdana" w:cs="Arial"/>
          <w:sz w:val="20"/>
          <w:szCs w:val="20"/>
          <w:lang w:val="es-ES"/>
        </w:rPr>
      </w:pPr>
      <w:r w:rsidRPr="005745E4">
        <w:rPr>
          <w:rFonts w:ascii="Verdana" w:eastAsia="Calibri" w:hAnsi="Verdana" w:cs="Arial"/>
          <w:sz w:val="20"/>
          <w:szCs w:val="20"/>
          <w:lang w:val="es-ES"/>
        </w:rPr>
        <w:t>[…]”.</w:t>
      </w:r>
    </w:p>
    <w:p w14:paraId="5E4DF543" w14:textId="77777777" w:rsidR="00982BC9" w:rsidRPr="005745E4" w:rsidRDefault="00982BC9" w:rsidP="00982BC9">
      <w:pPr>
        <w:spacing w:after="0" w:line="276" w:lineRule="auto"/>
        <w:jc w:val="both"/>
        <w:rPr>
          <w:rFonts w:ascii="Verdana" w:eastAsia="Calibri" w:hAnsi="Verdana" w:cs="Arial"/>
          <w:lang w:val="es-ES"/>
        </w:rPr>
      </w:pPr>
    </w:p>
    <w:p w14:paraId="6FC702B3" w14:textId="77777777" w:rsidR="00982BC9" w:rsidRPr="005745E4" w:rsidRDefault="00982BC9" w:rsidP="00982BC9">
      <w:pPr>
        <w:spacing w:after="0" w:line="276" w:lineRule="auto"/>
        <w:jc w:val="both"/>
        <w:rPr>
          <w:rFonts w:ascii="Verdana" w:eastAsia="Calibri" w:hAnsi="Verdana" w:cs="Arial"/>
          <w:lang w:val="es-ES"/>
        </w:rPr>
      </w:pPr>
      <w:r w:rsidRPr="005745E4">
        <w:rPr>
          <w:rFonts w:ascii="Verdana" w:eastAsia="Calibri" w:hAnsi="Verdana" w:cs="Arial"/>
          <w:lang w:val="es-ES"/>
        </w:rPr>
        <w:tab/>
        <w:t>Así pues, los supuestos señalados en el numeral 1.11 e incluso la causal de rechazo del referido literal H del numeral 1.15, pretenden que las Entidades Estatales que, en el marco de la aplicación de los Documentos Tipo de licitación de obra pública de infraestructura de transporte – Versión 4, corroboren la veracidad de la información suministrada por el proponente para evitar vicios en la adjudicación y en el contrato. Así, durante el plazo de evaluación de las ofertas, las entidades contratantes tienen el deber de corroborar la veracidad de la información que se allegue con las propuestas, bien sea mediante solicitud de aclaraciones al mismo oferente o mediante la constatación con fuentes externas, pues de ello depende no solamente la correcta escogencia del contratista y la forma más idónea de ejecución del contrato, sino también, la validez misma de la decisión de adjudicación, y por ende, del contrato celebrado.</w:t>
      </w:r>
    </w:p>
    <w:p w14:paraId="40BF746E" w14:textId="77777777" w:rsidR="00982BC9" w:rsidRPr="005745E4" w:rsidRDefault="00982BC9" w:rsidP="00982BC9">
      <w:pPr>
        <w:spacing w:before="120" w:after="0" w:line="276" w:lineRule="auto"/>
        <w:jc w:val="both"/>
        <w:rPr>
          <w:rFonts w:ascii="Verdana" w:eastAsia="Calibri" w:hAnsi="Verdana" w:cs="Arial"/>
          <w:lang w:val="es-ES"/>
        </w:rPr>
      </w:pPr>
      <w:r w:rsidRPr="005745E4">
        <w:rPr>
          <w:rFonts w:ascii="Verdana" w:eastAsia="Calibri" w:hAnsi="Verdana" w:cs="Arial"/>
          <w:lang w:val="es-ES"/>
        </w:rPr>
        <w:tab/>
        <w:t>En ese orden, dicha verificación resultará decisiva para la correcta evaluación de las ofertas. Por lo que, en caso de que la Entidad Estatal encuentre inconsistencias al momento de revisar la información aportada por el proponente, esta deberá revisarlas observando las reglas dispuestas en el numeral 1.11 del “Documento Base” del referido Documento Tipo, así como adoptar las medidas que se indican en el mismo.</w:t>
      </w:r>
    </w:p>
    <w:p w14:paraId="0BE26CEA" w14:textId="77777777" w:rsidR="00982BC9" w:rsidRPr="005745E4" w:rsidRDefault="00982BC9" w:rsidP="00982BC9">
      <w:pPr>
        <w:widowControl w:val="0"/>
        <w:autoSpaceDE w:val="0"/>
        <w:autoSpaceDN w:val="0"/>
        <w:spacing w:before="120" w:after="120" w:line="276" w:lineRule="auto"/>
        <w:ind w:firstLine="709"/>
        <w:jc w:val="both"/>
        <w:rPr>
          <w:rFonts w:ascii="Verdana" w:eastAsia="Calibri" w:hAnsi="Verdana" w:cs="Arial"/>
        </w:rPr>
      </w:pPr>
      <w:r w:rsidRPr="005745E4">
        <w:rPr>
          <w:rFonts w:ascii="Verdana" w:eastAsia="Calibri" w:hAnsi="Verdana" w:cs="Arial"/>
          <w:iCs/>
        </w:rPr>
        <w:t xml:space="preserve">Al margen de lo anterior, debe advertirse </w:t>
      </w:r>
      <w:r w:rsidRPr="005745E4">
        <w:rPr>
          <w:rFonts w:ascii="Verdana" w:eastAsia="Calibri" w:hAnsi="Verdana" w:cs="Arial"/>
        </w:rPr>
        <w:t xml:space="preserve">que el análisis sobre situaciones derivadas de la gestión contractual de las Entidades Estatales debe ser realizado por quienes tengan interés en ello, 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  </w:t>
      </w:r>
    </w:p>
    <w:p w14:paraId="08791564" w14:textId="77777777" w:rsidR="00982BC9" w:rsidRPr="005745E4" w:rsidRDefault="00982BC9" w:rsidP="00982BC9">
      <w:pPr>
        <w:widowControl w:val="0"/>
        <w:autoSpaceDE w:val="0"/>
        <w:autoSpaceDN w:val="0"/>
        <w:spacing w:after="120" w:line="276" w:lineRule="auto"/>
        <w:ind w:firstLine="708"/>
        <w:jc w:val="both"/>
        <w:rPr>
          <w:rFonts w:ascii="Verdana" w:eastAsia="Calibri" w:hAnsi="Verdana" w:cs="Arial"/>
        </w:rPr>
      </w:pPr>
      <w:r w:rsidRPr="005745E4">
        <w:rPr>
          <w:rFonts w:ascii="Verdana" w:eastAsia="Calibri" w:hAnsi="Verdana" w:cs="Arial"/>
        </w:rPr>
        <w:t xml:space="preserve">Dentro de este marco, la entidad contratante definirá en cada caso </w:t>
      </w:r>
      <w:r w:rsidRPr="005745E4">
        <w:rPr>
          <w:rFonts w:ascii="Verdana" w:eastAsia="Calibri" w:hAnsi="Verdana" w:cs="Arial"/>
        </w:rPr>
        <w:lastRenderedPageBreak/>
        <w:t>concreto lo relacionado con el tema objeto de consulta. Al tratarse de un análisis que debe realizarse en el procedimiento contractual específico, la Agencia sólo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283662A3" w14:textId="77777777" w:rsidR="00982BC9" w:rsidRPr="005745E4" w:rsidRDefault="00982BC9" w:rsidP="00982BC9">
      <w:pPr>
        <w:spacing w:after="0" w:line="276" w:lineRule="auto"/>
        <w:jc w:val="both"/>
        <w:rPr>
          <w:rFonts w:ascii="Verdana" w:eastAsia="Calibri" w:hAnsi="Verdana" w:cs="Arial"/>
          <w:lang w:val="es-ES" w:eastAsia="es-CO"/>
        </w:rPr>
      </w:pPr>
    </w:p>
    <w:p w14:paraId="4972E1BA" w14:textId="77777777" w:rsidR="00982BC9" w:rsidRPr="005745E4" w:rsidRDefault="00982BC9" w:rsidP="00982BC9">
      <w:pPr>
        <w:widowControl w:val="0"/>
        <w:autoSpaceDE w:val="0"/>
        <w:autoSpaceDN w:val="0"/>
        <w:spacing w:before="1" w:after="0" w:line="240" w:lineRule="auto"/>
        <w:outlineLvl w:val="0"/>
        <w:rPr>
          <w:rFonts w:ascii="Verdana" w:eastAsia="Arial" w:hAnsi="Verdana" w:cs="Arial"/>
          <w:b/>
          <w:bCs/>
          <w:lang w:val="es-ES"/>
        </w:rPr>
      </w:pPr>
      <w:r w:rsidRPr="005745E4">
        <w:rPr>
          <w:rFonts w:ascii="Verdana" w:eastAsia="Arial" w:hAnsi="Verdana" w:cs="Arial"/>
          <w:b/>
          <w:bCs/>
          <w:lang w:val="es-ES"/>
        </w:rPr>
        <w:t>4.Referencias normativas, jurisprudenciales y otras fuentes:</w:t>
      </w:r>
    </w:p>
    <w:p w14:paraId="574A8698" w14:textId="77777777" w:rsidR="00982BC9" w:rsidRPr="005745E4" w:rsidRDefault="00982BC9" w:rsidP="00982BC9">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982BC9" w:rsidRPr="005745E4" w14:paraId="17AAB8CB" w14:textId="77777777" w:rsidTr="00171DEA">
        <w:trPr>
          <w:trHeight w:val="870"/>
        </w:trPr>
        <w:tc>
          <w:tcPr>
            <w:tcW w:w="8647" w:type="dxa"/>
          </w:tcPr>
          <w:p w14:paraId="611A4FE1" w14:textId="77777777" w:rsidR="00982BC9" w:rsidRPr="005745E4" w:rsidRDefault="00982BC9" w:rsidP="00982BC9">
            <w:pPr>
              <w:numPr>
                <w:ilvl w:val="0"/>
                <w:numId w:val="1"/>
              </w:numPr>
              <w:spacing w:line="278" w:lineRule="auto"/>
              <w:contextualSpacing/>
              <w:jc w:val="both"/>
              <w:rPr>
                <w:rFonts w:ascii="Verdana" w:eastAsia="Aptos" w:hAnsi="Verdana" w:cs="Arial"/>
              </w:rPr>
            </w:pPr>
            <w:r w:rsidRPr="005745E4">
              <w:rPr>
                <w:rFonts w:ascii="Verdana" w:eastAsia="Aptos" w:hAnsi="Verdana" w:cs="Arial"/>
              </w:rPr>
              <w:t>Ley 1150 de 2007. Artículo 5, numeral 2, litera a) y b). Artículo 5, numeral 3.</w:t>
            </w:r>
          </w:p>
          <w:p w14:paraId="497762B3" w14:textId="77777777" w:rsidR="00982BC9" w:rsidRPr="005745E4" w:rsidRDefault="00982BC9" w:rsidP="00982BC9">
            <w:pPr>
              <w:numPr>
                <w:ilvl w:val="0"/>
                <w:numId w:val="1"/>
              </w:numPr>
              <w:spacing w:line="278" w:lineRule="auto"/>
              <w:contextualSpacing/>
              <w:jc w:val="both"/>
              <w:rPr>
                <w:rFonts w:ascii="Verdana" w:eastAsia="Aptos" w:hAnsi="Verdana" w:cs="Arial"/>
              </w:rPr>
            </w:pPr>
            <w:r w:rsidRPr="005745E4">
              <w:rPr>
                <w:rFonts w:ascii="Verdana" w:eastAsia="Aptos" w:hAnsi="Verdana" w:cs="Arial"/>
              </w:rPr>
              <w:t>Ley 1474 de 2011. Artículo 88</w:t>
            </w:r>
          </w:p>
          <w:p w14:paraId="04123F74" w14:textId="77777777" w:rsidR="00982BC9" w:rsidRPr="005745E4" w:rsidRDefault="00982BC9" w:rsidP="00982BC9">
            <w:pPr>
              <w:numPr>
                <w:ilvl w:val="0"/>
                <w:numId w:val="1"/>
              </w:numPr>
              <w:spacing w:line="278" w:lineRule="auto"/>
              <w:contextualSpacing/>
              <w:jc w:val="both"/>
              <w:rPr>
                <w:rFonts w:ascii="Verdana" w:eastAsia="Aptos" w:hAnsi="Verdana" w:cs="Arial"/>
              </w:rPr>
            </w:pPr>
            <w:r w:rsidRPr="005745E4">
              <w:rPr>
                <w:rFonts w:ascii="Verdana" w:eastAsia="Aptos" w:hAnsi="Verdana" w:cs="Arial"/>
              </w:rPr>
              <w:t>Ley 1882 de 2018. Artículo 5</w:t>
            </w:r>
          </w:p>
          <w:p w14:paraId="4B18F120" w14:textId="77777777" w:rsidR="00982BC9" w:rsidRPr="005745E4" w:rsidRDefault="00982BC9" w:rsidP="00982BC9">
            <w:pPr>
              <w:numPr>
                <w:ilvl w:val="0"/>
                <w:numId w:val="1"/>
              </w:numPr>
              <w:spacing w:line="278" w:lineRule="auto"/>
              <w:contextualSpacing/>
              <w:jc w:val="both"/>
              <w:rPr>
                <w:rFonts w:ascii="Verdana" w:eastAsia="Aptos" w:hAnsi="Verdana" w:cs="Arial"/>
              </w:rPr>
            </w:pPr>
            <w:r w:rsidRPr="005745E4">
              <w:rPr>
                <w:rFonts w:ascii="Verdana" w:eastAsia="Arial" w:hAnsi="Verdana" w:cs="Arial"/>
              </w:rPr>
              <w:t xml:space="preserve">Agencia Nacional de Contratación Pública – Colombia Compra Eficiente. Documentos Tipo de licitación de infraestructura de transporte – Versión 4. Disponible </w:t>
            </w:r>
            <w:hyperlink r:id="rId12" w:history="1">
              <w:r w:rsidRPr="005745E4">
                <w:rPr>
                  <w:rFonts w:ascii="Verdana" w:eastAsia="Arial" w:hAnsi="Verdana" w:cs="Arial"/>
                  <w:color w:val="0000FF"/>
                  <w:u w:val="single"/>
                </w:rPr>
                <w:t>aquí</w:t>
              </w:r>
            </w:hyperlink>
          </w:p>
          <w:p w14:paraId="16E72401" w14:textId="77777777" w:rsidR="00982BC9" w:rsidRPr="005745E4" w:rsidRDefault="00982BC9" w:rsidP="00982BC9">
            <w:pPr>
              <w:numPr>
                <w:ilvl w:val="0"/>
                <w:numId w:val="1"/>
              </w:numPr>
              <w:spacing w:line="278" w:lineRule="auto"/>
              <w:contextualSpacing/>
              <w:jc w:val="both"/>
              <w:rPr>
                <w:rFonts w:ascii="Verdana" w:eastAsia="Aptos" w:hAnsi="Verdana" w:cs="Arial"/>
              </w:rPr>
            </w:pPr>
            <w:r w:rsidRPr="005745E4">
              <w:rPr>
                <w:rFonts w:ascii="Verdana" w:eastAsia="Arial" w:hAnsi="Verdana" w:cs="Arial"/>
              </w:rPr>
              <w:t xml:space="preserve">Agencia Nacional de Contratación Pública – Colombia Compra Eficiente </w:t>
            </w:r>
            <w:r w:rsidRPr="005745E4">
              <w:rPr>
                <w:rFonts w:ascii="Verdana" w:eastAsia="Arial" w:hAnsi="Verdana" w:cs="Arial"/>
                <w:lang w:eastAsia="es-ES" w:bidi="es-ES"/>
              </w:rPr>
              <w:t xml:space="preserve">Manual para determinar y verificar los requisitos habilitantes en los procesos de contratación. Disponible </w:t>
            </w:r>
            <w:hyperlink r:id="rId13" w:history="1">
              <w:r w:rsidRPr="005745E4">
                <w:rPr>
                  <w:rFonts w:ascii="Verdana" w:eastAsia="Arial" w:hAnsi="Verdana" w:cs="Arial"/>
                  <w:color w:val="0000FF"/>
                  <w:u w:val="single"/>
                  <w:lang w:eastAsia="es-ES" w:bidi="es-ES"/>
                </w:rPr>
                <w:t>aquí</w:t>
              </w:r>
            </w:hyperlink>
          </w:p>
          <w:p w14:paraId="3C5D09DD" w14:textId="77777777" w:rsidR="00982BC9" w:rsidRPr="005745E4" w:rsidRDefault="00982BC9" w:rsidP="00982BC9">
            <w:pPr>
              <w:numPr>
                <w:ilvl w:val="0"/>
                <w:numId w:val="1"/>
              </w:numPr>
              <w:spacing w:line="278" w:lineRule="auto"/>
              <w:contextualSpacing/>
              <w:jc w:val="both"/>
              <w:rPr>
                <w:rFonts w:ascii="Verdana" w:eastAsia="Aptos" w:hAnsi="Verdana" w:cs="Arial"/>
              </w:rPr>
            </w:pPr>
            <w:r w:rsidRPr="005745E4">
              <w:rPr>
                <w:rFonts w:ascii="Verdana" w:eastAsia="Aptos" w:hAnsi="Verdana" w:cs="Arial"/>
              </w:rPr>
              <w:t>RODRÍGUEZ TAMAYO, Mauricio F. Evaluación y rechazo de ofertas en la Ley 80 de 1993. Primera edición. Medellín: Librería Jurídica Sánchez, 2016. pp. 110-111.</w:t>
            </w:r>
          </w:p>
          <w:p w14:paraId="58503269" w14:textId="77777777" w:rsidR="00982BC9" w:rsidRPr="005745E4" w:rsidRDefault="00982BC9" w:rsidP="00982BC9">
            <w:pPr>
              <w:numPr>
                <w:ilvl w:val="0"/>
                <w:numId w:val="1"/>
              </w:numPr>
              <w:spacing w:line="278" w:lineRule="auto"/>
              <w:contextualSpacing/>
              <w:jc w:val="both"/>
              <w:rPr>
                <w:rFonts w:ascii="Verdana" w:eastAsia="Aptos" w:hAnsi="Verdana" w:cs="Arial"/>
              </w:rPr>
            </w:pPr>
            <w:r w:rsidRPr="005745E4">
              <w:rPr>
                <w:rFonts w:ascii="Verdana" w:eastAsia="Aptos" w:hAnsi="Verdana" w:cs="Arial"/>
              </w:rPr>
              <w:t>EXPÓSITO VELEZ, Juan C., El deber de selección objetiva, en: Del contrato estatal a los sistemas de compras públicas, por COVILLA MARTINEZ Juan C. y LOZANO VILLEGAS Germán (Eds.). Universidad Externado de Colombia, Bogotá, 2019. págs. 118-184.</w:t>
            </w:r>
          </w:p>
        </w:tc>
      </w:tr>
    </w:tbl>
    <w:p w14:paraId="0B8004A3" w14:textId="77777777" w:rsidR="00982BC9" w:rsidRPr="005745E4" w:rsidRDefault="00982BC9" w:rsidP="00982BC9">
      <w:pPr>
        <w:widowControl w:val="0"/>
        <w:autoSpaceDE w:val="0"/>
        <w:autoSpaceDN w:val="0"/>
        <w:spacing w:after="0" w:line="276" w:lineRule="auto"/>
        <w:jc w:val="both"/>
        <w:rPr>
          <w:rFonts w:ascii="Verdana" w:eastAsia="Aptos" w:hAnsi="Verdana" w:cs="Arial"/>
        </w:rPr>
      </w:pPr>
    </w:p>
    <w:p w14:paraId="493EA03B" w14:textId="77777777" w:rsidR="00982BC9" w:rsidRPr="005745E4" w:rsidRDefault="00982BC9" w:rsidP="00982BC9">
      <w:pPr>
        <w:widowControl w:val="0"/>
        <w:autoSpaceDE w:val="0"/>
        <w:autoSpaceDN w:val="0"/>
        <w:spacing w:before="1" w:after="0" w:line="276" w:lineRule="auto"/>
        <w:outlineLvl w:val="0"/>
        <w:rPr>
          <w:rFonts w:ascii="Verdana" w:eastAsia="Arial" w:hAnsi="Verdana" w:cs="Arial"/>
          <w:b/>
          <w:bCs/>
          <w:lang w:val="es-ES"/>
        </w:rPr>
      </w:pPr>
      <w:r w:rsidRPr="005745E4">
        <w:rPr>
          <w:rFonts w:ascii="Verdana" w:eastAsia="Arial" w:hAnsi="Verdana" w:cs="Arial"/>
          <w:b/>
          <w:bCs/>
          <w:lang w:val="es-ES"/>
        </w:rPr>
        <w:t>5. Doctrina de la Agencia Nacional de Contratación Pública:</w:t>
      </w:r>
    </w:p>
    <w:p w14:paraId="0295C80F" w14:textId="77777777" w:rsidR="00982BC9" w:rsidRPr="005745E4" w:rsidRDefault="00982BC9" w:rsidP="00982BC9">
      <w:pPr>
        <w:widowControl w:val="0"/>
        <w:autoSpaceDE w:val="0"/>
        <w:autoSpaceDN w:val="0"/>
        <w:spacing w:after="0" w:line="276" w:lineRule="auto"/>
        <w:jc w:val="both"/>
        <w:rPr>
          <w:rFonts w:ascii="Verdana" w:eastAsia="Aptos" w:hAnsi="Verdana" w:cs="Arial"/>
        </w:rPr>
      </w:pPr>
    </w:p>
    <w:p w14:paraId="4728AC02" w14:textId="77777777" w:rsidR="00982BC9" w:rsidRPr="005745E4" w:rsidRDefault="00982BC9" w:rsidP="00982BC9">
      <w:pPr>
        <w:widowControl w:val="0"/>
        <w:autoSpaceDE w:val="0"/>
        <w:autoSpaceDN w:val="0"/>
        <w:spacing w:after="0" w:line="276" w:lineRule="auto"/>
        <w:jc w:val="both"/>
        <w:rPr>
          <w:rFonts w:ascii="Verdana" w:eastAsia="Aptos" w:hAnsi="Verdana" w:cs="Arial"/>
          <w:shd w:val="clear" w:color="auto" w:fill="FFFFFF"/>
          <w:lang w:val="es-ES"/>
        </w:rPr>
      </w:pPr>
      <w:r w:rsidRPr="005745E4">
        <w:rPr>
          <w:rFonts w:ascii="Verdana" w:eastAsia="Aptos" w:hAnsi="Verdana" w:cs="Arial"/>
          <w:shd w:val="clear" w:color="auto" w:fill="FFFFFF"/>
          <w:lang w:val="es-ES"/>
        </w:rPr>
        <w:t xml:space="preserve">Esta Subdirección se ha pronunciado sobre sobre el fundamento normativo de los documentos tipo en la contratación estatal, en los siguientes conceptos: C-591 del 31 de agosto de 2021, C-493 del 13 de septiembre de 2021, C-569 del 12 de octubre de 2021, C-599 del 26 de octubre de 2021, C-643 del 17 de noviembre de 2021 y C-356 del 6 de julio de 2022, C-654 del 7 de octubre de 2022, C-874 del 22 de diciembre de 2022, C-909 del 5 de enero de 2023, C-945 </w:t>
      </w:r>
      <w:r w:rsidRPr="005745E4">
        <w:rPr>
          <w:rFonts w:ascii="Verdana" w:eastAsia="Aptos" w:hAnsi="Verdana" w:cs="Arial"/>
          <w:shd w:val="clear" w:color="auto" w:fill="FFFFFF"/>
          <w:lang w:val="es-ES"/>
        </w:rPr>
        <w:lastRenderedPageBreak/>
        <w:t xml:space="preserve">del 17 de febrero de 2023, C-042 del 29 de marzo de 2023, C-051 del 28 de abril de 2023, C-299 del 24 de julio de 2023 y C-290 del 28 de julio de 2023, C-753 del 2 de diciembre de 2024, C-637 del 20 de junio de 2025, C-656 del 04 de julio de 2025, entre otros. </w:t>
      </w:r>
      <w:r w:rsidRPr="005745E4">
        <w:rPr>
          <w:rFonts w:ascii="Verdana" w:eastAsia="Calibri" w:hAnsi="Verdana" w:cs="Arial"/>
          <w:bCs/>
          <w:shd w:val="clear" w:color="auto" w:fill="FFFFFF"/>
          <w:lang w:val="es-ES"/>
        </w:rPr>
        <w:t xml:space="preserve">En tal sentido, recoge los conceptos expuestos, sin perjuicio de otras consideraciones. </w:t>
      </w:r>
      <w:r w:rsidRPr="005745E4">
        <w:rPr>
          <w:rFonts w:ascii="Verdana" w:eastAsia="Aptos" w:hAnsi="Verdana" w:cs="Arial"/>
          <w:shd w:val="clear" w:color="auto" w:fill="FFFFFF"/>
          <w:lang w:val="es-ES"/>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4" w:history="1">
        <w:r w:rsidRPr="005745E4">
          <w:rPr>
            <w:rFonts w:ascii="Verdana" w:eastAsia="Aptos" w:hAnsi="Verdana" w:cs="Arial"/>
            <w:u w:val="single"/>
            <w:shd w:val="clear" w:color="auto" w:fill="FFFFFF"/>
            <w:lang w:val="es-ES"/>
          </w:rPr>
          <w:t>https://relatoria.colombiacompra.gov.co/</w:t>
        </w:r>
      </w:hyperlink>
      <w:r w:rsidRPr="005745E4">
        <w:rPr>
          <w:rFonts w:ascii="Verdana" w:eastAsia="Aptos" w:hAnsi="Verdana" w:cs="Arial"/>
          <w:shd w:val="clear" w:color="auto" w:fill="FFFFFF"/>
          <w:lang w:val="es-ES"/>
        </w:rPr>
        <w:t xml:space="preserve">. </w:t>
      </w:r>
    </w:p>
    <w:p w14:paraId="7E5BAA48" w14:textId="77777777" w:rsidR="00982BC9" w:rsidRPr="005745E4" w:rsidRDefault="00982BC9" w:rsidP="00982BC9">
      <w:pPr>
        <w:spacing w:before="120" w:after="120" w:line="276" w:lineRule="auto"/>
        <w:ind w:firstLine="709"/>
        <w:jc w:val="both"/>
        <w:rPr>
          <w:rFonts w:ascii="Verdana" w:eastAsia="Aptos" w:hAnsi="Verdana" w:cs="Times New Roman"/>
        </w:rPr>
      </w:pPr>
      <w:r w:rsidRPr="005745E4">
        <w:rPr>
          <w:rFonts w:ascii="Verdana" w:eastAsia="Aptos" w:hAnsi="Verdana" w:cs="Times New Roman"/>
        </w:rPr>
        <w:t xml:space="preserve">La sostenibilidad no es una opción, es una obligación. Por ello, la Agencia Nacional de Contratación Pública –Colombia Compra Eficiente– te invita a realizar el </w:t>
      </w:r>
      <w:r w:rsidRPr="005745E4">
        <w:rPr>
          <w:rFonts w:ascii="Verdana" w:eastAsia="Aptos" w:hAnsi="Verdana" w:cs="Times New Roman"/>
          <w:b/>
          <w:bCs/>
        </w:rPr>
        <w:t>Curso de Contratación Pública Sostenible y Socialmente Responsable</w:t>
      </w:r>
      <w:r w:rsidRPr="005745E4">
        <w:rPr>
          <w:rFonts w:ascii="Verdana" w:eastAsia="Aptos" w:hAnsi="Verdana" w:cs="Times New Roman"/>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5745E4">
        <w:rPr>
          <w:rFonts w:ascii="Verdana" w:eastAsia="Aptos" w:hAnsi="Verdana" w:cs="Times New Roman"/>
        </w:rPr>
        <w:br/>
      </w:r>
      <w:hyperlink r:id="rId15" w:tgtFrame="_new" w:history="1">
        <w:r w:rsidRPr="005745E4">
          <w:rPr>
            <w:rFonts w:ascii="Verdana" w:eastAsia="Aptos" w:hAnsi="Verdana" w:cs="Times New Roman"/>
            <w:u w:val="single"/>
          </w:rPr>
          <w:t>https://formacionvirtual.colombiacompra.gov.co/mod/page/view.php?id=3718</w:t>
        </w:r>
      </w:hyperlink>
    </w:p>
    <w:p w14:paraId="1DA09008" w14:textId="77777777" w:rsidR="00982BC9" w:rsidRPr="005745E4" w:rsidRDefault="00982BC9" w:rsidP="00982BC9">
      <w:pPr>
        <w:spacing w:line="276" w:lineRule="auto"/>
        <w:ind w:firstLine="708"/>
        <w:jc w:val="both"/>
        <w:rPr>
          <w:rFonts w:ascii="Verdana" w:eastAsia="Aptos" w:hAnsi="Verdana" w:cs="Times New Roman"/>
        </w:rPr>
      </w:pPr>
      <w:r w:rsidRPr="005745E4">
        <w:rPr>
          <w:rFonts w:ascii="Verdana" w:eastAsia="Aptos" w:hAnsi="Verdana" w:cs="Times New Roman"/>
        </w:rPr>
        <w:t xml:space="preserve">De otro lado, te contamos que esta Agencia ha da un paso decisivo en la estandarización y modernización del </w:t>
      </w:r>
      <w:r w:rsidRPr="005745E4">
        <w:rPr>
          <w:rFonts w:ascii="Verdana" w:eastAsia="Aptos" w:hAnsi="Verdana" w:cs="Times New Roman"/>
          <w:b/>
          <w:bCs/>
        </w:rPr>
        <w:t>sector  social</w:t>
      </w:r>
      <w:r w:rsidRPr="005745E4">
        <w:rPr>
          <w:rFonts w:ascii="Verdana" w:eastAsia="Aptos" w:hAnsi="Verdana" w:cs="Times New Roman"/>
        </w:rPr>
        <w:t xml:space="preserve"> con la expedición de las </w:t>
      </w:r>
      <w:r w:rsidRPr="005745E4">
        <w:rPr>
          <w:rFonts w:ascii="Verdana" w:eastAsia="Aptos" w:hAnsi="Verdana" w:cs="Times New Roman"/>
          <w:b/>
          <w:bCs/>
        </w:rPr>
        <w:t>Resoluciones 539, 540, 541, 952 y 953 de 2025</w:t>
      </w:r>
      <w:r w:rsidRPr="005745E4">
        <w:rPr>
          <w:rFonts w:ascii="Verdana" w:eastAsia="Aptos" w:hAnsi="Verdana" w:cs="Times New Roman"/>
        </w:rPr>
        <w:t xml:space="preserve">, </w:t>
      </w:r>
      <w:r w:rsidRPr="005745E4">
        <w:rPr>
          <w:rFonts w:ascii="Verdana" w:eastAsia="Aptos" w:hAnsi="Verdana" w:cs="Times New Roman"/>
          <w:b/>
          <w:bCs/>
        </w:rPr>
        <w:t>mediante las cuales adoptó Documentos Tipo</w:t>
      </w:r>
      <w:r w:rsidRPr="005745E4">
        <w:rPr>
          <w:rFonts w:ascii="Verdana" w:eastAsia="Aptos" w:hAnsi="Verdana" w:cs="Times New Roman"/>
        </w:rPr>
        <w:t xml:space="preserve"> para las modalidades de selección de</w:t>
      </w:r>
      <w:r w:rsidRPr="005745E4">
        <w:rPr>
          <w:rFonts w:ascii="Verdana" w:eastAsia="Aptos" w:hAnsi="Verdana" w:cs="Times New Roman"/>
          <w:b/>
          <w:bCs/>
        </w:rPr>
        <w:t xml:space="preserve"> licitación pública (versión 2), selección abreviada de menor cuantía, mínima cuantía, consultoría e interventoría</w:t>
      </w:r>
      <w:r w:rsidRPr="005745E4">
        <w:rPr>
          <w:rFonts w:ascii="Verdana" w:eastAsia="Aptos"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6" w:tgtFrame="_new" w:history="1">
        <w:r w:rsidRPr="005745E4">
          <w:rPr>
            <w:rFonts w:ascii="Verdana" w:eastAsia="Aptos" w:hAnsi="Verdana" w:cs="Times New Roman"/>
            <w:u w:val="single"/>
          </w:rPr>
          <w:t>https://www.colombiacompra.gov.co/normativa-y-relatoria/documentos-tipo</w:t>
        </w:r>
      </w:hyperlink>
    </w:p>
    <w:p w14:paraId="33C250C2" w14:textId="77777777" w:rsidR="00982BC9" w:rsidRPr="005745E4" w:rsidRDefault="00982BC9" w:rsidP="00982BC9">
      <w:pPr>
        <w:spacing w:after="0" w:line="276" w:lineRule="auto"/>
        <w:ind w:firstLine="708"/>
        <w:jc w:val="both"/>
        <w:rPr>
          <w:rFonts w:ascii="Verdana" w:eastAsia="Aptos" w:hAnsi="Verdana" w:cs="Times New Roman"/>
        </w:rPr>
      </w:pPr>
      <w:r w:rsidRPr="005745E4">
        <w:rPr>
          <w:rFonts w:ascii="Verdana" w:eastAsia="Aptos" w:hAnsi="Verdana" w:cs="Times New Roman"/>
        </w:rPr>
        <w:t xml:space="preserve">Si quieres conocer más sobre la aplicación de Documentos Tipo puedes consultar la última versión de la </w:t>
      </w:r>
      <w:r w:rsidRPr="005745E4">
        <w:rPr>
          <w:rFonts w:ascii="Verdana" w:eastAsia="Aptos" w:hAnsi="Verdana" w:cs="Times New Roman"/>
          <w:b/>
          <w:bCs/>
        </w:rPr>
        <w:t>Guía para la comprensión e implementación de los Documentos Tipo de obra pública de infraestructura de transporte</w:t>
      </w:r>
      <w:r w:rsidRPr="005745E4">
        <w:rPr>
          <w:rFonts w:ascii="Verdana" w:eastAsia="Aptos" w:hAnsi="Verdana" w:cs="Times New Roman"/>
        </w:rPr>
        <w:t xml:space="preserve">. En esta actualización se incorporaron orientaciones prácticas dirigidas a entidades públicas, proveedores, organismos de control y demás interesados, con el propósito de facilitar la adecuada implementación de estos instrumentos en los procesos contractuales. Además </w:t>
      </w:r>
      <w:r w:rsidRPr="005745E4">
        <w:rPr>
          <w:rFonts w:ascii="Verdana" w:eastAsia="Aptos" w:hAnsi="Verdana" w:cs="Times New Roman"/>
        </w:rPr>
        <w:lastRenderedPageBreak/>
        <w:t>se incluyeron lineamientos que orientan la implementación de los criterios ambientales y sociales incluidos en los documentos tipo: Consulta la guía aquí:</w:t>
      </w:r>
      <w:r w:rsidRPr="005745E4">
        <w:rPr>
          <w:rFonts w:ascii="Verdana" w:eastAsia="Aptos" w:hAnsi="Verdana" w:cs="Times New Roman"/>
        </w:rPr>
        <w:br/>
      </w:r>
      <w:hyperlink r:id="rId17" w:tgtFrame="_new" w:history="1">
        <w:r w:rsidRPr="005745E4">
          <w:rPr>
            <w:rFonts w:ascii="Verdana" w:eastAsia="Aptos" w:hAnsi="Verdana" w:cs="Times New Roman"/>
            <w:u w:val="single"/>
          </w:rPr>
          <w:t>https://www.colombiacompra.gov.co/archivos/manual/guia-para-la-comprension-e-implementacion-de-los-documentos-tipo-de-obra-publica-de-infraestructura-de-transporte-bajo-las-diferentes-modalidades-de-contratacion-vigentes</w:t>
        </w:r>
      </w:hyperlink>
    </w:p>
    <w:p w14:paraId="40A0F1C0" w14:textId="77777777" w:rsidR="00982BC9" w:rsidRPr="005745E4" w:rsidRDefault="00982BC9" w:rsidP="00982BC9">
      <w:pPr>
        <w:spacing w:before="120" w:after="0" w:line="276" w:lineRule="auto"/>
        <w:ind w:firstLine="708"/>
        <w:jc w:val="both"/>
        <w:rPr>
          <w:rFonts w:ascii="Verdana" w:eastAsia="Aptos" w:hAnsi="Verdana" w:cs="Times New Roman"/>
        </w:rPr>
      </w:pPr>
      <w:r w:rsidRPr="005745E4">
        <w:rPr>
          <w:rFonts w:ascii="Verdana" w:eastAsia="Aptos" w:hAnsi="Verdana" w:cs="Times New Roman"/>
        </w:rPr>
        <w:t xml:space="preserve">Por último, lo invitamos a seguirnos en las redes sociales en las cuales se difunde información institucional: </w:t>
      </w:r>
    </w:p>
    <w:p w14:paraId="79673354" w14:textId="77777777" w:rsidR="00982BC9" w:rsidRPr="005745E4" w:rsidRDefault="00982BC9" w:rsidP="00982BC9">
      <w:pPr>
        <w:spacing w:after="0" w:line="276" w:lineRule="auto"/>
        <w:jc w:val="both"/>
        <w:rPr>
          <w:rFonts w:ascii="Verdana" w:eastAsia="Aptos" w:hAnsi="Verdana" w:cs="Times New Roman"/>
        </w:rPr>
      </w:pPr>
    </w:p>
    <w:p w14:paraId="072922E4" w14:textId="77777777" w:rsidR="00982BC9" w:rsidRPr="005745E4" w:rsidRDefault="00982BC9" w:rsidP="00982BC9">
      <w:pPr>
        <w:spacing w:after="0" w:line="276" w:lineRule="auto"/>
        <w:jc w:val="both"/>
        <w:rPr>
          <w:rFonts w:ascii="Verdana" w:eastAsia="Aptos" w:hAnsi="Verdana" w:cs="Times New Roman"/>
        </w:rPr>
      </w:pPr>
      <w:r w:rsidRPr="005745E4">
        <w:rPr>
          <w:rFonts w:ascii="Verdana" w:eastAsia="Aptos" w:hAnsi="Verdana" w:cs="Times New Roman"/>
        </w:rPr>
        <w:t xml:space="preserve">Twitter: </w:t>
      </w:r>
      <w:r w:rsidRPr="005745E4">
        <w:rPr>
          <w:rFonts w:ascii="Verdana" w:eastAsia="Aptos" w:hAnsi="Verdana" w:cs="Arial"/>
          <w:u w:val="single"/>
          <w:shd w:val="clear" w:color="auto" w:fill="FFFFFF"/>
          <w:lang w:val="es-ES"/>
        </w:rPr>
        <w:t>@colombiacompra</w:t>
      </w:r>
      <w:r w:rsidRPr="005745E4">
        <w:rPr>
          <w:rFonts w:ascii="Verdana" w:eastAsia="Aptos" w:hAnsi="Verdana" w:cs="Times New Roman"/>
        </w:rPr>
        <w:t xml:space="preserve"> </w:t>
      </w:r>
    </w:p>
    <w:p w14:paraId="502C4497" w14:textId="77777777" w:rsidR="00982BC9" w:rsidRPr="005745E4" w:rsidRDefault="00982BC9" w:rsidP="00982BC9">
      <w:pPr>
        <w:spacing w:after="0" w:line="276" w:lineRule="auto"/>
        <w:jc w:val="both"/>
        <w:rPr>
          <w:rFonts w:ascii="Verdana" w:eastAsia="Aptos" w:hAnsi="Verdana" w:cs="Times New Roman"/>
        </w:rPr>
      </w:pPr>
      <w:r w:rsidRPr="005745E4">
        <w:rPr>
          <w:rFonts w:ascii="Verdana" w:eastAsia="Aptos" w:hAnsi="Verdana" w:cs="Times New Roman"/>
        </w:rPr>
        <w:t xml:space="preserve">Facebook: </w:t>
      </w:r>
      <w:r w:rsidRPr="005745E4">
        <w:rPr>
          <w:rFonts w:ascii="Verdana" w:eastAsia="Aptos" w:hAnsi="Verdana" w:cs="Arial"/>
          <w:u w:val="single"/>
          <w:shd w:val="clear" w:color="auto" w:fill="FFFFFF"/>
          <w:lang w:val="es-ES"/>
        </w:rPr>
        <w:t>ColombiaCompraEficiente</w:t>
      </w:r>
    </w:p>
    <w:p w14:paraId="4D5044CC" w14:textId="77777777" w:rsidR="00982BC9" w:rsidRPr="005745E4" w:rsidRDefault="00982BC9" w:rsidP="00982BC9">
      <w:pPr>
        <w:spacing w:after="0" w:line="276" w:lineRule="auto"/>
        <w:jc w:val="both"/>
        <w:rPr>
          <w:rFonts w:ascii="Verdana" w:eastAsia="Aptos" w:hAnsi="Verdana" w:cs="Times New Roman"/>
        </w:rPr>
      </w:pPr>
      <w:r w:rsidRPr="005745E4">
        <w:rPr>
          <w:rFonts w:ascii="Verdana" w:eastAsia="Aptos" w:hAnsi="Verdana" w:cs="Times New Roman"/>
        </w:rPr>
        <w:t xml:space="preserve">LinkedIn: </w:t>
      </w:r>
      <w:r w:rsidRPr="005745E4">
        <w:rPr>
          <w:rFonts w:ascii="Verdana" w:eastAsia="Aptos" w:hAnsi="Verdana" w:cs="Arial"/>
          <w:u w:val="single"/>
          <w:shd w:val="clear" w:color="auto" w:fill="FFFFFF"/>
          <w:lang w:val="es-ES"/>
        </w:rPr>
        <w:t>Agencia Nacional de Contratación Pública - Colombia Compra Eficiente</w:t>
      </w:r>
      <w:r w:rsidRPr="005745E4">
        <w:rPr>
          <w:rFonts w:ascii="Verdana" w:eastAsia="Aptos" w:hAnsi="Verdana" w:cs="Times New Roman"/>
        </w:rPr>
        <w:t xml:space="preserve"> Instagram: </w:t>
      </w:r>
      <w:r w:rsidRPr="005745E4">
        <w:rPr>
          <w:rFonts w:ascii="Verdana" w:eastAsia="Aptos" w:hAnsi="Verdana" w:cs="Arial"/>
          <w:u w:val="single"/>
          <w:shd w:val="clear" w:color="auto" w:fill="FFFFFF"/>
          <w:lang w:val="es-ES"/>
        </w:rPr>
        <w:t>@colombiacompraeficiente_cce</w:t>
      </w:r>
    </w:p>
    <w:p w14:paraId="1B6C2E30" w14:textId="77777777" w:rsidR="00982BC9" w:rsidRPr="005745E4" w:rsidRDefault="00982BC9" w:rsidP="00982BC9">
      <w:pPr>
        <w:widowControl w:val="0"/>
        <w:autoSpaceDE w:val="0"/>
        <w:autoSpaceDN w:val="0"/>
        <w:spacing w:after="0" w:line="276" w:lineRule="auto"/>
        <w:jc w:val="both"/>
        <w:rPr>
          <w:rFonts w:ascii="Verdana" w:eastAsia="Aptos" w:hAnsi="Verdana" w:cs="Arial"/>
        </w:rPr>
      </w:pPr>
    </w:p>
    <w:p w14:paraId="2034A661" w14:textId="77777777" w:rsidR="00982BC9" w:rsidRPr="005745E4" w:rsidRDefault="00982BC9" w:rsidP="00982BC9">
      <w:pPr>
        <w:widowControl w:val="0"/>
        <w:autoSpaceDE w:val="0"/>
        <w:autoSpaceDN w:val="0"/>
        <w:spacing w:after="0" w:line="276" w:lineRule="auto"/>
        <w:jc w:val="both"/>
        <w:rPr>
          <w:rFonts w:ascii="Verdana" w:eastAsia="Aptos" w:hAnsi="Verdana" w:cs="Arial"/>
          <w:lang w:val="es-ES_tradnl"/>
        </w:rPr>
      </w:pPr>
      <w:r w:rsidRPr="005745E4">
        <w:rPr>
          <w:rFonts w:ascii="Verdana" w:eastAsia="Aptos" w:hAnsi="Verdana" w:cs="Arial"/>
        </w:rPr>
        <w:t xml:space="preserve">Este concepto tiene el alcance previsto en el artículo 28 del Código de Procedimiento Administrativo y de lo Contencioso Administrativo </w:t>
      </w:r>
      <w:r w:rsidRPr="005745E4">
        <w:rPr>
          <w:rFonts w:ascii="Verdana" w:eastAsia="Aptos" w:hAnsi="Verdana" w:cs="Arial"/>
          <w:lang w:val="es-ES_tradnl"/>
        </w:rPr>
        <w:t>y las expresiones aquí utilizadas con mayúscula inicial deben ser entendidas con el significado que les otorga el artículo 2.2.1.1.1.3.1. del Decreto 1082 de 2015.</w:t>
      </w:r>
    </w:p>
    <w:p w14:paraId="1EDFA0E5" w14:textId="77777777" w:rsidR="00982BC9" w:rsidRPr="005745E4" w:rsidRDefault="00982BC9" w:rsidP="00982BC9">
      <w:pPr>
        <w:widowControl w:val="0"/>
        <w:autoSpaceDE w:val="0"/>
        <w:autoSpaceDN w:val="0"/>
        <w:spacing w:after="0" w:line="276" w:lineRule="auto"/>
        <w:jc w:val="both"/>
        <w:rPr>
          <w:rFonts w:ascii="Verdana" w:eastAsia="Aptos" w:hAnsi="Verdana" w:cs="Arial"/>
        </w:rPr>
      </w:pPr>
    </w:p>
    <w:p w14:paraId="042C39E0" w14:textId="77777777" w:rsidR="00982BC9" w:rsidRPr="005745E4" w:rsidRDefault="00982BC9" w:rsidP="00982BC9">
      <w:pPr>
        <w:spacing w:after="0" w:line="276" w:lineRule="auto"/>
        <w:rPr>
          <w:rFonts w:ascii="Verdana" w:eastAsia="Aptos" w:hAnsi="Verdana" w:cs="Arial"/>
          <w:lang w:eastAsia="es-CO"/>
        </w:rPr>
      </w:pPr>
      <w:r w:rsidRPr="005745E4">
        <w:rPr>
          <w:rFonts w:ascii="Verdana" w:eastAsia="Times New Roman" w:hAnsi="Verdana" w:cs="Arial"/>
          <w:lang w:eastAsia="es-CO"/>
        </w:rPr>
        <w:t>Atentamente,</w:t>
      </w:r>
      <w:r w:rsidRPr="005745E4">
        <w:rPr>
          <w:rFonts w:ascii="Verdana" w:eastAsia="Aptos" w:hAnsi="Verdana" w:cs="Arial"/>
          <w:lang w:eastAsia="es-CO"/>
        </w:rPr>
        <w:t xml:space="preserve"> </w:t>
      </w:r>
    </w:p>
    <w:p w14:paraId="2FB50132" w14:textId="77777777" w:rsidR="00982BC9" w:rsidRPr="005745E4" w:rsidRDefault="00982BC9" w:rsidP="00982BC9">
      <w:pPr>
        <w:spacing w:after="0" w:line="276" w:lineRule="auto"/>
        <w:jc w:val="center"/>
        <w:rPr>
          <w:rFonts w:ascii="Verdana" w:eastAsia="Aptos" w:hAnsi="Verdana" w:cs="Arial"/>
          <w:lang w:val="es-ES_tradnl" w:eastAsia="es-CO"/>
        </w:rPr>
      </w:pPr>
    </w:p>
    <w:p w14:paraId="4DFBA531" w14:textId="3F203021" w:rsidR="00982BC9" w:rsidRPr="005745E4" w:rsidRDefault="007139E4" w:rsidP="00982BC9">
      <w:pPr>
        <w:spacing w:after="0" w:line="276" w:lineRule="auto"/>
        <w:jc w:val="center"/>
        <w:rPr>
          <w:rFonts w:ascii="Verdana" w:eastAsia="Aptos" w:hAnsi="Verdana" w:cs="Arial"/>
          <w:lang w:val="es-ES_tradnl" w:eastAsia="es-CO"/>
        </w:rPr>
      </w:pPr>
      <w:r>
        <w:rPr>
          <w:noProof/>
        </w:rPr>
        <w:drawing>
          <wp:inline distT="0" distB="0" distL="0" distR="0" wp14:anchorId="4399A1FC" wp14:editId="4E877F01">
            <wp:extent cx="3771900" cy="1409700"/>
            <wp:effectExtent l="0" t="0" r="0" b="0"/>
            <wp:docPr id="407141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1409700"/>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982BC9" w:rsidRPr="005745E4" w14:paraId="52B4F8A8" w14:textId="77777777" w:rsidTr="00171DEA">
        <w:trPr>
          <w:trHeight w:val="286"/>
        </w:trPr>
        <w:tc>
          <w:tcPr>
            <w:tcW w:w="901" w:type="dxa"/>
            <w:vAlign w:val="center"/>
            <w:hideMark/>
          </w:tcPr>
          <w:p w14:paraId="49FD3453" w14:textId="77777777" w:rsidR="00982BC9" w:rsidRPr="005745E4" w:rsidRDefault="00982BC9" w:rsidP="00171DEA">
            <w:pPr>
              <w:rPr>
                <w:rFonts w:ascii="Verdana" w:eastAsia="Aptos" w:hAnsi="Verdana" w:cs="Arial"/>
                <w:sz w:val="14"/>
                <w:szCs w:val="14"/>
                <w:lang w:eastAsia="es-ES"/>
              </w:rPr>
            </w:pPr>
            <w:r w:rsidRPr="005745E4">
              <w:rPr>
                <w:rFonts w:ascii="Verdana" w:eastAsia="Aptos"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11CD20BB" w14:textId="77777777" w:rsidR="00982BC9" w:rsidRPr="005745E4" w:rsidRDefault="00982BC9" w:rsidP="00171DEA">
            <w:pPr>
              <w:rPr>
                <w:rFonts w:ascii="Verdana" w:eastAsia="Aptos" w:hAnsi="Verdana" w:cs="Arial"/>
                <w:sz w:val="14"/>
                <w:szCs w:val="14"/>
                <w:lang w:eastAsia="es-ES"/>
              </w:rPr>
            </w:pPr>
            <w:r w:rsidRPr="005745E4">
              <w:rPr>
                <w:rFonts w:ascii="Verdana" w:eastAsia="Aptos" w:hAnsi="Verdana" w:cs="Arial"/>
                <w:sz w:val="14"/>
                <w:szCs w:val="14"/>
                <w:lang w:eastAsia="es-ES"/>
              </w:rPr>
              <w:t>Nasly Yeana Mosquera Rivas</w:t>
            </w:r>
          </w:p>
          <w:p w14:paraId="056D71D7" w14:textId="77777777" w:rsidR="00982BC9" w:rsidRPr="005745E4" w:rsidRDefault="00982BC9" w:rsidP="00171DEA">
            <w:pPr>
              <w:rPr>
                <w:rFonts w:ascii="Verdana" w:eastAsia="Aptos" w:hAnsi="Verdana" w:cs="Arial"/>
                <w:sz w:val="14"/>
                <w:szCs w:val="14"/>
                <w:lang w:eastAsia="es-ES"/>
              </w:rPr>
            </w:pPr>
            <w:r w:rsidRPr="005745E4">
              <w:rPr>
                <w:rFonts w:ascii="Verdana" w:eastAsia="Aptos" w:hAnsi="Verdana" w:cs="Arial"/>
                <w:sz w:val="14"/>
                <w:szCs w:val="14"/>
                <w:lang w:eastAsia="es-ES"/>
              </w:rPr>
              <w:t>Analista T2–06 de la Subdirección de Gestión Contractual</w:t>
            </w:r>
          </w:p>
        </w:tc>
      </w:tr>
      <w:tr w:rsidR="00982BC9" w:rsidRPr="005745E4" w14:paraId="51D80AB6" w14:textId="77777777" w:rsidTr="00171DEA">
        <w:trPr>
          <w:trHeight w:val="299"/>
        </w:trPr>
        <w:tc>
          <w:tcPr>
            <w:tcW w:w="901" w:type="dxa"/>
            <w:vAlign w:val="center"/>
          </w:tcPr>
          <w:p w14:paraId="03B41DAD" w14:textId="77777777" w:rsidR="00982BC9" w:rsidRPr="005745E4" w:rsidRDefault="00982BC9" w:rsidP="00171DEA">
            <w:pPr>
              <w:rPr>
                <w:rFonts w:ascii="Verdana" w:eastAsia="Aptos" w:hAnsi="Verdana" w:cs="Arial"/>
                <w:sz w:val="14"/>
                <w:szCs w:val="14"/>
                <w:lang w:eastAsia="es-ES"/>
              </w:rPr>
            </w:pPr>
            <w:r w:rsidRPr="005745E4">
              <w:rPr>
                <w:rFonts w:ascii="Verdana" w:eastAsia="Aptos"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2FE324C1" w14:textId="77777777" w:rsidR="00982BC9" w:rsidRPr="005745E4" w:rsidRDefault="00982BC9" w:rsidP="00171DEA">
            <w:pPr>
              <w:rPr>
                <w:rFonts w:ascii="Verdana" w:eastAsia="Aptos" w:hAnsi="Verdana" w:cs="Arial"/>
                <w:sz w:val="14"/>
                <w:szCs w:val="14"/>
                <w:lang w:eastAsia="es-ES"/>
              </w:rPr>
            </w:pPr>
            <w:r w:rsidRPr="005745E4">
              <w:rPr>
                <w:rFonts w:ascii="Verdana" w:eastAsia="Aptos" w:hAnsi="Verdana" w:cs="Arial"/>
                <w:sz w:val="14"/>
                <w:szCs w:val="14"/>
                <w:lang w:eastAsia="es-ES"/>
              </w:rPr>
              <w:t>Juan David Cárdenas Cabeza</w:t>
            </w:r>
          </w:p>
          <w:p w14:paraId="3805CEB7" w14:textId="77777777" w:rsidR="00982BC9" w:rsidRPr="005745E4" w:rsidRDefault="00982BC9" w:rsidP="00171DEA">
            <w:pPr>
              <w:rPr>
                <w:rFonts w:ascii="Verdana" w:eastAsia="Aptos" w:hAnsi="Verdana" w:cs="Arial"/>
                <w:sz w:val="14"/>
                <w:szCs w:val="14"/>
                <w:lang w:eastAsia="es-ES"/>
              </w:rPr>
            </w:pPr>
            <w:r w:rsidRPr="005745E4">
              <w:rPr>
                <w:rFonts w:ascii="Verdana" w:eastAsia="Aptos" w:hAnsi="Verdana" w:cs="Arial"/>
                <w:sz w:val="14"/>
                <w:szCs w:val="14"/>
                <w:lang w:eastAsia="es-ES"/>
              </w:rPr>
              <w:t>Contratista de la Subdirección de Gestión Contractual</w:t>
            </w:r>
          </w:p>
        </w:tc>
      </w:tr>
      <w:tr w:rsidR="00982BC9" w:rsidRPr="005745E4" w14:paraId="32C2B7EE" w14:textId="77777777" w:rsidTr="00171DEA">
        <w:trPr>
          <w:trHeight w:val="272"/>
        </w:trPr>
        <w:tc>
          <w:tcPr>
            <w:tcW w:w="901" w:type="dxa"/>
            <w:vAlign w:val="center"/>
            <w:hideMark/>
          </w:tcPr>
          <w:p w14:paraId="681FC5DA" w14:textId="77777777" w:rsidR="00982BC9" w:rsidRPr="005745E4" w:rsidRDefault="00982BC9" w:rsidP="00171DEA">
            <w:pPr>
              <w:rPr>
                <w:rFonts w:ascii="Verdana" w:eastAsia="Aptos" w:hAnsi="Verdana" w:cs="Arial"/>
                <w:sz w:val="14"/>
                <w:szCs w:val="14"/>
                <w:lang w:eastAsia="es-ES"/>
              </w:rPr>
            </w:pPr>
            <w:r w:rsidRPr="005745E4">
              <w:rPr>
                <w:rFonts w:ascii="Verdana" w:eastAsia="Aptos"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25F61EF4" w14:textId="77777777" w:rsidR="00982BC9" w:rsidRPr="005745E4" w:rsidRDefault="00982BC9" w:rsidP="00171DEA">
            <w:pPr>
              <w:rPr>
                <w:rFonts w:ascii="Verdana" w:eastAsia="Aptos" w:hAnsi="Verdana" w:cs="Arial"/>
                <w:sz w:val="14"/>
                <w:szCs w:val="14"/>
                <w:lang w:eastAsia="es-ES"/>
              </w:rPr>
            </w:pPr>
            <w:r w:rsidRPr="005745E4">
              <w:rPr>
                <w:rFonts w:ascii="Verdana" w:eastAsia="Aptos" w:hAnsi="Verdana" w:cs="Arial"/>
                <w:sz w:val="14"/>
                <w:szCs w:val="14"/>
                <w:lang w:eastAsia="es-ES"/>
              </w:rPr>
              <w:t>Carolina Quintero Gacharná</w:t>
            </w:r>
          </w:p>
          <w:p w14:paraId="6E0E398D" w14:textId="77777777" w:rsidR="00982BC9" w:rsidRPr="005745E4" w:rsidRDefault="00982BC9" w:rsidP="00171DEA">
            <w:pPr>
              <w:rPr>
                <w:rFonts w:ascii="Verdana" w:eastAsia="Aptos" w:hAnsi="Verdana" w:cs="Arial"/>
                <w:sz w:val="14"/>
                <w:szCs w:val="14"/>
                <w:lang w:eastAsia="es-ES"/>
              </w:rPr>
            </w:pPr>
            <w:r w:rsidRPr="005745E4">
              <w:rPr>
                <w:rFonts w:ascii="Verdana" w:eastAsia="Aptos" w:hAnsi="Verdana" w:cs="Arial"/>
                <w:sz w:val="14"/>
                <w:szCs w:val="14"/>
                <w:lang w:eastAsia="es-ES"/>
              </w:rPr>
              <w:t>Subdirectora de Gestión Contractual ANCP – CCE</w:t>
            </w:r>
          </w:p>
        </w:tc>
      </w:tr>
    </w:tbl>
    <w:p w14:paraId="7316F9E7" w14:textId="77777777" w:rsidR="00982BC9" w:rsidRPr="005745E4" w:rsidRDefault="00982BC9" w:rsidP="00982BC9">
      <w:pPr>
        <w:spacing w:after="0" w:line="240" w:lineRule="auto"/>
        <w:rPr>
          <w:rFonts w:ascii="Verdana" w:eastAsia="Times New Roman" w:hAnsi="Verdana" w:cs="Arial"/>
          <w:sz w:val="24"/>
          <w:szCs w:val="24"/>
          <w:lang w:eastAsia="es-ES"/>
        </w:rPr>
      </w:pPr>
    </w:p>
    <w:p w14:paraId="537E07F5" w14:textId="77777777" w:rsidR="00982BC9" w:rsidRPr="005745E4" w:rsidRDefault="00982BC9" w:rsidP="00982BC9">
      <w:pPr>
        <w:rPr>
          <w:rFonts w:ascii="Verdana" w:eastAsia="Aptos" w:hAnsi="Verdana" w:cs="Times New Roman"/>
        </w:rPr>
      </w:pPr>
    </w:p>
    <w:bookmarkEnd w:id="0"/>
    <w:p w14:paraId="2504115B" w14:textId="77777777" w:rsidR="00982BC9" w:rsidRPr="005745E4" w:rsidRDefault="00982BC9" w:rsidP="00982BC9">
      <w:pPr>
        <w:rPr>
          <w:rFonts w:ascii="Verdana" w:eastAsia="Aptos" w:hAnsi="Verdana" w:cs="Arial"/>
        </w:rPr>
      </w:pPr>
    </w:p>
    <w:sectPr w:rsidR="00982BC9" w:rsidRPr="005745E4" w:rsidSect="00982BC9">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85F7" w14:textId="77777777" w:rsidR="00423F3B" w:rsidRDefault="00423F3B" w:rsidP="00982BC9">
      <w:pPr>
        <w:spacing w:after="0" w:line="240" w:lineRule="auto"/>
      </w:pPr>
      <w:r>
        <w:separator/>
      </w:r>
    </w:p>
  </w:endnote>
  <w:endnote w:type="continuationSeparator" w:id="0">
    <w:p w14:paraId="5F9CB774" w14:textId="77777777" w:rsidR="00423F3B" w:rsidRDefault="00423F3B" w:rsidP="00982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2E32" w14:textId="77777777" w:rsidR="00982BC9" w:rsidRDefault="00982BC9">
    <w:pPr>
      <w:pStyle w:val="Piedepgina"/>
    </w:pPr>
  </w:p>
  <w:p w14:paraId="27050F94" w14:textId="77777777" w:rsidR="00982BC9" w:rsidRPr="00174B77" w:rsidRDefault="00982BC9"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imes New Roman"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8336B53" w14:textId="77777777" w:rsidR="00982BC9" w:rsidRDefault="00982BC9"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37A8F85D" w14:textId="77777777" w:rsidR="00982BC9" w:rsidRPr="00E41027" w:rsidRDefault="00982BC9"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684CDDE0" w14:textId="77777777" w:rsidR="00982BC9" w:rsidRDefault="00982BC9"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05745E4">
      <w:rPr>
        <w:rFonts w:ascii="Verdana" w:eastAsia="Verdana" w:hAnsi="Verdana" w:cs="Verdana"/>
        <w:b/>
        <w:bCs/>
        <w:color w:val="000000"/>
        <w:sz w:val="18"/>
        <w:szCs w:val="18"/>
        <w:lang w:eastAsia="es-CO"/>
      </w:rPr>
      <w:t xml:space="preserve">Código: </w:t>
    </w:r>
    <w:r w:rsidRPr="005745E4">
      <w:rPr>
        <w:rFonts w:ascii="Verdana" w:eastAsia="Verdana" w:hAnsi="Verdana" w:cs="Verdana"/>
        <w:color w:val="000000"/>
        <w:sz w:val="18"/>
        <w:szCs w:val="18"/>
        <w:lang w:eastAsia="es-CO"/>
      </w:rPr>
      <w:t xml:space="preserve">CCE-REC-FM-17 </w:t>
    </w:r>
    <w:r w:rsidRPr="005745E4">
      <w:rPr>
        <w:rFonts w:ascii="Verdana" w:eastAsia="Verdana" w:hAnsi="Verdana" w:cs="Verdana"/>
        <w:b/>
        <w:bCs/>
        <w:color w:val="000000"/>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4804F" w14:textId="77777777" w:rsidR="00423F3B" w:rsidRDefault="00423F3B" w:rsidP="00982BC9">
      <w:pPr>
        <w:spacing w:after="0" w:line="240" w:lineRule="auto"/>
      </w:pPr>
      <w:r>
        <w:separator/>
      </w:r>
    </w:p>
  </w:footnote>
  <w:footnote w:type="continuationSeparator" w:id="0">
    <w:p w14:paraId="465E97CE" w14:textId="77777777" w:rsidR="00423F3B" w:rsidRDefault="00423F3B" w:rsidP="00982BC9">
      <w:pPr>
        <w:spacing w:after="0" w:line="240" w:lineRule="auto"/>
      </w:pPr>
      <w:r>
        <w:continuationSeparator/>
      </w:r>
    </w:p>
  </w:footnote>
  <w:footnote w:id="1">
    <w:p w14:paraId="67B82AB7" w14:textId="77777777" w:rsidR="00982BC9" w:rsidRPr="00B1039B" w:rsidRDefault="00982BC9" w:rsidP="00982BC9">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color w:val="000000"/>
          <w:sz w:val="18"/>
          <w:szCs w:val="18"/>
        </w:rPr>
        <w:t xml:space="preserve"> Al respecto, conviene recordar el artículo 29 de la Ley 80 de 1993, derogado por el artículo 32 de la Ley 1150 de 2007, que establecía: “La selección de contratistas será objetiva.</w:t>
      </w:r>
    </w:p>
    <w:p w14:paraId="1F4B8CE4" w14:textId="77777777" w:rsidR="00982BC9" w:rsidRPr="00B1039B" w:rsidRDefault="00982BC9" w:rsidP="00982BC9">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eastAsia="Arial" w:hAnsi="Verdana" w:cs="Arial"/>
          <w:color w:val="000000"/>
          <w:sz w:val="18"/>
          <w:szCs w:val="18"/>
        </w:rPr>
        <w:t>Es objetiva la selección en la cual la escogencia se hace al ofrecimiento más favorable a la entidad y a los fines que ella busca, sin tener en consideración factores de afecto o de interés y, en general, cualquier clase de motivación subjetiva.</w:t>
      </w:r>
    </w:p>
    <w:p w14:paraId="3068DB93" w14:textId="77777777" w:rsidR="00982BC9" w:rsidRPr="00B1039B" w:rsidRDefault="00982BC9" w:rsidP="00982BC9">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eastAsia="Arial" w:hAnsi="Verdana" w:cs="Arial"/>
          <w:color w:val="000000"/>
          <w:sz w:val="18"/>
          <w:szCs w:val="18"/>
        </w:rPr>
        <w:t>Ofrecimiento más favorable es aquel que, teniendo en cuenta los factores de escogencia, tales como cumplimiento, experiencia, organización, equipos, plazo, precio y la ponderación precisa, detallada y concreta de los mismos, contenida en los pliegos de condiciones o términos de referencia o en el análisis previo a la suscripción del contrato, si se trata de contratación directa, resulta ser el más ventajoso para la entidad, sin que la favorabilidad la constituyan factores diferentes a los contenidos en dichos documentos, sólo alguno de ellos, el más bajo precio o el plazo ofrecido. El menor plazo que se ofrezca inferior al solicitado en los pliegos, no será objeto de evaluación”.</w:t>
      </w:r>
    </w:p>
    <w:p w14:paraId="41BC5A96" w14:textId="77777777" w:rsidR="00982BC9" w:rsidRPr="00B1039B" w:rsidRDefault="00982BC9" w:rsidP="00982BC9">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eastAsia="Arial" w:hAnsi="Verdana" w:cs="Arial"/>
          <w:color w:val="000000"/>
          <w:sz w:val="18"/>
          <w:szCs w:val="18"/>
        </w:rPr>
        <w:t>El administrador efectuará las comparaciones del caso mediante el cotejo de los diferentes ofrecimientos recibidos, la consulta de precios o condiciones del mercado y los estudios y deducciones de la entidad o de los organismos consultores o asesores designados para ello.</w:t>
      </w:r>
    </w:p>
    <w:p w14:paraId="71EC1191" w14:textId="77777777" w:rsidR="00982BC9" w:rsidRPr="00B1039B" w:rsidRDefault="00982BC9" w:rsidP="00982BC9">
      <w:pPr>
        <w:pBdr>
          <w:top w:val="nil"/>
          <w:left w:val="nil"/>
          <w:bottom w:val="nil"/>
          <w:right w:val="nil"/>
          <w:between w:val="nil"/>
        </w:pBdr>
        <w:spacing w:after="0"/>
        <w:ind w:firstLine="709"/>
        <w:jc w:val="both"/>
        <w:rPr>
          <w:rFonts w:ascii="Verdana" w:eastAsia="Arial" w:hAnsi="Verdana" w:cs="Arial"/>
          <w:color w:val="000000"/>
          <w:sz w:val="18"/>
          <w:szCs w:val="18"/>
        </w:rPr>
      </w:pPr>
      <w:r w:rsidRPr="00B1039B">
        <w:rPr>
          <w:rFonts w:ascii="Verdana" w:eastAsia="Arial" w:hAnsi="Verdana" w:cs="Arial"/>
          <w:color w:val="000000"/>
          <w:sz w:val="18"/>
          <w:szCs w:val="18"/>
        </w:rPr>
        <w:t>En caso de comparación de propuestas nacionales y extranjeras, se incluirán los costos necesarios para la entrega del producto terminado en el lugar de su utilización”.</w:t>
      </w:r>
    </w:p>
  </w:footnote>
  <w:footnote w:id="2">
    <w:p w14:paraId="086AE928" w14:textId="77777777" w:rsidR="00982BC9" w:rsidRPr="00B1039B" w:rsidRDefault="00982BC9" w:rsidP="00982BC9">
      <w:pPr>
        <w:pBdr>
          <w:top w:val="nil"/>
          <w:left w:val="nil"/>
          <w:bottom w:val="nil"/>
          <w:right w:val="nil"/>
          <w:between w:val="nil"/>
        </w:pBdr>
        <w:spacing w:after="0"/>
        <w:ind w:firstLine="708"/>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color w:val="000000"/>
          <w:sz w:val="18"/>
          <w:szCs w:val="18"/>
        </w:rPr>
        <w:t xml:space="preserve"> RODRÍGUEZ TAMAYO, Mauricio F. Evaluación y rechazo de ofertas en la Ley 80 de 1993. Primera edición. Medellín: Librería Jurídica Sánchez, 2016. pp. 110-111.</w:t>
      </w:r>
    </w:p>
  </w:footnote>
  <w:footnote w:id="3">
    <w:p w14:paraId="087F5237" w14:textId="77777777" w:rsidR="00982BC9" w:rsidRPr="00B1039B" w:rsidRDefault="00982BC9" w:rsidP="00982BC9">
      <w:pPr>
        <w:pBdr>
          <w:top w:val="nil"/>
          <w:left w:val="nil"/>
          <w:bottom w:val="nil"/>
          <w:right w:val="nil"/>
          <w:between w:val="nil"/>
        </w:pBdr>
        <w:spacing w:after="0"/>
        <w:ind w:firstLine="708"/>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color w:val="000000"/>
          <w:sz w:val="18"/>
          <w:szCs w:val="18"/>
        </w:rPr>
        <w:t xml:space="preserve"> EXPÓSITO VELEZ, Juan C., El deber de selección objetiva, en: Del contrato estatal a los sistemas de compras públicas, por COVILLA MARTINEZ Juan C. y LOZANO VILLEGAS Germán (Eds.). Universidad Externado de Colombia, Bogotá, 2019. págs. 118-184.</w:t>
      </w:r>
    </w:p>
  </w:footnote>
  <w:footnote w:id="4">
    <w:p w14:paraId="1781C1AE" w14:textId="77777777" w:rsidR="00982BC9" w:rsidRDefault="00982BC9" w:rsidP="00982BC9">
      <w:pPr>
        <w:pBdr>
          <w:top w:val="nil"/>
          <w:left w:val="nil"/>
          <w:bottom w:val="nil"/>
          <w:right w:val="nil"/>
          <w:between w:val="nil"/>
        </w:pBdr>
        <w:spacing w:after="0"/>
        <w:ind w:firstLine="708"/>
        <w:jc w:val="both"/>
        <w:rPr>
          <w:rFonts w:ascii="Verdana" w:eastAsia="Arial" w:hAnsi="Verdana" w:cs="Arial"/>
          <w:i/>
          <w:color w:val="000000"/>
          <w:sz w:val="18"/>
          <w:szCs w:val="18"/>
        </w:rPr>
      </w:pPr>
    </w:p>
    <w:p w14:paraId="67EFDE71" w14:textId="77777777" w:rsidR="00982BC9" w:rsidRPr="00B1039B" w:rsidRDefault="00982BC9" w:rsidP="00982BC9">
      <w:pPr>
        <w:pBdr>
          <w:top w:val="nil"/>
          <w:left w:val="nil"/>
          <w:bottom w:val="nil"/>
          <w:right w:val="nil"/>
          <w:between w:val="nil"/>
        </w:pBdr>
        <w:spacing w:after="0"/>
        <w:ind w:firstLine="708"/>
        <w:jc w:val="both"/>
        <w:rPr>
          <w:rFonts w:ascii="Verdana" w:eastAsia="Arial" w:hAnsi="Verdana" w:cs="Arial"/>
          <w:color w:val="000000"/>
          <w:sz w:val="18"/>
          <w:szCs w:val="18"/>
        </w:rPr>
      </w:pPr>
      <w:r w:rsidRPr="00B1039B">
        <w:rPr>
          <w:rFonts w:ascii="Verdana" w:hAnsi="Verdana" w:cs="Arial"/>
          <w:sz w:val="18"/>
          <w:szCs w:val="18"/>
          <w:vertAlign w:val="superscript"/>
        </w:rPr>
        <w:footnoteRef/>
      </w:r>
      <w:r w:rsidRPr="00B1039B">
        <w:rPr>
          <w:rFonts w:ascii="Verdana" w:eastAsia="Arial" w:hAnsi="Verdana" w:cs="Arial"/>
          <w:i/>
          <w:color w:val="000000"/>
          <w:sz w:val="18"/>
          <w:szCs w:val="18"/>
        </w:rPr>
        <w:t xml:space="preserve"> Ibídem.</w:t>
      </w:r>
    </w:p>
  </w:footnote>
  <w:footnote w:id="5">
    <w:p w14:paraId="783571A9" w14:textId="77777777" w:rsidR="00982BC9" w:rsidRPr="005745E4" w:rsidRDefault="00982BC9" w:rsidP="00982BC9">
      <w:pPr>
        <w:pStyle w:val="Textonotapie"/>
        <w:ind w:firstLine="708"/>
        <w:jc w:val="both"/>
        <w:rPr>
          <w:rFonts w:ascii="Verdana" w:hAnsi="Verdana" w:cs="Arial"/>
          <w:color w:val="000000"/>
          <w:sz w:val="16"/>
          <w:szCs w:val="16"/>
        </w:rPr>
      </w:pPr>
      <w:r w:rsidRPr="005745E4">
        <w:rPr>
          <w:rStyle w:val="Refdenotaalpie"/>
          <w:rFonts w:ascii="Verdana" w:hAnsi="Verdana" w:cs="Arial"/>
          <w:color w:val="000000"/>
          <w:sz w:val="16"/>
          <w:szCs w:val="16"/>
        </w:rPr>
        <w:footnoteRef/>
      </w:r>
      <w:r w:rsidRPr="005745E4">
        <w:rPr>
          <w:rFonts w:ascii="Verdana" w:hAnsi="Verdana" w:cs="Arial"/>
          <w:color w:val="000000"/>
          <w:sz w:val="16"/>
          <w:szCs w:val="16"/>
        </w:rPr>
        <w:t xml:space="preserve"> OSPINA MENA, Jesús Marino. Régimen de la Contratación Estatal. Un salto a la contratación líquida. Bogotá: Ed. 1ª. Diké, 2020. p. 383.</w:t>
      </w:r>
    </w:p>
  </w:footnote>
  <w:footnote w:id="6">
    <w:p w14:paraId="35564DB7" w14:textId="77777777" w:rsidR="00982BC9" w:rsidRPr="005745E4" w:rsidRDefault="00982BC9" w:rsidP="00982BC9">
      <w:pPr>
        <w:pStyle w:val="Textonotapie"/>
        <w:ind w:firstLine="708"/>
        <w:jc w:val="both"/>
        <w:rPr>
          <w:rFonts w:ascii="Verdana" w:hAnsi="Verdana" w:cs="Arial"/>
          <w:color w:val="000000"/>
          <w:sz w:val="16"/>
          <w:szCs w:val="16"/>
        </w:rPr>
      </w:pPr>
      <w:r w:rsidRPr="005745E4">
        <w:rPr>
          <w:rStyle w:val="Refdenotaalpie"/>
          <w:rFonts w:ascii="Verdana" w:hAnsi="Verdana" w:cs="Arial"/>
          <w:color w:val="000000"/>
          <w:sz w:val="16"/>
          <w:szCs w:val="16"/>
        </w:rPr>
        <w:footnoteRef/>
      </w:r>
      <w:r w:rsidRPr="005745E4">
        <w:rPr>
          <w:rFonts w:ascii="Verdana" w:hAnsi="Verdana" w:cs="Arial"/>
          <w:color w:val="000000"/>
          <w:sz w:val="16"/>
          <w:szCs w:val="16"/>
        </w:rPr>
        <w:t xml:space="preserve"> CONSEJO DE ESTADO. Sección Tercera. Sentencia de 30 de noviembre de 2006. Exp. 18.059. M.P. Alier Hernández Enríquez.</w:t>
      </w:r>
    </w:p>
  </w:footnote>
  <w:footnote w:id="7">
    <w:p w14:paraId="4AF03FEB" w14:textId="77777777" w:rsidR="00982BC9" w:rsidRPr="00CF0136" w:rsidRDefault="00982BC9" w:rsidP="00982BC9">
      <w:pPr>
        <w:pStyle w:val="Textonotapie"/>
        <w:ind w:firstLine="708"/>
        <w:jc w:val="both"/>
        <w:rPr>
          <w:rFonts w:ascii="Verdana" w:hAnsi="Verdana"/>
          <w:sz w:val="18"/>
          <w:szCs w:val="18"/>
          <w:lang w:val="es-CO"/>
        </w:rPr>
      </w:pPr>
      <w:r w:rsidRPr="00CF0136">
        <w:rPr>
          <w:rStyle w:val="Refdenotaalpie"/>
          <w:rFonts w:ascii="Verdana" w:hAnsi="Verdana"/>
          <w:sz w:val="18"/>
          <w:szCs w:val="18"/>
        </w:rPr>
        <w:footnoteRef/>
      </w:r>
      <w:r w:rsidRPr="00CF0136">
        <w:rPr>
          <w:rFonts w:ascii="Verdana" w:hAnsi="Verdana"/>
          <w:sz w:val="18"/>
          <w:szCs w:val="18"/>
        </w:rPr>
        <w:t xml:space="preserve"> </w:t>
      </w:r>
      <w:r>
        <w:rPr>
          <w:rFonts w:ascii="Verdana" w:hAnsi="Verdana"/>
          <w:sz w:val="18"/>
          <w:szCs w:val="18"/>
        </w:rPr>
        <w:t xml:space="preserve">Este documento se encuentra disponible para su consulta </w:t>
      </w:r>
      <w:hyperlink r:id="rId1" w:history="1">
        <w:r w:rsidRPr="00CF0136">
          <w:rPr>
            <w:rStyle w:val="Hipervnculo"/>
            <w:rFonts w:ascii="Verdana" w:hAnsi="Verdana"/>
            <w:sz w:val="18"/>
            <w:szCs w:val="18"/>
          </w:rPr>
          <w:t>aquí</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0FD6C" w14:textId="77777777" w:rsidR="00982BC9" w:rsidRDefault="00982BC9"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2FA5A22D" wp14:editId="004B63E1">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674365CF" wp14:editId="1FA5A373">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55971D62" w14:textId="77777777" w:rsidR="00982BC9" w:rsidRDefault="00982BC9">
    <w:pPr>
      <w:pStyle w:val="Encabezado"/>
    </w:pPr>
  </w:p>
  <w:p w14:paraId="214F09E7" w14:textId="77777777" w:rsidR="00982BC9" w:rsidRPr="004A305D" w:rsidRDefault="00982BC9" w:rsidP="00B01B1A">
    <w:pPr>
      <w:spacing w:after="0" w:line="120" w:lineRule="auto"/>
      <w:rPr>
        <w:rFonts w:ascii="Century Gothic" w:eastAsia="Geo" w:hAnsi="Century Gothic" w:cs="Geo"/>
        <w:sz w:val="16"/>
        <w:szCs w:val="16"/>
        <w:lang w:eastAsia="es-CO"/>
      </w:rPr>
    </w:pPr>
  </w:p>
  <w:p w14:paraId="703B9977" w14:textId="77777777" w:rsidR="00982BC9" w:rsidRDefault="00982BC9" w:rsidP="00844AE9">
    <w:pPr>
      <w:spacing w:after="0" w:line="240" w:lineRule="auto"/>
      <w:rPr>
        <w:rFonts w:ascii="Verdana" w:hAnsi="Verdana"/>
        <w:sz w:val="24"/>
        <w:szCs w:val="24"/>
      </w:rPr>
    </w:pPr>
  </w:p>
  <w:p w14:paraId="397B4D10" w14:textId="77777777" w:rsidR="00982BC9" w:rsidRPr="00C925AC" w:rsidRDefault="00982BC9" w:rsidP="00844AE9">
    <w:pPr>
      <w:spacing w:after="0" w:line="240" w:lineRule="auto"/>
      <w:rPr>
        <w:rFonts w:ascii="Verdana" w:hAnsi="Verdana"/>
        <w:sz w:val="24"/>
        <w:szCs w:val="24"/>
      </w:rPr>
    </w:pPr>
  </w:p>
  <w:p w14:paraId="4A4828C4" w14:textId="77777777" w:rsidR="00982BC9" w:rsidRPr="00C925AC" w:rsidRDefault="00982BC9"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679089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BC9"/>
    <w:rsid w:val="00261F05"/>
    <w:rsid w:val="00423F3B"/>
    <w:rsid w:val="00545A44"/>
    <w:rsid w:val="00585DAA"/>
    <w:rsid w:val="006126BE"/>
    <w:rsid w:val="007139E4"/>
    <w:rsid w:val="00852779"/>
    <w:rsid w:val="00982BC9"/>
    <w:rsid w:val="00997AF2"/>
    <w:rsid w:val="009A3FFF"/>
    <w:rsid w:val="00C078AD"/>
    <w:rsid w:val="00EC2A0B"/>
    <w:rsid w:val="00F94D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8910"/>
  <w15:chartTrackingRefBased/>
  <w15:docId w15:val="{8FB4A09D-3F1A-4640-9294-EDF9B6498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BC9"/>
    <w:pPr>
      <w:spacing w:line="259" w:lineRule="auto"/>
    </w:pPr>
    <w:rPr>
      <w:kern w:val="0"/>
      <w:sz w:val="22"/>
      <w:szCs w:val="22"/>
      <w14:ligatures w14:val="none"/>
    </w:rPr>
  </w:style>
  <w:style w:type="paragraph" w:styleId="Ttulo1">
    <w:name w:val="heading 1"/>
    <w:basedOn w:val="Normal"/>
    <w:next w:val="Normal"/>
    <w:link w:val="Ttulo1Car"/>
    <w:uiPriority w:val="9"/>
    <w:qFormat/>
    <w:rsid w:val="00982B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82B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82B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82B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82B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82BC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82BC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82BC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82BC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82BC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82BC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82BC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82BC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82BC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82B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82B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82B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82BC9"/>
    <w:rPr>
      <w:rFonts w:eastAsiaTheme="majorEastAsia" w:cstheme="majorBidi"/>
      <w:color w:val="272727" w:themeColor="text1" w:themeTint="D8"/>
    </w:rPr>
  </w:style>
  <w:style w:type="paragraph" w:styleId="Ttulo">
    <w:name w:val="Title"/>
    <w:basedOn w:val="Normal"/>
    <w:next w:val="Normal"/>
    <w:link w:val="TtuloCar"/>
    <w:uiPriority w:val="10"/>
    <w:qFormat/>
    <w:rsid w:val="00982B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82B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82B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82B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82BC9"/>
    <w:pPr>
      <w:spacing w:before="160"/>
      <w:jc w:val="center"/>
    </w:pPr>
    <w:rPr>
      <w:i/>
      <w:iCs/>
      <w:color w:val="404040" w:themeColor="text1" w:themeTint="BF"/>
    </w:rPr>
  </w:style>
  <w:style w:type="character" w:customStyle="1" w:styleId="CitaCar">
    <w:name w:val="Cita Car"/>
    <w:basedOn w:val="Fuentedeprrafopredeter"/>
    <w:link w:val="Cita"/>
    <w:uiPriority w:val="29"/>
    <w:rsid w:val="00982BC9"/>
    <w:rPr>
      <w:i/>
      <w:iCs/>
      <w:color w:val="404040" w:themeColor="text1" w:themeTint="BF"/>
    </w:rPr>
  </w:style>
  <w:style w:type="paragraph" w:styleId="Prrafodelista">
    <w:name w:val="List Paragraph"/>
    <w:basedOn w:val="Normal"/>
    <w:uiPriority w:val="34"/>
    <w:qFormat/>
    <w:rsid w:val="00982BC9"/>
    <w:pPr>
      <w:ind w:left="720"/>
      <w:contextualSpacing/>
    </w:pPr>
  </w:style>
  <w:style w:type="character" w:styleId="nfasisintenso">
    <w:name w:val="Intense Emphasis"/>
    <w:basedOn w:val="Fuentedeprrafopredeter"/>
    <w:uiPriority w:val="21"/>
    <w:qFormat/>
    <w:rsid w:val="00982BC9"/>
    <w:rPr>
      <w:i/>
      <w:iCs/>
      <w:color w:val="0F4761" w:themeColor="accent1" w:themeShade="BF"/>
    </w:rPr>
  </w:style>
  <w:style w:type="paragraph" w:styleId="Citadestacada">
    <w:name w:val="Intense Quote"/>
    <w:basedOn w:val="Normal"/>
    <w:next w:val="Normal"/>
    <w:link w:val="CitadestacadaCar"/>
    <w:uiPriority w:val="30"/>
    <w:qFormat/>
    <w:rsid w:val="00982B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82BC9"/>
    <w:rPr>
      <w:i/>
      <w:iCs/>
      <w:color w:val="0F4761" w:themeColor="accent1" w:themeShade="BF"/>
    </w:rPr>
  </w:style>
  <w:style w:type="character" w:styleId="Referenciaintensa">
    <w:name w:val="Intense Reference"/>
    <w:basedOn w:val="Fuentedeprrafopredeter"/>
    <w:uiPriority w:val="32"/>
    <w:qFormat/>
    <w:rsid w:val="00982BC9"/>
    <w:rPr>
      <w:b/>
      <w:bCs/>
      <w:smallCaps/>
      <w:color w:val="0F4761" w:themeColor="accent1" w:themeShade="BF"/>
      <w:spacing w:val="5"/>
    </w:rPr>
  </w:style>
  <w:style w:type="paragraph" w:styleId="Encabezado">
    <w:name w:val="header"/>
    <w:basedOn w:val="Normal"/>
    <w:link w:val="EncabezadoCar"/>
    <w:uiPriority w:val="99"/>
    <w:unhideWhenUsed/>
    <w:rsid w:val="00982B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BC9"/>
    <w:rPr>
      <w:kern w:val="0"/>
      <w:sz w:val="22"/>
      <w:szCs w:val="22"/>
      <w14:ligatures w14:val="none"/>
    </w:rPr>
  </w:style>
  <w:style w:type="paragraph" w:styleId="Piedepgina">
    <w:name w:val="footer"/>
    <w:basedOn w:val="Normal"/>
    <w:link w:val="PiedepginaCar"/>
    <w:uiPriority w:val="99"/>
    <w:unhideWhenUsed/>
    <w:rsid w:val="00982B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BC9"/>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982BC9"/>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982BC9"/>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982BC9"/>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982BC9"/>
    <w:rPr>
      <w:vertAlign w:val="superscript"/>
    </w:rPr>
  </w:style>
  <w:style w:type="table" w:styleId="Tablaconcuadrcula">
    <w:name w:val="Table Grid"/>
    <w:basedOn w:val="Tablanormal"/>
    <w:uiPriority w:val="39"/>
    <w:qFormat/>
    <w:rsid w:val="00982B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82BC9"/>
    <w:rPr>
      <w:color w:val="0000FF"/>
      <w:u w:val="single"/>
    </w:rPr>
  </w:style>
  <w:style w:type="paragraph" w:customStyle="1" w:styleId="Appelnotedebasde">
    <w:name w:val="Appel note de bas de..."/>
    <w:basedOn w:val="Normal"/>
    <w:link w:val="Refdenotaalpie"/>
    <w:uiPriority w:val="99"/>
    <w:rsid w:val="00982BC9"/>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982BC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archivos/manual/manual-para-determinar-y-verificar-los-requisitos-habilitantes-en-los-procesos-de-contratacion"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archivos/documento/05-documentos-tipo-de-infraestructura-de-transporte-en-la-modalidad-de-licitacion-publica" TargetMode="External"/><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maryire@hotmail.es" TargetMode="Externa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manual/manual-para-determinar-y-verificar-los-requisitos-habilitantes-en-los-procesos-de-contratac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6F4B72-29A0-4097-9113-DF4702832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5F98E-B7CE-42FE-B45F-D9D8DE1BD0EC}">
  <ds:schemaRefs>
    <ds:schemaRef ds:uri="http://schemas.microsoft.com/sharepoint/v3/contenttype/forms"/>
  </ds:schemaRefs>
</ds:datastoreItem>
</file>

<file path=customXml/itemProps3.xml><?xml version="1.0" encoding="utf-8"?>
<ds:datastoreItem xmlns:ds="http://schemas.openxmlformats.org/officeDocument/2006/customXml" ds:itemID="{B2917771-F789-4E6E-A736-D1872A5EA4C3}">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12</TotalTime>
  <Pages>17</Pages>
  <Words>5762</Words>
  <Characters>31693</Characters>
  <Application>Microsoft Office Word</Application>
  <DocSecurity>0</DocSecurity>
  <Lines>264</Lines>
  <Paragraphs>74</Paragraphs>
  <ScaleCrop>false</ScaleCrop>
  <Company/>
  <LinksUpToDate>false</LinksUpToDate>
  <CharactersWithSpaces>37381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8</cp:revision>
  <dcterms:created xsi:type="dcterms:W3CDTF">2026-07-24T14:51:00Z</dcterms:created>
  <dcterms:modified xsi:type="dcterms:W3CDTF">2026-07-24T15:02:00Z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