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0019E" w14:textId="77777777" w:rsidR="00323EA7" w:rsidRDefault="00652130" w:rsidP="00652130">
      <w:pPr>
        <w:jc w:val="both"/>
        <w:rPr>
          <w:rFonts w:ascii="Verdana" w:eastAsia="Calibri" w:hAnsi="Verdana" w:cs="Arial"/>
          <w:b/>
          <w:bCs/>
          <w:color w:val="000000" w:themeColor="text1"/>
          <w:lang w:eastAsia="es-ES"/>
        </w:rPr>
      </w:pPr>
      <w:bookmarkStart w:id="0" w:name="_Hlk143780582"/>
      <w:r w:rsidRPr="00652130">
        <w:rPr>
          <w:rFonts w:ascii="Verdana" w:eastAsia="Calibri" w:hAnsi="Verdana" w:cs="Arial"/>
          <w:b/>
          <w:bCs/>
          <w:color w:val="000000" w:themeColor="text1"/>
          <w:lang w:eastAsia="es-ES"/>
        </w:rPr>
        <w:t>LIQUIDACIÓN DEL CONTRATO – Concepto</w:t>
      </w:r>
    </w:p>
    <w:p w14:paraId="6477553C" w14:textId="77777777" w:rsidR="00741A8B" w:rsidRDefault="00323EA7" w:rsidP="00E71298">
      <w:pPr>
        <w:spacing w:after="0" w:line="240" w:lineRule="auto"/>
        <w:jc w:val="both"/>
        <w:rPr>
          <w:rFonts w:ascii="Verdana" w:eastAsia="Calibri" w:hAnsi="Verdana" w:cs="Arial"/>
          <w:b/>
          <w:bCs/>
          <w:color w:val="000000" w:themeColor="text1"/>
          <w:sz w:val="20"/>
          <w:szCs w:val="20"/>
          <w:lang w:eastAsia="es-ES"/>
        </w:rPr>
      </w:pPr>
      <w:r w:rsidRPr="00323EA7">
        <w:rPr>
          <w:rFonts w:ascii="Verdana" w:eastAsia="Calibri" w:hAnsi="Verdana" w:cs="Arial"/>
          <w:color w:val="000000"/>
          <w:sz w:val="20"/>
          <w:szCs w:val="20"/>
          <w:lang w:val="es-ES_tradnl"/>
        </w:rPr>
        <w:t>La liquidación es una fase del proceso de contratación en que, una vez concluido el contrato estatal, las partes cruzan cuentas respecto de sus obligaciones. Por tanto, su objetivo es determinar si pueden declararse a paz y salvo mutuo o si, por el contrario, existen aún obligaciones por cumplir, para acordar la forma en que deben ser finalizadas</w:t>
      </w:r>
      <w:r>
        <w:rPr>
          <w:rFonts w:ascii="Verdana" w:eastAsia="Calibri" w:hAnsi="Verdana" w:cs="Arial"/>
          <w:color w:val="000000"/>
          <w:sz w:val="20"/>
          <w:szCs w:val="20"/>
          <w:lang w:val="es-ES_tradnl"/>
        </w:rPr>
        <w:t>.</w:t>
      </w:r>
      <w:r w:rsidR="00652130" w:rsidRPr="00323EA7">
        <w:rPr>
          <w:rFonts w:ascii="Verdana" w:eastAsia="Calibri" w:hAnsi="Verdana" w:cs="Arial"/>
          <w:b/>
          <w:bCs/>
          <w:color w:val="000000" w:themeColor="text1"/>
          <w:sz w:val="20"/>
          <w:szCs w:val="20"/>
          <w:lang w:eastAsia="es-ES"/>
        </w:rPr>
        <w:t xml:space="preserve"> </w:t>
      </w:r>
    </w:p>
    <w:p w14:paraId="18A19DAC" w14:textId="77777777" w:rsidR="00741A8B" w:rsidRDefault="00741A8B" w:rsidP="00E71298">
      <w:pPr>
        <w:spacing w:after="0" w:line="240" w:lineRule="auto"/>
        <w:jc w:val="both"/>
        <w:rPr>
          <w:rFonts w:ascii="Verdana" w:eastAsia="Calibri" w:hAnsi="Verdana" w:cs="Arial"/>
          <w:b/>
          <w:bCs/>
          <w:color w:val="000000" w:themeColor="text1"/>
          <w:sz w:val="20"/>
          <w:szCs w:val="20"/>
          <w:lang w:eastAsia="es-ES"/>
        </w:rPr>
      </w:pPr>
    </w:p>
    <w:p w14:paraId="4F40CEB4" w14:textId="510DC73F" w:rsidR="00652130" w:rsidRPr="00E71298" w:rsidRDefault="00652130" w:rsidP="00E71298">
      <w:pPr>
        <w:spacing w:after="0" w:line="240" w:lineRule="auto"/>
        <w:jc w:val="both"/>
        <w:rPr>
          <w:rFonts w:ascii="Verdana" w:eastAsia="Calibri" w:hAnsi="Verdana" w:cs="Arial"/>
          <w:b/>
          <w:bCs/>
          <w:color w:val="000000" w:themeColor="text1"/>
          <w:sz w:val="20"/>
          <w:szCs w:val="20"/>
          <w:lang w:eastAsia="es-ES"/>
        </w:rPr>
      </w:pPr>
      <w:r w:rsidRPr="00652130">
        <w:rPr>
          <w:rFonts w:ascii="Verdana" w:eastAsia="Calibri" w:hAnsi="Verdana" w:cs="Arial"/>
          <w:b/>
          <w:bCs/>
          <w:color w:val="000000" w:themeColor="text1"/>
          <w:lang w:eastAsia="es-ES"/>
        </w:rPr>
        <w:t>LIQUIDACIÓN DEL CONTRATO – Ley 80 de 1993 artículo 60 – Alcance</w:t>
      </w:r>
    </w:p>
    <w:p w14:paraId="09E1E84B" w14:textId="77777777" w:rsidR="00E71298" w:rsidRDefault="00E71298" w:rsidP="00E71298">
      <w:pPr>
        <w:spacing w:after="0" w:line="240" w:lineRule="auto"/>
        <w:jc w:val="both"/>
        <w:rPr>
          <w:rFonts w:ascii="Verdana" w:eastAsia="Calibri" w:hAnsi="Verdana" w:cs="Arial"/>
          <w:color w:val="000000"/>
          <w:sz w:val="20"/>
          <w:szCs w:val="20"/>
        </w:rPr>
      </w:pPr>
    </w:p>
    <w:p w14:paraId="766EFD2A" w14:textId="1AF32CE5" w:rsidR="00E71298" w:rsidRDefault="00E71298" w:rsidP="00E71298">
      <w:pPr>
        <w:spacing w:after="0" w:line="240" w:lineRule="auto"/>
        <w:jc w:val="both"/>
        <w:rPr>
          <w:rFonts w:ascii="Verdana" w:eastAsia="Calibri" w:hAnsi="Verdana" w:cs="Arial"/>
          <w:color w:val="000000"/>
          <w:sz w:val="20"/>
          <w:szCs w:val="20"/>
          <w:lang w:val="es-ES_tradnl"/>
        </w:rPr>
      </w:pPr>
      <w:r>
        <w:rPr>
          <w:rFonts w:ascii="Verdana" w:eastAsia="Calibri" w:hAnsi="Verdana" w:cs="Arial"/>
          <w:color w:val="000000"/>
          <w:sz w:val="20"/>
          <w:szCs w:val="20"/>
          <w:lang w:val="es-ES_tradnl"/>
        </w:rPr>
        <w:t xml:space="preserve">[…] </w:t>
      </w:r>
      <w:r w:rsidRPr="00E71298">
        <w:rPr>
          <w:rFonts w:ascii="Verdana" w:eastAsia="Calibri" w:hAnsi="Verdana" w:cs="Arial"/>
          <w:color w:val="000000"/>
          <w:sz w:val="20"/>
          <w:szCs w:val="20"/>
          <w:lang w:val="es-ES_tradnl"/>
        </w:rPr>
        <w:t xml:space="preserve">de acuerdo con el artículo 60 de la Ley 80 de 1993, los contratos de tracto sucesivo, aquellos cuyo cumplimiento o ejecución se prolongue en el tiempo y los demás que lo requieran “serán objeto de liquidación”. El mismo artículo prescribe que no será obligatoria la liquidación en los contratos de prestación de servicios profesionales y de apoyo a la gestión. Adicionalmente, en los contratos las entidades estatales deben definir la oportunidad y forma de recibir el objeto contratado y, en cada caso, si un contrato requiere o no de liquidación, con arreglo a criterios tales como la naturaleza, objeto y plazo del contrato, así como la probabilidad de que puedan surgir diferencias durante la ejecución del contrato; sin perjuicio de que, como se indicó, todos los contratos estatales de </w:t>
      </w:r>
      <w:r w:rsidRPr="00E71298">
        <w:rPr>
          <w:rFonts w:ascii="Verdana" w:eastAsia="Calibri" w:hAnsi="Verdana" w:cs="Arial"/>
          <w:i/>
          <w:iCs/>
          <w:color w:val="000000"/>
          <w:sz w:val="20"/>
          <w:szCs w:val="20"/>
          <w:lang w:val="es-ES_tradnl"/>
        </w:rPr>
        <w:t>tracto sucesivo</w:t>
      </w:r>
      <w:r w:rsidRPr="00E71298">
        <w:rPr>
          <w:rFonts w:ascii="Verdana" w:eastAsia="Calibri" w:hAnsi="Verdana" w:cs="Arial"/>
          <w:color w:val="000000"/>
          <w:sz w:val="20"/>
          <w:szCs w:val="20"/>
          <w:lang w:val="es-ES_tradnl"/>
        </w:rPr>
        <w:t xml:space="preserve"> o aquellos cuya ejecución se prolongue en el tiempo siempre deban liquidarse, convirtiéndose en estos contratos en una cláusula de la naturaleza, conforme a la clasificación prevista en el Código Civil.</w:t>
      </w:r>
    </w:p>
    <w:p w14:paraId="7CCBD44E" w14:textId="77777777" w:rsidR="00E71298" w:rsidRDefault="00E71298" w:rsidP="00E71298">
      <w:pPr>
        <w:spacing w:after="0" w:line="240" w:lineRule="auto"/>
        <w:jc w:val="both"/>
        <w:rPr>
          <w:rFonts w:ascii="Verdana" w:eastAsia="Calibri" w:hAnsi="Verdana" w:cs="Arial"/>
          <w:color w:val="000000"/>
          <w:sz w:val="20"/>
          <w:szCs w:val="20"/>
          <w:lang w:val="es-ES_tradnl"/>
        </w:rPr>
      </w:pPr>
    </w:p>
    <w:p w14:paraId="39A26D15" w14:textId="77777777" w:rsidR="00E71298" w:rsidRDefault="00E71298" w:rsidP="00E71298">
      <w:pPr>
        <w:spacing w:after="0" w:line="240" w:lineRule="auto"/>
        <w:jc w:val="both"/>
        <w:rPr>
          <w:rFonts w:ascii="Verdana" w:eastAsia="Calibri" w:hAnsi="Verdana" w:cs="Arial"/>
          <w:color w:val="000000"/>
          <w:sz w:val="20"/>
          <w:szCs w:val="20"/>
        </w:rPr>
      </w:pPr>
      <w:r w:rsidRPr="00E71298">
        <w:rPr>
          <w:rFonts w:ascii="Verdana" w:eastAsia="Calibri" w:hAnsi="Verdana" w:cs="Arial"/>
          <w:color w:val="000000"/>
          <w:sz w:val="20"/>
          <w:szCs w:val="20"/>
        </w:rPr>
        <w:t>De conformidad con lo dispuesto en el artículo 60 de la Lay 80 de 1993 se definen “los ajustes, revisiones y reconocimientos a que haya lugar”, razón por la cual en el acta respectiva se hacen constar “los acuerdos, conciliaciones y transacciones a que llegaren las partes para poner fin a las divergencias presentadas y poder declararse a paz y salvo”.</w:t>
      </w:r>
    </w:p>
    <w:p w14:paraId="4DE8A3D8" w14:textId="77777777" w:rsidR="00E71298" w:rsidRDefault="00E71298" w:rsidP="00E71298">
      <w:pPr>
        <w:spacing w:after="0" w:line="240" w:lineRule="auto"/>
        <w:jc w:val="both"/>
        <w:rPr>
          <w:rFonts w:ascii="Verdana" w:eastAsia="Calibri" w:hAnsi="Verdana" w:cs="Arial"/>
          <w:color w:val="000000"/>
          <w:sz w:val="20"/>
          <w:szCs w:val="20"/>
        </w:rPr>
      </w:pPr>
    </w:p>
    <w:p w14:paraId="74AC9DA4" w14:textId="77777777" w:rsidR="00E71298" w:rsidRDefault="00652130" w:rsidP="00E71298">
      <w:pPr>
        <w:spacing w:after="0" w:line="240" w:lineRule="auto"/>
        <w:jc w:val="both"/>
        <w:rPr>
          <w:rFonts w:ascii="Verdana" w:eastAsia="Calibri" w:hAnsi="Verdana" w:cs="Arial"/>
          <w:b/>
          <w:bCs/>
          <w:color w:val="000000" w:themeColor="text1"/>
          <w:lang w:eastAsia="es-ES"/>
        </w:rPr>
      </w:pPr>
      <w:r w:rsidRPr="00652130">
        <w:rPr>
          <w:rFonts w:ascii="Verdana" w:eastAsia="Calibri" w:hAnsi="Verdana" w:cs="Arial"/>
          <w:b/>
          <w:bCs/>
          <w:color w:val="000000" w:themeColor="text1"/>
          <w:lang w:eastAsia="es-ES"/>
        </w:rPr>
        <w:t>LIQUIDACIÓN DEL CONTRATO – Función constitutiva</w:t>
      </w:r>
    </w:p>
    <w:p w14:paraId="37AF3206" w14:textId="77777777" w:rsidR="00E71298" w:rsidRDefault="00E71298" w:rsidP="00E71298">
      <w:pPr>
        <w:spacing w:after="0" w:line="240" w:lineRule="auto"/>
        <w:jc w:val="both"/>
        <w:rPr>
          <w:rFonts w:ascii="Verdana" w:eastAsia="Calibri" w:hAnsi="Verdana" w:cs="Arial"/>
          <w:b/>
          <w:bCs/>
          <w:color w:val="000000" w:themeColor="text1"/>
          <w:lang w:eastAsia="es-ES"/>
        </w:rPr>
      </w:pPr>
    </w:p>
    <w:p w14:paraId="055634CB" w14:textId="77777777" w:rsidR="00E71298" w:rsidRPr="00E71298" w:rsidRDefault="00E71298" w:rsidP="00E71298">
      <w:pPr>
        <w:spacing w:after="0" w:line="240" w:lineRule="auto"/>
        <w:jc w:val="both"/>
        <w:rPr>
          <w:rFonts w:ascii="Verdana" w:eastAsia="Calibri" w:hAnsi="Verdana" w:cs="Arial"/>
          <w:b/>
          <w:bCs/>
          <w:color w:val="000000" w:themeColor="text1"/>
          <w:sz w:val="20"/>
          <w:szCs w:val="20"/>
          <w:lang w:eastAsia="es-ES"/>
        </w:rPr>
      </w:pPr>
      <w:r w:rsidRPr="00E71298">
        <w:rPr>
          <w:rFonts w:ascii="Verdana" w:eastAsia="Calibri" w:hAnsi="Verdana" w:cs="Arial"/>
          <w:color w:val="000000"/>
          <w:sz w:val="20"/>
          <w:szCs w:val="20"/>
          <w:lang w:val="es-ES_tradnl"/>
        </w:rPr>
        <w:t>Ahora bien, una de las funciones inherentes a la liquidación es que sea constitutiva de obligaciones y derechos, por cuanto en ella deberá registrarse los acuerdos logrados por las partes para declararse mutuamente a paz y salvo, por supuesto cuando ello hubiere sido posible, “tiene alcance restringido a la</w:t>
      </w:r>
      <w:r w:rsidRPr="00E71298">
        <w:rPr>
          <w:rFonts w:ascii="Verdana" w:eastAsia="Calibri" w:hAnsi="Verdana" w:cs="Arial"/>
          <w:color w:val="000000"/>
          <w:sz w:val="20"/>
          <w:szCs w:val="20"/>
        </w:rPr>
        <w:t xml:space="preserve"> esfera de las obligaciones surgidas entre las partes con motivo de la suscripción y ejecución del contrato.</w:t>
      </w:r>
    </w:p>
    <w:p w14:paraId="009D7CB2" w14:textId="77777777" w:rsidR="00E71298" w:rsidRPr="00E71298" w:rsidRDefault="00E71298" w:rsidP="00E71298">
      <w:pPr>
        <w:spacing w:after="0" w:line="240" w:lineRule="auto"/>
        <w:jc w:val="both"/>
        <w:rPr>
          <w:rFonts w:ascii="Verdana" w:eastAsia="Calibri" w:hAnsi="Verdana" w:cs="Arial"/>
          <w:b/>
          <w:bCs/>
          <w:color w:val="000000" w:themeColor="text1"/>
          <w:sz w:val="20"/>
          <w:szCs w:val="20"/>
          <w:lang w:eastAsia="es-ES"/>
        </w:rPr>
      </w:pPr>
    </w:p>
    <w:p w14:paraId="1D2BFBF1" w14:textId="0D8E5136" w:rsidR="00E71298" w:rsidRPr="00E71298" w:rsidRDefault="00E71298" w:rsidP="00E71298">
      <w:pPr>
        <w:spacing w:after="0" w:line="240" w:lineRule="auto"/>
        <w:jc w:val="both"/>
        <w:rPr>
          <w:rFonts w:ascii="Verdana" w:eastAsia="Calibri" w:hAnsi="Verdana" w:cs="Arial"/>
          <w:b/>
          <w:bCs/>
          <w:color w:val="000000" w:themeColor="text1"/>
          <w:sz w:val="20"/>
          <w:szCs w:val="20"/>
          <w:lang w:eastAsia="es-ES"/>
        </w:rPr>
      </w:pPr>
      <w:r w:rsidRPr="00E71298">
        <w:rPr>
          <w:rFonts w:ascii="Verdana" w:eastAsia="Calibri" w:hAnsi="Verdana" w:cs="Arial"/>
          <w:color w:val="000000"/>
          <w:sz w:val="20"/>
          <w:szCs w:val="20"/>
          <w:lang w:val="es-ES_tradnl"/>
        </w:rPr>
        <w:t xml:space="preserve">Con base en lo anterior, en la liquidación, de forma directa e inmediata, se pueden generar obligaciones, cuya fuente mediata es el contrato estatal celebrado por las partes, las cuales, hacen referencia a la determinación de sumas específicas a cargo de una parte y en favor de la otra en virtud de las obligaciones y derechos existentes que emanan del texto contractual; reconocimientos y cuantificación del valor de prestaciones adicionales ejecutadas de buena fe que tuvieron lugar durante la vigencia del contrato, que no se encontraban comprendidas en el clausulado contractual y resultaron esenciales y necesarias para el cabal cumplimiento del objeto contractual; ajustes y revisión de precios para restablecer el equilibrio económico o financiero del contrato, </w:t>
      </w:r>
      <w:r w:rsidRPr="00E71298">
        <w:rPr>
          <w:rFonts w:ascii="Verdana" w:eastAsia="Calibri" w:hAnsi="Verdana" w:cs="Arial"/>
          <w:color w:val="000000"/>
          <w:sz w:val="20"/>
          <w:szCs w:val="20"/>
          <w:lang w:val="es-ES_tradnl"/>
        </w:rPr>
        <w:lastRenderedPageBreak/>
        <w:t>mediante el reconocimiento correspondiente, cuando quiera que proceda de acuerdo con las disposiciones legales, entre otras</w:t>
      </w:r>
      <w:r>
        <w:rPr>
          <w:rFonts w:ascii="Verdana" w:eastAsia="Calibri" w:hAnsi="Verdana" w:cs="Arial"/>
          <w:color w:val="000000"/>
          <w:sz w:val="20"/>
          <w:szCs w:val="20"/>
          <w:lang w:val="es-ES_tradnl"/>
        </w:rPr>
        <w:t>.</w:t>
      </w:r>
    </w:p>
    <w:p w14:paraId="11567BE7" w14:textId="77777777" w:rsidR="00E71298" w:rsidRPr="00E71298" w:rsidRDefault="00E71298" w:rsidP="00E71298">
      <w:pPr>
        <w:spacing w:after="0" w:line="240" w:lineRule="auto"/>
        <w:jc w:val="both"/>
        <w:rPr>
          <w:rFonts w:ascii="Verdana" w:eastAsia="Calibri" w:hAnsi="Verdana" w:cs="Arial"/>
          <w:color w:val="000000"/>
          <w:sz w:val="20"/>
          <w:szCs w:val="20"/>
        </w:rPr>
      </w:pPr>
    </w:p>
    <w:p w14:paraId="6C7FD92B" w14:textId="77777777" w:rsidR="00652130" w:rsidRDefault="00652130" w:rsidP="00652130">
      <w:pPr>
        <w:jc w:val="both"/>
        <w:rPr>
          <w:rFonts w:ascii="Verdana" w:eastAsia="Calibri" w:hAnsi="Verdana" w:cs="Arial"/>
          <w:b/>
          <w:bCs/>
          <w:color w:val="000000" w:themeColor="text1"/>
          <w:lang w:eastAsia="es-ES"/>
        </w:rPr>
      </w:pPr>
      <w:r w:rsidRPr="00652130">
        <w:rPr>
          <w:rFonts w:ascii="Verdana" w:eastAsia="Calibri" w:hAnsi="Verdana" w:cs="Arial"/>
          <w:b/>
          <w:bCs/>
          <w:color w:val="000000" w:themeColor="text1"/>
          <w:lang w:eastAsia="es-ES"/>
        </w:rPr>
        <w:t>PRECIO – Estructuración del precio</w:t>
      </w:r>
    </w:p>
    <w:p w14:paraId="08C3518A" w14:textId="77777777" w:rsidR="00741A8B" w:rsidRDefault="00E71298" w:rsidP="00741A8B">
      <w:pPr>
        <w:spacing w:after="0" w:line="240" w:lineRule="auto"/>
        <w:jc w:val="both"/>
        <w:rPr>
          <w:rFonts w:ascii="Verdana" w:hAnsi="Verdana" w:cs="Arial"/>
          <w:sz w:val="20"/>
          <w:szCs w:val="20"/>
          <w:lang w:val="es-ES" w:eastAsia="es-ES"/>
        </w:rPr>
      </w:pPr>
      <w:r w:rsidRPr="00E71298">
        <w:rPr>
          <w:rFonts w:ascii="Verdana" w:hAnsi="Verdana" w:cs="Arial"/>
          <w:sz w:val="20"/>
          <w:szCs w:val="20"/>
          <w:lang w:val="es-ES" w:eastAsia="es-ES"/>
        </w:rPr>
        <w:t>Uno de los elementos más comunes en los contratos estatales es el precio, también conocido como valor.</w:t>
      </w:r>
    </w:p>
    <w:p w14:paraId="6B79435F" w14:textId="77777777" w:rsidR="00741A8B" w:rsidRDefault="00741A8B" w:rsidP="00741A8B">
      <w:pPr>
        <w:spacing w:after="0" w:line="240" w:lineRule="auto"/>
        <w:jc w:val="both"/>
        <w:rPr>
          <w:rFonts w:ascii="Verdana" w:hAnsi="Verdana" w:cs="Arial"/>
          <w:sz w:val="20"/>
          <w:szCs w:val="20"/>
          <w:lang w:val="es-ES" w:eastAsia="es-ES"/>
        </w:rPr>
      </w:pPr>
    </w:p>
    <w:p w14:paraId="0758EBF1" w14:textId="77777777" w:rsidR="00741A8B" w:rsidRDefault="00E71298" w:rsidP="00741A8B">
      <w:pPr>
        <w:spacing w:after="0" w:line="240" w:lineRule="auto"/>
        <w:jc w:val="both"/>
        <w:rPr>
          <w:rFonts w:ascii="Verdana" w:hAnsi="Verdana" w:cs="Arial"/>
          <w:sz w:val="20"/>
          <w:szCs w:val="20"/>
          <w:lang w:val="es-ES" w:eastAsia="es-ES"/>
        </w:rPr>
      </w:pPr>
      <w:r w:rsidRPr="00E71298">
        <w:rPr>
          <w:rFonts w:ascii="Verdana" w:hAnsi="Verdana" w:cs="Arial"/>
          <w:sz w:val="20"/>
          <w:szCs w:val="20"/>
          <w:lang w:val="es-ES" w:eastAsia="es-ES"/>
        </w:rPr>
        <w:t xml:space="preserve">[…] </w:t>
      </w:r>
    </w:p>
    <w:p w14:paraId="79841532" w14:textId="77777777" w:rsidR="00741A8B" w:rsidRDefault="00741A8B" w:rsidP="00741A8B">
      <w:pPr>
        <w:spacing w:after="0" w:line="240" w:lineRule="auto"/>
        <w:jc w:val="both"/>
        <w:rPr>
          <w:rFonts w:ascii="Verdana" w:hAnsi="Verdana" w:cs="Arial"/>
          <w:sz w:val="20"/>
          <w:szCs w:val="20"/>
          <w:lang w:val="es-ES" w:eastAsia="es-ES"/>
        </w:rPr>
      </w:pPr>
    </w:p>
    <w:p w14:paraId="4334E1C7" w14:textId="79602BFA" w:rsidR="00E71298" w:rsidRDefault="00E71298" w:rsidP="00741A8B">
      <w:pPr>
        <w:spacing w:after="0" w:line="240" w:lineRule="auto"/>
        <w:jc w:val="both"/>
        <w:rPr>
          <w:rFonts w:ascii="Verdana" w:hAnsi="Verdana" w:cs="Arial"/>
          <w:sz w:val="20"/>
          <w:szCs w:val="20"/>
          <w:lang w:val="es-ES" w:eastAsia="es-ES"/>
        </w:rPr>
      </w:pPr>
      <w:r w:rsidRPr="00E71298">
        <w:rPr>
          <w:rFonts w:ascii="Verdana" w:hAnsi="Verdana" w:cs="Arial"/>
          <w:sz w:val="20"/>
          <w:szCs w:val="20"/>
          <w:lang w:val="es-ES" w:eastAsia="es-ES"/>
        </w:rPr>
        <w:t xml:space="preserve">Desde la etapa de planeación, en la fase precontractual, las entidades estatales deben calcular el presupuesto oficial, mediante la realización del análisis del sector –que incluye el estudio del mercado– y definir la metodología con la cual estructurarán el precio del contrato. Dicho de otro modo, hace parte de los estudios previos la definición del esquema que la Administración usará para estipular el precio. Tal metodología generalmente depende del tipo de contrato, pues hay algunas modalidades más comunes en los de obra pública; otras más utilizadas en los de prestación de servicios y otras más indicadas para los de concesión, por mencionar algunos ejemplos. No hay, pues, una sola metodología para pactar el precio y, en gran medida, la manera de hacerlo ha obedecido a la costumbre mercantil y a la influencia de disciplinas técnicas, como la ingeniería o la administración de empresas, en la contratación estatal. Dentro de tales esquemas de establecimiento del precio pueden citarse, entre otros: i) los precios unitarios –calculados de acuerdo con las unidades que componen el objeto del contrato–, ii) el precio global –que equivale al monto total, sin discriminar unidades–, y </w:t>
      </w:r>
      <w:proofErr w:type="spellStart"/>
      <w:r w:rsidRPr="00E71298">
        <w:rPr>
          <w:rFonts w:ascii="Verdana" w:hAnsi="Verdana" w:cs="Arial"/>
          <w:sz w:val="20"/>
          <w:szCs w:val="20"/>
          <w:lang w:val="es-ES" w:eastAsia="es-ES"/>
        </w:rPr>
        <w:t>iii</w:t>
      </w:r>
      <w:proofErr w:type="spellEnd"/>
      <w:r w:rsidRPr="00E71298">
        <w:rPr>
          <w:rFonts w:ascii="Verdana" w:hAnsi="Verdana" w:cs="Arial"/>
          <w:sz w:val="20"/>
          <w:szCs w:val="20"/>
          <w:lang w:val="es-ES" w:eastAsia="es-ES"/>
        </w:rPr>
        <w:t>) la administración delegada de recursos –en la que se distinguen los costos de inversión de los honorarios del administrador–.</w:t>
      </w:r>
    </w:p>
    <w:p w14:paraId="123FB8DE" w14:textId="77777777" w:rsidR="00741A8B" w:rsidRDefault="00741A8B" w:rsidP="00741A8B">
      <w:pPr>
        <w:spacing w:after="0" w:line="240" w:lineRule="auto"/>
        <w:jc w:val="both"/>
        <w:rPr>
          <w:rFonts w:ascii="Verdana" w:eastAsia="Calibri" w:hAnsi="Verdana" w:cs="Arial"/>
          <w:b/>
          <w:bCs/>
          <w:color w:val="000000" w:themeColor="text1"/>
          <w:lang w:eastAsia="es-ES"/>
        </w:rPr>
      </w:pPr>
    </w:p>
    <w:p w14:paraId="2B39A7F6" w14:textId="5B2E1746" w:rsidR="00652130" w:rsidRDefault="00652130" w:rsidP="00E71298">
      <w:pPr>
        <w:jc w:val="both"/>
        <w:rPr>
          <w:rFonts w:ascii="Verdana" w:eastAsia="Calibri" w:hAnsi="Verdana" w:cs="Arial"/>
          <w:b/>
          <w:bCs/>
          <w:color w:val="000000" w:themeColor="text1"/>
          <w:lang w:eastAsia="es-ES"/>
        </w:rPr>
      </w:pPr>
      <w:r w:rsidRPr="00652130">
        <w:rPr>
          <w:rFonts w:ascii="Verdana" w:eastAsia="Calibri" w:hAnsi="Verdana" w:cs="Arial"/>
          <w:b/>
          <w:bCs/>
          <w:color w:val="000000" w:themeColor="text1"/>
          <w:lang w:eastAsia="es-ES"/>
        </w:rPr>
        <w:t>CONTRATO BAJO SISTEMA DE PRECIOS UNITARIOS</w:t>
      </w:r>
      <w:r w:rsidR="00E71298">
        <w:rPr>
          <w:rFonts w:ascii="Verdana" w:eastAsia="Calibri" w:hAnsi="Verdana" w:cs="Arial"/>
          <w:b/>
          <w:bCs/>
          <w:color w:val="000000" w:themeColor="text1"/>
          <w:lang w:eastAsia="es-ES"/>
        </w:rPr>
        <w:t xml:space="preserve"> - C</w:t>
      </w:r>
      <w:r w:rsidR="00E71298" w:rsidRPr="00652130">
        <w:rPr>
          <w:rFonts w:ascii="Verdana" w:eastAsia="Calibri" w:hAnsi="Verdana" w:cs="Arial"/>
          <w:b/>
          <w:bCs/>
          <w:color w:val="000000" w:themeColor="text1"/>
          <w:lang w:eastAsia="es-ES"/>
        </w:rPr>
        <w:t>ostos directos e indirectos</w:t>
      </w:r>
      <w:r w:rsidRPr="00652130">
        <w:rPr>
          <w:rFonts w:ascii="Verdana" w:eastAsia="Calibri" w:hAnsi="Verdana" w:cs="Arial"/>
          <w:b/>
          <w:bCs/>
          <w:color w:val="000000" w:themeColor="text1"/>
          <w:lang w:eastAsia="es-ES"/>
        </w:rPr>
        <w:t xml:space="preserve"> – Finalidad – Ejecución del contrato </w:t>
      </w:r>
    </w:p>
    <w:p w14:paraId="1547F0DA" w14:textId="77777777" w:rsidR="00F631C0" w:rsidRPr="00F631C0" w:rsidRDefault="00E71298" w:rsidP="00F631C0">
      <w:pPr>
        <w:spacing w:after="0" w:line="240" w:lineRule="auto"/>
        <w:jc w:val="both"/>
        <w:rPr>
          <w:rFonts w:ascii="Verdana" w:hAnsi="Verdana" w:cs="Arial"/>
          <w:sz w:val="20"/>
          <w:szCs w:val="20"/>
          <w:lang w:val="es-ES" w:eastAsia="es-ES"/>
        </w:rPr>
      </w:pPr>
      <w:r w:rsidRPr="00F631C0">
        <w:rPr>
          <w:rFonts w:ascii="Verdana" w:hAnsi="Verdana" w:cs="Arial"/>
          <w:sz w:val="20"/>
          <w:szCs w:val="20"/>
          <w:lang w:val="es-ES" w:eastAsia="es-ES"/>
        </w:rPr>
        <w:t xml:space="preserve">Pues bien, en los contratos cuyo precio se estructura a partir del sistema de precios unitarios, ha hecho parte de la práctica de los negocios que el contratante le solicite al potencial contratista que separe en su propuesta los </w:t>
      </w:r>
      <w:r w:rsidRPr="00F631C0">
        <w:rPr>
          <w:rFonts w:ascii="Verdana" w:hAnsi="Verdana" w:cs="Arial"/>
          <w:i/>
          <w:iCs/>
          <w:sz w:val="20"/>
          <w:szCs w:val="20"/>
          <w:lang w:val="es-ES" w:eastAsia="es-ES"/>
        </w:rPr>
        <w:t>costos directos</w:t>
      </w:r>
      <w:r w:rsidRPr="00F631C0">
        <w:rPr>
          <w:rFonts w:ascii="Verdana" w:hAnsi="Verdana" w:cs="Arial"/>
          <w:sz w:val="20"/>
          <w:szCs w:val="20"/>
          <w:lang w:val="es-ES" w:eastAsia="es-ES"/>
        </w:rPr>
        <w:t xml:space="preserve"> –es decir, los que están directamente implicados en la ejecución del objeto–, de los </w:t>
      </w:r>
      <w:r w:rsidRPr="00F631C0">
        <w:rPr>
          <w:rFonts w:ascii="Verdana" w:hAnsi="Verdana" w:cs="Arial"/>
          <w:i/>
          <w:iCs/>
          <w:sz w:val="20"/>
          <w:szCs w:val="20"/>
          <w:lang w:val="es-ES" w:eastAsia="es-ES"/>
        </w:rPr>
        <w:t>costos indirectos</w:t>
      </w:r>
      <w:r w:rsidRPr="00F631C0">
        <w:rPr>
          <w:rFonts w:ascii="Verdana" w:hAnsi="Verdana" w:cs="Arial"/>
          <w:sz w:val="20"/>
          <w:szCs w:val="20"/>
          <w:lang w:val="es-ES" w:eastAsia="es-ES"/>
        </w:rPr>
        <w:t xml:space="preserve"> –que equivalen a los rubros que no tienen que ver de manera inmediata con la ejecución de las actividades contractuales, pero que integran también el precio, bien porque constituyen erogaciones administrativas o contingentes para el contratista o bien porque se dirigen a salvaguardar su ganancia–. En tal sentido, mientras que los </w:t>
      </w:r>
      <w:r w:rsidRPr="00F631C0">
        <w:rPr>
          <w:rFonts w:ascii="Verdana" w:hAnsi="Verdana" w:cs="Arial"/>
          <w:i/>
          <w:iCs/>
          <w:sz w:val="20"/>
          <w:szCs w:val="20"/>
          <w:lang w:val="es-ES" w:eastAsia="es-ES"/>
        </w:rPr>
        <w:t>costos directos</w:t>
      </w:r>
      <w:r w:rsidRPr="00F631C0">
        <w:rPr>
          <w:rFonts w:ascii="Verdana" w:hAnsi="Verdana" w:cs="Arial"/>
          <w:sz w:val="20"/>
          <w:szCs w:val="20"/>
          <w:lang w:val="es-ES" w:eastAsia="es-ES"/>
        </w:rPr>
        <w:t xml:space="preserve"> se evidencian en el análisis de precios unitarios –APU–, como la sumatoria de los valores de los </w:t>
      </w:r>
      <w:r w:rsidRPr="00F631C0">
        <w:rPr>
          <w:rFonts w:ascii="Verdana" w:hAnsi="Verdana" w:cs="Arial"/>
          <w:i/>
          <w:iCs/>
          <w:sz w:val="20"/>
          <w:szCs w:val="20"/>
          <w:lang w:val="es-ES" w:eastAsia="es-ES"/>
        </w:rPr>
        <w:t>ítems</w:t>
      </w:r>
      <w:r w:rsidRPr="00F631C0">
        <w:rPr>
          <w:rFonts w:ascii="Verdana" w:hAnsi="Verdana" w:cs="Arial"/>
          <w:sz w:val="20"/>
          <w:szCs w:val="20"/>
          <w:lang w:val="es-ES" w:eastAsia="es-ES"/>
        </w:rPr>
        <w:t xml:space="preserve"> según su unidad de medida, los </w:t>
      </w:r>
      <w:r w:rsidRPr="00F631C0">
        <w:rPr>
          <w:rFonts w:ascii="Verdana" w:hAnsi="Verdana" w:cs="Arial"/>
          <w:i/>
          <w:iCs/>
          <w:sz w:val="20"/>
          <w:szCs w:val="20"/>
          <w:lang w:val="es-ES" w:eastAsia="es-ES"/>
        </w:rPr>
        <w:t>costos indirectos</w:t>
      </w:r>
      <w:r w:rsidRPr="00F631C0">
        <w:rPr>
          <w:rFonts w:ascii="Verdana" w:hAnsi="Verdana" w:cs="Arial"/>
          <w:sz w:val="20"/>
          <w:szCs w:val="20"/>
          <w:lang w:val="es-ES" w:eastAsia="es-ES"/>
        </w:rPr>
        <w:t xml:space="preserve"> se suelen abreviar en las variables que integran el acrónimo AIU –Administración, Imprevistos y Utilidad–. </w:t>
      </w:r>
    </w:p>
    <w:p w14:paraId="37599431" w14:textId="77777777" w:rsidR="00F631C0" w:rsidRPr="00F631C0" w:rsidRDefault="00F631C0" w:rsidP="00F631C0">
      <w:pPr>
        <w:spacing w:after="0" w:line="240" w:lineRule="auto"/>
        <w:jc w:val="both"/>
        <w:rPr>
          <w:rFonts w:ascii="Verdana" w:hAnsi="Verdana" w:cs="Arial"/>
          <w:sz w:val="20"/>
          <w:szCs w:val="20"/>
          <w:lang w:val="es-ES" w:eastAsia="es-ES"/>
        </w:rPr>
      </w:pPr>
    </w:p>
    <w:p w14:paraId="1C51BF58" w14:textId="769B1AA1" w:rsidR="00F631C0" w:rsidRPr="00F631C0" w:rsidRDefault="00F631C0" w:rsidP="00F631C0">
      <w:pPr>
        <w:spacing w:after="0" w:line="240" w:lineRule="auto"/>
        <w:jc w:val="both"/>
        <w:rPr>
          <w:rFonts w:ascii="Verdana" w:hAnsi="Verdana" w:cs="Arial"/>
          <w:sz w:val="20"/>
          <w:szCs w:val="20"/>
          <w:lang w:val="es-ES" w:eastAsia="es-ES"/>
        </w:rPr>
      </w:pPr>
      <w:r w:rsidRPr="00F631C0">
        <w:rPr>
          <w:rFonts w:ascii="Verdana" w:hAnsi="Verdana" w:cs="Arial"/>
          <w:sz w:val="20"/>
          <w:szCs w:val="20"/>
          <w:lang w:val="es-ES" w:eastAsia="es-ES"/>
        </w:rPr>
        <w:t>[…]</w:t>
      </w:r>
    </w:p>
    <w:p w14:paraId="71078C87" w14:textId="77777777" w:rsidR="00F631C0" w:rsidRPr="00F631C0" w:rsidRDefault="00F631C0" w:rsidP="00F631C0">
      <w:pPr>
        <w:spacing w:after="0" w:line="240" w:lineRule="auto"/>
        <w:jc w:val="both"/>
        <w:rPr>
          <w:rFonts w:ascii="Verdana" w:hAnsi="Verdana" w:cs="Arial"/>
          <w:bCs/>
          <w:sz w:val="20"/>
          <w:szCs w:val="20"/>
          <w:lang w:val="es-ES" w:eastAsia="es-ES_tradnl"/>
        </w:rPr>
      </w:pPr>
    </w:p>
    <w:p w14:paraId="0477A874" w14:textId="77777777" w:rsidR="00F631C0" w:rsidRPr="00F631C0" w:rsidRDefault="00E71298" w:rsidP="00F631C0">
      <w:pPr>
        <w:spacing w:after="0" w:line="240" w:lineRule="auto"/>
        <w:jc w:val="both"/>
        <w:rPr>
          <w:rFonts w:ascii="Verdana" w:hAnsi="Verdana" w:cs="Arial"/>
          <w:sz w:val="20"/>
          <w:szCs w:val="20"/>
          <w:lang w:val="es-ES" w:eastAsia="es-ES"/>
        </w:rPr>
      </w:pPr>
      <w:r w:rsidRPr="00F631C0">
        <w:rPr>
          <w:rFonts w:ascii="Verdana" w:hAnsi="Verdana" w:cs="Arial"/>
          <w:bCs/>
          <w:sz w:val="20"/>
          <w:szCs w:val="20"/>
          <w:lang w:val="es-ES" w:eastAsia="es-ES_tradnl"/>
        </w:rPr>
        <w:t>L</w:t>
      </w:r>
      <w:r w:rsidRPr="00F631C0">
        <w:rPr>
          <w:rFonts w:ascii="Verdana" w:hAnsi="Verdana" w:cs="Arial"/>
          <w:bCs/>
          <w:sz w:val="20"/>
          <w:szCs w:val="20"/>
          <w:lang w:val="es-ES_tradnl" w:eastAsia="es-ES_tradnl"/>
        </w:rPr>
        <w:t xml:space="preserve">a jurisprudencia ha señalado que “[…] </w:t>
      </w:r>
      <w:r w:rsidRPr="00F631C0">
        <w:rPr>
          <w:rFonts w:ascii="Verdana" w:hAnsi="Verdana" w:cs="Arial"/>
          <w:bCs/>
          <w:sz w:val="20"/>
          <w:szCs w:val="20"/>
          <w:lang w:eastAsia="es-ES_tradnl"/>
        </w:rPr>
        <w:t xml:space="preserve">en la conformación de dichos precios unitarios, se tienen en cuenta todos los gastos que se requieren para realizar la unidad de medida </w:t>
      </w:r>
      <w:r w:rsidRPr="00F631C0">
        <w:rPr>
          <w:rFonts w:ascii="Verdana" w:hAnsi="Verdana" w:cs="Arial"/>
          <w:bCs/>
          <w:sz w:val="20"/>
          <w:szCs w:val="20"/>
          <w:lang w:eastAsia="es-ES_tradnl"/>
        </w:rPr>
        <w:lastRenderedPageBreak/>
        <w:t xml:space="preserve">respectiva –el metro lineal, el metro cúbico, el metro cuadrado, etc.-. Y lo que comúnmente se denomina análisis de precios unitarios, corresponde a la descomposición de </w:t>
      </w:r>
      <w:proofErr w:type="gramStart"/>
      <w:r w:rsidRPr="00F631C0">
        <w:rPr>
          <w:rFonts w:ascii="Verdana" w:hAnsi="Verdana" w:cs="Arial"/>
          <w:bCs/>
          <w:sz w:val="20"/>
          <w:szCs w:val="20"/>
          <w:lang w:eastAsia="es-ES_tradnl"/>
        </w:rPr>
        <w:t>los mismos</w:t>
      </w:r>
      <w:proofErr w:type="gramEnd"/>
      <w:r w:rsidRPr="00F631C0">
        <w:rPr>
          <w:rFonts w:ascii="Verdana" w:hAnsi="Verdana" w:cs="Arial"/>
          <w:bCs/>
          <w:sz w:val="20"/>
          <w:szCs w:val="20"/>
          <w:lang w:eastAsia="es-ES_tradnl"/>
        </w:rPr>
        <w:t xml:space="preserve"> para determinar los costos que los conforman: la maquinaria que se utilizará, calculando el valor por el tiempo que se requiera; la mano de obra, teniendo en cuenta el costo hora-hombre, y cuántas personas se requieren para la ejecución de esa unidad de medida; la cantidad de los materiales necesarios, etc.</w:t>
      </w:r>
    </w:p>
    <w:p w14:paraId="1F6CCE14" w14:textId="77777777" w:rsidR="00F631C0" w:rsidRPr="00F631C0" w:rsidRDefault="00F631C0" w:rsidP="00F631C0">
      <w:pPr>
        <w:spacing w:after="0" w:line="240" w:lineRule="auto"/>
        <w:jc w:val="both"/>
        <w:rPr>
          <w:rFonts w:ascii="Verdana" w:hAnsi="Verdana" w:cs="Arial"/>
          <w:sz w:val="20"/>
          <w:szCs w:val="20"/>
          <w:lang w:val="es-ES" w:eastAsia="es-ES"/>
        </w:rPr>
      </w:pPr>
    </w:p>
    <w:p w14:paraId="48433F18" w14:textId="7D862CAC" w:rsidR="00E71298" w:rsidRPr="00F631C0" w:rsidRDefault="00E71298" w:rsidP="00F631C0">
      <w:pPr>
        <w:spacing w:after="0" w:line="240" w:lineRule="auto"/>
        <w:jc w:val="both"/>
        <w:rPr>
          <w:rFonts w:ascii="Verdana" w:hAnsi="Verdana" w:cs="Arial"/>
          <w:sz w:val="20"/>
          <w:szCs w:val="20"/>
          <w:lang w:val="es-ES" w:eastAsia="es-ES"/>
        </w:rPr>
      </w:pPr>
      <w:r w:rsidRPr="00F631C0">
        <w:rPr>
          <w:rFonts w:ascii="Verdana" w:hAnsi="Verdana" w:cs="Arial"/>
          <w:sz w:val="20"/>
          <w:szCs w:val="20"/>
          <w:lang w:val="es-ES" w:eastAsia="es-ES"/>
        </w:rPr>
        <w:t>[…]</w:t>
      </w:r>
    </w:p>
    <w:p w14:paraId="7917184F" w14:textId="77777777" w:rsidR="00F631C0" w:rsidRPr="00F631C0" w:rsidRDefault="00F631C0" w:rsidP="00F631C0">
      <w:pPr>
        <w:spacing w:after="0" w:line="240" w:lineRule="auto"/>
        <w:jc w:val="both"/>
        <w:rPr>
          <w:rFonts w:ascii="Verdana" w:hAnsi="Verdana" w:cs="Arial"/>
          <w:sz w:val="20"/>
          <w:szCs w:val="20"/>
          <w:lang w:val="es-ES" w:eastAsia="es-ES"/>
        </w:rPr>
      </w:pPr>
    </w:p>
    <w:p w14:paraId="0C182B72" w14:textId="77777777" w:rsidR="00F631C0" w:rsidRDefault="00F631C0" w:rsidP="00F631C0">
      <w:pPr>
        <w:spacing w:after="0" w:line="240" w:lineRule="auto"/>
        <w:jc w:val="both"/>
        <w:rPr>
          <w:rFonts w:ascii="Verdana" w:hAnsi="Verdana" w:cs="Arial"/>
          <w:sz w:val="20"/>
          <w:szCs w:val="20"/>
          <w:lang w:val="es-ES" w:eastAsia="es-ES"/>
        </w:rPr>
      </w:pPr>
      <w:r w:rsidRPr="00F631C0">
        <w:rPr>
          <w:rFonts w:ascii="Verdana" w:hAnsi="Verdana" w:cs="Arial"/>
          <w:sz w:val="20"/>
          <w:szCs w:val="20"/>
          <w:lang w:val="es-ES" w:eastAsia="es-ES"/>
        </w:rPr>
        <w:t xml:space="preserve">[…] </w:t>
      </w:r>
      <w:r w:rsidR="00E71298" w:rsidRPr="00F631C0">
        <w:rPr>
          <w:rFonts w:ascii="Verdana" w:hAnsi="Verdana" w:cs="Arial"/>
          <w:sz w:val="20"/>
          <w:szCs w:val="20"/>
          <w:lang w:val="es-ES" w:eastAsia="es-ES"/>
        </w:rPr>
        <w:t xml:space="preserve">el concepto del A.I.U. comprende la Administración (costos indirectos) imprevistos y utilidades, y en algunos contratos este valor aparece cuantificado en forma independiente al valor de la obra y como un porcentaje de </w:t>
      </w:r>
      <w:proofErr w:type="gramStart"/>
      <w:r w:rsidR="00E71298" w:rsidRPr="00F631C0">
        <w:rPr>
          <w:rFonts w:ascii="Verdana" w:hAnsi="Verdana" w:cs="Arial"/>
          <w:sz w:val="20"/>
          <w:szCs w:val="20"/>
          <w:lang w:val="es-ES" w:eastAsia="es-ES"/>
        </w:rPr>
        <w:t>la misma</w:t>
      </w:r>
      <w:proofErr w:type="gramEnd"/>
      <w:r w:rsidR="00E71298" w:rsidRPr="00F631C0">
        <w:rPr>
          <w:rFonts w:ascii="Verdana" w:hAnsi="Verdana" w:cs="Arial"/>
          <w:sz w:val="20"/>
          <w:szCs w:val="20"/>
          <w:lang w:val="es-ES" w:eastAsia="es-ES"/>
        </w:rPr>
        <w:t xml:space="preserve">, sin perjuicio que en otros contratos este valor no aparezca discriminado y se incorpore en el valor de los precios unitarios”. </w:t>
      </w:r>
    </w:p>
    <w:p w14:paraId="4E4F31A5" w14:textId="77777777" w:rsidR="00F631C0" w:rsidRDefault="00F631C0" w:rsidP="00F631C0">
      <w:pPr>
        <w:spacing w:after="0" w:line="240" w:lineRule="auto"/>
        <w:jc w:val="both"/>
        <w:rPr>
          <w:rFonts w:ascii="Verdana" w:hAnsi="Verdana" w:cs="Arial"/>
          <w:sz w:val="20"/>
          <w:szCs w:val="20"/>
          <w:lang w:val="es-ES" w:eastAsia="es-ES"/>
        </w:rPr>
      </w:pPr>
    </w:p>
    <w:p w14:paraId="0C90C0E4" w14:textId="1647748E" w:rsidR="00652130" w:rsidRDefault="00652130" w:rsidP="00F631C0">
      <w:pPr>
        <w:spacing w:after="0" w:line="240" w:lineRule="auto"/>
        <w:jc w:val="both"/>
        <w:rPr>
          <w:rFonts w:ascii="Verdana" w:eastAsia="Calibri" w:hAnsi="Verdana" w:cs="Arial"/>
          <w:b/>
          <w:bCs/>
          <w:color w:val="000000" w:themeColor="text1"/>
          <w:lang w:eastAsia="es-ES"/>
        </w:rPr>
      </w:pPr>
      <w:r w:rsidRPr="00652130">
        <w:rPr>
          <w:rFonts w:ascii="Verdana" w:eastAsia="Calibri" w:hAnsi="Verdana" w:cs="Arial"/>
          <w:b/>
          <w:bCs/>
          <w:color w:val="000000" w:themeColor="text1"/>
          <w:lang w:eastAsia="es-ES"/>
        </w:rPr>
        <w:t xml:space="preserve">PRECIO – Relación con el AIU </w:t>
      </w:r>
    </w:p>
    <w:p w14:paraId="2C9CD13A" w14:textId="77777777" w:rsidR="00B22060" w:rsidRDefault="00B22060" w:rsidP="00F631C0">
      <w:pPr>
        <w:spacing w:after="0" w:line="240" w:lineRule="auto"/>
        <w:jc w:val="both"/>
        <w:rPr>
          <w:rFonts w:ascii="Verdana" w:hAnsi="Verdana" w:cs="Arial"/>
          <w:sz w:val="20"/>
          <w:szCs w:val="20"/>
          <w:lang w:eastAsia="es-ES"/>
        </w:rPr>
      </w:pPr>
    </w:p>
    <w:p w14:paraId="65E3FA39" w14:textId="77777777" w:rsidR="00B22060" w:rsidRDefault="00B22060" w:rsidP="00652130">
      <w:pPr>
        <w:spacing w:after="0" w:line="240" w:lineRule="auto"/>
        <w:jc w:val="both"/>
        <w:rPr>
          <w:rFonts w:ascii="Verdana" w:hAnsi="Verdana" w:cs="Arial"/>
          <w:sz w:val="20"/>
          <w:szCs w:val="20"/>
          <w:lang w:eastAsia="es-ES"/>
        </w:rPr>
      </w:pPr>
      <w:r w:rsidRPr="00B22060">
        <w:rPr>
          <w:rFonts w:ascii="Verdana" w:hAnsi="Verdana" w:cs="Arial"/>
          <w:sz w:val="20"/>
          <w:szCs w:val="20"/>
          <w:lang w:eastAsia="es-ES"/>
        </w:rPr>
        <w:t>En este contexto, si con base en los estudios del sector la entidad estatal estableció la necesidad de estructurar el valor bajo el sistema de precios unitarios y con el desglose del AIU, el precio se debería pagar con base en el valor de los costos directos incrementados por el porcentaje del AIU, en relación con todas las actividades calculadas bajo este sistema. En otras palabras, cuando el valor en el contrato se estructuró utilizando el sistema de AIU, el pago del AIU debe aplicarse a todas las actividades del contrato, a menos que se haya acordado lo contrario.</w:t>
      </w:r>
    </w:p>
    <w:p w14:paraId="76DFCD0B" w14:textId="77777777" w:rsidR="00B22060" w:rsidRDefault="00B22060" w:rsidP="00652130">
      <w:pPr>
        <w:spacing w:after="0" w:line="240" w:lineRule="auto"/>
        <w:jc w:val="both"/>
        <w:rPr>
          <w:rFonts w:ascii="Verdana" w:hAnsi="Verdana" w:cs="Arial"/>
          <w:sz w:val="20"/>
          <w:szCs w:val="20"/>
          <w:lang w:eastAsia="es-ES"/>
        </w:rPr>
      </w:pPr>
    </w:p>
    <w:p w14:paraId="585596DF" w14:textId="097EFC96" w:rsidR="00652130" w:rsidRDefault="00652130" w:rsidP="00652130">
      <w:pPr>
        <w:spacing w:after="0" w:line="240" w:lineRule="auto"/>
        <w:jc w:val="both"/>
        <w:rPr>
          <w:rFonts w:ascii="Verdana" w:eastAsia="Calibri" w:hAnsi="Verdana" w:cs="Arial"/>
          <w:b/>
          <w:bCs/>
          <w:color w:val="000000" w:themeColor="text1"/>
          <w:lang w:eastAsia="es-ES"/>
        </w:rPr>
      </w:pPr>
      <w:r w:rsidRPr="00652130">
        <w:rPr>
          <w:rFonts w:ascii="Verdana" w:eastAsia="Calibri" w:hAnsi="Verdana" w:cs="Arial"/>
          <w:b/>
          <w:bCs/>
          <w:color w:val="000000" w:themeColor="text1"/>
          <w:lang w:eastAsia="es-ES"/>
        </w:rPr>
        <w:t>PRECIO – AIU – Autonomía de la voluntad - Componentes – Límites</w:t>
      </w:r>
    </w:p>
    <w:p w14:paraId="67DD36F9" w14:textId="77777777" w:rsidR="00B22060" w:rsidRDefault="00B22060" w:rsidP="00652130">
      <w:pPr>
        <w:spacing w:after="0" w:line="240" w:lineRule="auto"/>
        <w:jc w:val="both"/>
        <w:rPr>
          <w:rFonts w:ascii="Verdana" w:eastAsia="Calibri" w:hAnsi="Verdana" w:cs="Arial"/>
          <w:b/>
          <w:bCs/>
          <w:color w:val="000000" w:themeColor="text1"/>
          <w:lang w:eastAsia="es-ES"/>
        </w:rPr>
      </w:pPr>
    </w:p>
    <w:p w14:paraId="54BAA2CF" w14:textId="2891408A" w:rsidR="00B22060" w:rsidRPr="00B22060" w:rsidRDefault="00B22060" w:rsidP="00B22060">
      <w:pPr>
        <w:spacing w:after="0" w:line="240" w:lineRule="auto"/>
        <w:jc w:val="both"/>
        <w:rPr>
          <w:rFonts w:ascii="Verdana" w:hAnsi="Verdana" w:cs="Arial"/>
          <w:sz w:val="20"/>
          <w:szCs w:val="20"/>
          <w:lang w:val="es-ES" w:eastAsia="es-ES"/>
        </w:rPr>
      </w:pPr>
      <w:r w:rsidRPr="00B22060">
        <w:rPr>
          <w:rFonts w:ascii="Verdana" w:hAnsi="Verdana" w:cs="Arial"/>
          <w:sz w:val="20"/>
          <w:szCs w:val="20"/>
          <w:lang w:val="es-ES" w:eastAsia="es-ES"/>
        </w:rPr>
        <w:t>[…] tanto las entidades sometidas al Estatuto General de Contratación de la Administración Pública, como las excluidas de este –es decir, las que tienen un régimen especial– gozan de autonomía para configurar el precio y para establecer el sistema de pago más apropiado para satisfacer los fines de la contratación, respetando los límites previstos en el ordenamiento. Por ende, la decisión de incluir el sistema de precios unitarios y el AIU, al igual que la metodología de delimitación de sus variables –ítems y porcentajes– debe obedecer a un juicioso análisis de oportunidad y conveniencia, que consulte las reglas de la experiencia, así como los aspectos particulares de cada negocio. Lo anterior en armonía con la garantía de los principios de la función administrativa y de la gestión fiscal, dentro de los cuales se halla el principio de economía, postulado que exige la optimización de los recursos públicos.</w:t>
      </w:r>
    </w:p>
    <w:p w14:paraId="16EF93B7" w14:textId="77777777" w:rsidR="00B22060" w:rsidRPr="00B22060" w:rsidRDefault="00B22060" w:rsidP="00652130">
      <w:pPr>
        <w:spacing w:after="0" w:line="240" w:lineRule="auto"/>
        <w:jc w:val="both"/>
        <w:rPr>
          <w:rFonts w:ascii="Verdana" w:hAnsi="Verdana" w:cs="Arial"/>
          <w:sz w:val="20"/>
          <w:szCs w:val="20"/>
          <w:lang w:val="es-ES" w:eastAsia="es-ES"/>
        </w:rPr>
      </w:pPr>
    </w:p>
    <w:p w14:paraId="2A92AF23" w14:textId="77777777" w:rsidR="00652130" w:rsidRDefault="00652130">
      <w:pPr>
        <w:spacing w:after="0" w:line="240" w:lineRule="auto"/>
        <w:rPr>
          <w:rFonts w:ascii="Verdana" w:eastAsia="Verdana" w:hAnsi="Verdana" w:cs="Verdana"/>
        </w:rPr>
      </w:pPr>
    </w:p>
    <w:p w14:paraId="4050DFC6" w14:textId="77777777" w:rsidR="0011656D" w:rsidRDefault="0011656D">
      <w:pPr>
        <w:spacing w:after="0" w:line="240" w:lineRule="auto"/>
        <w:rPr>
          <w:rFonts w:ascii="Verdana" w:eastAsia="Verdana" w:hAnsi="Verdana" w:cs="Verdana"/>
        </w:rPr>
      </w:pPr>
    </w:p>
    <w:p w14:paraId="5F7C93BA" w14:textId="77777777" w:rsidR="0011656D" w:rsidRDefault="0011656D">
      <w:pPr>
        <w:spacing w:after="0" w:line="240" w:lineRule="auto"/>
        <w:rPr>
          <w:rFonts w:ascii="Verdana" w:eastAsia="Verdana" w:hAnsi="Verdana" w:cs="Verdana"/>
        </w:rPr>
      </w:pPr>
    </w:p>
    <w:p w14:paraId="252C915E" w14:textId="77777777" w:rsidR="0011656D" w:rsidRDefault="0011656D">
      <w:pPr>
        <w:spacing w:after="0" w:line="240" w:lineRule="auto"/>
        <w:rPr>
          <w:rFonts w:ascii="Verdana" w:eastAsia="Verdana" w:hAnsi="Verdana" w:cs="Verdana"/>
        </w:rPr>
      </w:pPr>
    </w:p>
    <w:p w14:paraId="35CBD243" w14:textId="77777777" w:rsidR="0011656D" w:rsidRDefault="0011656D">
      <w:pPr>
        <w:spacing w:after="0" w:line="240" w:lineRule="auto"/>
        <w:rPr>
          <w:rFonts w:ascii="Verdana" w:eastAsia="Verdana" w:hAnsi="Verdana" w:cs="Verdana"/>
        </w:rPr>
      </w:pPr>
    </w:p>
    <w:p w14:paraId="3A1291A1" w14:textId="77777777" w:rsidR="0011656D" w:rsidRDefault="0011656D">
      <w:pPr>
        <w:spacing w:after="0" w:line="240" w:lineRule="auto"/>
        <w:rPr>
          <w:rFonts w:ascii="Verdana" w:eastAsia="Verdana" w:hAnsi="Verdana" w:cs="Verdana"/>
        </w:rPr>
      </w:pPr>
    </w:p>
    <w:p w14:paraId="68E4E922" w14:textId="0FA791D7" w:rsidR="00652130" w:rsidRDefault="00B706C7">
      <w:pPr>
        <w:spacing w:after="0" w:line="240" w:lineRule="auto"/>
        <w:rPr>
          <w:rFonts w:ascii="Verdana" w:hAnsi="Verdana"/>
        </w:rPr>
      </w:pPr>
      <w:r w:rsidRPr="30821638">
        <w:rPr>
          <w:rFonts w:ascii="Verdana" w:eastAsia="Verdana" w:hAnsi="Verdana" w:cs="Verdana"/>
        </w:rPr>
        <w:lastRenderedPageBreak/>
        <w:t xml:space="preserve">Bogotá D.C., </w:t>
      </w:r>
      <w:r w:rsidR="00652130">
        <w:rPr>
          <w:rFonts w:ascii="Verdana" w:eastAsia="Verdana" w:hAnsi="Verdana" w:cs="Verdana"/>
        </w:rPr>
        <w:t>22 Julio 2026</w:t>
      </w:r>
      <w:r w:rsidRPr="00710FEC">
        <w:rPr>
          <w:rFonts w:ascii="Verdana" w:hAnsi="Verdana"/>
        </w:rPr>
        <w:tab/>
      </w:r>
    </w:p>
    <w:bookmarkEnd w:id="0"/>
    <w:p w14:paraId="65D1F3F6" w14:textId="152C5750" w:rsidR="00B706C7" w:rsidRDefault="00652130" w:rsidP="00652130">
      <w:pPr>
        <w:spacing w:after="0" w:line="240" w:lineRule="auto"/>
        <w:jc w:val="right"/>
        <w:rPr>
          <w:rFonts w:ascii="Verdana" w:hAnsi="Verdana"/>
        </w:rPr>
      </w:pPr>
      <w:r w:rsidRPr="00652130">
        <w:rPr>
          <w:rFonts w:ascii="Verdana" w:hAnsi="Verdana"/>
          <w:noProof/>
        </w:rPr>
        <w:drawing>
          <wp:inline distT="0" distB="0" distL="0" distR="0" wp14:anchorId="611E48FD" wp14:editId="3D91D85C">
            <wp:extent cx="1931035" cy="476250"/>
            <wp:effectExtent l="0" t="0" r="0" b="0"/>
            <wp:docPr id="4704631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463184" name=""/>
                    <pic:cNvPicPr/>
                  </pic:nvPicPr>
                  <pic:blipFill>
                    <a:blip r:embed="rId10"/>
                    <a:stretch>
                      <a:fillRect/>
                    </a:stretch>
                  </pic:blipFill>
                  <pic:spPr>
                    <a:xfrm>
                      <a:off x="0" y="0"/>
                      <a:ext cx="1987744" cy="490236"/>
                    </a:xfrm>
                    <a:prstGeom prst="rect">
                      <a:avLst/>
                    </a:prstGeom>
                  </pic:spPr>
                </pic:pic>
              </a:graphicData>
            </a:graphic>
          </wp:inline>
        </w:drawing>
      </w:r>
      <w:r w:rsidR="00B706C7" w:rsidRPr="00710FEC">
        <w:rPr>
          <w:rFonts w:ascii="Verdana" w:hAnsi="Verdana"/>
        </w:rPr>
        <w:tab/>
      </w:r>
    </w:p>
    <w:p w14:paraId="42890626" w14:textId="77777777" w:rsidR="00B706C7" w:rsidRPr="00710FEC" w:rsidRDefault="00B706C7" w:rsidP="00B706C7">
      <w:pPr>
        <w:spacing w:after="0" w:line="240" w:lineRule="auto"/>
        <w:jc w:val="both"/>
        <w:rPr>
          <w:rFonts w:ascii="Verdana" w:eastAsia="Calibri" w:hAnsi="Verdana" w:cs="Arial"/>
          <w:lang w:eastAsia="es-ES"/>
        </w:rPr>
      </w:pPr>
      <w:bookmarkStart w:id="1" w:name="_Hlk214366482"/>
      <w:r w:rsidRPr="00710FEC">
        <w:rPr>
          <w:rFonts w:ascii="Verdana" w:eastAsia="Calibri" w:hAnsi="Verdana" w:cs="Arial"/>
          <w:lang w:eastAsia="es-ES"/>
        </w:rPr>
        <w:t xml:space="preserve">Señor </w:t>
      </w:r>
    </w:p>
    <w:p w14:paraId="1DBDBB38" w14:textId="77777777" w:rsidR="00B706C7" w:rsidRDefault="00B706C7" w:rsidP="00B706C7">
      <w:pPr>
        <w:spacing w:after="0" w:line="240" w:lineRule="auto"/>
        <w:jc w:val="both"/>
        <w:rPr>
          <w:rFonts w:ascii="Verdana" w:eastAsia="Calibri" w:hAnsi="Verdana" w:cs="Arial"/>
          <w:b/>
          <w:bCs/>
          <w:lang w:eastAsia="es-ES"/>
        </w:rPr>
      </w:pPr>
      <w:r>
        <w:rPr>
          <w:rFonts w:ascii="Verdana" w:eastAsia="Calibri" w:hAnsi="Verdana" w:cs="Arial"/>
          <w:b/>
          <w:bCs/>
          <w:lang w:eastAsia="es-ES"/>
        </w:rPr>
        <w:t xml:space="preserve">Nelson Andrés Oviedo Escobar </w:t>
      </w:r>
    </w:p>
    <w:p w14:paraId="12C41DE7" w14:textId="77777777" w:rsidR="00B706C7" w:rsidRPr="006D7385" w:rsidRDefault="00B706C7" w:rsidP="00B706C7">
      <w:pPr>
        <w:spacing w:after="0" w:line="240" w:lineRule="auto"/>
        <w:jc w:val="both"/>
        <w:rPr>
          <w:rFonts w:ascii="Verdana" w:hAnsi="Verdana"/>
          <w:b/>
          <w:bCs/>
        </w:rPr>
      </w:pPr>
      <w:hyperlink r:id="rId11" w:history="1">
        <w:r w:rsidRPr="006D7385">
          <w:rPr>
            <w:rStyle w:val="Hipervnculo"/>
            <w:rFonts w:ascii="Verdana" w:hAnsi="Verdana"/>
            <w:b/>
            <w:bCs/>
          </w:rPr>
          <w:t>noviedoescobar@gmail.com</w:t>
        </w:r>
      </w:hyperlink>
    </w:p>
    <w:p w14:paraId="08BBD022" w14:textId="77777777" w:rsidR="00B706C7" w:rsidRPr="007F2AEC" w:rsidRDefault="00B706C7" w:rsidP="00B706C7">
      <w:pPr>
        <w:spacing w:after="0" w:line="240" w:lineRule="auto"/>
        <w:jc w:val="both"/>
        <w:rPr>
          <w:rFonts w:ascii="Verdana" w:hAnsi="Verdana"/>
        </w:rPr>
      </w:pPr>
      <w:r>
        <w:rPr>
          <w:rFonts w:ascii="Verdana" w:hAnsi="Verdana"/>
        </w:rPr>
        <w:t>Florencia - Caquetá</w:t>
      </w:r>
    </w:p>
    <w:p w14:paraId="282C5815" w14:textId="77777777" w:rsidR="00B706C7" w:rsidRPr="007F2AEC" w:rsidRDefault="00B706C7" w:rsidP="00B706C7">
      <w:pPr>
        <w:spacing w:after="0" w:line="240" w:lineRule="auto"/>
        <w:jc w:val="both"/>
        <w:rPr>
          <w:rFonts w:ascii="Verdana" w:eastAsia="Calibri" w:hAnsi="Verdana" w:cs="Arial"/>
          <w:b/>
          <w:bCs/>
          <w:color w:val="000000"/>
          <w:lang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5670"/>
      </w:tblGrid>
      <w:tr w:rsidR="00B706C7" w:rsidRPr="005644FE" w14:paraId="3E938254" w14:textId="77777777" w:rsidTr="00910E48">
        <w:trPr>
          <w:trHeight w:val="162"/>
        </w:trPr>
        <w:tc>
          <w:tcPr>
            <w:tcW w:w="3119" w:type="dxa"/>
          </w:tcPr>
          <w:p w14:paraId="483BEC27" w14:textId="77777777" w:rsidR="00B706C7" w:rsidRPr="007F2AEC" w:rsidRDefault="00B706C7" w:rsidP="00910E48">
            <w:pPr>
              <w:jc w:val="both"/>
              <w:rPr>
                <w:rFonts w:ascii="Verdana" w:eastAsia="Calibri" w:hAnsi="Verdana" w:cs="Arial"/>
                <w:b/>
                <w:bCs/>
                <w:color w:val="7030A0"/>
                <w:lang w:eastAsia="es-ES_tradnl"/>
              </w:rPr>
            </w:pPr>
          </w:p>
        </w:tc>
        <w:tc>
          <w:tcPr>
            <w:tcW w:w="5670" w:type="dxa"/>
          </w:tcPr>
          <w:p w14:paraId="3DDF7BCB" w14:textId="77777777" w:rsidR="00B706C7" w:rsidRPr="005644FE" w:rsidRDefault="00B706C7" w:rsidP="00910E48">
            <w:pPr>
              <w:jc w:val="both"/>
              <w:rPr>
                <w:rFonts w:ascii="Verdana" w:eastAsia="Calibri" w:hAnsi="Verdana" w:cs="Arial"/>
                <w:b/>
                <w:bCs/>
                <w:lang w:eastAsia="es-ES"/>
              </w:rPr>
            </w:pPr>
            <w:r w:rsidRPr="005644FE">
              <w:rPr>
                <w:rFonts w:ascii="Verdana" w:eastAsia="Calibri" w:hAnsi="Verdana" w:cs="Arial"/>
                <w:b/>
                <w:bCs/>
                <w:lang w:eastAsia="es-ES"/>
              </w:rPr>
              <w:t>Concepto C</w:t>
            </w:r>
            <w:r w:rsidRPr="00205473">
              <w:rPr>
                <w:rFonts w:ascii="Verdana" w:eastAsia="Calibri" w:hAnsi="Verdana" w:cs="Arial"/>
                <w:b/>
                <w:bCs/>
                <w:lang w:eastAsia="es-ES"/>
              </w:rPr>
              <w:t>-</w:t>
            </w:r>
            <w:r>
              <w:rPr>
                <w:rFonts w:ascii="Verdana" w:eastAsia="Calibri" w:hAnsi="Verdana" w:cs="Arial"/>
                <w:b/>
                <w:bCs/>
                <w:lang w:eastAsia="es-ES"/>
              </w:rPr>
              <w:t>944 de 2026</w:t>
            </w:r>
          </w:p>
          <w:p w14:paraId="419CFC9A" w14:textId="77777777" w:rsidR="00B706C7" w:rsidRPr="005644FE" w:rsidRDefault="00B706C7" w:rsidP="00910E48">
            <w:pPr>
              <w:jc w:val="both"/>
              <w:rPr>
                <w:rFonts w:ascii="Verdana" w:eastAsia="Calibri" w:hAnsi="Verdana" w:cs="Arial"/>
                <w:b/>
                <w:bCs/>
                <w:color w:val="7030A0"/>
                <w:lang w:eastAsia="es-ES"/>
              </w:rPr>
            </w:pPr>
          </w:p>
        </w:tc>
      </w:tr>
      <w:tr w:rsidR="00B706C7" w:rsidRPr="005644FE" w14:paraId="75FA82DC" w14:textId="77777777" w:rsidTr="00910E48">
        <w:trPr>
          <w:trHeight w:val="884"/>
        </w:trPr>
        <w:tc>
          <w:tcPr>
            <w:tcW w:w="3119" w:type="dxa"/>
          </w:tcPr>
          <w:p w14:paraId="3BFB96F3" w14:textId="77777777" w:rsidR="00B706C7" w:rsidRPr="005644FE" w:rsidRDefault="00B706C7" w:rsidP="00910E48">
            <w:pPr>
              <w:jc w:val="both"/>
              <w:rPr>
                <w:rFonts w:ascii="Verdana" w:eastAsia="Calibri" w:hAnsi="Verdana" w:cs="Arial"/>
                <w:color w:val="000000"/>
                <w:lang w:eastAsia="es-ES_tradnl"/>
              </w:rPr>
            </w:pPr>
            <w:r w:rsidRPr="005644FE">
              <w:rPr>
                <w:rFonts w:ascii="Verdana" w:eastAsia="Calibri" w:hAnsi="Verdana" w:cs="Arial"/>
                <w:b/>
                <w:color w:val="000000"/>
                <w:lang w:eastAsia="es-ES_tradnl"/>
              </w:rPr>
              <w:t>Temas:</w:t>
            </w:r>
            <w:r w:rsidRPr="005644FE">
              <w:rPr>
                <w:rFonts w:ascii="Verdana" w:eastAsia="Calibri" w:hAnsi="Verdana" w:cs="Arial"/>
                <w:color w:val="000000"/>
                <w:lang w:eastAsia="es-ES_tradnl"/>
              </w:rPr>
              <w:t xml:space="preserve">                   </w:t>
            </w:r>
          </w:p>
        </w:tc>
        <w:tc>
          <w:tcPr>
            <w:tcW w:w="5670" w:type="dxa"/>
          </w:tcPr>
          <w:p w14:paraId="3DDAB83A" w14:textId="77777777" w:rsidR="00B706C7" w:rsidRDefault="00B706C7" w:rsidP="00710FEC">
            <w:pPr>
              <w:jc w:val="both"/>
              <w:rPr>
                <w:rFonts w:ascii="Verdana" w:eastAsia="Calibri" w:hAnsi="Verdana" w:cs="Arial"/>
                <w:color w:val="000000" w:themeColor="text1"/>
                <w:lang w:eastAsia="es-ES"/>
              </w:rPr>
            </w:pPr>
            <w:r>
              <w:rPr>
                <w:rFonts w:ascii="Verdana" w:eastAsia="Calibri" w:hAnsi="Verdana" w:cs="Arial"/>
                <w:color w:val="000000" w:themeColor="text1"/>
                <w:lang w:eastAsia="es-ES"/>
              </w:rPr>
              <w:t xml:space="preserve">LIQUIDACIÓN DEL CONTRATO – Concepto / LIQUIDACIÓN DEL CONTRATO – Ley 80 de 1993 artículo 60 – Alcance / LIQUIDACIÓN DEL CONTRATO – Función constitutiva / </w:t>
            </w:r>
            <w:r w:rsidRPr="00B5441E">
              <w:rPr>
                <w:rFonts w:ascii="Verdana" w:eastAsia="Calibri" w:hAnsi="Verdana" w:cs="Arial"/>
                <w:color w:val="000000" w:themeColor="text1"/>
                <w:lang w:eastAsia="es-ES"/>
              </w:rPr>
              <w:t xml:space="preserve">PRECIO – Estructuración del precio </w:t>
            </w:r>
            <w:r w:rsidRPr="00BF0CC7">
              <w:rPr>
                <w:rFonts w:ascii="Verdana" w:eastAsia="Calibri" w:hAnsi="Verdana" w:cs="Arial"/>
                <w:color w:val="000000" w:themeColor="text1"/>
                <w:lang w:eastAsia="es-ES"/>
              </w:rPr>
              <w:t>/ CONTRATO BAJO SISTEMA DE PRECIOS UNITARIOS / COSTOS DIRECTOS E INDIRECTOS – Finalidad – Ejecución del contrato / PRECIO – Relación con el AIU / PRECIO – AIU – Autonomía de la voluntad -     Componentes – Límites</w:t>
            </w:r>
          </w:p>
          <w:p w14:paraId="0ADA5BA5" w14:textId="77777777" w:rsidR="00B706C7" w:rsidRPr="00FA6472" w:rsidRDefault="00B706C7" w:rsidP="00710FEC">
            <w:pPr>
              <w:jc w:val="both"/>
              <w:rPr>
                <w:rFonts w:ascii="Verdana" w:hAnsi="Verdana" w:cs="Arial"/>
                <w:bCs/>
                <w:lang w:val="es-MX" w:eastAsia="es-ES" w:bidi="es-ES"/>
              </w:rPr>
            </w:pPr>
          </w:p>
        </w:tc>
      </w:tr>
      <w:tr w:rsidR="00B706C7" w:rsidRPr="005644FE" w14:paraId="01193322" w14:textId="77777777" w:rsidTr="00910E48">
        <w:tc>
          <w:tcPr>
            <w:tcW w:w="3119" w:type="dxa"/>
          </w:tcPr>
          <w:p w14:paraId="267B1B6C" w14:textId="77777777" w:rsidR="00B706C7" w:rsidRPr="005644FE" w:rsidRDefault="00B706C7" w:rsidP="00910E48">
            <w:pPr>
              <w:jc w:val="both"/>
              <w:rPr>
                <w:rFonts w:ascii="Verdana" w:eastAsia="Calibri" w:hAnsi="Verdana" w:cs="Arial"/>
                <w:b/>
                <w:lang w:eastAsia="es-ES_tradnl"/>
              </w:rPr>
            </w:pPr>
            <w:r w:rsidRPr="005644FE">
              <w:rPr>
                <w:rFonts w:ascii="Verdana" w:eastAsia="Calibri" w:hAnsi="Verdana" w:cs="Arial"/>
                <w:b/>
                <w:lang w:eastAsia="es-ES_tradnl"/>
              </w:rPr>
              <w:t>Radicación:</w:t>
            </w:r>
            <w:r w:rsidRPr="005644FE">
              <w:rPr>
                <w:rFonts w:ascii="Verdana" w:eastAsia="Calibri" w:hAnsi="Verdana" w:cs="Arial"/>
                <w:lang w:eastAsia="es-ES_tradnl"/>
              </w:rPr>
              <w:t xml:space="preserve">               </w:t>
            </w:r>
          </w:p>
        </w:tc>
        <w:tc>
          <w:tcPr>
            <w:tcW w:w="5670" w:type="dxa"/>
          </w:tcPr>
          <w:p w14:paraId="5BD7CE7B" w14:textId="77777777" w:rsidR="00B706C7" w:rsidRPr="00F04657" w:rsidRDefault="00B706C7" w:rsidP="00910E48">
            <w:pPr>
              <w:jc w:val="both"/>
              <w:rPr>
                <w:rFonts w:ascii="Verdana" w:eastAsia="Calibri" w:hAnsi="Verdana" w:cs="Arial"/>
                <w:lang w:eastAsia="es-ES"/>
              </w:rPr>
            </w:pPr>
            <w:r w:rsidRPr="74C89D8F">
              <w:rPr>
                <w:rFonts w:ascii="Verdana" w:eastAsia="Calibri" w:hAnsi="Verdana" w:cs="Arial"/>
                <w:lang w:eastAsia="es-ES"/>
              </w:rPr>
              <w:t>Respuesta a consulta con radicado</w:t>
            </w:r>
            <w:r>
              <w:rPr>
                <w:rFonts w:ascii="Verdana" w:eastAsia="Calibri" w:hAnsi="Verdana" w:cs="Arial"/>
                <w:lang w:eastAsia="es-ES"/>
              </w:rPr>
              <w:t xml:space="preserve"> </w:t>
            </w:r>
            <w:r w:rsidRPr="006D7385">
              <w:rPr>
                <w:rFonts w:ascii="Verdana" w:eastAsia="Calibri" w:hAnsi="Verdana" w:cs="Arial"/>
                <w:lang w:eastAsia="es-ES"/>
              </w:rPr>
              <w:t>1_2026_06_09_007760</w:t>
            </w:r>
          </w:p>
        </w:tc>
      </w:tr>
    </w:tbl>
    <w:p w14:paraId="3ECB48CA" w14:textId="77777777" w:rsidR="00B706C7" w:rsidRPr="005644FE" w:rsidRDefault="00B706C7" w:rsidP="00364A07">
      <w:pPr>
        <w:spacing w:after="0" w:line="240" w:lineRule="auto"/>
        <w:jc w:val="both"/>
        <w:rPr>
          <w:rFonts w:ascii="Verdana" w:eastAsia="Calibri" w:hAnsi="Verdana" w:cs="Arial"/>
          <w:lang w:eastAsia="es-ES_tradnl"/>
        </w:rPr>
      </w:pPr>
      <w:r>
        <w:rPr>
          <w:rFonts w:ascii="Verdana" w:eastAsia="Calibri" w:hAnsi="Verdana" w:cs="Arial"/>
          <w:lang w:eastAsia="es-ES_tradnl"/>
        </w:rPr>
        <w:t xml:space="preserve"> </w:t>
      </w:r>
    </w:p>
    <w:p w14:paraId="17B43205" w14:textId="77777777" w:rsidR="00B706C7" w:rsidRPr="005644FE" w:rsidRDefault="00B706C7" w:rsidP="00B706C7">
      <w:pPr>
        <w:spacing w:after="0" w:line="276" w:lineRule="auto"/>
        <w:jc w:val="both"/>
        <w:rPr>
          <w:rFonts w:ascii="Verdana" w:eastAsia="Calibri" w:hAnsi="Verdana" w:cs="Arial"/>
          <w:lang w:eastAsia="es-ES"/>
        </w:rPr>
      </w:pPr>
      <w:r>
        <w:rPr>
          <w:rFonts w:ascii="Verdana" w:eastAsia="Calibri" w:hAnsi="Verdana" w:cs="Arial"/>
          <w:lang w:eastAsia="es-ES"/>
        </w:rPr>
        <w:t>Estimado señor Oviedo:</w:t>
      </w:r>
    </w:p>
    <w:p w14:paraId="76EFB770" w14:textId="77777777" w:rsidR="00B706C7" w:rsidRPr="00E02524" w:rsidRDefault="00B706C7" w:rsidP="00364A07">
      <w:pPr>
        <w:spacing w:after="0" w:line="276" w:lineRule="auto"/>
        <w:jc w:val="both"/>
        <w:rPr>
          <w:rFonts w:ascii="Verdana" w:hAnsi="Verdana"/>
          <w:lang w:val="es-MX"/>
        </w:rPr>
      </w:pPr>
    </w:p>
    <w:p w14:paraId="655D4AC8" w14:textId="77777777" w:rsidR="00B706C7" w:rsidRPr="0084712D" w:rsidRDefault="00B706C7" w:rsidP="00CC7DF9">
      <w:pPr>
        <w:spacing w:after="0" w:line="276" w:lineRule="auto"/>
        <w:jc w:val="both"/>
        <w:rPr>
          <w:rFonts w:ascii="Verdana" w:hAnsi="Verdana"/>
        </w:rPr>
      </w:pPr>
      <w:r w:rsidRPr="0084712D">
        <w:rPr>
          <w:rFonts w:ascii="Verdana" w:hAnsi="Verdana"/>
        </w:rPr>
        <w:t xml:space="preserve">La Agencia Nacional de Contratación Pública – Colombia Compra Eficiente –, en ejercicio de las competencias otorgadas por los artículos 3, numeral 5º, y 11, numeral 8º, del Decreto Ley 4170 de 2011 y de conformidad con las modalidades del derecho de petición contempladas en la Ley 1755 de 2015 y en la resolución </w:t>
      </w:r>
      <w:proofErr w:type="spellStart"/>
      <w:r w:rsidRPr="0084712D">
        <w:rPr>
          <w:rFonts w:ascii="Verdana" w:hAnsi="Verdana"/>
        </w:rPr>
        <w:t>N°</w:t>
      </w:r>
      <w:proofErr w:type="spellEnd"/>
      <w:r w:rsidRPr="0084712D">
        <w:rPr>
          <w:rFonts w:ascii="Verdana" w:hAnsi="Verdana"/>
        </w:rPr>
        <w:t xml:space="preserve"> 469 del 2025 expedida por esta Agencia, responde </w:t>
      </w:r>
      <w:r>
        <w:rPr>
          <w:rFonts w:ascii="Verdana" w:hAnsi="Verdana"/>
        </w:rPr>
        <w:t xml:space="preserve">su </w:t>
      </w:r>
      <w:r w:rsidRPr="0084712D">
        <w:rPr>
          <w:rFonts w:ascii="Verdana" w:hAnsi="Verdana"/>
        </w:rPr>
        <w:t>solicitud de consulta</w:t>
      </w:r>
      <w:r>
        <w:rPr>
          <w:rFonts w:ascii="Verdana" w:hAnsi="Verdana"/>
        </w:rPr>
        <w:t xml:space="preserve"> del 9 de junio de 2026</w:t>
      </w:r>
      <w:r w:rsidRPr="0084712D">
        <w:rPr>
          <w:rFonts w:ascii="Verdana" w:hAnsi="Verdana"/>
        </w:rPr>
        <w:t>, en la cual manifiesta lo siguiente:</w:t>
      </w:r>
    </w:p>
    <w:p w14:paraId="2084BCBA" w14:textId="77777777" w:rsidR="00CC7DF9" w:rsidRPr="0084712D" w:rsidRDefault="00CC7DF9" w:rsidP="00364A07">
      <w:pPr>
        <w:spacing w:after="0" w:line="276" w:lineRule="auto"/>
        <w:jc w:val="both"/>
        <w:rPr>
          <w:rFonts w:ascii="Verdana" w:hAnsi="Verdana"/>
        </w:rPr>
      </w:pPr>
    </w:p>
    <w:p w14:paraId="470AC7AD" w14:textId="77777777" w:rsidR="00B706C7" w:rsidRDefault="00B706C7" w:rsidP="00364A07">
      <w:pPr>
        <w:spacing w:after="0" w:line="276" w:lineRule="auto"/>
        <w:jc w:val="both"/>
        <w:rPr>
          <w:rFonts w:ascii="Verdana" w:hAnsi="Verdana"/>
        </w:rPr>
      </w:pPr>
      <w:r w:rsidRPr="00E02524">
        <w:rPr>
          <w:rFonts w:ascii="Verdana" w:hAnsi="Verdana"/>
        </w:rPr>
        <w:t xml:space="preserve">PETICIÓN REALIZADA </w:t>
      </w:r>
    </w:p>
    <w:p w14:paraId="0975F818" w14:textId="77777777" w:rsidR="00CC7DF9" w:rsidRDefault="00CC7DF9" w:rsidP="00B706C7">
      <w:pPr>
        <w:spacing w:after="0" w:line="240" w:lineRule="auto"/>
        <w:ind w:left="851" w:right="758"/>
        <w:jc w:val="both"/>
        <w:rPr>
          <w:rFonts w:ascii="Verdana" w:hAnsi="Verdana"/>
          <w:sz w:val="20"/>
          <w:szCs w:val="20"/>
        </w:rPr>
      </w:pPr>
    </w:p>
    <w:p w14:paraId="039B1CB5" w14:textId="0C61103A" w:rsidR="00B706C7" w:rsidRDefault="00CC7DF9" w:rsidP="00364A07">
      <w:pPr>
        <w:spacing w:after="0" w:line="240" w:lineRule="auto"/>
        <w:ind w:left="709" w:right="709"/>
        <w:jc w:val="both"/>
        <w:rPr>
          <w:rFonts w:ascii="Verdana" w:hAnsi="Verdana"/>
          <w:sz w:val="20"/>
          <w:szCs w:val="20"/>
        </w:rPr>
      </w:pPr>
      <w:r>
        <w:rPr>
          <w:rFonts w:ascii="Verdana" w:hAnsi="Verdana"/>
          <w:sz w:val="20"/>
          <w:szCs w:val="20"/>
        </w:rPr>
        <w:t>“</w:t>
      </w:r>
      <w:r w:rsidR="00B706C7" w:rsidRPr="006D7385">
        <w:rPr>
          <w:rFonts w:ascii="Verdana" w:hAnsi="Verdana"/>
          <w:sz w:val="20"/>
          <w:szCs w:val="20"/>
        </w:rPr>
        <w:t>1. Durante la ejecución y posterior liquidación de un contrato estatal, ¿es</w:t>
      </w:r>
      <w:r w:rsidR="00B706C7">
        <w:rPr>
          <w:rFonts w:ascii="Verdana" w:hAnsi="Verdana"/>
          <w:sz w:val="20"/>
          <w:szCs w:val="20"/>
        </w:rPr>
        <w:t xml:space="preserve"> </w:t>
      </w:r>
      <w:r w:rsidR="00B706C7" w:rsidRPr="006D7385">
        <w:rPr>
          <w:rFonts w:ascii="Verdana" w:hAnsi="Verdana"/>
          <w:sz w:val="20"/>
          <w:szCs w:val="20"/>
        </w:rPr>
        <w:t>jurídicamente obligatorio o no es obligatorio que el contratista soporte,</w:t>
      </w:r>
      <w:r w:rsidR="00B706C7">
        <w:rPr>
          <w:rFonts w:ascii="Verdana" w:hAnsi="Verdana"/>
          <w:sz w:val="20"/>
          <w:szCs w:val="20"/>
        </w:rPr>
        <w:t xml:space="preserve"> </w:t>
      </w:r>
      <w:r w:rsidR="00B706C7" w:rsidRPr="006D7385">
        <w:rPr>
          <w:rFonts w:ascii="Verdana" w:hAnsi="Verdana"/>
          <w:sz w:val="20"/>
          <w:szCs w:val="20"/>
        </w:rPr>
        <w:t>justifique y demuestre la materialización de los eventos</w:t>
      </w:r>
      <w:r w:rsidR="00B706C7">
        <w:rPr>
          <w:rFonts w:ascii="Verdana" w:hAnsi="Verdana"/>
          <w:sz w:val="20"/>
          <w:szCs w:val="20"/>
        </w:rPr>
        <w:t xml:space="preserve"> </w:t>
      </w:r>
      <w:r w:rsidR="00B706C7" w:rsidRPr="006D7385">
        <w:rPr>
          <w:rFonts w:ascii="Verdana" w:hAnsi="Verdana"/>
          <w:sz w:val="20"/>
          <w:szCs w:val="20"/>
        </w:rPr>
        <w:t>contingentes para</w:t>
      </w:r>
      <w:r w:rsidR="00B706C7">
        <w:rPr>
          <w:rFonts w:ascii="Verdana" w:hAnsi="Verdana"/>
          <w:sz w:val="20"/>
          <w:szCs w:val="20"/>
        </w:rPr>
        <w:t xml:space="preserve"> </w:t>
      </w:r>
      <w:r w:rsidR="00B706C7" w:rsidRPr="006D7385">
        <w:rPr>
          <w:rFonts w:ascii="Verdana" w:hAnsi="Verdana"/>
          <w:sz w:val="20"/>
          <w:szCs w:val="20"/>
        </w:rPr>
        <w:t>poder cobrar y que se le pague el rubro correspondiente a "Imprevistos"?</w:t>
      </w:r>
    </w:p>
    <w:p w14:paraId="70A8EB99" w14:textId="77777777" w:rsidR="00B706C7" w:rsidRPr="006D7385" w:rsidRDefault="00B706C7" w:rsidP="00364A07">
      <w:pPr>
        <w:spacing w:after="0" w:line="240" w:lineRule="auto"/>
        <w:ind w:left="709" w:right="709"/>
        <w:jc w:val="both"/>
        <w:rPr>
          <w:rFonts w:ascii="Verdana" w:hAnsi="Verdana"/>
          <w:sz w:val="20"/>
          <w:szCs w:val="20"/>
        </w:rPr>
      </w:pPr>
    </w:p>
    <w:p w14:paraId="1B632DFE" w14:textId="77777777" w:rsidR="00B706C7" w:rsidRPr="006D7385" w:rsidRDefault="00B706C7" w:rsidP="00364A07">
      <w:pPr>
        <w:spacing w:after="0" w:line="240" w:lineRule="auto"/>
        <w:ind w:left="709" w:right="709"/>
        <w:jc w:val="both"/>
        <w:rPr>
          <w:rFonts w:ascii="Verdana" w:hAnsi="Verdana"/>
          <w:sz w:val="20"/>
          <w:szCs w:val="20"/>
        </w:rPr>
      </w:pPr>
      <w:r w:rsidRPr="006D7385">
        <w:rPr>
          <w:rFonts w:ascii="Verdana" w:hAnsi="Verdana"/>
          <w:sz w:val="20"/>
          <w:szCs w:val="20"/>
        </w:rPr>
        <w:lastRenderedPageBreak/>
        <w:t>2. Si al finalizar la ejecución del contrato estatal se constata que los</w:t>
      </w:r>
      <w:r>
        <w:rPr>
          <w:rFonts w:ascii="Verdana" w:hAnsi="Verdana"/>
          <w:sz w:val="20"/>
          <w:szCs w:val="20"/>
        </w:rPr>
        <w:t xml:space="preserve"> </w:t>
      </w:r>
      <w:r w:rsidRPr="006D7385">
        <w:rPr>
          <w:rFonts w:ascii="Verdana" w:hAnsi="Verdana"/>
          <w:sz w:val="20"/>
          <w:szCs w:val="20"/>
        </w:rPr>
        <w:t>eventos imprevistos no ocurrieron o que el costo de atenderlos fue inferior</w:t>
      </w:r>
      <w:r>
        <w:rPr>
          <w:rFonts w:ascii="Verdana" w:hAnsi="Verdana"/>
          <w:sz w:val="20"/>
          <w:szCs w:val="20"/>
        </w:rPr>
        <w:t xml:space="preserve"> </w:t>
      </w:r>
      <w:r w:rsidRPr="006D7385">
        <w:rPr>
          <w:rFonts w:ascii="Verdana" w:hAnsi="Verdana"/>
          <w:sz w:val="20"/>
          <w:szCs w:val="20"/>
        </w:rPr>
        <w:t>al porcentaje presupuestado en el AIU, ¿es viable jurídicamente reconocer</w:t>
      </w:r>
      <w:r>
        <w:rPr>
          <w:rFonts w:ascii="Verdana" w:hAnsi="Verdana"/>
          <w:sz w:val="20"/>
          <w:szCs w:val="20"/>
        </w:rPr>
        <w:t xml:space="preserve"> </w:t>
      </w:r>
      <w:r w:rsidRPr="006D7385">
        <w:rPr>
          <w:rFonts w:ascii="Verdana" w:hAnsi="Verdana"/>
          <w:sz w:val="20"/>
          <w:szCs w:val="20"/>
        </w:rPr>
        <w:t>y pagar ese remanente al contratista, o dichos recursos deben ser</w:t>
      </w:r>
      <w:r>
        <w:rPr>
          <w:rFonts w:ascii="Verdana" w:hAnsi="Verdana"/>
          <w:sz w:val="20"/>
          <w:szCs w:val="20"/>
        </w:rPr>
        <w:t xml:space="preserve"> </w:t>
      </w:r>
      <w:r w:rsidRPr="006D7385">
        <w:rPr>
          <w:rFonts w:ascii="Verdana" w:hAnsi="Verdana"/>
          <w:sz w:val="20"/>
          <w:szCs w:val="20"/>
        </w:rPr>
        <w:t>liberados a favor de la Entidad Estatal? ¿Y si se demuestra que es superior</w:t>
      </w:r>
      <w:r>
        <w:rPr>
          <w:rFonts w:ascii="Verdana" w:hAnsi="Verdana"/>
          <w:sz w:val="20"/>
          <w:szCs w:val="20"/>
        </w:rPr>
        <w:t xml:space="preserve"> </w:t>
      </w:r>
      <w:r w:rsidRPr="006D7385">
        <w:rPr>
          <w:rFonts w:ascii="Verdana" w:hAnsi="Verdana"/>
          <w:sz w:val="20"/>
          <w:szCs w:val="20"/>
        </w:rPr>
        <w:t>la entidad estaría en la obligación de adicionar el contrato?</w:t>
      </w:r>
    </w:p>
    <w:p w14:paraId="46E821D8" w14:textId="77777777" w:rsidR="00B706C7" w:rsidRDefault="00B706C7" w:rsidP="00364A07">
      <w:pPr>
        <w:spacing w:after="0" w:line="240" w:lineRule="auto"/>
        <w:ind w:left="709" w:right="709"/>
        <w:jc w:val="both"/>
        <w:rPr>
          <w:rFonts w:ascii="Verdana" w:hAnsi="Verdana"/>
          <w:sz w:val="20"/>
          <w:szCs w:val="20"/>
        </w:rPr>
      </w:pPr>
    </w:p>
    <w:p w14:paraId="52673AA0" w14:textId="77777777" w:rsidR="00B706C7" w:rsidRPr="00D5132D" w:rsidRDefault="00B706C7" w:rsidP="00364A07">
      <w:pPr>
        <w:spacing w:after="0" w:line="240" w:lineRule="auto"/>
        <w:ind w:left="709" w:right="709"/>
        <w:jc w:val="both"/>
        <w:rPr>
          <w:rFonts w:ascii="Verdana" w:hAnsi="Verdana"/>
          <w:sz w:val="20"/>
          <w:szCs w:val="20"/>
        </w:rPr>
      </w:pPr>
      <w:r w:rsidRPr="006D7385">
        <w:rPr>
          <w:rFonts w:ascii="Verdana" w:hAnsi="Verdana"/>
          <w:sz w:val="20"/>
          <w:szCs w:val="20"/>
        </w:rPr>
        <w:t>3. ¿Varía la obligación de justificar materialmente los imprevistos y el</w:t>
      </w:r>
      <w:r>
        <w:rPr>
          <w:rFonts w:ascii="Verdana" w:hAnsi="Verdana"/>
          <w:sz w:val="20"/>
          <w:szCs w:val="20"/>
        </w:rPr>
        <w:t xml:space="preserve"> </w:t>
      </w:r>
      <w:r w:rsidRPr="006D7385">
        <w:rPr>
          <w:rFonts w:ascii="Verdana" w:hAnsi="Verdana"/>
          <w:sz w:val="20"/>
          <w:szCs w:val="20"/>
        </w:rPr>
        <w:t>tratamiento de los saldos no ejecutados dependiendo de si el contrato se</w:t>
      </w:r>
      <w:r>
        <w:rPr>
          <w:rFonts w:ascii="Verdana" w:hAnsi="Verdana"/>
          <w:sz w:val="20"/>
          <w:szCs w:val="20"/>
        </w:rPr>
        <w:t xml:space="preserve"> </w:t>
      </w:r>
      <w:r w:rsidRPr="006D7385">
        <w:rPr>
          <w:rFonts w:ascii="Verdana" w:hAnsi="Verdana"/>
          <w:sz w:val="20"/>
          <w:szCs w:val="20"/>
        </w:rPr>
        <w:t>suscribió bajo la modalidad de precios unitarios o de precio global?</w:t>
      </w:r>
      <w:r>
        <w:rPr>
          <w:rFonts w:ascii="Verdana" w:hAnsi="Verdana"/>
          <w:sz w:val="20"/>
          <w:szCs w:val="20"/>
        </w:rPr>
        <w:t xml:space="preserve"> </w:t>
      </w:r>
      <w:r w:rsidRPr="00C17856">
        <w:rPr>
          <w:rFonts w:ascii="Verdana" w:hAnsi="Verdana"/>
          <w:sz w:val="20"/>
          <w:szCs w:val="20"/>
        </w:rPr>
        <w:t>(…)”.</w:t>
      </w:r>
    </w:p>
    <w:p w14:paraId="5D410030" w14:textId="77777777" w:rsidR="00B706C7" w:rsidRPr="00647D77" w:rsidRDefault="00B706C7" w:rsidP="00B706C7">
      <w:pPr>
        <w:spacing w:after="0" w:line="240" w:lineRule="auto"/>
        <w:ind w:right="709"/>
        <w:jc w:val="both"/>
        <w:rPr>
          <w:rFonts w:ascii="Verdana" w:hAnsi="Verdana"/>
        </w:rPr>
      </w:pPr>
    </w:p>
    <w:p w14:paraId="21B11924" w14:textId="77777777" w:rsidR="00B706C7" w:rsidRPr="00F64722" w:rsidRDefault="00B706C7" w:rsidP="00B706C7">
      <w:pPr>
        <w:spacing w:after="120" w:line="276" w:lineRule="auto"/>
        <w:ind w:firstLine="709"/>
        <w:jc w:val="both"/>
        <w:rPr>
          <w:rFonts w:ascii="Verdana" w:eastAsia="Calibri" w:hAnsi="Verdana" w:cs="Arial"/>
          <w:color w:val="000000"/>
          <w:szCs w:val="24"/>
          <w:lang w:eastAsia="es-ES_tradnl"/>
        </w:rPr>
      </w:pPr>
      <w:r w:rsidRPr="005644FE">
        <w:rPr>
          <w:rFonts w:ascii="Verdana" w:eastAsia="Calibri" w:hAnsi="Verdana" w:cs="Arial"/>
          <w:color w:val="000000"/>
          <w:lang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w:t>
      </w:r>
      <w:r>
        <w:rPr>
          <w:rFonts w:ascii="Verdana" w:eastAsia="Calibri" w:hAnsi="Verdana" w:cs="Arial"/>
          <w:color w:val="000000"/>
          <w:lang w:eastAsia="es-ES"/>
        </w:rPr>
        <w:t xml:space="preserve">la Agencia Nacional de Contratación Pública - </w:t>
      </w:r>
      <w:r w:rsidRPr="005644FE">
        <w:rPr>
          <w:rFonts w:ascii="Verdana" w:eastAsia="Calibri" w:hAnsi="Verdana" w:cs="Arial"/>
          <w:color w:val="000000"/>
          <w:lang w:eastAsia="es-ES"/>
        </w:rPr>
        <w:t xml:space="preserve">Colombia Compra Eficiente como una autoridad para solucionar problemas jurídicos particulares de todos los partícipes del sistema de compra pública. La competencia de esta entidad se fija con límites claros, con </w:t>
      </w:r>
      <w:r w:rsidRPr="00F64722">
        <w:rPr>
          <w:rFonts w:ascii="Verdana" w:eastAsia="Calibri" w:hAnsi="Verdana" w:cs="Arial"/>
          <w:color w:val="000000"/>
          <w:lang w:eastAsia="es-ES"/>
        </w:rPr>
        <w:t xml:space="preserve">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p>
    <w:p w14:paraId="221E3C8B" w14:textId="77777777" w:rsidR="00B706C7" w:rsidRPr="00C761DE" w:rsidRDefault="00B706C7" w:rsidP="00541F7D">
      <w:pPr>
        <w:spacing w:after="0" w:line="276" w:lineRule="auto"/>
        <w:ind w:firstLine="709"/>
        <w:jc w:val="both"/>
        <w:rPr>
          <w:rFonts w:ascii="Verdana" w:eastAsia="Calibri" w:hAnsi="Verdana" w:cs="Arial"/>
          <w:lang w:eastAsia="es-ES"/>
        </w:rPr>
      </w:pPr>
      <w:r w:rsidRPr="00487186">
        <w:rPr>
          <w:rFonts w:ascii="Verdana" w:eastAsia="Calibri" w:hAnsi="Verdana" w:cs="Arial"/>
          <w:color w:val="000000"/>
          <w:lang w:eastAsia="es-ES"/>
        </w:rPr>
        <w:t xml:space="preserve">Conforme lo expuesto, en aras de garantizar el derecho fundamental de petición, se resolverá su petición dentro de los límites de la referida competencia consultiva, esto </w:t>
      </w:r>
      <w:r w:rsidRPr="00C761DE">
        <w:rPr>
          <w:rFonts w:ascii="Verdana" w:eastAsia="Calibri" w:hAnsi="Verdana" w:cs="Arial"/>
          <w:color w:val="000000"/>
          <w:lang w:eastAsia="es-ES"/>
        </w:rPr>
        <w:t>es, haciendo abstracción del caso particular y concreto señalado en su petición, pero señalando algunas consideraciones sobre las normas generales relacionadas a los problemas jurídicos de su consulta.</w:t>
      </w:r>
      <w:r w:rsidRPr="00C761DE">
        <w:rPr>
          <w:rFonts w:ascii="Verdana" w:eastAsia="Calibri" w:hAnsi="Verdana" w:cs="Arial"/>
          <w:lang w:eastAsia="es-ES"/>
        </w:rPr>
        <w:t xml:space="preserve"> </w:t>
      </w:r>
    </w:p>
    <w:p w14:paraId="2825624E" w14:textId="77777777" w:rsidR="00541F7D" w:rsidRPr="00C761DE" w:rsidRDefault="00541F7D" w:rsidP="00364A07">
      <w:pPr>
        <w:spacing w:after="0" w:line="276" w:lineRule="auto"/>
        <w:ind w:firstLine="709"/>
        <w:jc w:val="both"/>
        <w:rPr>
          <w:rFonts w:ascii="Verdana" w:eastAsia="Calibri" w:hAnsi="Verdana" w:cs="Arial"/>
          <w:lang w:eastAsia="es-ES"/>
        </w:rPr>
      </w:pPr>
    </w:p>
    <w:p w14:paraId="7D055864" w14:textId="77777777" w:rsidR="00B706C7" w:rsidRPr="00C761DE" w:rsidRDefault="00B706C7" w:rsidP="00B706C7">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C761DE">
        <w:rPr>
          <w:rFonts w:ascii="Verdana" w:eastAsia="Century Gothic" w:hAnsi="Verdana" w:cs="Century Gothic"/>
          <w:b/>
          <w:bCs/>
        </w:rPr>
        <w:t>Problema planteado:</w:t>
      </w:r>
    </w:p>
    <w:p w14:paraId="511CE17F" w14:textId="77777777" w:rsidR="00B706C7" w:rsidRPr="00C761DE" w:rsidRDefault="00B706C7" w:rsidP="00B706C7">
      <w:pPr>
        <w:spacing w:after="0" w:line="240" w:lineRule="auto"/>
        <w:jc w:val="both"/>
        <w:rPr>
          <w:rFonts w:ascii="Verdana" w:eastAsia="Calibri" w:hAnsi="Verdana" w:cs="Arial"/>
          <w:color w:val="000000"/>
          <w:lang w:eastAsia="es-ES"/>
        </w:rPr>
      </w:pPr>
    </w:p>
    <w:p w14:paraId="5C03B800" w14:textId="727668FD" w:rsidR="00B706C7" w:rsidRDefault="00B706C7" w:rsidP="00541F7D">
      <w:pPr>
        <w:spacing w:after="0" w:line="276" w:lineRule="auto"/>
        <w:jc w:val="both"/>
        <w:rPr>
          <w:rFonts w:ascii="Verdana" w:eastAsia="Calibri" w:hAnsi="Verdana" w:cs="Times New Roman"/>
          <w:iCs/>
          <w:lang w:val="es-ES"/>
        </w:rPr>
      </w:pPr>
      <w:r w:rsidRPr="00C761DE">
        <w:rPr>
          <w:rFonts w:ascii="Verdana" w:eastAsia="Calibri" w:hAnsi="Verdana" w:cs="Arial"/>
          <w:color w:val="000000"/>
          <w:lang w:eastAsia="es-ES"/>
        </w:rPr>
        <w:t xml:space="preserve">De acuerdo con el contenido de su solicitud, esta Agencia resolverá los siguientes problemas jurídicos: </w:t>
      </w:r>
      <w:r w:rsidRPr="00C761DE">
        <w:rPr>
          <w:rFonts w:ascii="Verdana" w:eastAsia="Calibri" w:hAnsi="Verdana" w:cs="Times New Roman"/>
          <w:iCs/>
          <w:lang w:val="es-ES"/>
        </w:rPr>
        <w:t xml:space="preserve">i) ¿Cuál es el alcance de los imprevistos dentro del AIU? </w:t>
      </w:r>
      <w:r w:rsidR="009B6715">
        <w:rPr>
          <w:rFonts w:ascii="Verdana" w:eastAsia="Calibri" w:hAnsi="Verdana" w:cs="Times New Roman"/>
          <w:iCs/>
          <w:lang w:val="es-ES"/>
        </w:rPr>
        <w:t>y</w:t>
      </w:r>
      <w:r w:rsidR="00F11818">
        <w:rPr>
          <w:rFonts w:ascii="Verdana" w:eastAsia="Calibri" w:hAnsi="Verdana" w:cs="Times New Roman"/>
          <w:iCs/>
          <w:lang w:val="es-ES"/>
        </w:rPr>
        <w:t>;</w:t>
      </w:r>
      <w:r w:rsidRPr="00C761DE">
        <w:rPr>
          <w:rFonts w:ascii="Verdana" w:eastAsia="Calibri" w:hAnsi="Verdana" w:cs="Times New Roman"/>
          <w:iCs/>
          <w:lang w:val="es-ES"/>
        </w:rPr>
        <w:t xml:space="preserve"> ii) </w:t>
      </w:r>
      <w:r w:rsidR="00F11818">
        <w:rPr>
          <w:rFonts w:ascii="Verdana" w:eastAsia="Calibri" w:hAnsi="Verdana" w:cs="Times New Roman"/>
          <w:iCs/>
          <w:lang w:val="es-ES"/>
        </w:rPr>
        <w:t>e</w:t>
      </w:r>
      <w:r w:rsidRPr="00C761DE">
        <w:rPr>
          <w:rFonts w:ascii="Verdana" w:eastAsia="Calibri" w:hAnsi="Verdana" w:cs="Times New Roman"/>
          <w:iCs/>
          <w:lang w:val="es-ES"/>
        </w:rPr>
        <w:t xml:space="preserve">n la liquidación de los contratos estatales se pueden incluir los imprevistos generados con ocasión de la ejecución del contrato estatal conforme al AIU? </w:t>
      </w:r>
    </w:p>
    <w:p w14:paraId="3869F0B3" w14:textId="77777777" w:rsidR="00541F7D" w:rsidRDefault="00541F7D" w:rsidP="00364A07">
      <w:pPr>
        <w:spacing w:after="0" w:line="276" w:lineRule="auto"/>
        <w:jc w:val="both"/>
        <w:rPr>
          <w:rFonts w:ascii="Verdana" w:eastAsia="Calibri" w:hAnsi="Verdana" w:cs="Times New Roman"/>
          <w:iCs/>
          <w:lang w:val="es-ES"/>
        </w:rPr>
      </w:pPr>
    </w:p>
    <w:p w14:paraId="1C4C374A" w14:textId="218208FD" w:rsidR="00541F7D" w:rsidRPr="00526D65" w:rsidRDefault="00B706C7" w:rsidP="00541F7D">
      <w:pPr>
        <w:spacing w:after="0" w:line="276" w:lineRule="auto"/>
        <w:jc w:val="both"/>
        <w:rPr>
          <w:rFonts w:ascii="Verdana" w:eastAsia="Century Gothic" w:hAnsi="Verdana" w:cs="Century Gothic"/>
          <w:b/>
        </w:rPr>
      </w:pPr>
      <w:r w:rsidRPr="00B33011">
        <w:rPr>
          <w:rFonts w:ascii="Verdana" w:eastAsia="Century Gothic" w:hAnsi="Verdana" w:cs="Century Gothic"/>
          <w:b/>
          <w:bCs/>
        </w:rPr>
        <w:t>2. Respuesta:</w:t>
      </w:r>
    </w:p>
    <w:tbl>
      <w:tblPr>
        <w:tblStyle w:val="Tablaconcuadrcula"/>
        <w:tblW w:w="0" w:type="auto"/>
        <w:tblLook w:val="04A0" w:firstRow="1" w:lastRow="0" w:firstColumn="1" w:lastColumn="0" w:noHBand="0" w:noVBand="1"/>
      </w:tblPr>
      <w:tblGrid>
        <w:gridCol w:w="8828"/>
      </w:tblGrid>
      <w:tr w:rsidR="00B706C7" w:rsidRPr="005644FE" w14:paraId="417522A7" w14:textId="77777777" w:rsidTr="00910E48">
        <w:tc>
          <w:tcPr>
            <w:tcW w:w="8828" w:type="dxa"/>
          </w:tcPr>
          <w:p w14:paraId="7E4D623F" w14:textId="15F41904" w:rsidR="00B706C7" w:rsidRDefault="00B706C7" w:rsidP="00364A07">
            <w:pPr>
              <w:spacing w:after="120" w:line="276" w:lineRule="auto"/>
              <w:jc w:val="both"/>
              <w:rPr>
                <w:rFonts w:ascii="Verdana" w:hAnsi="Verdana" w:cs="Arial"/>
                <w:lang w:val="es-ES" w:eastAsia="es-ES"/>
              </w:rPr>
            </w:pPr>
            <w:r>
              <w:rPr>
                <w:rFonts w:ascii="Verdana" w:eastAsia="Calibri" w:hAnsi="Verdana" w:cs="Arial"/>
                <w:color w:val="000000"/>
                <w:lang w:val="es-ES_tradnl"/>
              </w:rPr>
              <w:lastRenderedPageBreak/>
              <w:t>i) E</w:t>
            </w:r>
            <w:r w:rsidRPr="00143822">
              <w:rPr>
                <w:rFonts w:ascii="Verdana" w:hAnsi="Verdana" w:cs="Arial"/>
                <w:lang w:val="es-ES" w:eastAsia="es-ES"/>
              </w:rPr>
              <w:t xml:space="preserve">n los contratos cuyo precio se estructura a partir del sistema de precios unitarios, ha hecho parte de la práctica de los negocios que el contratante le solicite al potencial contratista que separe en su propuesta los </w:t>
            </w:r>
            <w:r w:rsidRPr="00143822">
              <w:rPr>
                <w:rFonts w:ascii="Verdana" w:hAnsi="Verdana" w:cs="Arial"/>
                <w:i/>
                <w:iCs/>
                <w:lang w:val="es-ES" w:eastAsia="es-ES"/>
              </w:rPr>
              <w:t>costos directos</w:t>
            </w:r>
            <w:r w:rsidRPr="00143822">
              <w:rPr>
                <w:rFonts w:ascii="Verdana" w:hAnsi="Verdana" w:cs="Arial"/>
                <w:lang w:val="es-ES" w:eastAsia="es-ES"/>
              </w:rPr>
              <w:t xml:space="preserve"> –es decir, los que están directamente implicados en la ejecución del objeto–, de los </w:t>
            </w:r>
            <w:r w:rsidRPr="00143822">
              <w:rPr>
                <w:rFonts w:ascii="Verdana" w:hAnsi="Verdana" w:cs="Arial"/>
                <w:i/>
                <w:iCs/>
                <w:lang w:val="es-ES" w:eastAsia="es-ES"/>
              </w:rPr>
              <w:t>costos indirectos</w:t>
            </w:r>
            <w:r w:rsidRPr="00143822">
              <w:rPr>
                <w:rFonts w:ascii="Verdana" w:hAnsi="Verdana" w:cs="Arial"/>
                <w:lang w:val="es-ES" w:eastAsia="es-ES"/>
              </w:rPr>
              <w:t xml:space="preserve"> –que equivalen a los rubros que no tienen que ver de manera inmediata con la ejecución de las actividades contractuales, pero que integran también el precio, bien porque constituyen erogaciones administrativas o contingentes para el contratista o bien porque se dirigen a salvaguardar su ganancia–. En tal sentido, mientras que los </w:t>
            </w:r>
            <w:r w:rsidRPr="00143822">
              <w:rPr>
                <w:rFonts w:ascii="Verdana" w:hAnsi="Verdana" w:cs="Arial"/>
                <w:i/>
                <w:iCs/>
                <w:lang w:val="es-ES" w:eastAsia="es-ES"/>
              </w:rPr>
              <w:t>costos directos</w:t>
            </w:r>
            <w:r w:rsidRPr="00143822">
              <w:rPr>
                <w:rFonts w:ascii="Verdana" w:hAnsi="Verdana" w:cs="Arial"/>
                <w:lang w:val="es-ES" w:eastAsia="es-ES"/>
              </w:rPr>
              <w:t xml:space="preserve"> se evidencian en el análisis de precios unitarios –APU–, como la sumatoria de los valores de los </w:t>
            </w:r>
            <w:r w:rsidRPr="00143822">
              <w:rPr>
                <w:rFonts w:ascii="Verdana" w:hAnsi="Verdana" w:cs="Arial"/>
                <w:i/>
                <w:iCs/>
                <w:lang w:val="es-ES" w:eastAsia="es-ES"/>
              </w:rPr>
              <w:t>ítems</w:t>
            </w:r>
            <w:r w:rsidRPr="00143822">
              <w:rPr>
                <w:rFonts w:ascii="Verdana" w:hAnsi="Verdana" w:cs="Arial"/>
                <w:lang w:val="es-ES" w:eastAsia="es-ES"/>
              </w:rPr>
              <w:t xml:space="preserve"> según su unidad de medida, los </w:t>
            </w:r>
            <w:r w:rsidRPr="00143822">
              <w:rPr>
                <w:rFonts w:ascii="Verdana" w:hAnsi="Verdana" w:cs="Arial"/>
                <w:i/>
                <w:iCs/>
                <w:lang w:val="es-ES" w:eastAsia="es-ES"/>
              </w:rPr>
              <w:t>costos indirectos</w:t>
            </w:r>
            <w:r w:rsidRPr="00143822">
              <w:rPr>
                <w:rFonts w:ascii="Verdana" w:hAnsi="Verdana" w:cs="Arial"/>
                <w:lang w:val="es-ES" w:eastAsia="es-ES"/>
              </w:rPr>
              <w:t xml:space="preserve"> se suelen abreviar en las variables que integran el acrónimo AIU –Administración, Imprevistos y Utilidad–. </w:t>
            </w:r>
          </w:p>
          <w:p w14:paraId="79BEFA3A" w14:textId="77777777" w:rsidR="00B706C7" w:rsidRDefault="00B706C7" w:rsidP="00364A07">
            <w:pPr>
              <w:spacing w:after="120" w:line="276" w:lineRule="auto"/>
              <w:ind w:firstLine="709"/>
              <w:jc w:val="both"/>
              <w:rPr>
                <w:rFonts w:ascii="Verdana" w:hAnsi="Verdana" w:cs="Arial"/>
                <w:lang w:eastAsia="es-ES"/>
              </w:rPr>
            </w:pPr>
            <w:r w:rsidRPr="00143822">
              <w:rPr>
                <w:rFonts w:ascii="Verdana" w:hAnsi="Verdana" w:cs="Arial"/>
                <w:bCs/>
                <w:szCs w:val="24"/>
                <w:lang w:val="es-ES_tradnl" w:eastAsia="es-ES_tradnl"/>
              </w:rPr>
              <w:t xml:space="preserve">De este modo, </w:t>
            </w:r>
            <w:r w:rsidRPr="00143822">
              <w:rPr>
                <w:rFonts w:ascii="Verdana" w:hAnsi="Verdana" w:cs="Arial"/>
                <w:lang w:eastAsia="es-ES"/>
              </w:rPr>
              <w:t>el AIU, como metodología de pacto del precio que proviene de la costumbre mercantil, se puede utilizar en principio en cualquier tipología contractual, aunque lo más común es que se use en los contratos de tracto sucesivo, especialmente en los que se distinguen los precios unitarios.</w:t>
            </w:r>
            <w:r w:rsidRPr="00143822">
              <w:rPr>
                <w:rFonts w:ascii="Verdana" w:hAnsi="Verdana" w:cs="Arial"/>
                <w:bCs/>
                <w:szCs w:val="24"/>
                <w:lang w:val="es-ES_tradnl" w:eastAsia="es-ES_tradnl"/>
              </w:rPr>
              <w:t xml:space="preserve"> </w:t>
            </w:r>
            <w:r w:rsidRPr="00143822">
              <w:rPr>
                <w:rFonts w:ascii="Verdana" w:hAnsi="Verdana" w:cs="Arial"/>
                <w:lang w:eastAsia="es-ES"/>
              </w:rPr>
              <w:t xml:space="preserve">La determinación de este sistema de estipulación del valor debe ser el resultado de los estudios previos, y especialmente del análisis del sector. Solo a partir de tales estudios la entidad estatal podrá concluir si es oportuno y conveniente establecer que el precio del contrato y, por tanto, la propuesta del oferente se deberá establecer distinguiendo los costos directos respecto de los costos indirectos; estos últimos representados en el AIU. </w:t>
            </w:r>
          </w:p>
          <w:p w14:paraId="6B2C8800" w14:textId="77777777" w:rsidR="00B706C7" w:rsidRDefault="00B706C7" w:rsidP="00364A07">
            <w:pPr>
              <w:spacing w:after="120" w:line="276" w:lineRule="auto"/>
              <w:ind w:firstLine="709"/>
              <w:jc w:val="both"/>
              <w:rPr>
                <w:rFonts w:ascii="Verdana" w:hAnsi="Verdana" w:cs="Arial"/>
                <w:bCs/>
                <w:szCs w:val="24"/>
                <w:lang w:val="es-ES_tradnl" w:eastAsia="es-ES_tradnl"/>
              </w:rPr>
            </w:pPr>
            <w:r w:rsidRPr="00143822">
              <w:rPr>
                <w:rFonts w:ascii="Verdana" w:hAnsi="Verdana" w:cs="Arial"/>
                <w:lang w:eastAsia="es-ES"/>
              </w:rPr>
              <w:t xml:space="preserve">En consecuencia, no hay </w:t>
            </w:r>
            <w:r w:rsidRPr="00143822">
              <w:rPr>
                <w:rFonts w:ascii="Verdana" w:hAnsi="Verdana" w:cs="Arial"/>
                <w:i/>
                <w:iCs/>
                <w:lang w:eastAsia="es-ES"/>
              </w:rPr>
              <w:t>a priori</w:t>
            </w:r>
            <w:r w:rsidRPr="00143822">
              <w:rPr>
                <w:rFonts w:ascii="Verdana" w:hAnsi="Verdana" w:cs="Arial"/>
                <w:lang w:eastAsia="es-ES"/>
              </w:rPr>
              <w:t xml:space="preserve"> tipologías contractuales en las que la ley o el reglamento establezcan que se debe utilizar el AIU, así como tampoco hay una determinación única y específica de la forma en la que el AIU debe ser establecido en los contratos, ya que tal decisión obedece a lo que resulte más conveniente a la entidad estatal, en cumplimiento del principio de planeación. </w:t>
            </w:r>
            <w:r w:rsidRPr="00143822">
              <w:rPr>
                <w:rFonts w:ascii="Verdana" w:hAnsi="Verdana" w:cs="Arial"/>
                <w:bCs/>
                <w:szCs w:val="24"/>
                <w:lang w:val="es-ES_tradnl" w:eastAsia="es-ES_tradnl"/>
              </w:rPr>
              <w:t xml:space="preserve"> </w:t>
            </w:r>
          </w:p>
          <w:p w14:paraId="1B02A835" w14:textId="70BE9DFA" w:rsidR="00EC3DD3" w:rsidRPr="00A82F6B" w:rsidRDefault="00EC3DD3" w:rsidP="00A82F6B">
            <w:pPr>
              <w:spacing w:after="120" w:line="276" w:lineRule="auto"/>
              <w:ind w:firstLine="709"/>
              <w:jc w:val="both"/>
              <w:rPr>
                <w:rFonts w:ascii="Verdana" w:hAnsi="Verdana" w:cs="Arial"/>
                <w:bCs/>
                <w:szCs w:val="24"/>
                <w:lang w:val="es-ES_tradnl" w:eastAsia="es-ES_tradnl"/>
              </w:rPr>
            </w:pPr>
            <w:r>
              <w:rPr>
                <w:rFonts w:ascii="Verdana" w:hAnsi="Verdana" w:cs="Arial"/>
                <w:bCs/>
                <w:szCs w:val="24"/>
                <w:lang w:val="es-ES_tradnl" w:eastAsia="es-ES_tradnl"/>
              </w:rPr>
              <w:t xml:space="preserve">En relación con el primer problema jurídico debe manifestarse que, </w:t>
            </w:r>
            <w:r w:rsidRPr="68ED2B87">
              <w:rPr>
                <w:rFonts w:ascii="Verdana" w:eastAsia="Times New Roman" w:hAnsi="Verdana" w:cs="Arial"/>
                <w:color w:val="000000" w:themeColor="text1"/>
                <w:lang w:val="es-ES" w:eastAsia="es-ES"/>
              </w:rPr>
              <w:t xml:space="preserve">el AIU hace parte del precio de los contratos, cuando se ha pactado esta metodología de cálculo de los costos indirectos. Al ser un elemento que integra el precio que se paga al contratista, este goza, en principio, de libertad en la fijación de sus componentes, salvo que las partes hayan acordado una </w:t>
            </w:r>
            <w:r w:rsidRPr="68ED2B87">
              <w:rPr>
                <w:rFonts w:ascii="Verdana" w:eastAsia="Times New Roman" w:hAnsi="Verdana" w:cs="Arial"/>
                <w:color w:val="000000" w:themeColor="text1"/>
                <w:lang w:val="es-ES" w:eastAsia="es-ES"/>
              </w:rPr>
              <w:lastRenderedPageBreak/>
              <w:t>metodología especial en el contrato, que le imponga al contratista algunas restricciones, en virtud de la autonomía de la voluntad.</w:t>
            </w:r>
          </w:p>
          <w:p w14:paraId="1EA305C6" w14:textId="1BBFF4FE" w:rsidR="00EC3DD3" w:rsidRPr="00A82F6B" w:rsidRDefault="00EC3DD3" w:rsidP="00A82F6B">
            <w:pPr>
              <w:spacing w:after="120" w:line="276" w:lineRule="auto"/>
              <w:ind w:firstLine="709"/>
              <w:jc w:val="both"/>
              <w:rPr>
                <w:rFonts w:ascii="Verdana" w:eastAsia="Arial" w:hAnsi="Verdana" w:cs="Arial"/>
                <w:color w:val="000000"/>
              </w:rPr>
            </w:pPr>
            <w:r w:rsidRPr="00301910">
              <w:rPr>
                <w:rFonts w:ascii="Verdana" w:eastAsia="Arial" w:hAnsi="Verdana" w:cs="Arial"/>
                <w:color w:val="000000"/>
              </w:rPr>
              <w:t xml:space="preserve">Al no estar el AIU regulado normativamente, no existe un deber jurídico consagrado en el Estatuto General de Contratación de la Administración Pública dirigido al contratista, para que este rinda cuentas sobre la destinación de los ítems que componen dicha partida. </w:t>
            </w:r>
            <w:r>
              <w:rPr>
                <w:rFonts w:ascii="Verdana" w:eastAsia="Arial" w:hAnsi="Verdana" w:cs="Arial"/>
                <w:color w:val="000000"/>
              </w:rPr>
              <w:t>L</w:t>
            </w:r>
            <w:r w:rsidRPr="00301910">
              <w:rPr>
                <w:rFonts w:ascii="Verdana" w:eastAsia="Arial" w:hAnsi="Verdana" w:cs="Arial"/>
                <w:color w:val="000000"/>
              </w:rPr>
              <w:t xml:space="preserve">a metodología de estipulación y administración del AIU ha sido un desarrollo de la costumbre mercantil que se ha venido adoptado voluntariamente por parte de las entidades estatales. </w:t>
            </w:r>
          </w:p>
          <w:p w14:paraId="1AA45DC0" w14:textId="46C57515" w:rsidR="00B706C7" w:rsidRPr="00A82F6B" w:rsidRDefault="00B706C7" w:rsidP="00A82F6B">
            <w:pPr>
              <w:spacing w:after="120" w:line="276" w:lineRule="auto"/>
              <w:ind w:firstLine="709"/>
              <w:jc w:val="both"/>
              <w:rPr>
                <w:rFonts w:ascii="Verdana" w:eastAsia="Arial" w:hAnsi="Verdana" w:cs="Arial"/>
                <w:color w:val="000000"/>
              </w:rPr>
            </w:pPr>
            <w:r w:rsidRPr="00143822">
              <w:rPr>
                <w:rFonts w:ascii="Verdana" w:hAnsi="Verdana" w:cs="Arial"/>
                <w:lang w:eastAsia="es-ES"/>
              </w:rPr>
              <w:t xml:space="preserve">Ahora bien, </w:t>
            </w:r>
            <w:r w:rsidRPr="00143822">
              <w:rPr>
                <w:rFonts w:ascii="Verdana" w:hAnsi="Verdana" w:cs="Arial"/>
                <w:bCs/>
                <w:szCs w:val="24"/>
                <w:lang w:val="es-ES_tradnl" w:eastAsia="es-ES_tradnl"/>
              </w:rPr>
              <w:t xml:space="preserve">nada obstaría para que las partes le dieran otros efectos particulares a la forma en que pagan el precio estructurado con AIU. </w:t>
            </w:r>
            <w:r w:rsidR="00415D4F">
              <w:rPr>
                <w:rFonts w:ascii="Verdana" w:hAnsi="Verdana" w:cs="Arial"/>
                <w:bCs/>
                <w:szCs w:val="24"/>
                <w:lang w:val="es-ES_tradnl" w:eastAsia="es-ES_tradnl"/>
              </w:rPr>
              <w:t xml:space="preserve">Así las cosas, </w:t>
            </w:r>
            <w:r w:rsidR="00415D4F" w:rsidRPr="00301910">
              <w:rPr>
                <w:rFonts w:ascii="Verdana" w:eastAsia="Arial" w:hAnsi="Verdana" w:cs="Arial"/>
                <w:color w:val="000000"/>
              </w:rPr>
              <w:t>en caso de que el pliego de condiciones o el contrato establezca la obligación de rendir dichas cuentas, deberá respetarse este pacto.</w:t>
            </w:r>
            <w:r w:rsidRPr="00143822">
              <w:rPr>
                <w:rFonts w:ascii="Verdana" w:hAnsi="Verdana" w:cs="Arial"/>
                <w:bCs/>
                <w:szCs w:val="24"/>
                <w:lang w:val="es-ES_tradnl" w:eastAsia="es-ES_tradnl"/>
              </w:rPr>
              <w:t xml:space="preserve"> Por ejemplo, podrían incluir cláusulas o reglas bajo las cuales se estableciera que el valor de alguno o de todos los componentes de la </w:t>
            </w:r>
            <w:r w:rsidRPr="00143822">
              <w:rPr>
                <w:rFonts w:ascii="Verdana" w:hAnsi="Verdana" w:cs="Arial"/>
                <w:bCs/>
                <w:i/>
                <w:iCs/>
                <w:szCs w:val="24"/>
                <w:lang w:val="es-ES_tradnl" w:eastAsia="es-ES_tradnl"/>
              </w:rPr>
              <w:t>Administración</w:t>
            </w:r>
            <w:r w:rsidRPr="00143822">
              <w:rPr>
                <w:rFonts w:ascii="Verdana" w:hAnsi="Verdana" w:cs="Arial"/>
                <w:bCs/>
                <w:szCs w:val="24"/>
                <w:lang w:val="es-ES_tradnl" w:eastAsia="es-ES_tradnl"/>
              </w:rPr>
              <w:t xml:space="preserve"> o los </w:t>
            </w:r>
            <w:r w:rsidRPr="00143822">
              <w:rPr>
                <w:rFonts w:ascii="Verdana" w:hAnsi="Verdana" w:cs="Arial"/>
                <w:bCs/>
                <w:i/>
                <w:iCs/>
                <w:szCs w:val="24"/>
                <w:lang w:val="es-ES_tradnl" w:eastAsia="es-ES_tradnl"/>
              </w:rPr>
              <w:t>Imprevistos</w:t>
            </w:r>
            <w:r w:rsidRPr="00143822">
              <w:rPr>
                <w:rFonts w:ascii="Verdana" w:hAnsi="Verdana" w:cs="Arial"/>
                <w:bCs/>
                <w:szCs w:val="24"/>
                <w:lang w:val="es-ES_tradnl" w:eastAsia="es-ES_tradnl"/>
              </w:rPr>
              <w:t xml:space="preserve"> sólo se pagan si el contratista demuestra que incurrió en algunas situaciones específicas y bajo el monto </w:t>
            </w:r>
            <w:r w:rsidRPr="00160560">
              <w:rPr>
                <w:rFonts w:ascii="Verdana" w:hAnsi="Verdana" w:cs="Arial"/>
                <w:bCs/>
                <w:szCs w:val="24"/>
                <w:lang w:val="es-ES_tradnl" w:eastAsia="es-ES_tradnl"/>
              </w:rPr>
              <w:t>que este logre demostrar.</w:t>
            </w:r>
          </w:p>
          <w:p w14:paraId="4B50F6CF" w14:textId="60A70A30" w:rsidR="00B706C7" w:rsidRDefault="00B706C7" w:rsidP="00A82F6B">
            <w:pPr>
              <w:snapToGrid w:val="0"/>
              <w:spacing w:line="276" w:lineRule="auto"/>
              <w:ind w:firstLine="709"/>
              <w:jc w:val="both"/>
              <w:rPr>
                <w:rFonts w:ascii="Verdana" w:hAnsi="Verdana" w:cs="Arial"/>
                <w:lang w:val="es-ES" w:eastAsia="es-ES"/>
              </w:rPr>
            </w:pPr>
            <w:r w:rsidRPr="00143822">
              <w:rPr>
                <w:rFonts w:ascii="Verdana" w:hAnsi="Verdana" w:cs="Arial"/>
                <w:lang w:val="es-ES" w:eastAsia="es-ES"/>
              </w:rPr>
              <w:t>En consecuencia, tanto las entidades sometidas al Estatuto General de Contratación de la Administración Pública, como las excluidas de este –es decir, las que tienen un régimen especial– gozan de autonomía para configurar el precio y para establecer el sistema de pago más apropiado para satisfacer los fines de la contratación, respetando los límites previstos en el ordenamiento. Por ende, la decisión de incluir el sistema de precios unitarios y el AIU, al igual que la metodología de delimitación de sus variables –ítems y porcentajes– debe obedecer a un juicioso análisis de oportunidad y conveniencia, que consulte las reglas de la experiencia, así como los aspectos particulares de cada negocio. Lo anterior en armonía con la garantía de los principios de la función administrativa y de la gestión fiscal, dentro de los cuales se halla el principio de economía, postulado que exige la optimización de los recursos públicos</w:t>
            </w:r>
            <w:r>
              <w:rPr>
                <w:rFonts w:ascii="Verdana" w:hAnsi="Verdana" w:cs="Arial"/>
                <w:lang w:val="es-ES" w:eastAsia="es-ES"/>
              </w:rPr>
              <w:t>.</w:t>
            </w:r>
          </w:p>
          <w:p w14:paraId="033EC33C" w14:textId="77777777" w:rsidR="005A4961" w:rsidRDefault="005A4961" w:rsidP="00A82F6B">
            <w:pPr>
              <w:snapToGrid w:val="0"/>
              <w:spacing w:line="276" w:lineRule="auto"/>
              <w:ind w:firstLine="743"/>
              <w:jc w:val="both"/>
              <w:rPr>
                <w:rFonts w:ascii="Verdana" w:hAnsi="Verdana" w:cs="Arial"/>
                <w:lang w:val="es-ES" w:eastAsia="es-ES"/>
              </w:rPr>
            </w:pPr>
          </w:p>
          <w:p w14:paraId="7C194760" w14:textId="4648E802" w:rsidR="00B706C7" w:rsidRDefault="00B706C7" w:rsidP="00910E48">
            <w:pPr>
              <w:spacing w:after="120" w:line="276" w:lineRule="auto"/>
              <w:jc w:val="both"/>
              <w:rPr>
                <w:rFonts w:ascii="Verdana" w:eastAsia="Calibri" w:hAnsi="Verdana" w:cs="Arial"/>
                <w:color w:val="000000"/>
              </w:rPr>
            </w:pPr>
            <w:r>
              <w:rPr>
                <w:rFonts w:ascii="Verdana" w:hAnsi="Verdana" w:cs="Arial"/>
                <w:lang w:val="es-ES" w:eastAsia="es-ES"/>
              </w:rPr>
              <w:t xml:space="preserve">ii) Por último, y conforme a lo </w:t>
            </w:r>
            <w:r w:rsidR="00216460">
              <w:rPr>
                <w:rFonts w:ascii="Verdana" w:hAnsi="Verdana" w:cs="Arial"/>
                <w:lang w:val="es-ES" w:eastAsia="es-ES"/>
              </w:rPr>
              <w:t>que se expondrá en el presente concepto sobre e</w:t>
            </w:r>
            <w:r>
              <w:rPr>
                <w:rFonts w:ascii="Verdana" w:hAnsi="Verdana" w:cs="Arial"/>
                <w:lang w:val="es-ES" w:eastAsia="es-ES"/>
              </w:rPr>
              <w:t xml:space="preserve">l alcance de la liquidación del contrato estatal, las partes en dicho escenario definirán entre otras cosas </w:t>
            </w:r>
            <w:r w:rsidRPr="00712955">
              <w:rPr>
                <w:rFonts w:ascii="Verdana" w:eastAsia="Calibri" w:hAnsi="Verdana" w:cs="Arial"/>
                <w:color w:val="000000"/>
              </w:rPr>
              <w:t>los ajustes, revisiones y reconocimientos a que haya lugar</w:t>
            </w:r>
            <w:r>
              <w:rPr>
                <w:rFonts w:ascii="Verdana" w:eastAsia="Calibri" w:hAnsi="Verdana" w:cs="Arial"/>
                <w:color w:val="000000"/>
              </w:rPr>
              <w:t xml:space="preserve">, entre otros aspectos, los imprevistos estos son, los riesgos previsibles del alea normal del negocio en lo que corresponde al AIU, y tal </w:t>
            </w:r>
            <w:r>
              <w:rPr>
                <w:rFonts w:ascii="Verdana" w:eastAsia="Calibri" w:hAnsi="Verdana" w:cs="Arial"/>
                <w:color w:val="000000"/>
              </w:rPr>
              <w:lastRenderedPageBreak/>
              <w:t xml:space="preserve">rubro será reconocido, de conformidad con lo estipulado en los documentos del proceso, bien sea a través de los pliegos de condiciones o documentos equivalentes, así como en el clausulado contractual. En este escenario dependerá de la forma como se acordó el precio, esto es, si el valor del contrato se estructuró sobre el sistema de precios unitarios y desglosado el AIU, por lo que en la etapa de liquidación podrá adoptarse las medidas necesarias, se insiste, de acuerdo con lo dispuesto en el negocio jurídico. </w:t>
            </w:r>
          </w:p>
          <w:p w14:paraId="08BC78DB" w14:textId="77777777" w:rsidR="00B706C7" w:rsidRPr="00AB63B6" w:rsidRDefault="00B706C7" w:rsidP="00910E48">
            <w:pPr>
              <w:spacing w:after="120" w:line="276" w:lineRule="auto"/>
              <w:ind w:firstLine="709"/>
              <w:jc w:val="both"/>
              <w:rPr>
                <w:rFonts w:ascii="Verdana" w:eastAsia="Calibri" w:hAnsi="Verdana" w:cs="Arial"/>
                <w:bCs/>
                <w:color w:val="000000"/>
                <w:kern w:val="2"/>
                <w14:ligatures w14:val="standardContextual"/>
              </w:rPr>
            </w:pPr>
            <w:r w:rsidRPr="002F7FFD">
              <w:rPr>
                <w:rFonts w:ascii="Verdana" w:hAnsi="Verdana" w:cs="Arial"/>
                <w:lang w:eastAsia="es-ES"/>
              </w:rPr>
              <w:t>Al margen de la explicación precedente debe advertirse que el análisis requerido para resolver problemas específicos en torno al AIU debe ser realizado por quienes tengan interés en ello.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tc>
      </w:tr>
    </w:tbl>
    <w:p w14:paraId="45BF4A3E" w14:textId="77777777" w:rsidR="00B706C7" w:rsidRDefault="00B706C7" w:rsidP="00B706C7">
      <w:pPr>
        <w:tabs>
          <w:tab w:val="left" w:pos="142"/>
          <w:tab w:val="left" w:pos="284"/>
        </w:tabs>
        <w:spacing w:after="0" w:line="276" w:lineRule="auto"/>
        <w:jc w:val="both"/>
        <w:rPr>
          <w:rFonts w:ascii="Verdana" w:eastAsia="Century Gothic" w:hAnsi="Verdana" w:cs="Century Gothic"/>
          <w:b/>
          <w:bCs/>
        </w:rPr>
      </w:pPr>
    </w:p>
    <w:p w14:paraId="569003BD" w14:textId="77777777" w:rsidR="00B706C7" w:rsidRDefault="00B706C7" w:rsidP="00B706C7">
      <w:pPr>
        <w:tabs>
          <w:tab w:val="left" w:pos="142"/>
          <w:tab w:val="left" w:pos="284"/>
        </w:tabs>
        <w:spacing w:after="0" w:line="276" w:lineRule="auto"/>
        <w:jc w:val="both"/>
        <w:rPr>
          <w:rFonts w:ascii="Verdana" w:eastAsia="Century Gothic" w:hAnsi="Verdana" w:cs="Century Gothic"/>
          <w:b/>
          <w:bCs/>
        </w:rPr>
      </w:pPr>
      <w:r w:rsidRPr="005644FE">
        <w:rPr>
          <w:rFonts w:ascii="Verdana" w:eastAsia="Century Gothic" w:hAnsi="Verdana" w:cs="Century Gothic"/>
          <w:b/>
          <w:bCs/>
        </w:rPr>
        <w:t>3. Razones de la respuesta:</w:t>
      </w:r>
    </w:p>
    <w:p w14:paraId="6DEC53FB" w14:textId="77777777" w:rsidR="00B706C7" w:rsidRPr="005644FE" w:rsidRDefault="00B706C7" w:rsidP="00B706C7">
      <w:pPr>
        <w:tabs>
          <w:tab w:val="left" w:pos="142"/>
          <w:tab w:val="left" w:pos="284"/>
        </w:tabs>
        <w:spacing w:after="0" w:line="276" w:lineRule="auto"/>
        <w:jc w:val="both"/>
        <w:rPr>
          <w:rFonts w:ascii="Verdana" w:eastAsia="Century Gothic" w:hAnsi="Verdana" w:cs="Century Gothic"/>
          <w:b/>
          <w:bCs/>
        </w:rPr>
      </w:pPr>
    </w:p>
    <w:p w14:paraId="1E5EBAB9" w14:textId="77777777" w:rsidR="00B706C7" w:rsidRDefault="00B706C7" w:rsidP="00B706C7">
      <w:pPr>
        <w:tabs>
          <w:tab w:val="left" w:pos="142"/>
          <w:tab w:val="left" w:pos="284"/>
          <w:tab w:val="left" w:pos="6975"/>
        </w:tabs>
        <w:spacing w:after="0" w:line="276" w:lineRule="auto"/>
        <w:jc w:val="both"/>
        <w:rPr>
          <w:rFonts w:ascii="Verdana" w:eastAsia="Calibri" w:hAnsi="Verdana" w:cs="Arial"/>
        </w:rPr>
      </w:pPr>
      <w:r w:rsidRPr="005644FE">
        <w:rPr>
          <w:rFonts w:ascii="Verdana" w:eastAsia="Calibri" w:hAnsi="Verdana" w:cs="Arial"/>
        </w:rPr>
        <w:t>Lo anterior se sustenta en las siguientes consideraciones:</w:t>
      </w:r>
    </w:p>
    <w:p w14:paraId="332E0C78" w14:textId="77777777" w:rsidR="00B706C7" w:rsidRDefault="00B706C7" w:rsidP="00B706C7">
      <w:pPr>
        <w:tabs>
          <w:tab w:val="left" w:pos="142"/>
          <w:tab w:val="left" w:pos="284"/>
          <w:tab w:val="left" w:pos="6975"/>
        </w:tabs>
        <w:spacing w:after="0" w:line="276" w:lineRule="auto"/>
        <w:jc w:val="both"/>
        <w:rPr>
          <w:rFonts w:ascii="Verdana" w:eastAsia="Calibri" w:hAnsi="Verdana" w:cs="Arial"/>
        </w:rPr>
      </w:pPr>
    </w:p>
    <w:p w14:paraId="08A13974" w14:textId="77777777" w:rsidR="00B706C7" w:rsidRPr="00FB5FC4" w:rsidRDefault="00B706C7" w:rsidP="00B706C7">
      <w:pPr>
        <w:spacing w:after="0" w:line="276" w:lineRule="auto"/>
        <w:jc w:val="both"/>
        <w:rPr>
          <w:rFonts w:ascii="Verdana" w:eastAsia="Calibri" w:hAnsi="Verdana" w:cs="Arial"/>
          <w:color w:val="000000"/>
          <w:lang w:val="es-ES_tradnl"/>
        </w:rPr>
      </w:pPr>
      <w:r>
        <w:rPr>
          <w:rFonts w:ascii="Verdana" w:eastAsia="Calibri" w:hAnsi="Verdana" w:cs="Arial"/>
          <w:color w:val="000000"/>
          <w:lang w:val="es-ES_tradnl"/>
        </w:rPr>
        <w:t xml:space="preserve">i. </w:t>
      </w:r>
      <w:r w:rsidRPr="00FB5FC4">
        <w:rPr>
          <w:rFonts w:ascii="Verdana" w:eastAsia="Calibri" w:hAnsi="Verdana" w:cs="Arial"/>
          <w:color w:val="000000"/>
          <w:lang w:val="es-ES_tradnl"/>
        </w:rPr>
        <w:t>La liquidación es</w:t>
      </w:r>
      <w:r>
        <w:rPr>
          <w:rFonts w:ascii="Verdana" w:eastAsia="Calibri" w:hAnsi="Verdana" w:cs="Arial"/>
          <w:color w:val="000000"/>
          <w:lang w:val="es-ES_tradnl"/>
        </w:rPr>
        <w:t xml:space="preserve"> una fase del proceso de contratación en que,</w:t>
      </w:r>
      <w:r w:rsidRPr="00FB5FC4">
        <w:rPr>
          <w:rFonts w:ascii="Verdana" w:eastAsia="Calibri" w:hAnsi="Verdana" w:cs="Arial"/>
          <w:color w:val="000000"/>
          <w:lang w:val="es-ES_tradnl"/>
        </w:rPr>
        <w:t xml:space="preserve"> una vez concluido el contrato estatal, las partes cruzan cuentas respecto de sus obligaciones</w:t>
      </w:r>
      <w:r>
        <w:rPr>
          <w:rFonts w:ascii="Verdana" w:eastAsia="Calibri" w:hAnsi="Verdana" w:cs="Arial"/>
          <w:color w:val="000000"/>
          <w:lang w:val="es-ES_tradnl"/>
        </w:rPr>
        <w:t>.</w:t>
      </w:r>
      <w:r w:rsidRPr="00FB5FC4">
        <w:rPr>
          <w:rFonts w:ascii="Verdana" w:eastAsia="Calibri" w:hAnsi="Verdana" w:cs="Arial"/>
          <w:color w:val="000000"/>
          <w:lang w:val="es-ES_tradnl"/>
        </w:rPr>
        <w:t xml:space="preserve"> </w:t>
      </w:r>
      <w:r>
        <w:rPr>
          <w:rFonts w:ascii="Verdana" w:eastAsia="Calibri" w:hAnsi="Verdana" w:cs="Arial"/>
          <w:color w:val="000000"/>
          <w:lang w:val="es-ES_tradnl"/>
        </w:rPr>
        <w:t>P</w:t>
      </w:r>
      <w:r w:rsidRPr="00FB5FC4">
        <w:rPr>
          <w:rFonts w:ascii="Verdana" w:eastAsia="Calibri" w:hAnsi="Verdana" w:cs="Arial"/>
          <w:color w:val="000000"/>
          <w:lang w:val="es-ES_tradnl"/>
        </w:rPr>
        <w:t xml:space="preserve">or tanto, su objetivo es determinar si pueden declararse a paz y salvo mutuo o si, por el contrario, existen aún obligaciones por cumplir, para acordar la forma en que deben ser </w:t>
      </w:r>
      <w:r>
        <w:rPr>
          <w:rFonts w:ascii="Verdana" w:eastAsia="Calibri" w:hAnsi="Verdana" w:cs="Arial"/>
          <w:color w:val="000000"/>
          <w:lang w:val="es-ES_tradnl"/>
        </w:rPr>
        <w:t>finalizadas</w:t>
      </w:r>
      <w:r w:rsidRPr="00FB5FC4">
        <w:rPr>
          <w:rFonts w:ascii="Verdana" w:eastAsia="Calibri" w:hAnsi="Verdana" w:cs="Arial"/>
          <w:color w:val="000000"/>
          <w:vertAlign w:val="superscript"/>
          <w:lang w:val="es-ES_tradnl"/>
        </w:rPr>
        <w:footnoteReference w:id="1"/>
      </w:r>
      <w:r w:rsidRPr="00FB5FC4">
        <w:rPr>
          <w:rFonts w:ascii="Verdana" w:eastAsia="Calibri" w:hAnsi="Verdana" w:cs="Arial"/>
          <w:color w:val="000000"/>
          <w:lang w:val="es-ES_tradnl"/>
        </w:rPr>
        <w:t>. En armonía con lo anterior, la doctrina ha definido la liquidación de la siguiente manera:</w:t>
      </w:r>
    </w:p>
    <w:p w14:paraId="2C25D329" w14:textId="77777777" w:rsidR="00B706C7" w:rsidRPr="00FB5FC4" w:rsidRDefault="00B706C7" w:rsidP="00B706C7">
      <w:pPr>
        <w:spacing w:after="0" w:line="276" w:lineRule="auto"/>
        <w:jc w:val="both"/>
        <w:rPr>
          <w:rFonts w:ascii="Verdana" w:eastAsia="Calibri" w:hAnsi="Verdana" w:cs="Arial"/>
          <w:color w:val="000000"/>
          <w:lang w:val="es-ES_tradnl"/>
        </w:rPr>
      </w:pPr>
    </w:p>
    <w:p w14:paraId="42229254" w14:textId="77777777" w:rsidR="00B706C7" w:rsidRPr="00A71E32" w:rsidRDefault="00B706C7" w:rsidP="00526D65">
      <w:pPr>
        <w:spacing w:after="0" w:line="240" w:lineRule="auto"/>
        <w:ind w:left="709" w:right="709"/>
        <w:jc w:val="both"/>
        <w:rPr>
          <w:rFonts w:ascii="Verdana" w:eastAsia="Calibri" w:hAnsi="Verdana" w:cs="Arial"/>
          <w:sz w:val="20"/>
          <w:szCs w:val="20"/>
          <w:lang w:val="es-MX"/>
        </w:rPr>
      </w:pPr>
      <w:r w:rsidRPr="00A71E32">
        <w:rPr>
          <w:rFonts w:ascii="Verdana" w:eastAsia="Calibri" w:hAnsi="Verdana" w:cs="Arial"/>
          <w:i/>
          <w:iCs/>
          <w:color w:val="000000"/>
          <w:sz w:val="20"/>
          <w:szCs w:val="20"/>
          <w:lang w:val="es-ES_tradnl"/>
        </w:rPr>
        <w:t>“</w:t>
      </w:r>
      <w:r w:rsidRPr="00A71E32">
        <w:rPr>
          <w:rFonts w:ascii="Verdana" w:eastAsia="Calibri" w:hAnsi="Verdana" w:cs="Arial"/>
          <w:sz w:val="20"/>
          <w:szCs w:val="20"/>
          <w:lang w:val="es-MX"/>
        </w:rPr>
        <w:t xml:space="preserve">[…] la liquidación del contrato estatal corresponde al arreglo o ajuste económico, técnico y jurídico al que se llega de forma bilateral (por las partes del negocio), unilateralmente (por la administración), por el juez o </w:t>
      </w:r>
      <w:r w:rsidRPr="00A71E32">
        <w:rPr>
          <w:rFonts w:ascii="Verdana" w:eastAsia="Calibri" w:hAnsi="Verdana" w:cs="Arial"/>
          <w:sz w:val="20"/>
          <w:szCs w:val="20"/>
          <w:lang w:val="es-MX"/>
        </w:rPr>
        <w:lastRenderedPageBreak/>
        <w:t>por el árbitro, según el caso, para determinar el estado final de la relación contractual, no solo en cuento al cumplimiento del objeto acordado y al recibo a satisfacción de los productos contratados (bienes y servicios), sino, además, para definir la situación en la que quedan los contratantes, luego de la ejecución del contrato, en el sentido de disponer cuánto se adeudan, de qué manera y en qué plazos se han de efectuar los pagos pendientes y las condiciones para el establecimiento del respectivo paz y salvo. En otras palabras, la liquidación es el acto jurídico bilateral, administrativo o judicial, en el que se plasma y formaliza la situación financiera y jurídica de las partes, al término de la relación contractual (aspecto subjetivo) y el grado de cumplimiento del objeto contratado (aspecto objetivo); de ahí que pueda hablarse, en términos amplios, de un doble contenido, que debe estar presente en toda liquidación. En efecto, el corte de cuentas realizado en ella tiene un doble alcance: (i) hacer un balance definitivo del negocio, en sus aspectos técnicos, financieros y jurídicos (aspecto objetivo o material) y ii) definir la situación jurídica de las partes, estableciendo si pueden constituirse o no a paz y salvo; lo que exige, en la práctica, que los negociantes dialoguen e intenten ponerse de acuerdo (aspecto subjetivo)”</w:t>
      </w:r>
      <w:r w:rsidRPr="00A71E32">
        <w:rPr>
          <w:rFonts w:ascii="Verdana" w:eastAsia="Calibri" w:hAnsi="Verdana" w:cs="Arial"/>
          <w:sz w:val="20"/>
          <w:szCs w:val="20"/>
          <w:vertAlign w:val="superscript"/>
          <w:lang w:val="es-MX"/>
        </w:rPr>
        <w:footnoteReference w:id="2"/>
      </w:r>
      <w:r w:rsidRPr="00A71E32">
        <w:rPr>
          <w:rFonts w:ascii="Verdana" w:eastAsia="Calibri" w:hAnsi="Verdana" w:cs="Arial"/>
          <w:sz w:val="20"/>
          <w:szCs w:val="20"/>
          <w:lang w:val="es-MX"/>
        </w:rPr>
        <w:t>.</w:t>
      </w:r>
    </w:p>
    <w:p w14:paraId="43547077" w14:textId="77777777" w:rsidR="00B706C7" w:rsidRPr="00FB5FC4" w:rsidRDefault="00B706C7" w:rsidP="00B706C7">
      <w:pPr>
        <w:spacing w:after="0" w:line="276" w:lineRule="auto"/>
        <w:jc w:val="both"/>
        <w:rPr>
          <w:rFonts w:ascii="Verdana" w:eastAsia="Calibri" w:hAnsi="Verdana" w:cs="Arial"/>
          <w:color w:val="000000"/>
          <w:lang w:val="es-ES_tradnl"/>
        </w:rPr>
      </w:pPr>
    </w:p>
    <w:p w14:paraId="196B57CE" w14:textId="77777777" w:rsidR="00B706C7" w:rsidRPr="00FB5FC4" w:rsidRDefault="00B706C7" w:rsidP="00B706C7">
      <w:pPr>
        <w:spacing w:after="120" w:line="276" w:lineRule="auto"/>
        <w:ind w:firstLine="709"/>
        <w:jc w:val="both"/>
        <w:rPr>
          <w:rFonts w:ascii="Verdana" w:eastAsia="Times New Roman" w:hAnsi="Verdana" w:cs="Arial"/>
          <w:color w:val="000000"/>
          <w:sz w:val="21"/>
          <w:szCs w:val="21"/>
          <w:lang w:val="es-ES_tradnl" w:eastAsia="es-ES_tradnl"/>
        </w:rPr>
      </w:pPr>
      <w:r>
        <w:rPr>
          <w:rFonts w:ascii="Verdana" w:eastAsia="Times New Roman" w:hAnsi="Verdana" w:cs="Arial"/>
          <w:color w:val="000000"/>
          <w:szCs w:val="24"/>
          <w:lang w:val="es-ES_tradnl" w:eastAsia="es-ES_tradnl"/>
        </w:rPr>
        <w:t>S</w:t>
      </w:r>
      <w:r w:rsidRPr="00FB5FC4">
        <w:rPr>
          <w:rFonts w:ascii="Verdana" w:eastAsia="Times New Roman" w:hAnsi="Verdana" w:cs="Arial"/>
          <w:color w:val="000000"/>
          <w:szCs w:val="24"/>
          <w:lang w:val="es-ES_tradnl" w:eastAsia="es-ES_tradnl"/>
        </w:rPr>
        <w:t xml:space="preserve">egún la jurisprudencia, la liquidación es el ajuste de cuentas donde las partes hacen un balance económico, técnico y jurídico del cumplimiento de las obligaciones que tienen a su cargo. Así lo manifestó el Consejo de Estado en la </w:t>
      </w:r>
      <w:r>
        <w:rPr>
          <w:rFonts w:ascii="Verdana" w:eastAsia="Times New Roman" w:hAnsi="Verdana" w:cs="Arial"/>
          <w:color w:val="000000"/>
          <w:szCs w:val="24"/>
          <w:lang w:val="es-ES_tradnl" w:eastAsia="es-ES_tradnl"/>
        </w:rPr>
        <w:t>S</w:t>
      </w:r>
      <w:r w:rsidRPr="00FB5FC4">
        <w:rPr>
          <w:rFonts w:ascii="Verdana" w:eastAsia="Times New Roman" w:hAnsi="Verdana" w:cs="Arial"/>
          <w:color w:val="000000"/>
          <w:szCs w:val="24"/>
          <w:lang w:val="es-ES_tradnl" w:eastAsia="es-ES_tradnl"/>
        </w:rPr>
        <w:t xml:space="preserve">entencia del 20 de octubre de 2014, en la que consideró, por un lado, que </w:t>
      </w:r>
      <w:r w:rsidRPr="00FB5FC4">
        <w:rPr>
          <w:rFonts w:ascii="Verdana" w:eastAsia="Times New Roman" w:hAnsi="Verdana" w:cs="Arial"/>
          <w:i/>
          <w:iCs/>
          <w:color w:val="000000"/>
          <w:szCs w:val="24"/>
          <w:lang w:val="es-ES_tradnl" w:eastAsia="es-ES_tradnl"/>
        </w:rPr>
        <w:t>liquidar</w:t>
      </w:r>
      <w:r w:rsidRPr="00FB5FC4">
        <w:rPr>
          <w:rFonts w:ascii="Verdana" w:eastAsia="Times New Roman" w:hAnsi="Verdana" w:cs="Arial"/>
          <w:color w:val="000000"/>
          <w:szCs w:val="24"/>
          <w:lang w:val="es-ES_tradnl" w:eastAsia="es-ES_tradnl"/>
        </w:rPr>
        <w:t xml:space="preserve"> supone un ajuste en relación con las cuentas y el estado de cumplimiento del contrato estatal y, por el otro, que la </w:t>
      </w:r>
      <w:r w:rsidRPr="00FB5FC4">
        <w:rPr>
          <w:rFonts w:ascii="Verdana" w:eastAsia="Times New Roman" w:hAnsi="Verdana" w:cs="Arial"/>
          <w:i/>
          <w:iCs/>
          <w:color w:val="000000"/>
          <w:szCs w:val="24"/>
          <w:lang w:val="es-ES_tradnl" w:eastAsia="es-ES_tradnl"/>
        </w:rPr>
        <w:t>liquidación</w:t>
      </w:r>
      <w:r w:rsidRPr="00FB5FC4">
        <w:rPr>
          <w:rFonts w:ascii="Verdana" w:eastAsia="Times New Roman" w:hAnsi="Verdana" w:cs="Arial"/>
          <w:color w:val="000000"/>
          <w:szCs w:val="24"/>
          <w:lang w:val="es-ES_tradnl" w:eastAsia="es-ES_tradnl"/>
        </w:rPr>
        <w:t xml:space="preserve"> debe incluir el análisis de las condiciones de calidad y oportunidad en la entrega de los bienes, obras o servicios, así como el balance económico y el comportamiento financiero del negocio</w:t>
      </w:r>
      <w:r w:rsidRPr="00FB5FC4">
        <w:rPr>
          <w:rFonts w:ascii="Verdana" w:eastAsia="Times New Roman" w:hAnsi="Verdana" w:cs="Arial"/>
          <w:color w:val="000000"/>
          <w:szCs w:val="24"/>
          <w:vertAlign w:val="superscript"/>
          <w:lang w:val="es-ES_tradnl" w:eastAsia="es-ES_tradnl"/>
        </w:rPr>
        <w:footnoteReference w:id="3"/>
      </w:r>
      <w:r w:rsidRPr="00FB5FC4">
        <w:rPr>
          <w:rFonts w:ascii="Verdana" w:eastAsia="Times New Roman" w:hAnsi="Verdana" w:cs="Arial"/>
          <w:color w:val="000000"/>
          <w:szCs w:val="24"/>
          <w:lang w:val="es-ES_tradnl" w:eastAsia="es-ES_tradnl"/>
        </w:rPr>
        <w:t xml:space="preserve">. </w:t>
      </w:r>
    </w:p>
    <w:p w14:paraId="461433C1" w14:textId="39F17C68" w:rsidR="00B706C7" w:rsidRPr="00AB63B6" w:rsidRDefault="00B706C7" w:rsidP="00B706C7">
      <w:pPr>
        <w:spacing w:after="0" w:line="276" w:lineRule="auto"/>
        <w:ind w:firstLine="709"/>
        <w:jc w:val="both"/>
        <w:rPr>
          <w:rFonts w:ascii="Verdana" w:eastAsia="Calibri" w:hAnsi="Verdana" w:cs="Arial"/>
          <w:color w:val="000000"/>
          <w:lang w:val="es-ES_tradnl"/>
        </w:rPr>
      </w:pPr>
      <w:r w:rsidRPr="00526D65">
        <w:rPr>
          <w:rFonts w:ascii="Verdana" w:eastAsia="Calibri" w:hAnsi="Verdana" w:cs="Arial"/>
          <w:color w:val="000000"/>
          <w:lang w:val="es-ES_tradnl"/>
        </w:rPr>
        <w:t xml:space="preserve">Para las entidades sometidas al </w:t>
      </w:r>
      <w:r w:rsidR="008E663B">
        <w:rPr>
          <w:rFonts w:ascii="Verdana" w:eastAsia="Calibri" w:hAnsi="Verdana" w:cs="Arial"/>
          <w:color w:val="000000"/>
          <w:lang w:val="es-ES_tradnl"/>
        </w:rPr>
        <w:t xml:space="preserve">Estatuto General de Contratación Pública – en adelante </w:t>
      </w:r>
      <w:r w:rsidRPr="00526D65">
        <w:rPr>
          <w:rFonts w:ascii="Verdana" w:eastAsia="Calibri" w:hAnsi="Verdana" w:cs="Arial"/>
          <w:color w:val="000000"/>
          <w:lang w:val="es-ES_tradnl"/>
        </w:rPr>
        <w:t>EGCAP</w:t>
      </w:r>
      <w:r w:rsidR="008E663B">
        <w:rPr>
          <w:rFonts w:ascii="Verdana" w:eastAsia="Calibri" w:hAnsi="Verdana" w:cs="Arial"/>
          <w:color w:val="000000"/>
          <w:lang w:val="es-ES_tradnl"/>
        </w:rPr>
        <w:t xml:space="preserve"> -</w:t>
      </w:r>
      <w:r>
        <w:rPr>
          <w:rFonts w:ascii="Verdana" w:eastAsia="Calibri" w:hAnsi="Verdana" w:cs="Arial"/>
          <w:color w:val="000000"/>
          <w:lang w:val="es-ES_tradnl"/>
        </w:rPr>
        <w:t>, l</w:t>
      </w:r>
      <w:r w:rsidRPr="00FB5FC4">
        <w:rPr>
          <w:rFonts w:ascii="Verdana" w:eastAsia="Calibri" w:hAnsi="Verdana" w:cs="Arial"/>
          <w:color w:val="000000"/>
          <w:lang w:val="es-ES_tradnl"/>
        </w:rPr>
        <w:t xml:space="preserve">as disposiciones legales que regulan la etapa de </w:t>
      </w:r>
      <w:r w:rsidRPr="00FB5FC4">
        <w:rPr>
          <w:rFonts w:ascii="Verdana" w:eastAsia="Calibri" w:hAnsi="Verdana" w:cs="Arial"/>
          <w:color w:val="000000"/>
          <w:lang w:val="es-ES_tradnl"/>
        </w:rPr>
        <w:lastRenderedPageBreak/>
        <w:t xml:space="preserve">liquidación de los contratos estatales son el artículo 60 de la Ley 80 de 1993, modificado por el artículo 217 del Decreto </w:t>
      </w:r>
      <w:r>
        <w:rPr>
          <w:rFonts w:ascii="Verdana" w:eastAsia="Calibri" w:hAnsi="Verdana" w:cs="Arial"/>
          <w:color w:val="000000"/>
          <w:lang w:val="es-ES_tradnl"/>
        </w:rPr>
        <w:t xml:space="preserve">Ley </w:t>
      </w:r>
      <w:r w:rsidRPr="00FB5FC4">
        <w:rPr>
          <w:rFonts w:ascii="Verdana" w:eastAsia="Calibri" w:hAnsi="Verdana" w:cs="Arial"/>
          <w:color w:val="000000"/>
          <w:lang w:val="es-ES_tradnl"/>
        </w:rPr>
        <w:t>019 de 2012, y el artículo 11 de la Ley 1150 de 2007. El primero de estos artículos se refiere al alcance sustantivo de la liquidación y los contratos en que procede, mientras que el segundo contiene reglas procedimentales para su realización. En relación con el artículo 60 referido, la doctrina ha indicado que:</w:t>
      </w:r>
    </w:p>
    <w:p w14:paraId="003E801F" w14:textId="77777777" w:rsidR="00EA0C47" w:rsidRPr="00AB63B6" w:rsidRDefault="00EA0C47" w:rsidP="00B706C7">
      <w:pPr>
        <w:spacing w:after="0" w:line="276" w:lineRule="auto"/>
        <w:ind w:firstLine="709"/>
        <w:jc w:val="both"/>
        <w:rPr>
          <w:rFonts w:ascii="Verdana" w:eastAsia="Calibri" w:hAnsi="Verdana" w:cs="Arial"/>
          <w:color w:val="000000"/>
          <w:lang w:val="es-ES_tradnl"/>
        </w:rPr>
      </w:pPr>
    </w:p>
    <w:p w14:paraId="10125C9E" w14:textId="77777777" w:rsidR="00B706C7" w:rsidRPr="00A71E32" w:rsidRDefault="00B706C7" w:rsidP="00526D65">
      <w:pPr>
        <w:spacing w:after="0" w:line="240" w:lineRule="auto"/>
        <w:ind w:left="709" w:right="709"/>
        <w:jc w:val="both"/>
        <w:rPr>
          <w:rFonts w:ascii="Verdana" w:eastAsia="Calibri" w:hAnsi="Verdana" w:cs="Arial"/>
          <w:sz w:val="20"/>
          <w:szCs w:val="20"/>
          <w:lang w:val="es-MX"/>
        </w:rPr>
      </w:pPr>
      <w:r w:rsidRPr="00A71E32">
        <w:rPr>
          <w:rFonts w:ascii="Verdana" w:eastAsia="Calibri" w:hAnsi="Verdana" w:cs="Arial"/>
          <w:sz w:val="20"/>
          <w:szCs w:val="20"/>
          <w:lang w:val="es-ES"/>
        </w:rPr>
        <w:t>“</w:t>
      </w:r>
      <w:r w:rsidRPr="00A71E32">
        <w:rPr>
          <w:rFonts w:ascii="Verdana" w:eastAsia="Calibri" w:hAnsi="Verdana" w:cs="Arial"/>
          <w:sz w:val="20"/>
          <w:szCs w:val="20"/>
          <w:lang w:val="es-MX"/>
        </w:rPr>
        <w:t xml:space="preserve">La ley 80 de 1993 […] dispuso en el artículo 60 que serían objeto de liquidación todos los contratos de tracto sucesivo, entendiendo por estos los de ejecución y cumplimiento prolongados en el tiempo, así como los demás que lo requieran –que son generalmente aquellos de ejecución instantánea en los que la misma se ha extendido temporalmente–, etapa en la cual las partes debían acordar los ajustes, revisiones y reconocimientos a que hubiera lugar, y que el contenido de la misma debía reflejar </w:t>
      </w:r>
      <w:r>
        <w:rPr>
          <w:rFonts w:ascii="Verdana" w:eastAsia="Calibri" w:hAnsi="Verdana" w:cs="Arial"/>
          <w:sz w:val="20"/>
          <w:szCs w:val="20"/>
          <w:lang w:val="es-MX"/>
        </w:rPr>
        <w:t>‘</w:t>
      </w:r>
      <w:r w:rsidRPr="00A71E32">
        <w:rPr>
          <w:rFonts w:ascii="Verdana" w:eastAsia="Calibri" w:hAnsi="Verdana" w:cs="Arial"/>
          <w:sz w:val="20"/>
          <w:szCs w:val="20"/>
          <w:lang w:val="es-MX"/>
        </w:rPr>
        <w:t>los acuerdos, conciliaciones y transacciones a que llegaren las partes para poner fin a las divergencias presentadas y poder declararse a paz y salvo</w:t>
      </w:r>
      <w:r>
        <w:rPr>
          <w:rFonts w:ascii="Verdana" w:eastAsia="Calibri" w:hAnsi="Verdana" w:cs="Arial"/>
          <w:sz w:val="20"/>
          <w:szCs w:val="20"/>
          <w:lang w:val="es-MX"/>
        </w:rPr>
        <w:t>’</w:t>
      </w:r>
      <w:r w:rsidRPr="00A71E32">
        <w:rPr>
          <w:rFonts w:ascii="Verdana" w:eastAsia="Calibri" w:hAnsi="Verdana" w:cs="Arial"/>
          <w:sz w:val="20"/>
          <w:szCs w:val="20"/>
          <w:lang w:val="es-MX"/>
        </w:rPr>
        <w:t>”</w:t>
      </w:r>
      <w:r w:rsidRPr="00A71E32">
        <w:rPr>
          <w:rFonts w:ascii="Verdana" w:eastAsia="Calibri" w:hAnsi="Verdana" w:cs="Arial"/>
          <w:sz w:val="20"/>
          <w:szCs w:val="20"/>
          <w:vertAlign w:val="superscript"/>
          <w:lang w:val="es-MX"/>
        </w:rPr>
        <w:footnoteReference w:id="4"/>
      </w:r>
      <w:r w:rsidRPr="00A71E32">
        <w:rPr>
          <w:rFonts w:ascii="Verdana" w:eastAsia="Calibri" w:hAnsi="Verdana" w:cs="Arial"/>
          <w:sz w:val="20"/>
          <w:szCs w:val="20"/>
          <w:lang w:val="es-MX"/>
        </w:rPr>
        <w:t>.</w:t>
      </w:r>
    </w:p>
    <w:p w14:paraId="2B77C349" w14:textId="77777777" w:rsidR="00B706C7" w:rsidRPr="00D71733" w:rsidRDefault="00B706C7" w:rsidP="00B706C7">
      <w:pPr>
        <w:spacing w:after="0" w:line="276" w:lineRule="auto"/>
        <w:ind w:left="709" w:right="758"/>
        <w:jc w:val="both"/>
        <w:rPr>
          <w:rFonts w:ascii="Verdana" w:eastAsia="Calibri" w:hAnsi="Verdana" w:cs="Arial"/>
          <w:lang w:val="es-ES"/>
        </w:rPr>
      </w:pPr>
    </w:p>
    <w:p w14:paraId="2C8B8F9A" w14:textId="77777777" w:rsidR="00B706C7" w:rsidRDefault="00B706C7" w:rsidP="00B706C7">
      <w:pPr>
        <w:spacing w:after="120" w:line="276" w:lineRule="auto"/>
        <w:ind w:firstLine="708"/>
        <w:jc w:val="both"/>
        <w:rPr>
          <w:rFonts w:ascii="Verdana" w:eastAsia="Calibri" w:hAnsi="Verdana" w:cs="Arial"/>
          <w:color w:val="000000"/>
          <w:lang w:val="es-ES_tradnl"/>
        </w:rPr>
      </w:pPr>
      <w:r w:rsidRPr="00FB5FC4">
        <w:rPr>
          <w:rFonts w:ascii="Verdana" w:eastAsia="Calibri" w:hAnsi="Verdana" w:cs="Arial"/>
          <w:color w:val="000000"/>
          <w:lang w:val="es-ES_tradnl"/>
        </w:rPr>
        <w:t>Así las cosas, de acuerdo con el artículo 60 de la Ley 80 de 1993, los contratos de tracto sucesivo, aquellos cuyo cumplimiento o ejecución se prolongue en el tiempo y los demás que lo requieran “</w:t>
      </w:r>
      <w:r w:rsidRPr="00D71733">
        <w:rPr>
          <w:rFonts w:ascii="Verdana" w:eastAsia="Calibri" w:hAnsi="Verdana" w:cs="Arial"/>
          <w:color w:val="000000"/>
          <w:lang w:val="es-ES_tradnl"/>
        </w:rPr>
        <w:t>serán objeto de liquidación</w:t>
      </w:r>
      <w:r w:rsidRPr="00FB5FC4">
        <w:rPr>
          <w:rFonts w:ascii="Verdana" w:eastAsia="Calibri" w:hAnsi="Verdana" w:cs="Arial"/>
          <w:color w:val="000000"/>
          <w:lang w:val="es-ES_tradnl"/>
        </w:rPr>
        <w:t>”. El mismo artículo prescribe que no será obligatoria la liquidación en los contratos de prestación de servicios profesionales y de apoyo a la gestión. Adicionalmente, en los contratos las entidades estatales deben definir la oportunidad y forma de recibir el objeto contratado y, en cada caso, si un contrato requiere o no de liquidación, con arreglo a criterios tales como la naturaleza, objeto y plazo del contrato</w:t>
      </w:r>
      <w:r w:rsidRPr="00FB5FC4">
        <w:rPr>
          <w:rFonts w:ascii="Verdana" w:eastAsia="Calibri" w:hAnsi="Verdana" w:cs="Arial"/>
          <w:color w:val="000000"/>
          <w:vertAlign w:val="superscript"/>
          <w:lang w:val="es-ES_tradnl"/>
        </w:rPr>
        <w:footnoteReference w:id="5"/>
      </w:r>
      <w:r w:rsidRPr="00FB5FC4">
        <w:rPr>
          <w:rFonts w:ascii="Verdana" w:eastAsia="Calibri" w:hAnsi="Verdana" w:cs="Arial"/>
          <w:color w:val="000000"/>
          <w:lang w:val="es-ES_tradnl"/>
        </w:rPr>
        <w:t xml:space="preserve">, así como la probabilidad de que puedan surgir diferencias durante la ejecución del contrato; sin perjuicio de que, como se indicó, todos los contratos estatales de </w:t>
      </w:r>
      <w:r w:rsidRPr="00FB5FC4">
        <w:rPr>
          <w:rFonts w:ascii="Verdana" w:eastAsia="Calibri" w:hAnsi="Verdana" w:cs="Arial"/>
          <w:i/>
          <w:iCs/>
          <w:color w:val="000000"/>
          <w:lang w:val="es-ES_tradnl"/>
        </w:rPr>
        <w:t>tracto sucesivo</w:t>
      </w:r>
      <w:r w:rsidRPr="00FB5FC4">
        <w:rPr>
          <w:rFonts w:ascii="Verdana" w:eastAsia="Calibri" w:hAnsi="Verdana" w:cs="Arial"/>
          <w:color w:val="000000"/>
          <w:lang w:val="es-ES_tradnl"/>
        </w:rPr>
        <w:t xml:space="preserve"> o aquellos cuya ejecución se prolongue en el tiempo siempre deban liquidarse, convirtiéndose en estos contratos en una cláusula de la naturaleza, conforme a la clasificación prevista en el Código Civil.</w:t>
      </w:r>
    </w:p>
    <w:p w14:paraId="0110D6C0" w14:textId="77777777" w:rsidR="00B706C7" w:rsidRDefault="00B706C7" w:rsidP="00B706C7">
      <w:pPr>
        <w:spacing w:after="120" w:line="276" w:lineRule="auto"/>
        <w:ind w:firstLine="708"/>
        <w:jc w:val="both"/>
        <w:rPr>
          <w:rFonts w:ascii="Verdana" w:eastAsia="Calibri" w:hAnsi="Verdana" w:cs="Arial"/>
          <w:color w:val="000000"/>
        </w:rPr>
      </w:pPr>
      <w:r>
        <w:rPr>
          <w:rFonts w:ascii="Verdana" w:eastAsia="Calibri" w:hAnsi="Verdana" w:cs="Arial"/>
          <w:color w:val="000000"/>
          <w:lang w:val="es-ES_tradnl"/>
        </w:rPr>
        <w:t xml:space="preserve">De conformidad con lo dispuesto en el artículo 60 de la Lay 80 de 1993 </w:t>
      </w:r>
      <w:r w:rsidRPr="00712955">
        <w:rPr>
          <w:rFonts w:ascii="Verdana" w:eastAsia="Calibri" w:hAnsi="Verdana" w:cs="Arial"/>
          <w:color w:val="000000"/>
        </w:rPr>
        <w:t xml:space="preserve">se definen “los ajustes, revisiones y reconocimientos a que haya lugar”, razón por </w:t>
      </w:r>
      <w:r w:rsidRPr="00712955">
        <w:rPr>
          <w:rFonts w:ascii="Verdana" w:eastAsia="Calibri" w:hAnsi="Verdana" w:cs="Arial"/>
          <w:color w:val="000000"/>
        </w:rPr>
        <w:lastRenderedPageBreak/>
        <w:t>la cual en el acta respectiva se hacen constar “los acuerdos, conciliaciones y transacciones a que llegaren las partes para poner fin a las divergencias presentadas y poder declararse a paz y salvo”</w:t>
      </w:r>
      <w:r>
        <w:rPr>
          <w:rFonts w:ascii="Verdana" w:eastAsia="Calibri" w:hAnsi="Verdana" w:cs="Arial"/>
          <w:color w:val="000000"/>
        </w:rPr>
        <w:t>.</w:t>
      </w:r>
    </w:p>
    <w:p w14:paraId="7E0B2204" w14:textId="52631926" w:rsidR="00B706C7" w:rsidRDefault="00B706C7" w:rsidP="00E5544F">
      <w:pPr>
        <w:spacing w:after="0" w:line="276" w:lineRule="auto"/>
        <w:ind w:firstLine="708"/>
        <w:jc w:val="both"/>
        <w:rPr>
          <w:rFonts w:ascii="Verdana" w:eastAsia="Calibri" w:hAnsi="Verdana" w:cs="Arial"/>
          <w:color w:val="000000"/>
        </w:rPr>
      </w:pPr>
      <w:r>
        <w:rPr>
          <w:rFonts w:ascii="Verdana" w:eastAsia="Calibri" w:hAnsi="Verdana" w:cs="Arial"/>
          <w:color w:val="000000"/>
        </w:rPr>
        <w:t>En ese sentido como lo ha expuesto la Sala de Consulta y Servicio Civil del Consejo de Estado</w:t>
      </w:r>
      <w:r w:rsidR="00E5544F">
        <w:rPr>
          <w:rFonts w:ascii="Verdana" w:eastAsia="Calibri" w:hAnsi="Verdana" w:cs="Arial"/>
          <w:color w:val="000000"/>
        </w:rPr>
        <w:t>:</w:t>
      </w:r>
    </w:p>
    <w:p w14:paraId="07F28FB7" w14:textId="77777777" w:rsidR="00E5544F" w:rsidRDefault="00E5544F" w:rsidP="00526D65">
      <w:pPr>
        <w:spacing w:after="0" w:line="276" w:lineRule="auto"/>
        <w:ind w:firstLine="708"/>
        <w:jc w:val="both"/>
        <w:rPr>
          <w:rFonts w:ascii="Verdana" w:eastAsia="Calibri" w:hAnsi="Verdana" w:cs="Arial"/>
          <w:color w:val="000000"/>
        </w:rPr>
      </w:pPr>
    </w:p>
    <w:p w14:paraId="0C250259" w14:textId="77777777" w:rsidR="00B706C7" w:rsidRPr="00712955" w:rsidRDefault="00B706C7" w:rsidP="00526D65">
      <w:pPr>
        <w:spacing w:after="0" w:line="240" w:lineRule="auto"/>
        <w:ind w:left="709" w:right="709"/>
        <w:jc w:val="both"/>
        <w:rPr>
          <w:rFonts w:ascii="Verdana" w:eastAsia="Calibri" w:hAnsi="Verdana" w:cs="Arial"/>
          <w:color w:val="000000"/>
          <w:sz w:val="20"/>
          <w:szCs w:val="20"/>
        </w:rPr>
      </w:pPr>
      <w:r>
        <w:rPr>
          <w:rFonts w:ascii="Verdana" w:eastAsia="Calibri" w:hAnsi="Verdana" w:cs="Arial"/>
          <w:color w:val="000000"/>
          <w:sz w:val="20"/>
          <w:szCs w:val="20"/>
        </w:rPr>
        <w:t>“</w:t>
      </w:r>
      <w:r w:rsidRPr="00712955">
        <w:rPr>
          <w:rFonts w:ascii="Verdana" w:eastAsia="Calibri" w:hAnsi="Verdana" w:cs="Arial"/>
          <w:color w:val="000000"/>
          <w:sz w:val="20"/>
          <w:szCs w:val="20"/>
        </w:rPr>
        <w:t>La liquidación entonces es un ajuste o rendición final de cuentas que se produce con el objeto de que las partes contratantes establezcan, con fundamento en el desarrollo del contrato, las acreencias pendientes o saldos a favor o en contra de cada uno o se declaren a paz y salvo, según el caso, para extinguir el negocio jurídico celebrado. Tiene por objeto definir cómo quedó la realización de las prestaciones mutuas a las que se comprometieron las partes; efectuar un balance de las cuentas y pagos para establecer quién le debe a quién y cuánto, esto es, debe dar fe de su estado económico y de los derechos y obligaciones de las</w:t>
      </w:r>
      <w:r>
        <w:rPr>
          <w:rFonts w:ascii="Verdana" w:eastAsia="Calibri" w:hAnsi="Verdana" w:cs="Arial"/>
          <w:color w:val="000000"/>
          <w:sz w:val="20"/>
          <w:szCs w:val="20"/>
        </w:rPr>
        <w:t xml:space="preserve"> </w:t>
      </w:r>
      <w:r w:rsidRPr="00712955">
        <w:rPr>
          <w:rFonts w:ascii="Verdana" w:eastAsia="Calibri" w:hAnsi="Verdana" w:cs="Arial"/>
          <w:color w:val="000000"/>
          <w:sz w:val="20"/>
          <w:szCs w:val="20"/>
        </w:rPr>
        <w:t xml:space="preserve">partes; proceder a las reclamaciones, ajustes y reconocimientos a que haya lugar; declararse a satisfacción de las obligaciones o derechos a cargo de </w:t>
      </w:r>
      <w:proofErr w:type="gramStart"/>
      <w:r w:rsidRPr="00712955">
        <w:rPr>
          <w:rFonts w:ascii="Verdana" w:eastAsia="Calibri" w:hAnsi="Verdana" w:cs="Arial"/>
          <w:color w:val="000000"/>
          <w:sz w:val="20"/>
          <w:szCs w:val="20"/>
        </w:rPr>
        <w:t>las mismas</w:t>
      </w:r>
      <w:proofErr w:type="gramEnd"/>
      <w:r w:rsidRPr="00712955">
        <w:rPr>
          <w:rFonts w:ascii="Verdana" w:eastAsia="Calibri" w:hAnsi="Verdana" w:cs="Arial"/>
          <w:color w:val="000000"/>
          <w:sz w:val="20"/>
          <w:szCs w:val="20"/>
        </w:rPr>
        <w:t>, y finiquitar así el vínculo contractual</w:t>
      </w:r>
      <w:r>
        <w:rPr>
          <w:rStyle w:val="Refdenotaalpie"/>
          <w:rFonts w:ascii="Verdana" w:eastAsia="Calibri" w:hAnsi="Verdana" w:cs="Arial"/>
          <w:color w:val="000000"/>
          <w:sz w:val="20"/>
          <w:szCs w:val="20"/>
        </w:rPr>
        <w:footnoteReference w:id="6"/>
      </w:r>
      <w:r w:rsidRPr="00712955">
        <w:rPr>
          <w:rFonts w:ascii="Verdana" w:eastAsia="Calibri" w:hAnsi="Verdana" w:cs="Arial"/>
          <w:color w:val="000000"/>
          <w:sz w:val="20"/>
          <w:szCs w:val="20"/>
        </w:rPr>
        <w:t>.</w:t>
      </w:r>
    </w:p>
    <w:p w14:paraId="02D7B7F9" w14:textId="77777777" w:rsidR="00B706C7" w:rsidRDefault="00B706C7" w:rsidP="00B706C7">
      <w:pPr>
        <w:tabs>
          <w:tab w:val="left" w:pos="142"/>
          <w:tab w:val="left" w:pos="284"/>
          <w:tab w:val="left" w:pos="6975"/>
        </w:tabs>
        <w:spacing w:after="0" w:line="276" w:lineRule="auto"/>
        <w:jc w:val="both"/>
        <w:rPr>
          <w:rFonts w:ascii="Verdana" w:eastAsia="Calibri" w:hAnsi="Verdana" w:cs="Arial"/>
          <w:color w:val="000000"/>
          <w:lang w:val="es-ES_tradnl"/>
        </w:rPr>
      </w:pPr>
    </w:p>
    <w:p w14:paraId="6FC8C2AD" w14:textId="23D42676" w:rsidR="00B706C7" w:rsidRDefault="00B706C7" w:rsidP="00526D65">
      <w:pPr>
        <w:tabs>
          <w:tab w:val="left" w:pos="142"/>
          <w:tab w:val="left" w:pos="284"/>
          <w:tab w:val="left" w:pos="6975"/>
        </w:tabs>
        <w:spacing w:after="120" w:line="276" w:lineRule="auto"/>
        <w:ind w:firstLine="142"/>
        <w:jc w:val="both"/>
        <w:rPr>
          <w:rFonts w:ascii="Verdana" w:eastAsia="Calibri" w:hAnsi="Verdana" w:cs="Arial"/>
          <w:color w:val="000000"/>
        </w:rPr>
      </w:pPr>
      <w:r>
        <w:rPr>
          <w:rFonts w:ascii="Verdana" w:eastAsia="Calibri" w:hAnsi="Verdana" w:cs="Arial"/>
          <w:color w:val="000000"/>
          <w:lang w:val="es-ES_tradnl"/>
        </w:rPr>
        <w:tab/>
        <w:t xml:space="preserve">      Ahora bien, una de las funciones inherentes a la liquidación es que sea constitutiva de obligaciones y derechos, por cuanto en ella deberá registrarse los acuerdos logrados por las partes para </w:t>
      </w:r>
      <w:r w:rsidRPr="00C761DE">
        <w:rPr>
          <w:rFonts w:ascii="Verdana" w:eastAsia="Calibri" w:hAnsi="Verdana" w:cs="Arial"/>
          <w:color w:val="000000"/>
          <w:lang w:val="es-ES_tradnl"/>
        </w:rPr>
        <w:t>declararse mutuamente a paz y salvo, por supuesto cuando ello hubiere sido posible, “tiene alcance restringido a la</w:t>
      </w:r>
      <w:r w:rsidRPr="00E549D4">
        <w:rPr>
          <w:rFonts w:ascii="Verdana" w:eastAsia="Calibri" w:hAnsi="Verdana" w:cs="Arial"/>
          <w:color w:val="000000"/>
        </w:rPr>
        <w:t xml:space="preserve"> esfera de las</w:t>
      </w:r>
      <w:r>
        <w:rPr>
          <w:rFonts w:ascii="Verdana" w:eastAsia="Calibri" w:hAnsi="Verdana" w:cs="Arial"/>
          <w:color w:val="000000"/>
        </w:rPr>
        <w:t xml:space="preserve"> </w:t>
      </w:r>
      <w:r w:rsidRPr="00E549D4">
        <w:rPr>
          <w:rFonts w:ascii="Verdana" w:eastAsia="Calibri" w:hAnsi="Verdana" w:cs="Arial"/>
          <w:color w:val="000000"/>
        </w:rPr>
        <w:t>obligaciones surgidas entre las partes con motivo de la suscripción y ejecución del contrato</w:t>
      </w:r>
      <w:r>
        <w:rPr>
          <w:rFonts w:ascii="Verdana" w:eastAsia="Calibri" w:hAnsi="Verdana" w:cs="Arial"/>
          <w:color w:val="000000"/>
        </w:rPr>
        <w:t>.</w:t>
      </w:r>
    </w:p>
    <w:p w14:paraId="03E15D9D" w14:textId="181B5AF9" w:rsidR="00B706C7" w:rsidRDefault="00B706C7" w:rsidP="00E5544F">
      <w:pPr>
        <w:spacing w:after="0" w:line="276" w:lineRule="auto"/>
        <w:ind w:firstLine="709"/>
        <w:jc w:val="both"/>
        <w:rPr>
          <w:rFonts w:ascii="Verdana" w:eastAsia="Calibri" w:hAnsi="Verdana" w:cs="Arial"/>
          <w:color w:val="000000"/>
          <w:lang w:val="es-ES_tradnl"/>
        </w:rPr>
      </w:pPr>
      <w:r w:rsidRPr="00EB5E2C">
        <w:rPr>
          <w:rFonts w:ascii="Verdana" w:eastAsia="Calibri" w:hAnsi="Verdana" w:cs="Arial"/>
          <w:color w:val="000000"/>
          <w:lang w:val="es-ES_tradnl"/>
        </w:rPr>
        <w:t xml:space="preserve">Con base en lo anterior, en la liquidación, de forma directa e inmediata, se pueden generar obligaciones, cuya fuente mediata es el contrato estatal celebrado por las partes, las cuales, hacen referencia a la determinación de sumas específicas a cargo de una parte y en favor de la otra en virtud de las obligaciones y derechos existentes que emanan del texto contractual; reconocimientos y cuantificación del valor de prestaciones adicionales ejecutadas de buena fe que tuvieron lugar durante la vigencia del contrato, que no se encontraban comprendidas en el clausulado contractual y resultaron esenciales y necesarias para el cabal cumplimiento del objeto contractual; ajustes y revisión de precios para restablecer el equilibrio económico o financiero </w:t>
      </w:r>
      <w:r w:rsidRPr="00EB5E2C">
        <w:rPr>
          <w:rFonts w:ascii="Verdana" w:eastAsia="Calibri" w:hAnsi="Verdana" w:cs="Arial"/>
          <w:color w:val="000000"/>
          <w:lang w:val="es-ES_tradnl"/>
        </w:rPr>
        <w:lastRenderedPageBreak/>
        <w:t xml:space="preserve">del contrato, mediante el reconocimiento correspondiente, cuando quiera que proceda de acuerdo con las </w:t>
      </w:r>
      <w:r w:rsidRPr="00C761DE">
        <w:rPr>
          <w:rFonts w:ascii="Verdana" w:eastAsia="Calibri" w:hAnsi="Verdana" w:cs="Arial"/>
          <w:color w:val="000000"/>
          <w:lang w:val="es-ES_tradnl"/>
        </w:rPr>
        <w:t>disposiciones legales, entre otras</w:t>
      </w:r>
      <w:r w:rsidRPr="00C761DE">
        <w:rPr>
          <w:rStyle w:val="Refdenotaalpie"/>
          <w:rFonts w:ascii="Verdana" w:eastAsia="Calibri" w:hAnsi="Verdana" w:cs="Arial"/>
          <w:color w:val="000000"/>
          <w:lang w:val="es-ES_tradnl"/>
        </w:rPr>
        <w:footnoteReference w:id="7"/>
      </w:r>
      <w:r w:rsidRPr="00C761DE">
        <w:rPr>
          <w:rFonts w:ascii="Verdana" w:eastAsia="Calibri" w:hAnsi="Verdana" w:cs="Arial"/>
          <w:color w:val="000000"/>
          <w:lang w:val="es-ES_tradnl"/>
        </w:rPr>
        <w:t>.</w:t>
      </w:r>
    </w:p>
    <w:p w14:paraId="6C7DB76E" w14:textId="77777777" w:rsidR="00E5544F" w:rsidRDefault="00E5544F" w:rsidP="00526D65">
      <w:pPr>
        <w:spacing w:after="0" w:line="276" w:lineRule="auto"/>
        <w:ind w:firstLine="709"/>
        <w:jc w:val="both"/>
        <w:rPr>
          <w:rFonts w:ascii="Verdana" w:eastAsia="Calibri" w:hAnsi="Verdana" w:cs="Arial"/>
          <w:color w:val="000000"/>
          <w:lang w:val="es-ES_tradnl"/>
        </w:rPr>
      </w:pPr>
    </w:p>
    <w:p w14:paraId="77D0FFC3" w14:textId="77777777" w:rsidR="00B706C7" w:rsidRPr="00143822" w:rsidRDefault="00B706C7" w:rsidP="00B706C7">
      <w:pPr>
        <w:spacing w:after="0" w:line="276" w:lineRule="auto"/>
        <w:jc w:val="both"/>
        <w:rPr>
          <w:rFonts w:ascii="Verdana" w:hAnsi="Verdana" w:cs="Arial"/>
          <w:lang w:val="es-ES" w:eastAsia="es-ES"/>
        </w:rPr>
      </w:pPr>
      <w:r w:rsidRPr="25E8760E">
        <w:rPr>
          <w:rFonts w:ascii="Verdana" w:hAnsi="Verdana" w:cs="Arial"/>
          <w:lang w:val="es-ES" w:eastAsia="es-ES"/>
        </w:rPr>
        <w:t>ii) Uno de los elementos más comunes en los contratos estatales es el precio, también conocido como valor. Aunque no todo contrato lo incluye –pues también existen negocios gratuitos– lo usual es que los contratos estatales se perfeccionen como onerosos y, la mayoría de las veces, como conmutativos. Adicionalmente, el precio suele ser el elemento más importante para el contratista, porque equivale a la remuneración que la entidad contratante le pagará por la ejecución del objeto contractual.</w:t>
      </w:r>
    </w:p>
    <w:p w14:paraId="27F0D0BB" w14:textId="77777777" w:rsidR="00B706C7" w:rsidRPr="00143822" w:rsidRDefault="00B706C7" w:rsidP="00B706C7">
      <w:pPr>
        <w:spacing w:before="120" w:after="0" w:line="276" w:lineRule="auto"/>
        <w:ind w:firstLine="709"/>
        <w:jc w:val="both"/>
        <w:rPr>
          <w:rFonts w:ascii="Verdana" w:hAnsi="Verdana" w:cs="Arial"/>
          <w:lang w:val="es-ES" w:eastAsia="es-ES"/>
        </w:rPr>
      </w:pPr>
      <w:r w:rsidRPr="00143822">
        <w:rPr>
          <w:rFonts w:ascii="Verdana" w:hAnsi="Verdana" w:cs="Arial"/>
          <w:lang w:val="es-ES" w:eastAsia="es-ES"/>
        </w:rPr>
        <w:t>Desde la etapa de planeación, en la fase precontractual, las entidades estatales deben calcular el presupuesto oficial, mediante la realización del análisis del sector –que incluye el estudio del mercado– y definir la metodología con la cual estructurarán el precio del contrato. Dicho de otro modo, hace parte de los estudios previos la definición del esquema que la Administración usará para estipular el precio. Tal metodología generalmente depende del tipo de contrato, pues hay algunas modalidades más comunes en los de obra pública; otras más utilizadas en los de prestación de servicios y otras más indicadas para los de concesión, por mencionar algunos ejemplos</w:t>
      </w:r>
      <w:r w:rsidRPr="00143822">
        <w:rPr>
          <w:rFonts w:ascii="Verdana" w:hAnsi="Verdana" w:cs="Arial"/>
          <w:vertAlign w:val="superscript"/>
          <w:lang w:val="es-ES" w:eastAsia="es-ES"/>
        </w:rPr>
        <w:footnoteReference w:id="8"/>
      </w:r>
      <w:r w:rsidRPr="00143822">
        <w:rPr>
          <w:rFonts w:ascii="Verdana" w:hAnsi="Verdana" w:cs="Arial"/>
          <w:lang w:val="es-ES" w:eastAsia="es-ES"/>
        </w:rPr>
        <w:t xml:space="preserve">. No hay, pues, una sola metodología para pactar el precio y, en gran medida, la manera de hacerlo ha obedecido a la costumbre mercantil y a la influencia de disciplinas técnicas, como la ingeniería o la administración de empresas, en la contratación estatal. Dentro </w:t>
      </w:r>
      <w:r w:rsidRPr="00143822">
        <w:rPr>
          <w:rFonts w:ascii="Verdana" w:hAnsi="Verdana" w:cs="Arial"/>
          <w:lang w:val="es-ES" w:eastAsia="es-ES"/>
        </w:rPr>
        <w:lastRenderedPageBreak/>
        <w:t xml:space="preserve">de tales esquemas de establecimiento del precio pueden citarse, entre otros: i) los precios unitarios –calculados de acuerdo con las unidades que componen el objeto del contrato–, ii) el precio global –que equivale al monto total, sin discriminar unidades–, y </w:t>
      </w:r>
      <w:proofErr w:type="spellStart"/>
      <w:r w:rsidRPr="00143822">
        <w:rPr>
          <w:rFonts w:ascii="Verdana" w:hAnsi="Verdana" w:cs="Arial"/>
          <w:lang w:val="es-ES" w:eastAsia="es-ES"/>
        </w:rPr>
        <w:t>iii</w:t>
      </w:r>
      <w:proofErr w:type="spellEnd"/>
      <w:r w:rsidRPr="00143822">
        <w:rPr>
          <w:rFonts w:ascii="Verdana" w:hAnsi="Verdana" w:cs="Arial"/>
          <w:lang w:val="es-ES" w:eastAsia="es-ES"/>
        </w:rPr>
        <w:t>) la administración delegada de recursos –en la que se distinguen los costos de inversión de los honorarios del administrador–.</w:t>
      </w:r>
    </w:p>
    <w:p w14:paraId="5C845732" w14:textId="77777777" w:rsidR="00B706C7" w:rsidRPr="00143822" w:rsidRDefault="00B706C7" w:rsidP="00B706C7">
      <w:pPr>
        <w:spacing w:before="120" w:after="0" w:line="276" w:lineRule="auto"/>
        <w:ind w:firstLine="709"/>
        <w:jc w:val="both"/>
        <w:rPr>
          <w:rFonts w:ascii="Verdana" w:hAnsi="Verdana" w:cs="Arial"/>
          <w:lang w:val="es-ES" w:eastAsia="es-ES"/>
        </w:rPr>
      </w:pPr>
      <w:r w:rsidRPr="00143822">
        <w:rPr>
          <w:rFonts w:ascii="Verdana" w:hAnsi="Verdana" w:cs="Arial"/>
          <w:lang w:val="es-ES" w:eastAsia="es-ES"/>
        </w:rPr>
        <w:t xml:space="preserve">Pues bien, en los contratos cuyo precio se estructura a partir del sistema de precios unitarios, ha hecho parte de la práctica de los negocios que el contratante le solicite al potencial contratista que separe en su propuesta los </w:t>
      </w:r>
      <w:r w:rsidRPr="00143822">
        <w:rPr>
          <w:rFonts w:ascii="Verdana" w:hAnsi="Verdana" w:cs="Arial"/>
          <w:i/>
          <w:iCs/>
          <w:lang w:val="es-ES" w:eastAsia="es-ES"/>
        </w:rPr>
        <w:t>costos directos</w:t>
      </w:r>
      <w:r w:rsidRPr="00143822">
        <w:rPr>
          <w:rFonts w:ascii="Verdana" w:hAnsi="Verdana" w:cs="Arial"/>
          <w:lang w:val="es-ES" w:eastAsia="es-ES"/>
        </w:rPr>
        <w:t xml:space="preserve"> –es decir, los que están directamente implicados en la ejecución del objeto–, de los </w:t>
      </w:r>
      <w:r w:rsidRPr="00143822">
        <w:rPr>
          <w:rFonts w:ascii="Verdana" w:hAnsi="Verdana" w:cs="Arial"/>
          <w:i/>
          <w:iCs/>
          <w:lang w:val="es-ES" w:eastAsia="es-ES"/>
        </w:rPr>
        <w:t>costos indirectos</w:t>
      </w:r>
      <w:r w:rsidRPr="00143822">
        <w:rPr>
          <w:rFonts w:ascii="Verdana" w:hAnsi="Verdana" w:cs="Arial"/>
          <w:lang w:val="es-ES" w:eastAsia="es-ES"/>
        </w:rPr>
        <w:t xml:space="preserve"> –que equivalen a los rubros que no tienen que ver de manera inmediata con la ejecución de las actividades contractuales, pero que integran también el precio, bien porque constituyen erogaciones administrativas o contingentes para el contratista o bien porque se dirigen a salvaguardar su ganancia–. En tal sentido, mientras que los </w:t>
      </w:r>
      <w:r w:rsidRPr="00143822">
        <w:rPr>
          <w:rFonts w:ascii="Verdana" w:hAnsi="Verdana" w:cs="Arial"/>
          <w:i/>
          <w:iCs/>
          <w:lang w:val="es-ES" w:eastAsia="es-ES"/>
        </w:rPr>
        <w:t>costos directos</w:t>
      </w:r>
      <w:r w:rsidRPr="00143822">
        <w:rPr>
          <w:rFonts w:ascii="Verdana" w:hAnsi="Verdana" w:cs="Arial"/>
          <w:lang w:val="es-ES" w:eastAsia="es-ES"/>
        </w:rPr>
        <w:t xml:space="preserve"> se evidencian en el análisis de precios unitarios –APU–, como la sumatoria de los valores de los </w:t>
      </w:r>
      <w:r w:rsidRPr="00143822">
        <w:rPr>
          <w:rFonts w:ascii="Verdana" w:hAnsi="Verdana" w:cs="Arial"/>
          <w:i/>
          <w:iCs/>
          <w:lang w:val="es-ES" w:eastAsia="es-ES"/>
        </w:rPr>
        <w:t>ítems</w:t>
      </w:r>
      <w:r w:rsidRPr="00143822">
        <w:rPr>
          <w:rFonts w:ascii="Verdana" w:hAnsi="Verdana" w:cs="Arial"/>
          <w:lang w:val="es-ES" w:eastAsia="es-ES"/>
        </w:rPr>
        <w:t xml:space="preserve"> según su unidad de medida, los </w:t>
      </w:r>
      <w:r w:rsidRPr="00143822">
        <w:rPr>
          <w:rFonts w:ascii="Verdana" w:hAnsi="Verdana" w:cs="Arial"/>
          <w:i/>
          <w:iCs/>
          <w:lang w:val="es-ES" w:eastAsia="es-ES"/>
        </w:rPr>
        <w:t>costos indirectos</w:t>
      </w:r>
      <w:r w:rsidRPr="00143822">
        <w:rPr>
          <w:rFonts w:ascii="Verdana" w:hAnsi="Verdana" w:cs="Arial"/>
          <w:lang w:val="es-ES" w:eastAsia="es-ES"/>
        </w:rPr>
        <w:t xml:space="preserve"> se suelen abreviar en las variables que integran el acrónimo AIU –Administración, Imprevistos y Utilidad–. </w:t>
      </w:r>
    </w:p>
    <w:p w14:paraId="5C11FB05" w14:textId="77777777" w:rsidR="00B706C7" w:rsidRPr="00143822" w:rsidRDefault="00B706C7" w:rsidP="00B706C7">
      <w:pPr>
        <w:spacing w:before="120" w:after="0" w:line="276" w:lineRule="auto"/>
        <w:ind w:firstLine="709"/>
        <w:jc w:val="both"/>
        <w:rPr>
          <w:rFonts w:ascii="Verdana" w:hAnsi="Verdana" w:cs="Arial"/>
          <w:bCs/>
          <w:szCs w:val="24"/>
          <w:lang w:eastAsia="es-ES_tradnl"/>
        </w:rPr>
      </w:pPr>
      <w:r w:rsidRPr="00143822">
        <w:rPr>
          <w:rFonts w:ascii="Verdana" w:hAnsi="Verdana" w:cs="Arial"/>
          <w:bCs/>
          <w:szCs w:val="24"/>
          <w:lang w:val="es-ES" w:eastAsia="es-ES_tradnl"/>
        </w:rPr>
        <w:t>L</w:t>
      </w:r>
      <w:r w:rsidRPr="00143822">
        <w:rPr>
          <w:rFonts w:ascii="Verdana" w:hAnsi="Verdana" w:cs="Arial"/>
          <w:bCs/>
          <w:szCs w:val="24"/>
          <w:lang w:val="es-ES_tradnl" w:eastAsia="es-ES_tradnl"/>
        </w:rPr>
        <w:t xml:space="preserve">a jurisprudencia ha señalado que “[…] </w:t>
      </w:r>
      <w:r w:rsidRPr="00143822">
        <w:rPr>
          <w:rFonts w:ascii="Verdana" w:hAnsi="Verdana" w:cs="Arial"/>
          <w:bCs/>
          <w:szCs w:val="24"/>
          <w:lang w:eastAsia="es-ES_tradnl"/>
        </w:rPr>
        <w:t xml:space="preserve">en la conformación de dichos precios unitarios, se tienen en cuenta todos los gastos que se requieren para realizar la unidad de medida respectiva –el metro lineal, el metro cúbico, el metro cuadrado, etc.-. Y lo que comúnmente se denomina análisis de precios unitarios, corresponde a la descomposición de </w:t>
      </w:r>
      <w:proofErr w:type="gramStart"/>
      <w:r w:rsidRPr="00143822">
        <w:rPr>
          <w:rFonts w:ascii="Verdana" w:hAnsi="Verdana" w:cs="Arial"/>
          <w:bCs/>
          <w:szCs w:val="24"/>
          <w:lang w:eastAsia="es-ES_tradnl"/>
        </w:rPr>
        <w:t>los mismos</w:t>
      </w:r>
      <w:proofErr w:type="gramEnd"/>
      <w:r w:rsidRPr="00143822">
        <w:rPr>
          <w:rFonts w:ascii="Verdana" w:hAnsi="Verdana" w:cs="Arial"/>
          <w:bCs/>
          <w:szCs w:val="24"/>
          <w:lang w:eastAsia="es-ES_tradnl"/>
        </w:rPr>
        <w:t xml:space="preserve"> para determinar los costos que los conforman: la maquinaria que se utilizará, calculando el valor por el tiempo que se requiera; la mano de obra, teniendo en cuenta el costo hora-hombre, y cuántas personas se requieren para la ejecución de esa unidad de medida; la cantidad de los materiales necesarios, etc.</w:t>
      </w:r>
      <w:r w:rsidRPr="00143822">
        <w:rPr>
          <w:rFonts w:ascii="Verdana" w:hAnsi="Verdana" w:cs="Arial"/>
          <w:bCs/>
          <w:szCs w:val="24"/>
          <w:lang w:val="es-ES_tradnl" w:eastAsia="es-ES_tradnl"/>
        </w:rPr>
        <w:t>”</w:t>
      </w:r>
      <w:r w:rsidRPr="00143822">
        <w:rPr>
          <w:rFonts w:ascii="Verdana" w:hAnsi="Verdana" w:cs="Arial"/>
          <w:bCs/>
          <w:szCs w:val="24"/>
          <w:vertAlign w:val="superscript"/>
          <w:lang w:val="es-ES_tradnl" w:eastAsia="es-ES_tradnl"/>
        </w:rPr>
        <w:footnoteReference w:id="9"/>
      </w:r>
      <w:r w:rsidRPr="00143822">
        <w:rPr>
          <w:rFonts w:ascii="Verdana" w:hAnsi="Verdana" w:cs="Arial"/>
          <w:bCs/>
          <w:szCs w:val="24"/>
          <w:lang w:eastAsia="es-ES_tradnl"/>
        </w:rPr>
        <w:t>. En concordancia, la doctrina explica que en la estructuración de los precios unitarios se tendrán en cuenta todos los costos directos necesarios para la ejecución del objeto contractual que se multiplicará por al AIU, lo que determina el valor unitario:</w:t>
      </w:r>
    </w:p>
    <w:p w14:paraId="38D7D133" w14:textId="77777777" w:rsidR="00B706C7" w:rsidRPr="00143822" w:rsidRDefault="00B706C7" w:rsidP="00B706C7">
      <w:pPr>
        <w:spacing w:after="0" w:line="276" w:lineRule="auto"/>
        <w:ind w:firstLine="709"/>
        <w:jc w:val="both"/>
        <w:rPr>
          <w:rFonts w:ascii="Verdana" w:hAnsi="Verdana" w:cs="Arial"/>
          <w:bCs/>
          <w:szCs w:val="24"/>
          <w:lang w:eastAsia="es-ES_tradnl"/>
        </w:rPr>
      </w:pPr>
    </w:p>
    <w:p w14:paraId="4A8157F6" w14:textId="2DF2E0E9" w:rsidR="00B706C7" w:rsidRPr="00143822" w:rsidRDefault="00B706C7" w:rsidP="00E5544F">
      <w:pPr>
        <w:tabs>
          <w:tab w:val="left" w:pos="709"/>
        </w:tabs>
        <w:spacing w:after="0" w:line="240" w:lineRule="auto"/>
        <w:ind w:left="709" w:right="709"/>
        <w:jc w:val="both"/>
        <w:rPr>
          <w:rFonts w:ascii="Verdana" w:hAnsi="Verdana" w:cs="Arial"/>
          <w:sz w:val="20"/>
          <w:szCs w:val="20"/>
          <w:lang w:val="es-ES" w:eastAsia="es-ES"/>
        </w:rPr>
      </w:pPr>
      <w:r w:rsidRPr="00143822">
        <w:rPr>
          <w:rFonts w:ascii="Verdana" w:hAnsi="Verdana" w:cs="Arial"/>
          <w:sz w:val="20"/>
          <w:szCs w:val="20"/>
          <w:lang w:val="es-ES" w:eastAsia="es-ES"/>
        </w:rPr>
        <w:t xml:space="preserve">“Cada uno de los valores unitarios resultan de un análisis de los componentes requeridos para su elaboración, estudio que se denomina </w:t>
      </w:r>
      <w:r w:rsidRPr="00143822">
        <w:rPr>
          <w:rFonts w:ascii="Verdana" w:hAnsi="Verdana" w:cs="Arial"/>
          <w:sz w:val="20"/>
          <w:szCs w:val="20"/>
          <w:lang w:val="es-ES" w:eastAsia="es-ES"/>
        </w:rPr>
        <w:lastRenderedPageBreak/>
        <w:t>comúnmente ‘análisis de precios unitarios’. Así, se examinará, por ejemplo, que para la construcción de un metro cuadrado de muro se requieren 50 ladrillos, que tienen un valor de $50.000; 15 kilos de cemento, que tienen un valor de $5.000; 30 kilos de arena, que tienen un valor de $500; 5 litros de agua, que tienen un valor de 100, y la mano de obra que tiene un valor de $5.000. La sumatoria de cada uno de estos insumos básicos arroja el costo directo que debe cancelar el contratista para la construcción de un metro de muro.</w:t>
      </w:r>
    </w:p>
    <w:p w14:paraId="59AB1E7D" w14:textId="77777777" w:rsidR="00E5544F" w:rsidRPr="00143822" w:rsidRDefault="00E5544F" w:rsidP="00526D65">
      <w:pPr>
        <w:tabs>
          <w:tab w:val="left" w:pos="709"/>
        </w:tabs>
        <w:spacing w:after="0" w:line="240" w:lineRule="auto"/>
        <w:ind w:left="709" w:right="709"/>
        <w:jc w:val="both"/>
        <w:rPr>
          <w:rFonts w:ascii="Verdana" w:hAnsi="Verdana" w:cs="Arial"/>
          <w:sz w:val="20"/>
          <w:szCs w:val="20"/>
          <w:lang w:val="es-ES" w:eastAsia="es-ES"/>
        </w:rPr>
      </w:pPr>
    </w:p>
    <w:p w14:paraId="5F184850" w14:textId="77777777" w:rsidR="00B706C7" w:rsidRPr="00143822" w:rsidRDefault="00B706C7" w:rsidP="00B706C7">
      <w:pPr>
        <w:tabs>
          <w:tab w:val="left" w:pos="709"/>
        </w:tabs>
        <w:spacing w:after="0" w:line="240" w:lineRule="auto"/>
        <w:ind w:left="709" w:right="709"/>
        <w:jc w:val="both"/>
        <w:rPr>
          <w:rFonts w:ascii="Verdana" w:hAnsi="Verdana" w:cs="Arial"/>
          <w:sz w:val="20"/>
          <w:szCs w:val="20"/>
          <w:lang w:val="es-ES_tradnl" w:eastAsia="es-ES_tradnl"/>
        </w:rPr>
      </w:pPr>
      <w:r w:rsidRPr="00143822">
        <w:rPr>
          <w:rFonts w:ascii="Verdana" w:hAnsi="Verdana" w:cs="Arial"/>
          <w:sz w:val="20"/>
          <w:szCs w:val="20"/>
          <w:lang w:val="es-ES_tradnl" w:eastAsia="es-ES_tradnl"/>
        </w:rPr>
        <w:t>El costo directo se multiplica por el AIU, es decir, por los gastos de administración, que incluye los gastos de personal que dirige la obra; los gastos de imprevistos, que pretende cubrir imprevistos y la utilidad. El resultado de la multiplicación anterior determina el valor unitario que deberá cancelar la entidad estatal. Dentro del valor unitario, entonces, están incorporados la totalidad de los gastos en los que incurre el contratista y la utilidad que espera recibir”</w:t>
      </w:r>
      <w:r w:rsidRPr="00143822">
        <w:rPr>
          <w:rFonts w:ascii="Verdana" w:hAnsi="Verdana" w:cs="Arial"/>
          <w:sz w:val="20"/>
          <w:szCs w:val="20"/>
          <w:vertAlign w:val="superscript"/>
          <w:lang w:val="es-ES_tradnl" w:eastAsia="es-ES_tradnl"/>
        </w:rPr>
        <w:footnoteReference w:id="10"/>
      </w:r>
      <w:r w:rsidRPr="00143822">
        <w:rPr>
          <w:rFonts w:ascii="Verdana" w:hAnsi="Verdana" w:cs="Arial"/>
          <w:sz w:val="20"/>
          <w:szCs w:val="20"/>
          <w:lang w:val="es-ES_tradnl" w:eastAsia="es-ES_tradnl"/>
        </w:rPr>
        <w:t xml:space="preserve">. </w:t>
      </w:r>
    </w:p>
    <w:p w14:paraId="419B1DFF" w14:textId="77777777" w:rsidR="00B706C7" w:rsidRPr="00143822" w:rsidRDefault="00B706C7" w:rsidP="00526D65">
      <w:pPr>
        <w:tabs>
          <w:tab w:val="left" w:pos="709"/>
        </w:tabs>
        <w:spacing w:after="0" w:line="276" w:lineRule="auto"/>
        <w:jc w:val="both"/>
        <w:rPr>
          <w:rFonts w:ascii="Verdana" w:hAnsi="Verdana" w:cs="Arial"/>
          <w:szCs w:val="24"/>
          <w:lang w:val="es-ES_tradnl" w:eastAsia="es-ES_tradnl"/>
        </w:rPr>
      </w:pPr>
    </w:p>
    <w:p w14:paraId="76DA9FEB" w14:textId="77777777" w:rsidR="00B706C7" w:rsidRPr="00143822" w:rsidRDefault="00B706C7" w:rsidP="00B706C7">
      <w:pPr>
        <w:spacing w:after="0" w:line="276" w:lineRule="auto"/>
        <w:ind w:firstLine="709"/>
        <w:jc w:val="both"/>
        <w:rPr>
          <w:rFonts w:ascii="Verdana" w:hAnsi="Verdana" w:cs="Arial"/>
          <w:szCs w:val="24"/>
          <w:lang w:val="es-ES_tradnl" w:eastAsia="es-ES_tradnl"/>
        </w:rPr>
      </w:pPr>
      <w:r w:rsidRPr="00143822">
        <w:rPr>
          <w:rFonts w:ascii="Verdana" w:hAnsi="Verdana" w:cs="Arial"/>
          <w:szCs w:val="24"/>
          <w:lang w:val="es-ES_tradnl" w:eastAsia="es-ES_tradnl"/>
        </w:rPr>
        <w:t xml:space="preserve">Por su parte, de acuerdo con la Sección Tercera del Consejo de Estado, el AIU, concepto de común utilización en los contratos de tracto sucesivo –entre ellos, los contratos de obra– no cuenta con una definición normativa, pero hay elementos que permiten precisar su alcance, así: </w:t>
      </w:r>
    </w:p>
    <w:p w14:paraId="3C35E3DF" w14:textId="77777777" w:rsidR="00B706C7" w:rsidRPr="00143822" w:rsidRDefault="00B706C7" w:rsidP="00B706C7">
      <w:pPr>
        <w:spacing w:after="0" w:line="276" w:lineRule="auto"/>
        <w:ind w:firstLine="709"/>
        <w:jc w:val="both"/>
        <w:rPr>
          <w:rFonts w:ascii="Verdana" w:hAnsi="Verdana" w:cs="Arial"/>
          <w:szCs w:val="24"/>
          <w:lang w:val="es-ES_tradnl" w:eastAsia="es-ES_tradnl"/>
        </w:rPr>
      </w:pPr>
    </w:p>
    <w:p w14:paraId="7A73B242" w14:textId="77777777" w:rsidR="00B706C7" w:rsidRPr="00143822" w:rsidRDefault="00B706C7" w:rsidP="00526D65">
      <w:pPr>
        <w:tabs>
          <w:tab w:val="left" w:pos="709"/>
        </w:tabs>
        <w:spacing w:after="0" w:line="240" w:lineRule="auto"/>
        <w:ind w:left="709" w:right="709"/>
        <w:jc w:val="both"/>
        <w:rPr>
          <w:rFonts w:ascii="Verdana" w:hAnsi="Verdana" w:cs="Arial"/>
          <w:sz w:val="20"/>
          <w:szCs w:val="20"/>
          <w:lang w:val="es-ES_tradnl" w:eastAsia="es-ES_tradnl"/>
        </w:rPr>
      </w:pPr>
      <w:r w:rsidRPr="00143822">
        <w:rPr>
          <w:rFonts w:ascii="Verdana" w:hAnsi="Verdana" w:cs="Arial"/>
          <w:sz w:val="20"/>
          <w:szCs w:val="20"/>
          <w:lang w:val="es-ES_tradnl" w:eastAsia="es-ES_tradnl"/>
        </w:rPr>
        <w:t xml:space="preserve">“[…] el AIU propuesto para el contrato, corresponde a: </w:t>
      </w:r>
    </w:p>
    <w:p w14:paraId="45A6A6FB" w14:textId="77777777" w:rsidR="00E5544F" w:rsidRDefault="00E5544F" w:rsidP="00E5544F">
      <w:pPr>
        <w:tabs>
          <w:tab w:val="left" w:pos="709"/>
        </w:tabs>
        <w:spacing w:after="0" w:line="240" w:lineRule="auto"/>
        <w:ind w:left="709" w:right="709"/>
        <w:jc w:val="both"/>
        <w:rPr>
          <w:rFonts w:ascii="Verdana" w:hAnsi="Verdana" w:cs="Arial"/>
          <w:sz w:val="20"/>
          <w:szCs w:val="20"/>
          <w:lang w:val="es-ES_tradnl" w:eastAsia="es-ES_tradnl"/>
        </w:rPr>
      </w:pPr>
    </w:p>
    <w:p w14:paraId="438A7C6C" w14:textId="14BD8511" w:rsidR="00B706C7" w:rsidRPr="00143822" w:rsidRDefault="00B706C7" w:rsidP="00526D65">
      <w:pPr>
        <w:tabs>
          <w:tab w:val="left" w:pos="709"/>
        </w:tabs>
        <w:spacing w:after="0" w:line="240" w:lineRule="auto"/>
        <w:ind w:left="709" w:right="709"/>
        <w:jc w:val="both"/>
        <w:rPr>
          <w:rFonts w:ascii="Verdana" w:hAnsi="Verdana" w:cs="Arial"/>
          <w:sz w:val="20"/>
          <w:szCs w:val="20"/>
          <w:lang w:val="es-ES_tradnl" w:eastAsia="es-ES_tradnl"/>
        </w:rPr>
      </w:pPr>
      <w:r w:rsidRPr="00143822">
        <w:rPr>
          <w:rFonts w:ascii="Verdana" w:hAnsi="Verdana" w:cs="Arial"/>
          <w:sz w:val="20"/>
          <w:szCs w:val="20"/>
          <w:lang w:val="es-ES_tradnl" w:eastAsia="es-ES_tradnl"/>
        </w:rPr>
        <w:t xml:space="preserve">i) los costos de administración o costos indirectos para la operación del contrato, tales como los gastos de disponibilidad de la organización del contratista, esto es: A; </w:t>
      </w:r>
    </w:p>
    <w:p w14:paraId="0BF7AE6B" w14:textId="77777777" w:rsidR="00E5544F" w:rsidRDefault="00E5544F" w:rsidP="00E5544F">
      <w:pPr>
        <w:tabs>
          <w:tab w:val="left" w:pos="709"/>
        </w:tabs>
        <w:spacing w:after="0" w:line="240" w:lineRule="auto"/>
        <w:ind w:left="709" w:right="709"/>
        <w:jc w:val="both"/>
        <w:rPr>
          <w:rFonts w:ascii="Verdana" w:hAnsi="Verdana" w:cs="Arial"/>
          <w:sz w:val="20"/>
          <w:szCs w:val="20"/>
          <w:lang w:val="es-ES" w:eastAsia="es-ES"/>
        </w:rPr>
      </w:pPr>
    </w:p>
    <w:p w14:paraId="32D40B2F" w14:textId="2560C1CD" w:rsidR="00B706C7" w:rsidRPr="00143822" w:rsidRDefault="00B706C7" w:rsidP="00526D65">
      <w:pPr>
        <w:tabs>
          <w:tab w:val="left" w:pos="709"/>
        </w:tabs>
        <w:spacing w:after="0" w:line="240" w:lineRule="auto"/>
        <w:ind w:left="709" w:right="709"/>
        <w:jc w:val="both"/>
        <w:rPr>
          <w:rFonts w:ascii="Verdana" w:hAnsi="Verdana" w:cs="Arial"/>
          <w:sz w:val="20"/>
          <w:szCs w:val="20"/>
          <w:lang w:val="es-ES" w:eastAsia="es-ES"/>
        </w:rPr>
      </w:pPr>
      <w:r w:rsidRPr="00143822">
        <w:rPr>
          <w:rFonts w:ascii="Verdana" w:hAnsi="Verdana" w:cs="Arial"/>
          <w:sz w:val="20"/>
          <w:szCs w:val="20"/>
          <w:lang w:val="es-ES" w:eastAsia="es-ES"/>
        </w:rPr>
        <w:t xml:space="preserve">ii) los imprevistos, que es el porcentaje destinado a cubrir los gastos con los que no se contaba y que se presenten durante la ejecución del contrato, esto es, el </w:t>
      </w:r>
      <w:proofErr w:type="spellStart"/>
      <w:r w:rsidRPr="00143822">
        <w:rPr>
          <w:rFonts w:ascii="Verdana" w:hAnsi="Verdana" w:cs="Arial"/>
          <w:sz w:val="20"/>
          <w:szCs w:val="20"/>
          <w:lang w:val="es-ES" w:eastAsia="es-ES"/>
        </w:rPr>
        <w:t>álea</w:t>
      </w:r>
      <w:proofErr w:type="spellEnd"/>
      <w:r w:rsidRPr="00143822">
        <w:rPr>
          <w:rFonts w:ascii="Verdana" w:hAnsi="Verdana" w:cs="Arial"/>
          <w:sz w:val="20"/>
          <w:szCs w:val="20"/>
          <w:lang w:val="es-ES" w:eastAsia="es-ES"/>
        </w:rPr>
        <w:t xml:space="preserve"> normal del contrato: I; </w:t>
      </w:r>
    </w:p>
    <w:p w14:paraId="491E4C00" w14:textId="77777777" w:rsidR="00E5544F" w:rsidRDefault="00E5544F" w:rsidP="00E5544F">
      <w:pPr>
        <w:tabs>
          <w:tab w:val="left" w:pos="709"/>
        </w:tabs>
        <w:spacing w:after="0" w:line="240" w:lineRule="auto"/>
        <w:ind w:left="709" w:right="709"/>
        <w:jc w:val="both"/>
        <w:rPr>
          <w:rFonts w:ascii="Verdana" w:hAnsi="Verdana" w:cs="Arial"/>
          <w:sz w:val="20"/>
          <w:szCs w:val="20"/>
          <w:lang w:val="es-ES" w:eastAsia="es-ES"/>
        </w:rPr>
      </w:pPr>
    </w:p>
    <w:p w14:paraId="0BBDDCA6" w14:textId="37EAE349" w:rsidR="00B706C7" w:rsidRPr="00143822" w:rsidRDefault="00B706C7" w:rsidP="00526D65">
      <w:pPr>
        <w:tabs>
          <w:tab w:val="left" w:pos="709"/>
        </w:tabs>
        <w:spacing w:after="0" w:line="240" w:lineRule="auto"/>
        <w:ind w:left="709" w:right="709"/>
        <w:jc w:val="both"/>
        <w:rPr>
          <w:rFonts w:ascii="Verdana" w:hAnsi="Verdana" w:cs="Arial"/>
          <w:sz w:val="20"/>
          <w:szCs w:val="20"/>
          <w:lang w:val="es-ES" w:eastAsia="es-ES"/>
        </w:rPr>
      </w:pPr>
      <w:proofErr w:type="spellStart"/>
      <w:r w:rsidRPr="00143822">
        <w:rPr>
          <w:rFonts w:ascii="Verdana" w:hAnsi="Verdana" w:cs="Arial"/>
          <w:sz w:val="20"/>
          <w:szCs w:val="20"/>
          <w:lang w:val="es-ES" w:eastAsia="es-ES"/>
        </w:rPr>
        <w:t>iii</w:t>
      </w:r>
      <w:proofErr w:type="spellEnd"/>
      <w:r w:rsidRPr="00143822">
        <w:rPr>
          <w:rFonts w:ascii="Verdana" w:hAnsi="Verdana" w:cs="Arial"/>
          <w:sz w:val="20"/>
          <w:szCs w:val="20"/>
          <w:lang w:val="es-ES" w:eastAsia="es-ES"/>
        </w:rPr>
        <w:t xml:space="preserve">) la utilidad o el beneficio económico que pretende percibir el contratista por la ejecución del contrato, esto es: U. </w:t>
      </w:r>
    </w:p>
    <w:p w14:paraId="4F898695" w14:textId="77777777" w:rsidR="00E5544F" w:rsidRDefault="00E5544F" w:rsidP="00E5544F">
      <w:pPr>
        <w:tabs>
          <w:tab w:val="left" w:pos="709"/>
        </w:tabs>
        <w:spacing w:after="0" w:line="240" w:lineRule="auto"/>
        <w:ind w:left="709" w:right="709"/>
        <w:jc w:val="both"/>
        <w:rPr>
          <w:rFonts w:ascii="Verdana" w:hAnsi="Verdana" w:cs="Arial"/>
          <w:sz w:val="20"/>
          <w:szCs w:val="20"/>
          <w:lang w:val="es-ES_tradnl" w:eastAsia="es-ES_tradnl"/>
        </w:rPr>
      </w:pPr>
    </w:p>
    <w:p w14:paraId="0DC6863A" w14:textId="2A5665BB" w:rsidR="00B706C7" w:rsidRPr="00143822" w:rsidRDefault="00B706C7" w:rsidP="00B706C7">
      <w:pPr>
        <w:tabs>
          <w:tab w:val="left" w:pos="709"/>
        </w:tabs>
        <w:spacing w:after="0" w:line="240" w:lineRule="auto"/>
        <w:ind w:left="709" w:right="709"/>
        <w:jc w:val="both"/>
        <w:rPr>
          <w:rFonts w:ascii="Verdana" w:hAnsi="Verdana" w:cs="Arial"/>
          <w:sz w:val="21"/>
          <w:szCs w:val="21"/>
          <w:lang w:val="es-ES_tradnl" w:eastAsia="es-ES_tradnl"/>
        </w:rPr>
      </w:pPr>
      <w:r w:rsidRPr="00143822">
        <w:rPr>
          <w:rFonts w:ascii="Verdana" w:hAnsi="Verdana" w:cs="Arial"/>
          <w:sz w:val="20"/>
          <w:szCs w:val="20"/>
          <w:lang w:val="es-ES_tradnl" w:eastAsia="es-ES_tradnl"/>
        </w:rPr>
        <w:t xml:space="preserve">Ahora, teniendo en cuenta que no existe ninguna reglamentación que establezca porcentajes mínimos o máximos para determinar el A.I.U., cada empresa o comerciante de acuerdo con su infraestructura, experiencia, las condiciones del mercado, la naturaleza del contrato a celebrar, entre otros factores, establece su estructura de costos conforme </w:t>
      </w:r>
      <w:r w:rsidRPr="00143822">
        <w:rPr>
          <w:rFonts w:ascii="Verdana" w:hAnsi="Verdana" w:cs="Arial"/>
          <w:sz w:val="20"/>
          <w:szCs w:val="20"/>
          <w:lang w:val="es-ES_tradnl" w:eastAsia="es-ES_tradnl"/>
        </w:rPr>
        <w:lastRenderedPageBreak/>
        <w:t>a la cual se compromete a ejecutar cabalmente un contrato en el caso de que le sea adjudicado</w:t>
      </w:r>
      <w:r w:rsidRPr="00143822">
        <w:rPr>
          <w:rFonts w:ascii="Verdana" w:hAnsi="Verdana" w:cs="Arial"/>
          <w:sz w:val="21"/>
          <w:szCs w:val="21"/>
          <w:lang w:val="es-ES_tradnl" w:eastAsia="es-ES_tradnl"/>
        </w:rPr>
        <w:t>”</w:t>
      </w:r>
      <w:r w:rsidRPr="00143822">
        <w:rPr>
          <w:rFonts w:ascii="Verdana" w:hAnsi="Verdana" w:cs="Arial"/>
          <w:sz w:val="21"/>
          <w:szCs w:val="21"/>
          <w:vertAlign w:val="superscript"/>
          <w:lang w:val="es-ES_tradnl" w:eastAsia="es-ES_tradnl"/>
        </w:rPr>
        <w:footnoteReference w:id="11"/>
      </w:r>
      <w:r w:rsidRPr="00143822">
        <w:rPr>
          <w:rFonts w:ascii="Verdana" w:hAnsi="Verdana" w:cs="Arial"/>
          <w:sz w:val="21"/>
          <w:szCs w:val="21"/>
          <w:lang w:val="es-ES_tradnl" w:eastAsia="es-ES_tradnl"/>
        </w:rPr>
        <w:t>.</w:t>
      </w:r>
    </w:p>
    <w:p w14:paraId="14182236" w14:textId="77777777" w:rsidR="00B706C7" w:rsidRPr="00143822" w:rsidRDefault="00B706C7" w:rsidP="00B706C7">
      <w:pPr>
        <w:tabs>
          <w:tab w:val="left" w:pos="709"/>
        </w:tabs>
        <w:spacing w:after="0" w:line="276" w:lineRule="auto"/>
        <w:ind w:left="709" w:right="760"/>
        <w:jc w:val="both"/>
        <w:rPr>
          <w:rFonts w:ascii="Verdana" w:hAnsi="Verdana" w:cs="Arial"/>
          <w:szCs w:val="24"/>
          <w:lang w:val="es-ES_tradnl" w:eastAsia="es-ES_tradnl"/>
        </w:rPr>
      </w:pPr>
    </w:p>
    <w:p w14:paraId="7CE51B80" w14:textId="77777777" w:rsidR="00B706C7" w:rsidRPr="00143822" w:rsidRDefault="00B706C7" w:rsidP="00B706C7">
      <w:pPr>
        <w:spacing w:after="120" w:line="276" w:lineRule="auto"/>
        <w:ind w:firstLine="709"/>
        <w:jc w:val="both"/>
        <w:rPr>
          <w:rFonts w:ascii="Verdana" w:hAnsi="Verdana" w:cs="Arial"/>
          <w:lang w:val="es-ES" w:eastAsia="es-ES"/>
        </w:rPr>
      </w:pPr>
      <w:r w:rsidRPr="00143822">
        <w:rPr>
          <w:rFonts w:ascii="Verdana" w:hAnsi="Verdana" w:cs="Arial"/>
          <w:lang w:val="es-ES" w:eastAsia="es-ES"/>
        </w:rPr>
        <w:t>A su turno, la Sala de Consulta y Servicio Civil del Consejo de Estado sostuvo en concepto del 5 de septiembre de 2018</w:t>
      </w:r>
      <w:r w:rsidRPr="00143822">
        <w:rPr>
          <w:rFonts w:ascii="Verdana" w:hAnsi="Verdana" w:cs="Arial"/>
          <w:vertAlign w:val="superscript"/>
          <w:lang w:val="es-ES" w:eastAsia="es-ES"/>
        </w:rPr>
        <w:footnoteReference w:id="12"/>
      </w:r>
      <w:r w:rsidRPr="00143822">
        <w:rPr>
          <w:rFonts w:ascii="Verdana" w:hAnsi="Verdana" w:cs="Arial"/>
          <w:lang w:val="es-ES" w:eastAsia="es-ES"/>
        </w:rPr>
        <w:t xml:space="preserve"> que “el concepto del A.I.U. comprende la Administración (costos indirectos) imprevistos y utilidades, y en algunos contratos este valor aparece cuantificado en forma independiente al valor de la obra y como un porcentaje de </w:t>
      </w:r>
      <w:proofErr w:type="gramStart"/>
      <w:r w:rsidRPr="00143822">
        <w:rPr>
          <w:rFonts w:ascii="Verdana" w:hAnsi="Verdana" w:cs="Arial"/>
          <w:lang w:val="es-ES" w:eastAsia="es-ES"/>
        </w:rPr>
        <w:t>la misma</w:t>
      </w:r>
      <w:proofErr w:type="gramEnd"/>
      <w:r w:rsidRPr="00143822">
        <w:rPr>
          <w:rFonts w:ascii="Verdana" w:hAnsi="Verdana" w:cs="Arial"/>
          <w:vertAlign w:val="superscript"/>
          <w:lang w:val="es-ES" w:eastAsia="es-ES"/>
        </w:rPr>
        <w:footnoteReference w:id="13"/>
      </w:r>
      <w:r w:rsidRPr="00143822">
        <w:rPr>
          <w:rFonts w:ascii="Verdana" w:hAnsi="Verdana" w:cs="Arial"/>
          <w:lang w:val="es-ES" w:eastAsia="es-ES"/>
        </w:rPr>
        <w:t>, sin perjuicio que en otros contratos este valor no aparezca discriminado y se incorpore en el valor de los precios unitarios”</w:t>
      </w:r>
      <w:r w:rsidRPr="00143822">
        <w:rPr>
          <w:rFonts w:ascii="Verdana" w:hAnsi="Verdana" w:cs="Arial"/>
          <w:vertAlign w:val="superscript"/>
          <w:lang w:val="es-ES" w:eastAsia="es-ES"/>
        </w:rPr>
        <w:footnoteReference w:id="14"/>
      </w:r>
      <w:r w:rsidRPr="00143822">
        <w:rPr>
          <w:rFonts w:ascii="Verdana" w:hAnsi="Verdana" w:cs="Arial"/>
          <w:lang w:val="es-ES" w:eastAsia="es-ES"/>
        </w:rPr>
        <w:t xml:space="preserve">. </w:t>
      </w:r>
    </w:p>
    <w:p w14:paraId="7C5CEBF1" w14:textId="77777777" w:rsidR="00B706C7" w:rsidRPr="00143822" w:rsidRDefault="00B706C7" w:rsidP="00B706C7">
      <w:pPr>
        <w:spacing w:after="120" w:line="276" w:lineRule="auto"/>
        <w:ind w:firstLine="709"/>
        <w:jc w:val="both"/>
        <w:rPr>
          <w:rFonts w:ascii="Verdana" w:hAnsi="Verdana" w:cs="Arial"/>
          <w:bCs/>
          <w:szCs w:val="24"/>
          <w:lang w:val="es-ES_tradnl" w:eastAsia="es-ES_tradnl"/>
        </w:rPr>
      </w:pPr>
      <w:r w:rsidRPr="00143822">
        <w:rPr>
          <w:rFonts w:ascii="Verdana" w:hAnsi="Verdana" w:cs="Arial"/>
          <w:bCs/>
          <w:szCs w:val="24"/>
          <w:lang w:val="es-ES_tradnl" w:eastAsia="es-ES_tradnl"/>
        </w:rPr>
        <w:t>Así pues, ni el sistema de precios unitarios –como metodología de estipulación del valor contractual–, ni el concepto de AIU, ni mucho menos la forma de calcularlo –es decir, su porcentaje–, son aspectos regulados en el conjunto de las disposiciones legales y reglamentarias que integran la normativa contractual del Estado: “La justificación de esta manera de cotizar el precio procede, incluso, de la formación universitaria que reciben los ingenieros, a quienes les enseñan esta metodología para elaborar las ofertas. En fin, lo que se quiere indicar con estos comentarios es que la necesidad de presentar una propuesta desglosando en forma intensa su precio no procede de la ley, ni del reglamento, sino de la costumbre, […]”</w:t>
      </w:r>
      <w:r w:rsidRPr="00143822">
        <w:rPr>
          <w:rFonts w:ascii="Verdana" w:hAnsi="Verdana" w:cs="Arial"/>
          <w:bCs/>
          <w:szCs w:val="24"/>
          <w:vertAlign w:val="superscript"/>
          <w:lang w:val="es-ES_tradnl" w:eastAsia="es-ES_tradnl"/>
        </w:rPr>
        <w:footnoteReference w:id="15"/>
      </w:r>
      <w:r w:rsidRPr="00143822">
        <w:rPr>
          <w:rFonts w:ascii="Verdana" w:hAnsi="Verdana" w:cs="Arial"/>
          <w:bCs/>
          <w:szCs w:val="24"/>
          <w:lang w:val="es-ES_tradnl" w:eastAsia="es-ES_tradnl"/>
        </w:rPr>
        <w:t xml:space="preserve">. De otro lado, quien define el valor de cada </w:t>
      </w:r>
      <w:r w:rsidRPr="00143822">
        <w:rPr>
          <w:rFonts w:ascii="Verdana" w:hAnsi="Verdana" w:cs="Arial"/>
          <w:bCs/>
          <w:i/>
          <w:iCs/>
          <w:szCs w:val="24"/>
          <w:lang w:val="es-ES_tradnl" w:eastAsia="es-ES_tradnl"/>
        </w:rPr>
        <w:t>letra</w:t>
      </w:r>
      <w:r w:rsidRPr="00143822">
        <w:rPr>
          <w:rFonts w:ascii="Verdana" w:hAnsi="Verdana" w:cs="Arial"/>
          <w:bCs/>
          <w:szCs w:val="24"/>
          <w:lang w:val="es-ES_tradnl" w:eastAsia="es-ES_tradnl"/>
        </w:rPr>
        <w:t xml:space="preserve"> –AIU– es el proponente, pues goza de libertad empresarial para hacerlo en la elaboración de su oferta</w:t>
      </w:r>
      <w:r w:rsidRPr="00143822">
        <w:rPr>
          <w:rFonts w:ascii="Verdana" w:hAnsi="Verdana" w:cs="Arial"/>
          <w:bCs/>
          <w:szCs w:val="24"/>
          <w:vertAlign w:val="superscript"/>
          <w:lang w:val="es-ES_tradnl" w:eastAsia="es-ES_tradnl"/>
        </w:rPr>
        <w:footnoteReference w:id="16"/>
      </w:r>
      <w:r w:rsidRPr="00143822">
        <w:rPr>
          <w:rFonts w:ascii="Verdana" w:hAnsi="Verdana" w:cs="Arial"/>
          <w:bCs/>
          <w:szCs w:val="24"/>
          <w:lang w:val="es-ES_tradnl" w:eastAsia="es-ES_tradnl"/>
        </w:rPr>
        <w:t>.</w:t>
      </w:r>
    </w:p>
    <w:p w14:paraId="13D472DE" w14:textId="77777777" w:rsidR="00B706C7" w:rsidRPr="00143822" w:rsidRDefault="00B706C7" w:rsidP="00B706C7">
      <w:pPr>
        <w:spacing w:after="120" w:line="276" w:lineRule="auto"/>
        <w:ind w:firstLine="709"/>
        <w:jc w:val="both"/>
        <w:rPr>
          <w:rFonts w:ascii="Verdana" w:hAnsi="Verdana" w:cs="Arial"/>
          <w:bCs/>
          <w:szCs w:val="24"/>
          <w:lang w:val="es-ES_tradnl" w:eastAsia="es-ES_tradnl"/>
        </w:rPr>
      </w:pPr>
      <w:r w:rsidRPr="00143822">
        <w:rPr>
          <w:rFonts w:ascii="Verdana" w:hAnsi="Verdana" w:cs="Arial"/>
          <w:bCs/>
          <w:szCs w:val="24"/>
          <w:lang w:val="es-ES_tradnl" w:eastAsia="es-ES_tradnl"/>
        </w:rPr>
        <w:lastRenderedPageBreak/>
        <w:t xml:space="preserve">De este modo, </w:t>
      </w:r>
      <w:r w:rsidRPr="00143822">
        <w:rPr>
          <w:rFonts w:ascii="Verdana" w:hAnsi="Verdana" w:cs="Arial"/>
          <w:lang w:eastAsia="es-ES"/>
        </w:rPr>
        <w:t>el AIU, como metodología de pacto del precio que proviene de la costumbre mercantil, se puede utilizar en principio en cualquier tipología contractual, aunque lo más común es que se use en los contratos de tracto sucesivo, especialmente en los que se distinguen los precios unitarios.</w:t>
      </w:r>
      <w:r w:rsidRPr="00143822">
        <w:rPr>
          <w:rFonts w:ascii="Verdana" w:hAnsi="Verdana" w:cs="Arial"/>
          <w:bCs/>
          <w:szCs w:val="24"/>
          <w:lang w:val="es-ES_tradnl" w:eastAsia="es-ES_tradnl"/>
        </w:rPr>
        <w:t xml:space="preserve"> </w:t>
      </w:r>
      <w:r w:rsidRPr="00143822">
        <w:rPr>
          <w:rFonts w:ascii="Verdana" w:hAnsi="Verdana" w:cs="Arial"/>
          <w:lang w:eastAsia="es-ES"/>
        </w:rPr>
        <w:t xml:space="preserve">La determinación de este sistema de estipulación del valor debe ser el resultado de los estudios previos, y especialmente del análisis del sector. Solo a partir de tales estudios la entidad estatal podrá concluir si es oportuno y conveniente establecer que el precio del contrato y, por tanto, la propuesta del oferente se deberá establecer distinguiendo los costos directos respecto de los costos indirectos; estos últimos representados en el AIU. </w:t>
      </w:r>
    </w:p>
    <w:p w14:paraId="58475AEE" w14:textId="77777777" w:rsidR="00B706C7" w:rsidRPr="00143822" w:rsidRDefault="00B706C7" w:rsidP="00B706C7">
      <w:pPr>
        <w:spacing w:after="120" w:line="276" w:lineRule="auto"/>
        <w:ind w:firstLine="743"/>
        <w:jc w:val="both"/>
        <w:rPr>
          <w:rFonts w:ascii="Verdana" w:hAnsi="Verdana" w:cs="Arial"/>
          <w:lang w:eastAsia="es-ES"/>
        </w:rPr>
      </w:pPr>
      <w:r w:rsidRPr="00143822">
        <w:rPr>
          <w:rFonts w:ascii="Verdana" w:hAnsi="Verdana" w:cs="Arial"/>
          <w:lang w:eastAsia="es-ES"/>
        </w:rPr>
        <w:t xml:space="preserve">En consecuencia, </w:t>
      </w:r>
      <w:bookmarkStart w:id="2" w:name="_Hlk191240669"/>
      <w:r w:rsidRPr="00143822">
        <w:rPr>
          <w:rFonts w:ascii="Verdana" w:hAnsi="Verdana" w:cs="Arial"/>
          <w:lang w:eastAsia="es-ES"/>
        </w:rPr>
        <w:t xml:space="preserve">no hay </w:t>
      </w:r>
      <w:r w:rsidRPr="00143822">
        <w:rPr>
          <w:rFonts w:ascii="Verdana" w:hAnsi="Verdana" w:cs="Arial"/>
          <w:i/>
          <w:iCs/>
          <w:lang w:eastAsia="es-ES"/>
        </w:rPr>
        <w:t>a priori</w:t>
      </w:r>
      <w:r w:rsidRPr="00143822">
        <w:rPr>
          <w:rFonts w:ascii="Verdana" w:hAnsi="Verdana" w:cs="Arial"/>
          <w:lang w:eastAsia="es-ES"/>
        </w:rPr>
        <w:t xml:space="preserve"> tipologías contractuales en las que la ley o el reglamento establezcan que se debe utilizar el AIU, así como tampoco hay una determinación única y específica de la forma en la que el AIU debe ser establecido en los contratos, ya que tal decisión obedece a lo que resulte más conveniente a la entidad estatal, en cumplimiento del principio de planeación. </w:t>
      </w:r>
      <w:r w:rsidRPr="00143822">
        <w:rPr>
          <w:rFonts w:ascii="Verdana" w:hAnsi="Verdana" w:cs="Arial"/>
          <w:bCs/>
          <w:szCs w:val="24"/>
          <w:lang w:val="es-ES_tradnl" w:eastAsia="es-ES_tradnl"/>
        </w:rPr>
        <w:t xml:space="preserve"> </w:t>
      </w:r>
    </w:p>
    <w:p w14:paraId="447843B6" w14:textId="77777777" w:rsidR="00B706C7" w:rsidRPr="00143822" w:rsidRDefault="00B706C7" w:rsidP="00B706C7">
      <w:pPr>
        <w:snapToGrid w:val="0"/>
        <w:spacing w:after="120" w:line="276" w:lineRule="auto"/>
        <w:ind w:firstLine="743"/>
        <w:jc w:val="both"/>
        <w:rPr>
          <w:rFonts w:ascii="Verdana" w:hAnsi="Verdana" w:cs="Arial"/>
          <w:lang w:eastAsia="es-ES"/>
        </w:rPr>
      </w:pPr>
      <w:r w:rsidRPr="00143822">
        <w:rPr>
          <w:rFonts w:ascii="Verdana" w:hAnsi="Verdana" w:cs="Arial"/>
          <w:bCs/>
          <w:szCs w:val="24"/>
          <w:lang w:val="es-ES_tradnl" w:eastAsia="es-ES_tradnl"/>
        </w:rPr>
        <w:t xml:space="preserve">En este contexto, si </w:t>
      </w:r>
      <w:r w:rsidRPr="00143822">
        <w:rPr>
          <w:rFonts w:ascii="Verdana" w:hAnsi="Verdana" w:cs="Arial"/>
          <w:lang w:eastAsia="es-ES"/>
        </w:rPr>
        <w:t>con base en los estudios del sector la entidad estatal estableció la necesidad de estructurar el valor bajo el sistema de precios unitarios y con el desglose del AIU, el precio se debería pagar con base en el valor de los costos directos incrementados por el porcentaje del AIU, en relación con todas las actividades calculadas bajo este sistema. En otras palabras, cuando el valor en el contrato se estructuró utilizando el sistema de AIU, el pago del AIU debe aplicarse a todas las actividades del contrato, a menos que se haya acordado lo contrario.</w:t>
      </w:r>
    </w:p>
    <w:bookmarkEnd w:id="2"/>
    <w:p w14:paraId="54CA827F" w14:textId="77777777" w:rsidR="00B706C7" w:rsidRPr="00160560" w:rsidRDefault="00B706C7" w:rsidP="00B706C7">
      <w:pPr>
        <w:snapToGrid w:val="0"/>
        <w:spacing w:after="120" w:line="276" w:lineRule="auto"/>
        <w:ind w:firstLine="743"/>
        <w:jc w:val="both"/>
        <w:rPr>
          <w:rFonts w:ascii="Verdana" w:hAnsi="Verdana" w:cs="Arial"/>
          <w:bCs/>
          <w:szCs w:val="24"/>
          <w:lang w:val="es-ES_tradnl" w:eastAsia="es-ES_tradnl"/>
        </w:rPr>
      </w:pPr>
      <w:r w:rsidRPr="00143822">
        <w:rPr>
          <w:rFonts w:ascii="Verdana" w:hAnsi="Verdana" w:cs="Arial"/>
          <w:lang w:eastAsia="es-ES"/>
        </w:rPr>
        <w:t xml:space="preserve">Ahora bien, </w:t>
      </w:r>
      <w:r w:rsidRPr="00143822">
        <w:rPr>
          <w:rFonts w:ascii="Verdana" w:hAnsi="Verdana" w:cs="Arial"/>
          <w:bCs/>
          <w:szCs w:val="24"/>
          <w:lang w:val="es-ES_tradnl" w:eastAsia="es-ES_tradnl"/>
        </w:rPr>
        <w:t xml:space="preserve">nada obstaría para que las partes le dieran otros efectos particulares a la forma en que pagan el precio estructurado con AIU. Por ejemplo, podrían incluir cláusulas o reglas bajo las cuales se estableciera que el valor de alguno o de todos los componentes de la </w:t>
      </w:r>
      <w:r w:rsidRPr="00143822">
        <w:rPr>
          <w:rFonts w:ascii="Verdana" w:hAnsi="Verdana" w:cs="Arial"/>
          <w:bCs/>
          <w:i/>
          <w:iCs/>
          <w:szCs w:val="24"/>
          <w:lang w:val="es-ES_tradnl" w:eastAsia="es-ES_tradnl"/>
        </w:rPr>
        <w:t>Administración</w:t>
      </w:r>
      <w:r w:rsidRPr="00143822">
        <w:rPr>
          <w:rFonts w:ascii="Verdana" w:hAnsi="Verdana" w:cs="Arial"/>
          <w:bCs/>
          <w:szCs w:val="24"/>
          <w:lang w:val="es-ES_tradnl" w:eastAsia="es-ES_tradnl"/>
        </w:rPr>
        <w:t xml:space="preserve"> o los </w:t>
      </w:r>
      <w:r w:rsidRPr="00143822">
        <w:rPr>
          <w:rFonts w:ascii="Verdana" w:hAnsi="Verdana" w:cs="Arial"/>
          <w:bCs/>
          <w:i/>
          <w:iCs/>
          <w:szCs w:val="24"/>
          <w:lang w:val="es-ES_tradnl" w:eastAsia="es-ES_tradnl"/>
        </w:rPr>
        <w:t>Imprevistos</w:t>
      </w:r>
      <w:r w:rsidRPr="00143822">
        <w:rPr>
          <w:rFonts w:ascii="Verdana" w:hAnsi="Verdana" w:cs="Arial"/>
          <w:bCs/>
          <w:szCs w:val="24"/>
          <w:lang w:val="es-ES_tradnl" w:eastAsia="es-ES_tradnl"/>
        </w:rPr>
        <w:t xml:space="preserve"> sólo se pagan si el contratista demuestra que incurrió en algunas situaciones específicas y bajo el monto </w:t>
      </w:r>
      <w:r w:rsidRPr="00160560">
        <w:rPr>
          <w:rFonts w:ascii="Verdana" w:hAnsi="Verdana" w:cs="Arial"/>
          <w:bCs/>
          <w:szCs w:val="24"/>
          <w:lang w:val="es-ES_tradnl" w:eastAsia="es-ES_tradnl"/>
        </w:rPr>
        <w:t>que este logre demostrar.</w:t>
      </w:r>
    </w:p>
    <w:p w14:paraId="77FD12C2" w14:textId="77777777" w:rsidR="00B706C7" w:rsidRPr="00143822" w:rsidRDefault="00B706C7" w:rsidP="00B706C7">
      <w:pPr>
        <w:snapToGrid w:val="0"/>
        <w:spacing w:after="120" w:line="276" w:lineRule="auto"/>
        <w:ind w:firstLine="743"/>
        <w:jc w:val="both"/>
        <w:rPr>
          <w:rFonts w:ascii="Verdana" w:hAnsi="Verdana" w:cs="Arial"/>
          <w:bCs/>
          <w:szCs w:val="24"/>
          <w:lang w:val="es-ES_tradnl" w:eastAsia="es-ES_tradnl"/>
        </w:rPr>
      </w:pPr>
      <w:r w:rsidRPr="00160560">
        <w:rPr>
          <w:rFonts w:ascii="Verdana" w:hAnsi="Verdana" w:cs="Arial"/>
          <w:bCs/>
          <w:szCs w:val="24"/>
          <w:lang w:val="es-ES_tradnl" w:eastAsia="es-ES_tradnl"/>
        </w:rPr>
        <w:t>Respecto de su acreditación, la Contraloría General de la República</w:t>
      </w:r>
      <w:r>
        <w:rPr>
          <w:rFonts w:ascii="Verdana" w:hAnsi="Verdana" w:cs="Arial"/>
          <w:bCs/>
          <w:szCs w:val="24"/>
          <w:lang w:val="es-ES_tradnl" w:eastAsia="es-ES_tradnl"/>
        </w:rPr>
        <w:t xml:space="preserve"> en varios conceptos</w:t>
      </w:r>
      <w:r>
        <w:rPr>
          <w:rStyle w:val="Refdenotaalpie"/>
          <w:rFonts w:ascii="Verdana" w:hAnsi="Verdana" w:cs="Arial"/>
          <w:bCs/>
          <w:szCs w:val="24"/>
          <w:lang w:val="es-ES_tradnl" w:eastAsia="es-ES_tradnl"/>
        </w:rPr>
        <w:footnoteReference w:id="17"/>
      </w:r>
      <w:r>
        <w:rPr>
          <w:rFonts w:ascii="Verdana" w:hAnsi="Verdana" w:cs="Arial"/>
          <w:bCs/>
          <w:szCs w:val="24"/>
          <w:lang w:val="es-ES_tradnl" w:eastAsia="es-ES_tradnl"/>
        </w:rPr>
        <w:t xml:space="preserve"> ha sostenido que “</w:t>
      </w:r>
      <w:r w:rsidRPr="00E775BE">
        <w:rPr>
          <w:rFonts w:ascii="Verdana" w:hAnsi="Verdana" w:cs="Arial"/>
          <w:bCs/>
          <w:szCs w:val="24"/>
          <w:lang w:eastAsia="es-ES_tradnl"/>
        </w:rPr>
        <w:t xml:space="preserve">las entidades que administran recursos </w:t>
      </w:r>
      <w:r w:rsidRPr="00E775BE">
        <w:rPr>
          <w:rFonts w:ascii="Verdana" w:hAnsi="Verdana" w:cs="Arial"/>
          <w:bCs/>
          <w:szCs w:val="24"/>
          <w:lang w:eastAsia="es-ES_tradnl"/>
        </w:rPr>
        <w:lastRenderedPageBreak/>
        <w:t>públicos solo pueden pagar los “imprevistos” que el contratista acredite, porque la destinación de esta previsión es específica y no puede convertirse en parte de la “utilidad” del contratista</w:t>
      </w:r>
      <w:r>
        <w:rPr>
          <w:rFonts w:ascii="Verdana" w:hAnsi="Verdana" w:cs="Arial"/>
          <w:bCs/>
          <w:szCs w:val="24"/>
          <w:lang w:eastAsia="es-ES_tradnl"/>
        </w:rPr>
        <w:t>”. Sin embargo, en concepto posterior</w:t>
      </w:r>
      <w:r>
        <w:rPr>
          <w:rStyle w:val="Refdenotaalpie"/>
          <w:rFonts w:ascii="Verdana" w:hAnsi="Verdana" w:cs="Arial"/>
          <w:bCs/>
          <w:szCs w:val="24"/>
          <w:lang w:eastAsia="es-ES_tradnl"/>
        </w:rPr>
        <w:footnoteReference w:id="18"/>
      </w:r>
      <w:r>
        <w:rPr>
          <w:rFonts w:ascii="Verdana" w:hAnsi="Verdana" w:cs="Arial"/>
          <w:bCs/>
          <w:szCs w:val="24"/>
          <w:lang w:eastAsia="es-ES_tradnl"/>
        </w:rPr>
        <w:t xml:space="preserve"> sostuvo que la obligación del contratista de demostrar si ocurrieron hechos que impacta la partida de imprevistos, dependerá de las condiciones que fueron fijadas en cada caso en el respectivo pliego de condiciones y en el contrato. </w:t>
      </w:r>
    </w:p>
    <w:p w14:paraId="42C58766" w14:textId="77777777" w:rsidR="00B706C7" w:rsidRPr="00143822" w:rsidRDefault="00B706C7" w:rsidP="00B706C7">
      <w:pPr>
        <w:snapToGrid w:val="0"/>
        <w:spacing w:after="120" w:line="276" w:lineRule="auto"/>
        <w:ind w:firstLine="601"/>
        <w:jc w:val="both"/>
        <w:rPr>
          <w:rFonts w:ascii="Verdana" w:hAnsi="Verdana" w:cs="Arial"/>
          <w:lang w:val="es-ES" w:eastAsia="es-ES"/>
        </w:rPr>
      </w:pPr>
      <w:r w:rsidRPr="00143822">
        <w:rPr>
          <w:rFonts w:ascii="Verdana" w:hAnsi="Verdana" w:cs="Arial"/>
          <w:lang w:eastAsia="es-ES"/>
        </w:rPr>
        <w:t xml:space="preserve">Sin embargo, </w:t>
      </w:r>
      <w:r w:rsidRPr="00143822">
        <w:rPr>
          <w:rFonts w:ascii="Verdana" w:hAnsi="Verdana" w:cs="Arial"/>
          <w:lang w:val="es-ES" w:eastAsia="es-ES"/>
        </w:rPr>
        <w:t xml:space="preserve">una regulación como la anterior no es la que suele emplearse en los contratos estatales. Lo usual, que se advierte en la práctica de las Entidades Estatales, es que acuden al AIU con la finalidad de establecer un precio más estable, de manera que el valor del contrato consistirá en lo que resulte de afectar los costos directos por el porcentaje, en principio, invariable del AIU, de manera que al valor de los costos directos se le sume el AIU. </w:t>
      </w:r>
    </w:p>
    <w:p w14:paraId="2EE835B0" w14:textId="77777777" w:rsidR="00B706C7" w:rsidRPr="00143822" w:rsidRDefault="00B706C7" w:rsidP="00B706C7">
      <w:pPr>
        <w:snapToGrid w:val="0"/>
        <w:spacing w:after="120" w:line="276" w:lineRule="auto"/>
        <w:ind w:firstLine="601"/>
        <w:jc w:val="both"/>
        <w:rPr>
          <w:rFonts w:ascii="Verdana" w:eastAsia="Calibri" w:hAnsi="Verdana" w:cs="Arial"/>
          <w:bCs/>
          <w:szCs w:val="24"/>
          <w:lang w:val="es-ES_tradnl" w:eastAsia="es-ES_tradnl"/>
        </w:rPr>
      </w:pPr>
      <w:r w:rsidRPr="00143822">
        <w:rPr>
          <w:rFonts w:ascii="Verdana" w:eastAsia="Calibri" w:hAnsi="Verdana" w:cs="Arial"/>
          <w:bCs/>
          <w:szCs w:val="24"/>
          <w:lang w:val="es-ES_tradnl" w:eastAsia="es-ES_tradnl"/>
        </w:rPr>
        <w:t xml:space="preserve">En este sentido, cuando las Entidades Estatales incluyen esta forma de desglosar el precio, en los últimos términos indicados, al realizar el estudio de mercado elaboran un presupuesto estimado del valor de la ejecución del contrato. Dicho presupuesto estimado incluye los costos genéricos </w:t>
      </w:r>
      <w:r w:rsidRPr="00143822">
        <w:rPr>
          <w:rFonts w:ascii="Verdana" w:eastAsia="Calibri" w:hAnsi="Verdana" w:cs="Arial"/>
          <w:bCs/>
          <w:i/>
          <w:iCs/>
          <w:szCs w:val="24"/>
          <w:lang w:val="es-ES_tradnl" w:eastAsia="es-ES_tradnl"/>
        </w:rPr>
        <w:t xml:space="preserve">indirectos </w:t>
      </w:r>
      <w:r w:rsidRPr="00143822">
        <w:rPr>
          <w:rFonts w:ascii="Verdana" w:eastAsia="Calibri" w:hAnsi="Verdana" w:cs="Arial"/>
          <w:bCs/>
          <w:szCs w:val="24"/>
          <w:lang w:val="es-ES_tradnl" w:eastAsia="es-ES_tradnl"/>
        </w:rPr>
        <w:t xml:space="preserve">en que incurren los contratistas, entre ellos, los de la </w:t>
      </w:r>
      <w:r w:rsidRPr="00143822">
        <w:rPr>
          <w:rFonts w:ascii="Verdana" w:eastAsia="Calibri" w:hAnsi="Verdana" w:cs="Arial"/>
          <w:bCs/>
          <w:i/>
          <w:iCs/>
          <w:szCs w:val="24"/>
          <w:lang w:val="es-ES_tradnl" w:eastAsia="es-ES_tradnl"/>
        </w:rPr>
        <w:t xml:space="preserve">Administración </w:t>
      </w:r>
      <w:r w:rsidRPr="00143822">
        <w:rPr>
          <w:rFonts w:ascii="Verdana" w:eastAsia="Calibri" w:hAnsi="Verdana" w:cs="Arial"/>
          <w:lang w:val="es-ES_tradnl" w:eastAsia="es-ES"/>
        </w:rPr>
        <w:t>y</w:t>
      </w:r>
      <w:r w:rsidRPr="00143822">
        <w:rPr>
          <w:rFonts w:ascii="Verdana" w:eastAsia="Calibri" w:hAnsi="Verdana" w:cs="Arial"/>
          <w:lang w:val="es-ES" w:eastAsia="es-ES"/>
        </w:rPr>
        <w:t xml:space="preserve"> lo</w:t>
      </w:r>
      <w:r w:rsidRPr="00143822">
        <w:rPr>
          <w:rFonts w:ascii="Verdana" w:eastAsia="Calibri" w:hAnsi="Verdana" w:cs="Arial"/>
          <w:i/>
          <w:iCs/>
          <w:lang w:val="es-ES" w:eastAsia="es-ES"/>
        </w:rPr>
        <w:t>s Imprevistos</w:t>
      </w:r>
      <w:r w:rsidRPr="00143822">
        <w:rPr>
          <w:rFonts w:ascii="Verdana" w:eastAsia="Calibri" w:hAnsi="Verdana" w:cs="Arial"/>
          <w:bCs/>
          <w:szCs w:val="24"/>
          <w:lang w:val="es-ES_tradnl" w:eastAsia="es-ES_tradnl"/>
        </w:rPr>
        <w:t>, para efectos de definir el porcentaje con el que calculan el presupuesto, pese a que el monto de estos componentes varía ostensiblemente de un proponente a otro, pues su valor real depende de circunstancias particulares de los oferentes</w:t>
      </w:r>
      <w:r w:rsidRPr="00143822">
        <w:rPr>
          <w:rFonts w:ascii="Verdana" w:eastAsia="Calibri" w:hAnsi="Verdana" w:cs="Times New Roman"/>
          <w:vertAlign w:val="superscript"/>
          <w:lang w:val="es-ES" w:eastAsia="es-ES_tradnl"/>
        </w:rPr>
        <w:footnoteReference w:id="19"/>
      </w:r>
      <w:r w:rsidRPr="00143822">
        <w:rPr>
          <w:rFonts w:ascii="Verdana" w:eastAsia="Calibri" w:hAnsi="Verdana" w:cs="Arial"/>
          <w:bCs/>
          <w:szCs w:val="24"/>
          <w:lang w:val="es-ES_tradnl" w:eastAsia="es-ES_tradnl"/>
        </w:rPr>
        <w:t xml:space="preserve">. </w:t>
      </w:r>
      <w:r w:rsidRPr="00143822">
        <w:rPr>
          <w:rFonts w:ascii="Verdana" w:hAnsi="Verdana" w:cs="Arial"/>
          <w:bCs/>
          <w:szCs w:val="24"/>
          <w:lang w:val="es-ES_tradnl" w:eastAsia="es-ES_tradnl"/>
        </w:rPr>
        <w:t>Por tanto, en abstracto, no existe un límite mínimo ni máximo respecto al porcentaje.</w:t>
      </w:r>
    </w:p>
    <w:p w14:paraId="1D606E6A" w14:textId="77777777" w:rsidR="00B706C7" w:rsidRPr="00143822" w:rsidRDefault="00B706C7" w:rsidP="00B706C7">
      <w:pPr>
        <w:snapToGrid w:val="0"/>
        <w:spacing w:after="120" w:line="276" w:lineRule="auto"/>
        <w:ind w:firstLine="601"/>
        <w:jc w:val="both"/>
        <w:rPr>
          <w:rFonts w:ascii="Verdana" w:eastAsia="Calibri" w:hAnsi="Verdana" w:cs="Arial"/>
          <w:bCs/>
          <w:szCs w:val="24"/>
          <w:lang w:val="es-ES_tradnl" w:eastAsia="es-ES_tradnl"/>
        </w:rPr>
      </w:pPr>
      <w:r w:rsidRPr="00143822">
        <w:rPr>
          <w:rFonts w:ascii="Verdana" w:eastAsia="Calibri" w:hAnsi="Verdana" w:cs="Arial"/>
          <w:lang w:eastAsia="es-ES"/>
        </w:rPr>
        <w:t xml:space="preserve">Así las cosas, las partes asumen los riesgos inherentes a esta forma de pactar el precio, entendiendo aceptados los aleas normales que se presenten en la ejecución del contrato, de manera que, aunque el contratista incurra en mayores costos de los ítems incluidos en la </w:t>
      </w:r>
      <w:r w:rsidRPr="00143822">
        <w:rPr>
          <w:rFonts w:ascii="Verdana" w:eastAsia="Calibri" w:hAnsi="Verdana" w:cs="Arial"/>
          <w:i/>
          <w:iCs/>
          <w:lang w:eastAsia="es-ES"/>
        </w:rPr>
        <w:t>Administración</w:t>
      </w:r>
      <w:r w:rsidRPr="00143822">
        <w:rPr>
          <w:rFonts w:ascii="Verdana" w:eastAsia="Calibri" w:hAnsi="Verdana" w:cs="Arial"/>
          <w:lang w:eastAsia="es-ES"/>
        </w:rPr>
        <w:t xml:space="preserve"> o en más gastos de </w:t>
      </w:r>
      <w:r w:rsidRPr="00143822">
        <w:rPr>
          <w:rFonts w:ascii="Verdana" w:eastAsia="Calibri" w:hAnsi="Verdana" w:cs="Arial"/>
          <w:i/>
          <w:iCs/>
          <w:lang w:eastAsia="es-ES"/>
        </w:rPr>
        <w:lastRenderedPageBreak/>
        <w:t>Imprevistos</w:t>
      </w:r>
      <w:r w:rsidRPr="00143822">
        <w:rPr>
          <w:rFonts w:ascii="Verdana" w:eastAsia="Calibri" w:hAnsi="Verdana" w:cs="Arial"/>
          <w:lang w:eastAsia="es-ES"/>
        </w:rPr>
        <w:t xml:space="preserve"> al presentar su oferta, o que estos disminuyan, aparezcan algunos nuevos o desaparezcan algunos de ellos, el valor se mantenga invariable</w:t>
      </w:r>
      <w:r>
        <w:rPr>
          <w:rFonts w:ascii="Verdana" w:eastAsia="Calibri" w:hAnsi="Verdana" w:cs="Arial"/>
          <w:lang w:eastAsia="es-ES"/>
        </w:rPr>
        <w:t>.</w:t>
      </w:r>
    </w:p>
    <w:p w14:paraId="1778AB4E" w14:textId="77777777" w:rsidR="00B706C7" w:rsidRPr="00160560" w:rsidRDefault="00B706C7" w:rsidP="00B706C7">
      <w:pPr>
        <w:snapToGrid w:val="0"/>
        <w:spacing w:after="120" w:line="276" w:lineRule="auto"/>
        <w:ind w:firstLine="601"/>
        <w:jc w:val="both"/>
        <w:rPr>
          <w:rFonts w:ascii="Verdana" w:eastAsia="Calibri" w:hAnsi="Verdana" w:cs="Arial"/>
          <w:lang w:val="es-ES" w:eastAsia="es-ES"/>
        </w:rPr>
      </w:pPr>
      <w:r w:rsidRPr="00143822">
        <w:rPr>
          <w:rFonts w:ascii="Verdana" w:eastAsia="Calibri" w:hAnsi="Verdana" w:cs="Arial"/>
          <w:lang w:val="es-ES" w:eastAsia="es-ES"/>
        </w:rPr>
        <w:t xml:space="preserve">De manera que las entidades calculan un valor estimado que, a su vez, sirve de guía para que los proponentes formulen sus ofertas, pero bajo la premisa de que pagarán un porcentaje fijo incluido por los interesados en sus propuestas, dado lo variable que resulta este valor, y lo complejo y gravoso de realizar un seguimiento minucioso a los costos en que incurren los contratistas por este componente en particular. Además, que estos podrían ser mayores a los inicialmente pactados con el contratista, de manera que la fijación de un porcentaje fijo y estable también puede resultar favorable a la entidad estatal, pues su contraparte no le podrá exigir un monto superior, bajo el argumento de que incurrió en costos o gastos adicionales asociados al componente </w:t>
      </w:r>
      <w:r w:rsidRPr="00143822">
        <w:rPr>
          <w:rFonts w:ascii="Verdana" w:eastAsia="Calibri" w:hAnsi="Verdana" w:cs="Arial"/>
          <w:i/>
          <w:iCs/>
          <w:lang w:val="es-ES" w:eastAsia="es-ES"/>
        </w:rPr>
        <w:t>Administración</w:t>
      </w:r>
      <w:r w:rsidRPr="00143822">
        <w:rPr>
          <w:rFonts w:ascii="Verdana" w:eastAsia="Calibri" w:hAnsi="Verdana" w:cs="Arial"/>
          <w:lang w:val="es-ES" w:eastAsia="es-ES"/>
        </w:rPr>
        <w:t xml:space="preserve"> o de </w:t>
      </w:r>
      <w:r w:rsidRPr="00143822">
        <w:rPr>
          <w:rFonts w:ascii="Verdana" w:eastAsia="Calibri" w:hAnsi="Verdana" w:cs="Arial"/>
          <w:i/>
          <w:iCs/>
          <w:lang w:val="es-ES" w:eastAsia="es-ES"/>
        </w:rPr>
        <w:t>Imprevistos</w:t>
      </w:r>
      <w:r w:rsidRPr="00143822">
        <w:rPr>
          <w:rFonts w:ascii="Verdana" w:eastAsia="Calibri" w:hAnsi="Verdana" w:cs="Times New Roman"/>
          <w:vertAlign w:val="superscript"/>
          <w:lang w:val="es-ES" w:eastAsia="es-ES"/>
        </w:rPr>
        <w:footnoteReference w:id="20"/>
      </w:r>
      <w:r w:rsidRPr="00143822">
        <w:rPr>
          <w:rFonts w:ascii="Verdana" w:eastAsia="Calibri" w:hAnsi="Verdana" w:cs="Arial"/>
          <w:lang w:val="es-ES" w:eastAsia="es-ES"/>
        </w:rPr>
        <w:t>.</w:t>
      </w:r>
    </w:p>
    <w:p w14:paraId="0B509E2A" w14:textId="77777777" w:rsidR="00B706C7" w:rsidRPr="00143822" w:rsidRDefault="00B706C7" w:rsidP="00B706C7">
      <w:pPr>
        <w:spacing w:line="276" w:lineRule="auto"/>
        <w:jc w:val="both"/>
        <w:rPr>
          <w:rFonts w:ascii="Verdana" w:hAnsi="Verdana" w:cs="Arial"/>
          <w:lang w:val="es-ES_tradnl"/>
        </w:rPr>
      </w:pPr>
      <w:r w:rsidRPr="00143822">
        <w:rPr>
          <w:rFonts w:ascii="Verdana" w:hAnsi="Verdana" w:cs="Arial"/>
          <w:lang w:val="es-ES_tradnl"/>
        </w:rPr>
        <w:tab/>
      </w:r>
      <w:r>
        <w:rPr>
          <w:rFonts w:ascii="Verdana" w:hAnsi="Verdana" w:cs="Arial"/>
          <w:bCs/>
          <w:lang w:val="es-ES_tradnl"/>
        </w:rPr>
        <w:t xml:space="preserve">Por su parte, la doctrina ha expresado en referencia al AIU: </w:t>
      </w:r>
    </w:p>
    <w:p w14:paraId="2ED06808" w14:textId="77777777" w:rsidR="00B706C7" w:rsidRPr="00143822" w:rsidRDefault="00B706C7" w:rsidP="00B706C7">
      <w:pPr>
        <w:spacing w:after="0" w:line="240" w:lineRule="auto"/>
        <w:ind w:left="709" w:right="709"/>
        <w:jc w:val="both"/>
        <w:rPr>
          <w:rFonts w:ascii="Verdana" w:hAnsi="Verdana" w:cs="Arial"/>
          <w:sz w:val="20"/>
          <w:szCs w:val="20"/>
          <w:lang w:val="es-ES"/>
        </w:rPr>
      </w:pPr>
      <w:r w:rsidRPr="00143822">
        <w:rPr>
          <w:rFonts w:ascii="Verdana" w:hAnsi="Verdana" w:cs="Arial"/>
          <w:sz w:val="20"/>
          <w:szCs w:val="20"/>
          <w:lang w:val="es-ES"/>
        </w:rPr>
        <w:t xml:space="preserve">Este porcentaje del valor del contrato también lo determina cada oferente–contratista con libertad, pues a él incumbe establecer cuánto ascienden sus gastos de administración, y si al final resultan superiores no puede exigir de la entidad, por esa sola circunstancia, un reembolso, porque para ella se trataba de un dato indicativo sobre la manera como se halla el valor total de la obra, de ninguna manera determinante de la forma como se paga cada actividad. A la inversa sucede lo mismo, si el gasto es inferior al presupuestado la entidad no puede pagar menos de lo pactado, sino los precios unitarios acordados por la </w:t>
      </w:r>
      <w:r w:rsidRPr="00143822">
        <w:rPr>
          <w:rFonts w:ascii="Verdana" w:hAnsi="Verdana" w:cs="Arial"/>
          <w:i/>
          <w:sz w:val="20"/>
          <w:szCs w:val="20"/>
          <w:lang w:val="es-ES"/>
        </w:rPr>
        <w:t>A</w:t>
      </w:r>
      <w:r w:rsidRPr="00143822">
        <w:rPr>
          <w:rFonts w:ascii="Verdana" w:hAnsi="Verdana" w:cs="Arial"/>
          <w:sz w:val="20"/>
          <w:szCs w:val="20"/>
          <w:lang w:val="es-ES"/>
        </w:rPr>
        <w:t xml:space="preserve"> –</w:t>
      </w:r>
      <w:proofErr w:type="gramStart"/>
      <w:r w:rsidRPr="00143822">
        <w:rPr>
          <w:rFonts w:ascii="Verdana" w:hAnsi="Verdana" w:cs="Arial"/>
          <w:sz w:val="20"/>
          <w:szCs w:val="20"/>
          <w:lang w:val="es-ES"/>
        </w:rPr>
        <w:t>y</w:t>
      </w:r>
      <w:proofErr w:type="gramEnd"/>
      <w:r w:rsidRPr="00143822">
        <w:rPr>
          <w:rFonts w:ascii="Verdana" w:hAnsi="Verdana" w:cs="Arial"/>
          <w:sz w:val="20"/>
          <w:szCs w:val="20"/>
          <w:lang w:val="es-ES"/>
        </w:rPr>
        <w:t xml:space="preserve"> dicho sea de paso, también por la </w:t>
      </w:r>
      <w:r w:rsidRPr="00143822">
        <w:rPr>
          <w:rFonts w:ascii="Verdana" w:hAnsi="Verdana" w:cs="Arial"/>
          <w:i/>
          <w:sz w:val="20"/>
          <w:szCs w:val="20"/>
          <w:lang w:val="es-ES"/>
        </w:rPr>
        <w:t>I</w:t>
      </w:r>
      <w:r w:rsidRPr="00143822">
        <w:rPr>
          <w:rFonts w:ascii="Verdana" w:hAnsi="Verdana" w:cs="Arial"/>
          <w:sz w:val="20"/>
          <w:szCs w:val="20"/>
          <w:lang w:val="es-ES"/>
        </w:rPr>
        <w:t xml:space="preserve"> y la </w:t>
      </w:r>
      <w:r w:rsidRPr="00143822">
        <w:rPr>
          <w:rFonts w:ascii="Verdana" w:hAnsi="Verdana" w:cs="Arial"/>
          <w:i/>
          <w:sz w:val="20"/>
          <w:szCs w:val="20"/>
          <w:lang w:val="es-ES"/>
        </w:rPr>
        <w:t>U</w:t>
      </w:r>
      <w:r w:rsidRPr="00143822">
        <w:rPr>
          <w:rFonts w:ascii="Verdana" w:hAnsi="Verdana" w:cs="Arial"/>
          <w:sz w:val="20"/>
          <w:szCs w:val="20"/>
          <w:lang w:val="es-ES"/>
        </w:rPr>
        <w:t>–</w:t>
      </w:r>
      <w:r w:rsidRPr="00143822">
        <w:rPr>
          <w:rFonts w:ascii="Verdana" w:hAnsi="Verdana" w:cs="Arial"/>
          <w:sz w:val="20"/>
          <w:szCs w:val="20"/>
          <w:vertAlign w:val="superscript"/>
          <w:lang w:val="es-ES"/>
        </w:rPr>
        <w:footnoteReference w:id="21"/>
      </w:r>
      <w:r w:rsidRPr="00143822">
        <w:rPr>
          <w:rFonts w:ascii="Verdana" w:hAnsi="Verdana" w:cs="Arial"/>
          <w:sz w:val="20"/>
          <w:szCs w:val="20"/>
          <w:lang w:val="es-ES"/>
        </w:rPr>
        <w:t xml:space="preserve">. </w:t>
      </w:r>
    </w:p>
    <w:p w14:paraId="0C33CC48" w14:textId="77777777" w:rsidR="00B706C7" w:rsidRPr="00143822" w:rsidRDefault="00B706C7" w:rsidP="00B706C7">
      <w:pPr>
        <w:spacing w:after="0" w:line="276" w:lineRule="auto"/>
        <w:ind w:left="709" w:right="709"/>
        <w:jc w:val="both"/>
        <w:rPr>
          <w:rFonts w:ascii="Verdana" w:hAnsi="Verdana" w:cs="Arial"/>
          <w:sz w:val="20"/>
          <w:szCs w:val="20"/>
          <w:lang w:val="es-ES_tradnl"/>
        </w:rPr>
      </w:pPr>
    </w:p>
    <w:p w14:paraId="3A30A3AC" w14:textId="77777777" w:rsidR="00B706C7" w:rsidRPr="00143822" w:rsidRDefault="00B706C7" w:rsidP="00B706C7">
      <w:pPr>
        <w:spacing w:after="120" w:line="276" w:lineRule="auto"/>
        <w:ind w:firstLine="709"/>
        <w:jc w:val="both"/>
        <w:rPr>
          <w:rFonts w:ascii="Verdana" w:hAnsi="Verdana" w:cs="Arial"/>
          <w:lang w:val="es-ES"/>
        </w:rPr>
      </w:pPr>
      <w:r w:rsidRPr="00143822">
        <w:rPr>
          <w:rFonts w:ascii="Verdana" w:hAnsi="Verdana" w:cs="Arial"/>
          <w:lang w:val="es-ES"/>
        </w:rPr>
        <w:t>Tal es la forma usual como se pacta el precio en los contratos estatales cuyo valor se define con base en la metodología del AIU. Lo anterior, sin perjuicio de que las partes en el contrato establezcan las cláusulas que a bien tengan, pues se trata de un aspecto en que la autonomía de la voluntad de que gozan las entidades estatales –y sus contratistas– despliega importantes efectos, por tratarse de un aspecto que no regula de forma específica el EGCAP.</w:t>
      </w:r>
    </w:p>
    <w:p w14:paraId="7703DC31" w14:textId="77777777" w:rsidR="00B706C7" w:rsidRPr="00143822" w:rsidRDefault="00B706C7" w:rsidP="00B706C7">
      <w:pPr>
        <w:snapToGrid w:val="0"/>
        <w:spacing w:after="120" w:line="276" w:lineRule="auto"/>
        <w:ind w:firstLine="601"/>
        <w:jc w:val="both"/>
        <w:rPr>
          <w:rFonts w:ascii="Verdana" w:eastAsia="Calibri" w:hAnsi="Verdana" w:cs="Arial"/>
          <w:bCs/>
          <w:szCs w:val="24"/>
          <w:lang w:val="es-ES_tradnl" w:eastAsia="es-ES_tradnl"/>
        </w:rPr>
      </w:pPr>
      <w:r w:rsidRPr="00143822">
        <w:rPr>
          <w:rFonts w:ascii="Verdana" w:eastAsia="Calibri" w:hAnsi="Verdana" w:cs="Arial"/>
          <w:lang w:val="es-ES" w:eastAsia="es-ES"/>
        </w:rPr>
        <w:lastRenderedPageBreak/>
        <w:t>Así las cosas, las entidades cuentan con discrecionalidad para establecer en el pliego de condiciones o en su documento equivalente, así como en el contrato, el sistema de precios unitarios y la figura del AIU. De este modo, teniendo en cuenta que el concepto de AIU, ni la forma de calcularlo son aspectos que cuenten con una regulación normativa en materia contractual del Estado, la determinación de los componentes del AIU y su porcentaje dependerá del análisis particular que realice la entidad en relación con el presupuesto estimado del valor de la ejecución del contrato que, como se explicó, sirve de guía para que los proponentes formulen sus ofertas.</w:t>
      </w:r>
    </w:p>
    <w:p w14:paraId="6A23346A" w14:textId="69FCDF30" w:rsidR="00B706C7" w:rsidRDefault="00B706C7" w:rsidP="00526D65">
      <w:pPr>
        <w:spacing w:after="0" w:line="276" w:lineRule="auto"/>
        <w:ind w:firstLine="709"/>
        <w:jc w:val="both"/>
        <w:rPr>
          <w:rFonts w:ascii="Verdana" w:hAnsi="Verdana" w:cs="Arial"/>
          <w:lang w:val="es-ES" w:eastAsia="es-ES"/>
        </w:rPr>
      </w:pPr>
      <w:r w:rsidRPr="00143822">
        <w:rPr>
          <w:rFonts w:ascii="Verdana" w:hAnsi="Verdana" w:cs="Arial"/>
          <w:lang w:val="es-ES" w:eastAsia="es-ES"/>
        </w:rPr>
        <w:t>En consecuencia, tanto las entidades sometidas al Estatuto General de Contratación de la Administración Pública, como las excluidas de este –es decir, las que tienen un régimen especial– gozan de autonomía para configurar el precio y para establecer el sistema de pago más apropiado para satisfacer los fines de la contratación, respetando los límites previstos en el ordenamiento. Por ende, la decisión de incluir el sistema de precios unitarios y el AIU, al igual que la metodología de delimitación de sus variables –ítems y porcentajes– debe obedecer a un juicioso análisis de oportunidad y conveniencia, que consulte las reglas de la experiencia, así como los aspectos particulares de cada negocio. Lo anterior en armonía con la garantía de los principios de la función administrativa y de la gestión fiscal, dentro de los cuales se halla el principio de economía, postulado que exige la optimización de los recursos públicos.</w:t>
      </w:r>
    </w:p>
    <w:p w14:paraId="250B2535" w14:textId="77777777" w:rsidR="00E5544F" w:rsidRDefault="00E5544F" w:rsidP="00526D65">
      <w:pPr>
        <w:spacing w:after="0" w:line="276" w:lineRule="auto"/>
        <w:ind w:firstLine="709"/>
        <w:jc w:val="both"/>
        <w:rPr>
          <w:rFonts w:ascii="Verdana" w:hAnsi="Verdana" w:cs="Arial"/>
          <w:lang w:val="es-ES" w:eastAsia="es-ES"/>
        </w:rPr>
      </w:pPr>
    </w:p>
    <w:p w14:paraId="639EC702" w14:textId="77777777" w:rsidR="00B706C7" w:rsidRDefault="00B706C7" w:rsidP="00B706C7">
      <w:pPr>
        <w:spacing w:after="120" w:line="276" w:lineRule="auto"/>
        <w:jc w:val="both"/>
        <w:rPr>
          <w:rFonts w:ascii="Verdana" w:eastAsia="Calibri" w:hAnsi="Verdana" w:cs="Arial"/>
          <w:color w:val="000000"/>
        </w:rPr>
      </w:pPr>
      <w:proofErr w:type="spellStart"/>
      <w:r>
        <w:rPr>
          <w:rFonts w:ascii="Verdana" w:hAnsi="Verdana" w:cs="Arial"/>
          <w:lang w:val="es-ES" w:eastAsia="es-ES"/>
        </w:rPr>
        <w:t>iii</w:t>
      </w:r>
      <w:proofErr w:type="spellEnd"/>
      <w:r>
        <w:rPr>
          <w:rFonts w:ascii="Verdana" w:hAnsi="Verdana" w:cs="Arial"/>
          <w:lang w:val="es-ES" w:eastAsia="es-ES"/>
        </w:rPr>
        <w:t xml:space="preserve">) Por último, y conforme a lo dispuesto en el numeral relativo al alcance de la liquidación del contrato estatal, las partes en dicho escenario definirán entre otras cosas </w:t>
      </w:r>
      <w:r w:rsidRPr="00712955">
        <w:rPr>
          <w:rFonts w:ascii="Verdana" w:eastAsia="Calibri" w:hAnsi="Verdana" w:cs="Arial"/>
          <w:color w:val="000000"/>
        </w:rPr>
        <w:t>los ajustes, revisiones y reconocimientos a que haya lugar</w:t>
      </w:r>
      <w:r>
        <w:rPr>
          <w:rFonts w:ascii="Verdana" w:eastAsia="Calibri" w:hAnsi="Verdana" w:cs="Arial"/>
          <w:color w:val="000000"/>
        </w:rPr>
        <w:t xml:space="preserve">, entre otros aspectos, los imprevistos estos son, los riesgos previsibles del alea normal del negocio en lo que corresponde al AIU, y tal rubro será reconocido, de conformidad con lo estipulado en los documentos del proceso, bien sea a través de los pliegos de condiciones o documentos equivalentes, así como en el clausulado contractual. En este escenario dependerá de la forma como se acordó el precio, esto es, si el valor del contrato se estructuró sobre el sistema de precios unitarios y desglosado el AIU, por lo que en la etapa de liquidación podrá adoptarse las medidas necesarias, se insiste, de acuerdo con lo dispuesto en el negocio jurídico. </w:t>
      </w:r>
    </w:p>
    <w:p w14:paraId="5D458545" w14:textId="69878A54" w:rsidR="00B706C7" w:rsidRDefault="00B706C7" w:rsidP="00BB0AC2">
      <w:pPr>
        <w:spacing w:after="0" w:line="276" w:lineRule="auto"/>
        <w:ind w:firstLine="708"/>
        <w:jc w:val="both"/>
        <w:rPr>
          <w:rFonts w:ascii="Verdana" w:eastAsia="Calibri" w:hAnsi="Verdana" w:cs="Arial"/>
          <w:color w:val="000000"/>
        </w:rPr>
      </w:pPr>
      <w:r>
        <w:rPr>
          <w:rFonts w:ascii="Verdana" w:eastAsia="Calibri" w:hAnsi="Verdana" w:cs="Arial"/>
          <w:color w:val="000000"/>
        </w:rPr>
        <w:t>Ahora bien, el Consejo de Estado han sostenido que</w:t>
      </w:r>
      <w:r w:rsidR="00BB0AC2">
        <w:rPr>
          <w:rFonts w:ascii="Verdana" w:eastAsia="Calibri" w:hAnsi="Verdana" w:cs="Arial"/>
          <w:color w:val="000000"/>
        </w:rPr>
        <w:t xml:space="preserve">: </w:t>
      </w:r>
    </w:p>
    <w:p w14:paraId="6441A6C8" w14:textId="77777777" w:rsidR="00BB0AC2" w:rsidRDefault="00BB0AC2" w:rsidP="00526D65">
      <w:pPr>
        <w:spacing w:after="0" w:line="276" w:lineRule="auto"/>
        <w:ind w:firstLine="708"/>
        <w:jc w:val="both"/>
        <w:rPr>
          <w:rFonts w:ascii="Verdana" w:eastAsia="Calibri" w:hAnsi="Verdana" w:cs="Arial"/>
          <w:color w:val="000000"/>
        </w:rPr>
      </w:pPr>
    </w:p>
    <w:p w14:paraId="4F169756" w14:textId="77777777" w:rsidR="00B706C7" w:rsidRDefault="00B706C7" w:rsidP="00526D65">
      <w:pPr>
        <w:spacing w:after="0" w:line="240" w:lineRule="auto"/>
        <w:ind w:left="709" w:right="709"/>
        <w:jc w:val="both"/>
        <w:rPr>
          <w:rFonts w:ascii="Verdana" w:hAnsi="Verdana" w:cs="Arial"/>
          <w:sz w:val="20"/>
          <w:szCs w:val="20"/>
          <w:lang w:val="es-ES" w:eastAsia="es-ES"/>
        </w:rPr>
      </w:pPr>
      <w:r>
        <w:rPr>
          <w:rFonts w:ascii="Verdana" w:hAnsi="Verdana"/>
          <w:sz w:val="20"/>
          <w:szCs w:val="20"/>
        </w:rPr>
        <w:lastRenderedPageBreak/>
        <w:t xml:space="preserve">“(…) </w:t>
      </w:r>
      <w:r w:rsidRPr="007B0B68">
        <w:rPr>
          <w:rFonts w:ascii="Verdana" w:hAnsi="Verdana"/>
          <w:sz w:val="20"/>
          <w:szCs w:val="20"/>
        </w:rPr>
        <w:t>la “I” significa imprevistos y corresponde a un porcentaje destinado a cubrir contingencias menores que se puedan presentar en el curso del contrato (a este respecto, es bueno precisar, que si bien el rubro de imprevistos debe estar contemplado en la oferta, realmente no es un dinero que pertenezca o vaya a pertenecer al constructor; por tal razón, al momento de liquidar el contrato, las partes deben tener en cuenta si este porcentaje fue amortizado y, en caso de que no se haya afectado este rubro, el dinero correspondiente debe ser reintegrado al comitente, pues, de lo contrario, tales dineros se convertirían en ganancia del constructor, con lo</w:t>
      </w:r>
      <w:r w:rsidRPr="007B0B68">
        <w:rPr>
          <w:rFonts w:ascii="Verdana" w:eastAsia="Calibri" w:hAnsi="Verdana" w:cs="Arial"/>
          <w:color w:val="000000"/>
          <w:sz w:val="20"/>
          <w:szCs w:val="20"/>
        </w:rPr>
        <w:t xml:space="preserve"> </w:t>
      </w:r>
      <w:r w:rsidRPr="003C0F5A">
        <w:rPr>
          <w:rFonts w:ascii="Verdana" w:eastAsia="Calibri" w:hAnsi="Verdana" w:cs="Arial"/>
          <w:color w:val="000000"/>
          <w:sz w:val="20"/>
          <w:szCs w:val="20"/>
        </w:rPr>
        <w:t>cual éste se enriquecería sin justa causa</w:t>
      </w:r>
      <w:r>
        <w:rPr>
          <w:rFonts w:ascii="Verdana" w:eastAsia="Calibri" w:hAnsi="Verdana" w:cs="Arial"/>
          <w:color w:val="000000"/>
          <w:sz w:val="20"/>
          <w:szCs w:val="20"/>
        </w:rPr>
        <w:t>”</w:t>
      </w:r>
      <w:r>
        <w:rPr>
          <w:rStyle w:val="Refdenotaalpie"/>
          <w:rFonts w:ascii="Verdana" w:eastAsia="Calibri" w:hAnsi="Verdana" w:cs="Arial"/>
          <w:color w:val="000000"/>
          <w:sz w:val="20"/>
          <w:szCs w:val="20"/>
        </w:rPr>
        <w:footnoteReference w:id="22"/>
      </w:r>
      <w:r>
        <w:rPr>
          <w:rFonts w:ascii="Verdana" w:eastAsia="Calibri" w:hAnsi="Verdana" w:cs="Arial"/>
          <w:color w:val="000000"/>
          <w:sz w:val="20"/>
          <w:szCs w:val="20"/>
        </w:rPr>
        <w:t xml:space="preserve">. </w:t>
      </w:r>
    </w:p>
    <w:p w14:paraId="30B88DF8" w14:textId="77777777" w:rsidR="00B706C7" w:rsidRPr="00BA6ED3" w:rsidRDefault="00B706C7" w:rsidP="00526D65">
      <w:pPr>
        <w:spacing w:after="0" w:line="240" w:lineRule="auto"/>
        <w:ind w:left="850" w:right="760"/>
        <w:jc w:val="both"/>
        <w:rPr>
          <w:rFonts w:ascii="Verdana" w:hAnsi="Verdana" w:cs="Arial"/>
          <w:sz w:val="20"/>
          <w:szCs w:val="20"/>
          <w:lang w:val="es-ES" w:eastAsia="es-ES"/>
        </w:rPr>
      </w:pPr>
    </w:p>
    <w:p w14:paraId="332B20C3" w14:textId="77777777" w:rsidR="00B706C7" w:rsidRPr="00392517" w:rsidRDefault="00B706C7" w:rsidP="00B706C7">
      <w:pPr>
        <w:spacing w:after="120" w:line="276" w:lineRule="auto"/>
        <w:ind w:firstLine="709"/>
        <w:jc w:val="both"/>
        <w:rPr>
          <w:rFonts w:ascii="Verdana" w:eastAsia="Calibri" w:hAnsi="Verdana" w:cs="Arial"/>
          <w:color w:val="000000"/>
          <w:lang w:val="es-ES"/>
        </w:rPr>
      </w:pPr>
      <w:r>
        <w:rPr>
          <w:rFonts w:ascii="Verdana" w:eastAsia="Calibri" w:hAnsi="Verdana" w:cs="Arial"/>
          <w:color w:val="000000"/>
          <w:lang w:val="es-ES"/>
        </w:rPr>
        <w:t>De lo anterior se desprende que, si se afectó el rubro de imprevistos en una menor proporción al contenido en el AIU, deberá ser reconocido por la entidad estatal conforme a lo pactado dentro del contrato, pues allí donde se indica el porcentaje, el deber o no de su acreditación, la forma de pago, entre otros aspectos. Ahora bien, si se exceden los imprevistos que fueron calculados por parte del contratista, éstos deberán ser demostrados en virtud del principio del equilibrio económico del contrato establecido en el artículo 27 de la Ley 80 de 1993, caso en el cual “</w:t>
      </w:r>
      <w:r w:rsidRPr="00BA6ED3">
        <w:rPr>
          <w:rFonts w:ascii="Verdana" w:eastAsia="Calibri" w:hAnsi="Verdana" w:cs="Arial"/>
          <w:color w:val="000000"/>
        </w:rPr>
        <w:t>surge el deber de compensar al cocontratante afectado el desmedro sufrido. Dicho en otras palabras, sólo nace el deber legal de llevar al contratista a un punto de no pérdida, no surge la obligación de reparar la integridad de los perjuicios</w:t>
      </w:r>
      <w:r>
        <w:rPr>
          <w:rFonts w:ascii="Verdana" w:eastAsia="Calibri" w:hAnsi="Verdana" w:cs="Arial"/>
          <w:color w:val="000000"/>
        </w:rPr>
        <w:t>”</w:t>
      </w:r>
      <w:r>
        <w:rPr>
          <w:rStyle w:val="Refdenotaalpie"/>
          <w:rFonts w:ascii="Verdana" w:eastAsia="Calibri" w:hAnsi="Verdana" w:cs="Arial"/>
          <w:color w:val="000000"/>
        </w:rPr>
        <w:footnoteReference w:id="23"/>
      </w:r>
      <w:r w:rsidRPr="00BA6ED3">
        <w:rPr>
          <w:rFonts w:ascii="Verdana" w:eastAsia="Calibri" w:hAnsi="Verdana" w:cs="Arial"/>
          <w:color w:val="000000"/>
        </w:rPr>
        <w:t>.</w:t>
      </w:r>
    </w:p>
    <w:p w14:paraId="18949F20" w14:textId="77777777" w:rsidR="00B706C7" w:rsidRDefault="00B706C7" w:rsidP="00B706C7">
      <w:pPr>
        <w:spacing w:after="120" w:line="276" w:lineRule="auto"/>
        <w:ind w:firstLine="709"/>
        <w:jc w:val="both"/>
        <w:rPr>
          <w:rFonts w:ascii="Verdana" w:eastAsia="Calibri" w:hAnsi="Verdana" w:cs="Arial"/>
          <w:color w:val="000000"/>
        </w:rPr>
      </w:pPr>
      <w:r>
        <w:rPr>
          <w:rFonts w:ascii="Verdana" w:eastAsia="Calibri" w:hAnsi="Verdana" w:cs="Arial"/>
          <w:color w:val="000000"/>
          <w:lang w:val="es-ES_tradnl"/>
        </w:rPr>
        <w:t xml:space="preserve">Sin embargo, </w:t>
      </w:r>
      <w:r w:rsidRPr="004137C9">
        <w:rPr>
          <w:rFonts w:ascii="Verdana" w:eastAsia="Calibri" w:hAnsi="Verdana" w:cs="Arial"/>
          <w:color w:val="000000"/>
        </w:rPr>
        <w:t>para que proceda su restablecimiento, es necesario que la alteración provenga de circunstancias anormales e imprevisibles que excedan el alea normal del negocio y no de riesgos propios, previstos o asignados contractualmente</w:t>
      </w:r>
      <w:r>
        <w:rPr>
          <w:rFonts w:ascii="Verdana" w:eastAsia="Calibri" w:hAnsi="Verdana" w:cs="Arial"/>
          <w:color w:val="000000"/>
        </w:rPr>
        <w:t xml:space="preserve">, como es en el caso del porcentaje o rubro asignado dentro del I (AIU). </w:t>
      </w:r>
      <w:r w:rsidRPr="00EB086A">
        <w:rPr>
          <w:rFonts w:ascii="Verdana" w:eastAsia="Calibri" w:hAnsi="Verdana" w:cs="Arial"/>
          <w:color w:val="000000"/>
        </w:rPr>
        <w:t xml:space="preserve">En otras palabras, para efectos del reconocimiento del rompimiento del equilibrio económico del contrato, el hecho invocado debe ser anormal y superar aquello que razonablemente las partes pudieron prever al momento de su celebración, de modo que solo dan lugar a su configuración los riesgos que </w:t>
      </w:r>
      <w:r w:rsidRPr="00EB086A">
        <w:rPr>
          <w:rFonts w:ascii="Verdana" w:eastAsia="Calibri" w:hAnsi="Verdana" w:cs="Arial"/>
          <w:color w:val="000000"/>
        </w:rPr>
        <w:lastRenderedPageBreak/>
        <w:t>no fueron valorados en la etapa precontractual o que desbordaron los allí estimados</w:t>
      </w:r>
      <w:r>
        <w:rPr>
          <w:rStyle w:val="Refdenotaalpie"/>
          <w:rFonts w:ascii="Verdana" w:eastAsia="Calibri" w:hAnsi="Verdana" w:cs="Arial"/>
          <w:color w:val="000000"/>
        </w:rPr>
        <w:footnoteReference w:id="24"/>
      </w:r>
      <w:r w:rsidRPr="00EB086A">
        <w:rPr>
          <w:rFonts w:ascii="Verdana" w:eastAsia="Calibri" w:hAnsi="Verdana" w:cs="Arial"/>
          <w:color w:val="000000"/>
        </w:rPr>
        <w:t>.</w:t>
      </w:r>
    </w:p>
    <w:p w14:paraId="09B2E0D5" w14:textId="77777777" w:rsidR="00526D65" w:rsidRDefault="00B706C7" w:rsidP="00526D65">
      <w:pPr>
        <w:spacing w:after="0" w:line="276" w:lineRule="auto"/>
        <w:ind w:firstLine="708"/>
        <w:jc w:val="both"/>
        <w:rPr>
          <w:rFonts w:ascii="Verdana" w:eastAsia="Calibri" w:hAnsi="Verdana" w:cs="Arial"/>
          <w:bCs/>
          <w:color w:val="000000"/>
          <w:kern w:val="2"/>
          <w14:ligatures w14:val="standardContextual"/>
        </w:rPr>
      </w:pPr>
      <w:r w:rsidRPr="0010521B">
        <w:rPr>
          <w:rFonts w:ascii="Verdana" w:eastAsia="Calibri" w:hAnsi="Verdana" w:cs="Arial"/>
          <w:bCs/>
          <w:color w:val="000000"/>
          <w:kern w:val="2"/>
          <w14:ligatures w14:val="standardContextual"/>
        </w:rPr>
        <w:t xml:space="preserve">Dentro de este marco, la entidad contratante definirá en cada caso concreto lo relacionado con el tema objeto de consulta. </w:t>
      </w:r>
      <w:r>
        <w:rPr>
          <w:rFonts w:ascii="Verdana" w:eastAsia="Calibri" w:hAnsi="Verdana" w:cs="Arial"/>
          <w:bCs/>
          <w:color w:val="000000"/>
          <w:kern w:val="2"/>
          <w14:ligatures w14:val="standardContextual"/>
        </w:rPr>
        <w:t>La</w:t>
      </w:r>
      <w:r w:rsidRPr="0010521B">
        <w:rPr>
          <w:rFonts w:ascii="Verdana" w:eastAsia="Calibri" w:hAnsi="Verdana" w:cs="Arial"/>
          <w:bCs/>
          <w:color w:val="000000"/>
          <w:kern w:val="2"/>
          <w14:ligatures w14:val="standardContextual"/>
        </w:rPr>
        <w:t xml:space="preserve">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p>
    <w:p w14:paraId="7449276F" w14:textId="77777777" w:rsidR="00526D65" w:rsidRDefault="00526D65" w:rsidP="00526D65">
      <w:pPr>
        <w:spacing w:after="0" w:line="240" w:lineRule="auto"/>
        <w:ind w:firstLine="709"/>
        <w:jc w:val="both"/>
        <w:rPr>
          <w:rFonts w:ascii="Verdana" w:eastAsia="Calibri" w:hAnsi="Verdana" w:cs="Arial"/>
          <w:bCs/>
          <w:color w:val="000000"/>
          <w:kern w:val="2"/>
          <w14:ligatures w14:val="standardContextual"/>
        </w:rPr>
      </w:pPr>
    </w:p>
    <w:p w14:paraId="0D48E414" w14:textId="2C37D091" w:rsidR="00B706C7" w:rsidRDefault="00B706C7" w:rsidP="00526D65">
      <w:pPr>
        <w:spacing w:after="0" w:line="276" w:lineRule="auto"/>
        <w:ind w:firstLine="708"/>
        <w:jc w:val="both"/>
        <w:rPr>
          <w:rFonts w:ascii="Verdana" w:eastAsia="Calibri" w:hAnsi="Verdana" w:cs="Arial"/>
          <w:bCs/>
          <w:color w:val="000000"/>
          <w:kern w:val="2"/>
          <w14:ligatures w14:val="standardContextual"/>
        </w:rPr>
      </w:pPr>
      <w:r w:rsidRPr="002F7FFD">
        <w:rPr>
          <w:rFonts w:ascii="Verdana" w:hAnsi="Verdana" w:cs="Arial"/>
          <w:lang w:eastAsia="es-ES"/>
        </w:rPr>
        <w:t>Al margen de la explicación precedente debe advertirse que el análisis requerido para resolver problemas específicos en torno al AIU debe ser realizado por quienes tengan interés en ello.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40629D72" w14:textId="77777777" w:rsidR="00B706C7" w:rsidRPr="00EB086A" w:rsidRDefault="00B706C7" w:rsidP="00B706C7">
      <w:pPr>
        <w:spacing w:after="0" w:line="276" w:lineRule="auto"/>
        <w:ind w:firstLine="708"/>
        <w:jc w:val="both"/>
        <w:rPr>
          <w:rFonts w:ascii="Verdana" w:eastAsia="Calibri" w:hAnsi="Verdana" w:cs="Arial"/>
          <w:bCs/>
          <w:color w:val="000000"/>
          <w:kern w:val="2"/>
          <w14:ligatures w14:val="standardContextual"/>
        </w:rPr>
      </w:pPr>
    </w:p>
    <w:p w14:paraId="223EF183" w14:textId="77777777" w:rsidR="00B706C7" w:rsidRPr="009E51D7" w:rsidRDefault="00B706C7" w:rsidP="00B706C7">
      <w:pPr>
        <w:tabs>
          <w:tab w:val="left" w:pos="142"/>
          <w:tab w:val="left" w:pos="284"/>
        </w:tabs>
        <w:spacing w:after="0" w:line="276" w:lineRule="auto"/>
        <w:jc w:val="both"/>
        <w:rPr>
          <w:rFonts w:ascii="Verdana" w:eastAsia="Century Gothic" w:hAnsi="Verdana" w:cs="Century Gothic"/>
          <w:b/>
          <w:bCs/>
        </w:rPr>
      </w:pPr>
      <w:r w:rsidRPr="009E51D7">
        <w:rPr>
          <w:rFonts w:ascii="Verdana" w:eastAsia="Calibri" w:hAnsi="Verdana" w:cs="Arial"/>
          <w:b/>
          <w:color w:val="000000" w:themeColor="text1"/>
        </w:rPr>
        <w:t xml:space="preserve">4. </w:t>
      </w:r>
      <w:r w:rsidRPr="009E51D7">
        <w:rPr>
          <w:rFonts w:ascii="Verdana" w:eastAsia="Century Gothic" w:hAnsi="Verdana" w:cs="Century Gothic"/>
          <w:b/>
          <w:bCs/>
        </w:rPr>
        <w:t>Referencias normativas, jurisprudenciales y otras fuentes:</w:t>
      </w:r>
    </w:p>
    <w:p w14:paraId="63C3F2EC" w14:textId="77777777" w:rsidR="00B706C7" w:rsidRPr="00E5656D" w:rsidRDefault="00B706C7" w:rsidP="00B706C7">
      <w:pPr>
        <w:spacing w:after="0" w:line="276" w:lineRule="auto"/>
        <w:jc w:val="both"/>
        <w:rPr>
          <w:rFonts w:ascii="Verdana" w:eastAsia="Century Gothic" w:hAnsi="Verdana" w:cs="Century Gothic"/>
          <w:b/>
          <w:bCs/>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B706C7" w:rsidRPr="002D2C18" w14:paraId="2959924B" w14:textId="77777777" w:rsidTr="00910E48">
        <w:trPr>
          <w:trHeight w:val="56"/>
          <w:jc w:val="center"/>
        </w:trPr>
        <w:tc>
          <w:tcPr>
            <w:tcW w:w="8647" w:type="dxa"/>
          </w:tcPr>
          <w:p w14:paraId="6F4B3ABF" w14:textId="77777777" w:rsidR="00B706C7" w:rsidRDefault="00B706C7" w:rsidP="000508B5">
            <w:pPr>
              <w:pStyle w:val="Prrafodelista"/>
              <w:widowControl w:val="0"/>
              <w:numPr>
                <w:ilvl w:val="0"/>
                <w:numId w:val="17"/>
              </w:numPr>
              <w:autoSpaceDE w:val="0"/>
              <w:autoSpaceDN w:val="0"/>
              <w:spacing w:line="276" w:lineRule="auto"/>
              <w:contextualSpacing w:val="0"/>
              <w:jc w:val="both"/>
              <w:rPr>
                <w:rFonts w:ascii="Verdana" w:hAnsi="Verdana" w:cs="Arial"/>
                <w:lang w:eastAsia="es-ES"/>
              </w:rPr>
            </w:pPr>
            <w:r>
              <w:rPr>
                <w:rFonts w:ascii="Verdana" w:hAnsi="Verdana" w:cs="Arial"/>
                <w:lang w:eastAsia="es-ES"/>
              </w:rPr>
              <w:t>Ley 80 de 1993. Artículo 60.</w:t>
            </w:r>
          </w:p>
          <w:p w14:paraId="3419AA9F" w14:textId="77777777" w:rsidR="00B706C7" w:rsidRDefault="00B706C7" w:rsidP="000508B5">
            <w:pPr>
              <w:pStyle w:val="Prrafodelista"/>
              <w:widowControl w:val="0"/>
              <w:numPr>
                <w:ilvl w:val="0"/>
                <w:numId w:val="17"/>
              </w:numPr>
              <w:autoSpaceDE w:val="0"/>
              <w:autoSpaceDN w:val="0"/>
              <w:spacing w:line="276" w:lineRule="auto"/>
              <w:contextualSpacing w:val="0"/>
              <w:jc w:val="both"/>
              <w:rPr>
                <w:rFonts w:ascii="Verdana" w:hAnsi="Verdana" w:cs="Arial"/>
                <w:lang w:eastAsia="es-ES"/>
              </w:rPr>
            </w:pPr>
            <w:r>
              <w:rPr>
                <w:rFonts w:ascii="Verdana" w:hAnsi="Verdana" w:cs="Arial"/>
                <w:lang w:eastAsia="es-ES"/>
              </w:rPr>
              <w:t>Ley 1150 de 2007. Artículo 11.</w:t>
            </w:r>
          </w:p>
          <w:p w14:paraId="57B36BB4" w14:textId="77777777" w:rsidR="00B706C7" w:rsidRDefault="00B706C7" w:rsidP="000508B5">
            <w:pPr>
              <w:pStyle w:val="Prrafodelista"/>
              <w:widowControl w:val="0"/>
              <w:numPr>
                <w:ilvl w:val="0"/>
                <w:numId w:val="17"/>
              </w:numPr>
              <w:autoSpaceDE w:val="0"/>
              <w:autoSpaceDN w:val="0"/>
              <w:spacing w:line="276" w:lineRule="auto"/>
              <w:contextualSpacing w:val="0"/>
              <w:jc w:val="both"/>
              <w:rPr>
                <w:rFonts w:ascii="Verdana" w:hAnsi="Verdana" w:cs="Arial"/>
                <w:lang w:eastAsia="es-ES"/>
              </w:rPr>
            </w:pPr>
            <w:r>
              <w:rPr>
                <w:rFonts w:ascii="Verdana" w:hAnsi="Verdana" w:cs="Arial"/>
                <w:lang w:eastAsia="es-ES"/>
              </w:rPr>
              <w:t xml:space="preserve">Decreto 019 de 2012. Artículo 217. </w:t>
            </w:r>
          </w:p>
          <w:p w14:paraId="1937BF58" w14:textId="77777777" w:rsidR="00B706C7" w:rsidRDefault="00B706C7" w:rsidP="000508B5">
            <w:pPr>
              <w:pStyle w:val="Prrafodelista"/>
              <w:widowControl w:val="0"/>
              <w:numPr>
                <w:ilvl w:val="0"/>
                <w:numId w:val="17"/>
              </w:numPr>
              <w:autoSpaceDE w:val="0"/>
              <w:autoSpaceDN w:val="0"/>
              <w:spacing w:line="276" w:lineRule="auto"/>
              <w:contextualSpacing w:val="0"/>
              <w:jc w:val="both"/>
              <w:rPr>
                <w:rFonts w:ascii="Verdana" w:hAnsi="Verdana" w:cs="Arial"/>
                <w:lang w:eastAsia="es-ES"/>
              </w:rPr>
            </w:pPr>
            <w:r w:rsidRPr="005D2210">
              <w:rPr>
                <w:rFonts w:ascii="Verdana" w:hAnsi="Verdana" w:cs="Arial"/>
                <w:lang w:eastAsia="es-ES"/>
              </w:rPr>
              <w:t xml:space="preserve">Consejo de Estado. </w:t>
            </w:r>
            <w:r>
              <w:rPr>
                <w:rFonts w:ascii="Verdana" w:hAnsi="Verdana" w:cs="Arial"/>
                <w:lang w:eastAsia="es-ES"/>
              </w:rPr>
              <w:t xml:space="preserve">Sala de lo Contencioso Administrativo. </w:t>
            </w:r>
            <w:r w:rsidRPr="005D2210">
              <w:rPr>
                <w:rFonts w:ascii="Verdana" w:hAnsi="Verdana" w:cs="Arial"/>
                <w:lang w:eastAsia="es-ES"/>
              </w:rPr>
              <w:t>Sección Tercera. Subsección C. 20 de octubre de 2014</w:t>
            </w:r>
            <w:r>
              <w:rPr>
                <w:rFonts w:ascii="Verdana" w:hAnsi="Verdana" w:cs="Arial"/>
                <w:lang w:eastAsia="es-ES"/>
              </w:rPr>
              <w:t xml:space="preserve">. </w:t>
            </w:r>
            <w:proofErr w:type="spellStart"/>
            <w:r w:rsidRPr="005D2210">
              <w:rPr>
                <w:rFonts w:ascii="Verdana" w:hAnsi="Verdana" w:cs="Arial"/>
                <w:lang w:eastAsia="es-ES"/>
              </w:rPr>
              <w:t>Exp</w:t>
            </w:r>
            <w:proofErr w:type="spellEnd"/>
            <w:r w:rsidRPr="005D2210">
              <w:rPr>
                <w:rFonts w:ascii="Verdana" w:hAnsi="Verdana" w:cs="Arial"/>
                <w:lang w:eastAsia="es-ES"/>
              </w:rPr>
              <w:t>. 27.777</w:t>
            </w:r>
            <w:r>
              <w:rPr>
                <w:rFonts w:ascii="Verdana" w:hAnsi="Verdana" w:cs="Arial"/>
                <w:lang w:eastAsia="es-ES"/>
              </w:rPr>
              <w:t>.</w:t>
            </w:r>
            <w:r w:rsidRPr="005D2210">
              <w:rPr>
                <w:rFonts w:ascii="Verdana" w:hAnsi="Verdana" w:cs="Arial"/>
                <w:lang w:eastAsia="es-ES"/>
              </w:rPr>
              <w:t xml:space="preserve"> </w:t>
            </w:r>
            <w:r>
              <w:rPr>
                <w:rFonts w:ascii="Verdana" w:hAnsi="Verdana" w:cs="Arial"/>
                <w:lang w:eastAsia="es-ES"/>
              </w:rPr>
              <w:t>C</w:t>
            </w:r>
            <w:r w:rsidRPr="005D2210">
              <w:rPr>
                <w:rFonts w:ascii="Verdana" w:hAnsi="Verdana" w:cs="Arial"/>
                <w:lang w:eastAsia="es-ES"/>
              </w:rPr>
              <w:t>.P: Enrique Gil Botero.</w:t>
            </w:r>
          </w:p>
          <w:p w14:paraId="0AB45C7A" w14:textId="77777777" w:rsidR="00B706C7" w:rsidRPr="005D2210" w:rsidRDefault="00B706C7" w:rsidP="000508B5">
            <w:pPr>
              <w:pStyle w:val="Prrafodelista"/>
              <w:widowControl w:val="0"/>
              <w:numPr>
                <w:ilvl w:val="0"/>
                <w:numId w:val="17"/>
              </w:numPr>
              <w:autoSpaceDE w:val="0"/>
              <w:autoSpaceDN w:val="0"/>
              <w:spacing w:line="276" w:lineRule="auto"/>
              <w:contextualSpacing w:val="0"/>
              <w:jc w:val="both"/>
              <w:rPr>
                <w:rFonts w:ascii="Verdana" w:hAnsi="Verdana" w:cs="Arial"/>
                <w:lang w:eastAsia="es-ES"/>
              </w:rPr>
            </w:pPr>
            <w:r w:rsidRPr="005D2210">
              <w:rPr>
                <w:rFonts w:ascii="Verdana" w:hAnsi="Verdana" w:cs="Arial"/>
                <w:lang w:eastAsia="es-ES"/>
              </w:rPr>
              <w:t>Consejo de Estado. Sala de Consulta y Servicio Civil. Radicado No. 1453. Concepto de 6 de agosto de 2003. MP. Augusto Trejos.</w:t>
            </w:r>
          </w:p>
          <w:p w14:paraId="444C6F10" w14:textId="77777777" w:rsidR="00B706C7" w:rsidRDefault="00B706C7" w:rsidP="000508B5">
            <w:pPr>
              <w:pStyle w:val="Prrafodelista"/>
              <w:widowControl w:val="0"/>
              <w:numPr>
                <w:ilvl w:val="0"/>
                <w:numId w:val="17"/>
              </w:numPr>
              <w:autoSpaceDE w:val="0"/>
              <w:autoSpaceDN w:val="0"/>
              <w:spacing w:line="276" w:lineRule="auto"/>
              <w:contextualSpacing w:val="0"/>
              <w:jc w:val="both"/>
              <w:rPr>
                <w:rFonts w:ascii="Verdana" w:hAnsi="Verdana" w:cs="Arial"/>
                <w:lang w:eastAsia="es-ES"/>
              </w:rPr>
            </w:pPr>
            <w:r w:rsidRPr="005D2210">
              <w:rPr>
                <w:rFonts w:ascii="Verdana" w:hAnsi="Verdana" w:cs="Arial"/>
                <w:lang w:eastAsia="es-ES"/>
              </w:rPr>
              <w:t>Consejo de Estado. Sala de Consulta y Servicio Civil. Concepto del 28 de junio de 2016. Radicado: 11001-03-06-000-2015-00067-00 (2253). C.P: Alvaro Namén Vargas.</w:t>
            </w:r>
          </w:p>
          <w:p w14:paraId="434DA23D" w14:textId="77777777" w:rsidR="00B706C7" w:rsidRPr="005D2210" w:rsidRDefault="00B706C7" w:rsidP="000508B5">
            <w:pPr>
              <w:pStyle w:val="Prrafodelista"/>
              <w:widowControl w:val="0"/>
              <w:numPr>
                <w:ilvl w:val="0"/>
                <w:numId w:val="17"/>
              </w:numPr>
              <w:autoSpaceDE w:val="0"/>
              <w:autoSpaceDN w:val="0"/>
              <w:spacing w:line="276" w:lineRule="auto"/>
              <w:contextualSpacing w:val="0"/>
              <w:jc w:val="both"/>
              <w:rPr>
                <w:rFonts w:ascii="Verdana" w:hAnsi="Verdana" w:cs="Arial"/>
                <w:lang w:eastAsia="es-ES"/>
              </w:rPr>
            </w:pPr>
            <w:r w:rsidRPr="005D2210">
              <w:rPr>
                <w:rFonts w:ascii="Verdana" w:hAnsi="Verdana" w:cs="Arial"/>
                <w:lang w:eastAsia="es-ES"/>
              </w:rPr>
              <w:t xml:space="preserve">Consejo de Estado. Sala de lo Contencioso Administrativo. Sección </w:t>
            </w:r>
            <w:r w:rsidRPr="005D2210">
              <w:rPr>
                <w:rFonts w:ascii="Verdana" w:hAnsi="Verdana" w:cs="Arial"/>
                <w:lang w:eastAsia="es-ES"/>
              </w:rPr>
              <w:lastRenderedPageBreak/>
              <w:t xml:space="preserve">Tercera. Subsección B. Sentencia del 29 de febrero de 2012. </w:t>
            </w:r>
            <w:proofErr w:type="spellStart"/>
            <w:r w:rsidRPr="005D2210">
              <w:rPr>
                <w:rFonts w:ascii="Verdana" w:hAnsi="Verdana" w:cs="Arial"/>
                <w:lang w:eastAsia="es-ES"/>
              </w:rPr>
              <w:t>Exp</w:t>
            </w:r>
            <w:proofErr w:type="spellEnd"/>
            <w:r w:rsidRPr="005D2210">
              <w:rPr>
                <w:rFonts w:ascii="Verdana" w:hAnsi="Verdana" w:cs="Arial"/>
                <w:lang w:eastAsia="es-ES"/>
              </w:rPr>
              <w:t>. 16371, C.P. Danilo Rojas Betancourth.</w:t>
            </w:r>
          </w:p>
          <w:p w14:paraId="1455C771" w14:textId="77777777" w:rsidR="00B706C7" w:rsidRDefault="00B706C7" w:rsidP="000508B5">
            <w:pPr>
              <w:pStyle w:val="Prrafodelista"/>
              <w:widowControl w:val="0"/>
              <w:numPr>
                <w:ilvl w:val="0"/>
                <w:numId w:val="17"/>
              </w:numPr>
              <w:autoSpaceDE w:val="0"/>
              <w:autoSpaceDN w:val="0"/>
              <w:spacing w:line="276" w:lineRule="auto"/>
              <w:contextualSpacing w:val="0"/>
              <w:jc w:val="both"/>
              <w:rPr>
                <w:rFonts w:ascii="Verdana" w:hAnsi="Verdana" w:cs="Arial"/>
                <w:lang w:eastAsia="es-ES"/>
              </w:rPr>
            </w:pPr>
            <w:r w:rsidRPr="005D2210">
              <w:rPr>
                <w:rFonts w:ascii="Verdana" w:hAnsi="Verdana" w:cs="Arial"/>
                <w:lang w:eastAsia="es-ES"/>
              </w:rPr>
              <w:t xml:space="preserve">Consejo de Estado. Sala de lo Contencioso Administrativo. Sección Tercera. Subsección B. Sentencia del 14 de octubre de 2011. </w:t>
            </w:r>
            <w:proofErr w:type="spellStart"/>
            <w:r w:rsidRPr="005D2210">
              <w:rPr>
                <w:rFonts w:ascii="Verdana" w:hAnsi="Verdana" w:cs="Arial"/>
                <w:lang w:eastAsia="es-ES"/>
              </w:rPr>
              <w:t>Exp</w:t>
            </w:r>
            <w:proofErr w:type="spellEnd"/>
            <w:r w:rsidRPr="005D2210">
              <w:rPr>
                <w:rFonts w:ascii="Verdana" w:hAnsi="Verdana" w:cs="Arial"/>
                <w:lang w:eastAsia="es-ES"/>
              </w:rPr>
              <w:t>. 20811, C.P. Ruth Stella Correa Palacio.</w:t>
            </w:r>
          </w:p>
          <w:p w14:paraId="39D10641" w14:textId="77777777" w:rsidR="00B706C7" w:rsidRDefault="00B706C7" w:rsidP="000508B5">
            <w:pPr>
              <w:pStyle w:val="Prrafodelista"/>
              <w:widowControl w:val="0"/>
              <w:numPr>
                <w:ilvl w:val="0"/>
                <w:numId w:val="17"/>
              </w:numPr>
              <w:autoSpaceDE w:val="0"/>
              <w:autoSpaceDN w:val="0"/>
              <w:spacing w:line="276" w:lineRule="auto"/>
              <w:contextualSpacing w:val="0"/>
              <w:jc w:val="both"/>
              <w:rPr>
                <w:rFonts w:ascii="Verdana" w:hAnsi="Verdana" w:cs="Arial"/>
                <w:lang w:eastAsia="es-ES"/>
              </w:rPr>
            </w:pPr>
            <w:r w:rsidRPr="005D2210">
              <w:rPr>
                <w:rFonts w:ascii="Verdana" w:hAnsi="Verdana" w:cs="Arial"/>
                <w:lang w:eastAsia="es-ES"/>
              </w:rPr>
              <w:t>Consejo de Estado. Sala de Consulta y Servicio Civil. Concepto del 5 de septiembre de 2018, radicado No. 11001-03-06-000-2018-00124-00 C.P. Édgar González López.</w:t>
            </w:r>
          </w:p>
          <w:p w14:paraId="22E9BB0A" w14:textId="77777777" w:rsidR="00B706C7" w:rsidRDefault="00B706C7" w:rsidP="000508B5">
            <w:pPr>
              <w:pStyle w:val="Prrafodelista"/>
              <w:widowControl w:val="0"/>
              <w:numPr>
                <w:ilvl w:val="0"/>
                <w:numId w:val="17"/>
              </w:numPr>
              <w:autoSpaceDE w:val="0"/>
              <w:autoSpaceDN w:val="0"/>
              <w:spacing w:line="276" w:lineRule="auto"/>
              <w:contextualSpacing w:val="0"/>
              <w:jc w:val="both"/>
              <w:rPr>
                <w:rFonts w:ascii="Verdana" w:hAnsi="Verdana" w:cs="Arial"/>
                <w:lang w:eastAsia="es-ES"/>
              </w:rPr>
            </w:pPr>
            <w:r w:rsidRPr="005D2210">
              <w:rPr>
                <w:rFonts w:ascii="Verdana" w:hAnsi="Verdana" w:cs="Arial"/>
                <w:lang w:eastAsia="es-ES"/>
              </w:rPr>
              <w:t>Consejo de Estado.</w:t>
            </w:r>
            <w:r>
              <w:rPr>
                <w:rFonts w:ascii="Verdana" w:hAnsi="Verdana" w:cs="Arial"/>
                <w:lang w:eastAsia="es-ES"/>
              </w:rPr>
              <w:t xml:space="preserve"> </w:t>
            </w:r>
            <w:r w:rsidRPr="005D2210">
              <w:rPr>
                <w:rFonts w:ascii="Verdana" w:hAnsi="Verdana" w:cs="Arial"/>
                <w:lang w:eastAsia="es-ES"/>
              </w:rPr>
              <w:t>Sala de lo Contencioso Administrativo</w:t>
            </w:r>
            <w:r>
              <w:rPr>
                <w:rFonts w:ascii="Verdana" w:hAnsi="Verdana" w:cs="Arial"/>
                <w:lang w:eastAsia="es-ES"/>
              </w:rPr>
              <w:t>.</w:t>
            </w:r>
            <w:r w:rsidRPr="005D2210">
              <w:rPr>
                <w:rFonts w:ascii="Verdana" w:hAnsi="Verdana" w:cs="Arial"/>
                <w:lang w:eastAsia="es-ES"/>
              </w:rPr>
              <w:t xml:space="preserve"> Sección Tercera. Sentencia del 28 de agosto de 2003. Radicado: 17.554</w:t>
            </w:r>
            <w:r>
              <w:rPr>
                <w:rFonts w:ascii="Verdana" w:hAnsi="Verdana" w:cs="Arial"/>
                <w:lang w:eastAsia="es-ES"/>
              </w:rPr>
              <w:t xml:space="preserve">. </w:t>
            </w:r>
            <w:r w:rsidRPr="005D2210">
              <w:rPr>
                <w:rFonts w:ascii="Verdana" w:hAnsi="Verdana" w:cs="Arial"/>
                <w:lang w:eastAsia="es-ES"/>
              </w:rPr>
              <w:t xml:space="preserve">C.P: Ramiro Saavedra Becerra. </w:t>
            </w:r>
          </w:p>
          <w:p w14:paraId="7BB936C9" w14:textId="77777777" w:rsidR="00B706C7" w:rsidRDefault="00B706C7" w:rsidP="000508B5">
            <w:pPr>
              <w:pStyle w:val="Prrafodelista"/>
              <w:widowControl w:val="0"/>
              <w:numPr>
                <w:ilvl w:val="0"/>
                <w:numId w:val="17"/>
              </w:numPr>
              <w:autoSpaceDE w:val="0"/>
              <w:autoSpaceDN w:val="0"/>
              <w:spacing w:line="276" w:lineRule="auto"/>
              <w:contextualSpacing w:val="0"/>
              <w:jc w:val="both"/>
              <w:rPr>
                <w:rFonts w:ascii="Verdana" w:hAnsi="Verdana" w:cs="Arial"/>
                <w:lang w:eastAsia="es-ES"/>
              </w:rPr>
            </w:pPr>
            <w:r w:rsidRPr="00185290">
              <w:rPr>
                <w:rFonts w:ascii="Verdana" w:hAnsi="Verdana" w:cs="Arial"/>
                <w:lang w:eastAsia="es-ES"/>
              </w:rPr>
              <w:t>Consejo de Estado. Sala de lo Contencioso Administrativo. Sección Tercera. Subsección A. Sentencia del 14 de marzo de 2013. Radicado: 760012331000199603577-01 (20524). C.P: Carlos Alberto Zambrano Barrera.</w:t>
            </w:r>
          </w:p>
          <w:p w14:paraId="0B77BA27" w14:textId="77777777" w:rsidR="00B706C7" w:rsidRDefault="00B706C7" w:rsidP="000508B5">
            <w:pPr>
              <w:pStyle w:val="Prrafodelista"/>
              <w:widowControl w:val="0"/>
              <w:numPr>
                <w:ilvl w:val="0"/>
                <w:numId w:val="17"/>
              </w:numPr>
              <w:autoSpaceDE w:val="0"/>
              <w:autoSpaceDN w:val="0"/>
              <w:spacing w:line="276" w:lineRule="auto"/>
              <w:contextualSpacing w:val="0"/>
              <w:jc w:val="both"/>
              <w:rPr>
                <w:rFonts w:ascii="Verdana" w:hAnsi="Verdana" w:cs="Arial"/>
                <w:lang w:eastAsia="es-ES"/>
              </w:rPr>
            </w:pPr>
            <w:r w:rsidRPr="00185290">
              <w:rPr>
                <w:rFonts w:ascii="Verdana" w:hAnsi="Verdana" w:cs="Arial"/>
                <w:lang w:eastAsia="es-ES"/>
              </w:rPr>
              <w:t>Consejo de Estado. Sala de lo Contencioso Administrativo. Sección Tercera. Sentencia del 26 de febrero de 2004. Radicado: 25000-23-26-000-1991-07391-01 (14043). C.P:  Germán Rodríguez Villamizar.</w:t>
            </w:r>
          </w:p>
          <w:p w14:paraId="0B2D2AD6" w14:textId="77777777" w:rsidR="00B706C7" w:rsidRPr="005D2210" w:rsidRDefault="00B706C7" w:rsidP="00526D65">
            <w:pPr>
              <w:pStyle w:val="Prrafodelista"/>
              <w:widowControl w:val="0"/>
              <w:numPr>
                <w:ilvl w:val="0"/>
                <w:numId w:val="17"/>
              </w:numPr>
              <w:autoSpaceDE w:val="0"/>
              <w:autoSpaceDN w:val="0"/>
              <w:spacing w:line="276" w:lineRule="auto"/>
              <w:contextualSpacing w:val="0"/>
              <w:jc w:val="both"/>
              <w:rPr>
                <w:rFonts w:ascii="Verdana" w:hAnsi="Verdana" w:cs="Arial"/>
                <w:lang w:eastAsia="es-ES"/>
              </w:rPr>
            </w:pPr>
            <w:r w:rsidRPr="00185290">
              <w:rPr>
                <w:rFonts w:ascii="Verdana" w:hAnsi="Verdana" w:cs="Arial"/>
                <w:lang w:eastAsia="es-ES"/>
              </w:rPr>
              <w:t>Consejo de Estado. Sala de lo Contencioso Administrativo. Sección Tercera. Subsección C. Sentencia del 27 de abril de 2026. Radicado: 68001-23-33-000-2014-00514-01 (59696). C.P: Adriana Polidura Castillo.</w:t>
            </w:r>
          </w:p>
          <w:p w14:paraId="5ED0FDDA" w14:textId="77777777" w:rsidR="00B706C7" w:rsidRPr="00BF0CC7" w:rsidRDefault="00B706C7" w:rsidP="00526D65">
            <w:pPr>
              <w:pStyle w:val="Prrafodelista"/>
              <w:widowControl w:val="0"/>
              <w:numPr>
                <w:ilvl w:val="0"/>
                <w:numId w:val="17"/>
              </w:numPr>
              <w:autoSpaceDE w:val="0"/>
              <w:autoSpaceDN w:val="0"/>
              <w:spacing w:line="276" w:lineRule="auto"/>
              <w:contextualSpacing w:val="0"/>
              <w:jc w:val="both"/>
              <w:rPr>
                <w:rFonts w:ascii="Verdana" w:hAnsi="Verdana" w:cs="Arial"/>
                <w:lang w:eastAsia="es-ES"/>
              </w:rPr>
            </w:pPr>
            <w:r w:rsidRPr="00BF0CC7">
              <w:rPr>
                <w:rFonts w:ascii="Verdana" w:hAnsi="Verdana" w:cs="Arial"/>
                <w:lang w:eastAsia="es-ES"/>
              </w:rPr>
              <w:t>EXPOSITO, Juan Carlos. Forma y contenido del contrato estatal. Bogotá: Universidad Externado de Colombia</w:t>
            </w:r>
            <w:r>
              <w:rPr>
                <w:rFonts w:ascii="Verdana" w:hAnsi="Verdana" w:cs="Arial"/>
                <w:lang w:eastAsia="es-ES"/>
              </w:rPr>
              <w:t>.</w:t>
            </w:r>
            <w:r w:rsidRPr="00526D65">
              <w:rPr>
                <w:rFonts w:ascii="Verdana" w:hAnsi="Verdana" w:cs="Arial"/>
                <w:color w:val="000000"/>
              </w:rPr>
              <w:t xml:space="preserve"> </w:t>
            </w:r>
          </w:p>
          <w:p w14:paraId="12A7712F" w14:textId="77777777" w:rsidR="00B706C7" w:rsidRPr="005D2210" w:rsidRDefault="00B706C7" w:rsidP="00526D65">
            <w:pPr>
              <w:pStyle w:val="Prrafodelista"/>
              <w:widowControl w:val="0"/>
              <w:numPr>
                <w:ilvl w:val="0"/>
                <w:numId w:val="17"/>
              </w:numPr>
              <w:autoSpaceDE w:val="0"/>
              <w:autoSpaceDN w:val="0"/>
              <w:spacing w:line="276" w:lineRule="auto"/>
              <w:contextualSpacing w:val="0"/>
              <w:jc w:val="both"/>
              <w:rPr>
                <w:rFonts w:ascii="Verdana" w:hAnsi="Verdana" w:cs="Arial"/>
                <w:lang w:eastAsia="es-ES"/>
              </w:rPr>
            </w:pPr>
            <w:r w:rsidRPr="00BF0CC7">
              <w:rPr>
                <w:rFonts w:ascii="Verdana" w:hAnsi="Verdana" w:cs="Arial"/>
                <w:color w:val="000000"/>
              </w:rPr>
              <w:t>DÍAZ DÍEZ, Cristian Andrés. La liquidación. Serie: Las Cláusulas del Contrato Estatal. Medellín: Librería Jurídica Sánchez y Centro de Estudios de Derecho Administrativo –CEDA–, 2013</w:t>
            </w:r>
            <w:r w:rsidRPr="00526D65">
              <w:rPr>
                <w:rFonts w:ascii="Verdana" w:hAnsi="Verdana" w:cs="Arial"/>
                <w:color w:val="000000"/>
              </w:rPr>
              <w:t>.</w:t>
            </w:r>
          </w:p>
          <w:p w14:paraId="3CADDB83" w14:textId="77777777" w:rsidR="00B706C7" w:rsidRDefault="00B706C7" w:rsidP="00526D65">
            <w:pPr>
              <w:pStyle w:val="Prrafodelista"/>
              <w:widowControl w:val="0"/>
              <w:numPr>
                <w:ilvl w:val="0"/>
                <w:numId w:val="17"/>
              </w:numPr>
              <w:autoSpaceDE w:val="0"/>
              <w:autoSpaceDN w:val="0"/>
              <w:spacing w:line="276" w:lineRule="auto"/>
              <w:contextualSpacing w:val="0"/>
              <w:jc w:val="both"/>
              <w:rPr>
                <w:rFonts w:ascii="Verdana" w:hAnsi="Verdana" w:cs="Arial"/>
                <w:lang w:eastAsia="es-ES"/>
              </w:rPr>
            </w:pPr>
            <w:r w:rsidRPr="005D2210">
              <w:rPr>
                <w:rFonts w:ascii="Verdana" w:hAnsi="Verdana" w:cs="Arial"/>
                <w:lang w:eastAsia="es-ES"/>
              </w:rPr>
              <w:t>MARÍN CORTÉS, Fabián. El precio. Serie: Las cláusulas del contrato estatal. Medellín: Librería Jurídica Sánchez y Centro de Estudios de Derecho Administrativo –CEDA–, 2012</w:t>
            </w:r>
            <w:r>
              <w:rPr>
                <w:rFonts w:ascii="Verdana" w:hAnsi="Verdana" w:cs="Arial"/>
                <w:lang w:eastAsia="es-ES"/>
              </w:rPr>
              <w:t>.</w:t>
            </w:r>
          </w:p>
          <w:p w14:paraId="74CAF658" w14:textId="77777777" w:rsidR="00B706C7" w:rsidRPr="00453C30" w:rsidRDefault="00B706C7" w:rsidP="00526D65">
            <w:pPr>
              <w:pStyle w:val="Prrafodelista"/>
              <w:widowControl w:val="0"/>
              <w:numPr>
                <w:ilvl w:val="0"/>
                <w:numId w:val="17"/>
              </w:numPr>
              <w:autoSpaceDE w:val="0"/>
              <w:autoSpaceDN w:val="0"/>
              <w:spacing w:line="276" w:lineRule="auto"/>
              <w:contextualSpacing w:val="0"/>
              <w:jc w:val="both"/>
              <w:rPr>
                <w:rFonts w:ascii="Verdana" w:hAnsi="Verdana" w:cs="Arial"/>
                <w:lang w:eastAsia="es-ES"/>
              </w:rPr>
            </w:pPr>
            <w:r w:rsidRPr="005D2210">
              <w:rPr>
                <w:rFonts w:ascii="Verdana" w:hAnsi="Verdana" w:cs="Arial"/>
                <w:lang w:eastAsia="es-ES"/>
              </w:rPr>
              <w:t xml:space="preserve">PINO RICCI, Jorge. El régimen jurídico de los contratos estatales. Universidad Externado de Colombia. Bogotá, 2005. </w:t>
            </w:r>
          </w:p>
        </w:tc>
      </w:tr>
    </w:tbl>
    <w:p w14:paraId="6C4E18B1" w14:textId="77777777" w:rsidR="00B706C7" w:rsidRDefault="00B706C7" w:rsidP="00B706C7">
      <w:pPr>
        <w:tabs>
          <w:tab w:val="left" w:pos="142"/>
          <w:tab w:val="left" w:pos="284"/>
          <w:tab w:val="left" w:pos="3828"/>
        </w:tabs>
        <w:spacing w:after="0" w:line="276" w:lineRule="auto"/>
        <w:jc w:val="both"/>
        <w:rPr>
          <w:rFonts w:ascii="Verdana" w:eastAsia="Century Gothic" w:hAnsi="Verdana" w:cs="Century Gothic"/>
          <w:b/>
          <w:bCs/>
        </w:rPr>
      </w:pPr>
    </w:p>
    <w:p w14:paraId="0B162927" w14:textId="77777777" w:rsidR="00B706C7" w:rsidRPr="0091091D" w:rsidRDefault="00B706C7" w:rsidP="00B706C7">
      <w:pPr>
        <w:tabs>
          <w:tab w:val="left" w:pos="142"/>
          <w:tab w:val="left" w:pos="284"/>
          <w:tab w:val="left" w:pos="3828"/>
        </w:tabs>
        <w:spacing w:after="0" w:line="276" w:lineRule="auto"/>
        <w:jc w:val="both"/>
        <w:rPr>
          <w:rFonts w:ascii="Verdana" w:eastAsia="Century Gothic" w:hAnsi="Verdana" w:cs="Century Gothic"/>
          <w:b/>
          <w:bCs/>
        </w:rPr>
      </w:pPr>
      <w:r w:rsidRPr="0091091D">
        <w:rPr>
          <w:rFonts w:ascii="Verdana" w:eastAsia="Century Gothic" w:hAnsi="Verdana" w:cs="Century Gothic"/>
          <w:b/>
          <w:bCs/>
        </w:rPr>
        <w:t>5. Doctrina de la Agencia Nacional de Contratación Pública:</w:t>
      </w:r>
    </w:p>
    <w:p w14:paraId="6C35718A" w14:textId="77777777" w:rsidR="00B706C7" w:rsidRPr="007A3DD4" w:rsidRDefault="00B706C7" w:rsidP="00526D65">
      <w:pPr>
        <w:widowControl w:val="0"/>
        <w:autoSpaceDE w:val="0"/>
        <w:autoSpaceDN w:val="0"/>
        <w:spacing w:after="0" w:line="276" w:lineRule="auto"/>
        <w:jc w:val="both"/>
        <w:rPr>
          <w:rStyle w:val="normaltextrun"/>
          <w:rFonts w:ascii="Verdana" w:hAnsi="Verdana" w:cs="Arial"/>
          <w:shd w:val="clear" w:color="auto" w:fill="FFFFFF"/>
        </w:rPr>
      </w:pPr>
    </w:p>
    <w:p w14:paraId="5951BA0F" w14:textId="2FF3099A" w:rsidR="00B706C7" w:rsidRDefault="00B706C7" w:rsidP="00BB0AC2">
      <w:pPr>
        <w:spacing w:after="0" w:line="276" w:lineRule="auto"/>
        <w:jc w:val="both"/>
        <w:rPr>
          <w:rFonts w:ascii="Verdana" w:eastAsia="Calibri" w:hAnsi="Verdana" w:cs="Arial"/>
          <w:lang w:eastAsia="es-ES_tradnl"/>
        </w:rPr>
      </w:pPr>
      <w:r w:rsidRPr="00185290">
        <w:rPr>
          <w:rFonts w:ascii="Verdana" w:hAnsi="Verdana" w:cs="Arial"/>
          <w:bCs/>
          <w:shd w:val="clear" w:color="auto" w:fill="FFFFFF"/>
        </w:rPr>
        <w:lastRenderedPageBreak/>
        <w:t xml:space="preserve">La Agencia Nacional de Contratación Pública – Colombia Compra Eficiente se ha pronunciado </w:t>
      </w:r>
      <w:r w:rsidRPr="00185290">
        <w:rPr>
          <w:rStyle w:val="normaltextrun"/>
          <w:rFonts w:ascii="Verdana" w:hAnsi="Verdana" w:cs="Arial"/>
          <w:shd w:val="clear" w:color="auto" w:fill="FFFFFF"/>
          <w:lang w:val="es-ES_tradnl"/>
        </w:rPr>
        <w:t>sobre la liquidación en los conceptos 4201912000004908 del 27 de septiembre de 2019, CU-028 de 25 de febrero de 2020, C-221 de 21 de abril de 2020, C-078 del 17 de marzo de 2021, C-220 del 18 de mayo de 2021, C-444 del 23 de julio de 2021, C-747 del 8 de noviembre de 2022, C-739 de del 29 de noviembre de 2022, C- 176 de 3 de mayo de 2023, C-158 del 6 de junio de 2023, C-326 del 15 de agosto de 2024, C-568 del 18 de octubre de 2024, C-968 del 16 de diciembre de 2024, C-1685 del 1˚ de diciembre de 2025</w:t>
      </w:r>
      <w:r w:rsidRPr="00185290">
        <w:rPr>
          <w:rFonts w:ascii="Verdana" w:hAnsi="Verdana" w:cs="Arial"/>
          <w:bCs/>
          <w:shd w:val="clear" w:color="auto" w:fill="FFFFFF"/>
        </w:rPr>
        <w:t>, C-1010 del 1 de julio de 2026, entre otros</w:t>
      </w:r>
      <w:r w:rsidRPr="00185290">
        <w:rPr>
          <w:rFonts w:ascii="Verdana" w:eastAsia="Calibri" w:hAnsi="Verdana" w:cs="Arial"/>
          <w:lang w:eastAsia="es-ES_tradnl"/>
        </w:rPr>
        <w:t xml:space="preserve">. </w:t>
      </w:r>
    </w:p>
    <w:p w14:paraId="19C434E3" w14:textId="77777777" w:rsidR="005203E9" w:rsidRPr="005203E9" w:rsidRDefault="005203E9" w:rsidP="00EA195C">
      <w:pPr>
        <w:spacing w:after="0" w:line="240" w:lineRule="auto"/>
        <w:jc w:val="both"/>
        <w:rPr>
          <w:rFonts w:ascii="Verdana" w:eastAsia="Calibri" w:hAnsi="Verdana" w:cs="Arial"/>
          <w:lang w:eastAsia="es-ES_tradnl"/>
        </w:rPr>
      </w:pPr>
    </w:p>
    <w:p w14:paraId="2F5BC644" w14:textId="77777777" w:rsidR="00B706C7" w:rsidRPr="00185290" w:rsidRDefault="00B706C7" w:rsidP="00526D65">
      <w:pPr>
        <w:spacing w:after="0" w:line="276" w:lineRule="auto"/>
        <w:jc w:val="both"/>
        <w:rPr>
          <w:rFonts w:ascii="Verdana" w:eastAsia="Calibri" w:hAnsi="Verdana" w:cs="Arial"/>
          <w:lang w:eastAsia="es-ES_tradnl"/>
        </w:rPr>
      </w:pPr>
      <w:r w:rsidRPr="00185290">
        <w:rPr>
          <w:rFonts w:ascii="Verdana" w:eastAsia="Calibri" w:hAnsi="Verdana" w:cs="Arial"/>
          <w:lang w:eastAsia="es-ES_tradnl"/>
        </w:rPr>
        <w:t xml:space="preserve">Por su parte, también se ha pronunciado </w:t>
      </w:r>
      <w:r w:rsidRPr="00185290">
        <w:rPr>
          <w:rFonts w:ascii="Verdana" w:hAnsi="Verdana" w:cs="Arial"/>
          <w:shd w:val="clear" w:color="auto" w:fill="FFFFFF"/>
        </w:rPr>
        <w:t>sobre el AIU en los conceptos 4201714000005136 del 14 de noviembre de 2017; 4201714000006401 del 23 de noviembre de 2017; 4201813000004155</w:t>
      </w:r>
      <w:r w:rsidRPr="002F7FFD">
        <w:rPr>
          <w:rFonts w:ascii="Verdana" w:hAnsi="Verdana" w:cs="Arial"/>
          <w:shd w:val="clear" w:color="auto" w:fill="FFFFFF"/>
        </w:rPr>
        <w:t xml:space="preserve"> del 9 de mayo de 2018; 4201814000008069 del 27 de septiembre de 2018; 4201814000007383 del 18 de octubre de 2018; 4201814000008069 del 13 de noviembre de 2018; 4201912000004214 del 26 de junio de 2019; 4201912000006455 y 4201912000006463 del 19 de septiembre de 2019; 4201912000007375 del 28 de octubre de 2019; 4201912000007092 del 29 de noviembre de 2019; 4202012000000093, C–037 del 28 de enero de 2020, 4202012000000664 del 30 de enero de 2020, C-191 del 16 de marzo de 2020, C-211 del 8 de abril de 2020, C-714 del 9 de diciembre de 2020, C-059 del 10 de marzo de 2021, C-613 del 6 de octubre de 2022, C-716 de 15 de noviembre de 2022, C-802 de 23 de noviembre de 2022, C-854 del 9 de diciembre de 2022, C-914 del 27 de diciembre de 2022, C-361 de septiembre de 2023, C-401 del 27 de septiembre de 2023, C-455 del 18 de septiembre de 2024, C-065 del 27 de febrero de 2025, C-248 del 3 de abril de 2025</w:t>
      </w:r>
      <w:r>
        <w:rPr>
          <w:rFonts w:ascii="Verdana" w:hAnsi="Verdana" w:cs="Arial"/>
          <w:shd w:val="clear" w:color="auto" w:fill="FFFFFF"/>
        </w:rPr>
        <w:t>,</w:t>
      </w:r>
      <w:r w:rsidRPr="002F7FFD">
        <w:rPr>
          <w:rFonts w:ascii="Verdana" w:hAnsi="Verdana" w:cs="Arial"/>
          <w:shd w:val="clear" w:color="auto" w:fill="FFFFFF"/>
        </w:rPr>
        <w:t xml:space="preserve"> C-311 del 17 de </w:t>
      </w:r>
      <w:r w:rsidRPr="00185290">
        <w:rPr>
          <w:rFonts w:ascii="Verdana" w:hAnsi="Verdana" w:cs="Arial"/>
          <w:shd w:val="clear" w:color="auto" w:fill="FFFFFF"/>
        </w:rPr>
        <w:t>marzo de 2026, C-711 del 18 de junio de 2026, C-824 del 30 de junio de 2026, entre otros</w:t>
      </w:r>
      <w:r w:rsidRPr="00185290">
        <w:rPr>
          <w:rFonts w:ascii="Verdana" w:eastAsia="Calibri" w:hAnsi="Verdana" w:cs="Arial"/>
          <w:color w:val="000000" w:themeColor="text1"/>
          <w:lang w:eastAsia="es-ES_tradnl"/>
        </w:rPr>
        <w:t xml:space="preserve">. </w:t>
      </w:r>
      <w:r w:rsidRPr="00185290">
        <w:rPr>
          <w:rFonts w:ascii="Verdana" w:hAnsi="Verdana" w:cs="Arial"/>
        </w:rPr>
        <w:t xml:space="preserve">Estos y otros </w:t>
      </w:r>
      <w:r w:rsidRPr="00185290">
        <w:rPr>
          <w:rFonts w:ascii="Verdana" w:hAnsi="Verdana"/>
        </w:rPr>
        <w:t>conceptos se encuentran disponibles para consulta en el Sistema de relatoría de la Agencia, al cual se puede acceder a través del siguiente enlace:</w:t>
      </w:r>
      <w:r w:rsidRPr="00185290">
        <w:rPr>
          <w:rFonts w:ascii="Verdana" w:hAnsi="Verdana" w:cs="Arial"/>
          <w:shd w:val="clear" w:color="auto" w:fill="FFFFFF"/>
        </w:rPr>
        <w:t xml:space="preserve"> </w:t>
      </w:r>
      <w:hyperlink r:id="rId12" w:history="1">
        <w:r w:rsidRPr="00BB0AC2">
          <w:rPr>
            <w:rFonts w:ascii="Verdana" w:hAnsi="Verdana" w:cs="Arial"/>
            <w:color w:val="0563C1" w:themeColor="hyperlink"/>
            <w:u w:val="single"/>
            <w:shd w:val="clear" w:color="auto" w:fill="FFFFFF"/>
          </w:rPr>
          <w:t>https://relatoria.colombiacompra.gov.co/busqueda/conceptos</w:t>
        </w:r>
      </w:hyperlink>
      <w:r w:rsidRPr="00BB0AC2">
        <w:rPr>
          <w:rFonts w:ascii="Verdana" w:hAnsi="Verdana" w:cs="Arial"/>
          <w:shd w:val="clear" w:color="auto" w:fill="FFFFFF"/>
        </w:rPr>
        <w:t>.</w:t>
      </w:r>
      <w:r w:rsidRPr="00BB0AC2">
        <w:rPr>
          <w:rFonts w:ascii="Verdana" w:hAnsi="Verdana" w:cs="Arial"/>
          <w:color w:val="FF0000"/>
          <w:shd w:val="clear" w:color="auto" w:fill="FFFFFF"/>
        </w:rPr>
        <w:t xml:space="preserve"> </w:t>
      </w:r>
    </w:p>
    <w:p w14:paraId="6ED1D8FF" w14:textId="77777777" w:rsidR="00B706C7" w:rsidRPr="00185290" w:rsidRDefault="00B706C7" w:rsidP="00526D65">
      <w:pPr>
        <w:widowControl w:val="0"/>
        <w:autoSpaceDE w:val="0"/>
        <w:autoSpaceDN w:val="0"/>
        <w:spacing w:after="0" w:line="276" w:lineRule="auto"/>
        <w:jc w:val="both"/>
        <w:rPr>
          <w:rFonts w:ascii="Verdana" w:hAnsi="Verdana"/>
        </w:rPr>
      </w:pPr>
    </w:p>
    <w:p w14:paraId="037E949E" w14:textId="77777777" w:rsidR="00B706C7" w:rsidRPr="00AB4B99" w:rsidRDefault="00B706C7" w:rsidP="00526D65">
      <w:pPr>
        <w:widowControl w:val="0"/>
        <w:autoSpaceDE w:val="0"/>
        <w:autoSpaceDN w:val="0"/>
        <w:spacing w:after="0" w:line="276" w:lineRule="auto"/>
        <w:jc w:val="both"/>
        <w:rPr>
          <w:rFonts w:ascii="Verdana" w:hAnsi="Verdana" w:cs="Arial"/>
          <w:shd w:val="clear" w:color="auto" w:fill="FFFFFF"/>
        </w:rPr>
      </w:pPr>
      <w:r w:rsidRPr="00185290">
        <w:rPr>
          <w:rFonts w:ascii="Verdana" w:hAnsi="Verdana"/>
        </w:rPr>
        <w:t>La sostenibilidad no es una opción, es una obligación. Por ello, la Agencia Nacional de Contratación Pública –Colombia Compra Eficiente</w:t>
      </w:r>
      <w:r w:rsidRPr="009A385A">
        <w:rPr>
          <w:rFonts w:ascii="Verdana" w:hAnsi="Verdana"/>
        </w:rPr>
        <w:t xml:space="preserve">– te invita a realizar el </w:t>
      </w:r>
      <w:r w:rsidRPr="009A385A">
        <w:rPr>
          <w:rFonts w:ascii="Verdana" w:hAnsi="Verdana"/>
          <w:b/>
          <w:bCs/>
        </w:rPr>
        <w:t>Curso de Contratación Pública Sostenible y Socialmente Responsable</w:t>
      </w:r>
      <w:r w:rsidRPr="009A385A">
        <w:rPr>
          <w:rFonts w:ascii="Verdana" w:hAnsi="Verdana"/>
        </w:rPr>
        <w:t xml:space="preserve">, una herramienta clave para fortalecer las capacidades de todos los </w:t>
      </w:r>
      <w:r>
        <w:rPr>
          <w:rFonts w:ascii="Verdana" w:hAnsi="Verdana"/>
        </w:rPr>
        <w:t xml:space="preserve">compradores públicos, proveedores, servidores públicos v para </w:t>
      </w:r>
      <w:r w:rsidRPr="009A385A">
        <w:rPr>
          <w:rFonts w:ascii="Verdana" w:hAnsi="Verdana"/>
        </w:rPr>
        <w:t xml:space="preserve">generar </w:t>
      </w:r>
      <w:r w:rsidRPr="009A385A">
        <w:rPr>
          <w:rFonts w:ascii="Verdana" w:hAnsi="Verdana"/>
        </w:rPr>
        <w:lastRenderedPageBreak/>
        <w:t>mayor valor público. Accede al curso</w:t>
      </w:r>
      <w:r>
        <w:rPr>
          <w:rFonts w:ascii="Verdana" w:hAnsi="Verdana"/>
        </w:rPr>
        <w:t xml:space="preserve"> y aprende como implementar criterios sociales y ambientales en las diferentes etapas del proceso de contratación</w:t>
      </w:r>
      <w:r w:rsidRPr="009A385A">
        <w:rPr>
          <w:rFonts w:ascii="Verdana" w:hAnsi="Verdana"/>
        </w:rPr>
        <w:t>:</w:t>
      </w:r>
      <w:r w:rsidRPr="009A385A">
        <w:rPr>
          <w:rFonts w:ascii="Verdana" w:hAnsi="Verdana"/>
        </w:rPr>
        <w:br/>
      </w:r>
      <w:hyperlink r:id="rId13" w:tgtFrame="_new" w:history="1">
        <w:r w:rsidRPr="00BB0AC2">
          <w:rPr>
            <w:rStyle w:val="Hipervnculo"/>
            <w:rFonts w:ascii="Verdana" w:hAnsi="Verdana"/>
          </w:rPr>
          <w:t>https://formacionvirtual.colombiacompra.gov.co/mod/page/view.php?id=3718</w:t>
        </w:r>
      </w:hyperlink>
    </w:p>
    <w:p w14:paraId="2A182D1E" w14:textId="77777777" w:rsidR="00B706C7" w:rsidRDefault="00B706C7" w:rsidP="00526D65">
      <w:pPr>
        <w:widowControl w:val="0"/>
        <w:autoSpaceDE w:val="0"/>
        <w:autoSpaceDN w:val="0"/>
        <w:spacing w:after="0" w:line="276" w:lineRule="auto"/>
        <w:jc w:val="both"/>
        <w:rPr>
          <w:rFonts w:ascii="Verdana" w:hAnsi="Verdana"/>
        </w:rPr>
      </w:pPr>
    </w:p>
    <w:p w14:paraId="7C87A8D1" w14:textId="77777777" w:rsidR="00B706C7" w:rsidRPr="000E1EA7" w:rsidRDefault="00B706C7" w:rsidP="00526D65">
      <w:pPr>
        <w:widowControl w:val="0"/>
        <w:autoSpaceDE w:val="0"/>
        <w:autoSpaceDN w:val="0"/>
        <w:spacing w:after="0" w:line="276" w:lineRule="auto"/>
        <w:jc w:val="both"/>
        <w:rPr>
          <w:rStyle w:val="Hipervnculo"/>
          <w:rFonts w:ascii="Verdana" w:hAnsi="Verdana" w:cs="Arial"/>
          <w:color w:val="auto"/>
          <w:u w:val="none"/>
        </w:rPr>
      </w:pPr>
      <w:r>
        <w:rPr>
          <w:rFonts w:ascii="Verdana" w:hAnsi="Verdana"/>
        </w:rPr>
        <w:t>De otro lado, te contamos que</w:t>
      </w:r>
      <w:r w:rsidRPr="00B36954">
        <w:rPr>
          <w:rFonts w:ascii="Verdana" w:hAnsi="Verdana"/>
        </w:rPr>
        <w:t xml:space="preserve"> </w:t>
      </w:r>
      <w:r>
        <w:rPr>
          <w:rFonts w:ascii="Verdana" w:hAnsi="Verdana"/>
        </w:rPr>
        <w:t>esta</w:t>
      </w:r>
      <w:r w:rsidRPr="00B36954">
        <w:rPr>
          <w:rFonts w:ascii="Verdana" w:hAnsi="Verdana"/>
        </w:rPr>
        <w:t xml:space="preserve"> Agencia </w:t>
      </w:r>
      <w:r>
        <w:rPr>
          <w:rFonts w:ascii="Verdana" w:hAnsi="Verdana"/>
        </w:rPr>
        <w:t xml:space="preserve">ha </w:t>
      </w:r>
      <w:r w:rsidRPr="00635F16">
        <w:rPr>
          <w:rFonts w:ascii="Verdana" w:hAnsi="Verdana"/>
        </w:rPr>
        <w:t>da</w:t>
      </w:r>
      <w:r>
        <w:rPr>
          <w:rFonts w:ascii="Verdana" w:hAnsi="Verdana"/>
        </w:rPr>
        <w:t>do</w:t>
      </w:r>
      <w:r w:rsidRPr="00635F16">
        <w:rPr>
          <w:rFonts w:ascii="Verdana" w:hAnsi="Verdana"/>
        </w:rPr>
        <w:t xml:space="preserve"> un paso decisivo en la estandarización y modernización del </w:t>
      </w:r>
      <w:r w:rsidRPr="009A385A">
        <w:rPr>
          <w:rFonts w:ascii="Verdana" w:hAnsi="Verdana"/>
          <w:b/>
          <w:bCs/>
        </w:rPr>
        <w:t>sector social</w:t>
      </w:r>
      <w:r w:rsidRPr="00635F16">
        <w:rPr>
          <w:rFonts w:ascii="Verdana" w:hAnsi="Verdana"/>
        </w:rPr>
        <w:t xml:space="preserve"> con la expedición de las </w:t>
      </w:r>
      <w:r w:rsidRPr="000E1EA7">
        <w:rPr>
          <w:rFonts w:ascii="Verdana" w:hAnsi="Verdana"/>
          <w:b/>
          <w:bCs/>
        </w:rPr>
        <w:t>Resoluciones 539, 540, 541, 952 y 953 de 2025</w:t>
      </w:r>
      <w:r w:rsidRPr="000E1EA7">
        <w:rPr>
          <w:rFonts w:ascii="Verdana" w:hAnsi="Verdana"/>
        </w:rPr>
        <w:t xml:space="preserve">, </w:t>
      </w:r>
      <w:r w:rsidRPr="000E1EA7">
        <w:rPr>
          <w:rFonts w:ascii="Verdana" w:hAnsi="Verdana"/>
          <w:b/>
          <w:bCs/>
        </w:rPr>
        <w:t>mediante las cuales adoptó Documentos Tipo</w:t>
      </w:r>
      <w:r w:rsidRPr="000E1EA7">
        <w:rPr>
          <w:rFonts w:ascii="Verdana" w:hAnsi="Verdana"/>
        </w:rPr>
        <w:t xml:space="preserve"> para las modalidades de selección de</w:t>
      </w:r>
      <w:r w:rsidRPr="000E1EA7">
        <w:rPr>
          <w:rFonts w:ascii="Verdana" w:hAnsi="Verdana"/>
          <w:b/>
          <w:bCs/>
        </w:rPr>
        <w:t xml:space="preserve"> licitación pública (versión 2), selección abreviada de menor cuantía, mínima cuantía, consultoría e interventoría</w:t>
      </w:r>
      <w:r w:rsidRPr="000E1EA7">
        <w:rPr>
          <w:rFonts w:ascii="Verdana" w:hAnsi="Verdana"/>
        </w:rPr>
        <w:t xml:space="preserve">, promoviendo procesos más transparentes, eficientes  competitivos y sostenibles en sectores estratégicos como educación, salud, cultura, recreación, deporte, institucional y vivienda. </w:t>
      </w:r>
      <w:r w:rsidRPr="00BB0AC2">
        <w:rPr>
          <w:rFonts w:ascii="Verdana" w:hAnsi="Verdana"/>
        </w:rPr>
        <w:t xml:space="preserve">Consulta y descarga los documentos aquí: </w:t>
      </w:r>
      <w:hyperlink r:id="rId14" w:tgtFrame="_new" w:history="1">
        <w:r w:rsidRPr="00BB0AC2">
          <w:rPr>
            <w:rStyle w:val="Hipervnculo"/>
            <w:rFonts w:ascii="Verdana" w:hAnsi="Verdana"/>
          </w:rPr>
          <w:t>https://www.colombiacompra.gov.co/normativa-y-relatoria/documentos-tipo</w:t>
        </w:r>
      </w:hyperlink>
    </w:p>
    <w:p w14:paraId="4B0966A1" w14:textId="77777777" w:rsidR="005203E9" w:rsidRDefault="005203E9" w:rsidP="00BB0AC2">
      <w:pPr>
        <w:widowControl w:val="0"/>
        <w:autoSpaceDE w:val="0"/>
        <w:autoSpaceDN w:val="0"/>
        <w:spacing w:after="0" w:line="276" w:lineRule="auto"/>
        <w:jc w:val="both"/>
        <w:rPr>
          <w:rFonts w:ascii="Verdana" w:hAnsi="Verdana"/>
        </w:rPr>
      </w:pPr>
    </w:p>
    <w:p w14:paraId="7B6460B8" w14:textId="42B30734" w:rsidR="00B706C7" w:rsidRDefault="00B706C7" w:rsidP="00BB0AC2">
      <w:pPr>
        <w:widowControl w:val="0"/>
        <w:autoSpaceDE w:val="0"/>
        <w:autoSpaceDN w:val="0"/>
        <w:spacing w:after="0" w:line="276" w:lineRule="auto"/>
        <w:jc w:val="both"/>
        <w:rPr>
          <w:rStyle w:val="Hipervnculo"/>
          <w:rFonts w:ascii="Verdana" w:hAnsi="Verdana"/>
        </w:rPr>
      </w:pPr>
      <w:r>
        <w:rPr>
          <w:rFonts w:ascii="Verdana" w:hAnsi="Verdana"/>
        </w:rPr>
        <w:t>Si quieres conocer más sobre la aplicación de Documentos Tipo</w:t>
      </w:r>
      <w:r w:rsidRPr="009A385A">
        <w:rPr>
          <w:rFonts w:ascii="Verdana" w:hAnsi="Verdana"/>
        </w:rPr>
        <w:t xml:space="preserve"> </w:t>
      </w:r>
      <w:r>
        <w:rPr>
          <w:rFonts w:ascii="Verdana" w:hAnsi="Verdana"/>
        </w:rPr>
        <w:t xml:space="preserve">puedes </w:t>
      </w:r>
      <w:r w:rsidRPr="00797327">
        <w:rPr>
          <w:rFonts w:ascii="Verdana" w:hAnsi="Verdana"/>
        </w:rPr>
        <w:t>consulta</w:t>
      </w:r>
      <w:r>
        <w:rPr>
          <w:rFonts w:ascii="Verdana" w:hAnsi="Verdana"/>
        </w:rPr>
        <w:t>r</w:t>
      </w:r>
      <w:r w:rsidRPr="009A385A">
        <w:rPr>
          <w:rFonts w:ascii="Verdana" w:hAnsi="Verdana"/>
        </w:rPr>
        <w:t xml:space="preserve"> la</w:t>
      </w:r>
      <w:r w:rsidRPr="00797327">
        <w:rPr>
          <w:rFonts w:ascii="Verdana" w:hAnsi="Verdana"/>
        </w:rPr>
        <w:t xml:space="preserve"> última versión de la</w:t>
      </w:r>
      <w:r w:rsidRPr="009A385A">
        <w:rPr>
          <w:rFonts w:ascii="Verdana" w:hAnsi="Verdana"/>
        </w:rPr>
        <w:t xml:space="preserve"> </w:t>
      </w:r>
      <w:r w:rsidRPr="009A385A">
        <w:rPr>
          <w:rFonts w:ascii="Verdana" w:hAnsi="Verdana"/>
          <w:b/>
          <w:bCs/>
        </w:rPr>
        <w:t>Guía para la comprensión e implementación de los Documentos Tipo de obra pública de infraestructura de transporte</w:t>
      </w:r>
      <w:r w:rsidRPr="00797327">
        <w:rPr>
          <w:rFonts w:ascii="Verdana" w:hAnsi="Verdana"/>
        </w:rPr>
        <w:t xml:space="preserve">. En </w:t>
      </w:r>
      <w:r>
        <w:rPr>
          <w:rFonts w:ascii="Verdana" w:hAnsi="Verdana"/>
        </w:rPr>
        <w:t xml:space="preserve">esta </w:t>
      </w:r>
      <w:r w:rsidRPr="00797327">
        <w:rPr>
          <w:rFonts w:ascii="Verdana" w:hAnsi="Verdana"/>
        </w:rPr>
        <w:t>actualización</w:t>
      </w:r>
      <w:r>
        <w:rPr>
          <w:rFonts w:ascii="Verdana" w:hAnsi="Verdana"/>
        </w:rPr>
        <w:t xml:space="preserve"> </w:t>
      </w:r>
      <w:r w:rsidRPr="00797327">
        <w:rPr>
          <w:rFonts w:ascii="Verdana" w:hAnsi="Verdana"/>
        </w:rPr>
        <w:t>se incorporaron orientaciones prácticas dirigidas a entidades públicas, proveedores, organismos de control y demás interesados, con el propósito de facilitar la adecuada implementación de est</w:t>
      </w:r>
      <w:r>
        <w:rPr>
          <w:rFonts w:ascii="Verdana" w:hAnsi="Verdana"/>
        </w:rPr>
        <w:t>os</w:t>
      </w:r>
      <w:r w:rsidRPr="00797327">
        <w:rPr>
          <w:rFonts w:ascii="Verdana" w:hAnsi="Verdana"/>
        </w:rPr>
        <w:t xml:space="preserve"> instrumento</w:t>
      </w:r>
      <w:r>
        <w:rPr>
          <w:rFonts w:ascii="Verdana" w:hAnsi="Verdana"/>
        </w:rPr>
        <w:t>s</w:t>
      </w:r>
      <w:r w:rsidRPr="00797327">
        <w:rPr>
          <w:rFonts w:ascii="Verdana" w:hAnsi="Verdana"/>
        </w:rPr>
        <w:t xml:space="preserve"> en los procesos contractuales.</w:t>
      </w:r>
      <w:r w:rsidRPr="009A385A">
        <w:rPr>
          <w:rFonts w:ascii="Verdana" w:hAnsi="Verdana"/>
        </w:rPr>
        <w:t xml:space="preserve"> </w:t>
      </w:r>
      <w:r w:rsidRPr="00BB0AC2">
        <w:rPr>
          <w:rFonts w:ascii="Verdana" w:hAnsi="Verdana"/>
        </w:rPr>
        <w:t>Además se incluyeron lineamientos que orientan la implementación de los criterios ambientales y sociales incluidos en los documentos tipo: Consulta la guía aquí:</w:t>
      </w:r>
      <w:r w:rsidRPr="00BB0AC2">
        <w:rPr>
          <w:rFonts w:ascii="Verdana" w:hAnsi="Verdana"/>
        </w:rPr>
        <w:br/>
      </w:r>
      <w:hyperlink r:id="rId15" w:tgtFrame="_new" w:history="1">
        <w:r w:rsidRPr="00BB0AC2">
          <w:rPr>
            <w:rStyle w:val="Hipervnculo"/>
            <w:rFonts w:ascii="Verdana" w:hAnsi="Verdana"/>
          </w:rPr>
          <w:t>https://www.colombiacompra.gov.co/archivos/manual/guia-para-la-comprension-e-implementacion-de-los-documentos-tipo-de-obra-publica-de-infraestructura-de-transporte-bajo-las-diferentes-modalidades-de-contratacion-vigentes</w:t>
        </w:r>
      </w:hyperlink>
    </w:p>
    <w:p w14:paraId="69283220" w14:textId="77777777" w:rsidR="005203E9" w:rsidRPr="00BB0AC2" w:rsidRDefault="005203E9" w:rsidP="00526D65">
      <w:pPr>
        <w:widowControl w:val="0"/>
        <w:autoSpaceDE w:val="0"/>
        <w:autoSpaceDN w:val="0"/>
        <w:spacing w:after="0" w:line="276" w:lineRule="auto"/>
        <w:jc w:val="both"/>
        <w:rPr>
          <w:rStyle w:val="Hipervnculo"/>
          <w:rFonts w:ascii="Verdana" w:hAnsi="Verdana" w:cs="Arial"/>
          <w:color w:val="auto"/>
          <w:u w:val="none"/>
        </w:rPr>
      </w:pPr>
    </w:p>
    <w:p w14:paraId="54DF6A5A" w14:textId="4617E678" w:rsidR="00B706C7" w:rsidRDefault="00B706C7" w:rsidP="00BB0AC2">
      <w:pPr>
        <w:widowControl w:val="0"/>
        <w:autoSpaceDE w:val="0"/>
        <w:autoSpaceDN w:val="0"/>
        <w:spacing w:after="0" w:line="276" w:lineRule="auto"/>
        <w:jc w:val="both"/>
        <w:rPr>
          <w:rFonts w:ascii="Verdana" w:hAnsi="Verdana"/>
        </w:rPr>
      </w:pPr>
      <w:r w:rsidRPr="001A68FB">
        <w:rPr>
          <w:rFonts w:ascii="Verdana" w:hAnsi="Verdana"/>
        </w:rPr>
        <w:t>Por último, aprovechamos la oportunidad de manifestar la entera disposición de la Agencia Nacional de Contratación Pública –Colombia Compra Eficiente– para atender las peticiones o solicitudes, así como para brindar el apoyo que se requiera en el marco de nuestras funciones a través de nuestros diferentes canales de atención:</w:t>
      </w:r>
      <w:r w:rsidRPr="00116940">
        <w:rPr>
          <w:rFonts w:ascii="Verdana" w:hAnsi="Verdana"/>
        </w:rPr>
        <w:t xml:space="preserve"> </w:t>
      </w:r>
    </w:p>
    <w:p w14:paraId="1DF15234" w14:textId="77777777" w:rsidR="005203E9" w:rsidRPr="005203E9" w:rsidRDefault="005203E9" w:rsidP="00526D65">
      <w:pPr>
        <w:widowControl w:val="0"/>
        <w:autoSpaceDE w:val="0"/>
        <w:autoSpaceDN w:val="0"/>
        <w:spacing w:after="0" w:line="276" w:lineRule="auto"/>
        <w:jc w:val="both"/>
        <w:rPr>
          <w:rFonts w:ascii="Verdana" w:hAnsi="Verdana" w:cs="Arial"/>
        </w:rPr>
      </w:pPr>
    </w:p>
    <w:p w14:paraId="19FFF41C" w14:textId="77777777" w:rsidR="00B706C7" w:rsidRPr="00116940" w:rsidRDefault="00B706C7" w:rsidP="00B706C7">
      <w:pPr>
        <w:pStyle w:val="Prrafodelista"/>
        <w:numPr>
          <w:ilvl w:val="0"/>
          <w:numId w:val="15"/>
        </w:numPr>
        <w:spacing w:after="0" w:line="276" w:lineRule="auto"/>
        <w:contextualSpacing w:val="0"/>
        <w:jc w:val="both"/>
        <w:rPr>
          <w:rFonts w:ascii="Verdana" w:eastAsia="Verdana" w:hAnsi="Verdana" w:cs="Verdana"/>
          <w:color w:val="4472C4" w:themeColor="accent1"/>
          <w:u w:val="single"/>
          <w:lang w:val="es-MX"/>
        </w:rPr>
      </w:pPr>
      <w:r w:rsidRPr="00116940">
        <w:rPr>
          <w:rFonts w:ascii="Verdana" w:eastAsia="Verdana" w:hAnsi="Verdana" w:cs="Verdana"/>
          <w:lang w:val="es-MX"/>
        </w:rPr>
        <w:lastRenderedPageBreak/>
        <w:t xml:space="preserve">Línea nacional gratuita o servicio a la ciudadanía (Mesa de servicio): </w:t>
      </w:r>
      <w:r w:rsidRPr="00116940">
        <w:rPr>
          <w:rStyle w:val="Hipervnculo"/>
          <w:rFonts w:ascii="Verdana" w:hAnsi="Verdana"/>
        </w:rPr>
        <w:t>01800 0520808</w:t>
      </w:r>
    </w:p>
    <w:p w14:paraId="0B44A1DA" w14:textId="77777777" w:rsidR="00B706C7" w:rsidRPr="00116940" w:rsidRDefault="00B706C7" w:rsidP="00B706C7">
      <w:pPr>
        <w:pStyle w:val="Prrafodelista"/>
        <w:numPr>
          <w:ilvl w:val="0"/>
          <w:numId w:val="15"/>
        </w:numPr>
        <w:spacing w:after="0" w:line="276" w:lineRule="auto"/>
        <w:contextualSpacing w:val="0"/>
        <w:rPr>
          <w:rFonts w:ascii="Verdana" w:eastAsia="Verdana" w:hAnsi="Verdana" w:cs="Verdana"/>
          <w:color w:val="4472C4" w:themeColor="accent1"/>
          <w:u w:val="single"/>
          <w:lang w:val="es-MX"/>
        </w:rPr>
      </w:pPr>
      <w:r w:rsidRPr="00116940">
        <w:rPr>
          <w:rFonts w:ascii="Verdana" w:eastAsia="Verdana" w:hAnsi="Verdana" w:cs="Verdana"/>
          <w:lang w:val="es-MX"/>
        </w:rPr>
        <w:t>Línea en Bogotá (Mesa de servicio</w:t>
      </w:r>
      <w:proofErr w:type="gramStart"/>
      <w:r w:rsidRPr="00116940">
        <w:rPr>
          <w:rFonts w:ascii="Verdana" w:eastAsia="Verdana" w:hAnsi="Verdana" w:cs="Verdana"/>
          <w:lang w:val="es-MX"/>
        </w:rPr>
        <w:t>):</w:t>
      </w:r>
      <w:r w:rsidRPr="00116940">
        <w:rPr>
          <w:rStyle w:val="Hipervnculo"/>
          <w:rFonts w:ascii="Verdana" w:hAnsi="Verdana"/>
        </w:rPr>
        <w:t>+</w:t>
      </w:r>
      <w:proofErr w:type="gramEnd"/>
      <w:r w:rsidRPr="00116940">
        <w:rPr>
          <w:rStyle w:val="Hipervnculo"/>
          <w:rFonts w:ascii="Verdana" w:hAnsi="Verdana"/>
        </w:rPr>
        <w:t>57 601 7456788</w:t>
      </w:r>
    </w:p>
    <w:p w14:paraId="6301ED34" w14:textId="77777777" w:rsidR="00B706C7" w:rsidRPr="00116940" w:rsidRDefault="00B706C7" w:rsidP="00B706C7">
      <w:pPr>
        <w:pStyle w:val="Prrafodelista"/>
        <w:numPr>
          <w:ilvl w:val="0"/>
          <w:numId w:val="15"/>
        </w:numPr>
        <w:spacing w:after="0" w:line="276" w:lineRule="auto"/>
        <w:contextualSpacing w:val="0"/>
        <w:rPr>
          <w:rFonts w:ascii="Verdana" w:eastAsia="Verdana" w:hAnsi="Verdana" w:cs="Verdana"/>
          <w:color w:val="0000FF"/>
          <w:u w:val="single"/>
          <w:lang w:val="es-MX"/>
        </w:rPr>
      </w:pPr>
      <w:r w:rsidRPr="00116940">
        <w:rPr>
          <w:rFonts w:ascii="Verdana" w:eastAsia="Verdana" w:hAnsi="Verdana" w:cs="Verdana"/>
          <w:lang w:val="es-MX"/>
        </w:rPr>
        <w:t xml:space="preserve">Correo de radicación de correspondencia: </w:t>
      </w:r>
      <w:hyperlink r:id="rId16">
        <w:r w:rsidRPr="00116940">
          <w:rPr>
            <w:rStyle w:val="Hipervnculo"/>
            <w:rFonts w:ascii="Verdana" w:eastAsia="Verdana" w:hAnsi="Verdana" w:cs="Verdana"/>
            <w:lang w:val="es-MX"/>
          </w:rPr>
          <w:t>ventanilladeradicacion@colombiacompra.gov.co</w:t>
        </w:r>
      </w:hyperlink>
    </w:p>
    <w:p w14:paraId="5BF5C8E5" w14:textId="77777777" w:rsidR="00B706C7" w:rsidRPr="00116940" w:rsidRDefault="00B706C7" w:rsidP="00B706C7">
      <w:pPr>
        <w:pStyle w:val="Prrafodelista"/>
        <w:numPr>
          <w:ilvl w:val="0"/>
          <w:numId w:val="15"/>
        </w:numPr>
        <w:spacing w:after="0" w:line="276" w:lineRule="auto"/>
        <w:contextualSpacing w:val="0"/>
        <w:rPr>
          <w:rFonts w:ascii="Verdana" w:eastAsia="Verdana" w:hAnsi="Verdana" w:cs="Verdana"/>
          <w:color w:val="0000FF"/>
          <w:u w:val="single"/>
          <w:lang w:val="es-MX"/>
        </w:rPr>
      </w:pPr>
      <w:r w:rsidRPr="00116940">
        <w:rPr>
          <w:rFonts w:ascii="Verdana" w:eastAsia="Verdana" w:hAnsi="Verdana" w:cs="Verdana"/>
        </w:rPr>
        <w:t>Formulario web para</w:t>
      </w:r>
      <w:r w:rsidRPr="00116940">
        <w:rPr>
          <w:rFonts w:ascii="Verdana" w:eastAsia="Verdana" w:hAnsi="Verdana" w:cs="Verdana"/>
          <w:lang w:val="es"/>
        </w:rPr>
        <w:t xml:space="preserve"> PQRSD: </w:t>
      </w:r>
      <w:hyperlink r:id="rId17">
        <w:r w:rsidRPr="00116940">
          <w:rPr>
            <w:rStyle w:val="Hipervnculo"/>
            <w:rFonts w:ascii="Verdana" w:eastAsia="Verdana" w:hAnsi="Verdana" w:cs="Verdana"/>
            <w:lang w:val="es-MX"/>
          </w:rPr>
          <w:t>https://www.colombiacompra.gov.co/pqrsd/informacion-importante-antes-de-formular-una-pqrsd</w:t>
        </w:r>
      </w:hyperlink>
    </w:p>
    <w:p w14:paraId="7F28CD55" w14:textId="77777777" w:rsidR="00B706C7" w:rsidRDefault="00B706C7" w:rsidP="00B706C7">
      <w:pPr>
        <w:spacing w:after="0" w:line="276" w:lineRule="auto"/>
        <w:jc w:val="both"/>
        <w:rPr>
          <w:rFonts w:ascii="Verdana" w:hAnsi="Verdana"/>
        </w:rPr>
      </w:pPr>
    </w:p>
    <w:p w14:paraId="5B5A3568" w14:textId="77777777" w:rsidR="00B706C7" w:rsidRDefault="00B706C7" w:rsidP="00B706C7">
      <w:pPr>
        <w:spacing w:after="0" w:line="276" w:lineRule="auto"/>
        <w:jc w:val="both"/>
        <w:rPr>
          <w:rFonts w:ascii="Verdana" w:hAnsi="Verdana"/>
        </w:rPr>
      </w:pPr>
      <w:r w:rsidRPr="00116940">
        <w:rPr>
          <w:rFonts w:ascii="Verdana" w:hAnsi="Verdana"/>
        </w:rPr>
        <w:t>Evalúa el servicio que ofrece la Agencia por el canal de atención de PQRSD en el siguiente enlace:</w:t>
      </w:r>
      <w:r>
        <w:rPr>
          <w:rFonts w:ascii="Verdana" w:hAnsi="Verdana"/>
        </w:rPr>
        <w:t xml:space="preserve"> </w:t>
      </w:r>
      <w:hyperlink r:id="rId18" w:history="1">
        <w:r w:rsidRPr="00BB0AC2">
          <w:rPr>
            <w:rStyle w:val="Hipervnculo"/>
            <w:rFonts w:ascii="Verdana" w:eastAsia="Verdana" w:hAnsi="Verdana" w:cs="Verdana"/>
            <w:lang w:val="es-MX"/>
          </w:rPr>
          <w:t>https://forms.office.com/r/pPHyWVs2SZ</w:t>
        </w:r>
      </w:hyperlink>
      <w:r w:rsidRPr="00BB0AC2">
        <w:rPr>
          <w:rStyle w:val="Hipervnculo"/>
          <w:rFonts w:ascii="Verdana" w:eastAsia="Verdana" w:hAnsi="Verdana" w:cs="Verdana"/>
          <w:lang w:val="es-MX"/>
        </w:rPr>
        <w:t>.</w:t>
      </w:r>
      <w:r>
        <w:rPr>
          <w:rFonts w:ascii="Verdana" w:hAnsi="Verdana"/>
        </w:rPr>
        <w:t xml:space="preserve"> </w:t>
      </w:r>
      <w:r w:rsidRPr="00116940">
        <w:rPr>
          <w:rFonts w:ascii="Verdana" w:hAnsi="Verdana"/>
        </w:rPr>
        <w:t>¡Ayúdanos a mejorar porque el compromiso es de todos!</w:t>
      </w:r>
    </w:p>
    <w:p w14:paraId="2EBFB69E" w14:textId="77777777" w:rsidR="00B706C7" w:rsidRDefault="00B706C7" w:rsidP="00526D65">
      <w:pPr>
        <w:spacing w:after="0" w:line="276" w:lineRule="auto"/>
        <w:jc w:val="both"/>
        <w:rPr>
          <w:rFonts w:ascii="Verdana" w:hAnsi="Verdana"/>
        </w:rPr>
      </w:pPr>
    </w:p>
    <w:p w14:paraId="0BCD8B17" w14:textId="77777777" w:rsidR="00B706C7" w:rsidRPr="00116940" w:rsidRDefault="00B706C7" w:rsidP="00B706C7">
      <w:pPr>
        <w:spacing w:after="0" w:line="276" w:lineRule="auto"/>
        <w:jc w:val="both"/>
        <w:rPr>
          <w:rFonts w:ascii="Verdana" w:hAnsi="Verdana"/>
        </w:rPr>
      </w:pPr>
      <w:r w:rsidRPr="00116940">
        <w:rPr>
          <w:rFonts w:ascii="Verdana" w:hAnsi="Verdana"/>
        </w:rPr>
        <w:t xml:space="preserve">Por último, lo invitamos a seguirnos en las redes sociales en las cuales se difunde información institucional: </w:t>
      </w:r>
    </w:p>
    <w:p w14:paraId="675DB3F7" w14:textId="77777777" w:rsidR="00B706C7" w:rsidRPr="008746BD" w:rsidRDefault="00B706C7" w:rsidP="00526D65">
      <w:pPr>
        <w:spacing w:after="0" w:line="276" w:lineRule="auto"/>
        <w:jc w:val="both"/>
        <w:rPr>
          <w:rFonts w:ascii="Verdana" w:hAnsi="Verdana"/>
        </w:rPr>
      </w:pPr>
    </w:p>
    <w:p w14:paraId="10CDF6EE" w14:textId="77777777" w:rsidR="00B706C7" w:rsidRPr="00116940" w:rsidRDefault="00B706C7" w:rsidP="00B706C7">
      <w:pPr>
        <w:spacing w:after="0" w:line="276" w:lineRule="auto"/>
        <w:jc w:val="both"/>
        <w:rPr>
          <w:rFonts w:ascii="Verdana" w:hAnsi="Verdana"/>
        </w:rPr>
      </w:pPr>
      <w:r w:rsidRPr="00116940">
        <w:rPr>
          <w:rFonts w:ascii="Verdana" w:hAnsi="Verdana"/>
        </w:rPr>
        <w:t xml:space="preserve">Twitter: </w:t>
      </w:r>
      <w:r w:rsidRPr="00116940">
        <w:rPr>
          <w:rStyle w:val="Hipervnculo"/>
          <w:rFonts w:ascii="Verdana" w:hAnsi="Verdana"/>
        </w:rPr>
        <w:t>@colombiacompra</w:t>
      </w:r>
      <w:r w:rsidRPr="00116940">
        <w:rPr>
          <w:rFonts w:ascii="Verdana" w:hAnsi="Verdana"/>
        </w:rPr>
        <w:t xml:space="preserve"> </w:t>
      </w:r>
    </w:p>
    <w:p w14:paraId="4886C707" w14:textId="77777777" w:rsidR="00B706C7" w:rsidRPr="00116940" w:rsidRDefault="00B706C7" w:rsidP="00B706C7">
      <w:pPr>
        <w:spacing w:after="0" w:line="276" w:lineRule="auto"/>
        <w:jc w:val="both"/>
        <w:rPr>
          <w:rFonts w:ascii="Verdana" w:hAnsi="Verdana"/>
        </w:rPr>
      </w:pPr>
      <w:r w:rsidRPr="00116940">
        <w:rPr>
          <w:rFonts w:ascii="Verdana" w:hAnsi="Verdana"/>
        </w:rPr>
        <w:t xml:space="preserve">Facebook: </w:t>
      </w:r>
      <w:proofErr w:type="spellStart"/>
      <w:r w:rsidRPr="00116940">
        <w:rPr>
          <w:rStyle w:val="Hipervnculo"/>
          <w:rFonts w:ascii="Verdana" w:hAnsi="Verdana"/>
        </w:rPr>
        <w:t>ColombiaCompraEficiente</w:t>
      </w:r>
      <w:proofErr w:type="spellEnd"/>
    </w:p>
    <w:p w14:paraId="758E24B7" w14:textId="77777777" w:rsidR="00B706C7" w:rsidRPr="00116940" w:rsidRDefault="00B706C7" w:rsidP="00B706C7">
      <w:pPr>
        <w:spacing w:after="0" w:line="276" w:lineRule="auto"/>
        <w:jc w:val="both"/>
        <w:rPr>
          <w:rFonts w:ascii="Verdana" w:hAnsi="Verdana"/>
        </w:rPr>
      </w:pPr>
      <w:r w:rsidRPr="00116940">
        <w:rPr>
          <w:rFonts w:ascii="Verdana" w:hAnsi="Verdana"/>
        </w:rPr>
        <w:t xml:space="preserve">LinkedIn: </w:t>
      </w:r>
      <w:r w:rsidRPr="00116940">
        <w:rPr>
          <w:rStyle w:val="Hipervnculo"/>
          <w:rFonts w:ascii="Verdana" w:hAnsi="Verdana"/>
        </w:rPr>
        <w:t>Agencia Nacional de Contratación Pública - Colombia Compra Eficiente</w:t>
      </w:r>
      <w:r w:rsidRPr="00116940">
        <w:rPr>
          <w:rFonts w:ascii="Verdana" w:hAnsi="Verdana"/>
        </w:rPr>
        <w:t xml:space="preserve"> Instagram: </w:t>
      </w:r>
      <w:r w:rsidRPr="00116940">
        <w:rPr>
          <w:rStyle w:val="Hipervnculo"/>
          <w:rFonts w:ascii="Verdana" w:hAnsi="Verdana"/>
        </w:rPr>
        <w:t>@colombiacompraeficiente_cce</w:t>
      </w:r>
    </w:p>
    <w:p w14:paraId="69238421" w14:textId="77777777" w:rsidR="00B706C7" w:rsidRPr="00526D65" w:rsidRDefault="00B706C7" w:rsidP="00B706C7">
      <w:pPr>
        <w:spacing w:after="0" w:line="276" w:lineRule="auto"/>
        <w:jc w:val="both"/>
        <w:rPr>
          <w:rFonts w:ascii="Verdana" w:eastAsia="Century Gothic" w:hAnsi="Verdana" w:cs="Century Gothic"/>
          <w:lang w:val="es-ES" w:eastAsia="es-ES_tradnl"/>
        </w:rPr>
      </w:pPr>
    </w:p>
    <w:p w14:paraId="1290C560" w14:textId="77777777" w:rsidR="00B706C7" w:rsidRPr="00842775" w:rsidRDefault="00B706C7" w:rsidP="00526D65">
      <w:pPr>
        <w:spacing w:after="0" w:line="276" w:lineRule="auto"/>
        <w:jc w:val="both"/>
        <w:rPr>
          <w:rFonts w:ascii="Verdana" w:hAnsi="Verdana"/>
          <w:lang w:val="es-MX"/>
        </w:rPr>
      </w:pPr>
      <w:r w:rsidRPr="00842775">
        <w:rPr>
          <w:rFonts w:ascii="Verdana" w:eastAsia="Century Gothic" w:hAnsi="Verdana" w:cs="Century Gothic"/>
          <w:lang w:val="es-ES" w:eastAsia="es-ES_tradnl"/>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r>
        <w:rPr>
          <w:rFonts w:ascii="Verdana" w:eastAsia="Century Gothic" w:hAnsi="Verdana" w:cs="Century Gothic"/>
          <w:lang w:val="es-ES" w:eastAsia="es-ES_tradnl"/>
        </w:rPr>
        <w:t>.</w:t>
      </w:r>
    </w:p>
    <w:p w14:paraId="56F0B01E" w14:textId="77777777" w:rsidR="00B706C7" w:rsidRDefault="00B706C7" w:rsidP="00B706C7">
      <w:pPr>
        <w:spacing w:after="0" w:line="276" w:lineRule="auto"/>
        <w:jc w:val="both"/>
        <w:rPr>
          <w:rFonts w:ascii="Verdana" w:hAnsi="Verdana"/>
          <w:lang w:val="es-MX"/>
        </w:rPr>
      </w:pPr>
    </w:p>
    <w:p w14:paraId="6AA14A3C" w14:textId="77777777" w:rsidR="00B706C7" w:rsidRPr="00330029" w:rsidRDefault="00B706C7" w:rsidP="00B706C7">
      <w:pPr>
        <w:spacing w:after="0" w:line="276" w:lineRule="auto"/>
        <w:jc w:val="both"/>
        <w:rPr>
          <w:rFonts w:ascii="Verdana" w:hAnsi="Verdana"/>
          <w:lang w:val="es-MX"/>
        </w:rPr>
      </w:pPr>
      <w:r w:rsidRPr="00E02524">
        <w:rPr>
          <w:rFonts w:ascii="Verdana" w:hAnsi="Verdana"/>
          <w:lang w:val="es-MX"/>
        </w:rPr>
        <w:t>Cordialmente,</w:t>
      </w:r>
    </w:p>
    <w:p w14:paraId="48A9C9BF" w14:textId="1468CB59" w:rsidR="00B706C7" w:rsidRDefault="00B706C7" w:rsidP="00B706C7">
      <w:pPr>
        <w:spacing w:after="0" w:line="256" w:lineRule="auto"/>
        <w:jc w:val="center"/>
        <w:rPr>
          <w:rFonts w:ascii="Verdana" w:eastAsia="Calibri" w:hAnsi="Verdana" w:cs="Times New Roman"/>
        </w:rPr>
      </w:pPr>
    </w:p>
    <w:p w14:paraId="34AD7815" w14:textId="06E91626" w:rsidR="00B706C7" w:rsidRDefault="00652130" w:rsidP="00B706C7">
      <w:pPr>
        <w:spacing w:after="0" w:line="256" w:lineRule="auto"/>
        <w:jc w:val="center"/>
        <w:rPr>
          <w:rFonts w:ascii="Verdana" w:eastAsia="Calibri" w:hAnsi="Verdana" w:cs="Times New Roman"/>
        </w:rPr>
      </w:pPr>
      <w:r w:rsidRPr="0065791A">
        <w:rPr>
          <w:rFonts w:ascii="Century Gothic" w:hAnsi="Century Gothic"/>
          <w:noProof/>
        </w:rPr>
        <w:drawing>
          <wp:inline distT="0" distB="0" distL="0" distR="0" wp14:anchorId="370372CB" wp14:editId="65DD7609">
            <wp:extent cx="3150889" cy="1484554"/>
            <wp:effectExtent l="0" t="0" r="0" b="1905"/>
            <wp:docPr id="119417683" name="Imagen 1" descr="Interfaz de usuario gráfica, Texto, Aplicación&#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17683" name="Imagen 1" descr="Interfaz de usuario gráfica, Texto, Aplicación&#10;&#10;Descripción generada automáticamente con confianza media"/>
                    <pic:cNvPicPr/>
                  </pic:nvPicPr>
                  <pic:blipFill>
                    <a:blip r:embed="rId19"/>
                    <a:stretch>
                      <a:fillRect/>
                    </a:stretch>
                  </pic:blipFill>
                  <pic:spPr>
                    <a:xfrm>
                      <a:off x="0" y="0"/>
                      <a:ext cx="3168423" cy="1492815"/>
                    </a:xfrm>
                    <a:prstGeom prst="rect">
                      <a:avLst/>
                    </a:prstGeom>
                  </pic:spPr>
                </pic:pic>
              </a:graphicData>
            </a:graphic>
          </wp:inline>
        </w:drawing>
      </w:r>
    </w:p>
    <w:p w14:paraId="68A1D0C9" w14:textId="77777777" w:rsidR="00652130" w:rsidRDefault="00652130" w:rsidP="00652130">
      <w:pPr>
        <w:spacing w:after="0" w:line="256" w:lineRule="auto"/>
        <w:rPr>
          <w:rFonts w:ascii="Verdana" w:eastAsia="Calibri" w:hAnsi="Verdana" w:cs="Times New Roman"/>
        </w:rPr>
      </w:pPr>
    </w:p>
    <w:tbl>
      <w:tblPr>
        <w:tblStyle w:val="Tablaconcuadrcula"/>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061"/>
      </w:tblGrid>
      <w:tr w:rsidR="00B706C7" w:rsidRPr="004D34F4" w14:paraId="247F95AA" w14:textId="77777777" w:rsidTr="00910E48">
        <w:trPr>
          <w:trHeight w:val="288"/>
        </w:trPr>
        <w:tc>
          <w:tcPr>
            <w:tcW w:w="893" w:type="dxa"/>
            <w:vAlign w:val="center"/>
            <w:hideMark/>
          </w:tcPr>
          <w:p w14:paraId="7DE49358" w14:textId="77777777" w:rsidR="00B706C7" w:rsidRPr="004D34F4" w:rsidRDefault="00B706C7" w:rsidP="00910E48">
            <w:pPr>
              <w:contextualSpacing/>
              <w:rPr>
                <w:rFonts w:ascii="Verdana" w:hAnsi="Verdana" w:cs="Arial"/>
                <w:sz w:val="16"/>
                <w:szCs w:val="16"/>
                <w:lang w:eastAsia="es-ES"/>
              </w:rPr>
            </w:pPr>
            <w:r w:rsidRPr="004D34F4">
              <w:rPr>
                <w:rFonts w:ascii="Verdana" w:hAnsi="Verdana" w:cs="Arial"/>
                <w:sz w:val="16"/>
                <w:szCs w:val="16"/>
                <w:lang w:eastAsia="es-ES"/>
              </w:rPr>
              <w:lastRenderedPageBreak/>
              <w:t>Elaboró:</w:t>
            </w:r>
          </w:p>
        </w:tc>
        <w:tc>
          <w:tcPr>
            <w:tcW w:w="5061" w:type="dxa"/>
            <w:tcBorders>
              <w:top w:val="nil"/>
              <w:left w:val="nil"/>
              <w:bottom w:val="dotted" w:sz="4" w:space="0" w:color="7F7F7F" w:themeColor="text1" w:themeTint="80"/>
              <w:right w:val="nil"/>
            </w:tcBorders>
            <w:vAlign w:val="center"/>
            <w:hideMark/>
          </w:tcPr>
          <w:p w14:paraId="44F58F61" w14:textId="77777777" w:rsidR="00B706C7" w:rsidRPr="004D34F4" w:rsidRDefault="00B706C7" w:rsidP="00910E48">
            <w:pPr>
              <w:contextualSpacing/>
              <w:rPr>
                <w:rStyle w:val="normaltextrun"/>
                <w:rFonts w:ascii="Verdana" w:hAnsi="Verdana"/>
                <w:sz w:val="16"/>
                <w:szCs w:val="16"/>
              </w:rPr>
            </w:pPr>
            <w:r w:rsidRPr="004D34F4">
              <w:rPr>
                <w:rStyle w:val="normaltextrun"/>
                <w:rFonts w:ascii="Verdana" w:hAnsi="Verdana"/>
                <w:sz w:val="16"/>
                <w:szCs w:val="16"/>
              </w:rPr>
              <w:t xml:space="preserve">Esperanza Contreras P </w:t>
            </w:r>
          </w:p>
          <w:p w14:paraId="1B8A522F" w14:textId="77777777" w:rsidR="00B706C7" w:rsidRPr="004D34F4" w:rsidRDefault="00B706C7" w:rsidP="00910E48">
            <w:pPr>
              <w:contextualSpacing/>
              <w:rPr>
                <w:rFonts w:ascii="Verdana" w:eastAsia="Arial" w:hAnsi="Verdana" w:cs="Arial"/>
                <w:sz w:val="16"/>
                <w:szCs w:val="16"/>
              </w:rPr>
            </w:pPr>
            <w:r w:rsidRPr="004D34F4">
              <w:rPr>
                <w:rStyle w:val="normaltextrun"/>
                <w:rFonts w:ascii="Verdana" w:hAnsi="Verdana" w:cs="Arial"/>
                <w:sz w:val="16"/>
                <w:szCs w:val="16"/>
              </w:rPr>
              <w:t>Contratista de la Subdirección de Gestión Contractual</w:t>
            </w:r>
            <w:r w:rsidRPr="004D34F4">
              <w:rPr>
                <w:rStyle w:val="eop"/>
                <w:rFonts w:ascii="Verdana" w:hAnsi="Verdana" w:cs="Arial"/>
                <w:sz w:val="16"/>
                <w:szCs w:val="16"/>
              </w:rPr>
              <w:t> </w:t>
            </w:r>
          </w:p>
        </w:tc>
      </w:tr>
      <w:tr w:rsidR="00B706C7" w:rsidRPr="004D34F4" w14:paraId="5476BE62" w14:textId="77777777" w:rsidTr="00910E48">
        <w:trPr>
          <w:trHeight w:val="330"/>
        </w:trPr>
        <w:tc>
          <w:tcPr>
            <w:tcW w:w="893" w:type="dxa"/>
            <w:vAlign w:val="center"/>
            <w:hideMark/>
          </w:tcPr>
          <w:p w14:paraId="4D9D6443" w14:textId="77777777" w:rsidR="00B706C7" w:rsidRPr="004D34F4" w:rsidRDefault="00B706C7" w:rsidP="00910E48">
            <w:pPr>
              <w:contextualSpacing/>
              <w:rPr>
                <w:rFonts w:ascii="Verdana" w:hAnsi="Verdana" w:cs="Arial"/>
                <w:sz w:val="16"/>
                <w:szCs w:val="16"/>
                <w:lang w:eastAsia="es-ES"/>
              </w:rPr>
            </w:pPr>
            <w:r w:rsidRPr="004D34F4">
              <w:rPr>
                <w:rFonts w:ascii="Verdana" w:hAnsi="Verdana" w:cs="Arial"/>
                <w:sz w:val="16"/>
                <w:szCs w:val="16"/>
                <w:lang w:eastAsia="es-ES"/>
              </w:rPr>
              <w:t>Revisó:</w:t>
            </w:r>
          </w:p>
        </w:tc>
        <w:tc>
          <w:tcPr>
            <w:tcW w:w="5061" w:type="dxa"/>
            <w:tcBorders>
              <w:top w:val="dotted" w:sz="4" w:space="0" w:color="7F7F7F" w:themeColor="text1" w:themeTint="80"/>
              <w:left w:val="nil"/>
              <w:bottom w:val="dotted" w:sz="4" w:space="0" w:color="7F7F7F" w:themeColor="text1" w:themeTint="80"/>
              <w:right w:val="nil"/>
            </w:tcBorders>
            <w:vAlign w:val="center"/>
            <w:hideMark/>
          </w:tcPr>
          <w:p w14:paraId="2A1C3F73" w14:textId="77777777" w:rsidR="00B706C7" w:rsidRPr="004D34F4" w:rsidRDefault="00B706C7" w:rsidP="00910E48">
            <w:pPr>
              <w:pStyle w:val="paragraph"/>
              <w:spacing w:before="0" w:beforeAutospacing="0" w:after="0" w:afterAutospacing="0"/>
              <w:contextualSpacing/>
              <w:textAlignment w:val="baseline"/>
              <w:rPr>
                <w:rStyle w:val="normaltextrun"/>
                <w:rFonts w:ascii="Verdana" w:hAnsi="Verdana"/>
                <w:sz w:val="16"/>
                <w:szCs w:val="16"/>
              </w:rPr>
            </w:pPr>
            <w:r w:rsidRPr="004D34F4">
              <w:rPr>
                <w:rStyle w:val="normaltextrun"/>
                <w:rFonts w:ascii="Verdana" w:hAnsi="Verdana"/>
                <w:sz w:val="16"/>
                <w:szCs w:val="16"/>
              </w:rPr>
              <w:t xml:space="preserve">Diana Lucía Saavedra Castañeda. </w:t>
            </w:r>
          </w:p>
          <w:p w14:paraId="18BAE1D7" w14:textId="77777777" w:rsidR="00B706C7" w:rsidRPr="004D34F4" w:rsidRDefault="00B706C7" w:rsidP="00910E48">
            <w:pPr>
              <w:pStyle w:val="paragraph"/>
              <w:spacing w:before="0" w:beforeAutospacing="0" w:after="0" w:afterAutospacing="0"/>
              <w:contextualSpacing/>
              <w:textAlignment w:val="baseline"/>
              <w:rPr>
                <w:rFonts w:ascii="Verdana" w:hAnsi="Verdana" w:cs="Segoe UI"/>
                <w:sz w:val="16"/>
                <w:szCs w:val="16"/>
              </w:rPr>
            </w:pPr>
            <w:r w:rsidRPr="004D34F4">
              <w:rPr>
                <w:rStyle w:val="normaltextrun"/>
                <w:rFonts w:ascii="Verdana" w:hAnsi="Verdana"/>
                <w:sz w:val="16"/>
                <w:szCs w:val="16"/>
              </w:rPr>
              <w:t xml:space="preserve">Contratista Subdirección Gestión Contractual  </w:t>
            </w:r>
          </w:p>
        </w:tc>
      </w:tr>
      <w:tr w:rsidR="00B706C7" w:rsidRPr="004D34F4" w14:paraId="30FCB3B9" w14:textId="77777777" w:rsidTr="00910E48">
        <w:trPr>
          <w:trHeight w:val="300"/>
        </w:trPr>
        <w:tc>
          <w:tcPr>
            <w:tcW w:w="893" w:type="dxa"/>
            <w:vAlign w:val="center"/>
          </w:tcPr>
          <w:p w14:paraId="6A72A82A" w14:textId="77777777" w:rsidR="00B706C7" w:rsidRPr="004D34F4" w:rsidRDefault="00B706C7" w:rsidP="00910E48">
            <w:pPr>
              <w:contextualSpacing/>
              <w:rPr>
                <w:rFonts w:ascii="Verdana" w:hAnsi="Verdana" w:cs="Arial"/>
                <w:sz w:val="16"/>
                <w:szCs w:val="16"/>
                <w:lang w:eastAsia="es-ES"/>
              </w:rPr>
            </w:pPr>
            <w:r w:rsidRPr="004D34F4">
              <w:rPr>
                <w:rFonts w:ascii="Verdana" w:hAnsi="Verdana" w:cs="Arial"/>
                <w:sz w:val="16"/>
                <w:szCs w:val="16"/>
                <w:lang w:eastAsia="es-ES"/>
              </w:rPr>
              <w:t>Aprobó:</w:t>
            </w:r>
          </w:p>
        </w:tc>
        <w:tc>
          <w:tcPr>
            <w:tcW w:w="5061" w:type="dxa"/>
            <w:tcBorders>
              <w:top w:val="dotted" w:sz="4" w:space="0" w:color="7F7F7F" w:themeColor="text1" w:themeTint="80"/>
              <w:left w:val="nil"/>
              <w:bottom w:val="dotted" w:sz="4" w:space="0" w:color="7F7F7F" w:themeColor="text1" w:themeTint="80"/>
              <w:right w:val="nil"/>
            </w:tcBorders>
            <w:vAlign w:val="center"/>
          </w:tcPr>
          <w:p w14:paraId="4BAA490B" w14:textId="77777777" w:rsidR="00B706C7" w:rsidRPr="004D34F4" w:rsidRDefault="00B706C7" w:rsidP="00910E48">
            <w:pPr>
              <w:contextualSpacing/>
              <w:rPr>
                <w:rFonts w:ascii="Verdana" w:eastAsia="Calibri" w:hAnsi="Verdana" w:cs="Arial"/>
                <w:sz w:val="16"/>
                <w:szCs w:val="16"/>
                <w:lang w:eastAsia="es-ES"/>
              </w:rPr>
            </w:pPr>
            <w:r w:rsidRPr="004D34F4">
              <w:rPr>
                <w:rFonts w:ascii="Verdana" w:eastAsia="Calibri" w:hAnsi="Verdana" w:cs="Arial"/>
                <w:sz w:val="16"/>
                <w:szCs w:val="16"/>
                <w:lang w:eastAsia="es-ES"/>
              </w:rPr>
              <w:t>Carolina Quintero Gacharná</w:t>
            </w:r>
          </w:p>
          <w:p w14:paraId="5EC11984" w14:textId="77777777" w:rsidR="00B706C7" w:rsidRPr="004D34F4" w:rsidRDefault="00B706C7" w:rsidP="00910E48">
            <w:pPr>
              <w:contextualSpacing/>
              <w:rPr>
                <w:rFonts w:ascii="Verdana" w:eastAsia="Calibri" w:hAnsi="Verdana" w:cs="Arial"/>
                <w:sz w:val="16"/>
                <w:szCs w:val="16"/>
                <w:lang w:eastAsia="es-ES"/>
              </w:rPr>
            </w:pPr>
            <w:r w:rsidRPr="004D34F4">
              <w:rPr>
                <w:rFonts w:ascii="Verdana" w:eastAsia="Calibri" w:hAnsi="Verdana" w:cs="Arial"/>
                <w:sz w:val="16"/>
                <w:szCs w:val="16"/>
                <w:lang w:eastAsia="es-ES"/>
              </w:rPr>
              <w:t>Subdirectora de Gestión Contractual ANCP – CCE</w:t>
            </w:r>
          </w:p>
        </w:tc>
      </w:tr>
      <w:bookmarkEnd w:id="1"/>
    </w:tbl>
    <w:p w14:paraId="698780B8" w14:textId="77777777" w:rsidR="00B706C7" w:rsidRPr="004D34F4" w:rsidRDefault="00B706C7" w:rsidP="00B706C7">
      <w:pPr>
        <w:spacing w:after="0"/>
        <w:rPr>
          <w:rFonts w:ascii="Verdana" w:eastAsia="Verdana" w:hAnsi="Verdana" w:cs="Verdana"/>
          <w:sz w:val="16"/>
          <w:szCs w:val="16"/>
        </w:rPr>
      </w:pPr>
    </w:p>
    <w:p w14:paraId="0E61FBBF" w14:textId="77777777" w:rsidR="00B706C7" w:rsidRPr="004D34F4" w:rsidRDefault="00B706C7" w:rsidP="00B706C7">
      <w:pPr>
        <w:spacing w:after="0"/>
        <w:rPr>
          <w:rFonts w:ascii="Verdana" w:eastAsia="Verdana" w:hAnsi="Verdana" w:cs="Verdana"/>
          <w:sz w:val="16"/>
          <w:szCs w:val="16"/>
        </w:rPr>
      </w:pPr>
    </w:p>
    <w:p w14:paraId="0F293BF4" w14:textId="34429444" w:rsidR="00127233" w:rsidRPr="0015699B" w:rsidRDefault="00127233" w:rsidP="00E14C57">
      <w:pPr>
        <w:spacing w:after="0" w:line="240" w:lineRule="auto"/>
        <w:jc w:val="both"/>
        <w:textAlignment w:val="baseline"/>
        <w:rPr>
          <w:rFonts w:ascii="Verdana" w:eastAsia="Verdana" w:hAnsi="Verdana" w:cs="Verdana"/>
          <w:lang w:eastAsia="es-CO"/>
        </w:rPr>
      </w:pPr>
    </w:p>
    <w:sectPr w:rsidR="00127233" w:rsidRPr="0015699B" w:rsidSect="007C0C0F">
      <w:headerReference w:type="default" r:id="rId20"/>
      <w:footerReference w:type="default" r:id="rId21"/>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09C3E" w14:textId="77777777" w:rsidR="004D1E0B" w:rsidRDefault="004D1E0B" w:rsidP="004A1847">
      <w:pPr>
        <w:spacing w:after="0" w:line="240" w:lineRule="auto"/>
      </w:pPr>
      <w:r>
        <w:separator/>
      </w:r>
    </w:p>
  </w:endnote>
  <w:endnote w:type="continuationSeparator" w:id="0">
    <w:p w14:paraId="6B7891A8" w14:textId="77777777" w:rsidR="004D1E0B" w:rsidRDefault="004D1E0B"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Century Gothic">
    <w:altName w:val="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46875" w14:textId="77777777" w:rsidR="004D1E0B" w:rsidRDefault="004D1E0B" w:rsidP="004A1847">
      <w:pPr>
        <w:spacing w:after="0" w:line="240" w:lineRule="auto"/>
      </w:pPr>
      <w:r>
        <w:separator/>
      </w:r>
    </w:p>
  </w:footnote>
  <w:footnote w:type="continuationSeparator" w:id="0">
    <w:p w14:paraId="4B1BFA03" w14:textId="77777777" w:rsidR="004D1E0B" w:rsidRDefault="004D1E0B" w:rsidP="004A1847">
      <w:pPr>
        <w:spacing w:after="0" w:line="240" w:lineRule="auto"/>
      </w:pPr>
      <w:r>
        <w:continuationSeparator/>
      </w:r>
    </w:p>
  </w:footnote>
  <w:footnote w:id="1">
    <w:p w14:paraId="3E11364A" w14:textId="77777777" w:rsidR="00B706C7" w:rsidRDefault="00B706C7" w:rsidP="000508B5">
      <w:pPr>
        <w:pStyle w:val="Textonotapie"/>
        <w:ind w:firstLine="709"/>
        <w:jc w:val="both"/>
        <w:rPr>
          <w:rFonts w:ascii="Verdana" w:hAnsi="Verdana" w:cs="Arial"/>
          <w:color w:val="000000"/>
          <w:sz w:val="16"/>
          <w:szCs w:val="16"/>
        </w:rPr>
      </w:pPr>
      <w:r w:rsidRPr="00224A89">
        <w:rPr>
          <w:rStyle w:val="Refdenotaalpie"/>
          <w:rFonts w:ascii="Verdana" w:hAnsi="Verdana" w:cs="Arial"/>
          <w:color w:val="000000"/>
          <w:sz w:val="16"/>
          <w:szCs w:val="16"/>
        </w:rPr>
        <w:footnoteRef/>
      </w:r>
      <w:r w:rsidRPr="00224A89">
        <w:rPr>
          <w:rFonts w:ascii="Verdana" w:hAnsi="Verdana" w:cs="Arial"/>
          <w:color w:val="000000"/>
          <w:sz w:val="16"/>
          <w:szCs w:val="16"/>
        </w:rPr>
        <w:t xml:space="preserve"> “La última formalidad que deben cumplir los contratos de la Administración dentro del marco jurídico de la contratación estatal se refiere a la liquidación, definida, en principio, como un negocio jurídico bilateral cuyo objeto es la realización del corte de cuentas entre las partes contratantes, en el cual queda establecida la relación directa entre las prestaciones ejecutaras, el valor cobrado por las mismas y su cancelación por parte del deudor de estas, sin perjuicio de los descuentos económicos a que haya lugar con motivo de la aplicación de estipulaciones contractuales específicas</w:t>
      </w:r>
      <w:r w:rsidRPr="00224A89">
        <w:rPr>
          <w:rFonts w:ascii="Verdana" w:hAnsi="Verdana" w:cs="Arial"/>
          <w:color w:val="000000"/>
          <w:sz w:val="16"/>
          <w:szCs w:val="16"/>
          <w:shd w:val="clear" w:color="auto" w:fill="FFFFFF"/>
        </w:rPr>
        <w:t>” (</w:t>
      </w:r>
      <w:r w:rsidRPr="00224A89">
        <w:rPr>
          <w:rFonts w:ascii="Verdana" w:hAnsi="Verdana" w:cs="Arial"/>
          <w:color w:val="000000"/>
          <w:sz w:val="16"/>
          <w:szCs w:val="16"/>
        </w:rPr>
        <w:t>EXPOSITO, Juan Carlos. Forma y contenido del contrato estatal. Bogotá: Universidad Externado de Colombia, p. 89 y 90).</w:t>
      </w:r>
    </w:p>
    <w:p w14:paraId="355C8C8D" w14:textId="77777777" w:rsidR="00B706C7" w:rsidRPr="00224A89" w:rsidRDefault="00B706C7" w:rsidP="000508B5">
      <w:pPr>
        <w:pStyle w:val="Textonotapie"/>
        <w:ind w:firstLine="709"/>
        <w:jc w:val="both"/>
        <w:rPr>
          <w:rFonts w:ascii="Verdana" w:hAnsi="Verdana" w:cs="Arial"/>
          <w:color w:val="000000"/>
          <w:sz w:val="16"/>
          <w:szCs w:val="16"/>
        </w:rPr>
      </w:pPr>
    </w:p>
  </w:footnote>
  <w:footnote w:id="2">
    <w:p w14:paraId="3A88C4A1" w14:textId="77777777" w:rsidR="00B706C7" w:rsidRDefault="00B706C7" w:rsidP="000508B5">
      <w:pPr>
        <w:pStyle w:val="Textonotapie"/>
        <w:ind w:firstLine="709"/>
        <w:jc w:val="both"/>
        <w:rPr>
          <w:rFonts w:ascii="Verdana" w:hAnsi="Verdana" w:cs="Arial"/>
          <w:color w:val="000000"/>
          <w:sz w:val="16"/>
          <w:szCs w:val="16"/>
        </w:rPr>
      </w:pPr>
      <w:r w:rsidRPr="00224A89">
        <w:rPr>
          <w:rStyle w:val="Refdenotaalpie"/>
          <w:rFonts w:ascii="Verdana" w:hAnsi="Verdana" w:cs="Arial"/>
          <w:color w:val="000000"/>
          <w:sz w:val="16"/>
          <w:szCs w:val="16"/>
        </w:rPr>
        <w:footnoteRef/>
      </w:r>
      <w:r w:rsidRPr="00224A89">
        <w:rPr>
          <w:rFonts w:ascii="Verdana" w:hAnsi="Verdana" w:cs="Arial"/>
          <w:color w:val="000000"/>
          <w:sz w:val="16"/>
          <w:szCs w:val="16"/>
        </w:rPr>
        <w:t xml:space="preserve"> DÍAZ DÍEZ, Cristian Andrés. La liquidación. Serie: Las Cláusulas del Contrato Estatal. Medellín: Librería Jurídica Sánchez y Centro de Estudios de Derecho Administrativo –CEDA–, 2013. pp. 53-54.</w:t>
      </w:r>
    </w:p>
    <w:p w14:paraId="2BEC324D" w14:textId="77777777" w:rsidR="00B706C7" w:rsidRPr="00224A89" w:rsidRDefault="00B706C7" w:rsidP="000508B5">
      <w:pPr>
        <w:pStyle w:val="Textonotapie"/>
        <w:ind w:firstLine="709"/>
        <w:jc w:val="both"/>
        <w:rPr>
          <w:rFonts w:ascii="Verdana" w:hAnsi="Verdana" w:cs="Arial"/>
          <w:color w:val="000000"/>
          <w:sz w:val="16"/>
          <w:szCs w:val="16"/>
          <w:lang w:val="es-CO"/>
        </w:rPr>
      </w:pPr>
    </w:p>
  </w:footnote>
  <w:footnote w:id="3">
    <w:p w14:paraId="1F527756" w14:textId="77777777" w:rsidR="00B706C7" w:rsidRDefault="00B706C7" w:rsidP="000508B5">
      <w:pPr>
        <w:spacing w:after="0" w:line="240" w:lineRule="auto"/>
        <w:ind w:firstLine="709"/>
        <w:jc w:val="both"/>
        <w:rPr>
          <w:rFonts w:ascii="Verdana" w:hAnsi="Verdana" w:cs="Arial"/>
          <w:color w:val="000000"/>
          <w:sz w:val="16"/>
          <w:szCs w:val="16"/>
        </w:rPr>
      </w:pPr>
      <w:r w:rsidRPr="00224A89">
        <w:rPr>
          <w:rStyle w:val="Refdenotaalpie"/>
          <w:rFonts w:ascii="Verdana" w:hAnsi="Verdana" w:cs="Arial"/>
          <w:color w:val="000000"/>
          <w:sz w:val="16"/>
          <w:szCs w:val="16"/>
        </w:rPr>
        <w:footnoteRef/>
      </w:r>
      <w:r w:rsidRPr="00224A89">
        <w:rPr>
          <w:rFonts w:ascii="Verdana" w:hAnsi="Verdana" w:cs="Arial"/>
          <w:color w:val="000000"/>
          <w:sz w:val="16"/>
          <w:szCs w:val="16"/>
        </w:rPr>
        <w:t xml:space="preserve"> Consejo de Estado. </w:t>
      </w:r>
      <w:r>
        <w:rPr>
          <w:rFonts w:ascii="Verdana" w:hAnsi="Verdana" w:cs="Arial"/>
          <w:color w:val="000000"/>
          <w:sz w:val="16"/>
          <w:szCs w:val="16"/>
        </w:rPr>
        <w:t xml:space="preserve">Sala de lo Contencioso Administrativo. </w:t>
      </w:r>
      <w:r w:rsidRPr="00224A89">
        <w:rPr>
          <w:rFonts w:ascii="Verdana" w:hAnsi="Verdana" w:cs="Arial"/>
          <w:color w:val="000000"/>
          <w:sz w:val="16"/>
          <w:szCs w:val="16"/>
        </w:rPr>
        <w:t>Sección Tercera. Subsección C. 20 de octubre de 2014</w:t>
      </w:r>
      <w:r>
        <w:rPr>
          <w:rFonts w:ascii="Verdana" w:hAnsi="Verdana" w:cs="Arial"/>
          <w:color w:val="000000"/>
          <w:sz w:val="16"/>
          <w:szCs w:val="16"/>
        </w:rPr>
        <w:t xml:space="preserve">. </w:t>
      </w:r>
      <w:r w:rsidRPr="00224A89">
        <w:rPr>
          <w:rFonts w:ascii="Verdana" w:hAnsi="Verdana" w:cs="Arial"/>
          <w:color w:val="000000"/>
          <w:sz w:val="16"/>
          <w:szCs w:val="16"/>
        </w:rPr>
        <w:t>Exp. 27.777</w:t>
      </w:r>
      <w:r>
        <w:rPr>
          <w:rFonts w:ascii="Verdana" w:hAnsi="Verdana" w:cs="Arial"/>
          <w:color w:val="000000"/>
          <w:sz w:val="16"/>
          <w:szCs w:val="16"/>
        </w:rPr>
        <w:t>.</w:t>
      </w:r>
      <w:r w:rsidRPr="00224A89">
        <w:rPr>
          <w:rFonts w:ascii="Verdana" w:hAnsi="Verdana" w:cs="Arial"/>
          <w:color w:val="000000"/>
          <w:sz w:val="16"/>
          <w:szCs w:val="16"/>
        </w:rPr>
        <w:t xml:space="preserve"> </w:t>
      </w:r>
      <w:r>
        <w:rPr>
          <w:rFonts w:ascii="Verdana" w:hAnsi="Verdana" w:cs="Arial"/>
          <w:color w:val="000000"/>
          <w:sz w:val="16"/>
          <w:szCs w:val="16"/>
        </w:rPr>
        <w:t>C</w:t>
      </w:r>
      <w:r w:rsidRPr="00224A89">
        <w:rPr>
          <w:rFonts w:ascii="Verdana" w:hAnsi="Verdana" w:cs="Arial"/>
          <w:color w:val="000000"/>
          <w:sz w:val="16"/>
          <w:szCs w:val="16"/>
        </w:rPr>
        <w:t>.P: Enrique Gil Botero. Allí se dijo: “[…] liquidar supone un ajuste expreso y claro sobre las cuentas y el estado de cumplimiento de un contrato, de tal manera que conste el balance tanto técnico como económico de las obligaciones que estuvieron a cargo de las partes. En cuanto a lo primero, la liquidación debe incluir un análisis detallado de las condiciones de calidad y oportunidad en la entrega de los bienes, obras o servicios, y el balance económico dará cuenta del comportamiento financiero del negocio: recursos recibidos, pagos efectuados, estado del crédito o de la deuda de cada parte, entre otros detalles mínimos y necesarios para finiquitar una relación jurídica contractual”.</w:t>
      </w:r>
    </w:p>
    <w:p w14:paraId="39B8DD08" w14:textId="77777777" w:rsidR="00B706C7" w:rsidRPr="00224A89" w:rsidRDefault="00B706C7" w:rsidP="000508B5">
      <w:pPr>
        <w:spacing w:after="0" w:line="240" w:lineRule="auto"/>
        <w:ind w:firstLine="709"/>
        <w:jc w:val="both"/>
        <w:rPr>
          <w:rFonts w:ascii="Verdana" w:hAnsi="Verdana" w:cs="Arial"/>
          <w:color w:val="000000"/>
          <w:sz w:val="16"/>
          <w:szCs w:val="16"/>
          <w:lang w:val="es-ES"/>
        </w:rPr>
      </w:pPr>
    </w:p>
  </w:footnote>
  <w:footnote w:id="4">
    <w:p w14:paraId="04045DFE" w14:textId="77777777" w:rsidR="00B706C7" w:rsidRDefault="00B706C7" w:rsidP="000508B5">
      <w:pPr>
        <w:pStyle w:val="Textonotapie"/>
        <w:ind w:firstLine="709"/>
        <w:jc w:val="both"/>
        <w:rPr>
          <w:rFonts w:ascii="Verdana" w:hAnsi="Verdana" w:cs="Arial"/>
          <w:color w:val="000000"/>
          <w:sz w:val="16"/>
          <w:szCs w:val="16"/>
        </w:rPr>
      </w:pPr>
      <w:r w:rsidRPr="00224A89">
        <w:rPr>
          <w:rStyle w:val="Refdenotaalpie"/>
          <w:rFonts w:ascii="Verdana" w:hAnsi="Verdana" w:cs="Arial"/>
          <w:color w:val="000000"/>
          <w:sz w:val="16"/>
          <w:szCs w:val="16"/>
        </w:rPr>
        <w:footnoteRef/>
      </w:r>
      <w:r w:rsidRPr="00224A89">
        <w:rPr>
          <w:rFonts w:ascii="Verdana" w:hAnsi="Verdana" w:cs="Arial"/>
          <w:color w:val="000000"/>
          <w:sz w:val="16"/>
          <w:szCs w:val="16"/>
        </w:rPr>
        <w:t xml:space="preserve"> EXPÓSITO VÉLEZ, Juan Carlos. Forma y contenido del contrato estatal, p. 90.</w:t>
      </w:r>
    </w:p>
    <w:p w14:paraId="369683D5" w14:textId="77777777" w:rsidR="00B706C7" w:rsidRPr="00224A89" w:rsidRDefault="00B706C7" w:rsidP="000508B5">
      <w:pPr>
        <w:pStyle w:val="Textonotapie"/>
        <w:ind w:firstLine="709"/>
        <w:jc w:val="both"/>
        <w:rPr>
          <w:rFonts w:ascii="Verdana" w:hAnsi="Verdana" w:cs="Arial"/>
          <w:color w:val="000000"/>
          <w:sz w:val="16"/>
          <w:szCs w:val="16"/>
        </w:rPr>
      </w:pPr>
    </w:p>
  </w:footnote>
  <w:footnote w:id="5">
    <w:p w14:paraId="474C62D0" w14:textId="77777777" w:rsidR="00B706C7" w:rsidRPr="00C761DE" w:rsidRDefault="00B706C7" w:rsidP="000508B5">
      <w:pPr>
        <w:pStyle w:val="Textonotapie"/>
        <w:ind w:firstLine="709"/>
        <w:jc w:val="both"/>
        <w:rPr>
          <w:rFonts w:ascii="Verdana" w:hAnsi="Verdana" w:cs="Arial"/>
          <w:color w:val="000000"/>
          <w:sz w:val="16"/>
          <w:szCs w:val="16"/>
        </w:rPr>
      </w:pPr>
      <w:r w:rsidRPr="00224A89">
        <w:rPr>
          <w:rStyle w:val="Refdenotaalpie"/>
          <w:rFonts w:ascii="Verdana" w:hAnsi="Verdana" w:cs="Arial"/>
          <w:color w:val="000000"/>
          <w:sz w:val="16"/>
          <w:szCs w:val="16"/>
        </w:rPr>
        <w:footnoteRef/>
      </w:r>
      <w:r w:rsidRPr="00224A89">
        <w:rPr>
          <w:rFonts w:ascii="Verdana" w:hAnsi="Verdana" w:cs="Arial"/>
          <w:color w:val="000000"/>
          <w:sz w:val="16"/>
          <w:szCs w:val="16"/>
        </w:rPr>
        <w:t xml:space="preserve"> </w:t>
      </w:r>
      <w:r w:rsidRPr="00C761DE">
        <w:rPr>
          <w:rFonts w:ascii="Verdana" w:hAnsi="Verdana"/>
          <w:sz w:val="16"/>
          <w:szCs w:val="16"/>
          <w:lang w:val="es-ES"/>
        </w:rPr>
        <w:t>Consejo de Estado.</w:t>
      </w:r>
      <w:r w:rsidRPr="00C761DE">
        <w:rPr>
          <w:rFonts w:ascii="Verdana" w:hAnsi="Verdana" w:cs="Arial"/>
          <w:color w:val="000000"/>
          <w:sz w:val="16"/>
          <w:szCs w:val="16"/>
        </w:rPr>
        <w:t xml:space="preserve"> Sala de Consulta y Servicio Civil. Radicado No. 1453. Concepto de 6 de agosto de 2003. MP. Augusto Trejos.</w:t>
      </w:r>
    </w:p>
    <w:p w14:paraId="587796A2" w14:textId="77777777" w:rsidR="00B706C7" w:rsidRPr="00C761DE" w:rsidRDefault="00B706C7" w:rsidP="000508B5">
      <w:pPr>
        <w:pStyle w:val="Textonotapie"/>
        <w:ind w:firstLine="709"/>
        <w:jc w:val="both"/>
        <w:rPr>
          <w:rFonts w:ascii="Verdana" w:hAnsi="Verdana" w:cs="Arial"/>
          <w:color w:val="000000"/>
          <w:sz w:val="16"/>
          <w:szCs w:val="16"/>
        </w:rPr>
      </w:pPr>
    </w:p>
  </w:footnote>
  <w:footnote w:id="6">
    <w:p w14:paraId="7EDAB338" w14:textId="77777777" w:rsidR="00B706C7" w:rsidRPr="00526D65" w:rsidRDefault="00B706C7" w:rsidP="00B706C7">
      <w:pPr>
        <w:pStyle w:val="Textonotapie"/>
        <w:ind w:firstLine="709"/>
        <w:rPr>
          <w:rFonts w:ascii="Verdana" w:hAnsi="Verdana"/>
          <w:sz w:val="16"/>
          <w:szCs w:val="16"/>
          <w:lang w:val="es-CO"/>
        </w:rPr>
      </w:pPr>
      <w:r w:rsidRPr="00C761DE">
        <w:rPr>
          <w:rStyle w:val="Refdenotaalpie"/>
          <w:rFonts w:ascii="Verdana" w:hAnsi="Verdana"/>
          <w:sz w:val="16"/>
          <w:szCs w:val="16"/>
        </w:rPr>
        <w:footnoteRef/>
      </w:r>
      <w:r w:rsidRPr="00C761DE">
        <w:rPr>
          <w:rFonts w:ascii="Verdana" w:hAnsi="Verdana"/>
          <w:sz w:val="16"/>
          <w:szCs w:val="16"/>
        </w:rPr>
        <w:t xml:space="preserve"> </w:t>
      </w:r>
      <w:r w:rsidRPr="00C761DE">
        <w:rPr>
          <w:rFonts w:ascii="Verdana" w:hAnsi="Verdana"/>
          <w:sz w:val="16"/>
          <w:szCs w:val="16"/>
          <w:lang w:val="es-ES"/>
        </w:rPr>
        <w:t xml:space="preserve">Consejo de Estado. Sala de Consulta y Servicio Civil. Concepto del 28 de junio de 2016. Radicado: </w:t>
      </w:r>
      <w:r w:rsidRPr="00C761DE">
        <w:rPr>
          <w:rFonts w:ascii="Verdana" w:hAnsi="Verdana"/>
          <w:sz w:val="16"/>
          <w:szCs w:val="16"/>
          <w:lang w:val="es-CO"/>
        </w:rPr>
        <w:t>11001-03-06-000-2015-00067-00 (2253). C.P: Alvaro Namén Vargas</w:t>
      </w:r>
      <w:r w:rsidRPr="00526D65">
        <w:rPr>
          <w:rFonts w:ascii="Verdana" w:hAnsi="Verdana"/>
          <w:sz w:val="16"/>
          <w:szCs w:val="16"/>
          <w:lang w:val="es-CO"/>
        </w:rPr>
        <w:t xml:space="preserve">. </w:t>
      </w:r>
    </w:p>
    <w:p w14:paraId="271A5A8A" w14:textId="77777777" w:rsidR="00B706C7" w:rsidRPr="00526D65" w:rsidRDefault="00B706C7" w:rsidP="00B706C7">
      <w:pPr>
        <w:pStyle w:val="Textonotapie"/>
        <w:ind w:firstLine="709"/>
        <w:rPr>
          <w:rFonts w:ascii="Verdana" w:hAnsi="Verdana"/>
          <w:sz w:val="16"/>
          <w:szCs w:val="16"/>
          <w:lang w:val="es-ES"/>
        </w:rPr>
      </w:pPr>
    </w:p>
  </w:footnote>
  <w:footnote w:id="7">
    <w:p w14:paraId="391028E4" w14:textId="77777777" w:rsidR="00B706C7" w:rsidRPr="00526D65" w:rsidRDefault="00B706C7" w:rsidP="00B706C7">
      <w:pPr>
        <w:pStyle w:val="Textonotapie"/>
        <w:ind w:firstLine="709"/>
        <w:rPr>
          <w:rFonts w:ascii="Verdana" w:hAnsi="Verdana"/>
          <w:sz w:val="16"/>
          <w:szCs w:val="16"/>
          <w:lang w:val="es-ES"/>
        </w:rPr>
      </w:pPr>
      <w:r w:rsidRPr="00526D65">
        <w:rPr>
          <w:rStyle w:val="Refdenotaalpie"/>
          <w:rFonts w:ascii="Verdana" w:hAnsi="Verdana"/>
          <w:sz w:val="16"/>
          <w:szCs w:val="16"/>
        </w:rPr>
        <w:footnoteRef/>
      </w:r>
      <w:r w:rsidRPr="00526D65">
        <w:rPr>
          <w:rFonts w:ascii="Verdana" w:hAnsi="Verdana"/>
          <w:sz w:val="16"/>
          <w:szCs w:val="16"/>
        </w:rPr>
        <w:t xml:space="preserve"> </w:t>
      </w:r>
      <w:r w:rsidRPr="00526D65">
        <w:rPr>
          <w:rFonts w:ascii="Verdana" w:hAnsi="Verdana"/>
          <w:sz w:val="16"/>
          <w:szCs w:val="16"/>
          <w:lang w:val="es-ES"/>
        </w:rPr>
        <w:t xml:space="preserve">Ibidem. </w:t>
      </w:r>
    </w:p>
    <w:p w14:paraId="3BFD749E" w14:textId="77777777" w:rsidR="00B706C7" w:rsidRPr="00526D65" w:rsidRDefault="00B706C7" w:rsidP="00B706C7">
      <w:pPr>
        <w:pStyle w:val="Textonotapie"/>
        <w:ind w:firstLine="709"/>
        <w:rPr>
          <w:rFonts w:ascii="Verdana" w:hAnsi="Verdana"/>
          <w:sz w:val="16"/>
          <w:szCs w:val="16"/>
          <w:lang w:val="es-ES"/>
        </w:rPr>
      </w:pPr>
    </w:p>
  </w:footnote>
  <w:footnote w:id="8">
    <w:p w14:paraId="056F974F" w14:textId="77777777" w:rsidR="00B706C7" w:rsidRPr="000959A8" w:rsidRDefault="00B706C7" w:rsidP="00B706C7">
      <w:pPr>
        <w:pStyle w:val="Textonotapie"/>
        <w:ind w:firstLine="709"/>
        <w:jc w:val="both"/>
        <w:rPr>
          <w:rFonts w:ascii="Verdana" w:eastAsia="Calibri" w:hAnsi="Verdana" w:cs="Arial"/>
          <w:sz w:val="16"/>
          <w:szCs w:val="16"/>
          <w:lang w:val="es-ES_tradnl" w:eastAsia="es-ES_tradnl"/>
        </w:rPr>
      </w:pPr>
      <w:r w:rsidRPr="000959A8">
        <w:rPr>
          <w:rStyle w:val="Refdenotaalpie"/>
          <w:rFonts w:ascii="Verdana" w:hAnsi="Verdana" w:cs="Arial"/>
          <w:sz w:val="16"/>
          <w:szCs w:val="16"/>
        </w:rPr>
        <w:footnoteRef/>
      </w:r>
      <w:r w:rsidRPr="000959A8">
        <w:rPr>
          <w:rFonts w:ascii="Verdana" w:hAnsi="Verdana" w:cs="Arial"/>
          <w:sz w:val="16"/>
          <w:szCs w:val="16"/>
        </w:rPr>
        <w:t xml:space="preserve"> </w:t>
      </w:r>
      <w:r w:rsidRPr="000959A8">
        <w:rPr>
          <w:rFonts w:ascii="Verdana" w:eastAsia="Calibri" w:hAnsi="Verdana" w:cs="Arial"/>
          <w:sz w:val="16"/>
          <w:szCs w:val="16"/>
          <w:lang w:val="es-ES_tradnl" w:eastAsia="es-ES_tradnl"/>
        </w:rPr>
        <w:t>“La manera como las ofertas presentan el precio varía demasiado, incluso por razón de la costumbre que se impone en determinados negocios. Por ejemplo, tratándose de la compraventa, del suministro o la prestación de servicios profesionales –entre otros contratos, que de hecho son la mayoría– el valor que se ofrece no se desglosa para revelar al destinatario su estructura de costos. El proponente se limita a establecer una cifra por la que está dispuesto a asumir ciertas obligaciones, pero el comprador desconoce cómo se compone internamente, es decir, no sabe –ni usualmente le interesa conocerlo– qué parte del valor corresponde a gastos de mano de obra, de transporte, de energía, cuál es la utilidad esperada, entre otros conceptos. En estos casos se limita a conocer con claridad absoluta cuánto le costará el bien o el servicio, porque es lo que pagará.</w:t>
      </w:r>
    </w:p>
    <w:p w14:paraId="250C773C" w14:textId="77777777" w:rsidR="00B706C7" w:rsidRPr="000959A8" w:rsidRDefault="00B706C7" w:rsidP="00B706C7">
      <w:pPr>
        <w:pStyle w:val="Textonotapie"/>
        <w:ind w:firstLine="709"/>
        <w:jc w:val="both"/>
        <w:rPr>
          <w:rFonts w:ascii="Verdana" w:hAnsi="Verdana" w:cs="Arial"/>
          <w:sz w:val="16"/>
          <w:szCs w:val="16"/>
          <w:lang w:val="es-ES"/>
        </w:rPr>
      </w:pPr>
      <w:r w:rsidRPr="000959A8">
        <w:rPr>
          <w:rFonts w:ascii="Verdana" w:eastAsia="Calibri" w:hAnsi="Verdana" w:cs="Arial"/>
          <w:sz w:val="16"/>
          <w:szCs w:val="16"/>
          <w:lang w:val="es-ES_tradnl" w:eastAsia="es-ES_tradnl"/>
        </w:rPr>
        <w:t>Sin embargo, en otros negocios, como la obra pública, la concesión y la consultoría, el Estado está acostumbrado a que se desglosen intensamente los costos, exigiendo no sólo el precio total sino una distinción entre los costos directos y los costos indirectos. Los primeros son los gastos imprescindibles para ejecutar la obra, entre los que se encuentra: la adquisición de materiales, insumos y suministros, la inversión en equipos, el pago de la mano de obra de las cuadrillas de trabajadores obreros y otros gastos afines –representados en los ítems que componen el contrato–. Los costos indirectos aluden a los gastos que también son necesarios para la obra, pero que no hacen parte de los elementos mismos con los que se construye, es decir, se trata de los costos de administración de la obra, los imprevistos que se presentan durante su ejecución y la utilidad esperada” (MARÍN CORTÉS, Fabián. El precio. Serie: Las cláusulas del contrato estatal. Medellín: Librería Jurídica Sánchez y Centro de Estudios de Derecho Administrativo –CEDA–, 2012. pp. 63-64).</w:t>
      </w:r>
    </w:p>
  </w:footnote>
  <w:footnote w:id="9">
    <w:p w14:paraId="6A4701DA" w14:textId="77777777" w:rsidR="00B706C7" w:rsidRDefault="00B706C7" w:rsidP="000508B5">
      <w:pPr>
        <w:pStyle w:val="Textonotapie"/>
        <w:ind w:firstLine="709"/>
        <w:jc w:val="both"/>
        <w:rPr>
          <w:rFonts w:ascii="Verdana" w:eastAsia="Calibri" w:hAnsi="Verdana" w:cs="Arial"/>
          <w:sz w:val="16"/>
          <w:szCs w:val="16"/>
          <w:lang w:val="es-ES_tradnl" w:eastAsia="es-ES_tradnl"/>
        </w:rPr>
      </w:pPr>
      <w:r w:rsidRPr="000959A8">
        <w:rPr>
          <w:rStyle w:val="Refdenotaalpie"/>
          <w:rFonts w:ascii="Verdana" w:hAnsi="Verdana" w:cs="Arial"/>
          <w:sz w:val="16"/>
          <w:szCs w:val="16"/>
        </w:rPr>
        <w:footnoteRef/>
      </w:r>
      <w:r w:rsidRPr="000959A8">
        <w:rPr>
          <w:rFonts w:ascii="Verdana" w:hAnsi="Verdana" w:cs="Arial"/>
          <w:sz w:val="16"/>
          <w:szCs w:val="16"/>
        </w:rPr>
        <w:t xml:space="preserve"> </w:t>
      </w:r>
      <w:r>
        <w:rPr>
          <w:rFonts w:ascii="Verdana" w:eastAsia="Calibri" w:hAnsi="Verdana" w:cs="Arial"/>
          <w:sz w:val="16"/>
          <w:szCs w:val="16"/>
          <w:lang w:val="es-ES_tradnl" w:eastAsia="es-ES_tradnl"/>
        </w:rPr>
        <w:t xml:space="preserve">Consejo de Estado. Sala de lo Contencioso Administrativo. </w:t>
      </w:r>
      <w:r w:rsidRPr="000959A8">
        <w:rPr>
          <w:rFonts w:ascii="Verdana" w:eastAsia="Calibri" w:hAnsi="Verdana" w:cs="Arial"/>
          <w:sz w:val="16"/>
          <w:szCs w:val="16"/>
          <w:lang w:val="es-ES_tradnl" w:eastAsia="es-ES_tradnl"/>
        </w:rPr>
        <w:t>Sección Tercera. Subsección B. Sentencia del 29 de febrero de 2012. Exp. 16371, C.P. Danilo Rojas Betancourth.</w:t>
      </w:r>
    </w:p>
    <w:p w14:paraId="411EE5DB" w14:textId="77777777" w:rsidR="00B706C7" w:rsidRPr="000959A8" w:rsidRDefault="00B706C7" w:rsidP="000508B5">
      <w:pPr>
        <w:pStyle w:val="Textonotapie"/>
        <w:ind w:firstLine="709"/>
        <w:jc w:val="both"/>
        <w:rPr>
          <w:rFonts w:ascii="Verdana" w:hAnsi="Verdana" w:cs="Arial"/>
          <w:sz w:val="16"/>
          <w:szCs w:val="16"/>
        </w:rPr>
      </w:pPr>
    </w:p>
  </w:footnote>
  <w:footnote w:id="10">
    <w:p w14:paraId="5964DE58" w14:textId="77777777" w:rsidR="00B706C7" w:rsidRDefault="00B706C7" w:rsidP="00B706C7">
      <w:pPr>
        <w:pStyle w:val="Textonotapie"/>
        <w:ind w:firstLine="709"/>
        <w:jc w:val="both"/>
        <w:rPr>
          <w:rFonts w:ascii="Verdana" w:eastAsia="Calibri" w:hAnsi="Verdana" w:cs="Arial"/>
          <w:sz w:val="16"/>
          <w:szCs w:val="16"/>
          <w:lang w:val="es-ES_tradnl" w:eastAsia="es-ES_tradnl"/>
        </w:rPr>
      </w:pPr>
      <w:r w:rsidRPr="000959A8">
        <w:rPr>
          <w:rStyle w:val="Refdenotaalpie"/>
          <w:rFonts w:ascii="Verdana" w:hAnsi="Verdana" w:cs="Arial"/>
          <w:sz w:val="16"/>
          <w:szCs w:val="16"/>
        </w:rPr>
        <w:footnoteRef/>
      </w:r>
      <w:r w:rsidRPr="000959A8">
        <w:rPr>
          <w:rFonts w:ascii="Verdana" w:hAnsi="Verdana" w:cs="Arial"/>
          <w:sz w:val="16"/>
          <w:szCs w:val="16"/>
        </w:rPr>
        <w:t xml:space="preserve"> </w:t>
      </w:r>
      <w:r w:rsidRPr="000959A8">
        <w:rPr>
          <w:rFonts w:ascii="Verdana" w:eastAsia="Calibri" w:hAnsi="Verdana" w:cs="Arial"/>
          <w:sz w:val="16"/>
          <w:szCs w:val="16"/>
          <w:lang w:val="es-ES_tradnl" w:eastAsia="es-ES_tradnl"/>
        </w:rPr>
        <w:t>PINO RICCI, Jorge. El régimen jurídico de los contratos estatales. Universidad Externado de Colombia. Bogotá, 2005. pp. 416.</w:t>
      </w:r>
    </w:p>
    <w:p w14:paraId="0DB2C35E" w14:textId="77777777" w:rsidR="00B706C7" w:rsidRPr="000959A8" w:rsidRDefault="00B706C7" w:rsidP="00B706C7">
      <w:pPr>
        <w:pStyle w:val="Textonotapie"/>
        <w:ind w:firstLine="709"/>
        <w:jc w:val="both"/>
        <w:rPr>
          <w:rFonts w:ascii="Verdana" w:hAnsi="Verdana" w:cs="Arial"/>
          <w:sz w:val="16"/>
          <w:szCs w:val="16"/>
          <w:lang w:val="es-CO"/>
        </w:rPr>
      </w:pPr>
    </w:p>
  </w:footnote>
  <w:footnote w:id="11">
    <w:p w14:paraId="1DFDA81F" w14:textId="77777777" w:rsidR="00B706C7" w:rsidRDefault="00B706C7" w:rsidP="000508B5">
      <w:pPr>
        <w:pStyle w:val="Textonotapie"/>
        <w:ind w:firstLine="709"/>
        <w:jc w:val="both"/>
        <w:rPr>
          <w:rFonts w:ascii="Verdana" w:eastAsia="Calibri" w:hAnsi="Verdana" w:cs="Arial"/>
          <w:sz w:val="16"/>
          <w:szCs w:val="16"/>
          <w:lang w:val="es-ES_tradnl" w:eastAsia="es-ES_tradnl"/>
        </w:rPr>
      </w:pPr>
      <w:r w:rsidRPr="000959A8">
        <w:rPr>
          <w:rStyle w:val="Refdenotaalpie"/>
          <w:rFonts w:ascii="Verdana" w:hAnsi="Verdana" w:cs="Arial"/>
          <w:sz w:val="16"/>
          <w:szCs w:val="16"/>
        </w:rPr>
        <w:footnoteRef/>
      </w:r>
      <w:r w:rsidRPr="000959A8">
        <w:rPr>
          <w:rFonts w:ascii="Verdana" w:hAnsi="Verdana" w:cs="Arial"/>
          <w:sz w:val="16"/>
          <w:szCs w:val="16"/>
        </w:rPr>
        <w:t xml:space="preserve"> </w:t>
      </w:r>
      <w:r w:rsidRPr="000959A8">
        <w:rPr>
          <w:rFonts w:ascii="Verdana" w:eastAsia="Calibri" w:hAnsi="Verdana" w:cs="Arial"/>
          <w:sz w:val="16"/>
          <w:szCs w:val="16"/>
          <w:lang w:val="es-ES_tradnl" w:eastAsia="es-ES_tradnl"/>
        </w:rPr>
        <w:t xml:space="preserve">Consejo </w:t>
      </w:r>
      <w:r>
        <w:rPr>
          <w:rFonts w:ascii="Verdana" w:eastAsia="Calibri" w:hAnsi="Verdana" w:cs="Arial"/>
          <w:sz w:val="16"/>
          <w:szCs w:val="16"/>
          <w:lang w:val="es-ES_tradnl" w:eastAsia="es-ES_tradnl"/>
        </w:rPr>
        <w:t>d</w:t>
      </w:r>
      <w:r w:rsidRPr="000959A8">
        <w:rPr>
          <w:rFonts w:ascii="Verdana" w:eastAsia="Calibri" w:hAnsi="Verdana" w:cs="Arial"/>
          <w:sz w:val="16"/>
          <w:szCs w:val="16"/>
          <w:lang w:val="es-ES_tradnl" w:eastAsia="es-ES_tradnl"/>
        </w:rPr>
        <w:t xml:space="preserve">e Estado. </w:t>
      </w:r>
      <w:r>
        <w:rPr>
          <w:rFonts w:ascii="Verdana" w:eastAsia="Calibri" w:hAnsi="Verdana" w:cs="Arial"/>
          <w:sz w:val="16"/>
          <w:szCs w:val="16"/>
          <w:lang w:val="es-ES_tradnl" w:eastAsia="es-ES_tradnl"/>
        </w:rPr>
        <w:t xml:space="preserve">Sala de lo Contencioso Administrativo. </w:t>
      </w:r>
      <w:r w:rsidRPr="000959A8">
        <w:rPr>
          <w:rFonts w:ascii="Verdana" w:eastAsia="Calibri" w:hAnsi="Verdana" w:cs="Arial"/>
          <w:sz w:val="16"/>
          <w:szCs w:val="16"/>
          <w:lang w:val="es-ES_tradnl" w:eastAsia="es-ES_tradnl"/>
        </w:rPr>
        <w:t>Sección Tercera. Subsección B. Sentencia del 14 de octubre de 2011. Exp. 20811, C.P. Ruth Stella Correa Palacio.</w:t>
      </w:r>
    </w:p>
    <w:p w14:paraId="27275EDE" w14:textId="77777777" w:rsidR="00B706C7" w:rsidRPr="000959A8" w:rsidRDefault="00B706C7" w:rsidP="000508B5">
      <w:pPr>
        <w:pStyle w:val="Textonotapie"/>
        <w:ind w:firstLine="709"/>
        <w:jc w:val="both"/>
        <w:rPr>
          <w:rFonts w:ascii="Verdana" w:hAnsi="Verdana" w:cs="Arial"/>
          <w:sz w:val="16"/>
          <w:szCs w:val="16"/>
        </w:rPr>
      </w:pPr>
    </w:p>
  </w:footnote>
  <w:footnote w:id="12">
    <w:p w14:paraId="2C6F2791" w14:textId="77777777" w:rsidR="00B706C7" w:rsidRDefault="00B706C7" w:rsidP="000508B5">
      <w:pPr>
        <w:pStyle w:val="Textonotapie"/>
        <w:ind w:firstLine="709"/>
        <w:jc w:val="both"/>
        <w:rPr>
          <w:rFonts w:ascii="Verdana" w:eastAsia="Calibri" w:hAnsi="Verdana" w:cs="Arial"/>
          <w:sz w:val="16"/>
          <w:szCs w:val="16"/>
          <w:lang w:val="es-ES_tradnl" w:eastAsia="es-ES_tradnl"/>
        </w:rPr>
      </w:pPr>
      <w:r w:rsidRPr="000959A8">
        <w:rPr>
          <w:rStyle w:val="Refdenotaalpie"/>
          <w:rFonts w:ascii="Verdana" w:hAnsi="Verdana" w:cs="Arial"/>
          <w:sz w:val="16"/>
          <w:szCs w:val="16"/>
        </w:rPr>
        <w:footnoteRef/>
      </w:r>
      <w:r w:rsidRPr="000959A8">
        <w:rPr>
          <w:rFonts w:ascii="Verdana" w:hAnsi="Verdana" w:cs="Arial"/>
          <w:sz w:val="16"/>
          <w:szCs w:val="16"/>
        </w:rPr>
        <w:t xml:space="preserve"> </w:t>
      </w:r>
      <w:r w:rsidRPr="000959A8">
        <w:rPr>
          <w:rFonts w:ascii="Verdana" w:eastAsia="Calibri" w:hAnsi="Verdana" w:cs="Arial"/>
          <w:sz w:val="16"/>
          <w:szCs w:val="16"/>
          <w:lang w:val="es-ES_tradnl" w:eastAsia="es-ES_tradnl"/>
        </w:rPr>
        <w:t xml:space="preserve">Consejo </w:t>
      </w:r>
      <w:r>
        <w:rPr>
          <w:rFonts w:ascii="Verdana" w:eastAsia="Calibri" w:hAnsi="Verdana" w:cs="Arial"/>
          <w:sz w:val="16"/>
          <w:szCs w:val="16"/>
          <w:lang w:val="es-ES_tradnl" w:eastAsia="es-ES_tradnl"/>
        </w:rPr>
        <w:t>d</w:t>
      </w:r>
      <w:r w:rsidRPr="000959A8">
        <w:rPr>
          <w:rFonts w:ascii="Verdana" w:eastAsia="Calibri" w:hAnsi="Verdana" w:cs="Arial"/>
          <w:sz w:val="16"/>
          <w:szCs w:val="16"/>
          <w:lang w:val="es-ES_tradnl" w:eastAsia="es-ES_tradnl"/>
        </w:rPr>
        <w:t>e Estado. Sala de Consulta y Servicio Civil. Concepto del 5 de septiembre de 2018, radicado No. 11001-03-06-000-2018-00124-00 C.P. Édgar González López.</w:t>
      </w:r>
    </w:p>
    <w:p w14:paraId="3F4DB301" w14:textId="77777777" w:rsidR="00B706C7" w:rsidRPr="000959A8" w:rsidRDefault="00B706C7" w:rsidP="000508B5">
      <w:pPr>
        <w:pStyle w:val="Textonotapie"/>
        <w:ind w:firstLine="709"/>
        <w:jc w:val="both"/>
        <w:rPr>
          <w:rFonts w:ascii="Verdana" w:hAnsi="Verdana" w:cs="Arial"/>
          <w:sz w:val="16"/>
          <w:szCs w:val="16"/>
        </w:rPr>
      </w:pPr>
    </w:p>
  </w:footnote>
  <w:footnote w:id="13">
    <w:p w14:paraId="22D8F239" w14:textId="77777777" w:rsidR="00B706C7" w:rsidRDefault="00B706C7" w:rsidP="000508B5">
      <w:pPr>
        <w:pStyle w:val="Textonotapie"/>
        <w:ind w:firstLine="709"/>
        <w:jc w:val="both"/>
        <w:rPr>
          <w:rFonts w:ascii="Verdana" w:eastAsia="Calibri" w:hAnsi="Verdana" w:cs="Arial"/>
          <w:sz w:val="16"/>
          <w:szCs w:val="16"/>
          <w:lang w:val="es-ES_tradnl" w:eastAsia="es-ES_tradnl"/>
        </w:rPr>
      </w:pPr>
      <w:r w:rsidRPr="000959A8">
        <w:rPr>
          <w:rStyle w:val="Refdenotaalpie"/>
          <w:rFonts w:ascii="Verdana" w:hAnsi="Verdana" w:cs="Arial"/>
          <w:sz w:val="16"/>
          <w:szCs w:val="16"/>
        </w:rPr>
        <w:footnoteRef/>
      </w:r>
      <w:r w:rsidRPr="000959A8">
        <w:rPr>
          <w:rFonts w:ascii="Verdana" w:hAnsi="Verdana" w:cs="Arial"/>
          <w:sz w:val="16"/>
          <w:szCs w:val="16"/>
        </w:rPr>
        <w:t xml:space="preserve"> </w:t>
      </w:r>
      <w:r w:rsidRPr="000959A8">
        <w:rPr>
          <w:rFonts w:ascii="Verdana" w:eastAsia="Calibri" w:hAnsi="Verdana" w:cs="Arial"/>
          <w:sz w:val="16"/>
          <w:szCs w:val="16"/>
          <w:lang w:val="es-ES_tradnl" w:eastAsia="es-ES_tradnl"/>
        </w:rPr>
        <w:t>“Los costos indirectos incorporados en el A, corresponden como regla general a gastos de la oficina central, honorarios del director de obra, y de personal especializado. Generalmente estos costos pueden estar compartidos con los diversos contratos de obra que en forma simultánea esté ejecutando el contratista. Un ejemplo corresponde a los costos de la oficina central, y de los asesores de proyectos”.</w:t>
      </w:r>
    </w:p>
    <w:p w14:paraId="77D14BC5" w14:textId="77777777" w:rsidR="00B706C7" w:rsidRPr="000959A8" w:rsidRDefault="00B706C7" w:rsidP="000508B5">
      <w:pPr>
        <w:pStyle w:val="Textonotapie"/>
        <w:ind w:firstLine="709"/>
        <w:jc w:val="both"/>
        <w:rPr>
          <w:rFonts w:ascii="Verdana" w:hAnsi="Verdana" w:cs="Arial"/>
          <w:sz w:val="16"/>
          <w:szCs w:val="16"/>
        </w:rPr>
      </w:pPr>
    </w:p>
  </w:footnote>
  <w:footnote w:id="14">
    <w:p w14:paraId="3354C751" w14:textId="77777777" w:rsidR="00B706C7" w:rsidRDefault="00B706C7" w:rsidP="000508B5">
      <w:pPr>
        <w:pStyle w:val="Textonotapie"/>
        <w:ind w:firstLine="709"/>
        <w:jc w:val="both"/>
        <w:rPr>
          <w:rFonts w:ascii="Verdana" w:hAnsi="Verdana" w:cs="Arial"/>
          <w:sz w:val="16"/>
          <w:szCs w:val="16"/>
        </w:rPr>
      </w:pPr>
      <w:r w:rsidRPr="000959A8">
        <w:rPr>
          <w:rStyle w:val="Refdenotaalpie"/>
          <w:rFonts w:ascii="Verdana" w:hAnsi="Verdana" w:cs="Arial"/>
          <w:sz w:val="16"/>
          <w:szCs w:val="16"/>
        </w:rPr>
        <w:footnoteRef/>
      </w:r>
      <w:r w:rsidRPr="000959A8">
        <w:rPr>
          <w:rFonts w:ascii="Verdana" w:hAnsi="Verdana" w:cs="Arial"/>
          <w:sz w:val="16"/>
          <w:szCs w:val="16"/>
        </w:rPr>
        <w:t xml:space="preserve"> </w:t>
      </w:r>
      <w:r w:rsidRPr="000959A8">
        <w:rPr>
          <w:rFonts w:ascii="Verdana" w:eastAsia="Calibri" w:hAnsi="Verdana" w:cs="Arial"/>
          <w:sz w:val="16"/>
          <w:szCs w:val="16"/>
          <w:lang w:val="es-ES_tradnl" w:eastAsia="es-ES_tradnl"/>
        </w:rPr>
        <w:t>“[…] la utilidad es el beneficio económico que pretende percibir el contratista por la ejecución del contrato y por costos de administración se han tenido como tales los que constituyen costos indirectos para la operación del contrato, tales como los gastos de disponibilidad de la organización del contratista; el porcentaje para imprevistos, como su nombre lo indica, está destinado a cubrir los gastos con los que no se contaba y que se presenten durante la ejecución del contrato” (</w:t>
      </w:r>
      <w:r w:rsidRPr="005D2210">
        <w:rPr>
          <w:rFonts w:ascii="Verdana" w:eastAsia="Calibri" w:hAnsi="Verdana" w:cs="Arial"/>
          <w:sz w:val="16"/>
          <w:szCs w:val="16"/>
          <w:lang w:val="es-ES_tradnl" w:eastAsia="es-ES_tradnl"/>
        </w:rPr>
        <w:t>Consejo de Estado. Sala de lo Contencioso Administrativo. Sección Tercera. Sentencia del 28 de agosto de 2003. Radicado: 17.554. C.P: Ramiro Saavedra Becerra.</w:t>
      </w:r>
      <w:r w:rsidRPr="000959A8">
        <w:rPr>
          <w:rFonts w:ascii="Verdana" w:eastAsia="Calibri" w:hAnsi="Verdana" w:cs="Arial"/>
          <w:sz w:val="16"/>
          <w:szCs w:val="16"/>
          <w:lang w:val="es-ES_tradnl" w:eastAsia="es-ES_tradnl"/>
        </w:rPr>
        <w:t>).</w:t>
      </w:r>
      <w:r w:rsidRPr="000959A8">
        <w:rPr>
          <w:rFonts w:ascii="Verdana" w:hAnsi="Verdana" w:cs="Arial"/>
          <w:sz w:val="16"/>
          <w:szCs w:val="16"/>
        </w:rPr>
        <w:t xml:space="preserve"> </w:t>
      </w:r>
    </w:p>
    <w:p w14:paraId="566F46EA" w14:textId="77777777" w:rsidR="00B706C7" w:rsidRPr="000959A8" w:rsidRDefault="00B706C7" w:rsidP="00526D65">
      <w:pPr>
        <w:pStyle w:val="Textonotapie"/>
        <w:ind w:firstLine="709"/>
        <w:jc w:val="both"/>
        <w:rPr>
          <w:rFonts w:ascii="Verdana" w:hAnsi="Verdana" w:cs="Arial"/>
          <w:sz w:val="16"/>
          <w:szCs w:val="16"/>
        </w:rPr>
      </w:pPr>
    </w:p>
  </w:footnote>
  <w:footnote w:id="15">
    <w:p w14:paraId="06006CB5" w14:textId="77777777" w:rsidR="00B706C7" w:rsidRDefault="00B706C7" w:rsidP="00B706C7">
      <w:pPr>
        <w:pStyle w:val="Textonotapie"/>
        <w:ind w:firstLine="709"/>
        <w:jc w:val="both"/>
        <w:rPr>
          <w:rFonts w:ascii="Verdana" w:eastAsia="Calibri" w:hAnsi="Verdana" w:cs="Arial"/>
          <w:sz w:val="16"/>
          <w:szCs w:val="16"/>
          <w:lang w:val="es-ES_tradnl" w:eastAsia="es-ES_tradnl"/>
        </w:rPr>
      </w:pPr>
      <w:r w:rsidRPr="000959A8">
        <w:rPr>
          <w:rStyle w:val="Refdenotaalpie"/>
          <w:rFonts w:ascii="Verdana" w:hAnsi="Verdana" w:cs="Arial"/>
          <w:sz w:val="16"/>
          <w:szCs w:val="16"/>
        </w:rPr>
        <w:footnoteRef/>
      </w:r>
      <w:r w:rsidRPr="000959A8">
        <w:rPr>
          <w:rFonts w:ascii="Verdana" w:hAnsi="Verdana" w:cs="Arial"/>
          <w:sz w:val="16"/>
          <w:szCs w:val="16"/>
        </w:rPr>
        <w:t xml:space="preserve"> </w:t>
      </w:r>
      <w:r w:rsidRPr="000959A8">
        <w:rPr>
          <w:rFonts w:ascii="Verdana" w:eastAsia="Calibri" w:hAnsi="Verdana" w:cs="Arial"/>
          <w:sz w:val="16"/>
          <w:szCs w:val="16"/>
          <w:lang w:val="es-ES_tradnl" w:eastAsia="es-ES_tradnl"/>
        </w:rPr>
        <w:t>MARÍN, Op. Cit., pp. 64-65.</w:t>
      </w:r>
    </w:p>
    <w:p w14:paraId="59570C3B" w14:textId="77777777" w:rsidR="00B706C7" w:rsidRPr="000959A8" w:rsidRDefault="00B706C7" w:rsidP="00B706C7">
      <w:pPr>
        <w:pStyle w:val="Textonotapie"/>
        <w:ind w:firstLine="709"/>
        <w:jc w:val="both"/>
        <w:rPr>
          <w:rFonts w:ascii="Verdana" w:eastAsia="Calibri" w:hAnsi="Verdana" w:cs="Arial"/>
          <w:sz w:val="16"/>
          <w:szCs w:val="16"/>
          <w:lang w:val="es-ES_tradnl" w:eastAsia="es-ES_tradnl"/>
        </w:rPr>
      </w:pPr>
    </w:p>
  </w:footnote>
  <w:footnote w:id="16">
    <w:p w14:paraId="7B7D2146" w14:textId="4633B256" w:rsidR="00B706C7" w:rsidRDefault="00B706C7" w:rsidP="0048677D">
      <w:pPr>
        <w:pStyle w:val="Textonotapie"/>
        <w:ind w:firstLine="709"/>
        <w:jc w:val="both"/>
        <w:rPr>
          <w:rFonts w:ascii="Verdana" w:eastAsia="Calibri" w:hAnsi="Verdana" w:cs="Arial"/>
          <w:sz w:val="16"/>
          <w:szCs w:val="16"/>
          <w:lang w:val="es-ES_tradnl" w:eastAsia="es-ES_tradnl"/>
        </w:rPr>
      </w:pPr>
      <w:r w:rsidRPr="000959A8">
        <w:rPr>
          <w:rStyle w:val="Refdenotaalpie"/>
          <w:rFonts w:ascii="Verdana" w:hAnsi="Verdana" w:cs="Arial"/>
          <w:sz w:val="16"/>
          <w:szCs w:val="16"/>
        </w:rPr>
        <w:footnoteRef/>
      </w:r>
      <w:r w:rsidRPr="000959A8">
        <w:rPr>
          <w:rFonts w:ascii="Verdana" w:hAnsi="Verdana" w:cs="Arial"/>
          <w:sz w:val="16"/>
          <w:szCs w:val="16"/>
        </w:rPr>
        <w:t xml:space="preserve"> </w:t>
      </w:r>
      <w:r w:rsidRPr="000959A8">
        <w:rPr>
          <w:rFonts w:ascii="Verdana" w:eastAsia="Calibri" w:hAnsi="Verdana" w:cs="Arial"/>
          <w:sz w:val="16"/>
          <w:szCs w:val="16"/>
          <w:lang w:val="es-ES_tradnl" w:eastAsia="es-ES_tradnl"/>
        </w:rPr>
        <w:t>Ibíd., p. 66.</w:t>
      </w:r>
    </w:p>
    <w:p w14:paraId="484D576C" w14:textId="77777777" w:rsidR="00B706C7" w:rsidRPr="0048677D" w:rsidRDefault="00B706C7" w:rsidP="00B706C7">
      <w:pPr>
        <w:pStyle w:val="Textonotapie"/>
        <w:ind w:firstLine="709"/>
        <w:jc w:val="both"/>
        <w:rPr>
          <w:rFonts w:ascii="Verdana" w:hAnsi="Verdana" w:cs="Arial"/>
          <w:sz w:val="16"/>
          <w:szCs w:val="16"/>
          <w:lang w:val="es-ES"/>
        </w:rPr>
      </w:pPr>
    </w:p>
  </w:footnote>
  <w:footnote w:id="17">
    <w:p w14:paraId="0A728593" w14:textId="77777777" w:rsidR="00B706C7" w:rsidRPr="005D218E" w:rsidRDefault="00B706C7" w:rsidP="00B706C7">
      <w:pPr>
        <w:pStyle w:val="Textonotapie"/>
        <w:ind w:firstLine="709"/>
        <w:jc w:val="both"/>
        <w:rPr>
          <w:rFonts w:ascii="Verdana" w:hAnsi="Verdana"/>
          <w:sz w:val="16"/>
          <w:szCs w:val="16"/>
          <w:lang w:val="es-CO"/>
        </w:rPr>
      </w:pPr>
      <w:r w:rsidRPr="005D218E">
        <w:rPr>
          <w:rStyle w:val="Refdenotaalpie"/>
          <w:rFonts w:ascii="Verdana" w:hAnsi="Verdana"/>
          <w:sz w:val="16"/>
          <w:szCs w:val="16"/>
        </w:rPr>
        <w:footnoteRef/>
      </w:r>
      <w:r w:rsidRPr="005D218E">
        <w:rPr>
          <w:rFonts w:ascii="Verdana" w:hAnsi="Verdana"/>
          <w:sz w:val="16"/>
          <w:szCs w:val="16"/>
        </w:rPr>
        <w:t xml:space="preserve"> Conceptos </w:t>
      </w:r>
      <w:r w:rsidRPr="005D218E">
        <w:rPr>
          <w:rFonts w:ascii="Verdana" w:hAnsi="Verdana"/>
          <w:sz w:val="16"/>
          <w:szCs w:val="16"/>
          <w:lang w:val="es-CO"/>
        </w:rPr>
        <w:t>No. EE41360 de 2009, EE4611 de febrero 1 de 2010, EE10820 de febrero 24 de 2010, EE85262 de diciembre 22 de 2010 y EE75841 de 2011 de la Oficina Jurídica de la Contraloría General de la República.</w:t>
      </w:r>
    </w:p>
    <w:p w14:paraId="667B17B7" w14:textId="77777777" w:rsidR="00B706C7" w:rsidRPr="005D218E" w:rsidRDefault="00B706C7" w:rsidP="000508B5">
      <w:pPr>
        <w:pStyle w:val="Textonotapie"/>
        <w:ind w:firstLine="709"/>
        <w:rPr>
          <w:rFonts w:ascii="Verdana" w:hAnsi="Verdana"/>
          <w:sz w:val="16"/>
          <w:szCs w:val="16"/>
        </w:rPr>
      </w:pPr>
    </w:p>
  </w:footnote>
  <w:footnote w:id="18">
    <w:p w14:paraId="1B49B3FB" w14:textId="77777777" w:rsidR="00B706C7" w:rsidRPr="005D218E" w:rsidRDefault="00B706C7" w:rsidP="00B706C7">
      <w:pPr>
        <w:pStyle w:val="Textonotapie"/>
        <w:ind w:firstLine="709"/>
        <w:rPr>
          <w:rFonts w:ascii="Verdana" w:hAnsi="Verdana"/>
          <w:sz w:val="16"/>
          <w:szCs w:val="16"/>
          <w:lang w:val="es-CO"/>
        </w:rPr>
      </w:pPr>
      <w:r w:rsidRPr="005D218E">
        <w:rPr>
          <w:rStyle w:val="Refdenotaalpie"/>
          <w:rFonts w:ascii="Verdana" w:hAnsi="Verdana"/>
          <w:sz w:val="16"/>
          <w:szCs w:val="16"/>
        </w:rPr>
        <w:footnoteRef/>
      </w:r>
      <w:r w:rsidRPr="0048677D">
        <w:rPr>
          <w:rFonts w:ascii="Verdana" w:hAnsi="Verdana"/>
          <w:sz w:val="16"/>
          <w:szCs w:val="16"/>
        </w:rPr>
        <w:t xml:space="preserve"> Puede consultarse el concepto </w:t>
      </w:r>
      <w:r w:rsidRPr="0048677D">
        <w:rPr>
          <w:rFonts w:ascii="Verdana" w:hAnsi="Verdana"/>
          <w:sz w:val="16"/>
          <w:szCs w:val="16"/>
          <w:lang w:val="es-CO"/>
        </w:rPr>
        <w:t xml:space="preserve">CGR-OJ 093 de 2022 en </w:t>
      </w:r>
      <w:hyperlink r:id="rId1" w:history="1">
        <w:r w:rsidRPr="0048677D">
          <w:rPr>
            <w:rStyle w:val="Hipervnculo"/>
            <w:rFonts w:ascii="Verdana" w:hAnsi="Verdana"/>
            <w:sz w:val="16"/>
            <w:szCs w:val="16"/>
            <w:lang w:val="es-CO"/>
          </w:rPr>
          <w:t>4-CONCEPTO-CGR-OJ-093-DE-2022.pdf</w:t>
        </w:r>
      </w:hyperlink>
    </w:p>
    <w:p w14:paraId="758A5841" w14:textId="77777777" w:rsidR="00B706C7" w:rsidRPr="005D218E" w:rsidRDefault="00B706C7" w:rsidP="000508B5">
      <w:pPr>
        <w:pStyle w:val="Textonotapie"/>
        <w:ind w:firstLine="709"/>
        <w:rPr>
          <w:rFonts w:ascii="Verdana" w:hAnsi="Verdana"/>
          <w:sz w:val="16"/>
          <w:szCs w:val="16"/>
        </w:rPr>
      </w:pPr>
    </w:p>
  </w:footnote>
  <w:footnote w:id="19">
    <w:p w14:paraId="5768BF08" w14:textId="77777777" w:rsidR="00B706C7" w:rsidRDefault="00B706C7" w:rsidP="000508B5">
      <w:pPr>
        <w:pStyle w:val="Textonotapie"/>
        <w:ind w:firstLine="709"/>
        <w:jc w:val="both"/>
        <w:rPr>
          <w:rFonts w:ascii="Verdana" w:eastAsia="Calibri" w:hAnsi="Verdana" w:cs="Arial"/>
          <w:sz w:val="16"/>
          <w:szCs w:val="16"/>
          <w:lang w:val="es-ES_tradnl" w:eastAsia="es-ES_tradnl"/>
        </w:rPr>
      </w:pPr>
      <w:r w:rsidRPr="000959A8">
        <w:rPr>
          <w:rStyle w:val="Refdenotaalpie"/>
          <w:rFonts w:ascii="Verdana" w:hAnsi="Verdana" w:cs="Arial"/>
          <w:sz w:val="16"/>
          <w:szCs w:val="16"/>
        </w:rPr>
        <w:footnoteRef/>
      </w:r>
      <w:r w:rsidRPr="000959A8">
        <w:rPr>
          <w:rFonts w:ascii="Verdana" w:hAnsi="Verdana" w:cs="Arial"/>
          <w:sz w:val="16"/>
          <w:szCs w:val="16"/>
        </w:rPr>
        <w:t xml:space="preserve"> </w:t>
      </w:r>
      <w:r w:rsidRPr="000959A8">
        <w:rPr>
          <w:rFonts w:ascii="Verdana" w:eastAsia="Calibri" w:hAnsi="Verdana" w:cs="Arial"/>
          <w:sz w:val="16"/>
          <w:szCs w:val="16"/>
          <w:lang w:val="es-ES_tradnl" w:eastAsia="es-ES_tradnl"/>
        </w:rPr>
        <w:t>“Que el porcentaje sea superior o inferior, o que para una empresa sea mayor o menor que para otra, depende de muchas razones, por ejemplo: del personal que se requiera en la obra –unas empresas emplean más o menos que otras–; de la magnitud del trabajo; de las cargas administrativas que cada empresa tienen –pensionados, convenciones colectivas y otros; del tamaño de la misma –mientras más grande es la A tiende a ser mayor; del costo de los campamentos; del transporte del personal; del sitio de las obras –si la empresa tiene un domicilio en el lugar del trabajo su A tiende a ser menor, y si se encuentra en otra ciudad tiende a subir, por ejemplo porque el salario de los ingenieros se incrementa por los viáticos–”. (Ibíd, p. 76)</w:t>
      </w:r>
    </w:p>
    <w:p w14:paraId="687574D7" w14:textId="77777777" w:rsidR="00B706C7" w:rsidRPr="000959A8" w:rsidRDefault="00B706C7" w:rsidP="000508B5">
      <w:pPr>
        <w:pStyle w:val="Textonotapie"/>
        <w:ind w:firstLine="709"/>
        <w:jc w:val="both"/>
        <w:rPr>
          <w:rFonts w:ascii="Verdana" w:eastAsia="Calibri" w:hAnsi="Verdana" w:cs="Arial"/>
          <w:sz w:val="16"/>
          <w:szCs w:val="16"/>
          <w:lang w:val="es-ES_tradnl" w:eastAsia="es-ES_tradnl"/>
        </w:rPr>
      </w:pPr>
    </w:p>
  </w:footnote>
  <w:footnote w:id="20">
    <w:p w14:paraId="7D103B43" w14:textId="77777777" w:rsidR="00B706C7" w:rsidRDefault="00B706C7" w:rsidP="00526D65">
      <w:pPr>
        <w:pStyle w:val="Textonotapie"/>
        <w:ind w:firstLine="709"/>
        <w:jc w:val="both"/>
        <w:rPr>
          <w:rFonts w:ascii="Verdana" w:eastAsia="Calibri" w:hAnsi="Verdana" w:cs="Arial"/>
          <w:sz w:val="16"/>
          <w:szCs w:val="16"/>
          <w:lang w:val="es-ES_tradnl" w:eastAsia="es-ES_tradnl"/>
        </w:rPr>
      </w:pPr>
      <w:r w:rsidRPr="000959A8">
        <w:rPr>
          <w:rStyle w:val="Refdenotaalpie"/>
          <w:rFonts w:ascii="Verdana" w:hAnsi="Verdana" w:cs="Arial"/>
          <w:sz w:val="16"/>
          <w:szCs w:val="16"/>
        </w:rPr>
        <w:footnoteRef/>
      </w:r>
      <w:r w:rsidRPr="000959A8">
        <w:rPr>
          <w:rFonts w:ascii="Verdana" w:hAnsi="Verdana" w:cs="Arial"/>
          <w:sz w:val="16"/>
          <w:szCs w:val="16"/>
        </w:rPr>
        <w:t xml:space="preserve"> </w:t>
      </w:r>
      <w:r w:rsidRPr="000959A8">
        <w:rPr>
          <w:rFonts w:ascii="Verdana" w:eastAsia="Calibri" w:hAnsi="Verdana" w:cs="Arial"/>
          <w:sz w:val="16"/>
          <w:szCs w:val="16"/>
          <w:lang w:val="es-ES_tradnl" w:eastAsia="es-ES_tradnl"/>
        </w:rPr>
        <w:t>Lo anterior, sin perjuicio de las fórmulas de reajuste que se establezcan en el contrato y lo establecido en el artículo 27 de la Ley 80 de 1993. En tal sentido, en los casos de desequilibrio económico, porque los costos indirectos en los que incurre el contratista exceden el alea normal, es decir, le causan una afectación grave de su economía, podría exigirle a la entidad que le pague más de lo que se estipuló en la A o en la I, siendo esta una circunstancia extraordinaria.</w:t>
      </w:r>
    </w:p>
    <w:p w14:paraId="72BE6D67" w14:textId="77777777" w:rsidR="00B706C7" w:rsidRPr="000959A8" w:rsidRDefault="00B706C7" w:rsidP="00526D65">
      <w:pPr>
        <w:pStyle w:val="Textonotapie"/>
        <w:ind w:firstLine="709"/>
        <w:jc w:val="both"/>
        <w:rPr>
          <w:rFonts w:ascii="Verdana" w:hAnsi="Verdana" w:cs="Arial"/>
          <w:sz w:val="16"/>
          <w:szCs w:val="16"/>
        </w:rPr>
      </w:pPr>
    </w:p>
  </w:footnote>
  <w:footnote w:id="21">
    <w:p w14:paraId="0E77F032" w14:textId="77777777" w:rsidR="00B706C7" w:rsidRPr="00526D65" w:rsidRDefault="00B706C7" w:rsidP="00B706C7">
      <w:pPr>
        <w:pStyle w:val="Textonotapie"/>
        <w:ind w:firstLine="709"/>
        <w:rPr>
          <w:rFonts w:ascii="Verdana" w:hAnsi="Verdana"/>
          <w:sz w:val="16"/>
          <w:szCs w:val="16"/>
          <w:lang w:val="es-CO"/>
        </w:rPr>
      </w:pPr>
      <w:r w:rsidRPr="00526D65">
        <w:rPr>
          <w:rStyle w:val="Refdenotaalpie"/>
          <w:rFonts w:ascii="Verdana" w:hAnsi="Verdana"/>
          <w:sz w:val="16"/>
          <w:szCs w:val="16"/>
        </w:rPr>
        <w:footnoteRef/>
      </w:r>
      <w:r w:rsidRPr="00526D65">
        <w:rPr>
          <w:rFonts w:ascii="Verdana" w:hAnsi="Verdana"/>
          <w:sz w:val="16"/>
          <w:szCs w:val="16"/>
        </w:rPr>
        <w:t xml:space="preserve"> </w:t>
      </w:r>
      <w:r w:rsidRPr="00045A51">
        <w:rPr>
          <w:rFonts w:ascii="Verdana" w:eastAsia="Calibri" w:hAnsi="Verdana" w:cs="Arial"/>
          <w:sz w:val="16"/>
          <w:szCs w:val="16"/>
          <w:lang w:val="es-ES_tradnl" w:eastAsia="es-ES_tradnl"/>
        </w:rPr>
        <w:t>Ibíd, p. 77.</w:t>
      </w:r>
    </w:p>
  </w:footnote>
  <w:footnote w:id="22">
    <w:p w14:paraId="2A4677AC" w14:textId="77777777" w:rsidR="00B706C7" w:rsidRDefault="00B706C7" w:rsidP="00B706C7">
      <w:pPr>
        <w:pStyle w:val="Textonotapie"/>
        <w:ind w:firstLine="709"/>
        <w:jc w:val="both"/>
        <w:rPr>
          <w:rFonts w:ascii="Verdana" w:hAnsi="Verdana"/>
          <w:sz w:val="16"/>
          <w:szCs w:val="16"/>
          <w:lang w:val="es-ES"/>
        </w:rPr>
      </w:pPr>
      <w:r w:rsidRPr="003C0F5A">
        <w:rPr>
          <w:rStyle w:val="Refdenotaalpie"/>
          <w:rFonts w:ascii="Verdana" w:hAnsi="Verdana"/>
          <w:sz w:val="16"/>
          <w:szCs w:val="16"/>
        </w:rPr>
        <w:footnoteRef/>
      </w:r>
      <w:r w:rsidRPr="003C0F5A">
        <w:rPr>
          <w:rFonts w:ascii="Verdana" w:hAnsi="Verdana"/>
          <w:sz w:val="16"/>
          <w:szCs w:val="16"/>
        </w:rPr>
        <w:t xml:space="preserve"> </w:t>
      </w:r>
      <w:r w:rsidRPr="003C0F5A">
        <w:rPr>
          <w:rFonts w:ascii="Verdana" w:hAnsi="Verdana"/>
          <w:sz w:val="16"/>
          <w:szCs w:val="16"/>
          <w:lang w:val="es-ES"/>
        </w:rPr>
        <w:t xml:space="preserve">Consejo de Estado. Sala de lo Contencioso Administrativo. Sección Tercera. Subsección A. Sentencia del 14 de marzo de 2013. Radicado: 760012331000199603577-01 (20524). C.P: Carlos Alberto Zambrano Barrera. </w:t>
      </w:r>
    </w:p>
    <w:p w14:paraId="6C69BC3A" w14:textId="77777777" w:rsidR="00B706C7" w:rsidRPr="003C0F5A" w:rsidRDefault="00B706C7" w:rsidP="00B706C7">
      <w:pPr>
        <w:pStyle w:val="Textonotapie"/>
        <w:ind w:firstLine="709"/>
        <w:jc w:val="both"/>
        <w:rPr>
          <w:rFonts w:ascii="Verdana" w:hAnsi="Verdana"/>
          <w:sz w:val="16"/>
          <w:szCs w:val="16"/>
          <w:lang w:val="es-ES"/>
        </w:rPr>
      </w:pPr>
    </w:p>
  </w:footnote>
  <w:footnote w:id="23">
    <w:p w14:paraId="2F66E67F" w14:textId="77777777" w:rsidR="00B706C7" w:rsidRDefault="00B706C7" w:rsidP="00B706C7">
      <w:pPr>
        <w:pStyle w:val="Textonotapie"/>
        <w:ind w:firstLine="709"/>
        <w:jc w:val="both"/>
        <w:rPr>
          <w:rFonts w:ascii="Verdana" w:hAnsi="Verdana"/>
          <w:sz w:val="16"/>
          <w:szCs w:val="16"/>
          <w:lang w:val="es-CO"/>
        </w:rPr>
      </w:pPr>
      <w:r w:rsidRPr="00BA6ED3">
        <w:rPr>
          <w:rStyle w:val="Refdenotaalpie"/>
          <w:rFonts w:ascii="Verdana" w:hAnsi="Verdana"/>
          <w:sz w:val="16"/>
          <w:szCs w:val="16"/>
        </w:rPr>
        <w:footnoteRef/>
      </w:r>
      <w:r w:rsidRPr="00BA6ED3">
        <w:rPr>
          <w:rFonts w:ascii="Verdana" w:hAnsi="Verdana"/>
          <w:sz w:val="16"/>
          <w:szCs w:val="16"/>
        </w:rPr>
        <w:t xml:space="preserve"> </w:t>
      </w:r>
      <w:r w:rsidRPr="00BA6ED3">
        <w:rPr>
          <w:rFonts w:ascii="Verdana" w:hAnsi="Verdana"/>
          <w:sz w:val="16"/>
          <w:szCs w:val="16"/>
          <w:lang w:val="es-CO"/>
        </w:rPr>
        <w:t>Consejo de Estado. Sala de lo Contencioso Administrativo. Sección Tercera. Sentencia del 26 de febrero de 2004. Radicado: 25000-23-26-000-1991-07391-01 (14043). C.P:  Germán Rodríguez Villamizar</w:t>
      </w:r>
      <w:r>
        <w:rPr>
          <w:rFonts w:ascii="Verdana" w:hAnsi="Verdana"/>
          <w:sz w:val="16"/>
          <w:szCs w:val="16"/>
          <w:lang w:val="es-CO"/>
        </w:rPr>
        <w:t>.</w:t>
      </w:r>
    </w:p>
    <w:p w14:paraId="19A55F7F" w14:textId="77777777" w:rsidR="00B706C7" w:rsidRPr="00BA6ED3" w:rsidRDefault="00B706C7" w:rsidP="00B706C7">
      <w:pPr>
        <w:pStyle w:val="Textonotapie"/>
        <w:ind w:firstLine="709"/>
        <w:jc w:val="both"/>
        <w:rPr>
          <w:rFonts w:ascii="Verdana" w:hAnsi="Verdana"/>
          <w:sz w:val="16"/>
          <w:szCs w:val="16"/>
          <w:lang w:val="es-ES"/>
        </w:rPr>
      </w:pPr>
    </w:p>
  </w:footnote>
  <w:footnote w:id="24">
    <w:p w14:paraId="784D37F1" w14:textId="77777777" w:rsidR="00B706C7" w:rsidRPr="00EB086A" w:rsidRDefault="00B706C7" w:rsidP="00B706C7">
      <w:pPr>
        <w:pStyle w:val="Textonotapie"/>
        <w:ind w:firstLine="709"/>
        <w:jc w:val="both"/>
        <w:rPr>
          <w:rFonts w:ascii="Verdana" w:hAnsi="Verdana"/>
          <w:sz w:val="16"/>
          <w:szCs w:val="16"/>
          <w:lang w:val="es-ES"/>
        </w:rPr>
      </w:pPr>
      <w:r w:rsidRPr="00EB086A">
        <w:rPr>
          <w:rStyle w:val="Refdenotaalpie"/>
          <w:rFonts w:ascii="Verdana" w:hAnsi="Verdana"/>
          <w:sz w:val="16"/>
          <w:szCs w:val="16"/>
        </w:rPr>
        <w:footnoteRef/>
      </w:r>
      <w:r w:rsidRPr="00EB086A">
        <w:rPr>
          <w:rFonts w:ascii="Verdana" w:hAnsi="Verdana"/>
          <w:sz w:val="16"/>
          <w:szCs w:val="16"/>
        </w:rPr>
        <w:t xml:space="preserve"> Consejo de Estado. Sala de lo Contencioso Administrativo. Sección Tercera. Subsección C. Sentencia del 27 de abril de 2026. Radicado: </w:t>
      </w:r>
      <w:r w:rsidRPr="00EB086A">
        <w:rPr>
          <w:rFonts w:ascii="Verdana" w:hAnsi="Verdana"/>
          <w:sz w:val="16"/>
          <w:szCs w:val="16"/>
          <w:lang w:val="es-CO"/>
        </w:rPr>
        <w:t>68001-23-33-000-2014-00514-01 (59696). C.P: Adriana Polidura Castillo.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1B13"/>
      </v:shape>
    </w:pict>
  </w:numPicBullet>
  <w:abstractNum w:abstractNumId="0" w15:restartNumberingAfterBreak="0">
    <w:nsid w:val="01C06310"/>
    <w:multiLevelType w:val="multilevel"/>
    <w:tmpl w:val="92EC0BC6"/>
    <w:lvl w:ilvl="0">
      <w:start w:val="1"/>
      <w:numFmt w:val="decimal"/>
      <w:lvlText w:val="%1."/>
      <w:lvlJc w:val="left"/>
      <w:pPr>
        <w:ind w:left="6601" w:hanging="360"/>
      </w:pPr>
      <w:rPr>
        <w:b/>
        <w:color w:val="000000" w:themeColor="text1"/>
        <w:lang w:val="es-CO"/>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0" w15:restartNumberingAfterBreak="0">
    <w:nsid w:val="67642455"/>
    <w:multiLevelType w:val="hybridMultilevel"/>
    <w:tmpl w:val="F9CA707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5"/>
  </w:num>
  <w:num w:numId="8" w16cid:durableId="152644682">
    <w:abstractNumId w:val="12"/>
  </w:num>
  <w:num w:numId="9" w16cid:durableId="1317221377">
    <w:abstractNumId w:val="7"/>
  </w:num>
  <w:num w:numId="10" w16cid:durableId="1471245386">
    <w:abstractNumId w:val="11"/>
  </w:num>
  <w:num w:numId="11" w16cid:durableId="289172385">
    <w:abstractNumId w:val="8"/>
  </w:num>
  <w:num w:numId="12" w16cid:durableId="1470781324">
    <w:abstractNumId w:val="1"/>
  </w:num>
  <w:num w:numId="13" w16cid:durableId="1512908409">
    <w:abstractNumId w:val="3"/>
  </w:num>
  <w:num w:numId="14" w16cid:durableId="895897244">
    <w:abstractNumId w:val="14"/>
  </w:num>
  <w:num w:numId="15" w16cid:durableId="390349800">
    <w:abstractNumId w:val="9"/>
  </w:num>
  <w:num w:numId="16" w16cid:durableId="341274352">
    <w:abstractNumId w:val="0"/>
  </w:num>
  <w:num w:numId="17" w16cid:durableId="10335050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508B5"/>
    <w:rsid w:val="00061B2A"/>
    <w:rsid w:val="00082362"/>
    <w:rsid w:val="000A683E"/>
    <w:rsid w:val="000B19B9"/>
    <w:rsid w:val="000D0334"/>
    <w:rsid w:val="000D5DA7"/>
    <w:rsid w:val="000F6486"/>
    <w:rsid w:val="0011656D"/>
    <w:rsid w:val="00116940"/>
    <w:rsid w:val="00125105"/>
    <w:rsid w:val="00127233"/>
    <w:rsid w:val="0015699B"/>
    <w:rsid w:val="001A33BF"/>
    <w:rsid w:val="001C4BB3"/>
    <w:rsid w:val="001E4177"/>
    <w:rsid w:val="001F0B24"/>
    <w:rsid w:val="001F7DC6"/>
    <w:rsid w:val="00216460"/>
    <w:rsid w:val="0022400B"/>
    <w:rsid w:val="002421BB"/>
    <w:rsid w:val="0025796E"/>
    <w:rsid w:val="002707A2"/>
    <w:rsid w:val="002951A0"/>
    <w:rsid w:val="002962BC"/>
    <w:rsid w:val="002A093D"/>
    <w:rsid w:val="002A0DD0"/>
    <w:rsid w:val="002A49AC"/>
    <w:rsid w:val="002A64FD"/>
    <w:rsid w:val="002C7A84"/>
    <w:rsid w:val="002E2BF8"/>
    <w:rsid w:val="002E4FD9"/>
    <w:rsid w:val="0030657A"/>
    <w:rsid w:val="00314744"/>
    <w:rsid w:val="00322A85"/>
    <w:rsid w:val="00323EA7"/>
    <w:rsid w:val="00324168"/>
    <w:rsid w:val="00330834"/>
    <w:rsid w:val="003448F4"/>
    <w:rsid w:val="00364A07"/>
    <w:rsid w:val="00374F5E"/>
    <w:rsid w:val="00377E3E"/>
    <w:rsid w:val="003A779E"/>
    <w:rsid w:val="003D0F4D"/>
    <w:rsid w:val="003D5B0D"/>
    <w:rsid w:val="003E0499"/>
    <w:rsid w:val="003E4F80"/>
    <w:rsid w:val="003E6439"/>
    <w:rsid w:val="003F3941"/>
    <w:rsid w:val="00406575"/>
    <w:rsid w:val="00414C74"/>
    <w:rsid w:val="00415D4F"/>
    <w:rsid w:val="0042722E"/>
    <w:rsid w:val="0044528D"/>
    <w:rsid w:val="00466E39"/>
    <w:rsid w:val="0048677D"/>
    <w:rsid w:val="004A1847"/>
    <w:rsid w:val="004A305D"/>
    <w:rsid w:val="004D1E0B"/>
    <w:rsid w:val="004F21C4"/>
    <w:rsid w:val="004F685F"/>
    <w:rsid w:val="0051091A"/>
    <w:rsid w:val="005203E9"/>
    <w:rsid w:val="00526D65"/>
    <w:rsid w:val="00541F7D"/>
    <w:rsid w:val="005566E8"/>
    <w:rsid w:val="00574867"/>
    <w:rsid w:val="00591460"/>
    <w:rsid w:val="005A4961"/>
    <w:rsid w:val="005A65E0"/>
    <w:rsid w:val="005C3777"/>
    <w:rsid w:val="005C5CDC"/>
    <w:rsid w:val="005D476C"/>
    <w:rsid w:val="006200BF"/>
    <w:rsid w:val="006219F8"/>
    <w:rsid w:val="006302F7"/>
    <w:rsid w:val="00646B9F"/>
    <w:rsid w:val="00652130"/>
    <w:rsid w:val="00654DF9"/>
    <w:rsid w:val="00665D70"/>
    <w:rsid w:val="0067610D"/>
    <w:rsid w:val="006900D9"/>
    <w:rsid w:val="006A2A47"/>
    <w:rsid w:val="00706C16"/>
    <w:rsid w:val="00710FEC"/>
    <w:rsid w:val="007340C3"/>
    <w:rsid w:val="00741A8B"/>
    <w:rsid w:val="0075235A"/>
    <w:rsid w:val="00756841"/>
    <w:rsid w:val="007649AB"/>
    <w:rsid w:val="00771D0C"/>
    <w:rsid w:val="007833AC"/>
    <w:rsid w:val="007B268C"/>
    <w:rsid w:val="007B7171"/>
    <w:rsid w:val="007C0C0F"/>
    <w:rsid w:val="007C16A8"/>
    <w:rsid w:val="007C3DC2"/>
    <w:rsid w:val="007C74CA"/>
    <w:rsid w:val="007E5497"/>
    <w:rsid w:val="00806F5F"/>
    <w:rsid w:val="00820278"/>
    <w:rsid w:val="008258C9"/>
    <w:rsid w:val="00844AE9"/>
    <w:rsid w:val="00855D72"/>
    <w:rsid w:val="00867F95"/>
    <w:rsid w:val="008843B6"/>
    <w:rsid w:val="00891928"/>
    <w:rsid w:val="008A446D"/>
    <w:rsid w:val="008B25F1"/>
    <w:rsid w:val="008D180B"/>
    <w:rsid w:val="008E663B"/>
    <w:rsid w:val="008F0EA7"/>
    <w:rsid w:val="00910E48"/>
    <w:rsid w:val="009211A0"/>
    <w:rsid w:val="00923EEF"/>
    <w:rsid w:val="009419F9"/>
    <w:rsid w:val="00945D2D"/>
    <w:rsid w:val="0095685E"/>
    <w:rsid w:val="00961B09"/>
    <w:rsid w:val="00965334"/>
    <w:rsid w:val="0097093E"/>
    <w:rsid w:val="009A0DFA"/>
    <w:rsid w:val="009A1C6F"/>
    <w:rsid w:val="009B2D26"/>
    <w:rsid w:val="009B6715"/>
    <w:rsid w:val="009C71FA"/>
    <w:rsid w:val="009C72E7"/>
    <w:rsid w:val="009C7F7E"/>
    <w:rsid w:val="009D3058"/>
    <w:rsid w:val="009F3A13"/>
    <w:rsid w:val="00A122D3"/>
    <w:rsid w:val="00A14468"/>
    <w:rsid w:val="00A17F13"/>
    <w:rsid w:val="00A20739"/>
    <w:rsid w:val="00A23AF9"/>
    <w:rsid w:val="00A33C78"/>
    <w:rsid w:val="00A65C37"/>
    <w:rsid w:val="00A82F6B"/>
    <w:rsid w:val="00AB0ADB"/>
    <w:rsid w:val="00B00C0E"/>
    <w:rsid w:val="00B01B1A"/>
    <w:rsid w:val="00B0381D"/>
    <w:rsid w:val="00B22060"/>
    <w:rsid w:val="00B44A47"/>
    <w:rsid w:val="00B706C7"/>
    <w:rsid w:val="00B72CD3"/>
    <w:rsid w:val="00B72FFF"/>
    <w:rsid w:val="00BB0AC2"/>
    <w:rsid w:val="00BC0C95"/>
    <w:rsid w:val="00BC3D36"/>
    <w:rsid w:val="00BD54A6"/>
    <w:rsid w:val="00BD7F72"/>
    <w:rsid w:val="00BF7425"/>
    <w:rsid w:val="00C04FB3"/>
    <w:rsid w:val="00C11D8B"/>
    <w:rsid w:val="00C15139"/>
    <w:rsid w:val="00C330EB"/>
    <w:rsid w:val="00C50D69"/>
    <w:rsid w:val="00C5365C"/>
    <w:rsid w:val="00C754BE"/>
    <w:rsid w:val="00C76B1C"/>
    <w:rsid w:val="00C925AC"/>
    <w:rsid w:val="00CA3401"/>
    <w:rsid w:val="00CB2BB7"/>
    <w:rsid w:val="00CB6357"/>
    <w:rsid w:val="00CC1B26"/>
    <w:rsid w:val="00CC7DF9"/>
    <w:rsid w:val="00CE1644"/>
    <w:rsid w:val="00D348EB"/>
    <w:rsid w:val="00D361FD"/>
    <w:rsid w:val="00D423A2"/>
    <w:rsid w:val="00D44E26"/>
    <w:rsid w:val="00D520D8"/>
    <w:rsid w:val="00D63AC2"/>
    <w:rsid w:val="00D7383B"/>
    <w:rsid w:val="00D7788A"/>
    <w:rsid w:val="00DA231B"/>
    <w:rsid w:val="00DC39FC"/>
    <w:rsid w:val="00DF5254"/>
    <w:rsid w:val="00E02524"/>
    <w:rsid w:val="00E14C57"/>
    <w:rsid w:val="00E16408"/>
    <w:rsid w:val="00E20894"/>
    <w:rsid w:val="00E245AB"/>
    <w:rsid w:val="00E2764C"/>
    <w:rsid w:val="00E27F2E"/>
    <w:rsid w:val="00E50AFE"/>
    <w:rsid w:val="00E5544F"/>
    <w:rsid w:val="00E71298"/>
    <w:rsid w:val="00E75C92"/>
    <w:rsid w:val="00E771DC"/>
    <w:rsid w:val="00E8772A"/>
    <w:rsid w:val="00E90F6B"/>
    <w:rsid w:val="00E92C27"/>
    <w:rsid w:val="00EA0C47"/>
    <w:rsid w:val="00EA0E3D"/>
    <w:rsid w:val="00EA195C"/>
    <w:rsid w:val="00EC38A7"/>
    <w:rsid w:val="00EC3DD3"/>
    <w:rsid w:val="00EE1AA8"/>
    <w:rsid w:val="00F074D2"/>
    <w:rsid w:val="00F11818"/>
    <w:rsid w:val="00F16B7B"/>
    <w:rsid w:val="00F23FEA"/>
    <w:rsid w:val="00F31EDC"/>
    <w:rsid w:val="00F462B3"/>
    <w:rsid w:val="00F5664F"/>
    <w:rsid w:val="00F631C0"/>
    <w:rsid w:val="00F666C4"/>
    <w:rsid w:val="00F76AFC"/>
    <w:rsid w:val="00FA47C0"/>
    <w:rsid w:val="00FB5DD1"/>
    <w:rsid w:val="00FC2B5D"/>
    <w:rsid w:val="00FD48B4"/>
    <w:rsid w:val="00FF1449"/>
    <w:rsid w:val="00FF7963"/>
    <w:rsid w:val="071B8F93"/>
    <w:rsid w:val="07C73DD1"/>
    <w:rsid w:val="09908A09"/>
    <w:rsid w:val="0E0AF0F4"/>
    <w:rsid w:val="0EFE6349"/>
    <w:rsid w:val="0FF4CCA8"/>
    <w:rsid w:val="13CFC91B"/>
    <w:rsid w:val="19A2EC2C"/>
    <w:rsid w:val="21779BE6"/>
    <w:rsid w:val="25E8760E"/>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0473E63E-A2A2-4448-AE62-E05563430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5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List Paragrap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B706C7"/>
    <w:rPr>
      <w:rFonts w:ascii="Geomanist Light" w:hAnsi="Geomanist Light"/>
      <w:lang w:val="es-ES"/>
    </w:rPr>
  </w:style>
  <w:style w:type="paragraph" w:customStyle="1" w:styleId="Appelnotedebasde">
    <w:name w:val="Appel note de bas de..."/>
    <w:basedOn w:val="Normal"/>
    <w:link w:val="Refdenotaalpie"/>
    <w:uiPriority w:val="99"/>
    <w:rsid w:val="00B706C7"/>
    <w:pPr>
      <w:spacing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ormacionvirtual.colombiacompra.gov.co/mod/page/view.php?id=3718" TargetMode="External"/><Relationship Id="rId18" Type="http://schemas.openxmlformats.org/officeDocument/2006/relationships/hyperlink" Target="https://forms.office.com/r/pPHyWVs2SZ"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hyperlink" Target="https://www.colombiacompra.gov.co/pqrsd/informacion-importante-antes-de-formular-una-pqrsd" TargetMode="External"/><Relationship Id="rId2" Type="http://schemas.openxmlformats.org/officeDocument/2006/relationships/customXml" Target="../customXml/item2.xml"/><Relationship Id="rId16" Type="http://schemas.openxmlformats.org/officeDocument/2006/relationships/hyperlink" Target="mailto:ventanilladeradicacion@colombiacompra.gov.c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oviedoescobar@gmail.com" TargetMode="External"/><Relationship Id="rId5" Type="http://schemas.openxmlformats.org/officeDocument/2006/relationships/styles" Target="styles.xml"/><Relationship Id="rId15"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lombiacompra.gov.co/normativa-y-relatoria/documentos-tipo"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franciscofajardoabogados.com/wp-content/uploads/2022/08/4-CONCEPTO-CGR-OJ-093-DE-2022.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577E34CF-8E1A-484E-8BC6-ED2DEE07E1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120</TotalTime>
  <Pages>26</Pages>
  <Words>8450</Words>
  <Characters>46480</Characters>
  <Application>Microsoft Office Word</Application>
  <DocSecurity>0</DocSecurity>
  <Lines>387</Lines>
  <Paragraphs>109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Maria Valeska Medellín Mora</cp:lastModifiedBy>
  <cp:revision>6</cp:revision>
  <cp:lastPrinted>2023-01-10T18:18:00Z</cp:lastPrinted>
  <dcterms:created xsi:type="dcterms:W3CDTF">2026-07-22T11:26:00Z</dcterms:created>
  <dcterms:modified xsi:type="dcterms:W3CDTF">2026-07-23T19:47:00Z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