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AD10E" w14:textId="77777777" w:rsidR="000F6971" w:rsidRPr="00F81194" w:rsidRDefault="000F6971" w:rsidP="000F6971">
      <w:pPr>
        <w:spacing w:line="276" w:lineRule="auto"/>
        <w:ind w:hanging="4"/>
        <w:jc w:val="both"/>
        <w:rPr>
          <w:rFonts w:ascii="Verdana" w:eastAsia="Calibri" w:hAnsi="Verdana" w:cs="Arial"/>
          <w:b/>
          <w:bCs/>
          <w:color w:val="000000" w:themeColor="text1"/>
          <w:lang w:val="es-ES" w:eastAsia="es-ES"/>
        </w:rPr>
      </w:pPr>
      <w:bookmarkStart w:id="0" w:name="_Hlk143780582"/>
      <w:bookmarkEnd w:id="0"/>
      <w:r w:rsidRPr="00F81194">
        <w:rPr>
          <w:rFonts w:ascii="Verdana" w:eastAsia="Calibri" w:hAnsi="Verdana" w:cs="Arial"/>
          <w:b/>
          <w:bCs/>
          <w:color w:val="000000" w:themeColor="text1"/>
          <w:lang w:val="es-ES" w:eastAsia="es-ES"/>
        </w:rPr>
        <w:t xml:space="preserve">PRECIO ‒ Concepto </w:t>
      </w:r>
    </w:p>
    <w:p w14:paraId="4F32CA0C" w14:textId="77777777" w:rsidR="000F6971" w:rsidRDefault="000F6971" w:rsidP="000F6971">
      <w:pPr>
        <w:ind w:hanging="6"/>
        <w:jc w:val="both"/>
        <w:rPr>
          <w:rFonts w:ascii="Verdana" w:hAnsi="Verdana" w:cs="Arial"/>
          <w:sz w:val="20"/>
          <w:szCs w:val="20"/>
          <w:lang w:val="es-ES" w:eastAsia="es-ES"/>
        </w:rPr>
      </w:pPr>
      <w:r w:rsidRPr="00F81194">
        <w:rPr>
          <w:rFonts w:ascii="Verdana" w:hAnsi="Verdana" w:cs="Arial"/>
          <w:sz w:val="20"/>
          <w:szCs w:val="20"/>
          <w:lang w:val="es-ES" w:eastAsia="es-ES"/>
        </w:rPr>
        <w:t>el precio es uno de los elementos esenciales de los contratos estatales,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Entidad Estatal y el contratista. El precio es un importante elemento para el contratista, porque equivale a la remuneración que la entidad contratante le pagará como retribución por la ejecución de las obligaciones de dar, hacer o no hacer previstas a su cargo en el contrato. Entonces, es el valor que se da por el objeto, generalmente en dinero, que debe ser determinado o determinable, en los términos de los artículos 1864 y 1865 del Código Civil. De manera general, está compuesto por dos elementos esenciales: los costos y la utilidad, cuya estructuración interna depende de las condiciones técnicas, financieras o regulatorias de cada contrato.</w:t>
      </w:r>
    </w:p>
    <w:p w14:paraId="6A7DFE88" w14:textId="77777777" w:rsidR="000F6971" w:rsidRPr="00F81194" w:rsidRDefault="000F6971" w:rsidP="000F6971">
      <w:pPr>
        <w:spacing w:after="0" w:line="240" w:lineRule="auto"/>
        <w:ind w:hanging="6"/>
        <w:jc w:val="both"/>
        <w:rPr>
          <w:rFonts w:ascii="Verdana" w:hAnsi="Verdana" w:cs="Arial"/>
          <w:sz w:val="20"/>
          <w:szCs w:val="20"/>
          <w:lang w:val="es-ES" w:eastAsia="es-ES"/>
        </w:rPr>
      </w:pPr>
    </w:p>
    <w:p w14:paraId="7E9A8EE1" w14:textId="77777777" w:rsidR="000F6971" w:rsidRPr="00F81194" w:rsidRDefault="000F6971" w:rsidP="000F6971">
      <w:pPr>
        <w:spacing w:line="276" w:lineRule="auto"/>
        <w:ind w:hanging="4"/>
        <w:jc w:val="both"/>
        <w:rPr>
          <w:rFonts w:ascii="Verdana" w:eastAsia="Calibri" w:hAnsi="Verdana" w:cs="Arial"/>
          <w:b/>
          <w:bCs/>
          <w:color w:val="000000" w:themeColor="text1"/>
          <w:lang w:val="es-ES" w:eastAsia="es-ES"/>
        </w:rPr>
      </w:pPr>
      <w:r w:rsidRPr="00F81194">
        <w:rPr>
          <w:rFonts w:ascii="Verdana" w:eastAsia="Calibri" w:hAnsi="Verdana" w:cs="Arial"/>
          <w:b/>
          <w:bCs/>
          <w:color w:val="000000" w:themeColor="text1"/>
          <w:lang w:val="es-ES" w:eastAsia="es-ES"/>
        </w:rPr>
        <w:t xml:space="preserve">VALOR ESTIMADO DEL CONTRATO – Costo directos e indirecto </w:t>
      </w:r>
    </w:p>
    <w:p w14:paraId="0A684806" w14:textId="77777777" w:rsidR="000F6971" w:rsidRDefault="000F6971" w:rsidP="000F6971">
      <w:pPr>
        <w:ind w:hanging="6"/>
        <w:jc w:val="both"/>
        <w:rPr>
          <w:rFonts w:ascii="Verdana" w:hAnsi="Verdana" w:cs="Arial"/>
          <w:sz w:val="20"/>
          <w:szCs w:val="20"/>
          <w:lang w:val="es-ES" w:eastAsia="es-ES"/>
        </w:rPr>
      </w:pPr>
      <w:r w:rsidRPr="00F81194">
        <w:rPr>
          <w:rFonts w:ascii="Verdana" w:hAnsi="Verdana" w:cs="Arial"/>
          <w:sz w:val="20"/>
          <w:szCs w:val="20"/>
          <w:lang w:val="es-ES" w:eastAsia="es-ES"/>
        </w:rPr>
        <w:t>Respecto al valor estimado, el deber de planeación supone que las entidades realicen un análisis adecuado que les permita considerar todos aquellos costos directos –es decir, los que están directamente implicados en la ejecución del objeto– y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que son relevantes para determinar de forma adecuada el precio del bien o servicio a adquirir. Las Entidades están obligadas a presentar el valor de la contratación y su justificación, para lo cual deberán informar los factores relevantes y la metodología implementada para determinarlo, obligación predicable respecto de toda la contratación</w:t>
      </w:r>
      <w:r>
        <w:rPr>
          <w:rFonts w:ascii="Verdana" w:hAnsi="Verdana" w:cs="Arial"/>
          <w:sz w:val="20"/>
          <w:szCs w:val="20"/>
          <w:lang w:val="es-ES" w:eastAsia="es-ES"/>
        </w:rPr>
        <w:t>.</w:t>
      </w:r>
    </w:p>
    <w:p w14:paraId="5D9FD270" w14:textId="77777777" w:rsidR="000F6971" w:rsidRPr="00F81194" w:rsidRDefault="000F6971" w:rsidP="000F6971">
      <w:pPr>
        <w:spacing w:after="0" w:line="240" w:lineRule="auto"/>
        <w:ind w:hanging="6"/>
        <w:jc w:val="both"/>
        <w:rPr>
          <w:rFonts w:ascii="Verdana" w:hAnsi="Verdana" w:cs="Arial"/>
          <w:sz w:val="20"/>
          <w:szCs w:val="20"/>
          <w:lang w:val="es-ES" w:eastAsia="es-ES"/>
        </w:rPr>
      </w:pPr>
    </w:p>
    <w:p w14:paraId="5758FEBC" w14:textId="77777777" w:rsidR="000F6971" w:rsidRPr="00F81194" w:rsidRDefault="000F6971" w:rsidP="000F6971">
      <w:pPr>
        <w:spacing w:line="276" w:lineRule="auto"/>
        <w:ind w:hanging="4"/>
        <w:jc w:val="both"/>
        <w:rPr>
          <w:rFonts w:ascii="Verdana" w:eastAsia="Calibri" w:hAnsi="Verdana" w:cs="Arial"/>
          <w:b/>
          <w:bCs/>
          <w:color w:val="000000" w:themeColor="text1"/>
          <w:lang w:val="es-ES" w:eastAsia="es-ES"/>
        </w:rPr>
      </w:pPr>
      <w:r w:rsidRPr="00F81194">
        <w:rPr>
          <w:rFonts w:ascii="Verdana" w:eastAsia="Calibri" w:hAnsi="Verdana" w:cs="Arial"/>
          <w:b/>
          <w:bCs/>
          <w:color w:val="000000" w:themeColor="text1"/>
          <w:lang w:val="es-ES" w:eastAsia="es-ES"/>
        </w:rPr>
        <w:t>ESTRUCTURACIÓN DEL PRECIO – Impuestos – Excluye retención en la fuente</w:t>
      </w:r>
    </w:p>
    <w:p w14:paraId="0C31494B" w14:textId="77777777" w:rsidR="000F6971" w:rsidRDefault="000F6971" w:rsidP="000F6971">
      <w:pPr>
        <w:jc w:val="both"/>
        <w:rPr>
          <w:rFonts w:ascii="Verdana" w:hAnsi="Verdana" w:cs="Arial"/>
          <w:sz w:val="20"/>
          <w:szCs w:val="20"/>
          <w:lang w:val="es-ES" w:eastAsia="es-ES"/>
        </w:rPr>
      </w:pPr>
      <w:r>
        <w:rPr>
          <w:rFonts w:ascii="Verdana" w:hAnsi="Verdana" w:cs="Arial"/>
          <w:sz w:val="20"/>
          <w:szCs w:val="20"/>
          <w:lang w:val="es-ES" w:eastAsia="es-ES"/>
        </w:rPr>
        <w:t>E</w:t>
      </w:r>
      <w:r w:rsidRPr="00F81194">
        <w:rPr>
          <w:rFonts w:ascii="Verdana" w:hAnsi="Verdana" w:cs="Arial"/>
          <w:sz w:val="20"/>
          <w:szCs w:val="20"/>
          <w:lang w:val="es-ES" w:eastAsia="es-ES"/>
        </w:rPr>
        <w:t xml:space="preserve">l impuesto sobre la renta puede constituir una de las variables tributarias </w:t>
      </w:r>
      <w:proofErr w:type="gramStart"/>
      <w:r w:rsidRPr="00F81194">
        <w:rPr>
          <w:rFonts w:ascii="Verdana" w:hAnsi="Verdana" w:cs="Arial"/>
          <w:sz w:val="20"/>
          <w:szCs w:val="20"/>
          <w:lang w:val="es-ES" w:eastAsia="es-ES"/>
        </w:rPr>
        <w:t>a</w:t>
      </w:r>
      <w:proofErr w:type="gramEnd"/>
      <w:r w:rsidRPr="00F81194">
        <w:rPr>
          <w:rFonts w:ascii="Verdana" w:hAnsi="Verdana" w:cs="Arial"/>
          <w:sz w:val="20"/>
          <w:szCs w:val="20"/>
          <w:lang w:val="es-ES" w:eastAsia="es-ES"/>
        </w:rPr>
        <w:t xml:space="preserve"> tener en cuenta para la estructuración del precio del contrato. No obstante, distinta es la situación de la retención en la fuente, pues esta no constituye un tributo autónomo, sino un mecanismo de recaudo anticipado del impuesto. En ese sentido, a juicio de esta Agencia no se considera que la retención en la fuente deba incorporarse como un costo independiente en la estructuración del precio del contrato.</w:t>
      </w:r>
    </w:p>
    <w:p w14:paraId="59D5714D" w14:textId="77777777" w:rsidR="000F6971" w:rsidRPr="00F81194" w:rsidRDefault="000F6971" w:rsidP="000F6971">
      <w:pPr>
        <w:pStyle w:val="Sinespaciado"/>
        <w:jc w:val="both"/>
        <w:rPr>
          <w:rFonts w:ascii="Verdana" w:hAnsi="Verdana" w:cs="Arial"/>
          <w:sz w:val="20"/>
          <w:szCs w:val="20"/>
          <w:lang w:val="es-ES" w:eastAsia="es-ES"/>
        </w:rPr>
      </w:pPr>
      <w:r w:rsidRPr="00F81194">
        <w:rPr>
          <w:rFonts w:ascii="Verdana" w:hAnsi="Verdana" w:cs="Arial"/>
          <w:sz w:val="20"/>
          <w:szCs w:val="20"/>
          <w:lang w:val="es-ES" w:eastAsia="es-ES"/>
        </w:rPr>
        <w:t xml:space="preserve">En efecto, tal como lo expone la Contraloría General de la República en el concepto No CGR -OJ 010 de 2021 con radicado No. 2021EE0009558, las entidades estatales no tienen la condición de sujetos pasivos del impuesto sobre la renta respecto de los </w:t>
      </w:r>
      <w:r w:rsidRPr="00F81194">
        <w:rPr>
          <w:rFonts w:ascii="Verdana" w:hAnsi="Verdana" w:cs="Arial"/>
          <w:sz w:val="20"/>
          <w:szCs w:val="20"/>
          <w:lang w:val="es-ES" w:eastAsia="es-ES"/>
        </w:rPr>
        <w:lastRenderedPageBreak/>
        <w:t>ingresos del contratista, por cuanto su intervención se limita al cumplimiento del deber legal de actuar como agentes de retención, realizando la retención en la fuente al momento del pago cuando a ello haya lugar. En ese sentido, mientras el impuesto sobre la renta puede ser analizado como una variable tributaria que incide en la determinación del precio del contrato, la retención en la fuente constituye un mecanismo de recaudo anticipado de dicho impuesto, razón por la cual no resulta procedente otorgarle el mismo tratamiento que a los tributos para efectos de la estructuración del presupuesto oficial o del reconocimiento de un costo independiente dentro del contrato.</w:t>
      </w:r>
    </w:p>
    <w:p w14:paraId="6C687382" w14:textId="77777777" w:rsidR="000F6971" w:rsidRDefault="000F6971" w:rsidP="000F6971">
      <w:pPr>
        <w:spacing w:after="0"/>
        <w:rPr>
          <w:rFonts w:ascii="Verdana" w:hAnsi="Verdana"/>
          <w:lang w:val="es-ES"/>
        </w:rPr>
      </w:pPr>
    </w:p>
    <w:p w14:paraId="7E242893" w14:textId="77777777" w:rsidR="000F6971" w:rsidRDefault="000F6971" w:rsidP="000F6971">
      <w:pPr>
        <w:spacing w:after="0"/>
        <w:rPr>
          <w:rFonts w:ascii="Verdana" w:hAnsi="Verdana"/>
          <w:lang w:val="es-ES"/>
        </w:rPr>
      </w:pPr>
    </w:p>
    <w:p w14:paraId="0B7A4207" w14:textId="77777777" w:rsidR="00753A8A" w:rsidRDefault="00753A8A" w:rsidP="000F6971">
      <w:pPr>
        <w:spacing w:after="0"/>
        <w:rPr>
          <w:rFonts w:ascii="Verdana" w:hAnsi="Verdana"/>
          <w:lang w:val="es-ES"/>
        </w:rPr>
      </w:pPr>
    </w:p>
    <w:p w14:paraId="7B1F1C30" w14:textId="77777777" w:rsidR="00753A8A" w:rsidRDefault="00753A8A" w:rsidP="000F6971">
      <w:pPr>
        <w:spacing w:after="0"/>
        <w:rPr>
          <w:rFonts w:ascii="Verdana" w:hAnsi="Verdana"/>
          <w:lang w:val="es-ES"/>
        </w:rPr>
      </w:pPr>
    </w:p>
    <w:p w14:paraId="7505CEE9" w14:textId="77777777" w:rsidR="00753A8A" w:rsidRDefault="00753A8A" w:rsidP="000F6971">
      <w:pPr>
        <w:spacing w:after="0"/>
        <w:rPr>
          <w:rFonts w:ascii="Verdana" w:hAnsi="Verdana"/>
          <w:lang w:val="es-ES"/>
        </w:rPr>
      </w:pPr>
    </w:p>
    <w:p w14:paraId="765A868A" w14:textId="77777777" w:rsidR="00753A8A" w:rsidRDefault="00753A8A" w:rsidP="000F6971">
      <w:pPr>
        <w:spacing w:after="0"/>
        <w:rPr>
          <w:rFonts w:ascii="Verdana" w:hAnsi="Verdana"/>
          <w:lang w:val="es-ES"/>
        </w:rPr>
      </w:pPr>
    </w:p>
    <w:p w14:paraId="3150AAD2" w14:textId="77777777" w:rsidR="00753A8A" w:rsidRDefault="00753A8A" w:rsidP="000F6971">
      <w:pPr>
        <w:spacing w:after="0"/>
        <w:rPr>
          <w:rFonts w:ascii="Verdana" w:hAnsi="Verdana"/>
          <w:lang w:val="es-ES"/>
        </w:rPr>
      </w:pPr>
    </w:p>
    <w:p w14:paraId="265AD3C3" w14:textId="77777777" w:rsidR="00753A8A" w:rsidRDefault="00753A8A" w:rsidP="000F6971">
      <w:pPr>
        <w:spacing w:after="0"/>
        <w:rPr>
          <w:rFonts w:ascii="Verdana" w:hAnsi="Verdana"/>
          <w:lang w:val="es-ES"/>
        </w:rPr>
      </w:pPr>
    </w:p>
    <w:p w14:paraId="4E0472F9" w14:textId="77777777" w:rsidR="00753A8A" w:rsidRDefault="00753A8A" w:rsidP="000F6971">
      <w:pPr>
        <w:spacing w:after="0"/>
        <w:rPr>
          <w:rFonts w:ascii="Verdana" w:hAnsi="Verdana"/>
          <w:lang w:val="es-ES"/>
        </w:rPr>
      </w:pPr>
    </w:p>
    <w:p w14:paraId="053804AA" w14:textId="77777777" w:rsidR="00753A8A" w:rsidRDefault="00753A8A" w:rsidP="000F6971">
      <w:pPr>
        <w:spacing w:after="0"/>
        <w:rPr>
          <w:rFonts w:ascii="Verdana" w:hAnsi="Verdana"/>
          <w:lang w:val="es-ES"/>
        </w:rPr>
      </w:pPr>
    </w:p>
    <w:p w14:paraId="151AEF3E" w14:textId="77777777" w:rsidR="00753A8A" w:rsidRDefault="00753A8A" w:rsidP="000F6971">
      <w:pPr>
        <w:spacing w:after="0"/>
        <w:rPr>
          <w:rFonts w:ascii="Verdana" w:hAnsi="Verdana"/>
          <w:lang w:val="es-ES"/>
        </w:rPr>
      </w:pPr>
    </w:p>
    <w:p w14:paraId="7F6D0F98" w14:textId="77777777" w:rsidR="00753A8A" w:rsidRDefault="00753A8A" w:rsidP="000F6971">
      <w:pPr>
        <w:spacing w:after="0"/>
        <w:rPr>
          <w:rFonts w:ascii="Verdana" w:hAnsi="Verdana"/>
          <w:lang w:val="es-ES"/>
        </w:rPr>
      </w:pPr>
    </w:p>
    <w:p w14:paraId="07B35A7C" w14:textId="77777777" w:rsidR="00753A8A" w:rsidRDefault="00753A8A" w:rsidP="000F6971">
      <w:pPr>
        <w:spacing w:after="0"/>
        <w:rPr>
          <w:rFonts w:ascii="Verdana" w:hAnsi="Verdana"/>
          <w:lang w:val="es-ES"/>
        </w:rPr>
      </w:pPr>
    </w:p>
    <w:p w14:paraId="37BEFDD7" w14:textId="77777777" w:rsidR="00753A8A" w:rsidRDefault="00753A8A" w:rsidP="000F6971">
      <w:pPr>
        <w:spacing w:after="0"/>
        <w:rPr>
          <w:rFonts w:ascii="Verdana" w:hAnsi="Verdana"/>
          <w:lang w:val="es-ES"/>
        </w:rPr>
      </w:pPr>
    </w:p>
    <w:p w14:paraId="33A309C9" w14:textId="77777777" w:rsidR="00753A8A" w:rsidRDefault="00753A8A" w:rsidP="000F6971">
      <w:pPr>
        <w:spacing w:after="0"/>
        <w:rPr>
          <w:rFonts w:ascii="Verdana" w:hAnsi="Verdana"/>
          <w:lang w:val="es-ES"/>
        </w:rPr>
      </w:pPr>
    </w:p>
    <w:p w14:paraId="792FDEE0" w14:textId="77777777" w:rsidR="00753A8A" w:rsidRDefault="00753A8A" w:rsidP="000F6971">
      <w:pPr>
        <w:spacing w:after="0"/>
        <w:rPr>
          <w:rFonts w:ascii="Verdana" w:hAnsi="Verdana"/>
          <w:lang w:val="es-ES"/>
        </w:rPr>
      </w:pPr>
    </w:p>
    <w:p w14:paraId="052B8DCA" w14:textId="77777777" w:rsidR="00753A8A" w:rsidRDefault="00753A8A" w:rsidP="000F6971">
      <w:pPr>
        <w:spacing w:after="0"/>
        <w:rPr>
          <w:rFonts w:ascii="Verdana" w:hAnsi="Verdana"/>
          <w:lang w:val="es-ES"/>
        </w:rPr>
      </w:pPr>
    </w:p>
    <w:p w14:paraId="4243C959" w14:textId="77777777" w:rsidR="00753A8A" w:rsidRDefault="00753A8A" w:rsidP="000F6971">
      <w:pPr>
        <w:spacing w:after="0"/>
        <w:rPr>
          <w:rFonts w:ascii="Verdana" w:hAnsi="Verdana"/>
          <w:lang w:val="es-ES"/>
        </w:rPr>
      </w:pPr>
    </w:p>
    <w:p w14:paraId="5DD6875D" w14:textId="77777777" w:rsidR="00753A8A" w:rsidRDefault="00753A8A" w:rsidP="000F6971">
      <w:pPr>
        <w:spacing w:after="0"/>
        <w:rPr>
          <w:rFonts w:ascii="Verdana" w:hAnsi="Verdana"/>
          <w:lang w:val="es-ES"/>
        </w:rPr>
      </w:pPr>
    </w:p>
    <w:p w14:paraId="3A9F1872" w14:textId="77777777" w:rsidR="00753A8A" w:rsidRDefault="00753A8A" w:rsidP="000F6971">
      <w:pPr>
        <w:spacing w:after="0"/>
        <w:rPr>
          <w:rFonts w:ascii="Verdana" w:hAnsi="Verdana"/>
          <w:lang w:val="es-ES"/>
        </w:rPr>
      </w:pPr>
    </w:p>
    <w:p w14:paraId="4A237982" w14:textId="77777777" w:rsidR="00753A8A" w:rsidRDefault="00753A8A" w:rsidP="000F6971">
      <w:pPr>
        <w:spacing w:after="0"/>
        <w:rPr>
          <w:rFonts w:ascii="Verdana" w:hAnsi="Verdana"/>
          <w:lang w:val="es-ES"/>
        </w:rPr>
      </w:pPr>
    </w:p>
    <w:p w14:paraId="71952915" w14:textId="77777777" w:rsidR="00753A8A" w:rsidRDefault="00753A8A" w:rsidP="000F6971">
      <w:pPr>
        <w:spacing w:after="0"/>
        <w:rPr>
          <w:rFonts w:ascii="Verdana" w:hAnsi="Verdana"/>
          <w:lang w:val="es-ES"/>
        </w:rPr>
      </w:pPr>
    </w:p>
    <w:p w14:paraId="3A6319B2" w14:textId="77777777" w:rsidR="00753A8A" w:rsidRDefault="00753A8A" w:rsidP="000F6971">
      <w:pPr>
        <w:spacing w:after="0"/>
        <w:rPr>
          <w:rFonts w:ascii="Verdana" w:hAnsi="Verdana"/>
          <w:lang w:val="es-ES"/>
        </w:rPr>
      </w:pPr>
    </w:p>
    <w:p w14:paraId="7CAC832B" w14:textId="77777777" w:rsidR="00753A8A" w:rsidRDefault="00753A8A" w:rsidP="000F6971">
      <w:pPr>
        <w:spacing w:after="0"/>
        <w:rPr>
          <w:rFonts w:ascii="Verdana" w:hAnsi="Verdana"/>
          <w:lang w:val="es-ES"/>
        </w:rPr>
      </w:pPr>
    </w:p>
    <w:p w14:paraId="4E973625" w14:textId="77777777" w:rsidR="00753A8A" w:rsidRDefault="00753A8A" w:rsidP="000F6971">
      <w:pPr>
        <w:spacing w:after="0"/>
        <w:rPr>
          <w:rFonts w:ascii="Verdana" w:hAnsi="Verdana"/>
          <w:lang w:val="es-ES"/>
        </w:rPr>
      </w:pPr>
    </w:p>
    <w:p w14:paraId="4CA6A670" w14:textId="77777777" w:rsidR="00753A8A" w:rsidRDefault="00753A8A" w:rsidP="000F6971">
      <w:pPr>
        <w:spacing w:after="0"/>
        <w:rPr>
          <w:rFonts w:ascii="Verdana" w:hAnsi="Verdana"/>
          <w:lang w:val="es-ES"/>
        </w:rPr>
      </w:pPr>
    </w:p>
    <w:p w14:paraId="6F7C1880" w14:textId="77777777" w:rsidR="00753A8A" w:rsidRDefault="00753A8A" w:rsidP="000F6971">
      <w:pPr>
        <w:spacing w:after="0"/>
        <w:rPr>
          <w:rFonts w:ascii="Verdana" w:hAnsi="Verdana"/>
          <w:lang w:val="es-ES"/>
        </w:rPr>
      </w:pPr>
    </w:p>
    <w:p w14:paraId="4A4F1F16" w14:textId="77777777" w:rsidR="00753A8A" w:rsidRDefault="00753A8A" w:rsidP="000F6971">
      <w:pPr>
        <w:spacing w:after="0"/>
        <w:rPr>
          <w:rFonts w:ascii="Verdana" w:hAnsi="Verdana"/>
          <w:lang w:val="es-ES"/>
        </w:rPr>
      </w:pPr>
    </w:p>
    <w:p w14:paraId="392E5DAE" w14:textId="77777777" w:rsidR="00753A8A" w:rsidRDefault="00753A8A" w:rsidP="000F6971">
      <w:pPr>
        <w:spacing w:after="0"/>
        <w:rPr>
          <w:rFonts w:ascii="Verdana" w:hAnsi="Verdana"/>
          <w:lang w:val="es-ES"/>
        </w:rPr>
      </w:pPr>
    </w:p>
    <w:p w14:paraId="41AA8B51" w14:textId="77777777" w:rsidR="00753A8A" w:rsidRDefault="00753A8A" w:rsidP="000F6971">
      <w:pPr>
        <w:spacing w:after="0"/>
        <w:rPr>
          <w:rFonts w:ascii="Verdana" w:hAnsi="Verdana"/>
          <w:lang w:val="es-ES"/>
        </w:rPr>
      </w:pPr>
    </w:p>
    <w:p w14:paraId="578C53DD" w14:textId="77777777" w:rsidR="00753A8A" w:rsidRDefault="00753A8A" w:rsidP="000F6971">
      <w:pPr>
        <w:spacing w:after="0"/>
        <w:rPr>
          <w:rFonts w:ascii="Verdana" w:hAnsi="Verdana"/>
          <w:lang w:val="es-ES"/>
        </w:rPr>
      </w:pPr>
    </w:p>
    <w:p w14:paraId="10D80280" w14:textId="77777777" w:rsidR="00753A8A" w:rsidRDefault="00753A8A" w:rsidP="000F6971">
      <w:pPr>
        <w:spacing w:after="0"/>
        <w:rPr>
          <w:rFonts w:ascii="Verdana" w:hAnsi="Verdana"/>
          <w:lang w:val="es-ES"/>
        </w:rPr>
      </w:pPr>
    </w:p>
    <w:p w14:paraId="4C359466" w14:textId="6A7ED950" w:rsidR="000F6971" w:rsidRPr="00FC6F34" w:rsidRDefault="000F6971" w:rsidP="000F6971">
      <w:pPr>
        <w:spacing w:after="0"/>
        <w:rPr>
          <w:rFonts w:ascii="Verdana" w:hAnsi="Verdana"/>
          <w:lang w:val="es-ES"/>
        </w:rPr>
      </w:pPr>
      <w:r w:rsidRPr="00FC6F34">
        <w:rPr>
          <w:rFonts w:ascii="Verdana" w:hAnsi="Verdana"/>
          <w:lang w:val="es-ES"/>
        </w:rPr>
        <w:lastRenderedPageBreak/>
        <w:t>Bogotá D.C.</w:t>
      </w:r>
      <w:r w:rsidR="007479A3">
        <w:rPr>
          <w:rFonts w:ascii="Verdana" w:hAnsi="Verdana"/>
          <w:lang w:val="es-ES"/>
        </w:rPr>
        <w:t>, 2 de julio de 2026</w:t>
      </w:r>
    </w:p>
    <w:p w14:paraId="3E8AF6C7" w14:textId="77777777" w:rsidR="000F6971" w:rsidRDefault="000F6971" w:rsidP="000F6971">
      <w:pPr>
        <w:spacing w:after="0"/>
        <w:rPr>
          <w:rFonts w:ascii="Verdana" w:hAnsi="Verdana"/>
          <w:lang w:val="es-ES"/>
        </w:rPr>
      </w:pPr>
    </w:p>
    <w:p w14:paraId="766C690B" w14:textId="0AB0D7B3" w:rsidR="007479A3" w:rsidRPr="00FC6F34" w:rsidRDefault="007479A3" w:rsidP="007479A3">
      <w:pPr>
        <w:spacing w:after="0"/>
        <w:jc w:val="right"/>
        <w:rPr>
          <w:rFonts w:ascii="Verdana" w:hAnsi="Verdana"/>
          <w:lang w:val="es-ES"/>
        </w:rPr>
      </w:pPr>
      <w:r w:rsidRPr="007479A3">
        <w:rPr>
          <w:rFonts w:ascii="Verdana" w:hAnsi="Verdana"/>
          <w:noProof/>
          <w:lang w:val="es-ES"/>
        </w:rPr>
        <w:drawing>
          <wp:anchor distT="0" distB="0" distL="114300" distR="114300" simplePos="0" relativeHeight="251658240" behindDoc="0" locked="0" layoutInCell="1" allowOverlap="1" wp14:anchorId="713C63AE" wp14:editId="3CD17ECE">
            <wp:simplePos x="0" y="0"/>
            <wp:positionH relativeFrom="column">
              <wp:posOffset>3475962</wp:posOffset>
            </wp:positionH>
            <wp:positionV relativeFrom="paragraph">
              <wp:posOffset>718</wp:posOffset>
            </wp:positionV>
            <wp:extent cx="2130425" cy="747422"/>
            <wp:effectExtent l="0" t="0" r="3175" b="0"/>
            <wp:wrapSquare wrapText="bothSides"/>
            <wp:docPr id="11155479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30425" cy="747422"/>
                    </a:xfrm>
                    <a:prstGeom prst="rect">
                      <a:avLst/>
                    </a:prstGeom>
                    <a:noFill/>
                    <a:ln>
                      <a:noFill/>
                    </a:ln>
                  </pic:spPr>
                </pic:pic>
              </a:graphicData>
            </a:graphic>
          </wp:anchor>
        </w:drawing>
      </w:r>
    </w:p>
    <w:p w14:paraId="742A1571" w14:textId="77777777" w:rsidR="000F6971" w:rsidRPr="00FC6F34" w:rsidRDefault="000F6971" w:rsidP="000F6971">
      <w:pPr>
        <w:spacing w:after="0" w:line="240" w:lineRule="auto"/>
        <w:rPr>
          <w:rFonts w:ascii="Verdana" w:hAnsi="Verdana"/>
          <w:lang w:val="es-ES"/>
        </w:rPr>
      </w:pPr>
      <w:r w:rsidRPr="00FC6F34">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0D859880" w14:textId="77777777" w:rsidR="000F6971" w:rsidRDefault="000F6971" w:rsidP="000F6971">
      <w:pPr>
        <w:spacing w:after="0"/>
        <w:rPr>
          <w:rFonts w:ascii="Verdana" w:eastAsia="Calibri" w:hAnsi="Verdana" w:cs="Arial"/>
          <w:b/>
          <w:color w:val="000000" w:themeColor="text1"/>
          <w:lang w:eastAsia="es-ES"/>
        </w:rPr>
      </w:pPr>
      <w:r>
        <w:rPr>
          <w:rFonts w:ascii="Verdana" w:eastAsia="Calibri" w:hAnsi="Verdana" w:cs="Arial"/>
          <w:b/>
          <w:color w:val="000000" w:themeColor="text1"/>
          <w:lang w:eastAsia="es-ES"/>
        </w:rPr>
        <w:t>Rosa Brígida Garnica Félix</w:t>
      </w:r>
    </w:p>
    <w:p w14:paraId="59381122" w14:textId="77777777" w:rsidR="000F6971" w:rsidRPr="005E1B9A" w:rsidRDefault="000F6971" w:rsidP="000F6971">
      <w:pPr>
        <w:spacing w:after="0"/>
        <w:rPr>
          <w:rFonts w:ascii="Verdana" w:eastAsia="Calibri" w:hAnsi="Verdana" w:cs="Arial"/>
          <w:bCs/>
          <w:color w:val="000000" w:themeColor="text1"/>
          <w:lang w:eastAsia="es-ES"/>
        </w:rPr>
      </w:pPr>
      <w:r w:rsidRPr="005E1B9A">
        <w:rPr>
          <w:rFonts w:ascii="Verdana" w:eastAsia="Calibri" w:hAnsi="Verdana" w:cs="Arial"/>
          <w:bCs/>
          <w:color w:val="000000" w:themeColor="text1"/>
          <w:lang w:eastAsia="es-ES"/>
        </w:rPr>
        <w:t>Secretaria de Educación Departamental</w:t>
      </w:r>
    </w:p>
    <w:p w14:paraId="56F62CC0" w14:textId="77777777" w:rsidR="000F6971" w:rsidRPr="005E1B9A" w:rsidRDefault="000F6971" w:rsidP="000F6971">
      <w:pPr>
        <w:spacing w:after="0"/>
        <w:rPr>
          <w:rFonts w:ascii="Verdana" w:eastAsia="Calibri" w:hAnsi="Verdana" w:cs="Arial"/>
          <w:bCs/>
          <w:color w:val="000000" w:themeColor="text1"/>
          <w:lang w:eastAsia="es-ES"/>
        </w:rPr>
      </w:pPr>
      <w:r w:rsidRPr="005E1B9A">
        <w:rPr>
          <w:rFonts w:ascii="Verdana" w:eastAsia="Calibri" w:hAnsi="Verdana" w:cs="Arial"/>
          <w:bCs/>
          <w:color w:val="000000" w:themeColor="text1"/>
          <w:lang w:eastAsia="es-ES"/>
        </w:rPr>
        <w:t>Gobernación del Amazonas</w:t>
      </w:r>
    </w:p>
    <w:p w14:paraId="3D1FB511" w14:textId="77777777" w:rsidR="000F6971" w:rsidRPr="005E1B9A" w:rsidRDefault="000F6971" w:rsidP="000F6971">
      <w:pPr>
        <w:spacing w:after="0"/>
        <w:rPr>
          <w:rFonts w:ascii="Verdana" w:eastAsia="Calibri" w:hAnsi="Verdana" w:cs="Arial"/>
          <w:bCs/>
          <w:color w:val="000000" w:themeColor="text1"/>
          <w:lang w:eastAsia="es-ES"/>
        </w:rPr>
      </w:pPr>
      <w:r w:rsidRPr="005E1B9A">
        <w:rPr>
          <w:rFonts w:ascii="Verdana" w:eastAsia="Calibri" w:hAnsi="Verdana" w:cs="Arial"/>
          <w:bCs/>
          <w:color w:val="000000" w:themeColor="text1"/>
          <w:lang w:eastAsia="es-ES"/>
        </w:rPr>
        <w:t>educacion@amazonas.gov.co</w:t>
      </w:r>
    </w:p>
    <w:p w14:paraId="0472158F" w14:textId="77777777" w:rsidR="000F6971" w:rsidRPr="0089326A" w:rsidRDefault="000F6971" w:rsidP="000F6971">
      <w:pPr>
        <w:spacing w:after="0"/>
        <w:rPr>
          <w:rFonts w:ascii="Verdana" w:eastAsia="Calibri" w:hAnsi="Verdana" w:cs="Arial"/>
          <w:color w:val="000000" w:themeColor="text1"/>
          <w:lang w:eastAsia="es-ES"/>
        </w:rPr>
      </w:pPr>
      <w:r w:rsidRPr="0089326A">
        <w:rPr>
          <w:rFonts w:ascii="Verdana" w:eastAsia="Calibri" w:hAnsi="Verdana" w:cs="Arial"/>
          <w:bCs/>
          <w:color w:val="000000" w:themeColor="text1"/>
          <w:lang w:eastAsia="es-ES"/>
        </w:rPr>
        <w:t>Bogotá D.C.</w:t>
      </w:r>
    </w:p>
    <w:p w14:paraId="27B1D442" w14:textId="77777777" w:rsidR="000F6971" w:rsidRPr="00FC6F34" w:rsidRDefault="000F6971" w:rsidP="000F6971">
      <w:pPr>
        <w:spacing w:after="0" w:line="240" w:lineRule="auto"/>
        <w:rPr>
          <w:rFonts w:ascii="Verdana" w:eastAsia="Calibri" w:hAnsi="Verdana" w:cs="Arial"/>
          <w:b/>
          <w:bCs/>
          <w:color w:val="000000" w:themeColor="text1"/>
          <w:lang w:val="es-ES" w:eastAsia="es-ES"/>
        </w:rPr>
      </w:pPr>
    </w:p>
    <w:tbl>
      <w:tblPr>
        <w:tblStyle w:val="Tablaconcuadrcula"/>
        <w:tblW w:w="89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241"/>
      </w:tblGrid>
      <w:tr w:rsidR="000F6971" w:rsidRPr="00FC6F34" w14:paraId="38267D69" w14:textId="77777777" w:rsidTr="0044414F">
        <w:trPr>
          <w:trHeight w:val="316"/>
        </w:trPr>
        <w:tc>
          <w:tcPr>
            <w:tcW w:w="2694" w:type="dxa"/>
          </w:tcPr>
          <w:p w14:paraId="6C28C27D" w14:textId="77777777" w:rsidR="000F6971" w:rsidRPr="00FC6F34" w:rsidRDefault="000F6971" w:rsidP="0044414F">
            <w:pPr>
              <w:ind w:left="-142"/>
              <w:jc w:val="both"/>
              <w:rPr>
                <w:rFonts w:ascii="Verdana" w:eastAsia="Calibri" w:hAnsi="Verdana" w:cs="Arial"/>
                <w:b/>
                <w:bCs/>
                <w:color w:val="000000" w:themeColor="text1"/>
                <w:lang w:val="es-ES" w:eastAsia="es-ES_tradnl"/>
              </w:rPr>
            </w:pPr>
          </w:p>
        </w:tc>
        <w:tc>
          <w:tcPr>
            <w:tcW w:w="6241" w:type="dxa"/>
          </w:tcPr>
          <w:p w14:paraId="72BA1F6E" w14:textId="77777777" w:rsidR="000F6971" w:rsidRDefault="000F6971" w:rsidP="0044414F">
            <w:pPr>
              <w:ind w:left="3"/>
              <w:jc w:val="both"/>
              <w:rPr>
                <w:rFonts w:ascii="Verdana" w:eastAsia="Calibri" w:hAnsi="Verdana" w:cs="Arial"/>
                <w:b/>
                <w:bCs/>
                <w:color w:val="000000" w:themeColor="text1"/>
                <w:lang w:val="es-ES" w:eastAsia="es-ES"/>
              </w:rPr>
            </w:pPr>
          </w:p>
          <w:p w14:paraId="6954C00F" w14:textId="77777777" w:rsidR="000F6971" w:rsidRPr="00FC6F34" w:rsidRDefault="000F6971" w:rsidP="0044414F">
            <w:pPr>
              <w:ind w:left="3" w:firstLine="139"/>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947</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7358FE73" w14:textId="77777777" w:rsidR="000F6971" w:rsidRPr="00FC6F34" w:rsidRDefault="000F6971" w:rsidP="0044414F">
            <w:pPr>
              <w:ind w:left="3"/>
              <w:jc w:val="both"/>
              <w:rPr>
                <w:rFonts w:ascii="Verdana" w:eastAsia="Calibri" w:hAnsi="Verdana" w:cs="Arial"/>
                <w:b/>
                <w:bCs/>
                <w:color w:val="000000" w:themeColor="text1"/>
                <w:lang w:val="es-ES" w:eastAsia="es-ES"/>
              </w:rPr>
            </w:pPr>
          </w:p>
        </w:tc>
      </w:tr>
      <w:tr w:rsidR="000F6971" w:rsidRPr="007552F9" w14:paraId="2D35B897" w14:textId="77777777" w:rsidTr="0044414F">
        <w:trPr>
          <w:trHeight w:val="316"/>
        </w:trPr>
        <w:tc>
          <w:tcPr>
            <w:tcW w:w="2694" w:type="dxa"/>
          </w:tcPr>
          <w:p w14:paraId="37A5F3E5" w14:textId="77777777" w:rsidR="000F6971" w:rsidRPr="00FC6F34" w:rsidRDefault="000F6971" w:rsidP="0044414F">
            <w:pPr>
              <w:ind w:left="424" w:hanging="42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241" w:type="dxa"/>
          </w:tcPr>
          <w:p w14:paraId="748A6E5B" w14:textId="77777777" w:rsidR="000F6971" w:rsidRPr="007552F9" w:rsidRDefault="000F6971" w:rsidP="0044414F">
            <w:pPr>
              <w:spacing w:line="276" w:lineRule="auto"/>
              <w:ind w:hanging="4"/>
              <w:jc w:val="both"/>
              <w:rPr>
                <w:rFonts w:ascii="Verdana" w:eastAsia="Calibri" w:hAnsi="Verdana" w:cs="Arial"/>
                <w:color w:val="000000" w:themeColor="text1"/>
                <w:lang w:val="es-ES" w:eastAsia="es-ES"/>
              </w:rPr>
            </w:pPr>
            <w:r w:rsidRPr="007552F9">
              <w:rPr>
                <w:rFonts w:ascii="Verdana" w:eastAsia="Calibri" w:hAnsi="Verdana" w:cs="Arial"/>
                <w:color w:val="000000" w:themeColor="text1"/>
                <w:lang w:val="es-ES" w:eastAsia="es-ES"/>
              </w:rPr>
              <w:t xml:space="preserve">PRECIO ‒ </w:t>
            </w:r>
            <w:r>
              <w:rPr>
                <w:rFonts w:ascii="Verdana" w:eastAsia="Calibri" w:hAnsi="Verdana" w:cs="Arial"/>
                <w:color w:val="000000" w:themeColor="text1"/>
                <w:lang w:val="es-ES" w:eastAsia="es-ES"/>
              </w:rPr>
              <w:t xml:space="preserve">Concepto </w:t>
            </w:r>
            <w:r w:rsidRPr="007552F9">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VALOR ESTIMADO DEL CONTRATO</w:t>
            </w:r>
            <w:r w:rsidRPr="007552F9">
              <w:rPr>
                <w:rFonts w:ascii="Verdana" w:eastAsia="Calibri" w:hAnsi="Verdana" w:cs="Arial"/>
                <w:color w:val="000000" w:themeColor="text1"/>
                <w:lang w:val="es-ES" w:eastAsia="es-ES"/>
              </w:rPr>
              <w:t xml:space="preserve"> – Costo </w:t>
            </w:r>
            <w:r>
              <w:rPr>
                <w:rFonts w:ascii="Verdana" w:eastAsia="Calibri" w:hAnsi="Verdana" w:cs="Arial"/>
                <w:color w:val="000000" w:themeColor="text1"/>
                <w:lang w:val="es-ES" w:eastAsia="es-ES"/>
              </w:rPr>
              <w:t>directos e indirecto</w:t>
            </w:r>
            <w:r w:rsidRPr="007552F9">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 ESTRUCTURACIÓN DEL PRECIO </w:t>
            </w:r>
            <w:r w:rsidRPr="007552F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Impuestos </w:t>
            </w:r>
            <w:r w:rsidRPr="007552F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Excluye retención en la fuente</w:t>
            </w:r>
          </w:p>
          <w:p w14:paraId="7DB894E9" w14:textId="77777777" w:rsidR="000F6971" w:rsidRPr="00FC6F34" w:rsidRDefault="000F6971" w:rsidP="0044414F">
            <w:pPr>
              <w:spacing w:line="276" w:lineRule="auto"/>
              <w:jc w:val="both"/>
              <w:rPr>
                <w:rFonts w:ascii="Verdana" w:eastAsia="Calibri" w:hAnsi="Verdana" w:cs="Arial"/>
                <w:color w:val="000000" w:themeColor="text1"/>
                <w:lang w:val="es-ES" w:eastAsia="es-ES"/>
              </w:rPr>
            </w:pPr>
          </w:p>
        </w:tc>
      </w:tr>
      <w:tr w:rsidR="000F6971" w:rsidRPr="00FC6F34" w14:paraId="0CB55218" w14:textId="77777777" w:rsidTr="0044414F">
        <w:trPr>
          <w:trHeight w:val="847"/>
        </w:trPr>
        <w:tc>
          <w:tcPr>
            <w:tcW w:w="2694" w:type="dxa"/>
          </w:tcPr>
          <w:p w14:paraId="00F73BC5" w14:textId="77777777" w:rsidR="000F6971" w:rsidRPr="0089326A" w:rsidRDefault="000F6971" w:rsidP="0044414F">
            <w:pPr>
              <w:ind w:left="561" w:hanging="559"/>
              <w:jc w:val="both"/>
              <w:rPr>
                <w:rFonts w:ascii="Verdana" w:eastAsia="Calibri" w:hAnsi="Verdana" w:cs="Arial"/>
                <w:b/>
                <w:bCs/>
                <w:color w:val="000000" w:themeColor="text1"/>
                <w:lang w:val="es-ES" w:eastAsia="es-ES"/>
              </w:rPr>
            </w:pPr>
            <w:r w:rsidRPr="0089326A">
              <w:rPr>
                <w:rFonts w:ascii="Verdana" w:eastAsia="Calibri" w:hAnsi="Verdana" w:cs="Arial"/>
                <w:b/>
                <w:bCs/>
                <w:color w:val="000000" w:themeColor="text1"/>
                <w:lang w:val="es-ES" w:eastAsia="es-ES"/>
              </w:rPr>
              <w:t xml:space="preserve">Radicación:              </w:t>
            </w:r>
          </w:p>
        </w:tc>
        <w:tc>
          <w:tcPr>
            <w:tcW w:w="6241" w:type="dxa"/>
          </w:tcPr>
          <w:p w14:paraId="27BCAFE9" w14:textId="77777777" w:rsidR="000F6971" w:rsidRPr="0089326A" w:rsidRDefault="000F6971" w:rsidP="0044414F">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 No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FC6F34">
              <w:rPr>
                <w:rFonts w:ascii="Verdana" w:eastAsia="Calibri" w:hAnsi="Verdana" w:cs="Arial"/>
                <w:color w:val="000000" w:themeColor="text1"/>
                <w:lang w:val="es-ES" w:eastAsia="es-ES"/>
              </w:rPr>
              <w:t xml:space="preserve"> </w:t>
            </w:r>
            <w:r w:rsidRPr="00DD50DE">
              <w:rPr>
                <w:rFonts w:ascii="Verdana" w:eastAsia="Calibri" w:hAnsi="Verdana" w:cs="Arial"/>
                <w:color w:val="000000" w:themeColor="text1"/>
                <w:lang w:val="es-ES" w:eastAsia="es-ES"/>
              </w:rPr>
              <w:t xml:space="preserve">1_2026_06_09_007781 </w:t>
            </w:r>
            <w:r>
              <w:rPr>
                <w:rFonts w:ascii="Verdana" w:eastAsia="Calibri" w:hAnsi="Verdana" w:cs="Arial"/>
                <w:color w:val="000000" w:themeColor="text1"/>
                <w:lang w:val="es-ES" w:eastAsia="es-ES"/>
              </w:rPr>
              <w:t>y</w:t>
            </w:r>
            <w:r w:rsidRPr="00DD50DE">
              <w:rPr>
                <w:rFonts w:ascii="Verdana" w:eastAsia="Calibri" w:hAnsi="Verdana" w:cs="Arial"/>
                <w:color w:val="000000" w:themeColor="text1"/>
                <w:lang w:val="es-ES" w:eastAsia="es-ES"/>
              </w:rPr>
              <w:t xml:space="preserve"> 1_2026_06_19_008283</w:t>
            </w:r>
            <w:r>
              <w:rPr>
                <w:rFonts w:ascii="Verdana" w:eastAsia="Calibri" w:hAnsi="Verdana" w:cs="Arial"/>
                <w:color w:val="000000" w:themeColor="text1"/>
                <w:lang w:val="es-ES" w:eastAsia="es-ES"/>
              </w:rPr>
              <w:t xml:space="preserve"> -Acumuladas-</w:t>
            </w:r>
          </w:p>
        </w:tc>
      </w:tr>
    </w:tbl>
    <w:p w14:paraId="231B1689" w14:textId="77777777" w:rsidR="000F6971" w:rsidRPr="00FC6F34" w:rsidRDefault="000F6971" w:rsidP="000F6971">
      <w:pPr>
        <w:spacing w:after="0" w:line="276" w:lineRule="auto"/>
        <w:jc w:val="both"/>
        <w:rPr>
          <w:rFonts w:ascii="Verdana" w:eastAsia="Calibri" w:hAnsi="Verdana" w:cs="Arial"/>
          <w:color w:val="000000" w:themeColor="text1"/>
          <w:lang w:val="es-ES" w:eastAsia="es-ES"/>
        </w:rPr>
      </w:pPr>
    </w:p>
    <w:p w14:paraId="613C3D41" w14:textId="77777777" w:rsidR="000F6971" w:rsidRPr="00FC6F34" w:rsidRDefault="000F6971" w:rsidP="000F697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Garnica</w:t>
      </w:r>
      <w:r w:rsidRPr="00FC6F34">
        <w:rPr>
          <w:rFonts w:ascii="Verdana" w:eastAsia="Calibri" w:hAnsi="Verdana" w:cs="Arial"/>
          <w:color w:val="000000" w:themeColor="text1"/>
          <w:lang w:val="es-ES" w:eastAsia="es-ES"/>
        </w:rPr>
        <w:t xml:space="preserve">: </w:t>
      </w:r>
    </w:p>
    <w:p w14:paraId="5F06C0A3" w14:textId="77777777" w:rsidR="000F6971" w:rsidRPr="00FC6F34" w:rsidRDefault="000F6971" w:rsidP="000F6971">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21192374" w14:textId="77777777" w:rsidR="000F6971" w:rsidRPr="00FC6F34" w:rsidRDefault="000F6971" w:rsidP="000F697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D20014">
        <w:rPr>
          <w:rFonts w:ascii="Verdana" w:eastAsia="Aptos" w:hAnsi="Verdana" w:cs="Arial"/>
        </w:rPr>
        <w:t xml:space="preserve">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9</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junio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5C71E4BE" w14:textId="77777777" w:rsidR="000F6971" w:rsidRPr="00BF306B" w:rsidRDefault="000F6971" w:rsidP="000F6971">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1861316E" w14:textId="77777777" w:rsidR="000F6971" w:rsidRDefault="000F6971" w:rsidP="000F6971">
      <w:pPr>
        <w:spacing w:after="0"/>
        <w:ind w:left="709" w:right="709"/>
        <w:jc w:val="both"/>
        <w:rPr>
          <w:rFonts w:ascii="Verdana" w:eastAsia="Century Gothic" w:hAnsi="Verdana" w:cs="Century Gothic"/>
          <w:color w:val="000000" w:themeColor="text1"/>
          <w:sz w:val="20"/>
          <w:szCs w:val="20"/>
          <w:lang w:val="es-ES"/>
        </w:rPr>
      </w:pPr>
      <w:r w:rsidRPr="00BF306B">
        <w:rPr>
          <w:rFonts w:ascii="Verdana" w:eastAsia="Century Gothic" w:hAnsi="Verdana" w:cs="Century Gothic"/>
          <w:i/>
          <w:color w:val="000000" w:themeColor="text1"/>
          <w:sz w:val="20"/>
          <w:szCs w:val="20"/>
          <w:lang w:val="es-ES"/>
        </w:rPr>
        <w:t>“</w:t>
      </w:r>
      <w:r w:rsidRPr="006E3E0D">
        <w:rPr>
          <w:rFonts w:ascii="Verdana" w:eastAsia="Century Gothic" w:hAnsi="Verdana" w:cs="Century Gothic"/>
          <w:color w:val="000000" w:themeColor="text1"/>
          <w:sz w:val="20"/>
          <w:szCs w:val="20"/>
          <w:lang w:val="es-ES"/>
        </w:rPr>
        <w:t>[…]</w:t>
      </w:r>
    </w:p>
    <w:p w14:paraId="63B20BB8" w14:textId="77777777" w:rsidR="000F6971" w:rsidRDefault="000F6971" w:rsidP="000F6971">
      <w:pPr>
        <w:spacing w:after="0"/>
        <w:ind w:left="709" w:right="709"/>
        <w:jc w:val="both"/>
        <w:rPr>
          <w:rFonts w:ascii="Verdana" w:eastAsia="Century Gothic" w:hAnsi="Verdana" w:cs="Century Gothic"/>
          <w:i/>
          <w:color w:val="000000" w:themeColor="text1"/>
          <w:sz w:val="20"/>
          <w:szCs w:val="20"/>
        </w:rPr>
      </w:pPr>
    </w:p>
    <w:p w14:paraId="40788BFA" w14:textId="77777777" w:rsidR="000F6971" w:rsidRDefault="000F6971" w:rsidP="000F6971">
      <w:pPr>
        <w:spacing w:after="0"/>
        <w:ind w:left="709"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1. </w:t>
      </w:r>
      <w:r w:rsidRPr="007E24A9">
        <w:rPr>
          <w:rFonts w:ascii="Verdana" w:eastAsia="Century Gothic" w:hAnsi="Verdana" w:cs="Century Gothic"/>
          <w:i/>
          <w:color w:val="000000" w:themeColor="text1"/>
          <w:sz w:val="20"/>
          <w:szCs w:val="20"/>
        </w:rPr>
        <w:t>¿En la etapa de planeación contractual y para efectos de la elaboración del análisis del sector y de los estudios previos, puede una entidad estatal considerar la retención en la fuente como una variable tributaria indirecta dentro del análisis económico que sustenta la determinación del valor estimado de la ración del Programa de Alimentación Escolar, sin que ello implique tratarla como costo directo del alimento o como un valor adicional a reconocer al contratista?</w:t>
      </w:r>
    </w:p>
    <w:p w14:paraId="6B9ED281" w14:textId="77777777" w:rsidR="000F6971" w:rsidRPr="007E24A9" w:rsidRDefault="000F6971" w:rsidP="000F6971">
      <w:pPr>
        <w:spacing w:after="0"/>
        <w:ind w:left="709" w:right="709"/>
        <w:jc w:val="both"/>
        <w:rPr>
          <w:rFonts w:ascii="Verdana" w:eastAsia="Century Gothic" w:hAnsi="Verdana" w:cs="Century Gothic"/>
          <w:i/>
          <w:color w:val="000000" w:themeColor="text1"/>
          <w:sz w:val="20"/>
          <w:szCs w:val="20"/>
        </w:rPr>
      </w:pPr>
    </w:p>
    <w:p w14:paraId="46FE9327" w14:textId="77777777" w:rsidR="000F6971" w:rsidRDefault="000F6971" w:rsidP="000F6971">
      <w:pPr>
        <w:spacing w:after="0"/>
        <w:ind w:left="709"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lastRenderedPageBreak/>
        <w:t xml:space="preserve">2. </w:t>
      </w:r>
      <w:r w:rsidRPr="007E24A9">
        <w:rPr>
          <w:rFonts w:ascii="Verdana" w:eastAsia="Century Gothic" w:hAnsi="Verdana" w:cs="Century Gothic"/>
          <w:i/>
          <w:color w:val="000000" w:themeColor="text1"/>
          <w:sz w:val="20"/>
          <w:szCs w:val="20"/>
        </w:rPr>
        <w:t>Para efectos de la estructuración del precio a que hacen referencia los Conceptos C-125 de 2026 y C-355 de 2026 de esa Agencia, ¿la retención en la fuente puede entenderse comprendida dentro de las variables tributarias, financieras o económicas que los agentes del mercado consideran al estructurar sus ofertas y que la entidad debe analizar al estimar el valor del contrato?</w:t>
      </w:r>
    </w:p>
    <w:p w14:paraId="2F601569" w14:textId="77777777" w:rsidR="000F6971" w:rsidRPr="007E24A9" w:rsidRDefault="000F6971" w:rsidP="000F6971">
      <w:pPr>
        <w:spacing w:after="0"/>
        <w:ind w:left="709" w:right="709"/>
        <w:jc w:val="both"/>
        <w:rPr>
          <w:rFonts w:ascii="Verdana" w:eastAsia="Century Gothic" w:hAnsi="Verdana" w:cs="Century Gothic"/>
          <w:i/>
          <w:color w:val="000000" w:themeColor="text1"/>
          <w:sz w:val="20"/>
          <w:szCs w:val="20"/>
        </w:rPr>
      </w:pPr>
    </w:p>
    <w:p w14:paraId="1422399C" w14:textId="77777777" w:rsidR="000F6971" w:rsidRDefault="000F6971" w:rsidP="000F6971">
      <w:pPr>
        <w:spacing w:after="0"/>
        <w:ind w:left="709"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3. </w:t>
      </w:r>
      <w:r w:rsidRPr="007E24A9">
        <w:rPr>
          <w:rFonts w:ascii="Verdana" w:eastAsia="Century Gothic" w:hAnsi="Verdana" w:cs="Century Gothic"/>
          <w:i/>
          <w:color w:val="000000" w:themeColor="text1"/>
          <w:sz w:val="20"/>
          <w:szCs w:val="20"/>
        </w:rPr>
        <w:t>¿Existe diferencia jurídica entre considerar la retención en la fuente como una variable económica de referencia dentro del análisis de costos indirectos y factores financieros que inciden en la construcción del precio, y reconocerla como un rubro autónomo que se adiciona al valor del contrato y se paga separadamente al contratista?</w:t>
      </w:r>
    </w:p>
    <w:p w14:paraId="0008CEB2" w14:textId="77777777" w:rsidR="000F6971" w:rsidRPr="007E24A9" w:rsidRDefault="000F6971" w:rsidP="000F6971">
      <w:pPr>
        <w:spacing w:after="0"/>
        <w:ind w:left="709" w:right="709"/>
        <w:jc w:val="both"/>
        <w:rPr>
          <w:rFonts w:ascii="Verdana" w:eastAsia="Century Gothic" w:hAnsi="Verdana" w:cs="Century Gothic"/>
          <w:i/>
          <w:color w:val="000000" w:themeColor="text1"/>
          <w:sz w:val="20"/>
          <w:szCs w:val="20"/>
        </w:rPr>
      </w:pPr>
    </w:p>
    <w:p w14:paraId="6CEE3EE7" w14:textId="77777777" w:rsidR="000F6971" w:rsidRDefault="000F6971" w:rsidP="000F6971">
      <w:pPr>
        <w:spacing w:after="0"/>
        <w:ind w:left="709"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4. </w:t>
      </w:r>
      <w:r w:rsidRPr="007E24A9">
        <w:rPr>
          <w:rFonts w:ascii="Verdana" w:eastAsia="Century Gothic" w:hAnsi="Verdana" w:cs="Century Gothic"/>
          <w:i/>
          <w:color w:val="000000" w:themeColor="text1"/>
          <w:sz w:val="20"/>
          <w:szCs w:val="20"/>
        </w:rPr>
        <w:t>Cuando el valor de la ración se determina como un valor integral y posteriormente la entidad, en su calidad de agente retenedor, practica la retención en la fuente sobre el pago correspondiente, ¿dicha operación configura una doble imposición tributaria o un reconocimiento económico adicional al contratista, o corresponde simplemente a la aplicación ordinaria del mecanismo de recaudo previsto en la legislación tributaria?</w:t>
      </w:r>
    </w:p>
    <w:p w14:paraId="0AF025A0" w14:textId="77777777" w:rsidR="000F6971" w:rsidRPr="007E24A9" w:rsidRDefault="000F6971" w:rsidP="000F6971">
      <w:pPr>
        <w:spacing w:after="0"/>
        <w:ind w:left="709" w:right="709"/>
        <w:jc w:val="both"/>
        <w:rPr>
          <w:rFonts w:ascii="Verdana" w:eastAsia="Century Gothic" w:hAnsi="Verdana" w:cs="Century Gothic"/>
          <w:i/>
          <w:color w:val="000000" w:themeColor="text1"/>
          <w:sz w:val="20"/>
          <w:szCs w:val="20"/>
        </w:rPr>
      </w:pPr>
    </w:p>
    <w:p w14:paraId="39E0160F" w14:textId="77777777" w:rsidR="000F6971" w:rsidRPr="00851E42" w:rsidRDefault="000F6971" w:rsidP="000F6971">
      <w:pPr>
        <w:spacing w:after="0"/>
        <w:ind w:left="709"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5. </w:t>
      </w:r>
      <w:r w:rsidRPr="007E24A9">
        <w:rPr>
          <w:rFonts w:ascii="Verdana" w:eastAsia="Century Gothic" w:hAnsi="Verdana" w:cs="Century Gothic"/>
          <w:i/>
          <w:color w:val="000000" w:themeColor="text1"/>
          <w:sz w:val="20"/>
          <w:szCs w:val="20"/>
        </w:rPr>
        <w:t>En el marco de los principios de planeación y economía previstos en la Ley 80 de 1993 y de las obligaciones de análisis del sector establecidas en el Decreto 1082 de 2015, ¿qué alcance debe otorgarse a las variables tributarias, financieras y económicas que inciden en la ejecución contractual al momento de determinar el valor estimado de contratos celebrados bajo la modalidad de precios unitarios, particularmente en territorios con condiciones logísticas especiales como el Departamento del Amazonas?</w:t>
      </w:r>
      <w:r w:rsidRPr="0089326A">
        <w:rPr>
          <w:rFonts w:ascii="Verdana" w:eastAsia="Century Gothic" w:hAnsi="Verdana" w:cs="Century Gothic"/>
          <w:i/>
          <w:color w:val="000000" w:themeColor="text1"/>
          <w:sz w:val="20"/>
          <w:szCs w:val="20"/>
        </w:rPr>
        <w:t>.</w:t>
      </w:r>
      <w:r w:rsidRPr="00BF306B">
        <w:rPr>
          <w:rFonts w:ascii="Verdana" w:hAnsi="Verdana"/>
          <w:sz w:val="20"/>
          <w:szCs w:val="20"/>
        </w:rPr>
        <w:t>”</w:t>
      </w:r>
    </w:p>
    <w:p w14:paraId="64BB1A5C" w14:textId="77777777" w:rsidR="000F6971" w:rsidRPr="00FC6F34" w:rsidRDefault="000F6971" w:rsidP="000F6971">
      <w:pPr>
        <w:spacing w:after="0" w:line="276" w:lineRule="auto"/>
        <w:ind w:right="709"/>
        <w:jc w:val="both"/>
        <w:rPr>
          <w:rFonts w:ascii="Verdana" w:eastAsia="Calibri" w:hAnsi="Verdana" w:cs="Arial"/>
          <w:lang w:val="es-ES"/>
        </w:rPr>
      </w:pPr>
    </w:p>
    <w:p w14:paraId="78EF1E40" w14:textId="77777777" w:rsidR="000F6971" w:rsidRPr="00FC6F34" w:rsidRDefault="000F6971" w:rsidP="000F6971">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FC6F34">
        <w:rPr>
          <w:rFonts w:ascii="Verdana" w:eastAsia="Calibri" w:hAnsi="Verdana" w:cs="Arial"/>
          <w:color w:val="000000" w:themeColor="text1"/>
          <w:lang w:val="es-ES" w:eastAsia="es-ES"/>
        </w:rPr>
        <w:lastRenderedPageBreak/>
        <w:t xml:space="preserve">interpretación de normas generales, por definición, no puede extenderse a la resolución de controversias, ni a brindar asesorías sobre casos puntuales. </w:t>
      </w:r>
      <w:r w:rsidRPr="00FC6F34">
        <w:rPr>
          <w:lang w:val="es-ES"/>
        </w:rPr>
        <w:tab/>
      </w:r>
    </w:p>
    <w:p w14:paraId="08686D7F" w14:textId="77777777" w:rsidR="000F6971" w:rsidRPr="00C327DE" w:rsidRDefault="000F6971" w:rsidP="000F6971">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93D5883" w14:textId="77777777" w:rsidR="000F6971" w:rsidRPr="00FC6F34" w:rsidRDefault="000F6971" w:rsidP="000F6971">
      <w:pPr>
        <w:spacing w:after="0" w:line="276" w:lineRule="auto"/>
        <w:jc w:val="both"/>
        <w:rPr>
          <w:rFonts w:ascii="Verdana" w:eastAsia="Calibri" w:hAnsi="Verdana" w:cs="Arial"/>
          <w:color w:val="000000" w:themeColor="text1"/>
          <w:lang w:val="es-ES" w:eastAsia="es-ES"/>
        </w:rPr>
      </w:pPr>
    </w:p>
    <w:p w14:paraId="317955FC" w14:textId="77777777" w:rsidR="000F6971" w:rsidRPr="00FC6F34" w:rsidRDefault="000F6971" w:rsidP="000F6971">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16E46776" w14:textId="77777777" w:rsidR="000F6971" w:rsidRPr="00FC6F34" w:rsidRDefault="000F6971" w:rsidP="000F6971">
      <w:pPr>
        <w:tabs>
          <w:tab w:val="left" w:pos="426"/>
        </w:tabs>
        <w:spacing w:after="0" w:line="276" w:lineRule="auto"/>
        <w:jc w:val="both"/>
        <w:rPr>
          <w:rFonts w:ascii="Verdana" w:eastAsia="Century Gothic" w:hAnsi="Verdana" w:cs="Century Gothic"/>
          <w:color w:val="000000" w:themeColor="text1"/>
          <w:lang w:val="es-ES"/>
        </w:rPr>
      </w:pPr>
    </w:p>
    <w:p w14:paraId="5361D536" w14:textId="77777777" w:rsidR="000F6971" w:rsidRPr="00FC6F34" w:rsidRDefault="000F6971" w:rsidP="000F6971">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sidRPr="00F1644D">
        <w:rPr>
          <w:rFonts w:ascii="Verdana" w:eastAsia="Century Gothic" w:hAnsi="Verdana" w:cs="Century Gothic"/>
          <w:color w:val="000000" w:themeColor="text1"/>
        </w:rPr>
        <w:t xml:space="preserve">¿Es posible incluir </w:t>
      </w:r>
      <w:r>
        <w:rPr>
          <w:rFonts w:ascii="Verdana" w:eastAsia="Century Gothic" w:hAnsi="Verdana" w:cs="Century Gothic"/>
          <w:color w:val="000000" w:themeColor="text1"/>
        </w:rPr>
        <w:t xml:space="preserve">la retención en la fuente </w:t>
      </w:r>
      <w:r w:rsidRPr="00F1644D">
        <w:rPr>
          <w:rFonts w:ascii="Verdana" w:eastAsia="Century Gothic" w:hAnsi="Verdana" w:cs="Century Gothic"/>
          <w:color w:val="000000" w:themeColor="text1"/>
        </w:rPr>
        <w:t>como parte de los costos del contrato para la estructuración del precio y el valor estimado</w:t>
      </w:r>
      <w:r>
        <w:rPr>
          <w:rFonts w:ascii="Verdana" w:eastAsia="Century Gothic" w:hAnsi="Verdana" w:cs="Century Gothic"/>
          <w:color w:val="000000" w:themeColor="text1"/>
        </w:rPr>
        <w:t xml:space="preserve"> del contrato</w:t>
      </w:r>
      <w:r w:rsidRPr="00F1644D">
        <w:rPr>
          <w:rFonts w:ascii="Verdana" w:eastAsia="Century Gothic" w:hAnsi="Verdana" w:cs="Century Gothic"/>
          <w:color w:val="000000" w:themeColor="text1"/>
        </w:rPr>
        <w:t>?”</w:t>
      </w:r>
    </w:p>
    <w:p w14:paraId="6B3D4D0F" w14:textId="77777777" w:rsidR="000F6971" w:rsidRPr="00FC6F34" w:rsidRDefault="000F6971" w:rsidP="000F6971">
      <w:pPr>
        <w:spacing w:after="0" w:line="276" w:lineRule="auto"/>
        <w:jc w:val="both"/>
        <w:rPr>
          <w:rFonts w:ascii="Verdana" w:eastAsia="Calibri" w:hAnsi="Verdana" w:cs="Arial"/>
          <w:color w:val="000000" w:themeColor="text1"/>
          <w:lang w:val="es-ES"/>
        </w:rPr>
      </w:pPr>
    </w:p>
    <w:p w14:paraId="29C22D7D" w14:textId="77777777" w:rsidR="000F6971" w:rsidRPr="00FC6F34" w:rsidRDefault="000F6971" w:rsidP="000F6971">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1957E3C3" w14:textId="77777777" w:rsidR="000F6971" w:rsidRPr="00FC6F34" w:rsidRDefault="000F6971" w:rsidP="000F697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6971" w:rsidRPr="00FC6F34" w14:paraId="48EEE1AA" w14:textId="77777777" w:rsidTr="0044414F">
        <w:tc>
          <w:tcPr>
            <w:tcW w:w="8828" w:type="dxa"/>
          </w:tcPr>
          <w:p w14:paraId="5BC97107" w14:textId="77777777" w:rsidR="000F6971" w:rsidRDefault="000F6971" w:rsidP="0044414F">
            <w:pPr>
              <w:widowControl w:val="0"/>
              <w:tabs>
                <w:tab w:val="left" w:pos="378"/>
              </w:tabs>
              <w:autoSpaceDE w:val="0"/>
              <w:autoSpaceDN w:val="0"/>
              <w:snapToGrid w:val="0"/>
              <w:spacing w:before="120" w:after="120" w:line="276" w:lineRule="auto"/>
              <w:ind w:right="113"/>
              <w:jc w:val="both"/>
              <w:rPr>
                <w:rFonts w:ascii="Verdana" w:hAnsi="Verdana"/>
              </w:rPr>
            </w:pPr>
            <w:r w:rsidRPr="00366123">
              <w:rPr>
                <w:rFonts w:ascii="Verdana" w:hAnsi="Verdana"/>
              </w:rPr>
              <w:t>El presupuesto oficial es el valor que surge como producto del análisis de mercado que debe hacer la entidad en virtud del principio de planeación, y es el monto con el que cuenta para contratar el bien o servicio que necesita, el cual debe incluir los</w:t>
            </w:r>
            <w:r w:rsidRPr="00366123">
              <w:rPr>
                <w:rFonts w:ascii="Verdana" w:hAnsi="Verdana"/>
                <w:spacing w:val="-23"/>
              </w:rPr>
              <w:t xml:space="preserve"> </w:t>
            </w:r>
            <w:r w:rsidRPr="00366123">
              <w:rPr>
                <w:rFonts w:ascii="Verdana" w:hAnsi="Verdana"/>
              </w:rPr>
              <w:t>impuestos.</w:t>
            </w:r>
          </w:p>
          <w:p w14:paraId="5A01F46E" w14:textId="77777777" w:rsidR="000F6971" w:rsidRDefault="000F6971" w:rsidP="0044414F">
            <w:pPr>
              <w:widowControl w:val="0"/>
              <w:tabs>
                <w:tab w:val="left" w:pos="378"/>
              </w:tabs>
              <w:autoSpaceDE w:val="0"/>
              <w:autoSpaceDN w:val="0"/>
              <w:snapToGrid w:val="0"/>
              <w:spacing w:before="120" w:after="120" w:line="276" w:lineRule="auto"/>
              <w:ind w:right="113" w:firstLine="743"/>
              <w:jc w:val="both"/>
              <w:rPr>
                <w:rFonts w:ascii="Verdana" w:hAnsi="Verdana"/>
              </w:rPr>
            </w:pPr>
            <w:r>
              <w:rPr>
                <w:rFonts w:ascii="Verdana" w:hAnsi="Verdana" w:cs="Arial"/>
                <w:lang w:val="es-ES" w:eastAsia="es-ES"/>
              </w:rPr>
              <w:t>P</w:t>
            </w:r>
            <w:r w:rsidRPr="009058A6">
              <w:rPr>
                <w:rFonts w:ascii="Verdana" w:hAnsi="Verdana" w:cs="Arial"/>
                <w:lang w:val="es-ES" w:eastAsia="es-ES"/>
              </w:rPr>
              <w:t xml:space="preserve">ara el ordenamiento jurídico colombiano el precio que determinen las entidades como producto de una planeación adecuada </w:t>
            </w:r>
            <w:r>
              <w:rPr>
                <w:rFonts w:ascii="Verdana" w:hAnsi="Verdana" w:cs="Arial"/>
                <w:lang w:val="es-ES" w:eastAsia="es-ES"/>
              </w:rPr>
              <w:t xml:space="preserve">es lo </w:t>
            </w:r>
            <w:r w:rsidRPr="009058A6">
              <w:rPr>
                <w:rFonts w:ascii="Verdana" w:hAnsi="Verdana" w:cs="Arial"/>
                <w:lang w:val="es-ES" w:eastAsia="es-ES"/>
              </w:rPr>
              <w:t>que entreg</w:t>
            </w:r>
            <w:r>
              <w:rPr>
                <w:rFonts w:ascii="Verdana" w:hAnsi="Verdana" w:cs="Arial"/>
                <w:lang w:val="es-ES" w:eastAsia="es-ES"/>
              </w:rPr>
              <w:t>arán</w:t>
            </w:r>
            <w:r w:rsidRPr="009058A6">
              <w:rPr>
                <w:rFonts w:ascii="Verdana" w:hAnsi="Verdana" w:cs="Arial"/>
                <w:lang w:val="es-ES" w:eastAsia="es-ES"/>
              </w:rPr>
              <w:t xml:space="preserve"> como retribución del bien o servicio a adquirir, es decir, no lo que se anuncia o una parte de lo que vale el bien o servicio, sino lo que el comprador </w:t>
            </w:r>
            <w:r w:rsidRPr="009058A6">
              <w:rPr>
                <w:rFonts w:ascii="Verdana" w:hAnsi="Verdana" w:cs="Arial"/>
                <w:i/>
                <w:iCs/>
                <w:lang w:val="es-ES" w:eastAsia="es-ES"/>
              </w:rPr>
              <w:t>efectivamente entrega</w:t>
            </w:r>
            <w:r>
              <w:rPr>
                <w:rFonts w:ascii="Verdana" w:hAnsi="Verdana" w:cs="Arial"/>
                <w:i/>
                <w:iCs/>
                <w:lang w:val="es-ES" w:eastAsia="es-ES"/>
              </w:rPr>
              <w:t>rá</w:t>
            </w:r>
            <w:r w:rsidRPr="009058A6">
              <w:rPr>
                <w:rFonts w:ascii="Verdana" w:hAnsi="Verdana" w:cs="Arial"/>
                <w:i/>
                <w:iCs/>
                <w:lang w:val="es-ES" w:eastAsia="es-ES"/>
              </w:rPr>
              <w:t xml:space="preserve"> o paga</w:t>
            </w:r>
            <w:r>
              <w:rPr>
                <w:rFonts w:ascii="Verdana" w:hAnsi="Verdana" w:cs="Arial"/>
                <w:i/>
                <w:iCs/>
                <w:lang w:val="es-ES" w:eastAsia="es-ES"/>
              </w:rPr>
              <w:t>rá</w:t>
            </w:r>
            <w:r w:rsidRPr="009058A6">
              <w:rPr>
                <w:rFonts w:ascii="Verdana" w:hAnsi="Verdana" w:cs="Arial"/>
                <w:lang w:val="es-ES" w:eastAsia="es-ES"/>
              </w:rPr>
              <w:t xml:space="preserve"> como contraprestación por la cosa recibida. En línea con lo anterior, e</w:t>
            </w:r>
            <w:r w:rsidRPr="009058A6">
              <w:rPr>
                <w:rFonts w:ascii="Verdana" w:hAnsi="Verdana"/>
              </w:rPr>
              <w:t xml:space="preserve">l Consejo de Estado ha señalado que en el precio se entienden incluidos </w:t>
            </w:r>
            <w:r w:rsidRPr="009058A6">
              <w:rPr>
                <w:rFonts w:ascii="Verdana" w:hAnsi="Verdana"/>
                <w:i/>
                <w:iCs/>
              </w:rPr>
              <w:t>todos los costos</w:t>
            </w:r>
            <w:r w:rsidRPr="009058A6">
              <w:rPr>
                <w:rFonts w:ascii="Verdana" w:hAnsi="Verdana"/>
              </w:rPr>
              <w:t xml:space="preserve"> en que se incurre para vender un bien o prestar un servicio.</w:t>
            </w:r>
          </w:p>
          <w:p w14:paraId="180B0677" w14:textId="77777777" w:rsidR="000F6971" w:rsidRDefault="000F6971" w:rsidP="0044414F">
            <w:pPr>
              <w:spacing w:after="120" w:line="276" w:lineRule="auto"/>
              <w:ind w:firstLine="709"/>
              <w:jc w:val="both"/>
              <w:rPr>
                <w:rFonts w:ascii="Verdana" w:eastAsia="Aptos" w:hAnsi="Verdana" w:cs="Arial"/>
              </w:rPr>
            </w:pPr>
            <w:proofErr w:type="spellStart"/>
            <w:r>
              <w:rPr>
                <w:rFonts w:ascii="Verdana" w:hAnsi="Verdana" w:cs="Arial"/>
                <w:lang w:val="es-ES" w:eastAsia="es-ES"/>
              </w:rPr>
              <w:t>Asi</w:t>
            </w:r>
            <w:proofErr w:type="spellEnd"/>
            <w:r>
              <w:rPr>
                <w:rFonts w:ascii="Verdana" w:hAnsi="Verdana" w:cs="Arial"/>
                <w:lang w:val="es-ES" w:eastAsia="es-ES"/>
              </w:rPr>
              <w:t xml:space="preserve"> las cosas</w:t>
            </w:r>
            <w:r w:rsidRPr="0068390B">
              <w:rPr>
                <w:rFonts w:ascii="Verdana" w:hAnsi="Verdana" w:cs="Arial"/>
                <w:lang w:val="es-ES" w:eastAsia="es-ES"/>
              </w:rPr>
              <w:t xml:space="preserve">, la entidad estatal tiene autonomía para configurar el precio y para establecer el sistema de pago más apropiado para satisfacer los fines de la contratación, respetando los límites previstos en el ordenamiento. De este modo, con independencia del método empleado para la estimación del valor, se deben considerar los costos, como los </w:t>
            </w:r>
            <w:r>
              <w:rPr>
                <w:rFonts w:ascii="Verdana" w:hAnsi="Verdana" w:cs="Arial"/>
                <w:lang w:val="es-ES" w:eastAsia="es-ES"/>
              </w:rPr>
              <w:t>tributos</w:t>
            </w:r>
            <w:r w:rsidRPr="0068390B">
              <w:rPr>
                <w:rFonts w:ascii="Verdana" w:hAnsi="Verdana" w:cs="Arial"/>
                <w:lang w:val="es-ES" w:eastAsia="es-ES"/>
              </w:rPr>
              <w:t xml:space="preserve"> que se causen con ocasión de la ejecución del contrato. Para tales efectos, las </w:t>
            </w:r>
            <w:r w:rsidRPr="0068390B">
              <w:rPr>
                <w:rFonts w:ascii="Verdana" w:hAnsi="Verdana" w:cs="Arial"/>
                <w:lang w:eastAsia="es-ES"/>
              </w:rPr>
              <w:t xml:space="preserve">corresponde a cada </w:t>
            </w:r>
            <w:r w:rsidRPr="0068390B">
              <w:rPr>
                <w:rFonts w:ascii="Verdana" w:hAnsi="Verdana" w:cs="Arial"/>
                <w:lang w:eastAsia="es-ES"/>
              </w:rPr>
              <w:lastRenderedPageBreak/>
              <w:t xml:space="preserve">entidad estatal </w:t>
            </w:r>
            <w:r w:rsidRPr="0068390B">
              <w:rPr>
                <w:rFonts w:ascii="Verdana" w:eastAsia="Aptos" w:hAnsi="Verdana" w:cs="Arial"/>
              </w:rPr>
              <w:t xml:space="preserve">durante la etapa de planeación realizar el análisis necesario para conocer el sector relativo al objeto del proceso de contratación, y con fundamento en dicho estudio deberá tenerse en cuenta los impuestos, tasas o contribuciones a que haya lugar, como parte del precio del contrato. </w:t>
            </w:r>
          </w:p>
          <w:p w14:paraId="7A03C949" w14:textId="77777777" w:rsidR="000F6971" w:rsidRPr="005656AF" w:rsidRDefault="000F6971" w:rsidP="0044414F">
            <w:pPr>
              <w:spacing w:after="120" w:line="276" w:lineRule="auto"/>
              <w:ind w:firstLine="708"/>
              <w:jc w:val="both"/>
              <w:rPr>
                <w:rFonts w:ascii="Verdana" w:hAnsi="Verdana" w:cs="Arial"/>
                <w:lang w:val="es-MX"/>
              </w:rPr>
            </w:pPr>
            <w:r w:rsidRPr="0097735F">
              <w:rPr>
                <w:rFonts w:ascii="Verdana" w:hAnsi="Verdana" w:cs="Arial"/>
                <w:lang w:val="es-MX"/>
              </w:rPr>
              <w:t>Bajo este contexto, vale la pena destacar que en los procesos contractuales que estén relacionados con el sector de alimentos es de suma importancia que los costos de los bienes o servicios a contratar se encuentren ajustados a la realidad del mercado teniendo en cuenta las diferentes variables que inciden en la variación de los precios.</w:t>
            </w:r>
            <w:r>
              <w:rPr>
                <w:rFonts w:ascii="Verdana" w:hAnsi="Verdana" w:cs="Arial"/>
                <w:lang w:val="es-MX"/>
              </w:rPr>
              <w:t xml:space="preserve"> </w:t>
            </w:r>
            <w:r>
              <w:rPr>
                <w:rFonts w:ascii="Verdana" w:eastAsia="Calibri" w:hAnsi="Verdana" w:cs="Arial"/>
                <w:bCs/>
                <w:color w:val="000000"/>
                <w:kern w:val="2"/>
                <w14:ligatures w14:val="standardContextual"/>
              </w:rPr>
              <w:t xml:space="preserve">En tal sentido, </w:t>
            </w:r>
            <w:r w:rsidRPr="00183B17">
              <w:rPr>
                <w:rFonts w:ascii="Verdana" w:eastAsia="Calibri" w:hAnsi="Verdana" w:cs="Arial"/>
                <w:bCs/>
                <w:color w:val="000000"/>
                <w:kern w:val="2"/>
                <w14:ligatures w14:val="standardContextual"/>
              </w:rPr>
              <w:t>la ejecución de contrato</w:t>
            </w:r>
            <w:r>
              <w:rPr>
                <w:rFonts w:ascii="Verdana" w:eastAsia="Calibri" w:hAnsi="Verdana" w:cs="Arial"/>
                <w:bCs/>
                <w:color w:val="000000"/>
                <w:kern w:val="2"/>
                <w14:ligatures w14:val="standardContextual"/>
              </w:rPr>
              <w:t xml:space="preserve">s de esta naturaleza </w:t>
            </w:r>
            <w:r w:rsidRPr="00183B17">
              <w:rPr>
                <w:rFonts w:ascii="Verdana" w:eastAsia="Calibri" w:hAnsi="Verdana" w:cs="Arial"/>
                <w:bCs/>
                <w:color w:val="000000"/>
                <w:kern w:val="2"/>
                <w14:ligatures w14:val="standardContextual"/>
              </w:rPr>
              <w:t xml:space="preserve">puede involucrar múltiples tributos –impuestos (v. gr. Renta, IVA, ICA), tasas y contribuciones– para las partes del contrato, de ahí que, la </w:t>
            </w:r>
            <w:r>
              <w:rPr>
                <w:rFonts w:ascii="Verdana" w:eastAsia="Calibri" w:hAnsi="Verdana" w:cs="Arial"/>
                <w:bCs/>
                <w:color w:val="000000"/>
                <w:kern w:val="2"/>
                <w14:ligatures w14:val="standardContextual"/>
              </w:rPr>
              <w:t>e</w:t>
            </w:r>
            <w:r w:rsidRPr="00183B17">
              <w:rPr>
                <w:rFonts w:ascii="Verdana" w:eastAsia="Calibri" w:hAnsi="Verdana" w:cs="Arial"/>
                <w:bCs/>
                <w:color w:val="000000"/>
                <w:kern w:val="2"/>
                <w14:ligatures w14:val="standardContextual"/>
              </w:rPr>
              <w:t xml:space="preserve">ntidad </w:t>
            </w:r>
            <w:r>
              <w:rPr>
                <w:rFonts w:ascii="Verdana" w:eastAsia="Calibri" w:hAnsi="Verdana" w:cs="Arial"/>
                <w:bCs/>
                <w:color w:val="000000"/>
                <w:kern w:val="2"/>
                <w14:ligatures w14:val="standardContextual"/>
              </w:rPr>
              <w:t>e</w:t>
            </w:r>
            <w:r w:rsidRPr="00183B17">
              <w:rPr>
                <w:rFonts w:ascii="Verdana" w:eastAsia="Calibri" w:hAnsi="Verdana" w:cs="Arial"/>
                <w:bCs/>
                <w:color w:val="000000"/>
                <w:kern w:val="2"/>
                <w14:ligatures w14:val="standardContextual"/>
              </w:rPr>
              <w:t xml:space="preserve">statal al establecer el valor del contrato debe </w:t>
            </w:r>
            <w:r>
              <w:rPr>
                <w:rFonts w:ascii="Verdana" w:eastAsia="Calibri" w:hAnsi="Verdana" w:cs="Arial"/>
                <w:bCs/>
                <w:color w:val="000000"/>
                <w:kern w:val="2"/>
                <w14:ligatures w14:val="standardContextual"/>
              </w:rPr>
              <w:t xml:space="preserve">analizar </w:t>
            </w:r>
            <w:r w:rsidRPr="00183B17">
              <w:rPr>
                <w:rFonts w:ascii="Verdana" w:eastAsia="Calibri" w:hAnsi="Verdana" w:cs="Arial"/>
                <w:bCs/>
                <w:color w:val="000000"/>
                <w:kern w:val="2"/>
                <w14:ligatures w14:val="standardContextual"/>
              </w:rPr>
              <w:t xml:space="preserve">incluir estos valores. </w:t>
            </w:r>
          </w:p>
          <w:p w14:paraId="7E4DEF59" w14:textId="77777777" w:rsidR="000F6971" w:rsidRPr="00337DBC" w:rsidRDefault="000F6971" w:rsidP="0044414F">
            <w:pPr>
              <w:spacing w:after="120" w:line="276" w:lineRule="auto"/>
              <w:ind w:firstLine="709"/>
              <w:jc w:val="both"/>
              <w:rPr>
                <w:rFonts w:ascii="Verdana" w:hAnsi="Verdana" w:cs="Arial"/>
                <w:lang w:eastAsia="es-ES"/>
              </w:rPr>
            </w:pPr>
            <w:r>
              <w:rPr>
                <w:rFonts w:ascii="Verdana" w:hAnsi="Verdana" w:cs="Arial"/>
                <w:lang w:eastAsia="es-ES"/>
              </w:rPr>
              <w:t xml:space="preserve"> </w:t>
            </w:r>
            <w:r w:rsidRPr="00337DBC">
              <w:rPr>
                <w:rFonts w:ascii="Verdana" w:hAnsi="Verdana" w:cs="Arial"/>
                <w:lang w:eastAsia="es-ES"/>
              </w:rPr>
              <w:t>En consecuencia, el impuesto sobre la renta puede constituir una de las</w:t>
            </w:r>
            <w:r>
              <w:rPr>
                <w:rFonts w:ascii="Verdana" w:hAnsi="Verdana" w:cs="Arial"/>
                <w:lang w:eastAsia="es-ES"/>
              </w:rPr>
              <w:t xml:space="preserve"> variables tributarias </w:t>
            </w:r>
            <w:proofErr w:type="gramStart"/>
            <w:r>
              <w:rPr>
                <w:rFonts w:ascii="Verdana" w:hAnsi="Verdana" w:cs="Arial"/>
                <w:lang w:eastAsia="es-ES"/>
              </w:rPr>
              <w:t>a</w:t>
            </w:r>
            <w:proofErr w:type="gramEnd"/>
            <w:r>
              <w:rPr>
                <w:rFonts w:ascii="Verdana" w:hAnsi="Verdana" w:cs="Arial"/>
                <w:lang w:eastAsia="es-ES"/>
              </w:rPr>
              <w:t xml:space="preserve"> tener en cuenta para la estructuración del precio del contrato</w:t>
            </w:r>
            <w:r w:rsidRPr="00337DBC">
              <w:rPr>
                <w:rFonts w:ascii="Verdana" w:hAnsi="Verdana" w:cs="Arial"/>
                <w:lang w:eastAsia="es-ES"/>
              </w:rPr>
              <w:t>. No obstante, distinta es la situación de la retención en la fuente, pues esta no constituye un tributo autónomo, sino un mecanismo de recaudo anticipado del impuesto. En ese sentido,</w:t>
            </w:r>
            <w:r>
              <w:rPr>
                <w:rFonts w:ascii="Verdana" w:hAnsi="Verdana" w:cs="Arial"/>
                <w:lang w:eastAsia="es-ES"/>
              </w:rPr>
              <w:t xml:space="preserve"> a juicio de</w:t>
            </w:r>
            <w:r w:rsidRPr="00337DBC">
              <w:rPr>
                <w:rFonts w:ascii="Verdana" w:hAnsi="Verdana" w:cs="Arial"/>
                <w:lang w:eastAsia="es-ES"/>
              </w:rPr>
              <w:t xml:space="preserve"> esta Agencia no </w:t>
            </w:r>
            <w:r>
              <w:rPr>
                <w:rFonts w:ascii="Verdana" w:hAnsi="Verdana" w:cs="Arial"/>
                <w:lang w:eastAsia="es-ES"/>
              </w:rPr>
              <w:t xml:space="preserve">se </w:t>
            </w:r>
            <w:r w:rsidRPr="00337DBC">
              <w:rPr>
                <w:rFonts w:ascii="Verdana" w:hAnsi="Verdana" w:cs="Arial"/>
                <w:lang w:eastAsia="es-ES"/>
              </w:rPr>
              <w:t>considera que la retención en la fuente deba incorporarse como un costo independiente en la estructuración del precio del contrato.</w:t>
            </w:r>
          </w:p>
          <w:p w14:paraId="0EE43706" w14:textId="77777777" w:rsidR="000F6971" w:rsidRDefault="000F6971" w:rsidP="0044414F">
            <w:pPr>
              <w:pStyle w:val="Sinespaciado"/>
              <w:spacing w:before="120" w:after="120" w:line="276" w:lineRule="auto"/>
              <w:ind w:firstLine="709"/>
              <w:jc w:val="both"/>
              <w:rPr>
                <w:rFonts w:ascii="Verdana" w:hAnsi="Verdana" w:cs="Arial"/>
                <w:color w:val="000000" w:themeColor="text1"/>
                <w:sz w:val="22"/>
                <w:lang w:val="es-CO"/>
              </w:rPr>
            </w:pPr>
            <w:r w:rsidRPr="00272BAF">
              <w:rPr>
                <w:rFonts w:ascii="Verdana" w:hAnsi="Verdana" w:cs="Arial"/>
                <w:color w:val="000000" w:themeColor="text1"/>
                <w:sz w:val="22"/>
                <w:lang w:val="es-CO"/>
              </w:rPr>
              <w:t xml:space="preserve">En efecto, tal como lo expone </w:t>
            </w:r>
            <w:r>
              <w:rPr>
                <w:rFonts w:ascii="Verdana" w:hAnsi="Verdana" w:cs="Arial"/>
                <w:color w:val="000000" w:themeColor="text1"/>
                <w:sz w:val="22"/>
                <w:lang w:val="es-CO"/>
              </w:rPr>
              <w:t xml:space="preserve">la </w:t>
            </w:r>
            <w:r w:rsidRPr="00272BAF">
              <w:rPr>
                <w:rFonts w:ascii="Verdana" w:hAnsi="Verdana" w:cs="Arial"/>
                <w:color w:val="000000" w:themeColor="text1"/>
                <w:sz w:val="22"/>
                <w:lang w:val="es-CO"/>
              </w:rPr>
              <w:t>Contraloría General de la República</w:t>
            </w:r>
            <w:r>
              <w:rPr>
                <w:rFonts w:ascii="Verdana" w:hAnsi="Verdana" w:cs="Arial"/>
                <w:color w:val="000000" w:themeColor="text1"/>
                <w:sz w:val="22"/>
                <w:lang w:val="es-CO"/>
              </w:rPr>
              <w:t xml:space="preserve"> en el concepto </w:t>
            </w:r>
            <w:r w:rsidRPr="00871C6D">
              <w:rPr>
                <w:rFonts w:ascii="Verdana" w:hAnsi="Verdana" w:cs="Arial"/>
                <w:color w:val="000000" w:themeColor="text1"/>
                <w:sz w:val="22"/>
                <w:lang w:val="es-CO"/>
              </w:rPr>
              <w:t>No CGR -OJ 010 de 2021</w:t>
            </w:r>
            <w:r>
              <w:rPr>
                <w:rFonts w:ascii="Verdana" w:hAnsi="Verdana" w:cs="Arial"/>
                <w:color w:val="000000" w:themeColor="text1"/>
                <w:sz w:val="22"/>
                <w:lang w:val="es-CO"/>
              </w:rPr>
              <w:t xml:space="preserve"> </w:t>
            </w:r>
            <w:r w:rsidRPr="00871C6D">
              <w:rPr>
                <w:rFonts w:ascii="Verdana" w:hAnsi="Verdana" w:cs="Arial"/>
                <w:color w:val="000000" w:themeColor="text1"/>
                <w:sz w:val="22"/>
                <w:lang w:val="es-CO"/>
              </w:rPr>
              <w:t>con radicado No. 2021EE0009558</w:t>
            </w:r>
            <w:r w:rsidRPr="00272BAF">
              <w:rPr>
                <w:rFonts w:ascii="Verdana" w:hAnsi="Verdana" w:cs="Arial"/>
                <w:color w:val="000000" w:themeColor="text1"/>
                <w:sz w:val="22"/>
                <w:lang w:val="es-CO"/>
              </w:rPr>
              <w:t xml:space="preserve">, las entidades estatales no tienen la condición de sujetos pasivos del impuesto sobre la renta respecto de los ingresos del contratista, por cuanto su intervención se limita al cumplimiento del deber legal de actuar como agentes de retención, </w:t>
            </w:r>
            <w:r>
              <w:rPr>
                <w:rFonts w:ascii="Verdana" w:hAnsi="Verdana" w:cs="Arial"/>
                <w:color w:val="000000" w:themeColor="text1"/>
                <w:sz w:val="22"/>
                <w:lang w:val="es-CO"/>
              </w:rPr>
              <w:t>realizando</w:t>
            </w:r>
            <w:r w:rsidRPr="00272BAF">
              <w:rPr>
                <w:rFonts w:ascii="Verdana" w:hAnsi="Verdana" w:cs="Arial"/>
                <w:color w:val="000000" w:themeColor="text1"/>
                <w:sz w:val="22"/>
                <w:lang w:val="es-CO"/>
              </w:rPr>
              <w:t xml:space="preserve"> la retención en la fuente al momento del pago cuando a ello haya lugar. En ese sentido, mientras el impuesto sobre la renta puede ser analizado como una variable tributaria que incide en la determinación del precio del contrato, la retención en la fuente constituye un mecanismo de recaudo anticipado de dicho impuesto, razón por la cual no resulta procedente otorgarle el mismo tratamiento que a los tributos para efectos de la estructuración del presupuesto oficial o del reconocimiento de un costo independiente dentro del contrato.</w:t>
            </w:r>
          </w:p>
          <w:p w14:paraId="641FA73C" w14:textId="77777777" w:rsidR="000F6971" w:rsidRPr="00AE5193" w:rsidRDefault="000F6971" w:rsidP="0044414F">
            <w:pPr>
              <w:spacing w:after="120" w:line="276" w:lineRule="auto"/>
              <w:ind w:firstLine="709"/>
              <w:jc w:val="both"/>
              <w:rPr>
                <w:rFonts w:ascii="Verdana" w:hAnsi="Verdana" w:cs="Arial"/>
                <w:lang w:val="es-ES" w:eastAsia="es-ES"/>
              </w:rPr>
            </w:pPr>
            <w:r>
              <w:rPr>
                <w:rFonts w:ascii="Verdana" w:hAnsi="Verdana" w:cs="Arial"/>
                <w:lang w:eastAsia="es-ES"/>
              </w:rPr>
              <w:t>Se precisa que l</w:t>
            </w:r>
            <w:r w:rsidRPr="0068390B">
              <w:rPr>
                <w:rFonts w:ascii="Verdana" w:hAnsi="Verdana" w:cs="Arial"/>
                <w:lang w:eastAsia="es-ES"/>
              </w:rPr>
              <w:t xml:space="preserve">a estructuración del precio, en lo que respecta a la inclusión de costos administrativos, debe obedecer a criterios de razonabilidad, </w:t>
            </w:r>
            <w:r w:rsidRPr="0068390B">
              <w:rPr>
                <w:rFonts w:ascii="Verdana" w:hAnsi="Verdana" w:cs="Arial"/>
                <w:lang w:eastAsia="es-ES"/>
              </w:rPr>
              <w:lastRenderedPageBreak/>
              <w:t xml:space="preserve">proporcionalidad y conexidad con la ejecución contractual. En consecuencia, no resulta jurídicamente admisible incorporar dentro del precio aquellos costos que, por su naturaleza o finalidad, no guarden una vinculación objetiva con las actividades requeridas en el marco del contrato. </w:t>
            </w:r>
            <w:r w:rsidRPr="0068390B">
              <w:rPr>
                <w:rFonts w:ascii="Verdana" w:hAnsi="Verdana" w:cs="Arial"/>
                <w:lang w:val="es-ES" w:eastAsia="es-ES"/>
              </w:rPr>
              <w:t>Lo anterior en armonía con la garantía de los principios de la función administrativa y de la gestión fiscal, dentro de los cuales se halla el principio de economía, postulado que exige la optimización de los recursos públicos.</w:t>
            </w:r>
          </w:p>
          <w:p w14:paraId="2D5FA2A2" w14:textId="77777777" w:rsidR="000F6971" w:rsidRPr="00E52282" w:rsidRDefault="000F6971" w:rsidP="0044414F">
            <w:pPr>
              <w:pStyle w:val="Sinespaciado"/>
              <w:spacing w:before="120" w:after="120" w:line="276" w:lineRule="auto"/>
              <w:ind w:firstLine="709"/>
              <w:jc w:val="both"/>
              <w:rPr>
                <w:rFonts w:ascii="Verdana" w:hAnsi="Verdana" w:cs="Arial"/>
                <w:color w:val="000000" w:themeColor="text1"/>
                <w:sz w:val="22"/>
                <w:lang w:val="es-CO"/>
              </w:rPr>
            </w:pPr>
            <w:r w:rsidRPr="00272BAF">
              <w:rPr>
                <w:rFonts w:ascii="Verdana" w:hAnsi="Verdana" w:cs="Arial"/>
                <w:color w:val="000000" w:themeColor="text1"/>
                <w:sz w:val="22"/>
                <w:lang w:val="es-CO"/>
              </w:rPr>
              <w:t>En este contexto, dado que corresponde a los proponentes estructurar sus ofertas reflejando todos los costos</w:t>
            </w:r>
            <w:r>
              <w:rPr>
                <w:rFonts w:ascii="Verdana" w:hAnsi="Verdana" w:cs="Arial"/>
                <w:color w:val="000000" w:themeColor="text1"/>
                <w:sz w:val="22"/>
                <w:lang w:val="es-CO"/>
              </w:rPr>
              <w:t xml:space="preserve"> </w:t>
            </w:r>
            <w:r w:rsidRPr="00272BAF">
              <w:rPr>
                <w:rFonts w:ascii="Verdana" w:hAnsi="Verdana" w:cs="Arial"/>
                <w:color w:val="000000" w:themeColor="text1"/>
                <w:sz w:val="22"/>
                <w:lang w:val="es-CO"/>
              </w:rPr>
              <w:t>y demás variables económicas inherentes a la ejecución del contrato, conforme a las condiciones del mercado, estos podrán valorar el impacto financiero que la retención en la fuente pueda generar sobre la ejecución contractual al definir el precio de su oferta. Sin embargo, ello no significa que la retención en la fuente deba ser reconocida por la entidad estatal como un concepto autónomo</w:t>
            </w:r>
            <w:r>
              <w:rPr>
                <w:rFonts w:ascii="Verdana" w:hAnsi="Verdana" w:cs="Arial"/>
                <w:color w:val="000000" w:themeColor="text1"/>
                <w:sz w:val="22"/>
                <w:lang w:val="es-CO"/>
              </w:rPr>
              <w:t xml:space="preserve"> en e</w:t>
            </w:r>
            <w:r w:rsidRPr="00272BAF">
              <w:rPr>
                <w:rFonts w:ascii="Verdana" w:hAnsi="Verdana" w:cs="Arial"/>
                <w:color w:val="000000" w:themeColor="text1"/>
                <w:sz w:val="22"/>
                <w:lang w:val="es-CO"/>
              </w:rPr>
              <w:t>l presupuesto oficial o como un valor adicional a cargo de la entidad, pues su práctica obedece al cumplimiento de una obligación legal propia de su calidad de agente retenedor.</w:t>
            </w:r>
            <w:r>
              <w:rPr>
                <w:rFonts w:ascii="Verdana" w:hAnsi="Verdana" w:cs="Arial"/>
                <w:color w:val="000000" w:themeColor="text1"/>
                <w:sz w:val="22"/>
                <w:lang w:val="es-CO"/>
              </w:rPr>
              <w:t xml:space="preserve"> </w:t>
            </w:r>
          </w:p>
        </w:tc>
      </w:tr>
    </w:tbl>
    <w:p w14:paraId="0F54152C" w14:textId="77777777" w:rsidR="000F6971" w:rsidRPr="00FC6F34" w:rsidRDefault="000F6971" w:rsidP="000F697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7BCE75E" w14:textId="77777777" w:rsidR="000F6971" w:rsidRPr="00FC6F34" w:rsidRDefault="000F6971" w:rsidP="000F6971">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1504C556" w14:textId="77777777" w:rsidR="000F6971" w:rsidRPr="00FC6F34" w:rsidRDefault="000F6971" w:rsidP="000F6971">
      <w:pPr>
        <w:spacing w:after="0" w:line="276" w:lineRule="auto"/>
        <w:jc w:val="both"/>
        <w:rPr>
          <w:rFonts w:ascii="Verdana" w:eastAsia="Calibri" w:hAnsi="Verdana" w:cs="Arial"/>
          <w:color w:val="000000" w:themeColor="text1"/>
          <w:lang w:val="es-ES"/>
        </w:rPr>
      </w:pPr>
    </w:p>
    <w:p w14:paraId="731332F4" w14:textId="77777777" w:rsidR="000F6971" w:rsidRPr="002C147C" w:rsidRDefault="000F6971" w:rsidP="000F6971">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1"/>
          <w:szCs w:val="21"/>
        </w:rPr>
      </w:pPr>
      <w:bookmarkStart w:id="1" w:name="_Hlk102983874"/>
      <w:bookmarkStart w:id="2" w:name="_Hlk102388095"/>
      <w:r w:rsidRPr="002C147C">
        <w:rPr>
          <w:rFonts w:ascii="Verdana" w:eastAsia="Calibri" w:hAnsi="Verdana"/>
          <w:sz w:val="22"/>
          <w:szCs w:val="22"/>
          <w:lang w:val="es-MX"/>
        </w:rPr>
        <w:t>El precio es el “valor pecuniario en que se estima algo”</w:t>
      </w:r>
      <w:r w:rsidRPr="002C147C">
        <w:rPr>
          <w:rStyle w:val="Refdenotaalpie"/>
          <w:rFonts w:ascii="Verdana" w:eastAsia="Calibri" w:hAnsi="Verdana"/>
          <w:sz w:val="22"/>
          <w:szCs w:val="22"/>
          <w:lang w:val="es-MX"/>
        </w:rPr>
        <w:footnoteReference w:id="2"/>
      </w:r>
      <w:r w:rsidRPr="002C147C">
        <w:rPr>
          <w:rFonts w:ascii="Verdana" w:eastAsia="Calibri" w:hAnsi="Verdana"/>
          <w:sz w:val="22"/>
          <w:szCs w:val="22"/>
          <w:lang w:val="es-MX"/>
        </w:rPr>
        <w:t>. El Código Civil y el Código de Comercio, al regular el contrato de compraventa, definen el precio como el dinero que el comprador entrega a cambio de la cosa vendida, en los siguientes términos:</w:t>
      </w:r>
    </w:p>
    <w:p w14:paraId="4296BC1E" w14:textId="77777777" w:rsidR="000F6971" w:rsidRPr="00794C2C" w:rsidRDefault="000F6971" w:rsidP="000F6971">
      <w:pPr>
        <w:spacing w:after="0"/>
        <w:jc w:val="both"/>
        <w:rPr>
          <w:rFonts w:ascii="Verdana" w:eastAsia="Calibri" w:hAnsi="Verdana" w:cs="Arial"/>
          <w:lang w:val="es-MX"/>
        </w:rPr>
      </w:pPr>
      <w:r w:rsidRPr="00794C2C">
        <w:rPr>
          <w:rFonts w:ascii="Verdana" w:eastAsia="Calibri" w:hAnsi="Verdana" w:cs="Arial"/>
          <w:lang w:val="es-MX"/>
        </w:rPr>
        <w:t xml:space="preserve"> </w:t>
      </w:r>
    </w:p>
    <w:p w14:paraId="2BBB9FF2" w14:textId="77777777" w:rsidR="000F6971" w:rsidRPr="00682913" w:rsidRDefault="000F6971" w:rsidP="000F6971">
      <w:pPr>
        <w:spacing w:after="120" w:line="240" w:lineRule="auto"/>
        <w:ind w:left="709" w:right="709"/>
        <w:jc w:val="both"/>
        <w:rPr>
          <w:rFonts w:ascii="Verdana" w:eastAsia="Calibri" w:hAnsi="Verdana" w:cs="Arial"/>
          <w:sz w:val="20"/>
          <w:szCs w:val="20"/>
          <w:lang w:val="es-MX"/>
        </w:rPr>
      </w:pPr>
      <w:r w:rsidRPr="00682913">
        <w:rPr>
          <w:rFonts w:ascii="Verdana" w:eastAsia="Calibri" w:hAnsi="Verdana" w:cs="Arial"/>
          <w:sz w:val="20"/>
          <w:szCs w:val="20"/>
          <w:lang w:val="es-MX"/>
        </w:rPr>
        <w:t>“[</w:t>
      </w:r>
      <w:bookmarkStart w:id="3" w:name="_Hlk204013098"/>
      <w:r w:rsidRPr="00682913">
        <w:rPr>
          <w:rFonts w:ascii="Verdana" w:eastAsia="Calibri" w:hAnsi="Verdana" w:cs="Arial"/>
          <w:sz w:val="20"/>
          <w:szCs w:val="20"/>
          <w:lang w:val="es-MX"/>
        </w:rPr>
        <w:t>Artículo 1849 del Código Civil</w:t>
      </w:r>
      <w:bookmarkEnd w:id="3"/>
      <w:r w:rsidRPr="00682913">
        <w:rPr>
          <w:rFonts w:ascii="Verdana" w:eastAsia="Calibri" w:hAnsi="Verdana" w:cs="Arial"/>
          <w:sz w:val="20"/>
          <w:szCs w:val="20"/>
          <w:lang w:val="es-MX"/>
        </w:rPr>
        <w:t>]: La compraventa es un contrato en que una de las partes se obliga a dar una cosa y la otra a pagarla en dinero. Aquella se dice vender y esta comprar. El dinero que el comprador da por la cosa vendida se llama precio.</w:t>
      </w:r>
    </w:p>
    <w:p w14:paraId="57F3C09C" w14:textId="77777777" w:rsidR="000F6971" w:rsidRPr="00682913" w:rsidRDefault="000F6971" w:rsidP="000F6971">
      <w:pPr>
        <w:spacing w:after="0" w:line="240" w:lineRule="auto"/>
        <w:ind w:left="709" w:right="709"/>
        <w:jc w:val="both"/>
        <w:rPr>
          <w:rFonts w:ascii="Verdana" w:eastAsia="Calibri" w:hAnsi="Verdana" w:cs="Arial"/>
          <w:sz w:val="20"/>
          <w:szCs w:val="20"/>
          <w:lang w:val="es-MX"/>
        </w:rPr>
      </w:pPr>
      <w:r w:rsidRPr="00682913">
        <w:rPr>
          <w:rFonts w:ascii="Verdana" w:eastAsia="Calibri" w:hAnsi="Verdana" w:cs="Arial"/>
          <w:sz w:val="20"/>
          <w:szCs w:val="20"/>
          <w:lang w:val="es-MX"/>
        </w:rPr>
        <w:t>[</w:t>
      </w:r>
      <w:bookmarkStart w:id="4" w:name="_Hlk204013106"/>
      <w:r w:rsidRPr="00682913">
        <w:rPr>
          <w:rFonts w:ascii="Verdana" w:eastAsia="Calibri" w:hAnsi="Verdana" w:cs="Arial"/>
          <w:sz w:val="20"/>
          <w:szCs w:val="20"/>
          <w:lang w:val="es-MX"/>
        </w:rPr>
        <w:t>Artículo 905 del Código de Comercio</w:t>
      </w:r>
      <w:bookmarkEnd w:id="4"/>
      <w:r w:rsidRPr="00682913">
        <w:rPr>
          <w:rFonts w:ascii="Verdana" w:eastAsia="Calibri" w:hAnsi="Verdana" w:cs="Arial"/>
          <w:sz w:val="20"/>
          <w:szCs w:val="20"/>
          <w:lang w:val="es-MX"/>
        </w:rPr>
        <w:t>]: La compraventa es un contrato en que una de las partes se obliga a trasmitir la propiedad de una cosa y la otra a pagarla en dinero. El dinero que el comprador da por la cosa vendida se llama precio”.</w:t>
      </w:r>
    </w:p>
    <w:p w14:paraId="3D30F544" w14:textId="77777777" w:rsidR="000F6971" w:rsidRPr="00794C2C" w:rsidRDefault="000F6971" w:rsidP="000F6971">
      <w:pPr>
        <w:spacing w:after="0" w:line="276" w:lineRule="auto"/>
        <w:jc w:val="both"/>
        <w:rPr>
          <w:rFonts w:ascii="Verdana" w:hAnsi="Verdana" w:cs="Arial"/>
          <w:bCs/>
          <w:lang w:val="es-ES_tradnl"/>
        </w:rPr>
      </w:pPr>
      <w:bookmarkStart w:id="5" w:name="_Hlk131175734"/>
    </w:p>
    <w:p w14:paraId="1A3E0E51" w14:textId="77777777" w:rsidR="000F6971" w:rsidRPr="00794C2C" w:rsidRDefault="000F6971" w:rsidP="000F6971">
      <w:pPr>
        <w:spacing w:after="120" w:line="276" w:lineRule="auto"/>
        <w:ind w:firstLine="708"/>
        <w:jc w:val="both"/>
        <w:rPr>
          <w:rFonts w:ascii="Verdana" w:hAnsi="Verdana" w:cs="Arial"/>
          <w:bCs/>
          <w:lang w:val="es-ES_tradnl"/>
        </w:rPr>
      </w:pPr>
      <w:r>
        <w:rPr>
          <w:rFonts w:ascii="Verdana" w:hAnsi="Verdana" w:cs="Arial"/>
          <w:bCs/>
          <w:lang w:val="es-ES_tradnl"/>
        </w:rPr>
        <w:lastRenderedPageBreak/>
        <w:t>Adicionalmente</w:t>
      </w:r>
      <w:r w:rsidRPr="00794C2C">
        <w:rPr>
          <w:rFonts w:ascii="Verdana" w:hAnsi="Verdana" w:cs="Arial"/>
          <w:bCs/>
          <w:lang w:val="es-ES_tradnl"/>
        </w:rPr>
        <w:t>,</w:t>
      </w:r>
      <w:r>
        <w:rPr>
          <w:rFonts w:ascii="Verdana" w:hAnsi="Verdana" w:cs="Arial"/>
          <w:bCs/>
          <w:lang w:val="es-ES_tradnl"/>
        </w:rPr>
        <w:t xml:space="preserve"> el precio es</w:t>
      </w:r>
      <w:r w:rsidRPr="00794C2C">
        <w:rPr>
          <w:rFonts w:ascii="Verdana" w:hAnsi="Verdana" w:cs="Arial"/>
          <w:bCs/>
          <w:lang w:val="es-ES_tradnl"/>
        </w:rPr>
        <w:t xml:space="preserve"> uno de los elementos </w:t>
      </w:r>
      <w:r>
        <w:rPr>
          <w:rFonts w:ascii="Verdana" w:hAnsi="Verdana" w:cs="Arial"/>
          <w:bCs/>
          <w:lang w:val="es-ES_tradnl"/>
        </w:rPr>
        <w:t xml:space="preserve">esenciales </w:t>
      </w:r>
      <w:r w:rsidRPr="00794C2C">
        <w:rPr>
          <w:rFonts w:ascii="Verdana" w:hAnsi="Verdana" w:cs="Arial"/>
          <w:bCs/>
          <w:lang w:val="es-ES_tradnl"/>
        </w:rPr>
        <w:t xml:space="preserve">de los contratos estatales,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w:t>
      </w:r>
      <w:r>
        <w:rPr>
          <w:rFonts w:ascii="Verdana" w:hAnsi="Verdana" w:cs="Arial"/>
          <w:bCs/>
          <w:lang w:val="es-ES_tradnl"/>
        </w:rPr>
        <w:t>E</w:t>
      </w:r>
      <w:r w:rsidRPr="00794C2C">
        <w:rPr>
          <w:rFonts w:ascii="Verdana" w:hAnsi="Verdana" w:cs="Arial"/>
          <w:bCs/>
          <w:lang w:val="es-ES_tradnl"/>
        </w:rPr>
        <w:t xml:space="preserve">ntidad </w:t>
      </w:r>
      <w:r>
        <w:rPr>
          <w:rFonts w:ascii="Verdana" w:hAnsi="Verdana" w:cs="Arial"/>
          <w:bCs/>
          <w:lang w:val="es-ES_tradnl"/>
        </w:rPr>
        <w:t>E</w:t>
      </w:r>
      <w:r w:rsidRPr="00794C2C">
        <w:rPr>
          <w:rFonts w:ascii="Verdana" w:hAnsi="Verdana" w:cs="Arial"/>
          <w:bCs/>
          <w:lang w:val="es-ES_tradnl"/>
        </w:rPr>
        <w:t>statal y el contratista</w:t>
      </w:r>
      <w:r w:rsidRPr="00794C2C">
        <w:rPr>
          <w:rStyle w:val="Refdenotaalpie"/>
          <w:rFonts w:ascii="Verdana" w:hAnsi="Verdana" w:cs="Arial"/>
          <w:bCs/>
          <w:lang w:val="es-ES_tradnl"/>
        </w:rPr>
        <w:footnoteReference w:id="3"/>
      </w:r>
      <w:r w:rsidRPr="00794C2C">
        <w:rPr>
          <w:rFonts w:ascii="Verdana" w:hAnsi="Verdana" w:cs="Arial"/>
          <w:bCs/>
          <w:lang w:val="es-ES_tradnl"/>
        </w:rPr>
        <w:t xml:space="preserve">. El precio es un importante elemento para el contratista, porque equivale a la remuneración que la entidad contratante le pagará como retribución por la ejecución de las obligaciones de dar, hacer o no hacer previstas a su cargo en el contrato. </w:t>
      </w:r>
      <w:r>
        <w:rPr>
          <w:rFonts w:ascii="Verdana" w:hAnsi="Verdana" w:cs="Arial"/>
          <w:bCs/>
          <w:lang w:val="es-ES_tradnl"/>
        </w:rPr>
        <w:t>E</w:t>
      </w:r>
      <w:r w:rsidRPr="00794C2C">
        <w:rPr>
          <w:rFonts w:ascii="Verdana" w:hAnsi="Verdana" w:cs="Arial"/>
          <w:bCs/>
          <w:lang w:val="es-ES_tradnl"/>
        </w:rPr>
        <w:t>ntonces, es el valor que se da por el objeto, generalmente en dinero, que debe ser determinado o determinable</w:t>
      </w:r>
      <w:r w:rsidRPr="00794C2C">
        <w:rPr>
          <w:rStyle w:val="Refdenotaalpie"/>
          <w:rFonts w:ascii="Verdana" w:hAnsi="Verdana" w:cs="Arial"/>
          <w:bCs/>
          <w:lang w:val="es-ES_tradnl"/>
        </w:rPr>
        <w:footnoteReference w:id="4"/>
      </w:r>
      <w:r w:rsidRPr="00794C2C">
        <w:rPr>
          <w:rFonts w:ascii="Verdana" w:hAnsi="Verdana" w:cs="Arial"/>
          <w:bCs/>
          <w:lang w:val="es-ES_tradnl"/>
        </w:rPr>
        <w:t>, en los términos de los artículos 1864 y 1865 del Código Civil</w:t>
      </w:r>
      <w:r>
        <w:rPr>
          <w:rFonts w:ascii="Verdana" w:hAnsi="Verdana" w:cs="Arial"/>
          <w:bCs/>
          <w:lang w:val="es-ES_tradnl"/>
        </w:rPr>
        <w:t>.</w:t>
      </w:r>
      <w:r w:rsidRPr="00794C2C">
        <w:rPr>
          <w:rFonts w:ascii="Verdana" w:hAnsi="Verdana" w:cs="Arial"/>
          <w:bCs/>
          <w:lang w:val="es-ES_tradnl"/>
        </w:rPr>
        <w:t xml:space="preserve"> </w:t>
      </w:r>
      <w:r>
        <w:rPr>
          <w:rFonts w:ascii="Verdana" w:hAnsi="Verdana" w:cs="Arial"/>
          <w:bCs/>
          <w:lang w:val="es-ES_tradnl"/>
        </w:rPr>
        <w:t>D</w:t>
      </w:r>
      <w:r w:rsidRPr="00794C2C">
        <w:rPr>
          <w:rFonts w:ascii="Verdana" w:hAnsi="Verdana" w:cs="Arial"/>
          <w:bCs/>
          <w:lang w:val="es-ES_tradnl"/>
        </w:rPr>
        <w:t>e manera general</w:t>
      </w:r>
      <w:r>
        <w:rPr>
          <w:rFonts w:ascii="Verdana" w:hAnsi="Verdana" w:cs="Arial"/>
          <w:bCs/>
          <w:lang w:val="es-ES_tradnl"/>
        </w:rPr>
        <w:t>,</w:t>
      </w:r>
      <w:r w:rsidRPr="00794C2C">
        <w:rPr>
          <w:rFonts w:ascii="Verdana" w:hAnsi="Verdana" w:cs="Arial"/>
          <w:bCs/>
          <w:lang w:val="es-ES_tradnl"/>
        </w:rPr>
        <w:t xml:space="preserve"> está compuesto por dos elementos esenciales: los costos y la utilidad, cuya estructuración interna depende de las condiciones técnicas, financieras</w:t>
      </w:r>
      <w:r>
        <w:rPr>
          <w:rFonts w:ascii="Verdana" w:hAnsi="Verdana" w:cs="Arial"/>
          <w:bCs/>
          <w:lang w:val="es-ES_tradnl"/>
        </w:rPr>
        <w:t xml:space="preserve"> o</w:t>
      </w:r>
      <w:r w:rsidRPr="00794C2C">
        <w:rPr>
          <w:rFonts w:ascii="Verdana" w:hAnsi="Verdana" w:cs="Arial"/>
          <w:bCs/>
          <w:lang w:val="es-ES_tradnl"/>
        </w:rPr>
        <w:t xml:space="preserve"> regulatorias</w:t>
      </w:r>
      <w:r>
        <w:rPr>
          <w:rFonts w:ascii="Verdana" w:hAnsi="Verdana" w:cs="Arial"/>
          <w:bCs/>
          <w:lang w:val="es-ES_tradnl"/>
        </w:rPr>
        <w:t xml:space="preserve"> </w:t>
      </w:r>
      <w:r w:rsidRPr="00794C2C">
        <w:rPr>
          <w:rFonts w:ascii="Verdana" w:hAnsi="Verdana" w:cs="Arial"/>
          <w:bCs/>
          <w:lang w:val="es-ES_tradnl"/>
        </w:rPr>
        <w:t>de cada contrato</w:t>
      </w:r>
      <w:r w:rsidRPr="00794C2C">
        <w:rPr>
          <w:rStyle w:val="Refdenotaalpie"/>
          <w:rFonts w:ascii="Verdana" w:hAnsi="Verdana" w:cs="Arial"/>
          <w:bCs/>
          <w:lang w:val="es-ES_tradnl"/>
        </w:rPr>
        <w:footnoteReference w:id="5"/>
      </w:r>
      <w:r w:rsidRPr="00794C2C">
        <w:rPr>
          <w:rFonts w:ascii="Verdana" w:hAnsi="Verdana" w:cs="Arial"/>
          <w:bCs/>
          <w:lang w:val="es-ES_tradnl"/>
        </w:rPr>
        <w:t>.</w:t>
      </w:r>
      <w:bookmarkEnd w:id="5"/>
    </w:p>
    <w:p w14:paraId="59B80062" w14:textId="77777777" w:rsidR="000F6971" w:rsidRDefault="000F6971" w:rsidP="000F6971">
      <w:pPr>
        <w:spacing w:after="120" w:line="276" w:lineRule="auto"/>
        <w:ind w:firstLine="709"/>
        <w:jc w:val="both"/>
        <w:rPr>
          <w:rFonts w:ascii="Verdana" w:hAnsi="Verdana" w:cs="Arial"/>
          <w:bCs/>
          <w:lang w:val="es-ES"/>
        </w:rPr>
      </w:pPr>
      <w:r>
        <w:rPr>
          <w:rFonts w:ascii="Verdana" w:hAnsi="Verdana" w:cs="Arial"/>
          <w:lang w:val="es-ES"/>
        </w:rPr>
        <w:t>Para lo anterior, d</w:t>
      </w:r>
      <w:r w:rsidRPr="00794C2C">
        <w:rPr>
          <w:rFonts w:ascii="Verdana" w:hAnsi="Verdana" w:cs="Arial"/>
          <w:lang w:val="es-ES"/>
        </w:rPr>
        <w:t>esde la etapa de planeación</w:t>
      </w:r>
      <w:r>
        <w:rPr>
          <w:rFonts w:ascii="Verdana" w:hAnsi="Verdana" w:cs="Arial"/>
          <w:lang w:val="es-ES"/>
        </w:rPr>
        <w:t xml:space="preserve"> y</w:t>
      </w:r>
      <w:r w:rsidRPr="00794C2C">
        <w:rPr>
          <w:rFonts w:ascii="Verdana" w:hAnsi="Verdana" w:cs="Arial"/>
          <w:lang w:val="es-ES"/>
        </w:rPr>
        <w:t xml:space="preserve"> en la fase precontractual, las </w:t>
      </w:r>
      <w:r>
        <w:rPr>
          <w:rFonts w:ascii="Verdana" w:hAnsi="Verdana" w:cs="Arial"/>
          <w:lang w:val="es-ES"/>
        </w:rPr>
        <w:t>E</w:t>
      </w:r>
      <w:r w:rsidRPr="00794C2C">
        <w:rPr>
          <w:rFonts w:ascii="Verdana" w:hAnsi="Verdana" w:cs="Arial"/>
          <w:lang w:val="es-ES"/>
        </w:rPr>
        <w:t xml:space="preserve">ntidades </w:t>
      </w:r>
      <w:r>
        <w:rPr>
          <w:rFonts w:ascii="Verdana" w:hAnsi="Verdana" w:cs="Arial"/>
          <w:lang w:val="es-ES"/>
        </w:rPr>
        <w:t>E</w:t>
      </w:r>
      <w:r w:rsidRPr="00794C2C">
        <w:rPr>
          <w:rFonts w:ascii="Verdana" w:hAnsi="Verdana" w:cs="Arial"/>
          <w:lang w:val="es-ES"/>
        </w:rPr>
        <w:t>statales deben calcular tanto el valor estimado del contrato como el presupuesto oficial destinado para satisfacer la necesidad que se pretende suplir con el contrato</w:t>
      </w:r>
      <w:r>
        <w:rPr>
          <w:rFonts w:ascii="Verdana" w:hAnsi="Verdana" w:cs="Arial"/>
          <w:lang w:val="es-ES"/>
        </w:rPr>
        <w:t>. Con este fin, las entidades deben</w:t>
      </w:r>
      <w:r w:rsidRPr="00794C2C">
        <w:rPr>
          <w:rFonts w:ascii="Verdana" w:hAnsi="Verdana" w:cs="Arial"/>
          <w:lang w:val="es-ES"/>
        </w:rPr>
        <w:t xml:space="preserve"> </w:t>
      </w:r>
      <w:r>
        <w:rPr>
          <w:rFonts w:ascii="Verdana" w:hAnsi="Verdana" w:cs="Arial"/>
          <w:lang w:val="es-ES"/>
        </w:rPr>
        <w:t xml:space="preserve">realizar </w:t>
      </w:r>
      <w:r w:rsidRPr="00794C2C">
        <w:rPr>
          <w:rFonts w:ascii="Verdana" w:hAnsi="Verdana" w:cs="Arial"/>
          <w:lang w:val="es-ES"/>
        </w:rPr>
        <w:t xml:space="preserve">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w:t>
      </w:r>
      <w:r w:rsidRPr="00794C2C">
        <w:rPr>
          <w:rFonts w:ascii="Verdana" w:hAnsi="Verdana" w:cs="Arial"/>
          <w:lang w:val="es-ES"/>
        </w:rPr>
        <w:lastRenderedPageBreak/>
        <w:t>concesión, por mencionar algunos ejemplos</w:t>
      </w:r>
      <w:r w:rsidRPr="00794C2C">
        <w:rPr>
          <w:rStyle w:val="Refdenotaalpie"/>
          <w:rFonts w:ascii="Verdana" w:hAnsi="Verdana" w:cs="Arial"/>
          <w:lang w:val="es-ES"/>
        </w:rPr>
        <w:footnoteReference w:id="6"/>
      </w:r>
      <w:r w:rsidRPr="00794C2C">
        <w:rPr>
          <w:rFonts w:ascii="Verdana" w:hAnsi="Verdana" w:cs="Arial"/>
          <w:lang w:val="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w:t>
      </w:r>
      <w:r>
        <w:rPr>
          <w:rFonts w:ascii="Verdana" w:hAnsi="Verdana" w:cs="Arial"/>
          <w:lang w:val="es-ES"/>
        </w:rPr>
        <w:t xml:space="preserve"> por ejemplo</w:t>
      </w:r>
      <w:r w:rsidRPr="00794C2C">
        <w:rPr>
          <w:rFonts w:ascii="Verdana" w:hAnsi="Verdana" w:cs="Arial"/>
          <w:lang w:val="es-ES"/>
        </w:rPr>
        <w:t xml:space="preserve">: i) los precios unitarios –calculados de acuerdo con las unidades que componen el objeto del contrato–, </w:t>
      </w:r>
      <w:proofErr w:type="spellStart"/>
      <w:r w:rsidRPr="00794C2C">
        <w:rPr>
          <w:rFonts w:ascii="Verdana" w:hAnsi="Verdana" w:cs="Arial"/>
          <w:lang w:val="es-ES"/>
        </w:rPr>
        <w:t>ii</w:t>
      </w:r>
      <w:proofErr w:type="spellEnd"/>
      <w:r w:rsidRPr="00794C2C">
        <w:rPr>
          <w:rFonts w:ascii="Verdana" w:hAnsi="Verdana" w:cs="Arial"/>
          <w:lang w:val="es-ES"/>
        </w:rPr>
        <w:t xml:space="preserve">) el precio global –que equivale al monto total, sin discriminar unidades–, y </w:t>
      </w:r>
      <w:proofErr w:type="spellStart"/>
      <w:r w:rsidRPr="00794C2C">
        <w:rPr>
          <w:rFonts w:ascii="Verdana" w:hAnsi="Verdana" w:cs="Arial"/>
          <w:lang w:val="es-ES"/>
        </w:rPr>
        <w:t>iii</w:t>
      </w:r>
      <w:proofErr w:type="spellEnd"/>
      <w:r w:rsidRPr="00794C2C">
        <w:rPr>
          <w:rFonts w:ascii="Verdana" w:hAnsi="Verdana" w:cs="Arial"/>
          <w:lang w:val="es-ES"/>
        </w:rPr>
        <w:t>) la administración delegada de recursos –en la</w:t>
      </w:r>
      <w:r w:rsidRPr="008519F5">
        <w:rPr>
          <w:rFonts w:ascii="Verdana" w:hAnsi="Verdana" w:cs="Arial"/>
          <w:lang w:val="es-ES"/>
        </w:rPr>
        <w:t xml:space="preserve"> </w:t>
      </w:r>
      <w:r w:rsidRPr="00794C2C">
        <w:rPr>
          <w:rFonts w:ascii="Verdana" w:hAnsi="Verdana" w:cs="Arial"/>
          <w:lang w:val="es-ES"/>
        </w:rPr>
        <w:t>que se distinguen los costos de inversión de los honorarios del administrador–.</w:t>
      </w:r>
    </w:p>
    <w:p w14:paraId="02F389F8" w14:textId="77777777" w:rsidR="000F6971" w:rsidRPr="00A05525" w:rsidRDefault="000F6971" w:rsidP="000F6971">
      <w:pPr>
        <w:spacing w:after="120" w:line="276" w:lineRule="auto"/>
        <w:ind w:firstLine="709"/>
        <w:jc w:val="both"/>
        <w:rPr>
          <w:rFonts w:ascii="Verdana" w:hAnsi="Verdana" w:cs="Arial"/>
          <w:bCs/>
          <w:lang w:val="es-ES"/>
        </w:rPr>
      </w:pPr>
      <w:r>
        <w:rPr>
          <w:rFonts w:ascii="Verdana" w:hAnsi="Verdana" w:cs="Arial"/>
          <w:bCs/>
          <w:lang w:val="es-ES"/>
        </w:rPr>
        <w:t xml:space="preserve">En cualquier caso, </w:t>
      </w:r>
      <w:r>
        <w:rPr>
          <w:rFonts w:ascii="Verdana" w:eastAsia="Calibri" w:hAnsi="Verdana" w:cs="Arial"/>
          <w:bCs/>
          <w:color w:val="000000" w:themeColor="text1"/>
          <w:lang w:val="es-ES_tradnl"/>
        </w:rPr>
        <w:t xml:space="preserve">la elección entre uno u otro sistema depende de la planeación realizada por la entidad contratante, pues es </w:t>
      </w:r>
      <w:r w:rsidRPr="00DA57BA">
        <w:rPr>
          <w:rFonts w:ascii="Verdana" w:eastAsia="Calibri" w:hAnsi="Verdana" w:cs="Arial"/>
          <w:bCs/>
          <w:color w:val="000000" w:themeColor="text1"/>
          <w:lang w:val="es-ES_tradnl"/>
        </w:rPr>
        <w:t>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w:t>
      </w:r>
      <w:r>
        <w:rPr>
          <w:rFonts w:ascii="Verdana" w:eastAsia="Calibri" w:hAnsi="Verdana" w:cs="Arial"/>
          <w:bCs/>
          <w:color w:val="000000" w:themeColor="text1"/>
          <w:lang w:val="es-ES_tradnl"/>
        </w:rPr>
        <w:t xml:space="preserve"> asociados</w:t>
      </w:r>
      <w:r w:rsidRPr="00DA57BA">
        <w:rPr>
          <w:rFonts w:ascii="Verdana" w:eastAsia="Calibri" w:hAnsi="Verdana" w:cs="Arial"/>
          <w:bCs/>
          <w:color w:val="000000" w:themeColor="text1"/>
          <w:lang w:val="es-ES_tradnl"/>
        </w:rPr>
        <w:t>, riesgos, garantías, disponibilidad, oferentes, etc., que conlleven a una diligente escogencia de la mejor oferta para beneficiar los intereses y fines públicos inmersos en la contratación de las entidades estatales</w:t>
      </w:r>
      <w:r w:rsidRPr="00DA57BA">
        <w:rPr>
          <w:rFonts w:ascii="Verdana" w:eastAsia="Calibri" w:hAnsi="Verdana" w:cs="Arial"/>
          <w:bCs/>
          <w:color w:val="000000" w:themeColor="text1"/>
          <w:sz w:val="21"/>
          <w:szCs w:val="21"/>
          <w:lang w:val="es-ES_tradnl"/>
        </w:rPr>
        <w:t>.</w:t>
      </w:r>
    </w:p>
    <w:p w14:paraId="5400A4D1" w14:textId="77777777" w:rsidR="000F6971" w:rsidRPr="00DA57BA" w:rsidRDefault="000F6971" w:rsidP="000F6971">
      <w:pPr>
        <w:pStyle w:val="Sinespaciado"/>
        <w:spacing w:before="120" w:line="276" w:lineRule="auto"/>
        <w:ind w:firstLine="708"/>
        <w:jc w:val="both"/>
        <w:rPr>
          <w:rFonts w:ascii="Verdana" w:hAnsi="Verdana" w:cs="Arial"/>
          <w:bCs/>
          <w:color w:val="000000" w:themeColor="text1"/>
          <w:sz w:val="22"/>
          <w:lang w:val="es-ES"/>
        </w:rPr>
      </w:pPr>
      <w:r>
        <w:rPr>
          <w:rFonts w:ascii="Verdana" w:hAnsi="Verdana" w:cs="Arial"/>
          <w:bCs/>
          <w:color w:val="000000" w:themeColor="text1"/>
          <w:sz w:val="22"/>
        </w:rPr>
        <w:t>En este sentido, e</w:t>
      </w:r>
      <w:r w:rsidRPr="00DA57BA">
        <w:rPr>
          <w:rFonts w:ascii="Verdana" w:hAnsi="Verdana" w:cs="Arial"/>
          <w:bCs/>
          <w:color w:val="000000" w:themeColor="text1"/>
          <w:sz w:val="22"/>
        </w:rPr>
        <w:t xml:space="preserve">l Estatuto General de Contratación de la Administración Pública contiene disposiciones que demandan </w:t>
      </w:r>
      <w:r>
        <w:rPr>
          <w:rFonts w:ascii="Verdana" w:hAnsi="Verdana" w:cs="Arial"/>
          <w:bCs/>
          <w:color w:val="000000" w:themeColor="text1"/>
          <w:sz w:val="22"/>
        </w:rPr>
        <w:t>que las E</w:t>
      </w:r>
      <w:r w:rsidRPr="00DA57BA">
        <w:rPr>
          <w:rFonts w:ascii="Verdana" w:hAnsi="Verdana" w:cs="Arial"/>
          <w:bCs/>
          <w:color w:val="000000" w:themeColor="text1"/>
          <w:sz w:val="22"/>
        </w:rPr>
        <w:t xml:space="preserve">ntidades </w:t>
      </w:r>
      <w:r>
        <w:rPr>
          <w:rFonts w:ascii="Verdana" w:hAnsi="Verdana" w:cs="Arial"/>
          <w:bCs/>
          <w:color w:val="000000" w:themeColor="text1"/>
          <w:sz w:val="22"/>
        </w:rPr>
        <w:t>E</w:t>
      </w:r>
      <w:r w:rsidRPr="00DA57BA">
        <w:rPr>
          <w:rFonts w:ascii="Verdana" w:hAnsi="Verdana" w:cs="Arial"/>
          <w:bCs/>
          <w:color w:val="000000" w:themeColor="text1"/>
          <w:sz w:val="22"/>
        </w:rPr>
        <w:t xml:space="preserve">statales </w:t>
      </w:r>
      <w:r>
        <w:rPr>
          <w:rFonts w:ascii="Verdana" w:hAnsi="Verdana" w:cs="Arial"/>
          <w:bCs/>
          <w:color w:val="000000" w:themeColor="text1"/>
          <w:sz w:val="22"/>
        </w:rPr>
        <w:t xml:space="preserve">realicen una adecuada </w:t>
      </w:r>
      <w:r w:rsidRPr="00DA57BA">
        <w:rPr>
          <w:rFonts w:ascii="Verdana" w:hAnsi="Verdana" w:cs="Arial"/>
          <w:bCs/>
          <w:color w:val="000000" w:themeColor="text1"/>
          <w:sz w:val="22"/>
        </w:rPr>
        <w:t xml:space="preserve">planeación en la etapa precontractual, para que los procesos de contratación satisfagan las necesidades de la Administración, </w:t>
      </w:r>
      <w:r w:rsidRPr="00DA57BA">
        <w:rPr>
          <w:rFonts w:ascii="Verdana" w:hAnsi="Verdana" w:cs="Arial"/>
          <w:bCs/>
          <w:color w:val="000000" w:themeColor="text1"/>
          <w:sz w:val="22"/>
        </w:rPr>
        <w:lastRenderedPageBreak/>
        <w:t xml:space="preserve">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7BFC8D6" w14:textId="77777777" w:rsidR="000F6971" w:rsidRPr="00DA57BA" w:rsidRDefault="000F6971" w:rsidP="000F6971">
      <w:pPr>
        <w:pStyle w:val="Sinespaciado"/>
        <w:spacing w:line="276" w:lineRule="auto"/>
        <w:ind w:firstLine="708"/>
        <w:jc w:val="both"/>
        <w:rPr>
          <w:rFonts w:ascii="Verdana" w:hAnsi="Verdana" w:cs="Arial"/>
          <w:bCs/>
          <w:color w:val="000000" w:themeColor="text1"/>
          <w:sz w:val="22"/>
          <w:lang w:val="es-ES"/>
        </w:rPr>
      </w:pPr>
    </w:p>
    <w:p w14:paraId="53887B3B" w14:textId="77777777" w:rsidR="000F6971" w:rsidRPr="008B1238" w:rsidRDefault="000F6971" w:rsidP="000F6971">
      <w:pPr>
        <w:pStyle w:val="Sinespaciado"/>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“7o. La conveniencia o inconveniencia del objeto a contratar y las autorizaciones y aprobaciones para ello, se analizarán o impartirán con antelación al inicio del proceso de selección del contratista o al de la firma del contrato, según el caso.</w:t>
      </w:r>
    </w:p>
    <w:p w14:paraId="35EC56D5" w14:textId="77777777" w:rsidR="000F6971" w:rsidRPr="008B1238" w:rsidRDefault="000F6971" w:rsidP="000F6971">
      <w:pPr>
        <w:pStyle w:val="Sinespaciado"/>
        <w:spacing w:after="120"/>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w:t>
      </w:r>
    </w:p>
    <w:p w14:paraId="46CBFF66" w14:textId="77777777" w:rsidR="000F6971" w:rsidRPr="008B1238" w:rsidRDefault="000F6971" w:rsidP="000F6971">
      <w:pPr>
        <w:pStyle w:val="Sinespaciado"/>
        <w:spacing w:after="120"/>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1B11B39D" w14:textId="77777777" w:rsidR="000F6971" w:rsidRPr="008B1238" w:rsidRDefault="000F6971" w:rsidP="000F6971">
      <w:pPr>
        <w:pStyle w:val="Sinespaciado"/>
        <w:spacing w:after="120"/>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1124536C" w14:textId="77777777" w:rsidR="000F6971" w:rsidRPr="008B1238" w:rsidRDefault="000F6971" w:rsidP="000F6971">
      <w:pPr>
        <w:spacing w:after="120" w:line="240" w:lineRule="auto"/>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9A1115A" w14:textId="77777777" w:rsidR="000F6971" w:rsidRPr="008B1238" w:rsidRDefault="000F6971" w:rsidP="000F6971">
      <w:pPr>
        <w:spacing w:after="0" w:line="240" w:lineRule="auto"/>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 xml:space="preserve">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 </w:t>
      </w:r>
    </w:p>
    <w:p w14:paraId="73238F98" w14:textId="77777777" w:rsidR="000F6971" w:rsidRDefault="000F6971" w:rsidP="000F6971">
      <w:pPr>
        <w:pStyle w:val="Sinespaciado"/>
        <w:spacing w:line="276" w:lineRule="auto"/>
        <w:ind w:firstLine="708"/>
        <w:jc w:val="both"/>
        <w:rPr>
          <w:rFonts w:ascii="Verdana" w:hAnsi="Verdana" w:cs="Arial"/>
          <w:color w:val="000000" w:themeColor="text1"/>
          <w:sz w:val="22"/>
        </w:rPr>
      </w:pPr>
    </w:p>
    <w:p w14:paraId="3648BB9F" w14:textId="77777777" w:rsidR="000F6971" w:rsidRPr="00DA57BA" w:rsidRDefault="000F6971" w:rsidP="000F6971">
      <w:pPr>
        <w:pStyle w:val="Sinespaciado"/>
        <w:spacing w:line="276" w:lineRule="auto"/>
        <w:ind w:firstLine="708"/>
        <w:jc w:val="both"/>
        <w:rPr>
          <w:rFonts w:ascii="Verdana" w:hAnsi="Verdana" w:cs="Arial"/>
          <w:color w:val="000000" w:themeColor="text1"/>
          <w:sz w:val="22"/>
        </w:rPr>
      </w:pPr>
      <w:r w:rsidRPr="00DA57BA">
        <w:rPr>
          <w:rFonts w:ascii="Verdana" w:hAnsi="Verdana" w:cs="Arial"/>
          <w:color w:val="000000" w:themeColor="text1"/>
          <w:sz w:val="22"/>
        </w:rPr>
        <w:t xml:space="preserve">De la norma citada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w:t>
      </w:r>
      <w:r w:rsidRPr="00DA57BA">
        <w:rPr>
          <w:rFonts w:ascii="Verdana" w:hAnsi="Verdana" w:cs="Arial"/>
          <w:color w:val="000000" w:themeColor="text1"/>
          <w:sz w:val="22"/>
        </w:rPr>
        <w:lastRenderedPageBreak/>
        <w:t xml:space="preserve">que exige que se determine el objeto a contratar con sus especificaciones y se estime el costo que implica la celebración del contrato de la siguiente manera: </w:t>
      </w:r>
    </w:p>
    <w:p w14:paraId="1F5290EA" w14:textId="77777777" w:rsidR="000F6971" w:rsidRPr="00DA57BA" w:rsidRDefault="000F6971" w:rsidP="000F6971">
      <w:pPr>
        <w:pStyle w:val="Sinespaciado"/>
        <w:spacing w:line="276" w:lineRule="auto"/>
        <w:jc w:val="both"/>
        <w:rPr>
          <w:rFonts w:ascii="Verdana" w:hAnsi="Verdana" w:cs="Arial"/>
          <w:color w:val="000000" w:themeColor="text1"/>
        </w:rPr>
      </w:pPr>
    </w:p>
    <w:p w14:paraId="3D8E25CB" w14:textId="77777777" w:rsidR="000F6971" w:rsidRPr="008B1238" w:rsidRDefault="000F6971" w:rsidP="000F6971">
      <w:pPr>
        <w:pStyle w:val="Sinespaciado"/>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 xml:space="preserve">“2. </w:t>
      </w:r>
      <w:proofErr w:type="gramStart"/>
      <w:r w:rsidRPr="008B1238">
        <w:rPr>
          <w:rFonts w:ascii="Verdana" w:hAnsi="Verdana" w:cs="Arial"/>
          <w:color w:val="000000" w:themeColor="text1"/>
          <w:sz w:val="20"/>
          <w:szCs w:val="20"/>
        </w:rPr>
        <w:t>El objeto a contratar</w:t>
      </w:r>
      <w:proofErr w:type="gramEnd"/>
      <w:r w:rsidRPr="008B1238">
        <w:rPr>
          <w:rFonts w:ascii="Verdana" w:hAnsi="Verdana" w:cs="Arial"/>
          <w:color w:val="000000" w:themeColor="text1"/>
          <w:sz w:val="20"/>
          <w:szCs w:val="20"/>
        </w:rPr>
        <w:t>, con sus especificaciones, las autorizaciones, permisos y licencias requeridos para su ejecución, y cuando el contrato incluye diseño y construcción, los documentos técnicos para el desarrollo del proyecto.</w:t>
      </w:r>
    </w:p>
    <w:p w14:paraId="114CACD9" w14:textId="77777777" w:rsidR="000F6971" w:rsidRPr="008B1238" w:rsidRDefault="000F6971" w:rsidP="000F6971">
      <w:pPr>
        <w:pStyle w:val="Sinespaciado"/>
        <w:spacing w:after="120"/>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w:t>
      </w:r>
    </w:p>
    <w:p w14:paraId="458FBAFA" w14:textId="77777777" w:rsidR="000F6971" w:rsidRPr="008B1238" w:rsidRDefault="000F6971" w:rsidP="000F6971">
      <w:pPr>
        <w:pStyle w:val="Sinespaciado"/>
        <w:ind w:left="709" w:right="709"/>
        <w:jc w:val="both"/>
        <w:rPr>
          <w:rFonts w:ascii="Verdana" w:hAnsi="Verdana" w:cs="Arial"/>
          <w:color w:val="000000" w:themeColor="text1"/>
          <w:sz w:val="20"/>
          <w:szCs w:val="20"/>
        </w:rPr>
      </w:pPr>
      <w:r w:rsidRPr="008B1238">
        <w:rPr>
          <w:rFonts w:ascii="Verdana" w:hAnsi="Verdana" w:cs="Arial"/>
          <w:color w:val="000000" w:themeColor="text1"/>
          <w:sz w:val="20"/>
          <w:szCs w:val="20"/>
        </w:rPr>
        <w:t xml:space="preserve">4. El valor estimado del contrato y la justificación </w:t>
      </w:r>
      <w:proofErr w:type="gramStart"/>
      <w:r w:rsidRPr="008B1238">
        <w:rPr>
          <w:rFonts w:ascii="Verdana" w:hAnsi="Verdana" w:cs="Arial"/>
          <w:color w:val="000000" w:themeColor="text1"/>
          <w:sz w:val="20"/>
          <w:szCs w:val="20"/>
        </w:rPr>
        <w:t>del mismo</w:t>
      </w:r>
      <w:proofErr w:type="gramEnd"/>
      <w:r w:rsidRPr="008B1238">
        <w:rPr>
          <w:rFonts w:ascii="Verdana" w:hAnsi="Verdana" w:cs="Arial"/>
          <w:color w:val="000000" w:themeColor="text1"/>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3604E0DD" w14:textId="77777777" w:rsidR="000F6971" w:rsidRPr="00DA57BA" w:rsidRDefault="000F6971" w:rsidP="000F6971">
      <w:pPr>
        <w:spacing w:after="0" w:line="276" w:lineRule="auto"/>
        <w:ind w:firstLine="709"/>
        <w:jc w:val="both"/>
        <w:rPr>
          <w:rFonts w:ascii="Verdana" w:eastAsia="Calibri" w:hAnsi="Verdana" w:cs="Arial"/>
          <w:bCs/>
          <w:color w:val="000000" w:themeColor="text1"/>
          <w:lang w:val="es-ES_tradnl"/>
        </w:rPr>
      </w:pPr>
    </w:p>
    <w:p w14:paraId="7433422B" w14:textId="77777777" w:rsidR="000F6971" w:rsidRDefault="000F6971" w:rsidP="000F6971">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Respecto al valor estimado, el deber de planeación supone que las entidades realicen un análisis adecuado que les permita considerar todos aquellos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del objeto–</w:t>
      </w:r>
      <w:r>
        <w:rPr>
          <w:rFonts w:ascii="Verdana" w:hAnsi="Verdana" w:cs="Arial"/>
          <w:lang w:val="es-ES" w:eastAsia="es-ES"/>
        </w:rPr>
        <w:t xml:space="preserve"> y </w:t>
      </w:r>
      <w:r w:rsidRPr="00104C20">
        <w:rPr>
          <w:rFonts w:ascii="Verdana" w:hAnsi="Verdana" w:cs="Arial"/>
          <w:lang w:val="es-ES" w:eastAsia="es-ES"/>
        </w:rPr>
        <w:t xml:space="preserve">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w:t>
      </w:r>
      <w:r>
        <w:rPr>
          <w:rFonts w:ascii="Verdana" w:hAnsi="Verdana" w:cs="Arial"/>
          <w:lang w:val="es-ES" w:eastAsia="es-ES"/>
        </w:rPr>
        <w:t xml:space="preserve"> q</w:t>
      </w:r>
      <w:proofErr w:type="spellStart"/>
      <w:r>
        <w:rPr>
          <w:rFonts w:ascii="Verdana" w:eastAsia="Calibri" w:hAnsi="Verdana" w:cs="Arial"/>
          <w:bCs/>
          <w:color w:val="000000" w:themeColor="text1"/>
          <w:lang w:val="es-ES_tradnl"/>
        </w:rPr>
        <w:t>ue</w:t>
      </w:r>
      <w:proofErr w:type="spellEnd"/>
      <w:r>
        <w:rPr>
          <w:rFonts w:ascii="Verdana" w:eastAsia="Calibri" w:hAnsi="Verdana" w:cs="Arial"/>
          <w:bCs/>
          <w:color w:val="000000" w:themeColor="text1"/>
          <w:lang w:val="es-ES_tradnl"/>
        </w:rPr>
        <w:t xml:space="preserve"> son relevantes para determinar de forma adecuada el precio del bien o servicio a adquirir. </w:t>
      </w:r>
      <w:r>
        <w:rPr>
          <w:rFonts w:ascii="Verdana" w:eastAsia="Calibri" w:hAnsi="Verdana" w:cs="Arial"/>
          <w:color w:val="000000" w:themeColor="text1"/>
          <w:lang w:val="es-ES_tradnl"/>
        </w:rPr>
        <w:t>L</w:t>
      </w:r>
      <w:r w:rsidRPr="006C6FE3">
        <w:rPr>
          <w:rFonts w:ascii="Verdana" w:eastAsia="Calibri" w:hAnsi="Verdana" w:cs="Arial"/>
          <w:color w:val="000000" w:themeColor="text1"/>
          <w:lang w:val="es-ES_tradnl"/>
        </w:rPr>
        <w:t xml:space="preserve">as Entidades están obligadas a presentar el valor de la contratación y </w:t>
      </w:r>
      <w:r>
        <w:rPr>
          <w:rFonts w:ascii="Verdana" w:eastAsia="Calibri" w:hAnsi="Verdana" w:cs="Arial"/>
          <w:color w:val="000000" w:themeColor="text1"/>
          <w:lang w:val="es-ES_tradnl"/>
        </w:rPr>
        <w:t>su</w:t>
      </w:r>
      <w:r w:rsidRPr="006C6FE3">
        <w:rPr>
          <w:rFonts w:ascii="Verdana" w:eastAsia="Calibri" w:hAnsi="Verdana" w:cs="Arial"/>
          <w:color w:val="000000" w:themeColor="text1"/>
          <w:lang w:val="es-ES_tradnl"/>
        </w:rPr>
        <w:t xml:space="preserve"> justificación, para lo cual deberá</w:t>
      </w:r>
      <w:r>
        <w:rPr>
          <w:rFonts w:ascii="Verdana" w:eastAsia="Calibri" w:hAnsi="Verdana" w:cs="Arial"/>
          <w:color w:val="000000" w:themeColor="text1"/>
          <w:lang w:val="es-ES_tradnl"/>
        </w:rPr>
        <w:t>n</w:t>
      </w:r>
      <w:r w:rsidRPr="006C6FE3">
        <w:rPr>
          <w:rFonts w:ascii="Verdana" w:eastAsia="Calibri" w:hAnsi="Verdana" w:cs="Arial"/>
          <w:color w:val="000000" w:themeColor="text1"/>
          <w:lang w:val="es-ES_tradnl"/>
        </w:rPr>
        <w:t xml:space="preserve"> informar los factores relevantes y </w:t>
      </w:r>
      <w:r>
        <w:rPr>
          <w:rFonts w:ascii="Verdana" w:eastAsia="Calibri" w:hAnsi="Verdana" w:cs="Arial"/>
          <w:color w:val="000000" w:themeColor="text1"/>
          <w:lang w:val="es-ES_tradnl"/>
        </w:rPr>
        <w:t xml:space="preserve">la </w:t>
      </w:r>
      <w:r w:rsidRPr="006C6FE3">
        <w:rPr>
          <w:rFonts w:ascii="Verdana" w:eastAsia="Calibri" w:hAnsi="Verdana" w:cs="Arial"/>
          <w:color w:val="000000" w:themeColor="text1"/>
          <w:lang w:val="es-ES_tradnl"/>
        </w:rPr>
        <w:t xml:space="preserve">metodología </w:t>
      </w:r>
      <w:r>
        <w:rPr>
          <w:rFonts w:ascii="Verdana" w:eastAsia="Calibri" w:hAnsi="Verdana" w:cs="Arial"/>
          <w:color w:val="000000" w:themeColor="text1"/>
          <w:lang w:val="es-ES_tradnl"/>
        </w:rPr>
        <w:t xml:space="preserve">implementada </w:t>
      </w:r>
      <w:r w:rsidRPr="006C6FE3">
        <w:rPr>
          <w:rFonts w:ascii="Verdana" w:eastAsia="Calibri" w:hAnsi="Verdana" w:cs="Arial"/>
          <w:color w:val="000000" w:themeColor="text1"/>
          <w:lang w:val="es-ES_tradnl"/>
        </w:rPr>
        <w:t xml:space="preserve">para </w:t>
      </w:r>
      <w:r>
        <w:rPr>
          <w:rFonts w:ascii="Verdana" w:eastAsia="Calibri" w:hAnsi="Verdana" w:cs="Arial"/>
          <w:color w:val="000000" w:themeColor="text1"/>
          <w:lang w:val="es-ES_tradnl"/>
        </w:rPr>
        <w:t>determinarlo</w:t>
      </w:r>
      <w:r w:rsidRPr="00464890">
        <w:rPr>
          <w:rFonts w:ascii="Verdana" w:eastAsia="Calibri" w:hAnsi="Verdana" w:cs="Arial"/>
          <w:bCs/>
          <w:color w:val="000000" w:themeColor="text1"/>
          <w:lang w:val="es-ES_tradnl"/>
        </w:rPr>
        <w:t>, obligación predicable respecto de toda la contratación</w:t>
      </w:r>
      <w:r>
        <w:rPr>
          <w:rFonts w:ascii="Verdana" w:eastAsia="Calibri" w:hAnsi="Verdana" w:cs="Arial"/>
          <w:bCs/>
          <w:color w:val="000000" w:themeColor="text1"/>
          <w:lang w:val="es-ES_tradnl"/>
        </w:rPr>
        <w:t>.</w:t>
      </w:r>
    </w:p>
    <w:p w14:paraId="6D7E5B30" w14:textId="77777777" w:rsidR="000F6971" w:rsidRDefault="000F6971" w:rsidP="000F6971">
      <w:pPr>
        <w:spacing w:after="120" w:line="276" w:lineRule="auto"/>
        <w:ind w:firstLine="709"/>
        <w:jc w:val="both"/>
        <w:rPr>
          <w:rFonts w:ascii="Verdana" w:hAnsi="Verdana"/>
        </w:rPr>
      </w:pPr>
      <w:r w:rsidRPr="009058A6">
        <w:rPr>
          <w:rFonts w:ascii="Verdana" w:hAnsi="Verdana" w:cs="Arial"/>
          <w:lang w:val="es-ES" w:eastAsia="es-ES"/>
        </w:rPr>
        <w:t xml:space="preserve">De lo expuesto es claro que para el ordenamiento jurídico colombiano el precio que determinen las entidades como producto de una planeación adecuada </w:t>
      </w:r>
      <w:r>
        <w:rPr>
          <w:rFonts w:ascii="Verdana" w:hAnsi="Verdana" w:cs="Arial"/>
          <w:lang w:val="es-ES" w:eastAsia="es-ES"/>
        </w:rPr>
        <w:t xml:space="preserve">es lo </w:t>
      </w:r>
      <w:r w:rsidRPr="009058A6">
        <w:rPr>
          <w:rFonts w:ascii="Verdana" w:hAnsi="Verdana" w:cs="Arial"/>
          <w:lang w:val="es-ES" w:eastAsia="es-ES"/>
        </w:rPr>
        <w:t>que entreg</w:t>
      </w:r>
      <w:r>
        <w:rPr>
          <w:rFonts w:ascii="Verdana" w:hAnsi="Verdana" w:cs="Arial"/>
          <w:lang w:val="es-ES" w:eastAsia="es-ES"/>
        </w:rPr>
        <w:t>arán</w:t>
      </w:r>
      <w:r w:rsidRPr="009058A6">
        <w:rPr>
          <w:rFonts w:ascii="Verdana" w:hAnsi="Verdana" w:cs="Arial"/>
          <w:lang w:val="es-ES" w:eastAsia="es-ES"/>
        </w:rPr>
        <w:t xml:space="preserve"> como retribución del bien o servicio a adquirir, es decir, no lo que se anuncia o una parte de lo que vale el bien o servicio, sino lo que el comprador </w:t>
      </w:r>
      <w:r w:rsidRPr="009058A6">
        <w:rPr>
          <w:rFonts w:ascii="Verdana" w:hAnsi="Verdana" w:cs="Arial"/>
          <w:i/>
          <w:iCs/>
          <w:lang w:val="es-ES" w:eastAsia="es-ES"/>
        </w:rPr>
        <w:t>efectivamente entrega</w:t>
      </w:r>
      <w:r>
        <w:rPr>
          <w:rFonts w:ascii="Verdana" w:hAnsi="Verdana" w:cs="Arial"/>
          <w:i/>
          <w:iCs/>
          <w:lang w:val="es-ES" w:eastAsia="es-ES"/>
        </w:rPr>
        <w:t>rá</w:t>
      </w:r>
      <w:r w:rsidRPr="009058A6">
        <w:rPr>
          <w:rFonts w:ascii="Verdana" w:hAnsi="Verdana" w:cs="Arial"/>
          <w:i/>
          <w:iCs/>
          <w:lang w:val="es-ES" w:eastAsia="es-ES"/>
        </w:rPr>
        <w:t xml:space="preserve"> o paga</w:t>
      </w:r>
      <w:r>
        <w:rPr>
          <w:rFonts w:ascii="Verdana" w:hAnsi="Verdana" w:cs="Arial"/>
          <w:i/>
          <w:iCs/>
          <w:lang w:val="es-ES" w:eastAsia="es-ES"/>
        </w:rPr>
        <w:t>rá</w:t>
      </w:r>
      <w:r w:rsidRPr="009058A6">
        <w:rPr>
          <w:rFonts w:ascii="Verdana" w:hAnsi="Verdana" w:cs="Arial"/>
          <w:lang w:val="es-ES" w:eastAsia="es-ES"/>
        </w:rPr>
        <w:t xml:space="preserve"> como contraprestación por la cosa recibida. En línea con lo anterior, </w:t>
      </w:r>
      <w:bookmarkStart w:id="7" w:name="_Hlk34660593"/>
      <w:r w:rsidRPr="009058A6">
        <w:rPr>
          <w:rFonts w:ascii="Verdana" w:hAnsi="Verdana" w:cs="Arial"/>
          <w:lang w:val="es-ES" w:eastAsia="es-ES"/>
        </w:rPr>
        <w:t>e</w:t>
      </w:r>
      <w:r w:rsidRPr="009058A6">
        <w:rPr>
          <w:rFonts w:ascii="Verdana" w:hAnsi="Verdana"/>
        </w:rPr>
        <w:t xml:space="preserve">l Consejo de Estado ha señalado que en el precio se entienden incluidos </w:t>
      </w:r>
      <w:r w:rsidRPr="009058A6">
        <w:rPr>
          <w:rFonts w:ascii="Verdana" w:hAnsi="Verdana"/>
          <w:i/>
          <w:iCs/>
        </w:rPr>
        <w:t>todos los costos</w:t>
      </w:r>
      <w:r w:rsidRPr="009058A6">
        <w:rPr>
          <w:rFonts w:ascii="Verdana" w:hAnsi="Verdana"/>
        </w:rPr>
        <w:t xml:space="preserve"> en que se incurre para vender un bien o prestar un servicio. En este sentido, “El precio cubre los costos en que incurre la entidad para prestar el servicio, incluyendo los gastos de </w:t>
      </w:r>
      <w:r w:rsidRPr="009058A6">
        <w:rPr>
          <w:rFonts w:ascii="Verdana" w:hAnsi="Verdana"/>
        </w:rPr>
        <w:lastRenderedPageBreak/>
        <w:t>funcionamiento y las previsiones para amortización y crecimiento de la inversión”</w:t>
      </w:r>
      <w:r w:rsidRPr="009058A6">
        <w:rPr>
          <w:rStyle w:val="Refdenotaalpie"/>
          <w:rFonts w:ascii="Verdana" w:hAnsi="Verdana"/>
        </w:rPr>
        <w:footnoteReference w:id="7"/>
      </w:r>
      <w:r w:rsidRPr="009058A6">
        <w:rPr>
          <w:rFonts w:ascii="Verdana" w:hAnsi="Verdana"/>
        </w:rPr>
        <w:t>.</w:t>
      </w:r>
      <w:bookmarkStart w:id="8" w:name="_Hlk34660723"/>
    </w:p>
    <w:p w14:paraId="237D2C1D" w14:textId="77777777" w:rsidR="000F6971" w:rsidRPr="001C5846" w:rsidRDefault="000F6971" w:rsidP="000F6971">
      <w:pPr>
        <w:spacing w:after="120" w:line="276" w:lineRule="auto"/>
        <w:ind w:firstLine="709"/>
        <w:jc w:val="both"/>
        <w:rPr>
          <w:rFonts w:ascii="Verdana" w:hAnsi="Verdana"/>
        </w:rPr>
      </w:pPr>
      <w:r>
        <w:rPr>
          <w:rFonts w:ascii="Verdana" w:hAnsi="Verdana"/>
        </w:rPr>
        <w:t xml:space="preserve">De esta forma, </w:t>
      </w:r>
      <w:r w:rsidRPr="0068390B">
        <w:rPr>
          <w:rFonts w:ascii="Verdana" w:hAnsi="Verdana" w:cs="Arial"/>
          <w:bCs/>
          <w:szCs w:val="24"/>
          <w:lang w:val="es-ES_tradnl" w:eastAsia="es-ES_tradnl"/>
        </w:rPr>
        <w:t xml:space="preserve">independiente del </w:t>
      </w:r>
      <w:r w:rsidRPr="0068390B">
        <w:rPr>
          <w:rFonts w:ascii="Verdana" w:hAnsi="Verdana" w:cs="Arial"/>
          <w:lang w:val="es-ES" w:eastAsia="es-ES"/>
        </w:rPr>
        <w:t xml:space="preserve">esquema que la administración usará para estipular el precio, es importante precisar que </w:t>
      </w:r>
      <w:r w:rsidRPr="0068390B">
        <w:rPr>
          <w:rFonts w:ascii="Verdana" w:eastAsia="Verdana" w:hAnsi="Verdana" w:cs="Verdana"/>
          <w:lang w:val="es-ES"/>
        </w:rPr>
        <w:t>este debe incluir los costos en que incurrirá el contratista para</w:t>
      </w:r>
      <w:r w:rsidRPr="0068390B">
        <w:rPr>
          <w:rFonts w:ascii="Verdana" w:eastAsia="Verdana" w:hAnsi="Verdana" w:cs="Verdana"/>
          <w:spacing w:val="-1"/>
          <w:lang w:val="es-ES"/>
        </w:rPr>
        <w:t xml:space="preserve"> </w:t>
      </w:r>
      <w:r w:rsidRPr="0068390B">
        <w:rPr>
          <w:rFonts w:ascii="Verdana" w:eastAsia="Verdana" w:hAnsi="Verdana" w:cs="Verdana"/>
          <w:lang w:val="es-ES"/>
        </w:rPr>
        <w:t>cumplir sus</w:t>
      </w:r>
      <w:r w:rsidRPr="0068390B">
        <w:rPr>
          <w:rFonts w:ascii="Verdana" w:eastAsia="Verdana" w:hAnsi="Verdana" w:cs="Verdana"/>
          <w:spacing w:val="-1"/>
          <w:lang w:val="es-ES"/>
        </w:rPr>
        <w:t xml:space="preserve"> </w:t>
      </w:r>
      <w:r w:rsidRPr="0068390B">
        <w:rPr>
          <w:rFonts w:ascii="Verdana" w:eastAsia="Verdana" w:hAnsi="Verdana" w:cs="Verdana"/>
          <w:lang w:val="es-ES"/>
        </w:rPr>
        <w:t>obligaciones y</w:t>
      </w:r>
      <w:r w:rsidRPr="0068390B">
        <w:rPr>
          <w:rFonts w:ascii="Verdana" w:eastAsia="Verdana" w:hAnsi="Verdana" w:cs="Verdana"/>
          <w:spacing w:val="-2"/>
          <w:lang w:val="es-ES"/>
        </w:rPr>
        <w:t xml:space="preserve"> </w:t>
      </w:r>
      <w:r w:rsidRPr="0068390B">
        <w:rPr>
          <w:rFonts w:ascii="Verdana" w:eastAsia="Verdana" w:hAnsi="Verdana" w:cs="Verdana"/>
          <w:lang w:val="es-ES"/>
        </w:rPr>
        <w:t>obtener la</w:t>
      </w:r>
      <w:r w:rsidRPr="0068390B">
        <w:rPr>
          <w:rFonts w:ascii="Verdana" w:eastAsia="Verdana" w:hAnsi="Verdana" w:cs="Verdana"/>
          <w:spacing w:val="-2"/>
          <w:lang w:val="es-ES"/>
        </w:rPr>
        <w:t xml:space="preserve"> </w:t>
      </w:r>
      <w:r w:rsidRPr="0068390B">
        <w:rPr>
          <w:rFonts w:ascii="Verdana" w:eastAsia="Verdana" w:hAnsi="Verdana" w:cs="Verdana"/>
          <w:lang w:val="es-ES"/>
        </w:rPr>
        <w:t>utilidad</w:t>
      </w:r>
      <w:r w:rsidRPr="0068390B">
        <w:rPr>
          <w:rFonts w:ascii="Verdana" w:eastAsia="Verdana" w:hAnsi="Verdana" w:cs="Verdana"/>
          <w:spacing w:val="-1"/>
          <w:lang w:val="es-ES"/>
        </w:rPr>
        <w:t xml:space="preserve"> </w:t>
      </w:r>
      <w:r w:rsidRPr="0068390B">
        <w:rPr>
          <w:rFonts w:ascii="Verdana" w:eastAsia="Verdana" w:hAnsi="Verdana" w:cs="Verdana"/>
          <w:lang w:val="es-ES"/>
        </w:rPr>
        <w:t>que</w:t>
      </w:r>
      <w:r w:rsidRPr="0068390B">
        <w:rPr>
          <w:rFonts w:ascii="Verdana" w:eastAsia="Verdana" w:hAnsi="Verdana" w:cs="Verdana"/>
          <w:spacing w:val="-2"/>
          <w:lang w:val="es-ES"/>
        </w:rPr>
        <w:t xml:space="preserve"> </w:t>
      </w:r>
      <w:r w:rsidRPr="0068390B">
        <w:rPr>
          <w:rFonts w:ascii="Verdana" w:eastAsia="Verdana" w:hAnsi="Verdana" w:cs="Verdana"/>
          <w:lang w:val="es-ES"/>
        </w:rPr>
        <w:t>espera del negocio, entre los cuales se encuentran los impuestos que afectaran el contrato.</w:t>
      </w:r>
      <w:r w:rsidRPr="0068390B">
        <w:t xml:space="preserve"> </w:t>
      </w:r>
      <w:r w:rsidRPr="0068390B">
        <w:rPr>
          <w:rFonts w:ascii="Verdana" w:eastAsia="Verdana" w:hAnsi="Verdana" w:cs="Verdana"/>
          <w:lang w:val="es-ES"/>
        </w:rPr>
        <w:t>Así, sea que se determine el esquema de precios unitarios o global o cualquier otra metodología, se ha sostenido por la doctrina que dentro del precio se incluyen todos los costos en que incurre el contratista para cumplir con las obligaciones que va a adquirir y satisfacer su derecho a obtener utilidad:</w:t>
      </w:r>
    </w:p>
    <w:p w14:paraId="141208C3" w14:textId="77777777" w:rsidR="000F6971" w:rsidRPr="0068390B" w:rsidRDefault="000F6971" w:rsidP="000F6971">
      <w:pPr>
        <w:spacing w:after="0" w:line="276" w:lineRule="auto"/>
        <w:ind w:firstLine="709"/>
        <w:jc w:val="both"/>
        <w:rPr>
          <w:rFonts w:ascii="Verdana" w:eastAsia="Verdana" w:hAnsi="Verdana" w:cs="Verdana"/>
          <w:lang w:val="es-ES"/>
        </w:rPr>
      </w:pPr>
    </w:p>
    <w:p w14:paraId="12E6EB79" w14:textId="77777777" w:rsidR="000F6971" w:rsidRPr="0068390B" w:rsidRDefault="000F6971" w:rsidP="000F6971">
      <w:pPr>
        <w:spacing w:after="0" w:line="240" w:lineRule="auto"/>
        <w:ind w:left="709" w:right="618"/>
        <w:jc w:val="both"/>
        <w:rPr>
          <w:rFonts w:ascii="Verdana" w:hAnsi="Verdana" w:cs="Arial"/>
          <w:sz w:val="20"/>
          <w:szCs w:val="20"/>
          <w:lang w:val="es-ES" w:eastAsia="es-ES_tradnl"/>
        </w:rPr>
      </w:pPr>
      <w:r w:rsidRPr="0068390B">
        <w:rPr>
          <w:rFonts w:ascii="Verdana" w:hAnsi="Verdana" w:cs="Arial"/>
          <w:sz w:val="20"/>
          <w:szCs w:val="20"/>
          <w:lang w:val="es-ES_tradnl" w:eastAsia="es-ES_tradnl"/>
        </w:rPr>
        <w:t xml:space="preserve">En primer lugar, el precio debe incluir los costos en que incurrirá el contratista para cumplir sus obligaciones y obtener la utilidad que espera del negocio. Esto significa que hacen parte del precio las inversiones y gastos que deba hacer, más la utilidad que espera. </w:t>
      </w:r>
      <w:r w:rsidRPr="0068390B">
        <w:rPr>
          <w:rFonts w:ascii="Verdana" w:hAnsi="Verdana" w:cs="Arial"/>
          <w:i/>
          <w:iCs/>
          <w:sz w:val="20"/>
          <w:szCs w:val="20"/>
          <w:lang w:val="es-ES_tradnl" w:eastAsia="es-ES_tradnl"/>
        </w:rPr>
        <w:t>Entre los costos se</w:t>
      </w:r>
      <w:r w:rsidRPr="0068390B">
        <w:rPr>
          <w:rFonts w:ascii="Verdana" w:eastAsia="Verdana" w:hAnsi="Verdana" w:cs="Verdana"/>
          <w:i/>
          <w:iCs/>
          <w:sz w:val="20"/>
          <w:lang w:val="es-ES"/>
        </w:rPr>
        <w:t xml:space="preserve"> </w:t>
      </w:r>
      <w:r w:rsidRPr="0068390B">
        <w:rPr>
          <w:rFonts w:ascii="Verdana" w:hAnsi="Verdana" w:cs="Arial"/>
          <w:i/>
          <w:iCs/>
          <w:sz w:val="20"/>
          <w:szCs w:val="20"/>
          <w:lang w:val="es-ES" w:eastAsia="es-ES_tradnl"/>
        </w:rPr>
        <w:t>encuentran los impuestos que afectarán el contrato, por ejemplo, el IVA, la contribución especial, las estampillas, y otros.</w:t>
      </w:r>
      <w:r w:rsidRPr="0068390B">
        <w:rPr>
          <w:rFonts w:ascii="Verdana" w:hAnsi="Verdana" w:cs="Arial"/>
          <w:sz w:val="20"/>
          <w:szCs w:val="20"/>
          <w:lang w:val="es-ES" w:eastAsia="es-ES_tradnl"/>
        </w:rPr>
        <w:t xml:space="preserve"> Esta precisión resulta importante porque el valor, que incluye el impuesto, determina el precio final. Basta hacer una pregunta para entender la idea: ¿un bien gravado puede venderse sin el impuesto, sin violar las normas tributarias? Como no es posible, entonces es inevitable incorporarlo al costo, porque el oferente -futuro contratista- inevitablemente debe incurrir en él, so pena de no poder cobrarlo luego. En otras palabras, es absurdo presentar una oferta que no incluya los impuestos que gravan la actividad o los productos, guardando la esperanza de que se adjudique el contrato por ese precio - que será bajo-, y confiando en que posteriormente se podrá facturar el impuesto, so pretexto de que al fin y al cabo la ley grava la actividad. Por el contrario, el oferente tiene la obligación de incluir todos los gastos en que incurrirá para vender sus bienes o servicios, so pena de que la entidad entienda que el precio ofrecido los incluye, y luego sólo pagará el precio ofertado, pues allí se debieron incluir -es lo lógico y así debe entenderse- todos los gastos en que incurrirá el proponente</w:t>
      </w:r>
      <w:r w:rsidRPr="0068390B">
        <w:rPr>
          <w:rFonts w:ascii="Verdana" w:hAnsi="Verdana" w:cs="Arial"/>
          <w:sz w:val="20"/>
          <w:szCs w:val="20"/>
          <w:vertAlign w:val="superscript"/>
          <w:lang w:val="es-ES" w:eastAsia="es-ES_tradnl"/>
        </w:rPr>
        <w:footnoteReference w:id="8"/>
      </w:r>
      <w:r w:rsidRPr="0068390B">
        <w:rPr>
          <w:rFonts w:ascii="Verdana" w:hAnsi="Verdana" w:cs="Arial"/>
          <w:sz w:val="20"/>
          <w:szCs w:val="20"/>
          <w:lang w:val="es-ES" w:eastAsia="es-ES_tradnl"/>
        </w:rPr>
        <w:t>. (Énfasis por fuera de texto).</w:t>
      </w:r>
    </w:p>
    <w:p w14:paraId="3FE43123" w14:textId="77777777" w:rsidR="000F6971" w:rsidRPr="0068390B" w:rsidRDefault="000F6971" w:rsidP="000F6971">
      <w:pPr>
        <w:spacing w:after="0" w:line="276" w:lineRule="auto"/>
        <w:ind w:firstLine="709"/>
        <w:jc w:val="both"/>
        <w:rPr>
          <w:rFonts w:ascii="Verdana" w:hAnsi="Verdana" w:cs="Arial"/>
          <w:bCs/>
          <w:szCs w:val="24"/>
          <w:lang w:val="es-ES_tradnl" w:eastAsia="es-ES_tradnl"/>
        </w:rPr>
      </w:pPr>
    </w:p>
    <w:p w14:paraId="303DDDB0" w14:textId="77777777" w:rsidR="000F6971" w:rsidRPr="0068390B" w:rsidRDefault="000F6971" w:rsidP="000F6971">
      <w:pPr>
        <w:spacing w:after="120" w:line="276" w:lineRule="auto"/>
        <w:ind w:firstLine="709"/>
        <w:jc w:val="both"/>
        <w:rPr>
          <w:rFonts w:ascii="Verdana" w:hAnsi="Verdana" w:cs="Arial"/>
          <w:bCs/>
          <w:szCs w:val="24"/>
          <w:lang w:val="es-ES" w:eastAsia="es-ES_tradnl"/>
        </w:rPr>
      </w:pPr>
      <w:r w:rsidRPr="0068390B">
        <w:rPr>
          <w:rFonts w:ascii="Verdana" w:hAnsi="Verdana" w:cs="Arial"/>
          <w:bCs/>
          <w:szCs w:val="24"/>
          <w:lang w:val="es-ES" w:eastAsia="es-ES_tradnl"/>
        </w:rPr>
        <w:t>Conforme con lo expuesto, el precio es el total del valor que paga el comprador por un bien o servicio, y eso incluye los</w:t>
      </w:r>
      <w:r>
        <w:rPr>
          <w:rFonts w:ascii="Verdana" w:hAnsi="Verdana" w:cs="Arial"/>
          <w:bCs/>
          <w:szCs w:val="24"/>
          <w:lang w:val="es-ES" w:eastAsia="es-ES_tradnl"/>
        </w:rPr>
        <w:t xml:space="preserve"> tributos que apliquen</w:t>
      </w:r>
      <w:r w:rsidRPr="0068390B">
        <w:rPr>
          <w:rFonts w:ascii="Verdana" w:hAnsi="Verdana" w:cs="Arial"/>
          <w:bCs/>
          <w:szCs w:val="24"/>
          <w:lang w:val="es-ES" w:eastAsia="es-ES_tradnl"/>
        </w:rPr>
        <w:t xml:space="preserve">, por </w:t>
      </w:r>
      <w:r w:rsidRPr="0068390B">
        <w:rPr>
          <w:rFonts w:ascii="Verdana" w:hAnsi="Verdana" w:cs="Arial"/>
          <w:bCs/>
          <w:szCs w:val="24"/>
          <w:lang w:val="es-ES" w:eastAsia="es-ES_tradnl"/>
        </w:rPr>
        <w:lastRenderedPageBreak/>
        <w:t xml:space="preserve">una sencilla razón, ningún comprador podrá hacerse a la propiedad de una cosa o beneficiarse de un servicio sino paga la totalidad de lo que incluye el precio. En otros términos, si la venta de determinado bien o servicio está gravado con </w:t>
      </w:r>
      <w:r>
        <w:rPr>
          <w:rFonts w:ascii="Verdana" w:hAnsi="Verdana" w:cs="Arial"/>
          <w:bCs/>
          <w:szCs w:val="24"/>
          <w:lang w:val="es-ES" w:eastAsia="es-ES_tradnl"/>
        </w:rPr>
        <w:t>ciertos tributos</w:t>
      </w:r>
      <w:r w:rsidRPr="0068390B">
        <w:rPr>
          <w:rFonts w:ascii="Verdana" w:hAnsi="Verdana" w:cs="Arial"/>
          <w:bCs/>
          <w:szCs w:val="24"/>
          <w:lang w:val="es-ES" w:eastAsia="es-ES_tradnl"/>
        </w:rPr>
        <w:t>, estos se entienden incluidos en el precio, pues no se podrá tener acceso al bien si no se paga la totalidad de lo que vale.</w:t>
      </w:r>
    </w:p>
    <w:p w14:paraId="506E77D6" w14:textId="77777777" w:rsidR="000F6971" w:rsidRDefault="000F6971" w:rsidP="000F6971">
      <w:pPr>
        <w:spacing w:after="120" w:line="276" w:lineRule="auto"/>
        <w:ind w:firstLine="709"/>
        <w:jc w:val="both"/>
        <w:rPr>
          <w:rFonts w:ascii="Verdana" w:eastAsia="Calibri" w:hAnsi="Verdana" w:cs="Arial"/>
          <w:bCs/>
          <w:color w:val="000000" w:themeColor="text1"/>
          <w:lang w:val="es-ES_tradnl"/>
        </w:rPr>
      </w:pPr>
      <w:r w:rsidRPr="0068390B">
        <w:rPr>
          <w:rFonts w:ascii="Verdana" w:eastAsia="Calibri" w:hAnsi="Verdana" w:cs="Arial"/>
          <w:bCs/>
          <w:color w:val="000000" w:themeColor="text1"/>
          <w:lang w:val="es-ES_tradnl"/>
        </w:rPr>
        <w:t>Este mismo cálculo debe realizarlo la Administración al fijar el presupuesto oficial, esto es, el precio probable de las obras, bienes o servicios requeridos, cuya estimación depende de los estudios técnicos y económicos. En consecuencia, tanto por parte de la entidad, al estructurar el proceso de contratación –ya sea con los estudios previos y los pliegos de condiciones–, como por parte del proponente, al estructurar su oferta, tratándose del precio, deben identificarse e incluirse los costos usuales que reporta el mercado o la actividad, como por ejemplo los derivados de los tributos, para una acertada estimación del valor del contrato a celebrar.</w:t>
      </w:r>
    </w:p>
    <w:p w14:paraId="38F830D9" w14:textId="77777777" w:rsidR="000F6971" w:rsidRDefault="000F6971" w:rsidP="000F6971">
      <w:pPr>
        <w:spacing w:after="120" w:line="276" w:lineRule="auto"/>
        <w:ind w:firstLine="709"/>
        <w:jc w:val="both"/>
        <w:rPr>
          <w:rFonts w:ascii="Verdana" w:eastAsia="Aptos" w:hAnsi="Verdana" w:cs="Arial"/>
        </w:rPr>
      </w:pPr>
      <w:proofErr w:type="spellStart"/>
      <w:r>
        <w:rPr>
          <w:rFonts w:ascii="Verdana" w:hAnsi="Verdana" w:cs="Arial"/>
          <w:lang w:val="es-ES" w:eastAsia="es-ES"/>
        </w:rPr>
        <w:t>Asi</w:t>
      </w:r>
      <w:proofErr w:type="spellEnd"/>
      <w:r>
        <w:rPr>
          <w:rFonts w:ascii="Verdana" w:hAnsi="Verdana" w:cs="Arial"/>
          <w:lang w:val="es-ES" w:eastAsia="es-ES"/>
        </w:rPr>
        <w:t xml:space="preserve"> las cosas</w:t>
      </w:r>
      <w:r w:rsidRPr="0068390B">
        <w:rPr>
          <w:rFonts w:ascii="Verdana" w:hAnsi="Verdana" w:cs="Arial"/>
          <w:lang w:val="es-ES" w:eastAsia="es-ES"/>
        </w:rPr>
        <w:t xml:space="preserve">, la entidad estatal tiene autonomía para configurar el precio y para establecer el sistema de pago más apropiado para satisfacer los fines de la contratación, respetando los límites previstos en el ordenamiento. De este modo, con independencia del método empleado para la estimación del valor, se deben considerar los costos, como los </w:t>
      </w:r>
      <w:r>
        <w:rPr>
          <w:rFonts w:ascii="Verdana" w:hAnsi="Verdana" w:cs="Arial"/>
          <w:lang w:val="es-ES" w:eastAsia="es-ES"/>
        </w:rPr>
        <w:t>tributos</w:t>
      </w:r>
      <w:r w:rsidRPr="0068390B">
        <w:rPr>
          <w:rFonts w:ascii="Verdana" w:hAnsi="Verdana" w:cs="Arial"/>
          <w:lang w:val="es-ES" w:eastAsia="es-ES"/>
        </w:rPr>
        <w:t xml:space="preserve"> que se causen con ocasión de la ejecución del contrato. Para tales efectos, las </w:t>
      </w:r>
      <w:r w:rsidRPr="0068390B">
        <w:rPr>
          <w:rFonts w:ascii="Verdana" w:hAnsi="Verdana" w:cs="Arial"/>
          <w:lang w:eastAsia="es-ES"/>
        </w:rPr>
        <w:t xml:space="preserve">corresponde a cada entidad estatal </w:t>
      </w:r>
      <w:r w:rsidRPr="0068390B">
        <w:rPr>
          <w:rFonts w:ascii="Verdana" w:eastAsia="Aptos" w:hAnsi="Verdana" w:cs="Arial"/>
        </w:rPr>
        <w:t xml:space="preserve">durante la etapa de planeación realizar el análisis necesario para conocer el sector relativo al objeto del proceso de contratación, y con fundamento en dicho estudio deberá tenerse en cuenta los impuestos, tasas o contribuciones a que haya lugar, como parte del precio del contrato. </w:t>
      </w:r>
    </w:p>
    <w:p w14:paraId="2476C216" w14:textId="77777777" w:rsidR="000F6971" w:rsidRPr="005656AF" w:rsidRDefault="000F6971" w:rsidP="000F6971">
      <w:pPr>
        <w:spacing w:after="120" w:line="276" w:lineRule="auto"/>
        <w:ind w:firstLine="708"/>
        <w:jc w:val="both"/>
        <w:rPr>
          <w:rFonts w:ascii="Verdana" w:hAnsi="Verdana" w:cs="Arial"/>
          <w:lang w:val="es-MX"/>
        </w:rPr>
      </w:pPr>
      <w:r w:rsidRPr="0097735F">
        <w:rPr>
          <w:rFonts w:ascii="Verdana" w:hAnsi="Verdana" w:cs="Arial"/>
          <w:lang w:val="es-MX"/>
        </w:rPr>
        <w:t>Bajo este contexto, vale la pena destacar que en los procesos contractuales que estén relacionados con el sector de alimentos es de suma importancia que los costos de los bienes o servicios a contratar se encuentren ajustados a la realidad del mercado teniendo en cuenta las diferentes variables que inciden en la variación de los precios.</w:t>
      </w:r>
      <w:r>
        <w:rPr>
          <w:rFonts w:ascii="Verdana" w:hAnsi="Verdana" w:cs="Arial"/>
          <w:lang w:val="es-MX"/>
        </w:rPr>
        <w:t xml:space="preserve"> </w:t>
      </w:r>
      <w:r>
        <w:rPr>
          <w:rFonts w:ascii="Verdana" w:eastAsia="Calibri" w:hAnsi="Verdana" w:cs="Arial"/>
          <w:bCs/>
          <w:color w:val="000000"/>
          <w:kern w:val="2"/>
          <w14:ligatures w14:val="standardContextual"/>
        </w:rPr>
        <w:t xml:space="preserve">En tal sentido, </w:t>
      </w:r>
      <w:r w:rsidRPr="00183B17">
        <w:rPr>
          <w:rFonts w:ascii="Verdana" w:eastAsia="Calibri" w:hAnsi="Verdana" w:cs="Arial"/>
          <w:bCs/>
          <w:color w:val="000000"/>
          <w:kern w:val="2"/>
          <w14:ligatures w14:val="standardContextual"/>
        </w:rPr>
        <w:t>la ejecución de contrato</w:t>
      </w:r>
      <w:r>
        <w:rPr>
          <w:rFonts w:ascii="Verdana" w:eastAsia="Calibri" w:hAnsi="Verdana" w:cs="Arial"/>
          <w:bCs/>
          <w:color w:val="000000"/>
          <w:kern w:val="2"/>
          <w14:ligatures w14:val="standardContextual"/>
        </w:rPr>
        <w:t xml:space="preserve">s de esta naturaleza </w:t>
      </w:r>
      <w:r w:rsidRPr="00183B17">
        <w:rPr>
          <w:rFonts w:ascii="Verdana" w:eastAsia="Calibri" w:hAnsi="Verdana" w:cs="Arial"/>
          <w:bCs/>
          <w:color w:val="000000"/>
          <w:kern w:val="2"/>
          <w14:ligatures w14:val="standardContextual"/>
        </w:rPr>
        <w:t xml:space="preserve">puede involucrar múltiples tributos –impuestos (v. gr. Renta), tasas y contribuciones– para las partes del contrato, de ahí que, la </w:t>
      </w:r>
      <w:r>
        <w:rPr>
          <w:rFonts w:ascii="Verdana" w:eastAsia="Calibri" w:hAnsi="Verdana" w:cs="Arial"/>
          <w:bCs/>
          <w:color w:val="000000"/>
          <w:kern w:val="2"/>
          <w14:ligatures w14:val="standardContextual"/>
        </w:rPr>
        <w:t>e</w:t>
      </w:r>
      <w:r w:rsidRPr="00183B17">
        <w:rPr>
          <w:rFonts w:ascii="Verdana" w:eastAsia="Calibri" w:hAnsi="Verdana" w:cs="Arial"/>
          <w:bCs/>
          <w:color w:val="000000"/>
          <w:kern w:val="2"/>
          <w14:ligatures w14:val="standardContextual"/>
        </w:rPr>
        <w:t xml:space="preserve">ntidad </w:t>
      </w:r>
      <w:r>
        <w:rPr>
          <w:rFonts w:ascii="Verdana" w:eastAsia="Calibri" w:hAnsi="Verdana" w:cs="Arial"/>
          <w:bCs/>
          <w:color w:val="000000"/>
          <w:kern w:val="2"/>
          <w14:ligatures w14:val="standardContextual"/>
        </w:rPr>
        <w:t>e</w:t>
      </w:r>
      <w:r w:rsidRPr="00183B17">
        <w:rPr>
          <w:rFonts w:ascii="Verdana" w:eastAsia="Calibri" w:hAnsi="Verdana" w:cs="Arial"/>
          <w:bCs/>
          <w:color w:val="000000"/>
          <w:kern w:val="2"/>
          <w14:ligatures w14:val="standardContextual"/>
        </w:rPr>
        <w:t xml:space="preserve">statal al establecer el valor del contrato debe </w:t>
      </w:r>
      <w:r>
        <w:rPr>
          <w:rFonts w:ascii="Verdana" w:eastAsia="Calibri" w:hAnsi="Verdana" w:cs="Arial"/>
          <w:bCs/>
          <w:color w:val="000000"/>
          <w:kern w:val="2"/>
          <w14:ligatures w14:val="standardContextual"/>
        </w:rPr>
        <w:t xml:space="preserve">analizar </w:t>
      </w:r>
      <w:r w:rsidRPr="00183B17">
        <w:rPr>
          <w:rFonts w:ascii="Verdana" w:eastAsia="Calibri" w:hAnsi="Verdana" w:cs="Arial"/>
          <w:bCs/>
          <w:color w:val="000000"/>
          <w:kern w:val="2"/>
          <w14:ligatures w14:val="standardContextual"/>
        </w:rPr>
        <w:t xml:space="preserve">incluir estos valores. </w:t>
      </w:r>
    </w:p>
    <w:p w14:paraId="7B0083E1" w14:textId="77777777" w:rsidR="000F6971" w:rsidRDefault="000F6971" w:rsidP="000F6971">
      <w:pPr>
        <w:spacing w:after="120" w:line="276" w:lineRule="auto"/>
        <w:ind w:firstLine="709"/>
        <w:jc w:val="both"/>
        <w:rPr>
          <w:rFonts w:ascii="Verdana" w:hAnsi="Verdana" w:cs="Arial"/>
          <w:lang w:eastAsia="es-ES"/>
        </w:rPr>
      </w:pPr>
      <w:r w:rsidRPr="0068390B">
        <w:rPr>
          <w:rFonts w:ascii="Verdana" w:hAnsi="Verdana" w:cs="Arial"/>
          <w:lang w:eastAsia="es-ES"/>
        </w:rPr>
        <w:t xml:space="preserve">De igual forma, le corresponde al proponente reflejar en su oferta todos los costos inherentes al contrato a ejecutar, conforme a las condiciones </w:t>
      </w:r>
      <w:r w:rsidRPr="0068390B">
        <w:rPr>
          <w:rFonts w:ascii="Verdana" w:hAnsi="Verdana" w:cs="Arial"/>
          <w:lang w:eastAsia="es-ES"/>
        </w:rPr>
        <w:lastRenderedPageBreak/>
        <w:t xml:space="preserve">habituales del mercado, lo que incluye los </w:t>
      </w:r>
      <w:r>
        <w:rPr>
          <w:rFonts w:ascii="Verdana" w:hAnsi="Verdana" w:cs="Arial"/>
          <w:lang w:eastAsia="es-ES"/>
        </w:rPr>
        <w:t>tributos</w:t>
      </w:r>
      <w:r w:rsidRPr="0068390B">
        <w:rPr>
          <w:rFonts w:ascii="Verdana" w:hAnsi="Verdana" w:cs="Arial"/>
          <w:lang w:eastAsia="es-ES"/>
        </w:rPr>
        <w:t xml:space="preserve"> y demás gravámenes que razonablemente puedan derivarse de la ejecución del contrato. Sin embargo, esto no lo habilita para trasladar de manera indiscriminada la totalidad de la carga tributaria a la entidad estatal, especialmente respecto de aquellos tributos que no presentan una relación directa, clara y necesaria con el objeto del contrato. </w:t>
      </w:r>
    </w:p>
    <w:p w14:paraId="5DD0504A" w14:textId="77777777" w:rsidR="000F6971" w:rsidRDefault="000F6971" w:rsidP="000F6971">
      <w:pPr>
        <w:spacing w:after="120" w:line="276" w:lineRule="auto"/>
        <w:ind w:firstLine="709"/>
        <w:jc w:val="both"/>
        <w:rPr>
          <w:rFonts w:ascii="Verdana" w:hAnsi="Verdana" w:cs="Arial"/>
          <w:lang w:eastAsia="es-ES"/>
        </w:rPr>
      </w:pPr>
      <w:r>
        <w:rPr>
          <w:rFonts w:ascii="Verdana" w:hAnsi="Verdana" w:cs="Arial"/>
          <w:lang w:val="es-ES" w:eastAsia="es-ES"/>
        </w:rPr>
        <w:t xml:space="preserve">En relación con la retención en la fuente a la que alude en su consulta, es importante tener en cuenta que la Contraloría General de la República en el concepto </w:t>
      </w:r>
      <w:r w:rsidRPr="00EE1CF1">
        <w:rPr>
          <w:rFonts w:ascii="Verdana" w:hAnsi="Verdana" w:cs="Arial"/>
          <w:lang w:eastAsia="es-ES"/>
        </w:rPr>
        <w:t>No CGR -OJ 010 de 2021 con radicado No. 2021EE0009558</w:t>
      </w:r>
      <w:r>
        <w:rPr>
          <w:rFonts w:ascii="Verdana" w:hAnsi="Verdana" w:cs="Arial"/>
          <w:lang w:eastAsia="es-ES"/>
        </w:rPr>
        <w:t>, señaló lo siguiente respecto de su naturaleza jurídica:</w:t>
      </w:r>
    </w:p>
    <w:p w14:paraId="1BA502F9" w14:textId="77777777" w:rsidR="000F6971" w:rsidRDefault="000F6971" w:rsidP="000F6971">
      <w:pPr>
        <w:spacing w:after="0" w:line="276" w:lineRule="auto"/>
        <w:ind w:firstLine="709"/>
        <w:jc w:val="both"/>
        <w:rPr>
          <w:rFonts w:ascii="Verdana" w:hAnsi="Verdana" w:cs="Arial"/>
          <w:lang w:eastAsia="es-ES"/>
        </w:rPr>
      </w:pPr>
      <w:r>
        <w:rPr>
          <w:rFonts w:ascii="Verdana" w:hAnsi="Verdana" w:cs="Arial"/>
          <w:lang w:eastAsia="es-ES"/>
        </w:rPr>
        <w:t xml:space="preserve"> </w:t>
      </w:r>
    </w:p>
    <w:p w14:paraId="246FC700" w14:textId="77777777" w:rsidR="000F6971" w:rsidRDefault="000F6971" w:rsidP="000F6971">
      <w:pPr>
        <w:spacing w:line="240" w:lineRule="auto"/>
        <w:ind w:left="709" w:right="709"/>
        <w:contextualSpacing/>
        <w:jc w:val="both"/>
        <w:rPr>
          <w:rFonts w:ascii="Verdana" w:hAnsi="Verdana" w:cs="Arial"/>
          <w:color w:val="000000" w:themeColor="text1"/>
          <w:sz w:val="20"/>
          <w:szCs w:val="20"/>
          <w:lang w:val="es-MX"/>
        </w:rPr>
      </w:pPr>
      <w:r w:rsidRPr="00E84703">
        <w:rPr>
          <w:rFonts w:ascii="Verdana" w:hAnsi="Verdana" w:cs="Arial"/>
          <w:color w:val="000000" w:themeColor="text1"/>
          <w:sz w:val="20"/>
          <w:szCs w:val="20"/>
          <w:lang w:val="es-MX"/>
        </w:rPr>
        <w:t>"La retención en la Fuente es un mecanismo que tiene por finalidad conseguir que el impuesto de renta se recaude dentro del mismo ejercicio gravable (Artículo 367 del Estatuto Tributario). La retención en la fuente, a diferencia de los indicados anteriormente, no es un tributo, sino un "mecanismo anticipado de recaudo", o como lo indican algunos doctrinantes, "un mecanismo de recaudo simultáneo a la causación", lo anterior, por cuanto la ley le asigna a un tercero (retenedor) la obligación de descontar de los pagos que realiza al contribuyente (retenido o beneficiario del pago) una suma de dinero (porcentaje de retención en la fuente) como pago anticipado del Impuesto de Renta que se genera por concepto de los ingresos recibidos</w:t>
      </w:r>
      <w:r>
        <w:rPr>
          <w:rFonts w:ascii="Verdana" w:hAnsi="Verdana" w:cs="Arial"/>
          <w:color w:val="000000" w:themeColor="text1"/>
          <w:sz w:val="20"/>
          <w:szCs w:val="20"/>
          <w:lang w:val="es-MX"/>
        </w:rPr>
        <w:t xml:space="preserve">. </w:t>
      </w:r>
      <w:r w:rsidRPr="00045912">
        <w:rPr>
          <w:rFonts w:ascii="Verdana" w:hAnsi="Verdana" w:cs="Arial"/>
          <w:color w:val="000000" w:themeColor="text1"/>
          <w:sz w:val="20"/>
          <w:szCs w:val="20"/>
        </w:rPr>
        <w:t>Al finalizar el respectivo período gravable, el contribuyente (retenido) realizará su autoliquidación de los tributos que le corresponde cancelar y descontará de la cuantía que arroje esta liquidación, los valores que se le ha</w:t>
      </w:r>
      <w:r>
        <w:rPr>
          <w:rFonts w:ascii="Verdana" w:hAnsi="Verdana" w:cs="Arial"/>
          <w:color w:val="000000" w:themeColor="text1"/>
          <w:sz w:val="20"/>
          <w:szCs w:val="20"/>
        </w:rPr>
        <w:t xml:space="preserve"> </w:t>
      </w:r>
      <w:r w:rsidRPr="004B1FD6">
        <w:rPr>
          <w:rFonts w:ascii="Verdana" w:hAnsi="Verdana" w:cs="Arial"/>
          <w:color w:val="000000" w:themeColor="text1"/>
          <w:sz w:val="20"/>
          <w:szCs w:val="20"/>
        </w:rPr>
        <w:t>descontado por concepto de retenciones en la fuente. Las entidades públicas no son sujetos pasivos del Impuesto de Renta, y por tanto no podrían asumir como suya, la obligación de cancelar retenciones en la fuente, su papel se limita a actuar como agentes de retención en la fuente, "delegatarios del Estado o agentes de éste, responsables ante el fisco por el recaudo de la retención en la fuente, su determinación y consignación" y como tal, deben cumplir con su obligación de intermediarios en el proceso de recaudo del impuesto de renta, de las personas a las cuales se les cancela sumas de dinero, por conceptos sujetos a dicha retención</w:t>
      </w:r>
      <w:r>
        <w:rPr>
          <w:rFonts w:ascii="Verdana" w:hAnsi="Verdana" w:cs="Arial"/>
          <w:color w:val="000000" w:themeColor="text1"/>
          <w:sz w:val="20"/>
          <w:szCs w:val="20"/>
        </w:rPr>
        <w:t>”.</w:t>
      </w:r>
    </w:p>
    <w:p w14:paraId="6F321BD8" w14:textId="77777777" w:rsidR="000F6971" w:rsidRPr="00E84703" w:rsidRDefault="000F6971" w:rsidP="000F6971">
      <w:pPr>
        <w:spacing w:after="120" w:line="276" w:lineRule="auto"/>
        <w:ind w:left="709" w:right="709"/>
        <w:contextualSpacing/>
        <w:jc w:val="both"/>
        <w:rPr>
          <w:rFonts w:ascii="Verdana" w:hAnsi="Verdana" w:cs="Arial"/>
          <w:color w:val="000000" w:themeColor="text1"/>
          <w:sz w:val="20"/>
          <w:szCs w:val="20"/>
          <w:lang w:val="es-MX"/>
        </w:rPr>
      </w:pPr>
    </w:p>
    <w:p w14:paraId="70632D4B" w14:textId="77777777" w:rsidR="000F6971" w:rsidRPr="00337DBC" w:rsidRDefault="000F6971" w:rsidP="000F6971">
      <w:pPr>
        <w:spacing w:after="120" w:line="276" w:lineRule="auto"/>
        <w:ind w:firstLine="709"/>
        <w:jc w:val="both"/>
        <w:rPr>
          <w:rFonts w:ascii="Verdana" w:hAnsi="Verdana" w:cs="Arial"/>
          <w:lang w:eastAsia="es-ES"/>
        </w:rPr>
      </w:pPr>
      <w:r w:rsidRPr="00337DBC">
        <w:rPr>
          <w:rFonts w:ascii="Verdana" w:hAnsi="Verdana" w:cs="Arial"/>
          <w:lang w:eastAsia="es-ES"/>
        </w:rPr>
        <w:t>En consecuencia, el impuesto sobre la renta puede constituir una de las</w:t>
      </w:r>
      <w:r>
        <w:rPr>
          <w:rFonts w:ascii="Verdana" w:hAnsi="Verdana" w:cs="Arial"/>
          <w:lang w:eastAsia="es-ES"/>
        </w:rPr>
        <w:t xml:space="preserve"> variables tributarias </w:t>
      </w:r>
      <w:proofErr w:type="gramStart"/>
      <w:r>
        <w:rPr>
          <w:rFonts w:ascii="Verdana" w:hAnsi="Verdana" w:cs="Arial"/>
          <w:lang w:eastAsia="es-ES"/>
        </w:rPr>
        <w:t>a</w:t>
      </w:r>
      <w:proofErr w:type="gramEnd"/>
      <w:r>
        <w:rPr>
          <w:rFonts w:ascii="Verdana" w:hAnsi="Verdana" w:cs="Arial"/>
          <w:lang w:eastAsia="es-ES"/>
        </w:rPr>
        <w:t xml:space="preserve"> tener en cuenta para la estructuración del precio del contrato</w:t>
      </w:r>
      <w:r w:rsidRPr="00337DBC">
        <w:rPr>
          <w:rFonts w:ascii="Verdana" w:hAnsi="Verdana" w:cs="Arial"/>
          <w:lang w:eastAsia="es-ES"/>
        </w:rPr>
        <w:t xml:space="preserve">. No obstante, distinta es la situación de la retención en la fuente, pues esta no constituye un tributo autónomo, sino un mecanismo de recaudo anticipado del impuesto. En ese sentido, esta Agencia no considera que la </w:t>
      </w:r>
      <w:r w:rsidRPr="00337DBC">
        <w:rPr>
          <w:rFonts w:ascii="Verdana" w:hAnsi="Verdana" w:cs="Arial"/>
          <w:lang w:eastAsia="es-ES"/>
        </w:rPr>
        <w:lastRenderedPageBreak/>
        <w:t>retención en la fuente deba incorporarse como un costo independiente en la estructuración del precio del contrato.</w:t>
      </w:r>
    </w:p>
    <w:p w14:paraId="27CD91F4" w14:textId="77777777" w:rsidR="000F6971" w:rsidRDefault="000F6971" w:rsidP="000F6971">
      <w:pPr>
        <w:pStyle w:val="Sinespaciado"/>
        <w:spacing w:before="120" w:after="120" w:line="276" w:lineRule="auto"/>
        <w:ind w:firstLine="709"/>
        <w:jc w:val="both"/>
        <w:rPr>
          <w:rFonts w:ascii="Verdana" w:hAnsi="Verdana" w:cs="Arial"/>
          <w:color w:val="000000" w:themeColor="text1"/>
          <w:sz w:val="22"/>
          <w:lang w:val="es-CO"/>
        </w:rPr>
      </w:pPr>
      <w:r w:rsidRPr="00272BAF">
        <w:rPr>
          <w:rFonts w:ascii="Verdana" w:hAnsi="Verdana" w:cs="Arial"/>
          <w:color w:val="000000" w:themeColor="text1"/>
          <w:sz w:val="22"/>
          <w:lang w:val="es-CO"/>
        </w:rPr>
        <w:t xml:space="preserve">En efecto, tal como lo expone el concepto de la Contraloría General de la República, las entidades estatales no tienen la condición de sujetos pasivos del impuesto sobre la renta respecto de los ingresos del contratista, por cuanto su intervención se limita al cumplimiento del deber legal de actuar como agentes de retención, </w:t>
      </w:r>
      <w:r>
        <w:rPr>
          <w:rFonts w:ascii="Verdana" w:hAnsi="Verdana" w:cs="Arial"/>
          <w:color w:val="000000" w:themeColor="text1"/>
          <w:sz w:val="22"/>
          <w:lang w:val="es-CO"/>
        </w:rPr>
        <w:t>realizando</w:t>
      </w:r>
      <w:r w:rsidRPr="00272BAF">
        <w:rPr>
          <w:rFonts w:ascii="Verdana" w:hAnsi="Verdana" w:cs="Arial"/>
          <w:color w:val="000000" w:themeColor="text1"/>
          <w:sz w:val="22"/>
          <w:lang w:val="es-CO"/>
        </w:rPr>
        <w:t xml:space="preserve"> la retención en la fuente al momento del pago cuando a ello haya lugar. En ese sentido, mientras el impuesto sobre la renta puede ser analizado como una variable tributaria que incide en la determinación del precio del contrato, la retención en la fuente constituye un mecanismo de recaudo anticipado de dicho impuesto, razón por la cual no resulta procedente otorgarle el mismo tratamiento que a los tributos para efectos de la estructuración del presupuesto oficial o del reconocimiento de un costo independiente dentro del contrato.</w:t>
      </w:r>
    </w:p>
    <w:p w14:paraId="14651349" w14:textId="77777777" w:rsidR="000F6971" w:rsidRPr="00AE5193" w:rsidRDefault="000F6971" w:rsidP="000F6971">
      <w:pPr>
        <w:spacing w:after="120" w:line="276" w:lineRule="auto"/>
        <w:ind w:firstLine="709"/>
        <w:jc w:val="both"/>
        <w:rPr>
          <w:rFonts w:ascii="Verdana" w:hAnsi="Verdana" w:cs="Arial"/>
          <w:lang w:val="es-ES" w:eastAsia="es-ES"/>
        </w:rPr>
      </w:pPr>
      <w:r>
        <w:rPr>
          <w:rFonts w:ascii="Verdana" w:hAnsi="Verdana" w:cs="Arial"/>
          <w:lang w:eastAsia="es-ES"/>
        </w:rPr>
        <w:t>Se precisa que l</w:t>
      </w:r>
      <w:r w:rsidRPr="0068390B">
        <w:rPr>
          <w:rFonts w:ascii="Verdana" w:hAnsi="Verdana" w:cs="Arial"/>
          <w:lang w:eastAsia="es-ES"/>
        </w:rPr>
        <w:t xml:space="preserve">a estructuración del precio, en lo que respecta a la inclusión de costos administrativos, debe obedecer a criterios de razonabilidad, proporcionalidad y conexidad con la ejecución contractual. En consecuencia, no resulta jurídicamente admisible incorporar dentro del precio aquellos costos que, por su naturaleza o finalidad, no guarden una vinculación objetiva con las actividades requeridas en el marco del contrato. </w:t>
      </w:r>
      <w:r w:rsidRPr="0068390B">
        <w:rPr>
          <w:rFonts w:ascii="Verdana" w:hAnsi="Verdana" w:cs="Arial"/>
          <w:lang w:val="es-ES" w:eastAsia="es-ES"/>
        </w:rPr>
        <w:t>Lo anterior en armonía con la garantía de los principios de la función administrativa y de la gestión fiscal, dentro de los cuales se halla el principio de economía, postulado que exige la optimización de los recursos públicos.</w:t>
      </w:r>
    </w:p>
    <w:p w14:paraId="04A1A29A" w14:textId="77777777" w:rsidR="000F6971" w:rsidRDefault="000F6971" w:rsidP="000F6971">
      <w:pPr>
        <w:pStyle w:val="Sinespaciado"/>
        <w:spacing w:before="120" w:after="120" w:line="276" w:lineRule="auto"/>
        <w:ind w:firstLine="709"/>
        <w:jc w:val="both"/>
        <w:rPr>
          <w:rFonts w:ascii="Verdana" w:hAnsi="Verdana" w:cs="Arial"/>
          <w:color w:val="000000" w:themeColor="text1"/>
          <w:sz w:val="22"/>
          <w:lang w:val="es-CO"/>
        </w:rPr>
      </w:pPr>
      <w:r w:rsidRPr="00272BAF">
        <w:rPr>
          <w:rFonts w:ascii="Verdana" w:hAnsi="Verdana" w:cs="Arial"/>
          <w:color w:val="000000" w:themeColor="text1"/>
          <w:sz w:val="22"/>
          <w:lang w:val="es-CO"/>
        </w:rPr>
        <w:t>En este contexto, dado que corresponde a los proponentes estructurar sus ofertas reflejando todos los costos</w:t>
      </w:r>
      <w:r>
        <w:rPr>
          <w:rFonts w:ascii="Verdana" w:hAnsi="Verdana" w:cs="Arial"/>
          <w:color w:val="000000" w:themeColor="text1"/>
          <w:sz w:val="22"/>
          <w:lang w:val="es-CO"/>
        </w:rPr>
        <w:t xml:space="preserve"> </w:t>
      </w:r>
      <w:r w:rsidRPr="00272BAF">
        <w:rPr>
          <w:rFonts w:ascii="Verdana" w:hAnsi="Verdana" w:cs="Arial"/>
          <w:color w:val="000000" w:themeColor="text1"/>
          <w:sz w:val="22"/>
          <w:lang w:val="es-CO"/>
        </w:rPr>
        <w:t>y demás variables económicas inherentes a la ejecución del contrato, conforme a las condiciones del mercado, estos podrán valorar el impacto financiero que la retención en la fuente pueda generar sobre la ejecución contractual al definir el precio de su oferta. Sin embargo, ello no significa que la retención en la fuente deba ser reconocida por la entidad estatal como un concepto autónomo</w:t>
      </w:r>
      <w:r>
        <w:rPr>
          <w:rFonts w:ascii="Verdana" w:hAnsi="Verdana" w:cs="Arial"/>
          <w:color w:val="000000" w:themeColor="text1"/>
          <w:sz w:val="22"/>
          <w:lang w:val="es-CO"/>
        </w:rPr>
        <w:t xml:space="preserve"> en e</w:t>
      </w:r>
      <w:r w:rsidRPr="00272BAF">
        <w:rPr>
          <w:rFonts w:ascii="Verdana" w:hAnsi="Verdana" w:cs="Arial"/>
          <w:color w:val="000000" w:themeColor="text1"/>
          <w:sz w:val="22"/>
          <w:lang w:val="es-CO"/>
        </w:rPr>
        <w:t>l presupuesto oficial o como un valor adicional a cargo de la entidad, pues su práctica obedece al cumplimiento de una obligación legal propia de su calidad de agente retenedor.</w:t>
      </w:r>
      <w:r>
        <w:rPr>
          <w:rFonts w:ascii="Verdana" w:hAnsi="Verdana" w:cs="Arial"/>
          <w:color w:val="000000" w:themeColor="text1"/>
          <w:sz w:val="22"/>
          <w:lang w:val="es-CO"/>
        </w:rPr>
        <w:t xml:space="preserve"> </w:t>
      </w:r>
    </w:p>
    <w:p w14:paraId="47E7A192" w14:textId="77777777" w:rsidR="000F6971" w:rsidRPr="00F77725" w:rsidRDefault="000F6971" w:rsidP="000F6971">
      <w:pPr>
        <w:spacing w:after="120" w:line="276" w:lineRule="auto"/>
        <w:ind w:firstLine="709"/>
        <w:jc w:val="both"/>
        <w:rPr>
          <w:rFonts w:ascii="Verdana" w:hAnsi="Verdana" w:cs="Arial"/>
          <w:lang w:eastAsia="es-ES"/>
        </w:rPr>
      </w:pPr>
      <w:r>
        <w:rPr>
          <w:rFonts w:ascii="Verdana" w:hAnsi="Verdana" w:cs="Arial"/>
          <w:lang w:eastAsia="es-ES"/>
        </w:rPr>
        <w:t xml:space="preserve">En todo caso, </w:t>
      </w:r>
      <w:r w:rsidRPr="0077414F">
        <w:rPr>
          <w:rFonts w:ascii="Verdana" w:hAnsi="Verdana" w:cs="Arial"/>
          <w:lang w:eastAsia="es-ES"/>
        </w:rPr>
        <w:t>d</w:t>
      </w:r>
      <w:r>
        <w:rPr>
          <w:rFonts w:ascii="Verdana" w:hAnsi="Verdana" w:cs="Arial"/>
          <w:lang w:eastAsia="es-ES"/>
        </w:rPr>
        <w:t>ebido a</w:t>
      </w:r>
      <w:r w:rsidRPr="0077414F">
        <w:rPr>
          <w:rFonts w:ascii="Verdana" w:hAnsi="Verdana" w:cs="Arial"/>
          <w:lang w:eastAsia="es-ES"/>
        </w:rPr>
        <w:t xml:space="preserve"> que las entidades estatales gozan de autonomía para definir la metodología mediante la cual estructurarán el precio del contrato, la identificación de los costos administrativos, así como de los tributos, </w:t>
      </w:r>
      <w:r w:rsidRPr="0077414F">
        <w:rPr>
          <w:rFonts w:ascii="Verdana" w:hAnsi="Verdana" w:cs="Arial"/>
          <w:lang w:eastAsia="es-ES"/>
        </w:rPr>
        <w:lastRenderedPageBreak/>
        <w:t xml:space="preserve">contribuciones, tasas y demás gravámenes que resulten aplicables, deberá efectuarse a partir del análisis particular de cada proceso de contratación, considerando su objeto, alcance, riesgos, condiciones de ejecución y la normativa que resulte aplicable. </w:t>
      </w:r>
    </w:p>
    <w:p w14:paraId="1C2E3DA6" w14:textId="77777777" w:rsidR="000F6971" w:rsidRDefault="000F6971" w:rsidP="000F6971">
      <w:pPr>
        <w:pStyle w:val="Sinespaciado"/>
        <w:spacing w:after="120" w:line="276" w:lineRule="auto"/>
        <w:ind w:firstLine="709"/>
        <w:jc w:val="both"/>
        <w:rPr>
          <w:rFonts w:ascii="Verdana" w:eastAsia="Calibri" w:hAnsi="Verdana" w:cs="Arial"/>
          <w:bCs/>
          <w:color w:val="000000" w:themeColor="text1"/>
          <w:sz w:val="22"/>
        </w:rPr>
      </w:pPr>
      <w:bookmarkStart w:id="9" w:name="_Hlk34660646"/>
      <w:r w:rsidRPr="005F0876">
        <w:rPr>
          <w:rFonts w:ascii="Verdana" w:eastAsia="Calibri" w:hAnsi="Verdana" w:cs="Arial"/>
          <w:bCs/>
          <w:color w:val="000000" w:themeColor="text1"/>
          <w:sz w:val="22"/>
        </w:rPr>
        <w:t xml:space="preserve">Al margen de la explicación precedente debe advertirse que </w:t>
      </w:r>
      <w:r w:rsidRPr="005F0876">
        <w:rPr>
          <w:rStyle w:val="s15"/>
          <w:rFonts w:ascii="Verdana" w:hAnsi="Verdana"/>
          <w:color w:val="000000" w:themeColor="text1"/>
          <w:sz w:val="22"/>
        </w:rPr>
        <w:t>el análisis requerido para resolver problemas específicos en torno a la gestión contractual debe ser realizado por quienes tengan interés en ello, de acuerdo con lo explicado la aclaración preliminar del presente oficio</w:t>
      </w:r>
      <w:r w:rsidRPr="005F0876">
        <w:rPr>
          <w:rFonts w:ascii="Verdana" w:eastAsia="Calibri" w:hAnsi="Verdana" w:cs="Arial"/>
          <w:bCs/>
          <w:color w:val="000000" w:themeColor="text1"/>
          <w:sz w:val="22"/>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sz w:val="22"/>
        </w:rPr>
        <w:t xml:space="preserve">en </w:t>
      </w:r>
      <w:r w:rsidRPr="005F0876">
        <w:rPr>
          <w:rFonts w:ascii="Verdana" w:eastAsia="Calibri" w:hAnsi="Verdana" w:cs="Arial"/>
          <w:bCs/>
          <w:color w:val="000000" w:themeColor="text1"/>
          <w:sz w:val="22"/>
        </w:rPr>
        <w:t>adoptar la decisión correspondiente y, en caso de conflicto, a las autoridades judiciales, fiscales y disciplinarias.</w:t>
      </w:r>
    </w:p>
    <w:p w14:paraId="34FFDA74" w14:textId="77777777" w:rsidR="000F6971" w:rsidRPr="005F53D0" w:rsidRDefault="000F6971" w:rsidP="000F6971">
      <w:pPr>
        <w:spacing w:after="120" w:line="276" w:lineRule="auto"/>
        <w:ind w:firstLine="709"/>
        <w:jc w:val="both"/>
        <w:rPr>
          <w:rFonts w:ascii="Verdana" w:hAnsi="Verdana"/>
        </w:rPr>
      </w:pPr>
      <w:r w:rsidRPr="0068390B">
        <w:rPr>
          <w:rFonts w:ascii="Verdana" w:hAnsi="Verdana" w:cs="Arial"/>
          <w:color w:val="000000" w:themeColor="text1"/>
        </w:rPr>
        <w:t>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566C631D" w14:textId="77777777" w:rsidR="000F6971" w:rsidRPr="004C5652" w:rsidRDefault="000F6971" w:rsidP="000F6971">
      <w:pPr>
        <w:pStyle w:val="Sinespaciado"/>
        <w:spacing w:before="120" w:line="276" w:lineRule="auto"/>
        <w:ind w:firstLine="708"/>
        <w:jc w:val="both"/>
        <w:rPr>
          <w:rFonts w:ascii="Verdana" w:hAnsi="Verdana" w:cs="Arial"/>
          <w:color w:val="000000" w:themeColor="text1"/>
          <w:sz w:val="22"/>
          <w:lang w:val="es-ES"/>
        </w:rPr>
      </w:pPr>
    </w:p>
    <w:bookmarkEnd w:id="1"/>
    <w:bookmarkEnd w:id="2"/>
    <w:bookmarkEnd w:id="7"/>
    <w:bookmarkEnd w:id="8"/>
    <w:bookmarkEnd w:id="9"/>
    <w:p w14:paraId="17233A9C" w14:textId="77777777" w:rsidR="000F6971" w:rsidRPr="00FC6F34" w:rsidRDefault="000F6971" w:rsidP="000F697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3D8C3BCD" w14:textId="77777777" w:rsidR="000F6971" w:rsidRPr="00FC6F34" w:rsidRDefault="000F6971" w:rsidP="000F6971">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6971" w:rsidRPr="00FC6F34" w14:paraId="19AC8E99" w14:textId="77777777" w:rsidTr="0044414F">
        <w:trPr>
          <w:trHeight w:val="870"/>
        </w:trPr>
        <w:tc>
          <w:tcPr>
            <w:tcW w:w="8647" w:type="dxa"/>
          </w:tcPr>
          <w:p w14:paraId="47DF0C1A" w14:textId="77777777" w:rsidR="000F6971" w:rsidRPr="0074684A" w:rsidRDefault="000F6971" w:rsidP="0044414F">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74684A">
              <w:rPr>
                <w:rFonts w:ascii="Verdana" w:hAnsi="Verdana" w:cs="Arial"/>
              </w:rPr>
              <w:t xml:space="preserve">Código Civil. Artículo </w:t>
            </w:r>
            <w:r w:rsidRPr="0074684A">
              <w:rPr>
                <w:rFonts w:ascii="Verdana" w:eastAsia="Calibri" w:hAnsi="Verdana" w:cs="Arial"/>
                <w:lang w:val="es-MX"/>
              </w:rPr>
              <w:t>1849.</w:t>
            </w:r>
          </w:p>
          <w:p w14:paraId="52E0191C" w14:textId="77777777" w:rsidR="000F6971" w:rsidRPr="0074684A" w:rsidRDefault="000F6971" w:rsidP="0044414F">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74684A">
              <w:rPr>
                <w:rFonts w:ascii="Verdana" w:hAnsi="Verdana" w:cs="Arial"/>
              </w:rPr>
              <w:t xml:space="preserve">Código de Comercio. </w:t>
            </w:r>
            <w:r w:rsidRPr="0074684A">
              <w:rPr>
                <w:rFonts w:ascii="Verdana" w:eastAsia="Calibri" w:hAnsi="Verdana" w:cs="Arial"/>
                <w:lang w:val="es-MX"/>
              </w:rPr>
              <w:t>Artículo 905.</w:t>
            </w:r>
          </w:p>
          <w:p w14:paraId="7A3034F0" w14:textId="77777777" w:rsidR="000F6971" w:rsidRPr="0074684A" w:rsidRDefault="000F6971" w:rsidP="0044414F">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74684A">
              <w:rPr>
                <w:rFonts w:ascii="Verdana" w:hAnsi="Verdana" w:cs="Arial"/>
              </w:rPr>
              <w:t>Ley 80 de 1993, artículo 25.</w:t>
            </w:r>
          </w:p>
          <w:p w14:paraId="266BDF5D" w14:textId="77777777" w:rsidR="000F6971" w:rsidRDefault="000F6971" w:rsidP="0044414F">
            <w:pPr>
              <w:widowControl w:val="0"/>
              <w:numPr>
                <w:ilvl w:val="0"/>
                <w:numId w:val="16"/>
              </w:numPr>
              <w:autoSpaceDE w:val="0"/>
              <w:autoSpaceDN w:val="0"/>
              <w:spacing w:after="120"/>
              <w:jc w:val="both"/>
              <w:rPr>
                <w:rFonts w:ascii="Verdana" w:hAnsi="Verdana" w:cs="Arial"/>
              </w:rPr>
            </w:pPr>
            <w:r w:rsidRPr="00C140AD">
              <w:rPr>
                <w:rFonts w:ascii="Verdana" w:hAnsi="Verdana" w:cs="Arial"/>
              </w:rPr>
              <w:t>Consejo de Estado, Sección Tercera, Subsección A sentencia de 19 de julio de 2018, M.P. Marta Nubia Velázquez Rico, Rad. 2013-01826(57.576)</w:t>
            </w:r>
          </w:p>
          <w:p w14:paraId="1364B626" w14:textId="77777777" w:rsidR="000F6971" w:rsidRPr="00C140AD" w:rsidRDefault="000F6971" w:rsidP="0044414F">
            <w:pPr>
              <w:widowControl w:val="0"/>
              <w:numPr>
                <w:ilvl w:val="0"/>
                <w:numId w:val="16"/>
              </w:numPr>
              <w:autoSpaceDE w:val="0"/>
              <w:autoSpaceDN w:val="0"/>
              <w:spacing w:after="120"/>
              <w:jc w:val="both"/>
              <w:rPr>
                <w:rFonts w:ascii="Verdana" w:hAnsi="Verdana" w:cs="Arial"/>
              </w:rPr>
            </w:pPr>
            <w:r w:rsidRPr="00C140AD">
              <w:rPr>
                <w:rFonts w:ascii="Verdana" w:hAnsi="Verdana" w:cs="Arial"/>
              </w:rPr>
              <w:t>Consejo de Estado, Sección Cuarta, sentencia del 24 de octubre de 2002, C.P. Ligia López Díaz, Rad. 13.408.</w:t>
            </w:r>
          </w:p>
        </w:tc>
      </w:tr>
    </w:tbl>
    <w:p w14:paraId="0BE73F4E" w14:textId="77777777" w:rsidR="000F6971" w:rsidRPr="00FC6F34" w:rsidRDefault="000F6971" w:rsidP="000F6971">
      <w:pPr>
        <w:widowControl w:val="0"/>
        <w:autoSpaceDE w:val="0"/>
        <w:autoSpaceDN w:val="0"/>
        <w:spacing w:after="0" w:line="276" w:lineRule="auto"/>
        <w:jc w:val="both"/>
        <w:rPr>
          <w:rFonts w:ascii="Verdana" w:hAnsi="Verdana" w:cs="Arial"/>
          <w:color w:val="000000" w:themeColor="text1"/>
          <w:lang w:val="es-ES"/>
        </w:rPr>
      </w:pPr>
    </w:p>
    <w:p w14:paraId="41743DE5" w14:textId="77777777" w:rsidR="000F6971" w:rsidRPr="00FC6F34" w:rsidRDefault="000F6971" w:rsidP="000F697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lastRenderedPageBreak/>
        <w:t>5.Doctrina de la Agencia Nacional de Contratación Pública:</w:t>
      </w:r>
    </w:p>
    <w:p w14:paraId="23775AA0" w14:textId="77777777" w:rsidR="000F6971" w:rsidRPr="00FC6F34" w:rsidRDefault="000F6971" w:rsidP="000F6971">
      <w:pPr>
        <w:widowControl w:val="0"/>
        <w:autoSpaceDE w:val="0"/>
        <w:autoSpaceDN w:val="0"/>
        <w:spacing w:after="0" w:line="276" w:lineRule="auto"/>
        <w:jc w:val="both"/>
        <w:rPr>
          <w:rFonts w:ascii="Verdana" w:hAnsi="Verdana" w:cs="Arial"/>
          <w:color w:val="000000" w:themeColor="text1"/>
          <w:lang w:val="es-ES"/>
        </w:rPr>
      </w:pPr>
    </w:p>
    <w:p w14:paraId="34DC7D33" w14:textId="77777777" w:rsidR="000F6971" w:rsidRPr="00682913" w:rsidRDefault="000F6971" w:rsidP="000F6971">
      <w:pPr>
        <w:spacing w:line="276" w:lineRule="auto"/>
        <w:jc w:val="both"/>
        <w:rPr>
          <w:rFonts w:ascii="Verdana" w:hAnsi="Verdana" w:cs="Arial"/>
          <w:shd w:val="clear" w:color="auto" w:fill="FFFFFF"/>
          <w:lang w:val="es-ES"/>
        </w:rPr>
      </w:pPr>
      <w:r w:rsidRPr="001E0D3C">
        <w:rPr>
          <w:rFonts w:ascii="Verdana" w:eastAsia="Calibri" w:hAnsi="Verdana" w:cs="Arial"/>
          <w:lang w:val="es-ES"/>
        </w:rPr>
        <w:t>La Agencia Nacional de Contratación Pública – Colombia Compra Eficiente se</w:t>
      </w:r>
      <w:r w:rsidRPr="001E0D3C">
        <w:rPr>
          <w:rFonts w:ascii="Verdana" w:hAnsi="Verdana" w:cs="Arial"/>
          <w:shd w:val="clear" w:color="auto" w:fill="FFFFFF"/>
        </w:rPr>
        <w:t xml:space="preserve"> sobre la determinación del precio en los contratos estatales en los Conceptos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y C-455 del 18 de septiembre de 2024, C-248 del 3 de abril de 2025, C-460 del 18 de junio de 2025, C-1797 del 16 de diciembre de 2025 y C-1613 de 22 de diciembre de 2025</w:t>
      </w:r>
      <w:r w:rsidRPr="001E0D3C">
        <w:rPr>
          <w:rFonts w:ascii="Verdana" w:hAnsi="Verdana" w:cs="Arial"/>
          <w:shd w:val="clear" w:color="auto" w:fill="FFFFFF"/>
          <w:lang w:val="es-ES"/>
        </w:rPr>
        <w:t>, entre otros.</w:t>
      </w:r>
      <w:r>
        <w:rPr>
          <w:rFonts w:ascii="Verdana" w:hAnsi="Verdana" w:cs="Arial"/>
          <w:shd w:val="clear" w:color="auto" w:fill="FFFFFF"/>
          <w:lang w:val="es-ES"/>
        </w:rPr>
        <w:t xml:space="preserve"> </w:t>
      </w:r>
      <w:r w:rsidRPr="001E0D3C">
        <w:rPr>
          <w:rFonts w:ascii="Verdana" w:hAnsi="Verdana" w:cs="Arial"/>
          <w:shd w:val="clear" w:color="auto" w:fill="FFFFFF"/>
          <w:lang w:val="es-ES"/>
        </w:rPr>
        <w:t>Estos</w:t>
      </w:r>
      <w:r w:rsidRPr="001E0D3C">
        <w:rPr>
          <w:rFonts w:ascii="Verdana" w:hAnsi="Verdana"/>
          <w:lang w:val="es-ES"/>
        </w:rPr>
        <w:t xml:space="preserve"> </w:t>
      </w:r>
      <w:r>
        <w:rPr>
          <w:rFonts w:ascii="Verdana" w:hAnsi="Verdana"/>
          <w:lang w:val="es-ES"/>
        </w:rPr>
        <w:t xml:space="preserve">conceptos </w:t>
      </w:r>
      <w:r w:rsidRPr="001E0D3C">
        <w:rPr>
          <w:rFonts w:ascii="Verdana" w:hAnsi="Verdana"/>
          <w:lang w:val="es-ES"/>
        </w:rPr>
        <w:t>se encuentran disponibles para consulta en el Sistema de relatoría de la Agencia, al cual se puede acceder a través del siguiente enlace:</w:t>
      </w:r>
      <w:r w:rsidRPr="001E0D3C">
        <w:rPr>
          <w:rFonts w:ascii="Verdana" w:hAnsi="Verdana" w:cs="Arial"/>
          <w:shd w:val="clear" w:color="auto" w:fill="FFFFFF"/>
          <w:lang w:val="es-ES"/>
        </w:rPr>
        <w:t xml:space="preserve"> </w:t>
      </w:r>
      <w:hyperlink r:id="rId12" w:history="1">
        <w:r w:rsidRPr="001E0D3C">
          <w:rPr>
            <w:rFonts w:ascii="Verdana" w:hAnsi="Verdana" w:cs="Arial"/>
            <w:color w:val="0000FF"/>
            <w:u w:val="single"/>
            <w:shd w:val="clear" w:color="auto" w:fill="FFFFFF"/>
            <w:lang w:val="es-ES"/>
          </w:rPr>
          <w:t>https://relatoria.colombiacompra.gov.co/busqueda/concept os</w:t>
        </w:r>
      </w:hyperlink>
      <w:r w:rsidRPr="001E0D3C">
        <w:rPr>
          <w:rFonts w:ascii="Verdana" w:hAnsi="Verdana" w:cs="Arial"/>
          <w:shd w:val="clear" w:color="auto" w:fill="FFFFFF"/>
          <w:lang w:val="es-ES"/>
        </w:rPr>
        <w:t>.</w:t>
      </w:r>
      <w:r w:rsidRPr="001E0D3C">
        <w:rPr>
          <w:rFonts w:ascii="Verdana" w:hAnsi="Verdana" w:cs="Arial"/>
          <w:color w:val="FF0000"/>
          <w:shd w:val="clear" w:color="auto" w:fill="FFFFFF"/>
          <w:lang w:val="es-ES"/>
        </w:rPr>
        <w:t xml:space="preserve"> </w:t>
      </w:r>
      <w:r w:rsidRPr="001E0D3C">
        <w:rPr>
          <w:rFonts w:ascii="Verdana" w:hAnsi="Verdana" w:cs="Arial"/>
          <w:color w:val="000000" w:themeColor="text1"/>
          <w:shd w:val="clear" w:color="auto" w:fill="FFFFFF"/>
          <w:lang w:val="es-ES"/>
        </w:rPr>
        <w:t>  </w:t>
      </w:r>
    </w:p>
    <w:p w14:paraId="09BBD589" w14:textId="77777777" w:rsidR="000F6971" w:rsidRPr="001B3C5D" w:rsidRDefault="000F6971" w:rsidP="000F6971">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3" w:tgtFrame="_new" w:history="1">
        <w:r w:rsidRPr="001B3C5D">
          <w:rPr>
            <w:rFonts w:ascii="Verdana" w:eastAsia="Times New Roman" w:hAnsi="Verdana" w:cs="Arial"/>
            <w:color w:val="0000FF"/>
            <w:u w:val="single"/>
            <w:lang w:eastAsia="es-MX"/>
          </w:rPr>
          <w:t>https://formacionvirtual.colombiacompra.gov.co/mod/page/view.php?id=3718</w:t>
        </w:r>
      </w:hyperlink>
    </w:p>
    <w:p w14:paraId="05FBB19B" w14:textId="77777777" w:rsidR="000F6971" w:rsidRPr="001B3C5D" w:rsidRDefault="000F6971" w:rsidP="000F6971">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B3C5D">
          <w:rPr>
            <w:rFonts w:ascii="Verdana" w:eastAsia="Times New Roman" w:hAnsi="Verdana" w:cs="Arial"/>
            <w:color w:val="0000FF"/>
            <w:u w:val="single"/>
            <w:lang w:eastAsia="es-MX"/>
          </w:rPr>
          <w:t>https://www.colombiacompra.gov.co/normativa-y-relatoria/documentos-tipo</w:t>
        </w:r>
      </w:hyperlink>
    </w:p>
    <w:p w14:paraId="23D929B4" w14:textId="77777777" w:rsidR="000F6971" w:rsidRPr="001B3C5D" w:rsidRDefault="000F6971" w:rsidP="000F6971">
      <w:pPr>
        <w:spacing w:after="0" w:line="276" w:lineRule="auto"/>
        <w:jc w:val="both"/>
        <w:rPr>
          <w:rFonts w:ascii="Verdana" w:eastAsia="Times New Roman" w:hAnsi="Verdana" w:cs="Arial"/>
          <w:lang w:eastAsia="es-MX"/>
        </w:rPr>
      </w:pPr>
    </w:p>
    <w:p w14:paraId="5D21A02D" w14:textId="77777777" w:rsidR="000F6971" w:rsidRPr="001B3C5D" w:rsidRDefault="000F6971" w:rsidP="000F6971">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lastRenderedPageBreak/>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5"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E0ACA9E" w14:textId="77777777" w:rsidR="000F6971" w:rsidRDefault="000F6971" w:rsidP="000F6971">
      <w:pPr>
        <w:spacing w:after="0" w:line="276" w:lineRule="auto"/>
        <w:jc w:val="both"/>
        <w:rPr>
          <w:rFonts w:ascii="Verdana" w:hAnsi="Verdana"/>
        </w:rPr>
      </w:pPr>
    </w:p>
    <w:p w14:paraId="2F0BFB4C" w14:textId="77777777" w:rsidR="000F6971" w:rsidRPr="001E0D3C" w:rsidRDefault="000F6971" w:rsidP="000F6971">
      <w:pPr>
        <w:spacing w:after="0" w:line="276" w:lineRule="auto"/>
        <w:jc w:val="both"/>
        <w:rPr>
          <w:rFonts w:ascii="Verdana" w:hAnsi="Verdana"/>
        </w:rPr>
      </w:pPr>
      <w:r w:rsidRPr="001E0D3C">
        <w:rPr>
          <w:rFonts w:ascii="Verdana" w:hAnsi="Verdana"/>
        </w:rPr>
        <w:t xml:space="preserve">Por último, lo invitamos a seguirnos en las redes sociales en las cuales se difunde información institucional: </w:t>
      </w:r>
    </w:p>
    <w:p w14:paraId="79B45BA9" w14:textId="77777777" w:rsidR="000F6971" w:rsidRPr="001E0D3C" w:rsidRDefault="000F6971" w:rsidP="000F6971">
      <w:pPr>
        <w:spacing w:after="0" w:line="276" w:lineRule="auto"/>
        <w:jc w:val="both"/>
        <w:rPr>
          <w:rFonts w:ascii="Verdana" w:hAnsi="Verdana"/>
        </w:rPr>
      </w:pPr>
    </w:p>
    <w:p w14:paraId="172D666C" w14:textId="77777777" w:rsidR="000F6971" w:rsidRPr="001E0D3C" w:rsidRDefault="000F6971" w:rsidP="000F6971">
      <w:pPr>
        <w:spacing w:after="0" w:line="276" w:lineRule="auto"/>
        <w:jc w:val="both"/>
        <w:rPr>
          <w:rFonts w:ascii="Verdana" w:hAnsi="Verdana"/>
        </w:rPr>
      </w:pPr>
      <w:r w:rsidRPr="001E0D3C">
        <w:rPr>
          <w:rFonts w:ascii="Verdana" w:hAnsi="Verdana"/>
        </w:rPr>
        <w:t xml:space="preserve">Twitter: </w:t>
      </w:r>
      <w:r w:rsidRPr="001E0D3C">
        <w:rPr>
          <w:rStyle w:val="Hipervnculo"/>
          <w:rFonts w:ascii="Verdana" w:hAnsi="Verdana" w:cs="Arial"/>
          <w:shd w:val="clear" w:color="auto" w:fill="FFFFFF"/>
        </w:rPr>
        <w:t>@colombiacompra</w:t>
      </w:r>
      <w:r w:rsidRPr="001E0D3C">
        <w:rPr>
          <w:rFonts w:ascii="Verdana" w:hAnsi="Verdana"/>
          <w:color w:val="4472C4" w:themeColor="accent1"/>
        </w:rPr>
        <w:t xml:space="preserve"> </w:t>
      </w:r>
    </w:p>
    <w:p w14:paraId="43BEF2CF" w14:textId="77777777" w:rsidR="000F6971" w:rsidRPr="001E0D3C" w:rsidRDefault="000F6971" w:rsidP="000F6971">
      <w:pPr>
        <w:spacing w:after="0" w:line="276" w:lineRule="auto"/>
        <w:jc w:val="both"/>
        <w:rPr>
          <w:rFonts w:ascii="Verdana" w:hAnsi="Verdana"/>
        </w:rPr>
      </w:pPr>
      <w:r w:rsidRPr="001E0D3C">
        <w:rPr>
          <w:rFonts w:ascii="Verdana" w:hAnsi="Verdana"/>
        </w:rPr>
        <w:t xml:space="preserve">Facebook: </w:t>
      </w:r>
      <w:proofErr w:type="spellStart"/>
      <w:r w:rsidRPr="001E0D3C">
        <w:rPr>
          <w:rStyle w:val="Hipervnculo"/>
          <w:rFonts w:ascii="Verdana" w:hAnsi="Verdana" w:cs="Arial"/>
          <w:shd w:val="clear" w:color="auto" w:fill="FFFFFF"/>
        </w:rPr>
        <w:t>ColombiaCompraEficiente</w:t>
      </w:r>
      <w:proofErr w:type="spellEnd"/>
    </w:p>
    <w:p w14:paraId="0F75C42C" w14:textId="77777777" w:rsidR="000F6971" w:rsidRPr="001E0D3C" w:rsidRDefault="000F6971" w:rsidP="000F6971">
      <w:pPr>
        <w:spacing w:after="0" w:line="276" w:lineRule="auto"/>
        <w:jc w:val="both"/>
        <w:rPr>
          <w:rFonts w:ascii="Verdana" w:hAnsi="Verdana"/>
        </w:rPr>
      </w:pPr>
      <w:r w:rsidRPr="001E0D3C">
        <w:rPr>
          <w:rFonts w:ascii="Verdana" w:hAnsi="Verdana"/>
        </w:rPr>
        <w:t xml:space="preserve">LinkedIn: </w:t>
      </w:r>
      <w:r w:rsidRPr="001E0D3C">
        <w:rPr>
          <w:rStyle w:val="Hipervnculo"/>
          <w:rFonts w:ascii="Verdana" w:hAnsi="Verdana" w:cs="Arial"/>
          <w:shd w:val="clear" w:color="auto" w:fill="FFFFFF"/>
        </w:rPr>
        <w:t xml:space="preserve">Agencia Nacional de Contratación Pública - Colombia Compra Eficiente </w:t>
      </w:r>
      <w:r w:rsidRPr="001E0D3C">
        <w:rPr>
          <w:rFonts w:ascii="Verdana" w:hAnsi="Verdana"/>
        </w:rPr>
        <w:t xml:space="preserve">Instagram: </w:t>
      </w:r>
      <w:r w:rsidRPr="001E0D3C">
        <w:rPr>
          <w:rStyle w:val="Hipervnculo"/>
          <w:rFonts w:ascii="Verdana" w:hAnsi="Verdana" w:cs="Arial"/>
          <w:shd w:val="clear" w:color="auto" w:fill="FFFFFF"/>
        </w:rPr>
        <w:t>@colombiacompraeficiente_cce</w:t>
      </w:r>
    </w:p>
    <w:p w14:paraId="33F37EB6" w14:textId="77777777" w:rsidR="000F6971" w:rsidRPr="001E0D3C" w:rsidRDefault="000F6971" w:rsidP="000F6971">
      <w:pPr>
        <w:widowControl w:val="0"/>
        <w:autoSpaceDE w:val="0"/>
        <w:autoSpaceDN w:val="0"/>
        <w:spacing w:after="0" w:line="276" w:lineRule="auto"/>
        <w:jc w:val="both"/>
        <w:rPr>
          <w:rFonts w:ascii="Verdana" w:hAnsi="Verdana" w:cs="Arial"/>
          <w:lang w:val="es-ES"/>
        </w:rPr>
      </w:pPr>
    </w:p>
    <w:p w14:paraId="1F50E4D6" w14:textId="77777777" w:rsidR="000F6971" w:rsidRPr="001E0D3C" w:rsidRDefault="000F6971" w:rsidP="000F6971">
      <w:pPr>
        <w:widowControl w:val="0"/>
        <w:autoSpaceDE w:val="0"/>
        <w:autoSpaceDN w:val="0"/>
        <w:spacing w:after="0" w:line="276" w:lineRule="auto"/>
        <w:jc w:val="both"/>
        <w:rPr>
          <w:rFonts w:ascii="Verdana" w:hAnsi="Verdana" w:cs="Arial"/>
          <w:lang w:val="es-ES"/>
        </w:rPr>
      </w:pPr>
      <w:r w:rsidRPr="001E0D3C">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679B9D" w14:textId="77777777" w:rsidR="000F6971" w:rsidRPr="001E0D3C" w:rsidRDefault="000F6971" w:rsidP="000F6971">
      <w:pPr>
        <w:widowControl w:val="0"/>
        <w:autoSpaceDE w:val="0"/>
        <w:autoSpaceDN w:val="0"/>
        <w:spacing w:after="0" w:line="276" w:lineRule="auto"/>
        <w:jc w:val="both"/>
        <w:rPr>
          <w:rFonts w:ascii="Verdana" w:hAnsi="Verdana" w:cs="Arial"/>
          <w:lang w:val="es-ES"/>
        </w:rPr>
      </w:pPr>
    </w:p>
    <w:p w14:paraId="0AC9C6E1" w14:textId="77777777" w:rsidR="000F6971" w:rsidRPr="001E0D3C" w:rsidRDefault="000F6971" w:rsidP="000F6971">
      <w:pPr>
        <w:spacing w:after="0" w:line="276" w:lineRule="auto"/>
        <w:rPr>
          <w:rFonts w:ascii="Verdana" w:hAnsi="Verdana" w:cs="Arial"/>
          <w:color w:val="000000" w:themeColor="text1"/>
          <w:lang w:val="es-ES" w:eastAsia="es-CO"/>
        </w:rPr>
      </w:pPr>
      <w:r w:rsidRPr="001E0D3C">
        <w:rPr>
          <w:rFonts w:ascii="Verdana" w:eastAsia="Times New Roman" w:hAnsi="Verdana" w:cs="Arial"/>
          <w:color w:val="000000" w:themeColor="text1"/>
          <w:lang w:val="es-ES" w:eastAsia="es-CO"/>
        </w:rPr>
        <w:t>Atentamente,</w:t>
      </w:r>
      <w:r w:rsidRPr="001E0D3C">
        <w:rPr>
          <w:rFonts w:ascii="Verdana" w:hAnsi="Verdana" w:cs="Arial"/>
          <w:color w:val="000000" w:themeColor="text1"/>
          <w:lang w:val="es-ES" w:eastAsia="es-CO"/>
        </w:rPr>
        <w:t xml:space="preserve"> </w:t>
      </w:r>
    </w:p>
    <w:p w14:paraId="79DF6E7E" w14:textId="77777777" w:rsidR="000F6971" w:rsidRPr="001E0D3C" w:rsidRDefault="000F6971" w:rsidP="000F6971">
      <w:pPr>
        <w:spacing w:after="0" w:line="276" w:lineRule="auto"/>
        <w:rPr>
          <w:rFonts w:ascii="Verdana" w:hAnsi="Verdana" w:cs="Arial"/>
          <w:color w:val="000000" w:themeColor="text1"/>
          <w:lang w:val="es-ES" w:eastAsia="es-CO"/>
        </w:rPr>
      </w:pPr>
    </w:p>
    <w:p w14:paraId="0B9EBFED" w14:textId="5FDA0785" w:rsidR="000F6971" w:rsidRPr="007B743D" w:rsidRDefault="009C24B0" w:rsidP="000F6971">
      <w:pPr>
        <w:spacing w:line="276" w:lineRule="auto"/>
        <w:jc w:val="center"/>
        <w:rPr>
          <w:rFonts w:ascii="Verdana" w:hAnsi="Verdana" w:cs="Arial"/>
          <w:color w:val="000000"/>
          <w:lang w:eastAsia="es-CO"/>
        </w:rPr>
      </w:pPr>
      <w:r w:rsidRPr="004D5C25">
        <w:rPr>
          <w:rFonts w:ascii="Century Gothic" w:hAnsi="Century Gothic"/>
          <w:noProof/>
        </w:rPr>
        <w:drawing>
          <wp:inline distT="0" distB="0" distL="0" distR="0" wp14:anchorId="4A5F73C0" wp14:editId="2CFDB82B">
            <wp:extent cx="2965450" cy="1137036"/>
            <wp:effectExtent l="0" t="0" r="6350" b="635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978247" cy="114194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6971" w:rsidRPr="007B743D" w14:paraId="2912CAD5" w14:textId="77777777" w:rsidTr="0044414F">
        <w:trPr>
          <w:trHeight w:val="315"/>
        </w:trPr>
        <w:tc>
          <w:tcPr>
            <w:tcW w:w="893" w:type="dxa"/>
            <w:vAlign w:val="center"/>
            <w:hideMark/>
          </w:tcPr>
          <w:p w14:paraId="6435AD27" w14:textId="77777777" w:rsidR="000F6971" w:rsidRPr="007B743D" w:rsidRDefault="000F6971" w:rsidP="0044414F">
            <w:pPr>
              <w:contextualSpacing/>
              <w:rPr>
                <w:rFonts w:ascii="Verdana" w:hAnsi="Verdana" w:cs="Arial"/>
                <w:sz w:val="16"/>
                <w:szCs w:val="16"/>
                <w:lang w:eastAsia="es-ES"/>
              </w:rPr>
            </w:pPr>
            <w:r w:rsidRPr="007B743D">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A40AB00" w14:textId="77777777" w:rsidR="000F6971" w:rsidRPr="007B743D" w:rsidRDefault="000F6971" w:rsidP="0044414F">
            <w:pPr>
              <w:contextualSpacing/>
              <w:rPr>
                <w:rFonts w:ascii="Verdana" w:hAnsi="Verdana"/>
                <w:sz w:val="16"/>
                <w:szCs w:val="16"/>
              </w:rPr>
            </w:pPr>
            <w:r w:rsidRPr="007B743D">
              <w:rPr>
                <w:rFonts w:ascii="Verdana" w:hAnsi="Verdana"/>
                <w:sz w:val="16"/>
                <w:szCs w:val="16"/>
              </w:rPr>
              <w:t>Tatiana Baquero Iguarán</w:t>
            </w:r>
          </w:p>
          <w:p w14:paraId="1DED062E" w14:textId="77777777" w:rsidR="000F6971" w:rsidRPr="007B743D" w:rsidRDefault="000F6971" w:rsidP="0044414F">
            <w:pPr>
              <w:contextualSpacing/>
              <w:rPr>
                <w:rFonts w:ascii="Verdana" w:eastAsia="Arial" w:hAnsi="Verdana" w:cs="Arial"/>
                <w:sz w:val="16"/>
                <w:szCs w:val="16"/>
              </w:rPr>
            </w:pPr>
            <w:r w:rsidRPr="007B743D">
              <w:rPr>
                <w:rFonts w:ascii="Verdana" w:hAnsi="Verdana"/>
                <w:sz w:val="16"/>
                <w:szCs w:val="16"/>
              </w:rPr>
              <w:lastRenderedPageBreak/>
              <w:t>Contratista de la Subdirección de Gestión Contractual</w:t>
            </w:r>
          </w:p>
        </w:tc>
      </w:tr>
      <w:tr w:rsidR="000F6971" w:rsidRPr="007B743D" w14:paraId="2F5994EA" w14:textId="77777777" w:rsidTr="0044414F">
        <w:trPr>
          <w:trHeight w:val="330"/>
        </w:trPr>
        <w:tc>
          <w:tcPr>
            <w:tcW w:w="893" w:type="dxa"/>
            <w:vAlign w:val="center"/>
            <w:hideMark/>
          </w:tcPr>
          <w:p w14:paraId="50FC2917" w14:textId="77777777" w:rsidR="000F6971" w:rsidRPr="007B743D" w:rsidRDefault="000F6971" w:rsidP="0044414F">
            <w:pPr>
              <w:contextualSpacing/>
              <w:rPr>
                <w:rFonts w:ascii="Verdana" w:hAnsi="Verdana" w:cs="Arial"/>
                <w:sz w:val="16"/>
                <w:szCs w:val="16"/>
                <w:lang w:eastAsia="es-ES"/>
              </w:rPr>
            </w:pPr>
            <w:r w:rsidRPr="007B743D">
              <w:rPr>
                <w:rFonts w:ascii="Verdana" w:hAnsi="Verdana" w:cs="Arial"/>
                <w:sz w:val="16"/>
                <w:szCs w:val="16"/>
                <w:lang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4C13DC8" w14:textId="77777777" w:rsidR="000F6971" w:rsidRPr="007B743D" w:rsidRDefault="000F6971" w:rsidP="0044414F">
            <w:pPr>
              <w:textAlignment w:val="baseline"/>
              <w:rPr>
                <w:rFonts w:ascii="Verdana" w:eastAsia="Times New Roman" w:hAnsi="Verdana" w:cs="Arial"/>
                <w:sz w:val="16"/>
                <w:szCs w:val="16"/>
                <w:lang w:val="es-MX" w:eastAsia="es-CO"/>
              </w:rPr>
            </w:pPr>
            <w:r w:rsidRPr="007B743D">
              <w:rPr>
                <w:rFonts w:ascii="Verdana" w:eastAsia="Times New Roman" w:hAnsi="Verdana" w:cs="Arial"/>
                <w:sz w:val="16"/>
                <w:szCs w:val="16"/>
                <w:lang w:val="es-MX" w:eastAsia="es-CO"/>
              </w:rPr>
              <w:t>Alejandro Raúl Sarmiento Cantillo</w:t>
            </w:r>
          </w:p>
          <w:p w14:paraId="346C071C" w14:textId="77777777" w:rsidR="000F6971" w:rsidRPr="007B743D" w:rsidRDefault="000F6971" w:rsidP="0044414F">
            <w:pPr>
              <w:spacing w:before="100" w:beforeAutospacing="1" w:after="100" w:afterAutospacing="1"/>
              <w:contextualSpacing/>
              <w:textAlignment w:val="baseline"/>
              <w:rPr>
                <w:rFonts w:ascii="Verdana" w:eastAsia="Times New Roman" w:hAnsi="Verdana" w:cs="Segoe UI"/>
                <w:sz w:val="16"/>
                <w:szCs w:val="16"/>
                <w:lang w:eastAsia="es-ES_tradnl"/>
              </w:rPr>
            </w:pPr>
            <w:r w:rsidRPr="007B743D">
              <w:rPr>
                <w:rFonts w:ascii="Verdana" w:eastAsia="Times New Roman" w:hAnsi="Verdana" w:cs="Arial"/>
                <w:sz w:val="16"/>
                <w:szCs w:val="16"/>
                <w:lang w:val="es-MX" w:eastAsia="es-CO"/>
              </w:rPr>
              <w:t>Gestor T1-15 de la Subdirección de Gestión Contractual</w:t>
            </w:r>
          </w:p>
        </w:tc>
      </w:tr>
      <w:tr w:rsidR="000F6971" w:rsidRPr="007B743D" w14:paraId="44833ED1" w14:textId="77777777" w:rsidTr="0044414F">
        <w:trPr>
          <w:trHeight w:val="300"/>
        </w:trPr>
        <w:tc>
          <w:tcPr>
            <w:tcW w:w="893" w:type="dxa"/>
            <w:vAlign w:val="center"/>
          </w:tcPr>
          <w:p w14:paraId="1AB2A363" w14:textId="77777777" w:rsidR="000F6971" w:rsidRPr="007B743D" w:rsidRDefault="000F6971" w:rsidP="0044414F">
            <w:pPr>
              <w:contextualSpacing/>
              <w:rPr>
                <w:rFonts w:ascii="Verdana" w:hAnsi="Verdana" w:cs="Arial"/>
                <w:sz w:val="16"/>
                <w:szCs w:val="16"/>
                <w:lang w:eastAsia="es-ES"/>
              </w:rPr>
            </w:pPr>
            <w:r w:rsidRPr="007B743D">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32C04A" w14:textId="77777777" w:rsidR="000F6971" w:rsidRPr="007B743D" w:rsidRDefault="000F6971" w:rsidP="0044414F">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Carolina Quintero Gacharná</w:t>
            </w:r>
          </w:p>
          <w:p w14:paraId="0007C0FC" w14:textId="77777777" w:rsidR="000F6971" w:rsidRPr="007B743D" w:rsidRDefault="000F6971" w:rsidP="0044414F">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Subdirectora de Gestión Contractual ANCP – CCE</w:t>
            </w:r>
          </w:p>
        </w:tc>
      </w:tr>
      <w:tr w:rsidR="000F6971" w:rsidRPr="007B743D" w14:paraId="788F40D9" w14:textId="77777777" w:rsidTr="0044414F">
        <w:trPr>
          <w:gridAfter w:val="1"/>
          <w:wAfter w:w="5628" w:type="dxa"/>
          <w:trHeight w:val="300"/>
        </w:trPr>
        <w:tc>
          <w:tcPr>
            <w:tcW w:w="893" w:type="dxa"/>
            <w:vAlign w:val="center"/>
          </w:tcPr>
          <w:p w14:paraId="7A0DA566" w14:textId="77777777" w:rsidR="000F6971" w:rsidRPr="007B743D" w:rsidRDefault="000F6971" w:rsidP="0044414F">
            <w:pPr>
              <w:contextualSpacing/>
              <w:rPr>
                <w:rFonts w:ascii="Verdana" w:hAnsi="Verdana" w:cs="Arial"/>
                <w:sz w:val="16"/>
                <w:szCs w:val="16"/>
                <w:lang w:eastAsia="es-ES"/>
              </w:rPr>
            </w:pPr>
          </w:p>
        </w:tc>
      </w:tr>
    </w:tbl>
    <w:p w14:paraId="4367CA7E" w14:textId="04079221" w:rsidR="000F6971" w:rsidRPr="00FC6F34" w:rsidRDefault="000F6971" w:rsidP="000F6971">
      <w:pPr>
        <w:spacing w:after="0" w:line="240" w:lineRule="auto"/>
        <w:textAlignment w:val="baseline"/>
        <w:rPr>
          <w:rFonts w:ascii="Verdana" w:hAnsi="Verdana" w:cs="Arial"/>
          <w:color w:val="000000" w:themeColor="text1"/>
          <w:lang w:val="es-ES" w:eastAsia="es-CO"/>
        </w:rPr>
      </w:pPr>
      <w:r w:rsidRPr="30821638">
        <w:rPr>
          <w:rFonts w:ascii="Verdana" w:eastAsia="Verdana" w:hAnsi="Verdana" w:cs="Verdana"/>
          <w:lang w:eastAsia="es-CO"/>
        </w:rPr>
        <w:t> </w:t>
      </w:r>
    </w:p>
    <w:p w14:paraId="7FD02F24" w14:textId="77777777" w:rsidR="000F6971" w:rsidRPr="0024624F" w:rsidRDefault="000F6971" w:rsidP="000F6971">
      <w:pPr>
        <w:spacing w:after="0"/>
        <w:rPr>
          <w:rFonts w:ascii="Verdana" w:eastAsia="Verdana" w:hAnsi="Verdana" w:cs="Verdana"/>
        </w:rPr>
      </w:pPr>
    </w:p>
    <w:p w14:paraId="70AD8371" w14:textId="77777777" w:rsidR="000F6971" w:rsidRPr="008B5C67" w:rsidRDefault="000F6971" w:rsidP="000F6971"/>
    <w:p w14:paraId="1468C46D" w14:textId="42D3E74E" w:rsidR="00C15139" w:rsidRPr="000F6971" w:rsidRDefault="00C15139" w:rsidP="000F6971"/>
    <w:sectPr w:rsidR="00C15139" w:rsidRPr="000F697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B8049" w14:textId="77777777" w:rsidR="00357DAC" w:rsidRDefault="00357DAC" w:rsidP="004A1847">
      <w:pPr>
        <w:spacing w:after="0" w:line="240" w:lineRule="auto"/>
      </w:pPr>
      <w:r>
        <w:separator/>
      </w:r>
    </w:p>
  </w:endnote>
  <w:endnote w:type="continuationSeparator" w:id="0">
    <w:p w14:paraId="3827127E" w14:textId="77777777" w:rsidR="00357DAC" w:rsidRDefault="00357DAC" w:rsidP="004A1847">
      <w:pPr>
        <w:spacing w:after="0" w:line="240" w:lineRule="auto"/>
      </w:pPr>
      <w:r>
        <w:continuationSeparator/>
      </w:r>
    </w:p>
  </w:endnote>
  <w:endnote w:type="continuationNotice" w:id="1">
    <w:p w14:paraId="06C95C34" w14:textId="77777777" w:rsidR="00357DAC" w:rsidRDefault="00357D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EF161" w14:textId="77777777" w:rsidR="00357DAC" w:rsidRDefault="00357DAC" w:rsidP="004A1847">
      <w:pPr>
        <w:spacing w:after="0" w:line="240" w:lineRule="auto"/>
      </w:pPr>
      <w:r>
        <w:separator/>
      </w:r>
    </w:p>
  </w:footnote>
  <w:footnote w:type="continuationSeparator" w:id="0">
    <w:p w14:paraId="2CB7C9E1" w14:textId="77777777" w:rsidR="00357DAC" w:rsidRDefault="00357DAC" w:rsidP="004A1847">
      <w:pPr>
        <w:spacing w:after="0" w:line="240" w:lineRule="auto"/>
      </w:pPr>
      <w:r>
        <w:continuationSeparator/>
      </w:r>
    </w:p>
  </w:footnote>
  <w:footnote w:type="continuationNotice" w:id="1">
    <w:p w14:paraId="24D2D9A2" w14:textId="77777777" w:rsidR="00357DAC" w:rsidRDefault="00357DAC">
      <w:pPr>
        <w:spacing w:after="0" w:line="240" w:lineRule="auto"/>
      </w:pPr>
    </w:p>
  </w:footnote>
  <w:footnote w:id="2">
    <w:p w14:paraId="420A7100" w14:textId="77777777" w:rsidR="000F6971" w:rsidRPr="00037794" w:rsidRDefault="000F6971" w:rsidP="000F6971">
      <w:pPr>
        <w:pStyle w:val="Textonotapie"/>
        <w:snapToGrid w:val="0"/>
        <w:ind w:firstLine="708"/>
        <w:jc w:val="both"/>
        <w:rPr>
          <w:rFonts w:ascii="Verdana" w:hAnsi="Verdana" w:cs="Arial"/>
          <w:sz w:val="16"/>
          <w:szCs w:val="16"/>
          <w:lang w:val="es-ES"/>
        </w:rPr>
      </w:pPr>
      <w:r w:rsidRPr="00037794">
        <w:rPr>
          <w:rStyle w:val="Refdenotaalpie"/>
          <w:rFonts w:ascii="Verdana" w:hAnsi="Verdana" w:cs="Arial"/>
          <w:sz w:val="16"/>
          <w:szCs w:val="16"/>
        </w:rPr>
        <w:footnoteRef/>
      </w:r>
      <w:r w:rsidRPr="00037794">
        <w:rPr>
          <w:rFonts w:ascii="Verdana" w:hAnsi="Verdana" w:cs="Arial"/>
          <w:sz w:val="16"/>
          <w:szCs w:val="16"/>
        </w:rPr>
        <w:t xml:space="preserve"> </w:t>
      </w:r>
      <w:r w:rsidRPr="00037794">
        <w:rPr>
          <w:rFonts w:ascii="Verdana" w:hAnsi="Verdana" w:cs="Arial"/>
          <w:sz w:val="16"/>
          <w:szCs w:val="16"/>
          <w:lang w:val="es-ES"/>
        </w:rPr>
        <w:t>Diccionario de la Real Academia de la Lengua Española.</w:t>
      </w:r>
    </w:p>
  </w:footnote>
  <w:footnote w:id="3">
    <w:p w14:paraId="259DD588" w14:textId="77777777" w:rsidR="000F6971" w:rsidRPr="00037794" w:rsidRDefault="000F6971" w:rsidP="000F6971">
      <w:pPr>
        <w:pStyle w:val="Textonotapie"/>
        <w:snapToGrid w:val="0"/>
        <w:ind w:firstLine="708"/>
        <w:jc w:val="both"/>
        <w:rPr>
          <w:rFonts w:ascii="Verdana" w:hAnsi="Verdana" w:cs="Arial"/>
          <w:sz w:val="16"/>
          <w:szCs w:val="16"/>
        </w:rPr>
      </w:pPr>
      <w:r w:rsidRPr="00037794">
        <w:rPr>
          <w:rStyle w:val="Refdenotaalpie"/>
          <w:rFonts w:ascii="Verdana" w:hAnsi="Verdana" w:cs="Arial"/>
          <w:sz w:val="16"/>
          <w:szCs w:val="16"/>
        </w:rPr>
        <w:footnoteRef/>
      </w:r>
      <w:r w:rsidRPr="00037794">
        <w:rPr>
          <w:rFonts w:ascii="Verdana" w:hAnsi="Verdana" w:cs="Arial"/>
          <w:sz w:val="16"/>
          <w:szCs w:val="16"/>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w14:paraId="331595A7" w14:textId="77777777" w:rsidR="000F6971" w:rsidRPr="00037794" w:rsidRDefault="000F6971" w:rsidP="000F6971">
      <w:pPr>
        <w:pStyle w:val="Textonotapie"/>
        <w:snapToGrid w:val="0"/>
        <w:jc w:val="both"/>
        <w:rPr>
          <w:rFonts w:ascii="Verdana" w:hAnsi="Verdana" w:cs="Arial"/>
          <w:sz w:val="16"/>
          <w:szCs w:val="16"/>
        </w:rPr>
      </w:pPr>
    </w:p>
  </w:footnote>
  <w:footnote w:id="4">
    <w:p w14:paraId="5E1AF9F0" w14:textId="77777777" w:rsidR="000F6971" w:rsidRPr="00037794" w:rsidRDefault="000F6971" w:rsidP="000F6971">
      <w:pPr>
        <w:pStyle w:val="Textonotapie"/>
        <w:snapToGrid w:val="0"/>
        <w:ind w:firstLine="708"/>
        <w:jc w:val="both"/>
        <w:rPr>
          <w:rFonts w:ascii="Verdana" w:hAnsi="Verdana" w:cs="Arial"/>
          <w:sz w:val="16"/>
          <w:szCs w:val="16"/>
          <w:lang w:val="es-ES"/>
        </w:rPr>
      </w:pPr>
      <w:r w:rsidRPr="00037794">
        <w:rPr>
          <w:rStyle w:val="Refdenotaalpie"/>
          <w:rFonts w:ascii="Verdana" w:hAnsi="Verdana" w:cs="Arial"/>
          <w:sz w:val="16"/>
          <w:szCs w:val="16"/>
        </w:rPr>
        <w:footnoteRef/>
      </w:r>
      <w:r w:rsidRPr="00037794">
        <w:rPr>
          <w:rFonts w:ascii="Verdana" w:hAnsi="Verdana" w:cs="Arial"/>
          <w:sz w:val="16"/>
          <w:szCs w:val="16"/>
        </w:rPr>
        <w:t xml:space="preserve"> </w:t>
      </w:r>
      <w:r w:rsidRPr="00037794">
        <w:rPr>
          <w:rFonts w:ascii="Verdana" w:hAnsi="Verdana" w:cs="Arial"/>
          <w:sz w:val="16"/>
          <w:szCs w:val="16"/>
          <w:lang w:val="es-ES"/>
        </w:rPr>
        <w:t xml:space="preserve">MARÍN CORTÉS, Fabián G. El precio. Ed. Librería Jurídica Sánchez R. Ltda. y Centro de Estudios de Derecho Administrativo, Medellín, 2012, p. 60. </w:t>
      </w:r>
    </w:p>
  </w:footnote>
  <w:footnote w:id="5">
    <w:p w14:paraId="4BF356F6" w14:textId="77777777" w:rsidR="000F6971" w:rsidRPr="00037794" w:rsidRDefault="000F6971" w:rsidP="000F6971">
      <w:pPr>
        <w:pStyle w:val="Textonotapie"/>
        <w:snapToGrid w:val="0"/>
        <w:ind w:firstLine="708"/>
        <w:jc w:val="both"/>
        <w:rPr>
          <w:rFonts w:ascii="Verdana" w:hAnsi="Verdana" w:cs="Arial"/>
          <w:sz w:val="16"/>
          <w:szCs w:val="16"/>
        </w:rPr>
      </w:pPr>
      <w:r w:rsidRPr="00037794">
        <w:rPr>
          <w:rStyle w:val="Refdenotaalpie"/>
          <w:rFonts w:ascii="Verdana" w:hAnsi="Verdana" w:cs="Arial"/>
          <w:sz w:val="16"/>
          <w:szCs w:val="16"/>
        </w:rPr>
        <w:footnoteRef/>
      </w:r>
      <w:r w:rsidRPr="00037794">
        <w:rPr>
          <w:rFonts w:ascii="Verdana" w:hAnsi="Verdana" w:cs="Arial"/>
          <w:sz w:val="16"/>
          <w:szCs w:val="16"/>
        </w:rPr>
        <w:t xml:space="preserve"> </w:t>
      </w:r>
      <w:bookmarkStart w:id="6" w:name="_Hlk204013139"/>
      <w:r w:rsidRPr="00037794">
        <w:rPr>
          <w:rFonts w:ascii="Verdana" w:hAnsi="Verdana" w:cs="Arial"/>
          <w:sz w:val="16"/>
          <w:szCs w:val="16"/>
          <w:lang w:val="es-ES"/>
        </w:rPr>
        <w:t>Consejo de Estado, Sección Tercera, Subsección A sentencia de 19 de julio de 2018, M.P. Marta Nubia Velázquez Rico, Rad. 2013-01826(57.576)</w:t>
      </w:r>
      <w:r w:rsidRPr="00037794">
        <w:rPr>
          <w:rFonts w:ascii="Verdana" w:hAnsi="Verdana" w:cs="Arial"/>
          <w:sz w:val="16"/>
          <w:szCs w:val="16"/>
        </w:rPr>
        <w:t xml:space="preserve"> </w:t>
      </w:r>
      <w:bookmarkEnd w:id="6"/>
    </w:p>
  </w:footnote>
  <w:footnote w:id="6">
    <w:p w14:paraId="515BEEFD" w14:textId="77777777" w:rsidR="000F6971" w:rsidRPr="00037794" w:rsidRDefault="000F6971" w:rsidP="000F6971">
      <w:pPr>
        <w:pStyle w:val="Textonotapie"/>
        <w:snapToGrid w:val="0"/>
        <w:ind w:firstLine="708"/>
        <w:jc w:val="both"/>
        <w:rPr>
          <w:rFonts w:ascii="Verdana" w:hAnsi="Verdana" w:cs="Arial"/>
          <w:sz w:val="16"/>
          <w:szCs w:val="16"/>
          <w:lang w:val="es-ES"/>
        </w:rPr>
      </w:pPr>
      <w:r w:rsidRPr="00037794">
        <w:rPr>
          <w:rStyle w:val="Refdenotaalpie"/>
          <w:rFonts w:ascii="Verdana" w:hAnsi="Verdana" w:cs="Arial"/>
          <w:sz w:val="16"/>
          <w:szCs w:val="16"/>
        </w:rPr>
        <w:footnoteRef/>
      </w:r>
      <w:r w:rsidRPr="00037794">
        <w:rPr>
          <w:rFonts w:ascii="Verdana" w:hAnsi="Verdana" w:cs="Arial"/>
          <w:sz w:val="16"/>
          <w:szCs w:val="16"/>
        </w:rPr>
        <w:t xml:space="preserve"> </w:t>
      </w:r>
      <w:r w:rsidRPr="00037794">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EEC2EA9" w14:textId="77777777" w:rsidR="000F6971" w:rsidRPr="00037794" w:rsidRDefault="000F6971" w:rsidP="000F6971">
      <w:pPr>
        <w:pStyle w:val="Textonotapie"/>
        <w:snapToGrid w:val="0"/>
        <w:ind w:firstLine="709"/>
        <w:jc w:val="both"/>
        <w:rPr>
          <w:rFonts w:ascii="Verdana" w:hAnsi="Verdana" w:cs="Arial"/>
          <w:sz w:val="16"/>
          <w:szCs w:val="16"/>
          <w:lang w:val="es-ES"/>
        </w:rPr>
      </w:pPr>
      <w:r w:rsidRPr="00037794">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037794">
        <w:rPr>
          <w:rFonts w:ascii="Verdana" w:hAnsi="Verdana" w:cs="Arial"/>
          <w:i/>
          <w:iCs/>
          <w:sz w:val="16"/>
          <w:szCs w:val="16"/>
          <w:lang w:val="es-ES"/>
        </w:rPr>
        <w:t>costos directos</w:t>
      </w:r>
      <w:r w:rsidRPr="00037794">
        <w:rPr>
          <w:rFonts w:ascii="Verdana" w:hAnsi="Verdana" w:cs="Arial"/>
          <w:sz w:val="16"/>
          <w:szCs w:val="16"/>
          <w:lang w:val="es-ES"/>
        </w:rPr>
        <w:t xml:space="preserve"> y los</w:t>
      </w:r>
      <w:r w:rsidRPr="00037794">
        <w:rPr>
          <w:rFonts w:ascii="Verdana" w:hAnsi="Verdana" w:cs="Arial"/>
          <w:i/>
          <w:iCs/>
          <w:sz w:val="16"/>
          <w:szCs w:val="16"/>
          <w:lang w:val="es-ES"/>
        </w:rPr>
        <w:t xml:space="preserve"> costos indirectos</w:t>
      </w:r>
      <w:r w:rsidRPr="00037794">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037794">
        <w:rPr>
          <w:rFonts w:ascii="Verdana" w:hAnsi="Verdana" w:cs="Arial"/>
          <w:i/>
          <w:iCs/>
          <w:sz w:val="16"/>
          <w:szCs w:val="16"/>
          <w:lang w:val="es-ES"/>
        </w:rPr>
        <w:t>ítems</w:t>
      </w:r>
      <w:r w:rsidRPr="00037794">
        <w:rPr>
          <w:rFonts w:ascii="Verdana" w:hAnsi="Verdana" w:cs="Arial"/>
          <w:sz w:val="16"/>
          <w:szCs w:val="16"/>
          <w:lang w:val="es-ES"/>
        </w:rPr>
        <w:t xml:space="preserve"> que componen el contrato–. Los costos </w:t>
      </w:r>
      <w:r w:rsidRPr="00037794">
        <w:rPr>
          <w:rFonts w:ascii="Verdana" w:hAnsi="Verdana" w:cs="Arial"/>
          <w:i/>
          <w:iCs/>
          <w:sz w:val="16"/>
          <w:szCs w:val="16"/>
          <w:lang w:val="es-ES"/>
        </w:rPr>
        <w:t>indirectos</w:t>
      </w:r>
      <w:r w:rsidRPr="00037794">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7">
    <w:p w14:paraId="55C6DF90" w14:textId="77777777" w:rsidR="000F6971" w:rsidRPr="00037794" w:rsidRDefault="000F6971" w:rsidP="000F6971">
      <w:pPr>
        <w:snapToGrid w:val="0"/>
        <w:spacing w:after="0" w:line="240" w:lineRule="auto"/>
        <w:ind w:left="120" w:right="114" w:firstLine="707"/>
        <w:jc w:val="both"/>
        <w:rPr>
          <w:rFonts w:ascii="Verdana" w:hAnsi="Verdana"/>
          <w:sz w:val="16"/>
          <w:szCs w:val="16"/>
        </w:rPr>
      </w:pPr>
      <w:r w:rsidRPr="00037794">
        <w:rPr>
          <w:rStyle w:val="Refdenotaalpie"/>
          <w:rFonts w:ascii="Verdana" w:hAnsi="Verdana"/>
          <w:sz w:val="16"/>
          <w:szCs w:val="16"/>
        </w:rPr>
        <w:footnoteRef/>
      </w:r>
      <w:r w:rsidRPr="00037794">
        <w:rPr>
          <w:rFonts w:ascii="Verdana" w:hAnsi="Verdana"/>
          <w:sz w:val="16"/>
          <w:szCs w:val="16"/>
        </w:rPr>
        <w:t xml:space="preserve"> Consejo de Estado, Sección Cuarta, sentencia del 24 de octubre de 2002, C.P. Ligia López Díaz, Rad. 13.408.</w:t>
      </w:r>
    </w:p>
    <w:p w14:paraId="497B6CCE" w14:textId="77777777" w:rsidR="000F6971" w:rsidRPr="00037794" w:rsidRDefault="000F6971" w:rsidP="000F6971">
      <w:pPr>
        <w:pStyle w:val="Textonotapie"/>
        <w:snapToGrid w:val="0"/>
        <w:jc w:val="both"/>
        <w:rPr>
          <w:rFonts w:ascii="Verdana" w:hAnsi="Verdana"/>
          <w:sz w:val="16"/>
          <w:szCs w:val="16"/>
        </w:rPr>
      </w:pPr>
    </w:p>
  </w:footnote>
  <w:footnote w:id="8">
    <w:p w14:paraId="1F09FE58" w14:textId="77777777" w:rsidR="000F6971" w:rsidRPr="001D386C" w:rsidRDefault="000F6971" w:rsidP="000F6971">
      <w:pPr>
        <w:pStyle w:val="Textonotapie"/>
        <w:ind w:firstLine="709"/>
        <w:rPr>
          <w:rFonts w:ascii="Verdana" w:hAnsi="Verdana"/>
          <w:sz w:val="16"/>
          <w:szCs w:val="16"/>
          <w:lang w:val="es-ES"/>
        </w:rPr>
      </w:pPr>
      <w:r>
        <w:rPr>
          <w:rStyle w:val="Refdenotaalpie"/>
        </w:rPr>
        <w:footnoteRef/>
      </w:r>
      <w:r>
        <w:t xml:space="preserve"> </w:t>
      </w:r>
      <w:r w:rsidRPr="00045A51">
        <w:rPr>
          <w:rFonts w:ascii="Verdana" w:eastAsia="Calibri" w:hAnsi="Verdana" w:cs="Arial"/>
          <w:sz w:val="16"/>
          <w:szCs w:val="16"/>
          <w:lang w:val="es-ES_tradnl" w:eastAsia="es-ES_tradnl"/>
        </w:rPr>
        <w:t>Ibíd., p. 6</w:t>
      </w:r>
      <w:r>
        <w:rPr>
          <w:rFonts w:ascii="Verdana" w:eastAsia="Calibri" w:hAnsi="Verdana" w:cs="Arial"/>
          <w:sz w:val="16"/>
          <w:szCs w:val="16"/>
          <w:lang w:val="es-ES_tradnl" w:eastAsia="es-ES_tradnl"/>
        </w:rPr>
        <w:t>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5912"/>
    <w:rsid w:val="00046938"/>
    <w:rsid w:val="00046945"/>
    <w:rsid w:val="00061B2A"/>
    <w:rsid w:val="000636CD"/>
    <w:rsid w:val="00082362"/>
    <w:rsid w:val="0008365F"/>
    <w:rsid w:val="00094EF2"/>
    <w:rsid w:val="000A683E"/>
    <w:rsid w:val="000B19B9"/>
    <w:rsid w:val="000B5BD4"/>
    <w:rsid w:val="000B6F53"/>
    <w:rsid w:val="000C24DF"/>
    <w:rsid w:val="000D0334"/>
    <w:rsid w:val="000D46BA"/>
    <w:rsid w:val="000D5DA7"/>
    <w:rsid w:val="000D7343"/>
    <w:rsid w:val="000E6011"/>
    <w:rsid w:val="000F6486"/>
    <w:rsid w:val="000F6971"/>
    <w:rsid w:val="00103D11"/>
    <w:rsid w:val="001062AB"/>
    <w:rsid w:val="00116940"/>
    <w:rsid w:val="00125105"/>
    <w:rsid w:val="00127233"/>
    <w:rsid w:val="00130E3E"/>
    <w:rsid w:val="0015699B"/>
    <w:rsid w:val="00163EED"/>
    <w:rsid w:val="00174CB9"/>
    <w:rsid w:val="001A33BF"/>
    <w:rsid w:val="001A3E16"/>
    <w:rsid w:val="001C5846"/>
    <w:rsid w:val="001D0B1F"/>
    <w:rsid w:val="001D4C15"/>
    <w:rsid w:val="001E0D3C"/>
    <w:rsid w:val="001E4177"/>
    <w:rsid w:val="001E5BB6"/>
    <w:rsid w:val="001F0B24"/>
    <w:rsid w:val="001F1F62"/>
    <w:rsid w:val="001F7DC6"/>
    <w:rsid w:val="00206345"/>
    <w:rsid w:val="00207561"/>
    <w:rsid w:val="00210B12"/>
    <w:rsid w:val="0022400B"/>
    <w:rsid w:val="00241505"/>
    <w:rsid w:val="002421BB"/>
    <w:rsid w:val="00245708"/>
    <w:rsid w:val="00252405"/>
    <w:rsid w:val="00252E98"/>
    <w:rsid w:val="0025796E"/>
    <w:rsid w:val="002707A2"/>
    <w:rsid w:val="00272BAF"/>
    <w:rsid w:val="00277213"/>
    <w:rsid w:val="002778F6"/>
    <w:rsid w:val="002951A0"/>
    <w:rsid w:val="002962BC"/>
    <w:rsid w:val="002A0142"/>
    <w:rsid w:val="002A093D"/>
    <w:rsid w:val="002A0DD0"/>
    <w:rsid w:val="002A49AC"/>
    <w:rsid w:val="002A64FD"/>
    <w:rsid w:val="002B5FE7"/>
    <w:rsid w:val="002C59CB"/>
    <w:rsid w:val="002C7A84"/>
    <w:rsid w:val="002E2BF8"/>
    <w:rsid w:val="002E4FD9"/>
    <w:rsid w:val="002F5B43"/>
    <w:rsid w:val="00303644"/>
    <w:rsid w:val="0030657A"/>
    <w:rsid w:val="00316F28"/>
    <w:rsid w:val="00322A85"/>
    <w:rsid w:val="00324168"/>
    <w:rsid w:val="00325634"/>
    <w:rsid w:val="00330834"/>
    <w:rsid w:val="00337039"/>
    <w:rsid w:val="00337679"/>
    <w:rsid w:val="00337DBC"/>
    <w:rsid w:val="003448F4"/>
    <w:rsid w:val="00357DAC"/>
    <w:rsid w:val="0036499A"/>
    <w:rsid w:val="0037024B"/>
    <w:rsid w:val="00371E8C"/>
    <w:rsid w:val="00374F5E"/>
    <w:rsid w:val="00377E3E"/>
    <w:rsid w:val="00384DF7"/>
    <w:rsid w:val="003A779E"/>
    <w:rsid w:val="003B1E3B"/>
    <w:rsid w:val="003C5253"/>
    <w:rsid w:val="003D0F4D"/>
    <w:rsid w:val="003D5B0D"/>
    <w:rsid w:val="003E0499"/>
    <w:rsid w:val="003E4F80"/>
    <w:rsid w:val="003E6439"/>
    <w:rsid w:val="003F3941"/>
    <w:rsid w:val="003F6BEC"/>
    <w:rsid w:val="0040639B"/>
    <w:rsid w:val="00406575"/>
    <w:rsid w:val="00414C74"/>
    <w:rsid w:val="0042722E"/>
    <w:rsid w:val="00427DD1"/>
    <w:rsid w:val="0044528D"/>
    <w:rsid w:val="00466D9D"/>
    <w:rsid w:val="00466E39"/>
    <w:rsid w:val="0046790F"/>
    <w:rsid w:val="004A1847"/>
    <w:rsid w:val="004A305D"/>
    <w:rsid w:val="004B1FD6"/>
    <w:rsid w:val="004E2BDF"/>
    <w:rsid w:val="004F1549"/>
    <w:rsid w:val="004F21C4"/>
    <w:rsid w:val="004F2784"/>
    <w:rsid w:val="004F685F"/>
    <w:rsid w:val="0050164E"/>
    <w:rsid w:val="005237DE"/>
    <w:rsid w:val="005261A8"/>
    <w:rsid w:val="00532B12"/>
    <w:rsid w:val="0053697E"/>
    <w:rsid w:val="00547B99"/>
    <w:rsid w:val="005566E8"/>
    <w:rsid w:val="00560C90"/>
    <w:rsid w:val="00561C59"/>
    <w:rsid w:val="005656AF"/>
    <w:rsid w:val="00565A31"/>
    <w:rsid w:val="00574867"/>
    <w:rsid w:val="00591460"/>
    <w:rsid w:val="005A1EB3"/>
    <w:rsid w:val="005A54A6"/>
    <w:rsid w:val="005A65E0"/>
    <w:rsid w:val="005C3777"/>
    <w:rsid w:val="005C5CDC"/>
    <w:rsid w:val="005D476C"/>
    <w:rsid w:val="005D4DDA"/>
    <w:rsid w:val="005E1B9A"/>
    <w:rsid w:val="005F53D0"/>
    <w:rsid w:val="005F7B01"/>
    <w:rsid w:val="005F7E3A"/>
    <w:rsid w:val="00610079"/>
    <w:rsid w:val="006200BF"/>
    <w:rsid w:val="0062180F"/>
    <w:rsid w:val="006219F8"/>
    <w:rsid w:val="006246FD"/>
    <w:rsid w:val="00624D10"/>
    <w:rsid w:val="006302F7"/>
    <w:rsid w:val="00637BC9"/>
    <w:rsid w:val="0064618F"/>
    <w:rsid w:val="00646B9F"/>
    <w:rsid w:val="0065003D"/>
    <w:rsid w:val="00665D70"/>
    <w:rsid w:val="00674C17"/>
    <w:rsid w:val="00677659"/>
    <w:rsid w:val="00682913"/>
    <w:rsid w:val="006900D9"/>
    <w:rsid w:val="006C2850"/>
    <w:rsid w:val="006C34EC"/>
    <w:rsid w:val="006F0A0F"/>
    <w:rsid w:val="00702EF0"/>
    <w:rsid w:val="007059D9"/>
    <w:rsid w:val="007066CC"/>
    <w:rsid w:val="00706C16"/>
    <w:rsid w:val="00714980"/>
    <w:rsid w:val="00730E4D"/>
    <w:rsid w:val="00732B33"/>
    <w:rsid w:val="007340C3"/>
    <w:rsid w:val="0074684A"/>
    <w:rsid w:val="007479A3"/>
    <w:rsid w:val="00751546"/>
    <w:rsid w:val="0075235A"/>
    <w:rsid w:val="00753A8A"/>
    <w:rsid w:val="00756841"/>
    <w:rsid w:val="007649AB"/>
    <w:rsid w:val="00770D2C"/>
    <w:rsid w:val="00771D0C"/>
    <w:rsid w:val="0077414F"/>
    <w:rsid w:val="007833AC"/>
    <w:rsid w:val="00790679"/>
    <w:rsid w:val="00796D68"/>
    <w:rsid w:val="007A52BC"/>
    <w:rsid w:val="007B268C"/>
    <w:rsid w:val="007B4DA3"/>
    <w:rsid w:val="007B7171"/>
    <w:rsid w:val="007C0C0F"/>
    <w:rsid w:val="007C3DC2"/>
    <w:rsid w:val="007C5EF9"/>
    <w:rsid w:val="007C7686"/>
    <w:rsid w:val="007E24A9"/>
    <w:rsid w:val="007E5497"/>
    <w:rsid w:val="00806F5F"/>
    <w:rsid w:val="00820278"/>
    <w:rsid w:val="008258C9"/>
    <w:rsid w:val="00843694"/>
    <w:rsid w:val="00844AE9"/>
    <w:rsid w:val="008503B1"/>
    <w:rsid w:val="00850D44"/>
    <w:rsid w:val="00855F0D"/>
    <w:rsid w:val="00857D13"/>
    <w:rsid w:val="00867F95"/>
    <w:rsid w:val="00871C6D"/>
    <w:rsid w:val="008841DA"/>
    <w:rsid w:val="008843B6"/>
    <w:rsid w:val="00891928"/>
    <w:rsid w:val="008A1C85"/>
    <w:rsid w:val="008A446D"/>
    <w:rsid w:val="008B1238"/>
    <w:rsid w:val="008B25F1"/>
    <w:rsid w:val="008B4D41"/>
    <w:rsid w:val="008C3CA9"/>
    <w:rsid w:val="008D180B"/>
    <w:rsid w:val="008E6C6B"/>
    <w:rsid w:val="008F0EA7"/>
    <w:rsid w:val="00905AD9"/>
    <w:rsid w:val="00914E8C"/>
    <w:rsid w:val="0091652A"/>
    <w:rsid w:val="00923EEF"/>
    <w:rsid w:val="00931870"/>
    <w:rsid w:val="00932964"/>
    <w:rsid w:val="009419F9"/>
    <w:rsid w:val="00950DCC"/>
    <w:rsid w:val="0095685E"/>
    <w:rsid w:val="00961B09"/>
    <w:rsid w:val="00965334"/>
    <w:rsid w:val="0097093E"/>
    <w:rsid w:val="00971ACD"/>
    <w:rsid w:val="009821B5"/>
    <w:rsid w:val="00982BE4"/>
    <w:rsid w:val="00983B3D"/>
    <w:rsid w:val="00987D31"/>
    <w:rsid w:val="009A0DFA"/>
    <w:rsid w:val="009A1C6F"/>
    <w:rsid w:val="009B2D26"/>
    <w:rsid w:val="009B5D1B"/>
    <w:rsid w:val="009C24B0"/>
    <w:rsid w:val="009C71FA"/>
    <w:rsid w:val="009C72E7"/>
    <w:rsid w:val="009C7F7E"/>
    <w:rsid w:val="009D178B"/>
    <w:rsid w:val="009D3058"/>
    <w:rsid w:val="009F3A13"/>
    <w:rsid w:val="00A00E48"/>
    <w:rsid w:val="00A01E50"/>
    <w:rsid w:val="00A122D3"/>
    <w:rsid w:val="00A14468"/>
    <w:rsid w:val="00A17F13"/>
    <w:rsid w:val="00A20739"/>
    <w:rsid w:val="00A23AF9"/>
    <w:rsid w:val="00A23D2C"/>
    <w:rsid w:val="00A33C78"/>
    <w:rsid w:val="00A61E9E"/>
    <w:rsid w:val="00A65BE2"/>
    <w:rsid w:val="00A828F2"/>
    <w:rsid w:val="00A82A24"/>
    <w:rsid w:val="00A86784"/>
    <w:rsid w:val="00A872C7"/>
    <w:rsid w:val="00AB0ADB"/>
    <w:rsid w:val="00AB6F64"/>
    <w:rsid w:val="00AD2CA8"/>
    <w:rsid w:val="00AD318C"/>
    <w:rsid w:val="00AE1DD5"/>
    <w:rsid w:val="00AE5193"/>
    <w:rsid w:val="00AE6DD7"/>
    <w:rsid w:val="00B00C0E"/>
    <w:rsid w:val="00B01B1A"/>
    <w:rsid w:val="00B03680"/>
    <w:rsid w:val="00B0381D"/>
    <w:rsid w:val="00B045F9"/>
    <w:rsid w:val="00B102E8"/>
    <w:rsid w:val="00B36249"/>
    <w:rsid w:val="00B44A47"/>
    <w:rsid w:val="00B621C2"/>
    <w:rsid w:val="00B63A6A"/>
    <w:rsid w:val="00B72CD3"/>
    <w:rsid w:val="00B72FFF"/>
    <w:rsid w:val="00B86588"/>
    <w:rsid w:val="00BA2031"/>
    <w:rsid w:val="00BC1D7C"/>
    <w:rsid w:val="00BC291B"/>
    <w:rsid w:val="00BC3D36"/>
    <w:rsid w:val="00BC4646"/>
    <w:rsid w:val="00BD54A6"/>
    <w:rsid w:val="00BD7F72"/>
    <w:rsid w:val="00BE3054"/>
    <w:rsid w:val="00BF7425"/>
    <w:rsid w:val="00C02524"/>
    <w:rsid w:val="00C04AD2"/>
    <w:rsid w:val="00C04FB3"/>
    <w:rsid w:val="00C11D8B"/>
    <w:rsid w:val="00C15139"/>
    <w:rsid w:val="00C330EB"/>
    <w:rsid w:val="00C50386"/>
    <w:rsid w:val="00C50D69"/>
    <w:rsid w:val="00C51B18"/>
    <w:rsid w:val="00C5365C"/>
    <w:rsid w:val="00C60844"/>
    <w:rsid w:val="00C754BE"/>
    <w:rsid w:val="00C76B1C"/>
    <w:rsid w:val="00C9232D"/>
    <w:rsid w:val="00C925AC"/>
    <w:rsid w:val="00CB0808"/>
    <w:rsid w:val="00CB6357"/>
    <w:rsid w:val="00CC1B26"/>
    <w:rsid w:val="00CC7A7B"/>
    <w:rsid w:val="00CE21DE"/>
    <w:rsid w:val="00CE5011"/>
    <w:rsid w:val="00CF1A1E"/>
    <w:rsid w:val="00CF6338"/>
    <w:rsid w:val="00D22E44"/>
    <w:rsid w:val="00D35290"/>
    <w:rsid w:val="00D361FD"/>
    <w:rsid w:val="00D423A2"/>
    <w:rsid w:val="00D43C82"/>
    <w:rsid w:val="00D44E26"/>
    <w:rsid w:val="00D520D8"/>
    <w:rsid w:val="00D63AC2"/>
    <w:rsid w:val="00D63D31"/>
    <w:rsid w:val="00D710F2"/>
    <w:rsid w:val="00D7383B"/>
    <w:rsid w:val="00D7788A"/>
    <w:rsid w:val="00D80EAD"/>
    <w:rsid w:val="00D84DB5"/>
    <w:rsid w:val="00D8596D"/>
    <w:rsid w:val="00D87DD2"/>
    <w:rsid w:val="00DA0FE5"/>
    <w:rsid w:val="00DA231B"/>
    <w:rsid w:val="00DB6B84"/>
    <w:rsid w:val="00DC39FC"/>
    <w:rsid w:val="00DD1D23"/>
    <w:rsid w:val="00DD50DE"/>
    <w:rsid w:val="00DD553B"/>
    <w:rsid w:val="00DE1372"/>
    <w:rsid w:val="00DE37CC"/>
    <w:rsid w:val="00DF299C"/>
    <w:rsid w:val="00DF5254"/>
    <w:rsid w:val="00E0057B"/>
    <w:rsid w:val="00E02524"/>
    <w:rsid w:val="00E16408"/>
    <w:rsid w:val="00E20894"/>
    <w:rsid w:val="00E245AB"/>
    <w:rsid w:val="00E2511F"/>
    <w:rsid w:val="00E25199"/>
    <w:rsid w:val="00E2764C"/>
    <w:rsid w:val="00E27F2E"/>
    <w:rsid w:val="00E50AFE"/>
    <w:rsid w:val="00E52282"/>
    <w:rsid w:val="00E75C92"/>
    <w:rsid w:val="00E771DC"/>
    <w:rsid w:val="00E84703"/>
    <w:rsid w:val="00E858E3"/>
    <w:rsid w:val="00E8772A"/>
    <w:rsid w:val="00E90F6B"/>
    <w:rsid w:val="00E91A93"/>
    <w:rsid w:val="00E92C27"/>
    <w:rsid w:val="00E958FC"/>
    <w:rsid w:val="00E96275"/>
    <w:rsid w:val="00EA0E3D"/>
    <w:rsid w:val="00EB7C9D"/>
    <w:rsid w:val="00EC38A7"/>
    <w:rsid w:val="00ED29B0"/>
    <w:rsid w:val="00ED676C"/>
    <w:rsid w:val="00EE1AA8"/>
    <w:rsid w:val="00EE1CF1"/>
    <w:rsid w:val="00EF4E5F"/>
    <w:rsid w:val="00F00C3D"/>
    <w:rsid w:val="00F1644D"/>
    <w:rsid w:val="00F23FEA"/>
    <w:rsid w:val="00F31EDC"/>
    <w:rsid w:val="00F3302F"/>
    <w:rsid w:val="00F41821"/>
    <w:rsid w:val="00F462B3"/>
    <w:rsid w:val="00F50242"/>
    <w:rsid w:val="00F5664F"/>
    <w:rsid w:val="00F666C4"/>
    <w:rsid w:val="00F76AFC"/>
    <w:rsid w:val="00F77725"/>
    <w:rsid w:val="00F81194"/>
    <w:rsid w:val="00F81E00"/>
    <w:rsid w:val="00F862D4"/>
    <w:rsid w:val="00F91493"/>
    <w:rsid w:val="00FA47C0"/>
    <w:rsid w:val="00FA7581"/>
    <w:rsid w:val="00FB09C9"/>
    <w:rsid w:val="00FB41C3"/>
    <w:rsid w:val="00FB5DD1"/>
    <w:rsid w:val="00FC2B5D"/>
    <w:rsid w:val="00FC720C"/>
    <w:rsid w:val="00FF1449"/>
    <w:rsid w:val="00FF425D"/>
    <w:rsid w:val="00FF7963"/>
    <w:rsid w:val="071B8F93"/>
    <w:rsid w:val="07C73DD1"/>
    <w:rsid w:val="09908A09"/>
    <w:rsid w:val="0FF4CCA8"/>
    <w:rsid w:val="13CFC91B"/>
    <w:rsid w:val="19A2EC2C"/>
    <w:rsid w:val="21779BE6"/>
    <w:rsid w:val="2859CA1B"/>
    <w:rsid w:val="2EB18FB9"/>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1E0D3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E0D3C"/>
    <w:rPr>
      <w:rFonts w:ascii="Geomanist Light" w:hAnsi="Geomanist Light"/>
      <w:lang w:val="es-ES"/>
    </w:rPr>
  </w:style>
  <w:style w:type="paragraph" w:styleId="Textoindependiente">
    <w:name w:val="Body Text"/>
    <w:basedOn w:val="Normal"/>
    <w:link w:val="TextoindependienteCar"/>
    <w:uiPriority w:val="1"/>
    <w:qFormat/>
    <w:rsid w:val="001E0D3C"/>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1E0D3C"/>
    <w:rPr>
      <w:rFonts w:ascii="Arial" w:eastAsia="Arial" w:hAnsi="Arial" w:cs="Arial"/>
      <w:lang w:val="es-ES"/>
    </w:rPr>
  </w:style>
  <w:style w:type="paragraph" w:styleId="Sinespaciado">
    <w:name w:val="No Spacing"/>
    <w:aliases w:val="No Indent"/>
    <w:uiPriority w:val="3"/>
    <w:qFormat/>
    <w:rsid w:val="001E0D3C"/>
    <w:pPr>
      <w:spacing w:after="0" w:line="240" w:lineRule="auto"/>
    </w:pPr>
    <w:rPr>
      <w:sz w:val="24"/>
      <w:lang w:val="es-MX"/>
    </w:rPr>
  </w:style>
  <w:style w:type="character" w:customStyle="1" w:styleId="s15">
    <w:name w:val="s15"/>
    <w:basedOn w:val="Fuentedeprrafopredeter"/>
    <w:rsid w:val="001E0D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20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629F5D-CAAE-E546-B868-6F33B60ECB4A}">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669B4AC-74E5-42F6-8355-ECF0A69BC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19</Pages>
  <Words>6048</Words>
  <Characters>33264</Characters>
  <Application>Microsoft Office Word</Application>
  <DocSecurity>0</DocSecurity>
  <Lines>277</Lines>
  <Paragraphs>78</Paragraphs>
  <ScaleCrop>false</ScaleCrop>
  <Company/>
  <LinksUpToDate>false</LinksUpToDate>
  <CharactersWithSpaces>39234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2026-07-03T15:56:00Z</dcterms:created>
  <dcterms:modified xsi:type="dcterms:W3CDTF">2026-07-03T16:39:00Z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