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F3CA8" w14:textId="77777777" w:rsidR="00E06B0F" w:rsidRDefault="00E06B0F" w:rsidP="00E06B0F">
      <w:pPr>
        <w:jc w:val="both"/>
        <w:rPr>
          <w:rFonts w:ascii="Verdana" w:eastAsia="Calibri" w:hAnsi="Verdana" w:cs="Arial"/>
          <w:b/>
          <w:bCs/>
          <w:lang w:val="es-ES" w:eastAsia="es-ES"/>
        </w:rPr>
      </w:pPr>
      <w:bookmarkStart w:id="0" w:name="_Hlk143780582"/>
      <w:r w:rsidRPr="00E06B0F">
        <w:rPr>
          <w:rFonts w:ascii="Verdana" w:eastAsia="Calibri" w:hAnsi="Verdana" w:cs="Arial"/>
          <w:b/>
          <w:bCs/>
          <w:lang w:val="es-ES" w:eastAsia="es-ES"/>
        </w:rPr>
        <w:t>EGCAP – Ámbito de aplicación – Entidades estatales</w:t>
      </w:r>
    </w:p>
    <w:p w14:paraId="24CCC639" w14:textId="77777777" w:rsidR="00B1736C" w:rsidRDefault="00B1736C" w:rsidP="00B1736C">
      <w:pPr>
        <w:jc w:val="both"/>
        <w:rPr>
          <w:rFonts w:ascii="Verdana" w:hAnsi="Verdana" w:cs="Arial"/>
          <w:sz w:val="20"/>
          <w:szCs w:val="20"/>
          <w:lang w:val="es-ES_tradnl"/>
        </w:rPr>
      </w:pPr>
      <w:r w:rsidRPr="00B1736C">
        <w:rPr>
          <w:rFonts w:ascii="Verdana" w:hAnsi="Verdana" w:cs="Arial"/>
          <w:sz w:val="20"/>
          <w:szCs w:val="20"/>
          <w:lang w:val="es-ES_tradnl"/>
        </w:rPr>
        <w:t xml:space="preserve">De acuerdo con el inciso final del artículo 150 superior, corresponde al Congreso de la República expedir el Estatuto General de Contratación de la Administración Pública y, en especial, de la Administración Nacional. Esta competencia fue ejercida con la expedición de la Ley 80 de 1993, la cual rige para las </w:t>
      </w:r>
      <w:r w:rsidRPr="00B1736C">
        <w:rPr>
          <w:rFonts w:ascii="Verdana" w:hAnsi="Verdana" w:cs="Arial"/>
          <w:i/>
          <w:iCs/>
          <w:sz w:val="20"/>
          <w:szCs w:val="20"/>
          <w:lang w:val="es-ES_tradnl"/>
        </w:rPr>
        <w:t>entidades estatales</w:t>
      </w:r>
      <w:r w:rsidRPr="00B1736C">
        <w:rPr>
          <w:rFonts w:ascii="Verdana" w:hAnsi="Verdana" w:cs="Arial"/>
          <w:sz w:val="20"/>
          <w:szCs w:val="20"/>
          <w:lang w:val="es-ES_tradnl"/>
        </w:rPr>
        <w:t xml:space="preserve">, esto es, aquellas previstas en los literales a) y b) del numeral 1 del artículo 2 </w:t>
      </w:r>
      <w:r w:rsidRPr="00B1736C">
        <w:rPr>
          <w:rFonts w:ascii="Verdana" w:hAnsi="Verdana" w:cs="Arial"/>
          <w:i/>
          <w:iCs/>
          <w:sz w:val="20"/>
          <w:szCs w:val="20"/>
          <w:lang w:val="es-ES_tradnl"/>
        </w:rPr>
        <w:t>ibidem</w:t>
      </w:r>
      <w:r w:rsidRPr="00B1736C">
        <w:rPr>
          <w:rFonts w:ascii="Verdana" w:hAnsi="Verdana" w:cs="Arial"/>
          <w:sz w:val="20"/>
          <w:szCs w:val="20"/>
          <w:lang w:val="es-ES_tradnl"/>
        </w:rPr>
        <w:t>.</w:t>
      </w:r>
    </w:p>
    <w:p w14:paraId="6B725AAA" w14:textId="77777777" w:rsidR="00B1736C" w:rsidRDefault="00B1736C" w:rsidP="00B1736C">
      <w:pPr>
        <w:jc w:val="both"/>
        <w:rPr>
          <w:rFonts w:ascii="Verdana" w:hAnsi="Verdana" w:cs="Arial"/>
          <w:sz w:val="20"/>
          <w:szCs w:val="20"/>
          <w:lang w:val="es-ES_tradnl"/>
        </w:rPr>
      </w:pPr>
      <w:r w:rsidRPr="00B1736C">
        <w:rPr>
          <w:rFonts w:ascii="Verdana" w:eastAsia="Calibri" w:hAnsi="Verdana" w:cs="Arial"/>
          <w:sz w:val="20"/>
          <w:szCs w:val="20"/>
          <w:lang w:val="es-ES" w:eastAsia="es-ES"/>
        </w:rPr>
        <w:t xml:space="preserve">[…] </w:t>
      </w:r>
    </w:p>
    <w:p w14:paraId="42EF76F9" w14:textId="65F7B89D" w:rsidR="00B1736C" w:rsidRPr="00B1736C" w:rsidRDefault="00B1736C" w:rsidP="00B1736C">
      <w:pPr>
        <w:spacing w:after="0" w:line="240" w:lineRule="auto"/>
        <w:jc w:val="both"/>
        <w:rPr>
          <w:rFonts w:ascii="Verdana" w:hAnsi="Verdana" w:cs="Arial"/>
          <w:sz w:val="20"/>
          <w:szCs w:val="20"/>
          <w:lang w:val="es-ES_tradnl"/>
        </w:rPr>
      </w:pPr>
      <w:r w:rsidRPr="00B1736C">
        <w:rPr>
          <w:rFonts w:ascii="Verdana" w:eastAsia="Calibri" w:hAnsi="Verdana" w:cs="Arial"/>
          <w:sz w:val="20"/>
          <w:szCs w:val="20"/>
          <w:lang w:val="es-ES_tradnl" w:eastAsia="es-ES"/>
        </w:rPr>
        <w:t>Para las entidades de los párrafos anteriores, sin perjuicio de las excepciones puntales a la aplicación del EGCAP, los procesos de selección se rigen por el artículo 2 de la Ley 1150 de 2007. El numeral uno, inciso primero, dispone que “La escogencia del contratista se efectuará por regla general a través de licitación pública, con las excepciones que se señalan en los numerales 2, 3 y 4 del presente artículo” (Énfasis fuera de texto), norma que sustituye el derogado numeral 1 del artículo 24 de la Ley 80 de 1993 sobre el principio de transparencia. En este contexto, salvo norma especial que ordene la celebración del negocio jurídico por selección abreviada, concurso de méritos, mínima cuantía o contratación directa, debe aplicarse la regla general de licitación pública.</w:t>
      </w:r>
    </w:p>
    <w:p w14:paraId="60A8A8AE" w14:textId="01C0C196" w:rsidR="00E06B0F" w:rsidRPr="00E06B0F" w:rsidRDefault="00E06B0F" w:rsidP="00E06B0F">
      <w:pPr>
        <w:spacing w:after="0" w:line="240" w:lineRule="auto"/>
        <w:jc w:val="both"/>
        <w:rPr>
          <w:rFonts w:ascii="Verdana" w:eastAsia="Calibri" w:hAnsi="Verdana" w:cs="Arial"/>
          <w:b/>
          <w:bCs/>
          <w:lang w:val="es-ES" w:eastAsia="es-ES"/>
        </w:rPr>
      </w:pPr>
      <w:r w:rsidRPr="00E06B0F">
        <w:rPr>
          <w:rFonts w:ascii="Verdana" w:eastAsia="Calibri" w:hAnsi="Verdana" w:cs="Arial"/>
          <w:b/>
          <w:bCs/>
          <w:lang w:val="es-ES" w:eastAsia="es-ES"/>
        </w:rPr>
        <w:t xml:space="preserve"> </w:t>
      </w:r>
    </w:p>
    <w:p w14:paraId="54FA8B26" w14:textId="77777777" w:rsidR="00E06B0F" w:rsidRDefault="00E06B0F" w:rsidP="00E06B0F">
      <w:pPr>
        <w:jc w:val="both"/>
        <w:rPr>
          <w:rFonts w:ascii="Verdana" w:eastAsia="Calibri" w:hAnsi="Verdana" w:cs="Arial"/>
          <w:b/>
          <w:bCs/>
          <w:lang w:val="es-ES" w:eastAsia="es-ES"/>
        </w:rPr>
      </w:pPr>
      <w:r w:rsidRPr="00E06B0F">
        <w:rPr>
          <w:rFonts w:ascii="Verdana" w:eastAsia="Calibri" w:hAnsi="Verdana" w:cs="Arial"/>
          <w:b/>
          <w:bCs/>
          <w:lang w:val="es-ES" w:eastAsia="es-ES"/>
        </w:rPr>
        <w:t xml:space="preserve">ENTIDADES EXCEPTUADAS – Aplicación de normas de derecho público </w:t>
      </w:r>
    </w:p>
    <w:p w14:paraId="31CF181B" w14:textId="77777777" w:rsidR="00B1736C" w:rsidRDefault="00B1736C" w:rsidP="00B1736C">
      <w:pPr>
        <w:spacing w:after="0" w:line="240" w:lineRule="auto"/>
        <w:jc w:val="both"/>
        <w:rPr>
          <w:rFonts w:ascii="Verdana" w:hAnsi="Verdana" w:cs="Arial"/>
          <w:bCs/>
          <w:sz w:val="20"/>
          <w:szCs w:val="20"/>
          <w:lang w:val="es-ES_tradnl"/>
        </w:rPr>
      </w:pPr>
      <w:r>
        <w:rPr>
          <w:rFonts w:ascii="Verdana" w:hAnsi="Verdana" w:cs="Arial"/>
          <w:bCs/>
          <w:sz w:val="20"/>
          <w:szCs w:val="20"/>
          <w:lang w:val="es-ES_tradnl"/>
        </w:rPr>
        <w:t xml:space="preserve">[…] </w:t>
      </w:r>
      <w:r w:rsidRPr="00B1736C">
        <w:rPr>
          <w:rFonts w:ascii="Verdana" w:hAnsi="Verdana" w:cs="Arial"/>
          <w:bCs/>
          <w:sz w:val="20"/>
          <w:szCs w:val="20"/>
          <w:lang w:val="es-ES_tradnl"/>
        </w:rPr>
        <w:t xml:space="preserve">las </w:t>
      </w:r>
      <w:r w:rsidRPr="00B1736C">
        <w:rPr>
          <w:rFonts w:ascii="Verdana" w:hAnsi="Verdana" w:cs="Arial"/>
          <w:bCs/>
          <w:i/>
          <w:iCs/>
          <w:sz w:val="20"/>
          <w:szCs w:val="20"/>
          <w:lang w:val="es-ES_tradnl"/>
        </w:rPr>
        <w:t>entidades del régimen exceptuado</w:t>
      </w:r>
      <w:r w:rsidRPr="00B1736C">
        <w:rPr>
          <w:rFonts w:ascii="Verdana" w:hAnsi="Verdana" w:cs="Arial"/>
          <w:bCs/>
          <w:sz w:val="20"/>
          <w:szCs w:val="20"/>
          <w:lang w:val="es-ES_tradnl"/>
        </w:rPr>
        <w:t xml:space="preserve"> no se deslingan por completo de las normas de derecho público. Esto en la medida que el inciso primero del artículo 13 de la Ley 1150 de 2007 prescribe lo siguiente: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57E6DA03" w14:textId="77777777" w:rsidR="00B1736C" w:rsidRDefault="00B1736C" w:rsidP="00B1736C">
      <w:pPr>
        <w:spacing w:after="0" w:line="240" w:lineRule="auto"/>
        <w:jc w:val="both"/>
        <w:rPr>
          <w:rFonts w:ascii="Verdana" w:hAnsi="Verdana" w:cs="Arial"/>
          <w:bCs/>
          <w:sz w:val="20"/>
          <w:szCs w:val="20"/>
          <w:lang w:val="es-ES_tradnl"/>
        </w:rPr>
      </w:pPr>
    </w:p>
    <w:p w14:paraId="5EA1EB26" w14:textId="77777777" w:rsidR="00B1736C" w:rsidRDefault="00B1736C" w:rsidP="00B1736C">
      <w:pPr>
        <w:spacing w:after="0" w:line="240" w:lineRule="auto"/>
        <w:jc w:val="both"/>
        <w:rPr>
          <w:rFonts w:ascii="Verdana" w:hAnsi="Verdana" w:cs="Arial"/>
          <w:bCs/>
          <w:sz w:val="20"/>
          <w:szCs w:val="20"/>
          <w:lang w:val="es-ES_tradnl"/>
        </w:rPr>
      </w:pPr>
      <w:r>
        <w:rPr>
          <w:rFonts w:ascii="Verdana" w:hAnsi="Verdana" w:cs="Arial"/>
          <w:bCs/>
          <w:sz w:val="20"/>
          <w:szCs w:val="20"/>
          <w:lang w:val="es-ES_tradnl"/>
        </w:rPr>
        <w:t xml:space="preserve">[…] </w:t>
      </w:r>
    </w:p>
    <w:p w14:paraId="5F60BF63" w14:textId="77777777" w:rsidR="00B1736C" w:rsidRDefault="00B1736C" w:rsidP="00B1736C">
      <w:pPr>
        <w:spacing w:after="0" w:line="240" w:lineRule="auto"/>
        <w:jc w:val="both"/>
        <w:rPr>
          <w:rFonts w:ascii="Verdana" w:hAnsi="Verdana" w:cs="Arial"/>
          <w:bCs/>
          <w:sz w:val="20"/>
          <w:szCs w:val="20"/>
          <w:lang w:val="es-ES_tradnl"/>
        </w:rPr>
      </w:pPr>
    </w:p>
    <w:p w14:paraId="10CAD58C" w14:textId="04C6F2E4" w:rsidR="00B1736C" w:rsidRPr="00B1736C" w:rsidRDefault="00B1736C" w:rsidP="00B1736C">
      <w:pPr>
        <w:spacing w:after="0" w:line="240" w:lineRule="auto"/>
        <w:jc w:val="both"/>
        <w:rPr>
          <w:rFonts w:ascii="Verdana" w:hAnsi="Verdana" w:cs="Arial"/>
          <w:bCs/>
          <w:sz w:val="20"/>
          <w:szCs w:val="20"/>
          <w:lang w:val="es-ES_tradnl"/>
        </w:rPr>
      </w:pPr>
      <w:r w:rsidRPr="00B1736C">
        <w:rPr>
          <w:rFonts w:ascii="Verdana" w:eastAsia="Calibri" w:hAnsi="Verdana" w:cs="Arial"/>
          <w:color w:val="000000" w:themeColor="text1"/>
          <w:sz w:val="20"/>
          <w:szCs w:val="20"/>
          <w:lang w:val="es-ES_tradnl"/>
        </w:rPr>
        <w:t xml:space="preserve">Las </w:t>
      </w:r>
      <w:r w:rsidRPr="00B1736C">
        <w:rPr>
          <w:rFonts w:ascii="Verdana" w:eastAsia="Calibri" w:hAnsi="Verdana" w:cs="Arial"/>
          <w:i/>
          <w:iCs/>
          <w:color w:val="000000" w:themeColor="text1"/>
          <w:sz w:val="20"/>
          <w:szCs w:val="20"/>
          <w:lang w:val="es-ES_tradnl"/>
        </w:rPr>
        <w:t>entidades de régimen especial</w:t>
      </w:r>
      <w:r w:rsidRPr="00B1736C">
        <w:rPr>
          <w:rFonts w:ascii="Verdana" w:eastAsia="Calibri" w:hAnsi="Verdana" w:cs="Arial"/>
          <w:color w:val="000000" w:themeColor="text1"/>
          <w:sz w:val="20"/>
          <w:szCs w:val="20"/>
          <w:lang w:val="es-ES_tradnl"/>
        </w:rPr>
        <w:t xml:space="preserve"> son aquellas que, por expresa disposición legal y por su naturaleza o situación de competencia, tienen condiciones diferenciales respecto de la normativa de contratación pública. Esto quiere decir que no están sometidas al Estatuto General de Contratación de la Administración Pública, y por ende sus procedimientos contractuales tienen su normativa propia para su desarrollo, esto es, el derecho privado, lo cual está determinado en las normas de creación de las entidades de régimen especial y en sus manuales de contratación.</w:t>
      </w:r>
    </w:p>
    <w:p w14:paraId="39264D38" w14:textId="77777777" w:rsidR="00B1736C" w:rsidRPr="00B1736C" w:rsidRDefault="00B1736C" w:rsidP="00E06B0F">
      <w:pPr>
        <w:jc w:val="both"/>
        <w:rPr>
          <w:rFonts w:ascii="Verdana" w:eastAsia="Calibri" w:hAnsi="Verdana" w:cs="Arial"/>
          <w:b/>
          <w:bCs/>
          <w:lang w:val="es-ES_tradnl" w:eastAsia="es-ES"/>
        </w:rPr>
      </w:pPr>
    </w:p>
    <w:p w14:paraId="334F47B6" w14:textId="77777777" w:rsidR="00B1736C" w:rsidRPr="00E06B0F" w:rsidRDefault="00B1736C" w:rsidP="00E06B0F">
      <w:pPr>
        <w:spacing w:after="0" w:line="240" w:lineRule="auto"/>
        <w:jc w:val="both"/>
        <w:rPr>
          <w:rFonts w:ascii="Verdana" w:eastAsia="Calibri" w:hAnsi="Verdana" w:cs="Arial"/>
          <w:b/>
          <w:bCs/>
          <w:lang w:val="es-ES" w:eastAsia="es-ES"/>
        </w:rPr>
      </w:pPr>
    </w:p>
    <w:p w14:paraId="7F54DEE9" w14:textId="77777777" w:rsidR="00E06B0F" w:rsidRDefault="00E06B0F" w:rsidP="00B1736C">
      <w:pPr>
        <w:jc w:val="both"/>
        <w:rPr>
          <w:rFonts w:ascii="Verdana" w:eastAsia="Calibri" w:hAnsi="Verdana" w:cs="Arial"/>
          <w:b/>
          <w:bCs/>
          <w:lang w:val="es-ES" w:eastAsia="es-ES"/>
        </w:rPr>
      </w:pPr>
      <w:r w:rsidRPr="00E06B0F">
        <w:rPr>
          <w:rFonts w:ascii="Verdana" w:eastAsia="Calibri" w:hAnsi="Verdana" w:cs="Arial"/>
          <w:b/>
          <w:bCs/>
          <w:lang w:val="es-ES" w:eastAsia="es-ES"/>
        </w:rPr>
        <w:lastRenderedPageBreak/>
        <w:t xml:space="preserve">CONTRATOS ESTATALES – Régimen especial – Obligaciones transversales – Manual de contratación – Límites </w:t>
      </w:r>
    </w:p>
    <w:p w14:paraId="2C5979CB" w14:textId="4A12541C" w:rsidR="00B1736C" w:rsidRDefault="00B1736C" w:rsidP="00B1736C">
      <w:pPr>
        <w:spacing w:after="0" w:line="240" w:lineRule="auto"/>
        <w:jc w:val="both"/>
        <w:rPr>
          <w:rFonts w:ascii="Verdana" w:eastAsia="Calibri" w:hAnsi="Verdana" w:cs="Arial"/>
          <w:color w:val="000000" w:themeColor="text1"/>
          <w:sz w:val="20"/>
          <w:szCs w:val="20"/>
          <w:lang w:val="es-ES_tradnl"/>
        </w:rPr>
      </w:pPr>
      <w:r w:rsidRPr="00B1736C">
        <w:rPr>
          <w:rFonts w:ascii="Verdana" w:eastAsia="Calibri" w:hAnsi="Verdana" w:cs="Arial"/>
          <w:color w:val="000000" w:themeColor="text1"/>
          <w:sz w:val="20"/>
          <w:szCs w:val="20"/>
          <w:lang w:val="es-ES_tradnl"/>
        </w:rPr>
        <w:t>Teniendo en cuenta que las entidades de régimen especial están facultadas legalmente para aplicar reglas distintas a las establecidas en la Ley 80 de 1993 y sus normas complementarias, su régimen contractual estará definido en la norma que crea el régimen especial y será desarrollado en el manual de contratación de la respectiva entidad, con el fin de que se puedan identificar las reglas que aplican en la contratación. La Agencia Nacional de Contratación Pública – Colombia Compra Eficiente expidió la Guía para las entidades estatales con régimen especial de contratación, que las define como aquellas que contratan con un régimen distinto a las Leyes 80 de 1993 y 1150 de 2007.</w:t>
      </w:r>
    </w:p>
    <w:p w14:paraId="0D8BDFB8" w14:textId="77777777" w:rsidR="00B1736C" w:rsidRDefault="00B1736C" w:rsidP="00B1736C">
      <w:pPr>
        <w:spacing w:after="0" w:line="240" w:lineRule="auto"/>
        <w:jc w:val="both"/>
        <w:rPr>
          <w:rFonts w:ascii="Verdana" w:eastAsia="Calibri" w:hAnsi="Verdana" w:cs="Arial"/>
          <w:color w:val="000000" w:themeColor="text1"/>
          <w:sz w:val="20"/>
          <w:szCs w:val="20"/>
          <w:lang w:val="es-ES_tradnl"/>
        </w:rPr>
      </w:pPr>
    </w:p>
    <w:p w14:paraId="31769D58" w14:textId="7FA239AF" w:rsidR="00B1736C" w:rsidRDefault="00B1736C" w:rsidP="00B1736C">
      <w:pPr>
        <w:spacing w:after="0" w:line="240" w:lineRule="auto"/>
        <w:jc w:val="both"/>
        <w:rPr>
          <w:rFonts w:ascii="Verdana" w:eastAsia="Calibri" w:hAnsi="Verdana" w:cs="Arial"/>
          <w:color w:val="000000" w:themeColor="text1"/>
          <w:sz w:val="20"/>
          <w:szCs w:val="20"/>
          <w:lang w:val="es-ES_tradnl"/>
        </w:rPr>
      </w:pPr>
      <w:r w:rsidRPr="00B1736C">
        <w:rPr>
          <w:rFonts w:ascii="Verdana" w:eastAsia="Calibri" w:hAnsi="Verdana" w:cs="Arial"/>
          <w:color w:val="000000" w:themeColor="text1"/>
          <w:sz w:val="20"/>
          <w:szCs w:val="20"/>
          <w:lang w:val="es-ES_tradnl"/>
        </w:rPr>
        <w:t>No obstante, las entidades de régimen especial cumplen una finalidad pública y utilizan recursos públicos para lograrlo, por lo que no son ajenas a los principios de la función administrativa y de la gestión fiscal, entre otras reglas dispuestas en la normativa de contratación pública que son transversales a todas las entidades, sin importar su régimen contractual.</w:t>
      </w:r>
    </w:p>
    <w:p w14:paraId="327B4DC8" w14:textId="77777777" w:rsidR="00B1736C" w:rsidRDefault="00B1736C" w:rsidP="00B1736C">
      <w:pPr>
        <w:spacing w:after="0" w:line="240" w:lineRule="auto"/>
        <w:jc w:val="both"/>
        <w:rPr>
          <w:rFonts w:ascii="Verdana" w:eastAsia="Calibri" w:hAnsi="Verdana" w:cs="Arial"/>
          <w:color w:val="000000" w:themeColor="text1"/>
          <w:sz w:val="20"/>
          <w:szCs w:val="20"/>
          <w:lang w:val="es-ES_tradnl"/>
        </w:rPr>
      </w:pPr>
    </w:p>
    <w:p w14:paraId="6E74E77E" w14:textId="766DC210" w:rsidR="00B1736C" w:rsidRDefault="00B1736C" w:rsidP="00B1736C">
      <w:pPr>
        <w:spacing w:after="0" w:line="240" w:lineRule="auto"/>
        <w:jc w:val="both"/>
        <w:rPr>
          <w:rFonts w:ascii="Verdana" w:eastAsia="Calibri" w:hAnsi="Verdana" w:cs="Arial"/>
          <w:color w:val="000000" w:themeColor="text1"/>
          <w:sz w:val="20"/>
          <w:szCs w:val="20"/>
          <w:lang w:val="es-ES_tradnl"/>
        </w:rPr>
      </w:pPr>
      <w:r>
        <w:rPr>
          <w:rFonts w:ascii="Verdana" w:eastAsia="Calibri" w:hAnsi="Verdana" w:cs="Arial"/>
          <w:color w:val="000000" w:themeColor="text1"/>
          <w:sz w:val="20"/>
          <w:szCs w:val="20"/>
          <w:lang w:val="es-ES_tradnl"/>
        </w:rPr>
        <w:t xml:space="preserve">[…] </w:t>
      </w:r>
    </w:p>
    <w:p w14:paraId="7825CE2B" w14:textId="77777777" w:rsidR="00B1736C" w:rsidRDefault="00B1736C" w:rsidP="00B1736C">
      <w:pPr>
        <w:spacing w:after="0" w:line="240" w:lineRule="auto"/>
        <w:jc w:val="both"/>
        <w:rPr>
          <w:rFonts w:ascii="Verdana" w:eastAsia="Calibri" w:hAnsi="Verdana" w:cs="Arial"/>
          <w:color w:val="000000" w:themeColor="text1"/>
          <w:sz w:val="20"/>
          <w:szCs w:val="20"/>
          <w:lang w:val="es-ES_tradnl"/>
        </w:rPr>
      </w:pPr>
    </w:p>
    <w:p w14:paraId="455CB4AD" w14:textId="4208585D" w:rsidR="00B1736C" w:rsidRDefault="00B1736C" w:rsidP="00B1736C">
      <w:pPr>
        <w:spacing w:after="0" w:line="240" w:lineRule="auto"/>
        <w:jc w:val="both"/>
        <w:rPr>
          <w:rFonts w:ascii="Verdana" w:eastAsia="Calibri" w:hAnsi="Verdana" w:cs="Arial"/>
          <w:color w:val="000000" w:themeColor="text1"/>
          <w:sz w:val="20"/>
          <w:szCs w:val="20"/>
          <w:lang w:val="es-ES_tradnl"/>
        </w:rPr>
      </w:pPr>
      <w:r w:rsidRPr="00B1736C">
        <w:rPr>
          <w:rFonts w:ascii="Verdana" w:eastAsia="Calibri" w:hAnsi="Verdana" w:cs="Arial"/>
          <w:color w:val="000000" w:themeColor="text1"/>
          <w:sz w:val="20"/>
          <w:szCs w:val="20"/>
          <w:lang w:val="es-ES_tradnl"/>
        </w:rPr>
        <w:t>Considerando que las entidades de régimen especial administran recursos públicos, sus manuales de contratación deben ceñirse a unas reglas mínimas que garanticen el cumplimiento de los principios de la función pública, el control fiscal y los principios rectores de la contratación estatal. Dentro de estas reglas deben indicar el contenido de las propuestas y los procedimientos de selección, llevar una descripción precisa del procedimiento, los plazos de las etapas y los criterios de evaluación, y todos los criterios necesarios para garantizar la selección objetiva y la protección del interés general. Lo anterior, sin perjuicio de que algunas de estas reglas se establezcan, complementen o detallen en los documentos que se expiden en desarrollo de sus procedimientos contractuales</w:t>
      </w:r>
      <w:r>
        <w:rPr>
          <w:rFonts w:ascii="Verdana" w:eastAsia="Calibri" w:hAnsi="Verdana" w:cs="Arial"/>
          <w:color w:val="000000" w:themeColor="text1"/>
          <w:sz w:val="20"/>
          <w:szCs w:val="20"/>
          <w:lang w:val="es-ES_tradnl"/>
        </w:rPr>
        <w:t>.</w:t>
      </w:r>
    </w:p>
    <w:p w14:paraId="6C063864" w14:textId="77777777" w:rsidR="00D954B5" w:rsidRDefault="00D954B5" w:rsidP="00B1736C">
      <w:pPr>
        <w:spacing w:after="0" w:line="240" w:lineRule="auto"/>
        <w:jc w:val="both"/>
        <w:rPr>
          <w:rFonts w:ascii="Verdana" w:eastAsia="Calibri" w:hAnsi="Verdana" w:cs="Arial"/>
          <w:color w:val="000000" w:themeColor="text1"/>
          <w:sz w:val="20"/>
          <w:szCs w:val="20"/>
          <w:lang w:val="es-ES_tradnl"/>
        </w:rPr>
      </w:pPr>
    </w:p>
    <w:p w14:paraId="4C6C3176" w14:textId="383D018E" w:rsidR="00D954B5" w:rsidRDefault="00D954B5" w:rsidP="00B1736C">
      <w:pPr>
        <w:spacing w:after="0" w:line="240" w:lineRule="auto"/>
        <w:jc w:val="both"/>
        <w:rPr>
          <w:rFonts w:ascii="Verdana" w:eastAsia="Calibri" w:hAnsi="Verdana" w:cs="Arial"/>
          <w:color w:val="000000" w:themeColor="text1"/>
          <w:sz w:val="20"/>
          <w:szCs w:val="20"/>
          <w:lang w:val="es-ES_tradnl"/>
        </w:rPr>
      </w:pPr>
      <w:r>
        <w:rPr>
          <w:rFonts w:ascii="Verdana" w:eastAsia="Calibri" w:hAnsi="Verdana" w:cs="Arial"/>
          <w:color w:val="000000" w:themeColor="text1"/>
          <w:sz w:val="20"/>
          <w:szCs w:val="20"/>
          <w:lang w:val="es-ES_tradnl"/>
        </w:rPr>
        <w:t>[…]</w:t>
      </w:r>
    </w:p>
    <w:p w14:paraId="784B2A6C" w14:textId="77777777" w:rsidR="00D954B5" w:rsidRDefault="00D954B5" w:rsidP="00B1736C">
      <w:pPr>
        <w:spacing w:after="0" w:line="240" w:lineRule="auto"/>
        <w:jc w:val="both"/>
        <w:rPr>
          <w:rFonts w:ascii="Verdana" w:eastAsia="Calibri" w:hAnsi="Verdana" w:cs="Arial"/>
          <w:color w:val="000000" w:themeColor="text1"/>
          <w:sz w:val="20"/>
          <w:szCs w:val="20"/>
          <w:lang w:val="es-ES_tradnl"/>
        </w:rPr>
      </w:pPr>
    </w:p>
    <w:p w14:paraId="0E8FC045" w14:textId="4D6C544D" w:rsidR="00D954B5" w:rsidRPr="00B1736C" w:rsidRDefault="00D954B5" w:rsidP="00B1736C">
      <w:pPr>
        <w:spacing w:after="0" w:line="240" w:lineRule="auto"/>
        <w:jc w:val="both"/>
        <w:rPr>
          <w:rFonts w:ascii="Verdana" w:eastAsia="Calibri" w:hAnsi="Verdana" w:cs="Arial"/>
          <w:color w:val="000000" w:themeColor="text1"/>
          <w:sz w:val="20"/>
          <w:szCs w:val="20"/>
          <w:lang w:val="es-ES_tradnl"/>
        </w:rPr>
      </w:pPr>
      <w:r w:rsidRPr="00D954B5">
        <w:rPr>
          <w:rFonts w:ascii="Verdana" w:eastAsia="Calibri" w:hAnsi="Verdana" w:cs="Arial"/>
          <w:color w:val="000000" w:themeColor="text1"/>
          <w:sz w:val="20"/>
          <w:szCs w:val="20"/>
          <w:lang w:val="es-ES_tradnl"/>
        </w:rPr>
        <w:t>Adicionalmente, las entidades estatales que, por disposición legal, cuentan con un régimen especial , exceptuado del Estatuto General de Contratación de la Administración Pública –Leyes 80 de 1993, 1150 de 2007 y normas complementarias – pueden expedir un reglamento interno de contratación –comúnmente denominado manual de contratación–, que regule aspectos asociados a la actividad contractual, como los procedimientos de selección, los requisitos de participación, las condiciones de ejecución del contrato, etc. En otras palabras, el manual de contratación de las entidades exceptuadas es un acto administrativo y, de manera más concreta, un reglamento, pues, además de consistir en una manifestación unilateral de voluntad efectuada por la entidad estatal, en ejercicio de función administrativa, dirigida a producir efectos jurídicos, tiene vocación de permanencia en el tiempo. Esto significa que el manual de contratación despliega sus efectos de manera indefinida en el futuro, no agotándose con una sola aplicación.</w:t>
      </w:r>
    </w:p>
    <w:p w14:paraId="2AC21F2B" w14:textId="77777777" w:rsidR="00E06B0F" w:rsidRDefault="00E06B0F" w:rsidP="00E06B0F">
      <w:pPr>
        <w:jc w:val="both"/>
        <w:rPr>
          <w:rFonts w:ascii="Verdana" w:eastAsia="Calibri" w:hAnsi="Verdana" w:cs="Arial"/>
          <w:b/>
          <w:bCs/>
          <w:lang w:val="es-ES" w:eastAsia="es-ES"/>
        </w:rPr>
      </w:pPr>
      <w:r w:rsidRPr="00E06B0F">
        <w:rPr>
          <w:rFonts w:ascii="Verdana" w:eastAsia="Calibri" w:hAnsi="Verdana" w:cs="Arial"/>
          <w:b/>
          <w:bCs/>
          <w:lang w:val="es-ES" w:eastAsia="es-ES"/>
        </w:rPr>
        <w:t xml:space="preserve">EMPRESAS INDUSTRIALES Y COMERCIALES DEL ESTADO – Régimen contractual – Ley 80 de 1993 – Derecho privado </w:t>
      </w:r>
    </w:p>
    <w:p w14:paraId="7098128F" w14:textId="77777777" w:rsidR="0068597B" w:rsidRDefault="0068597B" w:rsidP="0068597B">
      <w:pPr>
        <w:jc w:val="both"/>
        <w:rPr>
          <w:rFonts w:ascii="Verdana" w:eastAsia="Calibri" w:hAnsi="Verdana" w:cs="Arial"/>
          <w:sz w:val="20"/>
          <w:szCs w:val="20"/>
          <w:lang w:val="es-ES" w:eastAsia="es-ES"/>
        </w:rPr>
      </w:pPr>
      <w:r w:rsidRPr="0068597B">
        <w:rPr>
          <w:rFonts w:ascii="Verdana" w:eastAsia="Calibri" w:hAnsi="Verdana" w:cs="Arial"/>
          <w:sz w:val="20"/>
          <w:szCs w:val="20"/>
          <w:lang w:val="es-ES" w:eastAsia="es-ES"/>
        </w:rPr>
        <w:t xml:space="preserve">En la estructura de la Administración pública se encuentran las entidades descentralizadas por servicios, y dentro de dicha categoría se ubican las empresas industriales y comerciales del Estado, las cuales –sin perjuicio del control de tutela– tienen personería jurídica, autonomía administrativa y patrimonio propio. El inciso primero del artículo 85 de la Ley 489 de 1998 las define como “[…] organismos creados por la ley o autorizados por ésta, que desarrollan actividades de naturaleza industrial o comercial y de gestión económica conforme a las reglas del Derecho Privado, salvo las excepciones que consagra la ley […]”. </w:t>
      </w:r>
    </w:p>
    <w:p w14:paraId="4510EB83" w14:textId="77777777" w:rsidR="0068597B" w:rsidRDefault="0068597B" w:rsidP="0068597B">
      <w:pPr>
        <w:jc w:val="both"/>
        <w:rPr>
          <w:rFonts w:ascii="Verdana" w:eastAsia="Calibri" w:hAnsi="Verdana" w:cs="Arial"/>
          <w:sz w:val="20"/>
          <w:szCs w:val="20"/>
          <w:lang w:val="es-ES" w:eastAsia="es-ES"/>
        </w:rPr>
      </w:pPr>
      <w:r w:rsidRPr="0068597B">
        <w:rPr>
          <w:rFonts w:ascii="Verdana" w:eastAsia="Calibri" w:hAnsi="Verdana" w:cs="Arial"/>
          <w:sz w:val="20"/>
          <w:szCs w:val="20"/>
          <w:lang w:val="es-ES" w:eastAsia="es-ES"/>
        </w:rPr>
        <w:t xml:space="preserve">Considerando la actividad desarrollada, se itera, de carácter industrial o comercial, el régimen jurídico aplicable a estas empresas difiere del que corresponde a otras entidades descentralizadas funcionalmente o por servicios, como las superintendencias con personería jurídica, los establecimientos públicos o las unidades administrativas especiales, pues la regla general es el derecho privado, salvo excepciones legales.         </w:t>
      </w:r>
    </w:p>
    <w:p w14:paraId="6CDD0FFF" w14:textId="77777777" w:rsidR="0068597B" w:rsidRDefault="0068597B" w:rsidP="0068597B">
      <w:pPr>
        <w:jc w:val="both"/>
        <w:rPr>
          <w:rFonts w:ascii="Verdana" w:eastAsia="Calibri" w:hAnsi="Verdana" w:cs="Arial"/>
          <w:sz w:val="20"/>
          <w:szCs w:val="20"/>
          <w:lang w:val="es-ES" w:eastAsia="es-ES"/>
        </w:rPr>
      </w:pPr>
      <w:r w:rsidRPr="0068597B">
        <w:rPr>
          <w:rFonts w:ascii="Verdana" w:eastAsia="Calibri" w:hAnsi="Verdana" w:cs="Arial"/>
          <w:sz w:val="20"/>
          <w:szCs w:val="20"/>
          <w:lang w:val="es-ES" w:eastAsia="es-ES"/>
        </w:rPr>
        <w:t xml:space="preserve">Sobre el régimen de contratación, el artículo 2 de la Ley 80 de 1993 incorporó a las empresas industriales y comerciales del Estado dentro de la categoría de entidades estatales. Para estos efectos, el numeral 1, literal m), del artículo 24 del Estatuto General –derogado por el artículo 32 de la Ley 1150 de 2007– permitía la contratación directa de los bienes y servicios requeridos para el desarrollo de su objeto social, exceptuado los contratos de obra, consultoría, concesión, encargos fiduciarios y fiducia pública. Con el literal g) del artículo 2.2 de la Ley 1150 de 2007, dicha circunstancia se convierte en una causal de selección abreviada, la cual se regirá por el procedimiento de menor cuantía conforme al artículo 2.2.1.2.1.2.24 del Decreto 1082 de 2015.  </w:t>
      </w:r>
    </w:p>
    <w:p w14:paraId="3D9E69D2" w14:textId="56ED68DF" w:rsidR="0068597B" w:rsidRDefault="0068597B" w:rsidP="0068597B">
      <w:pPr>
        <w:jc w:val="both"/>
        <w:rPr>
          <w:rFonts w:ascii="Verdana" w:eastAsia="Calibri" w:hAnsi="Verdana" w:cs="Arial"/>
          <w:sz w:val="20"/>
          <w:szCs w:val="20"/>
          <w:lang w:val="es-ES" w:eastAsia="es-ES"/>
        </w:rPr>
      </w:pPr>
      <w:r w:rsidRPr="0068597B">
        <w:rPr>
          <w:rFonts w:ascii="Verdana" w:eastAsia="Calibri" w:hAnsi="Verdana" w:cs="Arial"/>
          <w:sz w:val="20"/>
          <w:szCs w:val="20"/>
          <w:lang w:val="es-ES" w:eastAsia="es-ES"/>
        </w:rPr>
        <w:t>Actualmente, el artículo 14 de Ley 1150 de 2007 distingue entre las empresas industriales y comerciales del Estado que desarrollan sus actividades en competencia con los particulares y las que no: mientras los contratos de estas últimas regresan a las normas de la Ley 80 de 1993, los de aquellas permanecen dentro del Código Civil y de Comercio, lo que –respecto al contenido del artículo 85 de la Ley 489 de 1998– implica un retorno parcial del derecho administrativo.</w:t>
      </w:r>
    </w:p>
    <w:p w14:paraId="3607C442" w14:textId="7CDA5329" w:rsidR="0033618B" w:rsidRDefault="0033618B" w:rsidP="0068597B">
      <w:pPr>
        <w:jc w:val="both"/>
        <w:rPr>
          <w:rFonts w:ascii="Verdana" w:eastAsia="Calibri" w:hAnsi="Verdana" w:cs="Arial"/>
          <w:sz w:val="20"/>
          <w:szCs w:val="20"/>
          <w:lang w:val="es-ES" w:eastAsia="es-ES"/>
        </w:rPr>
      </w:pPr>
      <w:r>
        <w:rPr>
          <w:rFonts w:ascii="Verdana" w:eastAsia="Calibri" w:hAnsi="Verdana" w:cs="Arial"/>
          <w:sz w:val="20"/>
          <w:szCs w:val="20"/>
          <w:lang w:val="es-ES" w:eastAsia="es-ES"/>
        </w:rPr>
        <w:t xml:space="preserve">[…] </w:t>
      </w:r>
    </w:p>
    <w:p w14:paraId="3FCDB579" w14:textId="77777777" w:rsidR="0033618B" w:rsidRDefault="0033618B" w:rsidP="0033618B">
      <w:pPr>
        <w:spacing w:after="0" w:line="240" w:lineRule="auto"/>
        <w:jc w:val="both"/>
        <w:rPr>
          <w:rFonts w:ascii="Verdana" w:eastAsia="Calibri" w:hAnsi="Verdana" w:cs="Arial"/>
          <w:sz w:val="20"/>
          <w:szCs w:val="20"/>
          <w:lang w:eastAsia="es-ES"/>
        </w:rPr>
      </w:pPr>
      <w:r w:rsidRPr="0033618B">
        <w:rPr>
          <w:rFonts w:ascii="Verdana" w:eastAsia="Calibri" w:hAnsi="Verdana" w:cs="Arial"/>
          <w:sz w:val="20"/>
          <w:szCs w:val="20"/>
          <w:lang w:eastAsia="es-ES"/>
        </w:rPr>
        <w:t>En esta medida, las empresas industriales y comerciales del Estado que no estén en competencia ni desarrollen su actividad en mercados regulados están sometidas al Estatuto General de Contratación de la Administración Pública y las normas que lo complementan. Conforme al literal g) del artículo 2.2 de la Ley 1150 de 2007, estos contratos siguen las reglas del procedimiento de selección abreviada, exceptuados los del artículo 32 de la Ley 80 de 1993. En contraste, el régimen contractual de las empresas industriales y comerciales del Estado que se encuentren en competencia o en mercados regulados es el propio de tales actividades, esto es, por regla general, el derecho privado.</w:t>
      </w:r>
    </w:p>
    <w:p w14:paraId="13494E14" w14:textId="77777777" w:rsidR="0033618B" w:rsidRDefault="0033618B" w:rsidP="0033618B">
      <w:pPr>
        <w:spacing w:after="0" w:line="240" w:lineRule="auto"/>
        <w:jc w:val="both"/>
        <w:rPr>
          <w:rFonts w:ascii="Verdana" w:eastAsia="Arial" w:hAnsi="Verdana" w:cs="Arial"/>
          <w:b/>
          <w:bCs/>
          <w:lang w:val="es-ES"/>
        </w:rPr>
      </w:pPr>
    </w:p>
    <w:p w14:paraId="34E1288C" w14:textId="6F7915E1" w:rsidR="0033618B" w:rsidRDefault="00E06B0F" w:rsidP="0033618B">
      <w:pPr>
        <w:jc w:val="both"/>
        <w:rPr>
          <w:rFonts w:ascii="Verdana" w:eastAsia="Calibri" w:hAnsi="Verdana" w:cs="Arial"/>
          <w:sz w:val="20"/>
          <w:szCs w:val="20"/>
          <w:lang w:eastAsia="es-ES"/>
        </w:rPr>
      </w:pPr>
      <w:r w:rsidRPr="00E06B0F">
        <w:rPr>
          <w:rFonts w:ascii="Verdana" w:eastAsia="Arial" w:hAnsi="Verdana" w:cs="Arial"/>
          <w:b/>
          <w:bCs/>
          <w:lang w:val="es-ES"/>
        </w:rPr>
        <w:t>PRINCIPIO DE PUBLICIDAD – Concepto – Fundamento constitucional</w:t>
      </w:r>
      <w:r w:rsidRPr="00E06B0F">
        <w:rPr>
          <w:rFonts w:ascii="Verdana" w:hAnsi="Verdana" w:cs="Arial"/>
          <w:b/>
          <w:bCs/>
          <w:lang w:val="es-ES_tradnl" w:eastAsia="es-ES" w:bidi="es-ES"/>
        </w:rPr>
        <w:t xml:space="preserve"> </w:t>
      </w:r>
    </w:p>
    <w:p w14:paraId="2C205F26" w14:textId="77777777" w:rsidR="0033618B" w:rsidRDefault="0033618B" w:rsidP="0033618B">
      <w:pPr>
        <w:jc w:val="both"/>
        <w:rPr>
          <w:rFonts w:ascii="Verdana" w:eastAsia="Calibri" w:hAnsi="Verdana" w:cs="Arial"/>
          <w:sz w:val="20"/>
          <w:szCs w:val="20"/>
          <w:lang w:eastAsia="es-ES"/>
        </w:rPr>
      </w:pPr>
      <w:r w:rsidRPr="0033618B">
        <w:rPr>
          <w:rFonts w:ascii="Verdana" w:hAnsi="Verdana" w:cs="Arial"/>
          <w:sz w:val="20"/>
          <w:szCs w:val="20"/>
          <w:lang w:val="es-ES_tradnl" w:eastAsia="es-ES" w:bidi="es-ES"/>
        </w:rPr>
        <w:t xml:space="preserve">[…] </w:t>
      </w:r>
      <w:r w:rsidRPr="0033618B">
        <w:rPr>
          <w:rFonts w:ascii="Verdana" w:hAnsi="Verdana" w:cs="Arial"/>
          <w:sz w:val="20"/>
          <w:szCs w:val="20"/>
          <w:lang w:val="es-ES_tradnl" w:eastAsia="es-ES" w:bidi="es-ES"/>
        </w:rPr>
        <w:t>uno de los postulados más importantes de un Estado Social Democrático de Derecho es el principio de publicidad, pues este permite que las actuaciones de las autoridades gocen de visibilidad.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artículo 74, que consagra la garantía de acceso a los documentos públicos que no gocen de reserva -y esta, además, es excepcional pues solo procede si existe causal constitucional o legal expresa-.</w:t>
      </w:r>
    </w:p>
    <w:p w14:paraId="4ACBEDB5" w14:textId="77777777" w:rsidR="0033618B" w:rsidRDefault="00E06B0F" w:rsidP="0033618B">
      <w:pPr>
        <w:jc w:val="both"/>
        <w:rPr>
          <w:rFonts w:ascii="Verdana" w:eastAsia="Calibri" w:hAnsi="Verdana" w:cs="Arial"/>
          <w:sz w:val="20"/>
          <w:szCs w:val="20"/>
          <w:lang w:eastAsia="es-ES"/>
        </w:rPr>
      </w:pPr>
      <w:r w:rsidRPr="00E06B0F">
        <w:rPr>
          <w:rFonts w:ascii="Verdana" w:hAnsi="Verdana" w:cs="Arial"/>
          <w:b/>
          <w:bCs/>
          <w:lang w:val="es-ES_tradnl" w:eastAsia="es-ES" w:bidi="es-ES"/>
        </w:rPr>
        <w:t xml:space="preserve">PRINCIPIO DE PUBLICIDAD – Ley 1712 de 2014 – Sujetos Obligados </w:t>
      </w:r>
    </w:p>
    <w:p w14:paraId="642C5675" w14:textId="1E735D38" w:rsidR="0033618B" w:rsidRPr="0033618B" w:rsidRDefault="0033618B" w:rsidP="0033618B">
      <w:pPr>
        <w:spacing w:after="0" w:line="240" w:lineRule="auto"/>
        <w:jc w:val="both"/>
        <w:rPr>
          <w:rFonts w:ascii="Verdana" w:eastAsia="Calibri" w:hAnsi="Verdana" w:cs="Arial"/>
          <w:sz w:val="20"/>
          <w:szCs w:val="20"/>
          <w:lang w:eastAsia="es-ES"/>
        </w:rPr>
      </w:pPr>
      <w:r w:rsidRPr="0033618B">
        <w:rPr>
          <w:rFonts w:ascii="Verdana" w:eastAsia="Verdana" w:hAnsi="Verdana" w:cs="Verdana"/>
          <w:sz w:val="20"/>
          <w:szCs w:val="20"/>
          <w:lang w:val="es-MX"/>
        </w:rPr>
        <w:t xml:space="preserve">El principio de transparencia en la información alude al deber de los sujetos de proporcionar y facilitar el acceso a la misma en los términos más amplios posibles, y a través de los medios y procedimientos legales. </w:t>
      </w:r>
      <w:r w:rsidRPr="0033618B">
        <w:rPr>
          <w:rFonts w:ascii="Verdana" w:eastAsia="Times New Roman" w:hAnsi="Verdana" w:cs="Arial"/>
          <w:sz w:val="20"/>
          <w:szCs w:val="20"/>
          <w:lang w:val="es-ES_tradnl" w:eastAsia="es-ES_tradnl"/>
          <w14:ligatures w14:val="standardContextual"/>
        </w:rPr>
        <w:t>En este sentido, el artículo 5 de la Ley 1712 de 2014 establece el ámbito de ampliación, esto es, quienes son los sujetos obligados a publicar su información.</w:t>
      </w:r>
    </w:p>
    <w:p w14:paraId="579D7148" w14:textId="77777777" w:rsidR="0033618B" w:rsidRDefault="0033618B" w:rsidP="0033618B">
      <w:pPr>
        <w:tabs>
          <w:tab w:val="left" w:pos="709"/>
        </w:tabs>
        <w:spacing w:after="0" w:line="240" w:lineRule="auto"/>
        <w:jc w:val="both"/>
        <w:rPr>
          <w:rFonts w:ascii="Verdana" w:eastAsia="Times New Roman" w:hAnsi="Verdana" w:cs="Arial"/>
          <w:sz w:val="20"/>
          <w:szCs w:val="20"/>
          <w:lang w:val="es-ES_tradnl" w:eastAsia="es-ES_tradnl"/>
          <w14:ligatures w14:val="standardContextual"/>
        </w:rPr>
      </w:pPr>
    </w:p>
    <w:p w14:paraId="3127FA1C" w14:textId="22758B44" w:rsidR="0033618B" w:rsidRDefault="0033618B" w:rsidP="0033618B">
      <w:pPr>
        <w:tabs>
          <w:tab w:val="left" w:pos="709"/>
        </w:tabs>
        <w:spacing w:after="0" w:line="240" w:lineRule="auto"/>
        <w:jc w:val="both"/>
        <w:rPr>
          <w:rFonts w:ascii="Verdana" w:eastAsia="Times New Roman" w:hAnsi="Verdana" w:cs="Arial"/>
          <w:sz w:val="20"/>
          <w:szCs w:val="20"/>
          <w:lang w:val="es-ES_tradnl" w:eastAsia="es-ES_tradnl"/>
          <w14:ligatures w14:val="standardContextual"/>
        </w:rPr>
      </w:pPr>
      <w:r w:rsidRPr="0033618B">
        <w:rPr>
          <w:rFonts w:ascii="Verdana" w:eastAsia="Times New Roman" w:hAnsi="Verdana" w:cs="Arial"/>
          <w:sz w:val="20"/>
          <w:szCs w:val="20"/>
          <w:lang w:val="es-ES_tradnl" w:eastAsia="es-ES_tradnl"/>
          <w14:ligatures w14:val="standardContextual"/>
        </w:rPr>
        <w:t>Teniendo en cuenta quienes son los sujetos obligados a publicar la información, es pertinente señalar que el precitado artículo dispone que la Ley 1712 aplica a un amplio conjunto de sujetos obligados, incluyendo todas las entidades públicas de cualquier rama y nivel; órganos autónomos y de control; personas naturales o jurídicas, públicas o privadas, que ejerzan función pública o presten servicios públicos respecto de la información relacionada con dicha función; empresas estatales; partidos y movimientos políticos; y entidades que administren recursos públicos o parafiscales. Además, quienes reciban o intermedien fondos públicos, sin cumplir otros criterios, solo deben cumplir la ley respecto de la información vinculada a esos recursos. Finalmente, aclara que los usuarios privados de información pública no son sujetos obligados.</w:t>
      </w:r>
    </w:p>
    <w:p w14:paraId="636D8A26" w14:textId="77777777" w:rsidR="0033618B" w:rsidRDefault="0033618B" w:rsidP="0033618B">
      <w:pPr>
        <w:tabs>
          <w:tab w:val="left" w:pos="709"/>
        </w:tabs>
        <w:spacing w:after="0" w:line="240" w:lineRule="auto"/>
        <w:jc w:val="both"/>
        <w:rPr>
          <w:rFonts w:ascii="Verdana" w:eastAsia="Times New Roman" w:hAnsi="Verdana" w:cs="Arial"/>
          <w:sz w:val="20"/>
          <w:szCs w:val="20"/>
          <w:lang w:val="es-ES_tradnl" w:eastAsia="es-ES_tradnl"/>
          <w14:ligatures w14:val="standardContextual"/>
        </w:rPr>
      </w:pPr>
    </w:p>
    <w:p w14:paraId="1924F092" w14:textId="14FD90DB" w:rsidR="0033618B" w:rsidRDefault="0033618B" w:rsidP="0033618B">
      <w:pPr>
        <w:tabs>
          <w:tab w:val="left" w:pos="709"/>
        </w:tabs>
        <w:spacing w:after="0" w:line="240" w:lineRule="auto"/>
        <w:jc w:val="both"/>
        <w:rPr>
          <w:rFonts w:ascii="Verdana" w:eastAsia="Times New Roman" w:hAnsi="Verdana" w:cs="Arial"/>
          <w:sz w:val="20"/>
          <w:szCs w:val="20"/>
          <w:lang w:val="es-ES_tradnl" w:eastAsia="es-ES_tradnl"/>
          <w14:ligatures w14:val="standardContextual"/>
        </w:rPr>
      </w:pPr>
      <w:r>
        <w:rPr>
          <w:rFonts w:ascii="Verdana" w:eastAsia="Times New Roman" w:hAnsi="Verdana" w:cs="Arial"/>
          <w:sz w:val="20"/>
          <w:szCs w:val="20"/>
          <w:lang w:val="es-ES_tradnl" w:eastAsia="es-ES_tradnl"/>
          <w14:ligatures w14:val="standardContextual"/>
        </w:rPr>
        <w:t xml:space="preserve">[…] </w:t>
      </w:r>
    </w:p>
    <w:p w14:paraId="5E36A3D9" w14:textId="77777777" w:rsidR="0033618B" w:rsidRDefault="0033618B" w:rsidP="0033618B">
      <w:pPr>
        <w:tabs>
          <w:tab w:val="left" w:pos="709"/>
        </w:tabs>
        <w:spacing w:after="0" w:line="240" w:lineRule="auto"/>
        <w:jc w:val="both"/>
        <w:rPr>
          <w:rFonts w:ascii="Verdana" w:eastAsia="Times New Roman" w:hAnsi="Verdana" w:cs="Arial"/>
          <w:sz w:val="20"/>
          <w:szCs w:val="20"/>
          <w:lang w:val="es-ES_tradnl" w:eastAsia="es-ES_tradnl"/>
          <w14:ligatures w14:val="standardContextual"/>
        </w:rPr>
      </w:pPr>
    </w:p>
    <w:p w14:paraId="433FB1A5" w14:textId="77777777" w:rsidR="0033618B" w:rsidRDefault="0033618B" w:rsidP="0033618B">
      <w:pPr>
        <w:tabs>
          <w:tab w:val="left" w:pos="709"/>
        </w:tabs>
        <w:spacing w:after="0" w:line="240" w:lineRule="auto"/>
        <w:jc w:val="both"/>
        <w:rPr>
          <w:rFonts w:ascii="Verdana" w:eastAsia="Times New Roman" w:hAnsi="Verdana" w:cs="Arial"/>
          <w:sz w:val="20"/>
          <w:szCs w:val="20"/>
          <w:lang w:val="es-ES_tradnl" w:eastAsia="es-ES_tradnl"/>
          <w14:ligatures w14:val="standardContextual"/>
        </w:rPr>
      </w:pPr>
      <w:r w:rsidRPr="0033618B">
        <w:rPr>
          <w:rFonts w:ascii="Verdana" w:eastAsia="Times New Roman" w:hAnsi="Verdana" w:cs="Arial"/>
          <w:sz w:val="20"/>
          <w:szCs w:val="20"/>
          <w:lang w:val="es-ES_tradnl" w:eastAsia="es-ES_tradnl"/>
          <w14:ligatures w14:val="standardContextual"/>
        </w:rPr>
        <w:t>Asimismo, de acuerdo con el literal g) del artículo 11 de la Ley 1712 de 2014, todos los destinatarios de la Ley Estatutaria de Transparencia y Acceso a la Información Pública deben garantizar la publicidad de “sus procedimientos, lineamientos, políticas en materia de adquisiciones y compras, así como todos los datos de adjudicación y ejecución de contratos, incluidos concursos y licitaciones”, y esta información también debe estar en el SECOP.</w:t>
      </w:r>
    </w:p>
    <w:p w14:paraId="6B4FA17A" w14:textId="77777777" w:rsidR="0033618B" w:rsidRDefault="0033618B" w:rsidP="0033618B">
      <w:pPr>
        <w:tabs>
          <w:tab w:val="left" w:pos="709"/>
        </w:tabs>
        <w:spacing w:after="0" w:line="240" w:lineRule="auto"/>
        <w:jc w:val="both"/>
        <w:rPr>
          <w:rFonts w:ascii="Verdana" w:eastAsia="Times New Roman" w:hAnsi="Verdana" w:cs="Arial"/>
          <w:sz w:val="20"/>
          <w:szCs w:val="20"/>
          <w:lang w:val="es-ES_tradnl" w:eastAsia="es-ES_tradnl"/>
          <w14:ligatures w14:val="standardContextual"/>
        </w:rPr>
      </w:pPr>
    </w:p>
    <w:p w14:paraId="4012AB28" w14:textId="081B60D6" w:rsidR="0033618B" w:rsidRDefault="00E06B0F" w:rsidP="0033618B">
      <w:pPr>
        <w:tabs>
          <w:tab w:val="left" w:pos="709"/>
        </w:tabs>
        <w:spacing w:after="0" w:line="240" w:lineRule="auto"/>
        <w:jc w:val="both"/>
        <w:rPr>
          <w:rFonts w:ascii="Verdana" w:hAnsi="Verdana" w:cs="Arial"/>
          <w:b/>
          <w:bCs/>
          <w:lang w:val="es-ES_tradnl" w:eastAsia="es-ES" w:bidi="es-ES"/>
        </w:rPr>
      </w:pPr>
      <w:r w:rsidRPr="00E06B0F">
        <w:rPr>
          <w:rFonts w:ascii="Verdana" w:hAnsi="Verdana" w:cs="Arial"/>
          <w:b/>
          <w:bCs/>
          <w:lang w:val="es-ES_tradnl" w:eastAsia="es-ES" w:bidi="es-ES"/>
        </w:rPr>
        <w:t xml:space="preserve">PRINCIPIO DE PUBLICIDAD – SECOP – Documentos del proceso – Deber de publicación </w:t>
      </w:r>
    </w:p>
    <w:p w14:paraId="55848987" w14:textId="77777777" w:rsidR="0023027A" w:rsidRDefault="0023027A" w:rsidP="0033618B">
      <w:pPr>
        <w:tabs>
          <w:tab w:val="left" w:pos="709"/>
        </w:tabs>
        <w:spacing w:after="0" w:line="240" w:lineRule="auto"/>
        <w:jc w:val="both"/>
        <w:rPr>
          <w:rFonts w:ascii="Verdana" w:hAnsi="Verdana" w:cs="Arial"/>
          <w:b/>
          <w:bCs/>
          <w:lang w:val="es-ES_tradnl" w:eastAsia="es-ES" w:bidi="es-ES"/>
        </w:rPr>
      </w:pPr>
    </w:p>
    <w:p w14:paraId="015F4F4E" w14:textId="77777777" w:rsidR="0023027A" w:rsidRDefault="0023027A" w:rsidP="0023027A">
      <w:pPr>
        <w:tabs>
          <w:tab w:val="left" w:pos="709"/>
        </w:tabs>
        <w:spacing w:after="0" w:line="240" w:lineRule="auto"/>
        <w:jc w:val="both"/>
        <w:rPr>
          <w:rFonts w:ascii="Verdana" w:hAnsi="Verdana" w:cs="Arial"/>
          <w:sz w:val="20"/>
          <w:szCs w:val="20"/>
          <w:lang w:val="es-MX" w:eastAsia="es-ES" w:bidi="es-ES"/>
        </w:rPr>
      </w:pPr>
      <w:r>
        <w:rPr>
          <w:rFonts w:ascii="Verdana" w:hAnsi="Verdana" w:cs="Arial"/>
          <w:sz w:val="20"/>
          <w:szCs w:val="20"/>
          <w:lang w:val="es-MX" w:eastAsia="es-ES" w:bidi="es-ES"/>
        </w:rPr>
        <w:t xml:space="preserve">[…] </w:t>
      </w:r>
      <w:r w:rsidRPr="0023027A">
        <w:rPr>
          <w:rFonts w:ascii="Verdana" w:hAnsi="Verdana" w:cs="Arial"/>
          <w:sz w:val="20"/>
          <w:szCs w:val="20"/>
          <w:lang w:val="es-MX" w:eastAsia="es-ES" w:bidi="es-ES"/>
        </w:rPr>
        <w:t>las Entidades Estatales, conforme al artículo 2.2.1.1.1.7.1 del Decreto 1082 de 2015, tienen la obligación de publicar en el SECOP “[…] los Documentos del Proceso y los actos administrativos del Proceso de Contratación, dentro de los tres (3) días siguientes a su expedición […]”.</w:t>
      </w:r>
    </w:p>
    <w:p w14:paraId="7201F0D5" w14:textId="77777777" w:rsidR="0023027A" w:rsidRDefault="0023027A" w:rsidP="0023027A">
      <w:pPr>
        <w:tabs>
          <w:tab w:val="left" w:pos="709"/>
        </w:tabs>
        <w:spacing w:after="0" w:line="240" w:lineRule="auto"/>
        <w:jc w:val="both"/>
        <w:rPr>
          <w:rFonts w:ascii="Verdana" w:hAnsi="Verdana" w:cs="Arial"/>
          <w:sz w:val="20"/>
          <w:szCs w:val="20"/>
          <w:lang w:val="es-MX" w:eastAsia="es-ES" w:bidi="es-ES"/>
        </w:rPr>
      </w:pPr>
    </w:p>
    <w:p w14:paraId="7BD24907" w14:textId="77777777" w:rsidR="0023027A" w:rsidRDefault="0023027A" w:rsidP="0023027A">
      <w:pPr>
        <w:tabs>
          <w:tab w:val="left" w:pos="709"/>
        </w:tabs>
        <w:spacing w:after="0" w:line="240" w:lineRule="auto"/>
        <w:jc w:val="both"/>
        <w:rPr>
          <w:rFonts w:ascii="Verdana" w:hAnsi="Verdana" w:cs="Arial"/>
          <w:sz w:val="20"/>
          <w:szCs w:val="20"/>
          <w:lang w:val="es-MX" w:eastAsia="es-ES" w:bidi="es-ES"/>
        </w:rPr>
      </w:pPr>
      <w:r w:rsidRPr="0023027A">
        <w:rPr>
          <w:rFonts w:ascii="Verdana" w:hAnsi="Verdana" w:cs="Arial"/>
          <w:sz w:val="20"/>
          <w:szCs w:val="20"/>
          <w:lang w:val="es-MX" w:eastAsia="es-ES" w:bidi="es-ES"/>
        </w:rPr>
        <w:t xml:space="preserve">La expresión Documentos del Proceso está definida en el artículo 2.2.1.1.3.1 del Decreto 1082 de 2015, donde se establece que: “son: (a) los estudios y documentos previos; (b) el aviso de convocatoria; (c) los pliegos de condiciones o la invitación; (d) las adendas; (e) la oferta; (f) el informe de evaluación; (g) el contrato; y cualquier otro documento expedido por la Entidad Estatal durante el proceso de Contratación”. </w:t>
      </w:r>
    </w:p>
    <w:p w14:paraId="7273F07F" w14:textId="77777777" w:rsidR="0023027A" w:rsidRDefault="0023027A" w:rsidP="0023027A">
      <w:pPr>
        <w:tabs>
          <w:tab w:val="left" w:pos="709"/>
        </w:tabs>
        <w:spacing w:after="0" w:line="240" w:lineRule="auto"/>
        <w:jc w:val="both"/>
        <w:rPr>
          <w:rFonts w:ascii="Verdana" w:hAnsi="Verdana" w:cs="Arial"/>
          <w:sz w:val="20"/>
          <w:szCs w:val="20"/>
          <w:lang w:val="es-MX" w:eastAsia="es-ES" w:bidi="es-ES"/>
        </w:rPr>
      </w:pPr>
    </w:p>
    <w:p w14:paraId="40ABFE70" w14:textId="77777777" w:rsidR="0023027A" w:rsidRDefault="0023027A" w:rsidP="0023027A">
      <w:pPr>
        <w:tabs>
          <w:tab w:val="left" w:pos="709"/>
        </w:tabs>
        <w:spacing w:after="0" w:line="240" w:lineRule="auto"/>
        <w:jc w:val="both"/>
        <w:rPr>
          <w:rFonts w:ascii="Verdana" w:hAnsi="Verdana" w:cs="Arial"/>
          <w:sz w:val="20"/>
          <w:szCs w:val="20"/>
          <w:lang w:val="es-MX" w:eastAsia="es-ES" w:bidi="es-ES"/>
        </w:rPr>
      </w:pPr>
      <w:r w:rsidRPr="0023027A">
        <w:rPr>
          <w:rFonts w:ascii="Verdana" w:hAnsi="Verdana" w:cs="Arial"/>
          <w:sz w:val="20"/>
          <w:szCs w:val="20"/>
          <w:lang w:val="es-MX" w:eastAsia="es-ES" w:bidi="es-ES"/>
        </w:rPr>
        <w:t xml:space="preserve">Sin embargo, para identificar los documentos que deben publicarse, es necesario realizar una interpretación sistemática de las disposiciones del Decreto 1082 de 2015, comoquiera que el anterior no es un listado taxativo, sino enunciativo, porque además de los documentos enlistados, el artículo 2.2.1.1.1.3.1 Ibidem recoge en la noción de Documentos del Proceso “cualquier otro documento expedido por la Entidad Estatal durante el Proceso de Contratación”. 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w:t>
      </w:r>
      <w:proofErr w:type="spellStart"/>
      <w:r w:rsidRPr="0023027A">
        <w:rPr>
          <w:rFonts w:ascii="Verdana" w:hAnsi="Verdana" w:cs="Arial"/>
          <w:sz w:val="20"/>
          <w:szCs w:val="20"/>
          <w:lang w:val="es-MX" w:eastAsia="es-ES" w:bidi="es-ES"/>
        </w:rPr>
        <w:t>mas</w:t>
      </w:r>
      <w:proofErr w:type="spellEnd"/>
      <w:r w:rsidRPr="0023027A">
        <w:rPr>
          <w:rFonts w:ascii="Verdana" w:hAnsi="Verdana" w:cs="Arial"/>
          <w:sz w:val="20"/>
          <w:szCs w:val="20"/>
          <w:lang w:val="es-MX" w:eastAsia="es-ES" w:bidi="es-ES"/>
        </w:rPr>
        <w:t xml:space="preserve"> tarde”. Nótese que la norma hace referencia a los documentos “expedidos por la entidad estatal” durante el proceso de contratación, excluyendo de la noción de Documentos del Proceso los expedidos por un sujeto distinto a la entidad, salvo la oferta, la cual se incluye expresamente en el referido artículo 2.2.1.1.1.3.1. </w:t>
      </w:r>
    </w:p>
    <w:p w14:paraId="1D7320E0" w14:textId="77777777" w:rsidR="0023027A" w:rsidRDefault="0023027A" w:rsidP="0023027A">
      <w:pPr>
        <w:tabs>
          <w:tab w:val="left" w:pos="709"/>
        </w:tabs>
        <w:spacing w:after="0" w:line="240" w:lineRule="auto"/>
        <w:jc w:val="both"/>
        <w:rPr>
          <w:rFonts w:ascii="Verdana" w:hAnsi="Verdana" w:cs="Arial"/>
          <w:sz w:val="20"/>
          <w:szCs w:val="20"/>
          <w:lang w:val="es-MX" w:eastAsia="es-ES" w:bidi="es-ES"/>
        </w:rPr>
      </w:pPr>
    </w:p>
    <w:p w14:paraId="1739A3ED" w14:textId="214CE17C" w:rsidR="0023027A" w:rsidRPr="0023027A" w:rsidRDefault="0023027A" w:rsidP="0023027A">
      <w:pPr>
        <w:tabs>
          <w:tab w:val="left" w:pos="709"/>
        </w:tabs>
        <w:spacing w:after="0" w:line="240" w:lineRule="auto"/>
        <w:jc w:val="both"/>
        <w:rPr>
          <w:rFonts w:ascii="Verdana" w:hAnsi="Verdana" w:cs="Arial"/>
          <w:sz w:val="20"/>
          <w:szCs w:val="20"/>
          <w:lang w:val="es-MX" w:eastAsia="es-ES" w:bidi="es-ES"/>
        </w:rPr>
      </w:pPr>
      <w:r w:rsidRPr="0023027A">
        <w:rPr>
          <w:rFonts w:ascii="Verdana" w:hAnsi="Verdana" w:cs="Arial"/>
          <w:sz w:val="20"/>
          <w:szCs w:val="20"/>
          <w:lang w:val="es-MX" w:eastAsia="es-ES" w:bidi="es-ES"/>
        </w:rPr>
        <w:t xml:space="preserve">En ese sentido, la interpretación sistemática de los preceptos del Decreto 1082 de 2015, de acuerdo con el principio de publicidad, inicialmente, indica que las Entidades Estatales tienen la obligación de publicar todos los documentos que expidan con ocasión del Proceso de Contratación, es decir, que todos los documentos expedidos por la entidad durante las etapas precontractual, de ejecución y </w:t>
      </w:r>
      <w:proofErr w:type="spellStart"/>
      <w:r w:rsidRPr="0023027A">
        <w:rPr>
          <w:rFonts w:ascii="Verdana" w:hAnsi="Verdana" w:cs="Arial"/>
          <w:sz w:val="20"/>
          <w:szCs w:val="20"/>
          <w:lang w:val="es-MX" w:eastAsia="es-ES" w:bidi="es-ES"/>
        </w:rPr>
        <w:t>postcontractual</w:t>
      </w:r>
      <w:proofErr w:type="spellEnd"/>
      <w:r w:rsidRPr="0023027A">
        <w:rPr>
          <w:rFonts w:ascii="Verdana" w:hAnsi="Verdana" w:cs="Arial"/>
          <w:sz w:val="20"/>
          <w:szCs w:val="20"/>
          <w:lang w:val="es-MX" w:eastAsia="es-ES" w:bidi="es-ES"/>
        </w:rPr>
        <w:t xml:space="preserve"> deberán ser publicados en SECOP dentro de los tres (3) días siguientes a su expedición, para cumplir el deber de publicidad regulado por el artículo 2.2.1.1.1.7.1 del Decreto 1082 de 2015.</w:t>
      </w:r>
    </w:p>
    <w:p w14:paraId="69B6E000" w14:textId="77777777" w:rsidR="0033618B" w:rsidRPr="0033618B" w:rsidRDefault="0033618B" w:rsidP="0033618B">
      <w:pPr>
        <w:tabs>
          <w:tab w:val="left" w:pos="709"/>
        </w:tabs>
        <w:spacing w:after="0" w:line="240" w:lineRule="auto"/>
        <w:jc w:val="both"/>
        <w:rPr>
          <w:rFonts w:ascii="Verdana" w:eastAsia="Times New Roman" w:hAnsi="Verdana" w:cs="Arial"/>
          <w:sz w:val="20"/>
          <w:szCs w:val="20"/>
          <w:lang w:val="es-ES_tradnl" w:eastAsia="es-ES_tradnl"/>
          <w14:ligatures w14:val="standardContextual"/>
        </w:rPr>
      </w:pPr>
    </w:p>
    <w:p w14:paraId="3088DEE9" w14:textId="77777777" w:rsidR="00E06B0F" w:rsidRDefault="00E06B0F" w:rsidP="00E06B0F">
      <w:pPr>
        <w:jc w:val="both"/>
        <w:rPr>
          <w:rFonts w:ascii="Verdana" w:hAnsi="Verdana" w:cs="Arial"/>
          <w:b/>
          <w:bCs/>
          <w:lang w:eastAsia="es-ES" w:bidi="es-ES"/>
        </w:rPr>
      </w:pPr>
      <w:r w:rsidRPr="00E06B0F">
        <w:rPr>
          <w:rFonts w:ascii="Verdana" w:hAnsi="Verdana" w:cs="Arial"/>
          <w:b/>
          <w:bCs/>
          <w:lang w:eastAsia="es-ES" w:bidi="es-ES"/>
        </w:rPr>
        <w:t xml:space="preserve">ENTIDADES CON RÉGIMEN ESPECIAL – Deber de publicar en SECOP – Artículo 53 Ley 2195 de 2022 </w:t>
      </w:r>
    </w:p>
    <w:p w14:paraId="1C4FCAC8" w14:textId="77777777" w:rsidR="000C00A4" w:rsidRDefault="000C00A4" w:rsidP="000C00A4">
      <w:pPr>
        <w:jc w:val="both"/>
        <w:rPr>
          <w:rFonts w:ascii="Verdana" w:hAnsi="Verdana" w:cs="Arial"/>
          <w:sz w:val="20"/>
          <w:szCs w:val="20"/>
          <w:lang w:eastAsia="es-ES" w:bidi="es-ES"/>
        </w:rPr>
      </w:pPr>
      <w:r w:rsidRPr="000C00A4">
        <w:rPr>
          <w:rFonts w:ascii="Verdana" w:hAnsi="Verdana" w:cs="Arial"/>
          <w:sz w:val="20"/>
          <w:szCs w:val="20"/>
          <w:lang w:eastAsia="es-ES" w:bidi="es-ES"/>
        </w:rPr>
        <w:t xml:space="preserve">Ahora bien, como entidades de régimen especial es clara la obligatoriedad de publicar la información de la actividad contractual en el SECOP. En tal sentido, debe destacarse el artículo 53 de la Ley 2195 de 2022 que modifica el artículo 13 de la Ley 1150 de 2007, estableció la obligación de las Entidades Estatales exceptuadas del Estatuto General de Contratación de la Administración Pública de publicar en el SECOP II –es decir en la plataforma transaccional vigente– su actividad contractual. Así pues, respecto de los documentos que deben publicarse en el SECOP II a efectos de cumplir el mandato consagrado en el artículo 53 de la Ley 2195 de 2022, es preciso advertir que la disposición hace referencia a los documentos relacionados con su actividad contractual, la cual define como “[…] los documentos, contratos, actos e información generada por oferentes, contratista, contratante, supervisor o interventor, tanto en la etapa precontractual, como en la contractual y la </w:t>
      </w:r>
      <w:proofErr w:type="spellStart"/>
      <w:r w:rsidRPr="000C00A4">
        <w:rPr>
          <w:rFonts w:ascii="Verdana" w:hAnsi="Verdana" w:cs="Arial"/>
          <w:sz w:val="20"/>
          <w:szCs w:val="20"/>
          <w:lang w:eastAsia="es-ES" w:bidi="es-ES"/>
        </w:rPr>
        <w:t>post-contractual</w:t>
      </w:r>
      <w:proofErr w:type="spellEnd"/>
      <w:r w:rsidRPr="000C00A4">
        <w:rPr>
          <w:rFonts w:ascii="Verdana" w:hAnsi="Verdana" w:cs="Arial"/>
          <w:sz w:val="20"/>
          <w:szCs w:val="20"/>
          <w:lang w:eastAsia="es-ES" w:bidi="es-ES"/>
        </w:rPr>
        <w:t>”.</w:t>
      </w:r>
    </w:p>
    <w:p w14:paraId="5796CB2D" w14:textId="3C230DC2" w:rsidR="0023027A" w:rsidRPr="000C00A4" w:rsidRDefault="000C00A4" w:rsidP="000C00A4">
      <w:pPr>
        <w:spacing w:after="0" w:line="240" w:lineRule="auto"/>
        <w:jc w:val="both"/>
        <w:rPr>
          <w:rFonts w:ascii="Verdana" w:hAnsi="Verdana" w:cs="Arial"/>
          <w:sz w:val="20"/>
          <w:szCs w:val="20"/>
          <w:lang w:eastAsia="es-ES" w:bidi="es-ES"/>
        </w:rPr>
      </w:pPr>
      <w:r w:rsidRPr="000C00A4">
        <w:rPr>
          <w:rFonts w:ascii="Verdana" w:hAnsi="Verdana" w:cs="Arial"/>
          <w:sz w:val="20"/>
          <w:szCs w:val="20"/>
          <w:lang w:eastAsia="es-ES" w:bidi="es-ES"/>
        </w:rPr>
        <w:t>En ese sentido, dicho precepto anteriormente referenciado establece el deber de publicar toda aquella información relacionada con el respectivo contrato, sin incluir ninguna excepción relacionada con la naturaleza u objeto contractual. Por lo tanto, para que las entidades exceptuadas cumplan con el deber de publicidad consagrado en el artículo 53 de la Ley 2195 de 2022 que modificó el artículo 13 de la Ley 1150 de 2007, se requiere que publiquen en el SECOP II todo documento expedido durante las diferentes etapas del proceso contractual, abarcando desde la fase previa a su celebración, pasando por la ejecución y hasta la fase posterior a su ejecución. Adicionalmente se aclara, que el cumplimiento del deber de publicación de la documentación contractual debe armonizarse con las normas aplicables al tipo de información que estas contienen, si procede restricción de esta por una reserva constitucional o legal.</w:t>
      </w:r>
    </w:p>
    <w:p w14:paraId="6987CCC7" w14:textId="77777777" w:rsidR="0023027A" w:rsidRPr="00E06B0F" w:rsidRDefault="0023027A" w:rsidP="00E06B0F">
      <w:pPr>
        <w:spacing w:after="0" w:line="240" w:lineRule="auto"/>
        <w:jc w:val="both"/>
        <w:rPr>
          <w:rFonts w:ascii="Verdana" w:hAnsi="Verdana" w:cs="Arial"/>
          <w:b/>
          <w:bCs/>
          <w:lang w:eastAsia="es-ES" w:bidi="es-ES"/>
        </w:rPr>
      </w:pPr>
    </w:p>
    <w:p w14:paraId="721D5138" w14:textId="77777777" w:rsidR="00E06B0F" w:rsidRDefault="00E06B0F" w:rsidP="00E06B0F">
      <w:pPr>
        <w:jc w:val="both"/>
        <w:rPr>
          <w:rFonts w:ascii="Verdana" w:hAnsi="Verdana" w:cs="Arial"/>
          <w:b/>
          <w:bCs/>
          <w:lang w:eastAsia="es-ES" w:bidi="es-ES"/>
        </w:rPr>
      </w:pPr>
      <w:r w:rsidRPr="00E06B0F">
        <w:rPr>
          <w:rFonts w:ascii="Verdana" w:hAnsi="Verdana" w:cs="Arial"/>
          <w:b/>
          <w:bCs/>
          <w:lang w:eastAsia="es-ES" w:bidi="es-ES"/>
        </w:rPr>
        <w:t xml:space="preserve">DEBER DE REPORTAR INHABILIDADES DE CONTRATISTAS – Concepto de servidor público </w:t>
      </w:r>
    </w:p>
    <w:p w14:paraId="068E0A98" w14:textId="77777777" w:rsidR="000C00A4" w:rsidRDefault="000C00A4" w:rsidP="000C00A4">
      <w:pPr>
        <w:jc w:val="both"/>
        <w:rPr>
          <w:rFonts w:ascii="Verdana" w:hAnsi="Verdana" w:cs="Arial"/>
          <w:sz w:val="20"/>
          <w:szCs w:val="20"/>
          <w:lang w:eastAsia="es-ES" w:bidi="es-ES"/>
        </w:rPr>
      </w:pPr>
      <w:r w:rsidRPr="000C00A4">
        <w:rPr>
          <w:rFonts w:ascii="Verdana" w:hAnsi="Verdana" w:cs="Arial"/>
          <w:sz w:val="20"/>
          <w:szCs w:val="20"/>
          <w:lang w:eastAsia="es-ES" w:bidi="es-ES"/>
        </w:rPr>
        <w:t>Tratándose del reporte ante la Procuraduría General de la Nación, el numeral 43 del artículo 38 de la Ley 1952 de 2019 establece que es un deber de todo servidor público enviar a la Procuraduría General de la Nación dentro de los cinco (5) días siguientes a la ejecutoria del fallo judicial, administrativo o fiscal, la información que están obligados a remitir sobre las causas de inhabilidad que se deriven de las relaciones contractuales con el Estado.</w:t>
      </w:r>
    </w:p>
    <w:p w14:paraId="57F2D7B8" w14:textId="77777777" w:rsidR="000C00A4" w:rsidRDefault="000C00A4" w:rsidP="000C00A4">
      <w:pPr>
        <w:jc w:val="both"/>
        <w:rPr>
          <w:rFonts w:ascii="Verdana" w:hAnsi="Verdana" w:cs="Arial"/>
          <w:sz w:val="20"/>
          <w:szCs w:val="20"/>
          <w:lang w:eastAsia="es-ES" w:bidi="es-ES"/>
        </w:rPr>
      </w:pPr>
      <w:r w:rsidRPr="000C00A4">
        <w:rPr>
          <w:rFonts w:ascii="Verdana" w:hAnsi="Verdana" w:cs="Arial"/>
          <w:sz w:val="20"/>
          <w:szCs w:val="20"/>
          <w:lang w:eastAsia="es-ES" w:bidi="es-ES"/>
        </w:rPr>
        <w:t xml:space="preserve">De conformidad con lo dispuesto en el artículo 123 de la Constitución “son servidores públicos los miembros de las corporaciones públicas, los empleados y trabajadores del Estado y de sus entidades descentralizadas territorialmente y por servicios”, que “están al servicio del Estado y de la comunidad, y ejercen sus funciones en la forma prevista por la Constitución, la ley y el reglamento”.  </w:t>
      </w:r>
    </w:p>
    <w:p w14:paraId="20A6ED72" w14:textId="77777777" w:rsidR="000C00A4" w:rsidRDefault="000C00A4" w:rsidP="000C00A4">
      <w:pPr>
        <w:jc w:val="both"/>
        <w:rPr>
          <w:rFonts w:ascii="Verdana" w:hAnsi="Verdana" w:cs="Arial"/>
          <w:sz w:val="20"/>
          <w:szCs w:val="20"/>
          <w:lang w:eastAsia="es-ES" w:bidi="es-ES"/>
        </w:rPr>
      </w:pPr>
      <w:r w:rsidRPr="000C00A4">
        <w:rPr>
          <w:rFonts w:ascii="Verdana" w:hAnsi="Verdana" w:cs="Arial"/>
          <w:sz w:val="20"/>
          <w:szCs w:val="20"/>
          <w:lang w:eastAsia="es-ES" w:bidi="es-ES"/>
        </w:rPr>
        <w:t>En ese escenario el Constituyente Primario utilizó de forma general el concepto de “servidor público” para comprender a todas las personas naturales que tienen una relación laboral con el Estado, y trabajan a su servicio para efectos de asegurar el cumplimiento de sus fines constitucionales.</w:t>
      </w:r>
    </w:p>
    <w:p w14:paraId="0C91E479" w14:textId="77777777" w:rsidR="000C00A4" w:rsidRDefault="000C00A4" w:rsidP="000C00A4">
      <w:pPr>
        <w:jc w:val="both"/>
        <w:rPr>
          <w:rFonts w:ascii="Verdana" w:hAnsi="Verdana" w:cs="Arial"/>
          <w:sz w:val="20"/>
          <w:szCs w:val="20"/>
          <w:lang w:eastAsia="es-ES" w:bidi="es-ES"/>
        </w:rPr>
      </w:pPr>
      <w:r w:rsidRPr="000C00A4">
        <w:rPr>
          <w:rFonts w:ascii="Verdana" w:hAnsi="Verdana" w:cs="Arial"/>
          <w:sz w:val="20"/>
          <w:szCs w:val="20"/>
          <w:lang w:eastAsia="es-ES" w:bidi="es-ES"/>
        </w:rPr>
        <w:t>La calidad de servidor público tiene a su vez diversas formas de vinculación o de relación laboral entre las personas naturales y la Administración Pública tradicionalmente acogida por la legislación, la jurisprudencia y la doctrina comprende, a saber: (i) los empleados públicos y (</w:t>
      </w:r>
      <w:proofErr w:type="spellStart"/>
      <w:r w:rsidRPr="000C00A4">
        <w:rPr>
          <w:rFonts w:ascii="Verdana" w:hAnsi="Verdana" w:cs="Arial"/>
          <w:sz w:val="20"/>
          <w:szCs w:val="20"/>
          <w:lang w:eastAsia="es-ES" w:bidi="es-ES"/>
        </w:rPr>
        <w:t>ii</w:t>
      </w:r>
      <w:proofErr w:type="spellEnd"/>
      <w:r w:rsidRPr="000C00A4">
        <w:rPr>
          <w:rFonts w:ascii="Verdana" w:hAnsi="Verdana" w:cs="Arial"/>
          <w:sz w:val="20"/>
          <w:szCs w:val="20"/>
          <w:lang w:eastAsia="es-ES" w:bidi="es-ES"/>
        </w:rPr>
        <w:t xml:space="preserve">) los trabajadores oficiales. Los empleados públicos son las personas naturales vinculadas a la administración pública en virtud de una relación legal y reglamentaria, es decir, a través de un acto administrativo de nombramiento, mientras que los trabajadores oficiales lo son a través de un contrato de </w:t>
      </w:r>
      <w:proofErr w:type="gramStart"/>
      <w:r w:rsidRPr="000C00A4">
        <w:rPr>
          <w:rFonts w:ascii="Verdana" w:hAnsi="Verdana" w:cs="Arial"/>
          <w:sz w:val="20"/>
          <w:szCs w:val="20"/>
          <w:lang w:eastAsia="es-ES" w:bidi="es-ES"/>
        </w:rPr>
        <w:t>trabajo .</w:t>
      </w:r>
      <w:proofErr w:type="gramEnd"/>
      <w:r w:rsidRPr="000C00A4">
        <w:rPr>
          <w:rFonts w:ascii="Verdana" w:hAnsi="Verdana" w:cs="Arial"/>
          <w:sz w:val="20"/>
          <w:szCs w:val="20"/>
          <w:lang w:eastAsia="es-ES" w:bidi="es-ES"/>
        </w:rPr>
        <w:t xml:space="preserve"> Estos últimos, por regla general, constituyen el personal que labora en las entidades descentralizadas y desconcentradas por servicios o por colaboración, tales como sociedades de economía mixta y empresas industriales y comerciales del Estado, sin embargo, debe advertirse que la clasificación enunciada se encuentra dentro del género servidor público.</w:t>
      </w:r>
    </w:p>
    <w:p w14:paraId="10F5B1FA" w14:textId="77777777" w:rsidR="00E06B0F" w:rsidRPr="00E06B0F" w:rsidRDefault="00E06B0F" w:rsidP="00E06B0F">
      <w:pPr>
        <w:spacing w:after="0" w:line="240" w:lineRule="auto"/>
        <w:jc w:val="both"/>
        <w:rPr>
          <w:rFonts w:ascii="Verdana" w:eastAsia="Calibri" w:hAnsi="Verdana" w:cs="Arial"/>
          <w:b/>
          <w:bCs/>
          <w:lang w:val="es-ES" w:eastAsia="es-ES"/>
        </w:rPr>
      </w:pPr>
      <w:r w:rsidRPr="00E06B0F">
        <w:rPr>
          <w:rFonts w:ascii="Verdana" w:eastAsia="Calibri" w:hAnsi="Verdana" w:cs="Arial"/>
          <w:b/>
          <w:bCs/>
          <w:lang w:val="es-ES" w:eastAsia="es-ES"/>
        </w:rPr>
        <w:t xml:space="preserve">REPORTE – Procuraduría General de la Nación – Normatividad y obligatoriedad </w:t>
      </w:r>
    </w:p>
    <w:p w14:paraId="3574A8B1" w14:textId="77777777" w:rsidR="000C00A4" w:rsidRDefault="000C00A4" w:rsidP="000C00A4">
      <w:pPr>
        <w:spacing w:after="0" w:line="240" w:lineRule="auto"/>
        <w:jc w:val="both"/>
        <w:rPr>
          <w:rFonts w:ascii="Verdana" w:hAnsi="Verdana" w:cs="Arial"/>
          <w:sz w:val="20"/>
          <w:szCs w:val="20"/>
          <w:lang w:eastAsia="es-ES" w:bidi="es-ES"/>
        </w:rPr>
      </w:pPr>
    </w:p>
    <w:p w14:paraId="305B92E9" w14:textId="77777777" w:rsidR="000C00A4" w:rsidRDefault="000C00A4" w:rsidP="00E06B0F">
      <w:pPr>
        <w:jc w:val="both"/>
        <w:rPr>
          <w:rFonts w:ascii="Verdana" w:hAnsi="Verdana" w:cs="Arial"/>
          <w:sz w:val="20"/>
          <w:szCs w:val="20"/>
          <w:lang w:eastAsia="es-ES" w:bidi="es-ES"/>
        </w:rPr>
      </w:pPr>
      <w:r w:rsidRPr="000C00A4">
        <w:rPr>
          <w:rFonts w:ascii="Verdana" w:hAnsi="Verdana" w:cs="Arial"/>
          <w:sz w:val="20"/>
          <w:szCs w:val="20"/>
          <w:lang w:eastAsia="es-ES" w:bidi="es-ES"/>
        </w:rPr>
        <w:t>De acuerdo con lo anterior y de conformidad con lo dispuesto en la Resolución 461 de 2016 de la Procuraduría General de la Nación, serán objeto de registro las inhabilidades por parte de los representantes legales o secretarios generales de las entidades del Estado de todos los niveles, que se deriven de las relaciones contractuales con el Estado, con ocasión de la imposición de sanciones en general pactadas dentro de los negocios jurídicos celebrados.</w:t>
      </w:r>
    </w:p>
    <w:p w14:paraId="68A5B22F" w14:textId="70F41333" w:rsidR="000C00A4" w:rsidRDefault="00E06B0F" w:rsidP="000C00A4">
      <w:pPr>
        <w:jc w:val="both"/>
        <w:rPr>
          <w:rFonts w:ascii="Verdana" w:hAnsi="Verdana" w:cs="Arial"/>
          <w:sz w:val="20"/>
          <w:szCs w:val="20"/>
          <w:lang w:eastAsia="es-ES" w:bidi="es-ES"/>
        </w:rPr>
      </w:pPr>
      <w:r w:rsidRPr="00E06B0F">
        <w:rPr>
          <w:rFonts w:ascii="Verdana" w:eastAsia="Calibri" w:hAnsi="Verdana" w:cs="Arial"/>
          <w:b/>
          <w:bCs/>
          <w:lang w:val="es-ES" w:eastAsia="es-ES"/>
        </w:rPr>
        <w:t xml:space="preserve">REPORTE - Multas, sanciones e inhabilidades – Cámaras de comercio – Entidades sometidas – Marco normativo </w:t>
      </w:r>
    </w:p>
    <w:p w14:paraId="1F740D03" w14:textId="0B63FB23" w:rsidR="000C00A4" w:rsidRDefault="000C00A4" w:rsidP="000C00A4">
      <w:pPr>
        <w:spacing w:after="0" w:line="240" w:lineRule="auto"/>
        <w:jc w:val="both"/>
        <w:rPr>
          <w:rFonts w:ascii="Verdana" w:eastAsia="Calibri" w:hAnsi="Verdana" w:cs="Arial"/>
          <w:color w:val="000000"/>
          <w:sz w:val="20"/>
          <w:szCs w:val="20"/>
          <w:lang w:val="es-MX" w:eastAsia="es-ES_tradnl"/>
        </w:rPr>
      </w:pPr>
      <w:r w:rsidRPr="000C00A4">
        <w:rPr>
          <w:rFonts w:ascii="Verdana" w:eastAsia="Calibri" w:hAnsi="Verdana" w:cs="Arial"/>
          <w:color w:val="000000"/>
          <w:sz w:val="20"/>
          <w:szCs w:val="20"/>
          <w:lang w:eastAsia="es-ES_tradnl"/>
        </w:rPr>
        <w:t>Por último, e</w:t>
      </w:r>
      <w:r w:rsidRPr="000C00A4">
        <w:rPr>
          <w:rFonts w:ascii="Verdana" w:eastAsia="Calibri" w:hAnsi="Verdana" w:cs="Arial"/>
          <w:sz w:val="20"/>
          <w:szCs w:val="20"/>
          <w:lang w:val="es-MX"/>
        </w:rPr>
        <w:t xml:space="preserve">l artículo 6.2 de la Ley 1150 de 2007 obliga a las </w:t>
      </w:r>
      <w:r w:rsidRPr="000C00A4">
        <w:rPr>
          <w:rFonts w:ascii="Verdana" w:eastAsia="Calibri" w:hAnsi="Verdana" w:cs="Arial"/>
          <w:i/>
          <w:iCs/>
          <w:sz w:val="20"/>
          <w:szCs w:val="20"/>
          <w:lang w:val="es-MX"/>
        </w:rPr>
        <w:t>entidades sometidas al EGCAP</w:t>
      </w:r>
      <w:r w:rsidRPr="000C00A4">
        <w:rPr>
          <w:rFonts w:ascii="Verdana" w:eastAsia="Calibri" w:hAnsi="Verdana" w:cs="Arial"/>
          <w:sz w:val="20"/>
          <w:szCs w:val="20"/>
          <w:lang w:val="es-MX"/>
        </w:rPr>
        <w:t xml:space="preserve"> a reportar a la Cámara de Comercio correspondiente la información sobre contratos, multas y sanciones. Esta norma pretende poner en conocimiento de todos los participantes del sistema de compras públicas la información de sanciones y multas impuestas a los inscritos en el RUP, como una forma de ejercer control a la ejecución de los contratos suscritos por las entidades estatales. Dicha obligación también es congruente con el artículo 31 de la Ley 80 de 1993, modificado por el artículo 218 del Decreto 19 de 2012, que estableció los deberes de publicar en el SECOP y de comunicar a las Cámaras de Comercio, la parte resolutiva, de los actos que impongan multas y sanciones, entre otras decisiones. </w:t>
      </w:r>
    </w:p>
    <w:p w14:paraId="767541A3" w14:textId="77777777" w:rsidR="000C00A4" w:rsidRDefault="000C00A4" w:rsidP="000C00A4">
      <w:pPr>
        <w:spacing w:after="0" w:line="240" w:lineRule="auto"/>
        <w:jc w:val="both"/>
        <w:rPr>
          <w:rFonts w:ascii="Verdana" w:eastAsia="Calibri" w:hAnsi="Verdana" w:cs="Arial"/>
          <w:color w:val="000000"/>
          <w:sz w:val="20"/>
          <w:szCs w:val="20"/>
          <w:lang w:val="es-MX" w:eastAsia="es-ES_tradnl"/>
        </w:rPr>
      </w:pPr>
    </w:p>
    <w:p w14:paraId="73328DFA" w14:textId="77777777" w:rsidR="000C00A4" w:rsidRDefault="000C00A4" w:rsidP="000C00A4">
      <w:pPr>
        <w:spacing w:after="0" w:line="240" w:lineRule="auto"/>
        <w:jc w:val="both"/>
        <w:rPr>
          <w:rFonts w:ascii="Verdana" w:eastAsia="Calibri" w:hAnsi="Verdana" w:cs="Arial"/>
          <w:color w:val="000000"/>
          <w:sz w:val="20"/>
          <w:szCs w:val="20"/>
          <w:lang w:val="es-MX" w:eastAsia="es-ES_tradnl"/>
        </w:rPr>
      </w:pPr>
      <w:r w:rsidRPr="000C00A4">
        <w:rPr>
          <w:rFonts w:ascii="Verdana" w:eastAsia="Calibri" w:hAnsi="Verdana" w:cs="Arial"/>
          <w:sz w:val="20"/>
          <w:szCs w:val="20"/>
          <w:lang w:val="es-MX"/>
        </w:rPr>
        <w:t xml:space="preserve">En la Ley 80 de 1993 se observa la voluntad del legislador de divulgar el comportamiento contractual de los participantes en el sistema de compras públicas. En este contexto, el artículo 6.2 de la Ley 1150 de 2007 constituye un desarrollo material de los principios aplicables a las actuaciones contractuales en los términos del artículo 23 del Estatuto General de Contratación de la Administración Pública. Entre otros, la Ley 80 de 1993 concreta el principio de transparencia de la actividad contractual, objeto de regulación expresa en el artículo 24 </w:t>
      </w:r>
      <w:r w:rsidRPr="000C00A4">
        <w:rPr>
          <w:rFonts w:ascii="Verdana" w:eastAsia="Calibri" w:hAnsi="Verdana" w:cs="Arial"/>
          <w:i/>
          <w:iCs/>
          <w:sz w:val="20"/>
          <w:szCs w:val="20"/>
          <w:lang w:val="es-MX"/>
        </w:rPr>
        <w:t>ibidem</w:t>
      </w:r>
      <w:r w:rsidRPr="000C00A4">
        <w:rPr>
          <w:rFonts w:ascii="Verdana" w:eastAsia="Calibri" w:hAnsi="Verdana" w:cs="Arial"/>
          <w:sz w:val="20"/>
          <w:szCs w:val="20"/>
          <w:lang w:val="es-MX"/>
        </w:rPr>
        <w:t xml:space="preserve">, que guarda estrecha relación con el de publicidad, el cual rige el ejercicio de la función administrativa, según el artículo 209 de la Constitución Política.  </w:t>
      </w:r>
    </w:p>
    <w:p w14:paraId="7283202A" w14:textId="77777777" w:rsidR="000C00A4" w:rsidRDefault="000C00A4" w:rsidP="000C00A4">
      <w:pPr>
        <w:spacing w:after="0" w:line="240" w:lineRule="auto"/>
        <w:jc w:val="both"/>
        <w:rPr>
          <w:rFonts w:ascii="Verdana" w:eastAsia="Calibri" w:hAnsi="Verdana" w:cs="Arial"/>
          <w:color w:val="000000"/>
          <w:sz w:val="20"/>
          <w:szCs w:val="20"/>
          <w:lang w:val="es-MX" w:eastAsia="es-ES_tradnl"/>
        </w:rPr>
      </w:pPr>
    </w:p>
    <w:p w14:paraId="461D4934" w14:textId="757DB484" w:rsidR="000C00A4" w:rsidRPr="000C00A4" w:rsidRDefault="000C00A4" w:rsidP="000C00A4">
      <w:pPr>
        <w:spacing w:after="0" w:line="240" w:lineRule="auto"/>
        <w:jc w:val="both"/>
        <w:rPr>
          <w:rFonts w:ascii="Verdana" w:eastAsia="Calibri" w:hAnsi="Verdana" w:cs="Arial"/>
          <w:color w:val="000000"/>
          <w:sz w:val="20"/>
          <w:szCs w:val="20"/>
          <w:lang w:val="es-MX" w:eastAsia="es-ES_tradnl"/>
        </w:rPr>
      </w:pPr>
      <w:r w:rsidRPr="000C00A4">
        <w:rPr>
          <w:rFonts w:ascii="Verdana" w:eastAsia="Calibri" w:hAnsi="Verdana" w:cs="Arial"/>
          <w:sz w:val="20"/>
          <w:szCs w:val="20"/>
          <w:lang w:val="es-MX"/>
        </w:rPr>
        <w:t>Ahora bien, el numeral 6.2. de la Ley 1150 de 2007 estableció la información que deberá registrarse en el Registro Único de Proponentes, precisando que “</w:t>
      </w:r>
      <w:r w:rsidRPr="000C00A4">
        <w:rPr>
          <w:rFonts w:ascii="Verdana" w:eastAsia="Calibri" w:hAnsi="Verdana" w:cs="Arial"/>
          <w:sz w:val="20"/>
          <w:szCs w:val="20"/>
        </w:rPr>
        <w:t xml:space="preserve">Las entidades estatales enviarán mensualmente a la Cámara de Comercio de su domicilio, la información concerniente a los contratos, su cuantía, cumplimiento, </w:t>
      </w:r>
      <w:r w:rsidRPr="000C00A4">
        <w:rPr>
          <w:rFonts w:ascii="Verdana" w:eastAsia="Calibri" w:hAnsi="Verdana" w:cs="Arial"/>
          <w:i/>
          <w:iCs/>
          <w:sz w:val="20"/>
          <w:szCs w:val="20"/>
        </w:rPr>
        <w:t>multas y sanciones</w:t>
      </w:r>
      <w:r w:rsidRPr="000C00A4">
        <w:rPr>
          <w:rFonts w:ascii="Verdana" w:eastAsia="Calibri" w:hAnsi="Verdana" w:cs="Arial"/>
          <w:sz w:val="20"/>
          <w:szCs w:val="20"/>
        </w:rPr>
        <w:t xml:space="preserve"> relacionadas con los contratos que hayan sido adjudicados, los que se encuentren en ejecución y los ejecutados” (Énfasis fuera de texto)</w:t>
      </w:r>
      <w:r w:rsidRPr="000C00A4">
        <w:rPr>
          <w:rFonts w:ascii="Verdana" w:eastAsia="Calibri" w:hAnsi="Verdana" w:cs="Arial"/>
          <w:sz w:val="20"/>
          <w:szCs w:val="20"/>
          <w:lang w:val="es-MX"/>
        </w:rPr>
        <w:t xml:space="preserve">. </w:t>
      </w:r>
    </w:p>
    <w:p w14:paraId="0E12547C" w14:textId="38A60935" w:rsidR="000C00A4" w:rsidRDefault="000C00A4" w:rsidP="000C00A4">
      <w:pPr>
        <w:jc w:val="both"/>
        <w:rPr>
          <w:rFonts w:ascii="Verdana" w:eastAsia="Calibri" w:hAnsi="Verdana" w:cs="Arial"/>
          <w:iCs/>
          <w:sz w:val="20"/>
          <w:szCs w:val="20"/>
          <w:lang w:val="es-MX"/>
        </w:rPr>
      </w:pPr>
      <w:r w:rsidRPr="000C00A4">
        <w:rPr>
          <w:rFonts w:ascii="Verdana" w:eastAsia="Calibri" w:hAnsi="Verdana" w:cs="Arial"/>
          <w:iCs/>
          <w:sz w:val="20"/>
          <w:szCs w:val="20"/>
          <w:lang w:val="es-MX"/>
        </w:rPr>
        <w:t xml:space="preserve">Asimismo, consagró una atribución reglamentaria sobre el tema. Para estos efectos dispuso que “Las condiciones de remisión de la información y los plazos de permanencia de </w:t>
      </w:r>
      <w:proofErr w:type="gramStart"/>
      <w:r w:rsidRPr="000C00A4">
        <w:rPr>
          <w:rFonts w:ascii="Verdana" w:eastAsia="Calibri" w:hAnsi="Verdana" w:cs="Arial"/>
          <w:iCs/>
          <w:sz w:val="20"/>
          <w:szCs w:val="20"/>
          <w:lang w:val="es-MX"/>
        </w:rPr>
        <w:t>la misma</w:t>
      </w:r>
      <w:proofErr w:type="gramEnd"/>
      <w:r w:rsidRPr="000C00A4">
        <w:rPr>
          <w:rFonts w:ascii="Verdana" w:eastAsia="Calibri" w:hAnsi="Verdana" w:cs="Arial"/>
          <w:iCs/>
          <w:sz w:val="20"/>
          <w:szCs w:val="20"/>
          <w:lang w:val="es-MX"/>
        </w:rPr>
        <w:t xml:space="preserve"> en el registro serán señalados por el Gobierno Nacional”. Actualmente, este mandato se desarrolla en el artículo 14 del Decreto 1510 de 17 de julio de 2013, compilado posteriormente en el artículo 2.2.1.1.1.5.7 del Decreto 1082 de 2015</w:t>
      </w:r>
      <w:r w:rsidRPr="000C00A4">
        <w:rPr>
          <w:rFonts w:ascii="Verdana" w:eastAsia="Calibri" w:hAnsi="Verdana" w:cs="Arial"/>
          <w:iCs/>
          <w:sz w:val="20"/>
          <w:szCs w:val="20"/>
          <w:lang w:val="es-MX"/>
        </w:rPr>
        <w:t>.</w:t>
      </w:r>
    </w:p>
    <w:p w14:paraId="644471B8" w14:textId="7A58FFD9" w:rsidR="000C00A4" w:rsidRDefault="000C00A4" w:rsidP="000C00A4">
      <w:pPr>
        <w:jc w:val="both"/>
        <w:rPr>
          <w:rFonts w:ascii="Verdana" w:eastAsia="Calibri" w:hAnsi="Verdana" w:cs="Arial"/>
          <w:iCs/>
          <w:sz w:val="20"/>
          <w:szCs w:val="20"/>
          <w:lang w:val="es-MX"/>
        </w:rPr>
      </w:pPr>
      <w:r>
        <w:rPr>
          <w:rFonts w:ascii="Verdana" w:eastAsia="Calibri" w:hAnsi="Verdana" w:cs="Arial"/>
          <w:iCs/>
          <w:sz w:val="20"/>
          <w:szCs w:val="20"/>
          <w:lang w:val="es-MX"/>
        </w:rPr>
        <w:t>[…]</w:t>
      </w:r>
    </w:p>
    <w:p w14:paraId="3FF78459" w14:textId="723C0153" w:rsidR="000C00A4" w:rsidRPr="000C00A4" w:rsidRDefault="000C00A4" w:rsidP="000C00A4">
      <w:pPr>
        <w:spacing w:after="0" w:line="240" w:lineRule="auto"/>
        <w:jc w:val="both"/>
        <w:rPr>
          <w:rFonts w:ascii="Verdana" w:eastAsia="Calibri" w:hAnsi="Verdana" w:cs="Arial"/>
          <w:iCs/>
          <w:sz w:val="20"/>
          <w:szCs w:val="20"/>
          <w:lang w:val="es-MX"/>
        </w:rPr>
      </w:pPr>
      <w:r w:rsidRPr="000C00A4">
        <w:rPr>
          <w:rFonts w:ascii="Verdana" w:eastAsia="Calibri" w:hAnsi="Verdana" w:cs="Arial"/>
          <w:iCs/>
          <w:sz w:val="20"/>
          <w:szCs w:val="20"/>
          <w:lang w:val="es-MX"/>
        </w:rPr>
        <w:t>Asimismo, las entidades de régimen especial –entre las que se encuentran las empresas industriales y comerciales del Estado que estén en competencia o desarrollen su actividad en mercados regulados– también están obligadas a reportar la información concerniente a los contratos, su cuantía, cumplimiento, multas y sanciones relacionadas con los contratos que hayan adjudicado. Conforme al artículo 13 de la Ley 1150 de 2007, dichas entidades se sujetan a las normas sobre inhabilidades e incompatibilidades, entre ellas, la del artículo 90 de la Ley 1474 de 2011 para los casos de incumplimiento reiterado.</w:t>
      </w:r>
    </w:p>
    <w:p w14:paraId="4F1E0ABE" w14:textId="77777777" w:rsidR="000C00A4" w:rsidRDefault="000C00A4" w:rsidP="000C00A4">
      <w:pPr>
        <w:spacing w:after="0" w:line="240" w:lineRule="auto"/>
        <w:jc w:val="both"/>
        <w:rPr>
          <w:rFonts w:ascii="Verdana" w:eastAsia="Calibri" w:hAnsi="Verdana" w:cs="Arial"/>
          <w:b/>
          <w:bCs/>
          <w:lang w:val="es-ES" w:eastAsia="es-ES"/>
        </w:rPr>
      </w:pPr>
    </w:p>
    <w:p w14:paraId="56B89A36" w14:textId="292AC3C9" w:rsidR="00E06B0F" w:rsidRDefault="00E06B0F" w:rsidP="00E06B0F">
      <w:pPr>
        <w:jc w:val="both"/>
        <w:rPr>
          <w:rFonts w:ascii="Verdana" w:eastAsia="Calibri" w:hAnsi="Verdana" w:cs="Arial"/>
          <w:b/>
          <w:bCs/>
          <w:lang w:val="es-ES" w:eastAsia="es-ES"/>
        </w:rPr>
      </w:pPr>
      <w:r w:rsidRPr="00E06B0F">
        <w:rPr>
          <w:rFonts w:ascii="Verdana" w:eastAsia="Calibri" w:hAnsi="Verdana" w:cs="Arial"/>
          <w:b/>
          <w:bCs/>
          <w:lang w:val="es-ES" w:eastAsia="es-ES"/>
        </w:rPr>
        <w:t xml:space="preserve">CIRCULAR EXTERNA 002 DE 2026 – Ámbito de aplicación – Entidades exceptuadas </w:t>
      </w:r>
    </w:p>
    <w:p w14:paraId="193A8D34" w14:textId="77777777" w:rsidR="000C00A4" w:rsidRDefault="000C00A4" w:rsidP="000C00A4">
      <w:pPr>
        <w:jc w:val="both"/>
        <w:rPr>
          <w:rFonts w:ascii="Verdana" w:eastAsia="Calibri" w:hAnsi="Verdana" w:cs="Arial"/>
          <w:sz w:val="20"/>
          <w:szCs w:val="20"/>
          <w:lang w:val="es-ES" w:eastAsia="es-ES"/>
        </w:rPr>
      </w:pPr>
      <w:r w:rsidRPr="000C00A4">
        <w:rPr>
          <w:rFonts w:ascii="Verdana" w:eastAsia="Calibri" w:hAnsi="Verdana" w:cs="Arial"/>
          <w:sz w:val="20"/>
          <w:szCs w:val="20"/>
          <w:lang w:val="es-ES" w:eastAsia="es-ES"/>
        </w:rPr>
        <w:t xml:space="preserve">Esta obligación se refuerza con la Circular Externa 002 del 8 de mayo de 2026 expedida por la ANCP – CCE, sobre la “Obligatoriedad de reportar declaratoria de caducidad, multas, sanciones, declaratorias de incumplimiento, inhabilidades y sentencias condenatorias impuestas a los contratistas del Estado ante las Cámaras de Comercio, Procuraduría General de la Nación y en el SECOP” y que se dirige a “Las entidades del Estado, sin distinción de su régimen contractual aplicable” (Énfasis fuera de texto). </w:t>
      </w:r>
    </w:p>
    <w:p w14:paraId="776AE747" w14:textId="77777777" w:rsidR="00A37303" w:rsidRDefault="000C00A4" w:rsidP="000C00A4">
      <w:pPr>
        <w:jc w:val="both"/>
        <w:rPr>
          <w:rFonts w:ascii="Verdana" w:eastAsia="Calibri" w:hAnsi="Verdana" w:cs="Arial"/>
          <w:sz w:val="20"/>
          <w:szCs w:val="20"/>
          <w:lang w:val="es-ES" w:eastAsia="es-ES"/>
        </w:rPr>
      </w:pPr>
      <w:r w:rsidRPr="000C00A4">
        <w:rPr>
          <w:rFonts w:ascii="Verdana" w:eastAsia="Calibri" w:hAnsi="Verdana" w:cs="Arial"/>
          <w:sz w:val="20"/>
          <w:szCs w:val="20"/>
          <w:lang w:val="es-ES" w:eastAsia="es-ES"/>
        </w:rPr>
        <w:t>Por tanto, las entidades exceptuadas de la Ley 80 de 1993 tienen el deber de “[…] efectuar reportes derivados de decisiones relacionadas con presuntos incumplimientos contractuales […]”, entre otros casos, cuando la ausencia de ejecución, la ejecución defectuosa o tardía de la prestación conducen a la declaración de terminación anticipada, multas o cláusula penal pecuniaria. Conforme al numeral 7 de la citada guía, la Agencia establece el alcance de la “Aplicabilidad de sanciones y cláusulas de ejercicio unilateral por parte de las Entidades Estatales con régimen especial de contratación”.</w:t>
      </w:r>
    </w:p>
    <w:p w14:paraId="0BB5138F" w14:textId="10B7D4C9" w:rsidR="000C00A4" w:rsidRPr="000C00A4" w:rsidRDefault="000C00A4" w:rsidP="000C00A4">
      <w:pPr>
        <w:spacing w:after="0" w:line="240" w:lineRule="auto"/>
        <w:jc w:val="both"/>
        <w:rPr>
          <w:rFonts w:ascii="Verdana" w:eastAsia="Calibri" w:hAnsi="Verdana" w:cs="Arial"/>
          <w:sz w:val="20"/>
          <w:szCs w:val="20"/>
          <w:lang w:val="es-ES" w:eastAsia="es-ES"/>
        </w:rPr>
      </w:pPr>
      <w:r w:rsidRPr="000C00A4">
        <w:rPr>
          <w:rFonts w:ascii="Verdana" w:eastAsia="Calibri" w:hAnsi="Verdana" w:cs="Arial"/>
          <w:sz w:val="20"/>
          <w:szCs w:val="20"/>
          <w:lang w:val="es-ES" w:eastAsia="es-ES"/>
        </w:rPr>
        <w:t>La Circular 002 de 2026 no se refiere al reporte, por ejemplo, de las decisiones contractuales mediante las cuales la entidad determina la ocurrencia de un siniestro derivado de un presunto incumplimiento contractual, con fines de efectividad de garantías y reclamación ante la aseguradora. Activar las garantías, por ejemplo, supone previamente la expedición de certificados, actas o documentos equivalentes donde, además de constar el ejercicio del derecho de defensa y contradicción por parte del afectado, acreditan la imposición de las sanciones pactadas en el negocio jurídico, las cuales sirven de fundamento para la reclamación posterior. Esta es la información objeto de reporte, la cual deberá constituirse en las condiciones que defina el manual de contratación de la entidad para su traslado a la cámara de comercio.</w:t>
      </w:r>
    </w:p>
    <w:p w14:paraId="3B0F583B" w14:textId="77777777" w:rsidR="00E06B0F" w:rsidRPr="00E06B0F" w:rsidRDefault="00E06B0F" w:rsidP="00643E5C">
      <w:pPr>
        <w:spacing w:after="0" w:line="240" w:lineRule="auto"/>
        <w:rPr>
          <w:rFonts w:ascii="Verdana" w:eastAsia="Verdana" w:hAnsi="Verdana" w:cs="Verdana"/>
          <w:lang w:val="es-ES"/>
        </w:rPr>
      </w:pPr>
    </w:p>
    <w:p w14:paraId="02E5CA21" w14:textId="2850B3D2" w:rsidR="00E06B0F" w:rsidRDefault="001332E7" w:rsidP="00643E5C">
      <w:pPr>
        <w:spacing w:after="0" w:line="240" w:lineRule="auto"/>
        <w:rPr>
          <w:rFonts w:ascii="Verdana" w:eastAsia="Verdana" w:hAnsi="Verdana" w:cs="Verdana"/>
        </w:rPr>
      </w:pPr>
      <w:r w:rsidRPr="30821638">
        <w:rPr>
          <w:rFonts w:ascii="Verdana" w:eastAsia="Verdana" w:hAnsi="Verdana" w:cs="Verdana"/>
        </w:rPr>
        <w:t xml:space="preserve">Bogotá D.C., </w:t>
      </w:r>
      <w:r w:rsidR="00E06B0F">
        <w:rPr>
          <w:rFonts w:ascii="Verdana" w:eastAsia="Verdana" w:hAnsi="Verdana" w:cs="Verdana"/>
        </w:rPr>
        <w:t>22 de julio 2026</w:t>
      </w:r>
    </w:p>
    <w:p w14:paraId="58D816FE" w14:textId="4E646355" w:rsidR="001332E7" w:rsidRPr="00643E5C" w:rsidRDefault="00E06B0F" w:rsidP="00E06B0F">
      <w:pPr>
        <w:spacing w:after="0" w:line="240" w:lineRule="auto"/>
        <w:jc w:val="right"/>
        <w:rPr>
          <w:rFonts w:ascii="Verdana" w:hAnsi="Verdana"/>
        </w:rPr>
      </w:pPr>
      <w:r w:rsidRPr="00E06B0F">
        <w:rPr>
          <w:rFonts w:ascii="Verdana" w:hAnsi="Verdana"/>
        </w:rPr>
        <w:drawing>
          <wp:inline distT="0" distB="0" distL="0" distR="0" wp14:anchorId="7C43859F" wp14:editId="3FA80A39">
            <wp:extent cx="1854200" cy="457200"/>
            <wp:effectExtent l="0" t="0" r="0" b="0"/>
            <wp:docPr id="17326043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604399" name=""/>
                    <pic:cNvPicPr/>
                  </pic:nvPicPr>
                  <pic:blipFill>
                    <a:blip r:embed="rId11"/>
                    <a:stretch>
                      <a:fillRect/>
                    </a:stretch>
                  </pic:blipFill>
                  <pic:spPr>
                    <a:xfrm>
                      <a:off x="0" y="0"/>
                      <a:ext cx="1889512" cy="465907"/>
                    </a:xfrm>
                    <a:prstGeom prst="rect">
                      <a:avLst/>
                    </a:prstGeom>
                  </pic:spPr>
                </pic:pic>
              </a:graphicData>
            </a:graphic>
          </wp:inline>
        </w:drawing>
      </w:r>
      <w:r w:rsidR="001332E7" w:rsidRPr="00643E5C">
        <w:rPr>
          <w:rFonts w:ascii="Verdana" w:hAnsi="Verdana"/>
        </w:rPr>
        <w:tab/>
      </w:r>
      <w:r w:rsidR="001332E7" w:rsidRPr="00643E5C">
        <w:rPr>
          <w:rFonts w:ascii="Verdana" w:hAnsi="Verdana"/>
        </w:rPr>
        <w:br/>
      </w:r>
      <w:bookmarkEnd w:id="0"/>
      <w:r w:rsidR="001332E7" w:rsidRPr="00643E5C">
        <w:rPr>
          <w:rFonts w:ascii="Verdana" w:hAnsi="Verdana"/>
        </w:rPr>
        <w:tab/>
      </w:r>
    </w:p>
    <w:p w14:paraId="74F6E20A" w14:textId="77777777" w:rsidR="001332E7" w:rsidRDefault="001332E7" w:rsidP="001332E7">
      <w:pPr>
        <w:spacing w:after="0" w:line="240" w:lineRule="auto"/>
        <w:jc w:val="both"/>
        <w:rPr>
          <w:rFonts w:ascii="Verdana" w:eastAsia="Calibri" w:hAnsi="Verdana" w:cs="Arial"/>
          <w:b/>
          <w:bCs/>
          <w:lang w:eastAsia="es-ES"/>
        </w:rPr>
      </w:pPr>
      <w:bookmarkStart w:id="1" w:name="_Hlk214366482"/>
      <w:r>
        <w:rPr>
          <w:rFonts w:ascii="Verdana" w:eastAsia="Calibri" w:hAnsi="Verdana" w:cs="Arial"/>
          <w:b/>
          <w:bCs/>
          <w:lang w:eastAsia="es-ES"/>
        </w:rPr>
        <w:t xml:space="preserve">Señora </w:t>
      </w:r>
    </w:p>
    <w:p w14:paraId="3E4A9CAF" w14:textId="77777777" w:rsidR="001332E7" w:rsidRDefault="001332E7" w:rsidP="001332E7">
      <w:pPr>
        <w:spacing w:after="0" w:line="240" w:lineRule="auto"/>
        <w:jc w:val="both"/>
        <w:rPr>
          <w:rFonts w:ascii="Verdana" w:eastAsia="Calibri" w:hAnsi="Verdana" w:cs="Arial"/>
          <w:b/>
          <w:bCs/>
          <w:lang w:eastAsia="es-ES"/>
        </w:rPr>
      </w:pPr>
      <w:r w:rsidRPr="00E77AE0">
        <w:rPr>
          <w:rFonts w:ascii="Verdana" w:eastAsia="Calibri" w:hAnsi="Verdana" w:cs="Arial"/>
          <w:b/>
          <w:bCs/>
          <w:lang w:eastAsia="es-ES"/>
        </w:rPr>
        <w:t>Y</w:t>
      </w:r>
      <w:r>
        <w:rPr>
          <w:rFonts w:ascii="Verdana" w:eastAsia="Calibri" w:hAnsi="Verdana" w:cs="Arial"/>
          <w:b/>
          <w:bCs/>
          <w:lang w:eastAsia="es-ES"/>
        </w:rPr>
        <w:t>é</w:t>
      </w:r>
      <w:r w:rsidRPr="00E77AE0">
        <w:rPr>
          <w:rFonts w:ascii="Verdana" w:eastAsia="Calibri" w:hAnsi="Verdana" w:cs="Arial"/>
          <w:b/>
          <w:bCs/>
          <w:lang w:eastAsia="es-ES"/>
        </w:rPr>
        <w:t xml:space="preserve">sica </w:t>
      </w:r>
      <w:r>
        <w:rPr>
          <w:rFonts w:ascii="Verdana" w:eastAsia="Calibri" w:hAnsi="Verdana" w:cs="Arial"/>
          <w:b/>
          <w:bCs/>
          <w:lang w:eastAsia="es-ES"/>
        </w:rPr>
        <w:t>d</w:t>
      </w:r>
      <w:r w:rsidRPr="00E77AE0">
        <w:rPr>
          <w:rFonts w:ascii="Verdana" w:eastAsia="Calibri" w:hAnsi="Verdana" w:cs="Arial"/>
          <w:b/>
          <w:bCs/>
          <w:lang w:eastAsia="es-ES"/>
        </w:rPr>
        <w:t>el Pilar</w:t>
      </w:r>
      <w:r>
        <w:rPr>
          <w:rFonts w:ascii="Verdana" w:eastAsia="Calibri" w:hAnsi="Verdana" w:cs="Arial"/>
          <w:b/>
          <w:bCs/>
          <w:lang w:eastAsia="es-ES"/>
        </w:rPr>
        <w:t xml:space="preserve"> </w:t>
      </w:r>
      <w:r w:rsidRPr="00E77AE0">
        <w:rPr>
          <w:rFonts w:ascii="Verdana" w:eastAsia="Calibri" w:hAnsi="Verdana" w:cs="Arial"/>
          <w:b/>
          <w:bCs/>
          <w:lang w:eastAsia="es-ES"/>
        </w:rPr>
        <w:t>Marín Sánchez</w:t>
      </w:r>
    </w:p>
    <w:p w14:paraId="4F69B393" w14:textId="77777777" w:rsidR="001332E7" w:rsidRDefault="001332E7" w:rsidP="001332E7">
      <w:pPr>
        <w:spacing w:after="0" w:line="240" w:lineRule="auto"/>
        <w:jc w:val="both"/>
        <w:rPr>
          <w:rFonts w:ascii="Verdana" w:hAnsi="Verdana"/>
        </w:rPr>
      </w:pPr>
      <w:hyperlink r:id="rId12" w:history="1">
        <w:r w:rsidRPr="0023538D">
          <w:rPr>
            <w:rStyle w:val="Hipervnculo"/>
            <w:rFonts w:ascii="Verdana" w:hAnsi="Verdana"/>
          </w:rPr>
          <w:t>dyesicam21@gmail.com</w:t>
        </w:r>
      </w:hyperlink>
    </w:p>
    <w:p w14:paraId="251AEB9D" w14:textId="77777777" w:rsidR="001332E7" w:rsidRDefault="001332E7" w:rsidP="001332E7">
      <w:pPr>
        <w:spacing w:after="0" w:line="240" w:lineRule="auto"/>
        <w:jc w:val="both"/>
        <w:rPr>
          <w:rFonts w:ascii="Verdana" w:hAnsi="Verdana"/>
        </w:rPr>
      </w:pPr>
      <w:r>
        <w:rPr>
          <w:rFonts w:ascii="Verdana" w:hAnsi="Verdana"/>
        </w:rPr>
        <w:t>Ciudad</w:t>
      </w:r>
    </w:p>
    <w:p w14:paraId="14CDBE61" w14:textId="77777777" w:rsidR="001332E7" w:rsidRPr="007F2AEC" w:rsidRDefault="001332E7" w:rsidP="001332E7">
      <w:pPr>
        <w:spacing w:after="0" w:line="240" w:lineRule="auto"/>
        <w:jc w:val="both"/>
        <w:rPr>
          <w:rFonts w:ascii="Verdana" w:hAnsi="Verdana"/>
        </w:rPr>
      </w:pPr>
    </w:p>
    <w:p w14:paraId="340D48A2" w14:textId="77777777" w:rsidR="001332E7" w:rsidRPr="007F2AEC" w:rsidRDefault="001332E7" w:rsidP="001332E7">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1332E7" w:rsidRPr="005644FE" w14:paraId="5B01DD40" w14:textId="77777777" w:rsidTr="00E50FF1">
        <w:trPr>
          <w:trHeight w:val="162"/>
        </w:trPr>
        <w:tc>
          <w:tcPr>
            <w:tcW w:w="3119" w:type="dxa"/>
          </w:tcPr>
          <w:p w14:paraId="7CA84DEF" w14:textId="77777777" w:rsidR="001332E7" w:rsidRPr="007F2AEC" w:rsidRDefault="001332E7" w:rsidP="00E50FF1">
            <w:pPr>
              <w:jc w:val="both"/>
              <w:rPr>
                <w:rFonts w:ascii="Verdana" w:eastAsia="Calibri" w:hAnsi="Verdana" w:cs="Arial"/>
                <w:b/>
                <w:bCs/>
                <w:color w:val="7030A0"/>
                <w:lang w:eastAsia="es-ES_tradnl"/>
              </w:rPr>
            </w:pPr>
          </w:p>
        </w:tc>
        <w:tc>
          <w:tcPr>
            <w:tcW w:w="5670" w:type="dxa"/>
          </w:tcPr>
          <w:p w14:paraId="5FC2B6EB" w14:textId="77777777" w:rsidR="001332E7" w:rsidRPr="005644FE" w:rsidRDefault="001332E7" w:rsidP="00E50FF1">
            <w:pPr>
              <w:jc w:val="both"/>
              <w:rPr>
                <w:rFonts w:ascii="Verdana" w:eastAsia="Calibri" w:hAnsi="Verdana" w:cs="Arial"/>
                <w:b/>
                <w:bCs/>
                <w:lang w:eastAsia="es-ES"/>
              </w:rPr>
            </w:pPr>
            <w:r w:rsidRPr="005644FE">
              <w:rPr>
                <w:rFonts w:ascii="Verdana" w:eastAsia="Calibri" w:hAnsi="Verdana" w:cs="Arial"/>
                <w:b/>
                <w:bCs/>
                <w:lang w:eastAsia="es-ES"/>
              </w:rPr>
              <w:t>Concepto C</w:t>
            </w:r>
            <w:r w:rsidRPr="00D260F1">
              <w:rPr>
                <w:rFonts w:ascii="Verdana" w:eastAsia="Calibri" w:hAnsi="Verdana" w:cs="Arial"/>
                <w:b/>
                <w:bCs/>
                <w:lang w:eastAsia="es-ES"/>
              </w:rPr>
              <w:t>-948</w:t>
            </w:r>
            <w:r>
              <w:rPr>
                <w:rFonts w:ascii="Verdana" w:eastAsia="Calibri" w:hAnsi="Verdana" w:cs="Arial"/>
                <w:b/>
                <w:bCs/>
                <w:lang w:eastAsia="es-ES"/>
              </w:rPr>
              <w:t xml:space="preserve"> de 2026</w:t>
            </w:r>
          </w:p>
          <w:p w14:paraId="4BF04131" w14:textId="77777777" w:rsidR="001332E7" w:rsidRPr="005644FE" w:rsidRDefault="001332E7" w:rsidP="00E50FF1">
            <w:pPr>
              <w:jc w:val="both"/>
              <w:rPr>
                <w:rFonts w:ascii="Verdana" w:eastAsia="Calibri" w:hAnsi="Verdana" w:cs="Arial"/>
                <w:b/>
                <w:bCs/>
                <w:color w:val="7030A0"/>
                <w:lang w:eastAsia="es-ES"/>
              </w:rPr>
            </w:pPr>
          </w:p>
        </w:tc>
      </w:tr>
      <w:tr w:rsidR="001332E7" w:rsidRPr="005644FE" w14:paraId="39F60B9E" w14:textId="77777777" w:rsidTr="00E50FF1">
        <w:trPr>
          <w:trHeight w:val="884"/>
        </w:trPr>
        <w:tc>
          <w:tcPr>
            <w:tcW w:w="3119" w:type="dxa"/>
          </w:tcPr>
          <w:p w14:paraId="7191C207" w14:textId="77777777" w:rsidR="001332E7" w:rsidRPr="005644FE" w:rsidRDefault="001332E7" w:rsidP="00E50FF1">
            <w:pPr>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670" w:type="dxa"/>
          </w:tcPr>
          <w:p w14:paraId="7FCD8851" w14:textId="77777777" w:rsidR="001332E7" w:rsidRDefault="001332E7" w:rsidP="00643E5C">
            <w:pPr>
              <w:jc w:val="both"/>
              <w:rPr>
                <w:rFonts w:ascii="Verdana" w:eastAsia="Calibri" w:hAnsi="Verdana" w:cs="Arial"/>
                <w:lang w:val="es-ES" w:eastAsia="es-ES"/>
              </w:rPr>
            </w:pPr>
            <w:r w:rsidRPr="004850E9">
              <w:rPr>
                <w:rFonts w:ascii="Verdana" w:eastAsia="Calibri" w:hAnsi="Verdana" w:cs="Arial"/>
                <w:lang w:val="es-ES" w:eastAsia="es-ES"/>
              </w:rPr>
              <w:t xml:space="preserve">EGCAP – Ámbito de aplicación – Entidades estatales </w:t>
            </w:r>
            <w:r>
              <w:rPr>
                <w:rFonts w:ascii="Verdana" w:eastAsia="Calibri" w:hAnsi="Verdana" w:cs="Arial"/>
                <w:lang w:val="es-ES" w:eastAsia="es-ES"/>
              </w:rPr>
              <w:t xml:space="preserve">/ </w:t>
            </w:r>
            <w:r w:rsidRPr="004850E9">
              <w:rPr>
                <w:rFonts w:ascii="Verdana" w:eastAsia="Calibri" w:hAnsi="Verdana" w:cs="Arial"/>
                <w:lang w:val="es-ES" w:eastAsia="es-ES"/>
              </w:rPr>
              <w:t>ENTIDADES EXCEPTUADAS – Aplicación de normas de derecho público</w:t>
            </w:r>
            <w:r>
              <w:rPr>
                <w:rFonts w:ascii="Verdana" w:eastAsia="Calibri" w:hAnsi="Verdana" w:cs="Arial"/>
                <w:lang w:val="es-ES" w:eastAsia="es-ES"/>
              </w:rPr>
              <w:t xml:space="preserve"> / </w:t>
            </w:r>
            <w:r w:rsidRPr="004850E9">
              <w:rPr>
                <w:rFonts w:ascii="Verdana" w:eastAsia="Calibri" w:hAnsi="Verdana" w:cs="Arial"/>
                <w:lang w:val="es-ES" w:eastAsia="es-ES"/>
              </w:rPr>
              <w:t>CONTRATOS ESTATALES – Régimen especial – Obligaciones transversales – Manual de contratación – Límites</w:t>
            </w:r>
            <w:r>
              <w:rPr>
                <w:rFonts w:ascii="Verdana" w:eastAsia="Calibri" w:hAnsi="Verdana" w:cs="Arial"/>
                <w:lang w:val="es-ES" w:eastAsia="es-ES"/>
              </w:rPr>
              <w:t xml:space="preserve"> / </w:t>
            </w:r>
            <w:r w:rsidRPr="004850E9">
              <w:rPr>
                <w:rFonts w:ascii="Verdana" w:eastAsia="Calibri" w:hAnsi="Verdana" w:cs="Arial"/>
                <w:lang w:val="es-ES" w:eastAsia="es-ES"/>
              </w:rPr>
              <w:t>EMPRESAS INDUSTRIALES Y COMERCIALES DEL ESTADO – Régimen contractual – Ley 80 de 1993 – Derecho privado</w:t>
            </w:r>
            <w:r>
              <w:rPr>
                <w:rFonts w:ascii="Verdana" w:eastAsia="Calibri" w:hAnsi="Verdana" w:cs="Arial"/>
                <w:lang w:val="es-ES" w:eastAsia="es-ES"/>
              </w:rPr>
              <w:t xml:space="preserve"> / </w:t>
            </w:r>
            <w:r w:rsidRPr="00AD6B46">
              <w:rPr>
                <w:rFonts w:ascii="Verdana" w:eastAsia="Arial" w:hAnsi="Verdana" w:cs="Arial"/>
                <w:lang w:val="es-ES"/>
              </w:rPr>
              <w:t>PRINCIPIO DE PUBLICIDAD – Concepto – Fundamento constitucional</w:t>
            </w:r>
            <w:r w:rsidRPr="00AD6B46">
              <w:rPr>
                <w:rFonts w:ascii="Verdana" w:hAnsi="Verdana" w:cs="Arial"/>
                <w:bCs/>
                <w:lang w:val="es-ES_tradnl" w:eastAsia="es-ES" w:bidi="es-ES"/>
              </w:rPr>
              <w:t xml:space="preserve"> / </w:t>
            </w:r>
            <w:r>
              <w:rPr>
                <w:rFonts w:ascii="Verdana" w:hAnsi="Verdana" w:cs="Arial"/>
                <w:bCs/>
                <w:lang w:val="es-ES_tradnl" w:eastAsia="es-ES" w:bidi="es-ES"/>
              </w:rPr>
              <w:t xml:space="preserve">PRINCIPIO DE PUBLICIDAD – Ley 1712 de 2014 – Sujetos Obligados / </w:t>
            </w:r>
            <w:r w:rsidRPr="00AD6B46">
              <w:rPr>
                <w:rFonts w:ascii="Verdana" w:hAnsi="Verdana" w:cs="Arial"/>
                <w:bCs/>
                <w:lang w:val="es-ES_tradnl" w:eastAsia="es-ES" w:bidi="es-ES"/>
              </w:rPr>
              <w:t xml:space="preserve">PRINCIPIO DE PUBLICIDAD – SECOP – Documentos del proceso – Deber de publicación / </w:t>
            </w:r>
            <w:r w:rsidRPr="00AD6B46">
              <w:rPr>
                <w:rFonts w:ascii="Verdana" w:hAnsi="Verdana" w:cs="Arial"/>
                <w:bCs/>
                <w:lang w:eastAsia="es-ES" w:bidi="es-ES"/>
              </w:rPr>
              <w:t>ENTIDADES CON RÉGIMEN ESPECIAL – Deber de publicar en SECOP – Artículo 53 Ley 2195 de 2022</w:t>
            </w:r>
            <w:r>
              <w:rPr>
                <w:rFonts w:ascii="Verdana" w:hAnsi="Verdana" w:cs="Arial"/>
                <w:bCs/>
                <w:lang w:eastAsia="es-ES" w:bidi="es-ES"/>
              </w:rPr>
              <w:t xml:space="preserve"> / DEBER DE REPORTAR INHABILIDADES DE CONTRATISTAS – Concepto de servidor público / </w:t>
            </w:r>
            <w:r w:rsidRPr="00A8132A">
              <w:rPr>
                <w:rFonts w:ascii="Verdana" w:eastAsia="Calibri" w:hAnsi="Verdana" w:cs="Arial"/>
                <w:lang w:val="es-ES" w:eastAsia="es-ES"/>
              </w:rPr>
              <w:t xml:space="preserve">REPORTE – </w:t>
            </w:r>
            <w:r>
              <w:rPr>
                <w:rFonts w:ascii="Verdana" w:eastAsia="Calibri" w:hAnsi="Verdana" w:cs="Arial"/>
                <w:lang w:val="es-ES" w:eastAsia="es-ES"/>
              </w:rPr>
              <w:t xml:space="preserve">Procuraduría General de la Nación – Normatividad y obligatoriedad / REPORTE - </w:t>
            </w:r>
            <w:r w:rsidRPr="00A8132A">
              <w:rPr>
                <w:rFonts w:ascii="Verdana" w:eastAsia="Calibri" w:hAnsi="Verdana" w:cs="Arial"/>
                <w:lang w:val="es-ES" w:eastAsia="es-ES"/>
              </w:rPr>
              <w:t>Multas, sanciones e inhabilidades – Cámaras de comercio – Entidades sometidas – Marco normativo</w:t>
            </w:r>
            <w:r>
              <w:rPr>
                <w:rFonts w:ascii="Verdana" w:eastAsia="Calibri" w:hAnsi="Verdana" w:cs="Arial"/>
                <w:lang w:val="es-ES" w:eastAsia="es-ES"/>
              </w:rPr>
              <w:t xml:space="preserve"> / </w:t>
            </w:r>
            <w:r w:rsidRPr="004A4130">
              <w:rPr>
                <w:rFonts w:ascii="Verdana" w:eastAsia="Calibri" w:hAnsi="Verdana" w:cs="Arial"/>
                <w:lang w:val="es-ES" w:eastAsia="es-ES"/>
              </w:rPr>
              <w:t>CIRCULAR EXTERNA 002 DE 2026 – Ámbito de aplicación – Entidades exceptuadas</w:t>
            </w:r>
            <w:r w:rsidRPr="004850E9">
              <w:rPr>
                <w:rFonts w:ascii="Verdana" w:eastAsia="Calibri" w:hAnsi="Verdana" w:cs="Arial"/>
                <w:lang w:val="es-ES" w:eastAsia="es-ES"/>
              </w:rPr>
              <w:t xml:space="preserve"> </w:t>
            </w:r>
          </w:p>
          <w:p w14:paraId="0AF37C59" w14:textId="77777777" w:rsidR="001332E7" w:rsidRPr="00205703" w:rsidRDefault="001332E7" w:rsidP="00643E5C">
            <w:pPr>
              <w:jc w:val="both"/>
              <w:rPr>
                <w:rFonts w:ascii="Verdana" w:hAnsi="Verdana" w:cs="Arial"/>
                <w:bCs/>
                <w:lang w:eastAsia="es-ES" w:bidi="es-ES"/>
              </w:rPr>
            </w:pPr>
          </w:p>
        </w:tc>
      </w:tr>
      <w:tr w:rsidR="001332E7" w:rsidRPr="005644FE" w14:paraId="2617C512" w14:textId="77777777" w:rsidTr="00E50FF1">
        <w:tc>
          <w:tcPr>
            <w:tcW w:w="3119" w:type="dxa"/>
          </w:tcPr>
          <w:p w14:paraId="2F288976" w14:textId="77777777" w:rsidR="001332E7" w:rsidRPr="005644FE" w:rsidRDefault="001332E7" w:rsidP="00E50FF1">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670" w:type="dxa"/>
          </w:tcPr>
          <w:p w14:paraId="412E3E45" w14:textId="186E01B9" w:rsidR="001332E7" w:rsidRPr="00F04657" w:rsidRDefault="001332E7" w:rsidP="00643E5C">
            <w:pPr>
              <w:spacing w:after="120"/>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s </w:t>
            </w:r>
            <w:r w:rsidRPr="00F05B98">
              <w:rPr>
                <w:rFonts w:ascii="Verdana" w:eastAsia="Calibri" w:hAnsi="Verdana" w:cs="Arial"/>
                <w:lang w:eastAsia="es-ES"/>
              </w:rPr>
              <w:t>1_2026_06_09_007791</w:t>
            </w:r>
            <w:r>
              <w:rPr>
                <w:rFonts w:ascii="Verdana" w:eastAsia="Calibri" w:hAnsi="Verdana" w:cs="Arial"/>
                <w:lang w:eastAsia="es-ES"/>
              </w:rPr>
              <w:t xml:space="preserve">, </w:t>
            </w:r>
            <w:r w:rsidRPr="00D260F1">
              <w:rPr>
                <w:rFonts w:ascii="Verdana" w:eastAsia="Calibri" w:hAnsi="Verdana" w:cs="Arial"/>
                <w:lang w:eastAsia="es-ES"/>
              </w:rPr>
              <w:t>1_2026_06_09_007799</w:t>
            </w:r>
            <w:r>
              <w:rPr>
                <w:rFonts w:ascii="Verdana" w:eastAsia="Calibri" w:hAnsi="Verdana" w:cs="Arial"/>
                <w:lang w:eastAsia="es-ES"/>
              </w:rPr>
              <w:t xml:space="preserve">, </w:t>
            </w:r>
            <w:r w:rsidRPr="00D260F1">
              <w:rPr>
                <w:rFonts w:ascii="Verdana" w:eastAsia="Calibri" w:hAnsi="Verdana" w:cs="Arial"/>
                <w:lang w:eastAsia="es-ES"/>
              </w:rPr>
              <w:t>1_2026_06_10_007865</w:t>
            </w:r>
            <w:r>
              <w:rPr>
                <w:rFonts w:ascii="Verdana" w:eastAsia="Calibri" w:hAnsi="Verdana" w:cs="Arial"/>
                <w:lang w:eastAsia="es-ES"/>
              </w:rPr>
              <w:t xml:space="preserve">, </w:t>
            </w:r>
            <w:r w:rsidRPr="00D260F1">
              <w:rPr>
                <w:rFonts w:ascii="Verdana" w:eastAsia="Calibri" w:hAnsi="Verdana" w:cs="Arial"/>
                <w:lang w:eastAsia="es-ES"/>
              </w:rPr>
              <w:t>1_2026_06_10_007868</w:t>
            </w:r>
            <w:r>
              <w:rPr>
                <w:rFonts w:ascii="Verdana" w:eastAsia="Calibri" w:hAnsi="Verdana" w:cs="Arial"/>
                <w:lang w:eastAsia="es-ES"/>
              </w:rPr>
              <w:t xml:space="preserve">, </w:t>
            </w:r>
            <w:r w:rsidRPr="00D260F1">
              <w:rPr>
                <w:rFonts w:ascii="Verdana" w:eastAsia="Calibri" w:hAnsi="Verdana" w:cs="Arial"/>
                <w:lang w:eastAsia="es-ES"/>
              </w:rPr>
              <w:t>1_2026_06_12_008013</w:t>
            </w:r>
            <w:r>
              <w:rPr>
                <w:rFonts w:ascii="Verdana" w:eastAsia="Calibri" w:hAnsi="Verdana" w:cs="Arial"/>
                <w:lang w:eastAsia="es-ES"/>
              </w:rPr>
              <w:t xml:space="preserve">, </w:t>
            </w:r>
            <w:r w:rsidRPr="00D260F1">
              <w:rPr>
                <w:rFonts w:ascii="Verdana" w:eastAsia="Calibri" w:hAnsi="Verdana" w:cs="Arial"/>
                <w:lang w:eastAsia="es-ES"/>
              </w:rPr>
              <w:t>1_2026_06_12_008027</w:t>
            </w:r>
            <w:r w:rsidR="00C437F9">
              <w:rPr>
                <w:rFonts w:ascii="Verdana" w:eastAsia="Calibri" w:hAnsi="Verdana" w:cs="Arial"/>
                <w:lang w:eastAsia="es-ES"/>
              </w:rPr>
              <w:t xml:space="preserve">, </w:t>
            </w:r>
            <w:r w:rsidR="00C437F9" w:rsidRPr="00C437F9">
              <w:rPr>
                <w:rFonts w:ascii="Verdana" w:eastAsia="Calibri" w:hAnsi="Verdana" w:cs="Arial"/>
                <w:lang w:eastAsia="es-ES"/>
              </w:rPr>
              <w:t>1_2026_07_17_009524</w:t>
            </w:r>
            <w:r>
              <w:rPr>
                <w:rFonts w:ascii="Verdana" w:eastAsia="Calibri" w:hAnsi="Verdana" w:cs="Arial"/>
                <w:lang w:eastAsia="es-ES"/>
              </w:rPr>
              <w:t xml:space="preserve"> (Acumuladas) </w:t>
            </w:r>
          </w:p>
        </w:tc>
      </w:tr>
    </w:tbl>
    <w:p w14:paraId="78EFFB82" w14:textId="77777777" w:rsidR="001332E7" w:rsidRPr="005644FE" w:rsidRDefault="001332E7" w:rsidP="00643E5C">
      <w:pPr>
        <w:spacing w:after="0" w:line="240" w:lineRule="auto"/>
        <w:jc w:val="both"/>
        <w:rPr>
          <w:rFonts w:ascii="Verdana" w:eastAsia="Calibri" w:hAnsi="Verdana" w:cs="Arial"/>
          <w:lang w:eastAsia="es-ES_tradnl"/>
        </w:rPr>
      </w:pPr>
      <w:r>
        <w:rPr>
          <w:rFonts w:ascii="Verdana" w:eastAsia="Calibri" w:hAnsi="Verdana" w:cs="Arial"/>
          <w:lang w:eastAsia="es-ES_tradnl"/>
        </w:rPr>
        <w:t xml:space="preserve"> </w:t>
      </w:r>
    </w:p>
    <w:p w14:paraId="29909E5E" w14:textId="77777777" w:rsidR="001332E7" w:rsidRPr="005644FE" w:rsidRDefault="001332E7" w:rsidP="001332E7">
      <w:pPr>
        <w:spacing w:after="0" w:line="276" w:lineRule="auto"/>
        <w:jc w:val="both"/>
        <w:rPr>
          <w:rFonts w:ascii="Verdana" w:eastAsia="Calibri" w:hAnsi="Verdana" w:cs="Arial"/>
          <w:lang w:eastAsia="es-ES"/>
        </w:rPr>
      </w:pPr>
      <w:r>
        <w:rPr>
          <w:rFonts w:ascii="Verdana" w:eastAsia="Calibri" w:hAnsi="Verdana" w:cs="Arial"/>
          <w:lang w:eastAsia="es-ES"/>
        </w:rPr>
        <w:t>Estimada señora Yesica del Pilar:</w:t>
      </w:r>
    </w:p>
    <w:p w14:paraId="2C18449B" w14:textId="77777777" w:rsidR="001332E7" w:rsidRPr="00E02524" w:rsidRDefault="001332E7" w:rsidP="00643E5C">
      <w:pPr>
        <w:spacing w:after="0" w:line="276" w:lineRule="auto"/>
        <w:jc w:val="both"/>
        <w:rPr>
          <w:rFonts w:ascii="Verdana" w:hAnsi="Verdana"/>
          <w:lang w:val="es-MX"/>
        </w:rPr>
      </w:pPr>
    </w:p>
    <w:p w14:paraId="3A0CBA96" w14:textId="7F46709D" w:rsidR="001332E7" w:rsidRPr="0084712D" w:rsidRDefault="001332E7" w:rsidP="0057067E">
      <w:pPr>
        <w:spacing w:after="0" w:line="276" w:lineRule="auto"/>
        <w:jc w:val="both"/>
        <w:rPr>
          <w:rFonts w:ascii="Verdana" w:hAnsi="Verdana"/>
        </w:rPr>
      </w:pPr>
      <w:r w:rsidRPr="0084712D">
        <w:rPr>
          <w:rFonts w:ascii="Verdana" w:hAnsi="Verdana"/>
        </w:rPr>
        <w:t>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N</w:t>
      </w:r>
      <w:r w:rsidR="003240DF">
        <w:rPr>
          <w:rFonts w:ascii="Verdana" w:hAnsi="Verdana"/>
        </w:rPr>
        <w:t xml:space="preserve">o. </w:t>
      </w:r>
      <w:r w:rsidRPr="0084712D">
        <w:rPr>
          <w:rFonts w:ascii="Verdana" w:hAnsi="Verdana"/>
        </w:rPr>
        <w:t xml:space="preserve">469 del 2025 expedida por esta Agencia, responde </w:t>
      </w:r>
      <w:r>
        <w:rPr>
          <w:rFonts w:ascii="Verdana" w:hAnsi="Verdana"/>
        </w:rPr>
        <w:t xml:space="preserve">sus </w:t>
      </w:r>
      <w:r w:rsidRPr="0084712D">
        <w:rPr>
          <w:rFonts w:ascii="Verdana" w:hAnsi="Verdana"/>
        </w:rPr>
        <w:t>solicitud</w:t>
      </w:r>
      <w:r>
        <w:rPr>
          <w:rFonts w:ascii="Verdana" w:hAnsi="Verdana"/>
        </w:rPr>
        <w:t>es</w:t>
      </w:r>
      <w:r w:rsidRPr="0084712D">
        <w:rPr>
          <w:rFonts w:ascii="Verdana" w:hAnsi="Verdana"/>
        </w:rPr>
        <w:t xml:space="preserve"> de consulta</w:t>
      </w:r>
      <w:r>
        <w:rPr>
          <w:rFonts w:ascii="Verdana" w:hAnsi="Verdana"/>
        </w:rPr>
        <w:t xml:space="preserve"> remitidas previamente por la Procuraduría General de la Nación mediante radicado S-2026-029373 del 5 de junio de 2026</w:t>
      </w:r>
      <w:r w:rsidRPr="0084712D">
        <w:rPr>
          <w:rFonts w:ascii="Verdana" w:hAnsi="Verdana"/>
        </w:rPr>
        <w:t xml:space="preserve">, </w:t>
      </w:r>
      <w:r>
        <w:rPr>
          <w:rFonts w:ascii="Verdana" w:hAnsi="Verdana"/>
        </w:rPr>
        <w:t>las radicadas por la peticionaria ante la entidad los días 10</w:t>
      </w:r>
      <w:r w:rsidR="00BA766C">
        <w:rPr>
          <w:rFonts w:ascii="Verdana" w:hAnsi="Verdana"/>
        </w:rPr>
        <w:t xml:space="preserve">, </w:t>
      </w:r>
      <w:r>
        <w:rPr>
          <w:rFonts w:ascii="Verdana" w:hAnsi="Verdana"/>
        </w:rPr>
        <w:t xml:space="preserve">12 de junio </w:t>
      </w:r>
      <w:r w:rsidR="00BA766C">
        <w:rPr>
          <w:rFonts w:ascii="Verdana" w:hAnsi="Verdana"/>
        </w:rPr>
        <w:t xml:space="preserve">y 17 de julio </w:t>
      </w:r>
      <w:r>
        <w:rPr>
          <w:rFonts w:ascii="Verdana" w:hAnsi="Verdana"/>
        </w:rPr>
        <w:t>de 2026</w:t>
      </w:r>
      <w:r w:rsidR="00974F2D">
        <w:rPr>
          <w:rStyle w:val="Refdenotaalpie"/>
          <w:rFonts w:ascii="Verdana" w:hAnsi="Verdana"/>
        </w:rPr>
        <w:footnoteReference w:id="1"/>
      </w:r>
      <w:r>
        <w:rPr>
          <w:rFonts w:ascii="Verdana" w:hAnsi="Verdana"/>
        </w:rPr>
        <w:t xml:space="preserve"> y aquellas trasladas por competencia por parte de la Cámara de Comercio de Bogotá con radicado </w:t>
      </w:r>
      <w:r w:rsidRPr="002E1DE4">
        <w:rPr>
          <w:rFonts w:ascii="Verdana" w:hAnsi="Verdana"/>
        </w:rPr>
        <w:t>CRS0191893</w:t>
      </w:r>
      <w:r>
        <w:rPr>
          <w:rFonts w:ascii="Verdana" w:hAnsi="Verdana"/>
        </w:rPr>
        <w:t xml:space="preserve">, </w:t>
      </w:r>
      <w:r w:rsidRPr="0084712D">
        <w:rPr>
          <w:rFonts w:ascii="Verdana" w:hAnsi="Verdana"/>
        </w:rPr>
        <w:t>en la</w:t>
      </w:r>
      <w:r>
        <w:rPr>
          <w:rFonts w:ascii="Verdana" w:hAnsi="Verdana"/>
        </w:rPr>
        <w:t>s</w:t>
      </w:r>
      <w:r w:rsidRPr="0084712D">
        <w:rPr>
          <w:rFonts w:ascii="Verdana" w:hAnsi="Verdana"/>
        </w:rPr>
        <w:t xml:space="preserve"> cual</w:t>
      </w:r>
      <w:r>
        <w:rPr>
          <w:rFonts w:ascii="Verdana" w:hAnsi="Verdana"/>
        </w:rPr>
        <w:t>es</w:t>
      </w:r>
      <w:r w:rsidRPr="0084712D">
        <w:rPr>
          <w:rFonts w:ascii="Verdana" w:hAnsi="Verdana"/>
        </w:rPr>
        <w:t xml:space="preserve"> manifiesta lo siguiente:</w:t>
      </w:r>
    </w:p>
    <w:p w14:paraId="62EDB8EB" w14:textId="77777777" w:rsidR="0057067E" w:rsidRPr="0084712D" w:rsidRDefault="0057067E" w:rsidP="00643E5C">
      <w:pPr>
        <w:spacing w:after="0" w:line="276" w:lineRule="auto"/>
        <w:jc w:val="both"/>
        <w:rPr>
          <w:rFonts w:ascii="Verdana" w:hAnsi="Verdana"/>
        </w:rPr>
      </w:pPr>
    </w:p>
    <w:p w14:paraId="155EE2E3" w14:textId="77777777" w:rsidR="001332E7" w:rsidRDefault="001332E7" w:rsidP="00643E5C">
      <w:pPr>
        <w:spacing w:after="0" w:line="276" w:lineRule="auto"/>
        <w:jc w:val="both"/>
        <w:rPr>
          <w:rFonts w:ascii="Verdana" w:hAnsi="Verdana"/>
        </w:rPr>
      </w:pPr>
      <w:r w:rsidRPr="00E02524">
        <w:rPr>
          <w:rFonts w:ascii="Verdana" w:hAnsi="Verdana"/>
        </w:rPr>
        <w:t xml:space="preserve">PETICIÓN REALIZADA </w:t>
      </w:r>
    </w:p>
    <w:p w14:paraId="5832D844" w14:textId="77777777" w:rsidR="0057067E" w:rsidRDefault="0057067E" w:rsidP="0057067E">
      <w:pPr>
        <w:spacing w:after="0" w:line="276" w:lineRule="auto"/>
        <w:jc w:val="both"/>
        <w:rPr>
          <w:rFonts w:ascii="Verdana" w:hAnsi="Verdana"/>
        </w:rPr>
      </w:pPr>
    </w:p>
    <w:p w14:paraId="7432E27F" w14:textId="411B87BB" w:rsidR="001332E7" w:rsidRDefault="001332E7" w:rsidP="0057067E">
      <w:pPr>
        <w:spacing w:after="0" w:line="276" w:lineRule="auto"/>
        <w:jc w:val="both"/>
        <w:rPr>
          <w:rFonts w:ascii="Verdana" w:hAnsi="Verdana"/>
        </w:rPr>
      </w:pPr>
      <w:r>
        <w:rPr>
          <w:rFonts w:ascii="Verdana" w:hAnsi="Verdana"/>
        </w:rPr>
        <w:t xml:space="preserve">Contenido de 2 peticiones radicadas ante la Procuraduría General de la Nación y remitidas por competencia a esta entidad (radicados </w:t>
      </w:r>
      <w:r w:rsidRPr="00F05B98">
        <w:rPr>
          <w:rFonts w:ascii="Verdana" w:eastAsia="Calibri" w:hAnsi="Verdana" w:cs="Arial"/>
          <w:lang w:eastAsia="es-ES"/>
        </w:rPr>
        <w:t>1_2026_06_09_007791</w:t>
      </w:r>
      <w:r>
        <w:rPr>
          <w:rFonts w:ascii="Verdana" w:eastAsia="Calibri" w:hAnsi="Verdana" w:cs="Arial"/>
          <w:lang w:eastAsia="es-ES"/>
        </w:rPr>
        <w:t xml:space="preserve">, </w:t>
      </w:r>
      <w:r w:rsidRPr="00D260F1">
        <w:rPr>
          <w:rFonts w:ascii="Verdana" w:eastAsia="Calibri" w:hAnsi="Verdana" w:cs="Arial"/>
          <w:lang w:eastAsia="es-ES"/>
        </w:rPr>
        <w:t>1_2026_06_09_007799</w:t>
      </w:r>
      <w:r>
        <w:rPr>
          <w:rFonts w:ascii="Verdana" w:eastAsia="Calibri" w:hAnsi="Verdana" w:cs="Arial"/>
          <w:lang w:eastAsia="es-ES"/>
        </w:rPr>
        <w:t>)</w:t>
      </w:r>
      <w:r>
        <w:rPr>
          <w:rFonts w:ascii="Verdana" w:hAnsi="Verdana"/>
        </w:rPr>
        <w:t>:</w:t>
      </w:r>
    </w:p>
    <w:p w14:paraId="6E2AEB1F" w14:textId="77777777" w:rsidR="00AE0A4C" w:rsidRDefault="00AE0A4C" w:rsidP="00643E5C">
      <w:pPr>
        <w:spacing w:after="0" w:line="276" w:lineRule="auto"/>
        <w:jc w:val="both"/>
        <w:rPr>
          <w:rFonts w:ascii="Verdana" w:hAnsi="Verdana"/>
        </w:rPr>
      </w:pPr>
    </w:p>
    <w:p w14:paraId="5F281FA4" w14:textId="3D9113D6" w:rsidR="001332E7" w:rsidRPr="00680B4C" w:rsidRDefault="00AE0A4C" w:rsidP="00643E5C">
      <w:pPr>
        <w:spacing w:after="0" w:line="240" w:lineRule="auto"/>
        <w:ind w:left="709" w:right="709"/>
        <w:jc w:val="both"/>
        <w:rPr>
          <w:rFonts w:ascii="Verdana" w:hAnsi="Verdana"/>
          <w:b/>
          <w:bCs/>
          <w:sz w:val="20"/>
          <w:szCs w:val="20"/>
        </w:rPr>
      </w:pPr>
      <w:r>
        <w:rPr>
          <w:rFonts w:ascii="Verdana" w:hAnsi="Verdana"/>
          <w:b/>
          <w:bCs/>
          <w:sz w:val="20"/>
          <w:szCs w:val="20"/>
        </w:rPr>
        <w:t>“</w:t>
      </w:r>
      <w:r w:rsidR="001332E7" w:rsidRPr="00680B4C">
        <w:rPr>
          <w:rFonts w:ascii="Verdana" w:hAnsi="Verdana"/>
          <w:b/>
          <w:bCs/>
          <w:sz w:val="20"/>
          <w:szCs w:val="20"/>
        </w:rPr>
        <w:t xml:space="preserve">I. Antecedentes y Contexto </w:t>
      </w:r>
    </w:p>
    <w:p w14:paraId="2152BA03" w14:textId="77777777" w:rsidR="001332E7" w:rsidRDefault="001332E7" w:rsidP="00643E5C">
      <w:pPr>
        <w:spacing w:after="0" w:line="240" w:lineRule="auto"/>
        <w:ind w:left="709" w:right="709"/>
        <w:jc w:val="both"/>
        <w:rPr>
          <w:rFonts w:ascii="Verdana" w:hAnsi="Verdana"/>
          <w:sz w:val="20"/>
          <w:szCs w:val="20"/>
        </w:rPr>
      </w:pPr>
    </w:p>
    <w:p w14:paraId="7DB6B9FC" w14:textId="77777777" w:rsidR="001332E7" w:rsidRDefault="001332E7" w:rsidP="00AE0A4C">
      <w:pPr>
        <w:spacing w:after="0" w:line="240" w:lineRule="auto"/>
        <w:ind w:left="709" w:right="709"/>
        <w:jc w:val="both"/>
        <w:rPr>
          <w:rFonts w:ascii="Verdana" w:hAnsi="Verdana"/>
          <w:sz w:val="20"/>
          <w:szCs w:val="20"/>
        </w:rPr>
      </w:pPr>
      <w:r w:rsidRPr="00680B4C">
        <w:rPr>
          <w:rFonts w:ascii="Verdana" w:hAnsi="Verdana"/>
          <w:sz w:val="20"/>
          <w:szCs w:val="20"/>
        </w:rPr>
        <w:t xml:space="preserve">1. Una Empresa Industrial y Comercial del Estado (EICE), la cual, por mandato legal y estatutario, está sometida a un régimen de derecho privado para sus actos y contratos. </w:t>
      </w:r>
    </w:p>
    <w:p w14:paraId="49BE9EE1" w14:textId="77777777" w:rsidR="00337EB8" w:rsidRDefault="00337EB8" w:rsidP="00643E5C">
      <w:pPr>
        <w:spacing w:after="0" w:line="240" w:lineRule="auto"/>
        <w:ind w:left="709" w:right="709"/>
        <w:jc w:val="both"/>
        <w:rPr>
          <w:rFonts w:ascii="Verdana" w:hAnsi="Verdana"/>
          <w:sz w:val="20"/>
          <w:szCs w:val="20"/>
        </w:rPr>
      </w:pPr>
    </w:p>
    <w:p w14:paraId="660A01E3" w14:textId="77777777" w:rsidR="001332E7" w:rsidRDefault="001332E7" w:rsidP="00643E5C">
      <w:pPr>
        <w:spacing w:after="0" w:line="240" w:lineRule="auto"/>
        <w:ind w:left="709" w:right="709"/>
        <w:jc w:val="both"/>
        <w:rPr>
          <w:rFonts w:ascii="Verdana" w:hAnsi="Verdana"/>
          <w:sz w:val="20"/>
          <w:szCs w:val="20"/>
        </w:rPr>
      </w:pPr>
      <w:r w:rsidRPr="00680B4C">
        <w:rPr>
          <w:rFonts w:ascii="Verdana" w:hAnsi="Verdana"/>
          <w:sz w:val="20"/>
          <w:szCs w:val="20"/>
        </w:rPr>
        <w:t xml:space="preserve">2. En virtud de dicho régimen excepcional, la entidad no expide actos administrativos en el giro ordinario de su actividad contractual ni declara incumplimientos bajo las prerrogativas del derecho público. En su lugar, los presuntos incumplimientos de los contratistas se adelantan y deciden mediante actos contractuales de derecho privado, de estricto acuerdo con lo establecido en el Manual Interno de Contratación. </w:t>
      </w:r>
    </w:p>
    <w:p w14:paraId="7C63864E" w14:textId="77777777" w:rsidR="00337EB8" w:rsidRDefault="00337EB8" w:rsidP="00AE0A4C">
      <w:pPr>
        <w:spacing w:after="0" w:line="240" w:lineRule="auto"/>
        <w:ind w:left="709" w:right="709"/>
        <w:jc w:val="both"/>
        <w:rPr>
          <w:rFonts w:ascii="Verdana" w:hAnsi="Verdana"/>
          <w:sz w:val="20"/>
          <w:szCs w:val="20"/>
        </w:rPr>
      </w:pPr>
    </w:p>
    <w:p w14:paraId="28F75FB9" w14:textId="50CDA5EE" w:rsidR="001332E7" w:rsidRDefault="001332E7" w:rsidP="00643E5C">
      <w:pPr>
        <w:spacing w:after="0" w:line="240" w:lineRule="auto"/>
        <w:ind w:left="709" w:right="709"/>
        <w:jc w:val="both"/>
        <w:rPr>
          <w:rFonts w:ascii="Verdana" w:hAnsi="Verdana"/>
          <w:sz w:val="20"/>
          <w:szCs w:val="20"/>
        </w:rPr>
      </w:pPr>
      <w:r w:rsidRPr="00680B4C">
        <w:rPr>
          <w:rFonts w:ascii="Verdana" w:hAnsi="Verdana"/>
          <w:sz w:val="20"/>
          <w:szCs w:val="20"/>
        </w:rPr>
        <w:t xml:space="preserve">3. Al estar exceptuada del estatuto general de contratación, la entidad no se rige por la Ley 1474 de 2011 (Estatuto Anticorrupción) en materia de imposición de multas y sanciones, ni aplica el procedimiento del artículo 86 de la Ley 1474 de 2011. Por ende, nuestras decisiones contractuales no gozan de la presunción de legalidad de los actos administrativos, no adquieren "firmeza o ejecutoria" en los términos del CPACA, ni cuentan con una "parte resolutiva" formal (como ocurre con las Resoluciones). </w:t>
      </w:r>
    </w:p>
    <w:p w14:paraId="1D7F579C" w14:textId="77777777" w:rsidR="00337EB8" w:rsidRDefault="00337EB8" w:rsidP="00AE0A4C">
      <w:pPr>
        <w:spacing w:after="0" w:line="240" w:lineRule="auto"/>
        <w:ind w:left="709" w:right="709"/>
        <w:jc w:val="both"/>
        <w:rPr>
          <w:rFonts w:ascii="Verdana" w:hAnsi="Verdana"/>
          <w:sz w:val="20"/>
          <w:szCs w:val="20"/>
        </w:rPr>
      </w:pPr>
    </w:p>
    <w:p w14:paraId="351FF228" w14:textId="3223ABB7" w:rsidR="001332E7" w:rsidRDefault="001332E7" w:rsidP="00643E5C">
      <w:pPr>
        <w:spacing w:after="0" w:line="240" w:lineRule="auto"/>
        <w:ind w:left="709" w:right="709"/>
        <w:jc w:val="both"/>
        <w:rPr>
          <w:rFonts w:ascii="Verdana" w:hAnsi="Verdana"/>
          <w:sz w:val="20"/>
          <w:szCs w:val="20"/>
        </w:rPr>
      </w:pPr>
      <w:r w:rsidRPr="00680B4C">
        <w:rPr>
          <w:rFonts w:ascii="Verdana" w:hAnsi="Verdana"/>
          <w:sz w:val="20"/>
          <w:szCs w:val="20"/>
        </w:rPr>
        <w:t xml:space="preserve">4. Recientemente, la Agencia Nacional de Contratación Pública - Colombia Compra Eficiente expidió la Circular Externa No. 002 de 2026, la cual señala directrices y reportes ante la Procuraduría General de la Nación respecto a los procedimientos por presuntos incumplimientos contractuales. Existe un vacío técnico y normativo sobre cómo una entidad de régimen 100% privado debe armonizar sus actuaciones con las exigencias de dicha circular. </w:t>
      </w:r>
    </w:p>
    <w:p w14:paraId="2599B9FB" w14:textId="77777777" w:rsidR="001332E7" w:rsidRDefault="001332E7" w:rsidP="00643E5C">
      <w:pPr>
        <w:spacing w:after="0" w:line="240" w:lineRule="auto"/>
        <w:ind w:left="709" w:right="709"/>
        <w:jc w:val="both"/>
        <w:rPr>
          <w:rFonts w:ascii="Verdana" w:hAnsi="Verdana"/>
          <w:sz w:val="20"/>
          <w:szCs w:val="20"/>
        </w:rPr>
      </w:pPr>
    </w:p>
    <w:p w14:paraId="158096AC" w14:textId="77777777" w:rsidR="001332E7" w:rsidRPr="00680B4C" w:rsidRDefault="001332E7" w:rsidP="00643E5C">
      <w:pPr>
        <w:spacing w:after="0" w:line="240" w:lineRule="auto"/>
        <w:ind w:left="709" w:right="709"/>
        <w:jc w:val="both"/>
        <w:rPr>
          <w:rFonts w:ascii="Verdana" w:hAnsi="Verdana"/>
          <w:b/>
          <w:bCs/>
          <w:sz w:val="20"/>
          <w:szCs w:val="20"/>
        </w:rPr>
      </w:pPr>
      <w:r w:rsidRPr="00680B4C">
        <w:rPr>
          <w:rFonts w:ascii="Verdana" w:hAnsi="Verdana"/>
          <w:b/>
          <w:bCs/>
          <w:sz w:val="20"/>
          <w:szCs w:val="20"/>
        </w:rPr>
        <w:t xml:space="preserve">II. Petición de Información y Orientación  </w:t>
      </w:r>
    </w:p>
    <w:p w14:paraId="0120F8B7" w14:textId="77777777" w:rsidR="001332E7" w:rsidRDefault="001332E7" w:rsidP="00643E5C">
      <w:pPr>
        <w:spacing w:after="0" w:line="240" w:lineRule="auto"/>
        <w:ind w:left="709" w:right="709"/>
        <w:jc w:val="both"/>
        <w:rPr>
          <w:rFonts w:ascii="Verdana" w:hAnsi="Verdana"/>
          <w:sz w:val="20"/>
          <w:szCs w:val="20"/>
        </w:rPr>
      </w:pPr>
    </w:p>
    <w:p w14:paraId="68F228BE" w14:textId="77777777" w:rsidR="001332E7" w:rsidRDefault="001332E7" w:rsidP="00643E5C">
      <w:pPr>
        <w:spacing w:after="0" w:line="240" w:lineRule="auto"/>
        <w:ind w:left="709" w:right="709"/>
        <w:jc w:val="both"/>
        <w:rPr>
          <w:rFonts w:ascii="Verdana" w:hAnsi="Verdana"/>
          <w:sz w:val="20"/>
          <w:szCs w:val="20"/>
        </w:rPr>
      </w:pPr>
      <w:r w:rsidRPr="00680B4C">
        <w:rPr>
          <w:rFonts w:ascii="Verdana" w:hAnsi="Verdana"/>
          <w:sz w:val="20"/>
          <w:szCs w:val="20"/>
        </w:rPr>
        <w:t xml:space="preserve">Con base en los antecedentes expuestos, solicito amablemente a la Procuraduría General de la Nación que ejerza su función consultiva y de orientación para aclarar los siguientes puntos: </w:t>
      </w:r>
    </w:p>
    <w:p w14:paraId="2D11FDEE" w14:textId="77777777" w:rsidR="001332E7" w:rsidRDefault="001332E7" w:rsidP="00643E5C">
      <w:pPr>
        <w:spacing w:after="0" w:line="240" w:lineRule="auto"/>
        <w:ind w:left="709" w:right="709"/>
        <w:jc w:val="both"/>
        <w:rPr>
          <w:rFonts w:ascii="Verdana" w:hAnsi="Verdana"/>
          <w:sz w:val="20"/>
          <w:szCs w:val="20"/>
        </w:rPr>
      </w:pPr>
    </w:p>
    <w:p w14:paraId="264770E6" w14:textId="77777777" w:rsidR="001332E7" w:rsidRPr="00680B4C" w:rsidRDefault="001332E7" w:rsidP="00643E5C">
      <w:pPr>
        <w:spacing w:after="0" w:line="240" w:lineRule="auto"/>
        <w:ind w:left="709" w:right="709"/>
        <w:jc w:val="both"/>
        <w:rPr>
          <w:rFonts w:ascii="Verdana" w:hAnsi="Verdana"/>
          <w:sz w:val="20"/>
          <w:szCs w:val="20"/>
        </w:rPr>
      </w:pPr>
      <w:r w:rsidRPr="00680B4C">
        <w:rPr>
          <w:rFonts w:ascii="Verdana" w:hAnsi="Verdana"/>
          <w:sz w:val="20"/>
          <w:szCs w:val="20"/>
        </w:rPr>
        <w:t xml:space="preserve">1. Viabilidad del Reporte: </w:t>
      </w:r>
      <w:proofErr w:type="gramStart"/>
      <w:r w:rsidRPr="00680B4C">
        <w:rPr>
          <w:rFonts w:ascii="Verdana" w:hAnsi="Verdana"/>
          <w:sz w:val="20"/>
          <w:szCs w:val="20"/>
        </w:rPr>
        <w:t>¿Debe una Empresa Industrial y Comercial del Estado (EICE) sujeta al régimen de derecho privado reportar ante la Procuraduría General de la Nación las actuaciones derivadas de sus procedimientos internos de presunto incumplimiento contractual, a la luz de la Circular Externa No.</w:t>
      </w:r>
      <w:proofErr w:type="gramEnd"/>
      <w:r w:rsidRPr="00680B4C">
        <w:rPr>
          <w:rFonts w:ascii="Verdana" w:hAnsi="Verdana"/>
          <w:sz w:val="20"/>
          <w:szCs w:val="20"/>
        </w:rPr>
        <w:t xml:space="preserve"> 002 de 2026? </w:t>
      </w:r>
    </w:p>
    <w:p w14:paraId="1DC2EE70" w14:textId="77777777" w:rsidR="001332E7" w:rsidRDefault="001332E7" w:rsidP="00643E5C">
      <w:pPr>
        <w:spacing w:after="0" w:line="240" w:lineRule="auto"/>
        <w:ind w:left="709" w:right="709"/>
        <w:jc w:val="both"/>
        <w:rPr>
          <w:rFonts w:ascii="Verdana" w:hAnsi="Verdana"/>
          <w:sz w:val="20"/>
          <w:szCs w:val="20"/>
        </w:rPr>
      </w:pPr>
    </w:p>
    <w:p w14:paraId="5A421215" w14:textId="77777777" w:rsidR="001332E7" w:rsidRPr="00680B4C" w:rsidRDefault="001332E7" w:rsidP="00643E5C">
      <w:pPr>
        <w:spacing w:after="0" w:line="240" w:lineRule="auto"/>
        <w:ind w:left="709" w:right="709"/>
        <w:jc w:val="both"/>
        <w:rPr>
          <w:rFonts w:ascii="Verdana" w:hAnsi="Verdana"/>
          <w:sz w:val="20"/>
          <w:szCs w:val="20"/>
        </w:rPr>
      </w:pPr>
      <w:r w:rsidRPr="00680B4C">
        <w:rPr>
          <w:rFonts w:ascii="Verdana" w:hAnsi="Verdana"/>
          <w:sz w:val="20"/>
          <w:szCs w:val="20"/>
        </w:rPr>
        <w:t>2. Contenido del Reporte ("¿Qué se debe reportar?"): Dado que la</w:t>
      </w:r>
      <w:r>
        <w:rPr>
          <w:rFonts w:ascii="Verdana" w:hAnsi="Verdana"/>
          <w:sz w:val="20"/>
          <w:szCs w:val="20"/>
        </w:rPr>
        <w:t xml:space="preserve"> </w:t>
      </w:r>
      <w:r w:rsidRPr="00680B4C">
        <w:rPr>
          <w:rFonts w:ascii="Verdana" w:hAnsi="Verdana"/>
          <w:sz w:val="20"/>
          <w:szCs w:val="20"/>
        </w:rPr>
        <w:t xml:space="preserve">entidad no declara incumplimientos mediante actos administrativos ni impone las sanciones de la Ley 1474 de 2011, ¿cuál es el objeto preciso de la información que se debe reportar? ¿Se deben reportar las actas, comunicaciones o documentos contractuales privados donde se resuelvan las controversias por incumplimiento? </w:t>
      </w:r>
    </w:p>
    <w:p w14:paraId="33BC8FD7" w14:textId="77777777" w:rsidR="001332E7" w:rsidRDefault="001332E7" w:rsidP="00643E5C">
      <w:pPr>
        <w:spacing w:after="0" w:line="240" w:lineRule="auto"/>
        <w:ind w:left="709" w:right="709"/>
        <w:jc w:val="both"/>
        <w:rPr>
          <w:rFonts w:ascii="Verdana" w:hAnsi="Verdana"/>
          <w:sz w:val="20"/>
          <w:szCs w:val="20"/>
        </w:rPr>
      </w:pPr>
    </w:p>
    <w:p w14:paraId="63E6E745" w14:textId="77777777" w:rsidR="001332E7" w:rsidRDefault="001332E7" w:rsidP="00643E5C">
      <w:pPr>
        <w:spacing w:after="0" w:line="240" w:lineRule="auto"/>
        <w:ind w:left="709" w:right="709"/>
        <w:jc w:val="both"/>
        <w:rPr>
          <w:rFonts w:ascii="Verdana" w:hAnsi="Verdana"/>
          <w:sz w:val="20"/>
          <w:szCs w:val="20"/>
        </w:rPr>
      </w:pPr>
      <w:r w:rsidRPr="00680B4C">
        <w:rPr>
          <w:rFonts w:ascii="Verdana" w:hAnsi="Verdana"/>
          <w:sz w:val="20"/>
          <w:szCs w:val="20"/>
        </w:rPr>
        <w:t xml:space="preserve">3. Forma del Reporte ("¿Cómo se debe reportar?"): Al no expedirse resoluciones, la entidad se encuentra ante la imposibilidad física y jurídica de adjuntar una "parte resolutiva" o de certificar una "constancia de firmeza y ejecutoria" (conceptos exclusivos del derecho administrativo). </w:t>
      </w:r>
      <w:proofErr w:type="gramStart"/>
      <w:r w:rsidRPr="00680B4C">
        <w:rPr>
          <w:rFonts w:ascii="Verdana" w:hAnsi="Verdana"/>
          <w:sz w:val="20"/>
          <w:szCs w:val="20"/>
        </w:rPr>
        <w:t>¿De qué manera debe la entidad registrar o cargar la información en las plataformas o canales dispuestos por la Procuraduría para dar cumplimiento a la Circular No.</w:t>
      </w:r>
      <w:proofErr w:type="gramEnd"/>
      <w:r w:rsidRPr="00680B4C">
        <w:rPr>
          <w:rFonts w:ascii="Verdana" w:hAnsi="Verdana"/>
          <w:sz w:val="20"/>
          <w:szCs w:val="20"/>
        </w:rPr>
        <w:t xml:space="preserve"> 002 de 2026? ¿Qué documentos hacen las veces de soporte en estos casos? </w:t>
      </w:r>
    </w:p>
    <w:p w14:paraId="2C433CCD" w14:textId="77777777" w:rsidR="001332E7" w:rsidRDefault="001332E7" w:rsidP="00643E5C">
      <w:pPr>
        <w:spacing w:after="0" w:line="240" w:lineRule="auto"/>
        <w:ind w:left="709" w:right="709"/>
        <w:jc w:val="both"/>
        <w:rPr>
          <w:rFonts w:ascii="Verdana" w:hAnsi="Verdana"/>
          <w:sz w:val="20"/>
          <w:szCs w:val="20"/>
        </w:rPr>
      </w:pPr>
    </w:p>
    <w:p w14:paraId="2A804C2E" w14:textId="77777777" w:rsidR="001332E7" w:rsidRDefault="001332E7" w:rsidP="00643E5C">
      <w:pPr>
        <w:spacing w:after="0" w:line="240" w:lineRule="auto"/>
        <w:ind w:left="709" w:right="709"/>
        <w:jc w:val="both"/>
        <w:rPr>
          <w:rFonts w:ascii="Verdana" w:hAnsi="Verdana"/>
          <w:sz w:val="20"/>
          <w:szCs w:val="20"/>
        </w:rPr>
      </w:pPr>
      <w:r w:rsidRPr="00680B4C">
        <w:rPr>
          <w:rFonts w:ascii="Verdana" w:hAnsi="Verdana"/>
          <w:sz w:val="20"/>
          <w:szCs w:val="20"/>
        </w:rPr>
        <w:t xml:space="preserve">4. Periodicidad ("¿Con qué periodicidad se debe reportar?"): ¿Cuál es el término estipulado o la oportunidad legal para que una entidad con régimen privado remita esta información, considerando que sus actos contractuales nacen a la vida jurídica bajo las reglas del derecho civil y comercial y no bajo la ejecutoria del acto administrativo? </w:t>
      </w:r>
      <w:r w:rsidRPr="00C17856">
        <w:rPr>
          <w:rFonts w:ascii="Verdana" w:hAnsi="Verdana"/>
          <w:sz w:val="20"/>
          <w:szCs w:val="20"/>
        </w:rPr>
        <w:t>(…)”.</w:t>
      </w:r>
    </w:p>
    <w:p w14:paraId="16F75409" w14:textId="77777777" w:rsidR="001332E7" w:rsidRDefault="001332E7" w:rsidP="00643E5C">
      <w:pPr>
        <w:spacing w:after="0" w:line="276" w:lineRule="auto"/>
        <w:jc w:val="both"/>
        <w:rPr>
          <w:rFonts w:ascii="Verdana" w:hAnsi="Verdana"/>
          <w:sz w:val="20"/>
          <w:szCs w:val="20"/>
        </w:rPr>
      </w:pPr>
    </w:p>
    <w:p w14:paraId="295F9026" w14:textId="48042FFC" w:rsidR="001332E7" w:rsidRDefault="001332E7" w:rsidP="00643E5C">
      <w:pPr>
        <w:spacing w:after="0" w:line="276" w:lineRule="auto"/>
        <w:jc w:val="both"/>
        <w:rPr>
          <w:rFonts w:ascii="Verdana" w:hAnsi="Verdana"/>
        </w:rPr>
      </w:pPr>
      <w:r w:rsidRPr="00837DB7">
        <w:rPr>
          <w:rFonts w:ascii="Verdana" w:hAnsi="Verdana"/>
        </w:rPr>
        <w:t>Peticiones radicadas ante la Agencia Nacional de Contratación Pública</w:t>
      </w:r>
      <w:r>
        <w:rPr>
          <w:rFonts w:ascii="Verdana" w:hAnsi="Verdana"/>
        </w:rPr>
        <w:t xml:space="preserve"> del 10 y 12 de junio, así como las remitidas por competencia por parte de la Cámara de Comercio de Bogotá (</w:t>
      </w:r>
      <w:r w:rsidRPr="00D260F1">
        <w:rPr>
          <w:rFonts w:ascii="Verdana" w:eastAsia="Calibri" w:hAnsi="Verdana" w:cs="Arial"/>
          <w:lang w:eastAsia="es-ES"/>
        </w:rPr>
        <w:t>1_2026_06_10_007865</w:t>
      </w:r>
      <w:r>
        <w:rPr>
          <w:rFonts w:ascii="Verdana" w:eastAsia="Calibri" w:hAnsi="Verdana" w:cs="Arial"/>
          <w:lang w:eastAsia="es-ES"/>
        </w:rPr>
        <w:t xml:space="preserve">, </w:t>
      </w:r>
      <w:r w:rsidRPr="00D260F1">
        <w:rPr>
          <w:rFonts w:ascii="Verdana" w:eastAsia="Calibri" w:hAnsi="Verdana" w:cs="Arial"/>
          <w:lang w:eastAsia="es-ES"/>
        </w:rPr>
        <w:t>1_2026_06_10_007868</w:t>
      </w:r>
      <w:r>
        <w:rPr>
          <w:rFonts w:ascii="Verdana" w:eastAsia="Calibri" w:hAnsi="Verdana" w:cs="Arial"/>
          <w:lang w:eastAsia="es-ES"/>
        </w:rPr>
        <w:t xml:space="preserve">, </w:t>
      </w:r>
      <w:r w:rsidRPr="00D260F1">
        <w:rPr>
          <w:rFonts w:ascii="Verdana" w:eastAsia="Calibri" w:hAnsi="Verdana" w:cs="Arial"/>
          <w:lang w:eastAsia="es-ES"/>
        </w:rPr>
        <w:t>1_2026_06_12_008013</w:t>
      </w:r>
      <w:r>
        <w:rPr>
          <w:rFonts w:ascii="Verdana" w:eastAsia="Calibri" w:hAnsi="Verdana" w:cs="Arial"/>
          <w:lang w:eastAsia="es-ES"/>
        </w:rPr>
        <w:t xml:space="preserve">, </w:t>
      </w:r>
      <w:r w:rsidRPr="00D260F1">
        <w:rPr>
          <w:rFonts w:ascii="Verdana" w:eastAsia="Calibri" w:hAnsi="Verdana" w:cs="Arial"/>
          <w:lang w:eastAsia="es-ES"/>
        </w:rPr>
        <w:t>1_2026_06_12_008027</w:t>
      </w:r>
      <w:r>
        <w:rPr>
          <w:rFonts w:ascii="Verdana" w:eastAsia="Calibri" w:hAnsi="Verdana" w:cs="Arial"/>
          <w:lang w:eastAsia="es-ES"/>
        </w:rPr>
        <w:t>)</w:t>
      </w:r>
      <w:r>
        <w:rPr>
          <w:rFonts w:ascii="Verdana" w:hAnsi="Verdana"/>
        </w:rPr>
        <w:t>:</w:t>
      </w:r>
    </w:p>
    <w:p w14:paraId="1DB41187" w14:textId="35677F2F" w:rsidR="00C47373" w:rsidRDefault="00C47373" w:rsidP="001332E7">
      <w:pPr>
        <w:spacing w:after="0" w:line="240" w:lineRule="auto"/>
        <w:ind w:left="851" w:right="758"/>
        <w:jc w:val="both"/>
        <w:rPr>
          <w:rFonts w:ascii="Verdana" w:hAnsi="Verdana"/>
          <w:sz w:val="20"/>
          <w:szCs w:val="20"/>
        </w:rPr>
      </w:pPr>
    </w:p>
    <w:p w14:paraId="5229C218" w14:textId="576D787C" w:rsidR="001332E7" w:rsidRDefault="001332E7" w:rsidP="00643E5C">
      <w:pPr>
        <w:spacing w:after="0" w:line="240" w:lineRule="auto"/>
        <w:ind w:left="709" w:right="709"/>
        <w:jc w:val="both"/>
        <w:rPr>
          <w:rFonts w:ascii="Verdana" w:hAnsi="Verdana"/>
          <w:sz w:val="20"/>
          <w:szCs w:val="20"/>
        </w:rPr>
      </w:pPr>
      <w:r>
        <w:rPr>
          <w:rFonts w:ascii="Verdana" w:hAnsi="Verdana"/>
          <w:sz w:val="20"/>
          <w:szCs w:val="20"/>
        </w:rPr>
        <w:t xml:space="preserve">“(…) </w:t>
      </w:r>
      <w:r w:rsidRPr="00837DB7">
        <w:rPr>
          <w:rFonts w:ascii="Verdana" w:hAnsi="Verdana"/>
          <w:sz w:val="20"/>
          <w:szCs w:val="20"/>
        </w:rPr>
        <w:t xml:space="preserve">II. Petición de Información y Consulta </w:t>
      </w:r>
    </w:p>
    <w:p w14:paraId="2707E6B7" w14:textId="77777777" w:rsidR="001332E7" w:rsidRDefault="001332E7" w:rsidP="00643E5C">
      <w:pPr>
        <w:spacing w:after="0" w:line="240" w:lineRule="auto"/>
        <w:ind w:left="709" w:right="709"/>
        <w:jc w:val="both"/>
        <w:rPr>
          <w:rFonts w:ascii="Verdana" w:hAnsi="Verdana"/>
          <w:sz w:val="20"/>
          <w:szCs w:val="20"/>
        </w:rPr>
      </w:pPr>
    </w:p>
    <w:p w14:paraId="752AC5B5" w14:textId="77777777" w:rsidR="001332E7" w:rsidRDefault="001332E7" w:rsidP="00643E5C">
      <w:pPr>
        <w:spacing w:after="0" w:line="240" w:lineRule="auto"/>
        <w:ind w:left="709" w:right="709"/>
        <w:jc w:val="both"/>
        <w:rPr>
          <w:rFonts w:ascii="Verdana" w:hAnsi="Verdana"/>
          <w:sz w:val="20"/>
          <w:szCs w:val="20"/>
        </w:rPr>
      </w:pPr>
      <w:r w:rsidRPr="00837DB7">
        <w:rPr>
          <w:rFonts w:ascii="Verdana" w:hAnsi="Verdana"/>
          <w:sz w:val="20"/>
          <w:szCs w:val="20"/>
        </w:rPr>
        <w:t xml:space="preserve">Con base en los antecedentes expuestos, solicito amablemente a Colombia Compra Eficiente que, en su calidad de ente rector y emisor de la directriz, ejerza su función orientadora para aclarar los siguientes interrogantes: </w:t>
      </w:r>
    </w:p>
    <w:p w14:paraId="04EF98AF" w14:textId="77777777" w:rsidR="001332E7" w:rsidRDefault="001332E7" w:rsidP="00643E5C">
      <w:pPr>
        <w:spacing w:after="0" w:line="240" w:lineRule="auto"/>
        <w:ind w:left="709" w:right="709"/>
        <w:jc w:val="both"/>
        <w:rPr>
          <w:rFonts w:ascii="Verdana" w:hAnsi="Verdana"/>
          <w:sz w:val="20"/>
          <w:szCs w:val="20"/>
        </w:rPr>
      </w:pPr>
    </w:p>
    <w:p w14:paraId="76C122A6" w14:textId="77777777" w:rsidR="001332E7" w:rsidRDefault="001332E7" w:rsidP="00643E5C">
      <w:pPr>
        <w:spacing w:after="0" w:line="240" w:lineRule="auto"/>
        <w:ind w:left="709" w:right="709"/>
        <w:jc w:val="both"/>
        <w:rPr>
          <w:rFonts w:ascii="Verdana" w:hAnsi="Verdana"/>
          <w:sz w:val="20"/>
          <w:szCs w:val="20"/>
        </w:rPr>
      </w:pPr>
      <w:r w:rsidRPr="00837DB7">
        <w:rPr>
          <w:rFonts w:ascii="Verdana" w:hAnsi="Verdana"/>
          <w:b/>
          <w:bCs/>
          <w:sz w:val="20"/>
          <w:szCs w:val="20"/>
        </w:rPr>
        <w:t xml:space="preserve">1. Viabilidad del Reporte: </w:t>
      </w:r>
      <w:proofErr w:type="gramStart"/>
      <w:r w:rsidRPr="00837DB7">
        <w:rPr>
          <w:rFonts w:ascii="Verdana" w:hAnsi="Verdana"/>
          <w:sz w:val="20"/>
          <w:szCs w:val="20"/>
        </w:rPr>
        <w:t>¿Debe una Empresa Industrial y Comercial del Estado (EICE) sujeta al régimen de derecho privado reportar ante la Procuraduría General de la Nación, cámara de comercio y plataforma SECOP II, las actuaciones derivadas de sus procedimientos internos de presunto incumplimiento contractual, a la luz de lo exigido en su Circular Externa No.</w:t>
      </w:r>
      <w:proofErr w:type="gramEnd"/>
      <w:r w:rsidRPr="00837DB7">
        <w:rPr>
          <w:rFonts w:ascii="Verdana" w:hAnsi="Verdana"/>
          <w:sz w:val="20"/>
          <w:szCs w:val="20"/>
        </w:rPr>
        <w:t xml:space="preserve"> 002 de 2026? </w:t>
      </w:r>
    </w:p>
    <w:p w14:paraId="6A5B3988" w14:textId="77777777" w:rsidR="001332E7" w:rsidRDefault="001332E7" w:rsidP="00643E5C">
      <w:pPr>
        <w:spacing w:after="0" w:line="240" w:lineRule="auto"/>
        <w:ind w:left="709" w:right="709"/>
        <w:jc w:val="both"/>
        <w:rPr>
          <w:rFonts w:ascii="Verdana" w:hAnsi="Verdana"/>
          <w:sz w:val="20"/>
          <w:szCs w:val="20"/>
        </w:rPr>
      </w:pPr>
    </w:p>
    <w:p w14:paraId="48BB00BB" w14:textId="77777777" w:rsidR="001332E7" w:rsidRDefault="001332E7" w:rsidP="00643E5C">
      <w:pPr>
        <w:spacing w:after="0" w:line="240" w:lineRule="auto"/>
        <w:ind w:left="709" w:right="709"/>
        <w:jc w:val="both"/>
        <w:rPr>
          <w:rFonts w:ascii="Verdana" w:hAnsi="Verdana"/>
          <w:sz w:val="20"/>
          <w:szCs w:val="20"/>
        </w:rPr>
      </w:pPr>
      <w:r w:rsidRPr="00837DB7">
        <w:rPr>
          <w:rFonts w:ascii="Verdana" w:hAnsi="Verdana"/>
          <w:b/>
          <w:bCs/>
          <w:sz w:val="20"/>
          <w:szCs w:val="20"/>
        </w:rPr>
        <w:t>2. Contenido del Reporte:</w:t>
      </w:r>
      <w:r w:rsidRPr="00837DB7">
        <w:rPr>
          <w:rFonts w:ascii="Verdana" w:hAnsi="Verdana"/>
          <w:sz w:val="20"/>
          <w:szCs w:val="20"/>
        </w:rPr>
        <w:t xml:space="preserve"> ¿Qué información y documentos se deben reportar?  </w:t>
      </w:r>
    </w:p>
    <w:p w14:paraId="4917D61B" w14:textId="77777777" w:rsidR="001332E7" w:rsidRDefault="001332E7" w:rsidP="00643E5C">
      <w:pPr>
        <w:spacing w:after="0" w:line="240" w:lineRule="auto"/>
        <w:ind w:left="709" w:right="709"/>
        <w:jc w:val="both"/>
        <w:rPr>
          <w:rFonts w:ascii="Verdana" w:hAnsi="Verdana"/>
          <w:sz w:val="20"/>
          <w:szCs w:val="20"/>
        </w:rPr>
      </w:pPr>
    </w:p>
    <w:p w14:paraId="327DB149" w14:textId="77777777" w:rsidR="001332E7" w:rsidRDefault="001332E7" w:rsidP="00643E5C">
      <w:pPr>
        <w:spacing w:after="0" w:line="240" w:lineRule="auto"/>
        <w:ind w:left="709" w:right="709"/>
        <w:jc w:val="both"/>
        <w:rPr>
          <w:rFonts w:ascii="Verdana" w:hAnsi="Verdana"/>
          <w:sz w:val="20"/>
          <w:szCs w:val="20"/>
        </w:rPr>
      </w:pPr>
      <w:r w:rsidRPr="00837DB7">
        <w:rPr>
          <w:rFonts w:ascii="Verdana" w:hAnsi="Verdana"/>
          <w:sz w:val="20"/>
          <w:szCs w:val="20"/>
        </w:rPr>
        <w:t xml:space="preserve">Dado que la entidad no declara incumplimientos mediante actos administrativos ni impone las sanciones previstas en la Ley 1474 de 2011, se solicita aclarar lo siguiente: </w:t>
      </w:r>
    </w:p>
    <w:p w14:paraId="1B071171" w14:textId="77777777" w:rsidR="001332E7" w:rsidRDefault="001332E7" w:rsidP="00643E5C">
      <w:pPr>
        <w:spacing w:after="0" w:line="240" w:lineRule="auto"/>
        <w:ind w:left="709" w:right="709"/>
        <w:jc w:val="both"/>
        <w:rPr>
          <w:rFonts w:ascii="Verdana" w:hAnsi="Verdana"/>
          <w:sz w:val="20"/>
          <w:szCs w:val="20"/>
        </w:rPr>
      </w:pPr>
    </w:p>
    <w:p w14:paraId="7934E04F" w14:textId="77777777" w:rsidR="001332E7" w:rsidRDefault="001332E7" w:rsidP="00643E5C">
      <w:pPr>
        <w:spacing w:after="0" w:line="240" w:lineRule="auto"/>
        <w:ind w:left="709" w:right="709"/>
        <w:jc w:val="both"/>
        <w:rPr>
          <w:rFonts w:ascii="Verdana" w:hAnsi="Verdana"/>
          <w:sz w:val="20"/>
          <w:szCs w:val="20"/>
        </w:rPr>
      </w:pPr>
      <w:r w:rsidRPr="00837DB7">
        <w:rPr>
          <w:rFonts w:ascii="Verdana" w:hAnsi="Verdana"/>
          <w:sz w:val="20"/>
          <w:szCs w:val="20"/>
        </w:rPr>
        <w:t xml:space="preserve">Objeto de la información: ¿Cuál es el objeto preciso de la información que se debe reportar? </w:t>
      </w:r>
    </w:p>
    <w:p w14:paraId="7C8E22BE" w14:textId="77777777" w:rsidR="001332E7" w:rsidRDefault="001332E7" w:rsidP="00643E5C">
      <w:pPr>
        <w:spacing w:after="0" w:line="240" w:lineRule="auto"/>
        <w:ind w:left="709" w:right="709"/>
        <w:jc w:val="both"/>
        <w:rPr>
          <w:rFonts w:ascii="Verdana" w:hAnsi="Verdana"/>
          <w:sz w:val="20"/>
          <w:szCs w:val="20"/>
        </w:rPr>
      </w:pPr>
    </w:p>
    <w:p w14:paraId="73D7D087" w14:textId="77777777" w:rsidR="001332E7" w:rsidRDefault="001332E7" w:rsidP="00643E5C">
      <w:pPr>
        <w:spacing w:after="0" w:line="240" w:lineRule="auto"/>
        <w:ind w:left="709" w:right="709"/>
        <w:jc w:val="both"/>
        <w:rPr>
          <w:rFonts w:ascii="Verdana" w:hAnsi="Verdana"/>
          <w:sz w:val="20"/>
          <w:szCs w:val="20"/>
        </w:rPr>
      </w:pPr>
      <w:r w:rsidRPr="00837DB7">
        <w:rPr>
          <w:rFonts w:ascii="Verdana" w:hAnsi="Verdana"/>
          <w:sz w:val="20"/>
          <w:szCs w:val="20"/>
        </w:rPr>
        <w:t xml:space="preserve">Soportes documentales: ¿Se deben remitir las actas, comunicaciones o documentos contractuales privados mediante los cuales se resuelven las controversias por incumplimiento? De ser así, ¿qué secciones específicas del documento se deben adjuntar? </w:t>
      </w:r>
    </w:p>
    <w:p w14:paraId="3967AE79" w14:textId="77777777" w:rsidR="001332E7" w:rsidRDefault="001332E7" w:rsidP="00643E5C">
      <w:pPr>
        <w:spacing w:after="0" w:line="240" w:lineRule="auto"/>
        <w:ind w:left="709" w:right="709"/>
        <w:jc w:val="both"/>
        <w:rPr>
          <w:rFonts w:ascii="Verdana" w:hAnsi="Verdana"/>
          <w:sz w:val="20"/>
          <w:szCs w:val="20"/>
        </w:rPr>
      </w:pPr>
    </w:p>
    <w:p w14:paraId="599D334B" w14:textId="77777777" w:rsidR="001332E7" w:rsidRDefault="001332E7" w:rsidP="00643E5C">
      <w:pPr>
        <w:spacing w:after="0" w:line="240" w:lineRule="auto"/>
        <w:ind w:left="709" w:right="709"/>
        <w:jc w:val="both"/>
        <w:rPr>
          <w:rFonts w:ascii="Verdana" w:hAnsi="Verdana"/>
          <w:sz w:val="20"/>
          <w:szCs w:val="20"/>
        </w:rPr>
      </w:pPr>
      <w:r w:rsidRPr="00837DB7">
        <w:rPr>
          <w:rFonts w:ascii="Verdana" w:hAnsi="Verdana"/>
          <w:sz w:val="20"/>
          <w:szCs w:val="20"/>
        </w:rPr>
        <w:t xml:space="preserve">Etapa del reporte: ¿En qué etapa del proceso se debe registrar la información? Lo anterior, teniendo en cuenta que el trámite se desarrolla en las siguientes fases: </w:t>
      </w:r>
    </w:p>
    <w:p w14:paraId="7EC5AE31" w14:textId="77777777" w:rsidR="001332E7" w:rsidRDefault="001332E7" w:rsidP="00643E5C">
      <w:pPr>
        <w:spacing w:after="0" w:line="240" w:lineRule="auto"/>
        <w:ind w:left="709" w:right="709"/>
        <w:jc w:val="both"/>
        <w:rPr>
          <w:rFonts w:ascii="Verdana" w:hAnsi="Verdana"/>
          <w:sz w:val="20"/>
          <w:szCs w:val="20"/>
        </w:rPr>
      </w:pPr>
      <w:r w:rsidRPr="00837DB7">
        <w:rPr>
          <w:rFonts w:ascii="Symbol" w:eastAsia="Symbol" w:hAnsi="Symbol" w:cs="Symbol"/>
          <w:sz w:val="20"/>
          <w:szCs w:val="20"/>
        </w:rPr>
        <w:sym w:font="Symbol" w:char="F0B7"/>
      </w:r>
      <w:r w:rsidRPr="00837DB7">
        <w:rPr>
          <w:rFonts w:ascii="Verdana" w:hAnsi="Verdana"/>
          <w:sz w:val="20"/>
          <w:szCs w:val="20"/>
        </w:rPr>
        <w:t xml:space="preserve"> Fase 1: Solicitud inicial de explicaciones al contratista. </w:t>
      </w:r>
    </w:p>
    <w:p w14:paraId="00B887DD" w14:textId="77777777" w:rsidR="001332E7" w:rsidRDefault="001332E7" w:rsidP="00643E5C">
      <w:pPr>
        <w:spacing w:after="0" w:line="240" w:lineRule="auto"/>
        <w:ind w:left="709" w:right="709"/>
        <w:jc w:val="both"/>
        <w:rPr>
          <w:rFonts w:ascii="Verdana" w:hAnsi="Verdana"/>
          <w:sz w:val="20"/>
          <w:szCs w:val="20"/>
        </w:rPr>
      </w:pPr>
      <w:r w:rsidRPr="00837DB7">
        <w:rPr>
          <w:rFonts w:ascii="Symbol" w:eastAsia="Symbol" w:hAnsi="Symbol" w:cs="Symbol"/>
          <w:sz w:val="20"/>
          <w:szCs w:val="20"/>
        </w:rPr>
        <w:sym w:font="Symbol" w:char="F0B7"/>
      </w:r>
      <w:r w:rsidRPr="00837DB7">
        <w:rPr>
          <w:rFonts w:ascii="Verdana" w:hAnsi="Verdana"/>
          <w:sz w:val="20"/>
          <w:szCs w:val="20"/>
        </w:rPr>
        <w:t xml:space="preserve"> Fase 2: Emisión de la decisión por parte de la entidad. </w:t>
      </w:r>
    </w:p>
    <w:p w14:paraId="4240D8B7" w14:textId="77777777" w:rsidR="001332E7" w:rsidRDefault="001332E7" w:rsidP="00643E5C">
      <w:pPr>
        <w:spacing w:after="0" w:line="240" w:lineRule="auto"/>
        <w:ind w:left="709" w:right="709"/>
        <w:jc w:val="both"/>
        <w:rPr>
          <w:rFonts w:ascii="Verdana" w:hAnsi="Verdana"/>
          <w:sz w:val="20"/>
          <w:szCs w:val="20"/>
        </w:rPr>
      </w:pPr>
      <w:r w:rsidRPr="00837DB7">
        <w:rPr>
          <w:rFonts w:ascii="Symbol" w:eastAsia="Symbol" w:hAnsi="Symbol" w:cs="Symbol"/>
          <w:sz w:val="20"/>
          <w:szCs w:val="20"/>
        </w:rPr>
        <w:sym w:font="Symbol" w:char="F0B7"/>
      </w:r>
      <w:r w:rsidRPr="00837DB7">
        <w:rPr>
          <w:rFonts w:ascii="Verdana" w:hAnsi="Verdana"/>
          <w:sz w:val="20"/>
          <w:szCs w:val="20"/>
        </w:rPr>
        <w:t xml:space="preserve"> Fase 3 (Reclamación): En caso de no obtener respuesta del contratista, se procede con la reclamación formal ante la aseguradora. </w:t>
      </w:r>
    </w:p>
    <w:p w14:paraId="4CC6BD7F" w14:textId="77777777" w:rsidR="001332E7" w:rsidRDefault="001332E7" w:rsidP="00643E5C">
      <w:pPr>
        <w:spacing w:after="0" w:line="240" w:lineRule="auto"/>
        <w:ind w:left="709" w:right="709"/>
        <w:jc w:val="both"/>
        <w:rPr>
          <w:rFonts w:ascii="Verdana" w:hAnsi="Verdana"/>
          <w:sz w:val="20"/>
          <w:szCs w:val="20"/>
        </w:rPr>
      </w:pPr>
      <w:r w:rsidRPr="00837DB7">
        <w:rPr>
          <w:rFonts w:ascii="Symbol" w:eastAsia="Symbol" w:hAnsi="Symbol" w:cs="Symbol"/>
          <w:sz w:val="20"/>
          <w:szCs w:val="20"/>
        </w:rPr>
        <w:sym w:font="Symbol" w:char="F0B7"/>
      </w:r>
      <w:r w:rsidRPr="00837DB7">
        <w:rPr>
          <w:rFonts w:ascii="Verdana" w:hAnsi="Verdana"/>
          <w:sz w:val="20"/>
          <w:szCs w:val="20"/>
        </w:rPr>
        <w:t xml:space="preserve"> Fase 4 (Vía judicial): Si la aseguradora impugna la decisión, no se pronuncia o no efectúa el pago por la afectación de la garantía, la Oficina Jurídica activa las medidas judiciales pertinentes.</w:t>
      </w:r>
    </w:p>
    <w:p w14:paraId="7F608E58" w14:textId="77777777" w:rsidR="001332E7" w:rsidRDefault="001332E7" w:rsidP="00643E5C">
      <w:pPr>
        <w:spacing w:after="0" w:line="240" w:lineRule="auto"/>
        <w:ind w:left="709" w:right="709"/>
        <w:jc w:val="both"/>
        <w:rPr>
          <w:rFonts w:ascii="Verdana" w:hAnsi="Verdana"/>
          <w:sz w:val="20"/>
          <w:szCs w:val="20"/>
        </w:rPr>
      </w:pPr>
    </w:p>
    <w:p w14:paraId="3641C4AC" w14:textId="77777777" w:rsidR="001332E7" w:rsidRDefault="001332E7" w:rsidP="00643E5C">
      <w:pPr>
        <w:spacing w:after="0" w:line="240" w:lineRule="auto"/>
        <w:ind w:left="709" w:right="709"/>
        <w:jc w:val="both"/>
        <w:rPr>
          <w:rFonts w:ascii="Verdana" w:hAnsi="Verdana"/>
          <w:sz w:val="20"/>
          <w:szCs w:val="20"/>
        </w:rPr>
      </w:pPr>
      <w:r w:rsidRPr="00837DB7">
        <w:rPr>
          <w:rFonts w:ascii="Verdana" w:hAnsi="Verdana"/>
          <w:b/>
          <w:bCs/>
          <w:sz w:val="20"/>
          <w:szCs w:val="20"/>
        </w:rPr>
        <w:t>3. Forma del Reporte ¿Cómo se debe reportar?:</w:t>
      </w:r>
      <w:r w:rsidRPr="00837DB7">
        <w:rPr>
          <w:rFonts w:ascii="Verdana" w:hAnsi="Verdana"/>
          <w:sz w:val="20"/>
          <w:szCs w:val="20"/>
        </w:rPr>
        <w:t xml:space="preserve"> Al no expedirse resoluciones, la entidad se encuentra ante la imposibilidad física y jurídica de adjuntar una "parte resolutiva" o de certificar una "constancia de firmeza y ejecutoria" (conceptos exclusivos del derecho administrativo). </w:t>
      </w:r>
      <w:proofErr w:type="gramStart"/>
      <w:r w:rsidRPr="00837DB7">
        <w:rPr>
          <w:rFonts w:ascii="Verdana" w:hAnsi="Verdana"/>
          <w:sz w:val="20"/>
          <w:szCs w:val="20"/>
        </w:rPr>
        <w:t>¿De qué manera debe la entidad registrar o cargar la información en las plataformas o canales dispuestos para dar cumplimiento a la Circular No.</w:t>
      </w:r>
      <w:proofErr w:type="gramEnd"/>
      <w:r w:rsidRPr="00837DB7">
        <w:rPr>
          <w:rFonts w:ascii="Verdana" w:hAnsi="Verdana"/>
          <w:sz w:val="20"/>
          <w:szCs w:val="20"/>
        </w:rPr>
        <w:t xml:space="preserve"> 002 de 2026? ¿Qué documentos hacen las veces de soporte válido en estos casos? </w:t>
      </w:r>
    </w:p>
    <w:p w14:paraId="1422DA52" w14:textId="77777777" w:rsidR="001332E7" w:rsidRPr="00837DB7" w:rsidRDefault="001332E7" w:rsidP="00643E5C">
      <w:pPr>
        <w:spacing w:after="0" w:line="240" w:lineRule="auto"/>
        <w:ind w:left="709" w:right="709"/>
        <w:jc w:val="both"/>
        <w:rPr>
          <w:rFonts w:ascii="Verdana" w:hAnsi="Verdana"/>
          <w:sz w:val="20"/>
          <w:szCs w:val="20"/>
        </w:rPr>
      </w:pPr>
      <w:r w:rsidRPr="00837DB7">
        <w:rPr>
          <w:rFonts w:ascii="Verdana" w:hAnsi="Verdana"/>
          <w:b/>
          <w:bCs/>
          <w:sz w:val="20"/>
          <w:szCs w:val="20"/>
        </w:rPr>
        <w:t>4. Periodicidad ¿Con qué periodicidad se debe reportar?:</w:t>
      </w:r>
      <w:r w:rsidRPr="00837DB7">
        <w:rPr>
          <w:rFonts w:ascii="Verdana" w:hAnsi="Verdana"/>
          <w:sz w:val="20"/>
          <w:szCs w:val="20"/>
        </w:rPr>
        <w:t xml:space="preserve"> ¿Cuál es el término estipulado o la oportunidad legal para que una entidad con régimen privado remita esta información, considerando que sus actos contractuales nacen a la vida jurídica bajo las reglas del derecho civil y comercial, y no bajo la figura de la ejecutoria de un acto administrativo?</w:t>
      </w:r>
      <w:r>
        <w:rPr>
          <w:rFonts w:ascii="Verdana" w:hAnsi="Verdana"/>
          <w:sz w:val="20"/>
          <w:szCs w:val="20"/>
        </w:rPr>
        <w:t xml:space="preserve"> (…)”. </w:t>
      </w:r>
    </w:p>
    <w:p w14:paraId="181E3B7B" w14:textId="77777777" w:rsidR="001332E7" w:rsidRPr="00647D77" w:rsidRDefault="001332E7" w:rsidP="00643E5C">
      <w:pPr>
        <w:spacing w:after="0" w:line="276" w:lineRule="auto"/>
        <w:ind w:right="709"/>
        <w:jc w:val="both"/>
        <w:rPr>
          <w:rFonts w:ascii="Verdana" w:hAnsi="Verdana"/>
        </w:rPr>
      </w:pPr>
    </w:p>
    <w:p w14:paraId="5ADCA04B" w14:textId="77777777" w:rsidR="001332E7" w:rsidRPr="00F64722" w:rsidRDefault="001332E7" w:rsidP="001332E7">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5CFE4971" w14:textId="77777777" w:rsidR="001332E7" w:rsidRPr="00B207E1" w:rsidRDefault="001332E7" w:rsidP="005946DB">
      <w:pPr>
        <w:spacing w:after="0" w:line="276" w:lineRule="auto"/>
        <w:ind w:firstLine="709"/>
        <w:jc w:val="both"/>
        <w:rPr>
          <w:rFonts w:ascii="Verdana" w:eastAsia="Calibri" w:hAnsi="Verdana" w:cs="Arial"/>
          <w:lang w:eastAsia="es-ES"/>
        </w:rPr>
      </w:pPr>
      <w:r w:rsidRPr="0048718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w:t>
      </w:r>
      <w:r w:rsidRPr="00C761DE">
        <w:rPr>
          <w:rFonts w:ascii="Verdana" w:eastAsia="Calibri" w:hAnsi="Verdana" w:cs="Arial"/>
          <w:color w:val="000000"/>
          <w:lang w:eastAsia="es-ES"/>
        </w:rPr>
        <w:t xml:space="preserve">es, </w:t>
      </w:r>
      <w:r w:rsidRPr="00B207E1">
        <w:rPr>
          <w:rFonts w:ascii="Verdana" w:eastAsia="Calibri" w:hAnsi="Verdana" w:cs="Arial"/>
          <w:color w:val="000000"/>
          <w:lang w:eastAsia="es-ES"/>
        </w:rPr>
        <w:t>haciendo abstracción del caso particular y concreto señalado en su petición, pero señalando algunas consideraciones sobre las normas generales relacionadas al problema jurídico de su consulta.</w:t>
      </w:r>
      <w:r w:rsidRPr="00B207E1">
        <w:rPr>
          <w:rFonts w:ascii="Verdana" w:eastAsia="Calibri" w:hAnsi="Verdana" w:cs="Arial"/>
          <w:lang w:eastAsia="es-ES"/>
        </w:rPr>
        <w:t xml:space="preserve"> </w:t>
      </w:r>
    </w:p>
    <w:p w14:paraId="2425310B" w14:textId="77777777" w:rsidR="005946DB" w:rsidRPr="00B207E1" w:rsidRDefault="005946DB" w:rsidP="00643E5C">
      <w:pPr>
        <w:spacing w:after="0" w:line="276" w:lineRule="auto"/>
        <w:ind w:firstLine="709"/>
        <w:jc w:val="both"/>
        <w:rPr>
          <w:rFonts w:ascii="Verdana" w:eastAsia="Calibri" w:hAnsi="Verdana" w:cs="Arial"/>
          <w:lang w:eastAsia="es-ES"/>
        </w:rPr>
      </w:pPr>
    </w:p>
    <w:p w14:paraId="225458FB" w14:textId="77777777" w:rsidR="001332E7" w:rsidRPr="00B207E1" w:rsidRDefault="001332E7" w:rsidP="001332E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207E1">
        <w:rPr>
          <w:rFonts w:ascii="Verdana" w:eastAsia="Century Gothic" w:hAnsi="Verdana" w:cs="Century Gothic"/>
          <w:b/>
          <w:bCs/>
        </w:rPr>
        <w:t>Problema planteado:</w:t>
      </w:r>
    </w:p>
    <w:p w14:paraId="18E6625D" w14:textId="77777777" w:rsidR="001332E7" w:rsidRPr="00B207E1" w:rsidRDefault="001332E7" w:rsidP="00643E5C">
      <w:pPr>
        <w:spacing w:after="0" w:line="276" w:lineRule="auto"/>
        <w:jc w:val="both"/>
        <w:rPr>
          <w:rFonts w:ascii="Verdana" w:eastAsia="Calibri" w:hAnsi="Verdana" w:cs="Arial"/>
          <w:color w:val="000000"/>
          <w:lang w:eastAsia="es-ES"/>
        </w:rPr>
      </w:pPr>
    </w:p>
    <w:p w14:paraId="595840B5" w14:textId="253D8CB2" w:rsidR="001332E7" w:rsidRDefault="001332E7" w:rsidP="00643E5C">
      <w:pPr>
        <w:spacing w:after="0" w:line="276" w:lineRule="auto"/>
        <w:jc w:val="both"/>
        <w:rPr>
          <w:rFonts w:ascii="Verdana" w:eastAsia="Calibri" w:hAnsi="Verdana" w:cs="Times New Roman"/>
          <w:iCs/>
          <w:lang w:val="es-ES"/>
        </w:rPr>
      </w:pPr>
      <w:r w:rsidRPr="00B207E1">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 xml:space="preserve">el </w:t>
      </w:r>
      <w:r w:rsidRPr="00B207E1">
        <w:rPr>
          <w:rFonts w:ascii="Verdana" w:eastAsia="Calibri" w:hAnsi="Verdana" w:cs="Arial"/>
          <w:color w:val="000000"/>
          <w:lang w:eastAsia="es-ES"/>
        </w:rPr>
        <w:t xml:space="preserve">siguiente problema jurídico: </w:t>
      </w:r>
      <w:r>
        <w:rPr>
          <w:rFonts w:ascii="Verdana" w:eastAsia="Calibri" w:hAnsi="Verdana" w:cs="Times New Roman"/>
          <w:iCs/>
          <w:lang w:val="es-ES"/>
        </w:rPr>
        <w:t>¿Cuál es el alcance de la Circular Externa 002 de 2026 proferida por la Agencia Nacional de Contratación Pública</w:t>
      </w:r>
      <w:r w:rsidR="003A7BF4">
        <w:rPr>
          <w:rFonts w:ascii="Verdana" w:eastAsia="Calibri" w:hAnsi="Verdana" w:cs="Times New Roman"/>
          <w:iCs/>
          <w:lang w:val="es-ES"/>
        </w:rPr>
        <w:t xml:space="preserve"> – Colombia Compra Eficiente</w:t>
      </w:r>
      <w:r>
        <w:rPr>
          <w:rFonts w:ascii="Verdana" w:eastAsia="Calibri" w:hAnsi="Verdana" w:cs="Times New Roman"/>
          <w:iCs/>
          <w:lang w:val="es-ES"/>
        </w:rPr>
        <w:t xml:space="preserve"> en relación con las Empresas Industriales y Comerciales del Estado?</w:t>
      </w:r>
    </w:p>
    <w:p w14:paraId="75FB2472" w14:textId="77777777" w:rsidR="001332E7" w:rsidRDefault="001332E7" w:rsidP="001332E7">
      <w:pPr>
        <w:spacing w:after="0" w:line="276" w:lineRule="auto"/>
        <w:jc w:val="both"/>
        <w:rPr>
          <w:rFonts w:ascii="Verdana" w:eastAsia="Century Gothic" w:hAnsi="Verdana" w:cs="Century Gothic"/>
          <w:b/>
          <w:bCs/>
        </w:rPr>
      </w:pPr>
    </w:p>
    <w:p w14:paraId="3EB22F3D" w14:textId="77777777" w:rsidR="001332E7" w:rsidRDefault="001332E7" w:rsidP="001332E7">
      <w:pPr>
        <w:spacing w:after="0" w:line="276" w:lineRule="auto"/>
        <w:jc w:val="both"/>
        <w:rPr>
          <w:rFonts w:ascii="Verdana" w:eastAsia="Century Gothic" w:hAnsi="Verdana" w:cs="Century Gothic"/>
          <w:b/>
          <w:bCs/>
        </w:rPr>
      </w:pPr>
      <w:r w:rsidRPr="00B33011">
        <w:rPr>
          <w:rFonts w:ascii="Verdana" w:eastAsia="Century Gothic" w:hAnsi="Verdana" w:cs="Century Gothic"/>
          <w:b/>
          <w:bCs/>
        </w:rPr>
        <w:t>2. Respuesta:</w:t>
      </w:r>
    </w:p>
    <w:p w14:paraId="54CAFA85" w14:textId="77777777" w:rsidR="001332E7" w:rsidRPr="00185290" w:rsidRDefault="001332E7" w:rsidP="001332E7">
      <w:pPr>
        <w:spacing w:after="0" w:line="276" w:lineRule="auto"/>
        <w:jc w:val="both"/>
        <w:rPr>
          <w:rFonts w:ascii="Verdana" w:eastAsia="Century Gothic" w:hAnsi="Verdana" w:cs="Century Gothic"/>
        </w:rPr>
      </w:pPr>
    </w:p>
    <w:tbl>
      <w:tblPr>
        <w:tblStyle w:val="Tablaconcuadrcula"/>
        <w:tblW w:w="0" w:type="auto"/>
        <w:tblLook w:val="04A0" w:firstRow="1" w:lastRow="0" w:firstColumn="1" w:lastColumn="0" w:noHBand="0" w:noVBand="1"/>
      </w:tblPr>
      <w:tblGrid>
        <w:gridCol w:w="8828"/>
      </w:tblGrid>
      <w:tr w:rsidR="001332E7" w:rsidRPr="005644FE" w14:paraId="4FE56E9C" w14:textId="77777777" w:rsidTr="00E50FF1">
        <w:tc>
          <w:tcPr>
            <w:tcW w:w="8828" w:type="dxa"/>
          </w:tcPr>
          <w:p w14:paraId="09F9A579" w14:textId="77777777" w:rsidR="001332E7" w:rsidRDefault="001332E7" w:rsidP="00E50FF1">
            <w:pPr>
              <w:spacing w:after="120" w:line="276" w:lineRule="auto"/>
              <w:jc w:val="both"/>
              <w:rPr>
                <w:rFonts w:ascii="Verdana" w:eastAsia="Calibri" w:hAnsi="Verdana" w:cs="Arial"/>
                <w:color w:val="000000" w:themeColor="text1"/>
                <w:lang w:val="es-ES_tradnl"/>
              </w:rPr>
            </w:pPr>
            <w:r>
              <w:rPr>
                <w:rFonts w:ascii="Verdana" w:eastAsia="Calibri" w:hAnsi="Verdana" w:cs="Arial"/>
                <w:color w:val="000000" w:themeColor="text1"/>
                <w:lang w:val="es-ES_tradnl"/>
              </w:rPr>
              <w:t>L</w:t>
            </w:r>
            <w:r w:rsidRPr="00817382">
              <w:rPr>
                <w:rFonts w:ascii="Verdana" w:eastAsia="Calibri" w:hAnsi="Verdana" w:cs="Arial"/>
                <w:color w:val="000000" w:themeColor="text1"/>
                <w:lang w:val="es-ES_tradnl"/>
              </w:rPr>
              <w:t>as entidades de régimen especial cumplen una finalidad pública y utilizan recursos públicos para lograrlo, por lo que no son ajenas a los principios de la función administrativa y de la gestión fiscal, entre otras reglas dispuestas en la normativa de contratación pública que son transversales a todas las entidades, sin importar su régimen contractual.</w:t>
            </w:r>
          </w:p>
          <w:p w14:paraId="494DCEAD" w14:textId="77777777" w:rsidR="001332E7" w:rsidRDefault="001332E7" w:rsidP="00E50FF1">
            <w:pPr>
              <w:spacing w:after="120" w:line="276" w:lineRule="auto"/>
              <w:ind w:firstLine="709"/>
              <w:jc w:val="both"/>
              <w:rPr>
                <w:rFonts w:ascii="Verdana" w:eastAsia="Calibri" w:hAnsi="Verdana" w:cs="Arial"/>
                <w:color w:val="000000" w:themeColor="text1"/>
                <w:lang w:val="es-ES_tradnl"/>
              </w:rPr>
            </w:pPr>
            <w:r w:rsidRPr="00817382">
              <w:rPr>
                <w:rFonts w:ascii="Verdana" w:eastAsia="Calibri" w:hAnsi="Verdana" w:cs="Arial"/>
                <w:color w:val="000000" w:themeColor="text1"/>
                <w:lang w:val="es-ES_tradnl"/>
              </w:rPr>
              <w:t>Considerando que las entidades de régimen especial administran recursos públicos, sus manuales de contratación deben ceñirse a unas reglas mínimas que garanticen el cumplimiento de los principios de la función pública, el control fiscal y los principios rectores de la contratación estatal. Dentro de estas reglas deben indicar el contenido de las propuestas y los procedimientos de selección, llevar una descripción precisa del procedimiento, los plazos de las etapas y los criterios de evaluación, y todos los criterios necesarios para garantizar la selección objetiva y la protección del interés general. Lo anterior, sin perjuicio de que algunas de estas reglas se establezcan, complementen o detallen en los documentos que se expiden en desarrollo de sus procedimientos contractuales.</w:t>
            </w:r>
          </w:p>
          <w:p w14:paraId="48FE93C5" w14:textId="77777777" w:rsidR="001332E7" w:rsidRDefault="001332E7" w:rsidP="00E50FF1">
            <w:pPr>
              <w:spacing w:after="120" w:line="276" w:lineRule="auto"/>
              <w:ind w:firstLine="709"/>
              <w:jc w:val="both"/>
              <w:rPr>
                <w:rFonts w:ascii="Verdana" w:eastAsia="Calibri" w:hAnsi="Verdana" w:cs="Arial"/>
                <w:color w:val="000000" w:themeColor="text1"/>
                <w:lang w:val="es-ES_tradnl"/>
              </w:rPr>
            </w:pPr>
            <w:r>
              <w:rPr>
                <w:rFonts w:ascii="Verdana" w:eastAsia="Calibri" w:hAnsi="Verdana" w:cs="Arial"/>
                <w:color w:val="000000" w:themeColor="text1"/>
                <w:lang w:val="es-ES_tradnl"/>
              </w:rPr>
              <w:t>Así</w:t>
            </w:r>
            <w:r w:rsidRPr="00817382">
              <w:rPr>
                <w:rFonts w:ascii="Verdana" w:eastAsia="Calibri" w:hAnsi="Verdana" w:cs="Arial"/>
                <w:color w:val="000000" w:themeColor="text1"/>
                <w:lang w:val="es-ES_tradnl"/>
              </w:rPr>
              <w:t>, el hecho de que algunas entidades estatales se rijan por el derecho privado en materia contractual no puede entenderse como una negación de lo que establece el artículo 13 de la Ley 1150 de 2007. Este enunciado normativo significó un “retorno del derecho administrativo” para las entidades excluidas, al reiterar que deben cumplir los principios constitucionales de la función administrativa y de la gestión fiscal, así como el régimen de inhabilidades e incompatibilidades previsto legalmente para la contratación estatal; y ahora también publicar su actividad contractual en el SECOP II, de conformidad con el artículo 53 de la Ley 2195 de 2022.</w:t>
            </w:r>
          </w:p>
          <w:p w14:paraId="6977CCFF" w14:textId="77777777" w:rsidR="001332E7" w:rsidRDefault="001332E7" w:rsidP="00E50FF1">
            <w:pPr>
              <w:spacing w:after="120" w:line="276" w:lineRule="auto"/>
              <w:ind w:firstLine="709"/>
              <w:jc w:val="both"/>
              <w:rPr>
                <w:rFonts w:ascii="Verdana" w:eastAsia="Calibri" w:hAnsi="Verdana" w:cs="Arial"/>
                <w:color w:val="000000" w:themeColor="text1"/>
              </w:rPr>
            </w:pPr>
            <w:r w:rsidRPr="009B6C67">
              <w:rPr>
                <w:rFonts w:ascii="Verdana" w:eastAsia="Calibri" w:hAnsi="Verdana" w:cs="Arial"/>
                <w:color w:val="000000" w:themeColor="text1"/>
              </w:rPr>
              <w:t xml:space="preserve">Por lo tanto, el régimen contractual de </w:t>
            </w:r>
            <w:r w:rsidRPr="00A22A66">
              <w:rPr>
                <w:rFonts w:ascii="Verdana" w:eastAsia="Calibri" w:hAnsi="Verdana" w:cs="Arial"/>
                <w:color w:val="000000" w:themeColor="text1"/>
              </w:rPr>
              <w:t xml:space="preserve">las </w:t>
            </w:r>
            <w:r>
              <w:rPr>
                <w:rFonts w:ascii="Verdana" w:eastAsia="Calibri" w:hAnsi="Verdana" w:cs="Arial"/>
                <w:color w:val="000000" w:themeColor="text1"/>
              </w:rPr>
              <w:t>empresas industriales y comerciales del Estado</w:t>
            </w:r>
            <w:r w:rsidRPr="009B6C67">
              <w:rPr>
                <w:rFonts w:ascii="Verdana" w:eastAsia="Calibri" w:hAnsi="Verdana" w:cs="Arial"/>
                <w:color w:val="000000" w:themeColor="text1"/>
              </w:rPr>
              <w:t xml:space="preserve"> que estén en competencia o desarrollen su actividad en mercados regulados es el propio de tal actividad, esto es, por regla general, el derecho privado, salvo las excepciones legales. Aunque estos contratos están excluidos de la Ley 80 de 1993, no se rigen exclusivamente por el derecho civil y comercial, pues –conforme al artículo 13 de la Ley 1150 de 2007– aplican tanto los principios de la función administrativa y de la gestión fiscal como el régimen de inhabilidades e incompatibilidades. Por el contrario, aquellas </w:t>
            </w:r>
            <w:r>
              <w:rPr>
                <w:rFonts w:ascii="Verdana" w:eastAsia="Calibri" w:hAnsi="Verdana" w:cs="Arial"/>
                <w:color w:val="000000" w:themeColor="text1"/>
              </w:rPr>
              <w:t>empresas industriales y comerciales del Estado</w:t>
            </w:r>
            <w:r w:rsidRPr="009B6C67">
              <w:rPr>
                <w:rFonts w:ascii="Verdana" w:eastAsia="Calibri" w:hAnsi="Verdana" w:cs="Arial"/>
                <w:color w:val="000000" w:themeColor="text1"/>
              </w:rPr>
              <w:t xml:space="preserve"> que no estén en competencia ni desarrollen su actividad en mercados regulados están sometidas al Estatuto General de Contratación de la Administración Pública y las normas que lo complementan, como lo dispone el artículo 14 de la Ley 1150 de 2007.</w:t>
            </w:r>
          </w:p>
          <w:p w14:paraId="34004A13" w14:textId="77777777" w:rsidR="001332E7" w:rsidRPr="00813F18" w:rsidRDefault="001332E7" w:rsidP="00E50FF1">
            <w:pPr>
              <w:tabs>
                <w:tab w:val="left" w:pos="709"/>
              </w:tabs>
              <w:spacing w:after="120" w:line="276" w:lineRule="auto"/>
              <w:ind w:firstLine="709"/>
              <w:jc w:val="both"/>
              <w:rPr>
                <w:rFonts w:ascii="Verdana" w:eastAsia="Calibri" w:hAnsi="Verdana" w:cs="Arial"/>
                <w:color w:val="000000" w:themeColor="text1"/>
              </w:rPr>
            </w:pPr>
            <w:r>
              <w:rPr>
                <w:rFonts w:ascii="Verdana" w:eastAsia="Verdana" w:hAnsi="Verdana" w:cs="Verdana"/>
                <w:lang w:val="es-MX"/>
              </w:rPr>
              <w:t xml:space="preserve">El principio de publicidad impone a las autoridades administrativas el deber de dar a conocer sus actos, contratos y precisiones para que se divulguen y eventualmente se controlen. Por ello, en la contratación estatal, el literal c) del artículo 3 de la Ley 1150 de 2007 establece el Sistema Electrónico para la Contratación Pública, en adelante SECOP, como un mecanismo que “contara con información oficial de la contratación realizada con dineros públicos, para lo cual establecerá los patrones a que haya lugar y se encargará de su difusión a través de canales electrónicos. </w:t>
            </w:r>
          </w:p>
          <w:p w14:paraId="0278ED7B" w14:textId="4EA6D131" w:rsidR="001332E7" w:rsidRDefault="001332E7" w:rsidP="00E50FF1">
            <w:pPr>
              <w:spacing w:after="120" w:line="276" w:lineRule="auto"/>
              <w:ind w:firstLine="709"/>
              <w:jc w:val="both"/>
              <w:rPr>
                <w:rFonts w:ascii="Verdana" w:eastAsia="Verdana" w:hAnsi="Verdana" w:cs="Verdana"/>
                <w:lang w:val="es-MX"/>
              </w:rPr>
            </w:pPr>
            <w:r>
              <w:rPr>
                <w:rFonts w:ascii="Verdana" w:eastAsia="Times New Roman" w:hAnsi="Verdana" w:cs="Arial"/>
                <w:lang w:val="es-ES_tradnl" w:eastAsia="es-ES_tradnl"/>
                <w14:ligatures w14:val="standardContextual"/>
              </w:rPr>
              <w:t>L</w:t>
            </w:r>
            <w:r w:rsidRPr="00AD6B46">
              <w:rPr>
                <w:rFonts w:ascii="Verdana" w:eastAsia="Times New Roman" w:hAnsi="Verdana" w:cs="Arial"/>
                <w:lang w:val="es-ES_tradnl" w:eastAsia="es-ES_tradnl"/>
                <w14:ligatures w14:val="standardContextual"/>
              </w:rPr>
              <w:t>as Entidades Estatales, conforme al artículo 2.2.1.1.1.7.1 del Decreto 1082 de 2015, tienen la obligación de publicar en el SECOP “[…] los Documentos del Proceso y los actos administrativos del Proceso de Contratación, dentro de los tres (3) días siguientes a su expedición […]”.</w:t>
            </w:r>
            <w:r w:rsidR="00BB4BD3">
              <w:rPr>
                <w:rFonts w:ascii="Verdana" w:eastAsia="Verdana" w:hAnsi="Verdana" w:cs="Verdana"/>
                <w:lang w:val="es-MX"/>
              </w:rPr>
              <w:t xml:space="preserve"> </w:t>
            </w:r>
            <w:r>
              <w:rPr>
                <w:rFonts w:ascii="Verdana" w:eastAsia="Verdana" w:hAnsi="Verdana" w:cs="Verdana"/>
                <w:lang w:val="es-MX"/>
              </w:rPr>
              <w:t xml:space="preserve">La expresión </w:t>
            </w:r>
            <w:r w:rsidRPr="00B069AA">
              <w:rPr>
                <w:rFonts w:ascii="Verdana" w:eastAsia="Verdana" w:hAnsi="Verdana" w:cs="Verdana"/>
                <w:i/>
                <w:iCs/>
                <w:lang w:val="es-MX"/>
              </w:rPr>
              <w:t>Documentos del Proceso</w:t>
            </w:r>
            <w:r>
              <w:rPr>
                <w:rFonts w:ascii="Verdana" w:eastAsia="Verdana" w:hAnsi="Verdana" w:cs="Verdana"/>
                <w:lang w:val="es-MX"/>
              </w:rPr>
              <w:t xml:space="preserve"> está definida en el artículo 2.2.1.1.3.1 del Decreto 1082 de 2015, donde se establece que: “son: (a) los estudios y documentos previos; (b) el aviso de convocatoria; (c) los pliegos de condiciones o la invitación; (d) las adendas; (e) la oferta; (f) el informe de evaluación; (g) el contrato; y </w:t>
            </w:r>
            <w:r w:rsidRPr="000A6CCE">
              <w:rPr>
                <w:rFonts w:ascii="Verdana" w:eastAsia="Verdana" w:hAnsi="Verdana" w:cs="Verdana"/>
                <w:i/>
                <w:iCs/>
                <w:lang w:val="es-MX"/>
              </w:rPr>
              <w:t>cualquier otro documento expedido por la Entidad Estatal durante el proceso de Contratación</w:t>
            </w:r>
            <w:r>
              <w:rPr>
                <w:rFonts w:ascii="Verdana" w:eastAsia="Verdana" w:hAnsi="Verdana" w:cs="Verdana"/>
                <w:lang w:val="es-MX"/>
              </w:rPr>
              <w:t xml:space="preserve">”. </w:t>
            </w:r>
          </w:p>
          <w:p w14:paraId="743B2A13" w14:textId="77777777" w:rsidR="001332E7" w:rsidRDefault="001332E7" w:rsidP="00E50FF1">
            <w:pPr>
              <w:spacing w:after="120" w:line="276" w:lineRule="auto"/>
              <w:ind w:firstLine="709"/>
              <w:jc w:val="both"/>
              <w:rPr>
                <w:rFonts w:ascii="Verdana" w:eastAsia="Verdana" w:hAnsi="Verdana" w:cs="Verdana"/>
                <w:lang w:val="es-MX"/>
              </w:rPr>
            </w:pPr>
            <w:r>
              <w:rPr>
                <w:rFonts w:ascii="Verdana" w:eastAsia="Verdana" w:hAnsi="Verdana" w:cs="Verdana"/>
                <w:lang w:val="es-MX"/>
              </w:rPr>
              <w:t xml:space="preserve">Sin embargo, para identificar los documentos que deben publicarse, es necesario realizar una interpretación sistemática de las disposiciones del Decreto 1082 de 2015, comoquiera que el anterior no es un listado taxativo, sino enunciativo, porque además de los documentos enlistados, el artículo 2.2.1.1.1.3.1 </w:t>
            </w:r>
            <w:r w:rsidRPr="00F111D4">
              <w:rPr>
                <w:rFonts w:ascii="Verdana" w:eastAsia="Verdana" w:hAnsi="Verdana" w:cs="Verdana"/>
                <w:i/>
                <w:iCs/>
                <w:lang w:val="es-MX"/>
              </w:rPr>
              <w:t>Ibidem</w:t>
            </w:r>
            <w:r>
              <w:rPr>
                <w:rFonts w:ascii="Verdana" w:eastAsia="Verdana" w:hAnsi="Verdana" w:cs="Verdana"/>
                <w:lang w:val="es-MX"/>
              </w:rPr>
              <w:t xml:space="preserve"> recoge en la noción de Documentos del Proceso “cualquier otro documento expedido por la Entidad Estatal durante el Proceso de Contratación”. 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w:t>
            </w:r>
            <w:proofErr w:type="spellStart"/>
            <w:r>
              <w:rPr>
                <w:rFonts w:ascii="Verdana" w:eastAsia="Verdana" w:hAnsi="Verdana" w:cs="Verdana"/>
                <w:lang w:val="es-MX"/>
              </w:rPr>
              <w:t>mas</w:t>
            </w:r>
            <w:proofErr w:type="spellEnd"/>
            <w:r>
              <w:rPr>
                <w:rFonts w:ascii="Verdana" w:eastAsia="Verdana" w:hAnsi="Verdana" w:cs="Verdana"/>
                <w:lang w:val="es-MX"/>
              </w:rPr>
              <w:t xml:space="preserve"> tarde”. Nótese que la norma hace referencia a los documentos “expedidos por la entidad estatal” durante el proceso de contratación, excluyendo de la noción de Documentos del Proceso los expedidos por un sujeto distinto a la entidad, salvo la oferta, la cual se incluye expresamente en el referido artículo 2.2.1.1.1.3.1. </w:t>
            </w:r>
          </w:p>
          <w:p w14:paraId="1CCA030F" w14:textId="77777777" w:rsidR="001332E7" w:rsidRDefault="001332E7" w:rsidP="00E50FF1">
            <w:pPr>
              <w:spacing w:after="120" w:line="276" w:lineRule="auto"/>
              <w:ind w:firstLine="709"/>
              <w:jc w:val="both"/>
              <w:rPr>
                <w:rFonts w:ascii="Verdana" w:eastAsia="Verdana" w:hAnsi="Verdana" w:cs="Verdana"/>
                <w:lang w:val="es-MX"/>
              </w:rPr>
            </w:pPr>
            <w:r>
              <w:rPr>
                <w:rFonts w:ascii="Verdana" w:eastAsia="Verdana" w:hAnsi="Verdana" w:cs="Verdana"/>
                <w:lang w:val="es-MX"/>
              </w:rPr>
              <w:t xml:space="preserve">En ese sentido, la interpretación sistemática de los preceptos del Decreto 1082 de 2015, de acuerdo con el principio de publicidad, inicialmente, indica que las Entidades Estatales tienen la obligación de publicar todos los documentos que expidan con ocasión del Proceso de Contratación, es decir, que todos los documentos expedidos por la entidad durante las etapas precontractual, de ejecución y </w:t>
            </w:r>
            <w:proofErr w:type="spellStart"/>
            <w:r>
              <w:rPr>
                <w:rFonts w:ascii="Verdana" w:eastAsia="Verdana" w:hAnsi="Verdana" w:cs="Verdana"/>
                <w:lang w:val="es-MX"/>
              </w:rPr>
              <w:t>postcontractual</w:t>
            </w:r>
            <w:proofErr w:type="spellEnd"/>
            <w:r>
              <w:rPr>
                <w:rFonts w:ascii="Verdana" w:eastAsia="Verdana" w:hAnsi="Verdana" w:cs="Verdana"/>
                <w:lang w:val="es-MX"/>
              </w:rPr>
              <w:t xml:space="preserve"> deberán ser publicados en SECOP dentro de los tres (3) días siguientes a su expedición, para cumplir el deber de publicidad regulado por el artículo 2.2.1.1.1.7.1 del Decreto 1082 de 2015. </w:t>
            </w:r>
          </w:p>
          <w:p w14:paraId="0CE40D13" w14:textId="77777777" w:rsidR="001332E7" w:rsidRDefault="001332E7" w:rsidP="00E50FF1">
            <w:pPr>
              <w:spacing w:after="120" w:line="276" w:lineRule="auto"/>
              <w:ind w:firstLine="709"/>
              <w:jc w:val="both"/>
              <w:rPr>
                <w:rFonts w:ascii="Verdana" w:eastAsia="Calibri" w:hAnsi="Verdana" w:cs="Arial"/>
                <w:color w:val="000000"/>
              </w:rPr>
            </w:pPr>
            <w:r>
              <w:rPr>
                <w:rFonts w:ascii="Verdana" w:eastAsia="Calibri" w:hAnsi="Verdana" w:cs="Arial"/>
                <w:color w:val="000000"/>
                <w:lang w:val="es-ES_tradnl"/>
              </w:rPr>
              <w:t xml:space="preserve">Ahora bien, como entidades de régimen especial </w:t>
            </w:r>
            <w:r w:rsidRPr="00AD6B46">
              <w:rPr>
                <w:rFonts w:ascii="Verdana" w:hAnsi="Verdana" w:cs="Arial"/>
                <w:shd w:val="clear" w:color="auto" w:fill="FFFFFF"/>
              </w:rPr>
              <w:t>es clara la obligatoriedad de publicar la información de la actividad contractual</w:t>
            </w:r>
            <w:r>
              <w:rPr>
                <w:rFonts w:ascii="Verdana" w:hAnsi="Verdana" w:cs="Arial"/>
                <w:shd w:val="clear" w:color="auto" w:fill="FFFFFF"/>
              </w:rPr>
              <w:t xml:space="preserve"> en el SECOP</w:t>
            </w:r>
            <w:r w:rsidRPr="00AD6B46">
              <w:rPr>
                <w:rFonts w:ascii="Verdana" w:hAnsi="Verdana" w:cs="Arial"/>
                <w:shd w:val="clear" w:color="auto" w:fill="FFFFFF"/>
              </w:rPr>
              <w:t xml:space="preserve">. En tal sentido, </w:t>
            </w:r>
            <w:r w:rsidRPr="00AD6B46">
              <w:rPr>
                <w:rFonts w:ascii="Verdana" w:eastAsia="Calibri" w:hAnsi="Verdana" w:cs="Arial"/>
                <w:color w:val="000000"/>
              </w:rPr>
              <w:t>debe destacarse el artículo 53 de la Ley 2195 de 2022 que modifica el artículo 13 de la Ley 1150 de 2007</w:t>
            </w:r>
            <w:r>
              <w:rPr>
                <w:rFonts w:ascii="Verdana" w:eastAsia="Calibri" w:hAnsi="Verdana" w:cs="Arial"/>
                <w:color w:val="000000"/>
              </w:rPr>
              <w:t>,</w:t>
            </w:r>
            <w:r w:rsidRPr="00AD6B46">
              <w:rPr>
                <w:rFonts w:ascii="Verdana" w:eastAsia="Calibri" w:hAnsi="Verdana" w:cs="Arial"/>
                <w:color w:val="000000"/>
              </w:rPr>
              <w:t xml:space="preserve"> estableció la obligación de las Entidades Estatales exceptuadas del Estatuto General de Contratación de la Administración Pública de publicar en el SECOP II –es decir en la plataforma transaccional vigente– su actividad contractual. Así pues, respecto de los documentos que deben publicarse en el SECOP II a efectos de cumplir el mandato consagrado en el artículo 53 de la Ley 2195 de 2022, es preciso advertir que la disposición hace referencia a los documentos relacionados con su actividad contractual, la cual define como “[…] los documentos, contratos, actos e información generada por oferentes, contratista, contratante, supervisor o interventor, tanto en la etapa precontractual, como en la contractual y la </w:t>
            </w:r>
            <w:proofErr w:type="spellStart"/>
            <w:r w:rsidRPr="00AD6B46">
              <w:rPr>
                <w:rFonts w:ascii="Verdana" w:eastAsia="Calibri" w:hAnsi="Verdana" w:cs="Arial"/>
                <w:color w:val="000000"/>
              </w:rPr>
              <w:t>post-contractual</w:t>
            </w:r>
            <w:proofErr w:type="spellEnd"/>
            <w:r w:rsidRPr="00AD6B46">
              <w:rPr>
                <w:rFonts w:ascii="Verdana" w:eastAsia="Calibri" w:hAnsi="Verdana" w:cs="Arial"/>
                <w:color w:val="000000"/>
              </w:rPr>
              <w:t>”.</w:t>
            </w:r>
          </w:p>
          <w:p w14:paraId="23D65557" w14:textId="77777777" w:rsidR="001332E7" w:rsidRDefault="001332E7" w:rsidP="00E50FF1">
            <w:pPr>
              <w:spacing w:after="120" w:line="276" w:lineRule="auto"/>
              <w:ind w:firstLine="709"/>
              <w:jc w:val="both"/>
              <w:rPr>
                <w:rFonts w:ascii="Verdana" w:eastAsia="Calibri" w:hAnsi="Verdana" w:cs="Arial"/>
                <w:color w:val="000000"/>
              </w:rPr>
            </w:pPr>
            <w:r>
              <w:rPr>
                <w:rFonts w:ascii="Verdana" w:eastAsia="Calibri" w:hAnsi="Verdana" w:cs="Arial"/>
                <w:color w:val="000000"/>
              </w:rPr>
              <w:t xml:space="preserve">Por lo tanto, en relación con las actuaciones derivadas de la imposición de multas y sanciones o declaratoria de incumplimiento pactadas en el contrato celebrado, de conformidad con lo dispuesto en el </w:t>
            </w:r>
            <w:r w:rsidRPr="00AD6B46">
              <w:rPr>
                <w:rFonts w:ascii="Verdana" w:eastAsia="Calibri" w:hAnsi="Verdana" w:cs="Arial"/>
                <w:color w:val="000000"/>
              </w:rPr>
              <w:t>artículo 13 de la Ley 1150 de 2007</w:t>
            </w:r>
            <w:r>
              <w:rPr>
                <w:rFonts w:ascii="Verdana" w:eastAsia="Calibri" w:hAnsi="Verdana" w:cs="Arial"/>
                <w:color w:val="000000"/>
              </w:rPr>
              <w:t xml:space="preserve">, deberá registrarse en el SECOP II lo relativo al acto contractual mediante el cual así se definió. </w:t>
            </w:r>
          </w:p>
          <w:p w14:paraId="7094B05C" w14:textId="77777777" w:rsidR="001332E7" w:rsidRDefault="001332E7" w:rsidP="00E50FF1">
            <w:pPr>
              <w:spacing w:after="120" w:line="276" w:lineRule="auto"/>
              <w:ind w:firstLine="709"/>
              <w:jc w:val="both"/>
              <w:rPr>
                <w:rFonts w:ascii="Verdana" w:eastAsia="Calibri" w:hAnsi="Verdana" w:cs="Arial"/>
                <w:color w:val="000000"/>
              </w:rPr>
            </w:pPr>
            <w:r>
              <w:rPr>
                <w:rFonts w:ascii="Verdana" w:eastAsia="Calibri" w:hAnsi="Verdana" w:cs="Arial"/>
                <w:color w:val="000000"/>
              </w:rPr>
              <w:t>Tratándose del reporte ante la Procuraduría General de la Nación, e</w:t>
            </w:r>
            <w:r w:rsidRPr="007B428E">
              <w:rPr>
                <w:rFonts w:ascii="Verdana" w:eastAsia="Calibri" w:hAnsi="Verdana" w:cs="Arial"/>
                <w:color w:val="000000"/>
              </w:rPr>
              <w:t>l numeral 43 del artículo 38 de la Ley 1952 de 2019 establece que es un deber de todo servidor público enviar a la Procuraduría General de la Nación dentro de los cinco (5) días siguientes a la ejecutoria del fallo judicial, administrativo o fiscal, la información que están obligados a remitir sobre</w:t>
            </w:r>
            <w:r>
              <w:rPr>
                <w:rFonts w:ascii="Verdana" w:eastAsia="Calibri" w:hAnsi="Verdana" w:cs="Arial"/>
                <w:color w:val="000000"/>
              </w:rPr>
              <w:t xml:space="preserve"> l</w:t>
            </w:r>
            <w:r w:rsidRPr="007B428E">
              <w:rPr>
                <w:rFonts w:ascii="Verdana" w:eastAsia="Calibri" w:hAnsi="Verdana" w:cs="Arial"/>
                <w:color w:val="000000"/>
              </w:rPr>
              <w:t>as causas de inhabilidad que se deriven de las relaciones contractuales con el Estado</w:t>
            </w:r>
            <w:r>
              <w:rPr>
                <w:rFonts w:ascii="Verdana" w:eastAsia="Calibri" w:hAnsi="Verdana" w:cs="Arial"/>
                <w:color w:val="000000"/>
              </w:rPr>
              <w:t>.</w:t>
            </w:r>
          </w:p>
          <w:p w14:paraId="133EBDC0" w14:textId="77777777" w:rsidR="001332E7" w:rsidRDefault="001332E7" w:rsidP="00E50FF1">
            <w:pPr>
              <w:spacing w:after="120" w:line="276" w:lineRule="auto"/>
              <w:ind w:firstLine="709"/>
              <w:jc w:val="both"/>
              <w:rPr>
                <w:rFonts w:ascii="Verdana" w:eastAsia="Calibri" w:hAnsi="Verdana" w:cs="Arial"/>
                <w:color w:val="000000"/>
              </w:rPr>
            </w:pPr>
            <w:r>
              <w:rPr>
                <w:rFonts w:ascii="Verdana" w:eastAsia="Calibri" w:hAnsi="Verdana" w:cs="Arial"/>
                <w:color w:val="000000"/>
                <w:lang w:eastAsia="es-ES_tradnl"/>
              </w:rPr>
              <w:t xml:space="preserve">De conformidad con lo dispuesto en el </w:t>
            </w:r>
            <w:r w:rsidRPr="001A5876">
              <w:rPr>
                <w:rFonts w:ascii="Verdana" w:eastAsia="Calibri" w:hAnsi="Verdana" w:cs="Arial"/>
                <w:color w:val="000000"/>
                <w:lang w:eastAsia="es-ES_tradnl"/>
              </w:rPr>
              <w:t>artículo 123 de la Constitución</w:t>
            </w:r>
            <w:r>
              <w:rPr>
                <w:rFonts w:ascii="Verdana" w:eastAsia="Calibri" w:hAnsi="Verdana" w:cs="Arial"/>
                <w:color w:val="000000"/>
                <w:lang w:eastAsia="es-ES_tradnl"/>
              </w:rPr>
              <w:t xml:space="preserve"> “</w:t>
            </w:r>
            <w:r w:rsidRPr="001A5876">
              <w:rPr>
                <w:rFonts w:ascii="Verdana" w:eastAsia="Calibri" w:hAnsi="Verdana" w:cs="Arial"/>
                <w:color w:val="000000"/>
                <w:lang w:eastAsia="es-ES_tradnl"/>
              </w:rPr>
              <w:t>son servidores públicos los miembros de las corporaciones públicas, los empleados y trabajadores del Estado y de sus entidades descentralizadas territorialmente y por servicios</w:t>
            </w:r>
            <w:r>
              <w:rPr>
                <w:rFonts w:ascii="Verdana" w:eastAsia="Calibri" w:hAnsi="Verdana" w:cs="Arial"/>
                <w:color w:val="000000"/>
                <w:lang w:eastAsia="es-ES_tradnl"/>
              </w:rPr>
              <w:t>”</w:t>
            </w:r>
            <w:r w:rsidRPr="001A5876">
              <w:rPr>
                <w:rFonts w:ascii="Verdana" w:eastAsia="Calibri" w:hAnsi="Verdana" w:cs="Arial"/>
                <w:color w:val="000000"/>
                <w:lang w:eastAsia="es-ES_tradnl"/>
              </w:rPr>
              <w:t xml:space="preserve">, que </w:t>
            </w:r>
            <w:r>
              <w:rPr>
                <w:rFonts w:ascii="Verdana" w:eastAsia="Calibri" w:hAnsi="Verdana" w:cs="Arial"/>
                <w:color w:val="000000"/>
                <w:lang w:eastAsia="es-ES_tradnl"/>
              </w:rPr>
              <w:t>“</w:t>
            </w:r>
            <w:r w:rsidRPr="001A5876">
              <w:rPr>
                <w:rFonts w:ascii="Verdana" w:eastAsia="Calibri" w:hAnsi="Verdana" w:cs="Arial"/>
                <w:color w:val="000000"/>
                <w:lang w:eastAsia="es-ES_tradnl"/>
              </w:rPr>
              <w:t>están al servicio del Estado y de la comunidad, y ejercen sus funciones en la forma prevista por la Constitución, la ley y el reglamento</w:t>
            </w:r>
            <w:r>
              <w:rPr>
                <w:rFonts w:ascii="Verdana" w:eastAsia="Calibri" w:hAnsi="Verdana" w:cs="Arial"/>
                <w:color w:val="000000"/>
                <w:lang w:eastAsia="es-ES_tradnl"/>
              </w:rPr>
              <w:t>”</w:t>
            </w:r>
            <w:r w:rsidRPr="001A5876">
              <w:rPr>
                <w:rFonts w:ascii="Verdana" w:eastAsia="Calibri" w:hAnsi="Verdana" w:cs="Arial"/>
                <w:color w:val="000000"/>
                <w:lang w:eastAsia="es-ES_tradnl"/>
              </w:rPr>
              <w:t xml:space="preserve">. </w:t>
            </w:r>
            <w:r w:rsidRPr="001A5876">
              <w:rPr>
                <w:rFonts w:ascii="Verdana" w:eastAsia="Calibri" w:hAnsi="Verdana" w:cs="Arial"/>
                <w:color w:val="000000"/>
                <w:lang w:val="es-ES_tradnl" w:eastAsia="es-ES_tradnl"/>
              </w:rPr>
              <w:t xml:space="preserve"> </w:t>
            </w:r>
          </w:p>
          <w:p w14:paraId="690219D5" w14:textId="77777777" w:rsidR="001332E7" w:rsidRDefault="001332E7" w:rsidP="00E50FF1">
            <w:pPr>
              <w:spacing w:after="120" w:line="276" w:lineRule="auto"/>
              <w:ind w:firstLine="709"/>
              <w:jc w:val="both"/>
              <w:rPr>
                <w:rFonts w:ascii="Verdana" w:eastAsia="Calibri" w:hAnsi="Verdana" w:cs="Arial"/>
                <w:color w:val="000000"/>
                <w:lang w:eastAsia="es-ES_tradnl"/>
              </w:rPr>
            </w:pPr>
            <w:r>
              <w:rPr>
                <w:rFonts w:ascii="Verdana" w:eastAsia="Calibri" w:hAnsi="Verdana" w:cs="Arial"/>
                <w:color w:val="000000"/>
                <w:lang w:eastAsia="es-ES_tradnl"/>
              </w:rPr>
              <w:t xml:space="preserve">En ese escenario el </w:t>
            </w:r>
            <w:r w:rsidRPr="001A5876">
              <w:rPr>
                <w:rFonts w:ascii="Verdana" w:eastAsia="Calibri" w:hAnsi="Verdana" w:cs="Arial"/>
                <w:color w:val="000000"/>
                <w:lang w:eastAsia="es-ES_tradnl"/>
              </w:rPr>
              <w:t xml:space="preserve">Constituyente Primario utilizó de forma general el concepto de </w:t>
            </w:r>
            <w:r>
              <w:rPr>
                <w:rFonts w:ascii="Verdana" w:eastAsia="Calibri" w:hAnsi="Verdana" w:cs="Arial"/>
                <w:color w:val="000000"/>
                <w:lang w:eastAsia="es-ES_tradnl"/>
              </w:rPr>
              <w:t>“</w:t>
            </w:r>
            <w:r w:rsidRPr="001A5876">
              <w:rPr>
                <w:rFonts w:ascii="Verdana" w:eastAsia="Calibri" w:hAnsi="Verdana" w:cs="Arial"/>
                <w:color w:val="000000"/>
                <w:lang w:eastAsia="es-ES_tradnl"/>
              </w:rPr>
              <w:t>servidor público</w:t>
            </w:r>
            <w:r>
              <w:rPr>
                <w:rFonts w:ascii="Verdana" w:eastAsia="Calibri" w:hAnsi="Verdana" w:cs="Arial"/>
                <w:color w:val="000000"/>
                <w:lang w:eastAsia="es-ES_tradnl"/>
              </w:rPr>
              <w:t>”</w:t>
            </w:r>
            <w:r w:rsidRPr="001A5876">
              <w:rPr>
                <w:rFonts w:ascii="Verdana" w:eastAsia="Calibri" w:hAnsi="Verdana" w:cs="Arial"/>
                <w:color w:val="000000"/>
                <w:lang w:eastAsia="es-ES_tradnl"/>
              </w:rPr>
              <w:t xml:space="preserve"> para comprender a todas las personas naturales que tienen una relación laboral con el Estado, y trabajan a su servicio para efectos de asegurar el cumplimiento de sus fines constitucionales.</w:t>
            </w:r>
          </w:p>
          <w:p w14:paraId="10A5EB3B" w14:textId="77777777" w:rsidR="001332E7" w:rsidRDefault="001332E7" w:rsidP="00E50FF1">
            <w:pPr>
              <w:spacing w:after="120" w:line="276" w:lineRule="auto"/>
              <w:ind w:firstLine="709"/>
              <w:jc w:val="both"/>
              <w:rPr>
                <w:rFonts w:ascii="Verdana" w:eastAsia="Calibri" w:hAnsi="Verdana" w:cs="Arial"/>
                <w:color w:val="000000"/>
                <w:lang w:eastAsia="es-ES_tradnl"/>
              </w:rPr>
            </w:pPr>
            <w:r>
              <w:rPr>
                <w:rFonts w:ascii="Verdana" w:eastAsia="Calibri" w:hAnsi="Verdana" w:cs="Arial"/>
                <w:color w:val="000000"/>
                <w:lang w:eastAsia="es-ES_tradnl"/>
              </w:rPr>
              <w:t xml:space="preserve">La calidad de servidor público tiene a su vez </w:t>
            </w:r>
            <w:r w:rsidRPr="001A5876">
              <w:rPr>
                <w:rFonts w:ascii="Verdana" w:eastAsia="Calibri" w:hAnsi="Verdana" w:cs="Arial"/>
                <w:color w:val="000000"/>
                <w:lang w:eastAsia="es-ES_tradnl"/>
              </w:rPr>
              <w:t xml:space="preserve">diversas formas de vinculación o de relación laboral entre </w:t>
            </w:r>
            <w:r>
              <w:rPr>
                <w:rFonts w:ascii="Verdana" w:eastAsia="Calibri" w:hAnsi="Verdana" w:cs="Arial"/>
                <w:color w:val="000000"/>
                <w:lang w:eastAsia="es-ES_tradnl"/>
              </w:rPr>
              <w:t>las personas naturales</w:t>
            </w:r>
            <w:r w:rsidRPr="001A5876">
              <w:rPr>
                <w:rFonts w:ascii="Verdana" w:eastAsia="Calibri" w:hAnsi="Verdana" w:cs="Arial"/>
                <w:color w:val="000000"/>
                <w:lang w:eastAsia="es-ES_tradnl"/>
              </w:rPr>
              <w:t xml:space="preserve"> y la Administración Pública tradicionalmente acogida por la legislación, la jurisprudencia y la doctrina comprende</w:t>
            </w:r>
            <w:r>
              <w:rPr>
                <w:rFonts w:ascii="Verdana" w:eastAsia="Calibri" w:hAnsi="Verdana" w:cs="Arial"/>
                <w:color w:val="000000"/>
                <w:lang w:eastAsia="es-ES_tradnl"/>
              </w:rPr>
              <w:t>, a saber</w:t>
            </w:r>
            <w:r w:rsidRPr="001A5876">
              <w:rPr>
                <w:rFonts w:ascii="Verdana" w:eastAsia="Calibri" w:hAnsi="Verdana" w:cs="Arial"/>
                <w:color w:val="000000"/>
                <w:lang w:eastAsia="es-ES_tradnl"/>
              </w:rPr>
              <w:t>: (i) los empleados públicos y (</w:t>
            </w:r>
            <w:proofErr w:type="spellStart"/>
            <w:r w:rsidRPr="001A5876">
              <w:rPr>
                <w:rFonts w:ascii="Verdana" w:eastAsia="Calibri" w:hAnsi="Verdana" w:cs="Arial"/>
                <w:color w:val="000000"/>
                <w:lang w:eastAsia="es-ES_tradnl"/>
              </w:rPr>
              <w:t>ii</w:t>
            </w:r>
            <w:proofErr w:type="spellEnd"/>
            <w:r w:rsidRPr="001A5876">
              <w:rPr>
                <w:rFonts w:ascii="Verdana" w:eastAsia="Calibri" w:hAnsi="Verdana" w:cs="Arial"/>
                <w:color w:val="000000"/>
                <w:lang w:eastAsia="es-ES_tradnl"/>
              </w:rPr>
              <w:t>) los trabajadores oficiales</w:t>
            </w:r>
            <w:r>
              <w:rPr>
                <w:rFonts w:ascii="Verdana" w:eastAsia="Calibri" w:hAnsi="Verdana" w:cs="Arial"/>
                <w:color w:val="000000"/>
                <w:lang w:eastAsia="es-ES_tradnl"/>
              </w:rPr>
              <w:t xml:space="preserve">. Los </w:t>
            </w:r>
            <w:r w:rsidRPr="001A5876">
              <w:rPr>
                <w:rFonts w:ascii="Verdana" w:eastAsia="Calibri" w:hAnsi="Verdana" w:cs="Arial"/>
                <w:color w:val="000000"/>
                <w:lang w:eastAsia="es-ES_tradnl"/>
              </w:rPr>
              <w:t>empleados públicos son las personas naturales vinculadas a la administración pública en virtud de una relación legal y reglamentaria, es decir, a través de un acto administrativo de nombramiento, mientras que los trabajadores oficiales lo son a través de un contrato de trabajo. Estos últimos, por regla general, constituyen el personal que labora en las entidades descentralizadas y desconcentradas por servicios o por colaboración, tales como sociedades de economía mixta y empresas industriales y comerciales del Estado,</w:t>
            </w:r>
            <w:r>
              <w:rPr>
                <w:rFonts w:ascii="Verdana" w:eastAsia="Calibri" w:hAnsi="Verdana" w:cs="Arial"/>
                <w:color w:val="000000"/>
                <w:lang w:eastAsia="es-ES_tradnl"/>
              </w:rPr>
              <w:t xml:space="preserve"> sin embargo, debe advertirse que la clasificación enunciada se encuentra dentro del género servidor público.</w:t>
            </w:r>
          </w:p>
          <w:p w14:paraId="483DEAA9" w14:textId="77777777" w:rsidR="001332E7" w:rsidRDefault="001332E7" w:rsidP="00E50FF1">
            <w:pPr>
              <w:spacing w:after="120" w:line="276" w:lineRule="auto"/>
              <w:ind w:firstLine="709"/>
              <w:jc w:val="both"/>
              <w:rPr>
                <w:rFonts w:ascii="Verdana" w:eastAsia="Calibri" w:hAnsi="Verdana" w:cs="Arial"/>
                <w:color w:val="000000"/>
                <w:lang w:eastAsia="es-ES_tradnl"/>
              </w:rPr>
            </w:pPr>
            <w:r>
              <w:rPr>
                <w:rFonts w:ascii="Verdana" w:eastAsia="Calibri" w:hAnsi="Verdana" w:cs="Arial"/>
                <w:color w:val="000000"/>
                <w:lang w:eastAsia="es-ES_tradnl"/>
              </w:rPr>
              <w:t xml:space="preserve">De acuerdo con lo anterior y de conformidad con lo dispuesto en </w:t>
            </w:r>
            <w:r w:rsidRPr="002B17CD">
              <w:rPr>
                <w:rFonts w:ascii="Verdana" w:eastAsia="Calibri" w:hAnsi="Verdana" w:cs="Arial"/>
                <w:color w:val="000000"/>
                <w:lang w:eastAsia="es-ES_tradnl"/>
              </w:rPr>
              <w:t>la Resolución 461 de 2016 de la Procuraduría General de la Nación</w:t>
            </w:r>
            <w:r>
              <w:rPr>
                <w:rFonts w:ascii="Verdana" w:eastAsia="Calibri" w:hAnsi="Verdana" w:cs="Arial"/>
                <w:color w:val="000000"/>
                <w:lang w:eastAsia="es-ES_tradnl"/>
              </w:rPr>
              <w:t>,</w:t>
            </w:r>
            <w:r w:rsidRPr="002B17CD">
              <w:rPr>
                <w:rFonts w:ascii="Verdana" w:eastAsia="Calibri" w:hAnsi="Verdana" w:cs="Arial"/>
                <w:color w:val="000000"/>
                <w:lang w:eastAsia="es-ES_tradnl"/>
              </w:rPr>
              <w:t xml:space="preserve"> serán objeto de registro</w:t>
            </w:r>
            <w:r>
              <w:rPr>
                <w:rFonts w:ascii="Verdana" w:eastAsia="Calibri" w:hAnsi="Verdana" w:cs="Arial"/>
                <w:color w:val="000000"/>
                <w:lang w:eastAsia="es-ES_tradnl"/>
              </w:rPr>
              <w:t xml:space="preserve"> </w:t>
            </w:r>
            <w:r w:rsidRPr="002B17CD">
              <w:rPr>
                <w:rFonts w:ascii="Verdana" w:eastAsia="Calibri" w:hAnsi="Verdana" w:cs="Arial"/>
                <w:color w:val="000000"/>
                <w:lang w:eastAsia="es-ES_tradnl"/>
              </w:rPr>
              <w:t>las inhabilidades</w:t>
            </w:r>
            <w:r>
              <w:rPr>
                <w:rFonts w:ascii="Verdana" w:eastAsia="Calibri" w:hAnsi="Verdana" w:cs="Arial"/>
                <w:color w:val="000000"/>
                <w:lang w:eastAsia="es-ES_tradnl"/>
              </w:rPr>
              <w:t xml:space="preserve"> por parte de los representantes legales o secretarios generales de las entidades del Estado de todos los niveles,</w:t>
            </w:r>
            <w:r w:rsidRPr="002B17CD">
              <w:rPr>
                <w:rFonts w:ascii="Verdana" w:eastAsia="Calibri" w:hAnsi="Verdana" w:cs="Arial"/>
                <w:color w:val="000000"/>
                <w:lang w:eastAsia="es-ES_tradnl"/>
              </w:rPr>
              <w:t xml:space="preserve"> que se deriven de las relaciones contractuales con el Estado</w:t>
            </w:r>
            <w:r>
              <w:rPr>
                <w:rFonts w:ascii="Verdana" w:eastAsia="Calibri" w:hAnsi="Verdana" w:cs="Arial"/>
                <w:color w:val="000000"/>
                <w:lang w:eastAsia="es-ES_tradnl"/>
              </w:rPr>
              <w:t>, con ocasión de la imposición de sanciones en general pactadas dentro de los negocios jurídicos celebrados.</w:t>
            </w:r>
          </w:p>
          <w:p w14:paraId="0A602007" w14:textId="77777777" w:rsidR="001332E7" w:rsidRPr="003315F2" w:rsidRDefault="001332E7" w:rsidP="00E50FF1">
            <w:pPr>
              <w:spacing w:after="120" w:line="276" w:lineRule="auto"/>
              <w:ind w:firstLine="709"/>
              <w:jc w:val="both"/>
              <w:rPr>
                <w:rFonts w:ascii="Verdana" w:eastAsia="Calibri" w:hAnsi="Verdana" w:cs="Arial"/>
                <w:color w:val="000000"/>
                <w:lang w:eastAsia="es-ES_tradnl"/>
              </w:rPr>
            </w:pPr>
            <w:r>
              <w:rPr>
                <w:rFonts w:ascii="Verdana" w:eastAsia="Calibri" w:hAnsi="Verdana" w:cs="Arial"/>
                <w:color w:val="000000"/>
              </w:rPr>
              <w:t xml:space="preserve">Por último, respecto del registro ante la Cámara de Comercio, </w:t>
            </w:r>
            <w:r>
              <w:rPr>
                <w:rFonts w:ascii="Verdana" w:eastAsia="Calibri" w:hAnsi="Verdana" w:cs="Arial"/>
                <w:color w:val="000000" w:themeColor="text1"/>
                <w:lang w:val="es-ES_tradnl"/>
              </w:rPr>
              <w:t>las entidades exceptuadas de la Ley 80 de 1993 tienen el deber de</w:t>
            </w:r>
            <w:r w:rsidRPr="0049736A">
              <w:rPr>
                <w:rFonts w:ascii="Verdana" w:eastAsia="Calibri" w:hAnsi="Verdana" w:cs="Arial"/>
                <w:color w:val="000000" w:themeColor="text1"/>
                <w:lang w:val="es-ES_tradnl"/>
              </w:rPr>
              <w:t xml:space="preserve"> </w:t>
            </w:r>
            <w:r>
              <w:rPr>
                <w:rFonts w:ascii="Verdana" w:eastAsia="Calibri" w:hAnsi="Verdana" w:cs="Arial"/>
                <w:color w:val="000000" w:themeColor="text1"/>
                <w:lang w:val="es-ES_tradnl"/>
              </w:rPr>
              <w:t xml:space="preserve">“[…] </w:t>
            </w:r>
            <w:r w:rsidRPr="0049736A">
              <w:rPr>
                <w:rFonts w:ascii="Verdana" w:eastAsia="Calibri" w:hAnsi="Verdana" w:cs="Arial"/>
                <w:color w:val="000000" w:themeColor="text1"/>
                <w:lang w:val="es-ES_tradnl"/>
              </w:rPr>
              <w:t>efectuar reportes derivados de decisiones relacionadas con presuntos incumplimientos contractuales</w:t>
            </w:r>
            <w:r>
              <w:rPr>
                <w:rFonts w:ascii="Verdana" w:eastAsia="Calibri" w:hAnsi="Verdana" w:cs="Arial"/>
                <w:color w:val="000000" w:themeColor="text1"/>
                <w:lang w:val="es-ES_tradnl"/>
              </w:rPr>
              <w:t xml:space="preserve"> […]”, entre otros casos, cuando la ausencia de ejecución, la ejecución defectuosa o tardía de la prestación conducen a la declaración de terminación anticipada, multas o cláusula penal pecuniaria</w:t>
            </w:r>
            <w:r w:rsidRPr="0049736A">
              <w:rPr>
                <w:rFonts w:ascii="Verdana" w:eastAsia="Calibri" w:hAnsi="Verdana" w:cs="Arial"/>
                <w:color w:val="000000" w:themeColor="text1"/>
                <w:lang w:val="es-ES_tradnl"/>
              </w:rPr>
              <w:t>.</w:t>
            </w:r>
            <w:r>
              <w:rPr>
                <w:rFonts w:ascii="Verdana" w:eastAsia="Calibri" w:hAnsi="Verdana" w:cs="Arial"/>
                <w:color w:val="000000" w:themeColor="text1"/>
                <w:lang w:val="es-ES_tradnl"/>
              </w:rPr>
              <w:t xml:space="preserve"> Conforme al numeral 7 de la citada guía, la Agencia establece el alcance de la “</w:t>
            </w:r>
            <w:r w:rsidRPr="00945311">
              <w:rPr>
                <w:rFonts w:ascii="Verdana" w:eastAsia="Calibri" w:hAnsi="Verdana" w:cs="Arial"/>
                <w:color w:val="000000" w:themeColor="text1"/>
                <w:lang w:val="es-ES_tradnl"/>
              </w:rPr>
              <w:t>Aplicabilidad de sanciones y cláusulas</w:t>
            </w:r>
            <w:r>
              <w:rPr>
                <w:rFonts w:ascii="Verdana" w:eastAsia="Calibri" w:hAnsi="Verdana" w:cs="Arial"/>
                <w:color w:val="000000" w:themeColor="text1"/>
                <w:lang w:val="es-ES_tradnl"/>
              </w:rPr>
              <w:t xml:space="preserve"> </w:t>
            </w:r>
            <w:r w:rsidRPr="00945311">
              <w:rPr>
                <w:rFonts w:ascii="Verdana" w:eastAsia="Calibri" w:hAnsi="Verdana" w:cs="Arial"/>
                <w:color w:val="000000" w:themeColor="text1"/>
                <w:lang w:val="es-ES_tradnl"/>
              </w:rPr>
              <w:t>de ejercicio unilateral por parte de las</w:t>
            </w:r>
            <w:r>
              <w:rPr>
                <w:rFonts w:ascii="Verdana" w:eastAsia="Calibri" w:hAnsi="Verdana" w:cs="Arial"/>
                <w:color w:val="000000" w:themeColor="text1"/>
                <w:lang w:val="es-ES_tradnl"/>
              </w:rPr>
              <w:t xml:space="preserve"> </w:t>
            </w:r>
            <w:r w:rsidRPr="00945311">
              <w:rPr>
                <w:rFonts w:ascii="Verdana" w:eastAsia="Calibri" w:hAnsi="Verdana" w:cs="Arial"/>
                <w:color w:val="000000" w:themeColor="text1"/>
                <w:lang w:val="es-ES_tradnl"/>
              </w:rPr>
              <w:t>Entidades Estatales con régimen especial</w:t>
            </w:r>
            <w:r>
              <w:rPr>
                <w:rFonts w:ascii="Verdana" w:eastAsia="Calibri" w:hAnsi="Verdana" w:cs="Arial"/>
                <w:color w:val="000000" w:themeColor="text1"/>
                <w:lang w:val="es-ES_tradnl"/>
              </w:rPr>
              <w:t xml:space="preserve"> </w:t>
            </w:r>
            <w:r w:rsidRPr="00945311">
              <w:rPr>
                <w:rFonts w:ascii="Verdana" w:eastAsia="Calibri" w:hAnsi="Verdana" w:cs="Arial"/>
                <w:color w:val="000000" w:themeColor="text1"/>
                <w:lang w:val="es-ES_tradnl"/>
              </w:rPr>
              <w:t>de contratación</w:t>
            </w:r>
            <w:r>
              <w:rPr>
                <w:rFonts w:ascii="Verdana" w:eastAsia="Calibri" w:hAnsi="Verdana" w:cs="Arial"/>
                <w:color w:val="000000" w:themeColor="text1"/>
                <w:lang w:val="es-ES_tradnl"/>
              </w:rPr>
              <w:t>”.</w:t>
            </w:r>
          </w:p>
          <w:p w14:paraId="24B95CB9" w14:textId="77777777" w:rsidR="001332E7" w:rsidRDefault="001332E7" w:rsidP="00E50FF1">
            <w:pPr>
              <w:spacing w:after="120" w:line="276" w:lineRule="auto"/>
              <w:jc w:val="both"/>
              <w:rPr>
                <w:rFonts w:ascii="Verdana" w:eastAsia="Calibri" w:hAnsi="Verdana" w:cs="Arial"/>
                <w:color w:val="000000" w:themeColor="text1"/>
                <w:lang w:val="es-ES"/>
              </w:rPr>
            </w:pPr>
            <w:r>
              <w:rPr>
                <w:rFonts w:ascii="Verdana" w:eastAsia="Calibri" w:hAnsi="Verdana" w:cs="Arial"/>
                <w:color w:val="000000" w:themeColor="text1"/>
                <w:lang w:val="es-ES_tradnl"/>
              </w:rPr>
              <w:tab/>
            </w:r>
            <w:r w:rsidRPr="5DFC3BC8">
              <w:rPr>
                <w:rFonts w:ascii="Verdana" w:eastAsia="Calibri" w:hAnsi="Verdana" w:cs="Arial"/>
                <w:color w:val="000000" w:themeColor="text1"/>
                <w:lang w:val="es-ES"/>
              </w:rPr>
              <w:t>La Circular 002 de 2026 no se refiere al reporte por ejemplo de las decisiones contractuales mediante las cuales la entidad determina la ocurrencia de un siniestro derivado de un presunto incumplimiento contractual, con fines de efectividad de garantías y reclamación ante la aseguradora. Activar las garantías, por ejemplo, supone previamente la expedición de certificados, actas o documentos equivalentes donde, además de constar el ejercicio del derecho de defensa y contradicción por parte del afectado, acreditan la imposición de las sanciones pactadas en el negocio jurídico, las cuales sirven de fundamento para la reclamación posterior. Esta es la información objeto de reporte, la cual deberá constituirse en las condiciones que defina el manual de contratación de la entidad para su traslado a la cámara de comercio.</w:t>
            </w:r>
          </w:p>
          <w:p w14:paraId="7626F72D" w14:textId="77777777" w:rsidR="001332E7" w:rsidRPr="003315F2" w:rsidRDefault="001332E7" w:rsidP="00E50FF1">
            <w:pPr>
              <w:spacing w:after="120" w:line="276" w:lineRule="auto"/>
              <w:ind w:firstLine="709"/>
              <w:jc w:val="both"/>
              <w:rPr>
                <w:rFonts w:ascii="Verdana" w:eastAsia="Calibri" w:hAnsi="Verdana" w:cs="Arial"/>
                <w:color w:val="000000" w:themeColor="text1"/>
                <w:lang w:val="es-ES_tradnl"/>
              </w:rPr>
            </w:pP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tc>
      </w:tr>
    </w:tbl>
    <w:p w14:paraId="2FD13ADA" w14:textId="77777777" w:rsidR="001332E7" w:rsidRDefault="001332E7" w:rsidP="001332E7">
      <w:pPr>
        <w:tabs>
          <w:tab w:val="left" w:pos="142"/>
          <w:tab w:val="left" w:pos="284"/>
        </w:tabs>
        <w:spacing w:after="0" w:line="276" w:lineRule="auto"/>
        <w:jc w:val="both"/>
        <w:rPr>
          <w:rFonts w:ascii="Verdana" w:eastAsia="Century Gothic" w:hAnsi="Verdana" w:cs="Century Gothic"/>
          <w:b/>
          <w:bCs/>
        </w:rPr>
      </w:pPr>
    </w:p>
    <w:p w14:paraId="0152C387" w14:textId="77777777" w:rsidR="00A37303" w:rsidRDefault="001332E7" w:rsidP="00A37303">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1A45C225" w14:textId="1D592E52" w:rsidR="001332E7" w:rsidRPr="00A37303" w:rsidRDefault="001332E7" w:rsidP="00A37303">
      <w:pPr>
        <w:tabs>
          <w:tab w:val="left" w:pos="142"/>
          <w:tab w:val="left" w:pos="284"/>
        </w:tabs>
        <w:spacing w:after="0" w:line="276" w:lineRule="auto"/>
        <w:jc w:val="both"/>
        <w:rPr>
          <w:rFonts w:ascii="Verdana" w:eastAsia="Century Gothic" w:hAnsi="Verdana" w:cs="Century Gothic"/>
          <w:b/>
          <w:bCs/>
        </w:rPr>
      </w:pPr>
      <w:r w:rsidRPr="005644FE">
        <w:rPr>
          <w:rFonts w:ascii="Verdana" w:eastAsia="Calibri" w:hAnsi="Verdana" w:cs="Arial"/>
        </w:rPr>
        <w:t>Lo anterior se sustenta en las siguientes consideraciones:</w:t>
      </w:r>
    </w:p>
    <w:p w14:paraId="50922AED" w14:textId="77777777" w:rsidR="00A37303" w:rsidRDefault="00A37303" w:rsidP="00A37303">
      <w:pPr>
        <w:spacing w:after="0" w:line="240" w:lineRule="auto"/>
        <w:jc w:val="both"/>
        <w:rPr>
          <w:rFonts w:ascii="Verdana" w:hAnsi="Verdana" w:cs="Arial"/>
          <w:lang w:val="es-ES_tradnl"/>
        </w:rPr>
      </w:pPr>
    </w:p>
    <w:p w14:paraId="0135B793" w14:textId="53070D32" w:rsidR="001332E7" w:rsidRPr="00817382" w:rsidRDefault="001332E7" w:rsidP="001332E7">
      <w:pPr>
        <w:spacing w:after="120" w:line="276" w:lineRule="auto"/>
        <w:jc w:val="both"/>
        <w:rPr>
          <w:rFonts w:ascii="Verdana" w:hAnsi="Verdana" w:cs="Arial"/>
          <w:lang w:val="es-ES_tradnl"/>
        </w:rPr>
      </w:pPr>
      <w:r w:rsidRPr="00817382">
        <w:rPr>
          <w:rFonts w:ascii="Verdana" w:hAnsi="Verdana" w:cs="Arial"/>
          <w:lang w:val="es-ES_tradnl"/>
        </w:rPr>
        <w:t xml:space="preserve">De acuerdo con el inciso final del artículo 150 superior, corresponde al Congreso de la República expedir el Estatuto General de Contratación de la Administración Pública y, en especial, de la Administración Nacional. Esta competencia fue ejercida con la expedición de la Ley 80 de 1993, la cual rige para las </w:t>
      </w:r>
      <w:r w:rsidRPr="00817382">
        <w:rPr>
          <w:rFonts w:ascii="Verdana" w:hAnsi="Verdana" w:cs="Arial"/>
          <w:i/>
          <w:iCs/>
          <w:lang w:val="es-ES_tradnl"/>
        </w:rPr>
        <w:t>entidades estatales</w:t>
      </w:r>
      <w:r w:rsidRPr="00817382">
        <w:rPr>
          <w:rFonts w:ascii="Verdana" w:hAnsi="Verdana" w:cs="Arial"/>
          <w:lang w:val="es-ES_tradnl"/>
        </w:rPr>
        <w:t xml:space="preserve">, esto es, aquellas previstas en los literales a) y b) del numeral 1 del artículo 2 </w:t>
      </w:r>
      <w:r w:rsidRPr="00817382">
        <w:rPr>
          <w:rFonts w:ascii="Verdana" w:hAnsi="Verdana" w:cs="Arial"/>
          <w:i/>
          <w:iCs/>
          <w:lang w:val="es-ES_tradnl"/>
        </w:rPr>
        <w:t>ibidem</w:t>
      </w:r>
      <w:r w:rsidRPr="00817382">
        <w:rPr>
          <w:rFonts w:ascii="Verdana" w:hAnsi="Verdana" w:cs="Arial"/>
          <w:lang w:val="es-ES_tradnl"/>
        </w:rPr>
        <w:t xml:space="preserve">. La norma citada define la competencia contractual en los siguientes términos: </w:t>
      </w:r>
    </w:p>
    <w:p w14:paraId="04D02360" w14:textId="77777777" w:rsidR="001332E7" w:rsidRPr="00817382" w:rsidRDefault="001332E7" w:rsidP="001332E7">
      <w:pPr>
        <w:spacing w:after="120" w:line="276" w:lineRule="auto"/>
        <w:ind w:firstLine="709"/>
        <w:jc w:val="both"/>
        <w:rPr>
          <w:rFonts w:ascii="Verdana" w:hAnsi="Verdana" w:cs="Arial"/>
          <w:lang w:val="es-ES_tradnl"/>
        </w:rPr>
      </w:pPr>
      <w:r w:rsidRPr="00817382">
        <w:rPr>
          <w:rFonts w:ascii="Verdana" w:hAnsi="Verdana" w:cs="Arial"/>
          <w:lang w:val="es-ES_tradnl"/>
        </w:rPr>
        <w:t xml:space="preserve">El literal a) aplica a las entidades con personería jurídica. Alude 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w:t>
      </w:r>
    </w:p>
    <w:p w14:paraId="3FE9CA5B" w14:textId="77777777" w:rsidR="001332E7" w:rsidRPr="00817382" w:rsidRDefault="001332E7" w:rsidP="001332E7">
      <w:pPr>
        <w:spacing w:after="120" w:line="276" w:lineRule="auto"/>
        <w:ind w:firstLine="709"/>
        <w:jc w:val="both"/>
        <w:rPr>
          <w:rFonts w:ascii="Verdana" w:hAnsi="Verdana" w:cs="Arial"/>
          <w:lang w:val="es-ES_tradnl"/>
        </w:rPr>
      </w:pPr>
      <w:r w:rsidRPr="00817382">
        <w:rPr>
          <w:rFonts w:ascii="Verdana" w:hAnsi="Verdana" w:cs="Arial"/>
          <w:lang w:val="es-ES_tradnl"/>
        </w:rPr>
        <w:t>En contraste, el literal b) rige para las autoridades que carecen de personería, pero a las que el ordenamiento les otorga “capacidad” para celebrar contratos. Estas entidades son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 De acuerdo con el artículo 352 superior, este último apartado debe armonizarse con el artículo 110 del Decreto 111 de 1996, modificado por el artículo 124 de la Ley 1957 de 2019</w:t>
      </w:r>
      <w:r w:rsidRPr="00817382">
        <w:rPr>
          <w:rStyle w:val="Refdenotaalpie"/>
          <w:rFonts w:ascii="Verdana" w:hAnsi="Verdana" w:cs="Arial"/>
          <w:lang w:val="es-ES_tradnl"/>
        </w:rPr>
        <w:footnoteReference w:id="2"/>
      </w:r>
      <w:r w:rsidRPr="00817382">
        <w:rPr>
          <w:rFonts w:ascii="Verdana" w:hAnsi="Verdana" w:cs="Arial"/>
          <w:lang w:val="es-ES_tradnl"/>
        </w:rPr>
        <w:t xml:space="preserve">. </w:t>
      </w:r>
    </w:p>
    <w:p w14:paraId="0704D80A" w14:textId="77777777" w:rsidR="001332E7" w:rsidRDefault="001332E7" w:rsidP="001332E7">
      <w:pPr>
        <w:tabs>
          <w:tab w:val="left" w:pos="709"/>
        </w:tabs>
        <w:spacing w:after="120" w:line="276" w:lineRule="auto"/>
        <w:jc w:val="both"/>
        <w:rPr>
          <w:rFonts w:ascii="Verdana" w:hAnsi="Verdana" w:cs="Arial"/>
          <w:bCs/>
          <w:lang w:val="es-ES_tradnl"/>
        </w:rPr>
      </w:pPr>
      <w:r>
        <w:rPr>
          <w:rFonts w:ascii="Verdana" w:hAnsi="Verdana" w:cs="Arial"/>
          <w:lang w:val="es-ES_tradnl"/>
        </w:rPr>
        <w:tab/>
      </w:r>
      <w:r w:rsidRPr="00817382">
        <w:rPr>
          <w:rFonts w:ascii="Verdana" w:hAnsi="Verdana" w:cs="Arial"/>
          <w:lang w:val="es-ES_tradnl"/>
        </w:rPr>
        <w:t xml:space="preserve">Para las entidades de los párrafos anteriores, sin perjuicio de las excepciones puntales a la aplicación del EGCAP, los procesos de selección se rigen por el artículo 2 de la Ley 1150 de 2007. El </w:t>
      </w:r>
      <w:r w:rsidRPr="00817382">
        <w:rPr>
          <w:rFonts w:ascii="Verdana" w:hAnsi="Verdana" w:cs="Arial"/>
          <w:bCs/>
          <w:lang w:val="es-ES_tradnl"/>
        </w:rPr>
        <w:t xml:space="preserve">numeral uno, inciso primero, dispone que “La escogencia del contratista se efectuará por </w:t>
      </w:r>
      <w:r w:rsidRPr="00817382">
        <w:rPr>
          <w:rFonts w:ascii="Verdana" w:hAnsi="Verdana" w:cs="Arial"/>
          <w:bCs/>
          <w:i/>
          <w:iCs/>
          <w:lang w:val="es-ES_tradnl"/>
        </w:rPr>
        <w:t>regla general</w:t>
      </w:r>
      <w:r w:rsidRPr="00817382">
        <w:rPr>
          <w:rFonts w:ascii="Verdana" w:hAnsi="Verdana" w:cs="Arial"/>
          <w:bCs/>
          <w:lang w:val="es-ES_tradnl"/>
        </w:rPr>
        <w:t xml:space="preserve"> a través de licitación pública, con las </w:t>
      </w:r>
      <w:r w:rsidRPr="00817382">
        <w:rPr>
          <w:rFonts w:ascii="Verdana" w:hAnsi="Verdana" w:cs="Arial"/>
          <w:bCs/>
          <w:i/>
          <w:iCs/>
          <w:lang w:val="es-ES_tradnl"/>
        </w:rPr>
        <w:t>excepciones</w:t>
      </w:r>
      <w:r w:rsidRPr="00817382">
        <w:rPr>
          <w:rFonts w:ascii="Verdana" w:hAnsi="Verdana" w:cs="Arial"/>
          <w:bCs/>
          <w:lang w:val="es-ES_tradnl"/>
        </w:rPr>
        <w:t xml:space="preserve"> que se señalan en los numerales 2, 3 y 4 del presente artículo” (Énfasis fuera de texto), norma que sustituye el derogado numeral 1 del artículo 24 de la Ley 80 de 1993 sobre el principio de transparencia</w:t>
      </w:r>
      <w:r w:rsidRPr="00817382">
        <w:rPr>
          <w:rFonts w:ascii="Verdana" w:hAnsi="Verdana" w:cs="Arial"/>
          <w:bCs/>
          <w:vertAlign w:val="superscript"/>
          <w:lang w:val="es-ES_tradnl"/>
        </w:rPr>
        <w:footnoteReference w:id="3"/>
      </w:r>
      <w:r w:rsidRPr="00817382">
        <w:rPr>
          <w:rFonts w:ascii="Verdana" w:hAnsi="Verdana" w:cs="Arial"/>
          <w:bCs/>
          <w:lang w:val="es-ES_tradnl"/>
        </w:rPr>
        <w:t>. En este contexto, salvo norma especial que ordene la celebración del negocio jurídico por selección abreviada, concurso de méritos, mínima cuantía o contratación directa, debe aplicarse la regla general de licitación pública</w:t>
      </w:r>
      <w:r w:rsidRPr="00817382">
        <w:rPr>
          <w:rFonts w:ascii="Verdana" w:hAnsi="Verdana" w:cs="Arial"/>
          <w:bCs/>
          <w:vertAlign w:val="superscript"/>
          <w:lang w:val="es-ES_tradnl"/>
        </w:rPr>
        <w:footnoteReference w:id="4"/>
      </w:r>
      <w:r w:rsidRPr="00817382">
        <w:rPr>
          <w:rFonts w:ascii="Verdana" w:hAnsi="Verdana" w:cs="Arial"/>
          <w:bCs/>
          <w:lang w:val="es-ES_tradnl"/>
        </w:rPr>
        <w:t>.</w:t>
      </w:r>
    </w:p>
    <w:p w14:paraId="5FE0BD17" w14:textId="77777777" w:rsidR="001332E7" w:rsidRPr="00817382" w:rsidRDefault="001332E7" w:rsidP="001332E7">
      <w:pPr>
        <w:tabs>
          <w:tab w:val="left" w:pos="709"/>
        </w:tabs>
        <w:spacing w:after="120" w:line="276" w:lineRule="auto"/>
        <w:ind w:firstLine="709"/>
        <w:jc w:val="both"/>
        <w:rPr>
          <w:rFonts w:ascii="Verdana" w:hAnsi="Verdana" w:cs="Arial"/>
          <w:bCs/>
          <w:lang w:val="es-ES_tradnl"/>
        </w:rPr>
      </w:pPr>
      <w:r>
        <w:rPr>
          <w:rFonts w:ascii="Verdana" w:hAnsi="Verdana" w:cs="Arial"/>
          <w:bCs/>
          <w:lang w:val="es-ES_tradnl"/>
        </w:rPr>
        <w:t>N</w:t>
      </w:r>
      <w:r w:rsidRPr="00817382">
        <w:rPr>
          <w:rFonts w:ascii="Verdana" w:hAnsi="Verdana" w:cs="Arial"/>
          <w:bCs/>
          <w:lang w:val="es-ES_tradnl"/>
        </w:rPr>
        <w:t xml:space="preserve">o resulta extraño que el sistema de compras públicas se apoye en normas de derecho civil y comercial, ya que la figura del contrato es transversal a todo el ordenamiento jurídico. Respecto a las </w:t>
      </w:r>
      <w:r w:rsidRPr="00817382">
        <w:rPr>
          <w:rFonts w:ascii="Verdana" w:hAnsi="Verdana" w:cs="Arial"/>
          <w:bCs/>
          <w:i/>
          <w:iCs/>
          <w:lang w:val="es-ES_tradnl"/>
        </w:rPr>
        <w:t>entidades sometidas a la Ley 80 de 1993</w:t>
      </w:r>
      <w:r w:rsidRPr="00817382">
        <w:rPr>
          <w:rFonts w:ascii="Verdana" w:hAnsi="Verdana" w:cs="Arial"/>
          <w:bCs/>
          <w:lang w:val="es-ES_tradnl"/>
        </w:rPr>
        <w:t>, el inciso primero del artículo 13 dispone que “Los contratos que celebren las entidades a que se refiere el artículo 2o. del presente estatuto se regirán por las disposiciones comerciales y civiles pertinentes, salvo en las materias particularmente reguladas en esta ley”. Dicha idea también se reitera en el EGCAP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y que “Las estipulaciones de los contratos serán las que de acuerdo con las normas civiles, comerciales y las previstas en esta ley, correspondan a su esencia y naturaleza” –art. 40, inciso primero–.</w:t>
      </w:r>
    </w:p>
    <w:p w14:paraId="4BC303CE" w14:textId="77777777" w:rsidR="001332E7" w:rsidRPr="00817382" w:rsidRDefault="001332E7" w:rsidP="001332E7">
      <w:pPr>
        <w:spacing w:after="120" w:line="276" w:lineRule="auto"/>
        <w:ind w:firstLine="709"/>
        <w:jc w:val="both"/>
        <w:rPr>
          <w:rFonts w:ascii="Verdana" w:hAnsi="Verdana" w:cs="Arial"/>
          <w:bCs/>
          <w:lang w:val="es-ES_tradnl"/>
        </w:rPr>
      </w:pPr>
      <w:r w:rsidRPr="00817382">
        <w:rPr>
          <w:rFonts w:ascii="Verdana" w:hAnsi="Verdana" w:cs="Arial"/>
          <w:bCs/>
          <w:lang w:val="es-ES_tradnl"/>
        </w:rPr>
        <w:t xml:space="preserve">No obstante, aunque tenga una influencia limitada, las </w:t>
      </w:r>
      <w:r w:rsidRPr="00817382">
        <w:rPr>
          <w:rFonts w:ascii="Verdana" w:hAnsi="Verdana" w:cs="Arial"/>
          <w:bCs/>
          <w:i/>
          <w:iCs/>
          <w:lang w:val="es-ES_tradnl"/>
        </w:rPr>
        <w:t>entidades del régimen exceptuado</w:t>
      </w:r>
      <w:r w:rsidRPr="00817382">
        <w:rPr>
          <w:rFonts w:ascii="Verdana" w:hAnsi="Verdana" w:cs="Arial"/>
          <w:bCs/>
          <w:lang w:val="es-ES_tradnl"/>
        </w:rPr>
        <w:t xml:space="preserve"> no se deslingan por completo de las normas de derecho público. Esto en la medida que el inciso primero del artículo 13 de la Ley 1150 de 2007 prescribe lo siguiente: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1375D79F" w14:textId="77777777" w:rsidR="001332E7" w:rsidRDefault="001332E7" w:rsidP="001332E7">
      <w:pPr>
        <w:spacing w:after="120" w:line="276" w:lineRule="auto"/>
        <w:ind w:firstLine="709"/>
        <w:jc w:val="both"/>
        <w:rPr>
          <w:rFonts w:ascii="Verdana" w:hAnsi="Verdana" w:cs="Arial"/>
          <w:lang w:val="es-ES"/>
        </w:rPr>
      </w:pPr>
      <w:r w:rsidRPr="5DFC3BC8">
        <w:rPr>
          <w:rFonts w:ascii="Verdana" w:hAnsi="Verdana" w:cs="Arial"/>
          <w:lang w:val="es-ES"/>
        </w:rPr>
        <w:t xml:space="preserve">La existencia de entidades exceptuadas del EGCAP se ha justificado por alguna de las siguientes tres (3) circunstancias: i) facilitar la competencia económica –como ocurre actualmente respecto al régimen de los servicios públicos domiciliarios–, </w:t>
      </w:r>
      <w:proofErr w:type="spellStart"/>
      <w:r w:rsidRPr="5DFC3BC8">
        <w:rPr>
          <w:rFonts w:ascii="Verdana" w:hAnsi="Verdana" w:cs="Arial"/>
          <w:lang w:val="es-ES"/>
        </w:rPr>
        <w:t>ii</w:t>
      </w:r>
      <w:proofErr w:type="spellEnd"/>
      <w:r w:rsidRPr="5DFC3BC8">
        <w:rPr>
          <w:rFonts w:ascii="Verdana" w:hAnsi="Verdana" w:cs="Arial"/>
          <w:lang w:val="es-ES"/>
        </w:rPr>
        <w:t xml:space="preserve">) flexibilizar el ejercicio de la función administrativa –como en los contratos del Banco de la República o los de ciencia y tecnología– o </w:t>
      </w:r>
      <w:proofErr w:type="spellStart"/>
      <w:r w:rsidRPr="5DFC3BC8">
        <w:rPr>
          <w:rFonts w:ascii="Verdana" w:hAnsi="Verdana" w:cs="Arial"/>
          <w:lang w:val="es-ES"/>
        </w:rPr>
        <w:t>iii</w:t>
      </w:r>
      <w:proofErr w:type="spellEnd"/>
      <w:r w:rsidRPr="5DFC3BC8">
        <w:rPr>
          <w:rFonts w:ascii="Verdana" w:hAnsi="Verdana" w:cs="Arial"/>
          <w:lang w:val="es-ES"/>
        </w:rPr>
        <w:t>) establecer un régimen especial sin excluir por completo la aplicación de la Ley 80 de 1993 –como ocurre en la operaciones del crédito público–</w:t>
      </w:r>
      <w:r w:rsidRPr="5DFC3BC8">
        <w:rPr>
          <w:rFonts w:ascii="Verdana" w:hAnsi="Verdana" w:cs="Arial"/>
          <w:vertAlign w:val="superscript"/>
          <w:lang w:val="es-ES"/>
        </w:rPr>
        <w:footnoteReference w:id="5"/>
      </w:r>
      <w:r w:rsidRPr="5DFC3BC8">
        <w:rPr>
          <w:rFonts w:ascii="Verdana" w:hAnsi="Verdana" w:cs="Arial"/>
          <w:lang w:val="es-ES"/>
        </w:rPr>
        <w:t xml:space="preserve">.  Para estos efectos, la doctrina ha identificado 171 entidades y contratos que manejan un régimen excepcional, los cuales se clasifican de acuerdo i) al sector económico, </w:t>
      </w:r>
      <w:proofErr w:type="spellStart"/>
      <w:r w:rsidRPr="5DFC3BC8">
        <w:rPr>
          <w:rFonts w:ascii="Verdana" w:hAnsi="Verdana" w:cs="Arial"/>
          <w:lang w:val="es-ES"/>
        </w:rPr>
        <w:t>ii</w:t>
      </w:r>
      <w:proofErr w:type="spellEnd"/>
      <w:r w:rsidRPr="5DFC3BC8">
        <w:rPr>
          <w:rFonts w:ascii="Verdana" w:hAnsi="Verdana" w:cs="Arial"/>
          <w:lang w:val="es-ES"/>
        </w:rPr>
        <w:t xml:space="preserve">) la asignación de un esquema legal especial, </w:t>
      </w:r>
      <w:proofErr w:type="spellStart"/>
      <w:r w:rsidRPr="5DFC3BC8">
        <w:rPr>
          <w:rFonts w:ascii="Verdana" w:hAnsi="Verdana" w:cs="Arial"/>
          <w:lang w:val="es-ES"/>
        </w:rPr>
        <w:t>iii</w:t>
      </w:r>
      <w:proofErr w:type="spellEnd"/>
      <w:r w:rsidRPr="5DFC3BC8">
        <w:rPr>
          <w:rFonts w:ascii="Verdana" w:hAnsi="Verdana" w:cs="Arial"/>
          <w:lang w:val="es-ES"/>
        </w:rPr>
        <w:t xml:space="preserve">) el objeto del contrato celebrado y </w:t>
      </w:r>
      <w:proofErr w:type="spellStart"/>
      <w:r w:rsidRPr="5DFC3BC8">
        <w:rPr>
          <w:rFonts w:ascii="Verdana" w:hAnsi="Verdana" w:cs="Arial"/>
          <w:lang w:val="es-ES"/>
        </w:rPr>
        <w:t>iv</w:t>
      </w:r>
      <w:proofErr w:type="spellEnd"/>
      <w:r w:rsidRPr="5DFC3BC8">
        <w:rPr>
          <w:rFonts w:ascii="Verdana" w:hAnsi="Verdana" w:cs="Arial"/>
          <w:lang w:val="es-ES"/>
        </w:rPr>
        <w:t>) la existencia de fondos que administran recursos públicos</w:t>
      </w:r>
      <w:r w:rsidRPr="5DFC3BC8">
        <w:rPr>
          <w:rFonts w:ascii="Verdana" w:hAnsi="Verdana" w:cs="Arial"/>
          <w:vertAlign w:val="superscript"/>
          <w:lang w:val="es-ES"/>
        </w:rPr>
        <w:footnoteReference w:id="6"/>
      </w:r>
      <w:r w:rsidRPr="5DFC3BC8">
        <w:rPr>
          <w:rFonts w:ascii="Verdana" w:hAnsi="Verdana" w:cs="Arial"/>
          <w:lang w:val="es-ES"/>
        </w:rPr>
        <w:t>.</w:t>
      </w:r>
    </w:p>
    <w:p w14:paraId="2ADDA3D0" w14:textId="77777777" w:rsidR="001332E7" w:rsidRPr="0081146F" w:rsidRDefault="001332E7" w:rsidP="001332E7">
      <w:pPr>
        <w:spacing w:after="120" w:line="276" w:lineRule="auto"/>
        <w:ind w:firstLine="709"/>
        <w:jc w:val="both"/>
        <w:rPr>
          <w:rFonts w:ascii="Verdana" w:hAnsi="Verdana" w:cs="Arial"/>
          <w:bCs/>
          <w:lang w:val="es-ES_tradnl"/>
        </w:rPr>
      </w:pPr>
      <w:r w:rsidRPr="00817382">
        <w:rPr>
          <w:rFonts w:ascii="Verdana" w:eastAsia="Calibri" w:hAnsi="Verdana" w:cs="Arial"/>
          <w:color w:val="000000" w:themeColor="text1"/>
          <w:lang w:val="es-ES_tradnl"/>
        </w:rPr>
        <w:t xml:space="preserve">Las </w:t>
      </w:r>
      <w:r w:rsidRPr="00D50589">
        <w:rPr>
          <w:rFonts w:ascii="Verdana" w:eastAsia="Calibri" w:hAnsi="Verdana" w:cs="Arial"/>
          <w:i/>
          <w:iCs/>
          <w:color w:val="000000" w:themeColor="text1"/>
          <w:lang w:val="es-ES_tradnl"/>
        </w:rPr>
        <w:t>entidades de régimen especia</w:t>
      </w:r>
      <w:r w:rsidRPr="0041019E">
        <w:rPr>
          <w:rFonts w:ascii="Verdana" w:eastAsia="Calibri" w:hAnsi="Verdana" w:cs="Arial"/>
          <w:i/>
          <w:iCs/>
          <w:color w:val="000000" w:themeColor="text1"/>
          <w:lang w:val="es-ES_tradnl"/>
        </w:rPr>
        <w:t>l</w:t>
      </w:r>
      <w:r w:rsidRPr="00817382">
        <w:rPr>
          <w:rFonts w:ascii="Verdana" w:eastAsia="Calibri" w:hAnsi="Verdana" w:cs="Arial"/>
          <w:color w:val="000000" w:themeColor="text1"/>
          <w:lang w:val="es-ES_tradnl"/>
        </w:rPr>
        <w:t xml:space="preserve"> son aquellas que, por expresa disposición legal y por su naturaleza o situación de competencia, tienen condiciones diferenciales respecto de la normativa de contratación pública. Esto quiere decir que no están sometidas al Estatuto General de Contratación de la Administración Pública, y por ende sus procedimientos contractuales tienen su normativa propia para su desarrollo, esto es, el derecho privado, lo cual está determinado en las normas de creación de las entidades de régimen especial y en sus manuales de contratación.</w:t>
      </w:r>
    </w:p>
    <w:p w14:paraId="13E22D1F" w14:textId="77777777" w:rsidR="001332E7" w:rsidRPr="00817382" w:rsidRDefault="001332E7" w:rsidP="001332E7">
      <w:pPr>
        <w:spacing w:after="120" w:line="276" w:lineRule="auto"/>
        <w:jc w:val="both"/>
        <w:rPr>
          <w:rFonts w:ascii="Verdana" w:eastAsia="Calibri" w:hAnsi="Verdana" w:cs="Arial"/>
          <w:color w:val="000000" w:themeColor="text1"/>
          <w:lang w:val="es-ES_tradnl"/>
        </w:rPr>
      </w:pPr>
      <w:r w:rsidRPr="00817382">
        <w:rPr>
          <w:rFonts w:ascii="Verdana" w:eastAsia="Calibri" w:hAnsi="Verdana" w:cs="Arial"/>
          <w:color w:val="000000" w:themeColor="text1"/>
          <w:lang w:val="es-ES_tradnl"/>
        </w:rPr>
        <w:tab/>
        <w:t>Teniendo en cuenta que las entidades de régimen especial están facultadas legalmente para aplicar reglas distintas a las establecidas en la Ley 80 de 1993 y sus normas complementarias, su régimen contractual estará definido en la no</w:t>
      </w:r>
      <w:r>
        <w:rPr>
          <w:rFonts w:ascii="Verdana" w:eastAsia="Calibri" w:hAnsi="Verdana" w:cs="Arial"/>
          <w:color w:val="000000" w:themeColor="text1"/>
          <w:lang w:val="es-ES_tradnl"/>
        </w:rPr>
        <w:t>r</w:t>
      </w:r>
      <w:r w:rsidRPr="00817382">
        <w:rPr>
          <w:rFonts w:ascii="Verdana" w:eastAsia="Calibri" w:hAnsi="Verdana" w:cs="Arial"/>
          <w:color w:val="000000" w:themeColor="text1"/>
          <w:lang w:val="es-ES_tradnl"/>
        </w:rPr>
        <w:t>ma que crea el régimen especial y será desarrollado en el manual de contratación de la respectiva entidad, con el fin de que se puedan identificar las reglas que aplican en la contratación. La Agencia Nacional de Contratación Pública – Colombia Compra Eficiente expidió la Guía para las entidades estatales con régimen especial de contratación, que las define como aquellas que contratan con un régimen distinto a las Leyes 80 de 1993 y 1150 de 2007</w:t>
      </w:r>
      <w:r w:rsidRPr="00817382">
        <w:rPr>
          <w:rStyle w:val="Refdenotaalpie"/>
          <w:rFonts w:ascii="Verdana" w:eastAsia="Calibri" w:hAnsi="Verdana" w:cs="Arial"/>
          <w:color w:val="000000" w:themeColor="text1"/>
          <w:lang w:val="es-ES_tradnl"/>
        </w:rPr>
        <w:footnoteReference w:id="7"/>
      </w:r>
      <w:r w:rsidRPr="00817382">
        <w:rPr>
          <w:rFonts w:ascii="Verdana" w:eastAsia="Calibri" w:hAnsi="Verdana" w:cs="Arial"/>
          <w:color w:val="000000" w:themeColor="text1"/>
          <w:lang w:val="es-ES_tradnl"/>
        </w:rPr>
        <w:t>.</w:t>
      </w:r>
    </w:p>
    <w:p w14:paraId="66E9A778" w14:textId="77777777" w:rsidR="001332E7" w:rsidRPr="00817382" w:rsidRDefault="001332E7" w:rsidP="0066573E">
      <w:pPr>
        <w:spacing w:after="0" w:line="276" w:lineRule="auto"/>
        <w:jc w:val="both"/>
        <w:rPr>
          <w:rFonts w:ascii="Verdana" w:eastAsia="Calibri" w:hAnsi="Verdana" w:cs="Arial"/>
          <w:color w:val="000000" w:themeColor="text1"/>
          <w:lang w:val="es-ES_tradnl"/>
        </w:rPr>
      </w:pPr>
      <w:r w:rsidRPr="00817382">
        <w:rPr>
          <w:rFonts w:ascii="Verdana" w:eastAsia="Calibri" w:hAnsi="Verdana" w:cs="Arial"/>
          <w:color w:val="000000" w:themeColor="text1"/>
          <w:lang w:val="es-ES_tradnl"/>
        </w:rPr>
        <w:tab/>
        <w:t>No obstante, las entidades de régimen especial cumplen una finalidad pública y utilizan recursos públicos para lograrlo, por lo que no son ajenas a los principios de la función administrativa y de la gestión fiscal, entre otras reglas dispuestas en la normativa de contratación pública que son transversales a todas las entidades, sin importar su régimen contractual. Lo anterior es reafirmado por el Consejo de Estado, que destaca las reglas que sigue la contratación de las entidades de régimen especial:</w:t>
      </w:r>
    </w:p>
    <w:p w14:paraId="2F8075F3" w14:textId="77777777" w:rsidR="0066573E" w:rsidRPr="00817382" w:rsidRDefault="0066573E" w:rsidP="00643E5C">
      <w:pPr>
        <w:spacing w:after="0" w:line="276" w:lineRule="auto"/>
        <w:jc w:val="both"/>
        <w:rPr>
          <w:rFonts w:ascii="Verdana" w:eastAsia="Calibri" w:hAnsi="Verdana" w:cs="Arial"/>
          <w:color w:val="000000" w:themeColor="text1"/>
          <w:lang w:val="es-ES_tradnl"/>
        </w:rPr>
      </w:pPr>
    </w:p>
    <w:p w14:paraId="2CCAA30D" w14:textId="77777777" w:rsidR="001332E7" w:rsidRPr="00DE5519" w:rsidRDefault="001332E7" w:rsidP="00643E5C">
      <w:pPr>
        <w:spacing w:after="0" w:line="240" w:lineRule="auto"/>
        <w:ind w:left="709" w:right="709"/>
        <w:jc w:val="both"/>
        <w:rPr>
          <w:rFonts w:ascii="Verdana" w:eastAsia="Calibri" w:hAnsi="Verdana" w:cs="Arial"/>
          <w:color w:val="000000" w:themeColor="text1"/>
          <w:sz w:val="20"/>
          <w:szCs w:val="20"/>
          <w:lang w:val="es-ES_tradnl"/>
        </w:rPr>
      </w:pPr>
      <w:r w:rsidRPr="00DE5519">
        <w:rPr>
          <w:rFonts w:ascii="Verdana" w:eastAsia="Calibri" w:hAnsi="Verdana" w:cs="Arial"/>
          <w:color w:val="000000" w:themeColor="text1"/>
          <w:sz w:val="20"/>
          <w:szCs w:val="20"/>
          <w:lang w:val="es-ES_tradnl"/>
        </w:rPr>
        <w:t>“[…] en la contratación de las entidades excluidas de la Ley 80 se distinguen perfectamente dos ordenamientos jurídicos: uno prevalente, el derecho privado, que aporta todas sus instituciones, reglas y principios y las pone al servicio de los contratos de dichas entidades; y otro, secundario, referido a los principios de la función administrativa y de la gestión fiscal —pero no a la Ley 80 de 1993, con sus reglas particulares</w:t>
      </w:r>
      <w:r>
        <w:rPr>
          <w:rFonts w:ascii="Verdana" w:eastAsia="Calibri" w:hAnsi="Verdana" w:cs="Arial"/>
          <w:color w:val="000000" w:themeColor="text1"/>
          <w:sz w:val="20"/>
          <w:szCs w:val="20"/>
          <w:lang w:val="es-ES_tradnl"/>
        </w:rPr>
        <w:t>-</w:t>
      </w:r>
      <w:r w:rsidRPr="00DE5519">
        <w:rPr>
          <w:rFonts w:ascii="Verdana" w:eastAsia="Calibri" w:hAnsi="Verdana" w:cs="Arial"/>
          <w:color w:val="000000" w:themeColor="text1"/>
          <w:sz w:val="20"/>
          <w:szCs w:val="20"/>
          <w:lang w:val="es-ES_tradnl"/>
        </w:rPr>
        <w:t>, que inspiran al régimen anterior con valores propios del derecho público.</w:t>
      </w:r>
    </w:p>
    <w:p w14:paraId="2EC63D0E" w14:textId="77777777" w:rsidR="00C17AEF" w:rsidRDefault="00C17AEF" w:rsidP="0066573E">
      <w:pPr>
        <w:spacing w:after="0" w:line="240" w:lineRule="auto"/>
        <w:ind w:left="709" w:right="709"/>
        <w:jc w:val="both"/>
        <w:rPr>
          <w:rFonts w:ascii="Verdana" w:eastAsia="Calibri" w:hAnsi="Verdana" w:cs="Arial"/>
          <w:color w:val="000000" w:themeColor="text1"/>
          <w:sz w:val="20"/>
          <w:szCs w:val="20"/>
          <w:lang w:val="es-ES_tradnl"/>
        </w:rPr>
      </w:pPr>
    </w:p>
    <w:p w14:paraId="74DDF83F" w14:textId="05C341F6" w:rsidR="001332E7" w:rsidRDefault="001332E7" w:rsidP="5DFC3BC8">
      <w:pPr>
        <w:spacing w:after="0" w:line="240" w:lineRule="auto"/>
        <w:ind w:left="709" w:right="709"/>
        <w:jc w:val="both"/>
        <w:rPr>
          <w:rFonts w:ascii="Verdana" w:eastAsia="Calibri" w:hAnsi="Verdana" w:cs="Arial"/>
          <w:color w:val="000000" w:themeColor="text1"/>
          <w:sz w:val="20"/>
          <w:szCs w:val="20"/>
          <w:lang w:val="es-ES"/>
        </w:rPr>
      </w:pPr>
      <w:r w:rsidRPr="5DFC3BC8">
        <w:rPr>
          <w:rFonts w:ascii="Verdana" w:eastAsia="Calibri" w:hAnsi="Verdana" w:cs="Arial"/>
          <w:color w:val="000000" w:themeColor="text1"/>
          <w:sz w:val="20"/>
          <w:szCs w:val="20"/>
          <w:lang w:val="es-ES"/>
        </w:rPr>
        <w:t xml:space="preserve">La Sala entiende que el régimen preponderante domina y aporta el gran volumen de normas contractuales y que el régimen inspirador influye y ayuda a </w:t>
      </w:r>
      <w:proofErr w:type="gramStart"/>
      <w:r w:rsidRPr="5DFC3BC8">
        <w:rPr>
          <w:rFonts w:ascii="Verdana" w:eastAsia="Calibri" w:hAnsi="Verdana" w:cs="Arial"/>
          <w:color w:val="000000" w:themeColor="text1"/>
          <w:sz w:val="20"/>
          <w:szCs w:val="20"/>
          <w:lang w:val="es-ES"/>
        </w:rPr>
        <w:t>interpretar</w:t>
      </w:r>
      <w:proofErr w:type="gramEnd"/>
      <w:r w:rsidRPr="5DFC3BC8">
        <w:rPr>
          <w:rFonts w:ascii="Verdana" w:eastAsia="Calibri" w:hAnsi="Verdana" w:cs="Arial"/>
          <w:color w:val="000000" w:themeColor="text1"/>
          <w:sz w:val="20"/>
          <w:szCs w:val="20"/>
          <w:lang w:val="es-ES"/>
        </w:rPr>
        <w:t xml:space="preserve"> pero también transforma parte de esas instituciones, porque se suma a ellas, lo que no siempre se logra conservando intacta la institución privada sino introduciéndole modificaciones. </w:t>
      </w:r>
    </w:p>
    <w:p w14:paraId="52919673" w14:textId="77777777" w:rsidR="00C17AEF" w:rsidRPr="00DE5519" w:rsidRDefault="00C17AEF" w:rsidP="00643E5C">
      <w:pPr>
        <w:spacing w:after="0" w:line="240" w:lineRule="auto"/>
        <w:ind w:left="709" w:right="709"/>
        <w:jc w:val="both"/>
        <w:rPr>
          <w:rFonts w:ascii="Verdana" w:eastAsia="Calibri" w:hAnsi="Verdana" w:cs="Arial"/>
          <w:color w:val="000000" w:themeColor="text1"/>
          <w:sz w:val="20"/>
          <w:szCs w:val="20"/>
          <w:lang w:val="es-ES_tradnl"/>
        </w:rPr>
      </w:pPr>
    </w:p>
    <w:p w14:paraId="02897084" w14:textId="77777777" w:rsidR="001332E7" w:rsidRPr="00DE5519" w:rsidRDefault="001332E7" w:rsidP="001332E7">
      <w:pPr>
        <w:spacing w:after="0" w:line="240" w:lineRule="auto"/>
        <w:ind w:left="709" w:right="709"/>
        <w:jc w:val="both"/>
        <w:rPr>
          <w:rFonts w:ascii="Verdana" w:eastAsia="Calibri" w:hAnsi="Verdana" w:cs="Arial"/>
          <w:color w:val="000000" w:themeColor="text1"/>
          <w:sz w:val="20"/>
          <w:szCs w:val="20"/>
          <w:lang w:val="es-ES_tradnl"/>
        </w:rPr>
      </w:pPr>
      <w:r w:rsidRPr="00DE5519">
        <w:rPr>
          <w:rFonts w:ascii="Verdana" w:eastAsia="Calibri" w:hAnsi="Verdana" w:cs="Arial"/>
          <w:color w:val="000000" w:themeColor="text1"/>
          <w:sz w:val="20"/>
          <w:szCs w:val="20"/>
          <w:lang w:val="es-ES_tradnl"/>
        </w:rPr>
        <w:t>La función que cumplen los principios públicos también se representa en la necesidad práctica —normalmente no por orden de una norma— de expedir un reglamento interno de contratación que concrete la mayor parte de aportes de esos principios a la transformación de las reglas del derecho privado. Es por esta influencia que surge la necesidad de contar con procesos de selección de contratistas que garanticen la libre concurrencia, la igualdad de oportunidades de acceso a los negocios del Estado, la trasparencia y en general los demás valores propios de la gestión de lo público”</w:t>
      </w:r>
      <w:r w:rsidRPr="00DE5519">
        <w:rPr>
          <w:rStyle w:val="Refdenotaalpie"/>
          <w:rFonts w:ascii="Verdana" w:eastAsia="Calibri" w:hAnsi="Verdana" w:cs="Arial"/>
          <w:color w:val="000000" w:themeColor="text1"/>
          <w:sz w:val="20"/>
          <w:szCs w:val="20"/>
          <w:lang w:val="es-ES_tradnl"/>
        </w:rPr>
        <w:footnoteReference w:id="8"/>
      </w:r>
      <w:r w:rsidRPr="00DE5519">
        <w:rPr>
          <w:rFonts w:ascii="Verdana" w:eastAsia="Calibri" w:hAnsi="Verdana" w:cs="Arial"/>
          <w:color w:val="000000" w:themeColor="text1"/>
          <w:sz w:val="20"/>
          <w:szCs w:val="20"/>
          <w:lang w:val="es-ES_tradnl"/>
        </w:rPr>
        <w:t>.</w:t>
      </w:r>
    </w:p>
    <w:p w14:paraId="6DAE3385" w14:textId="77777777" w:rsidR="001332E7" w:rsidRPr="00817382" w:rsidRDefault="001332E7" w:rsidP="001332E7">
      <w:pPr>
        <w:spacing w:after="0" w:line="276" w:lineRule="auto"/>
        <w:ind w:left="709" w:right="709"/>
        <w:jc w:val="both"/>
        <w:rPr>
          <w:rFonts w:ascii="Verdana" w:eastAsia="Calibri" w:hAnsi="Verdana" w:cs="Arial"/>
          <w:color w:val="000000" w:themeColor="text1"/>
          <w:lang w:val="es-ES_tradnl"/>
        </w:rPr>
      </w:pPr>
    </w:p>
    <w:p w14:paraId="4EFB5EAB" w14:textId="77777777" w:rsidR="001332E7" w:rsidRPr="00817382" w:rsidRDefault="001332E7" w:rsidP="001332E7">
      <w:pPr>
        <w:spacing w:after="120" w:line="276" w:lineRule="auto"/>
        <w:ind w:firstLine="709"/>
        <w:jc w:val="both"/>
        <w:rPr>
          <w:rFonts w:ascii="Verdana" w:eastAsia="Calibri" w:hAnsi="Verdana" w:cs="Arial"/>
          <w:color w:val="000000" w:themeColor="text1"/>
          <w:lang w:val="es-ES_tradnl"/>
        </w:rPr>
      </w:pPr>
      <w:r w:rsidRPr="00817382">
        <w:rPr>
          <w:rFonts w:ascii="Verdana" w:eastAsia="Calibri" w:hAnsi="Verdana" w:cs="Arial"/>
          <w:color w:val="000000" w:themeColor="text1"/>
          <w:lang w:val="es-ES_tradnl"/>
        </w:rPr>
        <w:t>Considerando que las entidades de régimen especial administran recursos públicos, sus manuales de contratación deben ceñirse a unas reglas mínimas que garanticen el cumplimiento de los principios de la función pública, el control fiscal y los principios rectores de la contratación estatal. Dentro de estas reglas deben indicar el contenido de las propuestas y los procedimientos de selección, llevar una descripción precisa del procedimiento, los plazos de las etapas y los criterios de evaluación, y todos los criterios necesarios para garantizar la selección objetiva y la protección del interés general. Lo anterior, sin perjuicio de que algunas de estas reglas se establezcan, complementen o detallen en los documentos que se expiden en desarrollo de sus procedimientos contractuales.</w:t>
      </w:r>
    </w:p>
    <w:p w14:paraId="1C6B9F83" w14:textId="77777777" w:rsidR="001332E7" w:rsidRPr="00817382" w:rsidRDefault="001332E7" w:rsidP="001332E7">
      <w:pPr>
        <w:spacing w:after="120" w:line="276" w:lineRule="auto"/>
        <w:ind w:firstLine="709"/>
        <w:jc w:val="both"/>
        <w:rPr>
          <w:rFonts w:ascii="Verdana" w:eastAsia="Calibri" w:hAnsi="Verdana" w:cs="Arial"/>
          <w:color w:val="000000" w:themeColor="text1"/>
          <w:lang w:val="es-ES_tradnl"/>
        </w:rPr>
      </w:pPr>
      <w:r w:rsidRPr="00817382">
        <w:rPr>
          <w:rFonts w:ascii="Verdana" w:eastAsia="Calibri" w:hAnsi="Verdana" w:cs="Arial"/>
          <w:color w:val="000000" w:themeColor="text1"/>
          <w:lang w:val="es-ES_tradnl"/>
        </w:rPr>
        <w:t>Asimismo, estas entidades deben cumplir unas obligaciones transversales a la contratación pública, entre ellas la elaboración del Plan Anual de Adquisiciones, la publicación de sus procedimientos de selección a través de la herramienta SECOP –en la sección Régimen Especial–, hacer uso del clasificador de bienes y servicios de las Naciones Unidas, reportar inhabilidades e incompatibilidades de los proveedores de la entidad y analizar el sector económico de los oferentes, entre otras.</w:t>
      </w:r>
    </w:p>
    <w:p w14:paraId="67D332D0" w14:textId="77777777" w:rsidR="001332E7" w:rsidRDefault="001332E7" w:rsidP="001332E7">
      <w:pPr>
        <w:spacing w:after="120" w:line="276" w:lineRule="auto"/>
        <w:ind w:firstLine="709"/>
        <w:jc w:val="both"/>
        <w:rPr>
          <w:rFonts w:ascii="Verdana" w:eastAsia="Calibri" w:hAnsi="Verdana" w:cs="Arial"/>
          <w:color w:val="000000" w:themeColor="text1"/>
          <w:lang w:val="es-ES_tradnl"/>
        </w:rPr>
      </w:pPr>
      <w:r w:rsidRPr="00817382">
        <w:rPr>
          <w:rFonts w:ascii="Verdana" w:eastAsia="Calibri" w:hAnsi="Verdana" w:cs="Arial"/>
          <w:color w:val="000000" w:themeColor="text1"/>
          <w:lang w:val="es-ES_tradnl"/>
        </w:rPr>
        <w:t>Además, debe tenerse en cuenta que las cláusulas excepcionales no están contempladas en el derecho común. Estas se encuentran limitadas no solo al uso del Estatuto General de Contratación de la Administración Pública sino a algunos tipos de contratos específicos. En ese sentido, la única forma en que una entidad sujeta a un régimen especial pueda usar estas cláusulas es si su norma de creación lo establece. De modo que</w:t>
      </w:r>
      <w:r>
        <w:rPr>
          <w:rFonts w:ascii="Verdana" w:eastAsia="Calibri" w:hAnsi="Verdana" w:cs="Arial"/>
          <w:color w:val="000000" w:themeColor="text1"/>
          <w:lang w:val="es-ES_tradnl"/>
        </w:rPr>
        <w:t>,</w:t>
      </w:r>
      <w:r w:rsidRPr="00817382">
        <w:rPr>
          <w:rFonts w:ascii="Verdana" w:eastAsia="Calibri" w:hAnsi="Verdana" w:cs="Arial"/>
          <w:color w:val="000000" w:themeColor="text1"/>
          <w:lang w:val="es-ES_tradnl"/>
        </w:rPr>
        <w:t xml:space="preserve"> si una Entidad sujeta al régimen especial requiere sancionar o dar por terminado el contrato, por regla general, debe acudir al juez competente.</w:t>
      </w:r>
    </w:p>
    <w:p w14:paraId="2C5147AE" w14:textId="77777777" w:rsidR="001332E7" w:rsidRPr="00817382" w:rsidRDefault="001332E7" w:rsidP="001332E7">
      <w:pPr>
        <w:spacing w:after="120" w:line="276" w:lineRule="auto"/>
        <w:ind w:firstLine="709"/>
        <w:jc w:val="both"/>
        <w:rPr>
          <w:rFonts w:ascii="Verdana" w:eastAsia="Calibri" w:hAnsi="Verdana" w:cs="Arial"/>
          <w:color w:val="000000" w:themeColor="text1"/>
          <w:lang w:val="es-ES_tradnl"/>
        </w:rPr>
      </w:pPr>
      <w:r w:rsidRPr="00817382">
        <w:rPr>
          <w:rFonts w:ascii="Verdana" w:eastAsia="Calibri" w:hAnsi="Verdana" w:cs="Arial"/>
          <w:color w:val="000000" w:themeColor="text1"/>
          <w:lang w:val="es-ES_tradnl"/>
        </w:rPr>
        <w:t>Como se explicó, el hecho de que algunas entidades estatales se rijan por el derecho privado en materia contractual no puede entenderse como una negación de lo que establece el artículo 13 de la Ley 1150 de 2007. Este enunciado normativo significó un “retorno del derecho administrativo” para las entidades excluidas, al reiterar que deben cumplir los principios constitucionales de la función administrativa y de la gestión fiscal, así como el régimen de inhabilidades e incompatibilidades previsto legalmente para la contratación estatal; y ahora también publicar su actividad contractual en el SECOP II, de conformidad con el artículo 53 de la Ley 2195 de 2022</w:t>
      </w:r>
      <w:r w:rsidRPr="00817382">
        <w:rPr>
          <w:rStyle w:val="Refdenotaalpie"/>
          <w:rFonts w:ascii="Verdana" w:eastAsia="Calibri" w:hAnsi="Verdana" w:cs="Arial"/>
          <w:color w:val="000000" w:themeColor="text1"/>
          <w:lang w:val="es-ES_tradnl"/>
        </w:rPr>
        <w:footnoteReference w:id="9"/>
      </w:r>
      <w:r w:rsidRPr="00817382">
        <w:rPr>
          <w:rFonts w:ascii="Verdana" w:eastAsia="Calibri" w:hAnsi="Verdana" w:cs="Arial"/>
          <w:color w:val="000000" w:themeColor="text1"/>
          <w:lang w:val="es-ES_tradnl"/>
        </w:rPr>
        <w:t xml:space="preserve">. </w:t>
      </w:r>
    </w:p>
    <w:p w14:paraId="4537AA30" w14:textId="77777777" w:rsidR="001332E7" w:rsidRDefault="001332E7" w:rsidP="001332E7">
      <w:pPr>
        <w:spacing w:after="120" w:line="276" w:lineRule="auto"/>
        <w:ind w:firstLine="709"/>
        <w:jc w:val="both"/>
        <w:rPr>
          <w:rFonts w:ascii="Verdana" w:eastAsia="Calibri" w:hAnsi="Verdana" w:cs="Arial"/>
          <w:color w:val="000000" w:themeColor="text1"/>
          <w:lang w:val="es-ES_tradnl"/>
        </w:rPr>
      </w:pPr>
      <w:r w:rsidRPr="00817382">
        <w:rPr>
          <w:rFonts w:ascii="Verdana" w:eastAsia="Calibri" w:hAnsi="Verdana" w:cs="Arial"/>
          <w:color w:val="000000" w:themeColor="text1"/>
          <w:lang w:val="es-ES_tradnl"/>
        </w:rPr>
        <w:t>Adicionalmente, las entidades estatales que, por disposición legal, cuentan con un régimen especial</w:t>
      </w:r>
      <w:r w:rsidRPr="00817382">
        <w:rPr>
          <w:rStyle w:val="Refdenotaalpie"/>
          <w:rFonts w:ascii="Verdana" w:eastAsia="Calibri" w:hAnsi="Verdana" w:cs="Arial"/>
          <w:color w:val="000000" w:themeColor="text1"/>
          <w:lang w:val="es-ES_tradnl"/>
        </w:rPr>
        <w:footnoteReference w:id="10"/>
      </w:r>
      <w:r w:rsidRPr="00817382">
        <w:rPr>
          <w:rFonts w:ascii="Verdana" w:eastAsia="Calibri" w:hAnsi="Verdana" w:cs="Arial"/>
          <w:color w:val="000000" w:themeColor="text1"/>
          <w:lang w:val="es-ES_tradnl"/>
        </w:rPr>
        <w:t>, exceptuado del Estatuto General de Contratación de la Administración Pública –Leyes 80 de 1993, 1150 de 2007 y normas complementarias</w:t>
      </w:r>
      <w:r w:rsidRPr="00817382">
        <w:rPr>
          <w:rStyle w:val="Refdenotaalpie"/>
          <w:rFonts w:ascii="Verdana" w:eastAsia="Calibri" w:hAnsi="Verdana" w:cs="Arial"/>
          <w:color w:val="000000" w:themeColor="text1"/>
          <w:lang w:val="es-ES_tradnl"/>
        </w:rPr>
        <w:footnoteReference w:id="11"/>
      </w:r>
      <w:r w:rsidRPr="00817382">
        <w:rPr>
          <w:rFonts w:ascii="Verdana" w:eastAsia="Calibri" w:hAnsi="Verdana" w:cs="Arial"/>
          <w:color w:val="000000" w:themeColor="text1"/>
          <w:lang w:val="es-ES_tradnl"/>
        </w:rPr>
        <w:t xml:space="preserve">– pueden expedir un reglamento interno de contratación –comúnmente denominado </w:t>
      </w:r>
      <w:r w:rsidRPr="00817382">
        <w:rPr>
          <w:rFonts w:ascii="Verdana" w:eastAsia="Calibri" w:hAnsi="Verdana" w:cs="Arial"/>
          <w:i/>
          <w:color w:val="000000" w:themeColor="text1"/>
          <w:lang w:val="es-ES_tradnl"/>
        </w:rPr>
        <w:t>manual de contratación</w:t>
      </w:r>
      <w:r w:rsidRPr="00817382">
        <w:rPr>
          <w:rFonts w:ascii="Verdana" w:eastAsia="Calibri" w:hAnsi="Verdana" w:cs="Arial"/>
          <w:color w:val="000000" w:themeColor="text1"/>
          <w:lang w:val="es-ES_tradnl"/>
        </w:rPr>
        <w:t>–, que regule aspectos asociados a la actividad contractual, como los procedimientos de selección, los requisitos de participación, las condiciones de ejecución del contrato, etc. En otras palabras, el manual de contratación de las entidades exceptuadas es un acto administrativo y, de manera más concreta, un reglamento, pues, además de consistir en una manifestación unilateral de voluntad efectuada por la entidad estatal, en ejercicio de función administrativa, dirigida a producir efectos jurídicos, tiene vocación de permanencia en el tiempo. Esto significa que el manual de contratación despliega sus efectos de manera indefinida en el futuro, no agotándose con una sola aplicación.</w:t>
      </w:r>
    </w:p>
    <w:p w14:paraId="0388D453" w14:textId="77777777" w:rsidR="001332E7" w:rsidRDefault="001332E7" w:rsidP="001332E7">
      <w:pPr>
        <w:spacing w:after="120" w:line="276" w:lineRule="auto"/>
        <w:ind w:firstLine="709"/>
        <w:jc w:val="both"/>
        <w:rPr>
          <w:rFonts w:ascii="Verdana" w:eastAsia="Calibri" w:hAnsi="Verdana" w:cs="Arial"/>
          <w:color w:val="000000" w:themeColor="text1"/>
          <w:lang w:val="es-ES"/>
        </w:rPr>
      </w:pPr>
      <w:r w:rsidRPr="5DFC3BC8">
        <w:rPr>
          <w:rFonts w:ascii="Verdana" w:eastAsia="Calibri" w:hAnsi="Verdana" w:cs="Arial"/>
          <w:color w:val="000000" w:themeColor="text1"/>
          <w:lang w:val="es-ES"/>
        </w:rPr>
        <w:t xml:space="preserve">Sin embargo, la libertad de configuración reglamentaria de las entidades estatales, expresada en el manual de contratación, no es absoluta, ya que, a pesar de que están facultadas para regular ciertos temas relacionados con la actividad contractual, deben hacerlo respetando la reserva legal de la que gozan ciertas materias. En tal sentido, asuntos como: i) los requisitos de existencia y validez del contrato, </w:t>
      </w:r>
      <w:proofErr w:type="spellStart"/>
      <w:r w:rsidRPr="5DFC3BC8">
        <w:rPr>
          <w:rFonts w:ascii="Verdana" w:eastAsia="Calibri" w:hAnsi="Verdana" w:cs="Arial"/>
          <w:color w:val="000000" w:themeColor="text1"/>
          <w:lang w:val="es-ES"/>
        </w:rPr>
        <w:t>ii</w:t>
      </w:r>
      <w:proofErr w:type="spellEnd"/>
      <w:r w:rsidRPr="5DFC3BC8">
        <w:rPr>
          <w:rFonts w:ascii="Verdana" w:eastAsia="Calibri" w:hAnsi="Verdana" w:cs="Arial"/>
          <w:color w:val="000000" w:themeColor="text1"/>
          <w:lang w:val="es-ES"/>
        </w:rPr>
        <w:t xml:space="preserve">) sanciones, sin perjuicio de las que pueden pactar de acuerdo con las normas civiles y comerciales, </w:t>
      </w:r>
      <w:proofErr w:type="spellStart"/>
      <w:r w:rsidRPr="5DFC3BC8">
        <w:rPr>
          <w:rFonts w:ascii="Verdana" w:eastAsia="Calibri" w:hAnsi="Verdana" w:cs="Arial"/>
          <w:color w:val="000000" w:themeColor="text1"/>
          <w:lang w:val="es-ES"/>
        </w:rPr>
        <w:t>iii</w:t>
      </w:r>
      <w:proofErr w:type="spellEnd"/>
      <w:r w:rsidRPr="5DFC3BC8">
        <w:rPr>
          <w:rFonts w:ascii="Verdana" w:eastAsia="Calibri" w:hAnsi="Verdana" w:cs="Arial"/>
          <w:color w:val="000000" w:themeColor="text1"/>
          <w:lang w:val="es-ES"/>
        </w:rPr>
        <w:t xml:space="preserve">) procedimientos para su imposición, </w:t>
      </w:r>
      <w:proofErr w:type="spellStart"/>
      <w:r w:rsidRPr="5DFC3BC8">
        <w:rPr>
          <w:rFonts w:ascii="Verdana" w:eastAsia="Calibri" w:hAnsi="Verdana" w:cs="Arial"/>
          <w:color w:val="000000" w:themeColor="text1"/>
          <w:lang w:val="es-ES"/>
        </w:rPr>
        <w:t>iv</w:t>
      </w:r>
      <w:proofErr w:type="spellEnd"/>
      <w:r w:rsidRPr="5DFC3BC8">
        <w:rPr>
          <w:rFonts w:ascii="Verdana" w:eastAsia="Calibri" w:hAnsi="Verdana" w:cs="Arial"/>
          <w:color w:val="000000" w:themeColor="text1"/>
          <w:lang w:val="es-ES"/>
        </w:rPr>
        <w:t>) causales de inhabilidad e incompatibilidad, v) el principio de anualidad del gasto, y vi) restricciones al acceso a la administración de justicia para discutir las controversias contractuales, son, entre otros, temas cuya regulación está reservada al legislador y que, por tanto, las entidades exceptuadas no pueden reglamentar en su manual de contratación</w:t>
      </w:r>
      <w:r w:rsidRPr="5DFC3BC8">
        <w:rPr>
          <w:rStyle w:val="Refdenotaalpie"/>
          <w:rFonts w:ascii="Verdana" w:eastAsia="Calibri" w:hAnsi="Verdana" w:cs="Arial"/>
          <w:color w:val="000000" w:themeColor="text1"/>
          <w:lang w:val="es-ES"/>
        </w:rPr>
        <w:footnoteReference w:id="12"/>
      </w:r>
      <w:r w:rsidRPr="5DFC3BC8">
        <w:rPr>
          <w:rFonts w:ascii="Verdana" w:eastAsia="Calibri" w:hAnsi="Verdana" w:cs="Arial"/>
          <w:color w:val="000000" w:themeColor="text1"/>
          <w:lang w:val="es-ES"/>
        </w:rPr>
        <w:t>.</w:t>
      </w:r>
    </w:p>
    <w:p w14:paraId="3346224F" w14:textId="77777777" w:rsidR="001332E7" w:rsidRPr="0081146F" w:rsidRDefault="001332E7" w:rsidP="001332E7">
      <w:pPr>
        <w:spacing w:after="120" w:line="276" w:lineRule="auto"/>
        <w:ind w:firstLine="709"/>
        <w:jc w:val="both"/>
        <w:rPr>
          <w:rFonts w:ascii="Verdana" w:eastAsia="Calibri" w:hAnsi="Verdana" w:cs="Arial"/>
          <w:color w:val="000000" w:themeColor="text1"/>
          <w:lang w:val="es-ES_tradnl"/>
        </w:rPr>
      </w:pPr>
      <w:r>
        <w:rPr>
          <w:rFonts w:ascii="Verdana" w:eastAsia="Calibri" w:hAnsi="Verdana" w:cs="Arial"/>
          <w:color w:val="000000" w:themeColor="text1"/>
        </w:rPr>
        <w:t>En l</w:t>
      </w:r>
      <w:r w:rsidRPr="009B6C67">
        <w:rPr>
          <w:rFonts w:ascii="Verdana" w:eastAsia="Calibri" w:hAnsi="Verdana" w:cs="Arial"/>
          <w:color w:val="000000" w:themeColor="text1"/>
        </w:rPr>
        <w:t xml:space="preserve">a estructura de la Administración pública se encuentran las entidades descentralizadas por servicios, y dentro de dicha categoría se ubican </w:t>
      </w:r>
      <w:r>
        <w:rPr>
          <w:rFonts w:ascii="Verdana" w:eastAsia="Calibri" w:hAnsi="Verdana" w:cs="Arial"/>
          <w:color w:val="000000" w:themeColor="text1"/>
        </w:rPr>
        <w:t>las empresas industriales y comerciales del Estado</w:t>
      </w:r>
      <w:r w:rsidRPr="009B6C67">
        <w:rPr>
          <w:rFonts w:ascii="Verdana" w:eastAsia="Calibri" w:hAnsi="Verdana" w:cs="Arial"/>
          <w:color w:val="000000" w:themeColor="text1"/>
        </w:rPr>
        <w:t>, las cuales –sin perjuicio del control de tutela– tienen personería jurídica, autonomía administrativa y patrimonio propio.</w:t>
      </w:r>
      <w:r w:rsidRPr="009B6C67">
        <w:rPr>
          <w:rFonts w:ascii="Verdana" w:eastAsia="Calibri" w:hAnsi="Verdana" w:cs="Arial"/>
          <w:b/>
          <w:bCs/>
          <w:color w:val="000000" w:themeColor="text1"/>
        </w:rPr>
        <w:t xml:space="preserve"> </w:t>
      </w:r>
      <w:r>
        <w:rPr>
          <w:rFonts w:ascii="Verdana" w:eastAsia="Calibri" w:hAnsi="Verdana" w:cs="Arial"/>
          <w:color w:val="000000" w:themeColor="text1"/>
        </w:rPr>
        <w:t xml:space="preserve">El inciso primero del artículo 85 de la Ley 489 de 1998 las define como “[…] </w:t>
      </w:r>
      <w:r w:rsidRPr="00EE29F7">
        <w:rPr>
          <w:rFonts w:ascii="Verdana" w:eastAsia="Calibri" w:hAnsi="Verdana" w:cs="Arial"/>
          <w:color w:val="000000" w:themeColor="text1"/>
        </w:rPr>
        <w:t>organismos creados por la ley o autorizados por ésta, que desarrollan actividades de naturaleza industrial o comercial y de gestión económica conforme a las reglas del Derecho Privado, salvo las excepciones que consagra la ley</w:t>
      </w:r>
      <w:r>
        <w:rPr>
          <w:rFonts w:ascii="Verdana" w:eastAsia="Calibri" w:hAnsi="Verdana" w:cs="Arial"/>
          <w:color w:val="000000" w:themeColor="text1"/>
        </w:rPr>
        <w:t xml:space="preserve"> […]”</w:t>
      </w:r>
      <w:r w:rsidRPr="009B6C67">
        <w:rPr>
          <w:rFonts w:ascii="Verdana" w:eastAsia="Calibri" w:hAnsi="Verdana" w:cs="Arial"/>
          <w:color w:val="000000" w:themeColor="text1"/>
        </w:rPr>
        <w:t xml:space="preserve">. </w:t>
      </w:r>
    </w:p>
    <w:p w14:paraId="249F0658" w14:textId="77777777" w:rsidR="001332E7" w:rsidRPr="009B6C67" w:rsidRDefault="001332E7" w:rsidP="001332E7">
      <w:pPr>
        <w:spacing w:after="120" w:line="276" w:lineRule="auto"/>
        <w:jc w:val="both"/>
        <w:rPr>
          <w:rFonts w:ascii="Verdana" w:eastAsia="Calibri" w:hAnsi="Verdana" w:cs="Arial"/>
          <w:color w:val="000000" w:themeColor="text1"/>
        </w:rPr>
      </w:pPr>
      <w:r w:rsidRPr="009B6C67">
        <w:rPr>
          <w:rFonts w:ascii="Verdana" w:eastAsia="Calibri" w:hAnsi="Verdana" w:cs="Arial"/>
          <w:color w:val="000000" w:themeColor="text1"/>
        </w:rPr>
        <w:tab/>
        <w:t xml:space="preserve">Considerando la actividad desarrollada, se itera, de carácter industrial o comercial, el régimen jurídico aplicable a estas empresas difiere del que corresponde a otras entidades descentralizadas funcionalmente o por servicios, como las superintendencias con personería jurídica, los establecimientos públicos o las unidades administrativas especiales, pues la regla general es el derecho privado, salvo excepciones legales.         </w:t>
      </w:r>
    </w:p>
    <w:p w14:paraId="03C3290D" w14:textId="77777777" w:rsidR="001332E7" w:rsidRPr="009B6C67" w:rsidRDefault="001332E7" w:rsidP="001332E7">
      <w:pPr>
        <w:spacing w:after="120" w:line="276" w:lineRule="auto"/>
        <w:jc w:val="both"/>
        <w:rPr>
          <w:rFonts w:ascii="Verdana" w:eastAsia="Calibri" w:hAnsi="Verdana" w:cs="Arial"/>
          <w:color w:val="000000" w:themeColor="text1"/>
        </w:rPr>
      </w:pPr>
      <w:r w:rsidRPr="009B6C67">
        <w:rPr>
          <w:rFonts w:ascii="Verdana" w:eastAsia="Calibri" w:hAnsi="Verdana" w:cs="Arial"/>
          <w:color w:val="000000" w:themeColor="text1"/>
        </w:rPr>
        <w:tab/>
        <w:t>Sobre el régimen de contratación, el artículo 2 de la Ley 80 de 1993 incorporó</w:t>
      </w:r>
      <w:r>
        <w:rPr>
          <w:rFonts w:ascii="Verdana" w:eastAsia="Calibri" w:hAnsi="Verdana" w:cs="Arial"/>
          <w:color w:val="000000" w:themeColor="text1"/>
        </w:rPr>
        <w:t xml:space="preserve"> a</w:t>
      </w:r>
      <w:r w:rsidRPr="009B6C67">
        <w:rPr>
          <w:rFonts w:ascii="Verdana" w:eastAsia="Calibri" w:hAnsi="Verdana" w:cs="Arial"/>
          <w:color w:val="000000" w:themeColor="text1"/>
        </w:rPr>
        <w:t xml:space="preserve"> </w:t>
      </w:r>
      <w:r w:rsidRPr="00A22A66">
        <w:rPr>
          <w:rFonts w:ascii="Verdana" w:eastAsia="Calibri" w:hAnsi="Verdana" w:cs="Arial"/>
          <w:color w:val="000000" w:themeColor="text1"/>
        </w:rPr>
        <w:t xml:space="preserve">las </w:t>
      </w:r>
      <w:r w:rsidRPr="007B0277">
        <w:rPr>
          <w:rFonts w:ascii="Verdana" w:eastAsia="Calibri" w:hAnsi="Verdana" w:cs="Arial"/>
          <w:color w:val="000000" w:themeColor="text1"/>
        </w:rPr>
        <w:t>empresas industriales y comerciales del Estado</w:t>
      </w:r>
      <w:r w:rsidRPr="009B6C67">
        <w:rPr>
          <w:rFonts w:ascii="Verdana" w:eastAsia="Calibri" w:hAnsi="Verdana" w:cs="Arial"/>
          <w:color w:val="000000" w:themeColor="text1"/>
        </w:rPr>
        <w:t xml:space="preserve"> dentro de la categoría de entidades estatales</w:t>
      </w:r>
      <w:r w:rsidRPr="009B6C67">
        <w:rPr>
          <w:rStyle w:val="Refdenotaalpie"/>
          <w:rFonts w:ascii="Verdana" w:eastAsia="Calibri" w:hAnsi="Verdana" w:cs="Arial"/>
          <w:color w:val="000000" w:themeColor="text1"/>
        </w:rPr>
        <w:footnoteReference w:id="13"/>
      </w:r>
      <w:r w:rsidRPr="009B6C67">
        <w:rPr>
          <w:rFonts w:ascii="Verdana" w:eastAsia="Calibri" w:hAnsi="Verdana" w:cs="Arial"/>
          <w:color w:val="000000" w:themeColor="text1"/>
        </w:rPr>
        <w:t>. Para estos efectos, el numeral 1, literal m), del artículo 24 del Estatuto General –derogado por el artículo 32 de la Ley 1150 de 2007– permitía la contratación directa de los bienes y servicios requeridos para el desarrollo de su objeto social, exceptuado los contratos de obra, consultoría, concesión, encargos fiduciarios y fiducia pública</w:t>
      </w:r>
      <w:r w:rsidRPr="009B6C67">
        <w:rPr>
          <w:rStyle w:val="Refdenotaalpie"/>
          <w:rFonts w:ascii="Verdana" w:eastAsia="Calibri" w:hAnsi="Verdana" w:cs="Arial"/>
          <w:color w:val="000000" w:themeColor="text1"/>
        </w:rPr>
        <w:footnoteReference w:id="14"/>
      </w:r>
      <w:r w:rsidRPr="009B6C67">
        <w:rPr>
          <w:rFonts w:ascii="Verdana" w:eastAsia="Calibri" w:hAnsi="Verdana" w:cs="Arial"/>
          <w:color w:val="000000" w:themeColor="text1"/>
        </w:rPr>
        <w:t xml:space="preserve">. </w:t>
      </w:r>
      <w:r>
        <w:rPr>
          <w:rFonts w:ascii="Verdana" w:eastAsia="Calibri" w:hAnsi="Verdana" w:cs="Arial"/>
          <w:color w:val="000000" w:themeColor="text1"/>
        </w:rPr>
        <w:t xml:space="preserve">Con el literal g) del artículo 2.2 de la Ley 1150 de 2007, dicha circunstancia se convierte en una causal de selección abreviada, la cual se regirá por el procedimiento de menor cuantía conforme al artículo </w:t>
      </w:r>
      <w:r w:rsidRPr="00E47542">
        <w:rPr>
          <w:rFonts w:ascii="Verdana" w:eastAsia="Calibri" w:hAnsi="Verdana" w:cs="Arial"/>
          <w:color w:val="000000" w:themeColor="text1"/>
        </w:rPr>
        <w:t>2.2.1.2.1.2.24</w:t>
      </w:r>
      <w:r>
        <w:rPr>
          <w:rFonts w:ascii="Verdana" w:eastAsia="Calibri" w:hAnsi="Verdana" w:cs="Arial"/>
          <w:color w:val="000000" w:themeColor="text1"/>
        </w:rPr>
        <w:t xml:space="preserve"> del Decreto 1082 de 2015</w:t>
      </w:r>
      <w:r>
        <w:rPr>
          <w:rStyle w:val="Refdenotaalpie"/>
          <w:rFonts w:ascii="Verdana" w:eastAsia="Calibri" w:hAnsi="Verdana" w:cs="Arial"/>
          <w:color w:val="000000" w:themeColor="text1"/>
        </w:rPr>
        <w:footnoteReference w:id="15"/>
      </w:r>
      <w:r>
        <w:rPr>
          <w:rFonts w:ascii="Verdana" w:eastAsia="Calibri" w:hAnsi="Verdana" w:cs="Arial"/>
          <w:color w:val="000000" w:themeColor="text1"/>
        </w:rPr>
        <w:t xml:space="preserve">.  </w:t>
      </w:r>
    </w:p>
    <w:p w14:paraId="710A8B58" w14:textId="77777777" w:rsidR="001332E7" w:rsidRPr="009B6C67" w:rsidRDefault="001332E7" w:rsidP="00C17AEF">
      <w:pPr>
        <w:spacing w:after="0" w:line="276" w:lineRule="auto"/>
        <w:jc w:val="both"/>
        <w:rPr>
          <w:rFonts w:ascii="Verdana" w:eastAsia="Calibri" w:hAnsi="Verdana" w:cs="Arial"/>
          <w:color w:val="000000" w:themeColor="text1"/>
        </w:rPr>
      </w:pPr>
      <w:r w:rsidRPr="009B6C67">
        <w:rPr>
          <w:rFonts w:ascii="Verdana" w:eastAsia="Calibri" w:hAnsi="Verdana" w:cs="Arial"/>
          <w:color w:val="000000" w:themeColor="text1"/>
        </w:rPr>
        <w:tab/>
        <w:t xml:space="preserve">Actualmente, el artículo 14 de Ley 1150 de 2007 distingue entre </w:t>
      </w:r>
      <w:r w:rsidRPr="00A22A66">
        <w:rPr>
          <w:rFonts w:ascii="Verdana" w:eastAsia="Calibri" w:hAnsi="Verdana" w:cs="Arial"/>
          <w:color w:val="000000" w:themeColor="text1"/>
        </w:rPr>
        <w:t xml:space="preserve">las </w:t>
      </w:r>
      <w:r>
        <w:rPr>
          <w:rFonts w:ascii="Verdana" w:eastAsia="Calibri" w:hAnsi="Verdana" w:cs="Arial"/>
          <w:color w:val="000000" w:themeColor="text1"/>
        </w:rPr>
        <w:t>empresas industriales y comerciales del Estado</w:t>
      </w:r>
      <w:r w:rsidRPr="009B6C67">
        <w:rPr>
          <w:rFonts w:ascii="Verdana" w:eastAsia="Calibri" w:hAnsi="Verdana" w:cs="Arial"/>
          <w:color w:val="000000" w:themeColor="text1"/>
        </w:rPr>
        <w:t xml:space="preserve"> que desarrollan sus actividades en competencia con los particulares y las que no: mientras los contratos de estas últimas regresan a las normas de la Ley 80 de 1993, los de aquellas permanecen dentro del Código Civil y de Comercio, lo que –respecto al contenido del artículo </w:t>
      </w:r>
      <w:r>
        <w:rPr>
          <w:rFonts w:ascii="Verdana" w:eastAsia="Calibri" w:hAnsi="Verdana" w:cs="Arial"/>
          <w:color w:val="000000" w:themeColor="text1"/>
        </w:rPr>
        <w:t>85</w:t>
      </w:r>
      <w:r w:rsidRPr="009B6C67">
        <w:rPr>
          <w:rFonts w:ascii="Verdana" w:eastAsia="Calibri" w:hAnsi="Verdana" w:cs="Arial"/>
          <w:color w:val="000000" w:themeColor="text1"/>
        </w:rPr>
        <w:t xml:space="preserve"> de la Ley 489 de 1998– implica un retorno parcial del derecho administrativo. La norma anteriormente citada dispone lo siguiente:</w:t>
      </w:r>
    </w:p>
    <w:p w14:paraId="249350AD" w14:textId="77777777" w:rsidR="00C17AEF" w:rsidRPr="009B6C67" w:rsidRDefault="00C17AEF" w:rsidP="00643E5C">
      <w:pPr>
        <w:spacing w:after="0" w:line="276" w:lineRule="auto"/>
        <w:jc w:val="both"/>
        <w:rPr>
          <w:rFonts w:ascii="Verdana" w:eastAsia="Calibri" w:hAnsi="Verdana" w:cs="Arial"/>
          <w:color w:val="000000" w:themeColor="text1"/>
        </w:rPr>
      </w:pPr>
    </w:p>
    <w:p w14:paraId="3C90B4F1" w14:textId="77777777" w:rsidR="001332E7" w:rsidRPr="008606D3" w:rsidRDefault="001332E7" w:rsidP="001332E7">
      <w:pPr>
        <w:spacing w:after="0" w:line="240" w:lineRule="auto"/>
        <w:ind w:left="709" w:right="709"/>
        <w:jc w:val="both"/>
        <w:rPr>
          <w:rFonts w:ascii="Verdana" w:eastAsia="Calibri" w:hAnsi="Verdana" w:cs="Arial"/>
          <w:color w:val="000000" w:themeColor="text1"/>
          <w:sz w:val="20"/>
          <w:szCs w:val="20"/>
        </w:rPr>
      </w:pPr>
      <w:r w:rsidRPr="008606D3">
        <w:rPr>
          <w:rFonts w:ascii="Verdana" w:eastAsia="Calibri" w:hAnsi="Verdana" w:cs="Arial"/>
          <w:color w:val="000000" w:themeColor="text1"/>
          <w:sz w:val="20"/>
          <w:szCs w:val="20"/>
        </w:rPr>
        <w:t>“Artículo 14. Modificado por la Ley 1474 de 2011, artículo 93. Las Empresas Industriales y Comerciales del Estado, las Sociedades de Economía Mixta en las que el Estado tenga participación superior al cincuenta por ciento (50%), sus filiales y las Sociedades entre Entidades Públicas con participación mayoritaria del Estado superior al cincuenta por ciento (50%), estarán sometidas al Estatuto General de Contratación de la Administración Pública, con excepción de aquellas que desarrollen actividades comerciales en competencia con el sector privado y/o público, nacional o internacional o en mercados regulados, caso en el cual se regirán por las disposiciones legales y reglamentarias aplicables a sus actividades económicas y comerciales, sin perjuicio de lo previsto en el artículo 13 de la presente ley. Se exceptúan los contratos de ciencia y tecnología, que se regirán por la Ley 29 de 1990 y las disposiciones normativas existentes”.</w:t>
      </w:r>
    </w:p>
    <w:p w14:paraId="167A52B3" w14:textId="77777777" w:rsidR="001332E7" w:rsidRPr="009B6C67" w:rsidRDefault="001332E7" w:rsidP="001332E7">
      <w:pPr>
        <w:spacing w:after="0" w:line="276" w:lineRule="auto"/>
        <w:ind w:left="709" w:right="709"/>
        <w:jc w:val="both"/>
        <w:rPr>
          <w:rFonts w:ascii="Verdana" w:eastAsia="Calibri" w:hAnsi="Verdana" w:cs="Arial"/>
          <w:color w:val="000000" w:themeColor="text1"/>
        </w:rPr>
      </w:pPr>
    </w:p>
    <w:p w14:paraId="2F14ABB8" w14:textId="77777777" w:rsidR="00725F89" w:rsidRDefault="001332E7" w:rsidP="00643E5C">
      <w:pPr>
        <w:spacing w:after="120" w:line="276" w:lineRule="auto"/>
        <w:jc w:val="both"/>
        <w:rPr>
          <w:rFonts w:ascii="Verdana" w:eastAsia="Calibri" w:hAnsi="Verdana" w:cs="Arial"/>
          <w:color w:val="000000" w:themeColor="text1"/>
        </w:rPr>
      </w:pPr>
      <w:r w:rsidRPr="009B6C67">
        <w:rPr>
          <w:rFonts w:ascii="Verdana" w:eastAsia="Calibri" w:hAnsi="Verdana" w:cs="Arial"/>
          <w:color w:val="000000" w:themeColor="text1"/>
        </w:rPr>
        <w:tab/>
        <w:t xml:space="preserve">En esta medida, las </w:t>
      </w:r>
      <w:r>
        <w:rPr>
          <w:rFonts w:ascii="Verdana" w:eastAsia="Calibri" w:hAnsi="Verdana" w:cs="Arial"/>
          <w:color w:val="000000" w:themeColor="text1"/>
        </w:rPr>
        <w:t>empresas industriales y comerciales del Estado</w:t>
      </w:r>
      <w:r w:rsidRPr="009B6C67">
        <w:rPr>
          <w:rFonts w:ascii="Verdana" w:eastAsia="Calibri" w:hAnsi="Verdana" w:cs="Arial"/>
          <w:color w:val="000000" w:themeColor="text1"/>
        </w:rPr>
        <w:t xml:space="preserve"> que no estén en competencia ni desarrollen su actividad en mercados regulados están sometidas al Estatuto General de Contratación de la Administración Pública y las normas que lo complementan. Conforme al literal g) del artículo 2.2 de la Ley 1150 de 2007, estos contratos siguen las reglas del procedimiento de selección abreviada, exceptuados los del artículo 32 de la Ley 80 de 1993. En contraste, el régimen contractual de </w:t>
      </w:r>
      <w:r w:rsidRPr="00A22A66">
        <w:rPr>
          <w:rFonts w:ascii="Verdana" w:eastAsia="Calibri" w:hAnsi="Verdana" w:cs="Arial"/>
          <w:color w:val="000000" w:themeColor="text1"/>
        </w:rPr>
        <w:t xml:space="preserve">las </w:t>
      </w:r>
      <w:r>
        <w:rPr>
          <w:rFonts w:ascii="Verdana" w:eastAsia="Calibri" w:hAnsi="Verdana" w:cs="Arial"/>
          <w:color w:val="000000" w:themeColor="text1"/>
        </w:rPr>
        <w:t>empresas industriales y comerciales del Estado</w:t>
      </w:r>
      <w:r w:rsidRPr="009B6C67">
        <w:rPr>
          <w:rFonts w:ascii="Verdana" w:eastAsia="Calibri" w:hAnsi="Verdana" w:cs="Arial"/>
          <w:color w:val="000000" w:themeColor="text1"/>
        </w:rPr>
        <w:t xml:space="preserve"> que se encuentren en competencia o en mercados regulados es el propio de tales actividades, esto es, por regla general, el derecho privado. </w:t>
      </w:r>
    </w:p>
    <w:p w14:paraId="6DC36C00" w14:textId="397DEDB3" w:rsidR="001332E7" w:rsidRPr="009B6C67" w:rsidRDefault="001332E7" w:rsidP="00643E5C">
      <w:pPr>
        <w:spacing w:after="0" w:line="276" w:lineRule="auto"/>
        <w:ind w:firstLine="708"/>
        <w:jc w:val="both"/>
        <w:rPr>
          <w:rFonts w:ascii="Verdana" w:eastAsia="Calibri" w:hAnsi="Verdana" w:cs="Arial"/>
          <w:color w:val="000000" w:themeColor="text1"/>
        </w:rPr>
      </w:pPr>
      <w:r w:rsidRPr="009B6C67">
        <w:rPr>
          <w:rFonts w:ascii="Verdana" w:eastAsia="Calibri" w:hAnsi="Verdana" w:cs="Arial"/>
          <w:color w:val="000000" w:themeColor="text1"/>
        </w:rPr>
        <w:t>De acuerdo con la jurisprudencia, la exclusión de estas últimas se justifica en el principio de igualdad, ya que, si Estado desarrolla actividades de los particulares, debe actuar no solo desprovisto de poderes exorbitantes sino también con la misma eficacia y eficiencia que los sujetos de derecho privado. No en vano:</w:t>
      </w:r>
    </w:p>
    <w:p w14:paraId="2E79BF6F" w14:textId="77777777" w:rsidR="00725F89" w:rsidRPr="009B6C67" w:rsidRDefault="00725F89" w:rsidP="00643E5C">
      <w:pPr>
        <w:spacing w:after="0" w:line="276" w:lineRule="auto"/>
        <w:jc w:val="both"/>
        <w:rPr>
          <w:rFonts w:ascii="Verdana" w:eastAsia="Calibri" w:hAnsi="Verdana" w:cs="Arial"/>
          <w:color w:val="000000" w:themeColor="text1"/>
        </w:rPr>
      </w:pPr>
    </w:p>
    <w:p w14:paraId="7D132712" w14:textId="77777777" w:rsidR="001332E7" w:rsidRPr="008606D3" w:rsidRDefault="001332E7" w:rsidP="00CC6E4C">
      <w:pPr>
        <w:spacing w:after="0" w:line="240" w:lineRule="auto"/>
        <w:ind w:left="709" w:right="709"/>
        <w:jc w:val="both"/>
        <w:rPr>
          <w:rFonts w:ascii="Verdana" w:eastAsia="Calibri" w:hAnsi="Verdana" w:cs="Arial"/>
          <w:color w:val="000000" w:themeColor="text1"/>
          <w:sz w:val="20"/>
          <w:szCs w:val="20"/>
        </w:rPr>
      </w:pPr>
      <w:r w:rsidRPr="008606D3">
        <w:rPr>
          <w:rFonts w:ascii="Verdana" w:eastAsia="Calibri" w:hAnsi="Verdana" w:cs="Arial"/>
          <w:color w:val="000000" w:themeColor="text1"/>
          <w:sz w:val="20"/>
          <w:szCs w:val="20"/>
        </w:rPr>
        <w:t>“La razón de ser de la aplicación del régimen de derecho privado a estas entidades radica en la necesidad de que en su actividad industrial y comercial, tradicionalmente ajena al Estado y propia de los particulares, ellas actúen en términos equivalentes a éstos cuando realicen actividades similares, sin tener prerrogativas exorbitantes que atenten contra el derecho a la igualdad ni estar sujetas a procedimientos administrativos que entraben sus actuaciones y las pongan en situación de desventaja frente a sus competidores.</w:t>
      </w:r>
    </w:p>
    <w:p w14:paraId="3E1D345C" w14:textId="77777777" w:rsidR="00CC6E4C" w:rsidRPr="008606D3" w:rsidRDefault="00CC6E4C" w:rsidP="00643E5C">
      <w:pPr>
        <w:spacing w:after="0" w:line="240" w:lineRule="auto"/>
        <w:ind w:left="709" w:right="709"/>
        <w:jc w:val="both"/>
        <w:rPr>
          <w:rFonts w:ascii="Verdana" w:eastAsia="Calibri" w:hAnsi="Verdana" w:cs="Arial"/>
          <w:color w:val="000000" w:themeColor="text1"/>
          <w:sz w:val="20"/>
          <w:szCs w:val="20"/>
        </w:rPr>
      </w:pPr>
    </w:p>
    <w:p w14:paraId="62CECD1B" w14:textId="77777777" w:rsidR="001332E7" w:rsidRPr="008606D3" w:rsidRDefault="001332E7" w:rsidP="00CC6E4C">
      <w:pPr>
        <w:spacing w:after="0" w:line="240" w:lineRule="auto"/>
        <w:ind w:left="709" w:right="709"/>
        <w:jc w:val="both"/>
        <w:rPr>
          <w:rFonts w:ascii="Verdana" w:eastAsia="Calibri" w:hAnsi="Verdana" w:cs="Arial"/>
          <w:color w:val="000000" w:themeColor="text1"/>
          <w:sz w:val="20"/>
          <w:szCs w:val="20"/>
        </w:rPr>
      </w:pPr>
      <w:r w:rsidRPr="008606D3">
        <w:rPr>
          <w:rFonts w:ascii="Verdana" w:eastAsia="Calibri" w:hAnsi="Verdana" w:cs="Arial"/>
          <w:color w:val="000000" w:themeColor="text1"/>
          <w:sz w:val="20"/>
          <w:szCs w:val="20"/>
        </w:rPr>
        <w:t xml:space="preserve">Se trata pues, de que sus actividades de explotación industrial o comercial se desarrollen con las </w:t>
      </w:r>
      <w:proofErr w:type="gramStart"/>
      <w:r w:rsidRPr="008606D3">
        <w:rPr>
          <w:rFonts w:ascii="Verdana" w:eastAsia="Calibri" w:hAnsi="Verdana" w:cs="Arial"/>
          <w:color w:val="000000" w:themeColor="text1"/>
          <w:sz w:val="20"/>
          <w:szCs w:val="20"/>
        </w:rPr>
        <w:t>mismas oportunidades y las mismas ventajas</w:t>
      </w:r>
      <w:proofErr w:type="gramEnd"/>
      <w:r w:rsidRPr="008606D3">
        <w:rPr>
          <w:rFonts w:ascii="Verdana" w:eastAsia="Calibri" w:hAnsi="Verdana" w:cs="Arial"/>
          <w:color w:val="000000" w:themeColor="text1"/>
          <w:sz w:val="20"/>
          <w:szCs w:val="20"/>
        </w:rPr>
        <w:t xml:space="preserve"> o desventajas que las adelantadas por aquellos, sin que influya para nada su investidura de entidad estatal; que puedan actuar como particulares, frente a las exigencias de la economía y del mercado.</w:t>
      </w:r>
    </w:p>
    <w:p w14:paraId="4D738B40" w14:textId="77777777" w:rsidR="00CC6E4C" w:rsidRPr="008606D3" w:rsidRDefault="00CC6E4C" w:rsidP="00643E5C">
      <w:pPr>
        <w:spacing w:after="0" w:line="240" w:lineRule="auto"/>
        <w:ind w:left="709" w:right="709"/>
        <w:jc w:val="both"/>
        <w:rPr>
          <w:rFonts w:ascii="Verdana" w:eastAsia="Calibri" w:hAnsi="Verdana" w:cs="Arial"/>
          <w:color w:val="000000" w:themeColor="text1"/>
          <w:sz w:val="20"/>
          <w:szCs w:val="20"/>
        </w:rPr>
      </w:pPr>
    </w:p>
    <w:p w14:paraId="329F707B" w14:textId="77777777" w:rsidR="001332E7" w:rsidRPr="008606D3" w:rsidRDefault="001332E7" w:rsidP="001332E7">
      <w:pPr>
        <w:spacing w:after="0" w:line="240" w:lineRule="auto"/>
        <w:ind w:left="709" w:right="709"/>
        <w:jc w:val="both"/>
        <w:rPr>
          <w:rFonts w:ascii="Verdana" w:eastAsia="Calibri" w:hAnsi="Verdana" w:cs="Arial"/>
          <w:color w:val="000000" w:themeColor="text1"/>
          <w:sz w:val="20"/>
          <w:szCs w:val="20"/>
        </w:rPr>
      </w:pPr>
      <w:r w:rsidRPr="008606D3">
        <w:rPr>
          <w:rFonts w:ascii="Verdana" w:eastAsia="Calibri" w:hAnsi="Verdana" w:cs="Arial"/>
          <w:color w:val="000000" w:themeColor="text1"/>
          <w:sz w:val="20"/>
          <w:szCs w:val="20"/>
        </w:rPr>
        <w:t>Por ello, la regla general es que en sus actos y contratos rijan las normas de derecho privado, salvo en cuanto a sus relaciones con la Administración y en aquellos casos en los que por expresa disposición legal ejerzan alguna función administrativa, puesto que allí sí deberá dar aplicación a las reglas de derecho público pertinentes”</w:t>
      </w:r>
      <w:r w:rsidRPr="008606D3">
        <w:rPr>
          <w:rStyle w:val="Refdenotaalpie"/>
          <w:rFonts w:ascii="Verdana" w:eastAsia="Calibri" w:hAnsi="Verdana" w:cs="Arial"/>
          <w:color w:val="000000" w:themeColor="text1"/>
          <w:sz w:val="20"/>
          <w:szCs w:val="20"/>
        </w:rPr>
        <w:footnoteReference w:id="16"/>
      </w:r>
      <w:r w:rsidRPr="008606D3">
        <w:rPr>
          <w:rFonts w:ascii="Verdana" w:eastAsia="Calibri" w:hAnsi="Verdana" w:cs="Arial"/>
          <w:color w:val="000000" w:themeColor="text1"/>
          <w:sz w:val="20"/>
          <w:szCs w:val="20"/>
        </w:rPr>
        <w:t>.</w:t>
      </w:r>
    </w:p>
    <w:p w14:paraId="29AAF933" w14:textId="77777777" w:rsidR="001332E7" w:rsidRPr="009B6C67" w:rsidRDefault="001332E7" w:rsidP="001332E7">
      <w:pPr>
        <w:spacing w:after="0" w:line="276" w:lineRule="auto"/>
        <w:jc w:val="both"/>
        <w:rPr>
          <w:rFonts w:ascii="Verdana" w:eastAsia="Calibri" w:hAnsi="Verdana" w:cs="Arial"/>
          <w:color w:val="000000" w:themeColor="text1"/>
        </w:rPr>
      </w:pPr>
    </w:p>
    <w:p w14:paraId="1F26DD31" w14:textId="77777777" w:rsidR="001332E7" w:rsidRDefault="001332E7" w:rsidP="001332E7">
      <w:pPr>
        <w:tabs>
          <w:tab w:val="left" w:pos="709"/>
        </w:tabs>
        <w:spacing w:after="120" w:line="276" w:lineRule="auto"/>
        <w:jc w:val="both"/>
        <w:rPr>
          <w:rFonts w:ascii="Verdana" w:eastAsia="Calibri" w:hAnsi="Verdana" w:cs="Arial"/>
          <w:color w:val="000000" w:themeColor="text1"/>
        </w:rPr>
      </w:pPr>
      <w:r>
        <w:rPr>
          <w:rFonts w:ascii="Verdana" w:eastAsia="Calibri" w:hAnsi="Verdana" w:cs="Arial"/>
          <w:color w:val="000000" w:themeColor="text1"/>
        </w:rPr>
        <w:tab/>
      </w:r>
      <w:r w:rsidRPr="009B6C67">
        <w:rPr>
          <w:rFonts w:ascii="Verdana" w:eastAsia="Calibri" w:hAnsi="Verdana" w:cs="Arial"/>
          <w:color w:val="000000" w:themeColor="text1"/>
        </w:rPr>
        <w:t xml:space="preserve">Por lo tanto, el régimen contractual de </w:t>
      </w:r>
      <w:r w:rsidRPr="00A22A66">
        <w:rPr>
          <w:rFonts w:ascii="Verdana" w:eastAsia="Calibri" w:hAnsi="Verdana" w:cs="Arial"/>
          <w:color w:val="000000" w:themeColor="text1"/>
        </w:rPr>
        <w:t xml:space="preserve">las </w:t>
      </w:r>
      <w:r>
        <w:rPr>
          <w:rFonts w:ascii="Verdana" w:eastAsia="Calibri" w:hAnsi="Verdana" w:cs="Arial"/>
          <w:color w:val="000000" w:themeColor="text1"/>
        </w:rPr>
        <w:t>empresas industriales y comerciales del Estado</w:t>
      </w:r>
      <w:r w:rsidRPr="009B6C67">
        <w:rPr>
          <w:rFonts w:ascii="Verdana" w:eastAsia="Calibri" w:hAnsi="Verdana" w:cs="Arial"/>
          <w:color w:val="000000" w:themeColor="text1"/>
        </w:rPr>
        <w:t xml:space="preserve"> que estén en competencia o desarrollen su actividad en mercados regulados es el propio de tal actividad, esto es, por regla general, el derecho privado, salvo las excepciones legales. Aunque estos contratos están excluidos de la Ley 80 de 1993, no se rigen exclusivamente por el derecho civil y comercial, pues –conforme al artículo 13 de la Ley 1150 de 2007– aplican tanto los principios de la función administrativa y de la gestión fiscal como el régimen de inhabilidades e incompatibilidades. Por el contrario, aquellas </w:t>
      </w:r>
      <w:r>
        <w:rPr>
          <w:rFonts w:ascii="Verdana" w:eastAsia="Calibri" w:hAnsi="Verdana" w:cs="Arial"/>
          <w:color w:val="000000" w:themeColor="text1"/>
        </w:rPr>
        <w:t>empresas industriales y comerciales del Estado</w:t>
      </w:r>
      <w:r w:rsidRPr="009B6C67">
        <w:rPr>
          <w:rFonts w:ascii="Verdana" w:eastAsia="Calibri" w:hAnsi="Verdana" w:cs="Arial"/>
          <w:color w:val="000000" w:themeColor="text1"/>
        </w:rPr>
        <w:t xml:space="preserve"> que no estén en competencia ni desarrollen su actividad en mercados regulados están sometidas al Estatuto General de Contratación de la Administración Pública y las normas que lo complementan, como lo dispone el artículo 14 de la Ley 1150 de 2007.</w:t>
      </w:r>
    </w:p>
    <w:p w14:paraId="3100551A" w14:textId="77777777" w:rsidR="001332E7" w:rsidRPr="006D2D32" w:rsidRDefault="001332E7" w:rsidP="001332E7">
      <w:pPr>
        <w:tabs>
          <w:tab w:val="left" w:pos="709"/>
        </w:tabs>
        <w:spacing w:after="120" w:line="276" w:lineRule="auto"/>
        <w:ind w:firstLine="709"/>
        <w:jc w:val="both"/>
        <w:rPr>
          <w:rFonts w:ascii="Verdana" w:eastAsia="Calibri" w:hAnsi="Verdana" w:cs="Arial"/>
          <w:color w:val="000000" w:themeColor="text1"/>
        </w:rPr>
      </w:pPr>
      <w:r>
        <w:rPr>
          <w:rFonts w:ascii="Verdana" w:eastAsia="Calibri" w:hAnsi="Verdana" w:cs="Arial"/>
          <w:color w:val="000000" w:themeColor="text1"/>
        </w:rPr>
        <w:t>Ahora bien, u</w:t>
      </w:r>
      <w:r>
        <w:rPr>
          <w:rFonts w:ascii="Verdana" w:eastAsia="Verdana" w:hAnsi="Verdana" w:cs="Verdana"/>
          <w:lang w:val="es-MX"/>
        </w:rPr>
        <w:t xml:space="preserve">no de los postulados más importantes de un Estado Social Democrático de Derecho es el principio de publicidad, pues este permite que las actuaciones de las autoridades gocen de visibilidad.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artículo 74, que consagra la garantía de acceso a los documentos públicos que no gocen de reserva -y esta, además, es excepcional pues solo procede si existe causal constitucional o legal expresa-. </w:t>
      </w:r>
    </w:p>
    <w:p w14:paraId="74CD980A" w14:textId="77777777" w:rsidR="001332E7" w:rsidRPr="00813F18" w:rsidRDefault="001332E7" w:rsidP="001332E7">
      <w:pPr>
        <w:tabs>
          <w:tab w:val="left" w:pos="709"/>
        </w:tabs>
        <w:spacing w:after="120" w:line="276" w:lineRule="auto"/>
        <w:ind w:firstLine="709"/>
        <w:jc w:val="both"/>
        <w:rPr>
          <w:rFonts w:ascii="Verdana" w:eastAsia="Calibri" w:hAnsi="Verdana" w:cs="Arial"/>
          <w:color w:val="000000" w:themeColor="text1"/>
        </w:rPr>
      </w:pPr>
      <w:r>
        <w:rPr>
          <w:rFonts w:ascii="Verdana" w:eastAsia="Verdana" w:hAnsi="Verdana" w:cs="Verdana"/>
          <w:lang w:val="es-MX"/>
        </w:rPr>
        <w:t>El principio de publicidad impone a las autoridades administrativas el deber de dar a conocer sus actos, contratos y precisiones para que se divulguen y eventualmente se controlen. Por ello, en la contratación estatal, el literal c) del artículo 3 de la Ley 1150 de 2007 establece el Sistema Electrónico para la Contratación Pública, en adelante SECOP, como un mecanismo que “contara con información oficial de la contratación realizada con dineros públicos, para lo cual establecerá los patrones a que haya lugar y se encargará de su difusión a través de canales electrónicos</w:t>
      </w:r>
      <w:r>
        <w:rPr>
          <w:rStyle w:val="Refdenotaalpie"/>
          <w:rFonts w:ascii="Verdana" w:eastAsia="Verdana" w:hAnsi="Verdana" w:cs="Verdana"/>
          <w:lang w:val="es-MX"/>
        </w:rPr>
        <w:footnoteReference w:id="17"/>
      </w:r>
      <w:r>
        <w:rPr>
          <w:rFonts w:ascii="Verdana" w:eastAsia="Verdana" w:hAnsi="Verdana" w:cs="Verdana"/>
          <w:lang w:val="es-MX"/>
        </w:rPr>
        <w:t xml:space="preserve">. </w:t>
      </w:r>
    </w:p>
    <w:p w14:paraId="0E4EB06C" w14:textId="77777777" w:rsidR="001332E7" w:rsidRDefault="001332E7" w:rsidP="001332E7">
      <w:pPr>
        <w:spacing w:after="120" w:line="276" w:lineRule="auto"/>
        <w:ind w:firstLine="709"/>
        <w:jc w:val="both"/>
        <w:rPr>
          <w:rFonts w:ascii="Verdana" w:eastAsia="Verdana" w:hAnsi="Verdana" w:cs="Verdana"/>
          <w:lang w:val="es-MX"/>
        </w:rPr>
      </w:pPr>
      <w:r>
        <w:rPr>
          <w:rFonts w:ascii="Verdana" w:eastAsia="Verdana" w:hAnsi="Verdana" w:cs="Verdana"/>
          <w:lang w:val="es-MX"/>
        </w:rPr>
        <w:t xml:space="preserve">De otra parte, la Ley 1712 de 2014 – ley estatutaria que regula la transparencia y el derecho de acceso a la información y a los documentos púbicos-; identifica como principios que orientan el derecho de acceso a la información pública, el de máxima publicidad, transparencia en la información y buena fe. El principio de máxima publicidad establece que “toda información en posesión, bajo el control o custodia de un sujeto obligado es </w:t>
      </w:r>
      <w:proofErr w:type="spellStart"/>
      <w:r>
        <w:rPr>
          <w:rFonts w:ascii="Verdana" w:eastAsia="Verdana" w:hAnsi="Verdana" w:cs="Verdana"/>
          <w:lang w:val="es-MX"/>
        </w:rPr>
        <w:t>publica</w:t>
      </w:r>
      <w:proofErr w:type="spellEnd"/>
      <w:r>
        <w:rPr>
          <w:rFonts w:ascii="Verdana" w:eastAsia="Verdana" w:hAnsi="Verdana" w:cs="Verdana"/>
          <w:lang w:val="es-MX"/>
        </w:rPr>
        <w:t xml:space="preserve"> y no podrá ser reservada o limitada sino por disposición constitucional o legal”</w:t>
      </w:r>
      <w:r>
        <w:rPr>
          <w:rStyle w:val="Refdenotaalpie"/>
          <w:rFonts w:ascii="Verdana" w:eastAsia="Verdana" w:hAnsi="Verdana" w:cs="Verdana"/>
          <w:lang w:val="es-MX"/>
        </w:rPr>
        <w:footnoteReference w:id="18"/>
      </w:r>
      <w:r>
        <w:rPr>
          <w:rFonts w:ascii="Verdana" w:eastAsia="Verdana" w:hAnsi="Verdana" w:cs="Verdana"/>
          <w:lang w:val="es-MX"/>
        </w:rPr>
        <w:t>.</w:t>
      </w:r>
    </w:p>
    <w:p w14:paraId="7BD2CB37" w14:textId="77777777" w:rsidR="001332E7" w:rsidRDefault="001332E7" w:rsidP="001332E7">
      <w:pPr>
        <w:tabs>
          <w:tab w:val="left" w:pos="709"/>
        </w:tabs>
        <w:spacing w:after="120" w:line="276" w:lineRule="auto"/>
        <w:ind w:firstLine="709"/>
        <w:jc w:val="both"/>
        <w:rPr>
          <w:rFonts w:ascii="Verdana" w:eastAsia="Times New Roman" w:hAnsi="Verdana" w:cs="Arial"/>
          <w:lang w:val="es-ES_tradnl" w:eastAsia="es-ES_tradnl"/>
          <w14:ligatures w14:val="standardContextual"/>
        </w:rPr>
      </w:pPr>
      <w:r>
        <w:rPr>
          <w:rFonts w:ascii="Verdana" w:eastAsia="Verdana" w:hAnsi="Verdana" w:cs="Verdana"/>
          <w:lang w:val="es-MX"/>
        </w:rPr>
        <w:t xml:space="preserve">El principio de transparencia en la información alude al deber de los sujetos de proporcionar y facilitar el acceso a la misma en los términos más amplios posibles, y a través de los medios y procedimientos legales. </w:t>
      </w:r>
      <w:r>
        <w:rPr>
          <w:rFonts w:ascii="Verdana" w:eastAsia="Times New Roman" w:hAnsi="Verdana" w:cs="Arial"/>
          <w:lang w:val="es-ES_tradnl" w:eastAsia="es-ES_tradnl"/>
          <w14:ligatures w14:val="standardContextual"/>
        </w:rPr>
        <w:t>En este sentido, el artículo 5</w:t>
      </w:r>
      <w:r>
        <w:rPr>
          <w:rStyle w:val="Refdenotaalpie"/>
          <w:rFonts w:ascii="Verdana" w:eastAsia="Times New Roman" w:hAnsi="Verdana" w:cs="Arial"/>
          <w:lang w:val="es-ES_tradnl" w:eastAsia="es-ES_tradnl"/>
          <w14:ligatures w14:val="standardContextual"/>
        </w:rPr>
        <w:footnoteReference w:id="19"/>
      </w:r>
      <w:r>
        <w:rPr>
          <w:rFonts w:ascii="Verdana" w:eastAsia="Times New Roman" w:hAnsi="Verdana" w:cs="Arial"/>
          <w:lang w:val="es-ES_tradnl" w:eastAsia="es-ES_tradnl"/>
          <w14:ligatures w14:val="standardContextual"/>
        </w:rPr>
        <w:t xml:space="preserve"> de la Ley 1712 de 2014 establece el ámbito de ampliación, esto es, quienes son los sujetos obligados a publicar su información.</w:t>
      </w:r>
    </w:p>
    <w:p w14:paraId="60CAEEB8" w14:textId="77777777" w:rsidR="001332E7" w:rsidRDefault="001332E7" w:rsidP="001332E7">
      <w:pPr>
        <w:tabs>
          <w:tab w:val="left" w:pos="709"/>
        </w:tabs>
        <w:spacing w:after="120" w:line="276" w:lineRule="auto"/>
        <w:ind w:firstLine="709"/>
        <w:jc w:val="both"/>
        <w:rPr>
          <w:rFonts w:ascii="Verdana" w:eastAsia="Times New Roman" w:hAnsi="Verdana" w:cs="Arial"/>
          <w:lang w:val="es-ES_tradnl" w:eastAsia="es-ES_tradnl"/>
          <w14:ligatures w14:val="standardContextual"/>
        </w:rPr>
      </w:pPr>
      <w:r>
        <w:rPr>
          <w:rFonts w:ascii="Verdana" w:eastAsia="Times New Roman" w:hAnsi="Verdana" w:cs="Arial"/>
          <w:lang w:val="es-ES_tradnl" w:eastAsia="es-ES_tradnl"/>
          <w14:ligatures w14:val="standardContextual"/>
        </w:rPr>
        <w:t xml:space="preserve">Teniendo en cuenta quienes son los sujetos obligados a publicar la información, es pertinente señalar que el precitado artículo dispone que la Ley 1712 aplica </w:t>
      </w:r>
      <w:r w:rsidRPr="004878FE">
        <w:rPr>
          <w:rFonts w:ascii="Verdana" w:eastAsia="Times New Roman" w:hAnsi="Verdana" w:cs="Arial"/>
          <w:lang w:val="es-ES_tradnl" w:eastAsia="es-ES_tradnl"/>
          <w14:ligatures w14:val="standardContextual"/>
        </w:rPr>
        <w:t>a un amplio conjunto de sujetos obligados, incluyendo todas las entidades públicas de cualquier rama y nivel; órganos autónomos y de control; personas naturales o jurídicas, públicas o privadas, que ejerzan función pública o presten servicios públicos respecto de la información relacionada con dicha función; empresas estatales; partidos y movimientos políticos; y entidades que administren recursos públicos o parafiscales. Además, quienes reciban o intermedien fondos públicos, sin cumplir otros criterios, solo deben cumplir la ley respecto de la información vinculada a esos recursos. Finalmente, aclara que los usuarios privados de información pública no son sujetos obligados</w:t>
      </w:r>
      <w:r>
        <w:rPr>
          <w:rFonts w:ascii="Verdana" w:eastAsia="Times New Roman" w:hAnsi="Verdana" w:cs="Arial"/>
          <w:lang w:val="es-ES_tradnl" w:eastAsia="es-ES_tradnl"/>
          <w14:ligatures w14:val="standardContextual"/>
        </w:rPr>
        <w:t>.</w:t>
      </w:r>
    </w:p>
    <w:p w14:paraId="6434FEDB" w14:textId="77777777" w:rsidR="001332E7" w:rsidRDefault="001332E7" w:rsidP="001332E7">
      <w:pPr>
        <w:spacing w:after="120" w:line="276" w:lineRule="auto"/>
        <w:ind w:firstLine="709"/>
        <w:jc w:val="both"/>
        <w:rPr>
          <w:rFonts w:ascii="Verdana" w:eastAsia="Times New Roman" w:hAnsi="Verdana" w:cs="Arial"/>
          <w:lang w:eastAsia="es-ES_tradnl"/>
          <w14:ligatures w14:val="standardContextual"/>
        </w:rPr>
      </w:pPr>
      <w:r>
        <w:rPr>
          <w:rFonts w:ascii="Verdana" w:eastAsia="Times New Roman" w:hAnsi="Verdana" w:cs="Arial"/>
          <w:lang w:eastAsia="es-ES_tradnl"/>
          <w14:ligatures w14:val="standardContextual"/>
        </w:rPr>
        <w:t>Ahora bien, para revisar el alcance de l</w:t>
      </w:r>
      <w:r w:rsidRPr="00FE0D34">
        <w:rPr>
          <w:rFonts w:ascii="Verdana" w:eastAsia="Times New Roman" w:hAnsi="Verdana" w:cs="Arial"/>
          <w:lang w:eastAsia="es-ES_tradnl"/>
          <w14:ligatures w14:val="standardContextual"/>
        </w:rPr>
        <w:t xml:space="preserve">a obligación de publicar la información contractual </w:t>
      </w:r>
      <w:r>
        <w:rPr>
          <w:rFonts w:ascii="Verdana" w:eastAsia="Times New Roman" w:hAnsi="Verdana" w:cs="Arial"/>
          <w:lang w:eastAsia="es-ES_tradnl"/>
          <w14:ligatures w14:val="standardContextual"/>
        </w:rPr>
        <w:t xml:space="preserve">se acude al </w:t>
      </w:r>
      <w:r w:rsidRPr="00FE0D34">
        <w:rPr>
          <w:rFonts w:ascii="Verdana" w:eastAsia="Times New Roman" w:hAnsi="Verdana" w:cs="Arial"/>
          <w:lang w:eastAsia="es-ES_tradnl"/>
          <w14:ligatures w14:val="standardContextual"/>
        </w:rPr>
        <w:t>Decreto Único Reglamentario 1081 de 2015</w:t>
      </w:r>
      <w:r w:rsidRPr="00AD6B46">
        <w:rPr>
          <w:rFonts w:ascii="Verdana" w:eastAsia="Times New Roman" w:hAnsi="Verdana" w:cs="Arial"/>
          <w:vertAlign w:val="superscript"/>
          <w:lang w:val="es-ES_tradnl" w:eastAsia="es-ES_tradnl"/>
          <w14:ligatures w14:val="standardContextual"/>
        </w:rPr>
        <w:footnoteReference w:id="20"/>
      </w:r>
      <w:r w:rsidRPr="00FE0D34">
        <w:rPr>
          <w:rFonts w:ascii="Verdana" w:eastAsia="Times New Roman" w:hAnsi="Verdana" w:cs="Arial"/>
          <w:lang w:eastAsia="es-ES_tradnl"/>
          <w14:ligatures w14:val="standardContextual"/>
        </w:rPr>
        <w:t>, el cual precisó que los sujetos obligados que celebren contratos deben divulgar dicha información a través del Sistema Electrónico para la Contratación Pública – SECOP. Esta disposición reglamentaria consolidó el principio de transparencia en la gestión contractual estatal, al establecer un mecanismo uniforme y centralizado para la publicidad, garantizando así la trazabilidad, el control ciudadano y el acceso efectivo a la información pública contractual.</w:t>
      </w:r>
      <w:r>
        <w:rPr>
          <w:rFonts w:ascii="Verdana" w:eastAsia="Times New Roman" w:hAnsi="Verdana" w:cs="Arial"/>
          <w:lang w:eastAsia="es-ES_tradnl"/>
          <w14:ligatures w14:val="standardContextual"/>
        </w:rPr>
        <w:t xml:space="preserve"> </w:t>
      </w:r>
    </w:p>
    <w:p w14:paraId="6021F49E" w14:textId="77777777" w:rsidR="001332E7" w:rsidRDefault="001332E7" w:rsidP="001332E7">
      <w:pPr>
        <w:spacing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 xml:space="preserve">Asimismo, de acuerdo con el literal g) del artículo 11 de la Ley 1712 de 2014, todos los destinatarios de la Ley Estatutaria de Transparencia y Acceso a la Información Pública deben garantizar la publicidad de “sus procedimientos, lineamientos, políticas en materia de adquisiciones y compras, así como todos los datos de adjudicación y ejecución de contratos, incluidos concursos y licitaciones”, y esta información también debe estar en el SECOP. </w:t>
      </w:r>
    </w:p>
    <w:p w14:paraId="11B2422B" w14:textId="77777777" w:rsidR="001332E7" w:rsidRPr="00CA5A8E" w:rsidRDefault="001332E7" w:rsidP="001332E7">
      <w:pPr>
        <w:spacing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El derecho de acceso a la información pública o de interés público permite a toda persona, sin necesidad de acreditar calidad, interés o condición particular, conocer la existencia de información pública, acceder a la misma y difundirla o publicarla, según su interés</w:t>
      </w:r>
      <w:r w:rsidRPr="00AD6B46">
        <w:rPr>
          <w:rFonts w:ascii="Verdana" w:eastAsia="Times New Roman" w:hAnsi="Verdana" w:cs="Arial"/>
          <w:vertAlign w:val="superscript"/>
          <w:lang w:val="es-ES_tradnl" w:eastAsia="es-ES_tradnl"/>
          <w14:ligatures w14:val="standardContextual"/>
        </w:rPr>
        <w:footnoteReference w:id="21"/>
      </w:r>
      <w:r w:rsidRPr="00AD6B46">
        <w:rPr>
          <w:rFonts w:ascii="Verdana" w:eastAsia="Times New Roman" w:hAnsi="Verdana" w:cs="Arial"/>
          <w:lang w:val="es-ES_tradnl" w:eastAsia="es-ES_tradnl"/>
          <w14:ligatures w14:val="standardContextual"/>
        </w:rPr>
        <w:t>. En ese contexto, las Entidades Estatales, conforme al artículo 2.2.1.1.1.7.1 del Decreto 1082 de 2015, tienen la obligación de publicar en el SECOP “[…] los Documentos del Proceso y los actos administrativos del Proceso de Contratación, dentro de los tres (3) días siguientes a su expedición […]”.</w:t>
      </w:r>
    </w:p>
    <w:p w14:paraId="7EA12D41" w14:textId="77777777" w:rsidR="001332E7" w:rsidRDefault="001332E7" w:rsidP="001332E7">
      <w:pPr>
        <w:spacing w:after="120" w:line="276" w:lineRule="auto"/>
        <w:ind w:firstLine="709"/>
        <w:jc w:val="both"/>
        <w:rPr>
          <w:rFonts w:ascii="Verdana" w:eastAsia="Verdana" w:hAnsi="Verdana" w:cs="Verdana"/>
          <w:lang w:val="es-MX"/>
        </w:rPr>
      </w:pPr>
      <w:r>
        <w:rPr>
          <w:rFonts w:ascii="Verdana" w:eastAsia="Verdana" w:hAnsi="Verdana" w:cs="Verdana"/>
          <w:lang w:val="es-MX"/>
        </w:rPr>
        <w:t xml:space="preserve">La expresión </w:t>
      </w:r>
      <w:r w:rsidRPr="00B069AA">
        <w:rPr>
          <w:rFonts w:ascii="Verdana" w:eastAsia="Verdana" w:hAnsi="Verdana" w:cs="Verdana"/>
          <w:i/>
          <w:iCs/>
          <w:lang w:val="es-MX"/>
        </w:rPr>
        <w:t>Documentos del Proceso</w:t>
      </w:r>
      <w:r>
        <w:rPr>
          <w:rFonts w:ascii="Verdana" w:eastAsia="Verdana" w:hAnsi="Verdana" w:cs="Verdana"/>
          <w:lang w:val="es-MX"/>
        </w:rPr>
        <w:t xml:space="preserve"> está definida en el artículo 2.2.1.1.3.1 del Decreto 1082 de 2015, donde se establece que: “son: (a) los estudios y documentos previos; (b) el aviso de convocatoria; (c) los pliegos de condiciones o la invitación; (d) las adendas; (e) la oferta; (f) el informe de evaluación; (g) el contrato; y </w:t>
      </w:r>
      <w:r w:rsidRPr="000A6CCE">
        <w:rPr>
          <w:rFonts w:ascii="Verdana" w:eastAsia="Verdana" w:hAnsi="Verdana" w:cs="Verdana"/>
          <w:i/>
          <w:iCs/>
          <w:lang w:val="es-MX"/>
        </w:rPr>
        <w:t>cualquier otro documento expedido por la Entidad Estatal durante el proceso de Contratación</w:t>
      </w:r>
      <w:r>
        <w:rPr>
          <w:rFonts w:ascii="Verdana" w:eastAsia="Verdana" w:hAnsi="Verdana" w:cs="Verdana"/>
          <w:lang w:val="es-MX"/>
        </w:rPr>
        <w:t xml:space="preserve">”. </w:t>
      </w:r>
    </w:p>
    <w:p w14:paraId="08521B51" w14:textId="77777777" w:rsidR="001332E7" w:rsidRDefault="001332E7" w:rsidP="001332E7">
      <w:pPr>
        <w:spacing w:after="120" w:line="276" w:lineRule="auto"/>
        <w:ind w:firstLine="709"/>
        <w:jc w:val="both"/>
        <w:rPr>
          <w:rFonts w:ascii="Verdana" w:eastAsia="Verdana" w:hAnsi="Verdana" w:cs="Verdana"/>
          <w:lang w:val="es-MX"/>
        </w:rPr>
      </w:pPr>
      <w:r>
        <w:rPr>
          <w:rFonts w:ascii="Verdana" w:eastAsia="Verdana" w:hAnsi="Verdana" w:cs="Verdana"/>
          <w:lang w:val="es-MX"/>
        </w:rPr>
        <w:t xml:space="preserve">Sin embargo, para identificar los documentos que deben publicarse, es necesario realizar una interpretación sistemática de las disposiciones del Decreto 1082 de 2015, comoquiera que el anterior no es un listado taxativo, sino enunciativo, porque además de los documentos enlistados, el artículo 2.2.1.1.1.3.1 </w:t>
      </w:r>
      <w:r w:rsidRPr="00F111D4">
        <w:rPr>
          <w:rFonts w:ascii="Verdana" w:eastAsia="Verdana" w:hAnsi="Verdana" w:cs="Verdana"/>
          <w:i/>
          <w:iCs/>
          <w:lang w:val="es-MX"/>
        </w:rPr>
        <w:t>Ibidem</w:t>
      </w:r>
      <w:r>
        <w:rPr>
          <w:rFonts w:ascii="Verdana" w:eastAsia="Verdana" w:hAnsi="Verdana" w:cs="Verdana"/>
          <w:lang w:val="es-MX"/>
        </w:rPr>
        <w:t xml:space="preserve"> recoge en la noción de Documentos del Proceso “cualquier otro documento expedido por la Entidad Estatal durante el Proceso de Contratación”. 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w:t>
      </w:r>
      <w:proofErr w:type="spellStart"/>
      <w:r>
        <w:rPr>
          <w:rFonts w:ascii="Verdana" w:eastAsia="Verdana" w:hAnsi="Verdana" w:cs="Verdana"/>
          <w:lang w:val="es-MX"/>
        </w:rPr>
        <w:t>mas</w:t>
      </w:r>
      <w:proofErr w:type="spellEnd"/>
      <w:r>
        <w:rPr>
          <w:rFonts w:ascii="Verdana" w:eastAsia="Verdana" w:hAnsi="Verdana" w:cs="Verdana"/>
          <w:lang w:val="es-MX"/>
        </w:rPr>
        <w:t xml:space="preserve"> tarde”. Nótese que la norma hace referencia a los documentos “expedidos por la entidad estatal” durante el proceso de contratación, excluyendo de la noción de Documentos del Proceso los expedidos por un sujeto distinto a la entidad, salvo la oferta, la cual se incluye expresamente en el referido artículo 2.2.1.1.1.3.1. </w:t>
      </w:r>
    </w:p>
    <w:p w14:paraId="50EE99EA" w14:textId="77777777" w:rsidR="001332E7" w:rsidRDefault="001332E7" w:rsidP="001332E7">
      <w:pPr>
        <w:spacing w:after="120" w:line="276" w:lineRule="auto"/>
        <w:ind w:firstLine="709"/>
        <w:jc w:val="both"/>
        <w:rPr>
          <w:rFonts w:ascii="Verdana" w:eastAsia="Verdana" w:hAnsi="Verdana" w:cs="Verdana"/>
          <w:lang w:val="es-MX"/>
        </w:rPr>
      </w:pPr>
      <w:r>
        <w:rPr>
          <w:rFonts w:ascii="Verdana" w:eastAsia="Verdana" w:hAnsi="Verdana" w:cs="Verdana"/>
          <w:lang w:val="es-MX"/>
        </w:rPr>
        <w:t xml:space="preserve">En ese sentido, la interpretación sistemática de los preceptos del Decreto 1082 de 2015, de acuerdo con el principio de publicidad, inicialmente, indica que las Entidades Estatales tienen la obligación de publicar todos los documentos que expidan con ocasión del Proceso de Contratación, es decir, que todos los documentos expedidos por la entidad durante las etapas precontractual, de ejecución y </w:t>
      </w:r>
      <w:proofErr w:type="spellStart"/>
      <w:r>
        <w:rPr>
          <w:rFonts w:ascii="Verdana" w:eastAsia="Verdana" w:hAnsi="Verdana" w:cs="Verdana"/>
          <w:lang w:val="es-MX"/>
        </w:rPr>
        <w:t>postcontractual</w:t>
      </w:r>
      <w:proofErr w:type="spellEnd"/>
      <w:r>
        <w:rPr>
          <w:rFonts w:ascii="Verdana" w:eastAsia="Verdana" w:hAnsi="Verdana" w:cs="Verdana"/>
          <w:lang w:val="es-MX"/>
        </w:rPr>
        <w:t xml:space="preserve"> deberán ser publicados en SECOP dentro de los tres (3) días siguientes a su expedición, para cumplir el deber de publicidad regulado por el artículo 2.2.1.1.1.7.1 del Decreto 1082 de 2015. </w:t>
      </w:r>
    </w:p>
    <w:p w14:paraId="6C937548" w14:textId="77777777" w:rsidR="001332E7" w:rsidRDefault="001332E7" w:rsidP="001332E7">
      <w:pPr>
        <w:spacing w:after="120" w:line="276" w:lineRule="auto"/>
        <w:ind w:firstLine="709"/>
        <w:jc w:val="both"/>
        <w:rPr>
          <w:rFonts w:ascii="Verdana" w:eastAsia="Verdana" w:hAnsi="Verdana" w:cs="Verdana"/>
          <w:lang w:val="es-MX"/>
        </w:rPr>
      </w:pPr>
      <w:r>
        <w:rPr>
          <w:rFonts w:ascii="Verdana" w:eastAsia="Verdana" w:hAnsi="Verdana" w:cs="Verdana"/>
          <w:lang w:val="es-MX"/>
        </w:rPr>
        <w:t>Con el propósito de garantizar el cumplimiento del mencionado deber de publicidad, se le asignó a la Agencia Nacional de Contratación Pública – Colombia Compra Eficiente, la función de administrar el SECOP</w:t>
      </w:r>
      <w:r>
        <w:rPr>
          <w:rStyle w:val="Refdenotaalpie"/>
          <w:rFonts w:ascii="Verdana" w:eastAsia="Verdana" w:hAnsi="Verdana" w:cs="Verdana"/>
          <w:lang w:val="es-MX"/>
        </w:rPr>
        <w:footnoteReference w:id="22"/>
      </w:r>
      <w:r>
        <w:rPr>
          <w:rFonts w:ascii="Verdana" w:eastAsia="Verdana" w:hAnsi="Verdana" w:cs="Verdana"/>
          <w:lang w:val="es-MX"/>
        </w:rPr>
        <w:t xml:space="preserve">. Dicha plataforma ha tenido dos versiones, esto es, el SECOP I y SECOP II. La primera versión de la plataforma - SECOP I-, solo funciona como medio de publicidad, es decir, no es transaccional, lo que significa que el procedimiento contractual ocurre fuera de la plataforma y a través de un expediente físico en la entidad, pero las actuaciones y los documentos se convierten en electrónicos para ser cargados a la plataforma, por quien tenga la función dentro de la entidad, de acuerdo con su organización interna. </w:t>
      </w:r>
    </w:p>
    <w:p w14:paraId="70072BBC" w14:textId="77777777" w:rsidR="001332E7" w:rsidRDefault="001332E7" w:rsidP="001332E7">
      <w:pPr>
        <w:spacing w:after="120" w:line="276" w:lineRule="auto"/>
        <w:ind w:firstLine="709"/>
        <w:jc w:val="both"/>
        <w:rPr>
          <w:rFonts w:ascii="Verdana" w:eastAsia="Verdana" w:hAnsi="Verdana" w:cs="Verdana"/>
          <w:lang w:val="es-MX"/>
        </w:rPr>
      </w:pPr>
      <w:r>
        <w:rPr>
          <w:rFonts w:ascii="Verdana" w:eastAsia="Verdana" w:hAnsi="Verdana" w:cs="Verdana"/>
          <w:lang w:val="es-MX"/>
        </w:rPr>
        <w:t xml:space="preserve">En cambio, el SECOP II, es una plataforma transaccional que permite gestionar la línea los procedimientos de contratación, con cuentas y usuarios asociados a estas, para las entidades y los proveedores, y vista pública para cualquier interesado en hacer seguimiento a la contratación pública. desde sus cuentas, las entidades crean, evalúan y adjudican procedimientos de contratación, y gestionan la fase de ejecución del contrato. Los proveedores pueden hacer comentarios a los documentos del procedimiento, presentar ofertas y seguir el procedimiento de selección en línea. </w:t>
      </w:r>
    </w:p>
    <w:p w14:paraId="5E25D0BE" w14:textId="77777777" w:rsidR="001332E7" w:rsidRDefault="001332E7" w:rsidP="001332E7">
      <w:pPr>
        <w:spacing w:after="120" w:line="276" w:lineRule="auto"/>
        <w:ind w:firstLine="709"/>
        <w:jc w:val="both"/>
        <w:rPr>
          <w:rFonts w:ascii="Verdana" w:eastAsia="Verdana" w:hAnsi="Verdana" w:cs="Verdana"/>
          <w:lang w:val="es-MX"/>
        </w:rPr>
      </w:pPr>
      <w:r>
        <w:rPr>
          <w:rFonts w:ascii="Verdana" w:eastAsia="Verdana" w:hAnsi="Verdana" w:cs="Verdana"/>
          <w:lang w:val="es-MX"/>
        </w:rPr>
        <w:t xml:space="preserve">Sin embargo, pese a que los documentos que deben publicarse en el SECOP II, corresponden a los mismos que deben publicarse en el SECOP I, esto es, todos los expedidos con ocasión del Proceso de Contratación con excepción de los expresamente excluidos, la naturaleza transaccional del SECOP II implica que los procesos contractuales no solo deban ser publicados mediante esta plataforma, sino también gestionados a través de ella, al consistir la mayoría de los hitos contractuales en documentos y actuaciones electrónicas generadas en tiempo real, de tal manera que el proceso contractual avanza en la medida en la que se generen y aprueben estos documentos y actuaciones electrónicas en la plataforma. Esto a diferencia de los procesos publicados en el SECOP I, en los que primero se generan los documentos escritos y luego se publican en la plataforma dentro del plazo de tres (3) días previsto en el artículo 2.2.1.1.1.7.1 del Decreto 1082 de 2015. </w:t>
      </w:r>
    </w:p>
    <w:p w14:paraId="6BC5F631" w14:textId="77777777" w:rsidR="001332E7" w:rsidRDefault="001332E7" w:rsidP="001332E7">
      <w:pPr>
        <w:spacing w:after="120" w:line="276" w:lineRule="auto"/>
        <w:ind w:firstLine="709"/>
        <w:jc w:val="both"/>
        <w:rPr>
          <w:rFonts w:ascii="Verdana" w:eastAsia="Verdana" w:hAnsi="Verdana" w:cs="Verdana"/>
          <w:lang w:val="es-MX"/>
        </w:rPr>
      </w:pPr>
      <w:r>
        <w:rPr>
          <w:rFonts w:ascii="Verdana" w:eastAsia="Verdana" w:hAnsi="Verdana" w:cs="Verdana"/>
          <w:lang w:val="es-MX"/>
        </w:rPr>
        <w:t xml:space="preserve">Lo anterior significa que, el término de tres (3) días para publicar, en la práctica, no opera en las actuaciones generadas de manera electrónica dentro de los procedimientos gestionados a través de SECOP II, comoquiera que tales documentos son creados o expedidos mediante la propia plataforma, razón por que una vez estos se aprueban quedan inmediatamente publicados, sin que transcurra el referido término. </w:t>
      </w:r>
    </w:p>
    <w:p w14:paraId="2482A898" w14:textId="77777777" w:rsidR="001332E7" w:rsidRDefault="001332E7" w:rsidP="001332E7">
      <w:pPr>
        <w:spacing w:after="120" w:line="276" w:lineRule="auto"/>
        <w:ind w:firstLine="709"/>
        <w:jc w:val="both"/>
        <w:rPr>
          <w:rFonts w:ascii="Verdana" w:eastAsia="Verdana" w:hAnsi="Verdana" w:cs="Verdana"/>
          <w:lang w:val="es-MX"/>
        </w:rPr>
      </w:pPr>
      <w:r>
        <w:rPr>
          <w:rFonts w:ascii="Verdana" w:eastAsia="Verdana" w:hAnsi="Verdana" w:cs="Verdana"/>
          <w:lang w:val="es-MX"/>
        </w:rPr>
        <w:t xml:space="preserve">De tal manera que, el carácter transaccional de SECOP II, como herramienta que permite no solo publicar sino también gestionar y crear Documentos del Proceso, de manera electrónica al interior de la plataforma, implica que el deber de publicidad respecto de estas actuaciones se cumpla de manera distinta a como sucede en el SECOP I, donde los documentos contractuales se expiden primero en un medio físico que posteriormente es cargado en la plataforma. </w:t>
      </w:r>
    </w:p>
    <w:p w14:paraId="438A8D2F" w14:textId="77777777" w:rsidR="001332E7" w:rsidRPr="00643E5C" w:rsidRDefault="001332E7" w:rsidP="001332E7">
      <w:pPr>
        <w:spacing w:after="120" w:line="276" w:lineRule="auto"/>
        <w:ind w:firstLine="709"/>
        <w:jc w:val="both"/>
        <w:rPr>
          <w:rFonts w:ascii="Verdana" w:eastAsia="Verdana" w:hAnsi="Verdana" w:cs="Verdana"/>
          <w:i/>
          <w:lang w:val="es-MX"/>
        </w:rPr>
      </w:pPr>
      <w:r>
        <w:rPr>
          <w:rFonts w:ascii="Verdana" w:eastAsia="Calibri" w:hAnsi="Verdana" w:cs="Arial"/>
          <w:color w:val="000000"/>
          <w:lang w:val="es-ES_tradnl"/>
        </w:rPr>
        <w:t xml:space="preserve">Ahora bien, como entidades de régimen especial </w:t>
      </w:r>
      <w:r w:rsidRPr="00AD6B46">
        <w:rPr>
          <w:rFonts w:ascii="Verdana" w:hAnsi="Verdana" w:cs="Arial"/>
          <w:shd w:val="clear" w:color="auto" w:fill="FFFFFF"/>
        </w:rPr>
        <w:t>es clara la obligatoriedad de publicar la información de la actividad contractual</w:t>
      </w:r>
      <w:r>
        <w:rPr>
          <w:rFonts w:ascii="Verdana" w:hAnsi="Verdana" w:cs="Arial"/>
          <w:shd w:val="clear" w:color="auto" w:fill="FFFFFF"/>
        </w:rPr>
        <w:t xml:space="preserve"> en el SECOP</w:t>
      </w:r>
      <w:r w:rsidRPr="00AD6B46">
        <w:rPr>
          <w:rFonts w:ascii="Verdana" w:hAnsi="Verdana" w:cs="Arial"/>
          <w:shd w:val="clear" w:color="auto" w:fill="FFFFFF"/>
        </w:rPr>
        <w:t xml:space="preserve">. En tal sentido, </w:t>
      </w:r>
      <w:r w:rsidRPr="00AD6B46">
        <w:rPr>
          <w:rFonts w:ascii="Verdana" w:eastAsia="Calibri" w:hAnsi="Verdana" w:cs="Arial"/>
          <w:color w:val="000000"/>
        </w:rPr>
        <w:t>debe destacarse el artículo 53 de la Ley 2195 de 2022 que modifica el artículo 13 de la Ley 1150 de 2007</w:t>
      </w:r>
      <w:r>
        <w:rPr>
          <w:rFonts w:ascii="Verdana" w:eastAsia="Calibri" w:hAnsi="Verdana" w:cs="Arial"/>
          <w:color w:val="000000"/>
        </w:rPr>
        <w:t>,</w:t>
      </w:r>
      <w:r w:rsidRPr="00AD6B46">
        <w:rPr>
          <w:rFonts w:ascii="Verdana" w:eastAsia="Calibri" w:hAnsi="Verdana" w:cs="Arial"/>
          <w:color w:val="000000"/>
        </w:rPr>
        <w:t xml:space="preserve"> estableció la obligación de las Entidades Estatales exceptuadas del Estatuto General de Contratación de la Administración Pública de publicar en el SECOP II –es decir en la plataforma transaccional vigente– su actividad contractual. Así pues, respecto de los documentos que deben publicarse en el SECOP II a efectos de cumplir el mandato consagrado en el artículo 53 de la Ley 2195 de 2022, es preciso advertir que la disposición hace referencia a los documentos relacionados con su actividad contractual, la cual define como </w:t>
      </w:r>
      <w:r w:rsidRPr="00643E5C">
        <w:rPr>
          <w:rFonts w:ascii="Verdana" w:eastAsia="Calibri" w:hAnsi="Verdana" w:cs="Arial"/>
          <w:i/>
          <w:color w:val="000000"/>
        </w:rPr>
        <w:t xml:space="preserve">“[…] los documentos, contratos, actos e información generada por oferentes, contratista, contratante, supervisor o interventor, tanto en la etapa precontractual, como en la contractual y la </w:t>
      </w:r>
      <w:proofErr w:type="spellStart"/>
      <w:r w:rsidRPr="00643E5C">
        <w:rPr>
          <w:rFonts w:ascii="Verdana" w:eastAsia="Calibri" w:hAnsi="Verdana" w:cs="Arial"/>
          <w:i/>
          <w:color w:val="000000"/>
        </w:rPr>
        <w:t>post-contractual</w:t>
      </w:r>
      <w:proofErr w:type="spellEnd"/>
      <w:r w:rsidRPr="00643E5C">
        <w:rPr>
          <w:rFonts w:ascii="Verdana" w:eastAsia="Calibri" w:hAnsi="Verdana" w:cs="Arial"/>
          <w:i/>
          <w:color w:val="000000"/>
        </w:rPr>
        <w:t>”.</w:t>
      </w:r>
    </w:p>
    <w:p w14:paraId="3557263B" w14:textId="77777777" w:rsidR="001332E7" w:rsidRDefault="001332E7" w:rsidP="001332E7">
      <w:pPr>
        <w:spacing w:after="120" w:line="276" w:lineRule="auto"/>
        <w:ind w:firstLine="709"/>
        <w:jc w:val="both"/>
        <w:rPr>
          <w:rFonts w:ascii="Verdana" w:eastAsia="Calibri" w:hAnsi="Verdana" w:cs="Arial"/>
          <w:color w:val="000000"/>
        </w:rPr>
      </w:pPr>
      <w:r w:rsidRPr="00AD6B46">
        <w:rPr>
          <w:rFonts w:ascii="Verdana" w:eastAsia="Calibri" w:hAnsi="Verdana" w:cs="Arial"/>
          <w:color w:val="000000"/>
        </w:rPr>
        <w:t>En ese sentido, dicho precepto anteriormente referenciado establece el deber de publicar toda aquella información relacionada con el respectivo contrato, sin incluir ninguna excepción relacionada con la naturaleza u objeto contractual. Por lo tanto, para que las entidades exceptuadas cumplan con el deber de publicidad consagrado en el artículo 53 de la Ley 2195 de 2022 que modificó el artículo 13 de la Ley 1150 de 2007</w:t>
      </w:r>
      <w:r w:rsidRPr="00AD6B46">
        <w:rPr>
          <w:rFonts w:ascii="Verdana" w:eastAsia="Calibri" w:hAnsi="Verdana" w:cs="Arial"/>
          <w:color w:val="000000"/>
          <w:vertAlign w:val="superscript"/>
        </w:rPr>
        <w:footnoteReference w:id="23"/>
      </w:r>
      <w:r w:rsidRPr="00AD6B46">
        <w:rPr>
          <w:rFonts w:ascii="Verdana" w:eastAsia="Calibri" w:hAnsi="Verdana" w:cs="Arial"/>
          <w:color w:val="000000"/>
        </w:rPr>
        <w:t xml:space="preserve">, se requiere que publiquen en el SECOP II todo documento expedido durante las diferentes etapas del proceso contractual, abarcando desde la fase previa a su celebración, pasando por la ejecución y hasta la fase posterior a su ejecución. Adicionalmente se aclara, que el cumplimiento del deber de publicación de la documentación contractual debe armonizarse con las normas aplicables al tipo de información que estas contienen, si procede restricción de esta por una reserva constitucional o legal. </w:t>
      </w:r>
    </w:p>
    <w:p w14:paraId="6B627D52" w14:textId="77777777" w:rsidR="001332E7" w:rsidRDefault="001332E7" w:rsidP="001332E7">
      <w:pPr>
        <w:spacing w:after="120" w:line="276" w:lineRule="auto"/>
        <w:ind w:firstLine="709"/>
        <w:jc w:val="both"/>
        <w:rPr>
          <w:rFonts w:ascii="Verdana" w:eastAsia="Calibri" w:hAnsi="Verdana" w:cs="Arial"/>
          <w:color w:val="000000"/>
        </w:rPr>
      </w:pPr>
      <w:r>
        <w:rPr>
          <w:rFonts w:ascii="Verdana" w:eastAsia="Calibri" w:hAnsi="Verdana" w:cs="Arial"/>
          <w:color w:val="000000"/>
        </w:rPr>
        <w:t xml:space="preserve">Por lo tanto, en relación con las actuaciones derivadas de la imposición de multas y sanciones o declaratoria de incumplimiento pactadas en el contrato celebrado, de conformidad con lo dispuesto en el </w:t>
      </w:r>
      <w:r w:rsidRPr="00AD6B46">
        <w:rPr>
          <w:rFonts w:ascii="Verdana" w:eastAsia="Calibri" w:hAnsi="Verdana" w:cs="Arial"/>
          <w:color w:val="000000"/>
        </w:rPr>
        <w:t>artículo 13 de la Ley 1150 de 2007</w:t>
      </w:r>
      <w:r>
        <w:rPr>
          <w:rFonts w:ascii="Verdana" w:eastAsia="Calibri" w:hAnsi="Verdana" w:cs="Arial"/>
          <w:color w:val="000000"/>
        </w:rPr>
        <w:t xml:space="preserve">, deberá registrarse en el SECOP II lo relativo al acto mediante el cual así se definió. </w:t>
      </w:r>
    </w:p>
    <w:p w14:paraId="3C6EB577" w14:textId="77777777" w:rsidR="001332E7" w:rsidRDefault="001332E7" w:rsidP="001332E7">
      <w:pPr>
        <w:spacing w:after="120" w:line="276" w:lineRule="auto"/>
        <w:ind w:firstLine="709"/>
        <w:jc w:val="both"/>
        <w:rPr>
          <w:rFonts w:ascii="Verdana" w:eastAsia="Calibri" w:hAnsi="Verdana" w:cs="Arial"/>
          <w:color w:val="000000"/>
        </w:rPr>
      </w:pPr>
      <w:r>
        <w:rPr>
          <w:rFonts w:ascii="Verdana" w:eastAsia="Calibri" w:hAnsi="Verdana" w:cs="Arial"/>
          <w:color w:val="000000"/>
        </w:rPr>
        <w:t>Tratándose del reporte ante la Procuraduría General de la Nación, e</w:t>
      </w:r>
      <w:r w:rsidRPr="007B428E">
        <w:rPr>
          <w:rFonts w:ascii="Verdana" w:eastAsia="Calibri" w:hAnsi="Verdana" w:cs="Arial"/>
          <w:color w:val="000000"/>
        </w:rPr>
        <w:t>l numeral 43 del artículo 38 de la Ley 1952 de 2019 establece que es un deber de todo servidor público enviar a la Procuraduría General de la Nación dentro de los cinco (5) días siguientes a la ejecutoria del fallo judicial, administrativo o fiscal, la información que están obligados a remitir sobre</w:t>
      </w:r>
      <w:r>
        <w:rPr>
          <w:rFonts w:ascii="Verdana" w:eastAsia="Calibri" w:hAnsi="Verdana" w:cs="Arial"/>
          <w:color w:val="000000"/>
        </w:rPr>
        <w:t xml:space="preserve"> l</w:t>
      </w:r>
      <w:r w:rsidRPr="007B428E">
        <w:rPr>
          <w:rFonts w:ascii="Verdana" w:eastAsia="Calibri" w:hAnsi="Verdana" w:cs="Arial"/>
          <w:color w:val="000000"/>
        </w:rPr>
        <w:t>as causas de inhabilidad que se deriven de las relaciones contractuales con el Estado</w:t>
      </w:r>
      <w:r>
        <w:rPr>
          <w:rFonts w:ascii="Verdana" w:eastAsia="Calibri" w:hAnsi="Verdana" w:cs="Arial"/>
          <w:color w:val="000000"/>
        </w:rPr>
        <w:t>.</w:t>
      </w:r>
    </w:p>
    <w:p w14:paraId="7E3467AD" w14:textId="77777777" w:rsidR="001332E7" w:rsidRDefault="001332E7" w:rsidP="001332E7">
      <w:pPr>
        <w:spacing w:after="120" w:line="276" w:lineRule="auto"/>
        <w:ind w:firstLine="709"/>
        <w:jc w:val="both"/>
        <w:rPr>
          <w:rFonts w:ascii="Verdana" w:eastAsia="Calibri" w:hAnsi="Verdana" w:cs="Arial"/>
          <w:color w:val="000000"/>
        </w:rPr>
      </w:pPr>
      <w:r>
        <w:rPr>
          <w:rFonts w:ascii="Verdana" w:eastAsia="Calibri" w:hAnsi="Verdana" w:cs="Arial"/>
          <w:color w:val="000000"/>
          <w:lang w:eastAsia="es-ES_tradnl"/>
        </w:rPr>
        <w:t xml:space="preserve">De conformidad con lo dispuesto en el </w:t>
      </w:r>
      <w:r w:rsidRPr="001A5876">
        <w:rPr>
          <w:rFonts w:ascii="Verdana" w:eastAsia="Calibri" w:hAnsi="Verdana" w:cs="Arial"/>
          <w:color w:val="000000"/>
          <w:lang w:eastAsia="es-ES_tradnl"/>
        </w:rPr>
        <w:t>artículo 123 de la Constitución</w:t>
      </w:r>
      <w:r>
        <w:rPr>
          <w:rFonts w:ascii="Verdana" w:eastAsia="Calibri" w:hAnsi="Verdana" w:cs="Arial"/>
          <w:color w:val="000000"/>
          <w:lang w:eastAsia="es-ES_tradnl"/>
        </w:rPr>
        <w:t xml:space="preserve"> “</w:t>
      </w:r>
      <w:r w:rsidRPr="001A5876">
        <w:rPr>
          <w:rFonts w:ascii="Verdana" w:eastAsia="Calibri" w:hAnsi="Verdana" w:cs="Arial"/>
          <w:color w:val="000000"/>
          <w:lang w:eastAsia="es-ES_tradnl"/>
        </w:rPr>
        <w:t>son servidores públicos los miembros de las corporaciones públicas, los empleados y trabajadores del Estado y de sus entidades descentralizadas territorialmente y por servicios</w:t>
      </w:r>
      <w:r>
        <w:rPr>
          <w:rFonts w:ascii="Verdana" w:eastAsia="Calibri" w:hAnsi="Verdana" w:cs="Arial"/>
          <w:color w:val="000000"/>
          <w:lang w:eastAsia="es-ES_tradnl"/>
        </w:rPr>
        <w:t>”</w:t>
      </w:r>
      <w:r w:rsidRPr="001A5876">
        <w:rPr>
          <w:rFonts w:ascii="Verdana" w:eastAsia="Calibri" w:hAnsi="Verdana" w:cs="Arial"/>
          <w:color w:val="000000"/>
          <w:lang w:eastAsia="es-ES_tradnl"/>
        </w:rPr>
        <w:t xml:space="preserve">, que </w:t>
      </w:r>
      <w:r>
        <w:rPr>
          <w:rFonts w:ascii="Verdana" w:eastAsia="Calibri" w:hAnsi="Verdana" w:cs="Arial"/>
          <w:color w:val="000000"/>
          <w:lang w:eastAsia="es-ES_tradnl"/>
        </w:rPr>
        <w:t>“</w:t>
      </w:r>
      <w:r w:rsidRPr="001A5876">
        <w:rPr>
          <w:rFonts w:ascii="Verdana" w:eastAsia="Calibri" w:hAnsi="Verdana" w:cs="Arial"/>
          <w:color w:val="000000"/>
          <w:lang w:eastAsia="es-ES_tradnl"/>
        </w:rPr>
        <w:t>están al servicio del Estado y de la comunidad, y ejercen sus funciones en la forma prevista por la Constitución, la ley y el reglamento</w:t>
      </w:r>
      <w:r>
        <w:rPr>
          <w:rFonts w:ascii="Verdana" w:eastAsia="Calibri" w:hAnsi="Verdana" w:cs="Arial"/>
          <w:color w:val="000000"/>
          <w:lang w:eastAsia="es-ES_tradnl"/>
        </w:rPr>
        <w:t>”</w:t>
      </w:r>
      <w:r w:rsidRPr="001A5876">
        <w:rPr>
          <w:rFonts w:ascii="Verdana" w:eastAsia="Calibri" w:hAnsi="Verdana" w:cs="Arial"/>
          <w:color w:val="000000"/>
          <w:lang w:eastAsia="es-ES_tradnl"/>
        </w:rPr>
        <w:t xml:space="preserve">. </w:t>
      </w:r>
      <w:r w:rsidRPr="001A5876">
        <w:rPr>
          <w:rFonts w:ascii="Verdana" w:eastAsia="Calibri" w:hAnsi="Verdana" w:cs="Arial"/>
          <w:color w:val="000000"/>
          <w:lang w:val="es-ES_tradnl" w:eastAsia="es-ES_tradnl"/>
        </w:rPr>
        <w:t xml:space="preserve"> </w:t>
      </w:r>
    </w:p>
    <w:p w14:paraId="3B7A42B2" w14:textId="77777777" w:rsidR="001332E7" w:rsidRDefault="001332E7" w:rsidP="001332E7">
      <w:pPr>
        <w:spacing w:after="120" w:line="276" w:lineRule="auto"/>
        <w:ind w:firstLine="709"/>
        <w:jc w:val="both"/>
        <w:rPr>
          <w:rFonts w:ascii="Verdana" w:eastAsia="Calibri" w:hAnsi="Verdana" w:cs="Arial"/>
          <w:color w:val="000000"/>
          <w:lang w:eastAsia="es-ES_tradnl"/>
        </w:rPr>
      </w:pPr>
      <w:r>
        <w:rPr>
          <w:rFonts w:ascii="Verdana" w:eastAsia="Calibri" w:hAnsi="Verdana" w:cs="Arial"/>
          <w:color w:val="000000"/>
          <w:lang w:eastAsia="es-ES_tradnl"/>
        </w:rPr>
        <w:t xml:space="preserve">En ese escenario el </w:t>
      </w:r>
      <w:r w:rsidRPr="001A5876">
        <w:rPr>
          <w:rFonts w:ascii="Verdana" w:eastAsia="Calibri" w:hAnsi="Verdana" w:cs="Arial"/>
          <w:color w:val="000000"/>
          <w:lang w:eastAsia="es-ES_tradnl"/>
        </w:rPr>
        <w:t xml:space="preserve">Constituyente Primario utilizó de forma general el concepto de </w:t>
      </w:r>
      <w:r>
        <w:rPr>
          <w:rFonts w:ascii="Verdana" w:eastAsia="Calibri" w:hAnsi="Verdana" w:cs="Arial"/>
          <w:color w:val="000000"/>
          <w:lang w:eastAsia="es-ES_tradnl"/>
        </w:rPr>
        <w:t>“</w:t>
      </w:r>
      <w:r w:rsidRPr="001A5876">
        <w:rPr>
          <w:rFonts w:ascii="Verdana" w:eastAsia="Calibri" w:hAnsi="Verdana" w:cs="Arial"/>
          <w:color w:val="000000"/>
          <w:lang w:eastAsia="es-ES_tradnl"/>
        </w:rPr>
        <w:t>servidor público</w:t>
      </w:r>
      <w:r>
        <w:rPr>
          <w:rFonts w:ascii="Verdana" w:eastAsia="Calibri" w:hAnsi="Verdana" w:cs="Arial"/>
          <w:color w:val="000000"/>
          <w:lang w:eastAsia="es-ES_tradnl"/>
        </w:rPr>
        <w:t>”</w:t>
      </w:r>
      <w:r w:rsidRPr="001A5876">
        <w:rPr>
          <w:rFonts w:ascii="Verdana" w:eastAsia="Calibri" w:hAnsi="Verdana" w:cs="Arial"/>
          <w:color w:val="000000"/>
          <w:lang w:eastAsia="es-ES_tradnl"/>
        </w:rPr>
        <w:t xml:space="preserve"> para comprender a todas las personas naturales que tienen una relación laboral con el Estado, y trabajan a su servicio para efectos de asegurar el cumplimiento de sus fines constitucionales.</w:t>
      </w:r>
    </w:p>
    <w:p w14:paraId="5C5D8167" w14:textId="77777777" w:rsidR="001332E7" w:rsidRDefault="001332E7" w:rsidP="001332E7">
      <w:pPr>
        <w:spacing w:after="120" w:line="276" w:lineRule="auto"/>
        <w:ind w:firstLine="709"/>
        <w:jc w:val="both"/>
        <w:rPr>
          <w:rFonts w:ascii="Verdana" w:eastAsia="Calibri" w:hAnsi="Verdana" w:cs="Arial"/>
          <w:color w:val="000000"/>
          <w:lang w:eastAsia="es-ES_tradnl"/>
        </w:rPr>
      </w:pPr>
      <w:r>
        <w:rPr>
          <w:rFonts w:ascii="Verdana" w:eastAsia="Calibri" w:hAnsi="Verdana" w:cs="Arial"/>
          <w:color w:val="000000"/>
          <w:lang w:eastAsia="es-ES_tradnl"/>
        </w:rPr>
        <w:t xml:space="preserve">La calidad de servidor público tiene a su vez </w:t>
      </w:r>
      <w:r w:rsidRPr="001A5876">
        <w:rPr>
          <w:rFonts w:ascii="Verdana" w:eastAsia="Calibri" w:hAnsi="Verdana" w:cs="Arial"/>
          <w:color w:val="000000"/>
          <w:lang w:eastAsia="es-ES_tradnl"/>
        </w:rPr>
        <w:t xml:space="preserve">diversas formas de vinculación o de relación laboral entre </w:t>
      </w:r>
      <w:r>
        <w:rPr>
          <w:rFonts w:ascii="Verdana" w:eastAsia="Calibri" w:hAnsi="Verdana" w:cs="Arial"/>
          <w:color w:val="000000"/>
          <w:lang w:eastAsia="es-ES_tradnl"/>
        </w:rPr>
        <w:t>las personas naturales</w:t>
      </w:r>
      <w:r w:rsidRPr="001A5876">
        <w:rPr>
          <w:rFonts w:ascii="Verdana" w:eastAsia="Calibri" w:hAnsi="Verdana" w:cs="Arial"/>
          <w:color w:val="000000"/>
          <w:lang w:eastAsia="es-ES_tradnl"/>
        </w:rPr>
        <w:t xml:space="preserve"> y la Administración Pública tradicionalmente acogida por la legislación, la jurisprudencia y la doctrina comprende</w:t>
      </w:r>
      <w:r>
        <w:rPr>
          <w:rFonts w:ascii="Verdana" w:eastAsia="Calibri" w:hAnsi="Verdana" w:cs="Arial"/>
          <w:color w:val="000000"/>
          <w:lang w:eastAsia="es-ES_tradnl"/>
        </w:rPr>
        <w:t>, a saber</w:t>
      </w:r>
      <w:r w:rsidRPr="001A5876">
        <w:rPr>
          <w:rFonts w:ascii="Verdana" w:eastAsia="Calibri" w:hAnsi="Verdana" w:cs="Arial"/>
          <w:color w:val="000000"/>
          <w:lang w:eastAsia="es-ES_tradnl"/>
        </w:rPr>
        <w:t>: (i) los empleados públicos y (</w:t>
      </w:r>
      <w:proofErr w:type="spellStart"/>
      <w:r w:rsidRPr="001A5876">
        <w:rPr>
          <w:rFonts w:ascii="Verdana" w:eastAsia="Calibri" w:hAnsi="Verdana" w:cs="Arial"/>
          <w:color w:val="000000"/>
          <w:lang w:eastAsia="es-ES_tradnl"/>
        </w:rPr>
        <w:t>ii</w:t>
      </w:r>
      <w:proofErr w:type="spellEnd"/>
      <w:r w:rsidRPr="001A5876">
        <w:rPr>
          <w:rFonts w:ascii="Verdana" w:eastAsia="Calibri" w:hAnsi="Verdana" w:cs="Arial"/>
          <w:color w:val="000000"/>
          <w:lang w:eastAsia="es-ES_tradnl"/>
        </w:rPr>
        <w:t>) los trabajadores oficiales</w:t>
      </w:r>
      <w:r>
        <w:rPr>
          <w:rFonts w:ascii="Verdana" w:eastAsia="Calibri" w:hAnsi="Verdana" w:cs="Arial"/>
          <w:color w:val="000000"/>
          <w:lang w:eastAsia="es-ES_tradnl"/>
        </w:rPr>
        <w:t xml:space="preserve">. Los </w:t>
      </w:r>
      <w:r w:rsidRPr="001A5876">
        <w:rPr>
          <w:rFonts w:ascii="Verdana" w:eastAsia="Calibri" w:hAnsi="Verdana" w:cs="Arial"/>
          <w:color w:val="000000"/>
          <w:lang w:eastAsia="es-ES_tradnl"/>
        </w:rPr>
        <w:t>empleados públicos son las personas naturales vinculadas a la administración pública en virtud de una relación legal y reglamentaria, es decir, a través de un acto administrativo de nombramiento, mientras que los trabajadores oficiales lo son a través de un contrato de trabajo</w:t>
      </w:r>
      <w:r>
        <w:rPr>
          <w:rStyle w:val="Refdenotaalpie"/>
          <w:rFonts w:ascii="Verdana" w:eastAsia="Calibri" w:hAnsi="Verdana" w:cs="Arial"/>
          <w:color w:val="000000"/>
          <w:lang w:eastAsia="es-ES_tradnl"/>
        </w:rPr>
        <w:footnoteReference w:id="24"/>
      </w:r>
      <w:r w:rsidRPr="001A5876">
        <w:rPr>
          <w:rFonts w:ascii="Verdana" w:eastAsia="Calibri" w:hAnsi="Verdana" w:cs="Arial"/>
          <w:color w:val="000000"/>
          <w:lang w:eastAsia="es-ES_tradnl"/>
        </w:rPr>
        <w:t>. Estos últimos, por regla general, constituyen el personal que labora en las entidades descentralizadas y desconcentradas por servicios o por colaboración, tales como sociedades de economía mixta y empresas industriales y comerciales del Estado,</w:t>
      </w:r>
      <w:r>
        <w:rPr>
          <w:rFonts w:ascii="Verdana" w:eastAsia="Calibri" w:hAnsi="Verdana" w:cs="Arial"/>
          <w:color w:val="000000"/>
          <w:lang w:eastAsia="es-ES_tradnl"/>
        </w:rPr>
        <w:t xml:space="preserve"> sin embargo, debe advertirse que la clasificación enunciada se encuentra dentro del género servidor público</w:t>
      </w:r>
      <w:r>
        <w:rPr>
          <w:rStyle w:val="Refdenotaalpie"/>
          <w:rFonts w:ascii="Verdana" w:eastAsia="Calibri" w:hAnsi="Verdana" w:cs="Arial"/>
          <w:color w:val="000000"/>
          <w:lang w:eastAsia="es-ES_tradnl"/>
        </w:rPr>
        <w:footnoteReference w:id="25"/>
      </w:r>
      <w:r>
        <w:rPr>
          <w:rFonts w:ascii="Verdana" w:eastAsia="Calibri" w:hAnsi="Verdana" w:cs="Arial"/>
          <w:color w:val="000000"/>
          <w:lang w:eastAsia="es-ES_tradnl"/>
        </w:rPr>
        <w:t>.</w:t>
      </w:r>
    </w:p>
    <w:p w14:paraId="0A3A24FD" w14:textId="77777777" w:rsidR="001332E7" w:rsidRDefault="001332E7" w:rsidP="001332E7">
      <w:pPr>
        <w:spacing w:after="120" w:line="276" w:lineRule="auto"/>
        <w:ind w:firstLine="709"/>
        <w:jc w:val="both"/>
        <w:rPr>
          <w:rFonts w:ascii="Verdana" w:eastAsia="Calibri" w:hAnsi="Verdana" w:cs="Arial"/>
          <w:color w:val="000000"/>
          <w:lang w:eastAsia="es-ES_tradnl"/>
        </w:rPr>
      </w:pPr>
      <w:r>
        <w:rPr>
          <w:rFonts w:ascii="Verdana" w:eastAsia="Calibri" w:hAnsi="Verdana" w:cs="Arial"/>
          <w:color w:val="000000"/>
          <w:lang w:eastAsia="es-ES_tradnl"/>
        </w:rPr>
        <w:t xml:space="preserve">De acuerdo con lo anterior y de conformidad con lo dispuesto en </w:t>
      </w:r>
      <w:r w:rsidRPr="002B17CD">
        <w:rPr>
          <w:rFonts w:ascii="Verdana" w:eastAsia="Calibri" w:hAnsi="Verdana" w:cs="Arial"/>
          <w:color w:val="000000"/>
          <w:lang w:eastAsia="es-ES_tradnl"/>
        </w:rPr>
        <w:t>la Resolución 461 de 2016 de la Procuraduría General de la Nación</w:t>
      </w:r>
      <w:r>
        <w:rPr>
          <w:rStyle w:val="Refdenotaalpie"/>
          <w:rFonts w:ascii="Verdana" w:eastAsia="Calibri" w:hAnsi="Verdana" w:cs="Arial"/>
          <w:color w:val="000000"/>
          <w:lang w:eastAsia="es-ES_tradnl"/>
        </w:rPr>
        <w:footnoteReference w:id="26"/>
      </w:r>
      <w:r>
        <w:rPr>
          <w:rFonts w:ascii="Verdana" w:eastAsia="Calibri" w:hAnsi="Verdana" w:cs="Arial"/>
          <w:color w:val="000000"/>
          <w:lang w:eastAsia="es-ES_tradnl"/>
        </w:rPr>
        <w:t>,</w:t>
      </w:r>
      <w:r w:rsidRPr="002B17CD">
        <w:rPr>
          <w:rFonts w:ascii="Verdana" w:eastAsia="Calibri" w:hAnsi="Verdana" w:cs="Arial"/>
          <w:color w:val="000000"/>
          <w:lang w:eastAsia="es-ES_tradnl"/>
        </w:rPr>
        <w:t xml:space="preserve"> serán objeto de registro</w:t>
      </w:r>
      <w:r>
        <w:rPr>
          <w:rFonts w:ascii="Verdana" w:eastAsia="Calibri" w:hAnsi="Verdana" w:cs="Arial"/>
          <w:color w:val="000000"/>
          <w:lang w:eastAsia="es-ES_tradnl"/>
        </w:rPr>
        <w:t xml:space="preserve"> </w:t>
      </w:r>
      <w:r w:rsidRPr="002B17CD">
        <w:rPr>
          <w:rFonts w:ascii="Verdana" w:eastAsia="Calibri" w:hAnsi="Verdana" w:cs="Arial"/>
          <w:color w:val="000000"/>
          <w:lang w:eastAsia="es-ES_tradnl"/>
        </w:rPr>
        <w:t>las inhabilidades</w:t>
      </w:r>
      <w:r>
        <w:rPr>
          <w:rFonts w:ascii="Verdana" w:eastAsia="Calibri" w:hAnsi="Verdana" w:cs="Arial"/>
          <w:color w:val="000000"/>
          <w:lang w:eastAsia="es-ES_tradnl"/>
        </w:rPr>
        <w:t xml:space="preserve"> por parte de los representantes legales o secretarios generales de las entidades del Estado de todos los niveles,</w:t>
      </w:r>
      <w:r w:rsidRPr="002B17CD">
        <w:rPr>
          <w:rFonts w:ascii="Verdana" w:eastAsia="Calibri" w:hAnsi="Verdana" w:cs="Arial"/>
          <w:color w:val="000000"/>
          <w:lang w:eastAsia="es-ES_tradnl"/>
        </w:rPr>
        <w:t xml:space="preserve"> que se deriven de las relaciones contractuales con el Estado</w:t>
      </w:r>
      <w:r>
        <w:rPr>
          <w:rFonts w:ascii="Verdana" w:eastAsia="Calibri" w:hAnsi="Verdana" w:cs="Arial"/>
          <w:color w:val="000000"/>
          <w:lang w:eastAsia="es-ES_tradnl"/>
        </w:rPr>
        <w:t>, con ocasión de la imposición de sanciones en general pactadas dentro de los negocios jurídicos celebrados.</w:t>
      </w:r>
    </w:p>
    <w:p w14:paraId="73A9A5D8" w14:textId="77777777" w:rsidR="001332E7" w:rsidRDefault="001332E7" w:rsidP="001332E7">
      <w:pPr>
        <w:spacing w:after="120" w:line="276" w:lineRule="auto"/>
        <w:ind w:firstLine="709"/>
        <w:jc w:val="both"/>
        <w:rPr>
          <w:rFonts w:ascii="Verdana" w:eastAsia="Calibri" w:hAnsi="Verdana" w:cs="Arial"/>
          <w:color w:val="000000"/>
          <w:lang w:val="es-MX" w:eastAsia="es-ES_tradnl"/>
        </w:rPr>
      </w:pPr>
      <w:r>
        <w:rPr>
          <w:rFonts w:ascii="Verdana" w:eastAsia="Calibri" w:hAnsi="Verdana" w:cs="Arial"/>
          <w:color w:val="000000"/>
          <w:lang w:eastAsia="es-ES_tradnl"/>
        </w:rPr>
        <w:t>Por último, e</w:t>
      </w:r>
      <w:r w:rsidRPr="00940D18">
        <w:rPr>
          <w:rFonts w:ascii="Verdana" w:eastAsia="Calibri" w:hAnsi="Verdana" w:cs="Arial"/>
          <w:lang w:val="es-MX"/>
        </w:rPr>
        <w:t xml:space="preserve">l artículo 6.2 de la Ley 1150 de 2007 obliga a las </w:t>
      </w:r>
      <w:r w:rsidRPr="00122DF7">
        <w:rPr>
          <w:rFonts w:ascii="Verdana" w:eastAsia="Calibri" w:hAnsi="Verdana" w:cs="Arial"/>
          <w:i/>
          <w:iCs/>
          <w:lang w:val="es-MX"/>
        </w:rPr>
        <w:t>entidades sometidas al EGCAP</w:t>
      </w:r>
      <w:r w:rsidRPr="00940D18">
        <w:rPr>
          <w:rFonts w:ascii="Verdana" w:eastAsia="Calibri" w:hAnsi="Verdana" w:cs="Arial"/>
          <w:lang w:val="es-MX"/>
        </w:rPr>
        <w:t xml:space="preserve"> a reportar a la Cámara de Comercio correspondiente la información sobre contratos, multas y sanciones</w:t>
      </w:r>
      <w:r w:rsidRPr="00940D18">
        <w:rPr>
          <w:rFonts w:ascii="Verdana" w:eastAsia="Calibri" w:hAnsi="Verdana" w:cs="Arial"/>
          <w:vertAlign w:val="superscript"/>
          <w:lang w:val="es-MX"/>
        </w:rPr>
        <w:footnoteReference w:id="27"/>
      </w:r>
      <w:r w:rsidRPr="00940D18">
        <w:rPr>
          <w:rFonts w:ascii="Verdana" w:eastAsia="Calibri" w:hAnsi="Verdana" w:cs="Arial"/>
          <w:lang w:val="es-MX"/>
        </w:rPr>
        <w:t>. Esta norma pretende poner en conocimiento de todos los participantes del sistema de compras públicas la información de sanciones y multas impuestas a los inscritos en el RUP, como una forma de ejercer control a la ejecución de los contratos suscritos por las entidades estatales. Dicha obligación también es congruente con el artículo 31 de la Ley 80 de 1993, modificado por el artículo 218 del Decreto 19 de 2012, que estableció los deberes de publicar en el SECOP y de comunicar a las Cámaras de Comercio, la parte resolutiva, de los actos que impongan multas y sanciones, entre otras decisiones</w:t>
      </w:r>
      <w:r w:rsidRPr="00940D18">
        <w:rPr>
          <w:rFonts w:ascii="Verdana" w:eastAsia="Calibri" w:hAnsi="Verdana" w:cs="Arial"/>
          <w:vertAlign w:val="superscript"/>
          <w:lang w:val="es-MX"/>
        </w:rPr>
        <w:footnoteReference w:id="28"/>
      </w:r>
      <w:r w:rsidRPr="00940D18">
        <w:rPr>
          <w:rFonts w:ascii="Verdana" w:eastAsia="Calibri" w:hAnsi="Verdana" w:cs="Arial"/>
          <w:lang w:val="es-MX"/>
        </w:rPr>
        <w:t xml:space="preserve">. </w:t>
      </w:r>
    </w:p>
    <w:p w14:paraId="4E4C488D" w14:textId="77777777" w:rsidR="001332E7" w:rsidRPr="001B2B39" w:rsidRDefault="001332E7" w:rsidP="001332E7">
      <w:pPr>
        <w:spacing w:after="120" w:line="276" w:lineRule="auto"/>
        <w:ind w:firstLine="709"/>
        <w:jc w:val="both"/>
        <w:rPr>
          <w:rFonts w:ascii="Verdana" w:eastAsia="Calibri" w:hAnsi="Verdana" w:cs="Arial"/>
          <w:color w:val="000000"/>
          <w:lang w:eastAsia="es-ES_tradnl"/>
        </w:rPr>
      </w:pPr>
      <w:r w:rsidRPr="00940D18">
        <w:rPr>
          <w:rFonts w:ascii="Verdana" w:eastAsia="Calibri" w:hAnsi="Verdana" w:cs="Arial"/>
          <w:lang w:val="es-MX"/>
        </w:rPr>
        <w:t>En la Ley 80 de 1993 se observa la voluntad del legislador de divulgar el comportamiento contractual de los participantes en el sistema de compras públicas. En este contexto, el artículo 6.2 de la Ley 1150 de 2007 constituye un desarrollo material de los principios aplicables a las actuaciones contractuales en los términos del artículo 23 del Estatuto General de Contratación de la Administración Pública</w:t>
      </w:r>
      <w:r w:rsidRPr="00940D18">
        <w:rPr>
          <w:rFonts w:ascii="Verdana" w:eastAsia="Calibri" w:hAnsi="Verdana" w:cs="Arial"/>
          <w:vertAlign w:val="superscript"/>
          <w:lang w:val="es-MX"/>
        </w:rPr>
        <w:footnoteReference w:id="29"/>
      </w:r>
      <w:r w:rsidRPr="00940D18">
        <w:rPr>
          <w:rFonts w:ascii="Verdana" w:eastAsia="Calibri" w:hAnsi="Verdana" w:cs="Arial"/>
          <w:lang w:val="es-MX"/>
        </w:rPr>
        <w:t xml:space="preserve">. Entre otros, la Ley 80 de 1993 concreta el principio de transparencia de la actividad contractual, objeto de regulación expresa en el artículo 24 </w:t>
      </w:r>
      <w:r w:rsidRPr="00940D18">
        <w:rPr>
          <w:rFonts w:ascii="Verdana" w:eastAsia="Calibri" w:hAnsi="Verdana" w:cs="Arial"/>
          <w:i/>
          <w:iCs/>
          <w:lang w:val="es-MX"/>
        </w:rPr>
        <w:t>ibidem</w:t>
      </w:r>
      <w:r w:rsidRPr="00940D18">
        <w:rPr>
          <w:rFonts w:ascii="Verdana" w:eastAsia="Calibri" w:hAnsi="Verdana" w:cs="Arial"/>
          <w:lang w:val="es-MX"/>
        </w:rPr>
        <w:t xml:space="preserve">, que guarda estrecha relación con el de publicidad, el cual rige el ejercicio de la función administrativa, según el artículo 209 de la Constitución Política.  </w:t>
      </w:r>
    </w:p>
    <w:p w14:paraId="5F883771" w14:textId="77777777" w:rsidR="001332E7" w:rsidRPr="001B2B39" w:rsidRDefault="001332E7" w:rsidP="001332E7">
      <w:pPr>
        <w:tabs>
          <w:tab w:val="left" w:pos="709"/>
        </w:tabs>
        <w:spacing w:after="120" w:line="276" w:lineRule="auto"/>
        <w:ind w:firstLine="709"/>
        <w:jc w:val="both"/>
        <w:rPr>
          <w:rFonts w:ascii="Verdana" w:eastAsia="Calibri" w:hAnsi="Verdana" w:cs="Arial"/>
          <w:color w:val="000000" w:themeColor="text1"/>
        </w:rPr>
      </w:pPr>
      <w:r w:rsidRPr="00940D18">
        <w:rPr>
          <w:rFonts w:ascii="Verdana" w:eastAsia="Calibri" w:hAnsi="Verdana" w:cs="Arial"/>
          <w:lang w:val="es-MX"/>
        </w:rPr>
        <w:t>Ahora bien, el numeral 6.2. de la Ley 1150 de 2007 estableció la información que deberá registrarse en el Registro Único de Proponentes, precisando que “</w:t>
      </w:r>
      <w:r w:rsidRPr="00940D18">
        <w:rPr>
          <w:rFonts w:ascii="Verdana" w:eastAsia="Calibri" w:hAnsi="Verdana" w:cs="Arial"/>
        </w:rPr>
        <w:t xml:space="preserve">Las entidades estatales enviarán mensualmente a la Cámara de Comercio de su domicilio, la información concerniente a los contratos, su cuantía, cumplimiento, </w:t>
      </w:r>
      <w:r w:rsidRPr="00940D18">
        <w:rPr>
          <w:rFonts w:ascii="Verdana" w:eastAsia="Calibri" w:hAnsi="Verdana" w:cs="Arial"/>
          <w:i/>
          <w:iCs/>
        </w:rPr>
        <w:t>multas y sanciones</w:t>
      </w:r>
      <w:r w:rsidRPr="00940D18">
        <w:rPr>
          <w:rFonts w:ascii="Verdana" w:eastAsia="Calibri" w:hAnsi="Verdana" w:cs="Arial"/>
        </w:rPr>
        <w:t xml:space="preserve"> relacionadas con los contratos que hayan sido adjudicados, los que se encuentren en ejecución y los ejecutados” (Énfasis fuera de texto)</w:t>
      </w:r>
      <w:r w:rsidRPr="00940D18">
        <w:rPr>
          <w:rFonts w:ascii="Verdana" w:eastAsia="Calibri" w:hAnsi="Verdana" w:cs="Arial"/>
          <w:lang w:val="es-MX"/>
        </w:rPr>
        <w:t xml:space="preserve">. </w:t>
      </w:r>
    </w:p>
    <w:p w14:paraId="07C3CB50" w14:textId="77777777" w:rsidR="001332E7" w:rsidRPr="00940D18" w:rsidRDefault="001332E7" w:rsidP="001332E7">
      <w:pPr>
        <w:spacing w:after="120" w:line="276" w:lineRule="auto"/>
        <w:ind w:firstLine="709"/>
        <w:jc w:val="both"/>
        <w:rPr>
          <w:rFonts w:ascii="Verdana" w:eastAsia="Calibri" w:hAnsi="Verdana" w:cs="Arial"/>
          <w:iCs/>
          <w:lang w:val="es-MX"/>
        </w:rPr>
      </w:pPr>
      <w:r w:rsidRPr="00940D18">
        <w:rPr>
          <w:rFonts w:ascii="Verdana" w:eastAsia="Calibri" w:hAnsi="Verdana" w:cs="Arial"/>
          <w:iCs/>
          <w:lang w:val="es-MX"/>
        </w:rPr>
        <w:t xml:space="preserve">Asimismo, consagró una atribución reglamentaria sobre el tema. Para estos efectos dispuso que “Las condiciones de remisión de la información y los plazos de permanencia de </w:t>
      </w:r>
      <w:proofErr w:type="gramStart"/>
      <w:r w:rsidRPr="00940D18">
        <w:rPr>
          <w:rFonts w:ascii="Verdana" w:eastAsia="Calibri" w:hAnsi="Verdana" w:cs="Arial"/>
          <w:iCs/>
          <w:lang w:val="es-MX"/>
        </w:rPr>
        <w:t>la misma</w:t>
      </w:r>
      <w:proofErr w:type="gramEnd"/>
      <w:r w:rsidRPr="00940D18">
        <w:rPr>
          <w:rFonts w:ascii="Verdana" w:eastAsia="Calibri" w:hAnsi="Verdana" w:cs="Arial"/>
          <w:iCs/>
          <w:lang w:val="es-MX"/>
        </w:rPr>
        <w:t xml:space="preserve"> en el registro serán señalados por el Gobierno Nacional”. Actualmente, este mandato se desarrolla en el artículo 14 del Decreto 1510 de 17 de julio de 2013, compilado posteriormente en el artículo 2.2.1.1.1.5.7 del Decreto 1082 de 2015, que dispone lo siguiente: </w:t>
      </w:r>
    </w:p>
    <w:p w14:paraId="7D5B66B1" w14:textId="77777777" w:rsidR="001332E7" w:rsidRPr="00940D18" w:rsidRDefault="001332E7" w:rsidP="001332E7">
      <w:pPr>
        <w:spacing w:after="0" w:line="276" w:lineRule="auto"/>
        <w:ind w:firstLine="708"/>
        <w:jc w:val="both"/>
        <w:rPr>
          <w:rFonts w:ascii="Verdana" w:eastAsia="Calibri" w:hAnsi="Verdana" w:cs="Arial"/>
          <w:iCs/>
          <w:lang w:val="es-MX"/>
        </w:rPr>
      </w:pPr>
    </w:p>
    <w:p w14:paraId="367FA211" w14:textId="77777777" w:rsidR="001332E7" w:rsidRPr="00940D18" w:rsidRDefault="001332E7" w:rsidP="001332E7">
      <w:pPr>
        <w:spacing w:after="120" w:line="240" w:lineRule="auto"/>
        <w:ind w:left="709" w:right="709"/>
        <w:contextualSpacing/>
        <w:jc w:val="both"/>
        <w:rPr>
          <w:rFonts w:ascii="Verdana" w:eastAsia="Calibri" w:hAnsi="Verdana" w:cs="Arial"/>
          <w:sz w:val="20"/>
          <w:szCs w:val="20"/>
          <w:lang w:val="es-MX"/>
        </w:rPr>
      </w:pPr>
      <w:r w:rsidRPr="00940D18">
        <w:rPr>
          <w:rFonts w:ascii="Verdana" w:eastAsia="Calibri" w:hAnsi="Verdana" w:cs="Arial"/>
          <w:sz w:val="20"/>
          <w:szCs w:val="20"/>
          <w:lang w:val="es-MX"/>
        </w:rPr>
        <w:t xml:space="preserve">“Las Entidades Estatales deben enviar mensualmente a las cámaras de comercio de su domicilio, copia de los actos administrativos en firme, por medio de los cuales impusieron multas y sanciones y de las inhabilidades resultantes de los contratos que hayan suscrito, y de la información de los Procesos de Contratación en los términos del artículo 6 de la Ley 1150 de 2007. Para el efecto las cámaras de comercio pueden establecer mecanismos electrónicos para recibir la información mencionada. El registro de las sanciones e inhabilidades debe permanecer en el certificado del RUP por el término de la sanción o de la inhabilidad. La información relativa a multas debe permanecer en el certificado del RUP por un año, contado a partir de la publicación de </w:t>
      </w:r>
      <w:proofErr w:type="gramStart"/>
      <w:r w:rsidRPr="00940D18">
        <w:rPr>
          <w:rFonts w:ascii="Verdana" w:eastAsia="Calibri" w:hAnsi="Verdana" w:cs="Arial"/>
          <w:sz w:val="20"/>
          <w:szCs w:val="20"/>
          <w:lang w:val="es-MX"/>
        </w:rPr>
        <w:t>la misma</w:t>
      </w:r>
      <w:proofErr w:type="gramEnd"/>
      <w:r w:rsidRPr="00940D18">
        <w:rPr>
          <w:rFonts w:ascii="Verdana" w:eastAsia="Calibri" w:hAnsi="Verdana" w:cs="Arial"/>
          <w:sz w:val="20"/>
          <w:szCs w:val="20"/>
          <w:lang w:val="es-MX"/>
        </w:rPr>
        <w:t>.</w:t>
      </w:r>
    </w:p>
    <w:p w14:paraId="59793320" w14:textId="77777777" w:rsidR="001332E7" w:rsidRPr="00940D18" w:rsidRDefault="001332E7" w:rsidP="001332E7">
      <w:pPr>
        <w:spacing w:after="120" w:line="240" w:lineRule="auto"/>
        <w:ind w:left="709" w:right="709"/>
        <w:contextualSpacing/>
        <w:jc w:val="both"/>
        <w:rPr>
          <w:rFonts w:ascii="Verdana" w:eastAsia="Calibri" w:hAnsi="Verdana" w:cs="Arial"/>
          <w:sz w:val="12"/>
          <w:szCs w:val="12"/>
          <w:lang w:val="es-MX"/>
        </w:rPr>
      </w:pPr>
    </w:p>
    <w:p w14:paraId="19AB415F" w14:textId="77777777" w:rsidR="001332E7" w:rsidRPr="00940D18" w:rsidRDefault="001332E7" w:rsidP="001332E7">
      <w:pPr>
        <w:spacing w:after="0" w:line="240" w:lineRule="auto"/>
        <w:ind w:left="709" w:right="709"/>
        <w:contextualSpacing/>
        <w:jc w:val="both"/>
        <w:rPr>
          <w:rFonts w:ascii="Verdana" w:eastAsia="Calibri" w:hAnsi="Verdana" w:cs="Arial"/>
          <w:sz w:val="21"/>
          <w:szCs w:val="21"/>
          <w:lang w:val="es-MX"/>
        </w:rPr>
      </w:pPr>
      <w:r w:rsidRPr="00940D18">
        <w:rPr>
          <w:rFonts w:ascii="Verdana" w:eastAsia="Calibri" w:hAnsi="Verdana" w:cs="Arial"/>
          <w:sz w:val="20"/>
          <w:szCs w:val="20"/>
          <w:lang w:val="es-MX"/>
        </w:rPr>
        <w:t>Las cámaras de comercio deben tener un mecanismo de interoperabilidad con el SECOP para el registro de la información de que trata el presente artículo”.</w:t>
      </w:r>
    </w:p>
    <w:p w14:paraId="59F79ED2" w14:textId="77777777" w:rsidR="001332E7" w:rsidRPr="00940D18" w:rsidRDefault="001332E7" w:rsidP="001332E7">
      <w:pPr>
        <w:spacing w:after="0" w:line="276" w:lineRule="auto"/>
        <w:ind w:firstLine="708"/>
        <w:jc w:val="both"/>
        <w:rPr>
          <w:rFonts w:ascii="Verdana" w:eastAsia="Calibri" w:hAnsi="Verdana" w:cs="Arial"/>
          <w:iCs/>
          <w:lang w:val="es-MX"/>
        </w:rPr>
      </w:pPr>
    </w:p>
    <w:p w14:paraId="0B94B8CE" w14:textId="77777777" w:rsidR="001332E7" w:rsidRDefault="001332E7" w:rsidP="001332E7">
      <w:pPr>
        <w:spacing w:after="120" w:line="276" w:lineRule="auto"/>
        <w:ind w:firstLine="709"/>
        <w:jc w:val="both"/>
        <w:rPr>
          <w:rFonts w:ascii="Verdana" w:eastAsia="Calibri" w:hAnsi="Verdana" w:cs="Arial"/>
          <w:iCs/>
          <w:lang w:val="es-MX"/>
        </w:rPr>
      </w:pPr>
      <w:r w:rsidRPr="00940D18">
        <w:rPr>
          <w:rFonts w:ascii="Verdana" w:eastAsia="Calibri" w:hAnsi="Verdana" w:cs="Arial"/>
          <w:iCs/>
          <w:lang w:val="es-MX"/>
        </w:rPr>
        <w:t xml:space="preserve">La norma precisa los elementos para cumplir con el artículo 6.2. de la Ley 1150 de 2007, los cuales se concretan en los siguientes tres (3) puntos: i) </w:t>
      </w:r>
      <w:r w:rsidRPr="00940D18">
        <w:rPr>
          <w:rFonts w:ascii="Verdana" w:eastAsia="Calibri" w:hAnsi="Verdana" w:cs="Arial"/>
          <w:i/>
          <w:lang w:val="es-MX"/>
        </w:rPr>
        <w:t>reporte</w:t>
      </w:r>
      <w:r w:rsidRPr="00940D18">
        <w:rPr>
          <w:rFonts w:ascii="Verdana" w:eastAsia="Calibri" w:hAnsi="Verdana" w:cs="Arial"/>
          <w:iCs/>
          <w:lang w:val="es-MX"/>
        </w:rPr>
        <w:t xml:space="preserve"> de las multas y sanciones por parte de las entidades estatales, </w:t>
      </w:r>
      <w:proofErr w:type="spellStart"/>
      <w:r w:rsidRPr="00940D18">
        <w:rPr>
          <w:rFonts w:ascii="Verdana" w:eastAsia="Calibri" w:hAnsi="Verdana" w:cs="Arial"/>
          <w:iCs/>
          <w:lang w:val="es-MX"/>
        </w:rPr>
        <w:t>ii</w:t>
      </w:r>
      <w:proofErr w:type="spellEnd"/>
      <w:r w:rsidRPr="00940D18">
        <w:rPr>
          <w:rFonts w:ascii="Verdana" w:eastAsia="Calibri" w:hAnsi="Verdana" w:cs="Arial"/>
          <w:iCs/>
          <w:lang w:val="es-MX"/>
        </w:rPr>
        <w:t xml:space="preserve">) </w:t>
      </w:r>
      <w:r w:rsidRPr="00940D18">
        <w:rPr>
          <w:rFonts w:ascii="Verdana" w:eastAsia="Calibri" w:hAnsi="Verdana" w:cs="Arial"/>
          <w:i/>
          <w:lang w:val="es-MX"/>
        </w:rPr>
        <w:t>registro</w:t>
      </w:r>
      <w:r w:rsidRPr="00940D18">
        <w:rPr>
          <w:rFonts w:ascii="Verdana" w:eastAsia="Calibri" w:hAnsi="Verdana" w:cs="Arial"/>
          <w:iCs/>
          <w:lang w:val="es-MX"/>
        </w:rPr>
        <w:t xml:space="preserve"> de las multas y sanciones en el RUP por parte de las Cámaras de Comercio y </w:t>
      </w:r>
      <w:proofErr w:type="spellStart"/>
      <w:r w:rsidRPr="00940D18">
        <w:rPr>
          <w:rFonts w:ascii="Verdana" w:eastAsia="Calibri" w:hAnsi="Verdana" w:cs="Arial"/>
          <w:iCs/>
          <w:lang w:val="es-MX"/>
        </w:rPr>
        <w:t>iii</w:t>
      </w:r>
      <w:proofErr w:type="spellEnd"/>
      <w:r w:rsidRPr="00940D18">
        <w:rPr>
          <w:rFonts w:ascii="Verdana" w:eastAsia="Calibri" w:hAnsi="Verdana" w:cs="Arial"/>
          <w:iCs/>
          <w:lang w:val="es-MX"/>
        </w:rPr>
        <w:t xml:space="preserve">) </w:t>
      </w:r>
      <w:r w:rsidRPr="00940D18">
        <w:rPr>
          <w:rFonts w:ascii="Verdana" w:eastAsia="Calibri" w:hAnsi="Verdana" w:cs="Arial"/>
          <w:i/>
          <w:lang w:val="es-MX"/>
        </w:rPr>
        <w:t xml:space="preserve">término de permanencia </w:t>
      </w:r>
      <w:r w:rsidRPr="00940D18">
        <w:rPr>
          <w:rFonts w:ascii="Verdana" w:eastAsia="Calibri" w:hAnsi="Verdana" w:cs="Arial"/>
          <w:iCs/>
          <w:lang w:val="es-MX"/>
        </w:rPr>
        <w:t xml:space="preserve">de las anotaciones en el registro. </w:t>
      </w:r>
    </w:p>
    <w:p w14:paraId="63827A7F" w14:textId="77777777" w:rsidR="001332E7" w:rsidRDefault="001332E7" w:rsidP="001332E7">
      <w:pPr>
        <w:spacing w:after="120" w:line="276" w:lineRule="auto"/>
        <w:ind w:firstLine="709"/>
        <w:jc w:val="both"/>
        <w:rPr>
          <w:rFonts w:ascii="Verdana" w:eastAsia="Calibri" w:hAnsi="Verdana" w:cs="Arial"/>
          <w:iCs/>
          <w:lang w:val="es-MX"/>
        </w:rPr>
      </w:pPr>
      <w:r w:rsidRPr="00940D18">
        <w:rPr>
          <w:rFonts w:ascii="Verdana" w:eastAsia="Calibri" w:hAnsi="Verdana" w:cs="Arial"/>
          <w:iCs/>
          <w:lang w:val="es-MX"/>
        </w:rPr>
        <w:t xml:space="preserve">En relación con el </w:t>
      </w:r>
      <w:r w:rsidRPr="00940D18">
        <w:rPr>
          <w:rFonts w:ascii="Verdana" w:eastAsia="Calibri" w:hAnsi="Verdana" w:cs="Arial"/>
          <w:i/>
          <w:lang w:val="es-MX"/>
        </w:rPr>
        <w:t>reporte</w:t>
      </w:r>
      <w:r w:rsidRPr="00940D18">
        <w:rPr>
          <w:rFonts w:ascii="Verdana" w:eastAsia="Calibri" w:hAnsi="Verdana" w:cs="Arial"/>
          <w:iCs/>
          <w:lang w:val="es-MX"/>
        </w:rPr>
        <w:t xml:space="preserve">, la norma impone la obligación a las entidades estatales de enviar mensualmente a las cámaras de comercio del lugar de su domicilio, copia de los actos administrativos en firme que impusieron multas y sanciones y de las inhabilidades que deriven de los contratos suscritos, a través de los mecanismos que para el efecto disponga la cámara respectiva. Respecto al </w:t>
      </w:r>
      <w:r w:rsidRPr="00940D18">
        <w:rPr>
          <w:rFonts w:ascii="Verdana" w:eastAsia="Calibri" w:hAnsi="Verdana" w:cs="Arial"/>
          <w:i/>
          <w:lang w:val="es-MX"/>
        </w:rPr>
        <w:t>registro</w:t>
      </w:r>
      <w:r>
        <w:rPr>
          <w:rFonts w:ascii="Verdana" w:eastAsia="Calibri" w:hAnsi="Verdana" w:cs="Arial"/>
          <w:i/>
          <w:lang w:val="es-MX"/>
        </w:rPr>
        <w:t>,</w:t>
      </w:r>
      <w:r w:rsidRPr="00940D18">
        <w:rPr>
          <w:rFonts w:ascii="Verdana" w:eastAsia="Calibri" w:hAnsi="Verdana" w:cs="Arial"/>
          <w:iCs/>
          <w:lang w:val="es-MX"/>
        </w:rPr>
        <w:t xml:space="preserve"> la disposición estableció la obligación a las cámaras de comercio de registrar las sanciones e inhabilidades remitidas por las entidades estatales en el RUP, con el propósito de concretar aspectos de publicidad y transparencia en la actividad contractual. Finalmente, en relación con el </w:t>
      </w:r>
      <w:r w:rsidRPr="00940D18">
        <w:rPr>
          <w:rFonts w:ascii="Verdana" w:eastAsia="Calibri" w:hAnsi="Verdana" w:cs="Arial"/>
          <w:i/>
          <w:lang w:val="es-MX"/>
        </w:rPr>
        <w:t xml:space="preserve">término, </w:t>
      </w:r>
      <w:r w:rsidRPr="00940D18">
        <w:rPr>
          <w:rFonts w:ascii="Verdana" w:eastAsia="Calibri" w:hAnsi="Verdana" w:cs="Arial"/>
          <w:iCs/>
          <w:lang w:val="es-MX"/>
        </w:rPr>
        <w:t xml:space="preserve">es decir, el periodo en que debe constar la anotación correspondiente, la norma estableció que las sanciones e inhabilidades permanecerán en el registro por el término de la sanción o inhabilidad, según el caso. Igualmente, estableció que, en el caso de las multas, deberán permanecer por el término de un año, contado a partir de la publicación de </w:t>
      </w:r>
      <w:proofErr w:type="gramStart"/>
      <w:r w:rsidRPr="00940D18">
        <w:rPr>
          <w:rFonts w:ascii="Verdana" w:eastAsia="Calibri" w:hAnsi="Verdana" w:cs="Arial"/>
          <w:iCs/>
          <w:lang w:val="es-MX"/>
        </w:rPr>
        <w:t>la misma</w:t>
      </w:r>
      <w:proofErr w:type="gramEnd"/>
      <w:r w:rsidRPr="00940D18">
        <w:rPr>
          <w:rFonts w:ascii="Verdana" w:eastAsia="Calibri" w:hAnsi="Verdana" w:cs="Arial"/>
          <w:iCs/>
          <w:lang w:val="es-MX"/>
        </w:rPr>
        <w:t>.</w:t>
      </w:r>
    </w:p>
    <w:p w14:paraId="1FA234CD" w14:textId="77777777" w:rsidR="001332E7" w:rsidRPr="001B2B39" w:rsidRDefault="001332E7" w:rsidP="001332E7">
      <w:pPr>
        <w:spacing w:after="120" w:line="276" w:lineRule="auto"/>
        <w:ind w:firstLine="709"/>
        <w:jc w:val="both"/>
        <w:rPr>
          <w:rFonts w:ascii="Verdana" w:eastAsia="Calibri" w:hAnsi="Verdana" w:cs="Arial"/>
          <w:color w:val="000000" w:themeColor="text1"/>
          <w:lang w:val="es-ES_tradnl"/>
        </w:rPr>
      </w:pPr>
      <w:r>
        <w:rPr>
          <w:rFonts w:ascii="Verdana" w:eastAsia="Calibri" w:hAnsi="Verdana" w:cs="Arial"/>
          <w:color w:val="000000" w:themeColor="text1"/>
          <w:lang w:val="es-ES_tradnl"/>
        </w:rPr>
        <w:t>Asimismo, las</w:t>
      </w:r>
      <w:r w:rsidRPr="00817382">
        <w:rPr>
          <w:rFonts w:ascii="Verdana" w:eastAsia="Calibri" w:hAnsi="Verdana" w:cs="Arial"/>
          <w:color w:val="000000" w:themeColor="text1"/>
          <w:lang w:val="es-ES_tradnl"/>
        </w:rPr>
        <w:t xml:space="preserve"> </w:t>
      </w:r>
      <w:r w:rsidRPr="00122DF7">
        <w:rPr>
          <w:rFonts w:ascii="Verdana" w:eastAsia="Calibri" w:hAnsi="Verdana" w:cs="Arial"/>
          <w:i/>
          <w:iCs/>
          <w:color w:val="000000" w:themeColor="text1"/>
          <w:lang w:val="es-ES_tradnl"/>
        </w:rPr>
        <w:t>entidades de régimen especial</w:t>
      </w:r>
      <w:r>
        <w:rPr>
          <w:rFonts w:ascii="Verdana" w:eastAsia="Calibri" w:hAnsi="Verdana" w:cs="Arial"/>
          <w:color w:val="000000" w:themeColor="text1"/>
          <w:lang w:val="es-ES_tradnl"/>
        </w:rPr>
        <w:t xml:space="preserve"> –entre las que se encuentran l</w:t>
      </w:r>
      <w:r w:rsidRPr="00A22A66">
        <w:rPr>
          <w:rFonts w:ascii="Verdana" w:eastAsia="Calibri" w:hAnsi="Verdana" w:cs="Arial"/>
          <w:color w:val="000000" w:themeColor="text1"/>
        </w:rPr>
        <w:t xml:space="preserve">as </w:t>
      </w:r>
      <w:r>
        <w:rPr>
          <w:rFonts w:ascii="Verdana" w:eastAsia="Calibri" w:hAnsi="Verdana" w:cs="Arial"/>
          <w:color w:val="000000" w:themeColor="text1"/>
        </w:rPr>
        <w:t>empresas industriales y comerciales del Estado</w:t>
      </w:r>
      <w:r w:rsidRPr="009B6C67">
        <w:rPr>
          <w:rFonts w:ascii="Verdana" w:eastAsia="Calibri" w:hAnsi="Verdana" w:cs="Arial"/>
          <w:color w:val="000000" w:themeColor="text1"/>
        </w:rPr>
        <w:t xml:space="preserve"> que estén en competencia o desarrollen su actividad en mercados regulados</w:t>
      </w:r>
      <w:r>
        <w:rPr>
          <w:rFonts w:ascii="Verdana" w:eastAsia="Calibri" w:hAnsi="Verdana" w:cs="Arial"/>
          <w:color w:val="000000" w:themeColor="text1"/>
        </w:rPr>
        <w:t>–</w:t>
      </w:r>
      <w:r>
        <w:rPr>
          <w:rFonts w:ascii="Verdana" w:eastAsia="Calibri" w:hAnsi="Verdana" w:cs="Arial"/>
          <w:color w:val="000000" w:themeColor="text1"/>
          <w:lang w:val="es-ES_tradnl"/>
        </w:rPr>
        <w:t xml:space="preserve"> también están obligadas a reportar </w:t>
      </w:r>
      <w:r w:rsidRPr="002E1847">
        <w:rPr>
          <w:rFonts w:ascii="Verdana" w:eastAsia="Calibri" w:hAnsi="Verdana" w:cs="Arial"/>
          <w:color w:val="000000" w:themeColor="text1"/>
          <w:lang w:val="es-ES_tradnl"/>
        </w:rPr>
        <w:t xml:space="preserve">la información concerniente a los contratos, su cuantía, cumplimiento, multas y sanciones relacionadas con los contratos que hayan </w:t>
      </w:r>
      <w:r>
        <w:rPr>
          <w:rFonts w:ascii="Verdana" w:eastAsia="Calibri" w:hAnsi="Verdana" w:cs="Arial"/>
          <w:color w:val="000000" w:themeColor="text1"/>
          <w:lang w:val="es-ES_tradnl"/>
        </w:rPr>
        <w:t xml:space="preserve">adjudicado. Conforme al artículo 13 de la Ley 1150 de 2007, dichas entidades se sujetan a las normas sobre inhabilidades e incompatibilidades, entre ellas, la del artículo 90 de la Ley 1474 de 2011 para los casos de incumplimiento reiterado. </w:t>
      </w:r>
    </w:p>
    <w:p w14:paraId="2CD06E12" w14:textId="77777777" w:rsidR="001332E7" w:rsidRDefault="001332E7" w:rsidP="001332E7">
      <w:pPr>
        <w:spacing w:after="120" w:line="276" w:lineRule="auto"/>
        <w:ind w:firstLine="708"/>
        <w:jc w:val="both"/>
        <w:rPr>
          <w:rFonts w:ascii="Verdana" w:eastAsia="Calibri" w:hAnsi="Verdana" w:cs="Arial"/>
          <w:color w:val="000000" w:themeColor="text1"/>
          <w:lang w:val="es-ES_tradnl"/>
        </w:rPr>
      </w:pPr>
      <w:r>
        <w:rPr>
          <w:rFonts w:ascii="Verdana" w:eastAsia="Calibri" w:hAnsi="Verdana" w:cs="Arial"/>
          <w:color w:val="000000" w:themeColor="text1"/>
          <w:lang w:val="es-ES_tradnl"/>
        </w:rPr>
        <w:t>Por ello, la “</w:t>
      </w:r>
      <w:r w:rsidRPr="002E1847">
        <w:rPr>
          <w:rFonts w:ascii="Verdana" w:eastAsia="Calibri" w:hAnsi="Verdana" w:cs="Arial"/>
          <w:color w:val="000000" w:themeColor="text1"/>
          <w:lang w:val="es-ES_tradnl"/>
        </w:rPr>
        <w:t>Guía para la Gestión</w:t>
      </w:r>
      <w:r>
        <w:rPr>
          <w:rFonts w:ascii="Verdana" w:eastAsia="Calibri" w:hAnsi="Verdana" w:cs="Arial"/>
          <w:color w:val="000000" w:themeColor="text1"/>
          <w:lang w:val="es-ES_tradnl"/>
        </w:rPr>
        <w:t xml:space="preserve"> </w:t>
      </w:r>
      <w:r w:rsidRPr="002E1847">
        <w:rPr>
          <w:rFonts w:ascii="Verdana" w:eastAsia="Calibri" w:hAnsi="Verdana" w:cs="Arial"/>
          <w:color w:val="000000" w:themeColor="text1"/>
          <w:lang w:val="es-ES_tradnl"/>
        </w:rPr>
        <w:t>Contractual De Entidades</w:t>
      </w:r>
      <w:r>
        <w:rPr>
          <w:rFonts w:ascii="Verdana" w:eastAsia="Calibri" w:hAnsi="Verdana" w:cs="Arial"/>
          <w:color w:val="000000" w:themeColor="text1"/>
          <w:lang w:val="es-ES_tradnl"/>
        </w:rPr>
        <w:t xml:space="preserve"> </w:t>
      </w:r>
      <w:r w:rsidRPr="002E1847">
        <w:rPr>
          <w:rFonts w:ascii="Verdana" w:eastAsia="Calibri" w:hAnsi="Verdana" w:cs="Arial"/>
          <w:color w:val="000000" w:themeColor="text1"/>
          <w:lang w:val="es-ES_tradnl"/>
        </w:rPr>
        <w:t>Estatales Con Régimen Especial</w:t>
      </w:r>
      <w:r>
        <w:rPr>
          <w:rFonts w:ascii="Verdana" w:eastAsia="Calibri" w:hAnsi="Verdana" w:cs="Arial"/>
          <w:color w:val="000000" w:themeColor="text1"/>
          <w:lang w:val="es-ES_tradnl"/>
        </w:rPr>
        <w:t>” explica que “</w:t>
      </w:r>
      <w:r w:rsidRPr="00C070D7">
        <w:rPr>
          <w:rFonts w:ascii="Verdana" w:eastAsia="Calibri" w:hAnsi="Verdana" w:cs="Arial"/>
          <w:color w:val="000000" w:themeColor="text1"/>
          <w:lang w:val="es-ES_tradnl"/>
        </w:rPr>
        <w:t>Esta inhabilidad se extiende por tres (3) años,</w:t>
      </w:r>
      <w:r>
        <w:rPr>
          <w:rFonts w:ascii="Verdana" w:eastAsia="Calibri" w:hAnsi="Verdana" w:cs="Arial"/>
          <w:color w:val="000000" w:themeColor="text1"/>
          <w:lang w:val="es-ES_tradnl"/>
        </w:rPr>
        <w:t xml:space="preserve"> </w:t>
      </w:r>
      <w:r w:rsidRPr="00C070D7">
        <w:rPr>
          <w:rFonts w:ascii="Verdana" w:eastAsia="Calibri" w:hAnsi="Verdana" w:cs="Arial"/>
          <w:color w:val="000000" w:themeColor="text1"/>
          <w:lang w:val="es-ES_tradnl"/>
        </w:rPr>
        <w:t>contados a partir de la inscripción de la última</w:t>
      </w:r>
      <w:r>
        <w:rPr>
          <w:rFonts w:ascii="Verdana" w:eastAsia="Calibri" w:hAnsi="Verdana" w:cs="Arial"/>
          <w:color w:val="000000" w:themeColor="text1"/>
          <w:lang w:val="es-ES_tradnl"/>
        </w:rPr>
        <w:t xml:space="preserve"> </w:t>
      </w:r>
      <w:r w:rsidRPr="00C070D7">
        <w:rPr>
          <w:rFonts w:ascii="Verdana" w:eastAsia="Calibri" w:hAnsi="Verdana" w:cs="Arial"/>
          <w:color w:val="000000" w:themeColor="text1"/>
          <w:lang w:val="es-ES_tradnl"/>
        </w:rPr>
        <w:t>multa o incumplimiento en el Registro Único</w:t>
      </w:r>
      <w:r>
        <w:rPr>
          <w:rFonts w:ascii="Verdana" w:eastAsia="Calibri" w:hAnsi="Verdana" w:cs="Arial"/>
          <w:color w:val="000000" w:themeColor="text1"/>
          <w:lang w:val="es-ES_tradnl"/>
        </w:rPr>
        <w:t xml:space="preserve"> </w:t>
      </w:r>
      <w:r w:rsidRPr="00C070D7">
        <w:rPr>
          <w:rFonts w:ascii="Verdana" w:eastAsia="Calibri" w:hAnsi="Verdana" w:cs="Arial"/>
          <w:color w:val="000000" w:themeColor="text1"/>
          <w:lang w:val="es-ES_tradnl"/>
        </w:rPr>
        <w:t>de Proponentes – RUP-, de acuerdo con la</w:t>
      </w:r>
      <w:r>
        <w:rPr>
          <w:rFonts w:ascii="Verdana" w:eastAsia="Calibri" w:hAnsi="Verdana" w:cs="Arial"/>
          <w:color w:val="000000" w:themeColor="text1"/>
          <w:lang w:val="es-ES_tradnl"/>
        </w:rPr>
        <w:t xml:space="preserve"> </w:t>
      </w:r>
      <w:r w:rsidRPr="00C070D7">
        <w:rPr>
          <w:rFonts w:ascii="Verdana" w:eastAsia="Calibri" w:hAnsi="Verdana" w:cs="Arial"/>
          <w:color w:val="000000" w:themeColor="text1"/>
          <w:lang w:val="es-ES_tradnl"/>
        </w:rPr>
        <w:t>información remitida por las Entidades Estatales,</w:t>
      </w:r>
      <w:r>
        <w:rPr>
          <w:rFonts w:ascii="Verdana" w:eastAsia="Calibri" w:hAnsi="Verdana" w:cs="Arial"/>
          <w:color w:val="000000" w:themeColor="text1"/>
          <w:lang w:val="es-ES_tradnl"/>
        </w:rPr>
        <w:t xml:space="preserve"> </w:t>
      </w:r>
      <w:r w:rsidRPr="00C070D7">
        <w:rPr>
          <w:rFonts w:ascii="Verdana" w:eastAsia="Calibri" w:hAnsi="Verdana" w:cs="Arial"/>
          <w:color w:val="000000" w:themeColor="text1"/>
          <w:lang w:val="es-ES_tradnl"/>
        </w:rPr>
        <w:t>para lo cual, las Entidades Estatales de régimen</w:t>
      </w:r>
      <w:r>
        <w:rPr>
          <w:rFonts w:ascii="Verdana" w:eastAsia="Calibri" w:hAnsi="Verdana" w:cs="Arial"/>
          <w:color w:val="000000" w:themeColor="text1"/>
          <w:lang w:val="es-ES_tradnl"/>
        </w:rPr>
        <w:t xml:space="preserve"> </w:t>
      </w:r>
      <w:r w:rsidRPr="00C070D7">
        <w:rPr>
          <w:rFonts w:ascii="Verdana" w:eastAsia="Calibri" w:hAnsi="Verdana" w:cs="Arial"/>
          <w:color w:val="000000" w:themeColor="text1"/>
          <w:lang w:val="es-ES_tradnl"/>
        </w:rPr>
        <w:t>especial deben realizar el respectivo reporte a las</w:t>
      </w:r>
      <w:r>
        <w:rPr>
          <w:rFonts w:ascii="Verdana" w:eastAsia="Calibri" w:hAnsi="Verdana" w:cs="Arial"/>
          <w:color w:val="000000" w:themeColor="text1"/>
          <w:lang w:val="es-ES_tradnl"/>
        </w:rPr>
        <w:t xml:space="preserve"> </w:t>
      </w:r>
      <w:r w:rsidRPr="00C070D7">
        <w:rPr>
          <w:rFonts w:ascii="Verdana" w:eastAsia="Calibri" w:hAnsi="Verdana" w:cs="Arial"/>
          <w:color w:val="000000" w:themeColor="text1"/>
          <w:lang w:val="es-ES_tradnl"/>
        </w:rPr>
        <w:t>cámaras de comercio, así como el reporte en la</w:t>
      </w:r>
      <w:r>
        <w:rPr>
          <w:rFonts w:ascii="Verdana" w:eastAsia="Calibri" w:hAnsi="Verdana" w:cs="Arial"/>
          <w:color w:val="000000" w:themeColor="text1"/>
          <w:lang w:val="es-ES_tradnl"/>
        </w:rPr>
        <w:t xml:space="preserve"> </w:t>
      </w:r>
      <w:r w:rsidRPr="00C070D7">
        <w:rPr>
          <w:rFonts w:ascii="Verdana" w:eastAsia="Calibri" w:hAnsi="Verdana" w:cs="Arial"/>
          <w:color w:val="000000" w:themeColor="text1"/>
          <w:lang w:val="es-ES_tradnl"/>
        </w:rPr>
        <w:t xml:space="preserve">plataforma SECOP II, en el ítem de </w:t>
      </w:r>
      <w:r>
        <w:rPr>
          <w:rFonts w:ascii="Verdana" w:eastAsia="Calibri" w:hAnsi="Verdana" w:cs="Arial"/>
          <w:color w:val="000000" w:themeColor="text1"/>
          <w:lang w:val="es-ES_tradnl"/>
        </w:rPr>
        <w:t>‘</w:t>
      </w:r>
      <w:r w:rsidRPr="00C070D7">
        <w:rPr>
          <w:rFonts w:ascii="Verdana" w:eastAsia="Calibri" w:hAnsi="Verdana" w:cs="Arial"/>
          <w:color w:val="000000" w:themeColor="text1"/>
          <w:lang w:val="es-ES_tradnl"/>
        </w:rPr>
        <w:t>proveedores</w:t>
      </w:r>
      <w:r>
        <w:rPr>
          <w:rFonts w:ascii="Verdana" w:eastAsia="Calibri" w:hAnsi="Verdana" w:cs="Arial"/>
          <w:color w:val="000000" w:themeColor="text1"/>
          <w:lang w:val="es-ES_tradnl"/>
        </w:rPr>
        <w:t>’ ‘</w:t>
      </w:r>
      <w:r w:rsidRPr="00C070D7">
        <w:rPr>
          <w:rFonts w:ascii="Verdana" w:eastAsia="Calibri" w:hAnsi="Verdana" w:cs="Arial"/>
          <w:color w:val="000000" w:themeColor="text1"/>
          <w:lang w:val="es-ES_tradnl"/>
        </w:rPr>
        <w:t>Registro de Incumplimientos</w:t>
      </w:r>
      <w:r>
        <w:rPr>
          <w:rFonts w:ascii="Verdana" w:eastAsia="Calibri" w:hAnsi="Verdana" w:cs="Arial"/>
          <w:color w:val="000000" w:themeColor="text1"/>
          <w:lang w:val="es-ES_tradnl"/>
        </w:rPr>
        <w:t>’</w:t>
      </w:r>
      <w:r w:rsidRPr="00C070D7">
        <w:rPr>
          <w:rFonts w:ascii="Verdana" w:eastAsia="Calibri" w:hAnsi="Verdana" w:cs="Arial"/>
          <w:color w:val="000000" w:themeColor="text1"/>
          <w:lang w:val="es-ES_tradnl"/>
        </w:rPr>
        <w:t>”.</w:t>
      </w:r>
    </w:p>
    <w:p w14:paraId="531B7AF6" w14:textId="77777777" w:rsidR="001332E7" w:rsidRDefault="001332E7" w:rsidP="001332E7">
      <w:pPr>
        <w:spacing w:after="120" w:line="276" w:lineRule="auto"/>
        <w:jc w:val="both"/>
        <w:rPr>
          <w:rFonts w:ascii="Verdana" w:eastAsia="Calibri" w:hAnsi="Verdana" w:cs="Arial"/>
          <w:color w:val="000000" w:themeColor="text1"/>
          <w:lang w:val="es-ES_tradnl"/>
        </w:rPr>
      </w:pPr>
      <w:r>
        <w:rPr>
          <w:rFonts w:ascii="Verdana" w:eastAsia="Calibri" w:hAnsi="Verdana" w:cs="Arial"/>
          <w:color w:val="000000" w:themeColor="text1"/>
          <w:lang w:val="es-ES_tradnl"/>
        </w:rPr>
        <w:tab/>
        <w:t>Esta obligación se refuerza con la Circular Externa 002 del 8 de mayo de 2026 expedida por la ANCP – CCE, sobre la “</w:t>
      </w:r>
      <w:r w:rsidRPr="00D667B9">
        <w:rPr>
          <w:rFonts w:ascii="Verdana" w:eastAsia="Calibri" w:hAnsi="Verdana" w:cs="Arial"/>
          <w:color w:val="000000" w:themeColor="text1"/>
          <w:lang w:val="es-ES_tradnl"/>
        </w:rPr>
        <w:t>Obligatoriedad de reportar declaratoria de caducidad, multas, sanciones, declaratorias de incumplimiento, inhabilidades y sentencias condenatorias impuestas a los contratistas del Estado ante las Cámaras de Comercio, Procuraduría General de la Nación y en el SECOP</w:t>
      </w:r>
      <w:r>
        <w:rPr>
          <w:rFonts w:ascii="Verdana" w:eastAsia="Calibri" w:hAnsi="Verdana" w:cs="Arial"/>
          <w:color w:val="000000" w:themeColor="text1"/>
          <w:lang w:val="es-ES_tradnl"/>
        </w:rPr>
        <w:t>” y que se dirige a “</w:t>
      </w:r>
      <w:r w:rsidRPr="00D667B9">
        <w:rPr>
          <w:rFonts w:ascii="Verdana" w:eastAsia="Calibri" w:hAnsi="Verdana" w:cs="Arial"/>
          <w:color w:val="000000" w:themeColor="text1"/>
          <w:lang w:val="es-ES_tradnl"/>
        </w:rPr>
        <w:t xml:space="preserve">Las entidades del Estado, </w:t>
      </w:r>
      <w:r w:rsidRPr="00DD3F1D">
        <w:rPr>
          <w:rFonts w:ascii="Verdana" w:eastAsia="Calibri" w:hAnsi="Verdana" w:cs="Arial"/>
          <w:i/>
          <w:iCs/>
          <w:color w:val="000000" w:themeColor="text1"/>
          <w:lang w:val="es-ES_tradnl"/>
        </w:rPr>
        <w:t>sin distinción de su régimen contractual aplicable</w:t>
      </w:r>
      <w:r>
        <w:rPr>
          <w:rFonts w:ascii="Verdana" w:eastAsia="Calibri" w:hAnsi="Verdana" w:cs="Arial"/>
          <w:color w:val="000000" w:themeColor="text1"/>
          <w:lang w:val="es-ES_tradnl"/>
        </w:rPr>
        <w:t xml:space="preserve">” (Énfasis fuera de texto). </w:t>
      </w:r>
    </w:p>
    <w:p w14:paraId="604901B6" w14:textId="77777777" w:rsidR="001332E7" w:rsidRDefault="001332E7" w:rsidP="001332E7">
      <w:pPr>
        <w:spacing w:after="120" w:line="276" w:lineRule="auto"/>
        <w:jc w:val="both"/>
        <w:rPr>
          <w:rFonts w:ascii="Verdana" w:eastAsia="Calibri" w:hAnsi="Verdana" w:cs="Arial"/>
          <w:color w:val="000000" w:themeColor="text1"/>
          <w:lang w:val="es-ES_tradnl"/>
        </w:rPr>
      </w:pPr>
      <w:r>
        <w:rPr>
          <w:rFonts w:ascii="Verdana" w:eastAsia="Calibri" w:hAnsi="Verdana" w:cs="Arial"/>
          <w:color w:val="000000" w:themeColor="text1"/>
          <w:lang w:val="es-ES_tradnl"/>
        </w:rPr>
        <w:tab/>
        <w:t>Por tanto, las entidades exceptuadas de la Ley 80 de 1993 tienen el deber de</w:t>
      </w:r>
      <w:r w:rsidRPr="0049736A">
        <w:rPr>
          <w:rFonts w:ascii="Verdana" w:eastAsia="Calibri" w:hAnsi="Verdana" w:cs="Arial"/>
          <w:color w:val="000000" w:themeColor="text1"/>
          <w:lang w:val="es-ES_tradnl"/>
        </w:rPr>
        <w:t xml:space="preserve"> </w:t>
      </w:r>
      <w:r>
        <w:rPr>
          <w:rFonts w:ascii="Verdana" w:eastAsia="Calibri" w:hAnsi="Verdana" w:cs="Arial"/>
          <w:color w:val="000000" w:themeColor="text1"/>
          <w:lang w:val="es-ES_tradnl"/>
        </w:rPr>
        <w:t xml:space="preserve">“[…] </w:t>
      </w:r>
      <w:r w:rsidRPr="0049736A">
        <w:rPr>
          <w:rFonts w:ascii="Verdana" w:eastAsia="Calibri" w:hAnsi="Verdana" w:cs="Arial"/>
          <w:color w:val="000000" w:themeColor="text1"/>
          <w:lang w:val="es-ES_tradnl"/>
        </w:rPr>
        <w:t>efectuar reportes derivados de decisiones relacionadas con presuntos incumplimientos contractuales</w:t>
      </w:r>
      <w:r>
        <w:rPr>
          <w:rFonts w:ascii="Verdana" w:eastAsia="Calibri" w:hAnsi="Verdana" w:cs="Arial"/>
          <w:color w:val="000000" w:themeColor="text1"/>
          <w:lang w:val="es-ES_tradnl"/>
        </w:rPr>
        <w:t xml:space="preserve"> […]”, entre otros casos, cuando la ausencia de ejecución, la ejecución defectuosa o tardía de la prestación conducen a la declaración de terminación anticipada, multas o cláusula penal pecuniaria</w:t>
      </w:r>
      <w:r w:rsidRPr="0049736A">
        <w:rPr>
          <w:rFonts w:ascii="Verdana" w:eastAsia="Calibri" w:hAnsi="Verdana" w:cs="Arial"/>
          <w:color w:val="000000" w:themeColor="text1"/>
          <w:lang w:val="es-ES_tradnl"/>
        </w:rPr>
        <w:t>.</w:t>
      </w:r>
      <w:r>
        <w:rPr>
          <w:rFonts w:ascii="Verdana" w:eastAsia="Calibri" w:hAnsi="Verdana" w:cs="Arial"/>
          <w:color w:val="000000" w:themeColor="text1"/>
          <w:lang w:val="es-ES_tradnl"/>
        </w:rPr>
        <w:t xml:space="preserve"> Conforme al numeral 7 de la citada guía, la Agencia establece el alcance de la “</w:t>
      </w:r>
      <w:r w:rsidRPr="00945311">
        <w:rPr>
          <w:rFonts w:ascii="Verdana" w:eastAsia="Calibri" w:hAnsi="Verdana" w:cs="Arial"/>
          <w:color w:val="000000" w:themeColor="text1"/>
          <w:lang w:val="es-ES_tradnl"/>
        </w:rPr>
        <w:t>Aplicabilidad de sanciones y cláusulas</w:t>
      </w:r>
      <w:r>
        <w:rPr>
          <w:rFonts w:ascii="Verdana" w:eastAsia="Calibri" w:hAnsi="Verdana" w:cs="Arial"/>
          <w:color w:val="000000" w:themeColor="text1"/>
          <w:lang w:val="es-ES_tradnl"/>
        </w:rPr>
        <w:t xml:space="preserve"> </w:t>
      </w:r>
      <w:r w:rsidRPr="00945311">
        <w:rPr>
          <w:rFonts w:ascii="Verdana" w:eastAsia="Calibri" w:hAnsi="Verdana" w:cs="Arial"/>
          <w:color w:val="000000" w:themeColor="text1"/>
          <w:lang w:val="es-ES_tradnl"/>
        </w:rPr>
        <w:t>de ejercicio unilateral por parte de las</w:t>
      </w:r>
      <w:r>
        <w:rPr>
          <w:rFonts w:ascii="Verdana" w:eastAsia="Calibri" w:hAnsi="Verdana" w:cs="Arial"/>
          <w:color w:val="000000" w:themeColor="text1"/>
          <w:lang w:val="es-ES_tradnl"/>
        </w:rPr>
        <w:t xml:space="preserve"> </w:t>
      </w:r>
      <w:r w:rsidRPr="00945311">
        <w:rPr>
          <w:rFonts w:ascii="Verdana" w:eastAsia="Calibri" w:hAnsi="Verdana" w:cs="Arial"/>
          <w:color w:val="000000" w:themeColor="text1"/>
          <w:lang w:val="es-ES_tradnl"/>
        </w:rPr>
        <w:t>Entidades Estatales con régimen especial</w:t>
      </w:r>
      <w:r>
        <w:rPr>
          <w:rFonts w:ascii="Verdana" w:eastAsia="Calibri" w:hAnsi="Verdana" w:cs="Arial"/>
          <w:color w:val="000000" w:themeColor="text1"/>
          <w:lang w:val="es-ES_tradnl"/>
        </w:rPr>
        <w:t xml:space="preserve"> </w:t>
      </w:r>
      <w:r w:rsidRPr="00945311">
        <w:rPr>
          <w:rFonts w:ascii="Verdana" w:eastAsia="Calibri" w:hAnsi="Verdana" w:cs="Arial"/>
          <w:color w:val="000000" w:themeColor="text1"/>
          <w:lang w:val="es-ES_tradnl"/>
        </w:rPr>
        <w:t>de contratación</w:t>
      </w:r>
      <w:r>
        <w:rPr>
          <w:rFonts w:ascii="Verdana" w:eastAsia="Calibri" w:hAnsi="Verdana" w:cs="Arial"/>
          <w:color w:val="000000" w:themeColor="text1"/>
          <w:lang w:val="es-ES_tradnl"/>
        </w:rPr>
        <w:t>”.</w:t>
      </w:r>
    </w:p>
    <w:p w14:paraId="6BD394DB" w14:textId="3798CE71" w:rsidR="001332E7" w:rsidRDefault="001332E7" w:rsidP="001332E7">
      <w:pPr>
        <w:spacing w:after="120" w:line="276" w:lineRule="auto"/>
        <w:jc w:val="both"/>
        <w:rPr>
          <w:rFonts w:ascii="Verdana" w:eastAsia="Calibri" w:hAnsi="Verdana" w:cs="Arial"/>
          <w:color w:val="000000" w:themeColor="text1"/>
          <w:lang w:val="es-ES"/>
        </w:rPr>
      </w:pPr>
      <w:r>
        <w:rPr>
          <w:rFonts w:ascii="Verdana" w:eastAsia="Calibri" w:hAnsi="Verdana" w:cs="Arial"/>
          <w:color w:val="000000" w:themeColor="text1"/>
          <w:lang w:val="es-ES_tradnl"/>
        </w:rPr>
        <w:tab/>
      </w:r>
      <w:r w:rsidRPr="5DFC3BC8">
        <w:rPr>
          <w:rFonts w:ascii="Verdana" w:eastAsia="Calibri" w:hAnsi="Verdana" w:cs="Arial"/>
          <w:color w:val="000000" w:themeColor="text1"/>
          <w:lang w:val="es-ES"/>
        </w:rPr>
        <w:t>La Circular 002 de 2026 no se refiere al reporte</w:t>
      </w:r>
      <w:r w:rsidR="000B5D0D" w:rsidRPr="5DFC3BC8">
        <w:rPr>
          <w:rFonts w:ascii="Verdana" w:eastAsia="Calibri" w:hAnsi="Verdana" w:cs="Arial"/>
          <w:color w:val="000000" w:themeColor="text1"/>
          <w:lang w:val="es-ES"/>
        </w:rPr>
        <w:t>,</w:t>
      </w:r>
      <w:r w:rsidRPr="5DFC3BC8">
        <w:rPr>
          <w:rFonts w:ascii="Verdana" w:eastAsia="Calibri" w:hAnsi="Verdana" w:cs="Arial"/>
          <w:color w:val="000000" w:themeColor="text1"/>
          <w:lang w:val="es-ES"/>
        </w:rPr>
        <w:t xml:space="preserve"> por ejemplo</w:t>
      </w:r>
      <w:r w:rsidR="006F367E" w:rsidRPr="5DFC3BC8">
        <w:rPr>
          <w:rFonts w:ascii="Verdana" w:eastAsia="Calibri" w:hAnsi="Verdana" w:cs="Arial"/>
          <w:color w:val="000000" w:themeColor="text1"/>
          <w:lang w:val="es-ES"/>
        </w:rPr>
        <w:t>,</w:t>
      </w:r>
      <w:r w:rsidRPr="5DFC3BC8">
        <w:rPr>
          <w:rFonts w:ascii="Verdana" w:eastAsia="Calibri" w:hAnsi="Verdana" w:cs="Arial"/>
          <w:color w:val="000000" w:themeColor="text1"/>
          <w:lang w:val="es-ES"/>
        </w:rPr>
        <w:t xml:space="preserve"> de las decisiones contractuales mediante las cuales la entidad determina la ocurrencia de un siniestro derivado de un presunto incumplimiento contractual, con fines de efectividad de garantías y reclamación ante la aseguradora. Activar las garantías, por ejemplo, supone previamente la expedición de certificados, actas o documentos equivalentes donde, además de constar el ejercicio del derecho de defensa y contradicción por parte del afectado, acreditan la imposición de las sanciones pactadas en el negocio jurídico, las cuales sirven de fundamento para la reclamación posterior. Esta es la información objeto de reporte, la cual deberá constituirse en las condiciones que defina el manual de contratación de la entidad para su traslado a la cámara de comercio.</w:t>
      </w:r>
    </w:p>
    <w:p w14:paraId="2F028B6C" w14:textId="77777777" w:rsidR="001332E7" w:rsidRDefault="001332E7" w:rsidP="00643E5C">
      <w:pPr>
        <w:spacing w:after="120" w:line="276" w:lineRule="auto"/>
        <w:ind w:firstLine="708"/>
        <w:jc w:val="both"/>
        <w:rPr>
          <w:rFonts w:ascii="Verdana" w:eastAsia="Calibri" w:hAnsi="Verdana" w:cs="Arial"/>
          <w:color w:val="000000" w:themeColor="text1"/>
          <w:lang w:val="es-ES_tradnl"/>
        </w:rPr>
      </w:pPr>
      <w:r>
        <w:rPr>
          <w:rFonts w:ascii="Verdana" w:eastAsia="Calibri" w:hAnsi="Verdana" w:cs="Arial"/>
          <w:color w:val="000000" w:themeColor="text1"/>
          <w:lang w:val="es-ES_tradnl"/>
        </w:rPr>
        <w:t xml:space="preserve">En resumen, podría concluirse lo siguiente: </w:t>
      </w:r>
    </w:p>
    <w:tbl>
      <w:tblPr>
        <w:tblpPr w:leftFromText="141" w:rightFromText="141" w:vertAnchor="text" w:horzAnchor="margin" w:tblpY="8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58"/>
        <w:gridCol w:w="1843"/>
        <w:gridCol w:w="1423"/>
        <w:gridCol w:w="850"/>
        <w:gridCol w:w="1559"/>
        <w:gridCol w:w="1134"/>
      </w:tblGrid>
      <w:tr w:rsidR="00B2237B" w:rsidRPr="001B2B39" w14:paraId="0D4FFAAD" w14:textId="77777777" w:rsidTr="00215692">
        <w:trPr>
          <w:trHeight w:val="308"/>
        </w:trPr>
        <w:tc>
          <w:tcPr>
            <w:tcW w:w="2258"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3AF7FCB2" w14:textId="77777777" w:rsidR="00B2237B" w:rsidRPr="001B2B39" w:rsidRDefault="00B2237B" w:rsidP="00B2237B">
            <w:pPr>
              <w:spacing w:after="0" w:line="240" w:lineRule="auto"/>
              <w:jc w:val="center"/>
              <w:rPr>
                <w:rFonts w:ascii="Verdana" w:eastAsia="Times New Roman" w:hAnsi="Verdana" w:cs="Times New Roman"/>
                <w:b/>
                <w:bCs/>
                <w:color w:val="000000"/>
                <w:sz w:val="16"/>
                <w:szCs w:val="16"/>
                <w:lang w:eastAsia="es-CO"/>
              </w:rPr>
            </w:pPr>
            <w:r w:rsidRPr="001B2B39">
              <w:rPr>
                <w:rFonts w:ascii="Verdana" w:eastAsia="Times New Roman" w:hAnsi="Verdana" w:cs="Times New Roman"/>
                <w:b/>
                <w:bCs/>
                <w:color w:val="000000"/>
                <w:sz w:val="16"/>
                <w:szCs w:val="16"/>
                <w:lang w:eastAsia="es-CO"/>
              </w:rPr>
              <w:t xml:space="preserve">TIPO DE INFORMACIÓN QUE SE DEBE REGISTRAR </w:t>
            </w:r>
          </w:p>
        </w:tc>
        <w:tc>
          <w:tcPr>
            <w:tcW w:w="1843"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56A61C9E" w14:textId="77777777" w:rsidR="00B2237B" w:rsidRPr="001B2B39" w:rsidRDefault="00B2237B" w:rsidP="00B2237B">
            <w:pPr>
              <w:spacing w:after="0" w:line="240" w:lineRule="auto"/>
              <w:jc w:val="center"/>
              <w:rPr>
                <w:rFonts w:ascii="Verdana" w:eastAsia="Times New Roman" w:hAnsi="Verdana" w:cs="Times New Roman"/>
                <w:b/>
                <w:bCs/>
                <w:color w:val="000000"/>
                <w:sz w:val="16"/>
                <w:szCs w:val="16"/>
                <w:lang w:eastAsia="es-CO"/>
              </w:rPr>
            </w:pPr>
            <w:r w:rsidRPr="001B2B39">
              <w:rPr>
                <w:rFonts w:ascii="Verdana" w:eastAsia="Times New Roman" w:hAnsi="Verdana" w:cs="Times New Roman"/>
                <w:b/>
                <w:bCs/>
                <w:color w:val="000000"/>
                <w:sz w:val="16"/>
                <w:szCs w:val="16"/>
                <w:lang w:eastAsia="es-CO"/>
              </w:rPr>
              <w:t xml:space="preserve">NORMATIVIDAD </w:t>
            </w:r>
          </w:p>
        </w:tc>
        <w:tc>
          <w:tcPr>
            <w:tcW w:w="1423"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3DA4BF14" w14:textId="77777777" w:rsidR="00B2237B" w:rsidRPr="001B2B39" w:rsidRDefault="00B2237B" w:rsidP="00B2237B">
            <w:pPr>
              <w:spacing w:after="0" w:line="240" w:lineRule="auto"/>
              <w:jc w:val="center"/>
              <w:rPr>
                <w:rFonts w:ascii="Verdana" w:eastAsia="Times New Roman" w:hAnsi="Verdana" w:cs="Times New Roman"/>
                <w:b/>
                <w:bCs/>
                <w:color w:val="000000"/>
                <w:sz w:val="16"/>
                <w:szCs w:val="16"/>
                <w:lang w:eastAsia="es-CO"/>
              </w:rPr>
            </w:pPr>
            <w:r w:rsidRPr="001B2B39">
              <w:rPr>
                <w:rFonts w:ascii="Verdana" w:eastAsia="Times New Roman" w:hAnsi="Verdana" w:cs="Times New Roman"/>
                <w:b/>
                <w:bCs/>
                <w:color w:val="000000"/>
                <w:sz w:val="16"/>
                <w:szCs w:val="16"/>
                <w:lang w:eastAsia="es-CO"/>
              </w:rPr>
              <w:t>PLAZO PARA SU RE</w:t>
            </w:r>
            <w:r>
              <w:rPr>
                <w:rFonts w:ascii="Verdana" w:eastAsia="Times New Roman" w:hAnsi="Verdana" w:cs="Times New Roman"/>
                <w:b/>
                <w:bCs/>
                <w:color w:val="000000"/>
                <w:sz w:val="16"/>
                <w:szCs w:val="16"/>
                <w:lang w:eastAsia="es-CO"/>
              </w:rPr>
              <w:t>PORTE</w:t>
            </w:r>
            <w:r w:rsidRPr="001B2B39">
              <w:rPr>
                <w:rFonts w:ascii="Verdana" w:eastAsia="Times New Roman" w:hAnsi="Verdana" w:cs="Times New Roman"/>
                <w:b/>
                <w:bCs/>
                <w:color w:val="000000"/>
                <w:sz w:val="16"/>
                <w:szCs w:val="16"/>
                <w:lang w:eastAsia="es-CO"/>
              </w:rPr>
              <w:t xml:space="preserve"> </w:t>
            </w:r>
          </w:p>
        </w:tc>
        <w:tc>
          <w:tcPr>
            <w:tcW w:w="85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74432865" w14:textId="77777777" w:rsidR="00B2237B" w:rsidRPr="001B2B39" w:rsidRDefault="00B2237B" w:rsidP="00B2237B">
            <w:pPr>
              <w:spacing w:after="0" w:line="240" w:lineRule="auto"/>
              <w:jc w:val="center"/>
              <w:rPr>
                <w:rFonts w:ascii="Verdana" w:eastAsia="Times New Roman" w:hAnsi="Verdana" w:cs="Times New Roman"/>
                <w:b/>
                <w:bCs/>
                <w:color w:val="000000"/>
                <w:sz w:val="16"/>
                <w:szCs w:val="16"/>
                <w:lang w:eastAsia="es-CO"/>
              </w:rPr>
            </w:pPr>
            <w:r w:rsidRPr="001B2B39">
              <w:rPr>
                <w:rFonts w:ascii="Verdana" w:eastAsia="Times New Roman" w:hAnsi="Verdana" w:cs="Times New Roman"/>
                <w:b/>
                <w:bCs/>
                <w:color w:val="000000"/>
                <w:sz w:val="16"/>
                <w:szCs w:val="16"/>
                <w:lang w:eastAsia="es-CO"/>
              </w:rPr>
              <w:t xml:space="preserve">SECOP II </w:t>
            </w:r>
          </w:p>
        </w:tc>
        <w:tc>
          <w:tcPr>
            <w:tcW w:w="1559"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4F71AB7E" w14:textId="77777777" w:rsidR="00B2237B" w:rsidRPr="001B2B39" w:rsidRDefault="00B2237B" w:rsidP="00B2237B">
            <w:pPr>
              <w:spacing w:after="0" w:line="240" w:lineRule="auto"/>
              <w:jc w:val="center"/>
              <w:rPr>
                <w:rFonts w:ascii="Verdana" w:eastAsia="Times New Roman" w:hAnsi="Verdana" w:cs="Times New Roman"/>
                <w:b/>
                <w:bCs/>
                <w:color w:val="000000"/>
                <w:sz w:val="16"/>
                <w:szCs w:val="16"/>
                <w:lang w:eastAsia="es-CO"/>
              </w:rPr>
            </w:pPr>
            <w:r w:rsidRPr="001B2B39">
              <w:rPr>
                <w:rFonts w:ascii="Verdana" w:eastAsia="Times New Roman" w:hAnsi="Verdana" w:cs="Times New Roman"/>
                <w:b/>
                <w:bCs/>
                <w:color w:val="000000"/>
                <w:sz w:val="16"/>
                <w:szCs w:val="16"/>
                <w:lang w:eastAsia="es-CO"/>
              </w:rPr>
              <w:t xml:space="preserve">PROCURADURÍA GENERAL DE LA NACIÓN </w:t>
            </w:r>
          </w:p>
        </w:tc>
        <w:tc>
          <w:tcPr>
            <w:tcW w:w="1134"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56CCE3E7" w14:textId="77777777" w:rsidR="00B2237B" w:rsidRPr="001B2B39" w:rsidRDefault="00B2237B" w:rsidP="00B2237B">
            <w:pPr>
              <w:spacing w:after="0" w:line="240" w:lineRule="auto"/>
              <w:jc w:val="center"/>
              <w:rPr>
                <w:rFonts w:ascii="Verdana" w:eastAsia="Times New Roman" w:hAnsi="Verdana" w:cs="Times New Roman"/>
                <w:b/>
                <w:bCs/>
                <w:color w:val="000000"/>
                <w:sz w:val="16"/>
                <w:szCs w:val="16"/>
                <w:lang w:eastAsia="es-CO"/>
              </w:rPr>
            </w:pPr>
            <w:r w:rsidRPr="001B2B39">
              <w:rPr>
                <w:rFonts w:ascii="Verdana" w:eastAsia="Times New Roman" w:hAnsi="Verdana" w:cs="Times New Roman"/>
                <w:b/>
                <w:bCs/>
                <w:color w:val="000000"/>
                <w:sz w:val="16"/>
                <w:szCs w:val="16"/>
                <w:lang w:eastAsia="es-CO"/>
              </w:rPr>
              <w:t xml:space="preserve">CÁMARA DE COMERCIO </w:t>
            </w:r>
          </w:p>
        </w:tc>
      </w:tr>
      <w:tr w:rsidR="00B2237B" w:rsidRPr="001B2B39" w14:paraId="0A75DBE1" w14:textId="77777777" w:rsidTr="00215692">
        <w:trPr>
          <w:trHeight w:val="261"/>
        </w:trPr>
        <w:tc>
          <w:tcPr>
            <w:tcW w:w="2258" w:type="dxa"/>
            <w:vMerge w:val="restart"/>
            <w:tcBorders>
              <w:top w:val="single" w:sz="4" w:space="0" w:color="auto"/>
              <w:left w:val="single" w:sz="4" w:space="0" w:color="auto"/>
              <w:bottom w:val="single" w:sz="4" w:space="0" w:color="auto"/>
              <w:right w:val="single" w:sz="4" w:space="0" w:color="auto"/>
            </w:tcBorders>
            <w:vAlign w:val="center"/>
            <w:hideMark/>
          </w:tcPr>
          <w:p w14:paraId="50506596" w14:textId="77777777" w:rsidR="00B2237B" w:rsidRPr="001B2B39" w:rsidRDefault="00B2237B" w:rsidP="00B2237B">
            <w:pPr>
              <w:spacing w:after="0" w:line="240" w:lineRule="auto"/>
              <w:jc w:val="both"/>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Documentos del Proceso “cualquier otro documento expedido por la Entidad Estatal durante el Proceso de Contratación”. Se destaca que el acto o equivalente que haya impuesto sanción en términos generales o una inhabilidad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75601CF" w14:textId="77777777" w:rsidR="00B2237B" w:rsidRPr="001B2B39" w:rsidRDefault="00B2237B" w:rsidP="00B2237B">
            <w:pPr>
              <w:spacing w:after="0" w:line="240" w:lineRule="auto"/>
              <w:jc w:val="both"/>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Ley 1150 de 2007. Artículo 13.</w:t>
            </w:r>
          </w:p>
        </w:tc>
        <w:tc>
          <w:tcPr>
            <w:tcW w:w="1423" w:type="dxa"/>
            <w:vMerge w:val="restart"/>
            <w:tcBorders>
              <w:top w:val="single" w:sz="4" w:space="0" w:color="auto"/>
              <w:left w:val="single" w:sz="4" w:space="0" w:color="auto"/>
              <w:bottom w:val="single" w:sz="4" w:space="0" w:color="auto"/>
              <w:right w:val="single" w:sz="4" w:space="0" w:color="auto"/>
            </w:tcBorders>
            <w:vAlign w:val="center"/>
            <w:hideMark/>
          </w:tcPr>
          <w:p w14:paraId="799045A0" w14:textId="77777777" w:rsidR="00B2237B" w:rsidRPr="001B2B39" w:rsidRDefault="00B2237B" w:rsidP="00B2237B">
            <w:pPr>
              <w:spacing w:after="0" w:line="240" w:lineRule="auto"/>
              <w:jc w:val="both"/>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Dentro de los 3 días siguientes según lo dispuesto en el Decreto 1082 de 2015 (regla general) </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ECC0CC1" w14:textId="77777777" w:rsidR="00B2237B" w:rsidRPr="001B2B39" w:rsidRDefault="00B2237B" w:rsidP="00B2237B">
            <w:pPr>
              <w:spacing w:after="0" w:line="240" w:lineRule="auto"/>
              <w:jc w:val="center"/>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SÍ </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51204E1" w14:textId="77777777" w:rsidR="00B2237B" w:rsidRPr="001B2B39" w:rsidRDefault="00B2237B" w:rsidP="00B2237B">
            <w:pPr>
              <w:spacing w:after="0" w:line="240" w:lineRule="auto"/>
              <w:jc w:val="center"/>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NO </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F52117D" w14:textId="77777777" w:rsidR="00B2237B" w:rsidRPr="001B2B39" w:rsidRDefault="00B2237B" w:rsidP="00B2237B">
            <w:pPr>
              <w:spacing w:after="0" w:line="240" w:lineRule="auto"/>
              <w:jc w:val="center"/>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NO</w:t>
            </w:r>
          </w:p>
        </w:tc>
      </w:tr>
      <w:tr w:rsidR="00B2237B" w:rsidRPr="001B2B39" w14:paraId="20235A9B" w14:textId="77777777" w:rsidTr="00215692">
        <w:trPr>
          <w:trHeight w:val="448"/>
        </w:trPr>
        <w:tc>
          <w:tcPr>
            <w:tcW w:w="2258" w:type="dxa"/>
            <w:vMerge/>
            <w:tcBorders>
              <w:top w:val="single" w:sz="4" w:space="0" w:color="auto"/>
              <w:left w:val="single" w:sz="4" w:space="0" w:color="auto"/>
              <w:bottom w:val="single" w:sz="4" w:space="0" w:color="auto"/>
              <w:right w:val="single" w:sz="4" w:space="0" w:color="auto"/>
            </w:tcBorders>
            <w:vAlign w:val="center"/>
            <w:hideMark/>
          </w:tcPr>
          <w:p w14:paraId="6680F6C4"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C87A799" w14:textId="77777777" w:rsidR="00B2237B" w:rsidRPr="001B2B39" w:rsidRDefault="00B2237B" w:rsidP="00B2237B">
            <w:pPr>
              <w:spacing w:after="0" w:line="240" w:lineRule="auto"/>
              <w:jc w:val="both"/>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Ley 1712 de 2014 artículos 5 y 11 literal g) </w:t>
            </w:r>
          </w:p>
        </w:tc>
        <w:tc>
          <w:tcPr>
            <w:tcW w:w="1423" w:type="dxa"/>
            <w:vMerge/>
            <w:tcBorders>
              <w:top w:val="single" w:sz="4" w:space="0" w:color="auto"/>
              <w:left w:val="single" w:sz="4" w:space="0" w:color="auto"/>
              <w:bottom w:val="single" w:sz="4" w:space="0" w:color="auto"/>
              <w:right w:val="single" w:sz="4" w:space="0" w:color="auto"/>
            </w:tcBorders>
            <w:vAlign w:val="center"/>
            <w:hideMark/>
          </w:tcPr>
          <w:p w14:paraId="7B359615"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1CBAD6C"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DC8E393"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ECF41FC"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r>
      <w:tr w:rsidR="00B2237B" w:rsidRPr="001B2B39" w14:paraId="77C4998F" w14:textId="77777777" w:rsidTr="00215692">
        <w:trPr>
          <w:trHeight w:val="673"/>
        </w:trPr>
        <w:tc>
          <w:tcPr>
            <w:tcW w:w="2258" w:type="dxa"/>
            <w:vMerge/>
            <w:tcBorders>
              <w:top w:val="single" w:sz="4" w:space="0" w:color="auto"/>
              <w:left w:val="single" w:sz="4" w:space="0" w:color="auto"/>
              <w:bottom w:val="single" w:sz="4" w:space="0" w:color="auto"/>
              <w:right w:val="single" w:sz="4" w:space="0" w:color="auto"/>
            </w:tcBorders>
            <w:vAlign w:val="center"/>
            <w:hideMark/>
          </w:tcPr>
          <w:p w14:paraId="0757C21B"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CBE3876" w14:textId="77777777" w:rsidR="00B2237B" w:rsidRPr="001B2B39" w:rsidRDefault="00B2237B" w:rsidP="00B2237B">
            <w:pPr>
              <w:spacing w:after="0" w:line="240" w:lineRule="auto"/>
              <w:jc w:val="both"/>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Decreto 1082 de 2015. Artículos 2.2.1.1.1.3.1, 2.2.1.1.1.7.1 </w:t>
            </w:r>
          </w:p>
        </w:tc>
        <w:tc>
          <w:tcPr>
            <w:tcW w:w="1423" w:type="dxa"/>
            <w:vMerge/>
            <w:tcBorders>
              <w:top w:val="single" w:sz="4" w:space="0" w:color="auto"/>
              <w:left w:val="single" w:sz="4" w:space="0" w:color="auto"/>
              <w:bottom w:val="single" w:sz="4" w:space="0" w:color="auto"/>
              <w:right w:val="single" w:sz="4" w:space="0" w:color="auto"/>
            </w:tcBorders>
            <w:vAlign w:val="center"/>
            <w:hideMark/>
          </w:tcPr>
          <w:p w14:paraId="3888D89D"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4EADF64"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188EFCB"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643150"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r>
      <w:tr w:rsidR="00B2237B" w:rsidRPr="001B2B39" w14:paraId="45F91ADB" w14:textId="77777777" w:rsidTr="00215692">
        <w:trPr>
          <w:trHeight w:val="480"/>
        </w:trPr>
        <w:tc>
          <w:tcPr>
            <w:tcW w:w="2258" w:type="dxa"/>
            <w:vMerge w:val="restart"/>
            <w:tcBorders>
              <w:top w:val="single" w:sz="4" w:space="0" w:color="auto"/>
              <w:left w:val="single" w:sz="4" w:space="0" w:color="auto"/>
              <w:bottom w:val="single" w:sz="4" w:space="0" w:color="auto"/>
              <w:right w:val="single" w:sz="4" w:space="0" w:color="auto"/>
            </w:tcBorders>
            <w:vAlign w:val="center"/>
            <w:hideMark/>
          </w:tcPr>
          <w:p w14:paraId="4C43F870" w14:textId="77777777" w:rsidR="00B2237B" w:rsidRPr="001B2B39" w:rsidRDefault="00B2237B" w:rsidP="00B2237B">
            <w:pPr>
              <w:spacing w:after="0" w:line="240" w:lineRule="auto"/>
              <w:jc w:val="both"/>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Causas de inhabilidad que se deriven de las relaciones contractuales con el Estado.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69EB355" w14:textId="77777777" w:rsidR="00B2237B" w:rsidRPr="001B2B39" w:rsidRDefault="00B2237B" w:rsidP="00B2237B">
            <w:pPr>
              <w:spacing w:after="0" w:line="240" w:lineRule="auto"/>
              <w:jc w:val="both"/>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Ley 1952 de 2019 artículo 38 numeral 43 </w:t>
            </w:r>
          </w:p>
        </w:tc>
        <w:tc>
          <w:tcPr>
            <w:tcW w:w="1423" w:type="dxa"/>
            <w:vMerge w:val="restart"/>
            <w:tcBorders>
              <w:top w:val="single" w:sz="4" w:space="0" w:color="auto"/>
              <w:left w:val="single" w:sz="4" w:space="0" w:color="auto"/>
              <w:bottom w:val="single" w:sz="4" w:space="0" w:color="auto"/>
              <w:right w:val="single" w:sz="4" w:space="0" w:color="auto"/>
            </w:tcBorders>
            <w:vAlign w:val="center"/>
            <w:hideMark/>
          </w:tcPr>
          <w:p w14:paraId="7152AB21" w14:textId="77777777" w:rsidR="00B2237B" w:rsidRPr="001B2B39" w:rsidRDefault="00B2237B" w:rsidP="00B2237B">
            <w:pPr>
              <w:spacing w:after="0" w:line="240" w:lineRule="auto"/>
              <w:jc w:val="both"/>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Dentro de los 5 días siguientes en la que se definió las causas de inhabilidad que se deriven de las relaciones contractuales con el Estado. </w:t>
            </w:r>
          </w:p>
        </w:tc>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14:paraId="0B7BF65F" w14:textId="77777777" w:rsidR="00B2237B" w:rsidRPr="001B2B39" w:rsidRDefault="00B2237B" w:rsidP="00B2237B">
            <w:pPr>
              <w:spacing w:after="0" w:line="240" w:lineRule="auto"/>
              <w:jc w:val="center"/>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NO </w:t>
            </w:r>
          </w:p>
        </w:tc>
        <w:tc>
          <w:tcPr>
            <w:tcW w:w="1559" w:type="dxa"/>
            <w:vMerge w:val="restart"/>
            <w:tcBorders>
              <w:top w:val="single" w:sz="4" w:space="0" w:color="auto"/>
              <w:left w:val="single" w:sz="4" w:space="0" w:color="auto"/>
              <w:bottom w:val="single" w:sz="4" w:space="0" w:color="auto"/>
              <w:right w:val="single" w:sz="4" w:space="0" w:color="auto"/>
            </w:tcBorders>
            <w:noWrap/>
            <w:vAlign w:val="center"/>
            <w:hideMark/>
          </w:tcPr>
          <w:p w14:paraId="2DA744D9" w14:textId="77777777" w:rsidR="00B2237B" w:rsidRPr="001B2B39" w:rsidRDefault="00B2237B" w:rsidP="00B2237B">
            <w:pPr>
              <w:spacing w:after="0" w:line="240" w:lineRule="auto"/>
              <w:jc w:val="center"/>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SI </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0509045D" w14:textId="77777777" w:rsidR="00B2237B" w:rsidRPr="001B2B39" w:rsidRDefault="00B2237B" w:rsidP="00B2237B">
            <w:pPr>
              <w:spacing w:after="0" w:line="240" w:lineRule="auto"/>
              <w:jc w:val="center"/>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NO </w:t>
            </w:r>
          </w:p>
        </w:tc>
      </w:tr>
      <w:tr w:rsidR="00B2237B" w:rsidRPr="001B2B39" w14:paraId="5980827D" w14:textId="77777777" w:rsidTr="00215692">
        <w:trPr>
          <w:trHeight w:val="351"/>
        </w:trPr>
        <w:tc>
          <w:tcPr>
            <w:tcW w:w="2258" w:type="dxa"/>
            <w:vMerge/>
            <w:tcBorders>
              <w:top w:val="single" w:sz="4" w:space="0" w:color="auto"/>
              <w:left w:val="single" w:sz="4" w:space="0" w:color="auto"/>
              <w:bottom w:val="single" w:sz="4" w:space="0" w:color="auto"/>
              <w:right w:val="single" w:sz="4" w:space="0" w:color="auto"/>
            </w:tcBorders>
            <w:vAlign w:val="center"/>
            <w:hideMark/>
          </w:tcPr>
          <w:p w14:paraId="008830CF"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3C5223C" w14:textId="77777777" w:rsidR="00B2237B" w:rsidRPr="001B2B39" w:rsidRDefault="00B2237B" w:rsidP="00B2237B">
            <w:pPr>
              <w:spacing w:after="0" w:line="240" w:lineRule="auto"/>
              <w:jc w:val="both"/>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Resolución 461 de 2016 </w:t>
            </w:r>
          </w:p>
        </w:tc>
        <w:tc>
          <w:tcPr>
            <w:tcW w:w="1423" w:type="dxa"/>
            <w:vMerge/>
            <w:tcBorders>
              <w:top w:val="single" w:sz="4" w:space="0" w:color="auto"/>
              <w:left w:val="single" w:sz="4" w:space="0" w:color="auto"/>
              <w:bottom w:val="single" w:sz="4" w:space="0" w:color="auto"/>
              <w:right w:val="single" w:sz="4" w:space="0" w:color="auto"/>
            </w:tcBorders>
            <w:vAlign w:val="center"/>
            <w:hideMark/>
          </w:tcPr>
          <w:p w14:paraId="3CBF11A5"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914AE9C"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97B4BB8"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14C2C4" w14:textId="77777777" w:rsidR="00B2237B" w:rsidRPr="001B2B39" w:rsidRDefault="00B2237B" w:rsidP="00B2237B">
            <w:pPr>
              <w:spacing w:after="0" w:line="240" w:lineRule="auto"/>
              <w:rPr>
                <w:rFonts w:ascii="Verdana" w:eastAsia="Times New Roman" w:hAnsi="Verdana" w:cs="Times New Roman"/>
                <w:color w:val="000000"/>
                <w:sz w:val="16"/>
                <w:szCs w:val="16"/>
                <w:lang w:eastAsia="es-CO"/>
              </w:rPr>
            </w:pPr>
          </w:p>
        </w:tc>
      </w:tr>
      <w:tr w:rsidR="00B2237B" w:rsidRPr="001B2B39" w14:paraId="31918C37" w14:textId="77777777" w:rsidTr="00215692">
        <w:trPr>
          <w:trHeight w:val="308"/>
        </w:trPr>
        <w:tc>
          <w:tcPr>
            <w:tcW w:w="2258" w:type="dxa"/>
            <w:vMerge w:val="restart"/>
            <w:tcBorders>
              <w:top w:val="single" w:sz="4" w:space="0" w:color="auto"/>
              <w:left w:val="single" w:sz="4" w:space="0" w:color="auto"/>
              <w:bottom w:val="single" w:sz="4" w:space="0" w:color="auto"/>
              <w:right w:val="single" w:sz="4" w:space="0" w:color="auto"/>
            </w:tcBorders>
            <w:noWrap/>
            <w:vAlign w:val="center"/>
            <w:hideMark/>
          </w:tcPr>
          <w:p w14:paraId="321AD279" w14:textId="77777777" w:rsidR="00B2237B" w:rsidRPr="001B2B39" w:rsidRDefault="00B2237B" w:rsidP="00B2237B">
            <w:pPr>
              <w:spacing w:after="0" w:line="240" w:lineRule="auto"/>
              <w:jc w:val="both"/>
              <w:rPr>
                <w:rFonts w:ascii="Verdana" w:eastAsia="Times New Roman" w:hAnsi="Verdana" w:cs="Times New Roman"/>
                <w:color w:val="000000"/>
                <w:sz w:val="16"/>
                <w:szCs w:val="16"/>
                <w:lang w:eastAsia="es-CO"/>
              </w:rPr>
            </w:pPr>
            <w:r>
              <w:rPr>
                <w:rFonts w:ascii="Verdana" w:eastAsia="Times New Roman" w:hAnsi="Verdana" w:cs="Times New Roman"/>
                <w:color w:val="000000"/>
                <w:sz w:val="16"/>
                <w:szCs w:val="16"/>
                <w:lang w:eastAsia="es-CO"/>
              </w:rPr>
              <w:t>I</w:t>
            </w:r>
            <w:r w:rsidRPr="001B2B39">
              <w:rPr>
                <w:rFonts w:ascii="Verdana" w:eastAsia="Times New Roman" w:hAnsi="Verdana" w:cs="Times New Roman"/>
                <w:color w:val="000000"/>
                <w:sz w:val="16"/>
                <w:szCs w:val="16"/>
                <w:lang w:eastAsia="es-CO"/>
              </w:rPr>
              <w:t>nformación sobre contratos, multas y sanciones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A09365C" w14:textId="77777777" w:rsidR="00B2237B" w:rsidRPr="001B2B39" w:rsidRDefault="00B2237B" w:rsidP="00B2237B">
            <w:pPr>
              <w:spacing w:after="0" w:line="240" w:lineRule="auto"/>
              <w:jc w:val="both"/>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Ley 1150 de 2007. Artículos 6, 13.</w:t>
            </w:r>
          </w:p>
        </w:tc>
        <w:tc>
          <w:tcPr>
            <w:tcW w:w="1423" w:type="dxa"/>
            <w:vMerge w:val="restart"/>
            <w:tcBorders>
              <w:top w:val="single" w:sz="4" w:space="0" w:color="auto"/>
              <w:left w:val="single" w:sz="4" w:space="0" w:color="auto"/>
              <w:bottom w:val="single" w:sz="4" w:space="0" w:color="auto"/>
              <w:right w:val="single" w:sz="4" w:space="0" w:color="auto"/>
            </w:tcBorders>
            <w:noWrap/>
            <w:vAlign w:val="center"/>
            <w:hideMark/>
          </w:tcPr>
          <w:p w14:paraId="5E774F6C" w14:textId="77777777" w:rsidR="00B2237B" w:rsidRPr="001B2B39" w:rsidRDefault="00B2237B" w:rsidP="00B2237B">
            <w:pPr>
              <w:spacing w:after="0" w:line="240" w:lineRule="auto"/>
              <w:jc w:val="both"/>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Deberán reportar mensualmente ante las cámaras de comercio </w:t>
            </w:r>
          </w:p>
        </w:tc>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14:paraId="222EC092" w14:textId="77777777" w:rsidR="00B2237B" w:rsidRPr="001B2B39" w:rsidRDefault="00B2237B" w:rsidP="00B2237B">
            <w:pPr>
              <w:spacing w:after="0" w:line="240" w:lineRule="auto"/>
              <w:jc w:val="center"/>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NO </w:t>
            </w:r>
          </w:p>
        </w:tc>
        <w:tc>
          <w:tcPr>
            <w:tcW w:w="1559" w:type="dxa"/>
            <w:vMerge w:val="restart"/>
            <w:tcBorders>
              <w:top w:val="single" w:sz="4" w:space="0" w:color="auto"/>
              <w:left w:val="single" w:sz="4" w:space="0" w:color="auto"/>
              <w:bottom w:val="single" w:sz="4" w:space="0" w:color="auto"/>
              <w:right w:val="single" w:sz="4" w:space="0" w:color="auto"/>
            </w:tcBorders>
            <w:noWrap/>
            <w:vAlign w:val="center"/>
            <w:hideMark/>
          </w:tcPr>
          <w:p w14:paraId="769E6ED0" w14:textId="77777777" w:rsidR="00B2237B" w:rsidRPr="001B2B39" w:rsidRDefault="00B2237B" w:rsidP="00B2237B">
            <w:pPr>
              <w:spacing w:after="0" w:line="240" w:lineRule="auto"/>
              <w:jc w:val="center"/>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NO </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370E103C" w14:textId="77777777" w:rsidR="00B2237B" w:rsidRPr="001B2B39" w:rsidRDefault="00B2237B" w:rsidP="00B2237B">
            <w:pPr>
              <w:spacing w:after="0" w:line="240" w:lineRule="auto"/>
              <w:jc w:val="center"/>
              <w:rPr>
                <w:rFonts w:ascii="Verdana" w:eastAsia="Times New Roman" w:hAnsi="Verdana" w:cs="Times New Roman"/>
                <w:color w:val="000000"/>
                <w:sz w:val="16"/>
                <w:szCs w:val="16"/>
                <w:lang w:eastAsia="es-CO"/>
              </w:rPr>
            </w:pPr>
            <w:r w:rsidRPr="001B2B39">
              <w:rPr>
                <w:rFonts w:ascii="Verdana" w:eastAsia="Times New Roman" w:hAnsi="Verdana" w:cs="Times New Roman"/>
                <w:color w:val="000000"/>
                <w:sz w:val="16"/>
                <w:szCs w:val="16"/>
                <w:lang w:eastAsia="es-CO"/>
              </w:rPr>
              <w:t xml:space="preserve">SÍ </w:t>
            </w:r>
          </w:p>
        </w:tc>
      </w:tr>
      <w:tr w:rsidR="00B2237B" w:rsidRPr="00DF39DD" w14:paraId="79B500EB" w14:textId="77777777" w:rsidTr="00215692">
        <w:trPr>
          <w:trHeight w:val="314"/>
        </w:trPr>
        <w:tc>
          <w:tcPr>
            <w:tcW w:w="2258" w:type="dxa"/>
            <w:vMerge/>
            <w:tcBorders>
              <w:top w:val="single" w:sz="4" w:space="0" w:color="auto"/>
            </w:tcBorders>
            <w:vAlign w:val="center"/>
            <w:hideMark/>
          </w:tcPr>
          <w:p w14:paraId="37BCD939" w14:textId="77777777" w:rsidR="00B2237B" w:rsidRPr="00DF39DD" w:rsidRDefault="00B2237B" w:rsidP="00B2237B">
            <w:pPr>
              <w:spacing w:after="0" w:line="240" w:lineRule="auto"/>
              <w:rPr>
                <w:rFonts w:ascii="Aptos Narrow" w:eastAsia="Times New Roman" w:hAnsi="Aptos Narrow" w:cs="Times New Roman"/>
                <w:color w:val="000000"/>
                <w:lang w:eastAsia="es-CO"/>
              </w:rPr>
            </w:pPr>
          </w:p>
        </w:tc>
        <w:tc>
          <w:tcPr>
            <w:tcW w:w="1843" w:type="dxa"/>
            <w:tcBorders>
              <w:top w:val="single" w:sz="4" w:space="0" w:color="auto"/>
            </w:tcBorders>
            <w:vAlign w:val="center"/>
            <w:hideMark/>
          </w:tcPr>
          <w:p w14:paraId="62E61EDF" w14:textId="77777777" w:rsidR="00B2237B" w:rsidRPr="00DF39DD" w:rsidRDefault="00B2237B" w:rsidP="00B2237B">
            <w:pPr>
              <w:spacing w:after="0" w:line="240" w:lineRule="auto"/>
              <w:jc w:val="both"/>
              <w:rPr>
                <w:rFonts w:ascii="Aptos Narrow" w:eastAsia="Times New Roman" w:hAnsi="Aptos Narrow" w:cs="Times New Roman"/>
                <w:color w:val="000000"/>
                <w:lang w:eastAsia="es-CO"/>
              </w:rPr>
            </w:pPr>
            <w:r w:rsidRPr="00DF39DD">
              <w:rPr>
                <w:rFonts w:ascii="Aptos Narrow" w:eastAsia="Times New Roman" w:hAnsi="Aptos Narrow" w:cs="Times New Roman"/>
                <w:color w:val="000000"/>
                <w:lang w:eastAsia="es-CO"/>
              </w:rPr>
              <w:t xml:space="preserve">Decreto 1082 de 2015. Artículo 2.2.1.1.1.5.7 </w:t>
            </w:r>
          </w:p>
        </w:tc>
        <w:tc>
          <w:tcPr>
            <w:tcW w:w="1423" w:type="dxa"/>
            <w:vMerge/>
            <w:tcBorders>
              <w:top w:val="single" w:sz="4" w:space="0" w:color="auto"/>
            </w:tcBorders>
            <w:vAlign w:val="center"/>
            <w:hideMark/>
          </w:tcPr>
          <w:p w14:paraId="313B2F93" w14:textId="77777777" w:rsidR="00B2237B" w:rsidRPr="00DF39DD" w:rsidRDefault="00B2237B" w:rsidP="00B2237B">
            <w:pPr>
              <w:spacing w:after="0" w:line="240" w:lineRule="auto"/>
              <w:rPr>
                <w:rFonts w:ascii="Aptos Narrow" w:eastAsia="Times New Roman" w:hAnsi="Aptos Narrow" w:cs="Times New Roman"/>
                <w:color w:val="000000"/>
                <w:lang w:eastAsia="es-CO"/>
              </w:rPr>
            </w:pPr>
          </w:p>
        </w:tc>
        <w:tc>
          <w:tcPr>
            <w:tcW w:w="850" w:type="dxa"/>
            <w:vMerge/>
            <w:tcBorders>
              <w:top w:val="single" w:sz="4" w:space="0" w:color="auto"/>
            </w:tcBorders>
            <w:vAlign w:val="center"/>
            <w:hideMark/>
          </w:tcPr>
          <w:p w14:paraId="469CD6B8" w14:textId="77777777" w:rsidR="00B2237B" w:rsidRPr="00DF39DD" w:rsidRDefault="00B2237B" w:rsidP="00B2237B">
            <w:pPr>
              <w:spacing w:after="0" w:line="240" w:lineRule="auto"/>
              <w:rPr>
                <w:rFonts w:ascii="Aptos Narrow" w:eastAsia="Times New Roman" w:hAnsi="Aptos Narrow" w:cs="Times New Roman"/>
                <w:color w:val="000000"/>
                <w:lang w:eastAsia="es-CO"/>
              </w:rPr>
            </w:pPr>
          </w:p>
        </w:tc>
        <w:tc>
          <w:tcPr>
            <w:tcW w:w="1559" w:type="dxa"/>
            <w:vMerge/>
            <w:tcBorders>
              <w:top w:val="single" w:sz="4" w:space="0" w:color="auto"/>
            </w:tcBorders>
            <w:vAlign w:val="center"/>
            <w:hideMark/>
          </w:tcPr>
          <w:p w14:paraId="09E63327" w14:textId="77777777" w:rsidR="00B2237B" w:rsidRPr="00DF39DD" w:rsidRDefault="00B2237B" w:rsidP="00B2237B">
            <w:pPr>
              <w:spacing w:after="0" w:line="240" w:lineRule="auto"/>
              <w:rPr>
                <w:rFonts w:ascii="Aptos Narrow" w:eastAsia="Times New Roman" w:hAnsi="Aptos Narrow" w:cs="Times New Roman"/>
                <w:color w:val="000000"/>
                <w:lang w:eastAsia="es-CO"/>
              </w:rPr>
            </w:pPr>
          </w:p>
        </w:tc>
        <w:tc>
          <w:tcPr>
            <w:tcW w:w="1134" w:type="dxa"/>
            <w:vMerge/>
            <w:tcBorders>
              <w:top w:val="single" w:sz="4" w:space="0" w:color="auto"/>
            </w:tcBorders>
            <w:vAlign w:val="center"/>
            <w:hideMark/>
          </w:tcPr>
          <w:p w14:paraId="5F451EA1" w14:textId="77777777" w:rsidR="00B2237B" w:rsidRPr="00DF39DD" w:rsidRDefault="00B2237B" w:rsidP="00B2237B">
            <w:pPr>
              <w:spacing w:after="0" w:line="240" w:lineRule="auto"/>
              <w:rPr>
                <w:rFonts w:ascii="Aptos Narrow" w:eastAsia="Times New Roman" w:hAnsi="Aptos Narrow" w:cs="Times New Roman"/>
                <w:color w:val="000000"/>
                <w:lang w:eastAsia="es-CO"/>
              </w:rPr>
            </w:pPr>
          </w:p>
        </w:tc>
      </w:tr>
    </w:tbl>
    <w:p w14:paraId="67861ABF" w14:textId="77777777" w:rsidR="001332E7" w:rsidRDefault="001332E7" w:rsidP="001332E7">
      <w:pPr>
        <w:spacing w:after="0" w:line="276" w:lineRule="auto"/>
        <w:jc w:val="both"/>
        <w:rPr>
          <w:rFonts w:ascii="Verdana" w:eastAsia="Calibri" w:hAnsi="Verdana" w:cs="Arial"/>
          <w:color w:val="000000" w:themeColor="text1"/>
          <w:lang w:val="es-ES_tradnl"/>
        </w:rPr>
      </w:pPr>
    </w:p>
    <w:p w14:paraId="1EBCFDE3" w14:textId="77777777" w:rsidR="001332E7" w:rsidRPr="00375B47" w:rsidRDefault="001332E7" w:rsidP="001332E7">
      <w:pPr>
        <w:spacing w:after="120" w:line="276" w:lineRule="auto"/>
        <w:ind w:firstLine="709"/>
        <w:jc w:val="both"/>
        <w:rPr>
          <w:rFonts w:ascii="Verdana" w:eastAsia="Calibri" w:hAnsi="Verdana" w:cs="Arial"/>
          <w:color w:val="000000" w:themeColor="text1"/>
          <w:lang w:val="es-ES_tradnl"/>
        </w:rPr>
      </w:pP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364A18A" w14:textId="77777777" w:rsidR="001332E7" w:rsidRPr="00185EE9" w:rsidRDefault="001332E7" w:rsidP="001332E7">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56960E30" w14:textId="77777777" w:rsidR="001332E7" w:rsidRPr="00EB086A" w:rsidRDefault="001332E7" w:rsidP="001332E7">
      <w:pPr>
        <w:spacing w:after="0" w:line="276" w:lineRule="auto"/>
        <w:jc w:val="both"/>
        <w:rPr>
          <w:rFonts w:ascii="Verdana" w:eastAsia="Calibri" w:hAnsi="Verdana" w:cs="Arial"/>
          <w:bCs/>
          <w:color w:val="000000"/>
          <w:kern w:val="2"/>
          <w14:ligatures w14:val="standardContextual"/>
        </w:rPr>
      </w:pPr>
    </w:p>
    <w:p w14:paraId="55AB2639" w14:textId="77777777" w:rsidR="001332E7" w:rsidRPr="009E51D7" w:rsidRDefault="001332E7" w:rsidP="001332E7">
      <w:pPr>
        <w:tabs>
          <w:tab w:val="left" w:pos="142"/>
          <w:tab w:val="left" w:pos="284"/>
        </w:tabs>
        <w:spacing w:after="0" w:line="276" w:lineRule="auto"/>
        <w:jc w:val="both"/>
        <w:rPr>
          <w:rFonts w:ascii="Verdana" w:eastAsia="Century Gothic" w:hAnsi="Verdana" w:cs="Century Gothic"/>
          <w:b/>
          <w:bCs/>
        </w:rPr>
      </w:pPr>
      <w:r w:rsidRPr="009E51D7">
        <w:rPr>
          <w:rFonts w:ascii="Verdana" w:eastAsia="Calibri" w:hAnsi="Verdana" w:cs="Arial"/>
          <w:b/>
          <w:color w:val="000000" w:themeColor="text1"/>
        </w:rPr>
        <w:t xml:space="preserve">4. </w:t>
      </w:r>
      <w:r w:rsidRPr="009E51D7">
        <w:rPr>
          <w:rFonts w:ascii="Verdana" w:eastAsia="Century Gothic" w:hAnsi="Verdana" w:cs="Century Gothic"/>
          <w:b/>
          <w:bCs/>
        </w:rPr>
        <w:t>Referencias normativas, jurisprudenciales y otras fuentes:</w:t>
      </w:r>
    </w:p>
    <w:p w14:paraId="21E629EE" w14:textId="77777777" w:rsidR="001332E7" w:rsidRPr="00E5656D" w:rsidRDefault="001332E7" w:rsidP="001332E7">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332E7" w:rsidRPr="002D2C18" w14:paraId="40CB9402" w14:textId="77777777" w:rsidTr="00E50FF1">
        <w:trPr>
          <w:trHeight w:val="56"/>
          <w:jc w:val="center"/>
        </w:trPr>
        <w:tc>
          <w:tcPr>
            <w:tcW w:w="8647" w:type="dxa"/>
          </w:tcPr>
          <w:p w14:paraId="15E36568"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25460E">
              <w:rPr>
                <w:rFonts w:ascii="Verdana" w:hAnsi="Verdana" w:cs="Arial"/>
              </w:rPr>
              <w:t xml:space="preserve">Constitución Política de 1991, artículos </w:t>
            </w:r>
            <w:r>
              <w:rPr>
                <w:rFonts w:ascii="Verdana" w:hAnsi="Verdana" w:cs="Arial"/>
              </w:rPr>
              <w:t>123, 150, 209, 267 y 352.</w:t>
            </w:r>
          </w:p>
          <w:p w14:paraId="4FB6075E" w14:textId="77777777" w:rsidR="001332E7" w:rsidRPr="009651A2"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236164">
              <w:rPr>
                <w:rFonts w:ascii="Verdana" w:hAnsi="Verdana" w:cs="Arial"/>
              </w:rPr>
              <w:t>Decreto 111 de 1996, artículo 110.</w:t>
            </w:r>
          </w:p>
          <w:p w14:paraId="15459105"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236164">
              <w:rPr>
                <w:rFonts w:ascii="Verdana" w:hAnsi="Verdana" w:cs="Arial"/>
              </w:rPr>
              <w:t>Ley 80 de 1993</w:t>
            </w:r>
            <w:r>
              <w:rPr>
                <w:rFonts w:ascii="Verdana" w:hAnsi="Verdana" w:cs="Arial"/>
              </w:rPr>
              <w:t>, artículos 2, 23, 24, 13, 32, 31 y 40.</w:t>
            </w:r>
          </w:p>
          <w:p w14:paraId="28D92790"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236164">
              <w:rPr>
                <w:rFonts w:ascii="Verdana" w:hAnsi="Verdana" w:cs="Arial"/>
              </w:rPr>
              <w:t>Ley 489 de 1998,</w:t>
            </w:r>
            <w:r>
              <w:rPr>
                <w:rFonts w:ascii="Verdana" w:hAnsi="Verdana" w:cs="Arial"/>
              </w:rPr>
              <w:t xml:space="preserve"> artículo 85.</w:t>
            </w:r>
          </w:p>
          <w:p w14:paraId="2DCF8260"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236164">
              <w:rPr>
                <w:rFonts w:ascii="Verdana" w:hAnsi="Verdana" w:cs="Arial"/>
              </w:rPr>
              <w:t>Ley 1150 de 2007,</w:t>
            </w:r>
            <w:r>
              <w:rPr>
                <w:rFonts w:ascii="Verdana" w:hAnsi="Verdana" w:cs="Arial"/>
              </w:rPr>
              <w:t xml:space="preserve"> artículos 2, 3, 6, 13 y 14.</w:t>
            </w:r>
          </w:p>
          <w:p w14:paraId="0CC96629"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Pr>
                <w:rFonts w:ascii="Verdana" w:hAnsi="Verdana" w:cs="Arial"/>
              </w:rPr>
              <w:t>Ley 1474 de 2011, artículo 90.</w:t>
            </w:r>
          </w:p>
          <w:p w14:paraId="2560D8BC" w14:textId="77777777" w:rsidR="001332E7" w:rsidRPr="009651A2"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Pr>
                <w:rFonts w:ascii="Verdana" w:eastAsia="Verdana" w:hAnsi="Verdana" w:cs="Verdana"/>
                <w:lang w:val="es-MX"/>
              </w:rPr>
              <w:t xml:space="preserve">la Ley 1712 de 2014, artículos 2, 5 y 11. </w:t>
            </w:r>
          </w:p>
          <w:p w14:paraId="0F6773B9"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7B428E">
              <w:rPr>
                <w:rFonts w:ascii="Verdana" w:eastAsia="Calibri" w:hAnsi="Verdana" w:cs="Arial"/>
                <w:color w:val="000000"/>
              </w:rPr>
              <w:t>Ley 1952 de 2019</w:t>
            </w:r>
            <w:r>
              <w:rPr>
                <w:rFonts w:ascii="Verdana" w:eastAsia="Calibri" w:hAnsi="Verdana" w:cs="Arial"/>
                <w:color w:val="000000"/>
              </w:rPr>
              <w:t>. Artículo 38, numeral 43.</w:t>
            </w:r>
          </w:p>
          <w:p w14:paraId="0ECF485E"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236164">
              <w:rPr>
                <w:rFonts w:ascii="Verdana" w:hAnsi="Verdana" w:cs="Arial"/>
              </w:rPr>
              <w:t>Ley 2195 de 2022, artículo 53.</w:t>
            </w:r>
          </w:p>
          <w:p w14:paraId="4117EE8D" w14:textId="77777777" w:rsidR="001332E7" w:rsidRPr="00C9162A"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D85592">
              <w:rPr>
                <w:rFonts w:ascii="Verdana" w:hAnsi="Verdana" w:cs="Arial"/>
                <w:color w:val="000000" w:themeColor="text1"/>
                <w:lang w:val="es-ES_tradnl"/>
              </w:rPr>
              <w:t>Decreto 1082 de 2015</w:t>
            </w:r>
            <w:r>
              <w:rPr>
                <w:rFonts w:ascii="Verdana" w:hAnsi="Verdana" w:cs="Arial"/>
                <w:color w:val="000000" w:themeColor="text1"/>
                <w:lang w:val="es-ES_tradnl"/>
              </w:rPr>
              <w:t xml:space="preserve">, artículos </w:t>
            </w:r>
            <w:r w:rsidRPr="00A1732C">
              <w:rPr>
                <w:rFonts w:ascii="Verdana" w:hAnsi="Verdana" w:cs="Arial"/>
                <w:color w:val="000000" w:themeColor="text1"/>
                <w:lang w:val="es-ES_tradnl"/>
              </w:rPr>
              <w:t>2.2.1.1.1.5.7</w:t>
            </w:r>
            <w:r>
              <w:rPr>
                <w:rFonts w:ascii="Verdana" w:hAnsi="Verdana" w:cs="Arial"/>
                <w:color w:val="000000" w:themeColor="text1"/>
                <w:lang w:val="es-ES_tradnl"/>
              </w:rPr>
              <w:t xml:space="preserve">, </w:t>
            </w:r>
            <w:r w:rsidRPr="00DD21C5">
              <w:rPr>
                <w:rFonts w:ascii="Verdana" w:hAnsi="Verdana" w:cs="Arial"/>
                <w:color w:val="000000" w:themeColor="text1"/>
                <w:lang w:val="es-ES_tradnl"/>
              </w:rPr>
              <w:t>2.2.1.2.1.2.24</w:t>
            </w:r>
            <w:r>
              <w:rPr>
                <w:rFonts w:ascii="Verdana" w:hAnsi="Verdana" w:cs="Arial"/>
                <w:color w:val="000000" w:themeColor="text1"/>
                <w:lang w:val="es-ES_tradnl"/>
              </w:rPr>
              <w:t xml:space="preserve">, </w:t>
            </w:r>
            <w:r>
              <w:rPr>
                <w:rFonts w:ascii="Verdana" w:eastAsia="Verdana" w:hAnsi="Verdana" w:cs="Verdana"/>
                <w:lang w:val="es-MX"/>
              </w:rPr>
              <w:t xml:space="preserve">2.2.1.1.3.1.1, </w:t>
            </w:r>
            <w:r w:rsidRPr="00AD6B46">
              <w:rPr>
                <w:rFonts w:ascii="Verdana" w:eastAsia="Times New Roman" w:hAnsi="Verdana" w:cs="Arial"/>
                <w:lang w:val="es-ES_tradnl" w:eastAsia="es-ES_tradnl"/>
                <w14:ligatures w14:val="standardContextual"/>
              </w:rPr>
              <w:t>2.2.1.1.1.7.1</w:t>
            </w:r>
            <w:r>
              <w:rPr>
                <w:rFonts w:ascii="Verdana" w:eastAsia="Times New Roman" w:hAnsi="Verdana" w:cs="Arial"/>
                <w:lang w:val="es-ES_tradnl" w:eastAsia="es-ES_tradnl"/>
                <w14:ligatures w14:val="standardContextual"/>
              </w:rPr>
              <w:t>.</w:t>
            </w:r>
          </w:p>
          <w:p w14:paraId="4E277E19" w14:textId="77777777" w:rsidR="001332E7" w:rsidRPr="00C9162A"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C9162A">
              <w:rPr>
                <w:rFonts w:ascii="Verdana" w:hAnsi="Verdana" w:cs="Arial"/>
                <w:color w:val="000000" w:themeColor="text1"/>
                <w:lang w:val="es-ES_tradnl"/>
              </w:rPr>
              <w:t xml:space="preserve">Resolución 461 de 2016. Disponible en </w:t>
            </w:r>
            <w:hyperlink r:id="rId13" w:history="1">
              <w:r w:rsidRPr="00C9162A">
                <w:rPr>
                  <w:rStyle w:val="Hipervnculo"/>
                  <w:rFonts w:ascii="Verdana" w:hAnsi="Verdana"/>
                </w:rPr>
                <w:t>https://apps.procuraduria.gov.co/relatoria/media/file/flas_juridico/1510_PGN-R-461-16.pdf</w:t>
              </w:r>
            </w:hyperlink>
          </w:p>
          <w:p w14:paraId="5C1D6DFB"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9651A2">
              <w:rPr>
                <w:rFonts w:ascii="Verdana" w:hAnsi="Verdana" w:cs="Arial"/>
              </w:rPr>
              <w:t>Consejo de Estado. Sala de lo Contencioso Administrativo. Sección Tercera. Sentencia del 24 de octubre de 2016. Radicado No. 45.607. C.P: Marta Nubia Velásquez Rico</w:t>
            </w:r>
            <w:r>
              <w:rPr>
                <w:rFonts w:ascii="Verdana" w:hAnsi="Verdana" w:cs="Arial"/>
              </w:rPr>
              <w:t>.</w:t>
            </w:r>
          </w:p>
          <w:p w14:paraId="70111B69"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9651A2">
              <w:rPr>
                <w:rFonts w:ascii="Verdana" w:hAnsi="Verdana" w:cs="Arial"/>
              </w:rPr>
              <w:t xml:space="preserve">Consejo de Estado. Sala de lo Contencioso Administrativo. Sección Tercera. Subsección C. Sentencia del 8 de abril de 2014. </w:t>
            </w:r>
            <w:proofErr w:type="spellStart"/>
            <w:r w:rsidRPr="009651A2">
              <w:rPr>
                <w:rFonts w:ascii="Verdana" w:hAnsi="Verdana" w:cs="Arial"/>
              </w:rPr>
              <w:t>Exp</w:t>
            </w:r>
            <w:proofErr w:type="spellEnd"/>
            <w:r w:rsidRPr="009651A2">
              <w:rPr>
                <w:rFonts w:ascii="Verdana" w:hAnsi="Verdana" w:cs="Arial"/>
              </w:rPr>
              <w:t>. 25.801 C.P. Enrique Gil Botero</w:t>
            </w:r>
            <w:r>
              <w:rPr>
                <w:rFonts w:ascii="Verdana" w:hAnsi="Verdana" w:cs="Arial"/>
              </w:rPr>
              <w:t>.</w:t>
            </w:r>
          </w:p>
          <w:p w14:paraId="5B557431"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9651A2">
              <w:rPr>
                <w:rFonts w:ascii="Verdana" w:hAnsi="Verdana" w:cs="Arial"/>
              </w:rPr>
              <w:t xml:space="preserve">Consejo de Estado. Sala de lo Contencioso Administrativo. Sección Tercera. Sentencia del 19 de agosto de 2004. </w:t>
            </w:r>
            <w:proofErr w:type="spellStart"/>
            <w:r w:rsidRPr="009651A2">
              <w:rPr>
                <w:rFonts w:ascii="Verdana" w:hAnsi="Verdana" w:cs="Arial"/>
              </w:rPr>
              <w:t>Exp</w:t>
            </w:r>
            <w:proofErr w:type="spellEnd"/>
            <w:r w:rsidRPr="009651A2">
              <w:rPr>
                <w:rFonts w:ascii="Verdana" w:hAnsi="Verdana" w:cs="Arial"/>
              </w:rPr>
              <w:t>. 12.342. C.P. Ramiro Saavedra Becerra.</w:t>
            </w:r>
          </w:p>
          <w:p w14:paraId="78576F1D"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C9162A">
              <w:rPr>
                <w:rFonts w:ascii="Verdana" w:hAnsi="Verdana" w:cs="Arial"/>
              </w:rPr>
              <w:t>Consejo de Estado. Sala de lo Contencioso Administrativo. Sección Segunda. Subsección B. 26 de julio de 2018. Radicado: 11001-03-25-000-2014-01511-00(4912-14). C.P: Sandra Lisset Ibarra Vélez.</w:t>
            </w:r>
          </w:p>
          <w:p w14:paraId="4D4E9A47" w14:textId="77777777" w:rsidR="001332E7" w:rsidRPr="009651A2"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9651A2">
              <w:rPr>
                <w:rFonts w:ascii="Verdana" w:hAnsi="Verdana" w:cs="Arial"/>
              </w:rPr>
              <w:t>Corte Constitucional. Sentencia C‒274 de 9 de mayo de 2013. M.P. María Victoria Calle Correa.</w:t>
            </w:r>
          </w:p>
          <w:p w14:paraId="5B81819D"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9651A2">
              <w:rPr>
                <w:rFonts w:ascii="Verdana" w:hAnsi="Verdana" w:cs="Arial"/>
              </w:rPr>
              <w:t>DÁVILA VINUEZA, Luis Guillermo. Régimen jurídico de la contratación estatal. Tercera Edición. Bogotá: Legis, 2016</w:t>
            </w:r>
            <w:r>
              <w:rPr>
                <w:rFonts w:ascii="Verdana" w:hAnsi="Verdana" w:cs="Arial"/>
              </w:rPr>
              <w:t>.}</w:t>
            </w:r>
          </w:p>
          <w:p w14:paraId="12564C7D"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9651A2">
              <w:rPr>
                <w:rFonts w:ascii="Verdana" w:hAnsi="Verdana" w:cs="Arial"/>
              </w:rPr>
              <w:t>JOJOA BOLAÑOS, Alexander. Los regímenes exceptuados en los contratos estatales. Bogotá: Grupo Editorial Ibáñez, 2012.</w:t>
            </w:r>
          </w:p>
          <w:p w14:paraId="13C112D5"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9651A2">
              <w:rPr>
                <w:rFonts w:ascii="Verdana" w:hAnsi="Verdana" w:cs="Arial"/>
              </w:rPr>
              <w:t>BARRETO MORENO, Antonio Alejandro. El derecho de la compra pública: estudio jurídico de un mercado imperfecto. Bogotá: Legis, 2019</w:t>
            </w:r>
            <w:r>
              <w:rPr>
                <w:rFonts w:ascii="Verdana" w:hAnsi="Verdana" w:cs="Arial"/>
              </w:rPr>
              <w:t>.</w:t>
            </w:r>
          </w:p>
          <w:p w14:paraId="70FC2A6D" w14:textId="77777777" w:rsidR="001332E7" w:rsidRPr="009651A2"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9651A2">
              <w:rPr>
                <w:rFonts w:ascii="Verdana" w:hAnsi="Verdana" w:cs="Arial"/>
                <w:color w:val="000000" w:themeColor="text1"/>
              </w:rPr>
              <w:t xml:space="preserve">SÁNCHEZ MORÓN, Miguel. El retorno del derecho administrativo. En: Revista de Administración Pública. </w:t>
            </w:r>
            <w:proofErr w:type="spellStart"/>
            <w:r w:rsidRPr="009651A2">
              <w:rPr>
                <w:rFonts w:ascii="Verdana" w:hAnsi="Verdana" w:cs="Arial"/>
                <w:color w:val="000000" w:themeColor="text1"/>
              </w:rPr>
              <w:t>Nº</w:t>
            </w:r>
            <w:proofErr w:type="spellEnd"/>
            <w:r w:rsidRPr="009651A2">
              <w:rPr>
                <w:rFonts w:ascii="Verdana" w:hAnsi="Verdana" w:cs="Arial"/>
                <w:color w:val="000000" w:themeColor="text1"/>
              </w:rPr>
              <w:t xml:space="preserve"> 216 (2018). Disponible en: </w:t>
            </w:r>
            <w:hyperlink r:id="rId14" w:history="1">
              <w:r w:rsidRPr="009651A2">
                <w:rPr>
                  <w:rStyle w:val="Hipervnculo"/>
                  <w:rFonts w:ascii="Verdana" w:hAnsi="Verdana" w:cs="Arial"/>
                </w:rPr>
                <w:t>https://recyt.fecyt.es/index.php/RAP/article/view/67033</w:t>
              </w:r>
            </w:hyperlink>
            <w:r w:rsidRPr="009651A2">
              <w:rPr>
                <w:rFonts w:ascii="Verdana" w:hAnsi="Verdana" w:cs="Arial"/>
                <w:color w:val="000000" w:themeColor="text1"/>
              </w:rPr>
              <w:t>.</w:t>
            </w:r>
          </w:p>
          <w:p w14:paraId="14F48884" w14:textId="77777777" w:rsidR="001332E7" w:rsidRDefault="001332E7" w:rsidP="001332E7">
            <w:pPr>
              <w:pStyle w:val="Prrafodelista"/>
              <w:widowControl w:val="0"/>
              <w:numPr>
                <w:ilvl w:val="0"/>
                <w:numId w:val="18"/>
              </w:numPr>
              <w:autoSpaceDE w:val="0"/>
              <w:autoSpaceDN w:val="0"/>
              <w:spacing w:after="120" w:line="276" w:lineRule="auto"/>
              <w:ind w:left="714" w:hanging="357"/>
              <w:contextualSpacing w:val="0"/>
              <w:jc w:val="both"/>
              <w:rPr>
                <w:rFonts w:ascii="Verdana" w:hAnsi="Verdana" w:cs="Arial"/>
              </w:rPr>
            </w:pPr>
            <w:r w:rsidRPr="007D52AC">
              <w:rPr>
                <w:rFonts w:ascii="Verdana" w:hAnsi="Verdana" w:cs="Arial"/>
              </w:rPr>
              <w:t xml:space="preserve">Guía para la Gestión Contractual </w:t>
            </w:r>
            <w:r>
              <w:rPr>
                <w:rFonts w:ascii="Verdana" w:hAnsi="Verdana" w:cs="Arial"/>
              </w:rPr>
              <w:t>d</w:t>
            </w:r>
            <w:r w:rsidRPr="007D52AC">
              <w:rPr>
                <w:rFonts w:ascii="Verdana" w:hAnsi="Verdana" w:cs="Arial"/>
              </w:rPr>
              <w:t xml:space="preserve">e Entidades Estatales </w:t>
            </w:r>
            <w:r>
              <w:rPr>
                <w:rFonts w:ascii="Verdana" w:hAnsi="Verdana" w:cs="Arial"/>
              </w:rPr>
              <w:t>c</w:t>
            </w:r>
            <w:r w:rsidRPr="007D52AC">
              <w:rPr>
                <w:rFonts w:ascii="Verdana" w:hAnsi="Verdana" w:cs="Arial"/>
              </w:rPr>
              <w:t>on Régimen Especial</w:t>
            </w:r>
            <w:r w:rsidRPr="00A47393">
              <w:rPr>
                <w:rFonts w:ascii="Verdana" w:hAnsi="Verdana" w:cs="Arial"/>
              </w:rPr>
              <w:t xml:space="preserve"> expedid</w:t>
            </w:r>
            <w:r>
              <w:rPr>
                <w:rFonts w:ascii="Verdana" w:hAnsi="Verdana" w:cs="Arial"/>
              </w:rPr>
              <w:t>a</w:t>
            </w:r>
            <w:r w:rsidRPr="00A47393">
              <w:rPr>
                <w:rFonts w:ascii="Verdana" w:hAnsi="Verdana" w:cs="Arial"/>
              </w:rPr>
              <w:t xml:space="preserve"> por la </w:t>
            </w:r>
            <w:r>
              <w:rPr>
                <w:rFonts w:ascii="Verdana" w:hAnsi="Verdana" w:cs="Arial"/>
              </w:rPr>
              <w:t xml:space="preserve">ANCP – CCE. </w:t>
            </w:r>
            <w:r w:rsidRPr="00A52461">
              <w:rPr>
                <w:rFonts w:ascii="Verdana" w:hAnsi="Verdana" w:cs="Arial"/>
              </w:rPr>
              <w:t>Disponible en:</w:t>
            </w:r>
            <w:r>
              <w:rPr>
                <w:rFonts w:ascii="Verdana" w:hAnsi="Verdana" w:cs="Arial"/>
              </w:rPr>
              <w:t xml:space="preserve"> </w:t>
            </w:r>
            <w:hyperlink r:id="rId15" w:history="1">
              <w:r w:rsidRPr="00D12F70">
                <w:rPr>
                  <w:rStyle w:val="Hipervnculo"/>
                  <w:rFonts w:ascii="Verdana" w:hAnsi="Verdana"/>
                </w:rPr>
                <w:t>https://www.colombiacompra.gov.co/wp-content/uploads/2025/09/Guia-para-la-gestion-contractual-de-Entidades-Estatales-con-Regimen-Especial-VF-2-1.pdf</w:t>
              </w:r>
            </w:hyperlink>
            <w:r w:rsidRPr="00D12F70">
              <w:rPr>
                <w:rFonts w:ascii="Verdana" w:hAnsi="Verdana"/>
              </w:rPr>
              <w:t xml:space="preserve"> </w:t>
            </w:r>
            <w:r>
              <w:rPr>
                <w:rFonts w:ascii="Verdana" w:hAnsi="Verdana" w:cs="Arial"/>
              </w:rPr>
              <w:t xml:space="preserve"> </w:t>
            </w:r>
          </w:p>
          <w:p w14:paraId="0425FF9B" w14:textId="77777777" w:rsidR="001332E7" w:rsidRPr="00453C30" w:rsidRDefault="001332E7" w:rsidP="001332E7">
            <w:pPr>
              <w:pStyle w:val="Prrafodelista"/>
              <w:widowControl w:val="0"/>
              <w:numPr>
                <w:ilvl w:val="0"/>
                <w:numId w:val="17"/>
              </w:numPr>
              <w:autoSpaceDE w:val="0"/>
              <w:autoSpaceDN w:val="0"/>
              <w:spacing w:line="276" w:lineRule="auto"/>
              <w:jc w:val="both"/>
              <w:rPr>
                <w:rFonts w:ascii="Verdana" w:hAnsi="Verdana" w:cs="Arial"/>
                <w:lang w:eastAsia="es-ES"/>
              </w:rPr>
            </w:pPr>
            <w:r w:rsidRPr="00E45D25">
              <w:rPr>
                <w:rFonts w:ascii="Verdana" w:hAnsi="Verdana" w:cs="Arial"/>
              </w:rPr>
              <w:t>Circular Externa 002 del 8 de mayo de 2026</w:t>
            </w:r>
            <w:r>
              <w:rPr>
                <w:rFonts w:ascii="Verdana" w:hAnsi="Verdana" w:cs="Arial"/>
              </w:rPr>
              <w:t xml:space="preserve"> expedida por la ANCP – CCE. </w:t>
            </w:r>
            <w:r w:rsidRPr="00A52461">
              <w:rPr>
                <w:rFonts w:ascii="Verdana" w:hAnsi="Verdana" w:cs="Arial"/>
              </w:rPr>
              <w:t>Disponible en:</w:t>
            </w:r>
            <w:r>
              <w:rPr>
                <w:rFonts w:ascii="Verdana" w:hAnsi="Verdana" w:cs="Arial"/>
              </w:rPr>
              <w:t xml:space="preserve"> </w:t>
            </w:r>
            <w:hyperlink r:id="rId16" w:history="1">
              <w:r w:rsidRPr="00B47073">
                <w:rPr>
                  <w:rStyle w:val="Hipervnculo"/>
                  <w:rFonts w:ascii="Verdana" w:hAnsi="Verdana" w:cs="Arial"/>
                </w:rPr>
                <w:t>https://www.colombiacompra.gov.co/wp-content/uploads/2026/05/CIRCULAR-EXTERNA-002-DE-2026.pdf</w:t>
              </w:r>
            </w:hyperlink>
            <w:r>
              <w:rPr>
                <w:rFonts w:ascii="Verdana" w:hAnsi="Verdana" w:cs="Arial"/>
              </w:rPr>
              <w:t xml:space="preserve">  </w:t>
            </w:r>
          </w:p>
        </w:tc>
      </w:tr>
    </w:tbl>
    <w:p w14:paraId="5CF9DB21" w14:textId="77777777" w:rsidR="001332E7" w:rsidRDefault="001332E7" w:rsidP="001332E7">
      <w:pPr>
        <w:tabs>
          <w:tab w:val="left" w:pos="142"/>
          <w:tab w:val="left" w:pos="284"/>
          <w:tab w:val="left" w:pos="3828"/>
        </w:tabs>
        <w:spacing w:after="0" w:line="276" w:lineRule="auto"/>
        <w:jc w:val="both"/>
        <w:rPr>
          <w:rFonts w:ascii="Verdana" w:eastAsia="Century Gothic" w:hAnsi="Verdana" w:cs="Century Gothic"/>
          <w:b/>
          <w:bCs/>
        </w:rPr>
      </w:pPr>
    </w:p>
    <w:p w14:paraId="785868FC" w14:textId="77777777" w:rsidR="001332E7" w:rsidRPr="0091091D" w:rsidRDefault="001332E7" w:rsidP="001332E7">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72C0903E" w14:textId="77777777" w:rsidR="001332E7" w:rsidRPr="007A3DD4" w:rsidRDefault="001332E7" w:rsidP="00643E5C">
      <w:pPr>
        <w:widowControl w:val="0"/>
        <w:autoSpaceDE w:val="0"/>
        <w:autoSpaceDN w:val="0"/>
        <w:spacing w:after="0" w:line="276" w:lineRule="auto"/>
        <w:jc w:val="both"/>
        <w:rPr>
          <w:rStyle w:val="normaltextrun"/>
          <w:rFonts w:ascii="Verdana" w:hAnsi="Verdana" w:cs="Arial"/>
          <w:shd w:val="clear" w:color="auto" w:fill="FFFFFF"/>
        </w:rPr>
      </w:pPr>
    </w:p>
    <w:p w14:paraId="606A8EBC" w14:textId="77777777" w:rsidR="001332E7" w:rsidRDefault="001332E7" w:rsidP="00643E5C">
      <w:pPr>
        <w:spacing w:after="0" w:line="276" w:lineRule="auto"/>
        <w:jc w:val="both"/>
        <w:rPr>
          <w:rStyle w:val="normaltextrun"/>
          <w:rFonts w:ascii="Verdana" w:hAnsi="Verdana" w:cs="Arial"/>
          <w:shd w:val="clear" w:color="auto" w:fill="FFFFFF"/>
          <w:lang w:val="es-ES_tradnl"/>
        </w:rPr>
      </w:pPr>
      <w:r w:rsidRPr="00567CE1">
        <w:rPr>
          <w:rFonts w:ascii="Verdana" w:hAnsi="Verdana" w:cs="Arial"/>
          <w:bCs/>
          <w:shd w:val="clear" w:color="auto" w:fill="FFFFFF"/>
        </w:rPr>
        <w:t xml:space="preserve">La Agencia Nacional de Contratación Pública – Colombia Compra Eficiente se ha pronunciado </w:t>
      </w:r>
      <w:r w:rsidRPr="00567CE1">
        <w:rPr>
          <w:rStyle w:val="normaltextrun"/>
          <w:rFonts w:ascii="Verdana" w:hAnsi="Verdana" w:cs="Arial"/>
          <w:shd w:val="clear" w:color="auto" w:fill="FFFFFF"/>
          <w:lang w:val="es-ES_tradnl"/>
        </w:rPr>
        <w:t xml:space="preserve">sobre el alcance de la Circular Externa 002 de 2026 en el concepto 892 del 11 de junio de 2026. </w:t>
      </w:r>
    </w:p>
    <w:p w14:paraId="430684B0" w14:textId="77777777" w:rsidR="007F0522" w:rsidRDefault="007F0522" w:rsidP="00643E5C">
      <w:pPr>
        <w:spacing w:after="0" w:line="276" w:lineRule="auto"/>
        <w:jc w:val="both"/>
        <w:rPr>
          <w:rStyle w:val="normaltextrun"/>
          <w:rFonts w:ascii="Verdana" w:hAnsi="Verdana" w:cs="Arial"/>
          <w:shd w:val="clear" w:color="auto" w:fill="FFFFFF"/>
          <w:lang w:val="es-ES_tradnl"/>
        </w:rPr>
      </w:pPr>
    </w:p>
    <w:p w14:paraId="72F2B802" w14:textId="77777777" w:rsidR="001332E7" w:rsidRPr="00185290" w:rsidRDefault="001332E7" w:rsidP="00643E5C">
      <w:pPr>
        <w:spacing w:after="0" w:line="276" w:lineRule="auto"/>
        <w:jc w:val="both"/>
        <w:rPr>
          <w:rFonts w:ascii="Verdana" w:eastAsia="Calibri" w:hAnsi="Verdana" w:cs="Arial"/>
          <w:lang w:eastAsia="es-ES_tradnl"/>
        </w:rPr>
      </w:pPr>
      <w:r w:rsidRPr="00567CE1">
        <w:rPr>
          <w:rStyle w:val="normaltextrun"/>
          <w:rFonts w:ascii="Verdana" w:hAnsi="Verdana" w:cs="Arial"/>
          <w:shd w:val="clear" w:color="auto" w:fill="FFFFFF"/>
          <w:lang w:val="es-ES_tradnl"/>
        </w:rPr>
        <w:t xml:space="preserve">Así mismo se ha pronunciado sobre </w:t>
      </w:r>
      <w:r w:rsidRPr="00567CE1">
        <w:rPr>
          <w:rFonts w:ascii="Verdana" w:hAnsi="Verdana" w:cs="Arial"/>
          <w:bCs/>
          <w:shd w:val="clear" w:color="auto" w:fill="FFFFFF"/>
        </w:rPr>
        <w:t xml:space="preserve">pronunciado respecto del deber de publicidad contractual en los conceptos </w:t>
      </w:r>
      <w:r w:rsidRPr="00567CE1">
        <w:rPr>
          <w:rFonts w:ascii="Verdana" w:hAnsi="Verdana" w:cs="Arial"/>
          <w:bCs/>
          <w:shd w:val="clear" w:color="auto" w:fill="FFFFFF"/>
          <w:lang w:val="es-ES_tradnl"/>
        </w:rPr>
        <w:t>CU-367 del 23 de julio de 2020, reiterado en los conceptos: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del 29 de abril de 2021, C-472 del 6 de septiembre de 2021, C-804 de 2024</w:t>
      </w:r>
      <w:r w:rsidRPr="00567CE1">
        <w:rPr>
          <w:rFonts w:ascii="Verdana" w:hAnsi="Verdana" w:cs="Arial"/>
          <w:bCs/>
          <w:shd w:val="clear" w:color="auto" w:fill="FFFFFF"/>
        </w:rPr>
        <w:t>, C-185 del 24 de marzo de 2025, C-487 del 30 de mayo de 2025, 1177 del 1 de octubre de 2025, C-1784 del 22 de diciembre de 2025, C-659 del 1 de junio de 2026, C-809 del 25 de junio de 2026, C-923</w:t>
      </w:r>
      <w:r>
        <w:rPr>
          <w:rFonts w:ascii="Verdana" w:hAnsi="Verdana" w:cs="Arial"/>
          <w:bCs/>
          <w:shd w:val="clear" w:color="auto" w:fill="FFFFFF"/>
        </w:rPr>
        <w:t xml:space="preserve"> del 6 de julio de 2026,</w:t>
      </w:r>
      <w:r w:rsidRPr="00FA6472">
        <w:rPr>
          <w:rFonts w:ascii="Verdana" w:hAnsi="Verdana" w:cs="Arial"/>
          <w:bCs/>
          <w:shd w:val="clear" w:color="auto" w:fill="FFFFFF"/>
        </w:rPr>
        <w:t xml:space="preserve"> </w:t>
      </w:r>
      <w:r w:rsidRPr="00185290">
        <w:rPr>
          <w:rFonts w:ascii="Verdana" w:hAnsi="Verdana" w:cs="Arial"/>
          <w:shd w:val="clear" w:color="auto" w:fill="FFFFFF"/>
        </w:rPr>
        <w:t>entre otros</w:t>
      </w:r>
      <w:r w:rsidRPr="00185290">
        <w:rPr>
          <w:rFonts w:ascii="Verdana" w:eastAsia="Calibri" w:hAnsi="Verdana" w:cs="Arial"/>
          <w:color w:val="000000" w:themeColor="text1"/>
          <w:lang w:eastAsia="es-ES_tradnl"/>
        </w:rPr>
        <w:t xml:space="preserve">. </w:t>
      </w:r>
      <w:r w:rsidRPr="00185290">
        <w:rPr>
          <w:rFonts w:ascii="Verdana" w:hAnsi="Verdana" w:cs="Arial"/>
        </w:rPr>
        <w:t xml:space="preserve">Estos y otros </w:t>
      </w:r>
      <w:r w:rsidRPr="00185290">
        <w:rPr>
          <w:rFonts w:ascii="Verdana" w:hAnsi="Verdana"/>
        </w:rPr>
        <w:t>conceptos se encuentran disponibles para consulta en el Sistema de relatoría de la Agencia, al cual se puede acceder a través del siguiente enlace:</w:t>
      </w:r>
      <w:r w:rsidRPr="00185290">
        <w:rPr>
          <w:rFonts w:ascii="Verdana" w:hAnsi="Verdana" w:cs="Arial"/>
          <w:shd w:val="clear" w:color="auto" w:fill="FFFFFF"/>
        </w:rPr>
        <w:t xml:space="preserve"> </w:t>
      </w:r>
      <w:hyperlink r:id="rId17" w:history="1">
        <w:r w:rsidRPr="00185290">
          <w:rPr>
            <w:rFonts w:ascii="Verdana" w:hAnsi="Verdana" w:cs="Arial"/>
            <w:color w:val="0563C1" w:themeColor="hyperlink"/>
            <w:u w:val="single"/>
            <w:shd w:val="clear" w:color="auto" w:fill="FFFFFF"/>
          </w:rPr>
          <w:t>https://relatoria.colombiacompra.gov.co/busqueda/conceptos</w:t>
        </w:r>
      </w:hyperlink>
      <w:r w:rsidRPr="00185290">
        <w:rPr>
          <w:rFonts w:ascii="Verdana" w:hAnsi="Verdana" w:cs="Arial"/>
          <w:shd w:val="clear" w:color="auto" w:fill="FFFFFF"/>
        </w:rPr>
        <w:t>.</w:t>
      </w:r>
      <w:r w:rsidRPr="00185290">
        <w:rPr>
          <w:rFonts w:ascii="Verdana" w:hAnsi="Verdana" w:cs="Arial"/>
          <w:color w:val="FF0000"/>
          <w:shd w:val="clear" w:color="auto" w:fill="FFFFFF"/>
        </w:rPr>
        <w:t xml:space="preserve"> </w:t>
      </w:r>
    </w:p>
    <w:p w14:paraId="648A0C47" w14:textId="77777777" w:rsidR="001332E7" w:rsidRPr="00185290" w:rsidRDefault="001332E7" w:rsidP="00643E5C">
      <w:pPr>
        <w:widowControl w:val="0"/>
        <w:autoSpaceDE w:val="0"/>
        <w:autoSpaceDN w:val="0"/>
        <w:spacing w:after="0" w:line="276" w:lineRule="auto"/>
        <w:jc w:val="both"/>
        <w:rPr>
          <w:rFonts w:ascii="Verdana" w:hAnsi="Verdana"/>
        </w:rPr>
      </w:pPr>
    </w:p>
    <w:p w14:paraId="1F05DAD5" w14:textId="77777777" w:rsidR="001332E7" w:rsidRPr="00643E5C" w:rsidRDefault="001332E7" w:rsidP="00643E5C">
      <w:pPr>
        <w:widowControl w:val="0"/>
        <w:autoSpaceDE w:val="0"/>
        <w:autoSpaceDN w:val="0"/>
        <w:spacing w:after="0" w:line="276" w:lineRule="auto"/>
        <w:jc w:val="both"/>
        <w:rPr>
          <w:rFonts w:ascii="Verdana" w:hAnsi="Verdana"/>
        </w:rPr>
      </w:pPr>
      <w:r w:rsidRPr="00185290">
        <w:rPr>
          <w:rFonts w:ascii="Verdana" w:hAnsi="Verdana"/>
        </w:rPr>
        <w:t>La sostenibilidad no es una opción, es una obligación. Por ello, la Agencia Nacional de Contratación Pública –Colombia Compra Eficiente</w:t>
      </w:r>
      <w:r w:rsidRPr="009A385A">
        <w:rPr>
          <w:rFonts w:ascii="Verdana" w:hAnsi="Verdana"/>
        </w:rPr>
        <w:t xml:space="preserv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8" w:tgtFrame="_new" w:history="1">
        <w:r w:rsidRPr="008746BD">
          <w:rPr>
            <w:rStyle w:val="Hipervnculo"/>
            <w:rFonts w:ascii="Verdana" w:hAnsi="Verdana"/>
          </w:rPr>
          <w:t>https://formacionvirtual.colombiacompra.gov.co/mod/page/view.php?id=3718</w:t>
        </w:r>
      </w:hyperlink>
    </w:p>
    <w:p w14:paraId="3EA8EB74" w14:textId="77777777" w:rsidR="001332E7" w:rsidRPr="00643E5C" w:rsidRDefault="001332E7" w:rsidP="00643E5C">
      <w:pPr>
        <w:widowControl w:val="0"/>
        <w:autoSpaceDE w:val="0"/>
        <w:autoSpaceDN w:val="0"/>
        <w:spacing w:after="0" w:line="276" w:lineRule="auto"/>
        <w:jc w:val="both"/>
        <w:rPr>
          <w:rFonts w:ascii="Verdana" w:hAnsi="Verdana"/>
        </w:rPr>
      </w:pPr>
    </w:p>
    <w:p w14:paraId="715DA551" w14:textId="77777777" w:rsidR="001332E7" w:rsidRDefault="001332E7" w:rsidP="00643E5C">
      <w:pPr>
        <w:widowControl w:val="0"/>
        <w:autoSpaceDE w:val="0"/>
        <w:autoSpaceDN w:val="0"/>
        <w:spacing w:after="0" w:line="276" w:lineRule="auto"/>
        <w:jc w:val="both"/>
        <w:rPr>
          <w:rStyle w:val="Hipervnculo"/>
          <w:rFonts w:ascii="Verdana" w:hAnsi="Verdana" w:cs="Arial"/>
          <w:color w:val="auto"/>
          <w:u w:val="none"/>
          <w:shd w:val="clear" w:color="auto" w:fill="FFFFFF"/>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da</w:t>
      </w:r>
      <w:r>
        <w:rPr>
          <w:rFonts w:ascii="Verdana" w:hAnsi="Verdana"/>
        </w:rPr>
        <w:t>do</w:t>
      </w:r>
      <w:r w:rsidRPr="00635F16">
        <w:rPr>
          <w:rFonts w:ascii="Verdana" w:hAnsi="Verdana"/>
        </w:rPr>
        <w:t xml:space="preserve">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0E1EA7">
        <w:rPr>
          <w:rFonts w:ascii="Verdana" w:hAnsi="Verdana"/>
          <w:b/>
          <w:bCs/>
        </w:rPr>
        <w:t>Resoluciones 539, 540, 541, 952 y 953 de 2025</w:t>
      </w:r>
      <w:r w:rsidRPr="000E1EA7">
        <w:rPr>
          <w:rFonts w:ascii="Verdana" w:hAnsi="Verdana"/>
        </w:rPr>
        <w:t xml:space="preserve">, </w:t>
      </w:r>
      <w:r w:rsidRPr="000E1EA7">
        <w:rPr>
          <w:rFonts w:ascii="Verdana" w:hAnsi="Verdana"/>
          <w:b/>
          <w:bCs/>
        </w:rPr>
        <w:t>mediante las cuales adoptó Documentos Tipo</w:t>
      </w:r>
      <w:r w:rsidRPr="000E1EA7">
        <w:rPr>
          <w:rFonts w:ascii="Verdana" w:hAnsi="Verdana"/>
        </w:rPr>
        <w:t xml:space="preserve"> para las modalidades de selección de</w:t>
      </w:r>
      <w:r w:rsidRPr="000E1EA7">
        <w:rPr>
          <w:rFonts w:ascii="Verdana" w:hAnsi="Verdana"/>
          <w:b/>
          <w:bCs/>
        </w:rPr>
        <w:t xml:space="preserve"> licitación pública (versión 2), selección abreviada de menor cuantía, mínima cuantía, consultoría e interventoría</w:t>
      </w:r>
      <w:r w:rsidRPr="000E1EA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9" w:tgtFrame="_new" w:history="1">
        <w:r w:rsidRPr="000E1EA7">
          <w:rPr>
            <w:rStyle w:val="Hipervnculo"/>
            <w:rFonts w:ascii="Verdana" w:hAnsi="Verdana"/>
          </w:rPr>
          <w:t>https://www.colombiacompra.gov.co/normativa-y-relatoria/documentos-tipo</w:t>
        </w:r>
      </w:hyperlink>
    </w:p>
    <w:p w14:paraId="309C0F02" w14:textId="77777777" w:rsidR="001332E7" w:rsidRDefault="001332E7" w:rsidP="00643E5C">
      <w:pPr>
        <w:widowControl w:val="0"/>
        <w:autoSpaceDE w:val="0"/>
        <w:autoSpaceDN w:val="0"/>
        <w:spacing w:after="0" w:line="276" w:lineRule="auto"/>
        <w:jc w:val="both"/>
        <w:rPr>
          <w:rStyle w:val="Hipervnculo"/>
          <w:rFonts w:ascii="Verdana" w:hAnsi="Verdana" w:cs="Arial"/>
          <w:color w:val="auto"/>
          <w:u w:val="none"/>
          <w:shd w:val="clear" w:color="auto" w:fill="FFFFFF"/>
        </w:rPr>
      </w:pPr>
    </w:p>
    <w:p w14:paraId="6DF89FDB" w14:textId="77777777" w:rsidR="001332E7" w:rsidRDefault="001332E7" w:rsidP="004F367D">
      <w:pPr>
        <w:widowControl w:val="0"/>
        <w:autoSpaceDE w:val="0"/>
        <w:autoSpaceDN w:val="0"/>
        <w:spacing w:after="0" w:line="276" w:lineRule="auto"/>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8746BD">
        <w:rPr>
          <w:rFonts w:ascii="Verdana" w:hAnsi="Verdana"/>
        </w:rPr>
        <w:t>Además se incluyeron lineamientos que orientan la implementación de los criterios ambientales y sociales incluidos en los documentos tipo: Consulta la guía aquí:</w:t>
      </w:r>
      <w:r w:rsidRPr="008746BD">
        <w:rPr>
          <w:rFonts w:ascii="Verdana" w:hAnsi="Verdana"/>
        </w:rPr>
        <w:br/>
      </w:r>
      <w:hyperlink r:id="rId20" w:tgtFrame="_new" w:history="1">
        <w:r w:rsidRPr="008746BD">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3CA2A0F4" w14:textId="77777777" w:rsidR="004F367D" w:rsidRPr="00B2237B" w:rsidRDefault="004F367D" w:rsidP="00643E5C">
      <w:pPr>
        <w:widowControl w:val="0"/>
        <w:autoSpaceDE w:val="0"/>
        <w:autoSpaceDN w:val="0"/>
        <w:spacing w:after="0" w:line="276" w:lineRule="auto"/>
        <w:jc w:val="both"/>
        <w:rPr>
          <w:rStyle w:val="Hipervnculo"/>
          <w:rFonts w:ascii="Verdana" w:hAnsi="Verdana" w:cs="Arial"/>
          <w:color w:val="auto"/>
          <w:u w:val="none"/>
          <w:shd w:val="clear" w:color="auto" w:fill="FFFFFF"/>
        </w:rPr>
      </w:pPr>
    </w:p>
    <w:p w14:paraId="7619967B" w14:textId="77777777" w:rsidR="001332E7" w:rsidRDefault="001332E7" w:rsidP="004F367D">
      <w:pPr>
        <w:widowControl w:val="0"/>
        <w:autoSpaceDE w:val="0"/>
        <w:autoSpaceDN w:val="0"/>
        <w:spacing w:after="0" w:line="276" w:lineRule="auto"/>
        <w:jc w:val="both"/>
        <w:rPr>
          <w:rFonts w:ascii="Verdana" w:hAnsi="Verdana"/>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480A012E" w14:textId="77777777" w:rsidR="004F367D" w:rsidRPr="00B2237B" w:rsidRDefault="004F367D" w:rsidP="00643E5C">
      <w:pPr>
        <w:widowControl w:val="0"/>
        <w:autoSpaceDE w:val="0"/>
        <w:autoSpaceDN w:val="0"/>
        <w:spacing w:after="0" w:line="276" w:lineRule="auto"/>
        <w:jc w:val="both"/>
        <w:rPr>
          <w:rFonts w:ascii="Verdana" w:hAnsi="Verdana" w:cs="Arial"/>
        </w:rPr>
      </w:pPr>
    </w:p>
    <w:p w14:paraId="4EAEEBB0" w14:textId="77777777" w:rsidR="001332E7" w:rsidRPr="00116940" w:rsidRDefault="001332E7" w:rsidP="001332E7">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27949448" w14:textId="77777777" w:rsidR="001332E7" w:rsidRPr="00116940" w:rsidRDefault="001332E7" w:rsidP="001332E7">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0A0963BA" w14:textId="77777777" w:rsidR="001332E7" w:rsidRPr="00116940" w:rsidRDefault="001332E7" w:rsidP="001332E7">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21">
        <w:r w:rsidRPr="00116940">
          <w:rPr>
            <w:rStyle w:val="Hipervnculo"/>
            <w:rFonts w:ascii="Verdana" w:eastAsia="Verdana" w:hAnsi="Verdana" w:cs="Verdana"/>
            <w:lang w:val="es-MX"/>
          </w:rPr>
          <w:t>ventanilladeradicacion@colombiacompra.gov.co</w:t>
        </w:r>
      </w:hyperlink>
    </w:p>
    <w:p w14:paraId="25439AAF" w14:textId="77777777" w:rsidR="001332E7" w:rsidRPr="00116940" w:rsidRDefault="001332E7" w:rsidP="001332E7">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22">
        <w:r w:rsidRPr="00116940">
          <w:rPr>
            <w:rStyle w:val="Hipervnculo"/>
            <w:rFonts w:ascii="Verdana" w:eastAsia="Verdana" w:hAnsi="Verdana" w:cs="Verdana"/>
            <w:lang w:val="es-MX"/>
          </w:rPr>
          <w:t>https://www.colombiacompra.gov.co/pqrsd/informacion-importante-antes-de-formular-una-pqrsd</w:t>
        </w:r>
      </w:hyperlink>
    </w:p>
    <w:p w14:paraId="2D91E353" w14:textId="77777777" w:rsidR="001332E7" w:rsidRDefault="001332E7" w:rsidP="001332E7">
      <w:pPr>
        <w:spacing w:after="0" w:line="276" w:lineRule="auto"/>
        <w:jc w:val="both"/>
        <w:rPr>
          <w:rFonts w:ascii="Verdana" w:hAnsi="Verdana"/>
        </w:rPr>
      </w:pPr>
    </w:p>
    <w:p w14:paraId="50CAA006" w14:textId="77777777" w:rsidR="001332E7" w:rsidRDefault="001332E7" w:rsidP="001332E7">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23" w:history="1">
        <w:r w:rsidRPr="008746BD">
          <w:rPr>
            <w:rStyle w:val="Hipervnculo"/>
            <w:rFonts w:ascii="Verdana" w:eastAsia="Verdana" w:hAnsi="Verdana" w:cs="Verdana"/>
            <w:lang w:val="es-MX"/>
          </w:rPr>
          <w:t>https://forms.office.com/r/pPHyWVs2SZ</w:t>
        </w:r>
      </w:hyperlink>
      <w:r w:rsidRPr="008746BD">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0869DADA" w14:textId="77777777" w:rsidR="001332E7" w:rsidRDefault="001332E7" w:rsidP="00643E5C">
      <w:pPr>
        <w:spacing w:after="0" w:line="276" w:lineRule="auto"/>
        <w:jc w:val="both"/>
        <w:rPr>
          <w:rFonts w:ascii="Verdana" w:hAnsi="Verdana"/>
        </w:rPr>
      </w:pPr>
    </w:p>
    <w:p w14:paraId="5FFD9A69" w14:textId="77777777" w:rsidR="001332E7" w:rsidRPr="00116940" w:rsidRDefault="001332E7" w:rsidP="001332E7">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1F199759" w14:textId="77777777" w:rsidR="001332E7" w:rsidRPr="008746BD" w:rsidRDefault="001332E7" w:rsidP="00643E5C">
      <w:pPr>
        <w:spacing w:after="0" w:line="276" w:lineRule="auto"/>
        <w:jc w:val="both"/>
        <w:rPr>
          <w:rFonts w:ascii="Verdana" w:hAnsi="Verdana"/>
        </w:rPr>
      </w:pPr>
    </w:p>
    <w:p w14:paraId="33CFE5B5" w14:textId="77777777" w:rsidR="001332E7" w:rsidRPr="00116940" w:rsidRDefault="001332E7" w:rsidP="001332E7">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49AC2952" w14:textId="77777777" w:rsidR="001332E7" w:rsidRPr="00116940" w:rsidRDefault="001332E7" w:rsidP="001332E7">
      <w:pPr>
        <w:spacing w:after="0" w:line="276"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6CB9FD16" w14:textId="77777777" w:rsidR="001332E7" w:rsidRPr="00116940" w:rsidRDefault="001332E7" w:rsidP="001332E7">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362F2E14" w14:textId="77777777" w:rsidR="001332E7" w:rsidRPr="00643E5C" w:rsidRDefault="001332E7" w:rsidP="001332E7">
      <w:pPr>
        <w:spacing w:after="0" w:line="276" w:lineRule="auto"/>
        <w:jc w:val="both"/>
        <w:rPr>
          <w:rFonts w:ascii="Verdana" w:eastAsia="Century Gothic" w:hAnsi="Verdana" w:cs="Century Gothic"/>
          <w:lang w:val="es-ES" w:eastAsia="es-ES_tradnl"/>
        </w:rPr>
      </w:pPr>
    </w:p>
    <w:p w14:paraId="4B077D1F" w14:textId="77777777" w:rsidR="001332E7" w:rsidRPr="00842775" w:rsidRDefault="001332E7" w:rsidP="00643E5C">
      <w:pPr>
        <w:spacing w:after="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7957EF84" w14:textId="77777777" w:rsidR="001332E7" w:rsidRDefault="001332E7" w:rsidP="001332E7">
      <w:pPr>
        <w:spacing w:after="0" w:line="276" w:lineRule="auto"/>
        <w:jc w:val="both"/>
        <w:rPr>
          <w:rFonts w:ascii="Verdana" w:hAnsi="Verdana"/>
          <w:lang w:val="es-MX"/>
        </w:rPr>
      </w:pPr>
    </w:p>
    <w:p w14:paraId="3D8C9250" w14:textId="77777777" w:rsidR="001332E7" w:rsidRPr="00330029" w:rsidRDefault="001332E7" w:rsidP="001332E7">
      <w:pPr>
        <w:spacing w:after="0" w:line="276" w:lineRule="auto"/>
        <w:jc w:val="both"/>
        <w:rPr>
          <w:rFonts w:ascii="Verdana" w:hAnsi="Verdana"/>
          <w:lang w:val="es-MX"/>
        </w:rPr>
      </w:pPr>
      <w:r w:rsidRPr="00E02524">
        <w:rPr>
          <w:rFonts w:ascii="Verdana" w:hAnsi="Verdana"/>
          <w:lang w:val="es-MX"/>
        </w:rPr>
        <w:t>Cordialmente,</w:t>
      </w:r>
    </w:p>
    <w:p w14:paraId="54D5EE8A" w14:textId="741DEB66" w:rsidR="001332E7" w:rsidRDefault="001332E7" w:rsidP="001332E7">
      <w:pPr>
        <w:spacing w:after="0" w:line="256" w:lineRule="auto"/>
        <w:jc w:val="center"/>
        <w:rPr>
          <w:rFonts w:ascii="Verdana" w:eastAsia="Calibri" w:hAnsi="Verdana" w:cs="Times New Roman"/>
        </w:rPr>
      </w:pPr>
    </w:p>
    <w:p w14:paraId="2E2CF80E" w14:textId="2EAA0989" w:rsidR="001332E7" w:rsidRDefault="00E06B0F" w:rsidP="001332E7">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4C3C9141" wp14:editId="310B90DA">
            <wp:extent cx="3179616" cy="1498088"/>
            <wp:effectExtent l="0" t="0" r="1905" b="6985"/>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24"/>
                    <a:stretch>
                      <a:fillRect/>
                    </a:stretch>
                  </pic:blipFill>
                  <pic:spPr>
                    <a:xfrm>
                      <a:off x="0" y="0"/>
                      <a:ext cx="3198796" cy="1507125"/>
                    </a:xfrm>
                    <a:prstGeom prst="rect">
                      <a:avLst/>
                    </a:prstGeom>
                  </pic:spPr>
                </pic:pic>
              </a:graphicData>
            </a:graphic>
          </wp:inline>
        </w:drawing>
      </w: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1332E7" w:rsidRPr="001C3900" w14:paraId="753C5FD4" w14:textId="77777777" w:rsidTr="00E50FF1">
        <w:trPr>
          <w:trHeight w:val="288"/>
        </w:trPr>
        <w:tc>
          <w:tcPr>
            <w:tcW w:w="893" w:type="dxa"/>
            <w:vAlign w:val="center"/>
            <w:hideMark/>
          </w:tcPr>
          <w:p w14:paraId="0E34F559" w14:textId="77777777" w:rsidR="001332E7" w:rsidRPr="001C3900" w:rsidRDefault="001332E7" w:rsidP="00E50FF1">
            <w:pPr>
              <w:contextualSpacing/>
              <w:rPr>
                <w:rFonts w:ascii="Verdana" w:hAnsi="Verdana" w:cs="Arial"/>
                <w:sz w:val="16"/>
                <w:szCs w:val="16"/>
                <w:lang w:eastAsia="es-ES"/>
              </w:rPr>
            </w:pPr>
            <w:r w:rsidRPr="001C3900">
              <w:rPr>
                <w:rFonts w:ascii="Verdana" w:hAnsi="Verdana" w:cs="Arial"/>
                <w:sz w:val="16"/>
                <w:szCs w:val="16"/>
                <w:lang w:eastAsia="es-ES"/>
              </w:rPr>
              <w:t>Elaboró:</w:t>
            </w:r>
          </w:p>
        </w:tc>
        <w:tc>
          <w:tcPr>
            <w:tcW w:w="5061" w:type="dxa"/>
            <w:tcBorders>
              <w:top w:val="nil"/>
              <w:left w:val="nil"/>
              <w:bottom w:val="dotted" w:sz="4" w:space="0" w:color="7F7F7F" w:themeColor="text1" w:themeTint="80"/>
              <w:right w:val="nil"/>
            </w:tcBorders>
            <w:vAlign w:val="center"/>
            <w:hideMark/>
          </w:tcPr>
          <w:p w14:paraId="20B51D05" w14:textId="77777777" w:rsidR="001332E7" w:rsidRPr="001C3900" w:rsidRDefault="001332E7" w:rsidP="00E50FF1">
            <w:pPr>
              <w:contextualSpacing/>
              <w:rPr>
                <w:rStyle w:val="normaltextrun"/>
                <w:rFonts w:ascii="Verdana" w:hAnsi="Verdana"/>
                <w:sz w:val="16"/>
                <w:szCs w:val="16"/>
              </w:rPr>
            </w:pPr>
            <w:r w:rsidRPr="001C3900">
              <w:rPr>
                <w:rStyle w:val="normaltextrun"/>
                <w:rFonts w:ascii="Verdana" w:hAnsi="Verdana"/>
                <w:sz w:val="16"/>
                <w:szCs w:val="16"/>
              </w:rPr>
              <w:t xml:space="preserve">Esperanza Contreras P </w:t>
            </w:r>
          </w:p>
          <w:p w14:paraId="5F26F971" w14:textId="77777777" w:rsidR="001332E7" w:rsidRPr="001C3900" w:rsidRDefault="001332E7" w:rsidP="00E50FF1">
            <w:pPr>
              <w:contextualSpacing/>
              <w:rPr>
                <w:rFonts w:ascii="Verdana" w:eastAsia="Arial" w:hAnsi="Verdana" w:cs="Arial"/>
                <w:sz w:val="16"/>
                <w:szCs w:val="16"/>
              </w:rPr>
            </w:pPr>
            <w:r w:rsidRPr="001C3900">
              <w:rPr>
                <w:rStyle w:val="normaltextrun"/>
                <w:rFonts w:ascii="Verdana" w:hAnsi="Verdana" w:cs="Arial"/>
                <w:sz w:val="16"/>
                <w:szCs w:val="16"/>
              </w:rPr>
              <w:t>Contratista de la Subdirección de Gestión Contractual</w:t>
            </w:r>
            <w:r w:rsidRPr="001C3900">
              <w:rPr>
                <w:rStyle w:val="eop"/>
                <w:rFonts w:ascii="Verdana" w:hAnsi="Verdana" w:cs="Arial"/>
                <w:sz w:val="16"/>
                <w:szCs w:val="16"/>
              </w:rPr>
              <w:t> </w:t>
            </w:r>
          </w:p>
        </w:tc>
      </w:tr>
      <w:tr w:rsidR="001332E7" w:rsidRPr="001C3900" w14:paraId="4ACD15E2" w14:textId="77777777" w:rsidTr="00E50FF1">
        <w:trPr>
          <w:trHeight w:val="330"/>
        </w:trPr>
        <w:tc>
          <w:tcPr>
            <w:tcW w:w="893" w:type="dxa"/>
            <w:vAlign w:val="center"/>
            <w:hideMark/>
          </w:tcPr>
          <w:p w14:paraId="28354AEB" w14:textId="77777777" w:rsidR="001332E7" w:rsidRPr="001C3900" w:rsidRDefault="001332E7" w:rsidP="00E50FF1">
            <w:pPr>
              <w:contextualSpacing/>
              <w:rPr>
                <w:rFonts w:ascii="Verdana" w:hAnsi="Verdana" w:cs="Arial"/>
                <w:sz w:val="16"/>
                <w:szCs w:val="16"/>
                <w:lang w:eastAsia="es-ES"/>
              </w:rPr>
            </w:pPr>
            <w:r w:rsidRPr="001C3900">
              <w:rPr>
                <w:rFonts w:ascii="Verdana" w:hAnsi="Verdana" w:cs="Arial"/>
                <w:sz w:val="16"/>
                <w:szCs w:val="16"/>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1F87D970" w14:textId="77777777" w:rsidR="001332E7" w:rsidRPr="001C3900" w:rsidRDefault="001332E7" w:rsidP="00E50FF1">
            <w:pPr>
              <w:pStyle w:val="paragraph"/>
              <w:spacing w:before="0" w:beforeAutospacing="0" w:after="0" w:afterAutospacing="0"/>
              <w:contextualSpacing/>
              <w:textAlignment w:val="baseline"/>
              <w:rPr>
                <w:rStyle w:val="normaltextrun"/>
                <w:rFonts w:ascii="Verdana" w:hAnsi="Verdana"/>
                <w:sz w:val="16"/>
                <w:szCs w:val="16"/>
              </w:rPr>
            </w:pPr>
            <w:r w:rsidRPr="001C3900">
              <w:rPr>
                <w:rStyle w:val="normaltextrun"/>
                <w:rFonts w:ascii="Verdana" w:hAnsi="Verdana"/>
                <w:sz w:val="16"/>
                <w:szCs w:val="16"/>
              </w:rPr>
              <w:t xml:space="preserve">Diana Lucía Saavedra Castañeda. </w:t>
            </w:r>
          </w:p>
          <w:p w14:paraId="39AD5CC7" w14:textId="77777777" w:rsidR="001332E7" w:rsidRPr="001C3900" w:rsidRDefault="001332E7" w:rsidP="00E50FF1">
            <w:pPr>
              <w:pStyle w:val="paragraph"/>
              <w:spacing w:before="0" w:beforeAutospacing="0" w:after="0" w:afterAutospacing="0"/>
              <w:contextualSpacing/>
              <w:textAlignment w:val="baseline"/>
              <w:rPr>
                <w:rFonts w:ascii="Verdana" w:hAnsi="Verdana" w:cs="Segoe UI"/>
                <w:sz w:val="16"/>
                <w:szCs w:val="16"/>
              </w:rPr>
            </w:pPr>
            <w:r w:rsidRPr="001C3900">
              <w:rPr>
                <w:rStyle w:val="normaltextrun"/>
                <w:rFonts w:ascii="Verdana" w:hAnsi="Verdana"/>
                <w:sz w:val="16"/>
                <w:szCs w:val="16"/>
              </w:rPr>
              <w:t xml:space="preserve">Contratista Subdirección Gestión Contractual  </w:t>
            </w:r>
          </w:p>
        </w:tc>
      </w:tr>
      <w:tr w:rsidR="001332E7" w:rsidRPr="001C3900" w14:paraId="34E17363" w14:textId="77777777" w:rsidTr="00E50FF1">
        <w:trPr>
          <w:trHeight w:val="300"/>
        </w:trPr>
        <w:tc>
          <w:tcPr>
            <w:tcW w:w="893" w:type="dxa"/>
            <w:vAlign w:val="center"/>
          </w:tcPr>
          <w:p w14:paraId="38CD65E7" w14:textId="77777777" w:rsidR="001332E7" w:rsidRPr="001C3900" w:rsidRDefault="001332E7" w:rsidP="00E50FF1">
            <w:pPr>
              <w:contextualSpacing/>
              <w:rPr>
                <w:rFonts w:ascii="Verdana" w:hAnsi="Verdana" w:cs="Arial"/>
                <w:sz w:val="16"/>
                <w:szCs w:val="16"/>
                <w:lang w:eastAsia="es-ES"/>
              </w:rPr>
            </w:pPr>
            <w:r w:rsidRPr="001C3900">
              <w:rPr>
                <w:rFonts w:ascii="Verdana" w:hAnsi="Verdana" w:cs="Arial"/>
                <w:sz w:val="16"/>
                <w:szCs w:val="16"/>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3ACB30DA" w14:textId="77777777" w:rsidR="001332E7" w:rsidRPr="001C3900" w:rsidRDefault="001332E7" w:rsidP="00E50FF1">
            <w:pPr>
              <w:contextualSpacing/>
              <w:rPr>
                <w:rFonts w:ascii="Verdana" w:eastAsia="Calibri" w:hAnsi="Verdana" w:cs="Arial"/>
                <w:sz w:val="16"/>
                <w:szCs w:val="16"/>
                <w:lang w:eastAsia="es-ES"/>
              </w:rPr>
            </w:pPr>
            <w:r w:rsidRPr="001C3900">
              <w:rPr>
                <w:rFonts w:ascii="Verdana" w:eastAsia="Calibri" w:hAnsi="Verdana" w:cs="Arial"/>
                <w:sz w:val="16"/>
                <w:szCs w:val="16"/>
                <w:lang w:eastAsia="es-ES"/>
              </w:rPr>
              <w:t>Carolina Quintero Gacharná</w:t>
            </w:r>
          </w:p>
          <w:p w14:paraId="201DDE2F" w14:textId="77777777" w:rsidR="001332E7" w:rsidRPr="001C3900" w:rsidRDefault="001332E7" w:rsidP="00E50FF1">
            <w:pPr>
              <w:contextualSpacing/>
              <w:rPr>
                <w:rFonts w:ascii="Verdana" w:eastAsia="Calibri" w:hAnsi="Verdana" w:cs="Arial"/>
                <w:sz w:val="16"/>
                <w:szCs w:val="16"/>
                <w:lang w:eastAsia="es-ES"/>
              </w:rPr>
            </w:pPr>
            <w:r w:rsidRPr="001C3900">
              <w:rPr>
                <w:rFonts w:ascii="Verdana" w:eastAsia="Calibri" w:hAnsi="Verdana" w:cs="Arial"/>
                <w:sz w:val="16"/>
                <w:szCs w:val="16"/>
                <w:lang w:eastAsia="es-ES"/>
              </w:rPr>
              <w:t>Subdirectora de Gestión Contractual ANCP – CCE</w:t>
            </w:r>
          </w:p>
        </w:tc>
      </w:tr>
      <w:bookmarkEnd w:id="1"/>
    </w:tbl>
    <w:p w14:paraId="48146D4A" w14:textId="77777777" w:rsidR="001332E7" w:rsidRPr="001C3900" w:rsidRDefault="001332E7" w:rsidP="001332E7">
      <w:pPr>
        <w:spacing w:after="0"/>
        <w:rPr>
          <w:rFonts w:ascii="Verdana" w:eastAsia="Verdana" w:hAnsi="Verdana" w:cs="Verdana"/>
          <w:sz w:val="16"/>
          <w:szCs w:val="16"/>
        </w:rPr>
      </w:pPr>
    </w:p>
    <w:p w14:paraId="52B17EEE" w14:textId="77777777" w:rsidR="001332E7" w:rsidRPr="001C3900" w:rsidRDefault="001332E7" w:rsidP="001332E7">
      <w:pPr>
        <w:spacing w:after="0"/>
        <w:rPr>
          <w:rFonts w:ascii="Verdana" w:eastAsia="Verdana" w:hAnsi="Verdana" w:cs="Verdana"/>
          <w:sz w:val="16"/>
          <w:szCs w:val="16"/>
        </w:rPr>
      </w:pPr>
    </w:p>
    <w:p w14:paraId="0F293BF4" w14:textId="69DDD42B" w:rsidR="00127233" w:rsidRPr="007359B5" w:rsidRDefault="00127233" w:rsidP="007359B5"/>
    <w:sectPr w:rsidR="00127233" w:rsidRPr="007359B5" w:rsidSect="007C0C0F">
      <w:headerReference w:type="default" r:id="rId25"/>
      <w:footerReference w:type="default" r:id="rId2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367FB" w14:textId="77777777" w:rsidR="00B05D23" w:rsidRDefault="00B05D23" w:rsidP="004A1847">
      <w:pPr>
        <w:spacing w:after="0" w:line="240" w:lineRule="auto"/>
      </w:pPr>
      <w:r>
        <w:separator/>
      </w:r>
    </w:p>
  </w:endnote>
  <w:endnote w:type="continuationSeparator" w:id="0">
    <w:p w14:paraId="668024BB" w14:textId="77777777" w:rsidR="00B05D23" w:rsidRDefault="00B05D2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F5F77" w14:textId="77777777" w:rsidR="00B05D23" w:rsidRDefault="00B05D23" w:rsidP="004A1847">
      <w:pPr>
        <w:spacing w:after="0" w:line="240" w:lineRule="auto"/>
      </w:pPr>
      <w:r>
        <w:separator/>
      </w:r>
    </w:p>
  </w:footnote>
  <w:footnote w:type="continuationSeparator" w:id="0">
    <w:p w14:paraId="0CC06CEC" w14:textId="77777777" w:rsidR="00B05D23" w:rsidRDefault="00B05D23" w:rsidP="004A1847">
      <w:pPr>
        <w:spacing w:after="0" w:line="240" w:lineRule="auto"/>
      </w:pPr>
      <w:r>
        <w:continuationSeparator/>
      </w:r>
    </w:p>
  </w:footnote>
  <w:footnote w:id="1">
    <w:p w14:paraId="4C5B2674" w14:textId="50BBEB20" w:rsidR="00974F2D" w:rsidRPr="00EF61AC" w:rsidRDefault="00974F2D" w:rsidP="00EF61AC">
      <w:pPr>
        <w:pStyle w:val="Textonotapie"/>
        <w:ind w:firstLine="709"/>
        <w:jc w:val="both"/>
        <w:rPr>
          <w:rFonts w:ascii="Verdana" w:hAnsi="Verdana"/>
          <w:sz w:val="14"/>
          <w:szCs w:val="14"/>
        </w:rPr>
      </w:pPr>
      <w:r w:rsidRPr="00EF61AC">
        <w:rPr>
          <w:rStyle w:val="Refdenotaalpie"/>
          <w:rFonts w:ascii="Verdana" w:hAnsi="Verdana"/>
          <w:sz w:val="14"/>
          <w:szCs w:val="14"/>
        </w:rPr>
        <w:footnoteRef/>
      </w:r>
      <w:r w:rsidRPr="00EF61AC">
        <w:rPr>
          <w:rFonts w:ascii="Verdana" w:hAnsi="Verdana"/>
          <w:sz w:val="14"/>
          <w:szCs w:val="14"/>
        </w:rPr>
        <w:t xml:space="preserve"> </w:t>
      </w:r>
      <w:r w:rsidR="00D838F6" w:rsidRPr="00EF61AC">
        <w:rPr>
          <w:rFonts w:ascii="Verdana" w:hAnsi="Verdana"/>
          <w:sz w:val="14"/>
          <w:szCs w:val="14"/>
        </w:rPr>
        <w:t xml:space="preserve">Mediante la petición allegada el 17 de julio de 2026, la señora Yésica del Pilar Marín </w:t>
      </w:r>
      <w:r w:rsidR="00EF61AC" w:rsidRPr="00EF61AC">
        <w:rPr>
          <w:rFonts w:ascii="Verdana" w:hAnsi="Verdana"/>
          <w:sz w:val="14"/>
          <w:szCs w:val="14"/>
        </w:rPr>
        <w:t xml:space="preserve">reiteró </w:t>
      </w:r>
      <w:r w:rsidR="00D838F6" w:rsidRPr="00EF61AC">
        <w:rPr>
          <w:rFonts w:ascii="Verdana" w:hAnsi="Verdana"/>
          <w:sz w:val="14"/>
          <w:szCs w:val="14"/>
          <w:lang w:val="es-CO"/>
        </w:rPr>
        <w:t>la solicitud contenida en el derecho de petición radicado mediante correo electrónico el día 10 de junio de 2026, a través del cual se remitió el documento relacionado con la Circular No. 002 de 2026.</w:t>
      </w:r>
    </w:p>
  </w:footnote>
  <w:footnote w:id="2">
    <w:p w14:paraId="165B18A4" w14:textId="77777777" w:rsidR="001332E7" w:rsidRPr="005D5C35" w:rsidRDefault="001332E7" w:rsidP="001332E7">
      <w:pPr>
        <w:pStyle w:val="Textonotapie"/>
        <w:ind w:firstLine="708"/>
        <w:jc w:val="both"/>
        <w:rPr>
          <w:rFonts w:ascii="Verdana" w:hAnsi="Verdana"/>
          <w:sz w:val="14"/>
          <w:szCs w:val="14"/>
        </w:rPr>
      </w:pPr>
      <w:r w:rsidRPr="005D5C35">
        <w:rPr>
          <w:rStyle w:val="Refdenotaalpie"/>
          <w:rFonts w:ascii="Verdana" w:hAnsi="Verdana"/>
          <w:sz w:val="14"/>
          <w:szCs w:val="14"/>
        </w:rPr>
        <w:footnoteRef/>
      </w:r>
      <w:r w:rsidRPr="005D5C35">
        <w:rPr>
          <w:rFonts w:ascii="Verdana" w:hAnsi="Verdana"/>
          <w:sz w:val="14"/>
          <w:szCs w:val="14"/>
        </w:rPr>
        <w:t xml:space="preserve"> En lo pertinente, la norma prescribe que “Los órganos que son una sección en el Presupuesto General de la Nación, tendrán la capacidad de contratar y comprometer a nombre de la persona jurídica de la cual hagan parte, y ordenar el gasto en desarrollo de las apropiaciones incorporadas en la respectiva sección, lo que constituye la autonomía presupuestal a que se refieren la Constitución Política y la ley. Estas facultades estarán en cabeza del jefe de cada órgano quien podrá delegarlas en funcionarios del nivel directivo, o quien haga sus veces, y serán ejercidas teniendo en cuenta las normas consagradas en el Estatuto General de Contratación de la Administración Pública y en las disposiciones legales vigentes.</w:t>
      </w:r>
    </w:p>
    <w:p w14:paraId="3FCD0546" w14:textId="77777777" w:rsidR="001332E7" w:rsidRPr="005D5C35" w:rsidRDefault="001332E7" w:rsidP="001332E7">
      <w:pPr>
        <w:pStyle w:val="Textonotapie"/>
        <w:ind w:firstLine="708"/>
        <w:jc w:val="both"/>
        <w:rPr>
          <w:rFonts w:ascii="Verdana" w:hAnsi="Verdana"/>
          <w:sz w:val="14"/>
          <w:szCs w:val="14"/>
        </w:rPr>
      </w:pPr>
      <w:r w:rsidRPr="005D5C35">
        <w:rPr>
          <w:rFonts w:ascii="Verdana" w:hAnsi="Verdana"/>
          <w:sz w:val="14"/>
          <w:szCs w:val="14"/>
        </w:rPr>
        <w:t>[…]</w:t>
      </w:r>
    </w:p>
    <w:p w14:paraId="37502306" w14:textId="77777777" w:rsidR="001332E7" w:rsidRPr="005D5C35" w:rsidRDefault="001332E7" w:rsidP="001332E7">
      <w:pPr>
        <w:pStyle w:val="Textonotapie"/>
        <w:ind w:firstLine="708"/>
        <w:jc w:val="both"/>
        <w:rPr>
          <w:rFonts w:ascii="Verdana" w:hAnsi="Verdana"/>
          <w:sz w:val="14"/>
          <w:szCs w:val="14"/>
        </w:rPr>
      </w:pPr>
      <w:r w:rsidRPr="005D5C35">
        <w:rPr>
          <w:rFonts w:ascii="Verdana" w:hAnsi="Verdana"/>
          <w:sz w:val="14"/>
          <w:szCs w:val="14"/>
        </w:rPr>
        <w:t>En los mismos términos y condiciones tendrán estas capacidades las Superintendencias, Unidades Administrativas Especiales, las Entidades Territoriales, Asambleas y Concejos, las Contralorías y Personerías Territoriales y todos los demás órganos estatales de cualquier nivel que tengan personería jurídica.</w:t>
      </w:r>
    </w:p>
    <w:p w14:paraId="185C79CB" w14:textId="77777777" w:rsidR="001332E7" w:rsidRPr="005D5C35" w:rsidRDefault="001332E7" w:rsidP="001332E7">
      <w:pPr>
        <w:pStyle w:val="Textonotapie"/>
        <w:ind w:firstLine="708"/>
        <w:jc w:val="both"/>
        <w:rPr>
          <w:rFonts w:ascii="Verdana" w:hAnsi="Verdana"/>
          <w:sz w:val="14"/>
          <w:szCs w:val="14"/>
        </w:rPr>
      </w:pPr>
      <w:r w:rsidRPr="005D5C35">
        <w:rPr>
          <w:rFonts w:ascii="Verdana" w:hAnsi="Verdana"/>
          <w:sz w:val="14"/>
          <w:szCs w:val="14"/>
        </w:rPr>
        <w:t>En todo caso, el Presidente de la República podrá celebrar contratos a nombre de la Nación”.</w:t>
      </w:r>
    </w:p>
  </w:footnote>
  <w:footnote w:id="3">
    <w:p w14:paraId="2EB927B4" w14:textId="77777777" w:rsidR="001332E7" w:rsidRPr="005D5C35" w:rsidRDefault="001332E7" w:rsidP="001332E7">
      <w:pPr>
        <w:pStyle w:val="Textonotapie"/>
        <w:ind w:firstLine="708"/>
        <w:jc w:val="both"/>
        <w:rPr>
          <w:rFonts w:ascii="Verdana" w:hAnsi="Verdana" w:cs="Arial"/>
          <w:sz w:val="14"/>
          <w:szCs w:val="14"/>
        </w:rPr>
      </w:pPr>
      <w:r w:rsidRPr="005D5C35">
        <w:rPr>
          <w:rStyle w:val="Refdenotaalpie"/>
          <w:rFonts w:ascii="Verdana" w:hAnsi="Verdana" w:cs="Arial"/>
          <w:sz w:val="14"/>
          <w:szCs w:val="14"/>
        </w:rPr>
        <w:footnoteRef/>
      </w:r>
      <w:r w:rsidRPr="005D5C35">
        <w:rPr>
          <w:rFonts w:ascii="Verdana" w:hAnsi="Verdana" w:cs="Arial"/>
          <w:sz w:val="14"/>
          <w:szCs w:val="14"/>
        </w:rPr>
        <w:t xml:space="preserve"> El inciso primero de norma disponía que, conforme al principio de transparencia, “</w:t>
      </w:r>
      <w:r w:rsidRPr="005D5C35">
        <w:rPr>
          <w:rFonts w:ascii="Verdana" w:hAnsi="Verdana" w:cs="Arial"/>
          <w:i/>
          <w:iCs/>
          <w:sz w:val="14"/>
          <w:szCs w:val="14"/>
        </w:rPr>
        <w:t>La escogencia del contratista se efectuará siempre a través de licitación o concurso públicos</w:t>
      </w:r>
      <w:r w:rsidRPr="005D5C35">
        <w:rPr>
          <w:rFonts w:ascii="Verdana" w:hAnsi="Verdana" w:cs="Arial"/>
          <w:sz w:val="14"/>
          <w:szCs w:val="14"/>
        </w:rPr>
        <w:t>, salvo en los siguientes casos en los que se podrá contratar directamente” (Énfasis fuera de texto). La expresión en cursiva fue declarada exequible por la Corte Constitucional mediante la Sentencia C-400 de 1999, con ponencia del Magistrado Vladimiro Naranjo Mesa, y derogado integralmente por el artículo 32 de la Ley 1150 de 2007.</w:t>
      </w:r>
    </w:p>
    <w:p w14:paraId="1034FEC2" w14:textId="77777777" w:rsidR="001332E7" w:rsidRPr="005D5C35" w:rsidRDefault="001332E7" w:rsidP="001332E7">
      <w:pPr>
        <w:pStyle w:val="Textonotapie"/>
        <w:ind w:firstLine="708"/>
        <w:jc w:val="both"/>
        <w:rPr>
          <w:rFonts w:ascii="Verdana" w:hAnsi="Verdana" w:cs="Arial"/>
          <w:sz w:val="14"/>
          <w:szCs w:val="14"/>
        </w:rPr>
      </w:pPr>
    </w:p>
  </w:footnote>
  <w:footnote w:id="4">
    <w:p w14:paraId="5C1E0E33" w14:textId="77777777" w:rsidR="001332E7" w:rsidRPr="00940D18" w:rsidRDefault="001332E7" w:rsidP="001332E7">
      <w:pPr>
        <w:pStyle w:val="Textonotapie"/>
        <w:ind w:firstLine="708"/>
        <w:jc w:val="both"/>
        <w:rPr>
          <w:rFonts w:ascii="Verdana" w:hAnsi="Verdana" w:cs="Arial"/>
          <w:sz w:val="16"/>
          <w:szCs w:val="16"/>
        </w:rPr>
      </w:pPr>
      <w:r w:rsidRPr="005D5C35">
        <w:rPr>
          <w:rStyle w:val="Refdenotaalpie"/>
          <w:rFonts w:ascii="Verdana" w:hAnsi="Verdana" w:cs="Arial"/>
          <w:sz w:val="14"/>
          <w:szCs w:val="14"/>
        </w:rPr>
        <w:footnoteRef/>
      </w:r>
      <w:r w:rsidRPr="005D5C35">
        <w:rPr>
          <w:rFonts w:ascii="Verdana" w:hAnsi="Verdana" w:cs="Arial"/>
          <w:sz w:val="14"/>
          <w:szCs w:val="14"/>
        </w:rPr>
        <w:t xml:space="preserve"> Sobre la articulación de los diferentes procesos de selección previstos en el artículo 2 de la Ley 1150 de 2007, DÁVILA VINUEZA considera lo siguiente: “En las leyes 80 de 1993 y 1150 de 2007 los demás procedimientos de selección distintos a la licitación pública, se convierten en procedimientos excepcionales y procedentes únicamente en los casos taxativamente contemplados en la ley. Pero la excepción no es respecto de los principios de transparencia, economía y responsabilidad y del deber de selección objetiva como parece lo han entendido algunas entidades estales. Estos principios que […] desarrollan los rectores de la función pública de orden constitucional y legal (art. 209 C.N., y art. 3° </w:t>
      </w:r>
      <w:proofErr w:type="spellStart"/>
      <w:r w:rsidRPr="005D5C35">
        <w:rPr>
          <w:rFonts w:ascii="Verdana" w:hAnsi="Verdana" w:cs="Arial"/>
          <w:sz w:val="14"/>
          <w:szCs w:val="14"/>
        </w:rPr>
        <w:t>Cpaca</w:t>
      </w:r>
      <w:proofErr w:type="spellEnd"/>
      <w:r w:rsidRPr="005D5C35">
        <w:rPr>
          <w:rFonts w:ascii="Verdana" w:hAnsi="Verdana" w:cs="Arial"/>
          <w:sz w:val="14"/>
          <w:szCs w:val="14"/>
        </w:rPr>
        <w:t>) son aplicables con todo rigor a los procedimientos de excepción. Siendo ello así, la excepción de que se habla es respecto del proceso licitatorio regulado en el artículo 30 de la Ley 80 de 1993 con las variantes introducidas por el artículo 2°, numeral 1, de la ley 1150 de 2007, en concordancia con el artículo 2.2.1.2.1.1.1 del Decreto 1082 de 2015 (</w:t>
      </w:r>
      <w:r w:rsidRPr="005D5C35">
        <w:rPr>
          <w:rFonts w:ascii="Verdana" w:hAnsi="Verdana" w:cs="Arial"/>
          <w:i/>
          <w:iCs/>
          <w:sz w:val="14"/>
          <w:szCs w:val="14"/>
        </w:rPr>
        <w:t>Presentación de la oferta de manera dinámica</w:t>
      </w:r>
      <w:r w:rsidRPr="005D5C35">
        <w:rPr>
          <w:rFonts w:ascii="Verdana" w:hAnsi="Verdana" w:cs="Arial"/>
          <w:sz w:val="14"/>
          <w:szCs w:val="14"/>
        </w:rPr>
        <w:t>). Es decir, que ante la ausencia de una causal concreta para un determinado evento específico, la selección debe asumir la que el ordenamiento jurídico regula como licitación pública. Por eso es que, además, las causas excepcionales de selección son de interpretación restrictiva y no admiten analogía ni la interpretación extensiva. Genera nulidad absoluta del contrato, por abuso o desviación de poder, y nulidad del acto administrativo de selección cualquier artilugio que implique socavar la principal manifestación del principio de transparencia, cual es la selección por vía de licitación”. (DÁVILA VINUEZA, Luis Guillermo. Régimen jurídico de la contratación estatal. Tercera Edición. Bogotá: Legis, 2016. p. 463).</w:t>
      </w:r>
      <w:r w:rsidRPr="00940D18">
        <w:rPr>
          <w:rFonts w:ascii="Verdana" w:hAnsi="Verdana" w:cs="Arial"/>
          <w:sz w:val="16"/>
          <w:szCs w:val="16"/>
        </w:rPr>
        <w:t xml:space="preserve">      </w:t>
      </w:r>
    </w:p>
  </w:footnote>
  <w:footnote w:id="5">
    <w:p w14:paraId="08139D70" w14:textId="77777777" w:rsidR="001332E7" w:rsidRPr="005D5C35" w:rsidRDefault="001332E7" w:rsidP="001332E7">
      <w:pPr>
        <w:pStyle w:val="Textonotapie"/>
        <w:ind w:firstLine="708"/>
        <w:jc w:val="both"/>
        <w:rPr>
          <w:rFonts w:ascii="Verdana" w:hAnsi="Verdana" w:cs="Arial"/>
          <w:sz w:val="14"/>
          <w:szCs w:val="14"/>
        </w:rPr>
      </w:pPr>
      <w:r w:rsidRPr="005D5C35">
        <w:rPr>
          <w:rStyle w:val="Refdenotaalpie"/>
          <w:rFonts w:ascii="Verdana" w:hAnsi="Verdana" w:cs="Arial"/>
          <w:sz w:val="14"/>
          <w:szCs w:val="14"/>
        </w:rPr>
        <w:footnoteRef/>
      </w:r>
      <w:r w:rsidRPr="005D5C35">
        <w:rPr>
          <w:rFonts w:ascii="Verdana" w:hAnsi="Verdana" w:cs="Arial"/>
          <w:sz w:val="14"/>
          <w:szCs w:val="14"/>
        </w:rPr>
        <w:t xml:space="preserve"> JOJOA BOLAÑOS, Alexander. Los regímenes exceptuados en los contratos estatales. Bogotá: Grupo Editorial Ibáñez, 2012. p. 89.</w:t>
      </w:r>
    </w:p>
    <w:p w14:paraId="738B7C2B" w14:textId="77777777" w:rsidR="001332E7" w:rsidRPr="005D5C35" w:rsidRDefault="001332E7" w:rsidP="001332E7">
      <w:pPr>
        <w:pStyle w:val="Textonotapie"/>
        <w:ind w:firstLine="708"/>
        <w:jc w:val="both"/>
        <w:rPr>
          <w:rFonts w:ascii="Verdana" w:hAnsi="Verdana" w:cs="Arial"/>
          <w:sz w:val="14"/>
          <w:szCs w:val="14"/>
        </w:rPr>
      </w:pPr>
    </w:p>
  </w:footnote>
  <w:footnote w:id="6">
    <w:p w14:paraId="49277D73" w14:textId="77777777" w:rsidR="001332E7" w:rsidRPr="005D5C35" w:rsidRDefault="001332E7" w:rsidP="001332E7">
      <w:pPr>
        <w:pStyle w:val="Textonotapie"/>
        <w:ind w:firstLine="708"/>
        <w:jc w:val="both"/>
        <w:rPr>
          <w:rFonts w:ascii="Verdana" w:hAnsi="Verdana" w:cs="Arial"/>
          <w:sz w:val="14"/>
          <w:szCs w:val="14"/>
        </w:rPr>
      </w:pPr>
      <w:r w:rsidRPr="005D5C35">
        <w:rPr>
          <w:rStyle w:val="Refdenotaalpie"/>
          <w:rFonts w:ascii="Verdana" w:hAnsi="Verdana" w:cs="Arial"/>
          <w:sz w:val="14"/>
          <w:szCs w:val="14"/>
        </w:rPr>
        <w:footnoteRef/>
      </w:r>
      <w:r w:rsidRPr="005D5C35">
        <w:rPr>
          <w:rFonts w:ascii="Verdana" w:hAnsi="Verdana" w:cs="Arial"/>
          <w:sz w:val="14"/>
          <w:szCs w:val="14"/>
        </w:rPr>
        <w:t xml:space="preserve"> BARRETO MORENO, Antonio Alejandro. El derecho de la compra pública: estudio jurídico de un mercado imperfecto. Bogotá: Legis, 2019. pp. 281 y ss.</w:t>
      </w:r>
    </w:p>
    <w:p w14:paraId="0B047A20" w14:textId="77777777" w:rsidR="001332E7" w:rsidRPr="005D5C35" w:rsidRDefault="001332E7" w:rsidP="001332E7">
      <w:pPr>
        <w:pStyle w:val="Textonotapie"/>
        <w:ind w:firstLine="708"/>
        <w:jc w:val="both"/>
        <w:rPr>
          <w:rFonts w:ascii="Verdana" w:hAnsi="Verdana" w:cs="Arial"/>
          <w:sz w:val="14"/>
          <w:szCs w:val="14"/>
        </w:rPr>
      </w:pPr>
    </w:p>
  </w:footnote>
  <w:footnote w:id="7">
    <w:p w14:paraId="45CDCCD4"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Style w:val="Refdenotaalpie"/>
          <w:rFonts w:ascii="Verdana" w:hAnsi="Verdana" w:cs="Arial"/>
          <w:color w:val="000000" w:themeColor="text1"/>
          <w:sz w:val="14"/>
          <w:szCs w:val="14"/>
        </w:rPr>
        <w:footnoteRef/>
      </w:r>
      <w:r w:rsidRPr="005D5C35">
        <w:rPr>
          <w:rFonts w:ascii="Verdana" w:hAnsi="Verdana" w:cs="Arial"/>
          <w:color w:val="000000" w:themeColor="text1"/>
          <w:sz w:val="14"/>
          <w:szCs w:val="14"/>
        </w:rPr>
        <w:t xml:space="preserve"> Agencia Nacional de Contratación Pública - Colombia Compra Eficiente. Guía para las Entidades Estatales con régimen especial de contratación: “Entidad Estatal de régimen especial: Entidad Estatal que realiza sus Procesos de Contratación con un régimen distinto al previsto en las Leyes 80 de 1993 y 1150 de 2007”.</w:t>
      </w:r>
    </w:p>
  </w:footnote>
  <w:footnote w:id="8">
    <w:p w14:paraId="0337CB7E" w14:textId="77777777" w:rsidR="001332E7" w:rsidRPr="00940D18" w:rsidRDefault="001332E7" w:rsidP="001332E7">
      <w:pPr>
        <w:pStyle w:val="Textonotapie"/>
        <w:ind w:firstLine="709"/>
        <w:jc w:val="both"/>
        <w:rPr>
          <w:rFonts w:ascii="Verdana" w:hAnsi="Verdana" w:cs="Arial"/>
          <w:color w:val="000000" w:themeColor="text1"/>
          <w:sz w:val="16"/>
          <w:szCs w:val="16"/>
        </w:rPr>
      </w:pPr>
      <w:r w:rsidRPr="00940D18">
        <w:rPr>
          <w:rStyle w:val="Refdenotaalpie"/>
          <w:rFonts w:ascii="Verdana" w:hAnsi="Verdana" w:cs="Arial"/>
          <w:color w:val="000000" w:themeColor="text1"/>
          <w:sz w:val="16"/>
          <w:szCs w:val="16"/>
        </w:rPr>
        <w:footnoteRef/>
      </w:r>
      <w:r w:rsidRPr="00940D18">
        <w:rPr>
          <w:rFonts w:ascii="Verdana" w:hAnsi="Verdana" w:cs="Arial"/>
          <w:color w:val="000000" w:themeColor="text1"/>
          <w:sz w:val="16"/>
          <w:szCs w:val="16"/>
        </w:rPr>
        <w:t xml:space="preserve"> </w:t>
      </w:r>
      <w:r>
        <w:rPr>
          <w:rFonts w:ascii="Verdana" w:hAnsi="Verdana" w:cs="Arial"/>
          <w:color w:val="000000" w:themeColor="text1"/>
          <w:sz w:val="16"/>
          <w:szCs w:val="16"/>
        </w:rPr>
        <w:t>Consejo de Estado. Sala de lo Contencioso Administrativo</w:t>
      </w:r>
      <w:r w:rsidRPr="00940D18">
        <w:rPr>
          <w:rFonts w:ascii="Verdana" w:hAnsi="Verdana" w:cs="Arial"/>
          <w:color w:val="000000" w:themeColor="text1"/>
          <w:sz w:val="16"/>
          <w:szCs w:val="16"/>
        </w:rPr>
        <w:t xml:space="preserve">. Sección Tercera. </w:t>
      </w:r>
      <w:r>
        <w:rPr>
          <w:rFonts w:ascii="Verdana" w:hAnsi="Verdana" w:cs="Arial"/>
          <w:color w:val="000000" w:themeColor="text1"/>
          <w:sz w:val="16"/>
          <w:szCs w:val="16"/>
        </w:rPr>
        <w:t xml:space="preserve">Sentencia del </w:t>
      </w:r>
      <w:r w:rsidRPr="00940D18">
        <w:rPr>
          <w:rFonts w:ascii="Verdana" w:hAnsi="Verdana" w:cs="Arial"/>
          <w:color w:val="000000" w:themeColor="text1"/>
          <w:sz w:val="16"/>
          <w:szCs w:val="16"/>
        </w:rPr>
        <w:t>24 de octubre de 2016. Radicado No. 45.607</w:t>
      </w:r>
      <w:r>
        <w:rPr>
          <w:rFonts w:ascii="Verdana" w:hAnsi="Verdana" w:cs="Arial"/>
          <w:color w:val="000000" w:themeColor="text1"/>
          <w:sz w:val="16"/>
          <w:szCs w:val="16"/>
        </w:rPr>
        <w:t xml:space="preserve">. </w:t>
      </w:r>
      <w:r w:rsidRPr="00940D18">
        <w:rPr>
          <w:rFonts w:ascii="Verdana" w:hAnsi="Verdana" w:cs="Arial"/>
          <w:color w:val="000000" w:themeColor="text1"/>
          <w:sz w:val="16"/>
          <w:szCs w:val="16"/>
        </w:rPr>
        <w:t>C</w:t>
      </w:r>
      <w:r>
        <w:rPr>
          <w:rFonts w:ascii="Verdana" w:hAnsi="Verdana" w:cs="Arial"/>
          <w:color w:val="000000" w:themeColor="text1"/>
          <w:sz w:val="16"/>
          <w:szCs w:val="16"/>
        </w:rPr>
        <w:t>.</w:t>
      </w:r>
      <w:r w:rsidRPr="00940D18">
        <w:rPr>
          <w:rFonts w:ascii="Verdana" w:hAnsi="Verdana" w:cs="Arial"/>
          <w:color w:val="000000" w:themeColor="text1"/>
          <w:sz w:val="16"/>
          <w:szCs w:val="16"/>
        </w:rPr>
        <w:t>P: Mar</w:t>
      </w:r>
      <w:r>
        <w:rPr>
          <w:rFonts w:ascii="Verdana" w:hAnsi="Verdana" w:cs="Arial"/>
          <w:color w:val="000000" w:themeColor="text1"/>
          <w:sz w:val="16"/>
          <w:szCs w:val="16"/>
        </w:rPr>
        <w:t xml:space="preserve">ta </w:t>
      </w:r>
      <w:r w:rsidRPr="00940D18">
        <w:rPr>
          <w:rFonts w:ascii="Verdana" w:hAnsi="Verdana" w:cs="Arial"/>
          <w:color w:val="000000" w:themeColor="text1"/>
          <w:sz w:val="16"/>
          <w:szCs w:val="16"/>
        </w:rPr>
        <w:t>Nubia Velásquez Rico.</w:t>
      </w:r>
    </w:p>
  </w:footnote>
  <w:footnote w:id="9">
    <w:p w14:paraId="0E865886"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Style w:val="Refdenotaalpie"/>
          <w:rFonts w:ascii="Verdana" w:hAnsi="Verdana" w:cs="Arial"/>
          <w:color w:val="000000" w:themeColor="text1"/>
          <w:sz w:val="14"/>
          <w:szCs w:val="14"/>
        </w:rPr>
        <w:footnoteRef/>
      </w:r>
      <w:r w:rsidRPr="005D5C35">
        <w:rPr>
          <w:rFonts w:ascii="Verdana" w:hAnsi="Verdana" w:cs="Arial"/>
          <w:color w:val="000000" w:themeColor="text1"/>
          <w:sz w:val="14"/>
          <w:szCs w:val="14"/>
        </w:rPr>
        <w:t xml:space="preserve"> Este fenómeno también se ha presentado, en los últimos años, en España. Al respecto, ver: SÁNCHEZ MORÓN, Miguel. El retorno del derecho administrativo. En: Revista de Administración Pública. </w:t>
      </w:r>
      <w:proofErr w:type="spellStart"/>
      <w:r w:rsidRPr="005D5C35">
        <w:rPr>
          <w:rFonts w:ascii="Verdana" w:hAnsi="Verdana" w:cs="Arial"/>
          <w:color w:val="000000" w:themeColor="text1"/>
          <w:sz w:val="14"/>
          <w:szCs w:val="14"/>
        </w:rPr>
        <w:t>Nº</w:t>
      </w:r>
      <w:proofErr w:type="spellEnd"/>
      <w:r w:rsidRPr="005D5C35">
        <w:rPr>
          <w:rFonts w:ascii="Verdana" w:hAnsi="Verdana" w:cs="Arial"/>
          <w:color w:val="000000" w:themeColor="text1"/>
          <w:sz w:val="14"/>
          <w:szCs w:val="14"/>
        </w:rPr>
        <w:t xml:space="preserve"> 216 (2018). Disponible en: </w:t>
      </w:r>
      <w:hyperlink r:id="rId1" w:history="1">
        <w:r w:rsidRPr="005D5C35">
          <w:rPr>
            <w:rStyle w:val="Hipervnculo"/>
            <w:rFonts w:ascii="Verdana" w:hAnsi="Verdana" w:cs="Arial"/>
            <w:sz w:val="14"/>
            <w:szCs w:val="14"/>
          </w:rPr>
          <w:t>https://recyt.fecyt.es/index.php/RAP/article/view/67033</w:t>
        </w:r>
      </w:hyperlink>
      <w:r w:rsidRPr="005D5C35">
        <w:rPr>
          <w:rFonts w:ascii="Verdana" w:hAnsi="Verdana" w:cs="Arial"/>
          <w:color w:val="000000" w:themeColor="text1"/>
          <w:sz w:val="14"/>
          <w:szCs w:val="14"/>
        </w:rPr>
        <w:t>.</w:t>
      </w:r>
    </w:p>
    <w:p w14:paraId="52FEC58D" w14:textId="77777777" w:rsidR="001332E7" w:rsidRPr="005D5C35" w:rsidRDefault="001332E7" w:rsidP="001332E7">
      <w:pPr>
        <w:pStyle w:val="Textonotapie"/>
        <w:ind w:firstLine="709"/>
        <w:jc w:val="both"/>
        <w:rPr>
          <w:rFonts w:ascii="Verdana" w:hAnsi="Verdana" w:cs="Arial"/>
          <w:color w:val="000000" w:themeColor="text1"/>
          <w:sz w:val="14"/>
          <w:szCs w:val="14"/>
        </w:rPr>
      </w:pPr>
    </w:p>
  </w:footnote>
  <w:footnote w:id="10">
    <w:p w14:paraId="12ED9DE6" w14:textId="77777777" w:rsidR="001332E7" w:rsidRPr="005D5C35" w:rsidRDefault="001332E7" w:rsidP="001332E7">
      <w:pPr>
        <w:pStyle w:val="Textonotapie"/>
        <w:ind w:firstLine="708"/>
        <w:jc w:val="both"/>
        <w:rPr>
          <w:rFonts w:ascii="Verdana" w:hAnsi="Verdana" w:cs="Arial"/>
          <w:color w:val="000000" w:themeColor="text1"/>
          <w:sz w:val="14"/>
          <w:szCs w:val="14"/>
          <w:lang w:val="es-ES"/>
        </w:rPr>
      </w:pPr>
      <w:r w:rsidRPr="005D5C35">
        <w:rPr>
          <w:rStyle w:val="Refdenotaalpie"/>
          <w:rFonts w:ascii="Verdana" w:hAnsi="Verdana" w:cs="Arial"/>
          <w:color w:val="000000" w:themeColor="text1"/>
          <w:sz w:val="14"/>
          <w:szCs w:val="14"/>
        </w:rPr>
        <w:footnoteRef/>
      </w:r>
      <w:r w:rsidRPr="005D5C35">
        <w:rPr>
          <w:rFonts w:ascii="Verdana" w:hAnsi="Verdana" w:cs="Arial"/>
          <w:color w:val="000000" w:themeColor="text1"/>
          <w:sz w:val="14"/>
          <w:szCs w:val="14"/>
        </w:rPr>
        <w:t xml:space="preserve"> </w:t>
      </w:r>
      <w:r w:rsidRPr="005D5C35">
        <w:rPr>
          <w:rFonts w:ascii="Verdana" w:hAnsi="Verdana" w:cs="Arial"/>
          <w:color w:val="000000" w:themeColor="text1"/>
          <w:sz w:val="14"/>
          <w:szCs w:val="14"/>
          <w:lang w:val="es-ES"/>
        </w:rPr>
        <w:t xml:space="preserve">Es el caso de: i) las empresas sociales del Estado (art. 195, </w:t>
      </w:r>
      <w:proofErr w:type="spellStart"/>
      <w:r w:rsidRPr="005D5C35">
        <w:rPr>
          <w:rFonts w:ascii="Verdana" w:hAnsi="Verdana" w:cs="Arial"/>
          <w:color w:val="000000" w:themeColor="text1"/>
          <w:sz w:val="14"/>
          <w:szCs w:val="14"/>
          <w:lang w:val="es-ES"/>
        </w:rPr>
        <w:t>num</w:t>
      </w:r>
      <w:proofErr w:type="spellEnd"/>
      <w:r w:rsidRPr="005D5C35">
        <w:rPr>
          <w:rFonts w:ascii="Verdana" w:hAnsi="Verdana" w:cs="Arial"/>
          <w:color w:val="000000" w:themeColor="text1"/>
          <w:sz w:val="14"/>
          <w:szCs w:val="14"/>
          <w:lang w:val="es-ES"/>
        </w:rPr>
        <w:t xml:space="preserve">. 6, Ley 100/1993), </w:t>
      </w:r>
      <w:proofErr w:type="spellStart"/>
      <w:r w:rsidRPr="005D5C35">
        <w:rPr>
          <w:rFonts w:ascii="Verdana" w:hAnsi="Verdana" w:cs="Arial"/>
          <w:color w:val="000000" w:themeColor="text1"/>
          <w:sz w:val="14"/>
          <w:szCs w:val="14"/>
          <w:lang w:val="es-ES"/>
        </w:rPr>
        <w:t>ii</w:t>
      </w:r>
      <w:proofErr w:type="spellEnd"/>
      <w:r w:rsidRPr="005D5C35">
        <w:rPr>
          <w:rFonts w:ascii="Verdana" w:hAnsi="Verdana" w:cs="Arial"/>
          <w:color w:val="000000" w:themeColor="text1"/>
          <w:sz w:val="14"/>
          <w:szCs w:val="14"/>
          <w:lang w:val="es-ES"/>
        </w:rPr>
        <w:t xml:space="preserve">) las empresas prestadoras de servicios públicos domiciliarios (arts. 31 y 32, Ley 142/94); </w:t>
      </w:r>
      <w:proofErr w:type="spellStart"/>
      <w:r w:rsidRPr="005D5C35">
        <w:rPr>
          <w:rFonts w:ascii="Verdana" w:hAnsi="Verdana" w:cs="Arial"/>
          <w:color w:val="000000" w:themeColor="text1"/>
          <w:sz w:val="14"/>
          <w:szCs w:val="14"/>
          <w:lang w:val="es-ES"/>
        </w:rPr>
        <w:t>iii</w:t>
      </w:r>
      <w:proofErr w:type="spellEnd"/>
      <w:r w:rsidRPr="005D5C35">
        <w:rPr>
          <w:rFonts w:ascii="Verdana" w:hAnsi="Verdana" w:cs="Arial"/>
          <w:color w:val="000000" w:themeColor="text1"/>
          <w:sz w:val="14"/>
          <w:szCs w:val="14"/>
          <w:lang w:val="es-ES"/>
        </w:rPr>
        <w:t xml:space="preserve">) las empresas industriales y comerciales del Estado, sociedades públicas y sociedades de economía mixta con capital público mayoritario, siempre que las tres entidades mencionadas anteriormente se encuentren en competencia con el sector público o privado, a nivel nacional o internacional, o ejerzan su actividad en un mercado regulado (art. 14, Ley 1150/07); </w:t>
      </w:r>
      <w:proofErr w:type="spellStart"/>
      <w:r w:rsidRPr="005D5C35">
        <w:rPr>
          <w:rFonts w:ascii="Verdana" w:hAnsi="Verdana" w:cs="Arial"/>
          <w:color w:val="000000" w:themeColor="text1"/>
          <w:sz w:val="14"/>
          <w:szCs w:val="14"/>
          <w:lang w:val="es-ES"/>
        </w:rPr>
        <w:t>iv</w:t>
      </w:r>
      <w:proofErr w:type="spellEnd"/>
      <w:r w:rsidRPr="005D5C35">
        <w:rPr>
          <w:rFonts w:ascii="Verdana" w:hAnsi="Verdana" w:cs="Arial"/>
          <w:color w:val="000000" w:themeColor="text1"/>
          <w:sz w:val="14"/>
          <w:szCs w:val="14"/>
          <w:lang w:val="es-ES"/>
        </w:rPr>
        <w:t>) las universidades públicas (art. 93, Ley 30/92); entre otras.</w:t>
      </w:r>
    </w:p>
    <w:p w14:paraId="40CF34B4" w14:textId="77777777" w:rsidR="001332E7" w:rsidRPr="005D5C35" w:rsidRDefault="001332E7" w:rsidP="001332E7">
      <w:pPr>
        <w:pStyle w:val="Textonotapie"/>
        <w:ind w:firstLine="708"/>
        <w:jc w:val="both"/>
        <w:rPr>
          <w:rFonts w:ascii="Verdana" w:hAnsi="Verdana" w:cs="Arial"/>
          <w:color w:val="000000" w:themeColor="text1"/>
          <w:sz w:val="14"/>
          <w:szCs w:val="14"/>
          <w:lang w:val="es-ES"/>
        </w:rPr>
      </w:pPr>
    </w:p>
  </w:footnote>
  <w:footnote w:id="11">
    <w:p w14:paraId="6825C769" w14:textId="77777777" w:rsidR="001332E7" w:rsidRPr="005D5C35" w:rsidRDefault="001332E7" w:rsidP="001332E7">
      <w:pPr>
        <w:pStyle w:val="Textonotapie"/>
        <w:ind w:firstLine="709"/>
        <w:jc w:val="both"/>
        <w:rPr>
          <w:rFonts w:ascii="Verdana" w:hAnsi="Verdana" w:cs="Arial"/>
          <w:color w:val="000000" w:themeColor="text1"/>
          <w:sz w:val="14"/>
          <w:szCs w:val="14"/>
          <w:lang w:val="es-ES"/>
        </w:rPr>
      </w:pPr>
      <w:r w:rsidRPr="005D5C35">
        <w:rPr>
          <w:rStyle w:val="Refdenotaalpie"/>
          <w:rFonts w:ascii="Verdana" w:hAnsi="Verdana" w:cs="Arial"/>
          <w:color w:val="000000" w:themeColor="text1"/>
          <w:sz w:val="14"/>
          <w:szCs w:val="14"/>
        </w:rPr>
        <w:footnoteRef/>
      </w:r>
      <w:r w:rsidRPr="005D5C35">
        <w:rPr>
          <w:rFonts w:ascii="Verdana" w:hAnsi="Verdana" w:cs="Arial"/>
          <w:color w:val="000000" w:themeColor="text1"/>
          <w:sz w:val="14"/>
          <w:szCs w:val="14"/>
        </w:rPr>
        <w:t xml:space="preserve"> </w:t>
      </w:r>
      <w:r w:rsidRPr="005D5C35">
        <w:rPr>
          <w:rFonts w:ascii="Verdana" w:hAnsi="Verdana" w:cs="Arial"/>
          <w:color w:val="000000" w:themeColor="text1"/>
          <w:sz w:val="14"/>
          <w:szCs w:val="14"/>
          <w:lang w:val="es-ES"/>
        </w:rPr>
        <w:t>Leyes que, a su vez, han sido modificadas por otras posteriores, como las Leyes 1474 de 2011 y 1882 de 2018, entre otras. Así mismo, se recuerda que el Estatuto General de Contratación de la Administración Pública se encuentra reglamentado actualmente por el Decreto 1082 de 2015.</w:t>
      </w:r>
    </w:p>
    <w:p w14:paraId="0C60082D" w14:textId="77777777" w:rsidR="001332E7" w:rsidRPr="005D5C35" w:rsidRDefault="001332E7" w:rsidP="001332E7">
      <w:pPr>
        <w:pStyle w:val="Textonotapie"/>
        <w:ind w:firstLine="709"/>
        <w:jc w:val="both"/>
        <w:rPr>
          <w:rFonts w:ascii="Verdana" w:hAnsi="Verdana" w:cs="Arial"/>
          <w:color w:val="000000" w:themeColor="text1"/>
          <w:sz w:val="14"/>
          <w:szCs w:val="14"/>
          <w:lang w:val="es-ES"/>
        </w:rPr>
      </w:pPr>
    </w:p>
  </w:footnote>
  <w:footnote w:id="12">
    <w:p w14:paraId="5B265194"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Style w:val="Refdenotaalpie"/>
          <w:rFonts w:ascii="Verdana" w:hAnsi="Verdana" w:cs="Arial"/>
          <w:color w:val="000000" w:themeColor="text1"/>
          <w:sz w:val="14"/>
          <w:szCs w:val="14"/>
        </w:rPr>
        <w:footnoteRef/>
      </w:r>
      <w:r w:rsidRPr="005D5C35">
        <w:rPr>
          <w:rFonts w:ascii="Verdana" w:hAnsi="Verdana" w:cs="Arial"/>
          <w:color w:val="000000" w:themeColor="text1"/>
          <w:sz w:val="14"/>
          <w:szCs w:val="14"/>
        </w:rPr>
        <w:t xml:space="preserve"> Así lo sostuvo el Consejo de Estado: “Esta Sala, en sentido contrario al del tribunal, recuerda que las normas que establecen la manera como se perfecciona un contrato son de orden público, por tanto indisponibles por las partes, así que para las entidades excluidas de la Ley 80, un contrato existe si cumple las exigencias del ordenamiento privado; ni siquiera las del manual de contratación que expide cada hospital, ni las que prevean las partes en un contrato específico, porque los últimos no pueden reducirlas o adicionarlas, puesto que semejante acuerdo adolecerá de nulidad, al transgredir el derecho público de la nación. </w:t>
      </w:r>
    </w:p>
    <w:p w14:paraId="6814938C"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Fonts w:ascii="Verdana" w:hAnsi="Verdana" w:cs="Arial"/>
          <w:color w:val="000000" w:themeColor="text1"/>
          <w:sz w:val="14"/>
          <w:szCs w:val="14"/>
        </w:rPr>
        <w:t>Lo anterior explica por qué en el derecho privado las partes no pueden condicionar la existencia de un contrato, que por ley sea consensual, al hecho de que conste por escrito; ni uno que requiere escritura pública al hecho de que el acuerdo verbal sea suficiente. Esto significa que si la ley impuso formalidades especiales para que exista un contrato, las partes no sólo no pueden obviarlas, sino que tampoco las pueden incrementar o adicionar; y a la inversa, si la ley no estableció formalidades especiales para que exista determinado negocio, las partes no las pueden crear con ese propósito –aunque sí podrían hacerlo para otros efectos, pero no para que exista el acuerdo de voluntades-. Lo expresado hasta ahora debe entenderse en los siguientes sentidos:</w:t>
      </w:r>
    </w:p>
    <w:p w14:paraId="786D5A91"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Fonts w:ascii="Verdana" w:hAnsi="Verdana" w:cs="Arial"/>
          <w:color w:val="000000" w:themeColor="text1"/>
          <w:sz w:val="14"/>
          <w:szCs w:val="14"/>
        </w:rPr>
        <w:t>a. Si la norma aplicable al contrato es la Ley 80, los requisitos de perfeccionamiento son los que ella establezca; de manera que las partes, en ejercicio de la autonomía de la voluntad –que autorizan los arts. 13, 32 y 40- no pueden atenuar ni hacer más exigentes los que contempla.</w:t>
      </w:r>
    </w:p>
    <w:p w14:paraId="16385E6B"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Fonts w:ascii="Verdana" w:hAnsi="Verdana" w:cs="Arial"/>
          <w:color w:val="000000" w:themeColor="text1"/>
          <w:sz w:val="14"/>
          <w:szCs w:val="14"/>
        </w:rPr>
        <w:t>b. Si la norma aplicable al contrato estatal es el derecho privado más los principios de la función administrativa, los requisitos de perfeccionamiento también son los que aquél establezca; por tanto, las partes, en ejercicio de la autonomía de la voluntad, tampoco pueden atenuar ni hacer más exigentes los que contempla.</w:t>
      </w:r>
    </w:p>
    <w:p w14:paraId="0B8AFE86"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Fonts w:ascii="Verdana" w:hAnsi="Verdana" w:cs="Arial"/>
          <w:color w:val="000000" w:themeColor="text1"/>
          <w:sz w:val="14"/>
          <w:szCs w:val="14"/>
        </w:rPr>
        <w:t xml:space="preserve">c. Si la entidad excluida de Ley 80 profirió un reglamento o manual de contratación, para señalar con certidumbre la manera como contratará los bienes, obras y servicios de su interés, los requisitos de perfeccionamiento de sus contratos tampoco son disponibles por ese estatuto, porque esta materia está reservada a la ley. Por tanto, cuándo existe un contrato es un aspecto que define el derecho privado, y la entidad no lo puede alterar, ni para atenuar ni para hacer más exigentes los requisitos” (Consejo de Estado. Sala de lo Contencioso Administrativo. Sección Tercera. Subsección C. Sentencia del 8 de abril de 2014. </w:t>
      </w:r>
      <w:proofErr w:type="spellStart"/>
      <w:r w:rsidRPr="005D5C35">
        <w:rPr>
          <w:rFonts w:ascii="Verdana" w:hAnsi="Verdana" w:cs="Arial"/>
          <w:color w:val="000000" w:themeColor="text1"/>
          <w:sz w:val="14"/>
          <w:szCs w:val="14"/>
        </w:rPr>
        <w:t>Exp</w:t>
      </w:r>
      <w:proofErr w:type="spellEnd"/>
      <w:r w:rsidRPr="005D5C35">
        <w:rPr>
          <w:rFonts w:ascii="Verdana" w:hAnsi="Verdana" w:cs="Arial"/>
          <w:color w:val="000000" w:themeColor="text1"/>
          <w:sz w:val="14"/>
          <w:szCs w:val="14"/>
        </w:rPr>
        <w:t xml:space="preserve">. 25.801 C.P. Enrique Gil Botero). </w:t>
      </w:r>
    </w:p>
    <w:p w14:paraId="6E531160" w14:textId="77777777" w:rsidR="001332E7" w:rsidRPr="005D5C35" w:rsidRDefault="001332E7" w:rsidP="001332E7">
      <w:pPr>
        <w:pStyle w:val="Textonotapie"/>
        <w:ind w:firstLine="709"/>
        <w:jc w:val="both"/>
        <w:rPr>
          <w:rFonts w:ascii="Verdana" w:hAnsi="Verdana" w:cs="Arial"/>
          <w:color w:val="000000" w:themeColor="text1"/>
          <w:sz w:val="14"/>
          <w:szCs w:val="14"/>
        </w:rPr>
      </w:pPr>
    </w:p>
  </w:footnote>
  <w:footnote w:id="13">
    <w:p w14:paraId="03CE80A5" w14:textId="77777777" w:rsidR="001332E7" w:rsidRPr="005D5C35" w:rsidRDefault="001332E7" w:rsidP="001332E7">
      <w:pPr>
        <w:pStyle w:val="Textonotapie"/>
        <w:ind w:firstLine="708"/>
        <w:jc w:val="both"/>
        <w:rPr>
          <w:rFonts w:ascii="Verdana" w:hAnsi="Verdana" w:cs="Arial"/>
          <w:color w:val="000000" w:themeColor="text1"/>
          <w:sz w:val="14"/>
          <w:szCs w:val="14"/>
        </w:rPr>
      </w:pPr>
      <w:r w:rsidRPr="005D5C35">
        <w:rPr>
          <w:rStyle w:val="Refdenotaalpie"/>
          <w:rFonts w:ascii="Verdana" w:hAnsi="Verdana" w:cs="Arial"/>
          <w:color w:val="000000" w:themeColor="text1"/>
          <w:sz w:val="14"/>
          <w:szCs w:val="14"/>
        </w:rPr>
        <w:footnoteRef/>
      </w:r>
      <w:r w:rsidRPr="005D5C35">
        <w:rPr>
          <w:rFonts w:ascii="Verdana" w:hAnsi="Verdana" w:cs="Arial"/>
          <w:color w:val="000000" w:themeColor="text1"/>
          <w:sz w:val="14"/>
          <w:szCs w:val="14"/>
        </w:rPr>
        <w:t xml:space="preserve"> Al respecto, el artículo 2, literal a) del numeral 1, del Estatuto General de Contratación denomina como entidades estatales a “La Nación, las regiones, los departamentos, las provincias, el distrito capital y los distritos especiales, las áreas metropolitanas, las asociaciones de municipios, los territorios indígenas y los municipios; los establecimientos públicos, </w:t>
      </w:r>
      <w:r w:rsidRPr="005D5C35">
        <w:rPr>
          <w:rFonts w:ascii="Verdana" w:hAnsi="Verdana" w:cs="Arial"/>
          <w:i/>
          <w:iCs/>
          <w:color w:val="000000" w:themeColor="text1"/>
          <w:sz w:val="14"/>
          <w:szCs w:val="14"/>
        </w:rPr>
        <w:t>las empresas industriales y comerciales del Estado</w:t>
      </w:r>
      <w:r w:rsidRPr="005D5C35">
        <w:rPr>
          <w:rFonts w:ascii="Verdana" w:hAnsi="Verdana" w:cs="Arial"/>
          <w:color w:val="000000" w:themeColor="text1"/>
          <w:sz w:val="14"/>
          <w:szCs w:val="14"/>
        </w:rPr>
        <w:t>,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(Énfasis fuera de texto).</w:t>
      </w:r>
    </w:p>
    <w:p w14:paraId="2429FBA8" w14:textId="77777777" w:rsidR="001332E7" w:rsidRPr="005D5C35" w:rsidRDefault="001332E7" w:rsidP="001332E7">
      <w:pPr>
        <w:pStyle w:val="Textonotapie"/>
        <w:ind w:firstLine="708"/>
        <w:jc w:val="both"/>
        <w:rPr>
          <w:rFonts w:ascii="Verdana" w:hAnsi="Verdana" w:cs="Arial"/>
          <w:color w:val="000000" w:themeColor="text1"/>
          <w:sz w:val="14"/>
          <w:szCs w:val="14"/>
        </w:rPr>
      </w:pPr>
    </w:p>
  </w:footnote>
  <w:footnote w:id="14">
    <w:p w14:paraId="79A81AF8" w14:textId="77777777" w:rsidR="001332E7" w:rsidRPr="005D5C35" w:rsidRDefault="001332E7" w:rsidP="001332E7">
      <w:pPr>
        <w:pStyle w:val="Textonotapie"/>
        <w:ind w:firstLine="708"/>
        <w:jc w:val="both"/>
        <w:rPr>
          <w:rFonts w:ascii="Verdana" w:hAnsi="Verdana" w:cs="Arial"/>
          <w:sz w:val="14"/>
          <w:szCs w:val="14"/>
        </w:rPr>
      </w:pPr>
      <w:r w:rsidRPr="005D5C35">
        <w:rPr>
          <w:rStyle w:val="Refdenotaalpie"/>
          <w:rFonts w:ascii="Verdana" w:hAnsi="Verdana" w:cs="Arial"/>
          <w:sz w:val="14"/>
          <w:szCs w:val="14"/>
        </w:rPr>
        <w:footnoteRef/>
      </w:r>
      <w:r w:rsidRPr="005D5C35">
        <w:rPr>
          <w:rFonts w:ascii="Verdana" w:hAnsi="Verdana" w:cs="Arial"/>
          <w:sz w:val="14"/>
          <w:szCs w:val="14"/>
        </w:rPr>
        <w:t xml:space="preserve"> El numeral derogado disponía que “La escogencia del contratista se efectuará siempre a través de licitación o concurso públicos, salvo en los siguientes casos en los que se podrá contratar directamente: […] m)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esta ley”.</w:t>
      </w:r>
    </w:p>
    <w:p w14:paraId="411F8C1D" w14:textId="77777777" w:rsidR="001332E7" w:rsidRPr="005D5C35" w:rsidRDefault="001332E7" w:rsidP="001332E7">
      <w:pPr>
        <w:pStyle w:val="Textonotapie"/>
        <w:ind w:firstLine="708"/>
        <w:jc w:val="both"/>
        <w:rPr>
          <w:rFonts w:ascii="Verdana" w:hAnsi="Verdana" w:cs="Arial"/>
          <w:sz w:val="14"/>
          <w:szCs w:val="14"/>
        </w:rPr>
      </w:pPr>
    </w:p>
  </w:footnote>
  <w:footnote w:id="15">
    <w:p w14:paraId="724EFD4A" w14:textId="77777777" w:rsidR="001332E7" w:rsidRPr="00940D18" w:rsidRDefault="001332E7" w:rsidP="001332E7">
      <w:pPr>
        <w:pStyle w:val="Textonotapie"/>
        <w:ind w:firstLine="708"/>
        <w:jc w:val="both"/>
        <w:rPr>
          <w:rFonts w:ascii="Verdana" w:hAnsi="Verdana"/>
          <w:sz w:val="16"/>
          <w:szCs w:val="16"/>
          <w:lang w:val="es-CO"/>
        </w:rPr>
      </w:pPr>
      <w:r w:rsidRPr="005D5C35">
        <w:rPr>
          <w:rStyle w:val="Refdenotaalpie"/>
          <w:rFonts w:ascii="Verdana" w:hAnsi="Verdana"/>
          <w:sz w:val="14"/>
          <w:szCs w:val="14"/>
        </w:rPr>
        <w:footnoteRef/>
      </w:r>
      <w:r w:rsidRPr="005D5C35">
        <w:rPr>
          <w:rFonts w:ascii="Verdana" w:hAnsi="Verdana"/>
          <w:sz w:val="14"/>
          <w:szCs w:val="14"/>
        </w:rPr>
        <w:t xml:space="preserve"> El artículo 2.2.1.2.1.2.24 del Decreto 1082 de 2015 precisa lo siguiente: “Las empresas industriales y comerciales del Estado y las sociedades de economía mixta, sus filiales y las empresas en las cuales el Estado tenga más del cincuenta por ciento (50%) del capital social que no se encuentren en situación de competencia, deben utilizar el procedimiento de selección abreviada de menor cuantía para los contratos que tengan como objeto su actividad comercial e industrial, salvo para los contratos de obra pública, consultoría, prestación de servicios, concesión, encargo fiduciario y fiducia pública para los cuales se aplicará la modalidad que corresponda”.</w:t>
      </w:r>
    </w:p>
  </w:footnote>
  <w:footnote w:id="16">
    <w:p w14:paraId="5B57E808" w14:textId="77777777" w:rsidR="001332E7" w:rsidRPr="005D5C35" w:rsidRDefault="001332E7" w:rsidP="001332E7">
      <w:pPr>
        <w:pStyle w:val="Textonotapie"/>
        <w:ind w:firstLine="708"/>
        <w:jc w:val="both"/>
        <w:rPr>
          <w:rFonts w:ascii="Verdana" w:hAnsi="Verdana" w:cs="Arial"/>
          <w:sz w:val="14"/>
          <w:szCs w:val="14"/>
        </w:rPr>
      </w:pPr>
      <w:r w:rsidRPr="005D5C35">
        <w:rPr>
          <w:rStyle w:val="Refdenotaalpie"/>
          <w:rFonts w:ascii="Verdana" w:hAnsi="Verdana" w:cs="Arial"/>
          <w:sz w:val="14"/>
          <w:szCs w:val="14"/>
        </w:rPr>
        <w:footnoteRef/>
      </w:r>
      <w:r w:rsidRPr="005D5C35">
        <w:rPr>
          <w:rFonts w:ascii="Verdana" w:hAnsi="Verdana" w:cs="Arial"/>
          <w:sz w:val="14"/>
          <w:szCs w:val="14"/>
        </w:rPr>
        <w:t xml:space="preserve"> Consejo de Estado. Sala de lo Contencioso Administrativo. Sección Tercera. Sentencia del 19 de agosto de 2004. </w:t>
      </w:r>
      <w:proofErr w:type="spellStart"/>
      <w:r w:rsidRPr="005D5C35">
        <w:rPr>
          <w:rFonts w:ascii="Verdana" w:hAnsi="Verdana" w:cs="Arial"/>
          <w:sz w:val="14"/>
          <w:szCs w:val="14"/>
        </w:rPr>
        <w:t>Exp</w:t>
      </w:r>
      <w:proofErr w:type="spellEnd"/>
      <w:r w:rsidRPr="005D5C35">
        <w:rPr>
          <w:rFonts w:ascii="Verdana" w:hAnsi="Verdana" w:cs="Arial"/>
          <w:sz w:val="14"/>
          <w:szCs w:val="14"/>
        </w:rPr>
        <w:t xml:space="preserve">. 12.342. C.P. Ramiro Saavedra Becerra. </w:t>
      </w:r>
    </w:p>
    <w:p w14:paraId="566D6754" w14:textId="77777777" w:rsidR="001332E7" w:rsidRPr="005D5C35" w:rsidRDefault="001332E7" w:rsidP="001332E7">
      <w:pPr>
        <w:pStyle w:val="Textonotapie"/>
        <w:tabs>
          <w:tab w:val="left" w:pos="7513"/>
          <w:tab w:val="left" w:pos="8222"/>
        </w:tabs>
        <w:ind w:right="49" w:firstLine="708"/>
        <w:jc w:val="both"/>
        <w:rPr>
          <w:rFonts w:ascii="Verdana" w:hAnsi="Verdana" w:cs="Arial"/>
          <w:sz w:val="14"/>
          <w:szCs w:val="14"/>
        </w:rPr>
      </w:pPr>
    </w:p>
  </w:footnote>
  <w:footnote w:id="17">
    <w:p w14:paraId="3E21D4FC"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Style w:val="Refdenotaalpie"/>
          <w:rFonts w:ascii="Verdana" w:hAnsi="Verdana"/>
          <w:sz w:val="14"/>
          <w:szCs w:val="14"/>
        </w:rPr>
        <w:footnoteRef/>
      </w:r>
      <w:r w:rsidRPr="005D5C35">
        <w:rPr>
          <w:rFonts w:ascii="Verdana" w:hAnsi="Verdana"/>
          <w:sz w:val="14"/>
          <w:szCs w:val="14"/>
        </w:rPr>
        <w:t xml:space="preserve"> </w:t>
      </w:r>
      <w:r w:rsidRPr="005D5C35">
        <w:rPr>
          <w:rFonts w:ascii="Verdana" w:hAnsi="Verdana" w:cs="Arial"/>
          <w:color w:val="000000" w:themeColor="text1"/>
          <w:sz w:val="14"/>
          <w:szCs w:val="14"/>
        </w:rPr>
        <w:t>Ley 1150 de 2007: “Artículo 3.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Para el trámite, notificación y publicación de tales actos, podrán utilizarse soportes, medios y aplicaciones electrónicas. Los mecanismos e instrumentos por medio de los cuales las entidades cumplirán con las obligaciones de publicidad del proceso contractual serán señalados por el Gobierno Nacional.</w:t>
      </w:r>
    </w:p>
    <w:p w14:paraId="32F4AEB9"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Fonts w:ascii="Verdana" w:hAnsi="Verdana" w:cs="Arial"/>
          <w:color w:val="000000" w:themeColor="text1"/>
          <w:sz w:val="14"/>
          <w:szCs w:val="14"/>
        </w:rPr>
        <w:t>Lo anterior, sin perjuicio de las publicaciones previstas en el numeral 3 del artículo 30 de la Ley 80 de 1993.</w:t>
      </w:r>
    </w:p>
    <w:p w14:paraId="6FDFCD9D"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Fonts w:ascii="Verdana" w:hAnsi="Verdana" w:cs="Arial"/>
          <w:color w:val="000000" w:themeColor="text1"/>
          <w:sz w:val="14"/>
          <w:szCs w:val="14"/>
        </w:rPr>
        <w:t xml:space="preserve">Con el fin de materializar los objetivos a que se refiere el inciso anterior, el Gobierno Nacional desarrollará el Sistema Electrónico para la Contratación Pública, </w:t>
      </w:r>
      <w:proofErr w:type="spellStart"/>
      <w:r w:rsidRPr="005D5C35">
        <w:rPr>
          <w:rFonts w:ascii="Verdana" w:hAnsi="Verdana" w:cs="Arial"/>
          <w:color w:val="000000" w:themeColor="text1"/>
          <w:sz w:val="14"/>
          <w:szCs w:val="14"/>
        </w:rPr>
        <w:t>Secop</w:t>
      </w:r>
      <w:proofErr w:type="spellEnd"/>
      <w:r w:rsidRPr="005D5C35">
        <w:rPr>
          <w:rFonts w:ascii="Verdana" w:hAnsi="Verdana" w:cs="Arial"/>
          <w:color w:val="000000" w:themeColor="text1"/>
          <w:sz w:val="14"/>
          <w:szCs w:val="14"/>
        </w:rPr>
        <w:t xml:space="preserve">, el cual: </w:t>
      </w:r>
    </w:p>
    <w:p w14:paraId="77DFFB24"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Fonts w:ascii="Verdana" w:hAnsi="Verdana" w:cs="Arial"/>
          <w:color w:val="000000" w:themeColor="text1"/>
          <w:sz w:val="14"/>
          <w:szCs w:val="14"/>
        </w:rPr>
        <w:t>[…]</w:t>
      </w:r>
    </w:p>
    <w:p w14:paraId="66B27EB3"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Fonts w:ascii="Verdana" w:hAnsi="Verdana" w:cs="Arial"/>
          <w:color w:val="000000" w:themeColor="text1"/>
          <w:sz w:val="14"/>
          <w:szCs w:val="14"/>
        </w:rPr>
        <w:t xml:space="preserve">c) Contará con la información oficial de la contratación realizada con dineros públicos, para lo cual establecerá los patrones a que haya lugar y se encargará de su difusión a través de canales electrónico”. </w:t>
      </w:r>
    </w:p>
    <w:p w14:paraId="68B38526" w14:textId="77777777" w:rsidR="001332E7" w:rsidRPr="005D5C35" w:rsidRDefault="001332E7" w:rsidP="001332E7">
      <w:pPr>
        <w:pStyle w:val="Textonotapie"/>
        <w:rPr>
          <w:rFonts w:ascii="Verdana" w:hAnsi="Verdana"/>
          <w:sz w:val="14"/>
          <w:szCs w:val="14"/>
        </w:rPr>
      </w:pPr>
    </w:p>
  </w:footnote>
  <w:footnote w:id="18">
    <w:p w14:paraId="4A07E0C4"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Style w:val="Refdenotaalpie"/>
          <w:rFonts w:ascii="Verdana" w:hAnsi="Verdana"/>
          <w:sz w:val="14"/>
          <w:szCs w:val="14"/>
        </w:rPr>
        <w:footnoteRef/>
      </w:r>
      <w:r w:rsidRPr="005D5C35">
        <w:rPr>
          <w:rFonts w:ascii="Verdana" w:hAnsi="Verdana"/>
          <w:sz w:val="14"/>
          <w:szCs w:val="14"/>
        </w:rPr>
        <w:t xml:space="preserve"> </w:t>
      </w:r>
      <w:r w:rsidRPr="005D5C35">
        <w:rPr>
          <w:rFonts w:ascii="Verdana" w:hAnsi="Verdana" w:cs="Arial"/>
          <w:color w:val="000000" w:themeColor="text1"/>
          <w:sz w:val="14"/>
          <w:szCs w:val="14"/>
        </w:rPr>
        <w:t>Ley 1712 de 2014: “Artículo 2. Toda información en posesión, bajo control o custodia de un sujeto obligado es pública y no podrá ser reservada o limitada sino por disposición constitucional o legal, de conformidad con la presente ley”.</w:t>
      </w:r>
    </w:p>
    <w:p w14:paraId="2B469080" w14:textId="77777777" w:rsidR="001332E7" w:rsidRPr="005D5C35" w:rsidRDefault="001332E7" w:rsidP="001332E7">
      <w:pPr>
        <w:pStyle w:val="Textonotapie"/>
        <w:ind w:firstLine="709"/>
        <w:jc w:val="both"/>
        <w:rPr>
          <w:rFonts w:ascii="Verdana" w:hAnsi="Verdana" w:cs="Arial"/>
          <w:color w:val="000000" w:themeColor="text1"/>
          <w:sz w:val="14"/>
          <w:szCs w:val="14"/>
        </w:rPr>
      </w:pPr>
    </w:p>
  </w:footnote>
  <w:footnote w:id="19">
    <w:p w14:paraId="4D225B69" w14:textId="77777777" w:rsidR="001332E7" w:rsidRPr="005D5C35" w:rsidRDefault="001332E7" w:rsidP="001332E7">
      <w:pPr>
        <w:tabs>
          <w:tab w:val="left" w:pos="7513"/>
          <w:tab w:val="left" w:pos="8222"/>
        </w:tabs>
        <w:spacing w:after="0" w:line="240" w:lineRule="auto"/>
        <w:ind w:right="51"/>
        <w:jc w:val="both"/>
        <w:rPr>
          <w:rFonts w:ascii="Verdana" w:hAnsi="Verdana" w:cs="Arial"/>
          <w:sz w:val="14"/>
          <w:szCs w:val="14"/>
          <w:lang w:val="es-MX"/>
        </w:rPr>
      </w:pPr>
      <w:r w:rsidRPr="005D5C35">
        <w:rPr>
          <w:rFonts w:ascii="Verdana" w:hAnsi="Verdana"/>
          <w:sz w:val="14"/>
          <w:szCs w:val="14"/>
        </w:rPr>
        <w:t xml:space="preserve">            </w:t>
      </w:r>
      <w:r w:rsidRPr="005D5C35">
        <w:rPr>
          <w:rStyle w:val="Refdenotaalpie"/>
          <w:rFonts w:ascii="Verdana" w:hAnsi="Verdana"/>
          <w:sz w:val="14"/>
          <w:szCs w:val="14"/>
        </w:rPr>
        <w:footnoteRef/>
      </w:r>
      <w:r w:rsidRPr="005D5C35">
        <w:rPr>
          <w:rFonts w:ascii="Verdana" w:hAnsi="Verdana"/>
          <w:sz w:val="14"/>
          <w:szCs w:val="14"/>
        </w:rPr>
        <w:t xml:space="preserve"> </w:t>
      </w:r>
      <w:r w:rsidRPr="005D5C35">
        <w:rPr>
          <w:rFonts w:ascii="Verdana" w:hAnsi="Verdana" w:cs="Arial"/>
          <w:sz w:val="14"/>
          <w:szCs w:val="14"/>
          <w:lang w:val="es-MX"/>
        </w:rPr>
        <w:t>“</w:t>
      </w:r>
      <w:bookmarkStart w:id="2" w:name="5"/>
      <w:r w:rsidRPr="005D5C35">
        <w:rPr>
          <w:rFonts w:ascii="Verdana" w:hAnsi="Verdana" w:cs="Arial"/>
          <w:sz w:val="14"/>
          <w:szCs w:val="14"/>
          <w:lang w:val="es-MX"/>
        </w:rPr>
        <w:t>ARTÍCULO 5o. Ámbito de Aplicación.</w:t>
      </w:r>
      <w:bookmarkEnd w:id="2"/>
      <w:r w:rsidRPr="005D5C35">
        <w:rPr>
          <w:rFonts w:ascii="Verdana" w:hAnsi="Verdana" w:cs="Arial"/>
          <w:sz w:val="14"/>
          <w:szCs w:val="14"/>
          <w:lang w:val="es-MX"/>
        </w:rPr>
        <w:t> &lt;Artículo corregido por el artículo </w:t>
      </w:r>
      <w:hyperlink r:id="rId2" w:anchor="1" w:history="1">
        <w:r w:rsidRPr="005D5C35">
          <w:rPr>
            <w:sz w:val="14"/>
            <w:szCs w:val="14"/>
            <w:lang w:val="es-MX"/>
          </w:rPr>
          <w:t>1</w:t>
        </w:r>
      </w:hyperlink>
      <w:r w:rsidRPr="005D5C35">
        <w:rPr>
          <w:rFonts w:ascii="Verdana" w:hAnsi="Verdana" w:cs="Arial"/>
          <w:sz w:val="14"/>
          <w:szCs w:val="14"/>
          <w:lang w:val="es-MX"/>
        </w:rPr>
        <w:t> del Decreto 1494 de 2015. El nuevo texto es el siguiente:&gt; Las disposiciones de esta ley serán aplicables a las siguientes personas en calidad de sujetos obligados:</w:t>
      </w:r>
    </w:p>
    <w:p w14:paraId="3A19ADFA" w14:textId="77777777" w:rsidR="001332E7" w:rsidRPr="005D5C35" w:rsidRDefault="001332E7" w:rsidP="001332E7">
      <w:pPr>
        <w:tabs>
          <w:tab w:val="left" w:pos="7513"/>
          <w:tab w:val="left" w:pos="8222"/>
        </w:tabs>
        <w:spacing w:after="0" w:line="240" w:lineRule="auto"/>
        <w:ind w:right="51"/>
        <w:jc w:val="both"/>
        <w:rPr>
          <w:rFonts w:ascii="Verdana" w:eastAsia="Times New Roman" w:hAnsi="Verdana" w:cs="Arial"/>
          <w:sz w:val="14"/>
          <w:szCs w:val="14"/>
          <w:lang w:eastAsia="es-ES_tradnl"/>
          <w14:ligatures w14:val="standardContextual"/>
        </w:rPr>
      </w:pPr>
      <w:r w:rsidRPr="005D5C35">
        <w:rPr>
          <w:rFonts w:ascii="Verdana" w:eastAsia="Times New Roman" w:hAnsi="Verdana" w:cs="Arial"/>
          <w:sz w:val="14"/>
          <w:szCs w:val="14"/>
          <w:lang w:eastAsia="es-ES_tradnl"/>
          <w14:ligatures w14:val="standardContextual"/>
        </w:rPr>
        <w:t>a) Toda entidad pública, incluyendo las pertenecientes a todas las Ramas del Poder Público, en todos los niveles de la estructura estatal, central o descentralizada por servicios o territorialmente, en los órdenes nacional, departamental, municipal y distrital.</w:t>
      </w:r>
    </w:p>
    <w:p w14:paraId="063419B4" w14:textId="77777777" w:rsidR="001332E7" w:rsidRPr="005D5C35" w:rsidRDefault="001332E7" w:rsidP="001332E7">
      <w:pPr>
        <w:tabs>
          <w:tab w:val="left" w:pos="7513"/>
          <w:tab w:val="left" w:pos="8222"/>
        </w:tabs>
        <w:spacing w:after="0" w:line="240" w:lineRule="auto"/>
        <w:ind w:right="51"/>
        <w:jc w:val="both"/>
        <w:rPr>
          <w:rFonts w:ascii="Verdana" w:eastAsia="Times New Roman" w:hAnsi="Verdana" w:cs="Arial"/>
          <w:sz w:val="14"/>
          <w:szCs w:val="14"/>
          <w:lang w:eastAsia="es-ES_tradnl"/>
          <w14:ligatures w14:val="standardContextual"/>
        </w:rPr>
      </w:pPr>
      <w:r w:rsidRPr="005D5C35">
        <w:rPr>
          <w:rFonts w:ascii="Verdana" w:eastAsia="Times New Roman" w:hAnsi="Verdana" w:cs="Arial"/>
          <w:sz w:val="14"/>
          <w:szCs w:val="14"/>
          <w:lang w:eastAsia="es-ES_tradnl"/>
          <w14:ligatures w14:val="standardContextual"/>
        </w:rPr>
        <w:t>b) Los órganos, organismos y entidades estatales independientes o autónomos y de control.</w:t>
      </w:r>
    </w:p>
    <w:p w14:paraId="17CAC59E" w14:textId="77777777" w:rsidR="001332E7" w:rsidRPr="005D5C35" w:rsidRDefault="001332E7" w:rsidP="001332E7">
      <w:pPr>
        <w:tabs>
          <w:tab w:val="left" w:pos="7513"/>
          <w:tab w:val="left" w:pos="8222"/>
        </w:tabs>
        <w:spacing w:after="0" w:line="240" w:lineRule="auto"/>
        <w:ind w:right="51"/>
        <w:jc w:val="both"/>
        <w:rPr>
          <w:rFonts w:ascii="Verdana" w:eastAsia="Times New Roman" w:hAnsi="Verdana" w:cs="Arial"/>
          <w:sz w:val="14"/>
          <w:szCs w:val="14"/>
          <w:lang w:eastAsia="es-ES_tradnl"/>
          <w14:ligatures w14:val="standardContextual"/>
        </w:rPr>
      </w:pPr>
      <w:r w:rsidRPr="005D5C35">
        <w:rPr>
          <w:rFonts w:ascii="Verdana" w:eastAsia="Times New Roman" w:hAnsi="Verdana" w:cs="Arial"/>
          <w:sz w:val="14"/>
          <w:szCs w:val="14"/>
          <w:lang w:eastAsia="es-ES_tradnl"/>
          <w14:ligatures w14:val="standardContextual"/>
        </w:rPr>
        <w:t>c) Las personas naturales y jurídicas, públicas o privadas, que presten función pública, que presten servicios públicos respecto de la información directamente relacionada con la prestación del servicio público.</w:t>
      </w:r>
    </w:p>
    <w:p w14:paraId="590BECDA" w14:textId="77777777" w:rsidR="001332E7" w:rsidRPr="005D5C35" w:rsidRDefault="001332E7" w:rsidP="001332E7">
      <w:pPr>
        <w:tabs>
          <w:tab w:val="left" w:pos="7513"/>
          <w:tab w:val="left" w:pos="8222"/>
        </w:tabs>
        <w:spacing w:after="0" w:line="240" w:lineRule="auto"/>
        <w:ind w:right="51"/>
        <w:jc w:val="both"/>
        <w:rPr>
          <w:rFonts w:ascii="Verdana" w:eastAsia="Times New Roman" w:hAnsi="Verdana" w:cs="Arial"/>
          <w:sz w:val="14"/>
          <w:szCs w:val="14"/>
          <w:lang w:eastAsia="es-ES_tradnl"/>
          <w14:ligatures w14:val="standardContextual"/>
        </w:rPr>
      </w:pPr>
      <w:r w:rsidRPr="005D5C35">
        <w:rPr>
          <w:rFonts w:ascii="Verdana" w:eastAsia="Times New Roman" w:hAnsi="Verdana" w:cs="Arial"/>
          <w:sz w:val="14"/>
          <w:szCs w:val="14"/>
          <w:lang w:eastAsia="es-ES_tradnl"/>
          <w14:ligatures w14:val="standardContextual"/>
        </w:rPr>
        <w:t>d) Cualquier persona natural, jurídica o dependencia de persona jurídica que desempeñe función pública o de autoridad pública, respecto de la información directamente relacionada con el desempeño de su función.</w:t>
      </w:r>
    </w:p>
    <w:p w14:paraId="398A58B6" w14:textId="77777777" w:rsidR="001332E7" w:rsidRPr="005D5C35" w:rsidRDefault="001332E7" w:rsidP="001332E7">
      <w:pPr>
        <w:tabs>
          <w:tab w:val="left" w:pos="7513"/>
          <w:tab w:val="left" w:pos="8222"/>
        </w:tabs>
        <w:spacing w:after="0" w:line="240" w:lineRule="auto"/>
        <w:ind w:right="51"/>
        <w:jc w:val="both"/>
        <w:rPr>
          <w:rFonts w:ascii="Verdana" w:eastAsia="Times New Roman" w:hAnsi="Verdana" w:cs="Arial"/>
          <w:sz w:val="14"/>
          <w:szCs w:val="14"/>
          <w:lang w:eastAsia="es-ES_tradnl"/>
          <w14:ligatures w14:val="standardContextual"/>
        </w:rPr>
      </w:pPr>
      <w:r w:rsidRPr="005D5C35">
        <w:rPr>
          <w:rFonts w:ascii="Verdana" w:eastAsia="Times New Roman" w:hAnsi="Verdana" w:cs="Arial"/>
          <w:sz w:val="14"/>
          <w:szCs w:val="14"/>
          <w:lang w:eastAsia="es-ES_tradnl"/>
          <w14:ligatures w14:val="standardContextual"/>
        </w:rPr>
        <w:t>e) Las empresas públicas creadas por ley, las empresas del Estado y sociedades en que este tenga participación.</w:t>
      </w:r>
    </w:p>
    <w:p w14:paraId="0B7A1F14" w14:textId="77777777" w:rsidR="001332E7" w:rsidRPr="005D5C35" w:rsidRDefault="001332E7" w:rsidP="001332E7">
      <w:pPr>
        <w:tabs>
          <w:tab w:val="left" w:pos="7513"/>
          <w:tab w:val="left" w:pos="8222"/>
        </w:tabs>
        <w:spacing w:after="0" w:line="240" w:lineRule="auto"/>
        <w:ind w:right="51"/>
        <w:jc w:val="both"/>
        <w:rPr>
          <w:rFonts w:ascii="Verdana" w:eastAsia="Times New Roman" w:hAnsi="Verdana" w:cs="Arial"/>
          <w:sz w:val="14"/>
          <w:szCs w:val="14"/>
          <w:lang w:eastAsia="es-ES_tradnl"/>
          <w14:ligatures w14:val="standardContextual"/>
        </w:rPr>
      </w:pPr>
      <w:r w:rsidRPr="005D5C35">
        <w:rPr>
          <w:rFonts w:ascii="Verdana" w:eastAsia="Times New Roman" w:hAnsi="Verdana" w:cs="Arial"/>
          <w:sz w:val="14"/>
          <w:szCs w:val="14"/>
          <w:lang w:eastAsia="es-ES_tradnl"/>
          <w14:ligatures w14:val="standardContextual"/>
        </w:rPr>
        <w:t>f) Los partidos o movimientos políticos y los grupos significativos de ciudadanos.</w:t>
      </w:r>
    </w:p>
    <w:p w14:paraId="6706F763" w14:textId="77777777" w:rsidR="001332E7" w:rsidRPr="005D5C35" w:rsidRDefault="001332E7" w:rsidP="001332E7">
      <w:pPr>
        <w:tabs>
          <w:tab w:val="left" w:pos="7513"/>
          <w:tab w:val="left" w:pos="8222"/>
        </w:tabs>
        <w:spacing w:after="0" w:line="240" w:lineRule="auto"/>
        <w:ind w:right="51"/>
        <w:jc w:val="both"/>
        <w:rPr>
          <w:rFonts w:ascii="Verdana" w:eastAsia="Times New Roman" w:hAnsi="Verdana" w:cs="Arial"/>
          <w:sz w:val="14"/>
          <w:szCs w:val="14"/>
          <w:lang w:eastAsia="es-ES_tradnl"/>
          <w14:ligatures w14:val="standardContextual"/>
        </w:rPr>
      </w:pPr>
      <w:r w:rsidRPr="005D5C35">
        <w:rPr>
          <w:rFonts w:ascii="Verdana" w:eastAsia="Times New Roman" w:hAnsi="Verdana" w:cs="Arial"/>
          <w:sz w:val="14"/>
          <w:szCs w:val="14"/>
          <w:lang w:eastAsia="es-ES_tradnl"/>
          <w14:ligatures w14:val="standardContextual"/>
        </w:rPr>
        <w:t>g) Las entidades que administren instituciones parafiscales, fondos o recursos de naturaleza u origen público.</w:t>
      </w:r>
    </w:p>
    <w:p w14:paraId="114D88DA" w14:textId="77777777" w:rsidR="001332E7" w:rsidRPr="005D5C35" w:rsidRDefault="001332E7" w:rsidP="001332E7">
      <w:pPr>
        <w:tabs>
          <w:tab w:val="left" w:pos="7513"/>
          <w:tab w:val="left" w:pos="8222"/>
        </w:tabs>
        <w:spacing w:after="0" w:line="240" w:lineRule="auto"/>
        <w:ind w:right="51"/>
        <w:jc w:val="both"/>
        <w:rPr>
          <w:rFonts w:ascii="Verdana" w:eastAsia="Times New Roman" w:hAnsi="Verdana" w:cs="Arial"/>
          <w:sz w:val="14"/>
          <w:szCs w:val="14"/>
          <w:lang w:eastAsia="es-ES_tradnl"/>
          <w14:ligatures w14:val="standardContextual"/>
        </w:rPr>
      </w:pPr>
      <w:r w:rsidRPr="005D5C35">
        <w:rPr>
          <w:rFonts w:ascii="Verdana" w:eastAsia="Times New Roman" w:hAnsi="Verdana" w:cs="Arial"/>
          <w:sz w:val="14"/>
          <w:szCs w:val="14"/>
          <w:lang w:eastAsia="es-ES_tradnl"/>
          <w14:ligatures w14:val="standardContextual"/>
        </w:rPr>
        <w:t>Las personas naturales o jurídicas que reciban o intermedien fondos o beneficios públicos territoriales y nacionales y no cumplan ninguno de los otros requisitos para ser considerados sujetos obligados, solo deberán cumplir con la presente ley respecto de aquella información que se produzca en relación con fondos públicos que reciban o intermedien.</w:t>
      </w:r>
    </w:p>
    <w:p w14:paraId="6687DEA5" w14:textId="77777777" w:rsidR="001332E7" w:rsidRPr="005D5C35" w:rsidRDefault="001332E7" w:rsidP="001332E7">
      <w:pPr>
        <w:tabs>
          <w:tab w:val="left" w:pos="7513"/>
          <w:tab w:val="left" w:pos="8222"/>
        </w:tabs>
        <w:spacing w:after="0" w:line="240" w:lineRule="auto"/>
        <w:ind w:right="51"/>
        <w:jc w:val="both"/>
        <w:rPr>
          <w:rFonts w:ascii="Verdana" w:eastAsia="Times New Roman" w:hAnsi="Verdana" w:cs="Arial"/>
          <w:sz w:val="14"/>
          <w:szCs w:val="14"/>
          <w:lang w:eastAsia="es-ES_tradnl"/>
          <w14:ligatures w14:val="standardContextual"/>
        </w:rPr>
      </w:pPr>
      <w:r w:rsidRPr="005D5C35">
        <w:rPr>
          <w:rFonts w:ascii="Verdana" w:eastAsia="Times New Roman" w:hAnsi="Verdana" w:cs="Arial"/>
          <w:bCs/>
          <w:sz w:val="14"/>
          <w:szCs w:val="14"/>
          <w:lang w:eastAsia="es-ES_tradnl"/>
          <w14:ligatures w14:val="standardContextual"/>
        </w:rPr>
        <w:t>PARÁGRAFO 1o</w:t>
      </w:r>
      <w:r w:rsidRPr="005D5C35">
        <w:rPr>
          <w:rFonts w:ascii="Verdana" w:eastAsia="Times New Roman" w:hAnsi="Verdana" w:cs="Arial"/>
          <w:b/>
          <w:bCs/>
          <w:sz w:val="14"/>
          <w:szCs w:val="14"/>
          <w:lang w:eastAsia="es-ES_tradnl"/>
          <w14:ligatures w14:val="standardContextual"/>
        </w:rPr>
        <w:t>.</w:t>
      </w:r>
      <w:r w:rsidRPr="005D5C35">
        <w:rPr>
          <w:rFonts w:ascii="Verdana" w:eastAsia="Times New Roman" w:hAnsi="Verdana" w:cs="Arial"/>
          <w:sz w:val="14"/>
          <w:szCs w:val="14"/>
          <w:lang w:eastAsia="es-ES_tradnl"/>
          <w14:ligatures w14:val="standardContextual"/>
        </w:rPr>
        <w:t> No serán sujetos obligados aquellas personas naturales o jurídicas de carácter privado que sean usuarios de información pública”.</w:t>
      </w:r>
    </w:p>
    <w:p w14:paraId="05755CC7" w14:textId="77777777" w:rsidR="001332E7" w:rsidRPr="005D5C35" w:rsidRDefault="001332E7" w:rsidP="001332E7">
      <w:pPr>
        <w:pStyle w:val="Textonotapie"/>
        <w:rPr>
          <w:sz w:val="14"/>
          <w:szCs w:val="14"/>
          <w:lang w:val="es-CO"/>
        </w:rPr>
      </w:pPr>
    </w:p>
  </w:footnote>
  <w:footnote w:id="20">
    <w:p w14:paraId="0274E2F0" w14:textId="77777777" w:rsidR="001332E7" w:rsidRPr="005D5C35" w:rsidRDefault="001332E7" w:rsidP="001332E7">
      <w:pPr>
        <w:pStyle w:val="Textonotapie"/>
        <w:ind w:firstLine="709"/>
        <w:jc w:val="both"/>
        <w:rPr>
          <w:rFonts w:ascii="Verdana" w:hAnsi="Verdana" w:cs="Arial"/>
          <w:color w:val="000000" w:themeColor="text1"/>
          <w:sz w:val="14"/>
          <w:szCs w:val="14"/>
        </w:rPr>
      </w:pPr>
      <w:r w:rsidRPr="005D5C35">
        <w:rPr>
          <w:rFonts w:ascii="Verdana" w:eastAsia="Times New Roman" w:hAnsi="Verdana" w:cs="Arial"/>
          <w:color w:val="000000" w:themeColor="text1"/>
          <w:sz w:val="14"/>
          <w:szCs w:val="14"/>
          <w:vertAlign w:val="superscript"/>
          <w:lang w:val="es-ES" w:eastAsia="es-ES"/>
        </w:rPr>
        <w:footnoteRef/>
      </w:r>
      <w:r w:rsidRPr="005D5C35">
        <w:rPr>
          <w:rFonts w:ascii="Verdana" w:eastAsia="Times New Roman" w:hAnsi="Verdana" w:cs="Arial"/>
          <w:color w:val="000000" w:themeColor="text1"/>
          <w:sz w:val="14"/>
          <w:szCs w:val="14"/>
          <w:vertAlign w:val="superscript"/>
          <w:lang w:val="es-ES" w:eastAsia="es-ES"/>
        </w:rPr>
        <w:t xml:space="preserve"> </w:t>
      </w:r>
      <w:r w:rsidRPr="005D5C35">
        <w:rPr>
          <w:rFonts w:ascii="Verdana" w:hAnsi="Verdana" w:cs="Arial"/>
          <w:color w:val="000000" w:themeColor="text1"/>
          <w:sz w:val="14"/>
          <w:szCs w:val="14"/>
        </w:rPr>
        <w:t xml:space="preserve">Artículo 2.1.1.2.1.7. Publicación de la información contractual. De conformidad con el literal (c) del artículo 3° de la Ley 1150 de 2007, el sistema de información del Estado en el cual los sujetos obligados que contratan con cargo a recursos públicos deben cumplir la obligación de publicar la información de su gestión contractual es el Sistema Electrónico para la Contratación Pública [SECOP] </w:t>
      </w:r>
    </w:p>
    <w:p w14:paraId="5932BDD8" w14:textId="77777777" w:rsidR="001332E7" w:rsidRPr="005D5C35" w:rsidRDefault="001332E7" w:rsidP="001332E7">
      <w:pPr>
        <w:pStyle w:val="Textonotapie"/>
        <w:ind w:firstLine="709"/>
        <w:jc w:val="both"/>
        <w:rPr>
          <w:rFonts w:ascii="Verdana" w:eastAsia="Times New Roman" w:hAnsi="Verdana" w:cs="Arial"/>
          <w:color w:val="000000" w:themeColor="text1"/>
          <w:sz w:val="14"/>
          <w:szCs w:val="14"/>
          <w:lang w:val="es-ES" w:eastAsia="es-ES"/>
        </w:rPr>
      </w:pPr>
      <w:r w:rsidRPr="005D5C35">
        <w:rPr>
          <w:rFonts w:ascii="Verdana" w:hAnsi="Verdana" w:cs="Arial"/>
          <w:color w:val="000000" w:themeColor="text1"/>
          <w:sz w:val="14"/>
          <w:szCs w:val="14"/>
        </w:rPr>
        <w:t>[…].</w:t>
      </w:r>
    </w:p>
    <w:p w14:paraId="0AA9EB34" w14:textId="77777777" w:rsidR="001332E7" w:rsidRPr="005D5C35" w:rsidRDefault="001332E7" w:rsidP="001332E7">
      <w:pPr>
        <w:pStyle w:val="Textonotapie"/>
        <w:ind w:firstLine="709"/>
        <w:jc w:val="both"/>
        <w:rPr>
          <w:rFonts w:ascii="Verdana" w:eastAsia="Times New Roman" w:hAnsi="Verdana" w:cs="Arial"/>
          <w:color w:val="000000" w:themeColor="text1"/>
          <w:sz w:val="14"/>
          <w:szCs w:val="14"/>
          <w:lang w:val="es-ES" w:eastAsia="es-ES"/>
        </w:rPr>
      </w:pPr>
      <w:r w:rsidRPr="005D5C35">
        <w:rPr>
          <w:rFonts w:ascii="Verdana" w:eastAsia="Times New Roman" w:hAnsi="Verdana" w:cs="Arial"/>
          <w:color w:val="000000" w:themeColor="text1"/>
          <w:sz w:val="14"/>
          <w:szCs w:val="14"/>
          <w:lang w:val="es-ES" w:eastAsia="es-ES"/>
        </w:rPr>
        <w:t>Los sujetos obligados que contratan con recursos públicos y recursos privados, deben publicar la información de su gestión contractual con cargo a recursos públicos en el Sistema Electrónico para la Contratación Pública [SECOP]”.</w:t>
      </w:r>
    </w:p>
    <w:p w14:paraId="33B0EB4E" w14:textId="77777777" w:rsidR="001332E7" w:rsidRPr="005D5C35" w:rsidRDefault="001332E7" w:rsidP="001332E7">
      <w:pPr>
        <w:pStyle w:val="Textonotapie"/>
        <w:ind w:firstLine="709"/>
        <w:jc w:val="both"/>
        <w:rPr>
          <w:rFonts w:ascii="Verdana" w:eastAsia="Times New Roman" w:hAnsi="Verdana" w:cs="Arial"/>
          <w:color w:val="000000" w:themeColor="text1"/>
          <w:sz w:val="14"/>
          <w:szCs w:val="14"/>
          <w:lang w:val="es-ES" w:eastAsia="es-ES"/>
        </w:rPr>
      </w:pPr>
    </w:p>
  </w:footnote>
  <w:footnote w:id="21">
    <w:p w14:paraId="253FD8C5" w14:textId="77777777" w:rsidR="001332E7" w:rsidRPr="005D5C35" w:rsidRDefault="001332E7" w:rsidP="001332E7">
      <w:pPr>
        <w:pStyle w:val="Textonotapie"/>
        <w:ind w:firstLine="709"/>
        <w:jc w:val="both"/>
        <w:rPr>
          <w:rFonts w:ascii="Verdana" w:hAnsi="Verdana" w:cs="Arial"/>
          <w:color w:val="000000"/>
          <w:sz w:val="14"/>
          <w:szCs w:val="14"/>
          <w:lang w:val="es-ES"/>
        </w:rPr>
      </w:pPr>
      <w:r w:rsidRPr="005D5C35">
        <w:rPr>
          <w:rStyle w:val="Refdenotaalpie"/>
          <w:rFonts w:ascii="Verdana" w:hAnsi="Verdana" w:cs="Arial"/>
          <w:color w:val="000000"/>
          <w:sz w:val="14"/>
          <w:szCs w:val="14"/>
        </w:rPr>
        <w:footnoteRef/>
      </w:r>
      <w:r w:rsidRPr="005D5C35">
        <w:rPr>
          <w:rFonts w:ascii="Verdana" w:hAnsi="Verdana" w:cs="Arial"/>
          <w:color w:val="000000"/>
          <w:sz w:val="14"/>
          <w:szCs w:val="14"/>
        </w:rPr>
        <w:t xml:space="preserve"> C</w:t>
      </w:r>
      <w:proofErr w:type="spellStart"/>
      <w:r w:rsidRPr="005D5C35">
        <w:rPr>
          <w:rFonts w:ascii="Verdana" w:eastAsia="Times New Roman" w:hAnsi="Verdana" w:cs="Arial"/>
          <w:color w:val="000000"/>
          <w:sz w:val="14"/>
          <w:szCs w:val="14"/>
          <w:lang w:val="es-ES" w:eastAsia="es-ES"/>
        </w:rPr>
        <w:t>orte</w:t>
      </w:r>
      <w:proofErr w:type="spellEnd"/>
      <w:r w:rsidRPr="005D5C35">
        <w:rPr>
          <w:rFonts w:ascii="Verdana" w:eastAsia="Times New Roman" w:hAnsi="Verdana" w:cs="Arial"/>
          <w:color w:val="000000"/>
          <w:sz w:val="14"/>
          <w:szCs w:val="14"/>
          <w:lang w:val="es-ES" w:eastAsia="es-ES"/>
        </w:rPr>
        <w:t xml:space="preserve"> Constitucional. Sentencia C‒274 de 9 de mayo de 2013. M.P. Mar</w:t>
      </w:r>
      <w:r w:rsidRPr="005D5C35">
        <w:rPr>
          <w:rFonts w:ascii="Verdana" w:eastAsia="Times New Roman" w:hAnsi="Verdana" w:cs="Century Gothic"/>
          <w:color w:val="000000"/>
          <w:sz w:val="14"/>
          <w:szCs w:val="14"/>
          <w:lang w:val="es-ES" w:eastAsia="es-ES"/>
        </w:rPr>
        <w:t>í</w:t>
      </w:r>
      <w:r w:rsidRPr="005D5C35">
        <w:rPr>
          <w:rFonts w:ascii="Verdana" w:eastAsia="Times New Roman" w:hAnsi="Verdana" w:cs="Arial"/>
          <w:color w:val="000000"/>
          <w:sz w:val="14"/>
          <w:szCs w:val="14"/>
          <w:lang w:val="es-ES" w:eastAsia="es-ES"/>
        </w:rPr>
        <w:t xml:space="preserve">a Victoria Calle Correa. </w:t>
      </w:r>
    </w:p>
  </w:footnote>
  <w:footnote w:id="22">
    <w:p w14:paraId="1D6BB158" w14:textId="77777777" w:rsidR="001332E7" w:rsidRPr="005D5C35" w:rsidRDefault="001332E7" w:rsidP="001332E7">
      <w:pPr>
        <w:pStyle w:val="Textonotapie"/>
        <w:ind w:firstLine="708"/>
        <w:jc w:val="both"/>
        <w:rPr>
          <w:rFonts w:ascii="Verdana" w:hAnsi="Verdana"/>
          <w:sz w:val="14"/>
          <w:szCs w:val="14"/>
          <w:lang w:val="es-CO"/>
        </w:rPr>
      </w:pPr>
      <w:r w:rsidRPr="005D5C35">
        <w:rPr>
          <w:rStyle w:val="Refdenotaalpie"/>
          <w:rFonts w:ascii="Verdana" w:hAnsi="Verdana"/>
          <w:sz w:val="14"/>
          <w:szCs w:val="14"/>
        </w:rPr>
        <w:footnoteRef/>
      </w:r>
      <w:r w:rsidRPr="005D5C35">
        <w:rPr>
          <w:rFonts w:ascii="Verdana" w:hAnsi="Verdana"/>
          <w:sz w:val="14"/>
          <w:szCs w:val="14"/>
        </w:rPr>
        <w:t xml:space="preserve"> </w:t>
      </w:r>
      <w:r w:rsidRPr="005D5C35">
        <w:rPr>
          <w:rFonts w:ascii="Verdana" w:hAnsi="Verdana" w:cs="Arial"/>
          <w:color w:val="000000"/>
          <w:sz w:val="14"/>
          <w:szCs w:val="14"/>
        </w:rPr>
        <w:t>Decreto 4170 de 2011: “Artículo 3. Funciones: La Agencia Nacional de Contratación Pública –Colombia Compra Eficiente– ejercerá las siguientes funciones: [...]</w:t>
      </w:r>
    </w:p>
  </w:footnote>
  <w:footnote w:id="23">
    <w:p w14:paraId="477F4427" w14:textId="77777777" w:rsidR="001332E7" w:rsidRPr="005D5C35" w:rsidRDefault="001332E7" w:rsidP="001332E7">
      <w:pPr>
        <w:pStyle w:val="Textonotapie"/>
        <w:ind w:firstLine="708"/>
        <w:jc w:val="both"/>
        <w:rPr>
          <w:rFonts w:ascii="Verdana" w:hAnsi="Verdana"/>
          <w:sz w:val="14"/>
          <w:szCs w:val="14"/>
          <w:lang w:val="es-CO"/>
        </w:rPr>
      </w:pPr>
      <w:r w:rsidRPr="005D5C35">
        <w:rPr>
          <w:rStyle w:val="Refdenotaalpie"/>
          <w:rFonts w:ascii="Verdana" w:hAnsi="Verdana"/>
          <w:sz w:val="14"/>
          <w:szCs w:val="14"/>
        </w:rPr>
        <w:footnoteRef/>
      </w:r>
      <w:r w:rsidRPr="005D5C35">
        <w:rPr>
          <w:rFonts w:ascii="Verdana" w:hAnsi="Verdana"/>
          <w:sz w:val="14"/>
          <w:szCs w:val="14"/>
        </w:rPr>
        <w:t xml:space="preserve"> </w:t>
      </w:r>
      <w:r w:rsidRPr="005D5C35">
        <w:rPr>
          <w:rFonts w:ascii="Verdana" w:hAnsi="Verdana"/>
          <w:bCs/>
          <w:sz w:val="14"/>
          <w:szCs w:val="14"/>
          <w:lang w:val="es-CO"/>
        </w:rPr>
        <w:t>Artículo 53.</w:t>
      </w:r>
      <w:r w:rsidRPr="005D5C35">
        <w:rPr>
          <w:rFonts w:ascii="Verdana" w:hAnsi="Verdana"/>
          <w:sz w:val="14"/>
          <w:szCs w:val="14"/>
          <w:lang w:val="es-CO"/>
        </w:rPr>
        <w:t> Adiciónese los siguientes incisos al artículo 13 de la Ley 1150 de 2007, el cual quedará así: </w:t>
      </w:r>
    </w:p>
    <w:p w14:paraId="78665512" w14:textId="77777777" w:rsidR="001332E7" w:rsidRPr="005D5C35" w:rsidRDefault="001332E7" w:rsidP="001332E7">
      <w:pPr>
        <w:pStyle w:val="Textonotapie"/>
        <w:ind w:firstLine="708"/>
        <w:jc w:val="both"/>
        <w:rPr>
          <w:rFonts w:ascii="Verdana" w:hAnsi="Verdana"/>
          <w:sz w:val="14"/>
          <w:szCs w:val="14"/>
          <w:lang w:val="es-CO"/>
        </w:rPr>
      </w:pPr>
      <w:r w:rsidRPr="005D5C35">
        <w:rPr>
          <w:rFonts w:ascii="Verdana" w:hAnsi="Verdana"/>
          <w:bCs/>
          <w:sz w:val="14"/>
          <w:szCs w:val="14"/>
          <w:lang w:val="es-CO"/>
        </w:rPr>
        <w:t>Artículo 13. Principios generales de la actividad contractual para entidades no sometidas al Estatuto General de Contratación de la Administración Pública.</w:t>
      </w:r>
      <w:r w:rsidRPr="005D5C35">
        <w:rPr>
          <w:rFonts w:ascii="Verdana" w:hAnsi="Verdana"/>
          <w:sz w:val="14"/>
          <w:szCs w:val="14"/>
          <w:lang w:val="es-CO"/>
        </w:rPr>
        <w:t>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 </w:t>
      </w:r>
    </w:p>
    <w:p w14:paraId="08DA89A1" w14:textId="77777777" w:rsidR="001332E7" w:rsidRPr="005D5C35" w:rsidRDefault="001332E7" w:rsidP="001332E7">
      <w:pPr>
        <w:pStyle w:val="Textonotapie"/>
        <w:ind w:firstLine="708"/>
        <w:jc w:val="both"/>
        <w:rPr>
          <w:rFonts w:ascii="Verdana" w:hAnsi="Verdana"/>
          <w:sz w:val="14"/>
          <w:szCs w:val="14"/>
          <w:lang w:val="es-CO"/>
        </w:rPr>
      </w:pPr>
      <w:r w:rsidRPr="005D5C35">
        <w:rPr>
          <w:rFonts w:ascii="Verdana" w:hAnsi="Verdana"/>
          <w:sz w:val="14"/>
          <w:szCs w:val="14"/>
          <w:lang w:val="es-CO"/>
        </w:rPr>
        <w:t xml:space="preserve">En desarrollo de los anteriores principios, deberán publicar los documentos relacionados con su actividad contractual en el Sistema Electrónico para la Contratación Pública (SECOP II) o la plataforma transaccional que haga sus veces. Para los efectos de este artículo, se entiende por actividad contractual los documentos, contratos, actos e información generada por oferentes, contratista, contratante, supervisor o interventor, tanto en la etapa precontractual, como en la contractual y la </w:t>
      </w:r>
      <w:proofErr w:type="spellStart"/>
      <w:r w:rsidRPr="005D5C35">
        <w:rPr>
          <w:rFonts w:ascii="Verdana" w:hAnsi="Verdana"/>
          <w:sz w:val="14"/>
          <w:szCs w:val="14"/>
          <w:lang w:val="es-CO"/>
        </w:rPr>
        <w:t>postcontractual</w:t>
      </w:r>
      <w:proofErr w:type="spellEnd"/>
      <w:r w:rsidRPr="005D5C35">
        <w:rPr>
          <w:rFonts w:ascii="Verdana" w:hAnsi="Verdana"/>
          <w:sz w:val="14"/>
          <w:szCs w:val="14"/>
          <w:lang w:val="es-CO"/>
        </w:rPr>
        <w:t>. </w:t>
      </w:r>
    </w:p>
    <w:p w14:paraId="42DEA328" w14:textId="77777777" w:rsidR="001332E7" w:rsidRPr="00AF0096" w:rsidRDefault="001332E7" w:rsidP="001332E7">
      <w:pPr>
        <w:pStyle w:val="Textonotapie"/>
        <w:ind w:firstLine="708"/>
        <w:jc w:val="both"/>
        <w:rPr>
          <w:rFonts w:ascii="Verdana" w:hAnsi="Verdana"/>
          <w:sz w:val="16"/>
          <w:szCs w:val="16"/>
          <w:lang w:val="es-CO"/>
        </w:rPr>
      </w:pPr>
      <w:r w:rsidRPr="005D5C35">
        <w:rPr>
          <w:rFonts w:ascii="Verdana" w:hAnsi="Verdana"/>
          <w:sz w:val="14"/>
          <w:szCs w:val="14"/>
          <w:lang w:val="es-CO"/>
        </w:rPr>
        <w:t>A partir de la entrada en vigencia de la presente Ley, se establecerá un periodo de transición de seis (6) meses, para que las entidades den cumplimiento efectivo a lo aquí establecido.</w:t>
      </w:r>
      <w:r w:rsidRPr="00AF0096">
        <w:rPr>
          <w:rFonts w:ascii="Verdana" w:hAnsi="Verdana"/>
          <w:sz w:val="16"/>
          <w:szCs w:val="16"/>
          <w:lang w:val="es-CO"/>
        </w:rPr>
        <w:t> </w:t>
      </w:r>
    </w:p>
  </w:footnote>
  <w:footnote w:id="24">
    <w:p w14:paraId="7225FBD0" w14:textId="77777777" w:rsidR="001332E7" w:rsidRPr="005D5C35" w:rsidRDefault="001332E7" w:rsidP="001332E7">
      <w:pPr>
        <w:pStyle w:val="Textonotapie"/>
        <w:ind w:firstLine="709"/>
        <w:jc w:val="both"/>
        <w:rPr>
          <w:rFonts w:ascii="Verdana" w:hAnsi="Verdana"/>
          <w:sz w:val="14"/>
          <w:szCs w:val="14"/>
          <w:lang w:val="es-CO"/>
        </w:rPr>
      </w:pPr>
      <w:r w:rsidRPr="005D5C35">
        <w:rPr>
          <w:rStyle w:val="Refdenotaalpie"/>
          <w:rFonts w:ascii="Verdana" w:hAnsi="Verdana"/>
          <w:sz w:val="14"/>
          <w:szCs w:val="14"/>
        </w:rPr>
        <w:footnoteRef/>
      </w:r>
      <w:r w:rsidRPr="005D5C35">
        <w:rPr>
          <w:rFonts w:ascii="Verdana" w:hAnsi="Verdana"/>
          <w:sz w:val="14"/>
          <w:szCs w:val="14"/>
        </w:rPr>
        <w:t xml:space="preserve"> Lo anterior se basó en el sustento de la Sentencia del Consejo de Estado. Sala de lo Contencioso Administrativo. Sección Segunda. Subsección B. 26 de julio de 2018. Radicado: </w:t>
      </w:r>
      <w:r w:rsidRPr="005D5C35">
        <w:rPr>
          <w:rFonts w:ascii="Verdana" w:hAnsi="Verdana"/>
          <w:sz w:val="14"/>
          <w:szCs w:val="14"/>
          <w:lang w:val="es-CO"/>
        </w:rPr>
        <w:t xml:space="preserve">11001-03-25-000-2014-01511-00(4912-14). C.P: Sandra Lisset Ibarra Vélez. </w:t>
      </w:r>
    </w:p>
    <w:p w14:paraId="363A42F0" w14:textId="77777777" w:rsidR="001332E7" w:rsidRPr="005D5C35" w:rsidRDefault="001332E7" w:rsidP="001332E7">
      <w:pPr>
        <w:pStyle w:val="Textonotapie"/>
        <w:ind w:firstLine="709"/>
        <w:jc w:val="both"/>
        <w:rPr>
          <w:rFonts w:ascii="Verdana" w:hAnsi="Verdana"/>
          <w:sz w:val="14"/>
          <w:szCs w:val="14"/>
        </w:rPr>
      </w:pPr>
    </w:p>
  </w:footnote>
  <w:footnote w:id="25">
    <w:p w14:paraId="7426CC13" w14:textId="77777777" w:rsidR="001332E7" w:rsidRPr="005D5C35" w:rsidRDefault="001332E7" w:rsidP="001332E7">
      <w:pPr>
        <w:pStyle w:val="Textonotapie"/>
        <w:ind w:firstLine="709"/>
        <w:rPr>
          <w:rFonts w:ascii="Verdana" w:hAnsi="Verdana"/>
          <w:sz w:val="14"/>
          <w:szCs w:val="14"/>
        </w:rPr>
      </w:pPr>
      <w:r w:rsidRPr="005D5C35">
        <w:rPr>
          <w:rStyle w:val="Refdenotaalpie"/>
          <w:rFonts w:ascii="Verdana" w:hAnsi="Verdana"/>
          <w:sz w:val="14"/>
          <w:szCs w:val="14"/>
        </w:rPr>
        <w:footnoteRef/>
      </w:r>
      <w:r w:rsidRPr="005D5C35">
        <w:rPr>
          <w:rFonts w:ascii="Verdana" w:hAnsi="Verdana"/>
          <w:sz w:val="14"/>
          <w:szCs w:val="14"/>
        </w:rPr>
        <w:t xml:space="preserve"> Sobre este tema pueden consultarse el concepto C-1103 del 11 de septiembre de 2025. </w:t>
      </w:r>
    </w:p>
    <w:p w14:paraId="0F6FDB68" w14:textId="77777777" w:rsidR="001332E7" w:rsidRPr="005D5C35" w:rsidRDefault="001332E7" w:rsidP="001332E7">
      <w:pPr>
        <w:pStyle w:val="Textonotapie"/>
        <w:rPr>
          <w:sz w:val="14"/>
          <w:szCs w:val="14"/>
          <w:lang w:val="es-ES"/>
        </w:rPr>
      </w:pPr>
      <w:r w:rsidRPr="005D5C35">
        <w:rPr>
          <w:sz w:val="14"/>
          <w:szCs w:val="14"/>
        </w:rPr>
        <w:t xml:space="preserve"> </w:t>
      </w:r>
    </w:p>
  </w:footnote>
  <w:footnote w:id="26">
    <w:p w14:paraId="5140EAD7" w14:textId="77777777" w:rsidR="001332E7" w:rsidRPr="005D5C35" w:rsidRDefault="001332E7" w:rsidP="001332E7">
      <w:pPr>
        <w:pStyle w:val="Textonotapie"/>
        <w:ind w:firstLine="709"/>
        <w:rPr>
          <w:rFonts w:ascii="Verdana" w:hAnsi="Verdana"/>
          <w:sz w:val="14"/>
          <w:szCs w:val="14"/>
        </w:rPr>
      </w:pPr>
      <w:r w:rsidRPr="005D5C35">
        <w:rPr>
          <w:rStyle w:val="Refdenotaalpie"/>
          <w:rFonts w:ascii="Verdana" w:hAnsi="Verdana"/>
          <w:sz w:val="14"/>
          <w:szCs w:val="14"/>
        </w:rPr>
        <w:footnoteRef/>
      </w:r>
      <w:r w:rsidRPr="005D5C35">
        <w:rPr>
          <w:rFonts w:ascii="Verdana" w:hAnsi="Verdana"/>
          <w:sz w:val="14"/>
          <w:szCs w:val="14"/>
        </w:rPr>
        <w:t xml:space="preserve"> Disponible en </w:t>
      </w:r>
      <w:hyperlink r:id="rId3" w:history="1">
        <w:r w:rsidRPr="005D5C35">
          <w:rPr>
            <w:rStyle w:val="Hipervnculo"/>
            <w:rFonts w:ascii="Verdana" w:hAnsi="Verdana"/>
            <w:sz w:val="14"/>
            <w:szCs w:val="14"/>
          </w:rPr>
          <w:t>https://apps.procuraduria.gov.co/relatoria/media/file/flas_juridico/1510_PGN-R-461-16.pdf</w:t>
        </w:r>
      </w:hyperlink>
    </w:p>
    <w:p w14:paraId="427E0D93" w14:textId="77777777" w:rsidR="001332E7" w:rsidRPr="005D5C35" w:rsidRDefault="001332E7" w:rsidP="001332E7">
      <w:pPr>
        <w:pStyle w:val="Textonotapie"/>
        <w:ind w:firstLine="709"/>
        <w:rPr>
          <w:rFonts w:ascii="Verdana" w:hAnsi="Verdana"/>
          <w:sz w:val="14"/>
          <w:szCs w:val="14"/>
        </w:rPr>
      </w:pPr>
    </w:p>
  </w:footnote>
  <w:footnote w:id="27">
    <w:p w14:paraId="78DBA793" w14:textId="77777777" w:rsidR="001332E7" w:rsidRPr="005D5C35" w:rsidRDefault="001332E7" w:rsidP="001332E7">
      <w:pPr>
        <w:pStyle w:val="Textonotapie"/>
        <w:ind w:firstLine="708"/>
        <w:contextualSpacing/>
        <w:jc w:val="both"/>
        <w:rPr>
          <w:rFonts w:ascii="Verdana" w:hAnsi="Verdana" w:cs="Arial"/>
          <w:sz w:val="14"/>
          <w:szCs w:val="14"/>
          <w:lang w:val="es-CO"/>
        </w:rPr>
      </w:pPr>
      <w:r w:rsidRPr="005D5C35">
        <w:rPr>
          <w:rStyle w:val="Refdenotaalpie"/>
          <w:rFonts w:ascii="Verdana" w:hAnsi="Verdana" w:cs="Arial"/>
          <w:sz w:val="14"/>
          <w:szCs w:val="14"/>
        </w:rPr>
        <w:footnoteRef/>
      </w:r>
      <w:r w:rsidRPr="005D5C35">
        <w:rPr>
          <w:rFonts w:ascii="Verdana" w:hAnsi="Verdana" w:cs="Arial"/>
          <w:sz w:val="14"/>
          <w:szCs w:val="14"/>
        </w:rPr>
        <w:t xml:space="preserve"> En lo pertinente, la norma dispone que </w:t>
      </w:r>
      <w:bookmarkStart w:id="3" w:name="_Hlk98942284"/>
      <w:r w:rsidRPr="005D5C35">
        <w:rPr>
          <w:rFonts w:ascii="Verdana" w:hAnsi="Verdana" w:cs="Arial"/>
          <w:sz w:val="14"/>
          <w:szCs w:val="14"/>
        </w:rPr>
        <w:t>“</w:t>
      </w:r>
      <w:r w:rsidRPr="005D5C35">
        <w:rPr>
          <w:rFonts w:ascii="Verdana" w:hAnsi="Verdana" w:cs="Arial"/>
          <w:sz w:val="14"/>
          <w:szCs w:val="14"/>
          <w:lang w:val="es-CO"/>
        </w:rPr>
        <w:t>Las entidades estatales enviarán mensualmente a la Cámara de Comercio de su domicilio, la información concerniente a los contratos, su cuantía, cumplimiento, multas y sanciones relacionadas con los contratos que hayan sido adjudicados, los que se encuentren en ejecución y los ejecutados</w:t>
      </w:r>
      <w:bookmarkEnd w:id="3"/>
      <w:r w:rsidRPr="005D5C35">
        <w:rPr>
          <w:rFonts w:ascii="Verdana" w:hAnsi="Verdana" w:cs="Arial"/>
          <w:sz w:val="14"/>
          <w:szCs w:val="14"/>
          <w:lang w:val="es-CO"/>
        </w:rPr>
        <w:t>.</w:t>
      </w:r>
    </w:p>
    <w:p w14:paraId="1DB8B72D" w14:textId="77777777" w:rsidR="001332E7" w:rsidRPr="005D5C35" w:rsidRDefault="001332E7" w:rsidP="001332E7">
      <w:pPr>
        <w:pStyle w:val="Textonotapie"/>
        <w:ind w:firstLine="708"/>
        <w:contextualSpacing/>
        <w:jc w:val="both"/>
        <w:rPr>
          <w:rFonts w:ascii="Verdana" w:hAnsi="Verdana" w:cs="Arial"/>
          <w:sz w:val="14"/>
          <w:szCs w:val="14"/>
          <w:lang w:val="es-CO"/>
        </w:rPr>
      </w:pPr>
      <w:r w:rsidRPr="005D5C35">
        <w:rPr>
          <w:rFonts w:ascii="Verdana" w:hAnsi="Verdana" w:cs="Arial"/>
          <w:sz w:val="14"/>
          <w:szCs w:val="14"/>
          <w:lang w:val="es-CO"/>
        </w:rPr>
        <w:t>Las condiciones de remisión de la información y los plazos de permanencia de la misma en el registro serán señalados por el Gobierno Nacional.</w:t>
      </w:r>
    </w:p>
    <w:p w14:paraId="52580E17" w14:textId="77777777" w:rsidR="001332E7" w:rsidRPr="005D5C35" w:rsidRDefault="001332E7" w:rsidP="001332E7">
      <w:pPr>
        <w:pStyle w:val="Textonotapie"/>
        <w:ind w:firstLine="708"/>
        <w:contextualSpacing/>
        <w:jc w:val="both"/>
        <w:rPr>
          <w:rFonts w:ascii="Verdana" w:hAnsi="Verdana" w:cs="Arial"/>
          <w:sz w:val="14"/>
          <w:szCs w:val="14"/>
          <w:lang w:val="es-CO"/>
        </w:rPr>
      </w:pPr>
      <w:r w:rsidRPr="005D5C35">
        <w:rPr>
          <w:rFonts w:ascii="Verdana" w:hAnsi="Verdana" w:cs="Arial"/>
          <w:sz w:val="14"/>
          <w:szCs w:val="14"/>
          <w:lang w:val="es-CO"/>
        </w:rPr>
        <w:t>El servidor público encargado de remitir la información, que incumpla esta obligación incurrirá en causal de mala conducta”.</w:t>
      </w:r>
    </w:p>
    <w:p w14:paraId="172172E8" w14:textId="77777777" w:rsidR="001332E7" w:rsidRPr="00940D18" w:rsidRDefault="001332E7" w:rsidP="001332E7">
      <w:pPr>
        <w:pStyle w:val="Textonotapie"/>
        <w:ind w:firstLine="708"/>
        <w:contextualSpacing/>
        <w:jc w:val="both"/>
        <w:rPr>
          <w:rFonts w:ascii="Verdana" w:hAnsi="Verdana" w:cs="Arial"/>
          <w:sz w:val="16"/>
          <w:szCs w:val="16"/>
          <w:lang w:val="es-CO"/>
        </w:rPr>
      </w:pPr>
    </w:p>
  </w:footnote>
  <w:footnote w:id="28">
    <w:p w14:paraId="7941ECFE" w14:textId="77777777" w:rsidR="001332E7" w:rsidRPr="005D5C35" w:rsidRDefault="001332E7" w:rsidP="001332E7">
      <w:pPr>
        <w:pStyle w:val="Textonotapie"/>
        <w:ind w:firstLine="708"/>
        <w:contextualSpacing/>
        <w:jc w:val="both"/>
        <w:rPr>
          <w:rFonts w:ascii="Verdana" w:hAnsi="Verdana" w:cs="Arial"/>
          <w:sz w:val="14"/>
          <w:szCs w:val="14"/>
        </w:rPr>
      </w:pPr>
      <w:r w:rsidRPr="005D5C35">
        <w:rPr>
          <w:rStyle w:val="Refdenotaalpie"/>
          <w:rFonts w:ascii="Verdana" w:hAnsi="Verdana" w:cs="Arial"/>
          <w:sz w:val="14"/>
          <w:szCs w:val="14"/>
        </w:rPr>
        <w:footnoteRef/>
      </w:r>
      <w:r w:rsidRPr="005D5C35">
        <w:rPr>
          <w:rFonts w:ascii="Verdana" w:hAnsi="Verdana" w:cs="Arial"/>
          <w:sz w:val="14"/>
          <w:szCs w:val="14"/>
        </w:rPr>
        <w:t xml:space="preserve">  Ley 80 de 1993: “Artículo 31. De la publicación de los actos y sentencias sancionatorias. &lt;Artículo modificado por el artículo </w:t>
      </w:r>
      <w:hyperlink r:id="rId4" w:anchor="218" w:history="1">
        <w:r w:rsidRPr="005D5C35">
          <w:rPr>
            <w:rFonts w:ascii="Verdana" w:hAnsi="Verdana" w:cs="Arial"/>
            <w:sz w:val="14"/>
            <w:szCs w:val="14"/>
          </w:rPr>
          <w:t>218</w:t>
        </w:r>
      </w:hyperlink>
      <w:r w:rsidRPr="005D5C35">
        <w:rPr>
          <w:rFonts w:ascii="Verdana" w:hAnsi="Verdana" w:cs="Arial"/>
          <w:sz w:val="14"/>
          <w:szCs w:val="14"/>
        </w:rPr>
        <w:t xml:space="preserve"> del Decreto 19 de 2012. El nuevo texto es el siguiente:&gt; La parte resolutiva de los actos que declaren </w:t>
      </w:r>
      <w:proofErr w:type="spellStart"/>
      <w:r w:rsidRPr="005D5C35">
        <w:rPr>
          <w:rFonts w:ascii="Verdana" w:hAnsi="Verdana" w:cs="Arial"/>
          <w:sz w:val="14"/>
          <w:szCs w:val="14"/>
        </w:rPr>
        <w:t>Ia</w:t>
      </w:r>
      <w:proofErr w:type="spellEnd"/>
      <w:r w:rsidRPr="005D5C35">
        <w:rPr>
          <w:rFonts w:ascii="Verdana" w:hAnsi="Verdana" w:cs="Arial"/>
          <w:sz w:val="14"/>
          <w:szCs w:val="14"/>
        </w:rPr>
        <w:t xml:space="preserve"> caducidad, impongan multas, sanciones o declaren el incumplimiento, una vez ejecutoriados, se publicarán en el SECOP y se comunicarán a </w:t>
      </w:r>
      <w:proofErr w:type="spellStart"/>
      <w:r w:rsidRPr="005D5C35">
        <w:rPr>
          <w:rFonts w:ascii="Verdana" w:hAnsi="Verdana" w:cs="Arial"/>
          <w:sz w:val="14"/>
          <w:szCs w:val="14"/>
        </w:rPr>
        <w:t>Ia</w:t>
      </w:r>
      <w:proofErr w:type="spellEnd"/>
      <w:r w:rsidRPr="005D5C35">
        <w:rPr>
          <w:rFonts w:ascii="Verdana" w:hAnsi="Verdana" w:cs="Arial"/>
          <w:sz w:val="14"/>
          <w:szCs w:val="14"/>
        </w:rPr>
        <w:t xml:space="preserve"> cámara de comercio en que se encuentre inscrito el contratista respectivo. También se comunicarán a </w:t>
      </w:r>
      <w:proofErr w:type="spellStart"/>
      <w:r w:rsidRPr="005D5C35">
        <w:rPr>
          <w:rFonts w:ascii="Verdana" w:hAnsi="Verdana" w:cs="Arial"/>
          <w:sz w:val="14"/>
          <w:szCs w:val="14"/>
        </w:rPr>
        <w:t>Ia</w:t>
      </w:r>
      <w:proofErr w:type="spellEnd"/>
      <w:r w:rsidRPr="005D5C35">
        <w:rPr>
          <w:rFonts w:ascii="Verdana" w:hAnsi="Verdana" w:cs="Arial"/>
          <w:sz w:val="14"/>
          <w:szCs w:val="14"/>
        </w:rPr>
        <w:t xml:space="preserve"> Procuraduría General de </w:t>
      </w:r>
      <w:proofErr w:type="spellStart"/>
      <w:r w:rsidRPr="005D5C35">
        <w:rPr>
          <w:rFonts w:ascii="Verdana" w:hAnsi="Verdana" w:cs="Arial"/>
          <w:sz w:val="14"/>
          <w:szCs w:val="14"/>
        </w:rPr>
        <w:t>Ia</w:t>
      </w:r>
      <w:proofErr w:type="spellEnd"/>
      <w:r w:rsidRPr="005D5C35">
        <w:rPr>
          <w:rFonts w:ascii="Verdana" w:hAnsi="Verdana" w:cs="Arial"/>
          <w:sz w:val="14"/>
          <w:szCs w:val="14"/>
        </w:rPr>
        <w:t xml:space="preserve"> Nación”.</w:t>
      </w:r>
    </w:p>
    <w:p w14:paraId="712DCDBF" w14:textId="77777777" w:rsidR="001332E7" w:rsidRPr="005D5C35" w:rsidRDefault="001332E7" w:rsidP="001332E7">
      <w:pPr>
        <w:pStyle w:val="Textonotapie"/>
        <w:ind w:firstLine="708"/>
        <w:contextualSpacing/>
        <w:jc w:val="both"/>
        <w:rPr>
          <w:rFonts w:ascii="Verdana" w:hAnsi="Verdana" w:cs="Arial"/>
          <w:sz w:val="14"/>
          <w:szCs w:val="14"/>
        </w:rPr>
      </w:pPr>
    </w:p>
  </w:footnote>
  <w:footnote w:id="29">
    <w:p w14:paraId="053B13CC" w14:textId="77777777" w:rsidR="001332E7" w:rsidRPr="005D5C35" w:rsidRDefault="001332E7" w:rsidP="001332E7">
      <w:pPr>
        <w:pStyle w:val="Textonotapie"/>
        <w:ind w:firstLine="709"/>
        <w:contextualSpacing/>
        <w:jc w:val="both"/>
        <w:rPr>
          <w:rFonts w:ascii="Verdana" w:hAnsi="Verdana" w:cs="Arial"/>
          <w:sz w:val="14"/>
          <w:szCs w:val="14"/>
          <w:lang w:val="es-CO"/>
        </w:rPr>
      </w:pPr>
      <w:r w:rsidRPr="005D5C35">
        <w:rPr>
          <w:rStyle w:val="Refdenotaalpie"/>
          <w:rFonts w:ascii="Verdana" w:hAnsi="Verdana" w:cs="Arial"/>
          <w:sz w:val="14"/>
          <w:szCs w:val="14"/>
        </w:rPr>
        <w:footnoteRef/>
      </w:r>
      <w:r w:rsidRPr="005D5C35">
        <w:rPr>
          <w:rFonts w:ascii="Verdana" w:hAnsi="Verdana" w:cs="Arial"/>
          <w:sz w:val="14"/>
          <w:szCs w:val="14"/>
        </w:rPr>
        <w:t xml:space="preserve"> Ley 80 de 1993: “Artículo 23. De los principios en las actuaciones contractuales de las entidades estatales. Las actuaciones de quienes intervengan en la contratación estatal se desarrollarán con arreglo a los principios de transparencia, economía y responsabilidad y de conformidad con los postulados que rigen la función administrativa. Igualmente, se aplicarán en las mismas las normas que regulan la conducta de los servidores públicos, las reglas de interpretación de la contratación, los principios generales del derecho y los particulares del derecho administrativo”.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7642455"/>
    <w:multiLevelType w:val="hybridMultilevel"/>
    <w:tmpl w:val="F9CA70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0"/>
  </w:num>
  <w:num w:numId="16" w16cid:durableId="341274352">
    <w:abstractNumId w:val="0"/>
  </w:num>
  <w:num w:numId="17" w16cid:durableId="103350507">
    <w:abstractNumId w:val="11"/>
  </w:num>
  <w:num w:numId="18"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680D"/>
    <w:rsid w:val="00016F78"/>
    <w:rsid w:val="00046945"/>
    <w:rsid w:val="00056088"/>
    <w:rsid w:val="000578C3"/>
    <w:rsid w:val="00061B2A"/>
    <w:rsid w:val="00082362"/>
    <w:rsid w:val="000A683E"/>
    <w:rsid w:val="000B19B9"/>
    <w:rsid w:val="000B5D0D"/>
    <w:rsid w:val="000C00A4"/>
    <w:rsid w:val="000D0334"/>
    <w:rsid w:val="000D5DA7"/>
    <w:rsid w:val="000F6486"/>
    <w:rsid w:val="00116940"/>
    <w:rsid w:val="00125105"/>
    <w:rsid w:val="00127233"/>
    <w:rsid w:val="001332E7"/>
    <w:rsid w:val="00136C84"/>
    <w:rsid w:val="0015699B"/>
    <w:rsid w:val="001A33BF"/>
    <w:rsid w:val="001C3900"/>
    <w:rsid w:val="001E4177"/>
    <w:rsid w:val="001F0B24"/>
    <w:rsid w:val="001F7DC6"/>
    <w:rsid w:val="00200E5C"/>
    <w:rsid w:val="00215692"/>
    <w:rsid w:val="0022400B"/>
    <w:rsid w:val="002256BB"/>
    <w:rsid w:val="0023027A"/>
    <w:rsid w:val="00235EE5"/>
    <w:rsid w:val="002365A7"/>
    <w:rsid w:val="002421BB"/>
    <w:rsid w:val="0024452F"/>
    <w:rsid w:val="0025796E"/>
    <w:rsid w:val="00261EAB"/>
    <w:rsid w:val="002707A2"/>
    <w:rsid w:val="00280EBF"/>
    <w:rsid w:val="002951A0"/>
    <w:rsid w:val="002962BC"/>
    <w:rsid w:val="002A093D"/>
    <w:rsid w:val="002A0DD0"/>
    <w:rsid w:val="002A49AC"/>
    <w:rsid w:val="002A64FD"/>
    <w:rsid w:val="002C7A84"/>
    <w:rsid w:val="002D1A5F"/>
    <w:rsid w:val="002E2BF8"/>
    <w:rsid w:val="002E4FD9"/>
    <w:rsid w:val="00303EEB"/>
    <w:rsid w:val="0030657A"/>
    <w:rsid w:val="00322A85"/>
    <w:rsid w:val="003240DF"/>
    <w:rsid w:val="00324168"/>
    <w:rsid w:val="00330834"/>
    <w:rsid w:val="00334418"/>
    <w:rsid w:val="0033618B"/>
    <w:rsid w:val="00337EB8"/>
    <w:rsid w:val="003448F4"/>
    <w:rsid w:val="00345F88"/>
    <w:rsid w:val="00367946"/>
    <w:rsid w:val="00374F5E"/>
    <w:rsid w:val="00377E3E"/>
    <w:rsid w:val="00396B5D"/>
    <w:rsid w:val="003A779E"/>
    <w:rsid w:val="003A7BF4"/>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367D"/>
    <w:rsid w:val="004F685F"/>
    <w:rsid w:val="00507A58"/>
    <w:rsid w:val="0051091A"/>
    <w:rsid w:val="005566E8"/>
    <w:rsid w:val="0057067E"/>
    <w:rsid w:val="00574867"/>
    <w:rsid w:val="00591460"/>
    <w:rsid w:val="005946DB"/>
    <w:rsid w:val="005A65E0"/>
    <w:rsid w:val="005C3777"/>
    <w:rsid w:val="005C5CDC"/>
    <w:rsid w:val="005D476C"/>
    <w:rsid w:val="005E585A"/>
    <w:rsid w:val="006200BF"/>
    <w:rsid w:val="006219F8"/>
    <w:rsid w:val="006302F7"/>
    <w:rsid w:val="00643E5C"/>
    <w:rsid w:val="00646B9F"/>
    <w:rsid w:val="0066573E"/>
    <w:rsid w:val="00665D70"/>
    <w:rsid w:val="0068597B"/>
    <w:rsid w:val="006900D9"/>
    <w:rsid w:val="006F367E"/>
    <w:rsid w:val="007057EB"/>
    <w:rsid w:val="00706C16"/>
    <w:rsid w:val="00725F89"/>
    <w:rsid w:val="007340C3"/>
    <w:rsid w:val="007359B5"/>
    <w:rsid w:val="0075235A"/>
    <w:rsid w:val="00756841"/>
    <w:rsid w:val="007649AB"/>
    <w:rsid w:val="00771A71"/>
    <w:rsid w:val="00771D0C"/>
    <w:rsid w:val="007833AC"/>
    <w:rsid w:val="007B268C"/>
    <w:rsid w:val="007B7171"/>
    <w:rsid w:val="007C0C0F"/>
    <w:rsid w:val="007C3DC2"/>
    <w:rsid w:val="007D680C"/>
    <w:rsid w:val="007E5497"/>
    <w:rsid w:val="007F0522"/>
    <w:rsid w:val="007F345E"/>
    <w:rsid w:val="00806F5F"/>
    <w:rsid w:val="0081140E"/>
    <w:rsid w:val="00820278"/>
    <w:rsid w:val="008258C9"/>
    <w:rsid w:val="00844AE9"/>
    <w:rsid w:val="00867F95"/>
    <w:rsid w:val="008843B6"/>
    <w:rsid w:val="00891928"/>
    <w:rsid w:val="008931FD"/>
    <w:rsid w:val="008A446D"/>
    <w:rsid w:val="008B25F1"/>
    <w:rsid w:val="008D180B"/>
    <w:rsid w:val="008F0EA7"/>
    <w:rsid w:val="00923EEF"/>
    <w:rsid w:val="00934493"/>
    <w:rsid w:val="009419F9"/>
    <w:rsid w:val="0095685E"/>
    <w:rsid w:val="00961B09"/>
    <w:rsid w:val="00965334"/>
    <w:rsid w:val="0097093E"/>
    <w:rsid w:val="00974F2D"/>
    <w:rsid w:val="009952DC"/>
    <w:rsid w:val="009A0DFA"/>
    <w:rsid w:val="009A1C6F"/>
    <w:rsid w:val="009B2D26"/>
    <w:rsid w:val="009C71FA"/>
    <w:rsid w:val="009C72E7"/>
    <w:rsid w:val="009C7F7E"/>
    <w:rsid w:val="009D3058"/>
    <w:rsid w:val="009E7857"/>
    <w:rsid w:val="009F3A13"/>
    <w:rsid w:val="00A122D3"/>
    <w:rsid w:val="00A14468"/>
    <w:rsid w:val="00A17F13"/>
    <w:rsid w:val="00A20739"/>
    <w:rsid w:val="00A23AF9"/>
    <w:rsid w:val="00A33C78"/>
    <w:rsid w:val="00A37303"/>
    <w:rsid w:val="00A739B3"/>
    <w:rsid w:val="00A85777"/>
    <w:rsid w:val="00AB0ADB"/>
    <w:rsid w:val="00AE0A4C"/>
    <w:rsid w:val="00B00C0E"/>
    <w:rsid w:val="00B01B1A"/>
    <w:rsid w:val="00B0381D"/>
    <w:rsid w:val="00B05D23"/>
    <w:rsid w:val="00B1736C"/>
    <w:rsid w:val="00B2237B"/>
    <w:rsid w:val="00B44A47"/>
    <w:rsid w:val="00B51397"/>
    <w:rsid w:val="00B72CD3"/>
    <w:rsid w:val="00B72FFF"/>
    <w:rsid w:val="00BA766C"/>
    <w:rsid w:val="00BB4BD3"/>
    <w:rsid w:val="00BC3D36"/>
    <w:rsid w:val="00BD54A6"/>
    <w:rsid w:val="00BD7F72"/>
    <w:rsid w:val="00BF7425"/>
    <w:rsid w:val="00C04FB3"/>
    <w:rsid w:val="00C11D8B"/>
    <w:rsid w:val="00C15139"/>
    <w:rsid w:val="00C17AEF"/>
    <w:rsid w:val="00C330EB"/>
    <w:rsid w:val="00C33A22"/>
    <w:rsid w:val="00C42554"/>
    <w:rsid w:val="00C437F9"/>
    <w:rsid w:val="00C47373"/>
    <w:rsid w:val="00C50D69"/>
    <w:rsid w:val="00C5365C"/>
    <w:rsid w:val="00C754BE"/>
    <w:rsid w:val="00C76B1C"/>
    <w:rsid w:val="00C925AC"/>
    <w:rsid w:val="00CB6357"/>
    <w:rsid w:val="00CC1B26"/>
    <w:rsid w:val="00CC6E4C"/>
    <w:rsid w:val="00CC7C1E"/>
    <w:rsid w:val="00CD6777"/>
    <w:rsid w:val="00D0303A"/>
    <w:rsid w:val="00D361FD"/>
    <w:rsid w:val="00D418D7"/>
    <w:rsid w:val="00D423A2"/>
    <w:rsid w:val="00D44E26"/>
    <w:rsid w:val="00D520D8"/>
    <w:rsid w:val="00D63AC2"/>
    <w:rsid w:val="00D7383B"/>
    <w:rsid w:val="00D7788A"/>
    <w:rsid w:val="00D838F6"/>
    <w:rsid w:val="00D954B5"/>
    <w:rsid w:val="00DA006E"/>
    <w:rsid w:val="00DA231B"/>
    <w:rsid w:val="00DC39FC"/>
    <w:rsid w:val="00DC67C4"/>
    <w:rsid w:val="00DF5254"/>
    <w:rsid w:val="00E02524"/>
    <w:rsid w:val="00E06B0F"/>
    <w:rsid w:val="00E16408"/>
    <w:rsid w:val="00E20894"/>
    <w:rsid w:val="00E245AB"/>
    <w:rsid w:val="00E2764C"/>
    <w:rsid w:val="00E27F2E"/>
    <w:rsid w:val="00E50AFE"/>
    <w:rsid w:val="00E75C92"/>
    <w:rsid w:val="00E771DC"/>
    <w:rsid w:val="00E8772A"/>
    <w:rsid w:val="00E90F6B"/>
    <w:rsid w:val="00E92C27"/>
    <w:rsid w:val="00EA0E3D"/>
    <w:rsid w:val="00EC28A0"/>
    <w:rsid w:val="00EC38A7"/>
    <w:rsid w:val="00EC4E0E"/>
    <w:rsid w:val="00EC6D3D"/>
    <w:rsid w:val="00EE1AA8"/>
    <w:rsid w:val="00EF61AC"/>
    <w:rsid w:val="00EF7B8D"/>
    <w:rsid w:val="00F02817"/>
    <w:rsid w:val="00F23FEA"/>
    <w:rsid w:val="00F31EDC"/>
    <w:rsid w:val="00F462B3"/>
    <w:rsid w:val="00F5664F"/>
    <w:rsid w:val="00F64ED4"/>
    <w:rsid w:val="00F666C4"/>
    <w:rsid w:val="00F76AFC"/>
    <w:rsid w:val="00F830C4"/>
    <w:rsid w:val="00F97450"/>
    <w:rsid w:val="00FA47C0"/>
    <w:rsid w:val="00FB5DD1"/>
    <w:rsid w:val="00FC2B5D"/>
    <w:rsid w:val="00FC767F"/>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5DFC3BC8"/>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332E7"/>
    <w:rPr>
      <w:rFonts w:ascii="Geomanist Light" w:hAnsi="Geomanist Light"/>
      <w:lang w:val="es-ES"/>
    </w:rPr>
  </w:style>
  <w:style w:type="paragraph" w:customStyle="1" w:styleId="Appelnotedebasde">
    <w:name w:val="Appel note de bas de..."/>
    <w:basedOn w:val="Normal"/>
    <w:link w:val="Refdenotaalpie"/>
    <w:uiPriority w:val="99"/>
    <w:rsid w:val="001332E7"/>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procuraduria.gov.co/relatoria/media/file/flas_juridico/1510_PGN-R-461-16.pdf" TargetMode="External"/><Relationship Id="rId18" Type="http://schemas.openxmlformats.org/officeDocument/2006/relationships/hyperlink" Target="https://formacionvirtual.colombiacompra.gov.co/mod/page/view.php?id=3718"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ventanilladeradicacion@colombiacompra.gov.co" TargetMode="External"/><Relationship Id="rId7" Type="http://schemas.openxmlformats.org/officeDocument/2006/relationships/settings" Target="settings.xml"/><Relationship Id="rId12" Type="http://schemas.openxmlformats.org/officeDocument/2006/relationships/hyperlink" Target="mailto:dyesicam21@gmail.com" TargetMode="External"/><Relationship Id="rId17" Type="http://schemas.openxmlformats.org/officeDocument/2006/relationships/hyperlink" Target="https://relatoria.colombiacompra.gov.co/busqueda/concepto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lombiacompra.gov.co/wp-content/uploads/2026/05/CIRCULAR-EXTERNA-002-DE-2026.pdf" TargetMode="External"/><Relationship Id="rId20"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colombiacompra.gov.co/wp-content/uploads/2025/09/Guia-para-la-gestion-contractual-de-Entidades-Estatales-con-Regimen-Especial-VF-2-1.pdf" TargetMode="External"/><Relationship Id="rId23" Type="http://schemas.openxmlformats.org/officeDocument/2006/relationships/hyperlink" Target="https://forms.office.com/r/pPHyWVs2SZ"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olombiacompra.gov.co/normativa-y-relatoria/documentos-tip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cyt.fecyt.es/index.php/RAP/article/view/67033" TargetMode="External"/><Relationship Id="rId22" Type="http://schemas.openxmlformats.org/officeDocument/2006/relationships/hyperlink" Target="https://www.colombiacompra.gov.co/pqrsd/informacion-importante-antes-de-formular-una-pqrsd"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apps.procuraduria.gov.co/relatoria/media/file/flas_juridico/1510_PGN-R-461-16.pdf" TargetMode="External"/><Relationship Id="rId2" Type="http://schemas.openxmlformats.org/officeDocument/2006/relationships/hyperlink" Target="http://www.secretariasenado.gov.co/senado/basedoc/decreto_1494_2015.html" TargetMode="External"/><Relationship Id="rId1" Type="http://schemas.openxmlformats.org/officeDocument/2006/relationships/hyperlink" Target="https://recyt.fecyt.es/index.php/RAP/article/view/67033" TargetMode="External"/><Relationship Id="rId4" Type="http://schemas.openxmlformats.org/officeDocument/2006/relationships/hyperlink" Target="http://www.secretariasenado.gov.co/senado/basedoc/decreto_0019_2012_pr004.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81940B-3621-4767-A04C-C4634EA64E15}">
  <ds:schemaRefs>
    <ds:schemaRef ds:uri="http://schemas.openxmlformats.org/officeDocument/2006/bibliography"/>
  </ds:schemaRefs>
</ds:datastoreItem>
</file>

<file path=customXml/itemProps4.xml><?xml version="1.0" encoding="utf-8"?>
<ds:datastoreItem xmlns:ds="http://schemas.openxmlformats.org/officeDocument/2006/customXml" ds:itemID="{913BD0DD-ADD1-417D-B819-BC318A3F5720}"/>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46</TotalTime>
  <Pages>44</Pages>
  <Words>15354</Words>
  <Characters>84451</Characters>
  <Application>Microsoft Office Word</Application>
  <DocSecurity>0</DocSecurity>
  <Lines>703</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99606</CharactersWithSpaces>
  <SharedDoc>false</SharedDoc>
  <HLinks>
    <vt:vector size="96" baseType="variant">
      <vt:variant>
        <vt:i4>4456513</vt:i4>
      </vt:variant>
      <vt:variant>
        <vt:i4>33</vt:i4>
      </vt:variant>
      <vt:variant>
        <vt:i4>0</vt:i4>
      </vt:variant>
      <vt:variant>
        <vt:i4>5</vt:i4>
      </vt:variant>
      <vt:variant>
        <vt:lpwstr>https://forms.office.com/r/pPHyWVs2SZ</vt:lpwstr>
      </vt:variant>
      <vt:variant>
        <vt:lpwstr/>
      </vt:variant>
      <vt:variant>
        <vt:i4>3407926</vt:i4>
      </vt:variant>
      <vt:variant>
        <vt:i4>30</vt:i4>
      </vt:variant>
      <vt:variant>
        <vt:i4>0</vt:i4>
      </vt:variant>
      <vt:variant>
        <vt:i4>5</vt:i4>
      </vt:variant>
      <vt:variant>
        <vt:lpwstr>https://www.colombiacompra.gov.co/pqrsd/informacion-importante-antes-de-formular-una-pqrsd</vt:lpwstr>
      </vt:variant>
      <vt:variant>
        <vt:lpwstr/>
      </vt:variant>
      <vt:variant>
        <vt:i4>4980779</vt:i4>
      </vt:variant>
      <vt:variant>
        <vt:i4>27</vt:i4>
      </vt:variant>
      <vt:variant>
        <vt:i4>0</vt:i4>
      </vt:variant>
      <vt:variant>
        <vt:i4>5</vt:i4>
      </vt:variant>
      <vt:variant>
        <vt:lpwstr>mailto:ventanilladeradicacion@colombiacompra.gov.co</vt:lpwstr>
      </vt:variant>
      <vt:variant>
        <vt:lpwstr/>
      </vt:variant>
      <vt:variant>
        <vt:i4>5505101</vt:i4>
      </vt:variant>
      <vt:variant>
        <vt:i4>24</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21</vt:i4>
      </vt:variant>
      <vt:variant>
        <vt:i4>0</vt:i4>
      </vt:variant>
      <vt:variant>
        <vt:i4>5</vt:i4>
      </vt:variant>
      <vt:variant>
        <vt:lpwstr>https://www.colombiacompra.gov.co/normativa-y-relatoria/documentos-tipo</vt:lpwstr>
      </vt:variant>
      <vt:variant>
        <vt:lpwstr/>
      </vt:variant>
      <vt:variant>
        <vt:i4>65544</vt:i4>
      </vt:variant>
      <vt:variant>
        <vt:i4>18</vt:i4>
      </vt:variant>
      <vt:variant>
        <vt:i4>0</vt:i4>
      </vt:variant>
      <vt:variant>
        <vt:i4>5</vt:i4>
      </vt:variant>
      <vt:variant>
        <vt:lpwstr>https://formacionvirtual.colombiacompra.gov.co/mod/page/view.php?id=3718</vt:lpwstr>
      </vt:variant>
      <vt:variant>
        <vt:lpwstr/>
      </vt:variant>
      <vt:variant>
        <vt:i4>7471218</vt:i4>
      </vt:variant>
      <vt:variant>
        <vt:i4>15</vt:i4>
      </vt:variant>
      <vt:variant>
        <vt:i4>0</vt:i4>
      </vt:variant>
      <vt:variant>
        <vt:i4>5</vt:i4>
      </vt:variant>
      <vt:variant>
        <vt:lpwstr>https://relatoria.colombiacompra.gov.co/busqueda/conceptos</vt:lpwstr>
      </vt:variant>
      <vt:variant>
        <vt:lpwstr/>
      </vt:variant>
      <vt:variant>
        <vt:i4>5308497</vt:i4>
      </vt:variant>
      <vt:variant>
        <vt:i4>12</vt:i4>
      </vt:variant>
      <vt:variant>
        <vt:i4>0</vt:i4>
      </vt:variant>
      <vt:variant>
        <vt:i4>5</vt:i4>
      </vt:variant>
      <vt:variant>
        <vt:lpwstr>https://www.colombiacompra.gov.co/wp-content/uploads/2026/05/CIRCULAR-EXTERNA-002-DE-2026.pdf</vt:lpwstr>
      </vt:variant>
      <vt:variant>
        <vt:lpwstr/>
      </vt:variant>
      <vt:variant>
        <vt:i4>4522048</vt:i4>
      </vt:variant>
      <vt:variant>
        <vt:i4>9</vt:i4>
      </vt:variant>
      <vt:variant>
        <vt:i4>0</vt:i4>
      </vt:variant>
      <vt:variant>
        <vt:i4>5</vt:i4>
      </vt:variant>
      <vt:variant>
        <vt:lpwstr>https://www.colombiacompra.gov.co/wp-content/uploads/2025/09/Guia-para-la-gestion-contractual-de-Entidades-Estatales-con-Regimen-Especial-VF-2-1.pdf</vt:lpwstr>
      </vt:variant>
      <vt:variant>
        <vt:lpwstr/>
      </vt:variant>
      <vt:variant>
        <vt:i4>4063346</vt:i4>
      </vt:variant>
      <vt:variant>
        <vt:i4>6</vt:i4>
      </vt:variant>
      <vt:variant>
        <vt:i4>0</vt:i4>
      </vt:variant>
      <vt:variant>
        <vt:i4>5</vt:i4>
      </vt:variant>
      <vt:variant>
        <vt:lpwstr>https://recyt.fecyt.es/index.php/RAP/article/view/67033</vt:lpwstr>
      </vt:variant>
      <vt:variant>
        <vt:lpwstr/>
      </vt:variant>
      <vt:variant>
        <vt:i4>589843</vt:i4>
      </vt:variant>
      <vt:variant>
        <vt:i4>3</vt:i4>
      </vt:variant>
      <vt:variant>
        <vt:i4>0</vt:i4>
      </vt:variant>
      <vt:variant>
        <vt:i4>5</vt:i4>
      </vt:variant>
      <vt:variant>
        <vt:lpwstr>https://apps.procuraduria.gov.co/relatoria/media/file/flas_juridico/1510_PGN-R-461-16.pdf</vt:lpwstr>
      </vt:variant>
      <vt:variant>
        <vt:lpwstr/>
      </vt:variant>
      <vt:variant>
        <vt:i4>6029430</vt:i4>
      </vt:variant>
      <vt:variant>
        <vt:i4>0</vt:i4>
      </vt:variant>
      <vt:variant>
        <vt:i4>0</vt:i4>
      </vt:variant>
      <vt:variant>
        <vt:i4>5</vt:i4>
      </vt:variant>
      <vt:variant>
        <vt:lpwstr>mailto:dyesicam21@gmail.com</vt:lpwstr>
      </vt:variant>
      <vt:variant>
        <vt:lpwstr/>
      </vt:variant>
      <vt:variant>
        <vt:i4>1114233</vt:i4>
      </vt:variant>
      <vt:variant>
        <vt:i4>9</vt:i4>
      </vt:variant>
      <vt:variant>
        <vt:i4>0</vt:i4>
      </vt:variant>
      <vt:variant>
        <vt:i4>5</vt:i4>
      </vt:variant>
      <vt:variant>
        <vt:lpwstr>http://www.secretariasenado.gov.co/senado/basedoc/decreto_0019_2012_pr004.html</vt:lpwstr>
      </vt:variant>
      <vt:variant>
        <vt:lpwstr>218</vt:lpwstr>
      </vt:variant>
      <vt:variant>
        <vt:i4>589843</vt:i4>
      </vt:variant>
      <vt:variant>
        <vt:i4>6</vt:i4>
      </vt:variant>
      <vt:variant>
        <vt:i4>0</vt:i4>
      </vt:variant>
      <vt:variant>
        <vt:i4>5</vt:i4>
      </vt:variant>
      <vt:variant>
        <vt:lpwstr>https://apps.procuraduria.gov.co/relatoria/media/file/flas_juridico/1510_PGN-R-461-16.pdf</vt:lpwstr>
      </vt:variant>
      <vt:variant>
        <vt:lpwstr/>
      </vt:variant>
      <vt:variant>
        <vt:i4>3407872</vt:i4>
      </vt:variant>
      <vt:variant>
        <vt:i4>3</vt:i4>
      </vt:variant>
      <vt:variant>
        <vt:i4>0</vt:i4>
      </vt:variant>
      <vt:variant>
        <vt:i4>5</vt:i4>
      </vt:variant>
      <vt:variant>
        <vt:lpwstr>http://www.secretariasenado.gov.co/senado/basedoc/decreto_1494_2015.html</vt:lpwstr>
      </vt:variant>
      <vt:variant>
        <vt:lpwstr>1</vt:lpwstr>
      </vt:variant>
      <vt:variant>
        <vt:i4>4063346</vt:i4>
      </vt:variant>
      <vt:variant>
        <vt:i4>0</vt:i4>
      </vt:variant>
      <vt:variant>
        <vt:i4>0</vt:i4>
      </vt:variant>
      <vt:variant>
        <vt:i4>5</vt:i4>
      </vt:variant>
      <vt:variant>
        <vt:lpwstr>https://recyt.fecyt.es/index.php/RAP/article/view/67033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4</cp:revision>
  <cp:lastPrinted>2023-01-10T21:18:00Z</cp:lastPrinted>
  <dcterms:created xsi:type="dcterms:W3CDTF">2026-07-22T18:39:00Z</dcterms:created>
  <dcterms:modified xsi:type="dcterms:W3CDTF">2026-07-23T16:24:00Z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