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A442C" w14:textId="77777777" w:rsidR="008540A9" w:rsidRPr="00B10A68" w:rsidRDefault="008540A9" w:rsidP="008540A9">
      <w:pPr>
        <w:spacing w:after="0" w:line="240" w:lineRule="auto"/>
        <w:jc w:val="both"/>
        <w:rPr>
          <w:rFonts w:ascii="Verdana" w:eastAsia="Calibri" w:hAnsi="Verdana" w:cs="Arial"/>
          <w:b/>
          <w:bCs/>
          <w:lang w:val="es-ES" w:eastAsia="es-ES"/>
        </w:rPr>
      </w:pPr>
      <w:r w:rsidRPr="00B10A68">
        <w:rPr>
          <w:rFonts w:ascii="Verdana" w:eastAsia="Calibri" w:hAnsi="Verdana" w:cs="Arial"/>
          <w:b/>
          <w:bCs/>
          <w:lang w:val="es-ES" w:eastAsia="es-ES"/>
        </w:rPr>
        <w:t>SUBSANABILIDAD – Aplicación – R</w:t>
      </w:r>
      <w:r w:rsidRPr="00B10A68">
        <w:rPr>
          <w:rFonts w:ascii="Verdana" w:eastAsia="Calibri" w:hAnsi="Verdana" w:cs="Times New Roman"/>
          <w:b/>
          <w:bCs/>
          <w:lang w:val="es-ES" w:eastAsia="es-ES"/>
        </w:rPr>
        <w:t>egla general</w:t>
      </w:r>
      <w:r w:rsidRPr="00B10A68">
        <w:rPr>
          <w:rFonts w:ascii="Verdana" w:eastAsia="Calibri" w:hAnsi="Verdana" w:cs="Arial"/>
          <w:b/>
          <w:bCs/>
          <w:lang w:val="es-ES" w:eastAsia="es-ES"/>
        </w:rPr>
        <w:t xml:space="preserve"> – Excepciones </w:t>
      </w:r>
    </w:p>
    <w:p w14:paraId="41B6145E" w14:textId="77777777" w:rsidR="008540A9" w:rsidRPr="00B10A68" w:rsidRDefault="008540A9" w:rsidP="008540A9">
      <w:pPr>
        <w:tabs>
          <w:tab w:val="left" w:pos="426"/>
        </w:tabs>
        <w:spacing w:after="0" w:line="240" w:lineRule="auto"/>
        <w:jc w:val="both"/>
        <w:rPr>
          <w:rFonts w:ascii="Verdana" w:eastAsia="Calibri" w:hAnsi="Verdana" w:cs="Arial"/>
          <w:b/>
          <w:sz w:val="20"/>
          <w:szCs w:val="20"/>
          <w:lang w:eastAsia="es-CO"/>
        </w:rPr>
      </w:pPr>
    </w:p>
    <w:p w14:paraId="01381F76" w14:textId="77777777" w:rsidR="008540A9" w:rsidRPr="00B10A68" w:rsidRDefault="008540A9" w:rsidP="008540A9">
      <w:pPr>
        <w:spacing w:after="0" w:line="240" w:lineRule="auto"/>
        <w:jc w:val="both"/>
        <w:rPr>
          <w:rFonts w:ascii="Verdana" w:eastAsia="Calibri" w:hAnsi="Verdana" w:cs="Arial"/>
          <w:bCs/>
          <w:sz w:val="20"/>
          <w:szCs w:val="20"/>
          <w:lang w:eastAsia="es-CO"/>
        </w:rPr>
      </w:pPr>
      <w:r w:rsidRPr="00B10A68">
        <w:rPr>
          <w:rFonts w:ascii="Verdana" w:eastAsia="Calibri" w:hAnsi="Verdana" w:cs="Arial"/>
          <w:bCs/>
          <w:sz w:val="20"/>
          <w:szCs w:val="20"/>
          <w:lang w:eastAsia="es-CO"/>
        </w:rPr>
        <w:t>La regla de la subsanabilidad de las ofertas en los procedimientos de selección indica que, por regla general, la falta de entrega y los defectos en la acreditación de los requisitos habilitantes son aspectos subsanables. La excepción a esta regla se encuentra en la prohibición de permitir que se subsanen aspectos que otorgan puntaje, de valer la acreditación de circunstancias ocurridas con posterioridad al cierre del proceso y de permitir la entrega de la garantía de seriedad de la oferta que no fue aportada con la propuesta.</w:t>
      </w:r>
    </w:p>
    <w:p w14:paraId="611BA604" w14:textId="77777777" w:rsidR="008540A9" w:rsidRPr="00B10A68" w:rsidRDefault="008540A9" w:rsidP="008540A9">
      <w:pPr>
        <w:spacing w:after="0" w:line="240" w:lineRule="auto"/>
        <w:jc w:val="both"/>
        <w:rPr>
          <w:rFonts w:ascii="Verdana" w:eastAsia="Calibri" w:hAnsi="Verdana" w:cs="Arial"/>
          <w:bCs/>
          <w:sz w:val="20"/>
          <w:szCs w:val="20"/>
          <w:lang w:val="es-ES_tradnl" w:eastAsia="es-CO"/>
        </w:rPr>
      </w:pPr>
    </w:p>
    <w:p w14:paraId="7CBCD179" w14:textId="77777777" w:rsidR="008540A9" w:rsidRPr="00B10A68" w:rsidRDefault="008540A9" w:rsidP="008540A9">
      <w:pPr>
        <w:spacing w:after="0" w:line="240" w:lineRule="auto"/>
        <w:jc w:val="both"/>
        <w:rPr>
          <w:rFonts w:ascii="Verdana" w:eastAsia="Calibri" w:hAnsi="Verdana" w:cs="Arial"/>
          <w:b/>
          <w:bCs/>
          <w:lang w:val="es-ES" w:eastAsia="es-ES"/>
        </w:rPr>
      </w:pPr>
      <w:r w:rsidRPr="00B10A68">
        <w:rPr>
          <w:rFonts w:ascii="Verdana" w:eastAsia="Calibri" w:hAnsi="Verdana" w:cs="Arial"/>
          <w:b/>
          <w:bCs/>
          <w:lang w:val="es-ES" w:eastAsia="es-ES"/>
        </w:rPr>
        <w:t xml:space="preserve">SUBSANABILIDAD – Ley 1882 de 2018 </w:t>
      </w:r>
    </w:p>
    <w:p w14:paraId="72BD1B72" w14:textId="77777777" w:rsidR="008540A9" w:rsidRPr="00B10A68" w:rsidRDefault="008540A9" w:rsidP="008540A9">
      <w:pPr>
        <w:spacing w:after="0" w:line="240" w:lineRule="auto"/>
        <w:jc w:val="both"/>
        <w:rPr>
          <w:rFonts w:ascii="Verdana" w:eastAsia="Times New Roman" w:hAnsi="Verdana" w:cs="Arial"/>
          <w:lang w:val="es-ES" w:eastAsia="es-ES_tradnl"/>
        </w:rPr>
      </w:pPr>
    </w:p>
    <w:p w14:paraId="5BD2D46E" w14:textId="77777777" w:rsidR="008540A9" w:rsidRPr="00B10A68" w:rsidRDefault="008540A9" w:rsidP="008540A9">
      <w:pPr>
        <w:spacing w:after="0" w:line="240" w:lineRule="auto"/>
        <w:jc w:val="both"/>
        <w:rPr>
          <w:rFonts w:ascii="Verdana" w:eastAsia="Calibri" w:hAnsi="Verdana" w:cs="Arial"/>
          <w:bCs/>
          <w:sz w:val="20"/>
          <w:szCs w:val="20"/>
          <w:lang w:eastAsia="es-CO"/>
        </w:rPr>
      </w:pPr>
      <w:r w:rsidRPr="00B10A68">
        <w:rPr>
          <w:rFonts w:ascii="Verdana" w:eastAsia="Calibri" w:hAnsi="Verdana" w:cs="Arial"/>
          <w:bCs/>
          <w:sz w:val="20"/>
          <w:szCs w:val="20"/>
          <w:lang w:eastAsia="es-CO"/>
        </w:rPr>
        <w:t xml:space="preserve">[…] la Ley 1882 de 2018: i) mantiene el criterio de la Ley 80 de 1993, relativo a que todo lo que no sea necesario para la comparación de propuestas no es título suficiente para su rechazo; </w:t>
      </w:r>
      <w:proofErr w:type="spellStart"/>
      <w:r w:rsidRPr="00B10A68">
        <w:rPr>
          <w:rFonts w:ascii="Verdana" w:eastAsia="Calibri" w:hAnsi="Verdana" w:cs="Arial"/>
          <w:bCs/>
          <w:sz w:val="20"/>
          <w:szCs w:val="20"/>
          <w:lang w:eastAsia="es-CO"/>
        </w:rPr>
        <w:t>ii</w:t>
      </w:r>
      <w:proofErr w:type="spellEnd"/>
      <w:r w:rsidRPr="00B10A68">
        <w:rPr>
          <w:rFonts w:ascii="Verdana" w:eastAsia="Calibri" w:hAnsi="Verdana" w:cs="Arial"/>
          <w:bCs/>
          <w:sz w:val="20"/>
          <w:szCs w:val="20"/>
          <w:lang w:eastAsia="es-CO"/>
        </w:rPr>
        <w:t xml:space="preserve">) mantiene el criterio aclaratorio de la Ley 1150 de 2007, según el cual todo lo que no afecte la asignación de puntaje puede subsanarse; e, </w:t>
      </w:r>
      <w:proofErr w:type="spellStart"/>
      <w:r w:rsidRPr="00B10A68">
        <w:rPr>
          <w:rFonts w:ascii="Verdana" w:eastAsia="Calibri" w:hAnsi="Verdana" w:cs="Arial"/>
          <w:bCs/>
          <w:sz w:val="20"/>
          <w:szCs w:val="20"/>
          <w:lang w:eastAsia="es-CO"/>
        </w:rPr>
        <w:t>iii</w:t>
      </w:r>
      <w:proofErr w:type="spellEnd"/>
      <w:r w:rsidRPr="00B10A68">
        <w:rPr>
          <w:rFonts w:ascii="Verdana" w:eastAsia="Calibri" w:hAnsi="Verdana" w:cs="Arial"/>
          <w:bCs/>
          <w:sz w:val="20"/>
          <w:szCs w:val="20"/>
          <w:lang w:eastAsia="es-CO"/>
        </w:rPr>
        <w:t>) introduce modificaciones en relación con algunos aspectos que se analizarán a continuación.</w:t>
      </w:r>
    </w:p>
    <w:p w14:paraId="422C6F14" w14:textId="77777777" w:rsidR="008540A9" w:rsidRPr="00B10A68" w:rsidRDefault="008540A9" w:rsidP="008540A9">
      <w:pPr>
        <w:spacing w:after="0" w:line="240" w:lineRule="auto"/>
        <w:jc w:val="both"/>
        <w:rPr>
          <w:rFonts w:ascii="Verdana" w:eastAsia="Calibri" w:hAnsi="Verdana" w:cs="Arial"/>
          <w:bCs/>
          <w:sz w:val="20"/>
          <w:szCs w:val="20"/>
          <w:lang w:eastAsia="es-CO"/>
        </w:rPr>
      </w:pPr>
    </w:p>
    <w:p w14:paraId="3DAE3A6B" w14:textId="77777777" w:rsidR="008540A9" w:rsidRPr="00B10A68" w:rsidRDefault="008540A9" w:rsidP="008540A9">
      <w:pPr>
        <w:spacing w:after="0" w:line="240" w:lineRule="auto"/>
        <w:rPr>
          <w:rFonts w:ascii="Verdana" w:eastAsia="Times New Roman" w:hAnsi="Verdana" w:cs="Arial"/>
          <w:b/>
          <w:bCs/>
          <w:lang w:val="es-MX" w:eastAsia="es-ES_tradnl"/>
        </w:rPr>
      </w:pPr>
      <w:r w:rsidRPr="00B10A68">
        <w:rPr>
          <w:rFonts w:ascii="Verdana" w:eastAsia="Times New Roman" w:hAnsi="Verdana" w:cs="Arial"/>
          <w:b/>
          <w:bCs/>
          <w:lang w:val="es-MX" w:eastAsia="es-ES_tradnl"/>
        </w:rPr>
        <w:t xml:space="preserve">SUBSANABILIDAD Y ACLARACIÓN DE LA OFERTA – Diferencias </w:t>
      </w:r>
    </w:p>
    <w:p w14:paraId="6003E0C7" w14:textId="77777777" w:rsidR="008540A9" w:rsidRPr="00B10A68" w:rsidRDefault="008540A9" w:rsidP="008540A9">
      <w:pPr>
        <w:spacing w:after="0" w:line="240" w:lineRule="auto"/>
        <w:rPr>
          <w:rFonts w:ascii="Verdana" w:eastAsia="Times New Roman" w:hAnsi="Verdana" w:cs="Arial"/>
          <w:b/>
          <w:bCs/>
          <w:lang w:val="es-MX" w:eastAsia="es-ES_tradnl"/>
        </w:rPr>
      </w:pPr>
    </w:p>
    <w:p w14:paraId="0FD31E31" w14:textId="77777777" w:rsidR="008540A9" w:rsidRPr="00B10A68" w:rsidRDefault="008540A9" w:rsidP="008540A9">
      <w:pPr>
        <w:spacing w:after="0" w:line="240" w:lineRule="auto"/>
        <w:jc w:val="both"/>
        <w:rPr>
          <w:rFonts w:ascii="Verdana" w:eastAsia="Times New Roman" w:hAnsi="Verdana" w:cs="Arial"/>
          <w:bCs/>
          <w:sz w:val="20"/>
          <w:szCs w:val="20"/>
          <w:lang w:eastAsia="es-ES_tradnl"/>
        </w:rPr>
      </w:pPr>
      <w:r w:rsidRPr="00B10A68">
        <w:rPr>
          <w:rFonts w:ascii="Verdana" w:eastAsia="Times New Roman" w:hAnsi="Verdana" w:cs="Arial"/>
          <w:bCs/>
          <w:sz w:val="20"/>
          <w:szCs w:val="20"/>
          <w:lang w:eastAsia="es-ES_tradnl"/>
        </w:rPr>
        <w:t>“[…] es distinto aclarar y subsanar una oferta, siendo este último un instituto que procura porque el oferente presente, dentro del plazo y bajo las condiciones dadas por la norma aplicable, los documentos que acrediten el cumplimiento de los requisitos exigidos como habilitantes para participar en el respectivo procedimiento de selección, mientras que la aclaración permite mejor el entendimiento de los elementos de la oferta, sean o no subsanables, para la correcta verificación y evaluación de los mismos por parte de la entidad pública.  Finalmente, como dispone el artículo 30.7 de la Ley 80 de 1993, la aclaración de las propuestas se realiza durante la evaluación de estas, pues es necesario esclarecer los aspectos dudosos de las ofertas antes de la adjudicación. Por ello, la jurisprudencia también explica que “[…] el proponente debe acogerse al tiempo que le otorga la administración para subsanar o aclarar la oferta, lapso que la entidad no puede extender más allá de la adjudicación […]”. De esta manera, “lo ideal en un proceso de selección es que las aclaraciones y explicaciones se anticipen y soliciten durante la etapa de evaluación, lo más pronto posible, es decir, antes de que la entidad elabore el informe respectivo, de tal manera que las tenga en cuenta para producir ese acto administrativo”.</w:t>
      </w:r>
    </w:p>
    <w:p w14:paraId="313A06DB" w14:textId="77777777" w:rsidR="008540A9" w:rsidRPr="00B10A68" w:rsidRDefault="008540A9" w:rsidP="008540A9">
      <w:pPr>
        <w:spacing w:after="0" w:line="240" w:lineRule="auto"/>
        <w:rPr>
          <w:rFonts w:ascii="Verdana" w:eastAsia="Times New Roman" w:hAnsi="Verdana" w:cs="Arial"/>
          <w:b/>
          <w:bCs/>
          <w:lang w:val="es-MX" w:eastAsia="es-ES_tradnl"/>
        </w:rPr>
      </w:pPr>
    </w:p>
    <w:p w14:paraId="1A25DD39" w14:textId="77777777" w:rsidR="008540A9" w:rsidRPr="00B10A68" w:rsidRDefault="008540A9" w:rsidP="008540A9">
      <w:pPr>
        <w:spacing w:after="0" w:line="240" w:lineRule="auto"/>
        <w:rPr>
          <w:rFonts w:ascii="Verdana" w:eastAsia="Geomanist Light" w:hAnsi="Verdana" w:cs="Arial"/>
        </w:rPr>
      </w:pPr>
    </w:p>
    <w:p w14:paraId="39A48922" w14:textId="77777777" w:rsidR="008540A9" w:rsidRPr="00B10A68" w:rsidRDefault="008540A9" w:rsidP="008540A9">
      <w:pPr>
        <w:spacing w:after="0" w:line="240" w:lineRule="auto"/>
        <w:rPr>
          <w:rFonts w:ascii="Verdana" w:eastAsia="Geomanist Light" w:hAnsi="Verdana" w:cs="Arial"/>
        </w:rPr>
      </w:pPr>
    </w:p>
    <w:p w14:paraId="782DA461" w14:textId="77777777" w:rsidR="008540A9" w:rsidRPr="00B10A68" w:rsidRDefault="008540A9" w:rsidP="008540A9">
      <w:pPr>
        <w:spacing w:after="0" w:line="240" w:lineRule="auto"/>
        <w:rPr>
          <w:rFonts w:ascii="Verdana" w:eastAsia="Geomanist Light" w:hAnsi="Verdana" w:cs="Arial"/>
        </w:rPr>
      </w:pPr>
    </w:p>
    <w:p w14:paraId="0A0824F0" w14:textId="77777777" w:rsidR="008540A9" w:rsidRPr="00B10A68" w:rsidRDefault="008540A9" w:rsidP="008540A9">
      <w:pPr>
        <w:spacing w:after="0" w:line="240" w:lineRule="auto"/>
        <w:rPr>
          <w:rFonts w:ascii="Verdana" w:eastAsia="Geomanist Light" w:hAnsi="Verdana" w:cs="Arial"/>
        </w:rPr>
      </w:pPr>
    </w:p>
    <w:p w14:paraId="757DBCDD" w14:textId="77777777" w:rsidR="008540A9" w:rsidRPr="00B10A68" w:rsidRDefault="008540A9" w:rsidP="008540A9">
      <w:pPr>
        <w:spacing w:after="0" w:line="240" w:lineRule="auto"/>
        <w:rPr>
          <w:rFonts w:ascii="Verdana" w:eastAsia="Geomanist Light" w:hAnsi="Verdana" w:cs="Arial"/>
        </w:rPr>
      </w:pPr>
    </w:p>
    <w:p w14:paraId="73C35488" w14:textId="77777777" w:rsidR="008540A9" w:rsidRPr="00B10A68" w:rsidRDefault="008540A9" w:rsidP="008540A9">
      <w:pPr>
        <w:spacing w:after="0" w:line="240" w:lineRule="auto"/>
        <w:rPr>
          <w:rFonts w:ascii="Verdana" w:eastAsia="Geomanist Light" w:hAnsi="Verdana" w:cs="Arial"/>
        </w:rPr>
      </w:pPr>
    </w:p>
    <w:p w14:paraId="278ED520" w14:textId="77777777" w:rsidR="008540A9" w:rsidRPr="00B10A68" w:rsidRDefault="008540A9" w:rsidP="008540A9">
      <w:pPr>
        <w:spacing w:after="0" w:line="240" w:lineRule="auto"/>
        <w:rPr>
          <w:rFonts w:ascii="Verdana" w:eastAsia="Geomanist Light" w:hAnsi="Verdana" w:cs="Arial"/>
        </w:rPr>
      </w:pPr>
    </w:p>
    <w:p w14:paraId="2D92FFDF" w14:textId="77777777" w:rsidR="008540A9" w:rsidRPr="00B10A68" w:rsidRDefault="008540A9" w:rsidP="008540A9">
      <w:pPr>
        <w:spacing w:after="0" w:line="240" w:lineRule="auto"/>
        <w:rPr>
          <w:rFonts w:ascii="Verdana" w:eastAsia="Geomanist Light" w:hAnsi="Verdana" w:cs="Arial"/>
        </w:rPr>
      </w:pPr>
    </w:p>
    <w:p w14:paraId="7519D8E7" w14:textId="77777777" w:rsidR="00054140" w:rsidRDefault="008540A9" w:rsidP="008540A9">
      <w:pPr>
        <w:spacing w:after="0" w:line="240" w:lineRule="auto"/>
        <w:rPr>
          <w:rFonts w:ascii="Verdana" w:eastAsia="Geomanist Light" w:hAnsi="Verdana" w:cs="Arial"/>
          <w:lang w:val="es-MX"/>
        </w:rPr>
      </w:pPr>
      <w:r w:rsidRPr="00781539">
        <w:rPr>
          <w:rFonts w:ascii="Verdana" w:eastAsia="Geomanist Light" w:hAnsi="Verdana" w:cs="Arial"/>
          <w:lang w:val="es-MX"/>
        </w:rPr>
        <w:lastRenderedPageBreak/>
        <w:t xml:space="preserve">Bogotá D.C., </w:t>
      </w:r>
      <w:r w:rsidR="00054140">
        <w:rPr>
          <w:rFonts w:ascii="Verdana" w:eastAsia="Geomanist Light" w:hAnsi="Verdana" w:cs="Arial"/>
          <w:lang w:val="es-MX"/>
        </w:rPr>
        <w:t>22 de julio de 2026</w:t>
      </w:r>
    </w:p>
    <w:p w14:paraId="39722225" w14:textId="77777777" w:rsidR="00054140" w:rsidRDefault="00054140" w:rsidP="008540A9">
      <w:pPr>
        <w:spacing w:after="0" w:line="240" w:lineRule="auto"/>
        <w:rPr>
          <w:rFonts w:ascii="Verdana" w:eastAsia="Geomanist Light" w:hAnsi="Verdana" w:cs="Arial"/>
          <w:lang w:val="es-MX"/>
        </w:rPr>
      </w:pPr>
    </w:p>
    <w:p w14:paraId="679F14ED" w14:textId="0656C5A6" w:rsidR="008540A9" w:rsidRDefault="00054140" w:rsidP="00054140">
      <w:pPr>
        <w:spacing w:after="0" w:line="240" w:lineRule="auto"/>
        <w:jc w:val="right"/>
        <w:rPr>
          <w:rFonts w:ascii="Verdana" w:eastAsia="Geomanist Light" w:hAnsi="Verdana" w:cs="Arial"/>
          <w:lang w:val="es-MX"/>
        </w:rPr>
      </w:pPr>
      <w:r w:rsidRPr="00054140">
        <w:rPr>
          <w:rFonts w:ascii="Verdana" w:eastAsia="Geomanist Light" w:hAnsi="Verdana" w:cs="Arial"/>
          <w:lang w:val="es-MX"/>
        </w:rPr>
        <w:drawing>
          <wp:inline distT="0" distB="0" distL="0" distR="0" wp14:anchorId="49E91DBD" wp14:editId="0F26AA7D">
            <wp:extent cx="3667637" cy="990738"/>
            <wp:effectExtent l="0" t="0" r="9525" b="0"/>
            <wp:docPr id="7694191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419190" name=""/>
                    <pic:cNvPicPr/>
                  </pic:nvPicPr>
                  <pic:blipFill>
                    <a:blip r:embed="rId10"/>
                    <a:stretch>
                      <a:fillRect/>
                    </a:stretch>
                  </pic:blipFill>
                  <pic:spPr>
                    <a:xfrm>
                      <a:off x="0" y="0"/>
                      <a:ext cx="3667637" cy="990738"/>
                    </a:xfrm>
                    <a:prstGeom prst="rect">
                      <a:avLst/>
                    </a:prstGeom>
                  </pic:spPr>
                </pic:pic>
              </a:graphicData>
            </a:graphic>
          </wp:inline>
        </w:drawing>
      </w:r>
      <w:r w:rsidR="008540A9" w:rsidRPr="00781539">
        <w:rPr>
          <w:rFonts w:ascii="Verdana" w:eastAsia="Geomanist Light" w:hAnsi="Verdana" w:cs="Arial"/>
          <w:lang w:val="es-MX"/>
        </w:rPr>
        <w:tab/>
      </w:r>
    </w:p>
    <w:p w14:paraId="5CF2C228" w14:textId="77777777" w:rsidR="008540A9" w:rsidRDefault="008540A9" w:rsidP="008540A9">
      <w:pPr>
        <w:spacing w:after="0" w:line="240" w:lineRule="auto"/>
        <w:rPr>
          <w:rFonts w:ascii="Verdana" w:eastAsia="Calibri" w:hAnsi="Verdana" w:cs="Arial"/>
          <w:lang w:val="es-MX"/>
        </w:rPr>
      </w:pPr>
    </w:p>
    <w:p w14:paraId="680F4E3F" w14:textId="77777777" w:rsidR="008540A9" w:rsidRPr="00B10A68" w:rsidRDefault="008540A9" w:rsidP="008540A9">
      <w:pPr>
        <w:spacing w:after="0" w:line="240" w:lineRule="auto"/>
        <w:rPr>
          <w:rFonts w:ascii="Verdana" w:eastAsia="Calibri" w:hAnsi="Verdana" w:cs="Arial"/>
          <w:lang w:val="es-MX"/>
        </w:rPr>
      </w:pPr>
    </w:p>
    <w:p w14:paraId="2E39BF4C" w14:textId="77777777" w:rsidR="008540A9" w:rsidRPr="00B10A68" w:rsidRDefault="008540A9" w:rsidP="008540A9">
      <w:pPr>
        <w:spacing w:after="0" w:line="240" w:lineRule="auto"/>
        <w:jc w:val="both"/>
        <w:rPr>
          <w:rFonts w:ascii="Verdana" w:eastAsia="Calibri" w:hAnsi="Verdana" w:cs="Arial"/>
          <w:lang w:val="es-ES" w:eastAsia="es-ES"/>
        </w:rPr>
      </w:pPr>
      <w:r w:rsidRPr="00B10A68">
        <w:rPr>
          <w:rFonts w:ascii="Verdana" w:eastAsia="Calibri" w:hAnsi="Verdana" w:cs="Arial"/>
          <w:lang w:val="es-ES" w:eastAsia="es-ES"/>
        </w:rPr>
        <w:t>Señor</w:t>
      </w:r>
    </w:p>
    <w:p w14:paraId="786C9C79" w14:textId="77777777" w:rsidR="008540A9" w:rsidRPr="00B10A68" w:rsidRDefault="008540A9" w:rsidP="008540A9">
      <w:pPr>
        <w:spacing w:after="0" w:line="240" w:lineRule="auto"/>
        <w:rPr>
          <w:rFonts w:ascii="Verdana" w:eastAsia="Calibri" w:hAnsi="Verdana" w:cs="Arial"/>
          <w:b/>
          <w:lang w:val="es-ES_tradnl" w:eastAsia="es-ES_tradnl"/>
        </w:rPr>
      </w:pPr>
      <w:r>
        <w:rPr>
          <w:rFonts w:ascii="Verdana" w:eastAsia="Calibri" w:hAnsi="Verdana" w:cs="Arial"/>
          <w:b/>
          <w:lang w:val="es-ES_tradnl" w:eastAsia="es-ES_tradnl"/>
        </w:rPr>
        <w:t>José Ignacio Oñoro Barrios</w:t>
      </w:r>
    </w:p>
    <w:p w14:paraId="79BBD44D" w14:textId="77777777" w:rsidR="008540A9" w:rsidRPr="00391027" w:rsidRDefault="008540A9" w:rsidP="008540A9">
      <w:pPr>
        <w:spacing w:after="0" w:line="240" w:lineRule="auto"/>
        <w:rPr>
          <w:rFonts w:ascii="Verdana" w:hAnsi="Verdana"/>
        </w:rPr>
      </w:pPr>
      <w:hyperlink r:id="rId11" w:history="1">
        <w:r w:rsidRPr="008A760D">
          <w:rPr>
            <w:rStyle w:val="Hipervnculo"/>
            <w:rFonts w:ascii="Verdana" w:hAnsi="Verdana"/>
          </w:rPr>
          <w:t>joseonorobarrios7@hotmail.com</w:t>
        </w:r>
      </w:hyperlink>
      <w:r>
        <w:rPr>
          <w:rFonts w:ascii="Verdana" w:hAnsi="Verdana"/>
        </w:rPr>
        <w:t xml:space="preserve"> </w:t>
      </w:r>
    </w:p>
    <w:p w14:paraId="35CC820A" w14:textId="77777777" w:rsidR="008540A9" w:rsidRPr="00391027" w:rsidRDefault="008540A9" w:rsidP="008540A9">
      <w:pPr>
        <w:spacing w:after="0" w:line="240" w:lineRule="auto"/>
        <w:rPr>
          <w:rFonts w:ascii="Verdana" w:eastAsia="Calibri" w:hAnsi="Verdana" w:cs="Arial"/>
          <w:b/>
          <w:bCs/>
          <w:lang w:val="es-ES" w:eastAsia="es-ES"/>
        </w:rPr>
      </w:pPr>
      <w:r w:rsidRPr="00391027">
        <w:rPr>
          <w:rFonts w:ascii="Verdana" w:eastAsia="Calibri" w:hAnsi="Verdana" w:cs="Arial"/>
          <w:lang w:val="es-ES" w:eastAsia="es-ES"/>
        </w:rPr>
        <w:t>C</w:t>
      </w:r>
      <w:r>
        <w:rPr>
          <w:rFonts w:ascii="Verdana" w:eastAsia="Calibri" w:hAnsi="Verdana" w:cs="Arial"/>
          <w:lang w:val="es-ES" w:eastAsia="es-ES"/>
        </w:rPr>
        <w:t>iudad</w:t>
      </w:r>
    </w:p>
    <w:p w14:paraId="01A57B0D" w14:textId="77777777" w:rsidR="008540A9" w:rsidRPr="00B10A68" w:rsidRDefault="008540A9" w:rsidP="008540A9">
      <w:pPr>
        <w:spacing w:after="0" w:line="240" w:lineRule="auto"/>
        <w:rPr>
          <w:rFonts w:ascii="Verdana" w:eastAsia="Calibri" w:hAnsi="Verdana" w:cs="Arial"/>
          <w:b/>
          <w:bCs/>
          <w:lang w:val="es-ES_tradnl" w:eastAsia="es-ES_tradnl"/>
        </w:rPr>
      </w:pPr>
    </w:p>
    <w:p w14:paraId="446E44CA" w14:textId="77777777" w:rsidR="008540A9" w:rsidRPr="00B10A68" w:rsidRDefault="008540A9" w:rsidP="008540A9">
      <w:pPr>
        <w:spacing w:after="0" w:line="240" w:lineRule="auto"/>
        <w:rPr>
          <w:rFonts w:ascii="Verdana" w:eastAsia="Calibri" w:hAnsi="Verdana" w:cs="Arial"/>
          <w:b/>
          <w:bCs/>
          <w:lang w:val="es-ES_tradnl" w:eastAsia="es-ES_tradnl"/>
        </w:rPr>
      </w:pPr>
    </w:p>
    <w:tbl>
      <w:tblPr>
        <w:tblStyle w:val="Tablaconcuadrcula1"/>
        <w:tblW w:w="8789"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8540A9" w:rsidRPr="00B10A68" w14:paraId="22DCFBBC" w14:textId="77777777" w:rsidTr="00430CFE">
        <w:trPr>
          <w:trHeight w:val="222"/>
        </w:trPr>
        <w:tc>
          <w:tcPr>
            <w:tcW w:w="2689" w:type="dxa"/>
          </w:tcPr>
          <w:p w14:paraId="5551D386" w14:textId="77777777" w:rsidR="008540A9" w:rsidRPr="00B10A68" w:rsidRDefault="008540A9" w:rsidP="00430CFE">
            <w:pPr>
              <w:jc w:val="both"/>
              <w:rPr>
                <w:rFonts w:ascii="Verdana" w:hAnsi="Verdana" w:cs="Arial"/>
                <w:b/>
                <w:bCs/>
                <w:lang w:val="es-ES_tradnl" w:eastAsia="es-ES_tradnl"/>
              </w:rPr>
            </w:pPr>
          </w:p>
        </w:tc>
        <w:tc>
          <w:tcPr>
            <w:tcW w:w="6100" w:type="dxa"/>
            <w:hideMark/>
          </w:tcPr>
          <w:p w14:paraId="3F2C8E53" w14:textId="77777777" w:rsidR="008540A9" w:rsidRDefault="008540A9" w:rsidP="00430CFE">
            <w:pPr>
              <w:jc w:val="both"/>
              <w:rPr>
                <w:rFonts w:ascii="Verdana" w:hAnsi="Verdana" w:cs="Arial"/>
                <w:b/>
                <w:bCs/>
                <w:lang w:val="es-ES" w:eastAsia="es-ES"/>
              </w:rPr>
            </w:pPr>
            <w:r w:rsidRPr="00B10A68">
              <w:rPr>
                <w:rFonts w:ascii="Verdana" w:hAnsi="Verdana" w:cs="Arial"/>
                <w:b/>
                <w:bCs/>
                <w:lang w:val="es-ES" w:eastAsia="es-ES"/>
              </w:rPr>
              <w:t xml:space="preserve">Concepto C- </w:t>
            </w:r>
            <w:r>
              <w:rPr>
                <w:rFonts w:ascii="Verdana" w:hAnsi="Verdana" w:cs="Arial"/>
                <w:b/>
                <w:bCs/>
                <w:lang w:val="es-ES" w:eastAsia="es-ES"/>
              </w:rPr>
              <w:t>950</w:t>
            </w:r>
            <w:r w:rsidRPr="00B10A68">
              <w:rPr>
                <w:rFonts w:ascii="Verdana" w:hAnsi="Verdana" w:cs="Arial"/>
                <w:b/>
                <w:bCs/>
                <w:lang w:val="es-ES" w:eastAsia="es-ES"/>
              </w:rPr>
              <w:t xml:space="preserve"> de 202</w:t>
            </w:r>
            <w:r>
              <w:rPr>
                <w:rFonts w:ascii="Verdana" w:hAnsi="Verdana" w:cs="Arial"/>
                <w:b/>
                <w:bCs/>
                <w:lang w:val="es-ES" w:eastAsia="es-ES"/>
              </w:rPr>
              <w:t>6</w:t>
            </w:r>
          </w:p>
          <w:p w14:paraId="2B5CED68" w14:textId="77777777" w:rsidR="008540A9" w:rsidRDefault="008540A9" w:rsidP="00430CFE">
            <w:pPr>
              <w:jc w:val="both"/>
              <w:rPr>
                <w:rFonts w:ascii="Verdana" w:hAnsi="Verdana" w:cs="Arial"/>
                <w:b/>
                <w:bCs/>
                <w:lang w:val="es-ES" w:eastAsia="es-ES"/>
              </w:rPr>
            </w:pPr>
          </w:p>
          <w:p w14:paraId="270C6DCC" w14:textId="77777777" w:rsidR="008540A9" w:rsidRPr="00B10A68" w:rsidRDefault="008540A9" w:rsidP="00430CFE">
            <w:pPr>
              <w:jc w:val="both"/>
              <w:rPr>
                <w:rFonts w:ascii="Verdana" w:hAnsi="Verdana" w:cs="Arial"/>
                <w:b/>
                <w:bCs/>
                <w:lang w:val="es-ES" w:eastAsia="es-ES"/>
              </w:rPr>
            </w:pPr>
          </w:p>
        </w:tc>
      </w:tr>
      <w:tr w:rsidR="008540A9" w:rsidRPr="00B10A68" w14:paraId="3AA3D87A" w14:textId="77777777" w:rsidTr="00430CFE">
        <w:trPr>
          <w:trHeight w:val="884"/>
        </w:trPr>
        <w:tc>
          <w:tcPr>
            <w:tcW w:w="2689" w:type="dxa"/>
            <w:hideMark/>
          </w:tcPr>
          <w:p w14:paraId="12B21FDC" w14:textId="77777777" w:rsidR="008540A9" w:rsidRPr="00B10A68" w:rsidRDefault="008540A9" w:rsidP="00430CFE">
            <w:pPr>
              <w:jc w:val="both"/>
              <w:rPr>
                <w:rFonts w:ascii="Verdana" w:hAnsi="Verdana" w:cs="Arial"/>
                <w:lang w:val="es-ES_tradnl" w:eastAsia="es-ES_tradnl"/>
              </w:rPr>
            </w:pPr>
            <w:r w:rsidRPr="00B10A68">
              <w:rPr>
                <w:rFonts w:ascii="Verdana" w:hAnsi="Verdana" w:cs="Arial"/>
                <w:b/>
                <w:lang w:val="es-ES_tradnl" w:eastAsia="es-ES_tradnl"/>
              </w:rPr>
              <w:t>Temas:</w:t>
            </w:r>
            <w:r w:rsidRPr="00B10A68">
              <w:rPr>
                <w:rFonts w:ascii="Verdana" w:hAnsi="Verdana" w:cs="Arial"/>
                <w:lang w:val="es-ES_tradnl" w:eastAsia="es-ES_tradnl"/>
              </w:rPr>
              <w:t xml:space="preserve">                   </w:t>
            </w:r>
          </w:p>
        </w:tc>
        <w:tc>
          <w:tcPr>
            <w:tcW w:w="6100" w:type="dxa"/>
            <w:hideMark/>
          </w:tcPr>
          <w:p w14:paraId="567CF61D" w14:textId="77777777" w:rsidR="008540A9" w:rsidRDefault="008540A9" w:rsidP="00430CFE">
            <w:pPr>
              <w:jc w:val="both"/>
              <w:rPr>
                <w:rFonts w:ascii="Verdana" w:hAnsi="Verdana" w:cs="Arial"/>
                <w:lang w:val="es-ES" w:eastAsia="es-ES"/>
              </w:rPr>
            </w:pPr>
            <w:r w:rsidRPr="00B10A68">
              <w:rPr>
                <w:rFonts w:ascii="Verdana" w:hAnsi="Verdana" w:cs="Arial"/>
                <w:lang w:val="es-ES" w:eastAsia="es-ES"/>
              </w:rPr>
              <w:t>SUBSANABILIDAD – Aplicación – Regla general – Excepciones / SUBSANABILIDAD – Ley 1882 de 2018 / SUBSANABILIDAD Y ACLARACIÓN DE LA OFERTA – Diferencias</w:t>
            </w:r>
          </w:p>
          <w:p w14:paraId="12FAA369" w14:textId="77777777" w:rsidR="008540A9" w:rsidRDefault="008540A9" w:rsidP="00430CFE">
            <w:pPr>
              <w:jc w:val="both"/>
              <w:rPr>
                <w:rFonts w:ascii="Verdana" w:hAnsi="Verdana" w:cs="Arial"/>
                <w:lang w:val="es-ES" w:eastAsia="es-ES"/>
              </w:rPr>
            </w:pPr>
          </w:p>
          <w:p w14:paraId="345BA3B3" w14:textId="77777777" w:rsidR="008540A9" w:rsidRPr="00B10A68" w:rsidRDefault="008540A9" w:rsidP="00430CFE">
            <w:pPr>
              <w:jc w:val="both"/>
              <w:rPr>
                <w:rFonts w:ascii="Verdana" w:hAnsi="Verdana" w:cs="Arial"/>
                <w:highlight w:val="yellow"/>
                <w:lang w:val="es-ES" w:eastAsia="es-ES"/>
              </w:rPr>
            </w:pPr>
          </w:p>
        </w:tc>
      </w:tr>
      <w:tr w:rsidR="008540A9" w:rsidRPr="00B10A68" w14:paraId="4810801E" w14:textId="77777777" w:rsidTr="00430CFE">
        <w:tc>
          <w:tcPr>
            <w:tcW w:w="2689" w:type="dxa"/>
            <w:hideMark/>
          </w:tcPr>
          <w:p w14:paraId="3AB4A0FA" w14:textId="77777777" w:rsidR="008540A9" w:rsidRPr="00B10A68" w:rsidRDefault="008540A9" w:rsidP="00430CFE">
            <w:pPr>
              <w:jc w:val="both"/>
              <w:rPr>
                <w:rFonts w:ascii="Verdana" w:hAnsi="Verdana" w:cs="Arial"/>
                <w:b/>
                <w:lang w:val="es-ES_tradnl" w:eastAsia="es-ES_tradnl"/>
              </w:rPr>
            </w:pPr>
            <w:r w:rsidRPr="00B10A68">
              <w:rPr>
                <w:rFonts w:ascii="Verdana" w:hAnsi="Verdana" w:cs="Arial"/>
                <w:b/>
                <w:lang w:val="es-ES_tradnl" w:eastAsia="es-ES_tradnl"/>
              </w:rPr>
              <w:t>Radicación:</w:t>
            </w:r>
            <w:r w:rsidRPr="00B10A68">
              <w:rPr>
                <w:rFonts w:ascii="Verdana" w:hAnsi="Verdana" w:cs="Arial"/>
                <w:lang w:val="es-ES_tradnl" w:eastAsia="es-ES_tradnl"/>
              </w:rPr>
              <w:t xml:space="preserve">               </w:t>
            </w:r>
          </w:p>
        </w:tc>
        <w:tc>
          <w:tcPr>
            <w:tcW w:w="6100" w:type="dxa"/>
            <w:hideMark/>
          </w:tcPr>
          <w:p w14:paraId="3E907CCC" w14:textId="77777777" w:rsidR="008540A9" w:rsidRPr="00B10A68" w:rsidRDefault="008540A9" w:rsidP="00430CFE">
            <w:pPr>
              <w:jc w:val="both"/>
              <w:rPr>
                <w:rFonts w:ascii="Verdana" w:hAnsi="Verdana" w:cs="Arial"/>
                <w:lang w:val="es-ES_tradnl" w:eastAsia="es-ES_tradnl"/>
              </w:rPr>
            </w:pPr>
            <w:r w:rsidRPr="00B10A68">
              <w:rPr>
                <w:rFonts w:ascii="Verdana" w:hAnsi="Verdana" w:cs="Arial"/>
                <w:lang w:val="es-ES_tradnl" w:eastAsia="es-ES_tradnl"/>
              </w:rPr>
              <w:t xml:space="preserve">Respuesta a consulta con radicado No. </w:t>
            </w:r>
            <w:r w:rsidRPr="00BE6066">
              <w:rPr>
                <w:rFonts w:ascii="Verdana" w:hAnsi="Verdana" w:cs="Arial"/>
                <w:lang w:val="es-ES_tradnl" w:eastAsia="es-ES_tradnl"/>
              </w:rPr>
              <w:t>1_2026_06_09_007796</w:t>
            </w:r>
          </w:p>
        </w:tc>
      </w:tr>
    </w:tbl>
    <w:p w14:paraId="3C0FC8DA" w14:textId="77777777" w:rsidR="008540A9" w:rsidRPr="00B10A68" w:rsidRDefault="008540A9" w:rsidP="008540A9">
      <w:pPr>
        <w:spacing w:after="0" w:line="240" w:lineRule="auto"/>
        <w:jc w:val="both"/>
        <w:rPr>
          <w:rFonts w:ascii="Verdana" w:eastAsia="Calibri" w:hAnsi="Verdana" w:cs="Arial"/>
          <w:lang w:val="es-ES_tradnl" w:eastAsia="es-ES_tradnl"/>
        </w:rPr>
      </w:pPr>
    </w:p>
    <w:p w14:paraId="449937C0" w14:textId="77777777" w:rsidR="008540A9" w:rsidRPr="00B10A68" w:rsidRDefault="008540A9" w:rsidP="008540A9">
      <w:pPr>
        <w:spacing w:after="0" w:line="276" w:lineRule="auto"/>
        <w:jc w:val="both"/>
        <w:rPr>
          <w:rFonts w:ascii="Verdana" w:eastAsia="Calibri" w:hAnsi="Verdana" w:cs="Arial"/>
          <w:lang w:val="es-ES_tradnl" w:eastAsia="es-ES_tradnl"/>
        </w:rPr>
      </w:pPr>
    </w:p>
    <w:p w14:paraId="44FC9173" w14:textId="77777777" w:rsidR="008540A9" w:rsidRPr="00B10A68" w:rsidRDefault="008540A9" w:rsidP="008540A9">
      <w:pPr>
        <w:spacing w:after="0" w:line="276" w:lineRule="auto"/>
        <w:jc w:val="both"/>
        <w:rPr>
          <w:rFonts w:ascii="Verdana" w:eastAsia="Calibri" w:hAnsi="Verdana" w:cs="Arial"/>
          <w:lang w:val="es-ES" w:eastAsia="es-ES"/>
        </w:rPr>
      </w:pPr>
      <w:r w:rsidRPr="00B10A68">
        <w:rPr>
          <w:rFonts w:ascii="Verdana" w:eastAsia="Calibri" w:hAnsi="Verdana" w:cs="Arial"/>
          <w:lang w:val="es-ES" w:eastAsia="es-ES"/>
        </w:rPr>
        <w:t>Estimad</w:t>
      </w:r>
      <w:r>
        <w:rPr>
          <w:rFonts w:ascii="Verdana" w:eastAsia="Calibri" w:hAnsi="Verdana" w:cs="Arial"/>
          <w:lang w:val="es-ES" w:eastAsia="es-ES"/>
        </w:rPr>
        <w:t>o</w:t>
      </w:r>
      <w:r w:rsidRPr="00B10A68">
        <w:rPr>
          <w:rFonts w:ascii="Verdana" w:eastAsia="Calibri" w:hAnsi="Verdana" w:cs="Arial"/>
          <w:lang w:val="es-ES" w:eastAsia="es-ES"/>
        </w:rPr>
        <w:t xml:space="preserve"> señor</w:t>
      </w:r>
      <w:r>
        <w:rPr>
          <w:rFonts w:ascii="Verdana" w:eastAsia="Calibri" w:hAnsi="Verdana" w:cs="Arial"/>
          <w:lang w:val="es-ES" w:eastAsia="es-ES"/>
        </w:rPr>
        <w:t xml:space="preserve"> Oñoro</w:t>
      </w:r>
      <w:r w:rsidRPr="00B10A68">
        <w:rPr>
          <w:rFonts w:ascii="Verdana" w:eastAsia="Calibri" w:hAnsi="Verdana" w:cs="Arial"/>
          <w:lang w:val="es-ES" w:eastAsia="es-ES"/>
        </w:rPr>
        <w:t xml:space="preserve">: </w:t>
      </w:r>
    </w:p>
    <w:p w14:paraId="2864B44F" w14:textId="77777777" w:rsidR="008540A9" w:rsidRPr="00B10A68" w:rsidRDefault="008540A9" w:rsidP="008540A9">
      <w:pPr>
        <w:tabs>
          <w:tab w:val="left" w:pos="3768"/>
        </w:tabs>
        <w:spacing w:after="0" w:line="276" w:lineRule="auto"/>
        <w:jc w:val="both"/>
        <w:rPr>
          <w:rFonts w:ascii="Verdana" w:eastAsia="Calibri" w:hAnsi="Verdana" w:cs="Arial"/>
          <w:lang w:val="es-ES" w:eastAsia="es-ES"/>
        </w:rPr>
      </w:pPr>
      <w:r w:rsidRPr="00B10A68">
        <w:rPr>
          <w:rFonts w:ascii="Verdana" w:eastAsia="Calibri" w:hAnsi="Verdana" w:cs="Arial"/>
          <w:lang w:val="es-ES" w:eastAsia="es-ES"/>
        </w:rPr>
        <w:tab/>
      </w:r>
    </w:p>
    <w:p w14:paraId="3A65F1C6" w14:textId="77777777" w:rsidR="008540A9" w:rsidRPr="00B10A68" w:rsidRDefault="008540A9" w:rsidP="008540A9">
      <w:pPr>
        <w:spacing w:after="0" w:line="276" w:lineRule="auto"/>
        <w:jc w:val="both"/>
        <w:rPr>
          <w:rFonts w:ascii="Verdana" w:eastAsia="Calibri" w:hAnsi="Verdana" w:cs="Arial"/>
          <w:lang w:val="es-ES" w:eastAsia="es-ES"/>
        </w:rPr>
      </w:pPr>
      <w:r w:rsidRPr="00B10A68">
        <w:rPr>
          <w:rFonts w:ascii="Verdana" w:eastAsia="Calibri" w:hAnsi="Verdana" w:cs="Arial"/>
          <w:lang w:val="es-ES" w:eastAsia="es-ES"/>
        </w:rPr>
        <w:t>En ejercicio de la competencia otorgada por los artículos 3, numeral 5º, y 11, numeral 8º, del Decreto Ley 4170 de 2011,</w:t>
      </w:r>
      <w:r w:rsidRPr="00B10A68">
        <w:rPr>
          <w:rFonts w:ascii="Verdana" w:eastAsia="Arial MT" w:hAnsi="Verdana" w:cs="Arial MT"/>
          <w:lang w:val="es-ES" w:eastAsia="es-ES"/>
        </w:rPr>
        <w:t xml:space="preserve"> </w:t>
      </w:r>
      <w:r w:rsidRPr="00B10A68">
        <w:rPr>
          <w:rFonts w:ascii="Verdana" w:eastAsia="Calibri" w:hAnsi="Verdana" w:cs="Arial"/>
        </w:rPr>
        <w:t xml:space="preserve">así como lo establecido en el artículo 4 de la Resolución 1707 de 2018 expedida por esta Entidad, </w:t>
      </w:r>
      <w:r w:rsidRPr="00B10A68">
        <w:rPr>
          <w:rFonts w:ascii="Verdana" w:eastAsia="Calibri" w:hAnsi="Verdana" w:cs="Arial"/>
          <w:lang w:val="es-ES" w:eastAsia="es-ES"/>
        </w:rPr>
        <w:t xml:space="preserve">la Agencia Nacional de Contratación Pública – Colombia Compra Eficiente– responde su solicitud de consulta de fecha </w:t>
      </w:r>
      <w:r>
        <w:rPr>
          <w:rFonts w:ascii="Verdana" w:eastAsia="Calibri" w:hAnsi="Verdana" w:cs="Arial"/>
          <w:lang w:val="es-ES" w:eastAsia="es-ES"/>
        </w:rPr>
        <w:t>9</w:t>
      </w:r>
      <w:r w:rsidRPr="00B10A68">
        <w:rPr>
          <w:rFonts w:ascii="Verdana" w:eastAsia="Calibri" w:hAnsi="Verdana" w:cs="Arial"/>
          <w:lang w:val="es-ES" w:eastAsia="es-ES"/>
        </w:rPr>
        <w:t xml:space="preserve"> de </w:t>
      </w:r>
      <w:r>
        <w:rPr>
          <w:rFonts w:ascii="Verdana" w:eastAsia="Calibri" w:hAnsi="Verdana" w:cs="Arial"/>
          <w:lang w:val="es-ES" w:eastAsia="es-ES"/>
        </w:rPr>
        <w:t>juni</w:t>
      </w:r>
      <w:r w:rsidRPr="00B10A68">
        <w:rPr>
          <w:rFonts w:ascii="Verdana" w:eastAsia="Calibri" w:hAnsi="Verdana" w:cs="Arial"/>
          <w:lang w:val="es-ES" w:eastAsia="es-ES"/>
        </w:rPr>
        <w:t xml:space="preserve">o de 2025, en la cual manifiesta lo siguiente: </w:t>
      </w:r>
    </w:p>
    <w:p w14:paraId="73F8FFCF" w14:textId="77777777" w:rsidR="008540A9" w:rsidRPr="00B10A68" w:rsidRDefault="008540A9" w:rsidP="008540A9">
      <w:pPr>
        <w:tabs>
          <w:tab w:val="left" w:pos="142"/>
          <w:tab w:val="left" w:pos="284"/>
        </w:tabs>
        <w:spacing w:after="0" w:line="276" w:lineRule="auto"/>
        <w:jc w:val="both"/>
        <w:rPr>
          <w:rFonts w:ascii="Verdana" w:eastAsia="Century Gothic" w:hAnsi="Verdana" w:cs="Century Gothic"/>
          <w:b/>
          <w:bCs/>
          <w:lang w:val="es-ES"/>
        </w:rPr>
      </w:pPr>
    </w:p>
    <w:p w14:paraId="327AA1F5" w14:textId="77777777" w:rsidR="008540A9" w:rsidRPr="006D32FF" w:rsidRDefault="008540A9" w:rsidP="008540A9">
      <w:pPr>
        <w:spacing w:after="0" w:line="240" w:lineRule="auto"/>
        <w:ind w:left="709" w:right="709"/>
        <w:jc w:val="both"/>
        <w:rPr>
          <w:rFonts w:ascii="Verdana" w:eastAsia="Century Gothic" w:hAnsi="Verdana" w:cs="Century Gothic"/>
          <w:sz w:val="20"/>
          <w:szCs w:val="20"/>
          <w:lang w:val="es-ES"/>
        </w:rPr>
      </w:pPr>
      <w:bookmarkStart w:id="0" w:name="_Hlk95313578"/>
      <w:r w:rsidRPr="00B10A68">
        <w:rPr>
          <w:rFonts w:ascii="Verdana" w:eastAsia="Century Gothic" w:hAnsi="Verdana" w:cs="Century Gothic"/>
          <w:sz w:val="20"/>
          <w:szCs w:val="20"/>
          <w:lang w:val="es-ES"/>
        </w:rPr>
        <w:t>“</w:t>
      </w:r>
      <w:r w:rsidRPr="006D32FF">
        <w:rPr>
          <w:rFonts w:ascii="Verdana" w:eastAsia="Century Gothic" w:hAnsi="Verdana" w:cs="Century Gothic"/>
          <w:sz w:val="20"/>
          <w:szCs w:val="20"/>
          <w:lang w:val="es-ES"/>
        </w:rPr>
        <w:t>Pregunta 1: ¿Resulta jurídicamente viable, a la luz del principio de subsanabilidad (Art. 5 Ley 1150 de 2007), que un proponente subsane un defecto formal en las facultades de representación de quien suscribió un documento habilitante (como un soporte financiero), aportando dentro del término de subsanación la ratificación expresa de la entidad emisora bajo los términos del artículo 844 del Código de Comercio?</w:t>
      </w:r>
    </w:p>
    <w:p w14:paraId="25A4144A" w14:textId="77777777" w:rsidR="008540A9" w:rsidRPr="00B10A68" w:rsidRDefault="008540A9" w:rsidP="008540A9">
      <w:pPr>
        <w:spacing w:after="0" w:line="240" w:lineRule="auto"/>
        <w:ind w:left="709" w:right="709"/>
        <w:jc w:val="both"/>
        <w:rPr>
          <w:rFonts w:ascii="Verdana" w:eastAsia="Calibri" w:hAnsi="Verdana" w:cs="Arial"/>
          <w:sz w:val="20"/>
          <w:szCs w:val="20"/>
          <w:shd w:val="clear" w:color="auto" w:fill="FFFFFF"/>
          <w:lang w:val="es-MX"/>
        </w:rPr>
      </w:pPr>
      <w:r w:rsidRPr="006D32FF">
        <w:rPr>
          <w:rFonts w:ascii="Verdana" w:eastAsia="Century Gothic" w:hAnsi="Verdana" w:cs="Century Gothic"/>
          <w:sz w:val="20"/>
          <w:szCs w:val="20"/>
          <w:lang w:val="es-ES"/>
        </w:rPr>
        <w:lastRenderedPageBreak/>
        <w:t>• Pregunta 2: Si una institución privada ratifica de manera plena y retroactiva un documento expedido con anterioridad al cierre del proceso de selección, ¿se debe entender que el proponente cumplía con el requisito habilitante al momento del cierre, o tal convalidación constituye una modificación o "mejoramiento" posterior de la oferta?</w:t>
      </w:r>
      <w:r w:rsidRPr="00B10A68">
        <w:rPr>
          <w:rFonts w:ascii="Verdana" w:eastAsia="Century Gothic" w:hAnsi="Verdana" w:cs="Century Gothic"/>
          <w:sz w:val="20"/>
          <w:szCs w:val="20"/>
          <w:lang w:val="es-ES"/>
        </w:rPr>
        <w:t>”</w:t>
      </w:r>
      <w:bookmarkEnd w:id="0"/>
      <w:r>
        <w:rPr>
          <w:rFonts w:ascii="Verdana" w:eastAsia="Century Gothic" w:hAnsi="Verdana" w:cs="Century Gothic"/>
          <w:sz w:val="20"/>
          <w:szCs w:val="20"/>
          <w:lang w:val="es-ES"/>
        </w:rPr>
        <w:t>.</w:t>
      </w:r>
    </w:p>
    <w:p w14:paraId="22AB1E05" w14:textId="77777777" w:rsidR="008540A9" w:rsidRPr="00B10A68" w:rsidRDefault="008540A9" w:rsidP="008540A9">
      <w:pPr>
        <w:tabs>
          <w:tab w:val="left" w:pos="142"/>
          <w:tab w:val="left" w:pos="284"/>
        </w:tabs>
        <w:spacing w:line="276" w:lineRule="auto"/>
        <w:contextualSpacing/>
        <w:jc w:val="both"/>
        <w:rPr>
          <w:rFonts w:ascii="Verdana" w:eastAsia="Century Gothic" w:hAnsi="Verdana" w:cs="Century Gothic"/>
          <w:b/>
          <w:bCs/>
          <w:lang w:val="es-ES"/>
        </w:rPr>
      </w:pPr>
    </w:p>
    <w:p w14:paraId="19AB7611" w14:textId="77777777" w:rsidR="008540A9" w:rsidRPr="00B10A68" w:rsidRDefault="008540A9" w:rsidP="008540A9">
      <w:pPr>
        <w:spacing w:after="120" w:line="276" w:lineRule="auto"/>
        <w:ind w:firstLine="709"/>
        <w:jc w:val="both"/>
        <w:rPr>
          <w:rFonts w:ascii="Verdana" w:eastAsia="Calibri" w:hAnsi="Verdana" w:cs="Arial"/>
          <w:szCs w:val="24"/>
          <w:lang w:val="es-ES_tradnl" w:eastAsia="es-ES_tradnl"/>
        </w:rPr>
      </w:pPr>
      <w:r w:rsidRPr="00B10A68">
        <w:rPr>
          <w:rFonts w:ascii="Verdana" w:eastAsia="Calibri" w:hAnsi="Verdana" w:cs="Arial"/>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w:t>
      </w:r>
      <w:r>
        <w:rPr>
          <w:rFonts w:ascii="Verdana" w:eastAsia="Calibri" w:hAnsi="Verdana" w:cs="Arial"/>
          <w:lang w:val="es-ES" w:eastAsia="es-ES"/>
        </w:rPr>
        <w:t xml:space="preserve">la Agencia Nacional de Contratación Pública - </w:t>
      </w:r>
      <w:r w:rsidRPr="00B10A68">
        <w:rPr>
          <w:rFonts w:ascii="Verdana" w:eastAsia="Calibri" w:hAnsi="Verdana" w:cs="Arial"/>
          <w:lang w:val="es-ES" w:eastAsia="es-ES"/>
        </w:rPr>
        <w:t xml:space="preserve">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B10A68">
        <w:rPr>
          <w:rFonts w:ascii="Verdana" w:eastAsia="Calibri" w:hAnsi="Verdana" w:cs="Arial"/>
          <w:szCs w:val="24"/>
          <w:lang w:val="es-ES_tradnl" w:eastAsia="es-ES_tradnl"/>
        </w:rPr>
        <w:tab/>
      </w:r>
    </w:p>
    <w:p w14:paraId="61DD3241" w14:textId="77777777" w:rsidR="008540A9" w:rsidRPr="00B10A68" w:rsidRDefault="008540A9" w:rsidP="008540A9">
      <w:pPr>
        <w:spacing w:after="0" w:line="276" w:lineRule="auto"/>
        <w:ind w:firstLine="709"/>
        <w:jc w:val="both"/>
        <w:rPr>
          <w:rFonts w:ascii="Verdana" w:eastAsia="Calibri" w:hAnsi="Verdana" w:cs="Arial"/>
          <w:lang w:val="es-ES" w:eastAsia="es-ES"/>
        </w:rPr>
      </w:pPr>
      <w:r w:rsidRPr="00B10A68">
        <w:rPr>
          <w:rFonts w:ascii="Verdana" w:eastAsia="Calibri" w:hAnsi="Verdana" w:cs="Arial"/>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w:t>
      </w:r>
      <w:r>
        <w:rPr>
          <w:rFonts w:ascii="Verdana" w:eastAsia="Calibri" w:hAnsi="Verdana" w:cs="Arial"/>
          <w:lang w:val="es-ES" w:eastAsia="es-ES"/>
        </w:rPr>
        <w:t>señalando</w:t>
      </w:r>
      <w:r w:rsidRPr="00B10A68">
        <w:rPr>
          <w:rFonts w:ascii="Verdana" w:eastAsia="Calibri" w:hAnsi="Verdana" w:cs="Arial"/>
          <w:lang w:val="es-ES" w:eastAsia="es-ES"/>
        </w:rPr>
        <w:t xml:space="preserve"> </w:t>
      </w:r>
      <w:r>
        <w:rPr>
          <w:rFonts w:ascii="Verdana" w:eastAsia="Calibri" w:hAnsi="Verdana" w:cs="Arial"/>
          <w:lang w:val="es-ES" w:eastAsia="es-ES"/>
        </w:rPr>
        <w:t>alg</w:t>
      </w:r>
      <w:r w:rsidRPr="00B10A68">
        <w:rPr>
          <w:rFonts w:ascii="Verdana" w:eastAsia="Calibri" w:hAnsi="Verdana" w:cs="Arial"/>
          <w:lang w:val="es-ES" w:eastAsia="es-ES"/>
        </w:rPr>
        <w:t>unas consideraciones sobre las normas generales relacionadas con el problema</w:t>
      </w:r>
      <w:r>
        <w:rPr>
          <w:rFonts w:ascii="Verdana" w:eastAsia="Calibri" w:hAnsi="Verdana" w:cs="Arial"/>
          <w:lang w:val="es-ES" w:eastAsia="es-ES"/>
        </w:rPr>
        <w:t xml:space="preserve"> </w:t>
      </w:r>
      <w:r w:rsidRPr="00B10A68">
        <w:rPr>
          <w:rFonts w:ascii="Verdana" w:eastAsia="Calibri" w:hAnsi="Verdana" w:cs="Arial"/>
          <w:lang w:val="es-ES" w:eastAsia="es-ES"/>
        </w:rPr>
        <w:t>jurídico</w:t>
      </w:r>
      <w:r>
        <w:rPr>
          <w:rFonts w:ascii="Verdana" w:eastAsia="Calibri" w:hAnsi="Verdana" w:cs="Arial"/>
          <w:lang w:val="es-ES" w:eastAsia="es-ES"/>
        </w:rPr>
        <w:t xml:space="preserve"> </w:t>
      </w:r>
      <w:r w:rsidRPr="00B10A68">
        <w:rPr>
          <w:rFonts w:ascii="Verdana" w:eastAsia="Calibri" w:hAnsi="Verdana" w:cs="Arial"/>
          <w:lang w:val="es-ES" w:eastAsia="es-ES"/>
        </w:rPr>
        <w:t xml:space="preserve">de su consulta. </w:t>
      </w:r>
    </w:p>
    <w:p w14:paraId="7DDDDDC6" w14:textId="77777777" w:rsidR="008540A9" w:rsidRPr="00B10A68" w:rsidRDefault="008540A9" w:rsidP="008540A9">
      <w:pPr>
        <w:spacing w:after="0" w:line="276" w:lineRule="auto"/>
        <w:ind w:firstLine="709"/>
        <w:jc w:val="both"/>
        <w:rPr>
          <w:rFonts w:ascii="Verdana" w:eastAsia="Calibri" w:hAnsi="Verdana" w:cs="Arial"/>
          <w:lang w:val="es-ES" w:eastAsia="es-ES"/>
        </w:rPr>
      </w:pPr>
    </w:p>
    <w:p w14:paraId="4391DFED" w14:textId="77777777" w:rsidR="008540A9" w:rsidRPr="00B10A68" w:rsidRDefault="008540A9" w:rsidP="008540A9">
      <w:pPr>
        <w:numPr>
          <w:ilvl w:val="0"/>
          <w:numId w:val="17"/>
        </w:numPr>
        <w:tabs>
          <w:tab w:val="left" w:pos="142"/>
          <w:tab w:val="left" w:pos="284"/>
        </w:tabs>
        <w:spacing w:after="0" w:line="276" w:lineRule="auto"/>
        <w:ind w:left="0" w:firstLine="0"/>
        <w:contextualSpacing/>
        <w:jc w:val="both"/>
        <w:rPr>
          <w:rFonts w:ascii="Verdana" w:eastAsia="Century Gothic" w:hAnsi="Verdana" w:cs="Century Gothic"/>
          <w:b/>
          <w:bCs/>
          <w:lang w:val="es-ES"/>
        </w:rPr>
      </w:pPr>
      <w:r w:rsidRPr="00B10A68">
        <w:rPr>
          <w:rFonts w:ascii="Verdana" w:eastAsia="Century Gothic" w:hAnsi="Verdana" w:cs="Century Gothic"/>
          <w:b/>
          <w:bCs/>
          <w:lang w:val="es-ES"/>
        </w:rPr>
        <w:t>Problema planteado:</w:t>
      </w:r>
    </w:p>
    <w:p w14:paraId="4E486F9F" w14:textId="77777777" w:rsidR="008540A9" w:rsidRPr="00B10A68" w:rsidRDefault="008540A9" w:rsidP="008540A9">
      <w:pPr>
        <w:tabs>
          <w:tab w:val="left" w:pos="426"/>
        </w:tabs>
        <w:spacing w:after="0" w:line="276" w:lineRule="auto"/>
        <w:jc w:val="both"/>
        <w:rPr>
          <w:rFonts w:ascii="Verdana" w:eastAsia="Century Gothic" w:hAnsi="Verdana" w:cs="Century Gothic"/>
          <w:lang w:val="es-ES"/>
        </w:rPr>
      </w:pPr>
    </w:p>
    <w:p w14:paraId="4BEF0F83" w14:textId="77777777" w:rsidR="008540A9" w:rsidRPr="00B10A68" w:rsidRDefault="008540A9" w:rsidP="008540A9">
      <w:pPr>
        <w:spacing w:after="0" w:line="276" w:lineRule="auto"/>
        <w:jc w:val="both"/>
        <w:rPr>
          <w:rFonts w:ascii="Verdana" w:eastAsia="Century Gothic" w:hAnsi="Verdana" w:cs="Century Gothic"/>
        </w:rPr>
      </w:pPr>
      <w:r w:rsidRPr="00B10A68">
        <w:rPr>
          <w:rFonts w:ascii="Verdana" w:eastAsia="Century Gothic" w:hAnsi="Verdana" w:cs="Century Gothic"/>
        </w:rPr>
        <w:t xml:space="preserve">De acuerdo con el contenido de su solicitud, esta Agencia resolverá el siguiente problema jurídico: ¿Procede </w:t>
      </w:r>
      <w:r>
        <w:rPr>
          <w:rFonts w:ascii="Verdana" w:eastAsia="Century Gothic" w:hAnsi="Verdana" w:cs="Century Gothic"/>
        </w:rPr>
        <w:t>la subsanación</w:t>
      </w:r>
      <w:r w:rsidRPr="00B10A68">
        <w:rPr>
          <w:rFonts w:ascii="Verdana" w:eastAsia="Century Gothic" w:hAnsi="Verdana" w:cs="Century Gothic"/>
        </w:rPr>
        <w:t xml:space="preserve"> </w:t>
      </w:r>
      <w:r>
        <w:rPr>
          <w:rFonts w:ascii="Verdana" w:eastAsia="Century Gothic" w:hAnsi="Verdana" w:cs="Century Gothic"/>
        </w:rPr>
        <w:t xml:space="preserve">de </w:t>
      </w:r>
      <w:r w:rsidRPr="00311851">
        <w:rPr>
          <w:rFonts w:ascii="Verdana" w:eastAsia="Century Gothic" w:hAnsi="Verdana" w:cs="Century Gothic"/>
        </w:rPr>
        <w:t>un defecto formal en las facultades de representación de quien suscribió un documento habilitante (como un soporte financiero), aportando dentro del término de subsanación la ratificación</w:t>
      </w:r>
      <w:r w:rsidRPr="00B10A68">
        <w:rPr>
          <w:rFonts w:ascii="Verdana" w:eastAsia="Century Gothic" w:hAnsi="Verdana" w:cs="Century Gothic"/>
        </w:rPr>
        <w:t>?</w:t>
      </w:r>
    </w:p>
    <w:p w14:paraId="2D32EBE2" w14:textId="77777777" w:rsidR="008540A9" w:rsidRPr="00B10A68" w:rsidRDefault="008540A9" w:rsidP="008540A9">
      <w:pPr>
        <w:spacing w:after="0" w:line="276" w:lineRule="auto"/>
        <w:jc w:val="both"/>
        <w:rPr>
          <w:rFonts w:ascii="Verdana" w:eastAsia="Calibri" w:hAnsi="Verdana" w:cs="Arial"/>
          <w:lang w:val="es-ES"/>
        </w:rPr>
      </w:pPr>
    </w:p>
    <w:p w14:paraId="15900808" w14:textId="77777777" w:rsidR="008540A9" w:rsidRPr="00B10A68" w:rsidRDefault="008540A9" w:rsidP="008540A9">
      <w:pPr>
        <w:numPr>
          <w:ilvl w:val="0"/>
          <w:numId w:val="17"/>
        </w:numPr>
        <w:tabs>
          <w:tab w:val="left" w:pos="142"/>
          <w:tab w:val="left" w:pos="284"/>
        </w:tabs>
        <w:spacing w:after="0" w:line="276" w:lineRule="auto"/>
        <w:ind w:left="0" w:firstLine="0"/>
        <w:jc w:val="both"/>
        <w:rPr>
          <w:rFonts w:ascii="Verdana" w:eastAsia="Century Gothic" w:hAnsi="Verdana" w:cs="Century Gothic"/>
          <w:b/>
          <w:bCs/>
          <w:lang w:val="es-ES"/>
        </w:rPr>
      </w:pPr>
      <w:r w:rsidRPr="00B10A68">
        <w:rPr>
          <w:rFonts w:ascii="Verdana" w:eastAsia="Century Gothic" w:hAnsi="Verdana" w:cs="Century Gothic"/>
          <w:b/>
          <w:bCs/>
          <w:lang w:val="es-ES"/>
        </w:rPr>
        <w:t>Respuesta:</w:t>
      </w:r>
    </w:p>
    <w:p w14:paraId="5190E6F5" w14:textId="77777777" w:rsidR="008540A9" w:rsidRPr="00B10A68" w:rsidRDefault="008540A9" w:rsidP="008540A9">
      <w:pPr>
        <w:tabs>
          <w:tab w:val="left" w:pos="142"/>
          <w:tab w:val="left" w:pos="284"/>
        </w:tabs>
        <w:spacing w:after="0" w:line="276" w:lineRule="auto"/>
        <w:jc w:val="both"/>
        <w:rPr>
          <w:rFonts w:ascii="Verdana" w:eastAsia="Century Gothic" w:hAnsi="Verdana" w:cs="Century Gothic"/>
          <w:b/>
          <w:bCs/>
          <w:lang w:val="es-ES"/>
        </w:rPr>
      </w:pPr>
    </w:p>
    <w:tbl>
      <w:tblPr>
        <w:tblStyle w:val="Tablaconcuadrcula1"/>
        <w:tblW w:w="0" w:type="auto"/>
        <w:tblInd w:w="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8540A9" w:rsidRPr="00B10A68" w14:paraId="25EA2BBD" w14:textId="77777777" w:rsidTr="00430CFE">
        <w:tc>
          <w:tcPr>
            <w:tcW w:w="8828" w:type="dxa"/>
            <w:tcBorders>
              <w:top w:val="dotted" w:sz="4" w:space="0" w:color="auto"/>
              <w:left w:val="dotted" w:sz="4" w:space="0" w:color="auto"/>
              <w:bottom w:val="dotted" w:sz="4" w:space="0" w:color="auto"/>
              <w:right w:val="dotted" w:sz="4" w:space="0" w:color="auto"/>
            </w:tcBorders>
          </w:tcPr>
          <w:p w14:paraId="3EF92CDB" w14:textId="77777777" w:rsidR="008540A9" w:rsidRDefault="008540A9" w:rsidP="00430CFE">
            <w:pPr>
              <w:spacing w:after="120" w:line="276" w:lineRule="auto"/>
              <w:jc w:val="both"/>
              <w:rPr>
                <w:rFonts w:ascii="Verdana" w:hAnsi="Verdana" w:cs="Arial"/>
                <w:lang w:val="es-ES"/>
              </w:rPr>
            </w:pPr>
            <w:r w:rsidRPr="00B10A68">
              <w:rPr>
                <w:rFonts w:ascii="Verdana" w:hAnsi="Verdana" w:cs="Arial"/>
                <w:lang w:val="es-ES"/>
              </w:rPr>
              <w:t xml:space="preserve">La consecuencia aplicable a los proponentes que </w:t>
            </w:r>
            <w:r>
              <w:rPr>
                <w:rFonts w:ascii="Verdana" w:hAnsi="Verdana" w:cs="Arial"/>
                <w:lang w:val="es-ES"/>
              </w:rPr>
              <w:t>presentan un documento suscrito por alguien sin facultades de representación,</w:t>
            </w:r>
            <w:r w:rsidRPr="00B10A68">
              <w:rPr>
                <w:rFonts w:ascii="Verdana" w:hAnsi="Verdana" w:cs="Arial"/>
                <w:lang w:val="es-ES"/>
              </w:rPr>
              <w:t xml:space="preserve"> dependerá de las reglas </w:t>
            </w:r>
            <w:r w:rsidRPr="00B10A68">
              <w:rPr>
                <w:rFonts w:ascii="Verdana" w:hAnsi="Verdana" w:cs="Arial"/>
                <w:lang w:val="es-ES"/>
              </w:rPr>
              <w:lastRenderedPageBreak/>
              <w:t xml:space="preserve">establecidas en el pliego de condiciones. En principio, se recomienda requerir al proponente con el fin de que presente la </w:t>
            </w:r>
            <w:r>
              <w:rPr>
                <w:rFonts w:ascii="Verdana" w:hAnsi="Verdana" w:cs="Arial"/>
                <w:lang w:val="es-ES"/>
              </w:rPr>
              <w:t>subsanación</w:t>
            </w:r>
            <w:r w:rsidRPr="00B10A68">
              <w:rPr>
                <w:rFonts w:ascii="Verdana" w:hAnsi="Verdana" w:cs="Arial"/>
                <w:lang w:val="es-ES"/>
              </w:rPr>
              <w:t xml:space="preserve"> pertinente atendiendo</w:t>
            </w:r>
            <w:r>
              <w:rPr>
                <w:rFonts w:ascii="Verdana" w:hAnsi="Verdana" w:cs="Arial"/>
                <w:lang w:val="es-ES"/>
              </w:rPr>
              <w:t xml:space="preserve"> a</w:t>
            </w:r>
            <w:r w:rsidRPr="00B10A68">
              <w:rPr>
                <w:rFonts w:ascii="Verdana" w:hAnsi="Verdana" w:cs="Arial"/>
                <w:lang w:val="es-ES"/>
              </w:rPr>
              <w:t xml:space="preserve"> los postulados previstos en la Ley </w:t>
            </w:r>
            <w:r>
              <w:rPr>
                <w:rFonts w:ascii="Verdana" w:hAnsi="Verdana" w:cs="Arial"/>
                <w:lang w:val="es-ES"/>
              </w:rPr>
              <w:t>1150</w:t>
            </w:r>
            <w:r w:rsidRPr="00B10A68">
              <w:rPr>
                <w:rFonts w:ascii="Verdana" w:hAnsi="Verdana" w:cs="Arial"/>
                <w:lang w:val="es-ES"/>
              </w:rPr>
              <w:t xml:space="preserve"> de </w:t>
            </w:r>
            <w:r>
              <w:rPr>
                <w:rFonts w:ascii="Verdana" w:hAnsi="Verdana" w:cs="Arial"/>
                <w:lang w:val="es-ES"/>
              </w:rPr>
              <w:t>2007</w:t>
            </w:r>
            <w:r w:rsidRPr="00B10A68">
              <w:rPr>
                <w:rFonts w:ascii="Verdana" w:hAnsi="Verdana" w:cs="Arial"/>
                <w:lang w:val="es-ES"/>
              </w:rPr>
              <w:t xml:space="preserve">, </w:t>
            </w:r>
            <w:r>
              <w:rPr>
                <w:rFonts w:ascii="Verdana" w:hAnsi="Verdana" w:cs="Arial"/>
                <w:lang w:val="es-ES"/>
              </w:rPr>
              <w:t>teniendo en cuenta que la situación planteada está relacionada con la capacidad jurídica del proponente como requisito habilitante</w:t>
            </w:r>
            <w:r w:rsidRPr="00B10A68">
              <w:rPr>
                <w:rFonts w:ascii="Verdana" w:hAnsi="Verdana" w:cs="Arial"/>
                <w:lang w:val="es-ES"/>
              </w:rPr>
              <w:t>, evento en el cual y</w:t>
            </w:r>
            <w:r>
              <w:rPr>
                <w:rFonts w:ascii="Verdana" w:hAnsi="Verdana" w:cs="Arial"/>
                <w:lang w:val="es-ES"/>
              </w:rPr>
              <w:t>,</w:t>
            </w:r>
            <w:r w:rsidRPr="00B10A68">
              <w:rPr>
                <w:rFonts w:ascii="Verdana" w:hAnsi="Verdana" w:cs="Arial"/>
                <w:lang w:val="es-ES"/>
              </w:rPr>
              <w:t xml:space="preserve"> previo análisis de la entidad contratante,</w:t>
            </w:r>
            <w:r>
              <w:rPr>
                <w:rFonts w:ascii="Verdana" w:hAnsi="Verdana" w:cs="Arial"/>
                <w:lang w:val="es-ES"/>
              </w:rPr>
              <w:t xml:space="preserve"> se</w:t>
            </w:r>
            <w:r w:rsidRPr="00B10A68">
              <w:rPr>
                <w:rFonts w:ascii="Verdana" w:hAnsi="Verdana" w:cs="Arial"/>
                <w:lang w:val="es-ES"/>
              </w:rPr>
              <w:t xml:space="preserve"> considere sí es procedente</w:t>
            </w:r>
            <w:r>
              <w:rPr>
                <w:rFonts w:ascii="Verdana" w:hAnsi="Verdana" w:cs="Arial"/>
                <w:lang w:val="es-ES"/>
              </w:rPr>
              <w:t xml:space="preserve"> la subsanación</w:t>
            </w:r>
            <w:r w:rsidRPr="00B10A68">
              <w:rPr>
                <w:rFonts w:ascii="Verdana" w:hAnsi="Verdana" w:cs="Arial"/>
                <w:lang w:val="es-ES"/>
              </w:rPr>
              <w:t xml:space="preserve">. </w:t>
            </w:r>
          </w:p>
          <w:p w14:paraId="3D849568" w14:textId="77777777" w:rsidR="0001715A" w:rsidRPr="00746C74" w:rsidRDefault="0001715A" w:rsidP="0001715A">
            <w:pPr>
              <w:spacing w:after="120" w:line="276" w:lineRule="auto"/>
              <w:jc w:val="both"/>
              <w:rPr>
                <w:rFonts w:ascii="Verdana" w:eastAsia="Arial MT" w:hAnsi="Verdana" w:cs="Arial"/>
                <w:lang w:eastAsia="es-ES" w:bidi="es-ES"/>
              </w:rPr>
            </w:pPr>
            <w:r w:rsidRPr="00D40683">
              <w:rPr>
                <w:rFonts w:ascii="Verdana" w:hAnsi="Verdana"/>
              </w:rPr>
              <w:t>E</w:t>
            </w:r>
            <w:r w:rsidRPr="00D40683">
              <w:rPr>
                <w:rFonts w:ascii="Verdana" w:eastAsia="Arial MT" w:hAnsi="Verdana" w:cs="Arial"/>
                <w:lang w:eastAsia="es-ES" w:bidi="es-ES"/>
              </w:rPr>
              <w:t>l parágrafo 1° del artículo 5</w:t>
            </w:r>
            <w:r w:rsidRPr="00746C74">
              <w:rPr>
                <w:rFonts w:ascii="Verdana" w:eastAsia="Arial MT" w:hAnsi="Verdana" w:cs="Arial"/>
                <w:lang w:eastAsia="es-ES" w:bidi="es-ES"/>
              </w:rPr>
              <w:t xml:space="preserve"> de la Ley 1150 de 2007, modificado por el </w:t>
            </w:r>
            <w:r>
              <w:rPr>
                <w:rFonts w:ascii="Verdana" w:eastAsia="Arial MT" w:hAnsi="Verdana" w:cs="Arial"/>
                <w:lang w:eastAsia="es-ES" w:bidi="es-ES"/>
              </w:rPr>
              <w:t xml:space="preserve">mismo </w:t>
            </w:r>
            <w:r w:rsidRPr="00746C74">
              <w:rPr>
                <w:rFonts w:ascii="Verdana" w:eastAsia="Arial MT" w:hAnsi="Verdana" w:cs="Arial"/>
                <w:lang w:eastAsia="es-ES" w:bidi="es-ES"/>
              </w:rPr>
              <w:t>artículo 5</w:t>
            </w:r>
            <w:r>
              <w:rPr>
                <w:rFonts w:ascii="Verdana" w:eastAsia="Arial MT" w:hAnsi="Verdana" w:cs="Arial"/>
                <w:lang w:eastAsia="es-ES" w:bidi="es-ES"/>
              </w:rPr>
              <w:t>°</w:t>
            </w:r>
            <w:r w:rsidRPr="00746C74">
              <w:rPr>
                <w:rFonts w:ascii="Verdana" w:eastAsia="Arial MT" w:hAnsi="Verdana" w:cs="Arial"/>
                <w:lang w:eastAsia="es-ES" w:bidi="es-ES"/>
              </w:rPr>
              <w:t xml:space="preserve"> de la Ley 1882 de 2018, señala que la ausencia de requisitos o la falta de documentos referentes a la futura contratación o al proponente, no necesarios para la comparación de las propuestas no servirán de título suficiente para el rechazo de los ofrecimientos hechos. </w:t>
            </w:r>
            <w:r>
              <w:rPr>
                <w:rFonts w:ascii="Verdana" w:eastAsia="Arial MT" w:hAnsi="Verdana" w:cs="Arial"/>
                <w:lang w:eastAsia="es-ES" w:bidi="es-ES"/>
              </w:rPr>
              <w:t>En virtud de</w:t>
            </w:r>
            <w:r w:rsidRPr="00746C74">
              <w:rPr>
                <w:rFonts w:ascii="Verdana" w:eastAsia="Arial MT" w:hAnsi="Verdana" w:cs="Arial"/>
                <w:lang w:eastAsia="es-ES" w:bidi="es-ES"/>
              </w:rPr>
              <w:t xml:space="preserve"> esta disposición es posible subsanar todo el defecto o la falta de documento que no afect</w:t>
            </w:r>
            <w:r>
              <w:rPr>
                <w:rFonts w:ascii="Verdana" w:eastAsia="Arial MT" w:hAnsi="Verdana" w:cs="Arial"/>
                <w:lang w:eastAsia="es-ES" w:bidi="es-ES"/>
              </w:rPr>
              <w:t>e</w:t>
            </w:r>
            <w:r w:rsidRPr="00746C74">
              <w:rPr>
                <w:rFonts w:ascii="Verdana" w:eastAsia="Arial MT" w:hAnsi="Verdana" w:cs="Arial"/>
                <w:lang w:eastAsia="es-ES" w:bidi="es-ES"/>
              </w:rPr>
              <w:t xml:space="preserve"> la asignación de puntaje de un proceso de contratación hasta el traslado del informe de evaluación, salvo el proceso de mínima cuantía y el proceso de subasta inversa</w:t>
            </w:r>
            <w:r>
              <w:rPr>
                <w:rFonts w:ascii="Verdana" w:eastAsia="Arial MT" w:hAnsi="Verdana" w:cs="Arial"/>
                <w:lang w:eastAsia="es-ES" w:bidi="es-ES"/>
              </w:rPr>
              <w:t xml:space="preserve">; ya que, </w:t>
            </w:r>
            <w:r w:rsidRPr="002A1819">
              <w:rPr>
                <w:rFonts w:ascii="Verdana" w:eastAsia="Arial MT" w:hAnsi="Verdana" w:cs="Arial"/>
                <w:lang w:eastAsia="es-ES" w:bidi="es-ES"/>
              </w:rPr>
              <w:t xml:space="preserve">en el último los documentos o requisitos subsanables pueden y deben solicitarse hasta el momento previo a la realización de la audiencia. En cuanto al proceso de mínima cuantía, el Decreto 1860 de 2021, en su artículo 2.2.1.2.1.5.2., numeral 5° dispone que los proponentes podrán subsanar sus ofertas hasta antes que finalice el traslado del informe de evaluación. </w:t>
            </w:r>
            <w:r>
              <w:rPr>
                <w:rFonts w:ascii="Verdana" w:eastAsia="Arial MT" w:hAnsi="Verdana" w:cs="Arial"/>
                <w:lang w:eastAsia="es-ES" w:bidi="es-ES"/>
              </w:rPr>
              <w:t xml:space="preserve"> </w:t>
            </w:r>
            <w:r w:rsidRPr="00746C74">
              <w:rPr>
                <w:rFonts w:ascii="Verdana" w:eastAsia="Arial MT" w:hAnsi="Verdana" w:cs="Arial"/>
                <w:lang w:eastAsia="es-ES" w:bidi="es-ES"/>
              </w:rPr>
              <w:t xml:space="preserve"> </w:t>
            </w:r>
          </w:p>
          <w:p w14:paraId="22648A41" w14:textId="325294C2" w:rsidR="0001715A" w:rsidRDefault="0001715A" w:rsidP="0079106A">
            <w:pPr>
              <w:spacing w:before="120" w:after="120" w:line="276" w:lineRule="auto"/>
              <w:ind w:firstLine="742"/>
              <w:jc w:val="both"/>
              <w:rPr>
                <w:rFonts w:ascii="Verdana" w:eastAsia="Arial MT" w:hAnsi="Verdana" w:cs="Arial"/>
                <w:lang w:eastAsia="es-ES" w:bidi="es-ES"/>
              </w:rPr>
            </w:pPr>
            <w:r>
              <w:rPr>
                <w:rFonts w:ascii="Verdana" w:eastAsia="Arial MT" w:hAnsi="Verdana" w:cs="Arial"/>
                <w:lang w:eastAsia="es-ES" w:bidi="es-ES"/>
              </w:rPr>
              <w:t xml:space="preserve">De </w:t>
            </w:r>
            <w:r w:rsidRPr="00312A74">
              <w:rPr>
                <w:rFonts w:ascii="Verdana" w:hAnsi="Verdana"/>
                <w:lang w:val="es-ES"/>
              </w:rPr>
              <w:t>otro</w:t>
            </w:r>
            <w:r>
              <w:rPr>
                <w:rFonts w:ascii="Verdana" w:eastAsia="Arial MT" w:hAnsi="Verdana" w:cs="Arial"/>
                <w:lang w:eastAsia="es-ES" w:bidi="es-ES"/>
              </w:rPr>
              <w:t xml:space="preserve"> lado, en consideración al interrogante planteado, las inconsistencias </w:t>
            </w:r>
            <w:r w:rsidR="0079106A">
              <w:rPr>
                <w:rFonts w:ascii="Verdana" w:eastAsia="Arial MT" w:hAnsi="Verdana" w:cs="Arial"/>
                <w:lang w:eastAsia="es-ES" w:bidi="es-ES"/>
              </w:rPr>
              <w:t xml:space="preserve">si </w:t>
            </w:r>
            <w:r w:rsidRPr="00746C74">
              <w:rPr>
                <w:rFonts w:ascii="Verdana" w:eastAsia="Arial MT" w:hAnsi="Verdana" w:cs="Arial"/>
                <w:lang w:eastAsia="es-ES" w:bidi="es-ES"/>
              </w:rPr>
              <w:t xml:space="preserve">no afectan la comparación de las propuestas, y, por lo tanto, la entidad les debe otorgar la facultad a los proponentes de subsanar cualquier </w:t>
            </w:r>
            <w:r>
              <w:rPr>
                <w:rFonts w:ascii="Verdana" w:eastAsia="Arial MT" w:hAnsi="Verdana" w:cs="Arial"/>
                <w:lang w:eastAsia="es-ES" w:bidi="es-ES"/>
              </w:rPr>
              <w:t>inconsistencia</w:t>
            </w:r>
            <w:r w:rsidRPr="00746C74">
              <w:rPr>
                <w:rFonts w:ascii="Verdana" w:eastAsia="Arial MT" w:hAnsi="Verdana" w:cs="Arial"/>
                <w:lang w:eastAsia="es-ES" w:bidi="es-ES"/>
              </w:rPr>
              <w:t xml:space="preserve"> en el contenido de </w:t>
            </w:r>
            <w:r>
              <w:rPr>
                <w:rFonts w:ascii="Verdana" w:eastAsia="Arial MT" w:hAnsi="Verdana" w:cs="Arial"/>
                <w:lang w:eastAsia="es-ES" w:bidi="es-ES"/>
              </w:rPr>
              <w:t>los documentos que acrediten los aportes a</w:t>
            </w:r>
            <w:r w:rsidRPr="00746C74">
              <w:rPr>
                <w:rFonts w:ascii="Verdana" w:eastAsia="Arial MT" w:hAnsi="Verdana" w:cs="Arial"/>
                <w:lang w:eastAsia="es-ES" w:bidi="es-ES"/>
              </w:rPr>
              <w:t>, y estos últimos deben subsanarlos hasta el traslado del informe de evaluación,</w:t>
            </w:r>
            <w:r>
              <w:rPr>
                <w:rFonts w:ascii="Verdana" w:eastAsia="Arial MT" w:hAnsi="Verdana" w:cs="Arial"/>
                <w:lang w:eastAsia="es-ES" w:bidi="es-ES"/>
              </w:rPr>
              <w:t xml:space="preserve"> </w:t>
            </w:r>
            <w:r w:rsidRPr="002A1819">
              <w:rPr>
                <w:rFonts w:ascii="Verdana" w:eastAsia="Arial MT" w:hAnsi="Verdana" w:cs="Arial"/>
                <w:lang w:eastAsia="es-ES" w:bidi="es-ES"/>
              </w:rPr>
              <w:t>hasta el momento previo a la realización de la audiencia</w:t>
            </w:r>
            <w:r>
              <w:rPr>
                <w:rFonts w:ascii="Verdana" w:eastAsia="Arial MT" w:hAnsi="Verdana" w:cs="Arial"/>
                <w:lang w:eastAsia="es-ES" w:bidi="es-ES"/>
              </w:rPr>
              <w:t xml:space="preserve"> (subasta inversa) o, </w:t>
            </w:r>
            <w:r w:rsidRPr="002A1819">
              <w:rPr>
                <w:rFonts w:ascii="Verdana" w:eastAsia="Arial MT" w:hAnsi="Verdana" w:cs="Arial"/>
                <w:lang w:eastAsia="es-ES" w:bidi="es-ES"/>
              </w:rPr>
              <w:t>hasta antes que finalice el traslado del informe de evaluación</w:t>
            </w:r>
            <w:r>
              <w:rPr>
                <w:rFonts w:ascii="Verdana" w:eastAsia="Arial MT" w:hAnsi="Verdana" w:cs="Arial"/>
                <w:lang w:eastAsia="es-ES" w:bidi="es-ES"/>
              </w:rPr>
              <w:t xml:space="preserve"> (mínima cuantía)</w:t>
            </w:r>
            <w:r w:rsidRPr="00746C74">
              <w:rPr>
                <w:rFonts w:ascii="Verdana" w:eastAsia="Arial MT" w:hAnsi="Verdana" w:cs="Arial"/>
                <w:lang w:eastAsia="es-ES" w:bidi="es-ES"/>
              </w:rPr>
              <w:t xml:space="preserve"> so pena de rechazar la oferta si no se corrige durante el término establecido.</w:t>
            </w:r>
          </w:p>
          <w:p w14:paraId="4E8A47BC" w14:textId="0618B76F" w:rsidR="0001715A" w:rsidRDefault="0001715A" w:rsidP="0001715A">
            <w:pPr>
              <w:spacing w:after="120" w:line="276" w:lineRule="auto"/>
              <w:jc w:val="both"/>
              <w:rPr>
                <w:rFonts w:ascii="Verdana" w:hAnsi="Verdana" w:cs="Arial"/>
                <w:lang w:val="es-ES"/>
              </w:rPr>
            </w:pPr>
            <w:r>
              <w:rPr>
                <w:rFonts w:ascii="Verdana" w:eastAsia="Arial MT" w:hAnsi="Verdana" w:cs="Arial"/>
                <w:lang w:eastAsia="es-ES" w:bidi="es-ES"/>
              </w:rPr>
              <w:t xml:space="preserve">No </w:t>
            </w:r>
            <w:r w:rsidRPr="00312A74">
              <w:rPr>
                <w:rFonts w:ascii="Verdana" w:hAnsi="Verdana"/>
                <w:lang w:val="es-ES"/>
              </w:rPr>
              <w:t>obstante</w:t>
            </w:r>
            <w:r>
              <w:rPr>
                <w:rFonts w:ascii="Verdana" w:eastAsia="Arial MT" w:hAnsi="Verdana" w:cs="Arial"/>
                <w:lang w:eastAsia="es-ES" w:bidi="es-ES"/>
              </w:rPr>
              <w:t>, la subsanación no podría consistir en acreditar circunstancias ocurridas con posterioridad al cierre del proceso, dado que ese supuesto correspondería a la prohibición expresa que hace el parágrafo 1 del artículo 5 de la Ley 1150 de 2007, sin que sea viable subsanar de tal forma</w:t>
            </w:r>
          </w:p>
          <w:p w14:paraId="6B1D59A8" w14:textId="77777777" w:rsidR="0001715A" w:rsidRDefault="008540A9" w:rsidP="00430CFE">
            <w:pPr>
              <w:spacing w:after="120" w:line="276" w:lineRule="auto"/>
              <w:jc w:val="both"/>
              <w:rPr>
                <w:rFonts w:ascii="Verdana" w:eastAsia="Times New Roman" w:hAnsi="Verdana" w:cs="Arial"/>
                <w:lang w:val="es-ES_tradnl" w:eastAsia="es-ES_tradnl"/>
              </w:rPr>
            </w:pPr>
            <w:r>
              <w:rPr>
                <w:rFonts w:ascii="Verdana" w:hAnsi="Verdana" w:cs="Arial"/>
                <w:lang w:val="es-ES"/>
              </w:rPr>
              <w:t>Lo anterior, teniendo en cuenta que una de las</w:t>
            </w:r>
            <w:r w:rsidRPr="00B10A68">
              <w:rPr>
                <w:rFonts w:ascii="Verdana" w:eastAsia="Times New Roman" w:hAnsi="Verdana" w:cs="Arial"/>
                <w:lang w:val="es-ES_tradnl" w:eastAsia="es-ES_tradnl"/>
              </w:rPr>
              <w:t xml:space="preserve"> excepci</w:t>
            </w:r>
            <w:r>
              <w:rPr>
                <w:rFonts w:ascii="Verdana" w:eastAsia="Times New Roman" w:hAnsi="Verdana" w:cs="Arial"/>
                <w:lang w:val="es-ES_tradnl" w:eastAsia="es-ES_tradnl"/>
              </w:rPr>
              <w:t>ones</w:t>
            </w:r>
            <w:r w:rsidRPr="00B10A68">
              <w:rPr>
                <w:rFonts w:ascii="Verdana" w:eastAsia="Times New Roman" w:hAnsi="Verdana" w:cs="Arial"/>
                <w:lang w:val="es-ES_tradnl" w:eastAsia="es-ES_tradnl"/>
              </w:rPr>
              <w:t xml:space="preserve"> a </w:t>
            </w:r>
            <w:r>
              <w:rPr>
                <w:rFonts w:ascii="Verdana" w:eastAsia="Times New Roman" w:hAnsi="Verdana" w:cs="Arial"/>
                <w:lang w:val="es-ES_tradnl" w:eastAsia="es-ES_tradnl"/>
              </w:rPr>
              <w:t>l</w:t>
            </w:r>
            <w:r w:rsidRPr="00B10A68">
              <w:rPr>
                <w:rFonts w:ascii="Verdana" w:eastAsia="Times New Roman" w:hAnsi="Verdana" w:cs="Arial"/>
                <w:lang w:val="es-ES_tradnl" w:eastAsia="es-ES_tradnl"/>
              </w:rPr>
              <w:t xml:space="preserve">a regla </w:t>
            </w:r>
            <w:r>
              <w:rPr>
                <w:rFonts w:ascii="Verdana" w:eastAsia="Times New Roman" w:hAnsi="Verdana" w:cs="Arial"/>
                <w:lang w:val="es-ES_tradnl" w:eastAsia="es-ES_tradnl"/>
              </w:rPr>
              <w:t xml:space="preserve">de poder subsanar los requisitos habilitantes </w:t>
            </w:r>
            <w:r w:rsidRPr="00B10A68">
              <w:rPr>
                <w:rFonts w:ascii="Verdana" w:eastAsia="Times New Roman" w:hAnsi="Verdana" w:cs="Arial"/>
                <w:lang w:val="es-ES_tradnl" w:eastAsia="es-ES_tradnl"/>
              </w:rPr>
              <w:t xml:space="preserve">se encuentra en la prohibición de permitir que se subsanen aspectos que </w:t>
            </w:r>
            <w:r>
              <w:rPr>
                <w:rFonts w:ascii="Verdana" w:eastAsia="Times New Roman" w:hAnsi="Verdana" w:cs="Arial"/>
                <w:lang w:val="es-ES_tradnl" w:eastAsia="es-ES_tradnl"/>
              </w:rPr>
              <w:t>acreditan</w:t>
            </w:r>
            <w:r w:rsidRPr="00B10A68">
              <w:rPr>
                <w:rFonts w:ascii="Verdana" w:eastAsia="Times New Roman" w:hAnsi="Verdana" w:cs="Arial"/>
                <w:lang w:val="es-ES_tradnl" w:eastAsia="es-ES_tradnl"/>
              </w:rPr>
              <w:t xml:space="preserve"> circunstancias ocurridas con </w:t>
            </w:r>
            <w:r w:rsidRPr="00B10A68">
              <w:rPr>
                <w:rFonts w:ascii="Verdana" w:eastAsia="Times New Roman" w:hAnsi="Verdana" w:cs="Arial"/>
                <w:lang w:val="es-ES_tradnl" w:eastAsia="es-ES_tradnl"/>
              </w:rPr>
              <w:lastRenderedPageBreak/>
              <w:t>posterioridad al cierre del proceso.</w:t>
            </w:r>
            <w:r>
              <w:rPr>
                <w:rFonts w:ascii="Verdana" w:eastAsia="Times New Roman" w:hAnsi="Verdana" w:cs="Arial"/>
                <w:lang w:val="es-ES_tradnl" w:eastAsia="es-ES_tradnl"/>
              </w:rPr>
              <w:t xml:space="preserve"> En ese sentido, a</w:t>
            </w:r>
            <w:r w:rsidRPr="001548CC">
              <w:rPr>
                <w:rFonts w:ascii="Verdana" w:eastAsia="Times New Roman" w:hAnsi="Verdana" w:cs="Arial"/>
                <w:lang w:val="es-ES_tradnl" w:eastAsia="es-ES_tradnl"/>
              </w:rPr>
              <w:t>l aportar el documento subsanado (como el certificado o el acta de ratificación), el documento puede tener fecha posterior al cierre del proceso, siempre y</w:t>
            </w:r>
          </w:p>
          <w:p w14:paraId="783A9DF4" w14:textId="30DB60CD" w:rsidR="008540A9" w:rsidRDefault="008540A9" w:rsidP="00430CFE">
            <w:pPr>
              <w:spacing w:after="120" w:line="276" w:lineRule="auto"/>
              <w:jc w:val="both"/>
              <w:rPr>
                <w:rFonts w:ascii="Verdana" w:eastAsia="Times New Roman" w:hAnsi="Verdana" w:cs="Arial"/>
                <w:lang w:val="es-ES_tradnl" w:eastAsia="es-ES_tradnl"/>
              </w:rPr>
            </w:pPr>
            <w:r w:rsidRPr="001548CC">
              <w:rPr>
                <w:rFonts w:ascii="Verdana" w:eastAsia="Times New Roman" w:hAnsi="Verdana" w:cs="Arial"/>
                <w:lang w:val="es-ES_tradnl" w:eastAsia="es-ES_tradnl"/>
              </w:rPr>
              <w:t xml:space="preserve"> cuando demuestre que la representación y la voluntad existían antes del cierre.</w:t>
            </w:r>
          </w:p>
          <w:p w14:paraId="7BCA9605" w14:textId="772B5481" w:rsidR="008540A9" w:rsidRPr="00B10A68" w:rsidRDefault="008540A9" w:rsidP="00430CFE">
            <w:pPr>
              <w:spacing w:after="120" w:line="276" w:lineRule="auto"/>
              <w:jc w:val="both"/>
              <w:rPr>
                <w:rFonts w:ascii="Verdana" w:hAnsi="Verdana" w:cs="Arial"/>
                <w:lang w:val="es-ES"/>
              </w:rPr>
            </w:pPr>
            <w:r w:rsidRPr="00B10A68">
              <w:rPr>
                <w:rFonts w:ascii="Verdana" w:hAnsi="Verdana" w:cs="Arial"/>
                <w:lang w:val="es-ES"/>
              </w:rPr>
              <w:t xml:space="preserve">No obstante </w:t>
            </w:r>
            <w:r>
              <w:rPr>
                <w:rFonts w:ascii="Verdana" w:hAnsi="Verdana" w:cs="Arial"/>
                <w:lang w:val="es-ES"/>
              </w:rPr>
              <w:t>esto,</w:t>
            </w:r>
            <w:r w:rsidRPr="00B10A68">
              <w:rPr>
                <w:rFonts w:ascii="Verdana" w:hAnsi="Verdana" w:cs="Arial"/>
                <w:lang w:val="es-ES"/>
              </w:rPr>
              <w:t xml:space="preserve"> y conforme al análisis que efectué cada entidad, </w:t>
            </w:r>
            <w:r w:rsidRPr="00B10A68">
              <w:rPr>
                <w:rFonts w:ascii="Verdana" w:hAnsi="Verdana" w:cs="Arial"/>
              </w:rPr>
              <w:t>debe advertirse que es la entidad contratante, al momento de adelantar su actividad contractual, quien debe determinar lo correspondiente a la situación planteada. Dado esto, y en atención al alcance la función consultiva atribuida a esta Agencia, lo aquí mencionado no constituye un juicio de valor sobre un proceso contractual particular.</w:t>
            </w:r>
          </w:p>
        </w:tc>
      </w:tr>
    </w:tbl>
    <w:p w14:paraId="239CB71F" w14:textId="77777777" w:rsidR="008540A9" w:rsidRPr="00B10A68" w:rsidRDefault="008540A9" w:rsidP="008540A9">
      <w:pPr>
        <w:tabs>
          <w:tab w:val="left" w:pos="142"/>
          <w:tab w:val="left" w:pos="284"/>
        </w:tabs>
        <w:spacing w:after="0" w:line="276" w:lineRule="auto"/>
        <w:jc w:val="both"/>
        <w:rPr>
          <w:rFonts w:ascii="Verdana" w:eastAsia="Century Gothic" w:hAnsi="Verdana" w:cs="Century Gothic"/>
          <w:b/>
          <w:bCs/>
          <w:lang w:val="es-ES"/>
        </w:rPr>
      </w:pPr>
    </w:p>
    <w:p w14:paraId="4E29E259" w14:textId="77777777" w:rsidR="008540A9" w:rsidRPr="00B10A68" w:rsidRDefault="008540A9" w:rsidP="008540A9">
      <w:pPr>
        <w:numPr>
          <w:ilvl w:val="0"/>
          <w:numId w:val="17"/>
        </w:numPr>
        <w:tabs>
          <w:tab w:val="left" w:pos="142"/>
          <w:tab w:val="left" w:pos="284"/>
        </w:tabs>
        <w:spacing w:after="0" w:line="276" w:lineRule="auto"/>
        <w:ind w:left="0" w:firstLine="0"/>
        <w:jc w:val="both"/>
        <w:rPr>
          <w:rFonts w:ascii="Verdana" w:eastAsia="Century Gothic" w:hAnsi="Verdana" w:cs="Century Gothic"/>
          <w:b/>
          <w:bCs/>
          <w:lang w:val="es-ES"/>
        </w:rPr>
      </w:pPr>
      <w:r w:rsidRPr="00B10A68">
        <w:rPr>
          <w:rFonts w:ascii="Verdana" w:eastAsia="Century Gothic" w:hAnsi="Verdana" w:cs="Century Gothic"/>
          <w:b/>
          <w:bCs/>
          <w:lang w:val="es-ES"/>
        </w:rPr>
        <w:t>Razones de las respuestas:</w:t>
      </w:r>
    </w:p>
    <w:p w14:paraId="37DD521D" w14:textId="77777777" w:rsidR="008540A9" w:rsidRPr="00B10A68" w:rsidRDefault="008540A9" w:rsidP="008540A9">
      <w:pPr>
        <w:spacing w:after="0" w:line="276" w:lineRule="auto"/>
        <w:jc w:val="both"/>
        <w:rPr>
          <w:rFonts w:ascii="Verdana" w:eastAsia="Calibri" w:hAnsi="Verdana" w:cs="Arial"/>
          <w:lang w:val="es-ES"/>
        </w:rPr>
      </w:pPr>
    </w:p>
    <w:p w14:paraId="40A3FDF3" w14:textId="77777777" w:rsidR="008540A9" w:rsidRPr="00B10A68" w:rsidRDefault="008540A9" w:rsidP="008540A9">
      <w:pPr>
        <w:spacing w:after="0" w:line="276" w:lineRule="auto"/>
        <w:jc w:val="both"/>
        <w:rPr>
          <w:rFonts w:ascii="Verdana" w:eastAsia="Calibri" w:hAnsi="Verdana" w:cs="Arial"/>
          <w:lang w:val="es-ES"/>
        </w:rPr>
      </w:pPr>
      <w:r w:rsidRPr="00B10A68">
        <w:rPr>
          <w:rFonts w:ascii="Verdana" w:eastAsia="Calibri" w:hAnsi="Verdana" w:cs="Arial"/>
          <w:lang w:val="es-ES"/>
        </w:rPr>
        <w:t xml:space="preserve">Lo anterior se sustenta en las siguientes consideraciones: </w:t>
      </w:r>
    </w:p>
    <w:p w14:paraId="6E521DD4" w14:textId="77777777" w:rsidR="008540A9" w:rsidRPr="00B10A68" w:rsidRDefault="008540A9" w:rsidP="008540A9">
      <w:pPr>
        <w:widowControl w:val="0"/>
        <w:autoSpaceDE w:val="0"/>
        <w:autoSpaceDN w:val="0"/>
        <w:spacing w:after="0" w:line="276" w:lineRule="auto"/>
        <w:jc w:val="both"/>
        <w:rPr>
          <w:rFonts w:ascii="Verdana" w:eastAsia="Calibri" w:hAnsi="Verdana" w:cs="Arial"/>
          <w:lang w:val="es-ES"/>
        </w:rPr>
      </w:pPr>
    </w:p>
    <w:p w14:paraId="5F4F43F4" w14:textId="77777777" w:rsidR="008540A9" w:rsidRPr="00B10A68" w:rsidRDefault="008540A9" w:rsidP="008540A9">
      <w:pPr>
        <w:spacing w:after="120" w:line="276" w:lineRule="auto"/>
        <w:jc w:val="both"/>
        <w:rPr>
          <w:rFonts w:ascii="Verdana" w:eastAsia="Times New Roman" w:hAnsi="Verdana" w:cs="Arial"/>
          <w:lang w:val="es-ES_tradnl" w:eastAsia="es-ES_tradnl"/>
        </w:rPr>
      </w:pPr>
      <w:r w:rsidRPr="00B10A68">
        <w:rPr>
          <w:rFonts w:ascii="Verdana" w:eastAsia="Calibri" w:hAnsi="Verdana" w:cs="Arial"/>
          <w:noProof/>
          <w:lang w:val="es-ES_tradnl"/>
        </w:rPr>
        <w:t>L</w:t>
      </w:r>
      <w:r w:rsidRPr="00B10A68">
        <w:rPr>
          <w:rFonts w:ascii="Verdana" w:eastAsia="Times New Roman" w:hAnsi="Verdana" w:cs="Arial"/>
        </w:rPr>
        <w:t>a regla de la subsanabilidad de las ofertas en los procedimientos de selección</w:t>
      </w:r>
      <w:r w:rsidRPr="00B10A68">
        <w:rPr>
          <w:rFonts w:ascii="Verdana" w:eastAsia="Times New Roman" w:hAnsi="Verdana" w:cs="Arial"/>
          <w:b/>
          <w:bCs/>
        </w:rPr>
        <w:t xml:space="preserve"> </w:t>
      </w:r>
      <w:r w:rsidRPr="00B10A68">
        <w:rPr>
          <w:rFonts w:ascii="Verdana" w:eastAsia="Times New Roman" w:hAnsi="Verdana" w:cs="Arial"/>
          <w:lang w:val="es-ES_tradnl" w:eastAsia="es-ES_tradnl"/>
        </w:rPr>
        <w:t>indica que, por regla general, la falta de entrega y los defectos en la acreditación de los requisitos habilitantes son aspectos subsanables. La excepción a esta regla se encuentra en la prohibición de permitir que se subsanen aspectos que otorgan puntaje, de valer la acreditación de circunstancias ocurridas con posterioridad al cierre del proceso y de permitir la entrega de la garantía de seriedad de la oferta que no fue aportada con la propuesta.</w:t>
      </w:r>
    </w:p>
    <w:p w14:paraId="7EEEBDE1" w14:textId="77777777" w:rsidR="008540A9" w:rsidRPr="00B10A68" w:rsidRDefault="008540A9" w:rsidP="008540A9">
      <w:pPr>
        <w:spacing w:after="120" w:line="276" w:lineRule="auto"/>
        <w:ind w:firstLine="708"/>
        <w:jc w:val="both"/>
        <w:rPr>
          <w:rFonts w:ascii="Verdana" w:eastAsia="Times New Roman" w:hAnsi="Verdana" w:cs="Arial"/>
          <w:lang w:val="es-ES" w:eastAsia="es-ES"/>
        </w:rPr>
      </w:pPr>
      <w:r w:rsidRPr="00B10A68">
        <w:rPr>
          <w:rFonts w:ascii="Verdana" w:eastAsia="Times New Roman" w:hAnsi="Verdana" w:cs="Arial"/>
          <w:lang w:val="es-ES_tradnl" w:eastAsia="es-ES_tradnl"/>
        </w:rPr>
        <w:t>La posibilidad de enmendar, corregir o subsanar los errores en los que se incurre en los documentos contentivos de la oferta es un tema que ha tenido diferentes momentos o etapas en el ordenamiento jurídico colombiano, momentos que se han expuesto de manera detallada en conceptos como el C-285 del 20 de mayo de 2022</w:t>
      </w:r>
      <w:r w:rsidRPr="00B10A68">
        <w:rPr>
          <w:rFonts w:ascii="Verdana" w:eastAsia="Times New Roman" w:hAnsi="Verdana" w:cs="Arial"/>
          <w:vertAlign w:val="superscript"/>
          <w:lang w:val="es-ES_tradnl" w:eastAsia="es-ES_tradnl"/>
        </w:rPr>
        <w:footnoteReference w:id="2"/>
      </w:r>
      <w:r w:rsidRPr="00B10A68">
        <w:rPr>
          <w:rFonts w:ascii="Verdana" w:eastAsia="Times New Roman" w:hAnsi="Verdana" w:cs="Arial"/>
          <w:lang w:val="es-ES_tradnl" w:eastAsia="es-ES_tradnl"/>
        </w:rPr>
        <w:t xml:space="preserve"> o el C-447 del 19 de septiembre de 2024</w:t>
      </w:r>
      <w:r w:rsidRPr="00B10A68">
        <w:rPr>
          <w:rFonts w:ascii="Verdana" w:eastAsia="Times New Roman" w:hAnsi="Verdana" w:cs="Arial"/>
          <w:vertAlign w:val="superscript"/>
          <w:lang w:val="es-ES_tradnl" w:eastAsia="es-ES_tradnl"/>
        </w:rPr>
        <w:footnoteReference w:id="3"/>
      </w:r>
      <w:r w:rsidRPr="00B10A68">
        <w:rPr>
          <w:rFonts w:ascii="Verdana" w:eastAsia="Times New Roman" w:hAnsi="Verdana" w:cs="Arial"/>
          <w:lang w:val="es-ES_tradnl" w:eastAsia="es-ES_tradnl"/>
        </w:rPr>
        <w:t xml:space="preserve"> los cuales, en el evento en que tenga interés, podrá consultar en los enlaces de la nota al pie. Sin embargo</w:t>
      </w:r>
      <w:r w:rsidRPr="00B10A68">
        <w:rPr>
          <w:rFonts w:ascii="Verdana" w:eastAsia="Times New Roman" w:hAnsi="Verdana" w:cs="Arial"/>
          <w:lang w:val="es-ES" w:eastAsia="es-ES"/>
        </w:rPr>
        <w:t xml:space="preserve">, a continuación, se hará referencia particularmente al </w:t>
      </w:r>
      <w:r w:rsidRPr="00B10A68">
        <w:rPr>
          <w:rFonts w:ascii="Verdana" w:eastAsia="Times New Roman" w:hAnsi="Verdana" w:cs="Arial"/>
          <w:lang w:val="es-ES" w:eastAsia="es-ES"/>
        </w:rPr>
        <w:lastRenderedPageBreak/>
        <w:t xml:space="preserve">último momento, que refleja la postura vigente </w:t>
      </w:r>
      <w:r>
        <w:rPr>
          <w:rFonts w:ascii="Verdana" w:eastAsia="Times New Roman" w:hAnsi="Verdana" w:cs="Arial"/>
          <w:lang w:val="es-ES" w:eastAsia="es-ES"/>
        </w:rPr>
        <w:t xml:space="preserve">de esta Entidad </w:t>
      </w:r>
      <w:r w:rsidRPr="00B10A68">
        <w:rPr>
          <w:rFonts w:ascii="Verdana" w:eastAsia="Times New Roman" w:hAnsi="Verdana" w:cs="Arial"/>
          <w:lang w:val="es-ES" w:eastAsia="es-ES"/>
        </w:rPr>
        <w:t>en torno a la subsanabilidad:</w:t>
      </w:r>
    </w:p>
    <w:p w14:paraId="27F76391" w14:textId="77777777" w:rsidR="008540A9" w:rsidRPr="00B10A68" w:rsidRDefault="008540A9" w:rsidP="008540A9">
      <w:pPr>
        <w:tabs>
          <w:tab w:val="left" w:pos="284"/>
        </w:tabs>
        <w:spacing w:after="0" w:line="276" w:lineRule="auto"/>
        <w:ind w:firstLine="709"/>
        <w:jc w:val="both"/>
        <w:rPr>
          <w:rFonts w:ascii="Verdana" w:eastAsia="Times New Roman" w:hAnsi="Verdana" w:cs="Arial"/>
          <w:lang w:val="es-ES_tradnl" w:eastAsia="es-CO"/>
        </w:rPr>
      </w:pPr>
      <w:r w:rsidRPr="00B10A68">
        <w:rPr>
          <w:rFonts w:ascii="Verdana" w:eastAsia="Times New Roman" w:hAnsi="Verdana" w:cs="Arial"/>
          <w:lang w:val="es-ES_tradnl" w:eastAsia="es-ES_tradnl"/>
        </w:rPr>
        <w:t xml:space="preserve">La expedición de la Ley </w:t>
      </w:r>
      <w:r w:rsidRPr="00B10A68">
        <w:rPr>
          <w:rFonts w:ascii="Verdana" w:eastAsia="Times New Roman" w:hAnsi="Verdana" w:cs="Arial"/>
          <w:lang w:val="es-ES_tradnl" w:eastAsia="es-CO"/>
        </w:rPr>
        <w:t xml:space="preserve">1882 de 2018 tuvo por finalidad la de introducir cambios y ajustes para fortalecer la contratación pública. En ese orden, mediante su artículo 5 modificó el parágrafo 1º y adicionó algunos otros, entre ellos el 3° y 4° del artículo 5 de la Ley 1150 de 2007, en los siguientes términos: </w:t>
      </w:r>
    </w:p>
    <w:p w14:paraId="58B36AD8" w14:textId="77777777" w:rsidR="008540A9" w:rsidRPr="00B10A68" w:rsidRDefault="008540A9" w:rsidP="008540A9">
      <w:pPr>
        <w:spacing w:after="0" w:line="276" w:lineRule="auto"/>
        <w:ind w:left="709" w:right="709"/>
        <w:jc w:val="both"/>
        <w:rPr>
          <w:rFonts w:ascii="Verdana" w:eastAsia="Times New Roman" w:hAnsi="Verdana" w:cs="Arial"/>
          <w:lang w:val="es-ES_tradnl" w:eastAsia="es-CO"/>
        </w:rPr>
      </w:pPr>
    </w:p>
    <w:p w14:paraId="7616D102" w14:textId="77777777" w:rsidR="008540A9" w:rsidRPr="00B10A68" w:rsidRDefault="008540A9" w:rsidP="008540A9">
      <w:pPr>
        <w:spacing w:after="0" w:line="240" w:lineRule="auto"/>
        <w:ind w:left="709" w:right="709"/>
        <w:jc w:val="both"/>
        <w:rPr>
          <w:rFonts w:ascii="Verdana" w:eastAsia="Times New Roman" w:hAnsi="Verdana" w:cs="Arial"/>
          <w:sz w:val="20"/>
          <w:szCs w:val="20"/>
          <w:lang w:val="es-ES_tradnl" w:eastAsia="es-CO"/>
        </w:rPr>
      </w:pPr>
      <w:r w:rsidRPr="00B10A68">
        <w:rPr>
          <w:rFonts w:ascii="Verdana" w:eastAsia="Times New Roman" w:hAnsi="Verdana" w:cs="Arial"/>
          <w:sz w:val="20"/>
          <w:szCs w:val="20"/>
          <w:lang w:val="es-ES_tradnl" w:eastAsia="es-CO"/>
        </w:rPr>
        <w:t xml:space="preserve">“Artículo 5°. De la selección objetiva. </w:t>
      </w:r>
    </w:p>
    <w:p w14:paraId="645D332F" w14:textId="77777777" w:rsidR="008540A9" w:rsidRPr="00B10A68" w:rsidRDefault="008540A9" w:rsidP="008540A9">
      <w:pPr>
        <w:spacing w:after="0" w:line="240" w:lineRule="auto"/>
        <w:ind w:left="709" w:right="709"/>
        <w:jc w:val="both"/>
        <w:textAlignment w:val="baseline"/>
        <w:rPr>
          <w:rFonts w:ascii="Verdana" w:eastAsia="Times New Roman" w:hAnsi="Verdana" w:cs="Arial"/>
          <w:color w:val="000000"/>
          <w:sz w:val="20"/>
          <w:szCs w:val="20"/>
          <w:lang w:val="es-ES" w:eastAsia="es-ES_tradnl"/>
        </w:rPr>
      </w:pPr>
    </w:p>
    <w:p w14:paraId="66817CD8" w14:textId="77777777" w:rsidR="008540A9" w:rsidRPr="00B10A68" w:rsidRDefault="008540A9" w:rsidP="008540A9">
      <w:pPr>
        <w:spacing w:after="0" w:line="240" w:lineRule="auto"/>
        <w:ind w:left="709" w:right="709"/>
        <w:jc w:val="both"/>
        <w:textAlignment w:val="baseline"/>
        <w:rPr>
          <w:rFonts w:ascii="Verdana" w:eastAsia="Times New Roman" w:hAnsi="Verdana" w:cs="Segoe UI"/>
          <w:sz w:val="20"/>
          <w:szCs w:val="20"/>
          <w:lang w:eastAsia="es-ES_tradnl"/>
        </w:rPr>
      </w:pPr>
      <w:r w:rsidRPr="00B10A68">
        <w:rPr>
          <w:rFonts w:ascii="Verdana" w:eastAsia="Times New Roman" w:hAnsi="Verdana" w:cs="Arial"/>
          <w:color w:val="000000"/>
          <w:sz w:val="20"/>
          <w:szCs w:val="20"/>
          <w:lang w:val="es-ES" w:eastAsia="es-ES_tradnl"/>
        </w:rPr>
        <w:t>Es objetiva la selección en la cual la escogencia se haga al ofrecimiento más favorable a la entidad y a los fines que ella busca, sin tener en consideración factores de afecto o de interés y, en general, cualquier clase de motivación subjetiva. En consecuencia, los factores de escogencia y calificación que establezcan las entidades en los pliegos de condiciones o sus equivalentes, tendrán en cuenta los siguientes criterios:</w:t>
      </w:r>
      <w:r w:rsidRPr="00B10A68">
        <w:rPr>
          <w:rFonts w:ascii="Verdana" w:eastAsia="Arial" w:hAnsi="Verdana" w:cs="Times New Roman"/>
          <w:color w:val="000000"/>
          <w:sz w:val="20"/>
          <w:szCs w:val="20"/>
          <w:lang w:eastAsia="es-ES_tradnl"/>
        </w:rPr>
        <w:t> </w:t>
      </w:r>
    </w:p>
    <w:p w14:paraId="109F6475" w14:textId="77777777" w:rsidR="008540A9" w:rsidRPr="00B10A68" w:rsidRDefault="008540A9" w:rsidP="008540A9">
      <w:pPr>
        <w:spacing w:after="0" w:line="240" w:lineRule="auto"/>
        <w:ind w:left="709" w:right="709"/>
        <w:jc w:val="both"/>
        <w:textAlignment w:val="baseline"/>
        <w:rPr>
          <w:rFonts w:ascii="Verdana" w:eastAsia="Times New Roman" w:hAnsi="Verdana" w:cs="Segoe UI"/>
          <w:sz w:val="20"/>
          <w:szCs w:val="20"/>
          <w:lang w:eastAsia="es-ES_tradnl"/>
        </w:rPr>
      </w:pPr>
      <w:r w:rsidRPr="00B10A68">
        <w:rPr>
          <w:rFonts w:ascii="Verdana" w:eastAsia="Arial" w:hAnsi="Verdana" w:cs="Times New Roman"/>
          <w:color w:val="000000"/>
          <w:sz w:val="20"/>
          <w:szCs w:val="20"/>
          <w:lang w:eastAsia="es-ES_tradnl"/>
        </w:rPr>
        <w:t> </w:t>
      </w:r>
    </w:p>
    <w:p w14:paraId="4DDD84E4" w14:textId="77777777" w:rsidR="008540A9" w:rsidRPr="00B10A68" w:rsidRDefault="008540A9" w:rsidP="008540A9">
      <w:pPr>
        <w:spacing w:after="0" w:line="240" w:lineRule="auto"/>
        <w:ind w:left="709" w:right="709"/>
        <w:jc w:val="both"/>
        <w:textAlignment w:val="baseline"/>
        <w:rPr>
          <w:rFonts w:ascii="Verdana" w:eastAsia="Times New Roman" w:hAnsi="Verdana" w:cs="Segoe UI"/>
          <w:sz w:val="20"/>
          <w:szCs w:val="20"/>
          <w:lang w:eastAsia="es-ES_tradnl"/>
        </w:rPr>
      </w:pPr>
      <w:r w:rsidRPr="00B10A68">
        <w:rPr>
          <w:rFonts w:ascii="Verdana" w:eastAsia="Times New Roman" w:hAnsi="Verdana" w:cs="Arial"/>
          <w:color w:val="000000"/>
          <w:sz w:val="20"/>
          <w:szCs w:val="20"/>
          <w:lang w:val="es-ES" w:eastAsia="es-ES_tradnl"/>
        </w:rPr>
        <w:t>(…)</w:t>
      </w:r>
    </w:p>
    <w:p w14:paraId="463FF4FF" w14:textId="77777777" w:rsidR="008540A9" w:rsidRPr="00B10A68" w:rsidRDefault="008540A9" w:rsidP="008540A9">
      <w:pPr>
        <w:spacing w:after="0" w:line="240" w:lineRule="auto"/>
        <w:ind w:left="709" w:right="709"/>
        <w:jc w:val="both"/>
        <w:textAlignment w:val="baseline"/>
        <w:rPr>
          <w:rFonts w:ascii="Verdana" w:eastAsia="Times New Roman" w:hAnsi="Verdana" w:cs="Segoe UI"/>
          <w:sz w:val="20"/>
          <w:szCs w:val="20"/>
          <w:lang w:eastAsia="es-ES_tradnl"/>
        </w:rPr>
      </w:pPr>
      <w:r w:rsidRPr="00B10A68">
        <w:rPr>
          <w:rFonts w:ascii="Verdana" w:eastAsia="Arial" w:hAnsi="Verdana" w:cs="Times New Roman"/>
          <w:color w:val="000000"/>
          <w:sz w:val="20"/>
          <w:szCs w:val="20"/>
          <w:lang w:eastAsia="es-ES_tradnl"/>
        </w:rPr>
        <w:t> </w:t>
      </w:r>
    </w:p>
    <w:p w14:paraId="1EA6B022" w14:textId="77777777" w:rsidR="008540A9" w:rsidRPr="00B10A68" w:rsidRDefault="008540A9" w:rsidP="008540A9">
      <w:pPr>
        <w:spacing w:after="0" w:line="240" w:lineRule="auto"/>
        <w:ind w:left="709" w:right="709"/>
        <w:jc w:val="both"/>
        <w:textAlignment w:val="baseline"/>
        <w:rPr>
          <w:rFonts w:ascii="Verdana" w:eastAsia="Times New Roman" w:hAnsi="Verdana" w:cs="Segoe UI"/>
          <w:sz w:val="20"/>
          <w:szCs w:val="20"/>
          <w:lang w:eastAsia="es-ES_tradnl"/>
        </w:rPr>
      </w:pPr>
      <w:r w:rsidRPr="00B10A68">
        <w:rPr>
          <w:rFonts w:ascii="Verdana" w:eastAsia="Times New Roman" w:hAnsi="Verdana" w:cs="Arial"/>
          <w:color w:val="000000"/>
          <w:sz w:val="20"/>
          <w:szCs w:val="20"/>
          <w:u w:val="single"/>
          <w:lang w:val="es-ES" w:eastAsia="es-ES_tradnl"/>
        </w:rPr>
        <w:t>PARÁGRAFO 1o. &lt;Parágrafo modificado por el artículo 5 de la Ley 1882 de 2018. El nuevo texto es el siguiente:&gt; La ausencia de requisitos o la falta de documentos referentes a la futura contratación o al proponente, no necesarios para la comparación de las propuestas no servirán de título suficiente para el rechazo de los ofrecimientos hechos. En consecuencia, todos aquellos requisitos de la propuesta que no afecten la asignación de puntaje, deberán ser solicitados por las entidades estatales y deberán ser entregados por los proponentes hasta el término de traslado del informe de evaluación que corresponda a cada modalidad de selección</w:t>
      </w:r>
      <w:r w:rsidRPr="00B10A68">
        <w:rPr>
          <w:rFonts w:ascii="Verdana" w:eastAsia="Times New Roman" w:hAnsi="Verdana" w:cs="Arial"/>
          <w:color w:val="000000"/>
          <w:sz w:val="20"/>
          <w:szCs w:val="20"/>
          <w:lang w:val="es-ES" w:eastAsia="es-ES_tradnl"/>
        </w:rPr>
        <w:t xml:space="preserve">, salvo lo dispuesto para el proceso de Mínima cuantía y para el proceso de selección a través del sistema de subasta. </w:t>
      </w:r>
      <w:r w:rsidRPr="00B10A68">
        <w:rPr>
          <w:rFonts w:ascii="Verdana" w:eastAsia="Times New Roman" w:hAnsi="Verdana" w:cs="Arial"/>
          <w:color w:val="000000"/>
          <w:sz w:val="20"/>
          <w:szCs w:val="20"/>
          <w:u w:val="single"/>
          <w:lang w:val="es-ES" w:eastAsia="es-ES_tradnl"/>
        </w:rPr>
        <w:t>Serán rechazadas las ofertas de aquellos proponentes que no suministren la información y la documentación solicitada por la entidad estatal hasta el plazo anteriormente señalado.</w:t>
      </w:r>
      <w:r w:rsidRPr="00B10A68">
        <w:rPr>
          <w:rFonts w:ascii="Verdana" w:eastAsia="Arial" w:hAnsi="Verdana" w:cs="Times New Roman"/>
          <w:color w:val="000000"/>
          <w:sz w:val="20"/>
          <w:szCs w:val="20"/>
          <w:u w:val="single"/>
          <w:lang w:eastAsia="es-ES_tradnl"/>
        </w:rPr>
        <w:t> </w:t>
      </w:r>
    </w:p>
    <w:p w14:paraId="7BBFC57D" w14:textId="77777777" w:rsidR="008540A9" w:rsidRPr="00B10A68" w:rsidRDefault="008540A9" w:rsidP="008540A9">
      <w:pPr>
        <w:spacing w:after="0" w:line="240" w:lineRule="auto"/>
        <w:ind w:left="709" w:right="709"/>
        <w:jc w:val="both"/>
        <w:textAlignment w:val="baseline"/>
        <w:rPr>
          <w:rFonts w:ascii="Verdana" w:eastAsia="Times New Roman" w:hAnsi="Verdana" w:cs="Segoe UI"/>
          <w:sz w:val="20"/>
          <w:szCs w:val="20"/>
          <w:lang w:eastAsia="es-ES_tradnl"/>
        </w:rPr>
      </w:pPr>
      <w:r w:rsidRPr="00B10A68">
        <w:rPr>
          <w:rFonts w:ascii="Verdana" w:eastAsia="Arial" w:hAnsi="Verdana" w:cs="Times New Roman"/>
          <w:color w:val="000000"/>
          <w:sz w:val="20"/>
          <w:szCs w:val="20"/>
          <w:lang w:eastAsia="es-ES_tradnl"/>
        </w:rPr>
        <w:t> </w:t>
      </w:r>
    </w:p>
    <w:p w14:paraId="07085502" w14:textId="77777777" w:rsidR="008540A9" w:rsidRPr="00B10A68" w:rsidRDefault="008540A9" w:rsidP="008540A9">
      <w:pPr>
        <w:spacing w:after="0" w:line="240" w:lineRule="auto"/>
        <w:ind w:left="709" w:right="709"/>
        <w:jc w:val="both"/>
        <w:textAlignment w:val="baseline"/>
        <w:rPr>
          <w:rFonts w:ascii="Verdana" w:eastAsia="Times New Roman" w:hAnsi="Verdana" w:cs="Segoe UI"/>
          <w:sz w:val="20"/>
          <w:szCs w:val="20"/>
          <w:lang w:eastAsia="es-ES_tradnl"/>
        </w:rPr>
      </w:pPr>
      <w:r w:rsidRPr="00B10A68">
        <w:rPr>
          <w:rFonts w:ascii="Verdana" w:eastAsia="Times New Roman" w:hAnsi="Verdana" w:cs="Arial"/>
          <w:color w:val="000000"/>
          <w:sz w:val="20"/>
          <w:szCs w:val="20"/>
          <w:u w:val="single"/>
          <w:lang w:val="es-ES" w:eastAsia="es-ES_tradnl"/>
        </w:rPr>
        <w:t>Durante el término otorgado para subsanar las ofertas, los proponentes no podrán acreditar circunstancias ocurridas con posterioridad al cierre del proceso.</w:t>
      </w:r>
      <w:r w:rsidRPr="00B10A68">
        <w:rPr>
          <w:rFonts w:ascii="Verdana" w:eastAsia="Arial" w:hAnsi="Verdana" w:cs="Times New Roman"/>
          <w:color w:val="000000"/>
          <w:sz w:val="20"/>
          <w:szCs w:val="20"/>
          <w:lang w:eastAsia="es-ES_tradnl"/>
        </w:rPr>
        <w:t> </w:t>
      </w:r>
    </w:p>
    <w:p w14:paraId="65B1E64C" w14:textId="77777777" w:rsidR="008540A9" w:rsidRPr="00B10A68" w:rsidRDefault="008540A9" w:rsidP="008540A9">
      <w:pPr>
        <w:spacing w:after="0" w:line="240" w:lineRule="auto"/>
        <w:ind w:left="709" w:right="709"/>
        <w:jc w:val="both"/>
        <w:textAlignment w:val="baseline"/>
        <w:rPr>
          <w:rFonts w:ascii="Verdana" w:eastAsia="Times New Roman" w:hAnsi="Verdana" w:cs="Segoe UI"/>
          <w:sz w:val="20"/>
          <w:szCs w:val="20"/>
          <w:lang w:eastAsia="es-ES_tradnl"/>
        </w:rPr>
      </w:pPr>
      <w:r w:rsidRPr="00B10A68">
        <w:rPr>
          <w:rFonts w:ascii="Verdana" w:eastAsia="Arial" w:hAnsi="Verdana" w:cs="Times New Roman"/>
          <w:color w:val="000000"/>
          <w:sz w:val="20"/>
          <w:szCs w:val="20"/>
          <w:lang w:eastAsia="es-ES_tradnl"/>
        </w:rPr>
        <w:t> </w:t>
      </w:r>
    </w:p>
    <w:p w14:paraId="74DCD0C4" w14:textId="77777777" w:rsidR="008540A9" w:rsidRPr="00B10A68" w:rsidRDefault="008540A9" w:rsidP="008540A9">
      <w:pPr>
        <w:spacing w:after="0" w:line="240" w:lineRule="auto"/>
        <w:ind w:left="709" w:right="709"/>
        <w:jc w:val="both"/>
        <w:textAlignment w:val="baseline"/>
        <w:rPr>
          <w:rFonts w:ascii="Verdana" w:eastAsia="Times New Roman" w:hAnsi="Verdana" w:cs="Segoe UI"/>
          <w:sz w:val="20"/>
          <w:szCs w:val="20"/>
          <w:lang w:eastAsia="es-ES_tradnl"/>
        </w:rPr>
      </w:pPr>
      <w:r w:rsidRPr="00B10A68">
        <w:rPr>
          <w:rFonts w:ascii="Verdana" w:eastAsia="Times New Roman" w:hAnsi="Verdana" w:cs="Arial"/>
          <w:color w:val="000000"/>
          <w:sz w:val="20"/>
          <w:szCs w:val="20"/>
          <w:lang w:val="es-ES" w:eastAsia="es-ES_tradnl"/>
        </w:rPr>
        <w:t>PARÁGRAFO 2o. Las certificaciones de sistemas de gestión de calidad no serán objeto de calificación, ni podrán establecerse como documento habilitante para participar en licitaciones o concursos.</w:t>
      </w:r>
      <w:r w:rsidRPr="00B10A68">
        <w:rPr>
          <w:rFonts w:ascii="Verdana" w:eastAsia="Arial" w:hAnsi="Verdana" w:cs="Times New Roman"/>
          <w:color w:val="000000"/>
          <w:sz w:val="20"/>
          <w:szCs w:val="20"/>
          <w:lang w:eastAsia="es-ES_tradnl"/>
        </w:rPr>
        <w:t> </w:t>
      </w:r>
    </w:p>
    <w:p w14:paraId="5641E344" w14:textId="77777777" w:rsidR="008540A9" w:rsidRPr="00B10A68" w:rsidRDefault="008540A9" w:rsidP="008540A9">
      <w:pPr>
        <w:spacing w:after="0" w:line="240" w:lineRule="auto"/>
        <w:ind w:left="709" w:right="709"/>
        <w:jc w:val="both"/>
        <w:textAlignment w:val="baseline"/>
        <w:rPr>
          <w:rFonts w:ascii="Verdana" w:eastAsia="Times New Roman" w:hAnsi="Verdana" w:cs="Segoe UI"/>
          <w:sz w:val="20"/>
          <w:szCs w:val="20"/>
          <w:lang w:eastAsia="es-ES_tradnl"/>
        </w:rPr>
      </w:pPr>
      <w:r w:rsidRPr="00B10A68">
        <w:rPr>
          <w:rFonts w:ascii="Verdana" w:eastAsia="Arial" w:hAnsi="Verdana" w:cs="Times New Roman"/>
          <w:color w:val="000000"/>
          <w:sz w:val="20"/>
          <w:szCs w:val="20"/>
          <w:lang w:eastAsia="es-ES_tradnl"/>
        </w:rPr>
        <w:t> </w:t>
      </w:r>
    </w:p>
    <w:p w14:paraId="38B88F7B" w14:textId="77777777" w:rsidR="008540A9" w:rsidRPr="00B10A68" w:rsidRDefault="008540A9" w:rsidP="008540A9">
      <w:pPr>
        <w:spacing w:after="0" w:line="240" w:lineRule="auto"/>
        <w:ind w:left="709" w:right="709"/>
        <w:jc w:val="both"/>
        <w:textAlignment w:val="baseline"/>
        <w:rPr>
          <w:rFonts w:ascii="Verdana" w:eastAsia="Times New Roman" w:hAnsi="Verdana" w:cs="Segoe UI"/>
          <w:sz w:val="20"/>
          <w:szCs w:val="20"/>
          <w:u w:val="single"/>
          <w:lang w:eastAsia="es-ES_tradnl"/>
        </w:rPr>
      </w:pPr>
      <w:r w:rsidRPr="00B10A68">
        <w:rPr>
          <w:rFonts w:ascii="Verdana" w:eastAsia="Times New Roman" w:hAnsi="Verdana" w:cs="Arial"/>
          <w:color w:val="000000"/>
          <w:sz w:val="20"/>
          <w:szCs w:val="20"/>
          <w:u w:val="single"/>
          <w:lang w:val="es-ES" w:eastAsia="es-ES_tradnl"/>
        </w:rPr>
        <w:t xml:space="preserve">PARÁGRAFO 3o. &lt;Parágrafo adicionado por el artículo 5 de la Ley 1882 de 2018. El nuevo texto es el siguiente:&gt; La no entrega de la garantía de seriedad junto con la propuesta no será subsanable y será causal de rechazo de </w:t>
      </w:r>
      <w:proofErr w:type="gramStart"/>
      <w:r w:rsidRPr="00B10A68">
        <w:rPr>
          <w:rFonts w:ascii="Verdana" w:eastAsia="Times New Roman" w:hAnsi="Verdana" w:cs="Arial"/>
          <w:color w:val="000000"/>
          <w:sz w:val="20"/>
          <w:szCs w:val="20"/>
          <w:u w:val="single"/>
          <w:lang w:val="es-ES" w:eastAsia="es-ES_tradnl"/>
        </w:rPr>
        <w:t>la misma</w:t>
      </w:r>
      <w:proofErr w:type="gramEnd"/>
      <w:r w:rsidRPr="00B10A68">
        <w:rPr>
          <w:rFonts w:ascii="Verdana" w:eastAsia="Times New Roman" w:hAnsi="Verdana" w:cs="Arial"/>
          <w:color w:val="000000"/>
          <w:sz w:val="20"/>
          <w:szCs w:val="20"/>
          <w:u w:val="single"/>
          <w:lang w:val="es-ES" w:eastAsia="es-ES_tradnl"/>
        </w:rPr>
        <w:t>.</w:t>
      </w:r>
      <w:r w:rsidRPr="00B10A68">
        <w:rPr>
          <w:rFonts w:ascii="Verdana" w:eastAsia="Arial" w:hAnsi="Verdana" w:cs="Times New Roman"/>
          <w:color w:val="000000"/>
          <w:sz w:val="20"/>
          <w:szCs w:val="20"/>
          <w:u w:val="single"/>
          <w:lang w:eastAsia="es-ES_tradnl"/>
        </w:rPr>
        <w:t> </w:t>
      </w:r>
    </w:p>
    <w:p w14:paraId="1B652B1E" w14:textId="77777777" w:rsidR="008540A9" w:rsidRPr="00B10A68" w:rsidRDefault="008540A9" w:rsidP="008540A9">
      <w:pPr>
        <w:spacing w:after="0" w:line="240" w:lineRule="auto"/>
        <w:ind w:left="709" w:right="709"/>
        <w:jc w:val="both"/>
        <w:textAlignment w:val="baseline"/>
        <w:rPr>
          <w:rFonts w:ascii="Verdana" w:eastAsia="Times New Roman" w:hAnsi="Verdana" w:cs="Segoe UI"/>
          <w:sz w:val="20"/>
          <w:szCs w:val="20"/>
          <w:lang w:eastAsia="es-ES_tradnl"/>
        </w:rPr>
      </w:pPr>
      <w:r w:rsidRPr="00B10A68">
        <w:rPr>
          <w:rFonts w:ascii="Verdana" w:eastAsia="Arial" w:hAnsi="Verdana" w:cs="Times New Roman"/>
          <w:color w:val="000000"/>
          <w:sz w:val="20"/>
          <w:szCs w:val="20"/>
          <w:lang w:eastAsia="es-ES_tradnl"/>
        </w:rPr>
        <w:lastRenderedPageBreak/>
        <w:t> </w:t>
      </w:r>
    </w:p>
    <w:p w14:paraId="1333D1AD" w14:textId="77777777" w:rsidR="008540A9" w:rsidRPr="00B10A68" w:rsidRDefault="008540A9" w:rsidP="008540A9">
      <w:pPr>
        <w:spacing w:after="0" w:line="240" w:lineRule="auto"/>
        <w:ind w:left="709" w:right="709"/>
        <w:jc w:val="both"/>
        <w:textAlignment w:val="baseline"/>
        <w:rPr>
          <w:rFonts w:ascii="Verdana" w:eastAsia="Times New Roman" w:hAnsi="Verdana" w:cs="Segoe UI"/>
          <w:sz w:val="20"/>
          <w:szCs w:val="20"/>
          <w:lang w:eastAsia="es-ES_tradnl"/>
        </w:rPr>
      </w:pPr>
      <w:r w:rsidRPr="00B10A68">
        <w:rPr>
          <w:rFonts w:ascii="Verdana" w:eastAsia="Times New Roman" w:hAnsi="Verdana" w:cs="Arial"/>
          <w:color w:val="000000"/>
          <w:sz w:val="20"/>
          <w:szCs w:val="20"/>
          <w:lang w:val="es-ES" w:eastAsia="es-ES_tradnl"/>
        </w:rPr>
        <w:t>PARÁGRAFO 4o. &lt;Parágrafo adicionado por el artículo 5 de la Ley 1882 de 2018. El nuevo texto es el siguiente:&gt; En aquellos procesos de selección en los que se utilice el mecanismo de subasta, los documentos referentes a la futura contratación o al proponente, no necesarios para la comparación de las propuestas, deberán ser solicitados hasta el momento previo a su realización.</w:t>
      </w:r>
      <w:r w:rsidRPr="00B10A68">
        <w:rPr>
          <w:rFonts w:ascii="Verdana" w:eastAsia="Arial" w:hAnsi="Verdana" w:cs="Times New Roman"/>
          <w:color w:val="000000"/>
          <w:sz w:val="20"/>
          <w:szCs w:val="20"/>
          <w:lang w:eastAsia="es-ES_tradnl"/>
        </w:rPr>
        <w:t> </w:t>
      </w:r>
    </w:p>
    <w:p w14:paraId="45FFA108" w14:textId="77777777" w:rsidR="008540A9" w:rsidRPr="00B10A68" w:rsidRDefault="008540A9" w:rsidP="008540A9">
      <w:pPr>
        <w:spacing w:after="0" w:line="240" w:lineRule="auto"/>
        <w:ind w:left="709" w:right="709"/>
        <w:jc w:val="both"/>
        <w:textAlignment w:val="baseline"/>
        <w:rPr>
          <w:rFonts w:ascii="Verdana" w:eastAsia="Times New Roman" w:hAnsi="Verdana" w:cs="Segoe UI"/>
          <w:sz w:val="20"/>
          <w:szCs w:val="20"/>
          <w:lang w:eastAsia="es-ES_tradnl"/>
        </w:rPr>
      </w:pPr>
      <w:r w:rsidRPr="00B10A68">
        <w:rPr>
          <w:rFonts w:ascii="Verdana" w:eastAsia="Arial" w:hAnsi="Verdana" w:cs="Times New Roman"/>
          <w:color w:val="000000"/>
          <w:sz w:val="20"/>
          <w:szCs w:val="20"/>
          <w:lang w:eastAsia="es-ES_tradnl"/>
        </w:rPr>
        <w:t> </w:t>
      </w:r>
    </w:p>
    <w:p w14:paraId="7AD178CF" w14:textId="77777777" w:rsidR="008540A9" w:rsidRPr="00B10A68" w:rsidRDefault="008540A9" w:rsidP="008540A9">
      <w:pPr>
        <w:spacing w:after="0" w:line="240" w:lineRule="auto"/>
        <w:ind w:left="709" w:right="709"/>
        <w:jc w:val="both"/>
        <w:textAlignment w:val="baseline"/>
        <w:rPr>
          <w:rFonts w:ascii="Verdana" w:eastAsia="Times New Roman" w:hAnsi="Verdana" w:cs="Segoe UI"/>
          <w:sz w:val="20"/>
          <w:szCs w:val="20"/>
          <w:lang w:eastAsia="es-ES_tradnl"/>
        </w:rPr>
      </w:pPr>
      <w:r w:rsidRPr="00B10A68">
        <w:rPr>
          <w:rFonts w:ascii="Verdana" w:eastAsia="Times New Roman" w:hAnsi="Verdana" w:cs="Arial"/>
          <w:color w:val="000000"/>
          <w:sz w:val="20"/>
          <w:szCs w:val="20"/>
          <w:lang w:val="es-ES" w:eastAsia="es-ES_tradnl"/>
        </w:rPr>
        <w:t>PARÁGRAFO 5o. &lt;Parágrafo adicionado por el artículo 5 de la Ley 1882 de 2018. El nuevo texto es el siguiente:&gt; En los procesos de contratación, las entidades estatales deberán aceptar la experiencia adquirida por los proponentes a través de la ejecución de contratos con particulares”. [Subrayado por fuera de texto original]</w:t>
      </w:r>
    </w:p>
    <w:p w14:paraId="51149349" w14:textId="77777777" w:rsidR="008540A9" w:rsidRPr="00B10A68" w:rsidRDefault="008540A9" w:rsidP="008540A9">
      <w:pPr>
        <w:spacing w:after="0" w:line="276" w:lineRule="auto"/>
        <w:ind w:left="709" w:right="709"/>
        <w:jc w:val="both"/>
        <w:rPr>
          <w:rFonts w:ascii="Verdana" w:eastAsia="Times New Roman" w:hAnsi="Verdana" w:cs="Arial"/>
          <w:lang w:eastAsia="es-CO"/>
        </w:rPr>
      </w:pPr>
    </w:p>
    <w:p w14:paraId="1D633B8D" w14:textId="77777777" w:rsidR="008540A9" w:rsidRPr="00B10A68" w:rsidRDefault="008540A9" w:rsidP="008540A9">
      <w:pPr>
        <w:spacing w:after="120" w:line="276" w:lineRule="auto"/>
        <w:ind w:firstLine="709"/>
        <w:jc w:val="both"/>
        <w:rPr>
          <w:rFonts w:ascii="Verdana" w:eastAsia="Times New Roman" w:hAnsi="Verdana" w:cs="Arial"/>
          <w:lang w:val="es-ES" w:eastAsia="es-ES"/>
        </w:rPr>
      </w:pPr>
      <w:r w:rsidRPr="00B10A68">
        <w:rPr>
          <w:rFonts w:ascii="Verdana" w:eastAsia="Times New Roman" w:hAnsi="Verdana" w:cs="Arial"/>
          <w:lang w:val="es-ES" w:eastAsia="es-ES"/>
        </w:rPr>
        <w:t xml:space="preserve">Como puede observarse, la Ley 1882 de 2018: i) mantiene el criterio de la Ley 80 de 1993, relativo a que todo lo que no sea necesario para la comparación de propuestas no es título suficiente para su rechazo; </w:t>
      </w:r>
      <w:proofErr w:type="spellStart"/>
      <w:r w:rsidRPr="00B10A68">
        <w:rPr>
          <w:rFonts w:ascii="Verdana" w:eastAsia="Times New Roman" w:hAnsi="Verdana" w:cs="Arial"/>
          <w:lang w:val="es-ES" w:eastAsia="es-ES"/>
        </w:rPr>
        <w:t>ii</w:t>
      </w:r>
      <w:proofErr w:type="spellEnd"/>
      <w:r w:rsidRPr="00B10A68">
        <w:rPr>
          <w:rFonts w:ascii="Verdana" w:eastAsia="Times New Roman" w:hAnsi="Verdana" w:cs="Arial"/>
          <w:lang w:val="es-ES" w:eastAsia="es-ES"/>
        </w:rPr>
        <w:t xml:space="preserve">) mantiene el criterio aclaratorio de la Ley 1150 de 2007, según el cual todo lo que no afecte la asignación de puntaje puede subsanarse; e, </w:t>
      </w:r>
      <w:proofErr w:type="spellStart"/>
      <w:r w:rsidRPr="00B10A68">
        <w:rPr>
          <w:rFonts w:ascii="Verdana" w:eastAsia="Times New Roman" w:hAnsi="Verdana" w:cs="Arial"/>
          <w:lang w:val="es-ES" w:eastAsia="es-ES"/>
        </w:rPr>
        <w:t>iii</w:t>
      </w:r>
      <w:proofErr w:type="spellEnd"/>
      <w:r w:rsidRPr="00B10A68">
        <w:rPr>
          <w:rFonts w:ascii="Verdana" w:eastAsia="Times New Roman" w:hAnsi="Verdana" w:cs="Arial"/>
          <w:lang w:val="es-ES" w:eastAsia="es-ES"/>
        </w:rPr>
        <w:t xml:space="preserve">) introduce modificaciones en relación con algunos aspectos que se analizarán a continuación. </w:t>
      </w:r>
    </w:p>
    <w:p w14:paraId="02F05682" w14:textId="77777777" w:rsidR="008540A9" w:rsidRPr="00B10A68" w:rsidRDefault="008540A9" w:rsidP="008540A9">
      <w:pPr>
        <w:spacing w:after="120" w:line="276" w:lineRule="auto"/>
        <w:ind w:right="51" w:firstLine="709"/>
        <w:jc w:val="both"/>
        <w:rPr>
          <w:rFonts w:ascii="Verdana" w:eastAsia="Times New Roman" w:hAnsi="Verdana" w:cs="Arial"/>
          <w:lang w:val="es-ES_tradnl" w:eastAsia="es-ES_tradnl"/>
        </w:rPr>
      </w:pPr>
      <w:r w:rsidRPr="00B10A68">
        <w:rPr>
          <w:rFonts w:ascii="Verdana" w:eastAsia="Times New Roman" w:hAnsi="Verdana" w:cs="Arial"/>
          <w:i/>
          <w:iCs/>
          <w:lang w:val="es-ES_tradnl" w:eastAsia="es-ES_tradnl"/>
        </w:rPr>
        <w:t xml:space="preserve">La primera modificación </w:t>
      </w:r>
      <w:r>
        <w:rPr>
          <w:rFonts w:ascii="Verdana" w:eastAsia="Times New Roman" w:hAnsi="Verdana" w:cs="Arial"/>
          <w:lang w:val="es-ES_tradnl" w:eastAsia="es-ES_tradnl"/>
        </w:rPr>
        <w:t xml:space="preserve">introducido por el artículo antes citado </w:t>
      </w:r>
      <w:r w:rsidRPr="00B10A68">
        <w:rPr>
          <w:rFonts w:ascii="Verdana" w:eastAsia="Times New Roman" w:hAnsi="Verdana" w:cs="Arial"/>
          <w:lang w:val="es-ES_tradnl" w:eastAsia="es-ES_tradnl"/>
        </w:rPr>
        <w:t>está relacionada con el ámbito temporal para ejercer la facultad de subsanar la oferta, pues la Ley 1882 de 2018 fijó una regla general y una excepción. La regla general es que, el límite para que la entidad solicite y para que el proponente corrija lo que haga falta es hasta el término de traslado del informe de evaluación que corresponda a cada modalidad de selección. La excepción es que el límite anterior no aplica para los procesos de mínima cuantía y para el proceso de selección a través del sistema de subasta</w:t>
      </w:r>
      <w:r w:rsidRPr="00B10A68">
        <w:rPr>
          <w:rFonts w:ascii="Verdana" w:eastAsia="Times New Roman" w:hAnsi="Verdana" w:cs="Arial"/>
          <w:vertAlign w:val="superscript"/>
          <w:lang w:val="es-ES_tradnl" w:eastAsia="es-ES_tradnl"/>
        </w:rPr>
        <w:footnoteReference w:id="4"/>
      </w:r>
      <w:r w:rsidRPr="00B10A68">
        <w:rPr>
          <w:rFonts w:ascii="Verdana" w:eastAsia="Times New Roman" w:hAnsi="Verdana" w:cs="Arial"/>
          <w:lang w:val="es-ES_tradnl" w:eastAsia="es-ES_tradnl"/>
        </w:rPr>
        <w:t>.</w:t>
      </w:r>
    </w:p>
    <w:p w14:paraId="59337B3D" w14:textId="77777777" w:rsidR="008540A9" w:rsidRPr="00B10A68" w:rsidRDefault="008540A9" w:rsidP="008540A9">
      <w:pPr>
        <w:spacing w:after="120" w:line="276" w:lineRule="auto"/>
        <w:ind w:firstLine="709"/>
        <w:jc w:val="both"/>
        <w:rPr>
          <w:rFonts w:ascii="Verdana" w:eastAsia="Times New Roman" w:hAnsi="Verdana" w:cs="Arial"/>
          <w:lang w:val="es-ES" w:eastAsia="es-ES"/>
        </w:rPr>
      </w:pPr>
      <w:r w:rsidRPr="00B10A68">
        <w:rPr>
          <w:rFonts w:ascii="Verdana" w:eastAsia="Times New Roman" w:hAnsi="Verdana" w:cs="Arial"/>
          <w:lang w:val="es-ES" w:eastAsia="es-ES"/>
        </w:rPr>
        <w:t xml:space="preserve">Frente a la regla general aplicable a los demás procesos de selección, la norma fijó un límite final para que la Administración y los oferentes subsanen los requisitos o documentos que puedan y deban ser subsanados. No obstante, lo anterior, nada impide, y la norma no lo hace, que la Administración requiera al proponente antes de publicar el informe de evaluación. En efecto, la redacción de la norma permite que la Administración solicite a los oferentes subsanar y que estos lo hagan hasta antes del término del traslado del informe de </w:t>
      </w:r>
      <w:r w:rsidRPr="00B10A68">
        <w:rPr>
          <w:rFonts w:ascii="Verdana" w:eastAsia="Times New Roman" w:hAnsi="Verdana" w:cs="Arial"/>
          <w:lang w:val="es-ES" w:eastAsia="es-ES"/>
        </w:rPr>
        <w:lastRenderedPageBreak/>
        <w:t>evaluación: “</w:t>
      </w:r>
      <w:r w:rsidRPr="00B10A68">
        <w:rPr>
          <w:rFonts w:ascii="Verdana" w:eastAsia="Times New Roman" w:hAnsi="Verdana" w:cs="Arial"/>
          <w:i/>
          <w:iCs/>
          <w:lang w:val="es-ES" w:eastAsia="es-ES"/>
        </w:rPr>
        <w:t>deberán ser solicitados por las entidades estatales y deberán ser entregados por los proponentes hasta el término de traslado del informe de evaluación que corresponda a cada modalidad de selección”.</w:t>
      </w:r>
      <w:r w:rsidRPr="00B10A68">
        <w:rPr>
          <w:rFonts w:ascii="Verdana" w:eastAsia="Times New Roman" w:hAnsi="Verdana" w:cs="Arial"/>
          <w:lang w:val="es-ES" w:eastAsia="es-ES"/>
        </w:rPr>
        <w:t xml:space="preserve"> </w:t>
      </w:r>
    </w:p>
    <w:p w14:paraId="270BADFA" w14:textId="77777777" w:rsidR="008540A9" w:rsidRPr="00B10A68" w:rsidRDefault="008540A9" w:rsidP="008540A9">
      <w:pPr>
        <w:spacing w:after="120" w:line="276" w:lineRule="auto"/>
        <w:ind w:firstLine="709"/>
        <w:jc w:val="both"/>
        <w:rPr>
          <w:rFonts w:ascii="Verdana" w:eastAsia="Times New Roman" w:hAnsi="Verdana" w:cs="Arial"/>
          <w:lang w:val="es-ES" w:eastAsia="es-ES"/>
        </w:rPr>
      </w:pPr>
      <w:r w:rsidRPr="00B10A68">
        <w:rPr>
          <w:rFonts w:ascii="Verdana" w:eastAsia="Times New Roman" w:hAnsi="Verdana" w:cs="Arial"/>
          <w:lang w:val="es-ES" w:eastAsia="es-ES"/>
        </w:rPr>
        <w:t xml:space="preserve">Sin perjuicio de lo expuesto, de la lectura de este aparte podrían, en la práctica, darse dos interpretaciones que dan lugar a dos formas de proceder en los procesos de selección, en lo que a la subsanabilidad de las ofertas se refiere. </w:t>
      </w:r>
      <w:r w:rsidRPr="00B10A68">
        <w:rPr>
          <w:rFonts w:ascii="Verdana" w:eastAsia="Times New Roman" w:hAnsi="Verdana" w:cs="Arial"/>
          <w:i/>
          <w:iCs/>
          <w:lang w:val="es-ES" w:eastAsia="es-ES"/>
        </w:rPr>
        <w:t>Primera</w:t>
      </w:r>
      <w:r w:rsidRPr="00B10A68">
        <w:rPr>
          <w:rFonts w:ascii="Verdana" w:eastAsia="Times New Roman" w:hAnsi="Verdana" w:cs="Arial"/>
          <w:lang w:val="es-ES" w:eastAsia="es-ES"/>
        </w:rPr>
        <w:t xml:space="preserve">, que la posibilidad para subsanar de los oferentes es el término del traslado del informe de evaluación, ya que es en este documento donde la Administración consigna los requisitos o documentos omitidos que los oferentes deben subsanar, so pena de rechazo. </w:t>
      </w:r>
      <w:r w:rsidRPr="00B10A68">
        <w:rPr>
          <w:rFonts w:ascii="Verdana" w:eastAsia="Times New Roman" w:hAnsi="Verdana" w:cs="Arial"/>
          <w:i/>
          <w:iCs/>
          <w:lang w:val="es-ES" w:eastAsia="es-ES"/>
        </w:rPr>
        <w:t>Segunda</w:t>
      </w:r>
      <w:r w:rsidRPr="00B10A68">
        <w:rPr>
          <w:rFonts w:ascii="Verdana" w:eastAsia="Times New Roman" w:hAnsi="Verdana" w:cs="Arial"/>
          <w:lang w:val="es-ES" w:eastAsia="es-ES"/>
        </w:rPr>
        <w:t xml:space="preserve">, que el término del traslado del informe de evaluación es el </w:t>
      </w:r>
      <w:r w:rsidRPr="00B10A68">
        <w:rPr>
          <w:rFonts w:ascii="Verdana" w:eastAsia="Times New Roman" w:hAnsi="Verdana" w:cs="Arial"/>
          <w:i/>
          <w:lang w:val="es-ES" w:eastAsia="es-ES"/>
        </w:rPr>
        <w:t>límite</w:t>
      </w:r>
      <w:r w:rsidRPr="00B10A68">
        <w:rPr>
          <w:rFonts w:ascii="Verdana" w:eastAsia="Times New Roman" w:hAnsi="Verdana" w:cs="Arial"/>
          <w:lang w:val="es-ES" w:eastAsia="es-ES"/>
        </w:rPr>
        <w:t xml:space="preserve"> para la subsanación de ofertas, pero no el único momento para hacerlo. </w:t>
      </w:r>
    </w:p>
    <w:p w14:paraId="061E1FFF" w14:textId="77777777" w:rsidR="008540A9" w:rsidRPr="00B10A68" w:rsidRDefault="008540A9" w:rsidP="008540A9">
      <w:pPr>
        <w:spacing w:after="120" w:line="276" w:lineRule="auto"/>
        <w:ind w:firstLine="709"/>
        <w:jc w:val="both"/>
        <w:rPr>
          <w:rFonts w:ascii="Verdana" w:eastAsia="Times New Roman" w:hAnsi="Verdana" w:cs="Arial"/>
          <w:lang w:val="es-ES_tradnl" w:eastAsia="es-ES_tradnl"/>
        </w:rPr>
      </w:pPr>
      <w:r w:rsidRPr="00B10A68">
        <w:rPr>
          <w:rFonts w:ascii="Verdana" w:eastAsia="Times New Roman" w:hAnsi="Verdana" w:cs="Arial"/>
          <w:lang w:val="es-ES_tradnl" w:eastAsia="es-ES_tradnl"/>
        </w:rPr>
        <w:t xml:space="preserve">De acuerdo con la primera interpretación, el informe de evaluación se convierte en la oportunidad que adopta la Administración para decirles a los oferentes qué documentos o requisitos omitieron y deben subsanar. Consecuentemente, el término del traslado es la oportunidad del proponente para cumplir con lo solicitado.  </w:t>
      </w:r>
    </w:p>
    <w:p w14:paraId="4CBE3AC0" w14:textId="77777777" w:rsidR="008540A9" w:rsidRPr="00B10A68" w:rsidRDefault="008540A9" w:rsidP="008540A9">
      <w:pPr>
        <w:spacing w:after="120" w:line="276" w:lineRule="auto"/>
        <w:ind w:firstLine="709"/>
        <w:jc w:val="both"/>
        <w:rPr>
          <w:rFonts w:ascii="Verdana" w:eastAsia="Times New Roman" w:hAnsi="Verdana" w:cs="Arial"/>
          <w:lang w:val="es-ES_tradnl" w:eastAsia="es-ES_tradnl"/>
        </w:rPr>
      </w:pPr>
      <w:r w:rsidRPr="00B10A68">
        <w:rPr>
          <w:rFonts w:ascii="Verdana" w:eastAsia="Times New Roman" w:hAnsi="Verdana" w:cs="Arial"/>
          <w:lang w:val="es-ES_tradnl" w:eastAsia="es-ES_tradnl"/>
        </w:rPr>
        <w:t>La segunda interpretación permitiría que la Administración requiera al oferente durante el proceso de evaluación de las propuestas, tan pronto advierta que hace falta un documento o requisito que se puede subsanar. En este caso, el proceso de subsanación se podría realizar con anterioridad a la publicación del informe de evaluación, de manera que, una vez se publique el informe ya se encuentren subsanadas las propuestas, sin perjuicio del término límite que concedió la ley.</w:t>
      </w:r>
    </w:p>
    <w:p w14:paraId="38E0ABAC" w14:textId="77777777" w:rsidR="008540A9" w:rsidRPr="00B10A68" w:rsidRDefault="008540A9" w:rsidP="008540A9">
      <w:pPr>
        <w:spacing w:after="120" w:line="276" w:lineRule="auto"/>
        <w:ind w:firstLine="709"/>
        <w:jc w:val="both"/>
        <w:rPr>
          <w:rFonts w:ascii="Verdana" w:eastAsia="Times New Roman" w:hAnsi="Verdana" w:cs="Arial"/>
          <w:lang w:val="es-ES" w:eastAsia="es-ES"/>
        </w:rPr>
      </w:pPr>
      <w:r w:rsidRPr="00B10A68">
        <w:rPr>
          <w:rFonts w:ascii="Verdana" w:eastAsia="Times New Roman" w:hAnsi="Verdana" w:cs="Arial"/>
          <w:lang w:val="es-ES" w:eastAsia="es-ES"/>
        </w:rPr>
        <w:t xml:space="preserve">La modificación introducida por el artículo 5 de la Ley 1882 de 2018, si bien pudo significar, en la práctica de los procesos de selección, que el informe de evaluación fuera la oportunidad de la Administración para requerir al proponente para que subsane la oferta, y el término del traslado la oportunidad para hacerlo, lo cierto es que no impide que esto se realice con anterioridad a la publicación del informe. Inclusive, es más adecuado y conveniente que la subsanación de las ofertas se intente con anterioridad, de forma que, una vez la Administración advierta el defecto, le solicite directamente al oferente que subsane. Esta interpretación es más consistente con los principios de economía, transparencia y selección objetiva. Lo anterior, se aclara, sin desconocer el límite que establece la norma para que los oferentes, sin perjuicio de que lo hagan </w:t>
      </w:r>
      <w:r w:rsidRPr="00B10A68">
        <w:rPr>
          <w:rFonts w:ascii="Verdana" w:eastAsia="Times New Roman" w:hAnsi="Verdana" w:cs="Arial"/>
          <w:lang w:val="es-ES" w:eastAsia="es-ES"/>
        </w:rPr>
        <w:lastRenderedPageBreak/>
        <w:t>antes, cuenten hasta el término de traslado del informe de evaluación con la posibilidad de presentar la información solicitada.</w:t>
      </w:r>
    </w:p>
    <w:p w14:paraId="1E26A9BF" w14:textId="77777777" w:rsidR="008540A9" w:rsidRPr="00B10A68" w:rsidRDefault="008540A9" w:rsidP="008540A9">
      <w:pPr>
        <w:spacing w:after="120" w:line="276" w:lineRule="auto"/>
        <w:ind w:firstLine="709"/>
        <w:jc w:val="both"/>
        <w:rPr>
          <w:rFonts w:ascii="Verdana" w:eastAsia="Times New Roman" w:hAnsi="Verdana" w:cs="Arial"/>
          <w:lang w:val="es-ES_tradnl" w:eastAsia="es-ES_tradnl"/>
        </w:rPr>
      </w:pPr>
      <w:r w:rsidRPr="00B10A68">
        <w:rPr>
          <w:rFonts w:ascii="Verdana" w:eastAsia="Times New Roman" w:hAnsi="Verdana" w:cs="Arial"/>
          <w:lang w:val="es-ES_tradnl" w:eastAsia="es-ES_tradnl"/>
        </w:rPr>
        <w:t xml:space="preserve">El </w:t>
      </w:r>
      <w:r w:rsidRPr="00B10A68">
        <w:rPr>
          <w:rFonts w:ascii="Verdana" w:eastAsia="Times New Roman" w:hAnsi="Verdana" w:cs="Arial"/>
          <w:i/>
          <w:iCs/>
          <w:lang w:val="es-ES_tradnl" w:eastAsia="es-ES_tradnl"/>
        </w:rPr>
        <w:t>segundo cambio</w:t>
      </w:r>
      <w:r w:rsidRPr="00B10A68">
        <w:rPr>
          <w:rFonts w:ascii="Verdana" w:eastAsia="Times New Roman" w:hAnsi="Verdana" w:cs="Arial"/>
          <w:lang w:val="es-ES_tradnl" w:eastAsia="es-ES_tradnl"/>
        </w:rPr>
        <w:t xml:space="preserve"> importante de la Ley 1882 de 2018 fue la introducción de un criterio material, directamente relacionado con los aspectos subsanables: </w:t>
      </w:r>
      <w:r w:rsidRPr="00B10A68">
        <w:rPr>
          <w:rFonts w:ascii="Verdana" w:eastAsia="Times New Roman" w:hAnsi="Verdana" w:cs="Arial"/>
          <w:i/>
          <w:iCs/>
          <w:lang w:val="es-ES_tradnl" w:eastAsia="es-ES_tradnl"/>
        </w:rPr>
        <w:t>“los proponentes no podrán acreditar circunstancias ocurridas con posterioridad al cierre del proceso”.</w:t>
      </w:r>
      <w:r w:rsidRPr="00B10A68">
        <w:rPr>
          <w:rFonts w:ascii="Verdana" w:eastAsia="Times New Roman" w:hAnsi="Verdana" w:cs="Arial"/>
          <w:lang w:val="es-ES_tradnl" w:eastAsia="es-ES_tradnl"/>
        </w:rPr>
        <w:t xml:space="preserve"> Lo anterior ofrece dos aspectos que merecen clarificación; primero, qué debe entenderse por circunstancias ocurridas con posterioridad; y segundo, qué es el cierre del proceso. </w:t>
      </w:r>
    </w:p>
    <w:p w14:paraId="4C4ACA12" w14:textId="77777777" w:rsidR="008540A9" w:rsidRPr="00B10A68" w:rsidRDefault="008540A9" w:rsidP="008540A9">
      <w:pPr>
        <w:spacing w:after="120" w:line="276" w:lineRule="auto"/>
        <w:ind w:firstLine="709"/>
        <w:jc w:val="both"/>
        <w:rPr>
          <w:rFonts w:ascii="Verdana" w:eastAsia="Times New Roman" w:hAnsi="Verdana" w:cs="Arial"/>
          <w:lang w:val="es-ES" w:eastAsia="es-ES"/>
        </w:rPr>
      </w:pPr>
      <w:r w:rsidRPr="00B10A68">
        <w:rPr>
          <w:rFonts w:ascii="Verdana" w:eastAsia="Times New Roman" w:hAnsi="Verdana" w:cs="Arial"/>
          <w:lang w:val="es-ES" w:eastAsia="es-ES"/>
        </w:rPr>
        <w:t>La Sala de Consulta y Servicio Civil del Consejo de Estado ya había tenido la oportunidad de precisar estas expresiones, a propósito de un concepto en el que se refirió al artículo 10 del derogado Decreto 2474 de 2008, que había determinado que en ningún caso la entidad podía permitir que se acreditaran circunstancias ocurridas con posterioridad al cierre del proceso. En esa ocasión, el Consejo de Estado precisó que, por cierre del proceso debe entenderse el vencimiento del plazo para la presentación de las ofertas y que lo subsanable son las circunstancias que ocurrieron con anterioridad a esa fecha</w:t>
      </w:r>
      <w:r w:rsidRPr="00B10A68">
        <w:rPr>
          <w:rFonts w:ascii="Verdana" w:eastAsia="Times New Roman" w:hAnsi="Verdana" w:cs="Arial"/>
          <w:vertAlign w:val="superscript"/>
          <w:lang w:val="es-ES" w:eastAsia="es-ES"/>
        </w:rPr>
        <w:footnoteReference w:id="5"/>
      </w:r>
      <w:r w:rsidRPr="00B10A68">
        <w:rPr>
          <w:rFonts w:ascii="Verdana" w:eastAsia="Times New Roman" w:hAnsi="Verdana" w:cs="Arial"/>
          <w:lang w:val="es-ES" w:eastAsia="es-ES"/>
        </w:rPr>
        <w:t>.</w:t>
      </w:r>
    </w:p>
    <w:p w14:paraId="6C36EB87" w14:textId="77777777" w:rsidR="008540A9" w:rsidRPr="00B10A68" w:rsidRDefault="008540A9" w:rsidP="008540A9">
      <w:pPr>
        <w:spacing w:after="120" w:line="276" w:lineRule="auto"/>
        <w:ind w:firstLine="709"/>
        <w:jc w:val="both"/>
        <w:rPr>
          <w:rFonts w:ascii="Verdana" w:eastAsia="Times New Roman" w:hAnsi="Verdana" w:cs="Arial"/>
          <w:lang w:val="es-ES_tradnl" w:eastAsia="es-ES_tradnl"/>
        </w:rPr>
      </w:pPr>
      <w:r w:rsidRPr="00B10A68">
        <w:rPr>
          <w:rFonts w:ascii="Verdana" w:eastAsia="Times New Roman" w:hAnsi="Verdana" w:cs="Arial"/>
          <w:lang w:val="es-ES_tradnl" w:eastAsia="es-ES_tradnl"/>
        </w:rPr>
        <w:t xml:space="preserve">De conformidad con el artículo 5 de la Ley 1882 de 2018, lo subsanable es la prueba de todas las circunstancias ocurridas antes del vencimiento del término para presentar las ofertas, ello es lo que implica la prohibición de acreditar circunstancias ocurridas con posterioridad al “cierre del proceso”. Lo anterior evita, por ejemplo, que se presenten oferentes que no cumplían con los requisitos para participar al momento de presentar las ofertas, y pretendan </w:t>
      </w:r>
      <w:r w:rsidRPr="00B10A68">
        <w:rPr>
          <w:rFonts w:ascii="Verdana" w:eastAsia="Times New Roman" w:hAnsi="Verdana" w:cs="Arial"/>
          <w:lang w:val="es-ES_tradnl" w:eastAsia="es-ES_tradnl"/>
        </w:rPr>
        <w:lastRenderedPageBreak/>
        <w:t xml:space="preserve">cumplirlos durante el proceso de selección o, inclusive, que se puedan variar condiciones de la oferta una vez presentada. </w:t>
      </w:r>
    </w:p>
    <w:p w14:paraId="11F695D4" w14:textId="77777777" w:rsidR="008540A9" w:rsidRPr="00B10A68" w:rsidRDefault="008540A9" w:rsidP="008540A9">
      <w:pPr>
        <w:spacing w:after="120" w:line="276" w:lineRule="auto"/>
        <w:ind w:firstLine="709"/>
        <w:jc w:val="both"/>
        <w:rPr>
          <w:rFonts w:ascii="Verdana" w:eastAsia="Times New Roman" w:hAnsi="Verdana" w:cs="Arial"/>
          <w:lang w:val="es-ES" w:eastAsia="es-ES"/>
        </w:rPr>
      </w:pPr>
      <w:r w:rsidRPr="00B10A68">
        <w:rPr>
          <w:rFonts w:ascii="Verdana" w:eastAsia="Times New Roman" w:hAnsi="Verdana" w:cs="Arial"/>
          <w:lang w:val="es-ES" w:eastAsia="es-ES"/>
        </w:rPr>
        <w:t xml:space="preserve">Un mejor entendimiento del significado de la expresión </w:t>
      </w:r>
      <w:r w:rsidRPr="00B10A68">
        <w:rPr>
          <w:rFonts w:ascii="Verdana" w:eastAsia="Times New Roman" w:hAnsi="Verdana" w:cs="Arial"/>
          <w:i/>
          <w:lang w:val="es-ES" w:eastAsia="es-ES"/>
        </w:rPr>
        <w:t>“circunstancias ocurridas con posterioridad al cierre del proceso”</w:t>
      </w:r>
      <w:r w:rsidRPr="00B10A68">
        <w:rPr>
          <w:rFonts w:ascii="Verdana" w:eastAsia="Times New Roman" w:hAnsi="Verdana" w:cs="Arial"/>
          <w:lang w:val="es-ES" w:eastAsia="es-ES"/>
        </w:rPr>
        <w:t xml:space="preserve"> implica distinguir entre la prueba de un hecho y el hecho mismo. En el caso de la subsanabilidad de las ofertas, una cosa es el requisito habilitante o el elemento de la propuesta y otra su prueba. Lo que prohíbe la norma es que se subsanen requisitos que no estaban materialmente cumplidos al momento de presentación de la oferta, o en palabras de la ley, que se acrediten hechos que ocurrieron después del cierre del proceso</w:t>
      </w:r>
      <w:r w:rsidRPr="00B10A68">
        <w:rPr>
          <w:rFonts w:ascii="Verdana" w:eastAsia="Times New Roman" w:hAnsi="Verdana" w:cs="Arial"/>
          <w:vertAlign w:val="superscript"/>
          <w:lang w:val="es-ES" w:eastAsia="es-ES"/>
        </w:rPr>
        <w:footnoteReference w:id="6"/>
      </w:r>
      <w:r w:rsidRPr="00B10A68">
        <w:rPr>
          <w:rFonts w:ascii="Verdana" w:eastAsia="Times New Roman" w:hAnsi="Verdana" w:cs="Arial"/>
          <w:lang w:val="es-ES" w:eastAsia="es-ES"/>
        </w:rPr>
        <w:t xml:space="preserve">. </w:t>
      </w:r>
    </w:p>
    <w:p w14:paraId="3BDE9C30" w14:textId="77777777" w:rsidR="008540A9" w:rsidRPr="00B10A68" w:rsidRDefault="008540A9" w:rsidP="008540A9">
      <w:pPr>
        <w:spacing w:after="120" w:line="276" w:lineRule="auto"/>
        <w:ind w:firstLine="709"/>
        <w:jc w:val="both"/>
        <w:rPr>
          <w:rFonts w:ascii="Verdana" w:eastAsia="Times New Roman" w:hAnsi="Verdana" w:cs="Arial"/>
          <w:lang w:val="es-ES" w:eastAsia="es-ES"/>
        </w:rPr>
      </w:pPr>
      <w:r w:rsidRPr="00B10A68">
        <w:rPr>
          <w:rFonts w:ascii="Verdana" w:eastAsia="Times New Roman" w:hAnsi="Verdana" w:cs="Arial"/>
          <w:lang w:val="es-ES" w:eastAsia="es-ES"/>
        </w:rPr>
        <w:t xml:space="preserve">Por ejemplo: i) si un oferente olvidó adjuntar con su propuesta el certificado que da cuenta de su inscripción en el RUP, el requisito será subsanable siempre que la prueba allegada demuestre que el hecho, esto es, la inscripción en el registro, ocurrió con anterioridad al cierre del proceso, estando está en firme para dicho momento; </w:t>
      </w:r>
      <w:proofErr w:type="spellStart"/>
      <w:r w:rsidRPr="00B10A68">
        <w:rPr>
          <w:rFonts w:ascii="Verdana" w:eastAsia="Times New Roman" w:hAnsi="Verdana" w:cs="Arial"/>
          <w:lang w:val="es-ES" w:eastAsia="es-ES"/>
        </w:rPr>
        <w:t>ii</w:t>
      </w:r>
      <w:proofErr w:type="spellEnd"/>
      <w:r w:rsidRPr="00B10A68">
        <w:rPr>
          <w:rFonts w:ascii="Verdana" w:eastAsia="Times New Roman" w:hAnsi="Verdana" w:cs="Arial"/>
          <w:lang w:val="es-ES" w:eastAsia="es-ES"/>
        </w:rPr>
        <w:t>) si un oferente presentó la propuesta sin allegar la autorización al representante legal, por parte de la junta directiva de la sociedad, el certificado, aunque sea posterior, debe dar cuenta de que el hecho que pretende acreditar –la autorización de la junta– ocurrió antes del vencimiento del término para ofertar</w:t>
      </w:r>
      <w:r w:rsidRPr="00B10A68">
        <w:rPr>
          <w:rFonts w:ascii="Verdana" w:eastAsia="Times New Roman" w:hAnsi="Verdana" w:cs="Arial"/>
          <w:vertAlign w:val="superscript"/>
          <w:lang w:val="es-ES" w:eastAsia="es-ES"/>
        </w:rPr>
        <w:footnoteReference w:id="7"/>
      </w:r>
      <w:r w:rsidRPr="00B10A68">
        <w:rPr>
          <w:rFonts w:ascii="Verdana" w:eastAsia="Times New Roman" w:hAnsi="Verdana" w:cs="Arial"/>
          <w:lang w:val="es-ES" w:eastAsia="es-ES"/>
        </w:rPr>
        <w:t xml:space="preserve">; </w:t>
      </w:r>
      <w:proofErr w:type="spellStart"/>
      <w:r w:rsidRPr="00B10A68">
        <w:rPr>
          <w:rFonts w:ascii="Verdana" w:eastAsia="Times New Roman" w:hAnsi="Verdana" w:cs="Arial"/>
          <w:lang w:val="es-ES" w:eastAsia="es-ES"/>
        </w:rPr>
        <w:t>iii</w:t>
      </w:r>
      <w:proofErr w:type="spellEnd"/>
      <w:r w:rsidRPr="00B10A68">
        <w:rPr>
          <w:rFonts w:ascii="Verdana" w:eastAsia="Times New Roman" w:hAnsi="Verdana" w:cs="Arial"/>
          <w:lang w:val="es-ES" w:eastAsia="es-ES"/>
        </w:rPr>
        <w:t xml:space="preserve">) si un oferente no anexó el Certificado de existencia y representación legal, el documento aportado con posterioridad </w:t>
      </w:r>
      <w:r w:rsidRPr="00B10A68">
        <w:rPr>
          <w:rFonts w:ascii="Verdana" w:eastAsia="Times New Roman" w:hAnsi="Verdana" w:cs="Arial"/>
          <w:lang w:val="es-ES" w:eastAsia="es-ES"/>
        </w:rPr>
        <w:lastRenderedPageBreak/>
        <w:t>debe dar cuenta de que la sociedad existía antes del cierre del proceso</w:t>
      </w:r>
      <w:r w:rsidRPr="00B10A68">
        <w:rPr>
          <w:rFonts w:ascii="Verdana" w:eastAsia="Times New Roman" w:hAnsi="Verdana" w:cs="Arial"/>
          <w:vertAlign w:val="superscript"/>
          <w:lang w:val="es-ES" w:eastAsia="es-ES"/>
        </w:rPr>
        <w:footnoteReference w:id="8"/>
      </w:r>
      <w:r w:rsidRPr="00B10A68">
        <w:rPr>
          <w:rFonts w:ascii="Verdana" w:eastAsia="Times New Roman" w:hAnsi="Verdana" w:cs="Arial"/>
          <w:lang w:val="es-ES" w:eastAsia="es-ES"/>
        </w:rPr>
        <w:t xml:space="preserve">; </w:t>
      </w:r>
      <w:proofErr w:type="spellStart"/>
      <w:r w:rsidRPr="00B10A68">
        <w:rPr>
          <w:rFonts w:ascii="Verdana" w:eastAsia="Times New Roman" w:hAnsi="Verdana" w:cs="Arial"/>
          <w:lang w:val="es-ES" w:eastAsia="es-ES"/>
        </w:rPr>
        <w:t>iv</w:t>
      </w:r>
      <w:proofErr w:type="spellEnd"/>
      <w:r w:rsidRPr="00B10A68">
        <w:rPr>
          <w:rFonts w:ascii="Verdana" w:eastAsia="Times New Roman" w:hAnsi="Verdana" w:cs="Arial"/>
          <w:lang w:val="es-ES" w:eastAsia="es-ES"/>
        </w:rPr>
        <w:t>) si un oferente olvidó adjuntar un certificado que demuestra un título universitario, el documento, aunque tenga fecha posterior al cierre del proceso, debe acreditar que el título académico se obtuvo con anterioridad al cierre del proceso; v) si un oferente no allegó un certificado de experiencia, el documento que subsana –sin importar que tenga fecha posterior– debe demostrar que la experiencia que se pretende hacer valer se obtuvo antes de vencerse el término para presentar ofertas y</w:t>
      </w:r>
      <w:r>
        <w:rPr>
          <w:rFonts w:ascii="Verdana" w:eastAsia="Times New Roman" w:hAnsi="Verdana" w:cs="Arial"/>
          <w:lang w:val="es-ES" w:eastAsia="es-ES"/>
        </w:rPr>
        <w:t>;</w:t>
      </w:r>
      <w:r w:rsidRPr="00B10A68">
        <w:rPr>
          <w:rFonts w:ascii="Verdana" w:eastAsia="Times New Roman" w:hAnsi="Verdana" w:cs="Arial"/>
          <w:lang w:val="es-ES" w:eastAsia="es-ES"/>
        </w:rPr>
        <w:t xml:space="preserve"> vi) si el oferente olvidó firmar la propuesta o presentar una copia de ella, puede subsanar sin que con ello se entienda que acreditó una circunstancia ocurrida con posterioridad al cierre del proceso. </w:t>
      </w:r>
    </w:p>
    <w:p w14:paraId="661AC3CA" w14:textId="77777777" w:rsidR="008540A9" w:rsidRPr="00B10A68" w:rsidRDefault="008540A9" w:rsidP="008540A9">
      <w:pPr>
        <w:spacing w:after="120" w:line="276" w:lineRule="auto"/>
        <w:ind w:firstLine="709"/>
        <w:jc w:val="both"/>
        <w:rPr>
          <w:rFonts w:ascii="Verdana" w:eastAsia="Times New Roman" w:hAnsi="Verdana" w:cs="Arial"/>
          <w:i/>
          <w:lang w:val="es-ES" w:eastAsia="es-ES"/>
        </w:rPr>
      </w:pPr>
      <w:r w:rsidRPr="00B10A68">
        <w:rPr>
          <w:rFonts w:ascii="Verdana" w:eastAsia="Times New Roman" w:hAnsi="Verdana" w:cs="Arial"/>
          <w:lang w:val="es-ES" w:eastAsia="es-ES"/>
        </w:rPr>
        <w:t xml:space="preserve">Lo anterior quiere decir que no es la prueba –usualmente un documento– lo que debe ser anterior al cierre del proceso, sino el hecho que ella acredita. Es decir, ante la solicitud de la Administración de subsanar determinado requisito, el documento podría estar fechado con posterioridad al vencimiento del término para recibir propuestas, siempre y cuando el hecho que acredite haya ocurrido antes, esto es, que no sea una circunstancia ocurrida con posterioridad al cierre del proceso. Es por esto </w:t>
      </w:r>
      <w:proofErr w:type="gramStart"/>
      <w:r w:rsidRPr="00B10A68">
        <w:rPr>
          <w:rFonts w:ascii="Verdana" w:eastAsia="Times New Roman" w:hAnsi="Verdana" w:cs="Arial"/>
          <w:lang w:val="es-ES" w:eastAsia="es-ES"/>
        </w:rPr>
        <w:t>que</w:t>
      </w:r>
      <w:proofErr w:type="gramEnd"/>
      <w:r w:rsidRPr="00B10A68">
        <w:rPr>
          <w:rFonts w:ascii="Verdana" w:eastAsia="Times New Roman" w:hAnsi="Verdana" w:cs="Arial"/>
          <w:lang w:val="es-ES" w:eastAsia="es-ES"/>
        </w:rPr>
        <w:t xml:space="preserve"> el Consejo de Estado sostiene que” lo que se subsana es la prueba y no la condición habilitante o un elemento de la propuesta [...] lo que se puede remediar es la prueba y no el requisito: La posibilidad debe recaer exclusivamente sobre circunstancias acaecidas antes del cierre del respectivo proceso, esto es, del vencimiento del plazo para presentar ofertas”</w:t>
      </w:r>
      <w:r w:rsidRPr="00B10A68">
        <w:rPr>
          <w:rFonts w:ascii="Verdana" w:eastAsia="Times New Roman" w:hAnsi="Verdana" w:cs="Arial"/>
          <w:vertAlign w:val="superscript"/>
          <w:lang w:val="es-ES" w:eastAsia="es-ES"/>
        </w:rPr>
        <w:footnoteReference w:id="9"/>
      </w:r>
      <w:r w:rsidRPr="00B10A68">
        <w:rPr>
          <w:rFonts w:ascii="Verdana" w:eastAsia="Times New Roman" w:hAnsi="Verdana" w:cs="Arial"/>
          <w:lang w:val="es-ES" w:eastAsia="es-ES"/>
        </w:rPr>
        <w:t>.</w:t>
      </w:r>
    </w:p>
    <w:p w14:paraId="2BD5FADE" w14:textId="77777777" w:rsidR="008540A9" w:rsidRPr="00B10A68" w:rsidRDefault="008540A9" w:rsidP="008540A9">
      <w:pPr>
        <w:spacing w:after="120" w:line="276" w:lineRule="auto"/>
        <w:ind w:firstLine="709"/>
        <w:jc w:val="both"/>
        <w:rPr>
          <w:rFonts w:ascii="Verdana" w:eastAsia="Calibri" w:hAnsi="Verdana" w:cs="Times New Roman"/>
          <w:color w:val="000000"/>
        </w:rPr>
      </w:pPr>
      <w:r w:rsidRPr="00B10A68">
        <w:rPr>
          <w:rFonts w:ascii="Verdana" w:eastAsia="Times New Roman" w:hAnsi="Verdana" w:cs="Arial"/>
          <w:iCs/>
          <w:lang w:val="es-ES" w:eastAsia="es-ES"/>
        </w:rPr>
        <w:t>Ahora bien,</w:t>
      </w:r>
      <w:r w:rsidRPr="00B10A68">
        <w:rPr>
          <w:rFonts w:ascii="Verdana" w:eastAsia="Times New Roman" w:hAnsi="Verdana" w:cs="Arial"/>
          <w:i/>
          <w:lang w:val="es-ES" w:eastAsia="es-ES"/>
        </w:rPr>
        <w:t xml:space="preserve"> e</w:t>
      </w:r>
      <w:r w:rsidRPr="00B10A68">
        <w:rPr>
          <w:rFonts w:ascii="Verdana" w:eastAsia="Calibri" w:hAnsi="Verdana" w:cs="Arial"/>
          <w:color w:val="000000"/>
          <w:lang w:val="es-ES"/>
        </w:rPr>
        <w:t xml:space="preserve">l parágrafo 3 del artículo 5 de la Ley 1882 de 2018 determinó, de manera expresa, que “la no entrega de la garantía de seriedad junto con la propuesta no será subsanable y será causal de rechazo de </w:t>
      </w:r>
      <w:proofErr w:type="gramStart"/>
      <w:r w:rsidRPr="00B10A68">
        <w:rPr>
          <w:rFonts w:ascii="Verdana" w:eastAsia="Calibri" w:hAnsi="Verdana" w:cs="Arial"/>
          <w:color w:val="000000"/>
          <w:lang w:val="es-ES"/>
        </w:rPr>
        <w:t>la misma</w:t>
      </w:r>
      <w:proofErr w:type="gramEnd"/>
      <w:r w:rsidRPr="00B10A68">
        <w:rPr>
          <w:rFonts w:ascii="Verdana" w:eastAsia="Calibri" w:hAnsi="Verdana" w:cs="Arial"/>
          <w:color w:val="000000"/>
          <w:lang w:val="es-ES"/>
        </w:rPr>
        <w:t>”, dejando claro que se trata de un documento de obligatoria presentación junto con la propuesta y que materializa los principios de seriedad e irrevocabilidad de la oferta.</w:t>
      </w:r>
      <w:r w:rsidRPr="00B10A68">
        <w:rPr>
          <w:rFonts w:ascii="Verdana" w:eastAsia="Calibri" w:hAnsi="Verdana" w:cs="Times New Roman"/>
          <w:color w:val="000000"/>
        </w:rPr>
        <w:t> </w:t>
      </w:r>
    </w:p>
    <w:p w14:paraId="4B05F25C" w14:textId="77777777" w:rsidR="008540A9" w:rsidRPr="00B10A68" w:rsidRDefault="008540A9" w:rsidP="008540A9">
      <w:pPr>
        <w:spacing w:after="120" w:line="276" w:lineRule="auto"/>
        <w:ind w:firstLine="709"/>
        <w:jc w:val="both"/>
        <w:rPr>
          <w:rFonts w:ascii="Verdana" w:eastAsia="Calibri" w:hAnsi="Verdana" w:cs="Times New Roman"/>
          <w:color w:val="000000"/>
        </w:rPr>
      </w:pPr>
      <w:r w:rsidRPr="00B10A68">
        <w:rPr>
          <w:rFonts w:ascii="Verdana" w:eastAsia="Calibri" w:hAnsi="Verdana" w:cs="Times New Roman"/>
          <w:color w:val="000000"/>
        </w:rPr>
        <w:t xml:space="preserve">En línea con lo anterior, una vez verificada la ausencia de requisitos y/o documentos de la oferta, para efectos de saber si se pueden subsanar, la entidad contratante debe preguntarse, en primer lugar, si lo que hace falta es un </w:t>
      </w:r>
      <w:r w:rsidRPr="00B10A68">
        <w:rPr>
          <w:rFonts w:ascii="Verdana" w:eastAsia="Calibri" w:hAnsi="Verdana" w:cs="Times New Roman"/>
          <w:color w:val="000000"/>
        </w:rPr>
        <w:lastRenderedPageBreak/>
        <w:t>documento que afecte la asignación de puntaje o no y, en segundo lugar, si el cumplimiento del requisito constituye una circunstancia ocurrida con anterioridad o con posterioridad al cierre del proceso. Para arribar a la conclusión de que lo omitido puede subsanarse, la respuesta al primer interrogante debe ser negativa, es decir, que lo omitido no sea un factor que afecte la asignación de puntaje y la respuesta al segundo interrogante debe dar cuenta de que lo omitido sea la prueba de una circunstancia o hecho que ocurrió con anterioridad al cierre del proceso.</w:t>
      </w:r>
    </w:p>
    <w:p w14:paraId="3E2F99D9" w14:textId="77777777" w:rsidR="008540A9" w:rsidRPr="00B10A68" w:rsidRDefault="008540A9" w:rsidP="008540A9">
      <w:pPr>
        <w:spacing w:after="120" w:line="276" w:lineRule="auto"/>
        <w:ind w:firstLine="709"/>
        <w:jc w:val="both"/>
        <w:rPr>
          <w:rFonts w:ascii="Verdana" w:eastAsia="Calibri" w:hAnsi="Verdana" w:cs="Times New Roman"/>
          <w:color w:val="000000"/>
        </w:rPr>
      </w:pPr>
      <w:r w:rsidRPr="00B10A68">
        <w:rPr>
          <w:rFonts w:ascii="Verdana" w:eastAsia="Calibri" w:hAnsi="Verdana" w:cs="Times New Roman"/>
          <w:color w:val="000000"/>
        </w:rPr>
        <w:t>Ahora bien, teniendo en cuenta el objeto bajo consulta, se hace necesario que esta Agencia se manifieste sobre la diferencia entre la regla sobre subsanación de ofertas en los procesos de selección antes explicada, y la aclaración de las ofertas, cuestiones que resultan ser distintas, pese a que ambas puedan contener considerandos como elementos propios del principio de selección objetiva. Así, es aras de que la Entidad Estatal al momento de evaluar las ofertas recibidas y, con el fin de comprender integralmente cada documento contenido en la oferta, podrá acudir a la facultad que le otorga expresamente el numeral 7 del artículo 30 de la Ley 80 de 1993. Dicha norma señala que entre los componentes que deberá contener el pliego de condiciones incluye al “plazo razonable dentro del cual la entidad deberá elaborar los estudios técnicos, económicos y jurídicos necesarios para la evaluación de las propuestas y para solicitar a los proponentes las aclaraciones y explicaciones que se estimen indispensables”.</w:t>
      </w:r>
    </w:p>
    <w:p w14:paraId="432DFF49" w14:textId="77777777" w:rsidR="008540A9" w:rsidRPr="00B10A68" w:rsidRDefault="008540A9" w:rsidP="008540A9">
      <w:pPr>
        <w:spacing w:after="120" w:line="276" w:lineRule="auto"/>
        <w:ind w:firstLine="708"/>
        <w:jc w:val="both"/>
        <w:rPr>
          <w:rFonts w:ascii="Verdana" w:eastAsia="Calibri" w:hAnsi="Verdana" w:cs="Times New Roman"/>
          <w:bCs/>
          <w:color w:val="000000"/>
          <w:lang w:val="es-ES"/>
        </w:rPr>
      </w:pPr>
      <w:r w:rsidRPr="00B10A68">
        <w:rPr>
          <w:rFonts w:ascii="Verdana" w:eastAsia="Calibri" w:hAnsi="Verdana" w:cs="Times New Roman"/>
          <w:color w:val="000000"/>
          <w:lang w:val="es-ES_tradnl"/>
        </w:rPr>
        <w:t xml:space="preserve">Dicha facultad, a su vez se establece entre otras, en el artículo </w:t>
      </w:r>
      <w:r w:rsidRPr="00B10A68">
        <w:rPr>
          <w:rFonts w:ascii="Verdana" w:eastAsia="Calibri" w:hAnsi="Verdana" w:cs="Times New Roman"/>
          <w:bCs/>
          <w:color w:val="000000"/>
          <w:lang w:val="es-ES"/>
        </w:rPr>
        <w:t>2.2.1.1.2.2.4. del Decreto 1082 de 2015, referido a las explicaciones que la Entidad Estatal deberá solicitar al oferente cuando advierta que su oferta contiene un precio artificialmente bajo. En similar sentido, el numeral 3 del artículo 2.2.1.2.1.3.12 incluye el deber de aclaración, en cabeza del organismo asesor dentro del concurso de arquitectura o la posibilidad con la que cuenta la Entidad Estatal para solicitar aclaraciones al originador del proyecto al tratarse de asociaciones público-privadas de iniciativa privada. Todas estas normas contienen ejemplos de aplicación del principio de selección objetiva, pues pretenden que la entidad u organismo que evaluará las respectiva oferta o iniciativa, según el caso, cuente con el conocimiento e información veraz y suficiente para tomar una decisión acertada.</w:t>
      </w:r>
    </w:p>
    <w:p w14:paraId="56A76B1C" w14:textId="77777777" w:rsidR="008540A9" w:rsidRPr="00B10A68" w:rsidRDefault="008540A9" w:rsidP="008540A9">
      <w:pPr>
        <w:spacing w:after="120" w:line="276" w:lineRule="auto"/>
        <w:ind w:firstLine="708"/>
        <w:jc w:val="both"/>
        <w:rPr>
          <w:rFonts w:ascii="Verdana" w:eastAsia="Calibri" w:hAnsi="Verdana" w:cs="Times New Roman"/>
          <w:color w:val="000000"/>
          <w:lang w:val="es-ES_tradnl"/>
        </w:rPr>
      </w:pPr>
      <w:r w:rsidRPr="00B10A68">
        <w:rPr>
          <w:rFonts w:ascii="Verdana" w:eastAsia="Calibri" w:hAnsi="Verdana" w:cs="Times New Roman"/>
          <w:bCs/>
          <w:color w:val="000000"/>
          <w:lang w:val="es-ES"/>
        </w:rPr>
        <w:lastRenderedPageBreak/>
        <w:t>En ese sentido, la facultad de solicitar aclaraciones en cabeza de la entidad contratante, establecida principal y genéricamente en el artículo 30 de la Ley 80 de 1993, debe comprenderse bajo el entendido que el oferente cuya oferta requiera ser aclarada, no podrá, so pena de proceder de conformidad con el requerimiento de la Entidad Estatal, realizar modificaciones que impliquen una mejora o alteración sustancial de la oferta, tal y como ha sido expresado por el Consejo de Estado.</w:t>
      </w:r>
    </w:p>
    <w:p w14:paraId="6FC4F7F9" w14:textId="77777777" w:rsidR="008540A9" w:rsidRPr="00B10A68" w:rsidRDefault="008540A9" w:rsidP="008540A9">
      <w:pPr>
        <w:spacing w:after="120" w:line="276" w:lineRule="auto"/>
        <w:ind w:firstLine="708"/>
        <w:jc w:val="both"/>
        <w:rPr>
          <w:rFonts w:ascii="Verdana" w:eastAsia="Calibri" w:hAnsi="Verdana" w:cs="Times New Roman"/>
          <w:color w:val="000000"/>
          <w:lang w:val="es-ES_tradnl"/>
        </w:rPr>
      </w:pPr>
      <w:r w:rsidRPr="00B10A68">
        <w:rPr>
          <w:rFonts w:ascii="Verdana" w:eastAsia="Calibri" w:hAnsi="Verdana" w:cs="Times New Roman"/>
          <w:color w:val="000000"/>
          <w:lang w:val="es-ES_tradnl"/>
        </w:rPr>
        <w:t>Sin embargo, lo anterior no impide que se puedan realizar aclaraciones a las propuestas, bien sea porque la Entidad Estatal las solicite en la evaluación de las mismas, o porque las realicen los oferentes en la etapa dispuesta para las observaciones a los informes de evaluación; pero, siempre y cuando versen sobre aspectos meramente formales o adjetivos o que en todo caso, no impliquen una variación o corrección del fondo de la</w:t>
      </w:r>
      <w:r>
        <w:rPr>
          <w:rFonts w:ascii="Verdana" w:eastAsia="Calibri" w:hAnsi="Verdana" w:cs="Times New Roman"/>
          <w:color w:val="000000"/>
          <w:lang w:val="es-ES_tradnl"/>
        </w:rPr>
        <w:t>s</w:t>
      </w:r>
      <w:r w:rsidRPr="00B10A68">
        <w:rPr>
          <w:rFonts w:ascii="Verdana" w:eastAsia="Calibri" w:hAnsi="Verdana" w:cs="Times New Roman"/>
          <w:color w:val="000000"/>
          <w:lang w:val="es-ES_tradnl"/>
        </w:rPr>
        <w:t xml:space="preserve"> propuestas a favor de quien las presenta y en detrimento de la posición de los demás proponentes en la evaluación, es decir, que con las mismas no se altere de manera sustancial la información inicialmente suministrada y la situación de los oferentes en el Proceso de Contratación. </w:t>
      </w:r>
    </w:p>
    <w:p w14:paraId="7269ED63" w14:textId="77777777" w:rsidR="008540A9" w:rsidRPr="00B10A68" w:rsidRDefault="008540A9" w:rsidP="008540A9">
      <w:pPr>
        <w:spacing w:after="120" w:line="276" w:lineRule="auto"/>
        <w:ind w:firstLine="708"/>
        <w:jc w:val="both"/>
        <w:rPr>
          <w:rFonts w:ascii="Verdana" w:eastAsia="Calibri" w:hAnsi="Verdana" w:cs="Times New Roman"/>
          <w:color w:val="000000"/>
          <w:lang w:val="es-ES"/>
        </w:rPr>
      </w:pPr>
      <w:r w:rsidRPr="04EA4659">
        <w:rPr>
          <w:rFonts w:ascii="Verdana" w:eastAsia="Calibri" w:hAnsi="Verdana" w:cs="Times New Roman"/>
          <w:color w:val="000000" w:themeColor="text1"/>
          <w:lang w:val="es-ES"/>
        </w:rPr>
        <w:t>Así pues, como es posible que por vía aclaratoria los proponentes intenten modificar o mejorar sus ofertas, debe distinguirse entre las simples aclaraciones de las propuestas y las modificaciones a estas. Las primeras son los medios para que se pueda hacer perceptible, manifiesto, explícito o inteligible algún aspecto confuso de la propuesta, sin que ello implique una complementación, adición, modificación o mejora de dicho aspecto, que es, precisamente, en lo que consisten las segundas.</w:t>
      </w:r>
    </w:p>
    <w:p w14:paraId="64C4D863" w14:textId="77777777" w:rsidR="008540A9" w:rsidRDefault="008540A9" w:rsidP="008540A9">
      <w:pPr>
        <w:spacing w:after="0" w:line="276" w:lineRule="auto"/>
        <w:ind w:firstLine="708"/>
        <w:jc w:val="both"/>
        <w:rPr>
          <w:rFonts w:ascii="Verdana" w:eastAsia="Calibri" w:hAnsi="Verdana" w:cs="Times New Roman"/>
          <w:color w:val="000000" w:themeColor="text1"/>
          <w:lang w:val="es-ES"/>
        </w:rPr>
      </w:pPr>
      <w:r w:rsidRPr="04EA4659">
        <w:rPr>
          <w:rFonts w:ascii="Verdana" w:eastAsia="Calibri" w:hAnsi="Verdana" w:cs="Times New Roman"/>
          <w:color w:val="000000" w:themeColor="text1"/>
          <w:lang w:val="es-ES"/>
        </w:rPr>
        <w:t>La solicitud de aclaraciones permite que las Entidad Estatales requieran a los proponentes para esclarecer aspectos de sus propuestas que, en principio, resultan confusos para efectos de evaluación, diferenciándose de la subsanabilidad, pues no parte del supuesto de la ausencia de requisitos de la oferta sino de la existencia de dudas sobre esta, cuya explicación se requiere para su evaluación. Esta diferencia es importante, pues es posible aclarar los requisitos que asignan puntaje, tal y como lo ha señalado la jurisprudencia del Consejo de Estado en los siguientes términos:</w:t>
      </w:r>
    </w:p>
    <w:p w14:paraId="6EAE3DAE" w14:textId="77777777" w:rsidR="008540A9" w:rsidRPr="00B10A68" w:rsidRDefault="008540A9" w:rsidP="008540A9">
      <w:pPr>
        <w:spacing w:after="0" w:line="276" w:lineRule="auto"/>
        <w:ind w:firstLine="708"/>
        <w:jc w:val="both"/>
        <w:rPr>
          <w:rFonts w:ascii="Verdana" w:eastAsia="Calibri" w:hAnsi="Verdana" w:cs="Times New Roman"/>
          <w:color w:val="000000"/>
          <w:lang w:val="es-ES"/>
        </w:rPr>
      </w:pPr>
    </w:p>
    <w:p w14:paraId="2D8135BF" w14:textId="77777777" w:rsidR="008540A9" w:rsidRPr="00056884" w:rsidRDefault="008540A9" w:rsidP="008540A9">
      <w:pPr>
        <w:spacing w:after="0" w:line="240" w:lineRule="auto"/>
        <w:ind w:left="709" w:right="709"/>
        <w:jc w:val="both"/>
        <w:textAlignment w:val="baseline"/>
        <w:rPr>
          <w:rFonts w:ascii="Verdana" w:eastAsia="Calibri" w:hAnsi="Verdana" w:cs="Times New Roman"/>
          <w:bCs/>
          <w:color w:val="000000"/>
          <w:sz w:val="20"/>
          <w:szCs w:val="20"/>
          <w:lang w:val="es-ES"/>
        </w:rPr>
      </w:pPr>
      <w:r w:rsidRPr="00056884">
        <w:rPr>
          <w:rFonts w:ascii="Verdana" w:eastAsia="Calibri" w:hAnsi="Verdana" w:cs="Times New Roman"/>
          <w:bCs/>
          <w:color w:val="000000"/>
          <w:sz w:val="20"/>
          <w:szCs w:val="20"/>
          <w:lang w:val="es-ES"/>
        </w:rPr>
        <w:t xml:space="preserve">“Conforme al art. 30.7 las entidades deben garantizar el derecho que tienen los oferentes de aclarar los aspectos confusos de sus propuestas, facultad que le permitirá a la entidad definir su adecuación o no al pliego. </w:t>
      </w:r>
      <w:r w:rsidRPr="00056884">
        <w:rPr>
          <w:rFonts w:ascii="Verdana" w:eastAsia="Calibri" w:hAnsi="Verdana" w:cs="Times New Roman"/>
          <w:bCs/>
          <w:color w:val="000000"/>
          <w:sz w:val="20"/>
          <w:szCs w:val="20"/>
          <w:lang w:val="es-ES"/>
        </w:rPr>
        <w:lastRenderedPageBreak/>
        <w:t>Esta figura constituye una oportunidad propia del proceso de evaluación de las ofertas -que se diferencia de la subsanabilidad -, pues no parte del supuesto de la ausencia de requisitos de la oferta -los que hay que subsanar-, sino de la presencia de inconsistencias o falta de claridad en la oferta, […]. La importancia de diferenciarlos radica en que la aclaración o explicación se admite, incluso, sobre requisitos que afectan la comparación de las ofertas y/o inciden en la asignación del puntaje; se repite, siempre y cuando se trate de inconsistencias o falta de claridad, porque allí no se modifica el ofrecimiento, simplemente se aclara, es decir, se trata de hacer manifiesto lo que ya existe -sólo que es contradictorio o confuso-, se busca sacar a la luz lo que parece oscuro, no de subsanar algo, pues el requisito que admite ser aclarado tiene que estar incluido en la oferta, solo que la entidad tiene dudas sobre su alcance, contenido o acreditación, porque de la oferta se pueden inferir entendimientos diferentes”</w:t>
      </w:r>
      <w:r w:rsidRPr="00056884">
        <w:rPr>
          <w:rFonts w:ascii="Verdana" w:eastAsia="Calibri" w:hAnsi="Verdana" w:cs="Times New Roman"/>
          <w:color w:val="000000"/>
          <w:sz w:val="20"/>
          <w:szCs w:val="20"/>
          <w:vertAlign w:val="superscript"/>
          <w:lang w:val="es-ES"/>
        </w:rPr>
        <w:footnoteReference w:id="10"/>
      </w:r>
      <w:r w:rsidRPr="00056884">
        <w:rPr>
          <w:rFonts w:ascii="Verdana" w:eastAsia="Calibri" w:hAnsi="Verdana" w:cs="Times New Roman"/>
          <w:bCs/>
          <w:color w:val="000000"/>
          <w:sz w:val="20"/>
          <w:szCs w:val="20"/>
          <w:lang w:val="es-ES"/>
        </w:rPr>
        <w:t>.</w:t>
      </w:r>
    </w:p>
    <w:p w14:paraId="50F7ABD7" w14:textId="77777777" w:rsidR="008540A9" w:rsidRPr="00B10A68" w:rsidRDefault="008540A9" w:rsidP="008540A9">
      <w:pPr>
        <w:spacing w:after="0" w:line="276" w:lineRule="auto"/>
        <w:ind w:firstLine="709"/>
        <w:jc w:val="both"/>
        <w:rPr>
          <w:rFonts w:ascii="Verdana" w:eastAsia="Calibri" w:hAnsi="Verdana" w:cs="Times New Roman"/>
          <w:bCs/>
          <w:color w:val="000000"/>
          <w:lang w:val="es-ES"/>
        </w:rPr>
      </w:pPr>
    </w:p>
    <w:p w14:paraId="48882D93" w14:textId="77777777" w:rsidR="008540A9" w:rsidRPr="00B10A68" w:rsidRDefault="008540A9" w:rsidP="008540A9">
      <w:pPr>
        <w:spacing w:after="120" w:line="276" w:lineRule="auto"/>
        <w:ind w:firstLine="708"/>
        <w:jc w:val="both"/>
        <w:rPr>
          <w:rFonts w:ascii="Verdana" w:eastAsia="Calibri" w:hAnsi="Verdana" w:cs="Times New Roman"/>
          <w:bCs/>
          <w:color w:val="000000"/>
          <w:lang w:val="es-ES"/>
        </w:rPr>
      </w:pPr>
      <w:r w:rsidRPr="00B10A68">
        <w:rPr>
          <w:rFonts w:ascii="Verdana" w:eastAsia="Calibri" w:hAnsi="Verdana" w:cs="Times New Roman"/>
          <w:bCs/>
          <w:color w:val="000000"/>
          <w:lang w:val="es-ES"/>
        </w:rPr>
        <w:t>De esta forma, así como lo expresó el Alto Tribunal Administrativo, aclarar una oferta no puede implicar su alteración sustancial o mejoría de sus componentes, sino limitarse a disipar lo que resulta borroso u otorgar claridad a lo que oscuro o intangible. En este punto, se concluye, es plausible la diferencia entre aclarar y subsanar una oferta, siendo este último una institución que procura porque el oferente presente, dentro del plazo y bajo las condiciones dadas por la norma aplicable, los documentos que acrediten el cumplimiento de los requisitos exigidos como habilitantes para participar en el respectivo procedimiento de selección, mientras que la aclaración por su parte, permite el mejor entendimiento de los elementos de la oferta, sean o no subsanables, para la correcta verificación y evaluación de estos por parte de la Entidad Estatal.</w:t>
      </w:r>
    </w:p>
    <w:p w14:paraId="2B492B68" w14:textId="77777777" w:rsidR="008540A9" w:rsidRPr="00B10A68" w:rsidRDefault="008540A9" w:rsidP="008540A9">
      <w:pPr>
        <w:spacing w:after="120" w:line="276" w:lineRule="auto"/>
        <w:ind w:firstLine="708"/>
        <w:jc w:val="both"/>
        <w:rPr>
          <w:rFonts w:ascii="Verdana" w:eastAsia="Calibri" w:hAnsi="Verdana" w:cs="Times New Roman"/>
          <w:color w:val="000000"/>
          <w:lang w:val="es-ES_tradnl"/>
        </w:rPr>
      </w:pPr>
      <w:r w:rsidRPr="00B10A68">
        <w:rPr>
          <w:rFonts w:ascii="Verdana" w:eastAsia="Calibri" w:hAnsi="Verdana" w:cs="Times New Roman"/>
          <w:color w:val="000000"/>
          <w:lang w:val="es-ES_tradnl"/>
        </w:rPr>
        <w:t>De acuerdo con lo dispuesto en el numeral 7 del artículo 30 de la Ley 80 de 1993, la aclaración de las propuestas se realiza durante la evaluación de estas, pues es necesario esclarecer los aspectos dudosos de las ofertas antes de la adjudicación</w:t>
      </w:r>
      <w:r w:rsidRPr="00B10A68">
        <w:rPr>
          <w:rFonts w:ascii="Verdana" w:eastAsia="Calibri" w:hAnsi="Verdana" w:cs="Times New Roman"/>
          <w:color w:val="000000"/>
          <w:vertAlign w:val="superscript"/>
          <w:lang w:val="es-ES"/>
        </w:rPr>
        <w:footnoteReference w:id="11"/>
      </w:r>
      <w:r w:rsidRPr="00B10A68">
        <w:rPr>
          <w:rFonts w:ascii="Verdana" w:eastAsia="Calibri" w:hAnsi="Verdana" w:cs="Times New Roman"/>
          <w:bCs/>
          <w:color w:val="000000"/>
          <w:lang w:val="es-ES"/>
        </w:rPr>
        <w:t xml:space="preserve">. De ahí que, la jurisprudencia explica a su vez que “[…] el </w:t>
      </w:r>
      <w:r w:rsidRPr="00B10A68">
        <w:rPr>
          <w:rFonts w:ascii="Verdana" w:eastAsia="Calibri" w:hAnsi="Verdana" w:cs="Times New Roman"/>
          <w:bCs/>
          <w:color w:val="000000"/>
          <w:lang w:val="es-ES"/>
        </w:rPr>
        <w:lastRenderedPageBreak/>
        <w:t>proponente debe acogerse al tiempo que le otorga la administración para subsanar o aclarar la oferta, lapso que la entidad no puede extender más allá de la adjudicación […]”</w:t>
      </w:r>
      <w:r w:rsidRPr="00B10A68">
        <w:rPr>
          <w:rFonts w:ascii="Verdana" w:eastAsia="Calibri" w:hAnsi="Verdana" w:cs="Times New Roman"/>
          <w:bCs/>
          <w:color w:val="000000"/>
          <w:vertAlign w:val="superscript"/>
          <w:lang w:val="es-ES"/>
        </w:rPr>
        <w:footnoteReference w:id="12"/>
      </w:r>
      <w:r w:rsidRPr="00B10A68">
        <w:rPr>
          <w:rFonts w:ascii="Verdana" w:eastAsia="Calibri" w:hAnsi="Verdana" w:cs="Times New Roman"/>
          <w:bCs/>
          <w:color w:val="000000"/>
          <w:lang w:val="es-ES"/>
        </w:rPr>
        <w:t>. De esta manera, “lo ideal en un proceso de selección es que las aclaraciones y explicaciones se anticipen y soliciten durante la etapa de evaluación, lo más pronto posible, es decir, antes de que la entidad elabore el informe respectivo, de tal manera que las tenga en cuenta para producir este acto administrativo”</w:t>
      </w:r>
      <w:r w:rsidRPr="00B10A68">
        <w:rPr>
          <w:rFonts w:ascii="Verdana" w:eastAsia="Calibri" w:hAnsi="Verdana" w:cs="Times New Roman"/>
          <w:bCs/>
          <w:color w:val="000000"/>
          <w:vertAlign w:val="superscript"/>
          <w:lang w:val="es-ES"/>
        </w:rPr>
        <w:t xml:space="preserve"> </w:t>
      </w:r>
      <w:r w:rsidRPr="00B10A68">
        <w:rPr>
          <w:rFonts w:ascii="Verdana" w:eastAsia="Calibri" w:hAnsi="Verdana" w:cs="Times New Roman"/>
          <w:bCs/>
          <w:color w:val="000000"/>
          <w:vertAlign w:val="superscript"/>
          <w:lang w:val="es-ES"/>
        </w:rPr>
        <w:footnoteReference w:id="13"/>
      </w:r>
      <w:r w:rsidRPr="00B10A68">
        <w:rPr>
          <w:rFonts w:ascii="Verdana" w:eastAsia="Calibri" w:hAnsi="Verdana" w:cs="Times New Roman"/>
          <w:bCs/>
          <w:color w:val="000000"/>
          <w:vertAlign w:val="superscript"/>
          <w:lang w:val="es-ES"/>
        </w:rPr>
        <w:t>.</w:t>
      </w:r>
    </w:p>
    <w:p w14:paraId="311307CE" w14:textId="77777777" w:rsidR="008540A9" w:rsidRPr="00B10A68" w:rsidRDefault="008540A9" w:rsidP="008540A9">
      <w:pPr>
        <w:spacing w:after="120" w:line="276" w:lineRule="auto"/>
        <w:ind w:firstLine="607"/>
        <w:jc w:val="both"/>
        <w:rPr>
          <w:rFonts w:ascii="Verdana" w:eastAsia="Calibri" w:hAnsi="Verdana" w:cs="Times New Roman"/>
          <w:color w:val="000000"/>
        </w:rPr>
      </w:pPr>
      <w:r w:rsidRPr="00B10A68">
        <w:rPr>
          <w:rFonts w:ascii="Verdana" w:eastAsia="Calibri" w:hAnsi="Verdana" w:cs="Times New Roman"/>
          <w:color w:val="000000"/>
          <w:lang w:val="es-ES_tradnl"/>
        </w:rPr>
        <w:t xml:space="preserve">En ese contexto, considerando la diferencia entre aclarar y subsanar en el evento en que la Entidad Estatal, con ocasión de la elaboración del informe de evaluación de las propuestas o de las observaciones presentadas por los proponentes a este, identifique en una propuesta aspectos que no sean claros o generen dudas, podrá requerir al proponente para que haga la aclaración correspondiente. De ahí que, habida consideración del principio de prevalencia de lo sustancial sobre lo formal, podrán aclararse aspectos puramente formales de las propuestas, inclusive aquellos que otorgan puntaje, siempre y cuando ese hecho no conlleve una adición, modificación o mejora sustancial de la oferta. </w:t>
      </w:r>
    </w:p>
    <w:p w14:paraId="421F2734" w14:textId="77777777" w:rsidR="008540A9" w:rsidRDefault="008540A9" w:rsidP="008540A9">
      <w:pPr>
        <w:spacing w:before="120" w:after="0" w:line="276" w:lineRule="auto"/>
        <w:ind w:firstLine="709"/>
        <w:jc w:val="both"/>
        <w:rPr>
          <w:rFonts w:ascii="Verdana" w:hAnsi="Verdana" w:cs="Arial"/>
          <w:color w:val="000000" w:themeColor="text1"/>
          <w:lang w:val="es-ES_tradnl"/>
        </w:rPr>
      </w:pPr>
      <w:r w:rsidRPr="001920E4">
        <w:rPr>
          <w:rFonts w:ascii="Verdana" w:eastAsia="Arial" w:hAnsi="Verdana" w:cs="Arial"/>
        </w:rPr>
        <w:t xml:space="preserve">Al margen de lo anterior, debe advertirse que el análisis sobre la subsanación o el rechazo de las ofertas al interior de los procedimientos de selección debe ser realizado por quienes tengan interés en ello, de acuerdo con lo explicado </w:t>
      </w:r>
      <w:r>
        <w:rPr>
          <w:rFonts w:ascii="Verdana" w:eastAsia="Arial" w:hAnsi="Verdana" w:cs="Arial"/>
        </w:rPr>
        <w:t>en el</w:t>
      </w:r>
      <w:r w:rsidRPr="001920E4">
        <w:rPr>
          <w:rFonts w:ascii="Verdana" w:eastAsia="Arial" w:hAnsi="Verdana" w:cs="Arial"/>
        </w:rPr>
        <w:t xml:space="preserve">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  </w:t>
      </w:r>
    </w:p>
    <w:p w14:paraId="402FC6AA" w14:textId="77777777" w:rsidR="008540A9" w:rsidRDefault="008540A9" w:rsidP="008540A9">
      <w:pPr>
        <w:spacing w:before="120" w:after="0" w:line="276" w:lineRule="auto"/>
        <w:ind w:firstLine="709"/>
        <w:jc w:val="both"/>
        <w:rPr>
          <w:rFonts w:ascii="Verdana" w:eastAsia="Arial" w:hAnsi="Verdana" w:cs="Arial"/>
          <w:bCs/>
        </w:rPr>
      </w:pPr>
      <w:r w:rsidRPr="001920E4">
        <w:rPr>
          <w:rFonts w:ascii="Verdana" w:eastAsia="Arial" w:hAnsi="Verdana" w:cs="Arial"/>
          <w:bCs/>
        </w:rPr>
        <w:t xml:space="preserve">De esta manera, al tratarse de un análisis que se debe realizar en cada caso concreto, la Agencia, por vía consultiva, no puede definir un criterio universal y absoluto, sino que brinda elementos hermenéuticos de carácter general para que los partícipes del sistema de compras y contratación pública adopten la decisión que corresponda, lo cual es acorde con el principio de </w:t>
      </w:r>
      <w:r w:rsidRPr="001920E4">
        <w:rPr>
          <w:rFonts w:ascii="Verdana" w:eastAsia="Arial" w:hAnsi="Verdana" w:cs="Arial"/>
          <w:bCs/>
        </w:rPr>
        <w:lastRenderedPageBreak/>
        <w:t>juridicidad. Por lo anterior, previo concepto de sus órganos asesores, la solución de casos particulares corresponde a la entidad que debe adoptar la decisión correspondiente para atender las necesidades de la Entidad Pública.</w:t>
      </w:r>
    </w:p>
    <w:p w14:paraId="03E53A42" w14:textId="77777777" w:rsidR="008540A9" w:rsidRPr="00B10A68" w:rsidRDefault="008540A9" w:rsidP="008540A9">
      <w:pPr>
        <w:widowControl w:val="0"/>
        <w:autoSpaceDE w:val="0"/>
        <w:autoSpaceDN w:val="0"/>
        <w:spacing w:after="0" w:line="276" w:lineRule="auto"/>
        <w:jc w:val="both"/>
        <w:rPr>
          <w:rFonts w:ascii="Verdana" w:eastAsia="Calibri" w:hAnsi="Verdana" w:cs="Arial"/>
        </w:rPr>
      </w:pPr>
    </w:p>
    <w:p w14:paraId="0BF8A8EE" w14:textId="77777777" w:rsidR="008540A9" w:rsidRPr="00B10A68" w:rsidRDefault="008540A9" w:rsidP="008540A9">
      <w:pPr>
        <w:numPr>
          <w:ilvl w:val="0"/>
          <w:numId w:val="17"/>
        </w:numPr>
        <w:tabs>
          <w:tab w:val="left" w:pos="142"/>
          <w:tab w:val="left" w:pos="284"/>
        </w:tabs>
        <w:spacing w:after="0" w:line="276" w:lineRule="auto"/>
        <w:ind w:left="0" w:firstLine="0"/>
        <w:jc w:val="both"/>
        <w:rPr>
          <w:rFonts w:ascii="Verdana" w:eastAsia="Century Gothic" w:hAnsi="Verdana" w:cs="Century Gothic"/>
          <w:b/>
          <w:bCs/>
          <w:lang w:val="es-ES"/>
        </w:rPr>
      </w:pPr>
      <w:r w:rsidRPr="00B10A68">
        <w:rPr>
          <w:rFonts w:ascii="Verdana" w:eastAsia="Century Gothic" w:hAnsi="Verdana" w:cs="Century Gothic"/>
          <w:b/>
          <w:bCs/>
          <w:lang w:val="es-ES"/>
        </w:rPr>
        <w:t>Referencias normativas, jurisprudenciales y otras fuentes:</w:t>
      </w:r>
    </w:p>
    <w:p w14:paraId="5D7579B7" w14:textId="77777777" w:rsidR="008540A9" w:rsidRPr="00B10A68" w:rsidRDefault="008540A9" w:rsidP="008540A9">
      <w:pPr>
        <w:widowControl w:val="0"/>
        <w:autoSpaceDE w:val="0"/>
        <w:autoSpaceDN w:val="0"/>
        <w:spacing w:after="0" w:line="276" w:lineRule="auto"/>
        <w:jc w:val="both"/>
        <w:rPr>
          <w:rFonts w:ascii="Verdana" w:eastAsia="Calibri" w:hAnsi="Verdana" w:cs="Arial"/>
        </w:rPr>
      </w:pPr>
    </w:p>
    <w:tbl>
      <w:tblPr>
        <w:tblStyle w:val="Tablaconcuadrcula1"/>
        <w:tblW w:w="8640"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0"/>
      </w:tblGrid>
      <w:tr w:rsidR="008540A9" w:rsidRPr="00B10A68" w14:paraId="0FFC6558" w14:textId="77777777" w:rsidTr="00430CFE">
        <w:trPr>
          <w:trHeight w:val="870"/>
        </w:trPr>
        <w:tc>
          <w:tcPr>
            <w:tcW w:w="8647" w:type="dxa"/>
            <w:tcBorders>
              <w:top w:val="dotted" w:sz="4" w:space="0" w:color="auto"/>
              <w:left w:val="dotted" w:sz="4" w:space="0" w:color="auto"/>
              <w:bottom w:val="dotted" w:sz="4" w:space="0" w:color="auto"/>
              <w:right w:val="dotted" w:sz="4" w:space="0" w:color="auto"/>
            </w:tcBorders>
            <w:hideMark/>
          </w:tcPr>
          <w:p w14:paraId="7ECB57B7" w14:textId="77777777" w:rsidR="008540A9" w:rsidRPr="00A73656" w:rsidRDefault="008540A9" w:rsidP="00430CFE">
            <w:pPr>
              <w:numPr>
                <w:ilvl w:val="0"/>
                <w:numId w:val="16"/>
              </w:numPr>
              <w:spacing w:after="120" w:line="256" w:lineRule="auto"/>
              <w:jc w:val="both"/>
              <w:rPr>
                <w:rFonts w:ascii="Verdana" w:hAnsi="Verdana" w:cs="Arial"/>
                <w:color w:val="000000"/>
                <w:lang w:eastAsia="es-ES"/>
              </w:rPr>
            </w:pPr>
            <w:r w:rsidRPr="00A73656">
              <w:rPr>
                <w:rFonts w:ascii="Verdana" w:hAnsi="Verdana" w:cs="Arial"/>
                <w:color w:val="000000"/>
                <w:lang w:val="es-ES_tradnl"/>
              </w:rPr>
              <w:t>Ley 80 de 1993, artículos 24.5 literal b) y 30.8</w:t>
            </w:r>
          </w:p>
          <w:p w14:paraId="59F0F972" w14:textId="77777777" w:rsidR="008540A9" w:rsidRPr="00A73656" w:rsidRDefault="008540A9" w:rsidP="00430CFE">
            <w:pPr>
              <w:numPr>
                <w:ilvl w:val="0"/>
                <w:numId w:val="16"/>
              </w:numPr>
              <w:spacing w:after="120" w:line="256" w:lineRule="auto"/>
              <w:jc w:val="both"/>
              <w:rPr>
                <w:rFonts w:ascii="Verdana" w:hAnsi="Verdana" w:cs="Arial"/>
                <w:color w:val="000000"/>
                <w:lang w:eastAsia="es-ES"/>
              </w:rPr>
            </w:pPr>
            <w:r w:rsidRPr="00A73656">
              <w:rPr>
                <w:rFonts w:ascii="Verdana" w:hAnsi="Verdana" w:cs="Arial"/>
                <w:color w:val="000000"/>
                <w:lang w:eastAsia="es-ES"/>
              </w:rPr>
              <w:t xml:space="preserve">Ley 1150 de 2007, </w:t>
            </w:r>
            <w:r w:rsidRPr="00A73656">
              <w:rPr>
                <w:rFonts w:ascii="Verdana" w:hAnsi="Verdana" w:cs="Arial"/>
                <w:color w:val="000000" w:themeColor="text1"/>
              </w:rPr>
              <w:t>artículo 5, parágrafo 1, 3 y 4 y 6.</w:t>
            </w:r>
          </w:p>
          <w:p w14:paraId="0C9E6EE5" w14:textId="77777777" w:rsidR="008540A9" w:rsidRPr="00A73656" w:rsidRDefault="008540A9" w:rsidP="00430CFE">
            <w:pPr>
              <w:numPr>
                <w:ilvl w:val="0"/>
                <w:numId w:val="16"/>
              </w:numPr>
              <w:spacing w:after="120" w:line="256" w:lineRule="auto"/>
              <w:jc w:val="both"/>
              <w:rPr>
                <w:rFonts w:ascii="Verdana" w:hAnsi="Verdana" w:cs="Arial"/>
                <w:shd w:val="clear" w:color="auto" w:fill="FFFFFF"/>
              </w:rPr>
            </w:pPr>
            <w:r w:rsidRPr="00A73656">
              <w:rPr>
                <w:rFonts w:ascii="Verdana" w:hAnsi="Verdana" w:cs="Arial"/>
                <w:color w:val="000000"/>
              </w:rPr>
              <w:t>Ley 1882 de 2018, artículo 5.</w:t>
            </w:r>
          </w:p>
          <w:p w14:paraId="351110EC" w14:textId="77777777" w:rsidR="008540A9" w:rsidRPr="00A73656" w:rsidRDefault="008540A9" w:rsidP="00430CFE">
            <w:pPr>
              <w:numPr>
                <w:ilvl w:val="0"/>
                <w:numId w:val="16"/>
              </w:numPr>
              <w:spacing w:after="120" w:line="256" w:lineRule="auto"/>
              <w:jc w:val="both"/>
              <w:rPr>
                <w:rFonts w:ascii="Verdana" w:hAnsi="Verdana" w:cs="Arial"/>
                <w:color w:val="000000"/>
                <w:lang w:eastAsia="es-ES"/>
              </w:rPr>
            </w:pPr>
            <w:r w:rsidRPr="00A73656">
              <w:rPr>
                <w:rFonts w:ascii="Verdana" w:hAnsi="Verdana" w:cs="Arial"/>
                <w:color w:val="000000"/>
                <w:lang w:eastAsia="es-ES"/>
              </w:rPr>
              <w:t>Decreto 1082 de 2015, artículo 2.2.1.1.2.1.3. numeral 6</w:t>
            </w:r>
          </w:p>
          <w:p w14:paraId="6AC2FD62" w14:textId="77777777" w:rsidR="008540A9" w:rsidRPr="00A73656" w:rsidRDefault="008540A9" w:rsidP="00430CFE">
            <w:pPr>
              <w:widowControl w:val="0"/>
              <w:numPr>
                <w:ilvl w:val="0"/>
                <w:numId w:val="16"/>
              </w:numPr>
              <w:autoSpaceDE w:val="0"/>
              <w:autoSpaceDN w:val="0"/>
              <w:spacing w:after="120" w:line="276" w:lineRule="auto"/>
              <w:contextualSpacing/>
              <w:jc w:val="both"/>
              <w:rPr>
                <w:rFonts w:ascii="Verdana" w:hAnsi="Verdana" w:cs="Arial"/>
                <w:lang w:val="es-ES"/>
              </w:rPr>
            </w:pPr>
            <w:r w:rsidRPr="00A73656">
              <w:rPr>
                <w:rFonts w:ascii="Verdana" w:hAnsi="Verdana" w:cs="Arial"/>
                <w:lang w:val="es-ES"/>
              </w:rPr>
              <w:t>Corte Constitucional. Sentencia C-128 de 2003. M.P. Álvaro Tafur Galvis.</w:t>
            </w:r>
          </w:p>
          <w:p w14:paraId="557F75A9" w14:textId="77777777" w:rsidR="008540A9" w:rsidRPr="00A73656" w:rsidRDefault="008540A9" w:rsidP="00430CFE">
            <w:pPr>
              <w:widowControl w:val="0"/>
              <w:numPr>
                <w:ilvl w:val="0"/>
                <w:numId w:val="16"/>
              </w:numPr>
              <w:tabs>
                <w:tab w:val="left" w:pos="8419"/>
              </w:tabs>
              <w:autoSpaceDE w:val="0"/>
              <w:autoSpaceDN w:val="0"/>
              <w:spacing w:after="120" w:line="276" w:lineRule="auto"/>
              <w:contextualSpacing/>
              <w:jc w:val="both"/>
              <w:rPr>
                <w:rFonts w:ascii="Verdana" w:hAnsi="Verdana" w:cs="Arial"/>
                <w:lang w:val="pt-BR"/>
              </w:rPr>
            </w:pPr>
            <w:r w:rsidRPr="00A73656">
              <w:rPr>
                <w:rFonts w:ascii="Verdana" w:hAnsi="Verdana" w:cs="Arial"/>
                <w:lang w:val="pt-BR"/>
              </w:rPr>
              <w:t xml:space="preserve">Corte Constitucional. Sentencia C-569 de 2004. M.P. Rodrigo </w:t>
            </w:r>
            <w:proofErr w:type="spellStart"/>
            <w:r w:rsidRPr="00A73656">
              <w:rPr>
                <w:rFonts w:ascii="Verdana" w:hAnsi="Verdana" w:cs="Arial"/>
                <w:lang w:val="pt-BR"/>
              </w:rPr>
              <w:t>Uprimny</w:t>
            </w:r>
            <w:proofErr w:type="spellEnd"/>
            <w:r w:rsidRPr="00A73656">
              <w:rPr>
                <w:rFonts w:ascii="Verdana" w:hAnsi="Verdana" w:cs="Arial"/>
                <w:lang w:val="pt-BR"/>
              </w:rPr>
              <w:t xml:space="preserve"> Yepes.</w:t>
            </w:r>
          </w:p>
          <w:p w14:paraId="15D1C52A" w14:textId="77777777" w:rsidR="008540A9" w:rsidRPr="00A73656" w:rsidRDefault="008540A9" w:rsidP="00430CFE">
            <w:pPr>
              <w:widowControl w:val="0"/>
              <w:numPr>
                <w:ilvl w:val="0"/>
                <w:numId w:val="16"/>
              </w:numPr>
              <w:tabs>
                <w:tab w:val="left" w:pos="8419"/>
              </w:tabs>
              <w:autoSpaceDE w:val="0"/>
              <w:autoSpaceDN w:val="0"/>
              <w:spacing w:after="120" w:line="276" w:lineRule="auto"/>
              <w:contextualSpacing/>
              <w:jc w:val="both"/>
              <w:rPr>
                <w:rFonts w:ascii="Verdana" w:hAnsi="Verdana" w:cs="Arial"/>
                <w:lang w:val="es-ES"/>
              </w:rPr>
            </w:pPr>
            <w:r w:rsidRPr="00A73656">
              <w:rPr>
                <w:rFonts w:ascii="Verdana" w:hAnsi="Verdana" w:cs="Arial"/>
                <w:lang w:val="es-ES"/>
              </w:rPr>
              <w:t>Consejo de Estado. Sección Tercera. Providencias del 11 de diciembre de 2002, dictada dentro del expediente AG-1683, y del 18 de octubre de 2001, proferida dentro del plenario AG-021.</w:t>
            </w:r>
          </w:p>
          <w:p w14:paraId="2B859DE6" w14:textId="77777777" w:rsidR="008540A9" w:rsidRPr="00A73656" w:rsidRDefault="008540A9" w:rsidP="00430CFE">
            <w:pPr>
              <w:numPr>
                <w:ilvl w:val="0"/>
                <w:numId w:val="16"/>
              </w:numPr>
              <w:spacing w:after="120" w:line="256" w:lineRule="auto"/>
              <w:jc w:val="both"/>
              <w:rPr>
                <w:rFonts w:ascii="Verdana" w:hAnsi="Verdana" w:cs="Arial"/>
                <w:shd w:val="clear" w:color="auto" w:fill="FFFFFF"/>
              </w:rPr>
            </w:pPr>
            <w:r w:rsidRPr="00A73656">
              <w:rPr>
                <w:rFonts w:ascii="Verdana" w:hAnsi="Verdana" w:cs="Arial"/>
                <w:shd w:val="clear" w:color="auto" w:fill="FFFFFF"/>
              </w:rPr>
              <w:t>Consejo de Estado. Sala de Consulta y Servicio Civil. Concepto del 6 de noviembre de 2008. Expediente: 1927. Consejero Ponente: William Zambrano Cetina.</w:t>
            </w:r>
          </w:p>
          <w:p w14:paraId="40073887" w14:textId="77777777" w:rsidR="008540A9" w:rsidRPr="00A73656" w:rsidRDefault="008540A9" w:rsidP="00430CFE">
            <w:pPr>
              <w:numPr>
                <w:ilvl w:val="0"/>
                <w:numId w:val="16"/>
              </w:numPr>
              <w:spacing w:after="120" w:line="256" w:lineRule="auto"/>
              <w:jc w:val="both"/>
              <w:rPr>
                <w:rFonts w:ascii="Verdana" w:hAnsi="Verdana" w:cs="Arial"/>
                <w:shd w:val="clear" w:color="auto" w:fill="FFFFFF"/>
              </w:rPr>
            </w:pPr>
            <w:r w:rsidRPr="00A73656">
              <w:rPr>
                <w:rFonts w:ascii="Verdana" w:hAnsi="Verdana" w:cs="Arial"/>
                <w:shd w:val="clear" w:color="auto" w:fill="FFFFFF"/>
              </w:rPr>
              <w:t>Consejo de Estado. Sala de Consulta y Servicio Civil. Concepto del 20 de mayo de 2010. Expediente: 1992. Consejero Ponente: Enrique José Arboleda Perdomo.</w:t>
            </w:r>
          </w:p>
          <w:p w14:paraId="701060D1" w14:textId="77777777" w:rsidR="008540A9" w:rsidRPr="00A73656" w:rsidRDefault="008540A9" w:rsidP="00430CFE">
            <w:pPr>
              <w:numPr>
                <w:ilvl w:val="0"/>
                <w:numId w:val="16"/>
              </w:numPr>
              <w:spacing w:after="120" w:line="256" w:lineRule="auto"/>
              <w:jc w:val="both"/>
              <w:rPr>
                <w:rFonts w:ascii="Verdana" w:hAnsi="Verdana" w:cs="Arial"/>
                <w:shd w:val="clear" w:color="auto" w:fill="FFFFFF"/>
              </w:rPr>
            </w:pPr>
            <w:r w:rsidRPr="00A73656">
              <w:rPr>
                <w:rFonts w:ascii="Verdana" w:hAnsi="Verdana" w:cs="Arial"/>
                <w:shd w:val="clear" w:color="auto" w:fill="FFFFFF"/>
              </w:rPr>
              <w:t xml:space="preserve">Consejo de Estado. Sección Tercera, Subsección C. Sentencia del 26 de febrero de 2011. C.P. Jaime Orlando Santofimio. Rad. 36.408. </w:t>
            </w:r>
          </w:p>
          <w:p w14:paraId="3F5F2098" w14:textId="77777777" w:rsidR="008540A9" w:rsidRPr="00A73656" w:rsidRDefault="008540A9" w:rsidP="00430CFE">
            <w:pPr>
              <w:numPr>
                <w:ilvl w:val="0"/>
                <w:numId w:val="16"/>
              </w:numPr>
              <w:spacing w:after="120" w:line="256" w:lineRule="auto"/>
              <w:jc w:val="both"/>
              <w:rPr>
                <w:rFonts w:ascii="Verdana" w:hAnsi="Verdana" w:cs="Arial"/>
                <w:shd w:val="clear" w:color="auto" w:fill="FFFFFF"/>
              </w:rPr>
            </w:pPr>
            <w:r w:rsidRPr="00A73656">
              <w:rPr>
                <w:rFonts w:ascii="Verdana" w:hAnsi="Verdana" w:cs="Arial"/>
                <w:shd w:val="clear" w:color="auto" w:fill="FFFFFF"/>
              </w:rPr>
              <w:t>Consejo de Estado. Sección Tercera Subsección B. Sentencia del 27 de abril de 2011. Expediente No. 18.293. C.P. Ponente: Ruth Stella Correa Palacio.</w:t>
            </w:r>
          </w:p>
          <w:p w14:paraId="3F724BFF" w14:textId="77777777" w:rsidR="008540A9" w:rsidRPr="00056884" w:rsidRDefault="008540A9" w:rsidP="00430CFE">
            <w:pPr>
              <w:widowControl w:val="0"/>
              <w:numPr>
                <w:ilvl w:val="0"/>
                <w:numId w:val="16"/>
              </w:numPr>
              <w:tabs>
                <w:tab w:val="left" w:pos="8419"/>
              </w:tabs>
              <w:autoSpaceDE w:val="0"/>
              <w:autoSpaceDN w:val="0"/>
              <w:spacing w:after="120" w:line="276" w:lineRule="auto"/>
              <w:contextualSpacing/>
              <w:jc w:val="both"/>
              <w:rPr>
                <w:rFonts w:ascii="Verdana" w:hAnsi="Verdana" w:cs="Arial"/>
                <w:lang w:val="es-ES"/>
              </w:rPr>
            </w:pPr>
            <w:r w:rsidRPr="00A73656">
              <w:rPr>
                <w:rFonts w:ascii="Verdana" w:hAnsi="Verdana" w:cs="Arial"/>
                <w:shd w:val="clear" w:color="auto" w:fill="FFFFFF"/>
              </w:rPr>
              <w:t xml:space="preserve">Consejo de Estado, Sección Tercera, Subsección C. Sentencia del 26 de febrero de 2014. C.P. Enrique Gil Botero. Rad. 25.804. </w:t>
            </w:r>
          </w:p>
          <w:p w14:paraId="1EDA5B3E" w14:textId="77777777" w:rsidR="008540A9" w:rsidRPr="00A73656" w:rsidRDefault="008540A9" w:rsidP="00430CFE">
            <w:pPr>
              <w:widowControl w:val="0"/>
              <w:numPr>
                <w:ilvl w:val="0"/>
                <w:numId w:val="16"/>
              </w:numPr>
              <w:tabs>
                <w:tab w:val="left" w:pos="8419"/>
              </w:tabs>
              <w:autoSpaceDE w:val="0"/>
              <w:autoSpaceDN w:val="0"/>
              <w:spacing w:after="120" w:line="276" w:lineRule="auto"/>
              <w:contextualSpacing/>
              <w:jc w:val="both"/>
              <w:rPr>
                <w:rFonts w:ascii="Verdana" w:hAnsi="Verdana" w:cs="Arial"/>
                <w:lang w:val="es-ES"/>
              </w:rPr>
            </w:pPr>
            <w:r w:rsidRPr="00A73656">
              <w:rPr>
                <w:rFonts w:ascii="Verdana" w:hAnsi="Verdana" w:cs="Arial"/>
                <w:lang w:val="es-ES"/>
              </w:rPr>
              <w:t xml:space="preserve">Consejo de Estado. Sección Tercera. Subsección C. Sentencia del 12 de noviembre de 2014. </w:t>
            </w:r>
            <w:proofErr w:type="spellStart"/>
            <w:r w:rsidRPr="00A73656">
              <w:rPr>
                <w:rFonts w:ascii="Verdana" w:hAnsi="Verdana" w:cs="Arial"/>
                <w:lang w:val="es-ES"/>
              </w:rPr>
              <w:t>Exp</w:t>
            </w:r>
            <w:proofErr w:type="spellEnd"/>
            <w:r w:rsidRPr="00A73656">
              <w:rPr>
                <w:rFonts w:ascii="Verdana" w:hAnsi="Verdana" w:cs="Arial"/>
                <w:lang w:val="es-ES"/>
              </w:rPr>
              <w:t>. 27.986. C.P. Enrique Gil Botero.</w:t>
            </w:r>
          </w:p>
          <w:p w14:paraId="39EB18B0" w14:textId="77777777" w:rsidR="008540A9" w:rsidRPr="00A73656" w:rsidRDefault="008540A9" w:rsidP="00430CFE">
            <w:pPr>
              <w:numPr>
                <w:ilvl w:val="0"/>
                <w:numId w:val="16"/>
              </w:numPr>
              <w:spacing w:after="120" w:line="256" w:lineRule="auto"/>
              <w:jc w:val="both"/>
              <w:rPr>
                <w:rFonts w:ascii="Verdana" w:hAnsi="Verdana" w:cs="Arial"/>
                <w:shd w:val="clear" w:color="auto" w:fill="FFFFFF"/>
              </w:rPr>
            </w:pPr>
            <w:r w:rsidRPr="00A73656">
              <w:rPr>
                <w:rFonts w:ascii="Verdana" w:hAnsi="Verdana" w:cs="Arial"/>
                <w:shd w:val="clear" w:color="auto" w:fill="FFFFFF"/>
              </w:rPr>
              <w:t>Circular Externa Única de la Agencia Nacional de Contratación Pública – Colombia Compra Eficiente</w:t>
            </w:r>
          </w:p>
          <w:p w14:paraId="0B1EF680" w14:textId="77777777" w:rsidR="008540A9" w:rsidRPr="00A73656" w:rsidRDefault="008540A9" w:rsidP="00430CFE">
            <w:pPr>
              <w:numPr>
                <w:ilvl w:val="0"/>
                <w:numId w:val="16"/>
              </w:numPr>
              <w:spacing w:after="120" w:line="256" w:lineRule="auto"/>
              <w:jc w:val="both"/>
              <w:rPr>
                <w:rFonts w:ascii="Verdana" w:hAnsi="Verdana" w:cs="Arial"/>
                <w:shd w:val="clear" w:color="auto" w:fill="FFFFFF"/>
              </w:rPr>
            </w:pPr>
            <w:r w:rsidRPr="00A73656">
              <w:rPr>
                <w:rFonts w:ascii="Verdana" w:hAnsi="Verdana" w:cs="Arial"/>
                <w:shd w:val="clear" w:color="auto" w:fill="FFFFFF"/>
              </w:rPr>
              <w:lastRenderedPageBreak/>
              <w:t xml:space="preserve">Agencia Nacional de Contratación Pública – Colombia Compra Eficiente. Concepto C-285 del 20 de mayo de 2022. Consultar en: </w:t>
            </w:r>
            <w:hyperlink r:id="rId12" w:history="1">
              <w:r w:rsidRPr="00A73656">
                <w:rPr>
                  <w:rFonts w:ascii="Verdana" w:hAnsi="Verdana" w:cs="Arial"/>
                  <w:color w:val="0563C1" w:themeColor="hyperlink"/>
                  <w:u w:val="single"/>
                  <w:shd w:val="clear" w:color="auto" w:fill="FFFFFF"/>
                </w:rPr>
                <w:t>https://relatoria.colombiacompra.gov.co/conceptos/c-285-de-2022/</w:t>
              </w:r>
            </w:hyperlink>
            <w:r w:rsidRPr="00A73656">
              <w:rPr>
                <w:rFonts w:ascii="Verdana" w:hAnsi="Verdana" w:cs="Arial"/>
                <w:shd w:val="clear" w:color="auto" w:fill="FFFFFF"/>
              </w:rPr>
              <w:t xml:space="preserve"> </w:t>
            </w:r>
          </w:p>
          <w:p w14:paraId="3DE348D1" w14:textId="77777777" w:rsidR="008540A9" w:rsidRPr="00A73656" w:rsidRDefault="008540A9" w:rsidP="00430CFE">
            <w:pPr>
              <w:numPr>
                <w:ilvl w:val="0"/>
                <w:numId w:val="16"/>
              </w:numPr>
              <w:spacing w:after="120" w:line="256" w:lineRule="auto"/>
              <w:jc w:val="both"/>
              <w:rPr>
                <w:rFonts w:ascii="Verdana" w:hAnsi="Verdana" w:cs="Arial"/>
                <w:shd w:val="clear" w:color="auto" w:fill="FFFFFF"/>
              </w:rPr>
            </w:pPr>
            <w:r w:rsidRPr="00A73656">
              <w:rPr>
                <w:rFonts w:ascii="Verdana" w:hAnsi="Verdana" w:cs="Arial"/>
                <w:shd w:val="clear" w:color="auto" w:fill="FFFFFF"/>
              </w:rPr>
              <w:t xml:space="preserve">Agencia Nacional de Contratación Pública – Colombia Compra Eficiente. Concepto C-447 del 19 de septiembre de 2024. Consultar en: </w:t>
            </w:r>
            <w:hyperlink r:id="rId13" w:history="1">
              <w:r w:rsidRPr="00A73656">
                <w:rPr>
                  <w:rFonts w:ascii="Verdana" w:hAnsi="Verdana" w:cs="Arial"/>
                  <w:color w:val="0563C1" w:themeColor="hyperlink"/>
                  <w:u w:val="single"/>
                  <w:shd w:val="clear" w:color="auto" w:fill="FFFFFF"/>
                </w:rPr>
                <w:t>https://relatoria.colombiacompra.gov.co/conceptos/c-447-de-2024/</w:t>
              </w:r>
            </w:hyperlink>
            <w:r w:rsidRPr="00A73656">
              <w:rPr>
                <w:rFonts w:ascii="Verdana" w:hAnsi="Verdana" w:cs="Arial"/>
                <w:shd w:val="clear" w:color="auto" w:fill="FFFFFF"/>
              </w:rPr>
              <w:t xml:space="preserve"> </w:t>
            </w:r>
          </w:p>
          <w:p w14:paraId="536D5C3B" w14:textId="77777777" w:rsidR="008540A9" w:rsidRPr="00A73656" w:rsidRDefault="008540A9" w:rsidP="00430CFE">
            <w:pPr>
              <w:widowControl w:val="0"/>
              <w:numPr>
                <w:ilvl w:val="0"/>
                <w:numId w:val="16"/>
              </w:numPr>
              <w:autoSpaceDE w:val="0"/>
              <w:autoSpaceDN w:val="0"/>
              <w:spacing w:after="120" w:line="276" w:lineRule="auto"/>
              <w:jc w:val="both"/>
              <w:rPr>
                <w:rFonts w:ascii="Verdana" w:hAnsi="Verdana" w:cs="Arial"/>
              </w:rPr>
            </w:pPr>
            <w:r w:rsidRPr="00A73656">
              <w:rPr>
                <w:rFonts w:ascii="Verdana" w:hAnsi="Verdana" w:cs="Arial"/>
                <w:shd w:val="clear" w:color="auto" w:fill="FFFFFF"/>
              </w:rPr>
              <w:t xml:space="preserve">RODRÍGUEZ TAMAYO, Mauricio Fernando. Evaluación y rechazo de ofertas en la Ley 80 de 1993. Medellín: Librería Jurídica Sánchez, 2016. </w:t>
            </w:r>
          </w:p>
          <w:p w14:paraId="25782943" w14:textId="77777777" w:rsidR="008540A9" w:rsidRDefault="008540A9" w:rsidP="00430CFE">
            <w:pPr>
              <w:widowControl w:val="0"/>
              <w:numPr>
                <w:ilvl w:val="0"/>
                <w:numId w:val="16"/>
              </w:numPr>
              <w:tabs>
                <w:tab w:val="left" w:pos="8419"/>
              </w:tabs>
              <w:autoSpaceDE w:val="0"/>
              <w:autoSpaceDN w:val="0"/>
              <w:spacing w:after="120" w:line="276" w:lineRule="auto"/>
              <w:contextualSpacing/>
              <w:jc w:val="both"/>
              <w:rPr>
                <w:rFonts w:ascii="Verdana" w:hAnsi="Verdana" w:cs="Arial"/>
              </w:rPr>
            </w:pPr>
            <w:r w:rsidRPr="00A73656">
              <w:rPr>
                <w:rFonts w:ascii="Verdana" w:hAnsi="Verdana" w:cs="Arial"/>
              </w:rPr>
              <w:t>DÁVILA VINUEZA, Luis Guillermo. Régimen jurídico de la contratación estatal. Tercera edición, Bogotá: Legis, 2016.</w:t>
            </w:r>
          </w:p>
          <w:p w14:paraId="0DD3C36A" w14:textId="77777777" w:rsidR="008540A9" w:rsidRPr="00A73656" w:rsidRDefault="008540A9" w:rsidP="00430CFE">
            <w:pPr>
              <w:widowControl w:val="0"/>
              <w:numPr>
                <w:ilvl w:val="0"/>
                <w:numId w:val="16"/>
              </w:numPr>
              <w:tabs>
                <w:tab w:val="left" w:pos="8419"/>
              </w:tabs>
              <w:autoSpaceDE w:val="0"/>
              <w:autoSpaceDN w:val="0"/>
              <w:spacing w:after="120" w:line="276" w:lineRule="auto"/>
              <w:contextualSpacing/>
              <w:jc w:val="both"/>
              <w:rPr>
                <w:rFonts w:ascii="Verdana" w:hAnsi="Verdana" w:cs="Arial"/>
              </w:rPr>
            </w:pPr>
            <w:r w:rsidRPr="00A73656">
              <w:rPr>
                <w:rFonts w:ascii="Verdana" w:hAnsi="Verdana" w:cs="Arial"/>
                <w:lang w:val="es-ES"/>
              </w:rPr>
              <w:t>EXPÓSITO VELEZ, Juan C., El deber de selección objetiva, en: Del contrato estatal a los sistemas de compras públicas, por COVILLA MARTINEZ Juan C. y LOZANO VILLEGAS Germán (Eds.). Universidad Externado de Colombia, Bogotá, 2019.</w:t>
            </w:r>
          </w:p>
        </w:tc>
      </w:tr>
    </w:tbl>
    <w:p w14:paraId="60C89E69" w14:textId="77777777" w:rsidR="008540A9" w:rsidRPr="00A73656" w:rsidRDefault="008540A9" w:rsidP="008540A9">
      <w:pPr>
        <w:widowControl w:val="0"/>
        <w:autoSpaceDE w:val="0"/>
        <w:autoSpaceDN w:val="0"/>
        <w:spacing w:after="0" w:line="276" w:lineRule="auto"/>
        <w:jc w:val="both"/>
        <w:rPr>
          <w:rFonts w:ascii="Verdana" w:eastAsia="Calibri" w:hAnsi="Verdana" w:cs="Arial"/>
        </w:rPr>
      </w:pPr>
    </w:p>
    <w:p w14:paraId="0B71F9E4" w14:textId="77777777" w:rsidR="008540A9" w:rsidRPr="00A73656" w:rsidRDefault="008540A9" w:rsidP="008540A9">
      <w:pPr>
        <w:numPr>
          <w:ilvl w:val="0"/>
          <w:numId w:val="17"/>
        </w:numPr>
        <w:tabs>
          <w:tab w:val="left" w:pos="142"/>
          <w:tab w:val="left" w:pos="284"/>
        </w:tabs>
        <w:spacing w:after="0" w:line="276" w:lineRule="auto"/>
        <w:ind w:left="0" w:firstLine="0"/>
        <w:jc w:val="both"/>
        <w:rPr>
          <w:rFonts w:ascii="Verdana" w:eastAsia="Century Gothic" w:hAnsi="Verdana" w:cs="Century Gothic"/>
          <w:b/>
          <w:bCs/>
          <w:lang w:val="es-ES"/>
        </w:rPr>
      </w:pPr>
      <w:r w:rsidRPr="00A73656">
        <w:rPr>
          <w:rFonts w:ascii="Verdana" w:eastAsia="Century Gothic" w:hAnsi="Verdana" w:cs="Century Gothic"/>
          <w:b/>
          <w:bCs/>
          <w:lang w:val="es-ES"/>
        </w:rPr>
        <w:t>Doctrina de la Agencia Nacional de Contratación Pública:</w:t>
      </w:r>
    </w:p>
    <w:p w14:paraId="2E8C47D7" w14:textId="77777777" w:rsidR="008540A9" w:rsidRPr="00A73656" w:rsidRDefault="008540A9" w:rsidP="008540A9">
      <w:pPr>
        <w:widowControl w:val="0"/>
        <w:autoSpaceDE w:val="0"/>
        <w:autoSpaceDN w:val="0"/>
        <w:spacing w:after="0" w:line="276" w:lineRule="auto"/>
        <w:jc w:val="both"/>
        <w:rPr>
          <w:rFonts w:ascii="Verdana" w:eastAsia="Calibri" w:hAnsi="Verdana" w:cs="Arial"/>
        </w:rPr>
      </w:pPr>
    </w:p>
    <w:p w14:paraId="56ACDCCB" w14:textId="77777777" w:rsidR="008540A9" w:rsidRPr="00A73656" w:rsidRDefault="008540A9" w:rsidP="008540A9">
      <w:pPr>
        <w:widowControl w:val="0"/>
        <w:autoSpaceDE w:val="0"/>
        <w:autoSpaceDN w:val="0"/>
        <w:spacing w:after="0" w:line="276" w:lineRule="auto"/>
        <w:jc w:val="both"/>
        <w:rPr>
          <w:rFonts w:ascii="Verdana" w:eastAsia="Calibri" w:hAnsi="Verdana" w:cs="Arial"/>
          <w:shd w:val="clear" w:color="auto" w:fill="FFFFFF"/>
          <w:lang w:val="es-ES"/>
        </w:rPr>
      </w:pPr>
      <w:r w:rsidRPr="00A73656">
        <w:rPr>
          <w:rFonts w:ascii="Verdana" w:eastAsia="Calibri" w:hAnsi="Verdana" w:cs="Arial"/>
          <w:shd w:val="clear" w:color="auto" w:fill="FFFFFF"/>
          <w:lang w:val="es-ES"/>
        </w:rPr>
        <w:t>Sobre la regla de subsanabilidad en los procesos de selección y la aclaración de la oferta económica, se pronunció esta Subdirección en los conceptos 4201913000007643 del 26 de diciembre de 2019, C-343 del 17 de junio de 2020, C-518 del 9 de septiembre de 2020, C-285 del 20 de mayo de 2022, C-614 del 5 de octubre de 2022, C-882 del 21 de diciembre de 2022, C-172 del 6 de junio de 2023, C-354 del 30 de agosto de 2024, C-447 del 19 de septiembre de 2024, C-1009 del 30 de enero de 2025</w:t>
      </w:r>
      <w:r>
        <w:rPr>
          <w:rFonts w:ascii="Verdana" w:eastAsia="Calibri" w:hAnsi="Verdana" w:cs="Arial"/>
          <w:shd w:val="clear" w:color="auto" w:fill="FFFFFF"/>
          <w:lang w:val="es-ES"/>
        </w:rPr>
        <w:t xml:space="preserve">, </w:t>
      </w:r>
      <w:r w:rsidRPr="00A73656">
        <w:rPr>
          <w:rFonts w:ascii="Verdana" w:eastAsia="Calibri" w:hAnsi="Verdana" w:cs="Arial"/>
          <w:shd w:val="clear" w:color="auto" w:fill="FFFFFF"/>
          <w:lang w:val="es-ES"/>
        </w:rPr>
        <w:t>C-687 del 9 de julio de 2025</w:t>
      </w:r>
      <w:r>
        <w:rPr>
          <w:rFonts w:ascii="Verdana" w:eastAsia="Calibri" w:hAnsi="Verdana" w:cs="Arial"/>
          <w:shd w:val="clear" w:color="auto" w:fill="FFFFFF"/>
          <w:lang w:val="es-ES"/>
        </w:rPr>
        <w:t>, C-896 del 15 de agosto de 2025, C-808 del 30 de junio de 2026</w:t>
      </w:r>
      <w:r w:rsidRPr="00A73656">
        <w:rPr>
          <w:rFonts w:ascii="Verdana" w:eastAsia="Calibri" w:hAnsi="Verdana" w:cs="Arial"/>
          <w:shd w:val="clear" w:color="auto" w:fill="FFFFFF"/>
          <w:lang w:val="es-ES"/>
        </w:rPr>
        <w:t>. Es</w:t>
      </w:r>
      <w:r w:rsidRPr="00A73656">
        <w:rPr>
          <w:rFonts w:ascii="Verdana" w:eastAsia="Calibri" w:hAnsi="Verdana" w:cs="Times New Roman"/>
        </w:rPr>
        <w:t>tos y otros conceptos se encuentran disponibles para consulta en el Sistema de relatoría de la Agencia, al cual se puede acceder a través del siguiente enlace:</w:t>
      </w:r>
      <w:r w:rsidRPr="00A73656">
        <w:rPr>
          <w:rFonts w:ascii="Verdana" w:eastAsia="Calibri" w:hAnsi="Verdana" w:cs="Arial"/>
          <w:shd w:val="clear" w:color="auto" w:fill="FFFFFF"/>
          <w:lang w:val="es-ES"/>
        </w:rPr>
        <w:t xml:space="preserve"> </w:t>
      </w:r>
      <w:hyperlink r:id="rId14" w:history="1">
        <w:r w:rsidRPr="00A73656">
          <w:rPr>
            <w:rFonts w:ascii="Verdana" w:eastAsia="Calibri" w:hAnsi="Verdana" w:cs="Arial"/>
            <w:u w:val="single"/>
            <w:shd w:val="clear" w:color="auto" w:fill="FFFFFF"/>
            <w:lang w:val="es-ES"/>
          </w:rPr>
          <w:t>https://relatoria.colombiacompra.gov.co/busqueda/conceptos</w:t>
        </w:r>
      </w:hyperlink>
    </w:p>
    <w:p w14:paraId="409F41D8" w14:textId="77777777" w:rsidR="008540A9" w:rsidRDefault="008540A9" w:rsidP="008540A9">
      <w:pPr>
        <w:widowControl w:val="0"/>
        <w:autoSpaceDE w:val="0"/>
        <w:autoSpaceDN w:val="0"/>
        <w:spacing w:after="0" w:line="276" w:lineRule="auto"/>
        <w:jc w:val="both"/>
        <w:rPr>
          <w:rFonts w:ascii="Verdana" w:eastAsia="Calibri" w:hAnsi="Verdana" w:cs="Arial"/>
          <w:shd w:val="clear" w:color="auto" w:fill="FFFFFF"/>
          <w:lang w:val="es-ES"/>
        </w:rPr>
      </w:pPr>
    </w:p>
    <w:p w14:paraId="38ADDD1A" w14:textId="77777777" w:rsidR="008540A9" w:rsidRPr="00C619BA" w:rsidRDefault="008540A9" w:rsidP="008540A9">
      <w:pPr>
        <w:spacing w:after="0" w:line="276" w:lineRule="auto"/>
        <w:jc w:val="both"/>
        <w:rPr>
          <w:rFonts w:ascii="Verdana" w:eastAsia="Calibri" w:hAnsi="Verdana" w:cs="Arial"/>
          <w:shd w:val="clear" w:color="auto" w:fill="FFFFFF"/>
        </w:rPr>
      </w:pPr>
      <w:r w:rsidRPr="00C619BA">
        <w:rPr>
          <w:rFonts w:ascii="Verdana" w:eastAsia="Calibri" w:hAnsi="Verdana" w:cs="Arial"/>
          <w:shd w:val="clear" w:color="auto" w:fill="FFFFFF"/>
        </w:rPr>
        <w:t xml:space="preserve">La sostenibilidad no es una opción, es una obligación. Por ello, la Agencia Nacional de Contratación Pública –Colombia Compra Eficiente– te invita a realizar el Curso de Contratación Pública Sostenible y Socialmente Responsable, una herramienta clave para fortalecer las capacidades de todos los compradores públicos, proveedores, servidores públicos v para generar mayor valor público. </w:t>
      </w:r>
      <w:r w:rsidRPr="00C619BA">
        <w:rPr>
          <w:rFonts w:ascii="Verdana" w:eastAsia="Calibri" w:hAnsi="Verdana" w:cs="Arial"/>
          <w:shd w:val="clear" w:color="auto" w:fill="FFFFFF"/>
        </w:rPr>
        <w:lastRenderedPageBreak/>
        <w:t xml:space="preserve">Accede al curso y aprende como implementar criterios sociales y ambientales en las diferentes etapas del proceso de contratación: </w:t>
      </w:r>
      <w:hyperlink r:id="rId15" w:history="1">
        <w:r w:rsidRPr="00C619BA">
          <w:rPr>
            <w:rFonts w:ascii="Verdana" w:eastAsia="Calibri" w:hAnsi="Verdana" w:cs="Arial"/>
            <w:color w:val="0000FF"/>
            <w:u w:val="single"/>
            <w:shd w:val="clear" w:color="auto" w:fill="FFFFFF"/>
          </w:rPr>
          <w:t>https://formacionvirtual.colombiacompra.gov.co/mod/page/view.php?id=3718</w:t>
        </w:r>
      </w:hyperlink>
      <w:r w:rsidRPr="00C619BA">
        <w:rPr>
          <w:rFonts w:ascii="Verdana" w:eastAsia="Calibri" w:hAnsi="Verdana" w:cs="Arial"/>
          <w:shd w:val="clear" w:color="auto" w:fill="FFFFFF"/>
        </w:rPr>
        <w:t xml:space="preserve"> </w:t>
      </w:r>
    </w:p>
    <w:p w14:paraId="0107FBED" w14:textId="77777777" w:rsidR="008540A9" w:rsidRPr="00C619BA" w:rsidRDefault="008540A9" w:rsidP="008540A9">
      <w:pPr>
        <w:spacing w:after="0" w:line="276" w:lineRule="auto"/>
        <w:jc w:val="both"/>
        <w:rPr>
          <w:rFonts w:ascii="Verdana" w:eastAsia="Calibri" w:hAnsi="Verdana" w:cs="Arial"/>
          <w:shd w:val="clear" w:color="auto" w:fill="FFFFFF"/>
        </w:rPr>
      </w:pPr>
    </w:p>
    <w:p w14:paraId="2A585F88" w14:textId="77777777" w:rsidR="008540A9" w:rsidRPr="00C619BA" w:rsidRDefault="008540A9" w:rsidP="008540A9">
      <w:pPr>
        <w:spacing w:after="0" w:line="276" w:lineRule="auto"/>
        <w:jc w:val="both"/>
        <w:rPr>
          <w:rFonts w:ascii="Verdana" w:eastAsia="Calibri" w:hAnsi="Verdana" w:cs="Arial"/>
          <w:shd w:val="clear" w:color="auto" w:fill="FFFFFF"/>
        </w:rPr>
      </w:pPr>
      <w:r w:rsidRPr="00C619BA">
        <w:rPr>
          <w:rFonts w:ascii="Verdana" w:eastAsia="Calibri" w:hAnsi="Verdana" w:cs="Arial"/>
          <w:shd w:val="clear" w:color="auto" w:fill="FFFFFF"/>
        </w:rPr>
        <w:t xml:space="preserve">De otro lado, te contamos que esta Agencia ha da un paso decisivo en la estandarización y modernización del sector social con la expedición de las Resoluciones 539, 540, 541, 952 y 953 de 2025, mediante las cuales adoptó Documentos Tipo para las modalidades de selección de licitación pública (versión 2), selección abreviada de menor cuantía, mínima cuantía, consultoría e interventoría, promoviendo procesos más transparentes, eficientes competitivos y sostenibles en sectores estratégicos como educación, salud, cultura, recreación, deporte, institucional y vivienda. Consulta y descarga los documentos aquí: </w:t>
      </w:r>
      <w:hyperlink r:id="rId16" w:history="1">
        <w:r w:rsidRPr="00C619BA">
          <w:rPr>
            <w:rFonts w:ascii="Verdana" w:eastAsia="Calibri" w:hAnsi="Verdana" w:cs="Arial"/>
            <w:color w:val="0000FF"/>
            <w:u w:val="single"/>
            <w:shd w:val="clear" w:color="auto" w:fill="FFFFFF"/>
          </w:rPr>
          <w:t>https://www.colombiacompra.gov.co/normativa-y-relatoria/documentos-tipo</w:t>
        </w:r>
      </w:hyperlink>
    </w:p>
    <w:p w14:paraId="1B55B33C" w14:textId="77777777" w:rsidR="008540A9" w:rsidRPr="00C619BA" w:rsidRDefault="008540A9" w:rsidP="008540A9">
      <w:pPr>
        <w:spacing w:after="0" w:line="276" w:lineRule="auto"/>
        <w:jc w:val="both"/>
        <w:rPr>
          <w:rFonts w:ascii="Verdana" w:eastAsia="Calibri" w:hAnsi="Verdana" w:cs="Arial"/>
          <w:shd w:val="clear" w:color="auto" w:fill="FFFFFF"/>
        </w:rPr>
      </w:pPr>
    </w:p>
    <w:p w14:paraId="41C9C712" w14:textId="77777777" w:rsidR="008540A9" w:rsidRPr="00C619BA" w:rsidRDefault="008540A9" w:rsidP="008540A9">
      <w:pPr>
        <w:spacing w:after="0" w:line="276" w:lineRule="auto"/>
        <w:jc w:val="both"/>
        <w:rPr>
          <w:rFonts w:ascii="Verdana" w:eastAsia="Calibri" w:hAnsi="Verdana" w:cs="Arial"/>
          <w:shd w:val="clear" w:color="auto" w:fill="FFFFFF"/>
        </w:rPr>
      </w:pPr>
      <w:r w:rsidRPr="00C619BA">
        <w:rPr>
          <w:rFonts w:ascii="Verdana" w:eastAsia="Calibri" w:hAnsi="Verdana" w:cs="Arial"/>
          <w:shd w:val="clear" w:color="auto" w:fill="FFFFFF"/>
        </w:rPr>
        <w:t>Si quieres conocer más sobre la aplicación de Documentos Tipo puedes consultar la última versión de la Guía para la comprensión e implementación de los Documentos Tipo de obra pública de infraestructura de transporte.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 https://www.colombiacompra.gov.co/archivos/manual/guia-para-la-comprension-e-implementacion-de-los-documentos-tipo-de-obra-publica-de-infraestructura-de-transporte-bajo-las-diferentes-modalidades-de-contratacion-vigentes</w:t>
      </w:r>
    </w:p>
    <w:p w14:paraId="74E6DD8F" w14:textId="77777777" w:rsidR="008540A9" w:rsidRPr="00C619BA" w:rsidRDefault="008540A9" w:rsidP="008540A9">
      <w:pPr>
        <w:spacing w:after="0" w:line="276" w:lineRule="auto"/>
        <w:jc w:val="both"/>
        <w:rPr>
          <w:rFonts w:ascii="Verdana" w:eastAsia="Calibri" w:hAnsi="Verdana" w:cs="Arial"/>
          <w:color w:val="ED7D31" w:themeColor="accent2"/>
          <w:shd w:val="clear" w:color="auto" w:fill="FFFFFF"/>
        </w:rPr>
      </w:pPr>
    </w:p>
    <w:p w14:paraId="57CE9B34" w14:textId="77777777" w:rsidR="008540A9" w:rsidRPr="00C619BA" w:rsidRDefault="008540A9" w:rsidP="008540A9">
      <w:pPr>
        <w:spacing w:after="0" w:line="256" w:lineRule="auto"/>
        <w:jc w:val="both"/>
        <w:rPr>
          <w:rFonts w:ascii="Verdana" w:eastAsia="Calibri" w:hAnsi="Verdana" w:cs="Arial"/>
          <w:shd w:val="clear" w:color="auto" w:fill="FFFFFF"/>
        </w:rPr>
      </w:pPr>
      <w:r w:rsidRPr="00C619BA">
        <w:rPr>
          <w:rFonts w:ascii="Verdana" w:eastAsia="Calibri" w:hAnsi="Verdana" w:cs="Arial"/>
          <w:shd w:val="clear" w:color="auto" w:fill="FFFFFF"/>
        </w:rPr>
        <w:t xml:space="preserve">Por último, lo invitamos a seguirnos en las redes sociales en las cuales se difunde información institucional: </w:t>
      </w:r>
    </w:p>
    <w:p w14:paraId="2C24F53B" w14:textId="77777777" w:rsidR="008540A9" w:rsidRPr="00C619BA" w:rsidRDefault="008540A9" w:rsidP="008540A9">
      <w:pPr>
        <w:spacing w:after="0" w:line="256" w:lineRule="auto"/>
        <w:jc w:val="both"/>
        <w:rPr>
          <w:rFonts w:ascii="Verdana" w:eastAsia="Calibri" w:hAnsi="Verdana" w:cs="Arial"/>
          <w:shd w:val="clear" w:color="auto" w:fill="FFFFFF"/>
        </w:rPr>
      </w:pPr>
    </w:p>
    <w:p w14:paraId="20E09C05" w14:textId="77777777" w:rsidR="008540A9" w:rsidRPr="00C619BA" w:rsidRDefault="008540A9" w:rsidP="008540A9">
      <w:pPr>
        <w:spacing w:after="0" w:line="256" w:lineRule="auto"/>
        <w:jc w:val="both"/>
        <w:rPr>
          <w:rFonts w:ascii="Verdana" w:eastAsia="Calibri" w:hAnsi="Verdana" w:cs="Arial"/>
          <w:shd w:val="clear" w:color="auto" w:fill="FFFFFF"/>
        </w:rPr>
      </w:pPr>
      <w:r w:rsidRPr="00C619BA">
        <w:rPr>
          <w:rFonts w:ascii="Verdana" w:eastAsia="Calibri" w:hAnsi="Verdana" w:cs="Arial"/>
          <w:shd w:val="clear" w:color="auto" w:fill="FFFFFF"/>
        </w:rPr>
        <w:t xml:space="preserve">Twitter: </w:t>
      </w:r>
      <w:r w:rsidRPr="00C619BA">
        <w:rPr>
          <w:rFonts w:ascii="Verdana" w:eastAsia="Calibri" w:hAnsi="Verdana" w:cs="Times New Roman"/>
          <w:color w:val="0000FF"/>
          <w:u w:val="single"/>
          <w:lang w:val="es-ES"/>
        </w:rPr>
        <w:t>@colombiacompra</w:t>
      </w:r>
      <w:r w:rsidRPr="00C619BA">
        <w:rPr>
          <w:rFonts w:ascii="Verdana" w:eastAsia="Calibri" w:hAnsi="Verdana" w:cs="Times New Roman"/>
          <w:u w:val="single"/>
          <w:lang w:val="es-ES"/>
        </w:rPr>
        <w:t xml:space="preserve"> </w:t>
      </w:r>
    </w:p>
    <w:p w14:paraId="63CE3F82" w14:textId="77777777" w:rsidR="008540A9" w:rsidRPr="00C619BA" w:rsidRDefault="008540A9" w:rsidP="008540A9">
      <w:pPr>
        <w:spacing w:after="0" w:line="256" w:lineRule="auto"/>
        <w:jc w:val="both"/>
        <w:rPr>
          <w:rFonts w:ascii="Verdana" w:eastAsia="Calibri" w:hAnsi="Verdana" w:cs="Arial"/>
          <w:shd w:val="clear" w:color="auto" w:fill="FFFFFF"/>
        </w:rPr>
      </w:pPr>
      <w:r w:rsidRPr="00C619BA">
        <w:rPr>
          <w:rFonts w:ascii="Verdana" w:eastAsia="Calibri" w:hAnsi="Verdana" w:cs="Arial"/>
          <w:shd w:val="clear" w:color="auto" w:fill="FFFFFF"/>
        </w:rPr>
        <w:t>Facebook:</w:t>
      </w:r>
      <w:r w:rsidRPr="00C619BA">
        <w:rPr>
          <w:rFonts w:ascii="Verdana" w:eastAsia="Calibri" w:hAnsi="Verdana" w:cs="Times New Roman"/>
          <w:color w:val="0000FF"/>
          <w:u w:val="single"/>
          <w:lang w:val="es-ES"/>
        </w:rPr>
        <w:t xml:space="preserve"> </w:t>
      </w:r>
      <w:proofErr w:type="spellStart"/>
      <w:r w:rsidRPr="00C619BA">
        <w:rPr>
          <w:rFonts w:ascii="Verdana" w:eastAsia="Calibri" w:hAnsi="Verdana" w:cs="Times New Roman"/>
          <w:color w:val="0000FF"/>
          <w:u w:val="single"/>
          <w:lang w:val="es-ES"/>
        </w:rPr>
        <w:t>ColombiaCompraEficiente</w:t>
      </w:r>
      <w:proofErr w:type="spellEnd"/>
    </w:p>
    <w:p w14:paraId="7A675A4E" w14:textId="77777777" w:rsidR="008540A9" w:rsidRPr="00C619BA" w:rsidRDefault="008540A9" w:rsidP="008540A9">
      <w:pPr>
        <w:spacing w:after="0" w:line="256" w:lineRule="auto"/>
        <w:jc w:val="both"/>
        <w:rPr>
          <w:rFonts w:ascii="Verdana" w:eastAsia="Calibri" w:hAnsi="Verdana" w:cs="Arial"/>
          <w:shd w:val="clear" w:color="auto" w:fill="FFFFFF"/>
        </w:rPr>
      </w:pPr>
      <w:r w:rsidRPr="00C619BA">
        <w:rPr>
          <w:rFonts w:ascii="Verdana" w:eastAsia="Calibri" w:hAnsi="Verdana" w:cs="Arial"/>
          <w:shd w:val="clear" w:color="auto" w:fill="FFFFFF"/>
        </w:rPr>
        <w:t xml:space="preserve">LinkedIn: </w:t>
      </w:r>
      <w:r w:rsidRPr="00C619BA">
        <w:rPr>
          <w:rFonts w:ascii="Verdana" w:eastAsia="Calibri" w:hAnsi="Verdana" w:cs="Times New Roman"/>
          <w:color w:val="0000FF"/>
          <w:u w:val="single"/>
          <w:lang w:val="es-ES"/>
        </w:rPr>
        <w:t>Agencia Nacional de Contratación Pública - Colombia Compra Eficiente</w:t>
      </w:r>
      <w:r w:rsidRPr="00C619BA">
        <w:rPr>
          <w:rFonts w:ascii="Verdana" w:eastAsia="Calibri" w:hAnsi="Verdana" w:cs="Arial"/>
          <w:color w:val="0000FF"/>
          <w:shd w:val="clear" w:color="auto" w:fill="FFFFFF"/>
          <w:lang w:val="es-ES"/>
        </w:rPr>
        <w:t xml:space="preserve"> </w:t>
      </w:r>
    </w:p>
    <w:p w14:paraId="6A005ABE" w14:textId="77777777" w:rsidR="008540A9" w:rsidRPr="00C619BA" w:rsidRDefault="008540A9" w:rsidP="008540A9">
      <w:pPr>
        <w:spacing w:after="0" w:line="256" w:lineRule="auto"/>
        <w:jc w:val="both"/>
        <w:rPr>
          <w:rFonts w:ascii="Verdana" w:eastAsia="Calibri" w:hAnsi="Verdana" w:cs="Arial"/>
          <w:shd w:val="clear" w:color="auto" w:fill="FFFFFF"/>
        </w:rPr>
      </w:pPr>
      <w:r w:rsidRPr="00C619BA">
        <w:rPr>
          <w:rFonts w:ascii="Verdana" w:eastAsia="Calibri" w:hAnsi="Verdana" w:cs="Arial"/>
          <w:shd w:val="clear" w:color="auto" w:fill="FFFFFF"/>
        </w:rPr>
        <w:t xml:space="preserve">Instagram: </w:t>
      </w:r>
      <w:r w:rsidRPr="00C619BA">
        <w:rPr>
          <w:rFonts w:ascii="Verdana" w:eastAsia="Calibri" w:hAnsi="Verdana" w:cs="Times New Roman"/>
          <w:color w:val="0000FF"/>
          <w:u w:val="single"/>
          <w:lang w:val="es-ES"/>
        </w:rPr>
        <w:t>@colombiacompraeficiente_cce</w:t>
      </w:r>
    </w:p>
    <w:p w14:paraId="2AA62755" w14:textId="77777777" w:rsidR="008540A9" w:rsidRPr="00C619BA" w:rsidRDefault="008540A9" w:rsidP="008540A9">
      <w:pPr>
        <w:widowControl w:val="0"/>
        <w:autoSpaceDE w:val="0"/>
        <w:autoSpaceDN w:val="0"/>
        <w:spacing w:after="0" w:line="276" w:lineRule="auto"/>
        <w:jc w:val="both"/>
        <w:rPr>
          <w:rFonts w:ascii="Verdana" w:eastAsia="Calibri" w:hAnsi="Verdana" w:cs="Arial"/>
          <w:color w:val="ED7D31" w:themeColor="accent2"/>
          <w:lang w:val="es-ES"/>
        </w:rPr>
      </w:pPr>
    </w:p>
    <w:p w14:paraId="433FA878" w14:textId="77777777" w:rsidR="008540A9" w:rsidRPr="00C619BA" w:rsidRDefault="008540A9" w:rsidP="008540A9">
      <w:pPr>
        <w:widowControl w:val="0"/>
        <w:autoSpaceDE w:val="0"/>
        <w:autoSpaceDN w:val="0"/>
        <w:spacing w:after="0" w:line="276" w:lineRule="auto"/>
        <w:jc w:val="both"/>
        <w:rPr>
          <w:rFonts w:ascii="Verdana" w:eastAsia="Calibri" w:hAnsi="Verdana" w:cs="Arial"/>
          <w:lang w:val="es-ES"/>
        </w:rPr>
      </w:pPr>
      <w:r w:rsidRPr="00C619BA">
        <w:rPr>
          <w:rFonts w:ascii="Verdana" w:eastAsia="Calibri" w:hAnsi="Verdana" w:cs="Arial"/>
          <w:lang w:val="es-ES"/>
        </w:rPr>
        <w:lastRenderedPageBreak/>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7C2ECD18" w14:textId="77777777" w:rsidR="008540A9" w:rsidRPr="00C619BA" w:rsidRDefault="008540A9" w:rsidP="008540A9">
      <w:pPr>
        <w:widowControl w:val="0"/>
        <w:autoSpaceDE w:val="0"/>
        <w:autoSpaceDN w:val="0"/>
        <w:spacing w:after="0" w:line="276" w:lineRule="auto"/>
        <w:jc w:val="both"/>
        <w:rPr>
          <w:rFonts w:ascii="Verdana" w:eastAsia="Calibri" w:hAnsi="Verdana" w:cs="Arial"/>
          <w:lang w:val="es-ES"/>
        </w:rPr>
      </w:pPr>
    </w:p>
    <w:p w14:paraId="2A7F1931" w14:textId="77777777" w:rsidR="008540A9" w:rsidRPr="00C619BA" w:rsidRDefault="008540A9" w:rsidP="008540A9">
      <w:pPr>
        <w:spacing w:after="0" w:line="276" w:lineRule="auto"/>
        <w:rPr>
          <w:rFonts w:ascii="Verdana" w:eastAsia="Calibri" w:hAnsi="Verdana" w:cs="Arial"/>
          <w:lang w:val="es-ES" w:eastAsia="es-CO"/>
        </w:rPr>
      </w:pPr>
      <w:r w:rsidRPr="00C619BA">
        <w:rPr>
          <w:rFonts w:ascii="Verdana" w:eastAsia="Times New Roman" w:hAnsi="Verdana" w:cs="Arial"/>
          <w:lang w:val="es-ES" w:eastAsia="es-CO"/>
        </w:rPr>
        <w:t>Atentamente,</w:t>
      </w:r>
      <w:r w:rsidRPr="00C619BA">
        <w:rPr>
          <w:rFonts w:ascii="Verdana" w:eastAsia="Calibri" w:hAnsi="Verdana" w:cs="Arial"/>
          <w:lang w:val="es-ES" w:eastAsia="es-CO"/>
        </w:rPr>
        <w:t xml:space="preserve"> </w:t>
      </w:r>
    </w:p>
    <w:p w14:paraId="68F62FDC" w14:textId="77777777" w:rsidR="008540A9" w:rsidRPr="00C619BA" w:rsidRDefault="008540A9" w:rsidP="008540A9">
      <w:pPr>
        <w:autoSpaceDE w:val="0"/>
        <w:autoSpaceDN w:val="0"/>
        <w:adjustRightInd w:val="0"/>
        <w:spacing w:after="0" w:line="276" w:lineRule="auto"/>
        <w:rPr>
          <w:rFonts w:ascii="Verdana" w:eastAsia="Calibri" w:hAnsi="Verdana" w:cs="Arial"/>
          <w:noProof/>
          <w:sz w:val="20"/>
          <w:szCs w:val="20"/>
        </w:rPr>
      </w:pPr>
    </w:p>
    <w:p w14:paraId="4796FA91" w14:textId="3A763BD7" w:rsidR="008540A9" w:rsidRPr="00C619BA" w:rsidRDefault="00F66ECB" w:rsidP="008540A9">
      <w:pPr>
        <w:spacing w:after="0" w:line="254" w:lineRule="auto"/>
        <w:jc w:val="center"/>
        <w:rPr>
          <w:rFonts w:ascii="Verdana" w:eastAsia="Times New Roman" w:hAnsi="Verdana" w:cs="Arial"/>
          <w:lang w:eastAsia="es-ES"/>
        </w:rPr>
      </w:pPr>
      <w:r>
        <w:rPr>
          <w:noProof/>
        </w:rPr>
        <w:drawing>
          <wp:inline distT="0" distB="0" distL="0" distR="0" wp14:anchorId="64E285BD" wp14:editId="61318D4F">
            <wp:extent cx="3771900" cy="1400175"/>
            <wp:effectExtent l="0" t="0" r="0" b="9525"/>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a:picLocks noChangeAspect="1"/>
                    </pic:cNvPicPr>
                  </pic:nvPicPr>
                  <pic:blipFill>
                    <a:blip r:embed="rId17"/>
                    <a:stretch>
                      <a:fillRect/>
                    </a:stretch>
                  </pic:blipFill>
                  <pic:spPr>
                    <a:xfrm>
                      <a:off x="0" y="0"/>
                      <a:ext cx="3771900" cy="1400175"/>
                    </a:xfrm>
                    <a:prstGeom prst="rect">
                      <a:avLst/>
                    </a:prstGeom>
                  </pic:spPr>
                </pic:pic>
              </a:graphicData>
            </a:graphic>
          </wp:inline>
        </w:drawing>
      </w:r>
    </w:p>
    <w:p w14:paraId="061758E2" w14:textId="77777777" w:rsidR="008540A9" w:rsidRPr="00C619BA" w:rsidRDefault="008540A9" w:rsidP="008540A9">
      <w:pPr>
        <w:spacing w:after="0" w:line="240" w:lineRule="auto"/>
        <w:jc w:val="center"/>
        <w:rPr>
          <w:rFonts w:ascii="Verdana" w:eastAsia="Times New Roman" w:hAnsi="Verdana" w:cs="Arial"/>
          <w:lang w:eastAsia="es-ES"/>
        </w:rPr>
      </w:pPr>
    </w:p>
    <w:tbl>
      <w:tblPr>
        <w:tblW w:w="6570" w:type="dxa"/>
        <w:tblInd w:w="14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33"/>
        <w:gridCol w:w="5837"/>
      </w:tblGrid>
      <w:tr w:rsidR="008540A9" w:rsidRPr="00C619BA" w14:paraId="3FD4FF4E" w14:textId="77777777" w:rsidTr="00430CFE">
        <w:trPr>
          <w:trHeight w:val="322"/>
        </w:trPr>
        <w:tc>
          <w:tcPr>
            <w:tcW w:w="733" w:type="dxa"/>
            <w:tcBorders>
              <w:top w:val="nil"/>
              <w:left w:val="nil"/>
              <w:bottom w:val="nil"/>
              <w:right w:val="nil"/>
            </w:tcBorders>
            <w:vAlign w:val="center"/>
            <w:hideMark/>
          </w:tcPr>
          <w:p w14:paraId="48B97F29" w14:textId="77777777" w:rsidR="008540A9" w:rsidRPr="00C619BA" w:rsidRDefault="008540A9" w:rsidP="00430CFE">
            <w:pPr>
              <w:spacing w:after="0" w:line="240" w:lineRule="auto"/>
              <w:textAlignment w:val="baseline"/>
              <w:rPr>
                <w:rFonts w:ascii="Verdana" w:eastAsia="Times New Roman" w:hAnsi="Verdana" w:cs="Times New Roman"/>
                <w:sz w:val="16"/>
                <w:szCs w:val="16"/>
                <w:lang w:eastAsia="es-CO"/>
              </w:rPr>
            </w:pPr>
            <w:r w:rsidRPr="00C619BA">
              <w:rPr>
                <w:rFonts w:ascii="Verdana" w:eastAsia="Times New Roman" w:hAnsi="Verdana" w:cs="Times New Roman"/>
                <w:sz w:val="16"/>
                <w:szCs w:val="16"/>
                <w:lang w:val="es-MX" w:eastAsia="es-CO"/>
              </w:rPr>
              <w:t>Elaboró:         </w:t>
            </w:r>
            <w:r w:rsidRPr="00C619BA">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0F50366B" w14:textId="77777777" w:rsidR="008540A9" w:rsidRPr="00C619BA" w:rsidRDefault="008540A9" w:rsidP="00430CFE">
            <w:pPr>
              <w:spacing w:after="0" w:line="254" w:lineRule="auto"/>
              <w:rPr>
                <w:rFonts w:ascii="Verdana" w:eastAsia="Times New Roman" w:hAnsi="Verdana" w:cs="Arial"/>
                <w:sz w:val="16"/>
                <w:szCs w:val="16"/>
                <w:lang w:val="es-ES_tradnl" w:eastAsia="es-ES"/>
              </w:rPr>
            </w:pPr>
            <w:r w:rsidRPr="00C619BA">
              <w:rPr>
                <w:rFonts w:ascii="Verdana" w:eastAsia="Times New Roman" w:hAnsi="Verdana" w:cs="Arial"/>
                <w:sz w:val="16"/>
                <w:szCs w:val="16"/>
                <w:lang w:val="es-ES_tradnl" w:eastAsia="es-ES"/>
              </w:rPr>
              <w:t>Ximena Ríos López</w:t>
            </w:r>
          </w:p>
          <w:p w14:paraId="13445747" w14:textId="77777777" w:rsidR="008540A9" w:rsidRPr="00C619BA" w:rsidRDefault="008540A9" w:rsidP="00430CFE">
            <w:pPr>
              <w:autoSpaceDE w:val="0"/>
              <w:autoSpaceDN w:val="0"/>
              <w:adjustRightInd w:val="0"/>
              <w:spacing w:after="0" w:line="276" w:lineRule="auto"/>
              <w:rPr>
                <w:rFonts w:ascii="Verdana" w:eastAsia="Calibri" w:hAnsi="Verdana" w:cs="Arial"/>
              </w:rPr>
            </w:pPr>
            <w:r w:rsidRPr="00C619BA">
              <w:rPr>
                <w:rFonts w:ascii="Verdana" w:eastAsia="Times New Roman" w:hAnsi="Verdana" w:cs="Arial"/>
                <w:sz w:val="16"/>
                <w:szCs w:val="16"/>
                <w:lang w:eastAsia="es-ES"/>
              </w:rPr>
              <w:t>Gestor T1-11 de la Subdirección de Gestión Contractual</w:t>
            </w:r>
          </w:p>
        </w:tc>
      </w:tr>
      <w:tr w:rsidR="008540A9" w:rsidRPr="00C619BA" w14:paraId="4F1A3E3C" w14:textId="77777777" w:rsidTr="00430CFE">
        <w:trPr>
          <w:trHeight w:val="322"/>
        </w:trPr>
        <w:tc>
          <w:tcPr>
            <w:tcW w:w="733" w:type="dxa"/>
            <w:tcBorders>
              <w:top w:val="nil"/>
              <w:left w:val="nil"/>
              <w:bottom w:val="nil"/>
              <w:right w:val="nil"/>
            </w:tcBorders>
            <w:vAlign w:val="center"/>
            <w:hideMark/>
          </w:tcPr>
          <w:p w14:paraId="69533C3C" w14:textId="77777777" w:rsidR="008540A9" w:rsidRPr="00C619BA" w:rsidRDefault="008540A9" w:rsidP="00430CFE">
            <w:pPr>
              <w:spacing w:after="0" w:line="240" w:lineRule="auto"/>
              <w:textAlignment w:val="baseline"/>
              <w:rPr>
                <w:rFonts w:ascii="Verdana" w:eastAsia="Times New Roman" w:hAnsi="Verdana" w:cs="Times New Roman"/>
                <w:sz w:val="16"/>
                <w:szCs w:val="16"/>
                <w:lang w:eastAsia="es-CO"/>
              </w:rPr>
            </w:pPr>
            <w:r w:rsidRPr="00C619BA">
              <w:rPr>
                <w:rFonts w:ascii="Verdana" w:eastAsia="Times New Roman" w:hAnsi="Verdana" w:cs="Times New Roman"/>
                <w:sz w:val="16"/>
                <w:szCs w:val="16"/>
                <w:lang w:val="es-MX" w:eastAsia="es-CO"/>
              </w:rPr>
              <w:t>Revisó:</w:t>
            </w:r>
            <w:r w:rsidRPr="00C619BA">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393AAF07" w14:textId="77777777" w:rsidR="008540A9" w:rsidRPr="00C619BA" w:rsidRDefault="008540A9" w:rsidP="00430CFE">
            <w:pPr>
              <w:spacing w:after="0" w:line="254" w:lineRule="auto"/>
              <w:rPr>
                <w:rFonts w:ascii="Verdana" w:eastAsia="Times New Roman" w:hAnsi="Verdana" w:cs="Arial"/>
                <w:sz w:val="16"/>
                <w:szCs w:val="16"/>
                <w:lang w:val="es-ES_tradnl" w:eastAsia="es-ES"/>
              </w:rPr>
            </w:pPr>
            <w:r>
              <w:rPr>
                <w:rFonts w:ascii="Verdana" w:eastAsia="Times New Roman" w:hAnsi="Verdana" w:cs="Arial"/>
                <w:sz w:val="16"/>
                <w:szCs w:val="16"/>
                <w:lang w:val="es-ES_tradnl" w:eastAsia="es-ES"/>
              </w:rPr>
              <w:t>Adriana López</w:t>
            </w:r>
          </w:p>
          <w:p w14:paraId="1B59623B" w14:textId="77777777" w:rsidR="008540A9" w:rsidRPr="00C619BA" w:rsidRDefault="008540A9" w:rsidP="00430CFE">
            <w:pPr>
              <w:autoSpaceDE w:val="0"/>
              <w:autoSpaceDN w:val="0"/>
              <w:adjustRightInd w:val="0"/>
              <w:spacing w:after="0" w:line="276" w:lineRule="auto"/>
              <w:rPr>
                <w:rFonts w:ascii="Verdana" w:eastAsia="Calibri" w:hAnsi="Verdana" w:cs="Arial"/>
              </w:rPr>
            </w:pPr>
            <w:r w:rsidRPr="00C619BA">
              <w:rPr>
                <w:rFonts w:ascii="Verdana" w:eastAsia="Times New Roman" w:hAnsi="Verdana" w:cs="Arial"/>
                <w:sz w:val="16"/>
                <w:szCs w:val="16"/>
                <w:lang w:eastAsia="es-ES"/>
              </w:rPr>
              <w:t>Contratista de la Subdirección de Gestión Contractual</w:t>
            </w:r>
          </w:p>
        </w:tc>
      </w:tr>
      <w:tr w:rsidR="008540A9" w:rsidRPr="00C619BA" w14:paraId="63828ACA" w14:textId="77777777" w:rsidTr="00430CFE">
        <w:trPr>
          <w:trHeight w:val="307"/>
        </w:trPr>
        <w:tc>
          <w:tcPr>
            <w:tcW w:w="733" w:type="dxa"/>
            <w:tcBorders>
              <w:top w:val="nil"/>
              <w:left w:val="nil"/>
              <w:bottom w:val="nil"/>
              <w:right w:val="nil"/>
            </w:tcBorders>
            <w:vAlign w:val="center"/>
            <w:hideMark/>
          </w:tcPr>
          <w:p w14:paraId="3CD2649B" w14:textId="77777777" w:rsidR="008540A9" w:rsidRPr="00C619BA" w:rsidRDefault="008540A9" w:rsidP="00430CFE">
            <w:pPr>
              <w:spacing w:after="0" w:line="240" w:lineRule="auto"/>
              <w:textAlignment w:val="baseline"/>
              <w:rPr>
                <w:rFonts w:ascii="Verdana" w:eastAsia="Times New Roman" w:hAnsi="Verdana" w:cs="Times New Roman"/>
                <w:sz w:val="16"/>
                <w:szCs w:val="16"/>
                <w:lang w:eastAsia="es-CO"/>
              </w:rPr>
            </w:pPr>
            <w:r w:rsidRPr="00C619BA">
              <w:rPr>
                <w:rFonts w:ascii="Verdana" w:eastAsia="Times New Roman" w:hAnsi="Verdana" w:cs="Times New Roman"/>
                <w:sz w:val="16"/>
                <w:szCs w:val="16"/>
                <w:lang w:val="es-MX" w:eastAsia="es-CO"/>
              </w:rPr>
              <w:t>Aprobó:</w:t>
            </w:r>
            <w:r w:rsidRPr="00C619BA">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6E6A5BDB" w14:textId="77777777" w:rsidR="008540A9" w:rsidRPr="00C619BA" w:rsidRDefault="008540A9" w:rsidP="00430CFE">
            <w:pPr>
              <w:spacing w:after="0" w:line="254" w:lineRule="auto"/>
              <w:rPr>
                <w:rFonts w:ascii="Verdana" w:eastAsia="Times New Roman" w:hAnsi="Verdana" w:cs="Arial"/>
                <w:sz w:val="16"/>
                <w:szCs w:val="16"/>
                <w:lang w:eastAsia="es-ES"/>
              </w:rPr>
            </w:pPr>
            <w:r w:rsidRPr="00C619BA">
              <w:rPr>
                <w:rFonts w:ascii="Verdana" w:eastAsia="Times New Roman" w:hAnsi="Verdana" w:cs="Arial"/>
                <w:sz w:val="16"/>
                <w:szCs w:val="16"/>
                <w:lang w:eastAsia="es-ES"/>
              </w:rPr>
              <w:t>Carolina Quintero Gacharná</w:t>
            </w:r>
          </w:p>
          <w:p w14:paraId="0152E0B1" w14:textId="77777777" w:rsidR="008540A9" w:rsidRPr="00C619BA" w:rsidRDefault="008540A9" w:rsidP="00430CFE">
            <w:pPr>
              <w:spacing w:after="0" w:line="254" w:lineRule="auto"/>
              <w:rPr>
                <w:rFonts w:ascii="Verdana" w:eastAsia="Times New Roman" w:hAnsi="Verdana" w:cs="Arial"/>
                <w:sz w:val="16"/>
                <w:szCs w:val="16"/>
                <w:lang w:eastAsia="es-ES"/>
              </w:rPr>
            </w:pPr>
            <w:r w:rsidRPr="00C619BA">
              <w:rPr>
                <w:rFonts w:ascii="Verdana" w:eastAsia="Times New Roman" w:hAnsi="Verdana" w:cs="Arial"/>
                <w:sz w:val="16"/>
                <w:szCs w:val="16"/>
                <w:lang w:eastAsia="es-ES"/>
              </w:rPr>
              <w:t>Subdirectora de Gestión Contractual ANCP – CCE</w:t>
            </w:r>
          </w:p>
        </w:tc>
      </w:tr>
    </w:tbl>
    <w:p w14:paraId="0F293BF4" w14:textId="5967342E" w:rsidR="00127233" w:rsidRPr="008540A9" w:rsidRDefault="00127233" w:rsidP="008540A9">
      <w:pPr>
        <w:autoSpaceDE w:val="0"/>
        <w:autoSpaceDN w:val="0"/>
        <w:adjustRightInd w:val="0"/>
        <w:spacing w:after="0" w:line="276" w:lineRule="auto"/>
        <w:jc w:val="center"/>
      </w:pPr>
    </w:p>
    <w:sectPr w:rsidR="00127233" w:rsidRPr="008540A9" w:rsidSect="007C0C0F">
      <w:headerReference w:type="default" r:id="rId18"/>
      <w:footerReference w:type="default" r:id="rId1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3AE56" w14:textId="77777777" w:rsidR="00BA5221" w:rsidRDefault="00BA5221" w:rsidP="004A1847">
      <w:pPr>
        <w:spacing w:after="0" w:line="240" w:lineRule="auto"/>
      </w:pPr>
      <w:r>
        <w:separator/>
      </w:r>
    </w:p>
  </w:endnote>
  <w:endnote w:type="continuationSeparator" w:id="0">
    <w:p w14:paraId="34BFB89D" w14:textId="77777777" w:rsidR="00BA5221" w:rsidRDefault="00BA5221" w:rsidP="004A1847">
      <w:pPr>
        <w:spacing w:after="0" w:line="240" w:lineRule="auto"/>
      </w:pPr>
      <w:r>
        <w:continuationSeparator/>
      </w:r>
    </w:p>
  </w:endnote>
  <w:endnote w:type="continuationNotice" w:id="1">
    <w:p w14:paraId="16C62BEF" w14:textId="77777777" w:rsidR="00BA5221" w:rsidRDefault="00BA52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3DFA3" w14:textId="77777777" w:rsidR="00BA5221" w:rsidRDefault="00BA5221" w:rsidP="004A1847">
      <w:pPr>
        <w:spacing w:after="0" w:line="240" w:lineRule="auto"/>
      </w:pPr>
      <w:r>
        <w:separator/>
      </w:r>
    </w:p>
  </w:footnote>
  <w:footnote w:type="continuationSeparator" w:id="0">
    <w:p w14:paraId="0A3D4F8E" w14:textId="77777777" w:rsidR="00BA5221" w:rsidRDefault="00BA5221" w:rsidP="004A1847">
      <w:pPr>
        <w:spacing w:after="0" w:line="240" w:lineRule="auto"/>
      </w:pPr>
      <w:r>
        <w:continuationSeparator/>
      </w:r>
    </w:p>
  </w:footnote>
  <w:footnote w:type="continuationNotice" w:id="1">
    <w:p w14:paraId="3FEE8FAF" w14:textId="77777777" w:rsidR="00BA5221" w:rsidRDefault="00BA5221">
      <w:pPr>
        <w:spacing w:after="0" w:line="240" w:lineRule="auto"/>
      </w:pPr>
    </w:p>
  </w:footnote>
  <w:footnote w:id="2">
    <w:p w14:paraId="68A52CFF" w14:textId="77777777" w:rsidR="008540A9" w:rsidRDefault="008540A9" w:rsidP="008540A9">
      <w:pPr>
        <w:pStyle w:val="Textonotapie"/>
        <w:ind w:firstLine="708"/>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Agencia Nacional de Contratación Pública – Colombia Compra Eficiente. Concepto C-285 del 20 de mayo de 2022. Consultar en: </w:t>
      </w:r>
      <w:hyperlink r:id="rId1" w:history="1">
        <w:r>
          <w:rPr>
            <w:rStyle w:val="Hipervnculo"/>
            <w:rFonts w:ascii="Verdana" w:hAnsi="Verdana"/>
            <w:sz w:val="16"/>
            <w:szCs w:val="16"/>
          </w:rPr>
          <w:t>https://relatoria.colombiacompra.gov.co/conceptos/c-285-de-2022/</w:t>
        </w:r>
      </w:hyperlink>
    </w:p>
    <w:p w14:paraId="23BC104D" w14:textId="77777777" w:rsidR="008540A9" w:rsidRDefault="008540A9" w:rsidP="008540A9">
      <w:pPr>
        <w:pStyle w:val="Textonotapie"/>
        <w:ind w:firstLine="708"/>
        <w:jc w:val="both"/>
        <w:rPr>
          <w:rFonts w:ascii="Verdana" w:hAnsi="Verdana"/>
          <w:sz w:val="16"/>
          <w:szCs w:val="16"/>
          <w:lang w:val="es-CO"/>
        </w:rPr>
      </w:pPr>
      <w:r>
        <w:rPr>
          <w:rFonts w:ascii="Verdana" w:hAnsi="Verdana"/>
          <w:sz w:val="16"/>
          <w:szCs w:val="16"/>
        </w:rPr>
        <w:t xml:space="preserve"> </w:t>
      </w:r>
    </w:p>
  </w:footnote>
  <w:footnote w:id="3">
    <w:p w14:paraId="00CA0F67" w14:textId="77777777" w:rsidR="008540A9" w:rsidRDefault="008540A9" w:rsidP="008540A9">
      <w:pPr>
        <w:pStyle w:val="Textonotapie"/>
        <w:ind w:firstLine="708"/>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Agencia Nacional de Contratación Pública – Colombia Compra Eficiente. Concepto C-447 del 19 de septiembre de 2024. Consultar en: </w:t>
      </w:r>
      <w:hyperlink r:id="rId2" w:history="1">
        <w:r>
          <w:rPr>
            <w:rStyle w:val="Hipervnculo"/>
            <w:rFonts w:ascii="Verdana" w:hAnsi="Verdana"/>
            <w:sz w:val="16"/>
            <w:szCs w:val="16"/>
          </w:rPr>
          <w:t>https://relatoria.colombiacompra.gov.co/conceptos/c-447-de-2024/</w:t>
        </w:r>
      </w:hyperlink>
      <w:r>
        <w:rPr>
          <w:rFonts w:ascii="Verdana" w:hAnsi="Verdana"/>
          <w:sz w:val="16"/>
          <w:szCs w:val="16"/>
        </w:rPr>
        <w:t xml:space="preserve"> </w:t>
      </w:r>
    </w:p>
    <w:p w14:paraId="62BD8316" w14:textId="77777777" w:rsidR="008540A9" w:rsidRDefault="008540A9" w:rsidP="008540A9">
      <w:pPr>
        <w:pStyle w:val="Textonotapie"/>
        <w:jc w:val="both"/>
        <w:rPr>
          <w:rFonts w:ascii="Verdana" w:hAnsi="Verdana"/>
          <w:sz w:val="16"/>
          <w:szCs w:val="16"/>
        </w:rPr>
      </w:pPr>
    </w:p>
  </w:footnote>
  <w:footnote w:id="4">
    <w:p w14:paraId="1B5AC454" w14:textId="77777777" w:rsidR="008540A9" w:rsidRDefault="008540A9" w:rsidP="008540A9">
      <w:pPr>
        <w:pStyle w:val="Textonotapie"/>
        <w:ind w:firstLine="709"/>
        <w:jc w:val="both"/>
        <w:rPr>
          <w:rFonts w:ascii="Verdana" w:hAnsi="Verdana" w:cs="Arial"/>
          <w:color w:val="000000"/>
          <w:sz w:val="16"/>
          <w:szCs w:val="16"/>
        </w:rPr>
      </w:pPr>
      <w:r>
        <w:rPr>
          <w:rStyle w:val="Refdenotaalpie"/>
          <w:rFonts w:ascii="Verdana" w:hAnsi="Verdana" w:cs="Arial"/>
          <w:color w:val="000000"/>
          <w:sz w:val="16"/>
          <w:szCs w:val="16"/>
        </w:rPr>
        <w:footnoteRef/>
      </w:r>
      <w:r>
        <w:rPr>
          <w:rStyle w:val="Refdenotaalpie"/>
          <w:rFonts w:ascii="Verdana" w:hAnsi="Verdana" w:cs="Arial"/>
          <w:color w:val="000000"/>
          <w:sz w:val="16"/>
          <w:szCs w:val="16"/>
        </w:rPr>
        <w:t xml:space="preserve"> </w:t>
      </w:r>
      <w:r>
        <w:rPr>
          <w:rFonts w:ascii="Verdana" w:hAnsi="Verdana" w:cs="Arial"/>
          <w:color w:val="000000"/>
          <w:sz w:val="16"/>
          <w:szCs w:val="16"/>
        </w:rPr>
        <w:t>Ley 1150 de 2007, artículo 5, parágrafo 4°: “En aquellos procesos de selección en los que se utilice el mecanismo de subasta, los documentos referentes a la futura contratación o a proponente, no necesarios para la comparación de las propuestas, deberán ser solicitados hasta el momento previo a su realización”.</w:t>
      </w:r>
    </w:p>
    <w:p w14:paraId="042A8796" w14:textId="77777777" w:rsidR="008540A9" w:rsidRDefault="008540A9" w:rsidP="008540A9">
      <w:pPr>
        <w:pStyle w:val="Textonotapie"/>
        <w:ind w:firstLine="709"/>
        <w:jc w:val="both"/>
        <w:rPr>
          <w:rFonts w:ascii="Verdana" w:hAnsi="Verdana" w:cs="Arial"/>
          <w:color w:val="000000"/>
          <w:sz w:val="16"/>
          <w:szCs w:val="16"/>
        </w:rPr>
      </w:pPr>
    </w:p>
  </w:footnote>
  <w:footnote w:id="5">
    <w:p w14:paraId="6EA03A64" w14:textId="77777777" w:rsidR="008540A9" w:rsidRDefault="008540A9" w:rsidP="008540A9">
      <w:pPr>
        <w:pStyle w:val="Textonotapie"/>
        <w:ind w:firstLine="709"/>
        <w:jc w:val="both"/>
        <w:rPr>
          <w:rFonts w:ascii="Verdana" w:hAnsi="Verdana" w:cs="Arial"/>
          <w:color w:val="000000"/>
          <w:sz w:val="16"/>
          <w:szCs w:val="16"/>
        </w:rPr>
      </w:pPr>
      <w:r>
        <w:rPr>
          <w:rStyle w:val="Refdenotaalpie"/>
          <w:rFonts w:ascii="Verdana" w:hAnsi="Verdana" w:cs="Arial"/>
          <w:color w:val="000000"/>
          <w:sz w:val="16"/>
          <w:szCs w:val="16"/>
        </w:rPr>
        <w:footnoteRef/>
      </w:r>
      <w:r>
        <w:rPr>
          <w:rFonts w:ascii="Verdana" w:hAnsi="Verdana" w:cs="Arial"/>
          <w:color w:val="000000"/>
          <w:sz w:val="16"/>
          <w:szCs w:val="16"/>
        </w:rPr>
        <w:t xml:space="preserve"> Sin embargo, debe tenerse en cuenta que la última norma en cita -Decreto 2474 de 2008, aparte subrayado-, establece un límite a la subsanabilidad, puesto que en cualquier caso debe referirse o recaer sobre circunstancias ocurridas antes del cierre del respectivo proceso, esto es, del vencimiento del plazo para presentar ofertas.</w:t>
      </w:r>
    </w:p>
    <w:p w14:paraId="13ECF150" w14:textId="77777777" w:rsidR="008540A9" w:rsidRDefault="008540A9" w:rsidP="008540A9">
      <w:pPr>
        <w:pStyle w:val="Textonotapie"/>
        <w:ind w:firstLine="709"/>
        <w:jc w:val="both"/>
        <w:rPr>
          <w:rFonts w:ascii="Verdana" w:hAnsi="Verdana" w:cs="Arial"/>
          <w:color w:val="000000"/>
          <w:sz w:val="16"/>
          <w:szCs w:val="16"/>
        </w:rPr>
      </w:pPr>
      <w:r>
        <w:rPr>
          <w:rFonts w:ascii="Verdana" w:hAnsi="Verdana" w:cs="Arial"/>
          <w:color w:val="000000"/>
          <w:sz w:val="16"/>
          <w:szCs w:val="16"/>
        </w:rPr>
        <w:t>De esta manera, quien se presenta al proceso de selección debe cumplir para la fecha en que ‘se cierra el proceso’ con los requisitos que se requieren para presentar la oferta, de manera que es sobre ellos y no sobre otros que se cumplan con posterioridad, sobre los que recae la posibilidad de saneamiento. Así, por ejemplo, si se requiere una experiencia x, la misma se debe tener al presentar la oferta y la Administración puede requerir al oferente para que especifique aspectos relacionados con ella (complementar certificaciones, aclarar fechas, acreditación de la misma, etc.); pero no podría, por vía de las normas en cita, extender el tiempo para avalar experiencia que sólo se llega a cumplir después del cierre del proceso contractual. O si, igualmente a manera de ejemplo, fuera necesario ser persona jurídica pero el oferente no entrega el certificado de existencia y representación legal que lo acredita o éste es demasiado antiguo, la entidad contratante podría requerir al interesado para que haga entrega del mismo o lo actualice, pero no para que se constituya la sociedad con posterioridad al cierre del proceso, pues si ello no se había hecho, significa simplemente que el oferente no tenía la condición para participar. (Consejo de Estado. Sala de Consulta y Servicio Civil. Concepto del 6 de noviembre de 2008. Expediente: 1927. Consejero Ponente: William Zambrano Cetina).</w:t>
      </w:r>
    </w:p>
    <w:p w14:paraId="03F23B98" w14:textId="77777777" w:rsidR="008540A9" w:rsidRDefault="008540A9" w:rsidP="008540A9">
      <w:pPr>
        <w:pStyle w:val="Textonotapie"/>
        <w:ind w:firstLine="709"/>
        <w:jc w:val="both"/>
        <w:rPr>
          <w:rFonts w:ascii="Verdana" w:hAnsi="Verdana" w:cs="Arial"/>
          <w:color w:val="000000"/>
          <w:sz w:val="16"/>
          <w:szCs w:val="16"/>
        </w:rPr>
      </w:pPr>
    </w:p>
  </w:footnote>
  <w:footnote w:id="6">
    <w:p w14:paraId="7EE4EC2A" w14:textId="77777777" w:rsidR="008540A9" w:rsidRDefault="008540A9" w:rsidP="008540A9">
      <w:pPr>
        <w:pStyle w:val="Textonotapie"/>
        <w:ind w:firstLine="709"/>
        <w:jc w:val="both"/>
        <w:rPr>
          <w:rFonts w:ascii="Verdana" w:hAnsi="Verdana" w:cs="Arial"/>
          <w:color w:val="000000"/>
          <w:sz w:val="16"/>
          <w:szCs w:val="16"/>
        </w:rPr>
      </w:pPr>
      <w:r>
        <w:rPr>
          <w:rStyle w:val="Refdenotaalpie"/>
          <w:rFonts w:ascii="Verdana" w:hAnsi="Verdana" w:cs="Arial"/>
          <w:sz w:val="16"/>
          <w:szCs w:val="16"/>
        </w:rPr>
        <w:footnoteRef/>
      </w:r>
      <w:r>
        <w:rPr>
          <w:rFonts w:ascii="Verdana" w:hAnsi="Verdana" w:cs="Arial"/>
          <w:sz w:val="16"/>
          <w:szCs w:val="16"/>
        </w:rPr>
        <w:t xml:space="preserve"> </w:t>
      </w:r>
      <w:r>
        <w:rPr>
          <w:rFonts w:ascii="Verdana" w:hAnsi="Verdana" w:cs="Arial"/>
          <w:color w:val="000000"/>
          <w:sz w:val="16"/>
          <w:szCs w:val="16"/>
        </w:rPr>
        <w:t xml:space="preserve">En armonía con lo anterior, actualmente la Circular Externa Única de Colombia Compra Eficiente señala lo siguiente: “De otro lado, cabe destacar que, de conformidad con el artículo 5 de la Ley 1882 de 2018, durante el término otorgado para subsanar, los proponentes no podrán acreditar circunstancias ocurridas luego del cierre del proceso. De esta manera, es subsanable la prueba de todas las circunstancias ocurridas antes del vencimiento del término para presentar las ofertas, por lo que no se podrán acreditar circunstancias ocurridas con posterioridad a dicho momento. </w:t>
      </w:r>
    </w:p>
    <w:p w14:paraId="2F44FF12" w14:textId="77777777" w:rsidR="008540A9" w:rsidRDefault="008540A9" w:rsidP="008540A9">
      <w:pPr>
        <w:pStyle w:val="Textonotapie"/>
        <w:ind w:firstLine="709"/>
        <w:jc w:val="both"/>
        <w:rPr>
          <w:rFonts w:ascii="Verdana" w:hAnsi="Verdana" w:cs="Arial"/>
          <w:color w:val="000000"/>
          <w:sz w:val="16"/>
          <w:szCs w:val="16"/>
        </w:rPr>
      </w:pPr>
      <w:r>
        <w:rPr>
          <w:rFonts w:ascii="Verdana" w:hAnsi="Verdana" w:cs="Arial"/>
          <w:color w:val="000000"/>
          <w:sz w:val="16"/>
          <w:szCs w:val="16"/>
        </w:rPr>
        <w:t xml:space="preserve">Lo anterior quiere decir que no es la prueba lo que debe ser anterior al cierre del proceso, sino el hecho que esta acredita. En ese sentido, ante la solicitud de la Administración de subsanar un requisito, el documento podría estar fechado con posterioridad al vencimiento del término para recibir propuestas, con la condición de que el hecho que acredite haya ocurrido antes, esto es, que no sea una circunstancia ocurrida con posterioridad al cierre del proceso. Un mejor entendimiento del significado de la expresión «circunstancias ocurridas con posterioridad al cierre del proceso» implica distinguir entre la prueba de un hecho y el hecho mismo. En el caso de la subsanabilidad de las ofertas, una cosa es el requisito habilitante o el elemento de la propuesta que permite cumplir determinada exigencia del pliego de condiciones –o documento equivalente– y otra su prueba. Lo que prohíbe la norma es que se subsanen requisitos que no estaban materialmente cumplidos al momento del cierre del proceso”. Disponible en: </w:t>
      </w:r>
      <w:hyperlink r:id="rId3" w:history="1">
        <w:r>
          <w:rPr>
            <w:rStyle w:val="Hipervnculo"/>
            <w:rFonts w:ascii="Verdana" w:hAnsi="Verdana" w:cs="Arial"/>
            <w:sz w:val="16"/>
            <w:szCs w:val="16"/>
          </w:rPr>
          <w:t>https://www.colombiacompra.gov.co/circulares?page=2</w:t>
        </w:r>
      </w:hyperlink>
      <w:r>
        <w:rPr>
          <w:rStyle w:val="Hipervnculo"/>
          <w:rFonts w:ascii="Verdana" w:hAnsi="Verdana" w:cs="Arial"/>
          <w:color w:val="000000"/>
          <w:sz w:val="16"/>
          <w:szCs w:val="16"/>
        </w:rPr>
        <w:t xml:space="preserve"> </w:t>
      </w:r>
    </w:p>
    <w:p w14:paraId="04FA1A1A" w14:textId="77777777" w:rsidR="008540A9" w:rsidRDefault="008540A9" w:rsidP="008540A9">
      <w:pPr>
        <w:pStyle w:val="Textonotapie"/>
        <w:ind w:firstLine="709"/>
        <w:jc w:val="both"/>
        <w:rPr>
          <w:rFonts w:ascii="Verdana" w:hAnsi="Verdana" w:cs="Arial"/>
          <w:color w:val="000000"/>
          <w:sz w:val="16"/>
          <w:szCs w:val="16"/>
        </w:rPr>
      </w:pPr>
    </w:p>
  </w:footnote>
  <w:footnote w:id="7">
    <w:p w14:paraId="09C812A4" w14:textId="77777777" w:rsidR="008540A9" w:rsidRDefault="008540A9" w:rsidP="008540A9">
      <w:pPr>
        <w:pStyle w:val="Textonotapie"/>
        <w:ind w:firstLine="709"/>
        <w:jc w:val="both"/>
        <w:rPr>
          <w:rFonts w:ascii="Verdana" w:hAnsi="Verdana" w:cs="Arial"/>
          <w:color w:val="000000"/>
          <w:sz w:val="16"/>
          <w:szCs w:val="16"/>
        </w:rPr>
      </w:pPr>
      <w:r>
        <w:rPr>
          <w:rStyle w:val="Refdenotaalpie"/>
          <w:rFonts w:ascii="Verdana" w:hAnsi="Verdana" w:cs="Arial"/>
          <w:color w:val="000000"/>
          <w:sz w:val="16"/>
          <w:szCs w:val="16"/>
        </w:rPr>
        <w:footnoteRef/>
      </w:r>
      <w:r>
        <w:rPr>
          <w:rFonts w:ascii="Verdana" w:hAnsi="Verdana" w:cs="Arial"/>
          <w:color w:val="000000"/>
          <w:sz w:val="16"/>
          <w:szCs w:val="16"/>
        </w:rPr>
        <w:t xml:space="preserve"> Ver Consejo de Estado, Sección Tercera, Subsección C. Sentencia del 26 de febrero de 2011. C.P. Jaime Orlando Santofimio. Rad. 36.408. </w:t>
      </w:r>
    </w:p>
  </w:footnote>
  <w:footnote w:id="8">
    <w:p w14:paraId="5B7FE416" w14:textId="77777777" w:rsidR="008540A9" w:rsidRDefault="008540A9" w:rsidP="008540A9">
      <w:pPr>
        <w:pStyle w:val="Textonotapie"/>
        <w:ind w:firstLine="709"/>
        <w:jc w:val="both"/>
        <w:rPr>
          <w:rFonts w:ascii="Verdana" w:hAnsi="Verdana" w:cs="Arial"/>
          <w:color w:val="000000"/>
          <w:sz w:val="16"/>
          <w:szCs w:val="16"/>
        </w:rPr>
      </w:pPr>
    </w:p>
    <w:p w14:paraId="545DF6E8" w14:textId="77777777" w:rsidR="008540A9" w:rsidRDefault="008540A9" w:rsidP="008540A9">
      <w:pPr>
        <w:pStyle w:val="Textonotapie"/>
        <w:ind w:firstLine="709"/>
        <w:jc w:val="both"/>
        <w:rPr>
          <w:rFonts w:ascii="Verdana" w:hAnsi="Verdana" w:cs="Arial"/>
          <w:color w:val="000000"/>
          <w:sz w:val="16"/>
          <w:szCs w:val="16"/>
        </w:rPr>
      </w:pPr>
      <w:r>
        <w:rPr>
          <w:rStyle w:val="Refdenotaalpie"/>
          <w:rFonts w:ascii="Verdana" w:hAnsi="Verdana" w:cs="Arial"/>
          <w:color w:val="000000"/>
          <w:sz w:val="16"/>
          <w:szCs w:val="16"/>
        </w:rPr>
        <w:footnoteRef/>
      </w:r>
      <w:r>
        <w:rPr>
          <w:rFonts w:ascii="Verdana" w:hAnsi="Verdana" w:cs="Arial"/>
          <w:color w:val="000000"/>
          <w:sz w:val="16"/>
          <w:szCs w:val="16"/>
        </w:rPr>
        <w:t xml:space="preserve"> Ver Consejo de Estado, Sección Tercera, Subsección C. Sentencia del 26 de febrero de 2014. C.P. Enrique Gil Botero. Rad. 25.804. </w:t>
      </w:r>
    </w:p>
    <w:p w14:paraId="33D61718" w14:textId="77777777" w:rsidR="008540A9" w:rsidRDefault="008540A9" w:rsidP="008540A9">
      <w:pPr>
        <w:pStyle w:val="Textonotapie"/>
        <w:ind w:firstLine="709"/>
        <w:jc w:val="both"/>
        <w:rPr>
          <w:rFonts w:ascii="Verdana" w:hAnsi="Verdana" w:cs="Arial"/>
          <w:color w:val="000000"/>
          <w:sz w:val="16"/>
          <w:szCs w:val="16"/>
        </w:rPr>
      </w:pPr>
    </w:p>
  </w:footnote>
  <w:footnote w:id="9">
    <w:p w14:paraId="3740D461" w14:textId="77777777" w:rsidR="008540A9" w:rsidRDefault="008540A9" w:rsidP="008540A9">
      <w:pPr>
        <w:pStyle w:val="Textonotapie"/>
        <w:ind w:firstLine="708"/>
        <w:jc w:val="both"/>
        <w:rPr>
          <w:rFonts w:ascii="Verdana" w:hAnsi="Verdana" w:cs="Arial"/>
          <w:color w:val="000000"/>
          <w:sz w:val="16"/>
          <w:szCs w:val="16"/>
        </w:rPr>
      </w:pPr>
      <w:r>
        <w:rPr>
          <w:rStyle w:val="Refdenotaalpie"/>
          <w:rFonts w:ascii="Verdana" w:hAnsi="Verdana" w:cs="Arial"/>
          <w:color w:val="000000"/>
          <w:sz w:val="16"/>
          <w:szCs w:val="16"/>
        </w:rPr>
        <w:footnoteRef/>
      </w:r>
      <w:r>
        <w:rPr>
          <w:rFonts w:ascii="Verdana" w:hAnsi="Verdana" w:cs="Arial"/>
          <w:color w:val="000000"/>
          <w:sz w:val="16"/>
          <w:szCs w:val="16"/>
        </w:rPr>
        <w:t xml:space="preserve"> Consejo de Estado. Sala de Consulta y Servicio Civil. Concepto del 20 de mayo de 2010. Expediente: 1992. Consejero Ponente: Enrique José Arboleda Perdomo.</w:t>
      </w:r>
    </w:p>
    <w:p w14:paraId="4D204CDA" w14:textId="77777777" w:rsidR="008540A9" w:rsidRDefault="008540A9" w:rsidP="008540A9">
      <w:pPr>
        <w:pStyle w:val="Textonotapie"/>
        <w:ind w:firstLine="708"/>
        <w:jc w:val="both"/>
        <w:rPr>
          <w:rFonts w:ascii="Verdana" w:hAnsi="Verdana" w:cs="Arial"/>
          <w:color w:val="000000"/>
          <w:sz w:val="16"/>
          <w:szCs w:val="16"/>
        </w:rPr>
      </w:pPr>
    </w:p>
  </w:footnote>
  <w:footnote w:id="10">
    <w:p w14:paraId="6B312933" w14:textId="77777777" w:rsidR="008540A9" w:rsidRDefault="008540A9" w:rsidP="008540A9">
      <w:pPr>
        <w:spacing w:after="0" w:line="240" w:lineRule="auto"/>
        <w:ind w:firstLine="709"/>
        <w:jc w:val="both"/>
        <w:rPr>
          <w:rFonts w:ascii="Verdana" w:eastAsia="Arial" w:hAnsi="Verdana" w:cs="Arial"/>
          <w:color w:val="000000"/>
          <w:sz w:val="16"/>
          <w:szCs w:val="16"/>
        </w:rPr>
      </w:pPr>
      <w:r>
        <w:rPr>
          <w:rFonts w:ascii="Verdana" w:hAnsi="Verdana" w:cs="Arial"/>
          <w:sz w:val="16"/>
          <w:szCs w:val="16"/>
          <w:vertAlign w:val="superscript"/>
        </w:rPr>
        <w:footnoteRef/>
      </w:r>
      <w:r>
        <w:rPr>
          <w:rFonts w:ascii="Verdana" w:eastAsia="Arial" w:hAnsi="Verdana" w:cs="Arial"/>
          <w:color w:val="000000"/>
          <w:sz w:val="16"/>
          <w:szCs w:val="16"/>
        </w:rPr>
        <w:t xml:space="preserve"> Consejo de Estado. Sección Tercera. Subsección C. Sentencia del 12 de noviembre de 2014. Exp. 27.986. C.P. Enrique Gil Botero.</w:t>
      </w:r>
    </w:p>
    <w:p w14:paraId="580679D8" w14:textId="77777777" w:rsidR="008540A9" w:rsidRDefault="008540A9" w:rsidP="008540A9">
      <w:pPr>
        <w:spacing w:after="0" w:line="240" w:lineRule="auto"/>
        <w:ind w:firstLine="709"/>
        <w:jc w:val="both"/>
        <w:rPr>
          <w:rFonts w:ascii="Verdana" w:eastAsia="Arial" w:hAnsi="Verdana" w:cs="Arial"/>
          <w:color w:val="000000"/>
          <w:sz w:val="16"/>
          <w:szCs w:val="16"/>
        </w:rPr>
      </w:pPr>
    </w:p>
  </w:footnote>
  <w:footnote w:id="11">
    <w:p w14:paraId="0B7D381A" w14:textId="77777777" w:rsidR="008540A9" w:rsidRDefault="008540A9" w:rsidP="008540A9">
      <w:pPr>
        <w:pStyle w:val="Textonotapie"/>
        <w:ind w:firstLine="709"/>
        <w:jc w:val="both"/>
        <w:rPr>
          <w:rFonts w:ascii="Verdana" w:eastAsia="Calibri" w:hAnsi="Verdana" w:cs="Arial"/>
          <w:sz w:val="16"/>
          <w:szCs w:val="16"/>
          <w:lang w:val="es-CO"/>
        </w:rPr>
      </w:pPr>
      <w:r>
        <w:rPr>
          <w:rStyle w:val="Refdenotaalpie"/>
          <w:rFonts w:ascii="Verdana" w:hAnsi="Verdana" w:cs="Arial"/>
          <w:sz w:val="16"/>
          <w:szCs w:val="16"/>
        </w:rPr>
        <w:footnoteRef/>
      </w:r>
      <w:r>
        <w:rPr>
          <w:rFonts w:ascii="Verdana" w:hAnsi="Verdana" w:cs="Arial"/>
          <w:sz w:val="16"/>
          <w:szCs w:val="16"/>
        </w:rPr>
        <w:t xml:space="preserve"> </w:t>
      </w:r>
      <w:r>
        <w:rPr>
          <w:rFonts w:ascii="Verdana" w:hAnsi="Verdana" w:cs="Arial"/>
          <w:bCs/>
          <w:sz w:val="16"/>
          <w:szCs w:val="16"/>
        </w:rPr>
        <w:t xml:space="preserve">En todo caso, conforme al parágrafo 3 del artículo 30 del Estatuto General de Contratación de la Administración pública, es necesario tener en cuenta que para los procesos de licitación para los contratistas de obra pública la oferta debe entregarse en dos sobres. El sobre numero 2 contiene la propuesta económica, y la norma dispone “[…] se mantendrá cerrado hasta la audiencia efectiva de adjudicación, momento en el cual se podrán hacer observaciones al informe de evaluación, las cuales se decidirán en la misma. Durante esta audiencia se dará apertura al sobre, se evaluará la oferta económica a través del mecanismo escogido mediante el método aleatorio que se establezca en los pliegos de condiciones, corriendo traslado a los proponentes habilitados en la misma diligencia solo para la revisión del aspecto económico y se establecerá el orden de elegibilidad”.  </w:t>
      </w:r>
    </w:p>
  </w:footnote>
  <w:footnote w:id="12">
    <w:p w14:paraId="5DDDEEBF" w14:textId="77777777" w:rsidR="008540A9" w:rsidRDefault="008540A9" w:rsidP="008540A9">
      <w:pPr>
        <w:spacing w:after="0" w:line="240" w:lineRule="auto"/>
        <w:ind w:firstLine="709"/>
        <w:jc w:val="both"/>
        <w:rPr>
          <w:rFonts w:ascii="Verdana" w:hAnsi="Verdana" w:cs="Arial"/>
          <w:color w:val="000000"/>
          <w:sz w:val="16"/>
          <w:szCs w:val="16"/>
        </w:rPr>
      </w:pPr>
    </w:p>
    <w:p w14:paraId="261D0329" w14:textId="77777777" w:rsidR="008540A9" w:rsidRDefault="008540A9" w:rsidP="008540A9">
      <w:pPr>
        <w:spacing w:after="0" w:line="240" w:lineRule="auto"/>
        <w:ind w:firstLine="709"/>
        <w:jc w:val="both"/>
        <w:rPr>
          <w:rFonts w:ascii="Verdana" w:eastAsia="Arial" w:hAnsi="Verdana" w:cs="Arial"/>
          <w:i/>
          <w:color w:val="000000"/>
          <w:sz w:val="16"/>
          <w:szCs w:val="16"/>
        </w:rPr>
      </w:pPr>
      <w:r>
        <w:rPr>
          <w:rFonts w:ascii="Verdana" w:hAnsi="Verdana" w:cs="Arial"/>
          <w:sz w:val="16"/>
          <w:szCs w:val="16"/>
          <w:vertAlign w:val="superscript"/>
        </w:rPr>
        <w:footnoteRef/>
      </w:r>
      <w:r>
        <w:rPr>
          <w:rFonts w:ascii="Verdana" w:hAnsi="Verdana" w:cs="Arial"/>
          <w:color w:val="000000"/>
          <w:sz w:val="16"/>
          <w:szCs w:val="16"/>
        </w:rPr>
        <w:t xml:space="preserve"> </w:t>
      </w:r>
      <w:r>
        <w:rPr>
          <w:rFonts w:ascii="Verdana" w:eastAsia="Arial" w:hAnsi="Verdana" w:cs="Arial"/>
          <w:color w:val="000000"/>
          <w:sz w:val="16"/>
          <w:szCs w:val="16"/>
        </w:rPr>
        <w:t>Ibídem</w:t>
      </w:r>
      <w:r>
        <w:rPr>
          <w:rFonts w:ascii="Verdana" w:eastAsia="Arial" w:hAnsi="Verdana" w:cs="Arial"/>
          <w:i/>
          <w:color w:val="000000"/>
          <w:sz w:val="16"/>
          <w:szCs w:val="16"/>
        </w:rPr>
        <w:t>.</w:t>
      </w:r>
    </w:p>
    <w:p w14:paraId="420EF357" w14:textId="77777777" w:rsidR="008540A9" w:rsidRDefault="008540A9" w:rsidP="008540A9">
      <w:pPr>
        <w:spacing w:after="0" w:line="240" w:lineRule="auto"/>
        <w:ind w:firstLine="709"/>
        <w:jc w:val="both"/>
        <w:rPr>
          <w:rFonts w:ascii="Verdana" w:eastAsia="Calibri" w:hAnsi="Verdana" w:cs="Arial"/>
          <w:color w:val="000000"/>
          <w:sz w:val="16"/>
          <w:szCs w:val="16"/>
        </w:rPr>
      </w:pPr>
    </w:p>
  </w:footnote>
  <w:footnote w:id="13">
    <w:p w14:paraId="529A3A54" w14:textId="77777777" w:rsidR="008540A9" w:rsidRDefault="008540A9" w:rsidP="008540A9">
      <w:pPr>
        <w:spacing w:after="0" w:line="240" w:lineRule="auto"/>
        <w:ind w:firstLine="709"/>
        <w:jc w:val="both"/>
        <w:rPr>
          <w:rFonts w:ascii="Verdana" w:hAnsi="Verdana" w:cs="Arial"/>
          <w:color w:val="000000"/>
          <w:sz w:val="16"/>
          <w:szCs w:val="16"/>
        </w:rPr>
      </w:pPr>
      <w:r>
        <w:rPr>
          <w:rFonts w:ascii="Verdana" w:hAnsi="Verdana" w:cs="Arial"/>
          <w:sz w:val="16"/>
          <w:szCs w:val="16"/>
          <w:vertAlign w:val="superscript"/>
        </w:rPr>
        <w:footnoteRef/>
      </w:r>
      <w:r>
        <w:rPr>
          <w:rFonts w:ascii="Verdana" w:hAnsi="Verdana" w:cs="Arial"/>
          <w:color w:val="000000"/>
          <w:sz w:val="16"/>
          <w:szCs w:val="16"/>
        </w:rPr>
        <w:t xml:space="preserve"> Ibídem.</w:t>
      </w:r>
    </w:p>
    <w:p w14:paraId="01BC8DAC" w14:textId="77777777" w:rsidR="008540A9" w:rsidRDefault="008540A9" w:rsidP="008540A9">
      <w:pPr>
        <w:spacing w:after="0" w:line="240" w:lineRule="auto"/>
        <w:ind w:firstLine="709"/>
        <w:jc w:val="both"/>
        <w:rPr>
          <w:rFonts w:ascii="Verdana" w:hAnsi="Verdana" w:cs="Arial"/>
          <w:color w:val="000000"/>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11.9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11568103">
    <w:abstractNumId w:val="6"/>
  </w:num>
  <w:num w:numId="2" w16cid:durableId="1928922820">
    <w:abstractNumId w:val="2"/>
  </w:num>
  <w:num w:numId="3" w16cid:durableId="1008408174">
    <w:abstractNumId w:val="4"/>
  </w:num>
  <w:num w:numId="4" w16cid:durableId="175185508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1575897">
    <w:abstractNumId w:val="2"/>
  </w:num>
  <w:num w:numId="6" w16cid:durableId="1222672280">
    <w:abstractNumId w:val="13"/>
  </w:num>
  <w:num w:numId="7" w16cid:durableId="603802250">
    <w:abstractNumId w:val="5"/>
  </w:num>
  <w:num w:numId="8" w16cid:durableId="1029452714">
    <w:abstractNumId w:val="12"/>
  </w:num>
  <w:num w:numId="9" w16cid:durableId="547962129">
    <w:abstractNumId w:val="7"/>
  </w:num>
  <w:num w:numId="10" w16cid:durableId="835733409">
    <w:abstractNumId w:val="11"/>
  </w:num>
  <w:num w:numId="11" w16cid:durableId="1899510360">
    <w:abstractNumId w:val="8"/>
  </w:num>
  <w:num w:numId="12" w16cid:durableId="2023240429">
    <w:abstractNumId w:val="1"/>
  </w:num>
  <w:num w:numId="13" w16cid:durableId="1826511597">
    <w:abstractNumId w:val="3"/>
  </w:num>
  <w:num w:numId="14" w16cid:durableId="1258365974">
    <w:abstractNumId w:val="14"/>
  </w:num>
  <w:num w:numId="15" w16cid:durableId="233900987">
    <w:abstractNumId w:val="10"/>
  </w:num>
  <w:num w:numId="16" w16cid:durableId="1538664209">
    <w:abstractNumId w:val="9"/>
  </w:num>
  <w:num w:numId="17" w16cid:durableId="240413838">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3D90"/>
    <w:rsid w:val="00016F78"/>
    <w:rsid w:val="0001715A"/>
    <w:rsid w:val="00046945"/>
    <w:rsid w:val="00054140"/>
    <w:rsid w:val="00061B2A"/>
    <w:rsid w:val="00082362"/>
    <w:rsid w:val="000A683E"/>
    <w:rsid w:val="000B19B9"/>
    <w:rsid w:val="000D0334"/>
    <w:rsid w:val="000D5DA7"/>
    <w:rsid w:val="000F6486"/>
    <w:rsid w:val="00116940"/>
    <w:rsid w:val="00125105"/>
    <w:rsid w:val="00127233"/>
    <w:rsid w:val="0015699B"/>
    <w:rsid w:val="001A33BF"/>
    <w:rsid w:val="001E4177"/>
    <w:rsid w:val="001F0B24"/>
    <w:rsid w:val="001F7DC6"/>
    <w:rsid w:val="0022400B"/>
    <w:rsid w:val="002421BB"/>
    <w:rsid w:val="0025796E"/>
    <w:rsid w:val="002707A2"/>
    <w:rsid w:val="00283102"/>
    <w:rsid w:val="002951A0"/>
    <w:rsid w:val="002962BC"/>
    <w:rsid w:val="002A093D"/>
    <w:rsid w:val="002A0DD0"/>
    <w:rsid w:val="002A49AC"/>
    <w:rsid w:val="002A64FD"/>
    <w:rsid w:val="002C7A84"/>
    <w:rsid w:val="002E2BF8"/>
    <w:rsid w:val="002E4FD9"/>
    <w:rsid w:val="0030657A"/>
    <w:rsid w:val="00322A85"/>
    <w:rsid w:val="00324168"/>
    <w:rsid w:val="00330834"/>
    <w:rsid w:val="003448F4"/>
    <w:rsid w:val="00374F5E"/>
    <w:rsid w:val="00377E3E"/>
    <w:rsid w:val="00387488"/>
    <w:rsid w:val="003A779E"/>
    <w:rsid w:val="003D0F4D"/>
    <w:rsid w:val="003D5B0D"/>
    <w:rsid w:val="003E0499"/>
    <w:rsid w:val="003E4F80"/>
    <w:rsid w:val="003E6439"/>
    <w:rsid w:val="003F3941"/>
    <w:rsid w:val="00406575"/>
    <w:rsid w:val="00414C74"/>
    <w:rsid w:val="0042722E"/>
    <w:rsid w:val="0044528D"/>
    <w:rsid w:val="00466E39"/>
    <w:rsid w:val="004A1847"/>
    <w:rsid w:val="004A305D"/>
    <w:rsid w:val="004F21C4"/>
    <w:rsid w:val="004F685F"/>
    <w:rsid w:val="00502281"/>
    <w:rsid w:val="005566E8"/>
    <w:rsid w:val="00574867"/>
    <w:rsid w:val="00591460"/>
    <w:rsid w:val="005A65E0"/>
    <w:rsid w:val="005C3777"/>
    <w:rsid w:val="005C5CDC"/>
    <w:rsid w:val="005D476C"/>
    <w:rsid w:val="006200BF"/>
    <w:rsid w:val="006219F8"/>
    <w:rsid w:val="006302F7"/>
    <w:rsid w:val="00642F54"/>
    <w:rsid w:val="00646B9F"/>
    <w:rsid w:val="00665D70"/>
    <w:rsid w:val="006900D9"/>
    <w:rsid w:val="006D7520"/>
    <w:rsid w:val="00706C16"/>
    <w:rsid w:val="007340C3"/>
    <w:rsid w:val="00734D33"/>
    <w:rsid w:val="00742A27"/>
    <w:rsid w:val="0075235A"/>
    <w:rsid w:val="00756841"/>
    <w:rsid w:val="00757161"/>
    <w:rsid w:val="007649AB"/>
    <w:rsid w:val="00771D0C"/>
    <w:rsid w:val="007833AC"/>
    <w:rsid w:val="0079106A"/>
    <w:rsid w:val="00795FD2"/>
    <w:rsid w:val="007B268C"/>
    <w:rsid w:val="007B7171"/>
    <w:rsid w:val="007C0C0F"/>
    <w:rsid w:val="007C3DC2"/>
    <w:rsid w:val="007E5497"/>
    <w:rsid w:val="00806F5F"/>
    <w:rsid w:val="00813F99"/>
    <w:rsid w:val="00820278"/>
    <w:rsid w:val="008258C9"/>
    <w:rsid w:val="00844AE9"/>
    <w:rsid w:val="008540A9"/>
    <w:rsid w:val="00867F95"/>
    <w:rsid w:val="008843B6"/>
    <w:rsid w:val="00891928"/>
    <w:rsid w:val="008A446D"/>
    <w:rsid w:val="008B25F1"/>
    <w:rsid w:val="008D180B"/>
    <w:rsid w:val="008D18C1"/>
    <w:rsid w:val="008F0EA7"/>
    <w:rsid w:val="00923EEF"/>
    <w:rsid w:val="009419F9"/>
    <w:rsid w:val="0095685E"/>
    <w:rsid w:val="00961B09"/>
    <w:rsid w:val="00965334"/>
    <w:rsid w:val="0097093E"/>
    <w:rsid w:val="009A0DFA"/>
    <w:rsid w:val="009A1C6F"/>
    <w:rsid w:val="009B2D26"/>
    <w:rsid w:val="009C71FA"/>
    <w:rsid w:val="009C72E7"/>
    <w:rsid w:val="009C7F7E"/>
    <w:rsid w:val="009D3058"/>
    <w:rsid w:val="009F3A13"/>
    <w:rsid w:val="00A122D3"/>
    <w:rsid w:val="00A14468"/>
    <w:rsid w:val="00A164C1"/>
    <w:rsid w:val="00A17F13"/>
    <w:rsid w:val="00A20739"/>
    <w:rsid w:val="00A23AF9"/>
    <w:rsid w:val="00A33C78"/>
    <w:rsid w:val="00AB0ADB"/>
    <w:rsid w:val="00AC3FB3"/>
    <w:rsid w:val="00AF59F6"/>
    <w:rsid w:val="00B00C0E"/>
    <w:rsid w:val="00B01B1A"/>
    <w:rsid w:val="00B0381D"/>
    <w:rsid w:val="00B44A47"/>
    <w:rsid w:val="00B72CD3"/>
    <w:rsid w:val="00B72FFF"/>
    <w:rsid w:val="00BA5221"/>
    <w:rsid w:val="00BC3D36"/>
    <w:rsid w:val="00BD54A6"/>
    <w:rsid w:val="00BD7F72"/>
    <w:rsid w:val="00BF7425"/>
    <w:rsid w:val="00C04FB3"/>
    <w:rsid w:val="00C11D8B"/>
    <w:rsid w:val="00C15139"/>
    <w:rsid w:val="00C330EB"/>
    <w:rsid w:val="00C50D69"/>
    <w:rsid w:val="00C5365C"/>
    <w:rsid w:val="00C754BE"/>
    <w:rsid w:val="00C76B1C"/>
    <w:rsid w:val="00C925AC"/>
    <w:rsid w:val="00CB6357"/>
    <w:rsid w:val="00CB6EC4"/>
    <w:rsid w:val="00CC1B26"/>
    <w:rsid w:val="00D361FD"/>
    <w:rsid w:val="00D423A2"/>
    <w:rsid w:val="00D44E26"/>
    <w:rsid w:val="00D520D8"/>
    <w:rsid w:val="00D63AC2"/>
    <w:rsid w:val="00D7383B"/>
    <w:rsid w:val="00D7788A"/>
    <w:rsid w:val="00DA231B"/>
    <w:rsid w:val="00DC39FC"/>
    <w:rsid w:val="00DF5254"/>
    <w:rsid w:val="00E02524"/>
    <w:rsid w:val="00E16408"/>
    <w:rsid w:val="00E20894"/>
    <w:rsid w:val="00E245AB"/>
    <w:rsid w:val="00E2764C"/>
    <w:rsid w:val="00E27F2E"/>
    <w:rsid w:val="00E50AFE"/>
    <w:rsid w:val="00E75C92"/>
    <w:rsid w:val="00E771DC"/>
    <w:rsid w:val="00E8772A"/>
    <w:rsid w:val="00E90F6B"/>
    <w:rsid w:val="00E92C27"/>
    <w:rsid w:val="00EA0E3D"/>
    <w:rsid w:val="00EC38A7"/>
    <w:rsid w:val="00EE1AA8"/>
    <w:rsid w:val="00F23FEA"/>
    <w:rsid w:val="00F31EDC"/>
    <w:rsid w:val="00F462B3"/>
    <w:rsid w:val="00F5664F"/>
    <w:rsid w:val="00F666C4"/>
    <w:rsid w:val="00F66ECB"/>
    <w:rsid w:val="00F76AFC"/>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8540A9"/>
    <w:pPr>
      <w:spacing w:line="240" w:lineRule="exact"/>
    </w:pPr>
    <w:rPr>
      <w:vertAlign w:val="superscript"/>
    </w:rPr>
  </w:style>
  <w:style w:type="table" w:customStyle="1" w:styleId="Tablaconcuadrcula1">
    <w:name w:val="Tabla con cuadrícula1"/>
    <w:basedOn w:val="Tablanormal"/>
    <w:uiPriority w:val="39"/>
    <w:qFormat/>
    <w:rsid w:val="008540A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AC3FB3"/>
    <w:rPr>
      <w:sz w:val="16"/>
      <w:szCs w:val="16"/>
    </w:rPr>
  </w:style>
  <w:style w:type="paragraph" w:styleId="Textocomentario">
    <w:name w:val="annotation text"/>
    <w:basedOn w:val="Normal"/>
    <w:link w:val="TextocomentarioCar"/>
    <w:uiPriority w:val="99"/>
    <w:unhideWhenUsed/>
    <w:rsid w:val="00AC3FB3"/>
    <w:pPr>
      <w:spacing w:line="240" w:lineRule="auto"/>
    </w:pPr>
    <w:rPr>
      <w:sz w:val="20"/>
      <w:szCs w:val="20"/>
    </w:rPr>
  </w:style>
  <w:style w:type="character" w:customStyle="1" w:styleId="TextocomentarioCar">
    <w:name w:val="Texto comentario Car"/>
    <w:basedOn w:val="Fuentedeprrafopredeter"/>
    <w:link w:val="Textocomentario"/>
    <w:uiPriority w:val="99"/>
    <w:rsid w:val="00AC3FB3"/>
    <w:rPr>
      <w:sz w:val="20"/>
      <w:szCs w:val="20"/>
    </w:rPr>
  </w:style>
  <w:style w:type="paragraph" w:styleId="Asuntodelcomentario">
    <w:name w:val="annotation subject"/>
    <w:basedOn w:val="Textocomentario"/>
    <w:next w:val="Textocomentario"/>
    <w:link w:val="AsuntodelcomentarioCar"/>
    <w:uiPriority w:val="99"/>
    <w:semiHidden/>
    <w:unhideWhenUsed/>
    <w:rsid w:val="00AC3FB3"/>
    <w:rPr>
      <w:b/>
      <w:bCs/>
    </w:rPr>
  </w:style>
  <w:style w:type="character" w:customStyle="1" w:styleId="AsuntodelcomentarioCar">
    <w:name w:val="Asunto del comentario Car"/>
    <w:basedOn w:val="TextocomentarioCar"/>
    <w:link w:val="Asuntodelcomentario"/>
    <w:uiPriority w:val="99"/>
    <w:semiHidden/>
    <w:rsid w:val="00AC3FB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elatoria.colombiacompra.gov.co/conceptos/c-447-de-2024/"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relatoria.colombiacompra.gov.co/conceptos/c-285-de-2022/"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www.colombiacompra.gov.co/normativa-y-relatoria/documentos-tip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oseonorobarrios7@hotmail.com" TargetMode="External"/><Relationship Id="rId5" Type="http://schemas.openxmlformats.org/officeDocument/2006/relationships/styles" Target="styles.xml"/><Relationship Id="rId15" Type="http://schemas.openxmlformats.org/officeDocument/2006/relationships/hyperlink" Target="https://formacionvirtual.colombiacompra.gov.co/mod/page/view.php?id=3718" TargetMode="Externa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relatoria.colombiacompra.gov.co/busqueda/concepto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colombiacompra.gov.co/circulares?page=2" TargetMode="External"/><Relationship Id="rId2" Type="http://schemas.openxmlformats.org/officeDocument/2006/relationships/hyperlink" Target="https://relatoria.colombiacompra.gov.co/conceptos/c-447-de-2024/" TargetMode="External"/><Relationship Id="rId1" Type="http://schemas.openxmlformats.org/officeDocument/2006/relationships/hyperlink" Target="https://relatoria.colombiacompra.gov.co/conceptos/c-285-de-2022/"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FDB51B8-9A20-4565-9FFC-8E4B8797ED46}"/>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19</Pages>
  <Words>6044</Words>
  <Characters>33245</Characters>
  <Application>Microsoft Office Word</Application>
  <DocSecurity>0</DocSecurity>
  <Lines>277</Lines>
  <Paragraphs>78</Paragraphs>
  <ScaleCrop>false</ScaleCrop>
  <Company/>
  <LinksUpToDate>false</LinksUpToDate>
  <CharactersWithSpaces>39211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Ximena Ríos López</cp:lastModifiedBy>
  <cp:revision>4</cp:revision>
  <cp:lastPrinted>2023-01-10T21:18:00Z</cp:lastPrinted>
  <dcterms:created xsi:type="dcterms:W3CDTF">2026-07-22T21:15:00Z</dcterms:created>
  <dcterms:modified xsi:type="dcterms:W3CDTF">2026-07-23T19:37:00Z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