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C9904" w14:textId="77777777" w:rsidR="00DA679C" w:rsidRPr="00DA679C" w:rsidRDefault="00DA679C" w:rsidP="00DA679C">
      <w:pPr>
        <w:spacing w:after="0" w:line="276" w:lineRule="auto"/>
        <w:jc w:val="both"/>
        <w:rPr>
          <w:rFonts w:ascii="Verdana" w:eastAsia="Calibri" w:hAnsi="Verdana" w:cs="Times New Roman"/>
          <w:lang w:eastAsia="es-MX"/>
        </w:rPr>
      </w:pPr>
      <w:bookmarkStart w:id="0" w:name="_Hlk143780582"/>
      <w:r w:rsidRPr="00DA679C">
        <w:rPr>
          <w:rFonts w:ascii="Verdana" w:eastAsia="Calibri" w:hAnsi="Verdana" w:cs="Arial"/>
          <w:b/>
          <w:bCs/>
          <w:lang w:val="es-ES_tradnl" w:eastAsia="es-ES"/>
        </w:rPr>
        <w:t xml:space="preserve">DOCUMENTOS TIPO – Generalidades – </w:t>
      </w:r>
      <w:r w:rsidRPr="00DA679C">
        <w:rPr>
          <w:rFonts w:ascii="Verdana" w:eastAsia="Aptos" w:hAnsi="Verdana" w:cs="Times New Roman"/>
          <w:b/>
          <w:bCs/>
          <w:lang w:val="es-ES_tradnl" w:eastAsia="es-ES"/>
        </w:rPr>
        <w:t xml:space="preserve">Obligatoriedad </w:t>
      </w:r>
    </w:p>
    <w:p w14:paraId="3CE6FF61" w14:textId="77777777" w:rsidR="00DA679C" w:rsidRPr="00DA679C" w:rsidRDefault="00DA679C" w:rsidP="00DA679C">
      <w:pPr>
        <w:snapToGrid w:val="0"/>
        <w:spacing w:after="0" w:line="240" w:lineRule="auto"/>
        <w:jc w:val="both"/>
        <w:rPr>
          <w:rFonts w:ascii="Verdana" w:eastAsia="Calibri" w:hAnsi="Verdana" w:cs="Arial"/>
          <w:b/>
          <w:bCs/>
          <w:lang w:val="es-ES_tradnl" w:eastAsia="es-ES"/>
        </w:rPr>
      </w:pPr>
    </w:p>
    <w:p w14:paraId="04DFF1D0" w14:textId="77777777" w:rsidR="00DA679C" w:rsidRPr="00DA679C" w:rsidRDefault="00DA679C" w:rsidP="00DA679C">
      <w:pPr>
        <w:snapToGrid w:val="0"/>
        <w:spacing w:after="0" w:line="240" w:lineRule="auto"/>
        <w:jc w:val="both"/>
        <w:rPr>
          <w:rFonts w:ascii="Verdana" w:eastAsia="Calibri" w:hAnsi="Verdana" w:cs="Arial"/>
          <w:sz w:val="20"/>
          <w:szCs w:val="20"/>
          <w:lang w:val="es-ES_tradnl" w:eastAsia="es-MX"/>
        </w:rPr>
      </w:pPr>
      <w:r w:rsidRPr="00DA679C">
        <w:rPr>
          <w:rFonts w:ascii="Verdana" w:eastAsia="Calibri" w:hAnsi="Verdana" w:cs="Arial"/>
          <w:sz w:val="20"/>
          <w:szCs w:val="20"/>
          <w:lang w:val="es-ES_tradnl" w:eastAsia="es-MX"/>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1E4C71F6" w14:textId="77777777" w:rsidR="00DA679C" w:rsidRPr="00DA679C" w:rsidRDefault="00DA679C" w:rsidP="00DA679C">
      <w:pPr>
        <w:snapToGrid w:val="0"/>
        <w:spacing w:after="0" w:line="240" w:lineRule="auto"/>
        <w:jc w:val="both"/>
        <w:rPr>
          <w:rFonts w:ascii="Verdana" w:eastAsia="Calibri" w:hAnsi="Verdana" w:cs="Arial"/>
          <w:sz w:val="20"/>
          <w:szCs w:val="20"/>
          <w:lang w:val="es-ES_tradnl" w:eastAsia="es-MX"/>
        </w:rPr>
      </w:pPr>
    </w:p>
    <w:p w14:paraId="75BCA316" w14:textId="77777777" w:rsidR="00DA679C" w:rsidRPr="00DA679C" w:rsidRDefault="00DA679C" w:rsidP="00DA679C">
      <w:pPr>
        <w:spacing w:after="0" w:line="240" w:lineRule="auto"/>
        <w:jc w:val="both"/>
        <w:rPr>
          <w:rFonts w:ascii="Verdana" w:eastAsia="Aptos" w:hAnsi="Verdana" w:cs="Arial"/>
          <w:b/>
          <w:kern w:val="2"/>
          <w:lang w:val="es-ES_tradnl" w:eastAsia="es-ES"/>
          <w14:ligatures w14:val="standardContextual"/>
        </w:rPr>
      </w:pPr>
      <w:r w:rsidRPr="00DA679C">
        <w:rPr>
          <w:rFonts w:ascii="Verdana" w:eastAsia="Calibri" w:hAnsi="Verdana" w:cs="Arial"/>
          <w:b/>
          <w:bCs/>
          <w:lang w:val="es-ES_tradnl" w:eastAsia="es-MX"/>
        </w:rPr>
        <w:t xml:space="preserve">MODALIDADES DE SELECCIÓN – Concurrencia </w:t>
      </w:r>
      <w:r w:rsidRPr="00DA679C">
        <w:rPr>
          <w:rFonts w:ascii="Verdana" w:eastAsia="Aptos" w:hAnsi="Verdana" w:cs="Arial"/>
          <w:b/>
          <w:bCs/>
          <w:kern w:val="2"/>
          <w:lang w:val="es-ES_tradnl" w:eastAsia="es-ES"/>
          <w14:ligatures w14:val="standardContextual"/>
        </w:rPr>
        <w:t>– Mínima cuantía – Concurso</w:t>
      </w:r>
      <w:r w:rsidRPr="00DA679C">
        <w:rPr>
          <w:rFonts w:ascii="Verdana" w:eastAsia="Aptos" w:hAnsi="Verdana" w:cs="Arial"/>
          <w:b/>
          <w:kern w:val="2"/>
          <w:lang w:val="es-ES_tradnl" w:eastAsia="es-ES"/>
          <w14:ligatures w14:val="standardContextual"/>
        </w:rPr>
        <w:t xml:space="preserve"> de méritos – Cuantía del proceso - Prevalencia</w:t>
      </w:r>
    </w:p>
    <w:p w14:paraId="60C97016" w14:textId="77777777" w:rsidR="00DA679C" w:rsidRPr="00DA679C" w:rsidRDefault="00DA679C" w:rsidP="00DA679C">
      <w:pPr>
        <w:snapToGrid w:val="0"/>
        <w:spacing w:after="0" w:line="240" w:lineRule="auto"/>
        <w:jc w:val="both"/>
        <w:rPr>
          <w:rFonts w:ascii="Verdana" w:eastAsia="Calibri" w:hAnsi="Verdana" w:cs="Arial"/>
          <w:sz w:val="20"/>
          <w:szCs w:val="20"/>
          <w:lang w:val="es-ES_tradnl" w:eastAsia="es-MX"/>
        </w:rPr>
      </w:pPr>
    </w:p>
    <w:p w14:paraId="2ADDE7D1" w14:textId="77777777" w:rsidR="00DA679C" w:rsidRPr="00DA679C" w:rsidRDefault="00DA679C" w:rsidP="00DA679C">
      <w:pPr>
        <w:spacing w:after="0" w:line="240" w:lineRule="auto"/>
        <w:jc w:val="both"/>
        <w:rPr>
          <w:rFonts w:ascii="Verdana" w:eastAsia="Calibri" w:hAnsi="Verdana" w:cs="Arial"/>
          <w:color w:val="000000"/>
          <w:sz w:val="20"/>
          <w:szCs w:val="20"/>
          <w:lang w:val="es-ES_tradnl" w:eastAsia="es-ES"/>
        </w:rPr>
      </w:pPr>
      <w:r w:rsidRPr="00DA679C">
        <w:rPr>
          <w:rFonts w:ascii="Verdana" w:eastAsia="Calibri" w:hAnsi="Verdana" w:cs="Arial"/>
          <w:color w:val="000000"/>
          <w:sz w:val="20"/>
          <w:szCs w:val="20"/>
          <w:lang w:val="es-ES_tradnl" w:eastAsia="es-ES"/>
        </w:rPr>
        <w:t xml:space="preserve">Entonces, como se observa de lo anterior, el proceso de selección de mínima cuantía el criterio determinante para establecer la procedencia de esta modalidad de selección de contratistas es la cuantía, y ello, se reitera, con independencia del objeto a contratar, lo que se traduce en que, frente a eventuales concurrencia de este procedimiento y otros específicos para determinados objetos contractuales, por disposición legal, deberá preferirse aquella modalidad –mínima cuantía–. </w:t>
      </w:r>
    </w:p>
    <w:p w14:paraId="1E12FF04" w14:textId="77777777" w:rsidR="00DA679C" w:rsidRPr="00DA679C" w:rsidRDefault="00DA679C" w:rsidP="00DA679C">
      <w:pPr>
        <w:spacing w:after="0" w:line="240" w:lineRule="auto"/>
        <w:jc w:val="both"/>
        <w:rPr>
          <w:rFonts w:ascii="Verdana" w:eastAsia="Calibri" w:hAnsi="Verdana" w:cs="Arial"/>
          <w:color w:val="000000"/>
          <w:sz w:val="20"/>
          <w:szCs w:val="20"/>
          <w:lang w:val="es-ES_tradnl" w:eastAsia="es-ES"/>
        </w:rPr>
      </w:pPr>
    </w:p>
    <w:p w14:paraId="59CDF7DF" w14:textId="77777777" w:rsidR="00DA679C" w:rsidRPr="00DA679C" w:rsidRDefault="00DA679C" w:rsidP="00DA679C">
      <w:pPr>
        <w:spacing w:after="0" w:line="240" w:lineRule="auto"/>
        <w:jc w:val="both"/>
        <w:rPr>
          <w:rFonts w:ascii="Verdana" w:eastAsia="Times New Roman" w:hAnsi="Verdana" w:cs="Arial"/>
          <w:bCs/>
          <w:i/>
          <w:iCs/>
          <w:kern w:val="2"/>
          <w:sz w:val="20"/>
          <w:szCs w:val="20"/>
          <w:lang w:eastAsia="es-ES_tradnl"/>
          <w14:ligatures w14:val="standardContextual"/>
        </w:rPr>
      </w:pPr>
      <w:r w:rsidRPr="00DA679C">
        <w:rPr>
          <w:rFonts w:ascii="Verdana" w:eastAsia="Times New Roman" w:hAnsi="Verdana" w:cs="Arial"/>
          <w:bCs/>
          <w:kern w:val="2"/>
          <w:sz w:val="20"/>
          <w:szCs w:val="20"/>
          <w:lang w:eastAsia="es-ES_tradnl"/>
          <w14:ligatures w14:val="standardContextual"/>
        </w:rPr>
        <w:t xml:space="preserve">De este modo, es importante analizar la solución específica para aquellos eventos en donde podría considerarse en principio que existe concurrencia de modalidades de selección, como es el caso de la consulta. En efecto, por regla general la escogencia de interventores se surte por concurso de méritos, el cual, según el numeral 3° del artículo 2 de la Ley 1150 de 2007, corresponde a la modalidad prevista para la selección </w:t>
      </w:r>
      <w:r w:rsidRPr="00DA679C">
        <w:rPr>
          <w:rFonts w:ascii="Verdana" w:eastAsia="Times New Roman" w:hAnsi="Verdana" w:cs="Arial"/>
          <w:i/>
          <w:iCs/>
          <w:kern w:val="2"/>
          <w:sz w:val="20"/>
          <w:szCs w:val="20"/>
          <w:lang w:val="es-ES_tradnl" w:eastAsia="es-ES_tradnl"/>
          <w14:ligatures w14:val="standardContextual"/>
        </w:rPr>
        <w:t>“</w:t>
      </w:r>
      <w:r w:rsidRPr="00DA679C">
        <w:rPr>
          <w:rFonts w:ascii="Verdana" w:eastAsia="Times New Roman" w:hAnsi="Verdana" w:cs="Arial"/>
          <w:bCs/>
          <w:i/>
          <w:iCs/>
          <w:kern w:val="2"/>
          <w:sz w:val="20"/>
          <w:szCs w:val="20"/>
          <w:lang w:eastAsia="es-ES_tradnl"/>
          <w14:ligatures w14:val="standardContextual"/>
        </w:rPr>
        <w:t>de consultores o proyectos, en la que se podrán utilizar sistemas de concurso abierto o de precalificación</w:t>
      </w:r>
      <w:r w:rsidRPr="00DA679C">
        <w:rPr>
          <w:rFonts w:ascii="Verdana" w:eastAsia="Times New Roman" w:hAnsi="Verdana" w:cs="Arial"/>
          <w:i/>
          <w:iCs/>
          <w:kern w:val="2"/>
          <w:sz w:val="20"/>
          <w:szCs w:val="20"/>
          <w:lang w:val="es-ES_tradnl" w:eastAsia="es-ES_tradnl"/>
          <w14:ligatures w14:val="standardContextual"/>
        </w:rPr>
        <w:t>”</w:t>
      </w:r>
      <w:r w:rsidRPr="00DA679C">
        <w:rPr>
          <w:rFonts w:ascii="Verdana" w:eastAsia="Times New Roman" w:hAnsi="Verdana" w:cs="Arial"/>
          <w:bCs/>
          <w:i/>
          <w:iCs/>
          <w:kern w:val="2"/>
          <w:sz w:val="20"/>
          <w:szCs w:val="20"/>
          <w:lang w:eastAsia="es-ES_tradnl"/>
          <w14:ligatures w14:val="standardContextual"/>
        </w:rPr>
        <w:t>.</w:t>
      </w:r>
    </w:p>
    <w:p w14:paraId="4DAB016C" w14:textId="77777777" w:rsidR="00DA679C" w:rsidRPr="00DA679C" w:rsidRDefault="00DA679C" w:rsidP="00DA679C">
      <w:pPr>
        <w:spacing w:after="0" w:line="240" w:lineRule="auto"/>
        <w:jc w:val="both"/>
        <w:rPr>
          <w:rFonts w:ascii="Verdana" w:eastAsia="Times New Roman" w:hAnsi="Verdana" w:cs="Arial"/>
          <w:bCs/>
          <w:kern w:val="2"/>
          <w:sz w:val="20"/>
          <w:szCs w:val="20"/>
          <w:lang w:eastAsia="es-ES_tradnl"/>
          <w14:ligatures w14:val="standardContextual"/>
        </w:rPr>
      </w:pPr>
    </w:p>
    <w:p w14:paraId="34627D27" w14:textId="77777777" w:rsidR="00DA679C" w:rsidRPr="00DA679C" w:rsidRDefault="00DA679C" w:rsidP="00DA679C">
      <w:pPr>
        <w:spacing w:after="0" w:line="240" w:lineRule="auto"/>
        <w:jc w:val="both"/>
        <w:rPr>
          <w:rFonts w:ascii="Verdana" w:eastAsia="Times New Roman" w:hAnsi="Verdana" w:cs="Arial"/>
          <w:bCs/>
          <w:kern w:val="2"/>
          <w:sz w:val="20"/>
          <w:szCs w:val="20"/>
          <w:lang w:eastAsia="es-ES_tradnl"/>
          <w14:ligatures w14:val="standardContextual"/>
        </w:rPr>
      </w:pPr>
      <w:r w:rsidRPr="00DA679C">
        <w:rPr>
          <w:rFonts w:ascii="Verdana" w:eastAsia="Times New Roman" w:hAnsi="Verdana" w:cs="Arial"/>
          <w:bCs/>
          <w:kern w:val="2"/>
          <w:sz w:val="20"/>
          <w:szCs w:val="20"/>
          <w:lang w:eastAsia="es-ES_tradnl"/>
          <w14:ligatures w14:val="standardContextual"/>
        </w:rPr>
        <w:t>(…)</w:t>
      </w:r>
    </w:p>
    <w:p w14:paraId="416810BE" w14:textId="77777777" w:rsidR="00DA679C" w:rsidRPr="00DA679C" w:rsidRDefault="00DA679C" w:rsidP="00DA679C">
      <w:pPr>
        <w:spacing w:after="0" w:line="240" w:lineRule="auto"/>
        <w:jc w:val="both"/>
        <w:rPr>
          <w:rFonts w:ascii="Verdana" w:eastAsia="Times New Roman" w:hAnsi="Verdana" w:cs="Arial"/>
          <w:bCs/>
          <w:kern w:val="2"/>
          <w:sz w:val="20"/>
          <w:szCs w:val="20"/>
          <w:lang w:eastAsia="es-ES_tradnl"/>
          <w14:ligatures w14:val="standardContextual"/>
        </w:rPr>
      </w:pPr>
    </w:p>
    <w:p w14:paraId="50571F1E" w14:textId="77777777" w:rsidR="00DA679C" w:rsidRPr="00DA679C" w:rsidRDefault="00DA679C" w:rsidP="00DA679C">
      <w:pPr>
        <w:snapToGrid w:val="0"/>
        <w:spacing w:after="0" w:line="240" w:lineRule="auto"/>
        <w:jc w:val="both"/>
        <w:rPr>
          <w:rFonts w:ascii="Verdana" w:eastAsia="Times New Roman" w:hAnsi="Verdana" w:cs="Arial"/>
          <w:color w:val="000000"/>
          <w:kern w:val="2"/>
          <w:sz w:val="20"/>
          <w:szCs w:val="20"/>
          <w:lang w:val="es-ES_tradnl" w:eastAsia="es-ES"/>
          <w14:ligatures w14:val="standardContextual"/>
        </w:rPr>
      </w:pPr>
      <w:r w:rsidRPr="00DA679C">
        <w:rPr>
          <w:rFonts w:ascii="Verdana" w:eastAsia="Times New Roman" w:hAnsi="Verdana" w:cs="Arial"/>
          <w:color w:val="000000"/>
          <w:kern w:val="2"/>
          <w:sz w:val="20"/>
          <w:szCs w:val="20"/>
          <w:lang w:val="es-ES_tradnl" w:eastAsia="es-ES"/>
          <w14:ligatures w14:val="standardContextual"/>
        </w:rPr>
        <w:t xml:space="preserve">De acuerdo con lo expuesto, considerando el objeto y la modalidad de selección planteados en la consulta, se observa la concurrencia de las modalidades de selección de mínima cuantía y de concurso de méritos, siendo esta última la procedente, por regla general, para la selección de consultores. No obstante, como se indicó, si el valor de la contratación no excede del diez por ciento (10%) de la menor cuantía de la entidad, independientemente de su objeto –y sin perjuicio del análisis de procedencia de otros mecanismos especiales de selección del contratista–, el proceso de selección deberá adelantarse mediante la modalidad de selección de </w:t>
      </w:r>
      <w:r w:rsidRPr="00DA679C">
        <w:rPr>
          <w:rFonts w:ascii="Verdana" w:eastAsia="Times New Roman" w:hAnsi="Verdana" w:cs="Arial"/>
          <w:i/>
          <w:iCs/>
          <w:color w:val="000000"/>
          <w:kern w:val="2"/>
          <w:sz w:val="20"/>
          <w:szCs w:val="20"/>
          <w:lang w:val="es-ES_tradnl" w:eastAsia="es-ES"/>
          <w14:ligatures w14:val="standardContextual"/>
        </w:rPr>
        <w:t>mínima cuantía</w:t>
      </w:r>
      <w:r w:rsidRPr="00DA679C">
        <w:rPr>
          <w:rFonts w:ascii="Verdana" w:eastAsia="Times New Roman" w:hAnsi="Verdana" w:cs="Arial"/>
          <w:color w:val="000000"/>
          <w:kern w:val="2"/>
          <w:sz w:val="20"/>
          <w:szCs w:val="20"/>
          <w:lang w:val="es-ES_tradnl" w:eastAsia="es-ES"/>
          <w14:ligatures w14:val="standardContextual"/>
        </w:rPr>
        <w:t>, en aplicación de lo preceptuado en el artículo 2, numeral 5, de la Ley 1150 de 2007, modificado por el artículo 30 de la Ley 2069 de 2020. En consecuencia, el criterio para la escogencia del contratista será el menor precio, siempre y cuando cumpla con las condiciones exigidas en la invitación.</w:t>
      </w:r>
    </w:p>
    <w:p w14:paraId="3951906D" w14:textId="77777777" w:rsidR="00DA679C" w:rsidRPr="00DA679C" w:rsidRDefault="00DA679C" w:rsidP="00DA679C">
      <w:pPr>
        <w:spacing w:after="0" w:line="240" w:lineRule="auto"/>
        <w:jc w:val="both"/>
        <w:rPr>
          <w:rFonts w:ascii="Verdana" w:eastAsia="Times New Roman" w:hAnsi="Verdana" w:cs="Arial"/>
          <w:color w:val="000000"/>
          <w:sz w:val="20"/>
          <w:szCs w:val="20"/>
          <w:lang w:val="es-ES_tradnl" w:eastAsia="es-ES"/>
        </w:rPr>
      </w:pPr>
    </w:p>
    <w:p w14:paraId="091E66DD" w14:textId="77777777" w:rsidR="00DA679C" w:rsidRPr="00DA679C" w:rsidRDefault="00DA679C" w:rsidP="00DA679C">
      <w:pPr>
        <w:spacing w:after="0" w:line="240" w:lineRule="auto"/>
        <w:jc w:val="both"/>
        <w:rPr>
          <w:rFonts w:ascii="Verdana" w:eastAsia="Times New Roman" w:hAnsi="Verdana" w:cs="Arial"/>
          <w:b/>
          <w:bCs/>
          <w:color w:val="000000"/>
          <w:lang w:val="es-ES_tradnl" w:eastAsia="es-ES"/>
        </w:rPr>
      </w:pPr>
      <w:r w:rsidRPr="00DA679C">
        <w:rPr>
          <w:rFonts w:ascii="Verdana" w:eastAsia="Times New Roman" w:hAnsi="Verdana" w:cs="Arial"/>
          <w:b/>
          <w:bCs/>
          <w:color w:val="000000"/>
          <w:lang w:val="es-ES_tradnl" w:eastAsia="es-ES"/>
        </w:rPr>
        <w:t>MÍNIMA CUANTÍA – Documentos tipo – Sector social – Aplicación – Interventoría</w:t>
      </w:r>
    </w:p>
    <w:p w14:paraId="6E5CE7C7" w14:textId="77777777" w:rsidR="00DA679C" w:rsidRPr="00DA679C" w:rsidRDefault="00DA679C" w:rsidP="00DA679C">
      <w:pPr>
        <w:spacing w:after="0" w:line="240" w:lineRule="auto"/>
        <w:jc w:val="both"/>
        <w:rPr>
          <w:rFonts w:ascii="Verdana" w:eastAsia="Times New Roman" w:hAnsi="Verdana" w:cs="Arial"/>
          <w:color w:val="000000"/>
          <w:sz w:val="20"/>
          <w:szCs w:val="20"/>
          <w:lang w:val="es-ES_tradnl" w:eastAsia="es-ES"/>
        </w:rPr>
      </w:pPr>
    </w:p>
    <w:p w14:paraId="7D349FAC" w14:textId="77777777" w:rsidR="00DA679C" w:rsidRPr="00DA679C" w:rsidRDefault="00DA679C" w:rsidP="00DA679C">
      <w:pPr>
        <w:spacing w:after="0" w:line="240" w:lineRule="auto"/>
        <w:jc w:val="both"/>
        <w:rPr>
          <w:rFonts w:ascii="Verdana" w:eastAsia="Times New Roman" w:hAnsi="Verdana" w:cs="Times New Roman"/>
          <w:sz w:val="20"/>
          <w:szCs w:val="20"/>
          <w:lang w:eastAsia="es-MX"/>
        </w:rPr>
      </w:pPr>
      <w:r w:rsidRPr="00DA679C">
        <w:rPr>
          <w:rFonts w:ascii="Verdana" w:eastAsia="Times New Roman" w:hAnsi="Verdana" w:cs="Times New Roman"/>
          <w:sz w:val="20"/>
          <w:szCs w:val="20"/>
          <w:lang w:eastAsia="es-MX"/>
        </w:rPr>
        <w:lastRenderedPageBreak/>
        <w:t xml:space="preserve">Por lo anterior, teniendo en cuenta que la interventoría constituye un contrato de consultoría y no un contrato de obra pública, se concluye que los documentos tipo adoptados mediante la Resolución 541 de 2025 no resultan obligatorios para adelantar el proceso de mínima cuantía cuyo objeto corresponda a la interventoría de obras públicas de infraestructura social. </w:t>
      </w:r>
    </w:p>
    <w:p w14:paraId="66DE765A" w14:textId="77777777" w:rsidR="00DA679C" w:rsidRPr="00DA679C" w:rsidRDefault="00DA679C" w:rsidP="00DA679C">
      <w:pPr>
        <w:spacing w:after="0" w:line="240" w:lineRule="auto"/>
        <w:jc w:val="both"/>
        <w:rPr>
          <w:rFonts w:ascii="Verdana" w:eastAsia="Times New Roman" w:hAnsi="Verdana" w:cs="Times New Roman"/>
          <w:sz w:val="20"/>
          <w:szCs w:val="20"/>
          <w:lang w:eastAsia="es-MX"/>
        </w:rPr>
      </w:pPr>
    </w:p>
    <w:p w14:paraId="7F6F580C" w14:textId="77777777" w:rsidR="00DA679C" w:rsidRPr="00DA679C" w:rsidRDefault="00DA679C" w:rsidP="00DA679C">
      <w:pPr>
        <w:spacing w:after="0" w:line="240" w:lineRule="auto"/>
        <w:jc w:val="both"/>
        <w:rPr>
          <w:rFonts w:ascii="Verdana" w:eastAsia="Calibri" w:hAnsi="Verdana" w:cs="Arial"/>
          <w:color w:val="000000"/>
          <w:kern w:val="2"/>
          <w:sz w:val="20"/>
          <w:szCs w:val="20"/>
          <w:lang w:val="es-ES_tradnl"/>
          <w14:ligatures w14:val="standardContextual"/>
        </w:rPr>
      </w:pPr>
      <w:r w:rsidRPr="00DA679C">
        <w:rPr>
          <w:rFonts w:ascii="Verdana" w:eastAsia="Times New Roman" w:hAnsi="Verdana" w:cs="Times New Roman"/>
          <w:sz w:val="20"/>
          <w:szCs w:val="20"/>
          <w:lang w:eastAsia="es-MX"/>
        </w:rPr>
        <w:t>En consecuencia, ante la inexistencia de documentos tipo específicos para este supuesto, la entidad estatal deberá estructurar el proceso de contratación con fundamento en las disposiciones legales y reglamentarias que regulan la modalidad de mínima cuantía, garantizando el cumplimiento de los principios de la contratación estatal y de los requisitos mínimos exigidos por el ordenamiento jurídico. Sin perjuicio de lo anterior, la entidad podrá tomar como referente, de manera orientadora y con las adaptaciones que resulten necesarias, los documentos tipo expedidos para la contratación de interventoría o para los procesos de mínima cuantía en infraestructura social, siempre que ello no desconozca las particularidades propias del objeto contractual ni del procedimiento de selección aplicable</w:t>
      </w:r>
      <w:r w:rsidRPr="00DA679C">
        <w:rPr>
          <w:rFonts w:ascii="Verdana" w:eastAsia="Calibri" w:hAnsi="Verdana" w:cs="Arial"/>
          <w:color w:val="000000"/>
          <w:kern w:val="2"/>
          <w:sz w:val="20"/>
          <w:szCs w:val="20"/>
          <w:lang w:val="es-ES_tradnl"/>
          <w14:ligatures w14:val="standardContextual"/>
        </w:rPr>
        <w:t>.</w:t>
      </w:r>
    </w:p>
    <w:p w14:paraId="6D91C023" w14:textId="77777777" w:rsidR="00DA679C" w:rsidRPr="00DA679C" w:rsidRDefault="00DA679C" w:rsidP="00DA679C">
      <w:pPr>
        <w:spacing w:after="0" w:line="240" w:lineRule="auto"/>
        <w:jc w:val="both"/>
        <w:rPr>
          <w:rFonts w:ascii="Verdana" w:eastAsia="Calibri" w:hAnsi="Verdana" w:cs="Arial"/>
          <w:color w:val="000000"/>
          <w:kern w:val="2"/>
          <w:sz w:val="20"/>
          <w:szCs w:val="20"/>
          <w:lang w:val="es-ES_tradnl"/>
          <w14:ligatures w14:val="standardContextual"/>
        </w:rPr>
      </w:pPr>
    </w:p>
    <w:p w14:paraId="0B85019E" w14:textId="77777777" w:rsidR="00DA679C" w:rsidRPr="00DA679C" w:rsidRDefault="00DA679C" w:rsidP="00DA679C">
      <w:pPr>
        <w:spacing w:after="0" w:line="240" w:lineRule="auto"/>
        <w:jc w:val="both"/>
        <w:rPr>
          <w:rFonts w:ascii="Verdana" w:eastAsia="Calibri" w:hAnsi="Verdana" w:cs="Arial"/>
          <w:b/>
          <w:bCs/>
          <w:color w:val="000000"/>
          <w:kern w:val="2"/>
          <w:lang w:val="es-ES_tradnl"/>
          <w14:ligatures w14:val="standardContextual"/>
        </w:rPr>
      </w:pPr>
      <w:r w:rsidRPr="00DA679C">
        <w:rPr>
          <w:rFonts w:ascii="Verdana" w:eastAsia="Calibri" w:hAnsi="Verdana" w:cs="Arial"/>
          <w:b/>
          <w:bCs/>
          <w:color w:val="000000"/>
          <w:kern w:val="2"/>
          <w:lang w:val="es-ES_tradnl"/>
          <w14:ligatures w14:val="standardContextual"/>
        </w:rPr>
        <w:t>INTERVENTORÍA – Mínima cuantía – Documentos tipo – Sector social – Criterio de buena práctica</w:t>
      </w:r>
    </w:p>
    <w:p w14:paraId="089BCA77" w14:textId="77777777" w:rsidR="00DA679C" w:rsidRPr="00DA679C" w:rsidRDefault="00DA679C" w:rsidP="00DA679C">
      <w:pPr>
        <w:spacing w:after="0" w:line="240" w:lineRule="auto"/>
        <w:jc w:val="both"/>
        <w:rPr>
          <w:rFonts w:ascii="Verdana" w:eastAsia="Calibri" w:hAnsi="Verdana" w:cs="Arial"/>
          <w:color w:val="000000"/>
          <w:kern w:val="2"/>
          <w:sz w:val="20"/>
          <w:szCs w:val="20"/>
          <w:lang w:val="es-ES_tradnl"/>
          <w14:ligatures w14:val="standardContextual"/>
        </w:rPr>
      </w:pPr>
    </w:p>
    <w:p w14:paraId="5BB2F652" w14:textId="77777777" w:rsidR="00DA679C" w:rsidRPr="00DA679C" w:rsidRDefault="00DA679C" w:rsidP="00DA679C">
      <w:pPr>
        <w:spacing w:after="0" w:line="240" w:lineRule="auto"/>
        <w:jc w:val="both"/>
        <w:rPr>
          <w:rFonts w:ascii="Verdana" w:eastAsia="Aptos" w:hAnsi="Verdana" w:cs="Times New Roman"/>
          <w:kern w:val="2"/>
          <w:sz w:val="20"/>
          <w:szCs w:val="20"/>
          <w14:ligatures w14:val="standardContextual"/>
        </w:rPr>
      </w:pPr>
      <w:r w:rsidRPr="00DA679C">
        <w:rPr>
          <w:rFonts w:ascii="Verdana" w:eastAsia="Aptos" w:hAnsi="Verdana" w:cs="Times New Roman"/>
          <w:kern w:val="2"/>
          <w:sz w:val="20"/>
          <w:szCs w:val="20"/>
          <w:lang w:val="es-ES_tradnl"/>
          <w14:ligatures w14:val="standardContextual"/>
        </w:rPr>
        <w:t>En todo caso, debe señalarse que, d</w:t>
      </w:r>
      <w:r w:rsidRPr="00DA679C">
        <w:rPr>
          <w:rFonts w:ascii="Verdana" w:eastAsia="Aptos" w:hAnsi="Verdana" w:cs="Times New Roman"/>
          <w:kern w:val="2"/>
          <w:sz w:val="20"/>
          <w:szCs w:val="20"/>
          <w14:ligatures w14:val="standardContextual"/>
        </w:rPr>
        <w:t>e acuerdo con el criterio de esta Subdirección, los documentos tipo adoptados mediante la Resolución No. 953 del 15 de diciembre de 2025, que corresponden a los de concurso de méritos para la contratación de interventoría de obras públicas de infraestructura social, no resultan obligatorios ni directamente aplicables cuando la selección del contratista debe adelantarse mediante la modalidad de mínima cuantía, aun cuando el objeto contractual corresponda a una interventoría.</w:t>
      </w:r>
    </w:p>
    <w:p w14:paraId="7BA07F60" w14:textId="77777777" w:rsidR="00DA679C" w:rsidRPr="00DA679C" w:rsidRDefault="00DA679C" w:rsidP="00DA679C">
      <w:pPr>
        <w:spacing w:after="0" w:line="240" w:lineRule="auto"/>
        <w:jc w:val="both"/>
        <w:rPr>
          <w:rFonts w:ascii="Verdana" w:eastAsia="Aptos" w:hAnsi="Verdana" w:cs="Times New Roman"/>
          <w:kern w:val="2"/>
          <w:sz w:val="20"/>
          <w:szCs w:val="20"/>
          <w:lang w:val="es-ES"/>
          <w14:ligatures w14:val="standardContextual"/>
        </w:rPr>
      </w:pPr>
    </w:p>
    <w:p w14:paraId="5743930A" w14:textId="77777777" w:rsidR="00DA679C" w:rsidRPr="00DA679C" w:rsidRDefault="00DA679C" w:rsidP="00DA679C">
      <w:pPr>
        <w:spacing w:after="0" w:line="240" w:lineRule="auto"/>
        <w:jc w:val="both"/>
        <w:rPr>
          <w:rFonts w:ascii="Verdana" w:eastAsia="Aptos" w:hAnsi="Verdana" w:cs="Times New Roman"/>
          <w:kern w:val="2"/>
          <w:sz w:val="20"/>
          <w:szCs w:val="20"/>
          <w:lang w:val="es-ES"/>
          <w14:ligatures w14:val="standardContextual"/>
        </w:rPr>
      </w:pPr>
      <w:r w:rsidRPr="00DA679C">
        <w:rPr>
          <w:rFonts w:ascii="Verdana" w:eastAsia="Aptos" w:hAnsi="Verdana" w:cs="Times New Roman"/>
          <w:kern w:val="2"/>
          <w:sz w:val="20"/>
          <w:szCs w:val="20"/>
          <w:lang w:val="es-ES"/>
          <w14:ligatures w14:val="standardContextual"/>
        </w:rPr>
        <w:t xml:space="preserve">De esta manera, aunque los documentos tipo señalados no son obligatorios para los contratos de interventoría adelantados por mínima cuantía, nada obsta para que –sin desconocer las diferencias entre ambos procedimientos de selección– se adopten potestativamente los documentos tipo citados como criterio de buena práctica contractual, haciendo las adaptaciones pertinentes para la contratación </w:t>
      </w:r>
      <w:r w:rsidRPr="00DA679C">
        <w:rPr>
          <w:rFonts w:ascii="Verdana" w:eastAsia="Calibri" w:hAnsi="Verdana" w:cs="Times New Roman"/>
          <w:color w:val="000000"/>
          <w:kern w:val="2"/>
          <w:sz w:val="20"/>
          <w:szCs w:val="20"/>
          <w:lang w:val="es-ES"/>
          <w14:ligatures w14:val="standardContextual"/>
        </w:rPr>
        <w:t>cuyo valor no exceda el diez por ciento –10%– de la menor cuantía</w:t>
      </w:r>
      <w:r w:rsidRPr="00DA679C">
        <w:rPr>
          <w:rFonts w:ascii="Verdana" w:eastAsia="Aptos" w:hAnsi="Verdana" w:cs="Times New Roman"/>
          <w:kern w:val="2"/>
          <w:sz w:val="20"/>
          <w:szCs w:val="20"/>
          <w:lang w:val="es-ES"/>
          <w14:ligatures w14:val="standardContextual"/>
        </w:rPr>
        <w:t xml:space="preserve">. </w:t>
      </w:r>
    </w:p>
    <w:p w14:paraId="566CC890" w14:textId="77777777" w:rsidR="00DA679C" w:rsidRPr="00DA679C" w:rsidRDefault="00DA679C" w:rsidP="00DA679C">
      <w:pPr>
        <w:snapToGrid w:val="0"/>
        <w:spacing w:after="0" w:line="240" w:lineRule="auto"/>
        <w:jc w:val="both"/>
        <w:rPr>
          <w:rFonts w:ascii="Verdana" w:eastAsia="Calibri" w:hAnsi="Verdana" w:cs="Arial"/>
          <w:sz w:val="20"/>
          <w:szCs w:val="20"/>
          <w:lang w:val="es-ES_tradnl" w:eastAsia="es-MX"/>
        </w:rPr>
      </w:pPr>
    </w:p>
    <w:p w14:paraId="265725AA" w14:textId="77777777" w:rsidR="00DA679C" w:rsidRPr="00DA679C" w:rsidRDefault="00DA679C" w:rsidP="00DA679C">
      <w:pPr>
        <w:widowControl w:val="0"/>
        <w:autoSpaceDE w:val="0"/>
        <w:autoSpaceDN w:val="0"/>
        <w:snapToGrid w:val="0"/>
        <w:spacing w:after="0" w:line="240" w:lineRule="auto"/>
        <w:jc w:val="both"/>
        <w:rPr>
          <w:rFonts w:ascii="Verdana" w:eastAsia="Calibri" w:hAnsi="Verdana" w:cs="Arial"/>
          <w:sz w:val="20"/>
          <w:szCs w:val="20"/>
          <w:lang w:val="es-ES" w:eastAsia="es-MX"/>
        </w:rPr>
      </w:pPr>
    </w:p>
    <w:p w14:paraId="784CAD11" w14:textId="77777777" w:rsidR="00DA679C" w:rsidRPr="00DA679C" w:rsidRDefault="00DA679C" w:rsidP="00DA679C">
      <w:pPr>
        <w:shd w:val="clear" w:color="auto" w:fill="FFFFFF"/>
        <w:spacing w:after="0" w:line="276" w:lineRule="auto"/>
        <w:ind w:right="709"/>
        <w:jc w:val="both"/>
        <w:textAlignment w:val="baseline"/>
        <w:rPr>
          <w:rFonts w:ascii="Aptos" w:eastAsia="Aptos" w:hAnsi="Aptos" w:cs="Times New Roman"/>
          <w:lang w:val="es-MX"/>
        </w:rPr>
      </w:pPr>
    </w:p>
    <w:p w14:paraId="30985BDD" w14:textId="77777777" w:rsidR="00DA679C" w:rsidRPr="00DA679C" w:rsidRDefault="00DA679C" w:rsidP="00DA679C">
      <w:pPr>
        <w:spacing w:after="0" w:line="240" w:lineRule="auto"/>
        <w:jc w:val="both"/>
        <w:rPr>
          <w:rFonts w:ascii="Verdana" w:eastAsia="Calibri" w:hAnsi="Verdana" w:cs="Arial"/>
          <w:b/>
          <w:bCs/>
        </w:rPr>
      </w:pPr>
    </w:p>
    <w:p w14:paraId="6008FC55" w14:textId="77777777" w:rsidR="00DA679C" w:rsidRPr="00DA679C" w:rsidRDefault="00DA679C" w:rsidP="00DA679C">
      <w:pPr>
        <w:spacing w:after="0" w:line="240" w:lineRule="auto"/>
        <w:jc w:val="both"/>
        <w:rPr>
          <w:rFonts w:ascii="Verdana" w:eastAsia="Calibri" w:hAnsi="Verdana" w:cs="Arial"/>
          <w:b/>
          <w:bCs/>
          <w:lang w:val="es-MX"/>
        </w:rPr>
      </w:pPr>
    </w:p>
    <w:p w14:paraId="53C53AEB" w14:textId="77777777" w:rsidR="00DA679C" w:rsidRPr="00DA679C" w:rsidRDefault="00DA679C" w:rsidP="00DA679C">
      <w:pPr>
        <w:spacing w:after="0" w:line="240" w:lineRule="auto"/>
        <w:jc w:val="right"/>
        <w:rPr>
          <w:rFonts w:ascii="Arial" w:eastAsia="Calibri" w:hAnsi="Arial" w:cs="Arial"/>
          <w:sz w:val="20"/>
          <w:szCs w:val="20"/>
          <w:lang w:val="es-MX"/>
        </w:rPr>
      </w:pPr>
    </w:p>
    <w:p w14:paraId="507234BE" w14:textId="77777777" w:rsidR="00DA679C" w:rsidRDefault="00DA679C" w:rsidP="00DA679C">
      <w:pPr>
        <w:spacing w:after="0" w:line="240" w:lineRule="auto"/>
        <w:jc w:val="right"/>
        <w:rPr>
          <w:rFonts w:ascii="Arial" w:eastAsia="Calibri" w:hAnsi="Arial" w:cs="Arial"/>
          <w:sz w:val="20"/>
          <w:szCs w:val="20"/>
          <w:lang w:val="es-MX"/>
        </w:rPr>
      </w:pPr>
    </w:p>
    <w:p w14:paraId="12E926F5" w14:textId="77777777" w:rsidR="00E46335" w:rsidRPr="00DA679C" w:rsidRDefault="00E46335" w:rsidP="00DA679C">
      <w:pPr>
        <w:spacing w:after="0" w:line="240" w:lineRule="auto"/>
        <w:jc w:val="right"/>
        <w:rPr>
          <w:rFonts w:ascii="Arial" w:eastAsia="Calibri" w:hAnsi="Arial" w:cs="Arial"/>
          <w:sz w:val="20"/>
          <w:szCs w:val="20"/>
          <w:lang w:val="es-MX"/>
        </w:rPr>
      </w:pPr>
    </w:p>
    <w:p w14:paraId="485E4207" w14:textId="77777777" w:rsidR="00DA679C" w:rsidRPr="00DA679C" w:rsidRDefault="00DA679C" w:rsidP="00DA679C">
      <w:pPr>
        <w:spacing w:after="0" w:line="240" w:lineRule="auto"/>
        <w:jc w:val="both"/>
        <w:rPr>
          <w:rFonts w:ascii="Verdana" w:eastAsia="Geomanist Light" w:hAnsi="Verdana" w:cs="Arial"/>
          <w:sz w:val="20"/>
          <w:szCs w:val="20"/>
          <w:lang w:val="es-MX" w:eastAsia="es-MX"/>
        </w:rPr>
      </w:pPr>
    </w:p>
    <w:p w14:paraId="6317DAB0" w14:textId="77777777" w:rsidR="00DA679C" w:rsidRPr="00DA679C" w:rsidRDefault="00DA679C" w:rsidP="00DA679C">
      <w:pPr>
        <w:spacing w:after="0"/>
        <w:rPr>
          <w:rFonts w:ascii="Verdana" w:eastAsia="Calibri" w:hAnsi="Verdana" w:cs="Times New Roman"/>
          <w:lang w:eastAsia="es-MX"/>
        </w:rPr>
      </w:pPr>
    </w:p>
    <w:p w14:paraId="252D6B1B" w14:textId="77777777" w:rsidR="00DA679C" w:rsidRPr="00DA679C" w:rsidRDefault="00DA679C" w:rsidP="00DA679C">
      <w:pPr>
        <w:spacing w:after="0"/>
        <w:rPr>
          <w:rFonts w:ascii="Verdana" w:eastAsia="Calibri" w:hAnsi="Verdana" w:cs="Times New Roman"/>
          <w:lang w:eastAsia="es-MX"/>
        </w:rPr>
      </w:pPr>
    </w:p>
    <w:p w14:paraId="651DF9B7" w14:textId="77777777" w:rsidR="006849EB" w:rsidRDefault="006849EB" w:rsidP="00DA679C">
      <w:pPr>
        <w:spacing w:after="0" w:line="240" w:lineRule="auto"/>
        <w:rPr>
          <w:rFonts w:ascii="Verdana" w:eastAsia="Calibri" w:hAnsi="Verdana" w:cs="Vrinda"/>
          <w:lang w:eastAsia="es-MX"/>
        </w:rPr>
      </w:pPr>
    </w:p>
    <w:p w14:paraId="327F153B" w14:textId="22A54D93" w:rsidR="00E46335" w:rsidRDefault="00DA679C" w:rsidP="00DA679C">
      <w:pPr>
        <w:spacing w:after="0" w:line="240" w:lineRule="auto"/>
        <w:rPr>
          <w:rFonts w:ascii="Verdana" w:eastAsia="Calibri" w:hAnsi="Verdana" w:cs="Vrinda"/>
          <w:lang w:eastAsia="es-MX"/>
        </w:rPr>
      </w:pPr>
      <w:r w:rsidRPr="00DA679C">
        <w:rPr>
          <w:rFonts w:ascii="Verdana" w:eastAsia="Calibri" w:hAnsi="Verdana" w:cs="Vrinda"/>
          <w:lang w:eastAsia="es-MX"/>
        </w:rPr>
        <w:lastRenderedPageBreak/>
        <w:t>Bogotá D.C.,</w:t>
      </w:r>
      <w:r w:rsidR="00E46335">
        <w:rPr>
          <w:rFonts w:ascii="Verdana" w:eastAsia="Calibri" w:hAnsi="Verdana" w:cs="Vrinda"/>
          <w:lang w:eastAsia="es-MX"/>
        </w:rPr>
        <w:t xml:space="preserve"> 8 de julio de 2026</w:t>
      </w:r>
    </w:p>
    <w:p w14:paraId="49E6A2E0" w14:textId="5C4C5CA0" w:rsidR="00E46335" w:rsidRDefault="00E46335" w:rsidP="00DA679C">
      <w:pPr>
        <w:spacing w:after="0" w:line="240" w:lineRule="auto"/>
        <w:rPr>
          <w:rFonts w:ascii="Verdana" w:eastAsia="Calibri" w:hAnsi="Verdana" w:cs="Vrinda"/>
          <w:lang w:eastAsia="es-MX"/>
        </w:rPr>
      </w:pPr>
    </w:p>
    <w:p w14:paraId="40F31513" w14:textId="7DB42ED7" w:rsidR="00CE095C" w:rsidRDefault="006849EB" w:rsidP="006849EB">
      <w:pPr>
        <w:spacing w:after="0" w:line="240" w:lineRule="auto"/>
        <w:jc w:val="right"/>
        <w:rPr>
          <w:rFonts w:ascii="Verdana" w:eastAsia="Calibri" w:hAnsi="Verdana" w:cs="Vrinda"/>
          <w:lang w:eastAsia="es-MX"/>
        </w:rPr>
      </w:pPr>
      <w:r w:rsidRPr="00E46335">
        <w:rPr>
          <w:rFonts w:ascii="Verdana" w:eastAsia="Calibri" w:hAnsi="Verdana" w:cs="Vrinda"/>
          <w:noProof/>
          <w:lang w:eastAsia="es-MX"/>
        </w:rPr>
        <w:drawing>
          <wp:anchor distT="0" distB="0" distL="114300" distR="114300" simplePos="0" relativeHeight="251658240" behindDoc="0" locked="0" layoutInCell="1" allowOverlap="1" wp14:anchorId="25312FFF" wp14:editId="35027BE9">
            <wp:simplePos x="0" y="0"/>
            <wp:positionH relativeFrom="margin">
              <wp:align>right</wp:align>
            </wp:positionH>
            <wp:positionV relativeFrom="paragraph">
              <wp:posOffset>11734</wp:posOffset>
            </wp:positionV>
            <wp:extent cx="2340610" cy="889635"/>
            <wp:effectExtent l="0" t="0" r="2540" b="5715"/>
            <wp:wrapSquare wrapText="bothSides"/>
            <wp:docPr id="19096762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67625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40610" cy="889635"/>
                    </a:xfrm>
                    <a:prstGeom prst="rect">
                      <a:avLst/>
                    </a:prstGeom>
                  </pic:spPr>
                </pic:pic>
              </a:graphicData>
            </a:graphic>
            <wp14:sizeRelH relativeFrom="page">
              <wp14:pctWidth>0</wp14:pctWidth>
            </wp14:sizeRelH>
            <wp14:sizeRelV relativeFrom="page">
              <wp14:pctHeight>0</wp14:pctHeight>
            </wp14:sizeRelV>
          </wp:anchor>
        </w:drawing>
      </w:r>
      <w:r w:rsidR="00DA679C" w:rsidRPr="00DA679C">
        <w:rPr>
          <w:rFonts w:ascii="Verdana" w:eastAsia="Calibri" w:hAnsi="Verdana" w:cs="Vrinda"/>
          <w:lang w:eastAsia="es-MX"/>
        </w:rPr>
        <w:tab/>
      </w:r>
    </w:p>
    <w:p w14:paraId="1799FCAA" w14:textId="294E6E88" w:rsidR="00DA679C" w:rsidRPr="00DA679C" w:rsidRDefault="00DA679C" w:rsidP="00DA679C">
      <w:pPr>
        <w:spacing w:after="0" w:line="240" w:lineRule="auto"/>
        <w:jc w:val="both"/>
        <w:rPr>
          <w:rFonts w:ascii="Verdana" w:eastAsia="Calibri" w:hAnsi="Verdana" w:cs="Vrinda"/>
          <w:lang w:eastAsia="es-ES"/>
        </w:rPr>
      </w:pPr>
      <w:r w:rsidRPr="00DA679C">
        <w:rPr>
          <w:rFonts w:ascii="Verdana" w:eastAsia="Calibri" w:hAnsi="Verdana" w:cs="Vrinda"/>
          <w:lang w:eastAsia="es-ES"/>
        </w:rPr>
        <w:t>Señora</w:t>
      </w:r>
    </w:p>
    <w:p w14:paraId="097ECAEC" w14:textId="77777777" w:rsidR="00DA679C" w:rsidRPr="00DA679C" w:rsidRDefault="00DA679C" w:rsidP="00DA679C">
      <w:pPr>
        <w:spacing w:after="0" w:line="240" w:lineRule="auto"/>
        <w:jc w:val="both"/>
        <w:rPr>
          <w:rFonts w:ascii="Verdana" w:eastAsia="Aptos" w:hAnsi="Verdana" w:cs="Times New Roman"/>
          <w:b/>
          <w:bCs/>
          <w:kern w:val="2"/>
          <w14:ligatures w14:val="standardContextual"/>
        </w:rPr>
      </w:pPr>
      <w:r w:rsidRPr="00DA679C">
        <w:rPr>
          <w:rFonts w:ascii="Verdana" w:eastAsia="Aptos" w:hAnsi="Verdana" w:cs="Times New Roman"/>
          <w:b/>
          <w:bCs/>
          <w:kern w:val="2"/>
          <w14:ligatures w14:val="standardContextual"/>
        </w:rPr>
        <w:t>Laura Katherine Zambrano Estupiñán</w:t>
      </w:r>
    </w:p>
    <w:p w14:paraId="603B65F2" w14:textId="77777777" w:rsidR="00DA679C" w:rsidRPr="00DA679C" w:rsidRDefault="00DA679C" w:rsidP="00DA679C">
      <w:pPr>
        <w:spacing w:after="0" w:line="240" w:lineRule="auto"/>
        <w:jc w:val="both"/>
        <w:rPr>
          <w:rFonts w:ascii="Verdana" w:eastAsia="Times New Roman" w:hAnsi="Verdana" w:cs="Vrinda"/>
          <w:lang w:eastAsia="es-CO"/>
        </w:rPr>
      </w:pPr>
      <w:r w:rsidRPr="00DA679C">
        <w:rPr>
          <w:rFonts w:ascii="Verdana" w:eastAsia="Times New Roman" w:hAnsi="Verdana" w:cs="Vrinda"/>
          <w:lang w:eastAsia="es-CO"/>
        </w:rPr>
        <w:t>Bogotá D.C</w:t>
      </w:r>
    </w:p>
    <w:p w14:paraId="61C2E72E" w14:textId="77777777" w:rsidR="00DA679C" w:rsidRPr="00DA679C" w:rsidRDefault="00DA679C" w:rsidP="00DA679C">
      <w:pPr>
        <w:spacing w:after="0" w:line="240" w:lineRule="auto"/>
        <w:rPr>
          <w:rFonts w:ascii="Verdana" w:eastAsia="Calibri" w:hAnsi="Verdana" w:cs="Arial"/>
          <w:b/>
          <w:bCs/>
          <w:lang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A679C" w:rsidRPr="00DA679C" w14:paraId="18C32F79" w14:textId="77777777" w:rsidTr="00A46F1D">
        <w:trPr>
          <w:trHeight w:val="884"/>
        </w:trPr>
        <w:tc>
          <w:tcPr>
            <w:tcW w:w="2689" w:type="dxa"/>
          </w:tcPr>
          <w:p w14:paraId="0D2BA9A1" w14:textId="77777777" w:rsidR="00DA679C" w:rsidRPr="006849EB" w:rsidRDefault="00DA679C" w:rsidP="00DA679C">
            <w:pPr>
              <w:jc w:val="both"/>
              <w:rPr>
                <w:rFonts w:ascii="Verdana" w:eastAsia="Calibri" w:hAnsi="Verdana" w:cs="Arial"/>
                <w:b/>
                <w:bCs/>
                <w:sz w:val="22"/>
                <w:szCs w:val="22"/>
                <w:lang w:val="es-ES_tradnl" w:eastAsia="es-ES_tradnl"/>
              </w:rPr>
            </w:pPr>
          </w:p>
        </w:tc>
        <w:tc>
          <w:tcPr>
            <w:tcW w:w="6100" w:type="dxa"/>
          </w:tcPr>
          <w:p w14:paraId="5F1737C3" w14:textId="1253D441" w:rsidR="00DA679C" w:rsidRPr="006849EB" w:rsidRDefault="00DA679C" w:rsidP="00DA679C">
            <w:pPr>
              <w:jc w:val="both"/>
              <w:rPr>
                <w:rFonts w:ascii="Verdana" w:eastAsia="Calibri" w:hAnsi="Verdana" w:cs="Arial"/>
                <w:b/>
                <w:bCs/>
                <w:sz w:val="22"/>
                <w:szCs w:val="22"/>
                <w:lang w:val="es-ES_tradnl" w:eastAsia="es-ES"/>
              </w:rPr>
            </w:pPr>
            <w:r w:rsidRPr="006849EB">
              <w:rPr>
                <w:rFonts w:ascii="Verdana" w:eastAsia="Calibri" w:hAnsi="Verdana" w:cs="Arial"/>
                <w:b/>
                <w:bCs/>
                <w:sz w:val="22"/>
                <w:szCs w:val="22"/>
                <w:lang w:val="es-ES_tradnl" w:eastAsia="es-ES"/>
              </w:rPr>
              <w:t>Concepto C</w:t>
            </w:r>
            <w:r w:rsidR="006849EB">
              <w:rPr>
                <w:rFonts w:ascii="Verdana" w:eastAsia="Calibri" w:hAnsi="Verdana" w:cs="Arial"/>
                <w:b/>
                <w:bCs/>
                <w:sz w:val="22"/>
                <w:szCs w:val="22"/>
                <w:lang w:val="es-ES_tradnl" w:eastAsia="es-ES"/>
              </w:rPr>
              <w:t>-</w:t>
            </w:r>
            <w:r w:rsidRPr="006849EB">
              <w:rPr>
                <w:rFonts w:ascii="Verdana" w:eastAsia="Calibri" w:hAnsi="Verdana" w:cs="Arial"/>
                <w:b/>
                <w:bCs/>
                <w:sz w:val="22"/>
                <w:szCs w:val="22"/>
                <w:lang w:val="es-ES_tradnl" w:eastAsia="es-ES"/>
              </w:rPr>
              <w:t>951 de 2026</w:t>
            </w:r>
          </w:p>
        </w:tc>
      </w:tr>
      <w:tr w:rsidR="00DA679C" w:rsidRPr="00DA679C" w14:paraId="5C2EE72B" w14:textId="77777777" w:rsidTr="00A46F1D">
        <w:trPr>
          <w:trHeight w:val="884"/>
        </w:trPr>
        <w:tc>
          <w:tcPr>
            <w:tcW w:w="2689" w:type="dxa"/>
          </w:tcPr>
          <w:p w14:paraId="1301038F" w14:textId="77777777" w:rsidR="00DA679C" w:rsidRPr="006849EB" w:rsidRDefault="00DA679C" w:rsidP="00DA679C">
            <w:pPr>
              <w:jc w:val="both"/>
              <w:rPr>
                <w:rFonts w:ascii="Verdana" w:eastAsia="Calibri" w:hAnsi="Verdana" w:cs="Arial"/>
                <w:sz w:val="22"/>
                <w:szCs w:val="22"/>
                <w:lang w:val="es-ES_tradnl" w:eastAsia="es-ES_tradnl"/>
              </w:rPr>
            </w:pPr>
            <w:r w:rsidRPr="006849EB">
              <w:rPr>
                <w:rFonts w:ascii="Verdana" w:eastAsia="Calibri" w:hAnsi="Verdana" w:cs="Arial"/>
                <w:b/>
                <w:sz w:val="22"/>
                <w:szCs w:val="22"/>
                <w:lang w:val="es-ES_tradnl" w:eastAsia="es-ES_tradnl"/>
              </w:rPr>
              <w:t>Temas:</w:t>
            </w:r>
            <w:r w:rsidRPr="006849EB">
              <w:rPr>
                <w:rFonts w:ascii="Verdana" w:eastAsia="Calibri" w:hAnsi="Verdana" w:cs="Arial"/>
                <w:sz w:val="22"/>
                <w:szCs w:val="22"/>
                <w:lang w:val="es-ES_tradnl" w:eastAsia="es-ES_tradnl"/>
              </w:rPr>
              <w:t xml:space="preserve">                   </w:t>
            </w:r>
          </w:p>
        </w:tc>
        <w:tc>
          <w:tcPr>
            <w:tcW w:w="6100" w:type="dxa"/>
          </w:tcPr>
          <w:p w14:paraId="28F24D2F" w14:textId="77777777" w:rsidR="00DA679C" w:rsidRPr="006849EB" w:rsidRDefault="00DA679C" w:rsidP="00DA679C">
            <w:pPr>
              <w:jc w:val="both"/>
              <w:rPr>
                <w:rFonts w:ascii="Verdana" w:eastAsia="Calibri" w:hAnsi="Verdana" w:cs="Arial"/>
                <w:color w:val="000000"/>
                <w:sz w:val="22"/>
                <w:szCs w:val="22"/>
                <w:lang w:val="es-ES_tradnl"/>
              </w:rPr>
            </w:pPr>
            <w:r w:rsidRPr="006849EB">
              <w:rPr>
                <w:rFonts w:ascii="Verdana" w:eastAsia="Calibri" w:hAnsi="Verdana" w:cs="Arial"/>
                <w:sz w:val="22"/>
                <w:szCs w:val="22"/>
                <w:lang w:val="es-ES_tradnl" w:eastAsia="es-ES"/>
              </w:rPr>
              <w:t xml:space="preserve">DOCUMENTOS TIPO – Generalidades – </w:t>
            </w:r>
            <w:r w:rsidRPr="006849EB">
              <w:rPr>
                <w:rFonts w:ascii="Verdana" w:eastAsia="Aptos" w:hAnsi="Verdana" w:cs="Times New Roman"/>
                <w:sz w:val="22"/>
                <w:szCs w:val="22"/>
                <w:lang w:val="es-ES_tradnl" w:eastAsia="es-ES"/>
              </w:rPr>
              <w:t xml:space="preserve">Obligatoriedad </w:t>
            </w:r>
            <w:r w:rsidRPr="006849EB">
              <w:rPr>
                <w:rFonts w:ascii="Verdana" w:eastAsia="Calibri" w:hAnsi="Verdana" w:cs="Times New Roman"/>
                <w:sz w:val="22"/>
                <w:szCs w:val="22"/>
                <w:lang w:eastAsia="es-MX"/>
              </w:rPr>
              <w:t xml:space="preserve">/ </w:t>
            </w:r>
            <w:r w:rsidRPr="006849EB">
              <w:rPr>
                <w:rFonts w:ascii="Verdana" w:eastAsia="Calibri" w:hAnsi="Verdana" w:cs="Arial"/>
                <w:sz w:val="22"/>
                <w:szCs w:val="22"/>
                <w:lang w:val="es-ES_tradnl" w:eastAsia="es-MX"/>
              </w:rPr>
              <w:t xml:space="preserve">MODALIDADES DE SELECCIÓN – Concurrencia </w:t>
            </w:r>
            <w:r w:rsidRPr="006849EB">
              <w:rPr>
                <w:rFonts w:ascii="Verdana" w:eastAsia="Aptos" w:hAnsi="Verdana" w:cs="Arial"/>
                <w:sz w:val="22"/>
                <w:szCs w:val="22"/>
                <w:lang w:val="es-ES_tradnl" w:eastAsia="es-ES"/>
              </w:rPr>
              <w:t xml:space="preserve">– Mínima cuantía – Concurso de méritos – Cuantía del proceso – Prevalencia / </w:t>
            </w:r>
            <w:r w:rsidRPr="006849EB">
              <w:rPr>
                <w:rFonts w:ascii="Verdana" w:eastAsia="Times New Roman" w:hAnsi="Verdana" w:cs="Arial"/>
                <w:color w:val="000000"/>
                <w:sz w:val="22"/>
                <w:szCs w:val="22"/>
                <w:lang w:val="es-ES_tradnl" w:eastAsia="es-ES"/>
              </w:rPr>
              <w:t xml:space="preserve">MÍNIMA CUANTÍA – Documentos tipo – Sector social – Aplicación – Interventoría / </w:t>
            </w:r>
            <w:r w:rsidRPr="006849EB">
              <w:rPr>
                <w:rFonts w:ascii="Verdana" w:eastAsia="Calibri" w:hAnsi="Verdana" w:cs="Arial"/>
                <w:color w:val="000000"/>
                <w:sz w:val="22"/>
                <w:szCs w:val="22"/>
                <w:lang w:val="es-ES_tradnl"/>
              </w:rPr>
              <w:t>INTERVENTORÍA – Mínima cuantía – Documentos tipo – Sector social – Criterio de buena práctica</w:t>
            </w:r>
          </w:p>
          <w:p w14:paraId="7287BB72" w14:textId="77777777" w:rsidR="00DA679C" w:rsidRPr="006849EB" w:rsidRDefault="00DA679C" w:rsidP="00DA679C">
            <w:pPr>
              <w:spacing w:line="276" w:lineRule="auto"/>
              <w:jc w:val="both"/>
              <w:rPr>
                <w:rFonts w:ascii="Verdana" w:eastAsia="Calibri" w:hAnsi="Verdana" w:cs="Arial"/>
                <w:sz w:val="22"/>
                <w:szCs w:val="22"/>
                <w:highlight w:val="yellow"/>
                <w:lang w:val="es-MX" w:eastAsia="es-ES"/>
              </w:rPr>
            </w:pPr>
          </w:p>
        </w:tc>
      </w:tr>
      <w:tr w:rsidR="00DA679C" w:rsidRPr="00DA679C" w14:paraId="04C6A301" w14:textId="77777777" w:rsidTr="00A46F1D">
        <w:tc>
          <w:tcPr>
            <w:tcW w:w="2689" w:type="dxa"/>
          </w:tcPr>
          <w:p w14:paraId="0E6745E6" w14:textId="77777777" w:rsidR="00DA679C" w:rsidRPr="006849EB" w:rsidRDefault="00DA679C" w:rsidP="00DA679C">
            <w:pPr>
              <w:jc w:val="both"/>
              <w:rPr>
                <w:rFonts w:ascii="Verdana" w:eastAsia="Calibri" w:hAnsi="Verdana" w:cs="Arial"/>
                <w:b/>
                <w:sz w:val="22"/>
                <w:szCs w:val="22"/>
                <w:lang w:val="es-ES_tradnl" w:eastAsia="es-ES_tradnl"/>
              </w:rPr>
            </w:pPr>
            <w:r w:rsidRPr="006849EB">
              <w:rPr>
                <w:rFonts w:ascii="Verdana" w:eastAsia="Calibri" w:hAnsi="Verdana" w:cs="Arial"/>
                <w:b/>
                <w:sz w:val="22"/>
                <w:szCs w:val="22"/>
                <w:lang w:val="es-ES_tradnl" w:eastAsia="es-ES_tradnl"/>
              </w:rPr>
              <w:t>Radicación:</w:t>
            </w:r>
            <w:r w:rsidRPr="006849EB">
              <w:rPr>
                <w:rFonts w:ascii="Verdana" w:eastAsia="Calibri" w:hAnsi="Verdana" w:cs="Arial"/>
                <w:sz w:val="22"/>
                <w:szCs w:val="22"/>
                <w:lang w:val="es-ES_tradnl" w:eastAsia="es-ES_tradnl"/>
              </w:rPr>
              <w:t xml:space="preserve">               </w:t>
            </w:r>
          </w:p>
        </w:tc>
        <w:tc>
          <w:tcPr>
            <w:tcW w:w="6100" w:type="dxa"/>
          </w:tcPr>
          <w:p w14:paraId="2AF143E6" w14:textId="77777777" w:rsidR="00DA679C" w:rsidRPr="006849EB" w:rsidRDefault="00DA679C" w:rsidP="00DA679C">
            <w:pPr>
              <w:jc w:val="both"/>
              <w:rPr>
                <w:rFonts w:ascii="Verdana" w:eastAsia="Calibri" w:hAnsi="Verdana" w:cs="Arial"/>
                <w:sz w:val="22"/>
                <w:szCs w:val="22"/>
                <w:lang w:val="es-ES_tradnl" w:eastAsia="es-ES_tradnl"/>
              </w:rPr>
            </w:pPr>
            <w:r w:rsidRPr="006849EB">
              <w:rPr>
                <w:rFonts w:ascii="Verdana" w:eastAsia="Calibri" w:hAnsi="Verdana" w:cs="Arial"/>
                <w:sz w:val="22"/>
                <w:szCs w:val="22"/>
                <w:lang w:val="es-ES_tradnl" w:eastAsia="es-ES_tradnl"/>
              </w:rPr>
              <w:t>Respuesta a consulta con radicado No. 1_2026_06_09_007819</w:t>
            </w:r>
          </w:p>
        </w:tc>
      </w:tr>
    </w:tbl>
    <w:p w14:paraId="536805AD" w14:textId="77777777" w:rsidR="00DA679C" w:rsidRPr="00DA679C" w:rsidRDefault="00DA679C" w:rsidP="00DA679C">
      <w:pPr>
        <w:spacing w:after="0" w:line="240" w:lineRule="auto"/>
        <w:jc w:val="both"/>
        <w:rPr>
          <w:rFonts w:ascii="Verdana" w:eastAsia="Calibri" w:hAnsi="Verdana" w:cs="Arial"/>
          <w:lang w:val="es-ES_tradnl" w:eastAsia="es-ES_tradnl"/>
        </w:rPr>
      </w:pPr>
    </w:p>
    <w:p w14:paraId="58AE8D0C" w14:textId="77777777" w:rsidR="00DA679C" w:rsidRPr="00DA679C" w:rsidRDefault="00DA679C" w:rsidP="00DA679C">
      <w:pPr>
        <w:spacing w:after="0" w:line="276" w:lineRule="auto"/>
        <w:jc w:val="both"/>
        <w:rPr>
          <w:rFonts w:ascii="Verdana" w:eastAsia="Calibri" w:hAnsi="Verdana" w:cs="Vrinda"/>
          <w:lang w:val="es-ES" w:eastAsia="es-ES"/>
        </w:rPr>
      </w:pPr>
      <w:r w:rsidRPr="00DA679C">
        <w:rPr>
          <w:rFonts w:ascii="Verdana" w:eastAsia="Calibri" w:hAnsi="Verdana" w:cs="Vrinda"/>
          <w:lang w:val="es-ES" w:eastAsia="es-ES"/>
        </w:rPr>
        <w:t xml:space="preserve">Estimada señora </w:t>
      </w:r>
      <w:r w:rsidRPr="00DA679C">
        <w:rPr>
          <w:rFonts w:ascii="Verdana" w:eastAsia="Aptos" w:hAnsi="Verdana" w:cs="Times New Roman"/>
          <w:kern w:val="2"/>
          <w14:ligatures w14:val="standardContextual"/>
        </w:rPr>
        <w:t>Zambrano Estupiñán</w:t>
      </w:r>
      <w:r w:rsidRPr="00DA679C">
        <w:rPr>
          <w:rFonts w:ascii="Verdana" w:eastAsia="Calibri" w:hAnsi="Verdana" w:cs="Vrinda"/>
          <w:lang w:val="es-ES" w:eastAsia="es-ES"/>
        </w:rPr>
        <w:t xml:space="preserve">: </w:t>
      </w:r>
    </w:p>
    <w:p w14:paraId="3B65DEF9" w14:textId="77777777" w:rsidR="00DA679C" w:rsidRPr="00DA679C" w:rsidRDefault="00DA679C" w:rsidP="00DA679C">
      <w:pPr>
        <w:tabs>
          <w:tab w:val="left" w:pos="3768"/>
        </w:tabs>
        <w:spacing w:after="0" w:line="276" w:lineRule="auto"/>
        <w:jc w:val="both"/>
        <w:rPr>
          <w:rFonts w:ascii="Verdana" w:eastAsia="Calibri" w:hAnsi="Verdana" w:cs="Arial"/>
          <w:lang w:val="es-ES_tradnl" w:eastAsia="es-ES"/>
        </w:rPr>
      </w:pPr>
      <w:r w:rsidRPr="00DA679C">
        <w:rPr>
          <w:rFonts w:ascii="Verdana" w:eastAsia="Calibri" w:hAnsi="Verdana" w:cs="Arial"/>
          <w:lang w:val="es-ES_tradnl" w:eastAsia="es-ES"/>
        </w:rPr>
        <w:tab/>
      </w:r>
    </w:p>
    <w:p w14:paraId="4E27D996" w14:textId="77777777" w:rsidR="00DA679C" w:rsidRPr="00DA679C" w:rsidRDefault="00DA679C" w:rsidP="00DA679C">
      <w:pPr>
        <w:spacing w:after="0" w:line="276" w:lineRule="auto"/>
        <w:jc w:val="both"/>
        <w:rPr>
          <w:rFonts w:ascii="Verdana" w:eastAsia="Calibri" w:hAnsi="Verdana" w:cs="Vrinda"/>
          <w:lang w:val="es-ES" w:eastAsia="es-ES"/>
        </w:rPr>
      </w:pPr>
      <w:r w:rsidRPr="00DA679C">
        <w:rPr>
          <w:rFonts w:ascii="Verdana" w:eastAsia="Calibri" w:hAnsi="Verdana" w:cs="Vrinda"/>
          <w:lang w:val="es-ES" w:eastAsia="es-ES"/>
        </w:rPr>
        <w:t>En ejercicio de la competencia otorgada por los artículos 3, numeral 5º, y 11, numeral 8º, del Decreto Ley 4170 de 2011,</w:t>
      </w:r>
      <w:r w:rsidRPr="00DA679C">
        <w:rPr>
          <w:rFonts w:ascii="Verdana" w:eastAsia="Arial MT" w:hAnsi="Verdana" w:cs="Vrinda"/>
          <w:lang w:val="es-ES" w:eastAsia="es-ES"/>
        </w:rPr>
        <w:t xml:space="preserve"> </w:t>
      </w:r>
      <w:r w:rsidRPr="00DA679C">
        <w:rPr>
          <w:rFonts w:ascii="Verdana" w:eastAsia="Calibri" w:hAnsi="Verdana" w:cs="Vrinda"/>
          <w:lang w:eastAsia="es-MX"/>
        </w:rPr>
        <w:t xml:space="preserve">así como lo establecido en la Resolución 469 de 2025 expedida por esta Entidad, </w:t>
      </w:r>
      <w:r w:rsidRPr="00DA679C">
        <w:rPr>
          <w:rFonts w:ascii="Verdana" w:eastAsia="Calibri" w:hAnsi="Verdana" w:cs="Vrinda"/>
          <w:lang w:val="es-ES" w:eastAsia="es-ES"/>
        </w:rPr>
        <w:t>la Agencia Nacional de Contratación Pública – Colombia Compra Eficiente– responde su solicitud del 09 de junio de 2026. En dicha petición usted manifiesta lo siguiente:</w:t>
      </w:r>
    </w:p>
    <w:p w14:paraId="69D3353E" w14:textId="77777777" w:rsidR="00DA679C" w:rsidRPr="00DA679C" w:rsidRDefault="00DA679C" w:rsidP="00DA679C">
      <w:pPr>
        <w:tabs>
          <w:tab w:val="left" w:pos="142"/>
          <w:tab w:val="left" w:pos="284"/>
        </w:tabs>
        <w:snapToGrid w:val="0"/>
        <w:spacing w:after="0" w:line="240" w:lineRule="auto"/>
        <w:jc w:val="both"/>
        <w:rPr>
          <w:rFonts w:ascii="Verdana" w:eastAsia="Century Gothic" w:hAnsi="Verdana" w:cs="Century Gothic"/>
          <w:b/>
          <w:bCs/>
          <w:sz w:val="21"/>
          <w:szCs w:val="21"/>
          <w:lang w:val="es-ES_tradnl" w:eastAsia="es-MX"/>
        </w:rPr>
      </w:pPr>
    </w:p>
    <w:p w14:paraId="66AE7EFC" w14:textId="77777777" w:rsidR="00DA679C" w:rsidRPr="00DA679C" w:rsidRDefault="00DA679C" w:rsidP="00DA67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DA679C">
        <w:rPr>
          <w:rFonts w:ascii="Verdana" w:eastAsia="Century Gothic" w:hAnsi="Verdana" w:cs="Arial"/>
          <w:sz w:val="20"/>
          <w:szCs w:val="20"/>
          <w:lang w:val="es-ES_tradnl" w:eastAsia="es-MX"/>
        </w:rPr>
        <w:t>“</w:t>
      </w:r>
      <w:r w:rsidRPr="00DA679C">
        <w:rPr>
          <w:rFonts w:ascii="Verdana" w:eastAsia="Aptos" w:hAnsi="Verdana" w:cs="Times New Roman"/>
          <w:kern w:val="2"/>
          <w:sz w:val="20"/>
          <w:szCs w:val="20"/>
          <w14:ligatures w14:val="standardContextual"/>
        </w:rPr>
        <w:t xml:space="preserve">La Entidad se encuentra estructurando un proceso de interventoría mediante la modalidad de mínima cuantía. No obstante, al revisar los Documentos Tipo y demás instrumentos publicados en su portal, particularmente los relacionados con Infraestructura Social e Institucional, no fue posible identificar documentos o formatos específicos para la estructuración de procesos de interventoría o consultoría bajo esta modalidad de selección. </w:t>
      </w:r>
    </w:p>
    <w:p w14:paraId="4F4A863A" w14:textId="77777777" w:rsidR="00DA679C" w:rsidRPr="00DA679C" w:rsidRDefault="00DA679C" w:rsidP="00DA67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DA679C">
        <w:rPr>
          <w:rFonts w:ascii="Verdana" w:eastAsia="Aptos" w:hAnsi="Verdana" w:cs="Times New Roman"/>
          <w:kern w:val="2"/>
          <w:sz w:val="20"/>
          <w:szCs w:val="20"/>
          <w14:ligatures w14:val="standardContextual"/>
        </w:rPr>
        <w:t xml:space="preserve">Por lo anterior, agradecemos indicar si los Documentos Tipo resultan aplicables a estos procesos y, en caso afirmativo, señalar cuáles son los documentos o lineamientos que deben emplearse para su elaboración. De </w:t>
      </w:r>
      <w:r w:rsidRPr="00DA679C">
        <w:rPr>
          <w:rFonts w:ascii="Verdana" w:eastAsia="Aptos" w:hAnsi="Verdana" w:cs="Times New Roman"/>
          <w:kern w:val="2"/>
          <w:sz w:val="20"/>
          <w:szCs w:val="20"/>
          <w14:ligatures w14:val="standardContextual"/>
        </w:rPr>
        <w:lastRenderedPageBreak/>
        <w:t xml:space="preserve">igual forma, solicitamos orientación frente a los criterios que deben observar las Entidades Estatales cuando no se encuentran documentos específicos para este tipo de contratación. </w:t>
      </w:r>
    </w:p>
    <w:p w14:paraId="790C427F" w14:textId="77777777" w:rsidR="00DA679C" w:rsidRPr="00DA679C" w:rsidRDefault="00DA679C" w:rsidP="00DA67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Calibri" w:hAnsi="Verdana" w:cs="Arial"/>
          <w:color w:val="000000"/>
          <w:sz w:val="20"/>
          <w:szCs w:val="20"/>
          <w:lang w:val="es-MX" w:eastAsia="es-MX"/>
        </w:rPr>
      </w:pPr>
      <w:r w:rsidRPr="00DA679C">
        <w:rPr>
          <w:rFonts w:ascii="Verdana" w:eastAsia="Aptos" w:hAnsi="Verdana" w:cs="Times New Roman"/>
          <w:kern w:val="2"/>
          <w:sz w:val="20"/>
          <w:szCs w:val="20"/>
          <w14:ligatures w14:val="standardContextual"/>
        </w:rPr>
        <w:t>Lo anterior, con el fin de garantizar la correcta estructuración del proceso y el cumplimiento de la normativa vigente</w:t>
      </w:r>
      <w:r w:rsidRPr="00DA679C">
        <w:rPr>
          <w:rFonts w:ascii="Verdana" w:eastAsia="Calibri" w:hAnsi="Verdana" w:cs="Arial"/>
          <w:color w:val="000000"/>
          <w:sz w:val="20"/>
          <w:szCs w:val="20"/>
          <w:lang w:val="es-MX" w:eastAsia="es-MX"/>
        </w:rPr>
        <w:t>”.</w:t>
      </w:r>
    </w:p>
    <w:p w14:paraId="666003C3" w14:textId="77777777" w:rsidR="00DA679C" w:rsidRPr="00DA679C" w:rsidRDefault="00DA679C" w:rsidP="00DA679C">
      <w:pPr>
        <w:tabs>
          <w:tab w:val="left" w:pos="142"/>
          <w:tab w:val="left" w:pos="1020"/>
        </w:tabs>
        <w:spacing w:after="0" w:line="276" w:lineRule="auto"/>
        <w:contextualSpacing/>
        <w:jc w:val="both"/>
        <w:rPr>
          <w:rFonts w:ascii="Verdana" w:eastAsia="Century Gothic" w:hAnsi="Verdana" w:cs="Century Gothic"/>
          <w:b/>
          <w:bCs/>
          <w:lang w:val="es-ES_tradnl" w:eastAsia="es-MX"/>
        </w:rPr>
      </w:pPr>
      <w:r w:rsidRPr="00DA679C">
        <w:rPr>
          <w:rFonts w:ascii="Verdana" w:eastAsia="Century Gothic" w:hAnsi="Verdana" w:cs="Century Gothic"/>
          <w:b/>
          <w:bCs/>
          <w:lang w:val="es-ES_tradnl" w:eastAsia="es-MX"/>
        </w:rPr>
        <w:tab/>
      </w:r>
      <w:r w:rsidRPr="00DA679C">
        <w:rPr>
          <w:rFonts w:ascii="Verdana" w:eastAsia="Century Gothic" w:hAnsi="Verdana" w:cs="Century Gothic"/>
          <w:b/>
          <w:bCs/>
          <w:lang w:val="es-ES_tradnl" w:eastAsia="es-MX"/>
        </w:rPr>
        <w:tab/>
      </w:r>
    </w:p>
    <w:p w14:paraId="0C7D32D3" w14:textId="77777777" w:rsidR="00DA679C" w:rsidRPr="00DA679C" w:rsidRDefault="00DA679C" w:rsidP="00DA679C">
      <w:pPr>
        <w:spacing w:after="120" w:line="276" w:lineRule="auto"/>
        <w:ind w:firstLine="709"/>
        <w:jc w:val="both"/>
        <w:rPr>
          <w:rFonts w:ascii="Verdana" w:eastAsia="Calibri" w:hAnsi="Verdana" w:cs="Arial"/>
          <w:lang w:val="es-ES" w:eastAsia="es-ES"/>
        </w:rPr>
      </w:pPr>
      <w:r w:rsidRPr="00DA679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A679C">
        <w:rPr>
          <w:rFonts w:ascii="Calibri" w:eastAsia="Calibri" w:hAnsi="Calibri" w:cs="Times New Roman"/>
          <w:lang w:eastAsia="es-MX"/>
        </w:rPr>
        <w:tab/>
      </w:r>
    </w:p>
    <w:p w14:paraId="3A137A1B" w14:textId="77777777" w:rsidR="00DA679C" w:rsidRPr="00DA679C" w:rsidRDefault="00DA679C" w:rsidP="00DA679C">
      <w:pPr>
        <w:snapToGrid w:val="0"/>
        <w:spacing w:after="0" w:line="276" w:lineRule="auto"/>
        <w:ind w:firstLine="709"/>
        <w:jc w:val="both"/>
        <w:rPr>
          <w:rFonts w:ascii="Verdana" w:eastAsia="Calibri" w:hAnsi="Verdana" w:cs="Arial"/>
          <w:lang w:val="es-ES_tradnl" w:eastAsia="es-ES"/>
        </w:rPr>
      </w:pPr>
      <w:r w:rsidRPr="00DA679C">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8403328" w14:textId="77777777" w:rsidR="00DA679C" w:rsidRPr="00DA679C" w:rsidRDefault="00DA679C" w:rsidP="00DA679C">
      <w:pPr>
        <w:snapToGrid w:val="0"/>
        <w:spacing w:after="0" w:line="276" w:lineRule="auto"/>
        <w:ind w:firstLine="709"/>
        <w:jc w:val="both"/>
        <w:rPr>
          <w:rFonts w:ascii="Verdana" w:eastAsia="Calibri" w:hAnsi="Verdana" w:cs="Arial"/>
          <w:lang w:val="es-ES_tradnl" w:eastAsia="es-ES"/>
        </w:rPr>
      </w:pPr>
    </w:p>
    <w:p w14:paraId="71F734BC" w14:textId="77777777" w:rsidR="00DA679C" w:rsidRPr="00DA679C" w:rsidRDefault="00DA679C" w:rsidP="00DA679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DA679C">
        <w:rPr>
          <w:rFonts w:ascii="Verdana" w:eastAsia="Century Gothic" w:hAnsi="Verdana" w:cs="Century Gothic"/>
          <w:b/>
          <w:bCs/>
          <w:lang w:val="es-ES_tradnl" w:eastAsia="es-MX"/>
        </w:rPr>
        <w:t>Problema planteado:</w:t>
      </w:r>
    </w:p>
    <w:p w14:paraId="33AEFAC5" w14:textId="77777777" w:rsidR="00DA679C" w:rsidRPr="00DA679C" w:rsidRDefault="00DA679C" w:rsidP="00DA679C">
      <w:pPr>
        <w:tabs>
          <w:tab w:val="left" w:pos="426"/>
        </w:tabs>
        <w:snapToGrid w:val="0"/>
        <w:spacing w:after="0" w:line="276" w:lineRule="auto"/>
        <w:jc w:val="both"/>
        <w:rPr>
          <w:rFonts w:ascii="Verdana" w:eastAsia="Century Gothic" w:hAnsi="Verdana" w:cs="Century Gothic"/>
          <w:lang w:val="es-ES_tradnl" w:eastAsia="es-MX"/>
        </w:rPr>
      </w:pPr>
    </w:p>
    <w:p w14:paraId="5AD735C0" w14:textId="77777777" w:rsidR="00DA679C" w:rsidRPr="00DA679C" w:rsidRDefault="00DA679C" w:rsidP="00DA679C">
      <w:pPr>
        <w:spacing w:after="0" w:line="276" w:lineRule="auto"/>
        <w:ind w:firstLine="708"/>
        <w:jc w:val="both"/>
        <w:rPr>
          <w:rFonts w:ascii="Verdana" w:eastAsia="Times New Roman" w:hAnsi="Verdana" w:cs="Times New Roman"/>
          <w:lang w:eastAsia="es-MX"/>
        </w:rPr>
      </w:pPr>
      <w:r w:rsidRPr="00DA679C">
        <w:rPr>
          <w:rFonts w:ascii="Verdana" w:eastAsia="Century Gothic" w:hAnsi="Verdana" w:cs="Century Gothic"/>
          <w:lang w:val="es-ES" w:eastAsia="es-MX"/>
        </w:rPr>
        <w:t xml:space="preserve">De acuerdo con el contenido de su solicitud, esta Agencia resolverá los siguientes problemas jurídicos: i) </w:t>
      </w:r>
      <w:r w:rsidRPr="00DA679C">
        <w:rPr>
          <w:rFonts w:ascii="Verdana" w:eastAsia="Aptos" w:hAnsi="Verdana" w:cs="Times New Roman"/>
        </w:rPr>
        <w:t>¿</w:t>
      </w:r>
      <w:r w:rsidRPr="00DA679C">
        <w:rPr>
          <w:rFonts w:ascii="Verdana" w:eastAsia="Aptos" w:hAnsi="Verdana" w:cs="Times New Roman"/>
          <w:kern w:val="2"/>
          <w14:ligatures w14:val="standardContextual"/>
        </w:rPr>
        <w:t>Cuál es la modalidad de selección aplicable cuando concurren el concurso de méritos</w:t>
      </w:r>
      <w:r w:rsidRPr="00DA679C">
        <w:rPr>
          <w:rFonts w:ascii="Verdana" w:eastAsia="Century Gothic" w:hAnsi="Verdana" w:cs="Century Gothic"/>
          <w:lang w:val="es-ES" w:eastAsia="es-MX"/>
        </w:rPr>
        <w:t xml:space="preserve">, previsto para la selección de consultores e interventores, y la mínima cuantía?, ii) ¿Existen documentos tipo adoptados por esta Agencia para </w:t>
      </w:r>
      <w:r w:rsidRPr="00DA679C">
        <w:rPr>
          <w:rFonts w:ascii="Verdana" w:eastAsia="Times New Roman" w:hAnsi="Verdana" w:cs="Times New Roman"/>
          <w:lang w:eastAsia="es-MX"/>
        </w:rPr>
        <w:t>adelantar el proceso de mínima cuantía cuyo objeto corresponda a la interventoría de obras públicas de infraestructura social? y</w:t>
      </w:r>
      <w:r w:rsidRPr="00DA679C">
        <w:rPr>
          <w:rFonts w:ascii="Verdana" w:eastAsia="Century Gothic" w:hAnsi="Verdana" w:cs="Century Gothic"/>
          <w:lang w:val="es-ES" w:eastAsia="es-MX"/>
        </w:rPr>
        <w:t xml:space="preserve"> iii) ¿Son obligatorios y aplicables los documentos tipo adoptados mediante las Resoluciones 541 del 21 de agosto de 2025 y 953 del 15 de diciembre de 2025 para adelantar un proceso de contratación por mínima cuantía cuyo objeto corresponde a la interventoría de una obra pública de infraestructura social, o </w:t>
      </w:r>
      <w:r w:rsidRPr="00DA679C">
        <w:rPr>
          <w:rFonts w:ascii="Verdana" w:eastAsia="Century Gothic" w:hAnsi="Verdana" w:cs="Century Gothic"/>
          <w:lang w:val="es-ES" w:eastAsia="es-MX"/>
        </w:rPr>
        <w:lastRenderedPageBreak/>
        <w:t>puede la entidad estatal estructurar dicho proceso con fundamento en las reglas generales de la modalidad de mínima cuantía?</w:t>
      </w:r>
    </w:p>
    <w:p w14:paraId="0D35ECF5" w14:textId="77777777" w:rsidR="00DA679C" w:rsidRPr="00DA679C" w:rsidRDefault="00DA679C" w:rsidP="00DA679C">
      <w:pPr>
        <w:spacing w:after="0" w:line="240" w:lineRule="auto"/>
        <w:jc w:val="both"/>
        <w:rPr>
          <w:rFonts w:ascii="Verdana" w:eastAsia="Calibri" w:hAnsi="Verdana" w:cs="Arial"/>
          <w:lang w:eastAsia="es-MX"/>
        </w:rPr>
      </w:pPr>
    </w:p>
    <w:p w14:paraId="68D01D30" w14:textId="77777777" w:rsidR="00DA679C" w:rsidRPr="00DA679C" w:rsidRDefault="00DA679C" w:rsidP="00DA679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DA679C">
        <w:rPr>
          <w:rFonts w:ascii="Verdana" w:eastAsia="Century Gothic" w:hAnsi="Verdana" w:cs="Century Gothic"/>
          <w:b/>
          <w:bCs/>
          <w:lang w:val="es-ES_tradnl" w:eastAsia="es-MX"/>
        </w:rPr>
        <w:t>Respuesta:</w:t>
      </w:r>
    </w:p>
    <w:p w14:paraId="12FC9E65" w14:textId="77777777" w:rsidR="00DA679C" w:rsidRPr="00DA679C" w:rsidRDefault="00DA679C" w:rsidP="00DA679C">
      <w:pPr>
        <w:tabs>
          <w:tab w:val="left" w:pos="142"/>
          <w:tab w:val="left" w:pos="284"/>
        </w:tabs>
        <w:snapToGrid w:val="0"/>
        <w:spacing w:after="0" w:line="276" w:lineRule="auto"/>
        <w:jc w:val="both"/>
        <w:rPr>
          <w:rFonts w:ascii="Verdana" w:eastAsia="Century Gothic" w:hAnsi="Verdana" w:cs="Century Gothic"/>
          <w:b/>
          <w:bCs/>
          <w:lang w:val="es-ES_tradnl"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A679C" w:rsidRPr="00DA679C" w14:paraId="68745447" w14:textId="77777777" w:rsidTr="00A46F1D">
        <w:tc>
          <w:tcPr>
            <w:tcW w:w="8828" w:type="dxa"/>
          </w:tcPr>
          <w:p w14:paraId="00554803" w14:textId="77777777" w:rsidR="00DA679C" w:rsidRPr="00DA679C" w:rsidRDefault="00DA679C" w:rsidP="00DA679C">
            <w:pPr>
              <w:spacing w:after="120" w:line="276" w:lineRule="auto"/>
              <w:jc w:val="both"/>
              <w:rPr>
                <w:rFonts w:ascii="Verdana" w:eastAsia="Times New Roman" w:hAnsi="Verdana" w:cs="Arial"/>
                <w:color w:val="000000"/>
                <w:lang w:val="es-ES_tradnl" w:eastAsia="es-ES"/>
              </w:rPr>
            </w:pPr>
            <w:r w:rsidRPr="00DA679C">
              <w:rPr>
                <w:rFonts w:ascii="Verdana" w:eastAsia="Arial" w:hAnsi="Verdana" w:cs="Arial"/>
                <w:bCs/>
                <w:lang w:val="es-ES" w:eastAsia="es-MX"/>
              </w:rPr>
              <w:t xml:space="preserve">ii. Para responder al primer problema jurídico de la solicitud, debe precisarse que, </w:t>
            </w:r>
            <w:r w:rsidRPr="00DA679C">
              <w:rPr>
                <w:rFonts w:ascii="Verdana" w:eastAsia="Aptos" w:hAnsi="Verdana" w:cs="Times New Roman"/>
                <w:lang w:eastAsia="es-ES_tradnl"/>
              </w:rPr>
              <w:t>“</w:t>
            </w:r>
            <w:r w:rsidRPr="00DA679C">
              <w:rPr>
                <w:rFonts w:ascii="Verdana" w:eastAsia="Times New Roman" w:hAnsi="Verdana" w:cs="Arial"/>
                <w:lang w:eastAsia="es-ES_tradnl"/>
              </w:rPr>
              <w:t>el concurso de méritos es una modalidad establecida por la ley para la adecuada escogencia de consultores en general y de consultores de diseños, planos, anteproyectos y proyectos arquitectónicos (proyectos de arquitectura)</w:t>
            </w:r>
            <w:r w:rsidRPr="00DA679C">
              <w:rPr>
                <w:rFonts w:ascii="Verdana" w:eastAsia="Aptos" w:hAnsi="Verdana" w:cs="Times New Roman"/>
                <w:lang w:eastAsia="es-ES_tradnl"/>
              </w:rPr>
              <w:t>”</w:t>
            </w:r>
            <w:r w:rsidRPr="00DA679C">
              <w:rPr>
                <w:rFonts w:ascii="Verdana" w:eastAsia="Times New Roman" w:hAnsi="Verdana" w:cs="Arial"/>
                <w:lang w:eastAsia="es-ES_tradnl"/>
              </w:rPr>
              <w:t>. Así, la procedencia de esta modalidad de selección viene determinada por la naturaleza de su objeto contractual, ya que es de carácter marcadamente intelectual y de índole técnica, lo que torna a esta modalidad de selección sea a su vez,</w:t>
            </w:r>
            <w:r w:rsidRPr="00DA679C">
              <w:rPr>
                <w:rFonts w:ascii="Verdana" w:eastAsia="Times New Roman" w:hAnsi="Verdana" w:cs="Arial"/>
                <w:color w:val="000000"/>
                <w:lang w:val="es-ES_tradnl" w:eastAsia="es-ES"/>
              </w:rPr>
              <w:t xml:space="preserve"> de carácter restringido pues se limita a los establecidos en el numeral 2 del artículo 32 de la Ley 80 de 1993. </w:t>
            </w:r>
          </w:p>
          <w:p w14:paraId="62B83ADC" w14:textId="77777777" w:rsidR="00DA679C" w:rsidRPr="00DA679C" w:rsidRDefault="00DA679C" w:rsidP="00DA679C">
            <w:pPr>
              <w:spacing w:before="120" w:after="120" w:line="276" w:lineRule="auto"/>
              <w:ind w:firstLine="709"/>
              <w:jc w:val="both"/>
              <w:rPr>
                <w:rFonts w:ascii="Verdana" w:eastAsia="Calibri" w:hAnsi="Verdana" w:cs="Arial"/>
                <w:color w:val="000000"/>
                <w:lang w:val="es-ES_tradnl" w:eastAsia="es-ES"/>
              </w:rPr>
            </w:pPr>
            <w:r w:rsidRPr="00DA679C">
              <w:rPr>
                <w:rFonts w:ascii="Verdana" w:eastAsia="Times New Roman" w:hAnsi="Verdana" w:cs="Arial"/>
                <w:color w:val="000000"/>
                <w:lang w:val="es-ES_tradnl" w:eastAsia="es-ES"/>
              </w:rPr>
              <w:t xml:space="preserve">Por su parte, </w:t>
            </w:r>
            <w:r w:rsidRPr="00DA679C">
              <w:rPr>
                <w:rFonts w:ascii="Verdana" w:eastAsia="Calibri" w:hAnsi="Verdana" w:cs="Arial"/>
                <w:color w:val="000000"/>
                <w:lang w:val="es-ES_tradnl" w:eastAsia="es-ES"/>
              </w:rPr>
              <w:t>la mínima cuantía es un procedimiento de selección “exceptivo”,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 y lo segundo, porque sus requisitos, etapas y términos son peculiares.</w:t>
            </w:r>
          </w:p>
          <w:p w14:paraId="50B6E45C" w14:textId="77777777" w:rsidR="00DA679C" w:rsidRPr="00DA679C" w:rsidRDefault="00DA679C" w:rsidP="00DA679C">
            <w:pPr>
              <w:spacing w:before="120" w:after="120" w:line="276" w:lineRule="auto"/>
              <w:ind w:firstLine="709"/>
              <w:jc w:val="both"/>
              <w:rPr>
                <w:rFonts w:ascii="Verdana" w:eastAsia="Calibri" w:hAnsi="Verdana" w:cs="Arial"/>
                <w:color w:val="000000"/>
                <w:lang w:val="es-ES_tradnl" w:eastAsia="es-ES"/>
              </w:rPr>
            </w:pPr>
            <w:r w:rsidRPr="00DA679C">
              <w:rPr>
                <w:rFonts w:ascii="Verdana" w:eastAsia="Calibri" w:hAnsi="Verdana" w:cs="Arial"/>
                <w:color w:val="000000"/>
                <w:lang w:val="es-ES_tradnl" w:eastAsia="es-ES"/>
              </w:rPr>
              <w:t xml:space="preserve">Entonces, como se observa de lo anterior, el proceso de selección de mínima cuantía el criterio determinante para establecer la procedencia de esta modalidad de selección de contratistas es la cuantía, y ello, se reitera, con independencia del objeto a contratar, lo que se traduce en que, frente a eventuales concurrencia de este procedimiento y otros específicos para determinados objetos contractuales, por disposición legal, deberá preferirse aquella modalidad –mínima cuantía–. </w:t>
            </w:r>
          </w:p>
          <w:p w14:paraId="13638EDE" w14:textId="77777777" w:rsidR="00DA679C" w:rsidRPr="00DA679C" w:rsidRDefault="00DA679C" w:rsidP="00DA679C">
            <w:pPr>
              <w:spacing w:after="120" w:line="276" w:lineRule="auto"/>
              <w:ind w:firstLine="708"/>
              <w:jc w:val="both"/>
              <w:rPr>
                <w:rFonts w:ascii="Verdana" w:eastAsia="Times New Roman" w:hAnsi="Verdana" w:cs="Arial"/>
                <w:bCs/>
                <w:lang w:eastAsia="es-ES_tradnl"/>
              </w:rPr>
            </w:pPr>
            <w:r w:rsidRPr="00DA679C">
              <w:rPr>
                <w:rFonts w:ascii="Verdana" w:eastAsia="Times New Roman" w:hAnsi="Verdana" w:cs="Arial"/>
                <w:bCs/>
                <w:lang w:eastAsia="es-ES_tradnl"/>
              </w:rPr>
              <w:t xml:space="preserve">De este modo, es importante analizar la solución específica para aquellos eventos en donde podría considerarse en principio que existe </w:t>
            </w:r>
            <w:r w:rsidRPr="00DA679C">
              <w:rPr>
                <w:rFonts w:ascii="Verdana" w:eastAsia="Times New Roman" w:hAnsi="Verdana" w:cs="Arial"/>
                <w:bCs/>
                <w:lang w:eastAsia="es-ES_tradnl"/>
              </w:rPr>
              <w:lastRenderedPageBreak/>
              <w:t xml:space="preserve">concurrencia de modalidades de selección, como es el caso de la consulta. En efecto, por regla general la escogencia de interventores se surte por concurso de méritos, el cual, según el numeral 3° del artículo 2 de la Ley 1150 de 2007, corresponde a la modalidad prevista para la selección </w:t>
            </w:r>
            <w:r w:rsidRPr="00DA679C">
              <w:rPr>
                <w:rFonts w:ascii="Verdana" w:eastAsia="Times New Roman" w:hAnsi="Verdana" w:cs="Arial"/>
                <w:i/>
                <w:iCs/>
                <w:lang w:val="es-ES_tradnl" w:eastAsia="es-ES_tradnl"/>
              </w:rPr>
              <w:t>“</w:t>
            </w:r>
            <w:r w:rsidRPr="00DA679C">
              <w:rPr>
                <w:rFonts w:ascii="Verdana" w:eastAsia="Times New Roman" w:hAnsi="Verdana" w:cs="Arial"/>
                <w:bCs/>
                <w:i/>
                <w:iCs/>
                <w:lang w:eastAsia="es-ES_tradnl"/>
              </w:rPr>
              <w:t>de consultores o proyectos, en la que se podrán utilizar sistemas de concurso abierto o de precalificación</w:t>
            </w:r>
            <w:r w:rsidRPr="00DA679C">
              <w:rPr>
                <w:rFonts w:ascii="Verdana" w:eastAsia="Times New Roman" w:hAnsi="Verdana" w:cs="Arial"/>
                <w:i/>
                <w:iCs/>
                <w:lang w:val="es-ES_tradnl" w:eastAsia="es-ES_tradnl"/>
              </w:rPr>
              <w:t>”</w:t>
            </w:r>
            <w:r w:rsidRPr="00DA679C">
              <w:rPr>
                <w:rFonts w:ascii="Verdana" w:eastAsia="Times New Roman" w:hAnsi="Verdana" w:cs="Arial"/>
                <w:bCs/>
                <w:i/>
                <w:iCs/>
                <w:lang w:eastAsia="es-ES_tradnl"/>
              </w:rPr>
              <w:t>.</w:t>
            </w:r>
          </w:p>
          <w:p w14:paraId="6D6C8E46" w14:textId="77777777" w:rsidR="00DA679C" w:rsidRPr="00DA679C" w:rsidRDefault="00DA679C" w:rsidP="00DA679C">
            <w:pPr>
              <w:spacing w:before="120" w:after="120" w:line="276" w:lineRule="auto"/>
              <w:ind w:firstLine="709"/>
              <w:jc w:val="both"/>
              <w:rPr>
                <w:rFonts w:ascii="Verdana" w:eastAsia="Times New Roman" w:hAnsi="Verdana" w:cs="Arial"/>
                <w:color w:val="000000"/>
                <w:lang w:val="es-ES_tradnl" w:eastAsia="es-ES"/>
              </w:rPr>
            </w:pPr>
            <w:r w:rsidRPr="00DA679C">
              <w:rPr>
                <w:rFonts w:ascii="Verdana" w:eastAsia="Times New Roman" w:hAnsi="Verdana" w:cs="Arial"/>
                <w:bCs/>
                <w:lang w:eastAsia="es-ES_tradnl"/>
              </w:rPr>
              <w:t>En este contexto, la escogencia del interventor, a través de concurso de méritos, podría parecer que concurre con la modalidad de mínima cuantía que, como se referenció, según el artículo 94 de la Ley 1474 de 2011, modificado por el artículo 30 de la Ley 2069 de 2020, consiste en la contratación cuyo valor no excede del diez por ciento (10%) de la menor cuantía de la entidad independientemente de su objeto.</w:t>
            </w:r>
          </w:p>
          <w:p w14:paraId="789AF309" w14:textId="77777777" w:rsidR="00DA679C" w:rsidRPr="00DA679C" w:rsidRDefault="00DA679C" w:rsidP="00DA679C">
            <w:pPr>
              <w:spacing w:before="120" w:after="120" w:line="276" w:lineRule="auto"/>
              <w:ind w:firstLine="709"/>
              <w:jc w:val="both"/>
              <w:rPr>
                <w:rFonts w:ascii="Verdana" w:eastAsia="Times New Roman" w:hAnsi="Verdana" w:cs="Times New Roman"/>
                <w:lang w:eastAsia="es-ES_tradnl"/>
              </w:rPr>
            </w:pPr>
            <w:r w:rsidRPr="00DA679C">
              <w:rPr>
                <w:rFonts w:ascii="Verdana" w:eastAsia="Times New Roman" w:hAnsi="Verdana" w:cs="Arial"/>
                <w:lang w:val="es-ES_tradnl" w:eastAsia="es-ES_tradnl"/>
              </w:rPr>
              <w:t>En virtud de lo anterior, el “Manual de la modalidad de selección de mínima cuantía”, publicado por la Agencia Nacional de Contratación Pública – Colombia Compra Eficiente, expresa que “</w:t>
            </w:r>
            <w:r w:rsidRPr="00DA679C">
              <w:rPr>
                <w:rFonts w:ascii="Verdana" w:eastAsia="Times New Roman" w:hAnsi="Verdana" w:cs="Arial"/>
                <w:i/>
                <w:iCs/>
                <w:lang w:val="es-ES_tradnl" w:eastAsia="es-ES_tradnl"/>
              </w:rPr>
              <w:t>Dado que la selección de mínima cuantía es especial para cualquier objeto contractual, de conformidad con el inciso primero del artículo 30 de la Ley 2069 de 2020, en caso de concurrencia entre el concurso de méritos y la mínima cuantía, la modalidad de selección aplicable será la de mínima cuantía</w:t>
            </w:r>
            <w:r w:rsidRPr="00DA679C">
              <w:rPr>
                <w:rFonts w:ascii="Verdana" w:eastAsia="Times New Roman" w:hAnsi="Verdana" w:cs="Arial"/>
                <w:lang w:val="es-ES_tradnl" w:eastAsia="es-ES_tradnl"/>
              </w:rPr>
              <w:t xml:space="preserve">”. </w:t>
            </w:r>
          </w:p>
          <w:p w14:paraId="6B6A97C7" w14:textId="77777777" w:rsidR="00DA679C" w:rsidRPr="00DA679C" w:rsidRDefault="00DA679C" w:rsidP="00DA679C">
            <w:pPr>
              <w:spacing w:line="276" w:lineRule="auto"/>
              <w:ind w:firstLine="709"/>
              <w:jc w:val="both"/>
              <w:rPr>
                <w:rFonts w:ascii="Verdana" w:eastAsia="Times New Roman" w:hAnsi="Verdana" w:cs="Arial"/>
                <w:color w:val="000000"/>
                <w:lang w:val="es-ES_tradnl" w:eastAsia="es-ES"/>
              </w:rPr>
            </w:pPr>
            <w:r w:rsidRPr="00DA679C">
              <w:rPr>
                <w:rFonts w:ascii="Verdana" w:eastAsia="Times New Roman" w:hAnsi="Verdana" w:cs="Arial"/>
                <w:color w:val="000000"/>
                <w:lang w:val="es-ES_tradnl" w:eastAsia="es-ES"/>
              </w:rPr>
              <w:t xml:space="preserve">De igual forma, es cierto que esta ha sido la interpretación del Consejo de Estado, que al estudiar la concurrencia entre la mínima cuantía y otras modalidades de selección –incluido el concurso de méritos para la selección de </w:t>
            </w:r>
            <w:r w:rsidRPr="00DA679C">
              <w:rPr>
                <w:rFonts w:ascii="Verdana" w:eastAsia="Times New Roman" w:hAnsi="Verdana" w:cs="Arial"/>
                <w:i/>
                <w:iCs/>
                <w:color w:val="000000"/>
                <w:lang w:val="es-ES_tradnl" w:eastAsia="es-ES"/>
              </w:rPr>
              <w:t>consultores</w:t>
            </w:r>
            <w:r w:rsidRPr="00DA679C">
              <w:rPr>
                <w:rFonts w:ascii="Verdana" w:eastAsia="Times New Roman" w:hAnsi="Verdana" w:cs="Arial"/>
                <w:color w:val="000000"/>
                <w:lang w:val="es-ES_tradnl" w:eastAsia="es-ES"/>
              </w:rPr>
              <w:t>, al tenor del artículo 32, numeral 2 de la Ley 80 de 1993–, ha concluido que:</w:t>
            </w:r>
          </w:p>
          <w:p w14:paraId="734DA2B4" w14:textId="77777777" w:rsidR="00DA679C" w:rsidRPr="00DA679C" w:rsidRDefault="00DA679C" w:rsidP="00DA679C">
            <w:pPr>
              <w:ind w:left="709" w:right="709"/>
              <w:jc w:val="both"/>
              <w:rPr>
                <w:rFonts w:ascii="Verdana" w:eastAsia="Times New Roman" w:hAnsi="Verdana" w:cs="Arial"/>
                <w:sz w:val="21"/>
                <w:szCs w:val="21"/>
                <w:lang w:val="es-ES_tradnl" w:eastAsia="es-ES_tradnl"/>
              </w:rPr>
            </w:pPr>
          </w:p>
          <w:p w14:paraId="0467C583" w14:textId="77777777" w:rsidR="00DA679C" w:rsidRPr="00DA679C" w:rsidRDefault="00DA679C" w:rsidP="00DA679C">
            <w:pPr>
              <w:ind w:left="709" w:right="709"/>
              <w:jc w:val="both"/>
              <w:rPr>
                <w:rFonts w:ascii="Verdana" w:eastAsia="Times New Roman" w:hAnsi="Verdana" w:cs="Arial"/>
                <w:sz w:val="21"/>
                <w:szCs w:val="21"/>
                <w:lang w:val="es-ES_tradnl" w:eastAsia="es-ES_tradnl"/>
              </w:rPr>
            </w:pPr>
            <w:r w:rsidRPr="00DA679C">
              <w:rPr>
                <w:rFonts w:ascii="Verdana" w:eastAsia="Times New Roman" w:hAnsi="Verdana" w:cs="Arial"/>
                <w:sz w:val="21"/>
                <w:szCs w:val="21"/>
                <w:lang w:val="es-ES_tradnl" w:eastAsia="es-ES_tradnl"/>
              </w:rPr>
              <w:t xml:space="preserve">“(…), cuando el monto de la contratación sea equivalente a la mínima cuantía de la entidad estatal, pero, concomitante a ello, esta última (la entidad) advierta que también aplica alguna modalidad de selección específica (dadas las condiciones especiales del objeto), ella debe acudir al procedimiento establecido para la mínima cuantía; así, por ejemplo, si la administración necesita contratar la prestación de servicios de salud (supuesto que se enmarca en el trámite de </w:t>
            </w:r>
            <w:r w:rsidRPr="00DA679C">
              <w:rPr>
                <w:rFonts w:ascii="Verdana" w:eastAsia="Times New Roman" w:hAnsi="Verdana" w:cs="Arial"/>
                <w:sz w:val="21"/>
                <w:szCs w:val="21"/>
                <w:lang w:val="es-ES_tradnl" w:eastAsia="es-ES_tradnl"/>
              </w:rPr>
              <w:lastRenderedPageBreak/>
              <w:t xml:space="preserve">selección abreviada), pero el valor del contrato no excede del 10% de la menor cuantía de la entidad, este último será el criterio que se debe tener en cuenta para la escogencia del contratista; por tanto, </w:t>
            </w:r>
            <w:r w:rsidRPr="00DA679C">
              <w:rPr>
                <w:rFonts w:ascii="Verdana" w:eastAsia="Times New Roman" w:hAnsi="Verdana" w:cs="Arial"/>
                <w:sz w:val="21"/>
                <w:szCs w:val="21"/>
                <w:u w:val="single"/>
                <w:lang w:val="es-ES_tradnl" w:eastAsia="es-ES_tradnl"/>
              </w:rPr>
              <w:t>el procedimiento que debe seguirse será el de mínima cuantía, independientemente –se insiste– del objeto a contratar</w:t>
            </w:r>
            <w:r w:rsidRPr="00DA679C">
              <w:rPr>
                <w:rFonts w:ascii="Verdana" w:eastAsia="Times New Roman" w:hAnsi="Verdana" w:cs="Arial"/>
                <w:sz w:val="21"/>
                <w:szCs w:val="21"/>
                <w:lang w:val="es-ES_tradnl" w:eastAsia="es-ES_tradnl"/>
              </w:rPr>
              <w:t xml:space="preserve">. </w:t>
            </w:r>
            <w:r w:rsidRPr="00DA679C">
              <w:rPr>
                <w:rFonts w:ascii="Verdana" w:eastAsia="Times New Roman" w:hAnsi="Verdana" w:cs="Arial"/>
                <w:i/>
                <w:iCs/>
                <w:sz w:val="21"/>
                <w:szCs w:val="21"/>
                <w:lang w:val="es-ES_tradnl" w:eastAsia="es-ES_tradnl"/>
              </w:rPr>
              <w:t>Lo mismo se aplica cuando se necesita contratar una consultoría</w:t>
            </w:r>
            <w:r w:rsidRPr="00DA679C">
              <w:rPr>
                <w:rFonts w:ascii="Verdana" w:eastAsia="Times New Roman" w:hAnsi="Verdana" w:cs="Arial"/>
                <w:sz w:val="21"/>
                <w:szCs w:val="21"/>
                <w:lang w:val="es-ES_tradnl" w:eastAsia="es-ES_tradnl"/>
              </w:rPr>
              <w:t xml:space="preserve"> o adquirir bienes o servicios de características técnicas uniformes y de común utilización, entre otros, siempre que el costo de la contratación no supere la mínima cuantía de la entidad” (Cursiva y subraya fuera de texto).</w:t>
            </w:r>
          </w:p>
          <w:p w14:paraId="1C10D848" w14:textId="77777777" w:rsidR="00DA679C" w:rsidRPr="00DA679C" w:rsidRDefault="00DA679C" w:rsidP="00DA679C">
            <w:pPr>
              <w:spacing w:line="276" w:lineRule="auto"/>
              <w:jc w:val="both"/>
              <w:rPr>
                <w:rFonts w:ascii="Verdana" w:eastAsia="Times New Roman" w:hAnsi="Verdana" w:cs="Arial"/>
                <w:color w:val="000000"/>
                <w:lang w:val="es-ES_tradnl" w:eastAsia="es-ES"/>
              </w:rPr>
            </w:pPr>
          </w:p>
          <w:p w14:paraId="4D4603A5" w14:textId="77777777" w:rsidR="00DA679C" w:rsidRPr="00DA679C" w:rsidRDefault="00DA679C" w:rsidP="00DA679C">
            <w:pPr>
              <w:snapToGrid w:val="0"/>
              <w:spacing w:line="276" w:lineRule="auto"/>
              <w:ind w:firstLine="709"/>
              <w:jc w:val="both"/>
              <w:rPr>
                <w:rFonts w:ascii="Verdana" w:eastAsia="Times New Roman" w:hAnsi="Verdana" w:cs="Arial"/>
                <w:lang w:val="es-ES_tradnl" w:eastAsia="es-ES_tradnl"/>
              </w:rPr>
            </w:pPr>
            <w:r w:rsidRPr="00DA679C">
              <w:rPr>
                <w:rFonts w:ascii="Verdana" w:eastAsia="Times New Roman" w:hAnsi="Verdana" w:cs="Arial"/>
                <w:lang w:val="es-ES_tradnl" w:eastAsia="es-ES_tradnl"/>
              </w:rPr>
              <w:t>De acuerdo con la jurisprudencia citada, cuando el valor estimado del contrato corresponde a la mínima cuantía de la entidad estatal, esta circunstancia prevalece sobre la modalidad de selección que, por razón del objeto contractual, podría resultar aplicable. Lo anterior, para efectos de la concurrencia de la modalidad de selección de mínima cuantía y la de concurso de méritos.</w:t>
            </w:r>
          </w:p>
          <w:p w14:paraId="1206A158" w14:textId="77777777" w:rsidR="00DA679C" w:rsidRPr="00DA679C" w:rsidRDefault="00DA679C" w:rsidP="00DA679C">
            <w:pPr>
              <w:snapToGrid w:val="0"/>
              <w:spacing w:before="120" w:line="276" w:lineRule="auto"/>
              <w:ind w:firstLine="709"/>
              <w:jc w:val="both"/>
              <w:rPr>
                <w:rFonts w:ascii="Verdana" w:eastAsia="Times New Roman" w:hAnsi="Verdana" w:cs="Arial"/>
                <w:color w:val="000000"/>
                <w:lang w:val="es-ES_tradnl" w:eastAsia="es-ES"/>
              </w:rPr>
            </w:pPr>
            <w:r w:rsidRPr="00DA679C">
              <w:rPr>
                <w:rFonts w:ascii="Verdana" w:eastAsia="Times New Roman" w:hAnsi="Verdana" w:cs="Arial"/>
                <w:color w:val="000000"/>
                <w:lang w:val="es-ES_tradnl" w:eastAsia="es-ES"/>
              </w:rPr>
              <w:t xml:space="preserve">De acuerdo con lo expuesto, considerando el objeto y la modalidad de selección planteados en la consulta, se observa la concurrencia de las modalidades de selección de mínima cuantía y de concurso de méritos, siendo esta última la procedente, por regla general, para la selección de consultores. No obstante, como se indicó, si el valor de la contratación no excede del diez por ciento (10%) de la menor cuantía de la entidad, independientemente de su objeto –y sin perjuicio del análisis de procedencia de otros mecanismos especiales de selección del contratista–, el proceso de selección deberá adelantarse mediante la modalidad de selección de </w:t>
            </w:r>
            <w:r w:rsidRPr="00DA679C">
              <w:rPr>
                <w:rFonts w:ascii="Verdana" w:eastAsia="Times New Roman" w:hAnsi="Verdana" w:cs="Arial"/>
                <w:i/>
                <w:iCs/>
                <w:color w:val="000000"/>
                <w:lang w:val="es-ES_tradnl" w:eastAsia="es-ES"/>
              </w:rPr>
              <w:t>mínima cuantía</w:t>
            </w:r>
            <w:r w:rsidRPr="00DA679C">
              <w:rPr>
                <w:rFonts w:ascii="Verdana" w:eastAsia="Times New Roman" w:hAnsi="Verdana" w:cs="Arial"/>
                <w:color w:val="000000"/>
                <w:lang w:val="es-ES_tradnl" w:eastAsia="es-ES"/>
              </w:rPr>
              <w:t>, en aplicación de lo preceptuado en el artículo 2, numeral 5, de la Ley 1150 de 2007, modificado por el artículo 30 de la Ley 2069 de 2020. En consecuencia, el criterio para la escogencia del contratista será el menor precio, siempre y cuando cumpla con las condiciones exigidas en la invitación.</w:t>
            </w:r>
          </w:p>
          <w:p w14:paraId="23685CA0" w14:textId="77777777" w:rsidR="00DA679C" w:rsidRPr="00DA679C" w:rsidRDefault="00DA679C" w:rsidP="00DA679C">
            <w:pPr>
              <w:spacing w:line="276" w:lineRule="auto"/>
              <w:ind w:firstLine="708"/>
              <w:jc w:val="both"/>
              <w:rPr>
                <w:rFonts w:ascii="Verdana" w:eastAsia="Times New Roman" w:hAnsi="Verdana" w:cs="Arial"/>
                <w:color w:val="000000"/>
                <w:lang w:val="es-ES_tradnl" w:eastAsia="es-ES"/>
              </w:rPr>
            </w:pPr>
          </w:p>
          <w:p w14:paraId="75B62DAE" w14:textId="77777777" w:rsidR="00DA679C" w:rsidRPr="00DA679C" w:rsidRDefault="00DA679C" w:rsidP="00DA679C">
            <w:pPr>
              <w:spacing w:after="120" w:line="276" w:lineRule="auto"/>
              <w:jc w:val="both"/>
              <w:rPr>
                <w:rFonts w:ascii="Verdana" w:eastAsia="Aptos" w:hAnsi="Verdana" w:cs="Arial"/>
                <w:lang w:val="es-ES_tradnl"/>
              </w:rPr>
            </w:pPr>
            <w:r w:rsidRPr="00DA679C">
              <w:rPr>
                <w:rFonts w:ascii="Verdana" w:eastAsia="Aptos" w:hAnsi="Verdana" w:cs="Arial"/>
                <w:lang w:val="es-ES_tradnl"/>
              </w:rPr>
              <w:t>ii.  Por unidad de materia, los problemas jurídicos uno y dos, se responderán de forma conjunta en los siguientes términos:</w:t>
            </w:r>
          </w:p>
          <w:p w14:paraId="690357F5" w14:textId="77777777" w:rsidR="00DA679C" w:rsidRPr="00DA679C" w:rsidRDefault="00DA679C" w:rsidP="00DA679C">
            <w:pPr>
              <w:spacing w:after="120" w:line="276" w:lineRule="auto"/>
              <w:jc w:val="both"/>
              <w:rPr>
                <w:rFonts w:ascii="Verdana" w:eastAsia="Times New Roman" w:hAnsi="Verdana" w:cs="Times New Roman"/>
                <w:color w:val="000000"/>
                <w:lang w:eastAsia="es-CO"/>
              </w:rPr>
            </w:pPr>
            <w:r w:rsidRPr="00DA679C">
              <w:rPr>
                <w:rFonts w:ascii="Verdana" w:eastAsia="Aptos" w:hAnsi="Verdana" w:cs="Arial"/>
                <w:lang w:val="es-ES_tradnl"/>
              </w:rPr>
              <w:lastRenderedPageBreak/>
              <w:t>Como se indica en el numeral i. de este concepto, en ejercicio de la competencia del artículo 1 de la Ley 2022 de 2020, la Agencia Nacional de Contratación Pública – Colombia Compra Eficiente expidió la Resolución 541 del 21 de agosto de 2025 mediante la cual se adoptan los documentos tipo para los procesos de mínima cuantía de obra pública de infraestructura social.</w:t>
            </w:r>
            <w:r w:rsidRPr="00DA679C">
              <w:rPr>
                <w:rFonts w:ascii="Verdana" w:eastAsia="Times New Roman" w:hAnsi="Verdana" w:cs="Times New Roman"/>
                <w:color w:val="000000"/>
                <w:lang w:eastAsia="es-CO"/>
              </w:rPr>
              <w:t xml:space="preserve"> </w:t>
            </w:r>
          </w:p>
          <w:p w14:paraId="4052337C" w14:textId="77777777" w:rsidR="00DA679C" w:rsidRPr="00DA679C" w:rsidRDefault="00DA679C" w:rsidP="00DA679C">
            <w:pPr>
              <w:spacing w:before="120" w:after="120" w:line="276" w:lineRule="auto"/>
              <w:ind w:firstLine="708"/>
              <w:jc w:val="both"/>
              <w:rPr>
                <w:rFonts w:ascii="Verdana" w:eastAsia="Times New Roman" w:hAnsi="Verdana" w:cs="Times New Roman"/>
                <w:lang w:eastAsia="es-MX"/>
              </w:rPr>
            </w:pPr>
            <w:r w:rsidRPr="00DA679C">
              <w:rPr>
                <w:rFonts w:ascii="Verdana" w:eastAsia="Times New Roman" w:hAnsi="Verdana" w:cs="Times New Roman"/>
                <w:lang w:eastAsia="es-MX"/>
              </w:rPr>
              <w:t xml:space="preserve">Ahora bien, de acuerdo con las consideraciones que se desarrollan en el punto ii. de este concepto, y teniendo en cuenta que la modalidad de mínima cuantía prevalece para la selección de consultores e interventores cuando el valor de la contratación no excede del diez por ciento (10 %) de la menor cuantía de la entidad, </w:t>
            </w:r>
            <w:r w:rsidRPr="00DA679C">
              <w:rPr>
                <w:rFonts w:ascii="Verdana" w:eastAsia="Times New Roman" w:hAnsi="Verdana" w:cs="Times New Roman"/>
                <w:i/>
                <w:iCs/>
                <w:lang w:eastAsia="es-MX"/>
              </w:rPr>
              <w:t>en principio</w:t>
            </w:r>
            <w:r w:rsidRPr="00DA679C">
              <w:rPr>
                <w:rFonts w:ascii="Verdana" w:eastAsia="Times New Roman" w:hAnsi="Verdana" w:cs="Times New Roman"/>
                <w:lang w:eastAsia="es-MX"/>
              </w:rPr>
              <w:t xml:space="preserve"> podría considerarse que el documento tipo aplicable al proceso de contratación objeto de la consulta es el adoptado mediante la Resolución 541 del 21 de agosto de 2025, aplicable a los procesos de mínima cuantía que se adelanten en el sector de infraestructura social.</w:t>
            </w:r>
          </w:p>
          <w:p w14:paraId="2C8E01F3" w14:textId="77777777" w:rsidR="00DA679C" w:rsidRPr="00DA679C" w:rsidRDefault="00DA679C" w:rsidP="00DA679C">
            <w:pPr>
              <w:spacing w:after="120" w:line="276" w:lineRule="auto"/>
              <w:ind w:firstLine="708"/>
              <w:jc w:val="both"/>
              <w:rPr>
                <w:rFonts w:ascii="Verdana" w:eastAsia="Calibri" w:hAnsi="Verdana" w:cs="Arial"/>
                <w:color w:val="000000"/>
                <w:lang w:val="es-ES_tradnl"/>
              </w:rPr>
            </w:pPr>
            <w:r w:rsidRPr="00DA679C">
              <w:rPr>
                <w:rFonts w:ascii="Verdana" w:eastAsia="Times New Roman" w:hAnsi="Verdana" w:cs="Times New Roman"/>
                <w:lang w:eastAsia="es-MX"/>
              </w:rPr>
              <w:t>No obstante, tal como se dispone en el artículo 1 de la citada resolución, los documentos tipo allí adoptados aplican a “los procesos de obra pública de infraestructura social”, es decir, los “</w:t>
            </w:r>
            <w:r w:rsidRPr="00DA679C">
              <w:rPr>
                <w:rFonts w:ascii="Verdana" w:eastAsia="Calibri" w:hAnsi="Verdana" w:cs="Arial"/>
                <w:i/>
                <w:iCs/>
                <w:color w:val="000000"/>
                <w:lang w:val="es-ES_tradnl"/>
              </w:rPr>
              <w:t>(…) que celebren las entidades estatales para la construcción, mantenimiento, instalación y, en general, para la realización de cualquier otro trabajo material sobre bienes inmuebles, cualquiera que sea la modalidad de ejecución y pago”</w:t>
            </w:r>
            <w:r w:rsidRPr="00DA679C">
              <w:rPr>
                <w:rFonts w:ascii="Verdana" w:eastAsia="Calibri" w:hAnsi="Verdana" w:cs="Arial"/>
                <w:color w:val="000000"/>
                <w:vertAlign w:val="superscript"/>
                <w:lang w:val="es-ES_tradnl"/>
              </w:rPr>
              <w:footnoteReference w:id="1"/>
            </w:r>
            <w:r w:rsidRPr="00DA679C">
              <w:rPr>
                <w:rFonts w:ascii="Verdana" w:eastAsia="Calibri" w:hAnsi="Verdana" w:cs="Arial"/>
                <w:color w:val="000000"/>
                <w:lang w:val="es-ES_tradnl"/>
              </w:rPr>
              <w:t xml:space="preserve">. </w:t>
            </w:r>
          </w:p>
          <w:p w14:paraId="5EEDA250" w14:textId="77777777" w:rsidR="00DA679C" w:rsidRPr="00DA679C" w:rsidRDefault="00DA679C" w:rsidP="00DA679C">
            <w:pPr>
              <w:spacing w:before="120" w:after="120" w:line="276" w:lineRule="auto"/>
              <w:ind w:firstLine="708"/>
              <w:jc w:val="both"/>
              <w:rPr>
                <w:rFonts w:ascii="Verdana" w:eastAsia="Times New Roman" w:hAnsi="Verdana" w:cs="Times New Roman"/>
                <w:lang w:eastAsia="es-MX"/>
              </w:rPr>
            </w:pPr>
            <w:r w:rsidRPr="00DA679C">
              <w:rPr>
                <w:rFonts w:ascii="Verdana" w:eastAsia="Times New Roman" w:hAnsi="Verdana" w:cs="Times New Roman"/>
                <w:lang w:eastAsia="es-MX"/>
              </w:rPr>
              <w:t xml:space="preserve">En efecto, tal como se aprecia en las matrices de experiencia adoptadas mediante la Resolución 541 del 21 de agosto de 2025, las actividades allí previstas corresponden a intervenciones que constituyen obra pública, tales como la construcción, reconstrucción, ampliación, adecuación, mantenimiento y remodelación de infraestructura del sector social, particularmente en los sectores educativo, cultural, recreativo y deportivo, institucional y de vivienda. En ese sentido, las actividades contempladas en dichas matrices están orientadas a </w:t>
            </w:r>
            <w:r w:rsidRPr="00DA679C">
              <w:rPr>
                <w:rFonts w:ascii="Verdana" w:eastAsia="Times New Roman" w:hAnsi="Verdana" w:cs="Times New Roman"/>
                <w:lang w:eastAsia="es-MX"/>
              </w:rPr>
              <w:lastRenderedPageBreak/>
              <w:t>acreditar experiencia relacionada con la ejecución de proyectos de obra pública de infraestructura física en los mencionados sectores, lo que permite identificar el alcance y la naturaleza de la experiencia exigida a los proponentes.</w:t>
            </w:r>
          </w:p>
          <w:p w14:paraId="5D78CB80" w14:textId="77777777" w:rsidR="00DA679C" w:rsidRPr="00DA679C" w:rsidRDefault="00DA679C" w:rsidP="00DA679C">
            <w:pPr>
              <w:spacing w:before="120" w:after="120" w:line="276" w:lineRule="auto"/>
              <w:ind w:firstLine="708"/>
              <w:jc w:val="both"/>
              <w:rPr>
                <w:rFonts w:ascii="Verdana" w:eastAsia="Times New Roman" w:hAnsi="Verdana" w:cs="Times New Roman"/>
                <w:lang w:eastAsia="es-MX"/>
              </w:rPr>
            </w:pPr>
            <w:r w:rsidRPr="00DA679C">
              <w:rPr>
                <w:rFonts w:ascii="Verdana" w:eastAsia="Times New Roman" w:hAnsi="Verdana" w:cs="Times New Roman"/>
                <w:lang w:eastAsia="es-MX"/>
              </w:rPr>
              <w:t xml:space="preserve">Por lo anterior, teniendo en cuenta que la interventoría constituye un contrato de consultoría y no un contrato de obra pública, se concluye que los documentos tipo adoptados mediante la Resolución 541 de 2025 no resultan obligatorios para adelantar el proceso de mínima cuantía cuyo objeto corresponda a la interventoría de obras públicas de infraestructura social. </w:t>
            </w:r>
          </w:p>
          <w:p w14:paraId="7E23D1AD" w14:textId="77777777" w:rsidR="00DA679C" w:rsidRPr="00DA679C" w:rsidRDefault="00DA679C" w:rsidP="00DA679C">
            <w:pPr>
              <w:spacing w:before="120" w:after="120" w:line="276" w:lineRule="auto"/>
              <w:ind w:firstLine="708"/>
              <w:jc w:val="both"/>
              <w:rPr>
                <w:rFonts w:ascii="Verdana" w:eastAsia="Calibri" w:hAnsi="Verdana" w:cs="Arial"/>
                <w:color w:val="000000"/>
                <w:lang w:val="es-ES_tradnl"/>
              </w:rPr>
            </w:pPr>
            <w:r w:rsidRPr="00DA679C">
              <w:rPr>
                <w:rFonts w:ascii="Verdana" w:eastAsia="Times New Roman" w:hAnsi="Verdana" w:cs="Times New Roman"/>
                <w:lang w:eastAsia="es-MX"/>
              </w:rPr>
              <w:t>En consecuencia, ante la inexistencia de documentos tipo específicos para este supuesto, la entidad estatal deberá estructurar el proceso de contratación con fundamento en las disposiciones legales y reglamentarias que regulan la modalidad de mínima cuantía, garantizando el cumplimiento de los principios de la contratación estatal y de los requisitos mínimos exigidos por el ordenamiento jurídico. Sin perjuicio de lo anterior, la entidad podrá tomar como referente, de manera orientadora y con las adaptaciones que resulten necesarias, los documentos tipo expedidos para la contratación de interventoría o para los procesos de mínima cuantía en infraestructura social, siempre que ello no desconozca las particularidades propias del objeto contractual ni del procedimiento de selección aplicable</w:t>
            </w:r>
            <w:r w:rsidRPr="00DA679C">
              <w:rPr>
                <w:rFonts w:ascii="Verdana" w:eastAsia="Calibri" w:hAnsi="Verdana" w:cs="Arial"/>
                <w:color w:val="000000"/>
                <w:lang w:val="es-ES_tradnl"/>
              </w:rPr>
              <w:t>.</w:t>
            </w:r>
          </w:p>
          <w:p w14:paraId="3F2FD46E" w14:textId="77777777" w:rsidR="00DA679C" w:rsidRPr="00DA679C" w:rsidRDefault="00DA679C" w:rsidP="00DA679C">
            <w:pPr>
              <w:spacing w:before="120" w:after="120" w:line="276" w:lineRule="auto"/>
              <w:ind w:firstLine="708"/>
              <w:jc w:val="both"/>
              <w:rPr>
                <w:rFonts w:ascii="Verdana" w:eastAsia="Aptos" w:hAnsi="Verdana" w:cs="Times New Roman"/>
              </w:rPr>
            </w:pPr>
            <w:r w:rsidRPr="00DA679C">
              <w:rPr>
                <w:rFonts w:ascii="Verdana" w:eastAsia="Aptos" w:hAnsi="Verdana" w:cs="Times New Roman"/>
                <w:lang w:val="es-ES_tradnl"/>
              </w:rPr>
              <w:t>En todo caso, debe señalarse que, d</w:t>
            </w:r>
            <w:r w:rsidRPr="00DA679C">
              <w:rPr>
                <w:rFonts w:ascii="Verdana" w:eastAsia="Aptos" w:hAnsi="Verdana" w:cs="Times New Roman"/>
              </w:rPr>
              <w:t>e acuerdo con el criterio de esta Subdirección, los documentos tipo adoptados mediante la Resolución No. 953 del 15 de diciembre de 2025, que corresponden a los de concurso de méritos para la contratación de interventoría de obras públicas de infraestructura social, no resultan obligatorios ni directamente aplicables cuando la selección del contratista debe adelantarse mediante la modalidad de mínima cuantía, aun cuando el objeto contractual corresponda a una interventoría.</w:t>
            </w:r>
          </w:p>
          <w:p w14:paraId="28F56018" w14:textId="77777777" w:rsidR="00DA679C" w:rsidRPr="00DA679C" w:rsidRDefault="00DA679C" w:rsidP="00DA679C">
            <w:pPr>
              <w:spacing w:before="120" w:line="276" w:lineRule="auto"/>
              <w:ind w:firstLine="708"/>
              <w:jc w:val="both"/>
              <w:rPr>
                <w:rFonts w:ascii="Verdana" w:eastAsia="Aptos" w:hAnsi="Verdana" w:cs="Times New Roman"/>
                <w:lang w:val="es-ES"/>
              </w:rPr>
            </w:pPr>
            <w:r w:rsidRPr="00DA679C">
              <w:rPr>
                <w:rFonts w:ascii="Verdana" w:eastAsia="Aptos" w:hAnsi="Verdana" w:cs="Times New Roman"/>
                <w:lang w:val="es-ES"/>
              </w:rPr>
              <w:t xml:space="preserve">De esta manera, aunque los documentos tipo señalados no son obligatorios para los contratos de interventoría adelantados por mínima </w:t>
            </w:r>
            <w:r w:rsidRPr="00DA679C">
              <w:rPr>
                <w:rFonts w:ascii="Verdana" w:eastAsia="Aptos" w:hAnsi="Verdana" w:cs="Times New Roman"/>
                <w:lang w:val="es-ES"/>
              </w:rPr>
              <w:lastRenderedPageBreak/>
              <w:t xml:space="preserve">cuantía, nada obsta para que –sin desconocer las diferencias entre ambos procedimientos de selección– se adopten potestativamente los documentos tipo citados como criterio de buena práctica contractual, haciendo las adaptaciones pertinentes para la contratación </w:t>
            </w:r>
            <w:r w:rsidRPr="00DA679C">
              <w:rPr>
                <w:rFonts w:ascii="Verdana" w:eastAsia="Calibri" w:hAnsi="Verdana" w:cs="Times New Roman"/>
                <w:color w:val="000000"/>
                <w:lang w:val="es-ES"/>
              </w:rPr>
              <w:t>cuyo valor no exceda el diez por ciento –10%– de la menor cuantía</w:t>
            </w:r>
            <w:r w:rsidRPr="00DA679C">
              <w:rPr>
                <w:rFonts w:ascii="Verdana" w:eastAsia="Aptos" w:hAnsi="Verdana" w:cs="Times New Roman"/>
                <w:lang w:val="es-ES"/>
              </w:rPr>
              <w:t xml:space="preserve">. </w:t>
            </w:r>
          </w:p>
        </w:tc>
      </w:tr>
    </w:tbl>
    <w:p w14:paraId="51D226A5" w14:textId="77777777" w:rsidR="00DA679C" w:rsidRPr="00DA679C" w:rsidRDefault="00DA679C" w:rsidP="00DA679C">
      <w:pPr>
        <w:tabs>
          <w:tab w:val="left" w:pos="142"/>
          <w:tab w:val="left" w:pos="284"/>
        </w:tabs>
        <w:snapToGrid w:val="0"/>
        <w:spacing w:after="0" w:line="276" w:lineRule="auto"/>
        <w:jc w:val="both"/>
        <w:rPr>
          <w:rFonts w:ascii="Verdana" w:eastAsia="Century Gothic" w:hAnsi="Verdana" w:cs="Century Gothic"/>
          <w:b/>
          <w:bCs/>
          <w:lang w:val="es-ES_tradnl" w:eastAsia="es-MX"/>
        </w:rPr>
      </w:pPr>
    </w:p>
    <w:p w14:paraId="062175A4" w14:textId="77777777" w:rsidR="00DA679C" w:rsidRPr="00DA679C" w:rsidRDefault="00DA679C" w:rsidP="00DA679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DA679C">
        <w:rPr>
          <w:rFonts w:ascii="Verdana" w:eastAsia="Century Gothic" w:hAnsi="Verdana" w:cs="Century Gothic"/>
          <w:b/>
          <w:bCs/>
          <w:lang w:val="es-ES_tradnl" w:eastAsia="es-MX"/>
        </w:rPr>
        <w:t>Razones de la respuesta:</w:t>
      </w:r>
    </w:p>
    <w:p w14:paraId="4CAAC50E" w14:textId="77777777" w:rsidR="00DA679C" w:rsidRPr="00DA679C" w:rsidRDefault="00DA679C" w:rsidP="00DA679C">
      <w:pPr>
        <w:snapToGrid w:val="0"/>
        <w:spacing w:after="0" w:line="276" w:lineRule="auto"/>
        <w:jc w:val="both"/>
        <w:rPr>
          <w:rFonts w:ascii="Verdana" w:eastAsia="Calibri" w:hAnsi="Verdana" w:cs="Arial"/>
          <w:lang w:val="es-ES_tradnl" w:eastAsia="es-MX"/>
        </w:rPr>
      </w:pPr>
    </w:p>
    <w:p w14:paraId="4E5697EE" w14:textId="77777777" w:rsidR="00DA679C" w:rsidRPr="00DA679C" w:rsidRDefault="00DA679C" w:rsidP="00DA679C">
      <w:pPr>
        <w:spacing w:after="0" w:line="276" w:lineRule="auto"/>
        <w:jc w:val="both"/>
        <w:rPr>
          <w:rFonts w:ascii="Verdana" w:eastAsia="Calibri" w:hAnsi="Verdana" w:cs="Arial"/>
          <w:lang w:eastAsia="es-MX"/>
        </w:rPr>
      </w:pPr>
      <w:r w:rsidRPr="00DA679C">
        <w:rPr>
          <w:rFonts w:ascii="Verdana" w:eastAsia="Calibri" w:hAnsi="Verdana" w:cs="Arial"/>
          <w:lang w:eastAsia="es-MX"/>
        </w:rPr>
        <w:t xml:space="preserve">Lo anterior se sustenta en las siguientes consideraciones: </w:t>
      </w:r>
    </w:p>
    <w:p w14:paraId="6B0F6A3D" w14:textId="77777777" w:rsidR="00DA679C" w:rsidRPr="00DA679C" w:rsidRDefault="00DA679C" w:rsidP="00DA679C">
      <w:pPr>
        <w:spacing w:after="0" w:line="276" w:lineRule="auto"/>
        <w:jc w:val="both"/>
        <w:rPr>
          <w:rFonts w:ascii="Verdana" w:eastAsia="Calibri" w:hAnsi="Verdana" w:cs="Arial"/>
          <w:lang w:val="es-ES" w:eastAsia="es-MX"/>
        </w:rPr>
      </w:pPr>
    </w:p>
    <w:p w14:paraId="496B8BC3" w14:textId="77777777" w:rsidR="00DA679C" w:rsidRPr="00DA679C" w:rsidRDefault="00DA679C" w:rsidP="00DA679C">
      <w:pPr>
        <w:spacing w:after="120" w:line="276" w:lineRule="auto"/>
        <w:jc w:val="both"/>
        <w:rPr>
          <w:rFonts w:ascii="Verdana" w:eastAsia="Aptos" w:hAnsi="Verdana" w:cs="Arial"/>
          <w:lang w:eastAsia="es-MX"/>
        </w:rPr>
      </w:pPr>
      <w:r w:rsidRPr="00DA679C">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DDD9D5E" w14:textId="77777777" w:rsidR="00DA679C" w:rsidRPr="00DA679C" w:rsidRDefault="00DA679C" w:rsidP="00DA679C">
      <w:pPr>
        <w:spacing w:after="120" w:line="276" w:lineRule="auto"/>
        <w:ind w:firstLine="708"/>
        <w:jc w:val="both"/>
        <w:rPr>
          <w:rFonts w:ascii="Verdana" w:eastAsia="Aptos" w:hAnsi="Verdana" w:cs="Arial"/>
          <w:lang w:eastAsia="es-MX"/>
        </w:rPr>
      </w:pPr>
      <w:r w:rsidRPr="00DA679C">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9EAFDB4" w14:textId="77777777" w:rsidR="00DA679C" w:rsidRPr="00DA679C" w:rsidRDefault="00DA679C" w:rsidP="00DA679C">
      <w:pPr>
        <w:spacing w:after="120" w:line="276" w:lineRule="auto"/>
        <w:ind w:firstLine="708"/>
        <w:jc w:val="both"/>
        <w:rPr>
          <w:rFonts w:ascii="Verdana" w:eastAsia="Times New Roman" w:hAnsi="Verdana" w:cs="Times New Roman"/>
          <w:color w:val="000000"/>
          <w:lang w:eastAsia="es-CO"/>
        </w:rPr>
      </w:pPr>
      <w:r w:rsidRPr="00DA679C">
        <w:rPr>
          <w:rFonts w:ascii="Verdana" w:eastAsia="Aptos" w:hAnsi="Verdana" w:cs="Arial"/>
          <w:lang w:eastAsia="es-MX"/>
        </w:rPr>
        <w:t xml:space="preserve">En el sector social, </w:t>
      </w:r>
      <w:r w:rsidRPr="00DA679C">
        <w:rPr>
          <w:rFonts w:ascii="Verdana" w:eastAsia="Calibri" w:hAnsi="Verdana" w:cs="Arial"/>
          <w:lang w:val="es-MX" w:eastAsia="es-MX"/>
        </w:rPr>
        <w:t xml:space="preserve">la Agencia Nacional de Contratación Pública – Colombia Compra </w:t>
      </w:r>
      <w:r w:rsidRPr="00DA679C">
        <w:rPr>
          <w:rFonts w:ascii="Verdana" w:eastAsia="Calibri" w:hAnsi="Verdana" w:cs="Arial"/>
          <w:lang w:eastAsia="es-MX"/>
        </w:rPr>
        <w:t xml:space="preserve">Eficiente </w:t>
      </w:r>
      <w:r w:rsidRPr="00DA679C">
        <w:rPr>
          <w:rFonts w:ascii="Verdana" w:eastAsia="Times New Roman" w:hAnsi="Verdana" w:cs="Times New Roman"/>
          <w:color w:val="000000"/>
          <w:lang w:eastAsia="es-CO"/>
        </w:rPr>
        <w:t>en el segundo semestre del año 2025 adoptó las siguientes Resoluciones para contratar obra pública y concurso de méritos:</w:t>
      </w:r>
    </w:p>
    <w:p w14:paraId="4713EB6F" w14:textId="77777777" w:rsidR="00DA679C" w:rsidRPr="00DA679C" w:rsidRDefault="00DA679C" w:rsidP="00DA679C">
      <w:pPr>
        <w:spacing w:after="120" w:line="276" w:lineRule="auto"/>
        <w:ind w:firstLine="708"/>
        <w:jc w:val="both"/>
        <w:rPr>
          <w:rFonts w:ascii="Verdana" w:eastAsia="Times New Roman" w:hAnsi="Verdana" w:cs="Times New Roman"/>
          <w:color w:val="000000"/>
          <w:lang w:eastAsia="es-CO"/>
        </w:rPr>
      </w:pPr>
      <w:r w:rsidRPr="00DA679C">
        <w:rPr>
          <w:rFonts w:ascii="Verdana" w:eastAsia="Times New Roman" w:hAnsi="Verdana" w:cs="Times New Roman"/>
          <w:color w:val="000000"/>
          <w:lang w:eastAsia="es-CO"/>
        </w:rPr>
        <w:t xml:space="preserve">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w:t>
      </w:r>
      <w:r w:rsidRPr="00DA679C">
        <w:rPr>
          <w:rFonts w:ascii="Verdana" w:eastAsia="Times New Roman" w:hAnsi="Verdana" w:cs="Times New Roman"/>
          <w:color w:val="000000"/>
          <w:lang w:eastAsia="es-CO"/>
        </w:rPr>
        <w:lastRenderedPageBreak/>
        <w:t>Resoluciones 220, 392 у 454 de 2021; y se adoptan los documentos tipo complementarios para los procesos de licitación de obra pública de infraestructura social relacionados con los sectores institucional y vivienda".</w:t>
      </w:r>
    </w:p>
    <w:p w14:paraId="623BE3B4" w14:textId="77777777" w:rsidR="00DA679C" w:rsidRPr="00DA679C" w:rsidRDefault="00DA679C" w:rsidP="00DA679C">
      <w:pPr>
        <w:spacing w:after="120" w:line="276" w:lineRule="auto"/>
        <w:ind w:firstLine="708"/>
        <w:jc w:val="both"/>
        <w:rPr>
          <w:rFonts w:ascii="Verdana" w:eastAsia="Times New Roman" w:hAnsi="Verdana" w:cs="Times New Roman"/>
          <w:color w:val="000000"/>
          <w:lang w:eastAsia="es-CO"/>
        </w:rPr>
      </w:pPr>
      <w:r w:rsidRPr="00DA679C">
        <w:rPr>
          <w:rFonts w:ascii="Verdana" w:eastAsia="Times New Roman" w:hAnsi="Verdana" w:cs="Times New Roman"/>
          <w:color w:val="000000"/>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E9B5D30" w14:textId="77777777" w:rsidR="00DA679C" w:rsidRPr="00DA679C" w:rsidRDefault="00DA679C" w:rsidP="00DA679C">
      <w:pPr>
        <w:spacing w:after="120" w:line="276" w:lineRule="auto"/>
        <w:ind w:firstLine="708"/>
        <w:jc w:val="both"/>
        <w:rPr>
          <w:rFonts w:ascii="Verdana" w:eastAsia="Times New Roman" w:hAnsi="Verdana" w:cs="Times New Roman"/>
          <w:color w:val="000000"/>
          <w:lang w:eastAsia="es-CO"/>
        </w:rPr>
      </w:pPr>
      <w:r w:rsidRPr="00DA679C">
        <w:rPr>
          <w:rFonts w:ascii="Verdana" w:eastAsia="Times New Roman" w:hAnsi="Verdana" w:cs="Times New Roman"/>
          <w:color w:val="000000"/>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952CA64" w14:textId="77777777" w:rsidR="00DA679C" w:rsidRPr="00DA679C" w:rsidRDefault="00DA679C" w:rsidP="00DA679C">
      <w:pPr>
        <w:spacing w:after="120" w:line="276" w:lineRule="auto"/>
        <w:ind w:firstLine="708"/>
        <w:jc w:val="both"/>
        <w:rPr>
          <w:rFonts w:ascii="Verdana" w:eastAsia="Times New Roman" w:hAnsi="Verdana" w:cs="Times New Roman"/>
          <w:color w:val="000000"/>
          <w:lang w:eastAsia="es-CO"/>
        </w:rPr>
      </w:pPr>
      <w:r w:rsidRPr="00DA679C">
        <w:rPr>
          <w:rFonts w:ascii="Verdana" w:eastAsia="Times New Roman" w:hAnsi="Verdana" w:cs="Times New Roman"/>
          <w:color w:val="000000"/>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182B0A8A" w14:textId="77777777" w:rsidR="00DA679C" w:rsidRPr="00DA679C" w:rsidRDefault="00DA679C" w:rsidP="00DA679C">
      <w:pPr>
        <w:spacing w:after="120" w:line="276" w:lineRule="auto"/>
        <w:ind w:firstLine="708"/>
        <w:jc w:val="both"/>
        <w:rPr>
          <w:rFonts w:ascii="Verdana" w:eastAsia="Times New Roman" w:hAnsi="Verdana" w:cs="Times New Roman"/>
          <w:color w:val="000000"/>
          <w:lang w:eastAsia="es-CO"/>
        </w:rPr>
      </w:pPr>
      <w:r w:rsidRPr="00DA679C">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DA679C">
        <w:rPr>
          <w:rFonts w:ascii="Verdana" w:eastAsia="Aptos" w:hAnsi="Verdana" w:cs="Times New Roman"/>
          <w:lang w:eastAsia="es-MX"/>
        </w:rPr>
        <w:t xml:space="preserve"> </w:t>
      </w:r>
    </w:p>
    <w:p w14:paraId="46400A0D" w14:textId="77777777" w:rsidR="00DA679C" w:rsidRPr="00DA679C" w:rsidRDefault="00DA679C" w:rsidP="00DA679C">
      <w:pPr>
        <w:spacing w:after="120" w:line="276" w:lineRule="auto"/>
        <w:ind w:firstLine="708"/>
        <w:jc w:val="both"/>
        <w:textAlignment w:val="baseline"/>
        <w:rPr>
          <w:rFonts w:ascii="Verdana" w:eastAsia="Calibri" w:hAnsi="Verdana" w:cs="Arial"/>
          <w:lang w:eastAsia="es-MX"/>
        </w:rPr>
      </w:pPr>
      <w:r w:rsidRPr="00DA679C">
        <w:rPr>
          <w:rFonts w:ascii="Verdana" w:eastAsia="Aptos" w:hAnsi="Verdana" w:cs="Times New Roman"/>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w:t>
      </w:r>
      <w:r w:rsidRPr="00DA679C">
        <w:rPr>
          <w:rFonts w:ascii="Verdana" w:eastAsia="Aptos" w:hAnsi="Verdana" w:cs="Times New Roman"/>
          <w:lang w:eastAsia="es-MX"/>
        </w:rPr>
        <w:lastRenderedPageBreak/>
        <w:t>recreación y deporte, institucional y vivienda, en los procesos de selección cuyo aviso de convocatoria se publique a partir del 16 de febrero de 2026</w:t>
      </w:r>
      <w:r w:rsidRPr="00DA679C">
        <w:rPr>
          <w:rFonts w:ascii="Verdana" w:eastAsia="Calibri" w:hAnsi="Verdana" w:cs="Arial"/>
          <w:vertAlign w:val="superscript"/>
          <w:lang w:eastAsia="es-MX"/>
        </w:rPr>
        <w:footnoteReference w:id="2"/>
      </w:r>
      <w:r w:rsidRPr="00DA679C">
        <w:rPr>
          <w:rFonts w:ascii="Verdana" w:eastAsia="Calibri" w:hAnsi="Verdana" w:cs="Arial"/>
          <w:lang w:eastAsia="es-MX"/>
        </w:rPr>
        <w:t>.</w:t>
      </w:r>
    </w:p>
    <w:p w14:paraId="21CE7E39" w14:textId="77777777" w:rsidR="00DA679C" w:rsidRPr="00DA679C" w:rsidRDefault="00DA679C" w:rsidP="00DA679C">
      <w:pPr>
        <w:widowControl w:val="0"/>
        <w:autoSpaceDE w:val="0"/>
        <w:autoSpaceDN w:val="0"/>
        <w:spacing w:after="120" w:line="276" w:lineRule="auto"/>
        <w:ind w:firstLine="708"/>
        <w:jc w:val="both"/>
        <w:rPr>
          <w:rFonts w:ascii="Verdana" w:eastAsia="Calibri" w:hAnsi="Verdana" w:cs="Times New Roman"/>
          <w:lang w:val="es-ES" w:eastAsia="es-MX"/>
        </w:rPr>
      </w:pPr>
      <w:r w:rsidRPr="00DA679C">
        <w:rPr>
          <w:rFonts w:ascii="Verdana" w:eastAsia="Calibri" w:hAnsi="Verdana" w:cs="Times New Roman"/>
          <w:lang w:val="es-ES" w:eastAsia="es-MX"/>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DA679C">
        <w:rPr>
          <w:rFonts w:ascii="Verdana" w:eastAsia="Calibri" w:hAnsi="Verdana" w:cs="Times New Roman"/>
          <w:shd w:val="clear" w:color="auto" w:fill="E8E8E8"/>
          <w:lang w:val="es-ES" w:eastAsia="es-MX"/>
        </w:rPr>
        <w:t>–[texto]–,</w:t>
      </w:r>
      <w:r w:rsidRPr="00DA679C">
        <w:rPr>
          <w:rFonts w:ascii="Verdana" w:eastAsia="Calibri" w:hAnsi="Verdana" w:cs="Times New Roman"/>
          <w:lang w:val="es-ES" w:eastAsia="es-MX"/>
        </w:rPr>
        <w:t xml:space="preserve"> para lo cual deberán observarse las instrucciones contenidas en los mismos para su diligenciamiento.</w:t>
      </w:r>
    </w:p>
    <w:p w14:paraId="09CD20F5" w14:textId="77777777" w:rsidR="00DA679C" w:rsidRPr="00DA679C" w:rsidRDefault="00DA679C" w:rsidP="00DA679C">
      <w:pPr>
        <w:widowControl w:val="0"/>
        <w:autoSpaceDE w:val="0"/>
        <w:autoSpaceDN w:val="0"/>
        <w:spacing w:after="120" w:line="276" w:lineRule="auto"/>
        <w:ind w:firstLine="708"/>
        <w:jc w:val="both"/>
        <w:rPr>
          <w:rFonts w:ascii="Verdana" w:eastAsia="Calibri" w:hAnsi="Verdana" w:cs="Times New Roman"/>
          <w:lang w:val="es-ES" w:eastAsia="es-MX"/>
        </w:rPr>
      </w:pPr>
      <w:r w:rsidRPr="00DA679C">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D761F16" w14:textId="77777777" w:rsidR="00DA679C" w:rsidRPr="00DA679C" w:rsidRDefault="00DA679C" w:rsidP="00DA679C">
      <w:pPr>
        <w:widowControl w:val="0"/>
        <w:autoSpaceDE w:val="0"/>
        <w:autoSpaceDN w:val="0"/>
        <w:spacing w:after="120" w:line="276" w:lineRule="auto"/>
        <w:ind w:firstLine="708"/>
        <w:jc w:val="both"/>
        <w:rPr>
          <w:rFonts w:ascii="Verdana" w:eastAsia="Calibri" w:hAnsi="Verdana" w:cs="Times New Roman"/>
          <w:lang w:val="es-ES" w:eastAsia="es-MX"/>
        </w:rPr>
      </w:pPr>
      <w:r w:rsidRPr="00DA679C">
        <w:rPr>
          <w:rFonts w:ascii="Verdana" w:eastAsia="Calibri" w:hAnsi="Verdana" w:cs="Times New Roman"/>
          <w:lang w:val="es-ES" w:eastAsia="es-MX"/>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7935ECA" w14:textId="77777777" w:rsidR="00DA679C" w:rsidRPr="00DA679C" w:rsidRDefault="00DA679C" w:rsidP="00DA679C">
      <w:pPr>
        <w:widowControl w:val="0"/>
        <w:autoSpaceDE w:val="0"/>
        <w:autoSpaceDN w:val="0"/>
        <w:spacing w:after="120" w:line="276" w:lineRule="auto"/>
        <w:ind w:firstLine="708"/>
        <w:jc w:val="both"/>
        <w:rPr>
          <w:rFonts w:ascii="Verdana" w:eastAsia="Calibri" w:hAnsi="Verdana" w:cs="Times New Roman"/>
          <w:lang w:val="es-ES" w:eastAsia="es-MX"/>
        </w:rPr>
      </w:pPr>
      <w:r w:rsidRPr="00DA679C">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BA85661" w14:textId="77777777" w:rsidR="00DA679C" w:rsidRPr="00DA679C" w:rsidRDefault="00DA679C" w:rsidP="00DA679C">
      <w:pPr>
        <w:widowControl w:val="0"/>
        <w:autoSpaceDE w:val="0"/>
        <w:autoSpaceDN w:val="0"/>
        <w:spacing w:after="120" w:line="276" w:lineRule="auto"/>
        <w:ind w:firstLine="708"/>
        <w:jc w:val="both"/>
        <w:rPr>
          <w:rFonts w:ascii="Verdana" w:eastAsia="Calibri" w:hAnsi="Verdana" w:cs="Times New Roman"/>
          <w:lang w:val="es-ES" w:eastAsia="es-MX"/>
        </w:rPr>
      </w:pPr>
      <w:r w:rsidRPr="00DA679C">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406AFC4" w14:textId="77777777" w:rsidR="00DA679C" w:rsidRPr="00DA679C" w:rsidRDefault="00DA679C" w:rsidP="00DA679C">
      <w:pPr>
        <w:widowControl w:val="0"/>
        <w:autoSpaceDE w:val="0"/>
        <w:autoSpaceDN w:val="0"/>
        <w:spacing w:after="0" w:line="276" w:lineRule="auto"/>
        <w:ind w:firstLine="708"/>
        <w:jc w:val="both"/>
        <w:rPr>
          <w:rFonts w:ascii="Verdana" w:eastAsia="Calibri" w:hAnsi="Verdana" w:cs="Times New Roman"/>
          <w:lang w:val="es-ES" w:eastAsia="es-MX"/>
        </w:rPr>
      </w:pPr>
      <w:r w:rsidRPr="00DA679C">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F91B497" w14:textId="77777777" w:rsidR="00DA679C" w:rsidRPr="00DA679C" w:rsidRDefault="00DA679C" w:rsidP="00DA679C">
      <w:pPr>
        <w:widowControl w:val="0"/>
        <w:autoSpaceDE w:val="0"/>
        <w:autoSpaceDN w:val="0"/>
        <w:spacing w:after="0" w:line="276" w:lineRule="auto"/>
        <w:jc w:val="both"/>
        <w:rPr>
          <w:rFonts w:ascii="Verdana" w:eastAsia="Arial" w:hAnsi="Verdana" w:cs="Arial"/>
          <w:bCs/>
          <w:lang w:val="es-ES" w:eastAsia="es-MX"/>
        </w:rPr>
      </w:pPr>
    </w:p>
    <w:p w14:paraId="73C9DC25" w14:textId="77777777" w:rsidR="00DA679C" w:rsidRPr="00DA679C" w:rsidRDefault="00DA679C" w:rsidP="00DA679C">
      <w:pPr>
        <w:spacing w:after="120" w:line="276" w:lineRule="auto"/>
        <w:jc w:val="both"/>
        <w:rPr>
          <w:rFonts w:ascii="Verdana" w:eastAsia="Times New Roman" w:hAnsi="Verdana" w:cs="Arial"/>
          <w:b/>
          <w:kern w:val="2"/>
          <w:sz w:val="24"/>
          <w:szCs w:val="24"/>
          <w:lang w:eastAsia="es-ES_tradnl"/>
          <w14:ligatures w14:val="standardContextual"/>
        </w:rPr>
      </w:pPr>
      <w:r w:rsidRPr="00DA679C">
        <w:rPr>
          <w:rFonts w:ascii="Verdana" w:eastAsia="Arial" w:hAnsi="Verdana" w:cs="Arial"/>
          <w:bCs/>
          <w:lang w:val="es-ES" w:eastAsia="es-MX"/>
        </w:rPr>
        <w:t xml:space="preserve">ii. </w:t>
      </w:r>
      <w:r w:rsidRPr="00DA679C">
        <w:rPr>
          <w:rFonts w:ascii="Verdana" w:eastAsia="Times New Roman" w:hAnsi="Verdana" w:cs="Arial"/>
          <w:kern w:val="2"/>
          <w:lang w:val="es-ES" w:eastAsia="es-MX"/>
          <w14:ligatures w14:val="standardContextual"/>
        </w:rPr>
        <w:t>M</w:t>
      </w:r>
      <w:r w:rsidRPr="00DA679C">
        <w:rPr>
          <w:rFonts w:ascii="Verdana" w:eastAsia="Times New Roman" w:hAnsi="Verdana" w:cs="Arial"/>
          <w:kern w:val="2"/>
          <w:lang w:val="es-ES_tradnl" w:eastAsia="es-MX"/>
          <w14:ligatures w14:val="standardContextual"/>
        </w:rPr>
        <w:t xml:space="preserve">ediante el artículo 2 de la Ley 1150 de 2007 se determinaron las modalidades de selección aplicables a las entidades sometidas al EGCAP, indicando que: </w:t>
      </w:r>
      <w:r w:rsidRPr="00DA679C">
        <w:rPr>
          <w:rFonts w:ascii="Verdana" w:eastAsia="Times New Roman" w:hAnsi="Verdana" w:cs="Arial"/>
          <w:i/>
          <w:iCs/>
          <w:kern w:val="2"/>
          <w:lang w:val="es-ES_tradnl" w:eastAsia="es-MX"/>
          <w14:ligatures w14:val="standardContextual"/>
        </w:rPr>
        <w:t xml:space="preserve">“(…) </w:t>
      </w:r>
      <w:r w:rsidRPr="00DA679C">
        <w:rPr>
          <w:rFonts w:ascii="Verdana" w:eastAsia="Times New Roman" w:hAnsi="Verdana" w:cs="Arial"/>
          <w:i/>
          <w:iCs/>
          <w:kern w:val="2"/>
          <w:lang w:val="es-ES_tradnl" w:eastAsia="es-MX"/>
          <w14:ligatures w14:val="standardContextual"/>
        </w:rPr>
        <w:lastRenderedPageBreak/>
        <w:t>la escogencia del contratista se efectuará por regla general bajo la modalidad de licitación pública, con las excepciones que se señalan en los numerales 2, 3 y 4 del presente artículo</w:t>
      </w:r>
      <w:r w:rsidRPr="00DA679C">
        <w:rPr>
          <w:rFonts w:ascii="Verdana" w:eastAsia="Times New Roman" w:hAnsi="Verdana" w:cs="Arial"/>
          <w:kern w:val="2"/>
          <w:lang w:val="es-ES_tradnl" w:eastAsia="es-MX"/>
          <w14:ligatures w14:val="standardContextual"/>
        </w:rPr>
        <w:t>”.</w:t>
      </w:r>
      <w:r w:rsidRPr="00DA679C">
        <w:rPr>
          <w:rFonts w:ascii="Verdana" w:eastAsia="Times New Roman" w:hAnsi="Verdana" w:cs="Arial"/>
          <w:kern w:val="2"/>
          <w:sz w:val="24"/>
          <w:szCs w:val="24"/>
          <w:lang w:val="es-ES_tradnl" w:eastAsia="es-MX"/>
          <w14:ligatures w14:val="standardContextual"/>
        </w:rPr>
        <w:t xml:space="preserve"> </w:t>
      </w:r>
    </w:p>
    <w:p w14:paraId="220F68BC" w14:textId="77777777" w:rsidR="00DA679C" w:rsidRPr="00DA679C" w:rsidRDefault="00DA679C" w:rsidP="00DA679C">
      <w:pPr>
        <w:spacing w:after="120" w:line="276" w:lineRule="auto"/>
        <w:ind w:firstLine="708"/>
        <w:jc w:val="both"/>
        <w:rPr>
          <w:rFonts w:ascii="Verdana" w:eastAsia="Times New Roman" w:hAnsi="Verdana" w:cs="Arial"/>
          <w:kern w:val="2"/>
          <w:lang w:val="es-ES_tradnl" w:eastAsia="es-ES_tradnl"/>
          <w14:ligatures w14:val="standardContextual"/>
        </w:rPr>
      </w:pPr>
      <w:r w:rsidRPr="00DA679C">
        <w:rPr>
          <w:rFonts w:ascii="Verdana" w:eastAsia="Times New Roman" w:hAnsi="Verdana" w:cs="Arial"/>
          <w:kern w:val="2"/>
          <w:lang w:val="es-ES_tradnl" w:eastAsia="es-ES_tradnl"/>
          <w14:ligatures w14:val="standardContextual"/>
        </w:rPr>
        <w:t>Particularmente, en el numeral</w:t>
      </w:r>
      <w:r w:rsidRPr="00DA679C">
        <w:rPr>
          <w:rFonts w:ascii="Verdana" w:eastAsia="Times New Roman" w:hAnsi="Verdana" w:cs="Arial"/>
          <w:kern w:val="2"/>
          <w:lang w:eastAsia="es-ES_tradnl"/>
          <w14:ligatures w14:val="standardContextual"/>
        </w:rPr>
        <w:t xml:space="preserve"> 3° se estableció la modalidad de selección de concurso de méritos, prevista para la selección de</w:t>
      </w:r>
      <w:r w:rsidRPr="00DA679C">
        <w:rPr>
          <w:rFonts w:ascii="Verdana" w:eastAsia="Times New Roman" w:hAnsi="Verdana" w:cs="Arial"/>
          <w:kern w:val="2"/>
          <w:lang w:val="es-ES_tradnl" w:eastAsia="es-ES_tradnl"/>
          <w14:ligatures w14:val="standardContextual"/>
        </w:rPr>
        <w:t xml:space="preserve"> </w:t>
      </w:r>
      <w:r w:rsidRPr="00DA679C">
        <w:rPr>
          <w:rFonts w:ascii="Verdana" w:eastAsia="Times New Roman" w:hAnsi="Verdana" w:cs="Arial"/>
          <w:kern w:val="2"/>
          <w:lang w:eastAsia="es-ES_tradnl"/>
          <w14:ligatures w14:val="standardContextual"/>
        </w:rPr>
        <w:t>“</w:t>
      </w:r>
      <w:r w:rsidRPr="00DA679C">
        <w:rPr>
          <w:rFonts w:ascii="Verdana" w:eastAsia="Times New Roman" w:hAnsi="Verdana" w:cs="Arial"/>
          <w:kern w:val="2"/>
          <w:lang w:val="es-ES_tradnl" w:eastAsia="es-ES_tradnl"/>
          <w14:ligatures w14:val="standardContextual"/>
        </w:rPr>
        <w:t>consultores o proyectos”</w:t>
      </w:r>
      <w:r w:rsidRPr="00DA679C">
        <w:rPr>
          <w:rFonts w:ascii="Verdana" w:eastAsia="Times New Roman" w:hAnsi="Verdana" w:cs="Arial"/>
          <w:kern w:val="2"/>
          <w:vertAlign w:val="superscript"/>
          <w:lang w:val="es-ES_tradnl" w:eastAsia="es-ES_tradnl"/>
          <w14:ligatures w14:val="standardContextual"/>
        </w:rPr>
        <w:footnoteReference w:id="3"/>
      </w:r>
      <w:r w:rsidRPr="00DA679C">
        <w:rPr>
          <w:rFonts w:ascii="Verdana" w:eastAsia="Times New Roman" w:hAnsi="Verdana" w:cs="Arial"/>
          <w:kern w:val="2"/>
          <w:lang w:val="es-ES_tradnl" w:eastAsia="es-ES_tradnl"/>
          <w14:ligatures w14:val="standardContextual"/>
        </w:rPr>
        <w:t xml:space="preserve">, mientras que en el numeral 5° </w:t>
      </w:r>
      <w:r w:rsidRPr="00DA679C">
        <w:rPr>
          <w:rFonts w:ascii="Verdana" w:eastAsia="Times New Roman" w:hAnsi="Verdana" w:cs="Arial"/>
          <w:i/>
          <w:iCs/>
          <w:kern w:val="2"/>
          <w:lang w:val="es-ES_tradnl" w:eastAsia="es-ES_tradnl"/>
          <w14:ligatures w14:val="standardContextual"/>
        </w:rPr>
        <w:t>ibidem</w:t>
      </w:r>
      <w:r w:rsidRPr="00DA679C">
        <w:rPr>
          <w:rFonts w:ascii="Verdana" w:eastAsia="Times New Roman" w:hAnsi="Verdana" w:cs="Arial"/>
          <w:kern w:val="2"/>
          <w:lang w:val="es-ES_tradnl" w:eastAsia="es-ES_tradnl"/>
          <w14:ligatures w14:val="standardContextual"/>
        </w:rPr>
        <w:t>, se reguló la modalidad de contratación de mínima cuantía, determinando mandatos especiales para su procedimiento, que se aplicará cuando el valor de la contratación no excede del diez por ciento (10%) de la menor cuantía de la entidad.</w:t>
      </w:r>
    </w:p>
    <w:p w14:paraId="4431C059" w14:textId="77777777" w:rsidR="00DA679C" w:rsidRPr="00DA679C" w:rsidRDefault="00DA679C" w:rsidP="00DA679C">
      <w:pPr>
        <w:spacing w:after="120" w:line="276" w:lineRule="auto"/>
        <w:ind w:firstLine="708"/>
        <w:jc w:val="both"/>
        <w:rPr>
          <w:rFonts w:ascii="Verdana" w:eastAsia="Times New Roman" w:hAnsi="Verdana" w:cs="Arial"/>
          <w:color w:val="000000"/>
          <w:lang w:val="es-ES_tradnl" w:eastAsia="es-ES"/>
        </w:rPr>
      </w:pPr>
      <w:r w:rsidRPr="00DA679C">
        <w:rPr>
          <w:rFonts w:ascii="Verdana" w:eastAsia="Times New Roman" w:hAnsi="Verdana" w:cs="Arial"/>
          <w:lang w:eastAsia="es-ES_tradnl"/>
        </w:rPr>
        <w:t xml:space="preserve">En este sentido, </w:t>
      </w:r>
      <w:r w:rsidRPr="00DA679C">
        <w:rPr>
          <w:rFonts w:ascii="Verdana" w:eastAsia="Aptos" w:hAnsi="Verdana" w:cs="Times New Roman"/>
          <w:kern w:val="2"/>
          <w:lang w:eastAsia="es-ES_tradnl"/>
          <w14:ligatures w14:val="standardContextual"/>
        </w:rPr>
        <w:t>“</w:t>
      </w:r>
      <w:r w:rsidRPr="00DA679C">
        <w:rPr>
          <w:rFonts w:ascii="Verdana" w:eastAsia="Times New Roman" w:hAnsi="Verdana" w:cs="Arial"/>
          <w:lang w:eastAsia="es-ES_tradnl"/>
        </w:rPr>
        <w:t>el concurso de méritos es una modalidad establecida por la ley para la adecuada escogencia de consultores en general y de consultores de diseños, planos, anteproyectos y proyectos arquitectónicos (proyectos de arquitectura)</w:t>
      </w:r>
      <w:r w:rsidRPr="00DA679C">
        <w:rPr>
          <w:rFonts w:ascii="Verdana" w:eastAsia="Aptos" w:hAnsi="Verdana" w:cs="Times New Roman"/>
          <w:kern w:val="2"/>
          <w:lang w:eastAsia="es-ES_tradnl"/>
          <w14:ligatures w14:val="standardContextual"/>
        </w:rPr>
        <w:t>”</w:t>
      </w:r>
      <w:r w:rsidRPr="00DA679C">
        <w:rPr>
          <w:rFonts w:ascii="Verdana" w:eastAsia="Times New Roman" w:hAnsi="Verdana" w:cs="Arial"/>
          <w:vertAlign w:val="superscript"/>
          <w:lang w:eastAsia="es-ES_tradnl"/>
        </w:rPr>
        <w:footnoteReference w:id="4"/>
      </w:r>
      <w:r w:rsidRPr="00DA679C">
        <w:rPr>
          <w:rFonts w:ascii="Verdana" w:eastAsia="Times New Roman" w:hAnsi="Verdana" w:cs="Arial"/>
          <w:lang w:eastAsia="es-ES_tradnl"/>
        </w:rPr>
        <w:t>. Así, la procedencia de esta modalidad de selección viene determinada por la naturaleza de su objeto contractual, ya que es de carácter marcadamente intelectual y de índole técnica, lo que torna a esta modalidad de selección sea a su vez,</w:t>
      </w:r>
      <w:r w:rsidRPr="00DA679C">
        <w:rPr>
          <w:rFonts w:ascii="Verdana" w:eastAsia="Times New Roman" w:hAnsi="Verdana" w:cs="Arial"/>
          <w:color w:val="000000"/>
          <w:lang w:val="es-ES_tradnl" w:eastAsia="es-ES"/>
        </w:rPr>
        <w:t xml:space="preserve"> de carácter restringido pues se limita a los establecidos en el numeral 2 del artículo 32 de la Ley 80 de 1993</w:t>
      </w:r>
      <w:r w:rsidRPr="00DA679C">
        <w:rPr>
          <w:rFonts w:ascii="Verdana" w:eastAsia="Times New Roman" w:hAnsi="Verdana" w:cs="Arial"/>
          <w:color w:val="000000"/>
          <w:vertAlign w:val="superscript"/>
          <w:lang w:val="es-ES_tradnl" w:eastAsia="es-ES"/>
        </w:rPr>
        <w:footnoteReference w:id="5"/>
      </w:r>
      <w:r w:rsidRPr="00DA679C">
        <w:rPr>
          <w:rFonts w:ascii="Verdana" w:eastAsia="Times New Roman" w:hAnsi="Verdana" w:cs="Arial"/>
          <w:color w:val="000000"/>
          <w:lang w:val="es-ES_tradnl" w:eastAsia="es-ES"/>
        </w:rPr>
        <w:t xml:space="preserve">. </w:t>
      </w:r>
    </w:p>
    <w:p w14:paraId="43ACFE2F" w14:textId="77777777" w:rsidR="00DA679C" w:rsidRPr="00DA679C" w:rsidRDefault="00DA679C" w:rsidP="00DA679C">
      <w:pPr>
        <w:spacing w:before="120" w:after="120" w:line="276" w:lineRule="auto"/>
        <w:ind w:firstLine="709"/>
        <w:jc w:val="both"/>
        <w:rPr>
          <w:rFonts w:ascii="Verdana" w:eastAsia="Calibri" w:hAnsi="Verdana" w:cs="Arial"/>
          <w:color w:val="000000"/>
          <w:lang w:val="es-ES_tradnl" w:eastAsia="es-ES"/>
        </w:rPr>
      </w:pPr>
      <w:r w:rsidRPr="00DA679C">
        <w:rPr>
          <w:rFonts w:ascii="Verdana" w:eastAsia="Times New Roman" w:hAnsi="Verdana" w:cs="Arial"/>
          <w:color w:val="000000"/>
          <w:lang w:val="es-ES_tradnl" w:eastAsia="es-ES"/>
        </w:rPr>
        <w:lastRenderedPageBreak/>
        <w:t xml:space="preserve">Por su parte, </w:t>
      </w:r>
      <w:r w:rsidRPr="00DA679C">
        <w:rPr>
          <w:rFonts w:ascii="Verdana" w:eastAsia="Calibri" w:hAnsi="Verdana" w:cs="Arial"/>
          <w:color w:val="000000"/>
          <w:lang w:val="es-ES_tradnl" w:eastAsia="es-ES"/>
        </w:rPr>
        <w:t>la mínima cuantía es un procedimiento de selección “exceptivo”</w:t>
      </w:r>
      <w:r w:rsidRPr="00DA679C">
        <w:rPr>
          <w:rFonts w:ascii="Verdana" w:eastAsia="Calibri" w:hAnsi="Verdana" w:cs="Arial"/>
          <w:color w:val="000000"/>
          <w:vertAlign w:val="superscript"/>
          <w:lang w:val="es-ES_tradnl" w:eastAsia="es-ES"/>
        </w:rPr>
        <w:footnoteReference w:id="6"/>
      </w:r>
      <w:r w:rsidRPr="00DA679C">
        <w:rPr>
          <w:rFonts w:ascii="Verdana" w:eastAsia="Calibri" w:hAnsi="Verdana" w:cs="Arial"/>
          <w:color w:val="000000"/>
          <w:lang w:val="es-ES_tradnl" w:eastAsia="es-ES"/>
        </w:rPr>
        <w:t>,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w:t>
      </w:r>
      <w:r w:rsidRPr="00DA679C">
        <w:rPr>
          <w:rFonts w:ascii="Verdana" w:eastAsia="Calibri" w:hAnsi="Verdana" w:cs="Arial"/>
          <w:color w:val="000000"/>
          <w:vertAlign w:val="superscript"/>
          <w:lang w:val="es-ES_tradnl" w:eastAsia="es-ES"/>
        </w:rPr>
        <w:footnoteReference w:id="7"/>
      </w:r>
      <w:r w:rsidRPr="00DA679C">
        <w:rPr>
          <w:rFonts w:ascii="Verdana" w:eastAsia="Calibri" w:hAnsi="Verdana" w:cs="Arial"/>
          <w:color w:val="000000"/>
          <w:lang w:val="es-ES_tradnl" w:eastAsia="es-ES"/>
        </w:rPr>
        <w:t>, y lo segundo, porque sus requisitos, etapas y términos son peculiares.</w:t>
      </w:r>
    </w:p>
    <w:p w14:paraId="5EA02179" w14:textId="77777777" w:rsidR="00DA679C" w:rsidRPr="00DA679C" w:rsidRDefault="00DA679C" w:rsidP="00DA679C">
      <w:pPr>
        <w:spacing w:before="120" w:after="120" w:line="276" w:lineRule="auto"/>
        <w:ind w:firstLine="709"/>
        <w:jc w:val="both"/>
        <w:rPr>
          <w:rFonts w:ascii="Verdana" w:eastAsia="Calibri" w:hAnsi="Verdana" w:cs="Arial"/>
          <w:color w:val="000000"/>
          <w:lang w:val="es-ES_tradnl" w:eastAsia="es-ES"/>
        </w:rPr>
      </w:pPr>
      <w:r w:rsidRPr="00DA679C">
        <w:rPr>
          <w:rFonts w:ascii="Verdana" w:eastAsia="Calibri" w:hAnsi="Verdana" w:cs="Arial"/>
          <w:color w:val="000000"/>
          <w:lang w:val="es-ES_tradnl" w:eastAsia="es-ES"/>
        </w:rPr>
        <w:lastRenderedPageBreak/>
        <w:t xml:space="preserve">Entonces, como se observa de lo anterior, el proceso de selección de mínima cuantía el criterio determinante para establecer la procedencia de esta modalidad de selección de contratistas es la cuantía, y ello, se reitera, con independencia del objeto a contratar, lo que se traduce en que, frente a eventuales concurrencia de este procedimiento y otros específicos para determinados objetos contractuales, por disposición legal, deberá preferirse aquella modalidad –mínima cuantía–. </w:t>
      </w:r>
    </w:p>
    <w:p w14:paraId="4030F4FA" w14:textId="77777777" w:rsidR="00DA679C" w:rsidRPr="00DA679C" w:rsidRDefault="00DA679C" w:rsidP="00DA679C">
      <w:pPr>
        <w:spacing w:after="120" w:line="276" w:lineRule="auto"/>
        <w:ind w:firstLine="708"/>
        <w:jc w:val="both"/>
        <w:rPr>
          <w:rFonts w:ascii="Verdana" w:eastAsia="Times New Roman" w:hAnsi="Verdana" w:cs="Arial"/>
          <w:bCs/>
          <w:kern w:val="2"/>
          <w:lang w:eastAsia="es-ES_tradnl"/>
          <w14:ligatures w14:val="standardContextual"/>
        </w:rPr>
      </w:pPr>
      <w:r w:rsidRPr="00DA679C">
        <w:rPr>
          <w:rFonts w:ascii="Verdana" w:eastAsia="Times New Roman" w:hAnsi="Verdana" w:cs="Arial"/>
          <w:bCs/>
          <w:kern w:val="2"/>
          <w:lang w:eastAsia="es-ES_tradnl"/>
          <w14:ligatures w14:val="standardContextual"/>
        </w:rPr>
        <w:t xml:space="preserve">De este modo, es importante analizar la solución específica para aquellos eventos en donde podría considerarse en principio que existe concurrencia de modalidades de selección, como es el caso de la consulta. En efecto, por regla general la escogencia de interventores se surte por concurso de méritos, el cual, según el numeral 3° del artículo 2 de la Ley 1150 de 2007, corresponde a la modalidad prevista para la selección </w:t>
      </w:r>
      <w:r w:rsidRPr="00DA679C">
        <w:rPr>
          <w:rFonts w:ascii="Verdana" w:eastAsia="Times New Roman" w:hAnsi="Verdana" w:cs="Arial"/>
          <w:i/>
          <w:iCs/>
          <w:kern w:val="2"/>
          <w:lang w:val="es-ES_tradnl" w:eastAsia="es-ES_tradnl"/>
          <w14:ligatures w14:val="standardContextual"/>
        </w:rPr>
        <w:t>“</w:t>
      </w:r>
      <w:r w:rsidRPr="00DA679C">
        <w:rPr>
          <w:rFonts w:ascii="Verdana" w:eastAsia="Times New Roman" w:hAnsi="Verdana" w:cs="Arial"/>
          <w:bCs/>
          <w:i/>
          <w:iCs/>
          <w:kern w:val="2"/>
          <w:lang w:eastAsia="es-ES_tradnl"/>
          <w14:ligatures w14:val="standardContextual"/>
        </w:rPr>
        <w:t>de consultores o proyectos, en la que se podrán utilizar sistemas de concurso abierto o de precalificación</w:t>
      </w:r>
      <w:r w:rsidRPr="00DA679C">
        <w:rPr>
          <w:rFonts w:ascii="Verdana" w:eastAsia="Times New Roman" w:hAnsi="Verdana" w:cs="Arial"/>
          <w:i/>
          <w:iCs/>
          <w:kern w:val="2"/>
          <w:lang w:val="es-ES_tradnl" w:eastAsia="es-ES_tradnl"/>
          <w14:ligatures w14:val="standardContextual"/>
        </w:rPr>
        <w:t>”</w:t>
      </w:r>
      <w:r w:rsidRPr="00DA679C">
        <w:rPr>
          <w:rFonts w:ascii="Verdana" w:eastAsia="Times New Roman" w:hAnsi="Verdana" w:cs="Arial"/>
          <w:bCs/>
          <w:i/>
          <w:iCs/>
          <w:kern w:val="2"/>
          <w:lang w:eastAsia="es-ES_tradnl"/>
          <w14:ligatures w14:val="standardContextual"/>
        </w:rPr>
        <w:t>.</w:t>
      </w:r>
    </w:p>
    <w:p w14:paraId="3132E261" w14:textId="77777777" w:rsidR="00DA679C" w:rsidRPr="00DA679C" w:rsidRDefault="00DA679C" w:rsidP="00DA679C">
      <w:pPr>
        <w:spacing w:before="120" w:after="120" w:line="276" w:lineRule="auto"/>
        <w:ind w:firstLine="709"/>
        <w:jc w:val="both"/>
        <w:rPr>
          <w:rFonts w:ascii="Verdana" w:eastAsia="Times New Roman" w:hAnsi="Verdana" w:cs="Arial"/>
          <w:color w:val="000000"/>
          <w:lang w:val="es-ES_tradnl" w:eastAsia="es-ES"/>
        </w:rPr>
      </w:pPr>
      <w:r w:rsidRPr="00DA679C">
        <w:rPr>
          <w:rFonts w:ascii="Verdana" w:eastAsia="Times New Roman" w:hAnsi="Verdana" w:cs="Arial"/>
          <w:bCs/>
          <w:kern w:val="2"/>
          <w:lang w:eastAsia="es-ES_tradnl"/>
          <w14:ligatures w14:val="standardContextual"/>
        </w:rPr>
        <w:t>En este contexto, la escogencia del interventor, a través de concurso de méritos, podría parecer que concurre con la modalidad de mínima cuantía que, como se referenció, según el artículo 94 de la Ley 1474 de 2011, modificado por el artículo 30 de la Ley 2069 de 2020, consiste en la contratación cuyo valor no excede del diez por ciento (10%) de la menor cuantía de la entidad independientemente de su objeto.</w:t>
      </w:r>
    </w:p>
    <w:p w14:paraId="082368A0" w14:textId="77777777" w:rsidR="00DA679C" w:rsidRPr="00DA679C" w:rsidRDefault="00DA679C" w:rsidP="00DA679C">
      <w:pPr>
        <w:spacing w:before="120" w:after="120" w:line="276" w:lineRule="auto"/>
        <w:ind w:firstLine="709"/>
        <w:jc w:val="both"/>
        <w:rPr>
          <w:rFonts w:ascii="Verdana" w:eastAsia="Times New Roman" w:hAnsi="Verdana" w:cs="Times New Roman"/>
          <w:sz w:val="24"/>
          <w:szCs w:val="24"/>
          <w:lang w:eastAsia="es-ES_tradnl"/>
        </w:rPr>
      </w:pPr>
      <w:r w:rsidRPr="00DA679C">
        <w:rPr>
          <w:rFonts w:ascii="Verdana" w:eastAsia="Times New Roman" w:hAnsi="Verdana" w:cs="Arial"/>
          <w:szCs w:val="24"/>
          <w:lang w:val="es-ES_tradnl" w:eastAsia="es-ES_tradnl"/>
        </w:rPr>
        <w:t>En virtud de lo anterior, el “Manual de la modalidad de selección de mínima cuantía”, publicado por la Agencia Nacional de Contratación Pública – Colombia Compra Eficiente, expresa que “</w:t>
      </w:r>
      <w:r w:rsidRPr="00DA679C">
        <w:rPr>
          <w:rFonts w:ascii="Verdana" w:eastAsia="Times New Roman" w:hAnsi="Verdana" w:cs="Arial"/>
          <w:i/>
          <w:iCs/>
          <w:szCs w:val="24"/>
          <w:lang w:val="es-ES_tradnl" w:eastAsia="es-ES_tradnl"/>
        </w:rPr>
        <w:t>Dado que la selección de mínima cuantía es especial para cualquier objeto contractual, de conformidad con el inciso primero del artículo 30 de la Ley 2069 de 2020, en caso de concurrencia entre el concurso de méritos y la mínima cuantía, la modalidad de selección aplicable será la de mínima cuantía</w:t>
      </w:r>
      <w:r w:rsidRPr="00DA679C">
        <w:rPr>
          <w:rFonts w:ascii="Verdana" w:eastAsia="Times New Roman" w:hAnsi="Verdana" w:cs="Arial"/>
          <w:szCs w:val="24"/>
          <w:lang w:val="es-ES_tradnl" w:eastAsia="es-ES_tradnl"/>
        </w:rPr>
        <w:t>”</w:t>
      </w:r>
      <w:r w:rsidRPr="00DA679C">
        <w:rPr>
          <w:rFonts w:ascii="Verdana" w:eastAsia="Times New Roman" w:hAnsi="Verdana" w:cs="Arial"/>
          <w:szCs w:val="24"/>
          <w:vertAlign w:val="superscript"/>
          <w:lang w:val="es-ES_tradnl" w:eastAsia="es-ES_tradnl"/>
        </w:rPr>
        <w:footnoteReference w:id="8"/>
      </w:r>
      <w:r w:rsidRPr="00DA679C">
        <w:rPr>
          <w:rFonts w:ascii="Verdana" w:eastAsia="Times New Roman" w:hAnsi="Verdana" w:cs="Arial"/>
          <w:szCs w:val="24"/>
          <w:lang w:val="es-ES_tradnl" w:eastAsia="es-ES_tradnl"/>
        </w:rPr>
        <w:t xml:space="preserve">. </w:t>
      </w:r>
    </w:p>
    <w:p w14:paraId="51717D3E" w14:textId="77777777" w:rsidR="00DA679C" w:rsidRPr="00DA679C" w:rsidRDefault="00DA679C" w:rsidP="00DA679C">
      <w:pPr>
        <w:spacing w:after="0" w:line="276" w:lineRule="auto"/>
        <w:ind w:firstLine="709"/>
        <w:jc w:val="both"/>
        <w:rPr>
          <w:rFonts w:ascii="Verdana" w:eastAsia="Times New Roman" w:hAnsi="Verdana" w:cs="Arial"/>
          <w:color w:val="000000"/>
          <w:lang w:val="es-ES_tradnl" w:eastAsia="es-ES"/>
        </w:rPr>
      </w:pPr>
      <w:r w:rsidRPr="00DA679C">
        <w:rPr>
          <w:rFonts w:ascii="Verdana" w:eastAsia="Times New Roman" w:hAnsi="Verdana" w:cs="Arial"/>
          <w:color w:val="000000"/>
          <w:lang w:val="es-ES_tradnl" w:eastAsia="es-ES"/>
        </w:rPr>
        <w:t xml:space="preserve">De igual forma, es cierto que esta ha sido la interpretación del Consejo de Estado, que al estudiar la concurrencia entre la mínima cuantía y otras modalidades de selección –incluido el concurso de méritos para la selección de </w:t>
      </w:r>
      <w:r w:rsidRPr="00DA679C">
        <w:rPr>
          <w:rFonts w:ascii="Verdana" w:eastAsia="Times New Roman" w:hAnsi="Verdana" w:cs="Arial"/>
          <w:i/>
          <w:iCs/>
          <w:color w:val="000000"/>
          <w:lang w:val="es-ES_tradnl" w:eastAsia="es-ES"/>
        </w:rPr>
        <w:lastRenderedPageBreak/>
        <w:t>consultores</w:t>
      </w:r>
      <w:r w:rsidRPr="00DA679C">
        <w:rPr>
          <w:rFonts w:ascii="Verdana" w:eastAsia="Times New Roman" w:hAnsi="Verdana" w:cs="Arial"/>
          <w:color w:val="000000"/>
          <w:lang w:val="es-ES_tradnl" w:eastAsia="es-ES"/>
        </w:rPr>
        <w:t>, al tenor del artículo 32, numeral 2 de la Ley 80 de 1993</w:t>
      </w:r>
      <w:r w:rsidRPr="00DA679C">
        <w:rPr>
          <w:rFonts w:ascii="Verdana" w:eastAsia="Times New Roman" w:hAnsi="Verdana" w:cs="Arial"/>
          <w:color w:val="000000"/>
          <w:vertAlign w:val="superscript"/>
          <w:lang w:val="es-ES_tradnl" w:eastAsia="es-ES"/>
        </w:rPr>
        <w:footnoteReference w:id="9"/>
      </w:r>
      <w:r w:rsidRPr="00DA679C">
        <w:rPr>
          <w:rFonts w:ascii="Verdana" w:eastAsia="Times New Roman" w:hAnsi="Verdana" w:cs="Arial"/>
          <w:color w:val="000000"/>
          <w:lang w:val="es-ES_tradnl" w:eastAsia="es-ES"/>
        </w:rPr>
        <w:t>–, ha concluido que:</w:t>
      </w:r>
    </w:p>
    <w:p w14:paraId="09DE996E" w14:textId="77777777" w:rsidR="00DA679C" w:rsidRPr="00DA679C" w:rsidRDefault="00DA679C" w:rsidP="00DA679C">
      <w:pPr>
        <w:spacing w:after="0" w:line="240" w:lineRule="auto"/>
        <w:ind w:left="709" w:right="709"/>
        <w:jc w:val="both"/>
        <w:rPr>
          <w:rFonts w:ascii="Verdana" w:eastAsia="Times New Roman" w:hAnsi="Verdana" w:cs="Arial"/>
          <w:sz w:val="21"/>
          <w:szCs w:val="21"/>
          <w:lang w:val="es-ES_tradnl" w:eastAsia="es-ES_tradnl"/>
        </w:rPr>
      </w:pPr>
    </w:p>
    <w:p w14:paraId="3BB0C5A3" w14:textId="77777777" w:rsidR="00DA679C" w:rsidRPr="00DA679C" w:rsidRDefault="00DA679C" w:rsidP="00DA679C">
      <w:pPr>
        <w:spacing w:after="0" w:line="240" w:lineRule="auto"/>
        <w:ind w:left="709" w:right="709"/>
        <w:jc w:val="both"/>
        <w:rPr>
          <w:rFonts w:ascii="Verdana" w:eastAsia="Times New Roman" w:hAnsi="Verdana" w:cs="Arial"/>
          <w:sz w:val="21"/>
          <w:szCs w:val="21"/>
          <w:lang w:val="es-ES_tradnl" w:eastAsia="es-ES_tradnl"/>
        </w:rPr>
      </w:pPr>
      <w:r w:rsidRPr="00DA679C">
        <w:rPr>
          <w:rFonts w:ascii="Verdana" w:eastAsia="Times New Roman" w:hAnsi="Verdana" w:cs="Arial"/>
          <w:sz w:val="21"/>
          <w:szCs w:val="21"/>
          <w:lang w:val="es-ES_tradnl" w:eastAsia="es-ES_tradnl"/>
        </w:rPr>
        <w:t xml:space="preserve">“(…), cuando el monto de la contratación sea equivalente a la mínima cuantía de la entidad estatal, pero, concomitante a ello, esta última (la entidad) advierta que también aplica alguna modalidad de selección específica (dadas las condiciones especiales del objeto), ella debe acudir al procedimiento establecido para la mínima cuantía; así, por ejemplo, si la administración necesita contratar la prestación de servicios de salud (supuesto que se enmarca en el trámite de selección abreviada), pero el valor del contrato no excede del 10% de la menor cuantía de la entidad, este último será el criterio que se debe tener en cuenta para la escogencia del contratista; por tanto, </w:t>
      </w:r>
      <w:r w:rsidRPr="00DA679C">
        <w:rPr>
          <w:rFonts w:ascii="Verdana" w:eastAsia="Times New Roman" w:hAnsi="Verdana" w:cs="Arial"/>
          <w:sz w:val="21"/>
          <w:szCs w:val="21"/>
          <w:u w:val="single"/>
          <w:lang w:val="es-ES_tradnl" w:eastAsia="es-ES_tradnl"/>
        </w:rPr>
        <w:t>el procedimiento que debe seguirse será el de mínima cuantía, independientemente –se insiste– del objeto a contratar</w:t>
      </w:r>
      <w:r w:rsidRPr="00DA679C">
        <w:rPr>
          <w:rFonts w:ascii="Verdana" w:eastAsia="Times New Roman" w:hAnsi="Verdana" w:cs="Arial"/>
          <w:sz w:val="21"/>
          <w:szCs w:val="21"/>
          <w:lang w:val="es-ES_tradnl" w:eastAsia="es-ES_tradnl"/>
        </w:rPr>
        <w:t xml:space="preserve">. </w:t>
      </w:r>
      <w:r w:rsidRPr="00DA679C">
        <w:rPr>
          <w:rFonts w:ascii="Verdana" w:eastAsia="Times New Roman" w:hAnsi="Verdana" w:cs="Arial"/>
          <w:i/>
          <w:iCs/>
          <w:sz w:val="21"/>
          <w:szCs w:val="21"/>
          <w:lang w:val="es-ES_tradnl" w:eastAsia="es-ES_tradnl"/>
        </w:rPr>
        <w:t>Lo mismo se aplica cuando se necesita contratar una consultoría</w:t>
      </w:r>
      <w:r w:rsidRPr="00DA679C">
        <w:rPr>
          <w:rFonts w:ascii="Verdana" w:eastAsia="Times New Roman" w:hAnsi="Verdana" w:cs="Arial"/>
          <w:sz w:val="21"/>
          <w:szCs w:val="21"/>
          <w:lang w:val="es-ES_tradnl" w:eastAsia="es-ES_tradnl"/>
        </w:rPr>
        <w:t xml:space="preserve"> o adquirir bienes o servicios de características técnicas uniformes y de común utilización, entre otros, siempre que el costo de la contratación no supere la mínima cuantía de la entidad”</w:t>
      </w:r>
      <w:r w:rsidRPr="00DA679C">
        <w:rPr>
          <w:rFonts w:ascii="Verdana" w:eastAsia="Times New Roman" w:hAnsi="Verdana" w:cs="Arial"/>
          <w:sz w:val="21"/>
          <w:szCs w:val="21"/>
          <w:vertAlign w:val="superscript"/>
          <w:lang w:eastAsia="es-ES_tradnl"/>
        </w:rPr>
        <w:footnoteReference w:id="10"/>
      </w:r>
      <w:r w:rsidRPr="00DA679C">
        <w:rPr>
          <w:rFonts w:ascii="Verdana" w:eastAsia="Times New Roman" w:hAnsi="Verdana" w:cs="Arial"/>
          <w:sz w:val="21"/>
          <w:szCs w:val="21"/>
          <w:lang w:val="es-ES_tradnl" w:eastAsia="es-ES_tradnl"/>
        </w:rPr>
        <w:t xml:space="preserve"> (Cursiva y subraya fuera de texto).</w:t>
      </w:r>
    </w:p>
    <w:p w14:paraId="079ACC4B" w14:textId="77777777" w:rsidR="00DA679C" w:rsidRPr="00DA679C" w:rsidRDefault="00DA679C" w:rsidP="00DA679C">
      <w:pPr>
        <w:spacing w:after="0" w:line="276" w:lineRule="auto"/>
        <w:jc w:val="both"/>
        <w:rPr>
          <w:rFonts w:ascii="Verdana" w:eastAsia="Times New Roman" w:hAnsi="Verdana" w:cs="Arial"/>
          <w:color w:val="000000"/>
          <w:lang w:val="es-ES_tradnl" w:eastAsia="es-ES"/>
        </w:rPr>
      </w:pPr>
    </w:p>
    <w:p w14:paraId="589C1710" w14:textId="77777777" w:rsidR="00DA679C" w:rsidRPr="00DA679C" w:rsidRDefault="00DA679C" w:rsidP="00DA679C">
      <w:pPr>
        <w:snapToGrid w:val="0"/>
        <w:spacing w:after="0" w:line="276" w:lineRule="auto"/>
        <w:ind w:firstLine="709"/>
        <w:jc w:val="both"/>
        <w:rPr>
          <w:rFonts w:ascii="Verdana" w:eastAsia="Times New Roman" w:hAnsi="Verdana" w:cs="Arial"/>
          <w:kern w:val="2"/>
          <w:lang w:val="es-ES_tradnl" w:eastAsia="es-ES_tradnl"/>
          <w14:ligatures w14:val="standardContextual"/>
        </w:rPr>
      </w:pPr>
      <w:r w:rsidRPr="00DA679C">
        <w:rPr>
          <w:rFonts w:ascii="Verdana" w:eastAsia="Times New Roman" w:hAnsi="Verdana" w:cs="Arial"/>
          <w:kern w:val="2"/>
          <w:lang w:val="es-ES_tradnl" w:eastAsia="es-ES_tradnl"/>
          <w14:ligatures w14:val="standardContextual"/>
        </w:rPr>
        <w:t>De acuerdo con la jurisprudencia citada, cuando el valor estimado del contrato corresponde a la mínima cuantía de la entidad estatal, esta circunstancia prevalece sobre la modalidad de selección que, por razón del objeto contractual, podría resultar aplicable. Lo anterior, para efectos de la concurrencia de la modalidad de selección de mínima cuantía y la de concurso de méritos.</w:t>
      </w:r>
    </w:p>
    <w:p w14:paraId="772D9507" w14:textId="77777777" w:rsidR="00DA679C" w:rsidRPr="00DA679C" w:rsidRDefault="00DA679C" w:rsidP="00DA679C">
      <w:pPr>
        <w:snapToGrid w:val="0"/>
        <w:spacing w:before="120" w:after="0" w:line="276" w:lineRule="auto"/>
        <w:ind w:firstLine="709"/>
        <w:jc w:val="both"/>
        <w:rPr>
          <w:rFonts w:ascii="Verdana" w:eastAsia="Times New Roman" w:hAnsi="Verdana" w:cs="Arial"/>
          <w:color w:val="000000"/>
          <w:kern w:val="2"/>
          <w:lang w:val="es-ES_tradnl" w:eastAsia="es-ES"/>
          <w14:ligatures w14:val="standardContextual"/>
        </w:rPr>
      </w:pPr>
      <w:r w:rsidRPr="00DA679C">
        <w:rPr>
          <w:rFonts w:ascii="Verdana" w:eastAsia="Times New Roman" w:hAnsi="Verdana" w:cs="Arial"/>
          <w:color w:val="000000"/>
          <w:kern w:val="2"/>
          <w:lang w:val="es-ES_tradnl" w:eastAsia="es-ES"/>
          <w14:ligatures w14:val="standardContextual"/>
        </w:rPr>
        <w:lastRenderedPageBreak/>
        <w:t xml:space="preserve">De acuerdo con lo expuesto, considerando el objeto y la modalidad de selección planteados en la consulta, se observa la concurrencia de las modalidades de selección de mínima cuantía y de concurso de méritos, siendo esta última la procedente, por regla general, para la selección de consultores. No obstante, como se indicó, si el valor de la contratación no excede del diez por ciento (10%) de la menor cuantía de la entidad, independientemente de su objeto –y sin perjuicio del análisis de procedencia de otros mecanismos especiales de selección del contratista–, el proceso de selección deberá adelantarse mediante la modalidad de selección de </w:t>
      </w:r>
      <w:r w:rsidRPr="00DA679C">
        <w:rPr>
          <w:rFonts w:ascii="Verdana" w:eastAsia="Times New Roman" w:hAnsi="Verdana" w:cs="Arial"/>
          <w:i/>
          <w:iCs/>
          <w:color w:val="000000"/>
          <w:kern w:val="2"/>
          <w:lang w:val="es-ES_tradnl" w:eastAsia="es-ES"/>
          <w14:ligatures w14:val="standardContextual"/>
        </w:rPr>
        <w:t>mínima cuantía</w:t>
      </w:r>
      <w:r w:rsidRPr="00DA679C">
        <w:rPr>
          <w:rFonts w:ascii="Verdana" w:eastAsia="Times New Roman" w:hAnsi="Verdana" w:cs="Arial"/>
          <w:color w:val="000000"/>
          <w:kern w:val="2"/>
          <w:lang w:val="es-ES_tradnl" w:eastAsia="es-ES"/>
          <w14:ligatures w14:val="standardContextual"/>
        </w:rPr>
        <w:t>, en aplicación de lo preceptuado en el artículo 2, numeral 5, de la Ley 1150 de 2007, modificado por el artículo 30 de la Ley 2069 de 2020. En consecuencia, el criterio para la escogencia del contratista será el menor precio, siempre y cuando cumpla con las condiciones exigidas en la invitación.</w:t>
      </w:r>
    </w:p>
    <w:p w14:paraId="2ABB340A" w14:textId="77777777" w:rsidR="00DA679C" w:rsidRPr="00DA679C" w:rsidRDefault="00DA679C" w:rsidP="00DA679C">
      <w:pPr>
        <w:spacing w:after="0" w:line="276" w:lineRule="auto"/>
        <w:ind w:firstLine="708"/>
        <w:jc w:val="both"/>
        <w:rPr>
          <w:rFonts w:ascii="Verdana" w:eastAsia="Times New Roman" w:hAnsi="Verdana" w:cs="Arial"/>
          <w:color w:val="000000"/>
          <w:lang w:val="es-ES_tradnl" w:eastAsia="es-ES"/>
        </w:rPr>
      </w:pPr>
    </w:p>
    <w:p w14:paraId="6AC83F45" w14:textId="77777777" w:rsidR="00DA679C" w:rsidRPr="00DA679C" w:rsidRDefault="00DA679C" w:rsidP="00DA679C">
      <w:pPr>
        <w:spacing w:after="120" w:line="276" w:lineRule="auto"/>
        <w:jc w:val="both"/>
        <w:rPr>
          <w:rFonts w:ascii="Verdana" w:eastAsia="Times New Roman" w:hAnsi="Verdana" w:cs="Times New Roman"/>
          <w:color w:val="000000"/>
          <w:lang w:eastAsia="es-CO"/>
        </w:rPr>
      </w:pPr>
      <w:r w:rsidRPr="00DA679C">
        <w:rPr>
          <w:rFonts w:ascii="Arial" w:eastAsia="Aptos" w:hAnsi="Arial" w:cs="Arial"/>
          <w:kern w:val="2"/>
          <w:szCs w:val="24"/>
          <w:lang w:val="es-ES_tradnl"/>
          <w14:ligatures w14:val="standardContextual"/>
        </w:rPr>
        <w:t xml:space="preserve">iii.  </w:t>
      </w:r>
      <w:r w:rsidRPr="00DA679C">
        <w:rPr>
          <w:rFonts w:ascii="Verdana" w:eastAsia="Aptos" w:hAnsi="Verdana" w:cs="Arial"/>
          <w:kern w:val="2"/>
          <w:lang w:val="es-ES_tradnl"/>
          <w14:ligatures w14:val="standardContextual"/>
        </w:rPr>
        <w:t xml:space="preserve">Como se indicó en el numeral i. de este concepto, en ejercicio de la competencia del artículo 1 de la Ley 2022 de 2020, la Agencia Nacional de Contratación Pública – Colombia Compra Eficiente expidió la </w:t>
      </w:r>
      <w:r w:rsidRPr="00DA679C">
        <w:rPr>
          <w:rFonts w:ascii="Verdana" w:eastAsia="Times New Roman" w:hAnsi="Verdana" w:cs="Times New Roman"/>
          <w:color w:val="000000"/>
          <w:lang w:eastAsia="es-CO"/>
        </w:rPr>
        <w:t xml:space="preserve">Resolución 541 del 21 de agosto de 2025 </w:t>
      </w:r>
      <w:r w:rsidRPr="00DA679C">
        <w:rPr>
          <w:rFonts w:ascii="Verdana" w:eastAsia="Times New Roman" w:hAnsi="Verdana" w:cs="Times New Roman"/>
          <w:i/>
          <w:iCs/>
          <w:color w:val="000000"/>
          <w:lang w:eastAsia="es-CO"/>
        </w:rPr>
        <w:t>“Por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w:t>
      </w:r>
      <w:r w:rsidRPr="00DA679C">
        <w:rPr>
          <w:rFonts w:ascii="Verdana" w:eastAsia="Times New Roman" w:hAnsi="Verdana" w:cs="Times New Roman"/>
          <w:color w:val="000000"/>
          <w:lang w:eastAsia="es-CO"/>
        </w:rPr>
        <w:t xml:space="preserve"> </w:t>
      </w:r>
    </w:p>
    <w:p w14:paraId="1F301987" w14:textId="77777777" w:rsidR="00DA679C" w:rsidRPr="00DA679C" w:rsidRDefault="00DA679C" w:rsidP="00DA679C">
      <w:pPr>
        <w:spacing w:before="120" w:after="120" w:line="276" w:lineRule="auto"/>
        <w:ind w:firstLine="708"/>
        <w:jc w:val="both"/>
        <w:rPr>
          <w:rFonts w:ascii="Verdana" w:eastAsia="Times New Roman" w:hAnsi="Verdana" w:cs="Times New Roman"/>
          <w:lang w:eastAsia="es-MX"/>
        </w:rPr>
      </w:pPr>
      <w:r w:rsidRPr="00DA679C">
        <w:rPr>
          <w:rFonts w:ascii="Verdana" w:eastAsia="Times New Roman" w:hAnsi="Verdana" w:cs="Times New Roman"/>
          <w:lang w:eastAsia="es-MX"/>
        </w:rPr>
        <w:t xml:space="preserve">Ahora bien, de acuerdo con las consideraciones desarrolladas en el punto ii. de este concepto, y teniendo en cuenta que la modalidad de mínima cuantía prevalece para la selección de consultores e interventores cuando el valor de la contratación no excede del diez por ciento (10 %) de la menor cuantía de la entidad, </w:t>
      </w:r>
      <w:r w:rsidRPr="00DA679C">
        <w:rPr>
          <w:rFonts w:ascii="Verdana" w:eastAsia="Times New Roman" w:hAnsi="Verdana" w:cs="Times New Roman"/>
          <w:i/>
          <w:iCs/>
          <w:lang w:eastAsia="es-MX"/>
        </w:rPr>
        <w:t>en principio</w:t>
      </w:r>
      <w:r w:rsidRPr="00DA679C">
        <w:rPr>
          <w:rFonts w:ascii="Verdana" w:eastAsia="Times New Roman" w:hAnsi="Verdana" w:cs="Times New Roman"/>
          <w:lang w:eastAsia="es-MX"/>
        </w:rPr>
        <w:t xml:space="preserve"> podría considerarse que el documento tipo aplicable al proceso de contratación objeto de la consulta es el adoptado mediante la Resolución 541 del 21 de agosto de 2025, aplicable a los procesos de mínima cuantía que se adelanten en el sector de infraestructura social.</w:t>
      </w:r>
    </w:p>
    <w:p w14:paraId="13501342" w14:textId="77777777" w:rsidR="00DA679C" w:rsidRPr="00DA679C" w:rsidRDefault="00DA679C" w:rsidP="00DA679C">
      <w:pPr>
        <w:spacing w:after="120" w:line="276" w:lineRule="auto"/>
        <w:ind w:firstLine="708"/>
        <w:jc w:val="both"/>
        <w:rPr>
          <w:rFonts w:ascii="Verdana" w:eastAsia="Calibri" w:hAnsi="Verdana" w:cs="Arial"/>
          <w:color w:val="000000"/>
          <w:kern w:val="2"/>
          <w:lang w:val="es-ES_tradnl"/>
          <w14:ligatures w14:val="standardContextual"/>
        </w:rPr>
      </w:pPr>
      <w:r w:rsidRPr="00DA679C">
        <w:rPr>
          <w:rFonts w:ascii="Verdana" w:eastAsia="Times New Roman" w:hAnsi="Verdana" w:cs="Times New Roman"/>
          <w:lang w:eastAsia="es-MX"/>
        </w:rPr>
        <w:t>No obstante, tal como se dispone en el artículo 1 de la citada resolución, los documentos tipo allí adoptados aplican a “los procesos de obra pública de infraestructura social”, es decir, los “</w:t>
      </w:r>
      <w:r w:rsidRPr="00DA679C">
        <w:rPr>
          <w:rFonts w:ascii="Verdana" w:eastAsia="Calibri" w:hAnsi="Verdana" w:cs="Arial"/>
          <w:i/>
          <w:iCs/>
          <w:color w:val="000000"/>
          <w:kern w:val="2"/>
          <w:lang w:val="es-ES_tradnl"/>
          <w14:ligatures w14:val="standardContextual"/>
        </w:rPr>
        <w:t xml:space="preserve">(…) que celebren las entidades estatales para la construcción, mantenimiento, instalación y, en general, para la </w:t>
      </w:r>
      <w:r w:rsidRPr="00DA679C">
        <w:rPr>
          <w:rFonts w:ascii="Verdana" w:eastAsia="Calibri" w:hAnsi="Verdana" w:cs="Arial"/>
          <w:i/>
          <w:iCs/>
          <w:color w:val="000000"/>
          <w:kern w:val="2"/>
          <w:lang w:val="es-ES_tradnl"/>
          <w14:ligatures w14:val="standardContextual"/>
        </w:rPr>
        <w:lastRenderedPageBreak/>
        <w:t>realización de cualquier otro trabajo material sobre bienes inmuebles, cualquiera que sea la modalidad de ejecución y pago”</w:t>
      </w:r>
      <w:r w:rsidRPr="00DA679C">
        <w:rPr>
          <w:rFonts w:ascii="Verdana" w:eastAsia="Calibri" w:hAnsi="Verdana" w:cs="Arial"/>
          <w:color w:val="000000"/>
          <w:kern w:val="2"/>
          <w:vertAlign w:val="superscript"/>
          <w:lang w:val="es-ES_tradnl"/>
          <w14:ligatures w14:val="standardContextual"/>
        </w:rPr>
        <w:footnoteReference w:id="11"/>
      </w:r>
      <w:r w:rsidRPr="00DA679C">
        <w:rPr>
          <w:rFonts w:ascii="Verdana" w:eastAsia="Calibri" w:hAnsi="Verdana" w:cs="Arial"/>
          <w:color w:val="000000"/>
          <w:kern w:val="2"/>
          <w:lang w:val="es-ES_tradnl"/>
          <w14:ligatures w14:val="standardContextual"/>
        </w:rPr>
        <w:t xml:space="preserve">. </w:t>
      </w:r>
    </w:p>
    <w:p w14:paraId="01FF7BD5" w14:textId="77777777" w:rsidR="00DA679C" w:rsidRPr="00DA679C" w:rsidRDefault="00DA679C" w:rsidP="00DA679C">
      <w:pPr>
        <w:spacing w:before="120" w:after="120" w:line="276" w:lineRule="auto"/>
        <w:ind w:firstLine="708"/>
        <w:jc w:val="both"/>
        <w:rPr>
          <w:rFonts w:ascii="Verdana" w:eastAsia="Times New Roman" w:hAnsi="Verdana" w:cs="Times New Roman"/>
          <w:lang w:eastAsia="es-MX"/>
        </w:rPr>
      </w:pPr>
      <w:r w:rsidRPr="00DA679C">
        <w:rPr>
          <w:rFonts w:ascii="Verdana" w:eastAsia="Times New Roman" w:hAnsi="Verdana" w:cs="Times New Roman"/>
          <w:lang w:eastAsia="es-MX"/>
        </w:rPr>
        <w:t>En efecto, tal como se aprecia en las matrices de experiencia adoptadas mediante la Resolución 541 del 21 de agosto de 2025, las actividades allí previstas corresponden a intervenciones que constituyen obra pública, tales como la construcción, reconstrucción, ampliación, adecuación, mantenimiento y remodelación de infraestructura del sector social, particularmente en los sectores educativo, cultural, recreativo y deportivo, institucional y de vivienda. En ese sentido, las actividades contempladas en dichas matrices están orientadas a acreditar experiencia relacionada con la ejecución de proyectos de obra pública de infraestructura física en los mencionados sectores, lo que permite identificar el alcance y la naturaleza de la experiencia exigida a los proponentes.</w:t>
      </w:r>
    </w:p>
    <w:p w14:paraId="413E5E57" w14:textId="77777777" w:rsidR="00DA679C" w:rsidRPr="00DA679C" w:rsidRDefault="00DA679C" w:rsidP="00DA679C">
      <w:pPr>
        <w:spacing w:before="120" w:after="120" w:line="276" w:lineRule="auto"/>
        <w:ind w:firstLine="708"/>
        <w:jc w:val="both"/>
        <w:rPr>
          <w:rFonts w:ascii="Verdana" w:eastAsia="Times New Roman" w:hAnsi="Verdana" w:cs="Times New Roman"/>
          <w:lang w:eastAsia="es-MX"/>
        </w:rPr>
      </w:pPr>
      <w:r w:rsidRPr="00DA679C">
        <w:rPr>
          <w:rFonts w:ascii="Verdana" w:eastAsia="Times New Roman" w:hAnsi="Verdana" w:cs="Times New Roman"/>
          <w:lang w:eastAsia="es-MX"/>
        </w:rPr>
        <w:t xml:space="preserve">Por lo anterior, teniendo en cuenta que la interventoría constituye un contrato de consultoría y no un contrato de obra pública, se concluye que los documentos tipo adoptados mediante la Resolución 541 de 2025 no resultan obligatorios para adelantar el proceso de mínima cuantía cuyo objeto corresponda a la interventoría de obras públicas de infraestructura social. </w:t>
      </w:r>
    </w:p>
    <w:p w14:paraId="10B5FFC9" w14:textId="77777777" w:rsidR="00DA679C" w:rsidRPr="00DA679C" w:rsidRDefault="00DA679C" w:rsidP="00DA679C">
      <w:pPr>
        <w:spacing w:before="120" w:after="120" w:line="276" w:lineRule="auto"/>
        <w:ind w:firstLine="708"/>
        <w:jc w:val="both"/>
        <w:rPr>
          <w:rFonts w:ascii="Verdana" w:eastAsia="Calibri" w:hAnsi="Verdana" w:cs="Arial"/>
          <w:color w:val="000000"/>
          <w:kern w:val="2"/>
          <w:lang w:val="es-ES_tradnl"/>
          <w14:ligatures w14:val="standardContextual"/>
        </w:rPr>
      </w:pPr>
      <w:r w:rsidRPr="00DA679C">
        <w:rPr>
          <w:rFonts w:ascii="Verdana" w:eastAsia="Times New Roman" w:hAnsi="Verdana" w:cs="Times New Roman"/>
          <w:lang w:eastAsia="es-MX"/>
        </w:rPr>
        <w:t>En consecuencia, ante la inexistencia de documentos tipo específicos para este supuesto, la entidad estatal deberá estructurar el proceso de contratación con fundamento en las disposiciones legales y reglamentarias que regulan la modalidad de mínima cuantía, garantizando el cumplimiento de los principios de la contratación estatal y de los requisitos mínimos exigidos por el ordenamiento jurídico. Sin perjuicio de lo anterior, la entidad podrá tomar como referente, de manera orientadora y con las adaptaciones que resulten necesarias, los documentos tipo expedidos para la contratación de interventoría o para los procesos de mínima cuantía en infraestructura social, siempre que ello no desconozca las particularidades propias del objeto contractual ni del procedimiento de selección aplicable</w:t>
      </w:r>
      <w:r w:rsidRPr="00DA679C">
        <w:rPr>
          <w:rFonts w:ascii="Verdana" w:eastAsia="Calibri" w:hAnsi="Verdana" w:cs="Arial"/>
          <w:color w:val="000000"/>
          <w:kern w:val="2"/>
          <w:lang w:val="es-ES_tradnl"/>
          <w14:ligatures w14:val="standardContextual"/>
        </w:rPr>
        <w:t>.</w:t>
      </w:r>
    </w:p>
    <w:p w14:paraId="312273C6" w14:textId="77777777" w:rsidR="00DA679C" w:rsidRPr="00DA679C" w:rsidRDefault="00DA679C" w:rsidP="00DA679C">
      <w:pPr>
        <w:spacing w:before="120" w:after="120" w:line="276" w:lineRule="auto"/>
        <w:ind w:firstLine="708"/>
        <w:jc w:val="both"/>
        <w:rPr>
          <w:rFonts w:ascii="Verdana" w:eastAsia="Aptos" w:hAnsi="Verdana" w:cs="Times New Roman"/>
          <w:kern w:val="2"/>
          <w14:ligatures w14:val="standardContextual"/>
        </w:rPr>
      </w:pPr>
      <w:r w:rsidRPr="00DA679C">
        <w:rPr>
          <w:rFonts w:ascii="Verdana" w:eastAsia="Aptos" w:hAnsi="Verdana" w:cs="Times New Roman"/>
          <w:kern w:val="2"/>
          <w:lang w:val="es-ES_tradnl"/>
          <w14:ligatures w14:val="standardContextual"/>
        </w:rPr>
        <w:t>En todo caso, debe señalarse que, d</w:t>
      </w:r>
      <w:r w:rsidRPr="00DA679C">
        <w:rPr>
          <w:rFonts w:ascii="Verdana" w:eastAsia="Aptos" w:hAnsi="Verdana" w:cs="Times New Roman"/>
          <w:kern w:val="2"/>
          <w14:ligatures w14:val="standardContextual"/>
        </w:rPr>
        <w:t xml:space="preserve">e acuerdo con el criterio de esta Subdirección, los documentos tipo adoptados mediante la Resolución No. 953 del 15 de diciembre de 2025, que corresponden a los de concurso de méritos </w:t>
      </w:r>
      <w:r w:rsidRPr="00DA679C">
        <w:rPr>
          <w:rFonts w:ascii="Verdana" w:eastAsia="Aptos" w:hAnsi="Verdana" w:cs="Times New Roman"/>
          <w:kern w:val="2"/>
          <w14:ligatures w14:val="standardContextual"/>
        </w:rPr>
        <w:lastRenderedPageBreak/>
        <w:t>para la contratación de interventoría de obras públicas de infraestructura social, no resultan obligatorios ni directamente aplicables cuando la selección del contratista debe adelantarse mediante la modalidad de mínima cuantía, aun cuando el objeto contractual corresponda a una interventoría.</w:t>
      </w:r>
    </w:p>
    <w:p w14:paraId="11C03DC9" w14:textId="77777777" w:rsidR="00DA679C" w:rsidRPr="00DA679C" w:rsidRDefault="00DA679C" w:rsidP="00DA679C">
      <w:pPr>
        <w:spacing w:before="120" w:after="0" w:line="276" w:lineRule="auto"/>
        <w:ind w:firstLine="708"/>
        <w:jc w:val="both"/>
        <w:rPr>
          <w:rFonts w:ascii="Verdana" w:eastAsia="Aptos" w:hAnsi="Verdana" w:cs="Times New Roman"/>
          <w:kern w:val="2"/>
          <w:lang w:val="es-ES"/>
          <w14:ligatures w14:val="standardContextual"/>
        </w:rPr>
      </w:pPr>
      <w:r w:rsidRPr="00DA679C">
        <w:rPr>
          <w:rFonts w:ascii="Verdana" w:eastAsia="Aptos" w:hAnsi="Verdana" w:cs="Times New Roman"/>
          <w:kern w:val="2"/>
          <w:lang w:val="es-ES"/>
          <w14:ligatures w14:val="standardContextual"/>
        </w:rPr>
        <w:t xml:space="preserve">De esta manera, aunque los documentos tipo señalados no son obligatorios para los contratos de interventoría adelantados por mínima cuantía, nada obsta para que –sin desconocer las diferencias entre ambos procedimientos de selección– se adopten potestativamente los documentos tipo citados como criterio de buena práctica contractual, haciendo las adaptaciones pertinentes para la contratación </w:t>
      </w:r>
      <w:r w:rsidRPr="00DA679C">
        <w:rPr>
          <w:rFonts w:ascii="Verdana" w:eastAsia="Calibri" w:hAnsi="Verdana" w:cs="Times New Roman"/>
          <w:color w:val="000000"/>
          <w:kern w:val="2"/>
          <w:lang w:val="es-ES"/>
          <w14:ligatures w14:val="standardContextual"/>
        </w:rPr>
        <w:t>cuyo valor no exceda el diez por ciento –10%– de la menor cuantía</w:t>
      </w:r>
      <w:r w:rsidRPr="00DA679C">
        <w:rPr>
          <w:rFonts w:ascii="Verdana" w:eastAsia="Aptos" w:hAnsi="Verdana" w:cs="Times New Roman"/>
          <w:kern w:val="2"/>
          <w:lang w:val="es-ES"/>
          <w14:ligatures w14:val="standardContextual"/>
        </w:rPr>
        <w:t xml:space="preserve">. </w:t>
      </w:r>
    </w:p>
    <w:p w14:paraId="170F0D1B" w14:textId="77777777" w:rsidR="00DA679C" w:rsidRPr="00DA679C" w:rsidRDefault="00DA679C" w:rsidP="00DA679C">
      <w:pPr>
        <w:spacing w:after="0" w:line="276" w:lineRule="auto"/>
        <w:jc w:val="both"/>
        <w:rPr>
          <w:rFonts w:ascii="Arial" w:eastAsia="Calibri" w:hAnsi="Arial" w:cs="Arial"/>
          <w:color w:val="000000"/>
        </w:rPr>
      </w:pPr>
    </w:p>
    <w:p w14:paraId="37768A6B" w14:textId="77777777" w:rsidR="00DA679C" w:rsidRPr="00DA679C" w:rsidRDefault="00DA679C" w:rsidP="00DA679C">
      <w:pPr>
        <w:snapToGrid w:val="0"/>
        <w:spacing w:after="120" w:line="276" w:lineRule="auto"/>
        <w:jc w:val="both"/>
        <w:rPr>
          <w:rFonts w:ascii="Verdana" w:eastAsia="Calibri" w:hAnsi="Verdana" w:cs="Arial"/>
          <w:lang w:eastAsia="es-MX"/>
        </w:rPr>
      </w:pPr>
      <w:r w:rsidRPr="00DA679C">
        <w:rPr>
          <w:rFonts w:ascii="Verdana" w:eastAsia="Calibri" w:hAnsi="Verdana" w:cs="Arial"/>
          <w:lang w:val="es-ES" w:eastAsia="es-MX"/>
        </w:rPr>
        <w:t xml:space="preserve">iii. </w:t>
      </w:r>
      <w:r w:rsidRPr="00DA679C">
        <w:rPr>
          <w:rFonts w:ascii="Verdana" w:eastAsia="Calibri" w:hAnsi="Verdana" w:cs="Arial"/>
          <w:lang w:eastAsia="es-MX"/>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ADFCBB" w14:textId="6387E74F" w:rsidR="00DA679C" w:rsidRPr="00030BF3" w:rsidRDefault="00DA679C" w:rsidP="00030BF3">
      <w:pPr>
        <w:snapToGrid w:val="0"/>
        <w:spacing w:after="0" w:line="276" w:lineRule="auto"/>
        <w:ind w:firstLine="708"/>
        <w:jc w:val="both"/>
        <w:rPr>
          <w:rFonts w:ascii="Verdana" w:eastAsia="Calibri" w:hAnsi="Verdana" w:cs="Arial"/>
          <w:lang w:eastAsia="es-MX"/>
        </w:rPr>
      </w:pPr>
      <w:r w:rsidRPr="00DA679C">
        <w:rPr>
          <w:rFonts w:ascii="Verdana" w:eastAsia="Calibri" w:hAnsi="Verdana" w:cs="Arial"/>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7C56E19" w14:textId="77777777" w:rsidR="00DA679C" w:rsidRPr="00DA679C" w:rsidRDefault="00DA679C" w:rsidP="00DA679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DA679C">
        <w:rPr>
          <w:rFonts w:ascii="Verdana" w:eastAsia="Century Gothic" w:hAnsi="Verdana" w:cs="Century Gothic"/>
          <w:b/>
          <w:bCs/>
          <w:lang w:val="es-ES_tradnl" w:eastAsia="es-MX"/>
        </w:rPr>
        <w:t>Referencias normativas, jurisprudenciales y otras fuentes:</w:t>
      </w:r>
    </w:p>
    <w:p w14:paraId="5C1D7897" w14:textId="77777777" w:rsidR="00DA679C" w:rsidRPr="00DA679C" w:rsidRDefault="00DA679C" w:rsidP="00DA679C">
      <w:pPr>
        <w:widowControl w:val="0"/>
        <w:autoSpaceDE w:val="0"/>
        <w:autoSpaceDN w:val="0"/>
        <w:snapToGrid w:val="0"/>
        <w:spacing w:after="0" w:line="276" w:lineRule="auto"/>
        <w:jc w:val="both"/>
        <w:rPr>
          <w:rFonts w:ascii="Verdana" w:eastAsia="Calibri" w:hAnsi="Verdana" w:cs="Arial"/>
          <w:lang w:val="es-ES_tradnl" w:eastAsia="es-MX"/>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DA679C" w:rsidRPr="00DA679C" w14:paraId="11531D43" w14:textId="77777777" w:rsidTr="00A46F1D">
        <w:trPr>
          <w:trHeight w:val="870"/>
        </w:trPr>
        <w:tc>
          <w:tcPr>
            <w:tcW w:w="8647" w:type="dxa"/>
          </w:tcPr>
          <w:p w14:paraId="71A82BF1" w14:textId="77777777" w:rsidR="00DA679C" w:rsidRPr="006849EB" w:rsidRDefault="00DA679C" w:rsidP="00DA679C">
            <w:pPr>
              <w:widowControl w:val="0"/>
              <w:numPr>
                <w:ilvl w:val="0"/>
                <w:numId w:val="17"/>
              </w:numPr>
              <w:autoSpaceDE w:val="0"/>
              <w:autoSpaceDN w:val="0"/>
              <w:snapToGrid w:val="0"/>
              <w:spacing w:after="120" w:line="276" w:lineRule="auto"/>
              <w:ind w:left="714" w:hanging="357"/>
              <w:jc w:val="both"/>
              <w:rPr>
                <w:rFonts w:ascii="Verdana" w:eastAsia="Calibri" w:hAnsi="Verdana" w:cs="Arial"/>
                <w:sz w:val="22"/>
                <w:szCs w:val="22"/>
                <w:lang w:val="es-ES_tradnl" w:eastAsia="es-MX"/>
              </w:rPr>
            </w:pPr>
            <w:r w:rsidRPr="006849EB">
              <w:rPr>
                <w:rFonts w:ascii="Verdana" w:eastAsia="MS Mincho" w:hAnsi="Verdana" w:cs="Arial"/>
                <w:sz w:val="22"/>
                <w:szCs w:val="22"/>
                <w:lang w:eastAsia="es-CO"/>
              </w:rPr>
              <w:t>Ley 1150 de 2007: artículo 6</w:t>
            </w:r>
          </w:p>
          <w:p w14:paraId="5BAABCC0" w14:textId="77777777" w:rsidR="00DA679C" w:rsidRPr="006849EB" w:rsidRDefault="00DA679C" w:rsidP="00DA679C">
            <w:pPr>
              <w:widowControl w:val="0"/>
              <w:numPr>
                <w:ilvl w:val="0"/>
                <w:numId w:val="17"/>
              </w:numPr>
              <w:autoSpaceDE w:val="0"/>
              <w:autoSpaceDN w:val="0"/>
              <w:snapToGrid w:val="0"/>
              <w:spacing w:after="120" w:line="276" w:lineRule="auto"/>
              <w:ind w:left="714" w:hanging="357"/>
              <w:jc w:val="both"/>
              <w:rPr>
                <w:rFonts w:ascii="Verdana" w:eastAsia="Calibri" w:hAnsi="Verdana" w:cs="Arial"/>
                <w:sz w:val="22"/>
                <w:szCs w:val="22"/>
                <w:lang w:val="es-ES_tradnl" w:eastAsia="es-MX"/>
              </w:rPr>
            </w:pPr>
            <w:r w:rsidRPr="006849EB">
              <w:rPr>
                <w:rFonts w:ascii="Verdana" w:eastAsia="Times New Roman" w:hAnsi="Verdana" w:cs="Arial"/>
                <w:sz w:val="22"/>
                <w:szCs w:val="22"/>
                <w:bdr w:val="none" w:sz="0" w:space="0" w:color="auto" w:frame="1"/>
                <w:lang w:val="es-MX" w:eastAsia="es-CO"/>
              </w:rPr>
              <w:t xml:space="preserve">Decreto 1082 de 2015: artículo 2.2.1.1.1.3.1, artículo </w:t>
            </w:r>
            <w:r w:rsidRPr="006849EB">
              <w:rPr>
                <w:rFonts w:ascii="Verdana" w:eastAsia="Times New Roman" w:hAnsi="Verdana" w:cs="Arial"/>
                <w:sz w:val="22"/>
                <w:szCs w:val="22"/>
                <w:bdr w:val="none" w:sz="0" w:space="0" w:color="auto" w:frame="1"/>
                <w:lang w:eastAsia="es-CO"/>
              </w:rPr>
              <w:t xml:space="preserve">2.2.1.1.1.4.1, artículo </w:t>
            </w:r>
            <w:r w:rsidRPr="006849EB">
              <w:rPr>
                <w:rFonts w:ascii="Verdana" w:eastAsia="MS Mincho" w:hAnsi="Verdana" w:cs="Arial"/>
                <w:sz w:val="22"/>
                <w:szCs w:val="22"/>
                <w:lang w:eastAsia="es-CO"/>
              </w:rPr>
              <w:t>2.2.1.1.1.5.2</w:t>
            </w:r>
          </w:p>
          <w:p w14:paraId="401809DC" w14:textId="77777777" w:rsidR="00DA679C" w:rsidRPr="006849EB" w:rsidRDefault="00DA679C" w:rsidP="00DA679C">
            <w:pPr>
              <w:widowControl w:val="0"/>
              <w:numPr>
                <w:ilvl w:val="0"/>
                <w:numId w:val="17"/>
              </w:numPr>
              <w:autoSpaceDE w:val="0"/>
              <w:autoSpaceDN w:val="0"/>
              <w:snapToGrid w:val="0"/>
              <w:spacing w:after="120" w:line="276" w:lineRule="auto"/>
              <w:ind w:left="714" w:hanging="357"/>
              <w:jc w:val="both"/>
              <w:rPr>
                <w:rFonts w:ascii="Verdana" w:eastAsia="Calibri" w:hAnsi="Verdana" w:cs="Arial"/>
                <w:sz w:val="22"/>
                <w:szCs w:val="22"/>
                <w:lang w:val="es-ES_tradnl" w:eastAsia="es-MX"/>
              </w:rPr>
            </w:pPr>
            <w:r w:rsidRPr="006849EB">
              <w:rPr>
                <w:rFonts w:ascii="Verdana" w:eastAsia="Calibri" w:hAnsi="Verdana" w:cs="Arial"/>
                <w:sz w:val="22"/>
                <w:szCs w:val="22"/>
                <w:lang w:val="es-ES_tradnl" w:eastAsia="es-MX"/>
              </w:rPr>
              <w:lastRenderedPageBreak/>
              <w:t xml:space="preserve">Ley 2022 de 2020, artículo 1. </w:t>
            </w:r>
          </w:p>
          <w:p w14:paraId="753F1D47" w14:textId="77777777" w:rsidR="00DA679C" w:rsidRPr="00DA679C" w:rsidRDefault="00DA679C" w:rsidP="00DA679C">
            <w:pPr>
              <w:widowControl w:val="0"/>
              <w:numPr>
                <w:ilvl w:val="0"/>
                <w:numId w:val="17"/>
              </w:numPr>
              <w:autoSpaceDE w:val="0"/>
              <w:autoSpaceDN w:val="0"/>
              <w:snapToGrid w:val="0"/>
              <w:spacing w:line="276" w:lineRule="auto"/>
              <w:ind w:left="714" w:hanging="357"/>
              <w:jc w:val="both"/>
              <w:rPr>
                <w:rFonts w:ascii="Verdana" w:eastAsia="Calibri" w:hAnsi="Verdana" w:cs="Arial"/>
                <w:lang w:val="es-ES_tradnl" w:eastAsia="es-MX"/>
              </w:rPr>
            </w:pPr>
            <w:r w:rsidRPr="006849EB">
              <w:rPr>
                <w:rFonts w:ascii="Verdana" w:eastAsia="Calibri" w:hAnsi="Verdana" w:cs="Arial"/>
                <w:sz w:val="22"/>
                <w:szCs w:val="22"/>
                <w:lang w:val="es-ES_tradnl" w:eastAsia="es-MX"/>
              </w:rPr>
              <w:t xml:space="preserve">Documentos Tipo Disponibles en: </w:t>
            </w:r>
            <w:hyperlink r:id="rId11" w:history="1">
              <w:r w:rsidRPr="006849EB">
                <w:rPr>
                  <w:rFonts w:ascii="Verdana" w:eastAsia="Calibri" w:hAnsi="Verdana" w:cs="Arial"/>
                  <w:color w:val="0000FF"/>
                  <w:sz w:val="22"/>
                  <w:szCs w:val="22"/>
                  <w:u w:val="single"/>
                  <w:lang w:val="es-ES_tradnl" w:eastAsia="es-MX"/>
                </w:rPr>
                <w:t>https://www.colombiacompra.gov.co/normativa-y-relatoria/documentos-tipo</w:t>
              </w:r>
            </w:hyperlink>
            <w:r w:rsidRPr="006849EB">
              <w:rPr>
                <w:rFonts w:ascii="Verdana" w:eastAsia="Calibri" w:hAnsi="Verdana" w:cs="Arial"/>
                <w:sz w:val="22"/>
                <w:szCs w:val="22"/>
                <w:lang w:val="es-ES_tradnl" w:eastAsia="es-MX"/>
              </w:rPr>
              <w:t xml:space="preserve">. </w:t>
            </w:r>
          </w:p>
        </w:tc>
      </w:tr>
    </w:tbl>
    <w:p w14:paraId="3C965F8B" w14:textId="77777777" w:rsidR="00DA679C" w:rsidRPr="00DA679C" w:rsidRDefault="00DA679C" w:rsidP="00DA679C">
      <w:pPr>
        <w:widowControl w:val="0"/>
        <w:autoSpaceDE w:val="0"/>
        <w:autoSpaceDN w:val="0"/>
        <w:snapToGrid w:val="0"/>
        <w:spacing w:after="0" w:line="276" w:lineRule="auto"/>
        <w:jc w:val="both"/>
        <w:rPr>
          <w:rFonts w:ascii="Verdana" w:eastAsia="Calibri" w:hAnsi="Verdana" w:cs="Arial"/>
          <w:lang w:val="es-ES_tradnl" w:eastAsia="es-MX"/>
        </w:rPr>
      </w:pPr>
    </w:p>
    <w:p w14:paraId="6FDC26EB" w14:textId="77777777" w:rsidR="00DA679C" w:rsidRPr="00DA679C" w:rsidRDefault="00DA679C" w:rsidP="00DA679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eastAsia="es-MX"/>
        </w:rPr>
      </w:pPr>
      <w:r w:rsidRPr="00DA679C">
        <w:rPr>
          <w:rFonts w:ascii="Verdana" w:eastAsia="Century Gothic" w:hAnsi="Verdana" w:cs="Century Gothic"/>
          <w:b/>
          <w:bCs/>
          <w:lang w:val="es-ES_tradnl" w:eastAsia="es-MX"/>
        </w:rPr>
        <w:t>Doctrina de la Agencia Nacional de Contratación Pública:</w:t>
      </w:r>
    </w:p>
    <w:p w14:paraId="6BCDF3E3" w14:textId="77777777" w:rsidR="00DA679C" w:rsidRPr="00DA679C" w:rsidRDefault="00DA679C" w:rsidP="00DA679C">
      <w:pPr>
        <w:widowControl w:val="0"/>
        <w:autoSpaceDE w:val="0"/>
        <w:autoSpaceDN w:val="0"/>
        <w:snapToGrid w:val="0"/>
        <w:spacing w:after="0" w:line="276" w:lineRule="auto"/>
        <w:jc w:val="both"/>
        <w:rPr>
          <w:rFonts w:ascii="Verdana" w:eastAsia="Calibri" w:hAnsi="Verdana" w:cs="Arial"/>
          <w:lang w:val="es-ES_tradnl" w:eastAsia="es-MX"/>
        </w:rPr>
      </w:pPr>
    </w:p>
    <w:p w14:paraId="571248AB" w14:textId="77777777" w:rsidR="00DA679C" w:rsidRDefault="00DA679C" w:rsidP="00DA679C">
      <w:pPr>
        <w:spacing w:after="0" w:line="276" w:lineRule="auto"/>
        <w:jc w:val="both"/>
        <w:rPr>
          <w:rFonts w:ascii="Verdana" w:eastAsia="Calibri" w:hAnsi="Verdana" w:cs="Arial"/>
          <w:shd w:val="clear" w:color="auto" w:fill="FFFFFF"/>
          <w:lang w:val="es-ES" w:eastAsia="es-MX"/>
        </w:rPr>
      </w:pPr>
      <w:r w:rsidRPr="00DA679C">
        <w:rPr>
          <w:rFonts w:ascii="Verdana" w:eastAsia="Calibri" w:hAnsi="Verdana" w:cs="Arial"/>
          <w:shd w:val="clear" w:color="auto" w:fill="FFFFFF"/>
          <w:lang w:val="es-ES" w:eastAsia="es-MX"/>
        </w:rPr>
        <w:t>La Agencia Nacional de Contratación Pública – Colombia Compra Eficiente se pronunció</w:t>
      </w:r>
      <w:r w:rsidRPr="00DA679C">
        <w:rPr>
          <w:rFonts w:ascii="Verdana" w:eastAsia="Calibri" w:hAnsi="Verdana" w:cs="Times New Roman"/>
          <w:lang w:eastAsia="es-MX"/>
        </w:rPr>
        <w:t xml:space="preserve"> </w:t>
      </w:r>
      <w:r w:rsidRPr="00DA679C">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DA679C">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Concretamente, sobre los documentos tipo del sector institucional, esta Agencia se pronunció en los conceptos C-258 del 19 de marzo de 2026, C-385 del 15 de abril, C-392 del 20 de abril de 2026, C-583 del 8 de mayo de 2026 y C-682 del 22 de mayo de 2026. </w:t>
      </w:r>
    </w:p>
    <w:p w14:paraId="4E09FF99" w14:textId="77777777" w:rsidR="00030BF3" w:rsidRPr="00DA679C" w:rsidRDefault="00030BF3" w:rsidP="00DA679C">
      <w:pPr>
        <w:spacing w:after="0" w:line="276" w:lineRule="auto"/>
        <w:jc w:val="both"/>
        <w:rPr>
          <w:rFonts w:ascii="Verdana" w:eastAsia="Calibri" w:hAnsi="Verdana" w:cs="Arial"/>
          <w:shd w:val="clear" w:color="auto" w:fill="FFFFFF"/>
          <w:lang w:val="es-ES" w:eastAsia="es-MX"/>
        </w:rPr>
      </w:pPr>
    </w:p>
    <w:p w14:paraId="737AB60A" w14:textId="77777777" w:rsidR="00DA679C" w:rsidRPr="00DA679C" w:rsidRDefault="00DA679C" w:rsidP="00DA679C">
      <w:pPr>
        <w:widowControl w:val="0"/>
        <w:autoSpaceDE w:val="0"/>
        <w:autoSpaceDN w:val="0"/>
        <w:snapToGrid w:val="0"/>
        <w:spacing w:after="0" w:line="276" w:lineRule="auto"/>
        <w:jc w:val="both"/>
        <w:rPr>
          <w:rFonts w:ascii="Verdana" w:eastAsia="Times New Roman" w:hAnsi="Verdana" w:cs="Arial"/>
          <w:kern w:val="2"/>
          <w:shd w:val="clear" w:color="auto" w:fill="FFFFFF"/>
          <w:lang w:val="es-ES_tradnl"/>
          <w14:ligatures w14:val="standardContextual"/>
        </w:rPr>
      </w:pPr>
      <w:r w:rsidRPr="00DA679C">
        <w:rPr>
          <w:rFonts w:ascii="Verdana" w:eastAsia="Century Gothic" w:hAnsi="Verdana" w:cs="Century Gothic"/>
          <w:kern w:val="2"/>
          <w:lang w:val="es-ES" w:eastAsia="es-ES_tradnl"/>
          <w14:ligatures w14:val="standardContextual"/>
        </w:rPr>
        <w:t xml:space="preserve">La Agencia Nacional de Contratación Pública – Colombia Compra Eficiente, en los </w:t>
      </w:r>
      <w:r w:rsidRPr="00DA679C">
        <w:rPr>
          <w:rFonts w:ascii="Verdana" w:eastAsia="Times New Roman" w:hAnsi="Verdana" w:cs="Arial"/>
          <w:kern w:val="2"/>
          <w:lang w:eastAsia="es-ES_tradnl"/>
          <w14:ligatures w14:val="standardContextual"/>
        </w:rPr>
        <w:t>conceptos</w:t>
      </w:r>
      <w:r w:rsidRPr="00DA679C">
        <w:rPr>
          <w:rFonts w:ascii="Verdana" w:eastAsia="Times New Roman" w:hAnsi="Verdana" w:cs="Arial"/>
          <w:spacing w:val="1"/>
          <w:kern w:val="2"/>
          <w:lang w:eastAsia="es-ES_tradnl"/>
          <w14:ligatures w14:val="standardContextual"/>
        </w:rPr>
        <w:t xml:space="preserve"> </w:t>
      </w:r>
      <w:r w:rsidRPr="00DA679C">
        <w:rPr>
          <w:rFonts w:ascii="Verdana" w:eastAsia="Times New Roman" w:hAnsi="Verdana" w:cs="Arial"/>
          <w:kern w:val="2"/>
          <w:lang w:eastAsia="es-ES_tradnl"/>
          <w14:ligatures w14:val="standardContextual"/>
        </w:rPr>
        <w:t>C-107 de 2020,</w:t>
      </w:r>
      <w:r w:rsidRPr="00DA679C">
        <w:rPr>
          <w:rFonts w:ascii="Verdana" w:eastAsia="Calibri" w:hAnsi="Verdana" w:cs="Arial"/>
          <w:kern w:val="2"/>
          <w:lang w:eastAsia="es-ES_tradnl"/>
          <w14:ligatures w14:val="standardContextual"/>
        </w:rPr>
        <w:t xml:space="preserve"> C-295 del 30 de abril de 2020,</w:t>
      </w:r>
      <w:r w:rsidRPr="00DA679C">
        <w:rPr>
          <w:rFonts w:ascii="Verdana" w:eastAsia="Times New Roman" w:hAnsi="Verdana" w:cs="Arial"/>
          <w:kern w:val="2"/>
          <w:lang w:eastAsia="es-ES_tradnl"/>
          <w14:ligatures w14:val="standardContextual"/>
        </w:rPr>
        <w:t xml:space="preserve"> C-557 del 21 de agosto de 2020, C-562 del 25 de octubre de 2021, C-625 del 14 de septiembre de 2022, estudió la modalidad de selección de mínima cuantía su regulación y las</w:t>
      </w:r>
      <w:r w:rsidRPr="00DA679C">
        <w:rPr>
          <w:rFonts w:ascii="Verdana" w:eastAsia="Times New Roman" w:hAnsi="Verdana" w:cs="Arial"/>
          <w:spacing w:val="1"/>
          <w:kern w:val="2"/>
          <w:lang w:eastAsia="es-ES_tradnl"/>
          <w14:ligatures w14:val="standardContextual"/>
        </w:rPr>
        <w:t xml:space="preserve"> </w:t>
      </w:r>
      <w:r w:rsidRPr="00DA679C">
        <w:rPr>
          <w:rFonts w:ascii="Verdana" w:eastAsia="Times New Roman" w:hAnsi="Verdana" w:cs="Arial"/>
          <w:kern w:val="2"/>
          <w:lang w:eastAsia="es-ES_tradnl"/>
          <w14:ligatures w14:val="standardContextual"/>
        </w:rPr>
        <w:t>características</w:t>
      </w:r>
      <w:r w:rsidRPr="00DA679C">
        <w:rPr>
          <w:rFonts w:ascii="Verdana" w:eastAsia="Times New Roman" w:hAnsi="Verdana" w:cs="Arial"/>
          <w:spacing w:val="1"/>
          <w:kern w:val="2"/>
          <w:lang w:eastAsia="es-ES_tradnl"/>
          <w14:ligatures w14:val="standardContextual"/>
        </w:rPr>
        <w:t xml:space="preserve"> </w:t>
      </w:r>
      <w:r w:rsidRPr="00DA679C">
        <w:rPr>
          <w:rFonts w:ascii="Verdana" w:eastAsia="Times New Roman" w:hAnsi="Verdana" w:cs="Arial"/>
          <w:kern w:val="2"/>
          <w:lang w:eastAsia="es-ES_tradnl"/>
          <w14:ligatures w14:val="standardContextual"/>
        </w:rPr>
        <w:t>del</w:t>
      </w:r>
      <w:r w:rsidRPr="00DA679C">
        <w:rPr>
          <w:rFonts w:ascii="Verdana" w:eastAsia="Times New Roman" w:hAnsi="Verdana" w:cs="Arial"/>
          <w:spacing w:val="1"/>
          <w:kern w:val="2"/>
          <w:lang w:eastAsia="es-ES_tradnl"/>
          <w14:ligatures w14:val="standardContextual"/>
        </w:rPr>
        <w:t xml:space="preserve"> </w:t>
      </w:r>
      <w:r w:rsidRPr="00DA679C">
        <w:rPr>
          <w:rFonts w:ascii="Verdana" w:eastAsia="Times New Roman" w:hAnsi="Verdana" w:cs="Arial"/>
          <w:kern w:val="2"/>
          <w:lang w:eastAsia="es-ES_tradnl"/>
          <w14:ligatures w14:val="standardContextual"/>
        </w:rPr>
        <w:t>procedimiento. Igualmente, se refirió</w:t>
      </w:r>
      <w:r w:rsidRPr="00DA679C">
        <w:rPr>
          <w:rFonts w:ascii="Verdana" w:eastAsia="Arial" w:hAnsi="Verdana" w:cs="Arial"/>
          <w:kern w:val="2"/>
          <w:lang w:val="es-ES_tradnl" w:eastAsia="es-ES_tradnl"/>
          <w14:ligatures w14:val="standardContextual"/>
        </w:rPr>
        <w:t xml:space="preserve"> a la concurrencia entre la mínima cuantía y otras modalidades de selección, mediante los conceptos C-108 del 3 de marzo de 2020, C-157 del 13 de abril de 2021, </w:t>
      </w:r>
      <w:r w:rsidRPr="00DA679C">
        <w:rPr>
          <w:rFonts w:ascii="Verdana" w:eastAsia="Calibri" w:hAnsi="Verdana" w:cs="Arial"/>
          <w:color w:val="000000"/>
          <w:kern w:val="2"/>
          <w:lang w:val="es-ES_tradnl" w:eastAsia="es-MX"/>
          <w14:ligatures w14:val="standardContextual"/>
        </w:rPr>
        <w:t>C-587 de 19 de octubre de 2021</w:t>
      </w:r>
      <w:r w:rsidRPr="00DA679C">
        <w:rPr>
          <w:rFonts w:ascii="Verdana" w:eastAsia="Arial" w:hAnsi="Verdana" w:cs="Arial"/>
          <w:kern w:val="2"/>
          <w:lang w:val="es-ES_tradnl" w:eastAsia="es-ES_tradnl"/>
          <w14:ligatures w14:val="standardContextual"/>
        </w:rPr>
        <w:t xml:space="preserve">, C-557 del 6 de septiembre de 2022, C-927 del 29 de diciembre de 2022, </w:t>
      </w:r>
      <w:r w:rsidRPr="00DA679C">
        <w:rPr>
          <w:rFonts w:ascii="Verdana" w:eastAsia="Aptos" w:hAnsi="Verdana" w:cs="Arial"/>
          <w:kern w:val="2"/>
          <w:lang w:val="es-ES_tradnl" w:eastAsia="es-ES_tradnl"/>
          <w14:ligatures w14:val="standardContextual"/>
        </w:rPr>
        <w:t>C- 393 del 27 de septiembre de 2023 y C-215 del 25 de marzo de 2025</w:t>
      </w:r>
      <w:r w:rsidRPr="00DA679C">
        <w:rPr>
          <w:rFonts w:ascii="Verdana" w:eastAsia="Times New Roman" w:hAnsi="Verdana" w:cs="Arial"/>
          <w:kern w:val="2"/>
          <w:shd w:val="clear" w:color="auto" w:fill="FFFFFF"/>
          <w:lang w:val="es-ES_tradnl"/>
          <w14:ligatures w14:val="standardContextual"/>
        </w:rPr>
        <w:t>.</w:t>
      </w:r>
    </w:p>
    <w:p w14:paraId="45A68961" w14:textId="77777777" w:rsidR="00DA679C" w:rsidRPr="00DA679C" w:rsidRDefault="00DA679C" w:rsidP="00DA679C">
      <w:pPr>
        <w:widowControl w:val="0"/>
        <w:autoSpaceDE w:val="0"/>
        <w:autoSpaceDN w:val="0"/>
        <w:snapToGrid w:val="0"/>
        <w:spacing w:after="0" w:line="276" w:lineRule="auto"/>
        <w:jc w:val="both"/>
        <w:rPr>
          <w:rFonts w:ascii="Verdana" w:eastAsia="Calibri" w:hAnsi="Verdana" w:cs="Arial"/>
          <w:shd w:val="clear" w:color="auto" w:fill="FFFFFF"/>
          <w:lang w:val="es-ES_tradnl" w:eastAsia="es-MX"/>
        </w:rPr>
      </w:pPr>
    </w:p>
    <w:p w14:paraId="20F12FB9" w14:textId="77777777" w:rsidR="00DA679C" w:rsidRPr="00DA679C" w:rsidRDefault="00DA679C" w:rsidP="00DA679C">
      <w:pPr>
        <w:widowControl w:val="0"/>
        <w:autoSpaceDE w:val="0"/>
        <w:autoSpaceDN w:val="0"/>
        <w:snapToGrid w:val="0"/>
        <w:spacing w:after="0" w:line="276" w:lineRule="auto"/>
        <w:jc w:val="both"/>
        <w:rPr>
          <w:rFonts w:ascii="Verdana" w:eastAsia="Calibri" w:hAnsi="Verdana" w:cs="Arial"/>
          <w:shd w:val="clear" w:color="auto" w:fill="FFFFFF"/>
          <w:lang w:val="es-ES_tradnl" w:eastAsia="es-MX"/>
        </w:rPr>
      </w:pPr>
      <w:r w:rsidRPr="00DA679C">
        <w:rPr>
          <w:rFonts w:ascii="Verdana" w:eastAsia="Calibri" w:hAnsi="Verdana" w:cs="Arial"/>
          <w:shd w:val="clear" w:color="auto" w:fill="FFFFFF"/>
          <w:lang w:val="es-ES_tradnl" w:eastAsia="es-MX"/>
        </w:rPr>
        <w:t xml:space="preserve">En relación con la potestad para la entidad de adecuar los documentos tipo de interventoría como criterio de buena práctica para adelantar la escogencia de interventores mediante la modalidad de selección de mínima cuantía, esta Subdirección de pronunció en los siguientes conceptos: C-157 del 13 de abril de </w:t>
      </w:r>
      <w:r w:rsidRPr="00DA679C">
        <w:rPr>
          <w:rFonts w:ascii="Verdana" w:eastAsia="Calibri" w:hAnsi="Verdana" w:cs="Arial"/>
          <w:shd w:val="clear" w:color="auto" w:fill="FFFFFF"/>
          <w:lang w:val="es-ES_tradnl" w:eastAsia="es-MX"/>
        </w:rPr>
        <w:lastRenderedPageBreak/>
        <w:t xml:space="preserve">2021, C-566 del 12 de noviembre de 2021 y C-580 del 13 de noviembre de 2021. </w:t>
      </w:r>
    </w:p>
    <w:p w14:paraId="5FC08BBF" w14:textId="77777777" w:rsidR="00DA679C" w:rsidRPr="00DA679C" w:rsidRDefault="00DA679C" w:rsidP="00DA679C">
      <w:pPr>
        <w:widowControl w:val="0"/>
        <w:autoSpaceDE w:val="0"/>
        <w:autoSpaceDN w:val="0"/>
        <w:snapToGrid w:val="0"/>
        <w:spacing w:after="0" w:line="276" w:lineRule="auto"/>
        <w:jc w:val="both"/>
        <w:rPr>
          <w:rFonts w:ascii="Verdana" w:eastAsia="Calibri" w:hAnsi="Verdana" w:cs="Arial"/>
          <w:shd w:val="clear" w:color="auto" w:fill="FFFFFF"/>
          <w:lang w:val="es-ES_tradnl" w:eastAsia="es-MX"/>
        </w:rPr>
      </w:pPr>
    </w:p>
    <w:p w14:paraId="78BDF96C" w14:textId="77777777" w:rsidR="00DA679C" w:rsidRPr="00DA679C" w:rsidRDefault="00DA679C" w:rsidP="00DA679C">
      <w:pPr>
        <w:widowControl w:val="0"/>
        <w:autoSpaceDE w:val="0"/>
        <w:autoSpaceDN w:val="0"/>
        <w:spacing w:after="0" w:line="276" w:lineRule="auto"/>
        <w:jc w:val="both"/>
        <w:rPr>
          <w:rFonts w:ascii="Verdana" w:eastAsia="Times New Roman" w:hAnsi="Verdana" w:cs="Arial"/>
          <w:shd w:val="clear" w:color="auto" w:fill="FFFFFF"/>
          <w:lang w:val="es-ES" w:eastAsia="es-MX"/>
        </w:rPr>
      </w:pPr>
      <w:r w:rsidRPr="00DA679C">
        <w:rPr>
          <w:rFonts w:ascii="Verdana" w:eastAsia="Times New Roman" w:hAnsi="Verdana" w:cs="Arial"/>
          <w:shd w:val="clear" w:color="auto" w:fill="FFFFFF"/>
          <w:lang w:val="es-ES"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DA679C">
          <w:rPr>
            <w:rFonts w:ascii="Verdana" w:eastAsia="Calibri" w:hAnsi="Verdana" w:cs="Arial"/>
            <w:color w:val="0000FF"/>
            <w:u w:val="single"/>
            <w:shd w:val="clear" w:color="auto" w:fill="FFFFFF"/>
            <w:lang w:eastAsia="es-MX"/>
          </w:rPr>
          <w:t>https://relatoria.colombiacompra.gov.co/</w:t>
        </w:r>
      </w:hyperlink>
      <w:r w:rsidRPr="00DA679C">
        <w:rPr>
          <w:rFonts w:ascii="Verdana" w:eastAsia="Calibri" w:hAnsi="Verdana" w:cs="Arial"/>
          <w:color w:val="0000FF"/>
          <w:u w:val="single"/>
          <w:shd w:val="clear" w:color="auto" w:fill="FFFFFF"/>
          <w:lang w:eastAsia="es-MX"/>
        </w:rPr>
        <w:t> .</w:t>
      </w:r>
    </w:p>
    <w:p w14:paraId="2B1698AD" w14:textId="77777777" w:rsidR="00DA679C" w:rsidRPr="00DA679C" w:rsidRDefault="00DA679C" w:rsidP="00DA679C">
      <w:pPr>
        <w:spacing w:after="0" w:line="240" w:lineRule="auto"/>
        <w:jc w:val="both"/>
        <w:rPr>
          <w:rFonts w:ascii="Verdana" w:eastAsia="Calibri" w:hAnsi="Verdana" w:cs="Arial"/>
          <w:color w:val="000000"/>
          <w:shd w:val="clear" w:color="auto" w:fill="FFFFFF"/>
          <w:lang w:eastAsia="es-MX"/>
        </w:rPr>
      </w:pPr>
    </w:p>
    <w:p w14:paraId="1CEBE2AA" w14:textId="77777777" w:rsidR="00DA679C" w:rsidRPr="00DA679C" w:rsidRDefault="00DA679C" w:rsidP="00DA679C">
      <w:pPr>
        <w:spacing w:after="0" w:line="276" w:lineRule="auto"/>
        <w:jc w:val="both"/>
        <w:rPr>
          <w:rFonts w:ascii="Verdana" w:eastAsia="Times New Roman" w:hAnsi="Verdana" w:cs="Arial"/>
          <w:lang w:eastAsia="es-MX"/>
        </w:rPr>
      </w:pPr>
      <w:r w:rsidRPr="00DA679C">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DA679C">
        <w:rPr>
          <w:rFonts w:ascii="Verdana" w:eastAsia="Times New Roman" w:hAnsi="Verdana" w:cs="Arial"/>
          <w:b/>
          <w:bCs/>
          <w:lang w:eastAsia="es-MX"/>
        </w:rPr>
        <w:t>Curso de Contratación Pública Sostenible y Socialmente Responsable</w:t>
      </w:r>
      <w:r w:rsidRPr="00DA679C">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DA679C">
        <w:rPr>
          <w:rFonts w:ascii="Verdana" w:eastAsia="Times New Roman" w:hAnsi="Verdana" w:cs="Arial"/>
          <w:lang w:eastAsia="es-MX"/>
        </w:rPr>
        <w:br/>
      </w:r>
      <w:hyperlink r:id="rId13" w:tgtFrame="_new" w:history="1">
        <w:r w:rsidRPr="00DA679C">
          <w:rPr>
            <w:rFonts w:ascii="Verdana" w:eastAsia="Times New Roman" w:hAnsi="Verdana" w:cs="Arial"/>
            <w:color w:val="0000FF"/>
            <w:u w:val="single"/>
            <w:lang w:eastAsia="es-MX"/>
          </w:rPr>
          <w:t>https://formacionvirtual.colombiacompra.gov.co/mod/page/view.php?id=3718</w:t>
        </w:r>
      </w:hyperlink>
    </w:p>
    <w:p w14:paraId="206367FB" w14:textId="77777777" w:rsidR="00DA679C" w:rsidRPr="00DA679C" w:rsidRDefault="00DA679C" w:rsidP="00DA679C">
      <w:pPr>
        <w:spacing w:after="0" w:line="276" w:lineRule="auto"/>
        <w:jc w:val="both"/>
        <w:rPr>
          <w:rFonts w:ascii="Verdana" w:eastAsia="Times New Roman" w:hAnsi="Verdana" w:cs="Arial"/>
          <w:lang w:eastAsia="es-MX"/>
        </w:rPr>
      </w:pPr>
      <w:r w:rsidRPr="00DA679C">
        <w:rPr>
          <w:rFonts w:ascii="Verdana" w:eastAsia="Times New Roman" w:hAnsi="Verdana" w:cs="Arial"/>
          <w:lang w:eastAsia="es-MX"/>
        </w:rPr>
        <w:t xml:space="preserve">De otro lado, te contamos que esta Agencia ha da un paso decisivo en la estandarización y modernización del </w:t>
      </w:r>
      <w:r w:rsidRPr="00DA679C">
        <w:rPr>
          <w:rFonts w:ascii="Verdana" w:eastAsia="Times New Roman" w:hAnsi="Verdana" w:cs="Arial"/>
          <w:b/>
          <w:bCs/>
          <w:lang w:eastAsia="es-MX"/>
        </w:rPr>
        <w:t>sector  social</w:t>
      </w:r>
      <w:r w:rsidRPr="00DA679C">
        <w:rPr>
          <w:rFonts w:ascii="Verdana" w:eastAsia="Times New Roman" w:hAnsi="Verdana" w:cs="Arial"/>
          <w:lang w:eastAsia="es-MX"/>
        </w:rPr>
        <w:t xml:space="preserve"> con la expedición de las </w:t>
      </w:r>
      <w:r w:rsidRPr="00DA679C">
        <w:rPr>
          <w:rFonts w:ascii="Verdana" w:eastAsia="Times New Roman" w:hAnsi="Verdana" w:cs="Arial"/>
          <w:b/>
          <w:bCs/>
          <w:lang w:eastAsia="es-MX"/>
        </w:rPr>
        <w:t>Resoluciones 539, 540, 541, 952 y 953 de 2025</w:t>
      </w:r>
      <w:r w:rsidRPr="00DA679C">
        <w:rPr>
          <w:rFonts w:ascii="Verdana" w:eastAsia="Times New Roman" w:hAnsi="Verdana" w:cs="Arial"/>
          <w:lang w:eastAsia="es-MX"/>
        </w:rPr>
        <w:t xml:space="preserve">, </w:t>
      </w:r>
      <w:r w:rsidRPr="00DA679C">
        <w:rPr>
          <w:rFonts w:ascii="Verdana" w:eastAsia="Times New Roman" w:hAnsi="Verdana" w:cs="Arial"/>
          <w:b/>
          <w:bCs/>
          <w:lang w:eastAsia="es-MX"/>
        </w:rPr>
        <w:t>mediante las cuales adoptó Documentos Tipo</w:t>
      </w:r>
      <w:r w:rsidRPr="00DA679C">
        <w:rPr>
          <w:rFonts w:ascii="Verdana" w:eastAsia="Times New Roman" w:hAnsi="Verdana" w:cs="Arial"/>
          <w:lang w:eastAsia="es-MX"/>
        </w:rPr>
        <w:t xml:space="preserve"> para las modalidades de selección de</w:t>
      </w:r>
      <w:r w:rsidRPr="00DA679C">
        <w:rPr>
          <w:rFonts w:ascii="Verdana" w:eastAsia="Times New Roman" w:hAnsi="Verdana" w:cs="Arial"/>
          <w:b/>
          <w:bCs/>
          <w:lang w:eastAsia="es-MX"/>
        </w:rPr>
        <w:t xml:space="preserve"> licitación pública (versión 2), selección abreviada de menor cuantía, mínima cuantía, consultoría e interventoría</w:t>
      </w:r>
      <w:r w:rsidRPr="00DA679C">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DA679C">
          <w:rPr>
            <w:rFonts w:ascii="Verdana" w:eastAsia="Times New Roman" w:hAnsi="Verdana" w:cs="Arial"/>
            <w:color w:val="0000FF"/>
            <w:u w:val="single"/>
            <w:lang w:eastAsia="es-MX"/>
          </w:rPr>
          <w:t>https://www.colombiacompra.gov.co/normativa-y-relatoria/documentos-tipo</w:t>
        </w:r>
      </w:hyperlink>
    </w:p>
    <w:p w14:paraId="2098C1F5" w14:textId="77777777" w:rsidR="00DA679C" w:rsidRPr="00DA679C" w:rsidRDefault="00DA679C" w:rsidP="00DA679C">
      <w:pPr>
        <w:spacing w:after="0" w:line="276" w:lineRule="auto"/>
        <w:jc w:val="both"/>
        <w:rPr>
          <w:rFonts w:ascii="Verdana" w:eastAsia="Times New Roman" w:hAnsi="Verdana" w:cs="Arial"/>
          <w:lang w:eastAsia="es-MX"/>
        </w:rPr>
      </w:pPr>
    </w:p>
    <w:p w14:paraId="1F558935" w14:textId="77777777" w:rsidR="00DA679C" w:rsidRPr="00DA679C" w:rsidRDefault="00DA679C" w:rsidP="00DA679C">
      <w:pPr>
        <w:spacing w:after="0" w:line="276" w:lineRule="auto"/>
        <w:jc w:val="both"/>
        <w:rPr>
          <w:rFonts w:ascii="Verdana" w:eastAsia="Times New Roman" w:hAnsi="Verdana" w:cs="Arial"/>
          <w:lang w:eastAsia="es-MX"/>
        </w:rPr>
      </w:pPr>
      <w:r w:rsidRPr="00DA679C">
        <w:rPr>
          <w:rFonts w:ascii="Verdana" w:eastAsia="Times New Roman" w:hAnsi="Verdana" w:cs="Arial"/>
          <w:lang w:eastAsia="es-MX"/>
        </w:rPr>
        <w:t xml:space="preserve">Si quieres conocer más sobre la aplicación de Documentos Tipo puedes consultar la última versión de la </w:t>
      </w:r>
      <w:r w:rsidRPr="00DA679C">
        <w:rPr>
          <w:rFonts w:ascii="Verdana" w:eastAsia="Times New Roman" w:hAnsi="Verdana" w:cs="Arial"/>
          <w:b/>
          <w:bCs/>
          <w:lang w:eastAsia="es-MX"/>
        </w:rPr>
        <w:t>Guía para la comprensión e implementación de los Documentos Tipo de obra pública de infraestructura de transporte</w:t>
      </w:r>
      <w:r w:rsidRPr="00DA679C">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DA679C">
        <w:rPr>
          <w:rFonts w:ascii="Verdana" w:eastAsia="Times New Roman" w:hAnsi="Verdana" w:cs="Arial"/>
          <w:lang w:eastAsia="es-MX"/>
        </w:rPr>
        <w:lastRenderedPageBreak/>
        <w:t>documentos tipo: Consulta la guía aquí:</w:t>
      </w:r>
      <w:r w:rsidRPr="00DA679C">
        <w:rPr>
          <w:rFonts w:ascii="Verdana" w:eastAsia="Times New Roman" w:hAnsi="Verdana" w:cs="Arial"/>
          <w:lang w:eastAsia="es-MX"/>
        </w:rPr>
        <w:br/>
      </w:r>
      <w:hyperlink r:id="rId15" w:tgtFrame="_new" w:history="1">
        <w:r w:rsidRPr="00DA679C">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F7D6862" w14:textId="77777777" w:rsidR="00DA679C" w:rsidRPr="00DA679C" w:rsidRDefault="00DA679C" w:rsidP="00DA679C">
      <w:pPr>
        <w:spacing w:after="0"/>
        <w:jc w:val="both"/>
        <w:rPr>
          <w:rFonts w:ascii="Verdana" w:eastAsia="Aptos" w:hAnsi="Verdana" w:cs="Times New Roman"/>
          <w:color w:val="212121"/>
          <w:lang w:eastAsia="es-MX"/>
        </w:rPr>
      </w:pPr>
    </w:p>
    <w:p w14:paraId="791A3EEE" w14:textId="77777777" w:rsidR="00DA679C" w:rsidRPr="00DA679C" w:rsidRDefault="00DA679C" w:rsidP="00DA679C">
      <w:pPr>
        <w:spacing w:after="0" w:line="240" w:lineRule="auto"/>
        <w:jc w:val="both"/>
        <w:rPr>
          <w:rFonts w:ascii="Verdana" w:eastAsia="Calibri" w:hAnsi="Verdana" w:cs="Times New Roman"/>
          <w:lang w:eastAsia="es-MX"/>
        </w:rPr>
      </w:pPr>
      <w:r w:rsidRPr="00DA679C">
        <w:rPr>
          <w:rFonts w:ascii="Verdana" w:eastAsia="Aptos" w:hAnsi="Verdana" w:cs="Times New Roman"/>
          <w:lang w:eastAsia="es-MX"/>
        </w:rPr>
        <w:t xml:space="preserve">Por último, lo invitamos a seguirnos en las redes sociales en las cuales se difunde información institucional: </w:t>
      </w:r>
    </w:p>
    <w:p w14:paraId="7EED2DAA" w14:textId="77777777" w:rsidR="00DA679C" w:rsidRPr="00DA679C" w:rsidRDefault="00DA679C" w:rsidP="00DA679C">
      <w:pPr>
        <w:spacing w:after="0" w:line="240" w:lineRule="auto"/>
        <w:jc w:val="both"/>
        <w:rPr>
          <w:rFonts w:ascii="Verdana" w:eastAsia="Aptos" w:hAnsi="Verdana" w:cs="Times New Roman"/>
          <w:lang w:eastAsia="es-MX"/>
        </w:rPr>
      </w:pPr>
    </w:p>
    <w:p w14:paraId="6BFDC0AD" w14:textId="77777777" w:rsidR="00DA679C" w:rsidRPr="00DA679C" w:rsidRDefault="00DA679C" w:rsidP="00DA679C">
      <w:pPr>
        <w:spacing w:after="0" w:line="240" w:lineRule="auto"/>
        <w:jc w:val="both"/>
        <w:rPr>
          <w:rFonts w:ascii="Verdana" w:eastAsia="Aptos" w:hAnsi="Verdana" w:cs="Times New Roman"/>
          <w:lang w:eastAsia="es-MX"/>
        </w:rPr>
      </w:pPr>
      <w:r w:rsidRPr="00DA679C">
        <w:rPr>
          <w:rFonts w:ascii="Verdana" w:eastAsia="Aptos" w:hAnsi="Verdana" w:cs="Times New Roman"/>
          <w:lang w:eastAsia="es-MX"/>
        </w:rPr>
        <w:t xml:space="preserve">Twitter: </w:t>
      </w:r>
      <w:r w:rsidRPr="00DA679C">
        <w:rPr>
          <w:rFonts w:ascii="Verdana" w:eastAsia="Calibri" w:hAnsi="Verdana" w:cs="Times New Roman"/>
          <w:color w:val="156082"/>
          <w:u w:val="single"/>
          <w:lang w:eastAsia="es-MX"/>
        </w:rPr>
        <w:t>@colombiacompra</w:t>
      </w:r>
      <w:r w:rsidRPr="00DA679C">
        <w:rPr>
          <w:rFonts w:ascii="Verdana" w:eastAsia="Calibri" w:hAnsi="Verdana" w:cs="Times New Roman"/>
          <w:color w:val="156082"/>
          <w:lang w:eastAsia="es-MX"/>
        </w:rPr>
        <w:t xml:space="preserve"> </w:t>
      </w:r>
    </w:p>
    <w:p w14:paraId="00D598AC" w14:textId="77777777" w:rsidR="00DA679C" w:rsidRPr="00DA679C" w:rsidRDefault="00DA679C" w:rsidP="00DA679C">
      <w:pPr>
        <w:spacing w:after="0" w:line="240" w:lineRule="auto"/>
        <w:jc w:val="both"/>
        <w:rPr>
          <w:rFonts w:ascii="Verdana" w:eastAsia="Aptos" w:hAnsi="Verdana" w:cs="Times New Roman"/>
          <w:lang w:eastAsia="es-MX"/>
        </w:rPr>
      </w:pPr>
      <w:r w:rsidRPr="00DA679C">
        <w:rPr>
          <w:rFonts w:ascii="Verdana" w:eastAsia="Aptos" w:hAnsi="Verdana" w:cs="Times New Roman"/>
          <w:lang w:eastAsia="es-MX"/>
        </w:rPr>
        <w:t xml:space="preserve">Facebook: </w:t>
      </w:r>
      <w:r w:rsidRPr="00DA679C">
        <w:rPr>
          <w:rFonts w:ascii="Verdana" w:eastAsia="Calibri" w:hAnsi="Verdana" w:cs="Times New Roman"/>
          <w:color w:val="156082"/>
          <w:u w:val="single"/>
          <w:lang w:eastAsia="es-MX"/>
        </w:rPr>
        <w:t>ColombiaCompraEficiente</w:t>
      </w:r>
    </w:p>
    <w:p w14:paraId="1D4EC0A6" w14:textId="77777777" w:rsidR="00DA679C" w:rsidRPr="00DA679C" w:rsidRDefault="00DA679C" w:rsidP="00DA679C">
      <w:pPr>
        <w:spacing w:after="0" w:line="240" w:lineRule="auto"/>
        <w:jc w:val="both"/>
        <w:rPr>
          <w:rFonts w:ascii="Verdana" w:eastAsia="Aptos" w:hAnsi="Verdana" w:cs="Times New Roman"/>
          <w:lang w:eastAsia="es-MX"/>
        </w:rPr>
      </w:pPr>
      <w:r w:rsidRPr="00DA679C">
        <w:rPr>
          <w:rFonts w:ascii="Verdana" w:eastAsia="Aptos" w:hAnsi="Verdana" w:cs="Times New Roman"/>
          <w:lang w:eastAsia="es-MX"/>
        </w:rPr>
        <w:t xml:space="preserve">LinkedIn: </w:t>
      </w:r>
      <w:r w:rsidRPr="00DA679C">
        <w:rPr>
          <w:rFonts w:ascii="Verdana" w:eastAsia="Calibri" w:hAnsi="Verdana" w:cs="Times New Roman"/>
          <w:color w:val="156082"/>
          <w:u w:val="single"/>
          <w:lang w:eastAsia="es-MX"/>
        </w:rPr>
        <w:t>Agencia Nacional de Contratación Pública - Colombia Compra Eficiente</w:t>
      </w:r>
      <w:r w:rsidRPr="00DA679C">
        <w:rPr>
          <w:rFonts w:ascii="Verdana" w:eastAsia="Calibri" w:hAnsi="Verdana" w:cs="Times New Roman"/>
          <w:color w:val="156082"/>
          <w:lang w:eastAsia="es-MX"/>
        </w:rPr>
        <w:t xml:space="preserve"> </w:t>
      </w:r>
      <w:r w:rsidRPr="00DA679C">
        <w:rPr>
          <w:rFonts w:ascii="Verdana" w:eastAsia="Aptos" w:hAnsi="Verdana" w:cs="Times New Roman"/>
          <w:lang w:eastAsia="es-MX"/>
        </w:rPr>
        <w:t xml:space="preserve">Instagram: </w:t>
      </w:r>
      <w:r w:rsidRPr="00DA679C">
        <w:rPr>
          <w:rFonts w:ascii="Verdana" w:eastAsia="Calibri" w:hAnsi="Verdana" w:cs="Times New Roman"/>
          <w:color w:val="156082"/>
          <w:u w:val="single"/>
          <w:lang w:eastAsia="es-MX"/>
        </w:rPr>
        <w:t>@colombiacompraeficiente_cce</w:t>
      </w:r>
    </w:p>
    <w:p w14:paraId="714162B1" w14:textId="77777777" w:rsidR="00DA679C" w:rsidRPr="00DA679C" w:rsidRDefault="00DA679C" w:rsidP="00DA679C">
      <w:pPr>
        <w:spacing w:after="0" w:line="276" w:lineRule="auto"/>
        <w:jc w:val="both"/>
        <w:rPr>
          <w:rFonts w:ascii="Verdana" w:eastAsia="Aptos" w:hAnsi="Verdana" w:cs="Times New Roman"/>
          <w:lang w:eastAsia="es-MX"/>
        </w:rPr>
      </w:pPr>
    </w:p>
    <w:p w14:paraId="74740317" w14:textId="77777777" w:rsidR="00DA679C" w:rsidRPr="00DA679C" w:rsidRDefault="00DA679C" w:rsidP="00DA679C">
      <w:pPr>
        <w:spacing w:after="0" w:line="276" w:lineRule="auto"/>
        <w:jc w:val="both"/>
        <w:rPr>
          <w:rFonts w:ascii="Verdana" w:eastAsia="Calibri" w:hAnsi="Verdana" w:cs="Times New Roman"/>
          <w:bCs/>
          <w:lang w:val="es-ES_tradnl" w:eastAsia="es-MX"/>
        </w:rPr>
      </w:pPr>
      <w:r w:rsidRPr="00DA679C">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1A78943" w14:textId="77777777" w:rsidR="00DA679C" w:rsidRPr="00DA679C" w:rsidRDefault="00DA679C" w:rsidP="00DA679C">
      <w:pPr>
        <w:spacing w:after="0" w:line="276" w:lineRule="auto"/>
        <w:jc w:val="both"/>
        <w:rPr>
          <w:rFonts w:ascii="Verdana" w:eastAsia="Calibri" w:hAnsi="Verdana" w:cs="Times New Roman"/>
          <w:lang w:eastAsia="es-MX"/>
        </w:rPr>
      </w:pPr>
    </w:p>
    <w:p w14:paraId="33498537" w14:textId="77777777" w:rsidR="00DA679C" w:rsidRPr="00DA679C" w:rsidRDefault="00DA679C" w:rsidP="00DA679C">
      <w:pPr>
        <w:spacing w:after="0" w:line="276" w:lineRule="auto"/>
        <w:jc w:val="both"/>
        <w:rPr>
          <w:rFonts w:ascii="Verdana" w:eastAsia="Calibri" w:hAnsi="Verdana" w:cs="Times New Roman"/>
          <w:lang w:eastAsia="es-MX"/>
        </w:rPr>
      </w:pPr>
      <w:r w:rsidRPr="00DA679C">
        <w:rPr>
          <w:rFonts w:ascii="Verdana" w:eastAsia="Calibri" w:hAnsi="Verdana" w:cs="Times New Roman"/>
          <w:lang w:eastAsia="es-MX"/>
        </w:rPr>
        <w:t>Atentamente,</w:t>
      </w:r>
    </w:p>
    <w:p w14:paraId="26885976" w14:textId="77777777" w:rsidR="00DA679C" w:rsidRPr="00DA679C" w:rsidRDefault="00DA679C" w:rsidP="00DA679C">
      <w:pPr>
        <w:tabs>
          <w:tab w:val="left" w:pos="1320"/>
        </w:tabs>
        <w:spacing w:after="0"/>
        <w:jc w:val="center"/>
        <w:rPr>
          <w:rFonts w:ascii="Verdana" w:eastAsia="Calibri" w:hAnsi="Verdana" w:cs="Times New Roman"/>
          <w:lang w:eastAsia="es-MX"/>
        </w:rPr>
      </w:pPr>
    </w:p>
    <w:p w14:paraId="57DCCC79" w14:textId="7A80CBB0" w:rsidR="00DA679C" w:rsidRPr="00DA679C" w:rsidRDefault="00CE095C" w:rsidP="00DA679C">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3A130896" wp14:editId="073D40AE">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4C9D182C" w14:textId="77777777" w:rsidR="00DA679C" w:rsidRPr="00DA679C" w:rsidRDefault="00DA679C" w:rsidP="00DA679C">
      <w:pPr>
        <w:tabs>
          <w:tab w:val="left" w:pos="1320"/>
        </w:tabs>
        <w:spacing w:after="0"/>
        <w:jc w:val="center"/>
        <w:rPr>
          <w:rFonts w:ascii="Verdana" w:eastAsia="Calibri" w:hAnsi="Verdana" w:cs="Times New Roman"/>
          <w:lang w:eastAsia="es-MX"/>
        </w:rPr>
      </w:pPr>
    </w:p>
    <w:tbl>
      <w:tblPr>
        <w:tblStyle w:val="Tablaconcuadrcula1"/>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DA679C" w:rsidRPr="00DA679C" w14:paraId="0AEC1B66" w14:textId="77777777" w:rsidTr="00A46F1D">
        <w:trPr>
          <w:trHeight w:val="323"/>
        </w:trPr>
        <w:tc>
          <w:tcPr>
            <w:tcW w:w="1041" w:type="dxa"/>
            <w:vAlign w:val="center"/>
            <w:hideMark/>
          </w:tcPr>
          <w:p w14:paraId="41B51E23" w14:textId="77777777" w:rsidR="00DA679C" w:rsidRPr="00DA679C" w:rsidRDefault="00DA679C" w:rsidP="00DA679C">
            <w:pPr>
              <w:rPr>
                <w:rFonts w:ascii="Verdana" w:eastAsia="Calibri" w:hAnsi="Verdana" w:cs="Arial"/>
                <w:sz w:val="16"/>
                <w:szCs w:val="16"/>
                <w:lang w:val="es-ES_tradnl" w:eastAsia="es-ES"/>
              </w:rPr>
            </w:pPr>
            <w:r w:rsidRPr="00DA679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C51E97F" w14:textId="77777777" w:rsidR="00DA679C" w:rsidRPr="00DA679C" w:rsidRDefault="00DA679C" w:rsidP="00DA679C">
            <w:pPr>
              <w:rPr>
                <w:rFonts w:ascii="Verdana" w:eastAsia="Arial" w:hAnsi="Verdana" w:cs="Arial"/>
                <w:sz w:val="16"/>
                <w:szCs w:val="16"/>
                <w:lang w:val="es-ES" w:eastAsia="es-MX"/>
              </w:rPr>
            </w:pPr>
            <w:r w:rsidRPr="00DA679C">
              <w:rPr>
                <w:rFonts w:ascii="Verdana" w:eastAsia="Arial" w:hAnsi="Verdana" w:cs="Arial"/>
                <w:sz w:val="16"/>
                <w:szCs w:val="16"/>
                <w:lang w:val="es-ES" w:eastAsia="es-MX"/>
              </w:rPr>
              <w:t xml:space="preserve">Carlos Mario Castrillón Endo </w:t>
            </w:r>
          </w:p>
          <w:p w14:paraId="4D77A399" w14:textId="77777777" w:rsidR="00DA679C" w:rsidRPr="00DA679C" w:rsidRDefault="00DA679C" w:rsidP="00DA679C">
            <w:pPr>
              <w:rPr>
                <w:rFonts w:ascii="Verdana" w:eastAsia="Arial" w:hAnsi="Verdana" w:cs="Arial"/>
                <w:sz w:val="16"/>
                <w:szCs w:val="16"/>
                <w:lang w:val="es-ES_tradnl" w:eastAsia="es-MX"/>
              </w:rPr>
            </w:pPr>
            <w:r w:rsidRPr="00DA679C">
              <w:rPr>
                <w:rFonts w:ascii="Verdana" w:eastAsia="Arial" w:hAnsi="Verdana" w:cs="Arial"/>
                <w:sz w:val="16"/>
                <w:szCs w:val="16"/>
                <w:lang w:val="es-ES_tradnl" w:eastAsia="es-MX"/>
              </w:rPr>
              <w:t>Contratista de la Subdirección de Gestión Contractual</w:t>
            </w:r>
          </w:p>
          <w:p w14:paraId="01CC0518" w14:textId="77777777" w:rsidR="00DA679C" w:rsidRPr="00DA679C" w:rsidRDefault="00DA679C" w:rsidP="00DA679C">
            <w:pPr>
              <w:rPr>
                <w:rFonts w:ascii="Verdana" w:eastAsia="Arial" w:hAnsi="Verdana" w:cs="Arial"/>
                <w:sz w:val="16"/>
                <w:szCs w:val="16"/>
                <w:lang w:val="es-ES_tradnl" w:eastAsia="es-MX"/>
              </w:rPr>
            </w:pPr>
          </w:p>
        </w:tc>
      </w:tr>
      <w:tr w:rsidR="00DA679C" w:rsidRPr="00DA679C" w14:paraId="51ACE000" w14:textId="77777777" w:rsidTr="00A46F1D">
        <w:trPr>
          <w:trHeight w:val="338"/>
        </w:trPr>
        <w:tc>
          <w:tcPr>
            <w:tcW w:w="1041" w:type="dxa"/>
            <w:vAlign w:val="center"/>
            <w:hideMark/>
          </w:tcPr>
          <w:p w14:paraId="1EE3DBF2" w14:textId="77777777" w:rsidR="00DA679C" w:rsidRPr="00DA679C" w:rsidRDefault="00DA679C" w:rsidP="00DA679C">
            <w:pPr>
              <w:rPr>
                <w:rFonts w:ascii="Verdana" w:eastAsia="Calibri" w:hAnsi="Verdana" w:cs="Arial"/>
                <w:sz w:val="16"/>
                <w:szCs w:val="16"/>
                <w:lang w:val="es-ES_tradnl" w:eastAsia="es-ES"/>
              </w:rPr>
            </w:pPr>
            <w:r w:rsidRPr="00DA679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26798CC0" w14:textId="77777777" w:rsidR="00DA679C" w:rsidRPr="00DA679C" w:rsidRDefault="00DA679C" w:rsidP="00DA679C">
            <w:pPr>
              <w:textAlignment w:val="baseline"/>
              <w:rPr>
                <w:rFonts w:ascii="Verdana" w:eastAsia="Times New Roman" w:hAnsi="Verdana" w:cs="Segoe UI"/>
                <w:sz w:val="16"/>
                <w:szCs w:val="16"/>
                <w:lang w:val="es-ES_tradnl" w:eastAsia="es-ES_tradnl"/>
              </w:rPr>
            </w:pPr>
            <w:r w:rsidRPr="00DA679C">
              <w:rPr>
                <w:rFonts w:ascii="Verdana" w:eastAsia="Times New Roman" w:hAnsi="Verdana" w:cs="Segoe UI"/>
                <w:sz w:val="16"/>
                <w:szCs w:val="16"/>
                <w:lang w:val="es-ES_tradnl" w:eastAsia="es-ES_tradnl"/>
              </w:rPr>
              <w:t>Martha Alicia Romero Vargas</w:t>
            </w:r>
          </w:p>
          <w:p w14:paraId="20197509" w14:textId="77777777" w:rsidR="00DA679C" w:rsidRPr="00DA679C" w:rsidRDefault="00DA679C" w:rsidP="00DA679C">
            <w:pPr>
              <w:textAlignment w:val="baseline"/>
              <w:rPr>
                <w:rFonts w:ascii="Verdana" w:eastAsia="Times New Roman" w:hAnsi="Verdana" w:cs="Segoe UI"/>
                <w:sz w:val="16"/>
                <w:szCs w:val="16"/>
                <w:lang w:val="es-ES_tradnl" w:eastAsia="es-ES_tradnl"/>
              </w:rPr>
            </w:pPr>
            <w:r w:rsidRPr="00DA679C">
              <w:rPr>
                <w:rFonts w:ascii="Verdana" w:eastAsia="Times New Roman" w:hAnsi="Verdana" w:cs="Segoe UI"/>
                <w:sz w:val="16"/>
                <w:szCs w:val="16"/>
                <w:lang w:val="es-ES_tradnl" w:eastAsia="es-ES_tradnl"/>
              </w:rPr>
              <w:t>Gestor T1-15 de la Subdirección de Gestión Contractual</w:t>
            </w:r>
          </w:p>
          <w:p w14:paraId="0BAB9CD9" w14:textId="77777777" w:rsidR="00DA679C" w:rsidRPr="00DA679C" w:rsidRDefault="00DA679C" w:rsidP="00DA679C">
            <w:pPr>
              <w:textAlignment w:val="baseline"/>
              <w:rPr>
                <w:rFonts w:ascii="Verdana" w:eastAsia="Times New Roman" w:hAnsi="Verdana" w:cs="Arial"/>
                <w:sz w:val="16"/>
                <w:szCs w:val="16"/>
                <w:lang w:val="es-ES_tradnl" w:eastAsia="es-ES_tradnl"/>
              </w:rPr>
            </w:pPr>
          </w:p>
        </w:tc>
      </w:tr>
      <w:tr w:rsidR="00DA679C" w:rsidRPr="00DA679C" w14:paraId="31B9516C" w14:textId="77777777" w:rsidTr="00A46F1D">
        <w:trPr>
          <w:trHeight w:val="308"/>
        </w:trPr>
        <w:tc>
          <w:tcPr>
            <w:tcW w:w="1041" w:type="dxa"/>
            <w:vAlign w:val="center"/>
          </w:tcPr>
          <w:p w14:paraId="701A33CE" w14:textId="77777777" w:rsidR="00DA679C" w:rsidRPr="00DA679C" w:rsidRDefault="00DA679C" w:rsidP="00DA679C">
            <w:pPr>
              <w:rPr>
                <w:rFonts w:ascii="Verdana" w:eastAsia="Calibri" w:hAnsi="Verdana" w:cs="Arial"/>
                <w:sz w:val="16"/>
                <w:szCs w:val="16"/>
                <w:lang w:val="es-ES_tradnl" w:eastAsia="es-ES"/>
              </w:rPr>
            </w:pPr>
            <w:r w:rsidRPr="00DA679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842593A" w14:textId="77777777" w:rsidR="00DA679C" w:rsidRPr="00DA679C" w:rsidRDefault="00DA679C" w:rsidP="00DA679C">
            <w:pPr>
              <w:rPr>
                <w:rFonts w:ascii="Verdana" w:eastAsia="Calibri" w:hAnsi="Verdana" w:cs="Arial"/>
                <w:sz w:val="16"/>
                <w:szCs w:val="16"/>
                <w:lang w:val="es-ES" w:eastAsia="es-ES"/>
              </w:rPr>
            </w:pPr>
            <w:r w:rsidRPr="00DA679C">
              <w:rPr>
                <w:rFonts w:ascii="Verdana" w:eastAsia="Calibri" w:hAnsi="Verdana" w:cs="Arial"/>
                <w:sz w:val="16"/>
                <w:szCs w:val="16"/>
                <w:lang w:val="es-ES" w:eastAsia="es-ES"/>
              </w:rPr>
              <w:t>Carolina Quintero Gacharná</w:t>
            </w:r>
          </w:p>
          <w:p w14:paraId="6465D56B" w14:textId="77777777" w:rsidR="00DA679C" w:rsidRPr="00DA679C" w:rsidRDefault="00DA679C" w:rsidP="00DA679C">
            <w:pPr>
              <w:rPr>
                <w:rFonts w:ascii="Verdana" w:eastAsia="Calibri" w:hAnsi="Verdana" w:cs="Arial"/>
                <w:sz w:val="16"/>
                <w:szCs w:val="16"/>
                <w:lang w:val="es-ES_tradnl" w:eastAsia="es-ES"/>
              </w:rPr>
            </w:pPr>
            <w:r w:rsidRPr="00DA679C">
              <w:rPr>
                <w:rFonts w:ascii="Verdana" w:eastAsia="Calibri" w:hAnsi="Verdana" w:cs="Arial"/>
                <w:sz w:val="16"/>
                <w:szCs w:val="16"/>
                <w:lang w:val="es-ES_tradnl" w:eastAsia="es-ES"/>
              </w:rPr>
              <w:t>Subdirectora de Gestión Contractual ANCP – CCE</w:t>
            </w:r>
          </w:p>
        </w:tc>
      </w:tr>
    </w:tbl>
    <w:p w14:paraId="2D757720" w14:textId="77777777" w:rsidR="00DA679C" w:rsidRPr="00DA679C" w:rsidRDefault="00DA679C" w:rsidP="00DA679C">
      <w:pPr>
        <w:spacing w:after="0" w:line="240" w:lineRule="auto"/>
        <w:jc w:val="both"/>
        <w:textAlignment w:val="baseline"/>
        <w:rPr>
          <w:rFonts w:ascii="Verdana" w:eastAsia="Verdana" w:hAnsi="Verdana" w:cs="Verdana"/>
          <w:lang w:eastAsia="es-CO"/>
        </w:rPr>
      </w:pPr>
    </w:p>
    <w:p w14:paraId="69BC4D14" w14:textId="4FCF00F2" w:rsidR="00C15139" w:rsidRPr="000E2B93" w:rsidRDefault="00DA679C" w:rsidP="30821638">
      <w:pPr>
        <w:spacing w:after="0" w:line="240" w:lineRule="auto"/>
        <w:textAlignment w:val="baseline"/>
        <w:rPr>
          <w:rFonts w:ascii="Verdana" w:eastAsia="Verdana" w:hAnsi="Verdana" w:cs="Verdana"/>
          <w:lang w:eastAsia="es-CO"/>
        </w:rPr>
      </w:pPr>
      <w:r w:rsidRPr="00DA679C">
        <w:rPr>
          <w:rFonts w:ascii="Verdana" w:eastAsia="Verdana" w:hAnsi="Verdana" w:cs="Verdana"/>
          <w:lang w:eastAsia="es-CO"/>
        </w:rPr>
        <w:t> </w:t>
      </w:r>
      <w:r w:rsidR="00C15139"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75788" w14:textId="77777777" w:rsidR="00CB0AA3" w:rsidRDefault="00CB0AA3" w:rsidP="004A1847">
      <w:pPr>
        <w:spacing w:after="0" w:line="240" w:lineRule="auto"/>
      </w:pPr>
      <w:r>
        <w:separator/>
      </w:r>
    </w:p>
  </w:endnote>
  <w:endnote w:type="continuationSeparator" w:id="0">
    <w:p w14:paraId="5172EBB2" w14:textId="77777777" w:rsidR="00CB0AA3" w:rsidRDefault="00CB0A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DA679C">
      <w:rPr>
        <w:rFonts w:ascii="Verdana" w:eastAsia="Verdana" w:hAnsi="Verdana" w:cs="Verdana"/>
        <w:b/>
        <w:bCs/>
        <w:color w:val="000000"/>
        <w:sz w:val="18"/>
        <w:szCs w:val="18"/>
        <w:lang w:eastAsia="es-CO"/>
      </w:rPr>
      <w:t xml:space="preserve">Código: </w:t>
    </w:r>
    <w:r w:rsidRPr="00DA679C">
      <w:rPr>
        <w:rFonts w:ascii="Verdana" w:eastAsia="Verdana" w:hAnsi="Verdana" w:cs="Verdana"/>
        <w:color w:val="000000"/>
        <w:sz w:val="18"/>
        <w:szCs w:val="18"/>
        <w:lang w:eastAsia="es-CO"/>
      </w:rPr>
      <w:t xml:space="preserve">CCE-REC-FM-17 </w:t>
    </w:r>
    <w:r w:rsidRPr="00DA679C">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684F9" w14:textId="77777777" w:rsidR="00CB0AA3" w:rsidRDefault="00CB0AA3" w:rsidP="004A1847">
      <w:pPr>
        <w:spacing w:after="0" w:line="240" w:lineRule="auto"/>
      </w:pPr>
      <w:r>
        <w:separator/>
      </w:r>
    </w:p>
  </w:footnote>
  <w:footnote w:type="continuationSeparator" w:id="0">
    <w:p w14:paraId="384B42A7" w14:textId="77777777" w:rsidR="00CB0AA3" w:rsidRDefault="00CB0AA3" w:rsidP="004A1847">
      <w:pPr>
        <w:spacing w:after="0" w:line="240" w:lineRule="auto"/>
      </w:pPr>
      <w:r>
        <w:continuationSeparator/>
      </w:r>
    </w:p>
  </w:footnote>
  <w:footnote w:id="1">
    <w:p w14:paraId="4F399F8B" w14:textId="77777777" w:rsidR="00DA679C" w:rsidRPr="00F46224" w:rsidRDefault="00DA679C" w:rsidP="00DA679C">
      <w:pPr>
        <w:pStyle w:val="Textonotapie"/>
        <w:ind w:firstLine="708"/>
        <w:rPr>
          <w:rFonts w:ascii="Verdana" w:eastAsia="Calibri" w:hAnsi="Verdana" w:cs="Arial"/>
          <w:color w:val="000000"/>
          <w:sz w:val="18"/>
          <w:szCs w:val="18"/>
          <w:lang w:val="es-ES_tradnl"/>
        </w:rPr>
      </w:pPr>
      <w:r w:rsidRPr="00D615FB">
        <w:rPr>
          <w:rStyle w:val="Refdenotaalpie"/>
          <w:rFonts w:ascii="Verdana" w:hAnsi="Verdana"/>
          <w:sz w:val="18"/>
          <w:szCs w:val="18"/>
        </w:rPr>
        <w:footnoteRef/>
      </w:r>
      <w:r w:rsidRPr="00D615FB">
        <w:rPr>
          <w:rFonts w:ascii="Verdana" w:hAnsi="Verdana"/>
          <w:sz w:val="18"/>
          <w:szCs w:val="18"/>
        </w:rPr>
        <w:t xml:space="preserve"> </w:t>
      </w:r>
      <w:r w:rsidRPr="00F46224">
        <w:rPr>
          <w:rFonts w:ascii="Verdana" w:eastAsia="Calibri" w:hAnsi="Verdana" w:cs="Arial"/>
          <w:color w:val="000000"/>
          <w:sz w:val="18"/>
          <w:szCs w:val="18"/>
          <w:lang w:val="es-ES_tradnl"/>
        </w:rPr>
        <w:t>Numeral 1 del artículo 32 de la Ley 80 de 1993.</w:t>
      </w:r>
    </w:p>
    <w:p w14:paraId="70AA729B" w14:textId="77777777" w:rsidR="00DA679C" w:rsidRPr="00D615FB" w:rsidRDefault="00DA679C" w:rsidP="00DA679C">
      <w:pPr>
        <w:pStyle w:val="Textonotapie"/>
        <w:ind w:firstLine="708"/>
        <w:rPr>
          <w:rFonts w:ascii="Verdana" w:hAnsi="Verdana"/>
          <w:sz w:val="18"/>
          <w:szCs w:val="18"/>
        </w:rPr>
      </w:pPr>
    </w:p>
  </w:footnote>
  <w:footnote w:id="2">
    <w:p w14:paraId="55FB9FB7" w14:textId="77777777" w:rsidR="00DA679C" w:rsidRPr="00B26ED3" w:rsidRDefault="00DA679C" w:rsidP="00DA679C">
      <w:pPr>
        <w:pStyle w:val="Textonotapie"/>
        <w:ind w:firstLine="708"/>
        <w:jc w:val="both"/>
        <w:rPr>
          <w:rFonts w:ascii="Verdana" w:hAnsi="Verdana"/>
          <w:sz w:val="19"/>
          <w:szCs w:val="19"/>
        </w:rPr>
      </w:pPr>
      <w:r w:rsidRPr="00B26ED3">
        <w:rPr>
          <w:rStyle w:val="Refdenotaalpie"/>
          <w:rFonts w:ascii="Verdana" w:hAnsi="Verdana"/>
          <w:sz w:val="19"/>
          <w:szCs w:val="19"/>
        </w:rPr>
        <w:footnoteRef/>
      </w:r>
      <w:r w:rsidRPr="00B26ED3">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12B0F9D" w14:textId="77777777" w:rsidR="00DA679C" w:rsidRPr="00B26ED3" w:rsidRDefault="00DA679C" w:rsidP="00DA679C">
      <w:pPr>
        <w:pStyle w:val="Textonotapie"/>
        <w:ind w:firstLine="708"/>
        <w:jc w:val="both"/>
        <w:rPr>
          <w:rFonts w:ascii="Verdana" w:hAnsi="Verdana"/>
          <w:sz w:val="19"/>
          <w:szCs w:val="19"/>
        </w:rPr>
      </w:pPr>
    </w:p>
    <w:p w14:paraId="5C02D599" w14:textId="77777777" w:rsidR="00DA679C" w:rsidRPr="00B26ED3" w:rsidRDefault="00DA679C" w:rsidP="00DA679C">
      <w:pPr>
        <w:pStyle w:val="Textonotapie"/>
        <w:ind w:firstLine="708"/>
        <w:jc w:val="both"/>
        <w:rPr>
          <w:rFonts w:ascii="Verdana" w:hAnsi="Verdana"/>
          <w:sz w:val="19"/>
          <w:szCs w:val="19"/>
        </w:rPr>
      </w:pPr>
      <w:r w:rsidRPr="00B26ED3">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3C92712" w14:textId="77777777" w:rsidR="00DA679C" w:rsidRPr="00B26ED3" w:rsidRDefault="00DA679C" w:rsidP="00DA679C">
      <w:pPr>
        <w:pStyle w:val="Textonotapie"/>
        <w:ind w:firstLine="708"/>
        <w:jc w:val="both"/>
        <w:rPr>
          <w:rFonts w:ascii="Verdana" w:hAnsi="Verdana"/>
          <w:sz w:val="19"/>
          <w:szCs w:val="19"/>
        </w:rPr>
      </w:pPr>
    </w:p>
    <w:p w14:paraId="06ECCB3D" w14:textId="77777777" w:rsidR="00DA679C" w:rsidRPr="00B26ED3" w:rsidRDefault="00DA679C" w:rsidP="00DA679C">
      <w:pPr>
        <w:pStyle w:val="Textonotapie"/>
        <w:ind w:firstLine="708"/>
        <w:jc w:val="both"/>
        <w:rPr>
          <w:rFonts w:ascii="Verdana" w:hAnsi="Verdana"/>
          <w:sz w:val="19"/>
          <w:szCs w:val="19"/>
        </w:rPr>
      </w:pPr>
      <w:r w:rsidRPr="00B26ED3">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53D93A4" w14:textId="77777777" w:rsidR="00DA679C" w:rsidRPr="00B26ED3" w:rsidRDefault="00DA679C" w:rsidP="00DA679C">
      <w:pPr>
        <w:pStyle w:val="Textonotapie"/>
        <w:ind w:firstLine="708"/>
        <w:jc w:val="both"/>
        <w:rPr>
          <w:rFonts w:ascii="Verdana" w:hAnsi="Verdana"/>
          <w:sz w:val="19"/>
          <w:szCs w:val="19"/>
        </w:rPr>
      </w:pPr>
    </w:p>
    <w:p w14:paraId="6655C20F" w14:textId="77777777" w:rsidR="00DA679C" w:rsidRPr="00B26ED3" w:rsidRDefault="00DA679C" w:rsidP="00DA679C">
      <w:pPr>
        <w:pStyle w:val="Textonotapie"/>
        <w:ind w:firstLine="708"/>
        <w:jc w:val="both"/>
        <w:rPr>
          <w:rFonts w:ascii="Verdana" w:hAnsi="Verdana"/>
          <w:sz w:val="19"/>
          <w:szCs w:val="19"/>
        </w:rPr>
      </w:pPr>
      <w:r w:rsidRPr="00B26ED3">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3029E3B" w14:textId="77777777" w:rsidR="00DA679C" w:rsidRPr="00B26ED3" w:rsidRDefault="00DA679C" w:rsidP="00DA679C">
      <w:pPr>
        <w:pStyle w:val="Textonotapie"/>
        <w:ind w:firstLine="708"/>
        <w:jc w:val="both"/>
        <w:rPr>
          <w:rFonts w:ascii="Verdana" w:hAnsi="Verdana"/>
          <w:sz w:val="19"/>
          <w:szCs w:val="19"/>
        </w:rPr>
      </w:pPr>
    </w:p>
    <w:p w14:paraId="167CFCAD" w14:textId="77777777" w:rsidR="00DA679C" w:rsidRPr="00B26ED3" w:rsidRDefault="00DA679C" w:rsidP="00DA679C">
      <w:pPr>
        <w:pStyle w:val="Textonotapie"/>
        <w:ind w:firstLine="708"/>
        <w:jc w:val="both"/>
        <w:rPr>
          <w:rFonts w:ascii="Verdana" w:hAnsi="Verdana"/>
          <w:sz w:val="19"/>
          <w:szCs w:val="19"/>
        </w:rPr>
      </w:pPr>
      <w:r w:rsidRPr="00B26ED3">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53F63803" w14:textId="77777777" w:rsidR="00DA679C" w:rsidRDefault="00DA679C" w:rsidP="00DA679C">
      <w:pPr>
        <w:pStyle w:val="NormalWeb"/>
        <w:spacing w:after="0"/>
        <w:ind w:firstLine="709"/>
        <w:contextualSpacing/>
        <w:jc w:val="both"/>
        <w:rPr>
          <w:rFonts w:ascii="Verdana" w:hAnsi="Verdana" w:cs="Arial"/>
          <w:color w:val="000000"/>
          <w:sz w:val="19"/>
          <w:szCs w:val="19"/>
          <w:lang w:eastAsia="es-ES_tradnl"/>
        </w:rPr>
      </w:pPr>
      <w:r w:rsidRPr="00DA679C">
        <w:rPr>
          <w:rStyle w:val="Refdenotaalpie"/>
          <w:rFonts w:ascii="Verdana" w:hAnsi="Verdana" w:cs="Arial"/>
          <w:sz w:val="19"/>
          <w:szCs w:val="19"/>
        </w:rPr>
        <w:footnoteRef/>
      </w:r>
      <w:r w:rsidRPr="00B26ED3">
        <w:rPr>
          <w:rFonts w:ascii="Verdana" w:hAnsi="Verdana" w:cs="Arial"/>
          <w:sz w:val="19"/>
          <w:szCs w:val="19"/>
        </w:rPr>
        <w:t xml:space="preserve">  Ley 1150 de 2007, artículo 2, numeral 3: “[…]</w:t>
      </w:r>
      <w:r w:rsidRPr="00B26ED3">
        <w:rPr>
          <w:rStyle w:val="PiedepginaCar"/>
          <w:rFonts w:ascii="Verdana" w:hAnsi="Verdana" w:cs="Arial"/>
          <w:color w:val="000000"/>
          <w:sz w:val="19"/>
          <w:szCs w:val="19"/>
        </w:rPr>
        <w:t xml:space="preserve"> </w:t>
      </w:r>
      <w:r w:rsidRPr="00B26ED3">
        <w:rPr>
          <w:rFonts w:ascii="Verdana" w:hAnsi="Verdana" w:cs="Arial"/>
          <w:color w:val="000000"/>
          <w:sz w:val="19"/>
          <w:szCs w:val="19"/>
          <w:lang w:eastAsia="es-ES_tradnl"/>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27CFC0A7" w14:textId="77777777" w:rsidR="00DA679C" w:rsidRPr="00B26ED3" w:rsidRDefault="00DA679C" w:rsidP="00DA679C">
      <w:pPr>
        <w:pStyle w:val="NormalWeb"/>
        <w:spacing w:before="0" w:beforeAutospacing="0" w:after="0" w:afterAutospacing="0"/>
        <w:ind w:firstLine="709"/>
        <w:contextualSpacing/>
        <w:jc w:val="both"/>
        <w:rPr>
          <w:rFonts w:ascii="Verdana" w:hAnsi="Verdana" w:cs="Arial"/>
          <w:color w:val="000000"/>
          <w:sz w:val="19"/>
          <w:szCs w:val="19"/>
          <w:lang w:eastAsia="es-ES_tradnl"/>
        </w:rPr>
      </w:pPr>
    </w:p>
    <w:p w14:paraId="681EA048" w14:textId="77777777" w:rsidR="00DA679C" w:rsidRDefault="00DA679C" w:rsidP="00DA679C">
      <w:pPr>
        <w:spacing w:after="0" w:line="240" w:lineRule="auto"/>
        <w:ind w:firstLine="709"/>
        <w:contextualSpacing/>
        <w:jc w:val="both"/>
        <w:rPr>
          <w:rFonts w:ascii="Verdana" w:hAnsi="Verdana" w:cs="Arial"/>
          <w:sz w:val="19"/>
          <w:szCs w:val="19"/>
        </w:rPr>
      </w:pPr>
      <w:r w:rsidRPr="00B26ED3">
        <w:rPr>
          <w:rFonts w:ascii="Verdana" w:hAnsi="Verdana" w:cs="Arial"/>
          <w:color w:val="000000"/>
          <w:sz w:val="19"/>
          <w:szCs w:val="19"/>
        </w:rPr>
        <w:t>De conformidad con las condiciones que señale el reglamento, en desarrollo de estos procesos de selección, las propuestas técnicas o de proyectos podrán ser presentadas en forma anónima ante un jurado plural, impar deliberante y calificado</w:t>
      </w:r>
      <w:r w:rsidRPr="00B26ED3">
        <w:rPr>
          <w:rFonts w:ascii="Verdana" w:hAnsi="Verdana" w:cs="Arial"/>
          <w:sz w:val="19"/>
          <w:szCs w:val="19"/>
        </w:rPr>
        <w:t>”.</w:t>
      </w:r>
    </w:p>
    <w:p w14:paraId="79F7CD48" w14:textId="77777777" w:rsidR="00DA679C" w:rsidRPr="00B26ED3" w:rsidRDefault="00DA679C" w:rsidP="00DA679C">
      <w:pPr>
        <w:spacing w:after="0" w:line="240" w:lineRule="auto"/>
        <w:ind w:firstLine="709"/>
        <w:contextualSpacing/>
        <w:jc w:val="both"/>
        <w:rPr>
          <w:rFonts w:ascii="Verdana" w:hAnsi="Verdana" w:cs="Arial"/>
          <w:color w:val="000000"/>
          <w:sz w:val="19"/>
          <w:szCs w:val="19"/>
        </w:rPr>
      </w:pPr>
    </w:p>
  </w:footnote>
  <w:footnote w:id="4">
    <w:p w14:paraId="328B4F46" w14:textId="77777777" w:rsidR="00DA679C" w:rsidRPr="00B26ED3" w:rsidRDefault="00DA679C" w:rsidP="00DA679C">
      <w:pPr>
        <w:pStyle w:val="Textonotapie"/>
        <w:ind w:firstLine="708"/>
        <w:jc w:val="both"/>
        <w:rPr>
          <w:rFonts w:ascii="Verdana" w:hAnsi="Verdana"/>
          <w:sz w:val="19"/>
          <w:szCs w:val="19"/>
        </w:rPr>
      </w:pPr>
      <w:r w:rsidRPr="00B26ED3">
        <w:rPr>
          <w:rStyle w:val="Refdenotaalpie"/>
          <w:rFonts w:ascii="Verdana" w:hAnsi="Verdana"/>
          <w:sz w:val="19"/>
          <w:szCs w:val="19"/>
        </w:rPr>
        <w:footnoteRef/>
      </w:r>
      <w:r w:rsidRPr="00B26ED3">
        <w:rPr>
          <w:rFonts w:ascii="Verdana" w:hAnsi="Verdana" w:cs="Arial"/>
          <w:sz w:val="19"/>
          <w:szCs w:val="19"/>
        </w:rPr>
        <w:t xml:space="preserve"> BELTRAN, Pardo. Jorge Hernando. Infraestructura y derecho: Consultoría e interventoría. Perspectivas, roles y responsabilidades</w:t>
      </w:r>
      <w:r w:rsidRPr="00B26ED3">
        <w:rPr>
          <w:rFonts w:ascii="Verdana" w:hAnsi="Verdana" w:cs="Arial"/>
          <w:i/>
          <w:iCs/>
          <w:sz w:val="19"/>
          <w:szCs w:val="19"/>
        </w:rPr>
        <w:t>.</w:t>
      </w:r>
      <w:r w:rsidRPr="00B26ED3">
        <w:rPr>
          <w:rFonts w:ascii="Verdana" w:hAnsi="Verdana" w:cs="Arial"/>
          <w:sz w:val="19"/>
          <w:szCs w:val="19"/>
        </w:rPr>
        <w:t xml:space="preserve"> Editorial Legis. Bogotá,  2019, 1ra Ed. p. 55.</w:t>
      </w:r>
    </w:p>
  </w:footnote>
  <w:footnote w:id="5">
    <w:p w14:paraId="256CFD88" w14:textId="77777777" w:rsidR="00DA679C" w:rsidRPr="00B26ED3" w:rsidRDefault="00DA679C" w:rsidP="00DA679C">
      <w:pPr>
        <w:pStyle w:val="Textonotapie"/>
        <w:ind w:firstLine="709"/>
        <w:jc w:val="both"/>
        <w:rPr>
          <w:rFonts w:ascii="Verdana" w:hAnsi="Verdana" w:cs="Arial"/>
          <w:sz w:val="19"/>
          <w:szCs w:val="19"/>
          <w:lang w:val="es-ES"/>
        </w:rPr>
      </w:pPr>
      <w:r w:rsidRPr="00B26ED3">
        <w:rPr>
          <w:rStyle w:val="Refdenotaalpie"/>
          <w:rFonts w:ascii="Verdana" w:hAnsi="Verdana"/>
          <w:sz w:val="19"/>
          <w:szCs w:val="19"/>
        </w:rPr>
        <w:footnoteRef/>
      </w:r>
      <w:r w:rsidRPr="00B26ED3">
        <w:rPr>
          <w:rFonts w:ascii="Verdana" w:hAnsi="Verdana"/>
          <w:sz w:val="19"/>
          <w:szCs w:val="19"/>
        </w:rPr>
        <w:t xml:space="preserve"> </w:t>
      </w:r>
      <w:bookmarkStart w:id="1" w:name="32"/>
      <w:r w:rsidRPr="00B26ED3">
        <w:rPr>
          <w:rFonts w:ascii="Verdana" w:hAnsi="Verdana" w:cs="Arial"/>
          <w:sz w:val="19"/>
          <w:szCs w:val="19"/>
          <w:lang w:val="es-ES"/>
        </w:rPr>
        <w:t>“ARTÍCULO 32. DE LOS CONTRATOS ESTATALES.</w:t>
      </w:r>
      <w:bookmarkEnd w:id="1"/>
      <w:r w:rsidRPr="00B26ED3">
        <w:rPr>
          <w:rFonts w:ascii="Verdana" w:hAnsi="Verdana" w:cs="Arial"/>
          <w:sz w:val="19"/>
          <w:szCs w:val="19"/>
          <w:lang w:val="es-ES"/>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w:t>
      </w:r>
    </w:p>
    <w:p w14:paraId="614720B9"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w:t>
      </w:r>
    </w:p>
    <w:p w14:paraId="00BF3CA4"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2o. Contrato de Consultoría.</w:t>
      </w:r>
    </w:p>
    <w:p w14:paraId="4386147A"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9CC6F4E"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Son también contratos de consultoría los que tienen por objeto la interventoría, asesoría, gerencia de obra o de proyectos, dirección, programación y la ejecución de diseños, planos, anteproyectos y proyectos.</w:t>
      </w:r>
    </w:p>
    <w:p w14:paraId="02D6C042"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Ninguna orden del interventor de una obra podrá darse verbalmente. Es obligatorio para el interventor entregar por escrito sus órdenes o sugerencias y ellas deben enmarcarse dentro de los términos del respectivo contrato.</w:t>
      </w:r>
    </w:p>
    <w:p w14:paraId="039A4AF1"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 xml:space="preserve">(…)”. </w:t>
      </w:r>
    </w:p>
    <w:p w14:paraId="5139C469" w14:textId="77777777" w:rsidR="00DA679C" w:rsidRPr="00B26ED3" w:rsidRDefault="00DA679C" w:rsidP="00DA679C">
      <w:pPr>
        <w:pStyle w:val="Textonotapie"/>
        <w:ind w:firstLine="709"/>
        <w:jc w:val="both"/>
        <w:rPr>
          <w:rFonts w:ascii="Verdana" w:hAnsi="Verdana" w:cs="Arial"/>
          <w:sz w:val="19"/>
          <w:szCs w:val="19"/>
          <w:lang w:val="es-ES"/>
        </w:rPr>
      </w:pPr>
    </w:p>
  </w:footnote>
  <w:footnote w:id="6">
    <w:p w14:paraId="3030DE36" w14:textId="77777777" w:rsidR="00DA679C" w:rsidRPr="00B26ED3" w:rsidRDefault="00DA679C" w:rsidP="00DA679C">
      <w:pPr>
        <w:pStyle w:val="Textonotapie"/>
        <w:ind w:firstLine="709"/>
        <w:jc w:val="both"/>
        <w:rPr>
          <w:rFonts w:ascii="Verdana" w:hAnsi="Verdana" w:cs="Arial"/>
          <w:color w:val="000000"/>
          <w:sz w:val="19"/>
          <w:szCs w:val="19"/>
        </w:rPr>
      </w:pPr>
      <w:r w:rsidRPr="00B26ED3">
        <w:rPr>
          <w:rStyle w:val="Refdenotaalpie"/>
          <w:rFonts w:ascii="Verdana" w:hAnsi="Verdana" w:cs="Arial"/>
          <w:color w:val="000000"/>
          <w:sz w:val="19"/>
          <w:szCs w:val="19"/>
        </w:rPr>
        <w:footnoteRef/>
      </w:r>
      <w:r w:rsidRPr="00B26ED3">
        <w:rPr>
          <w:rFonts w:ascii="Verdana" w:hAnsi="Verdana" w:cs="Arial"/>
          <w:color w:val="000000"/>
          <w:sz w:val="19"/>
          <w:szCs w:val="19"/>
        </w:rPr>
        <w:t xml:space="preserve"> DÁVILA VINUEZA, Luis Guillermo. Régimen jurídico de la contratación estatal. 3ª ed. Bogotá: Legis, 2016. p. 463.</w:t>
      </w:r>
    </w:p>
    <w:p w14:paraId="5DC9894B" w14:textId="77777777" w:rsidR="00DA679C" w:rsidRPr="00B26ED3" w:rsidRDefault="00DA679C" w:rsidP="00DA679C">
      <w:pPr>
        <w:pStyle w:val="Textonotapie"/>
        <w:ind w:firstLine="709"/>
        <w:jc w:val="both"/>
        <w:rPr>
          <w:rFonts w:ascii="Verdana" w:hAnsi="Verdana" w:cs="Arial"/>
          <w:color w:val="000000"/>
          <w:sz w:val="19"/>
          <w:szCs w:val="19"/>
        </w:rPr>
      </w:pPr>
    </w:p>
  </w:footnote>
  <w:footnote w:id="7">
    <w:p w14:paraId="17A4ED9F" w14:textId="77777777" w:rsidR="00DA679C" w:rsidRPr="00B26ED3" w:rsidRDefault="00DA679C" w:rsidP="00DA679C">
      <w:pPr>
        <w:pStyle w:val="Textonotapie"/>
        <w:ind w:firstLine="709"/>
        <w:jc w:val="both"/>
        <w:rPr>
          <w:rFonts w:ascii="Verdana" w:hAnsi="Verdana" w:cs="Arial"/>
          <w:color w:val="000000"/>
          <w:sz w:val="19"/>
          <w:szCs w:val="19"/>
        </w:rPr>
      </w:pPr>
      <w:r w:rsidRPr="00B26ED3">
        <w:rPr>
          <w:rStyle w:val="Refdenotaalpie"/>
          <w:rFonts w:ascii="Verdana" w:hAnsi="Verdana" w:cs="Arial"/>
          <w:color w:val="000000"/>
          <w:sz w:val="19"/>
          <w:szCs w:val="19"/>
        </w:rPr>
        <w:footnoteRef/>
      </w:r>
      <w:r w:rsidRPr="00B26ED3">
        <w:rPr>
          <w:rFonts w:ascii="Verdana" w:hAnsi="Verdana" w:cs="Arial"/>
          <w:color w:val="000000"/>
          <w:sz w:val="19"/>
          <w:szCs w:val="19"/>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2D3CAB67" w14:textId="77777777" w:rsidR="00DA679C" w:rsidRPr="00B26ED3" w:rsidRDefault="00DA679C" w:rsidP="00DA679C">
      <w:pPr>
        <w:pStyle w:val="Textonotapie"/>
        <w:ind w:firstLine="709"/>
        <w:jc w:val="both"/>
        <w:rPr>
          <w:rFonts w:ascii="Verdana" w:hAnsi="Verdana" w:cs="Arial"/>
          <w:color w:val="000000"/>
          <w:sz w:val="19"/>
          <w:szCs w:val="19"/>
        </w:rPr>
      </w:pPr>
      <w:r w:rsidRPr="00B26ED3">
        <w:rPr>
          <w:rFonts w:ascii="Verdana" w:hAnsi="Verdana" w:cs="Arial"/>
          <w:color w:val="000000"/>
          <w:sz w:val="19"/>
          <w:szCs w:val="19"/>
        </w:rPr>
        <w:t>Para las entidades que tengan un presupuesto anual superior o igual a 1.200.000 salarios mínimos legales mensuales, la menor cuantía será hasta 1.000 salarios mínimos legales mensuales.</w:t>
      </w:r>
    </w:p>
    <w:p w14:paraId="0B886291" w14:textId="77777777" w:rsidR="00DA679C" w:rsidRPr="00B26ED3" w:rsidRDefault="00DA679C" w:rsidP="00DA679C">
      <w:pPr>
        <w:pStyle w:val="Textonotapie"/>
        <w:ind w:firstLine="709"/>
        <w:jc w:val="both"/>
        <w:rPr>
          <w:rFonts w:ascii="Verdana" w:hAnsi="Verdana" w:cs="Arial"/>
          <w:color w:val="000000"/>
          <w:sz w:val="19"/>
          <w:szCs w:val="19"/>
        </w:rPr>
      </w:pPr>
      <w:r w:rsidRPr="00B26ED3">
        <w:rPr>
          <w:rFonts w:ascii="Verdana" w:hAnsi="Verdana" w:cs="Arial"/>
          <w:color w:val="000000"/>
          <w:sz w:val="19"/>
          <w:szCs w:val="19"/>
        </w:rPr>
        <w:t>Las que tengan un presupuesto anual superior o igual a 850.000 salarios mínimos legales mensuales e inferiores a 1.200.000 salarios mínimos legales mensuales, la menor cuantía será hasta 850 salarios mínimos legales mensuales.</w:t>
      </w:r>
    </w:p>
    <w:p w14:paraId="0A3A077B" w14:textId="77777777" w:rsidR="00DA679C" w:rsidRPr="00B26ED3" w:rsidRDefault="00DA679C" w:rsidP="00DA679C">
      <w:pPr>
        <w:pStyle w:val="Textonotapie"/>
        <w:ind w:firstLine="709"/>
        <w:jc w:val="both"/>
        <w:rPr>
          <w:rFonts w:ascii="Verdana" w:hAnsi="Verdana" w:cs="Arial"/>
          <w:color w:val="000000"/>
          <w:sz w:val="19"/>
          <w:szCs w:val="19"/>
        </w:rPr>
      </w:pPr>
      <w:r w:rsidRPr="00B26ED3">
        <w:rPr>
          <w:rFonts w:ascii="Verdana" w:hAnsi="Verdana" w:cs="Arial"/>
          <w:color w:val="000000"/>
          <w:sz w:val="19"/>
          <w:szCs w:val="19"/>
        </w:rPr>
        <w:t>Las que tengan un presupuesto anual superior o igual a 400.000 salarios mínimos legales mensuales e inferior a 850.000 salarios mínimos legales mensuales, la menor cuantía será hasta 650 salarios mínimos legales mensuales.</w:t>
      </w:r>
    </w:p>
    <w:p w14:paraId="6F3DB300" w14:textId="77777777" w:rsidR="00DA679C" w:rsidRPr="00B26ED3" w:rsidRDefault="00DA679C" w:rsidP="00DA679C">
      <w:pPr>
        <w:pStyle w:val="Textonotapie"/>
        <w:ind w:firstLine="709"/>
        <w:jc w:val="both"/>
        <w:rPr>
          <w:rFonts w:ascii="Verdana" w:hAnsi="Verdana" w:cs="Arial"/>
          <w:color w:val="000000"/>
          <w:sz w:val="19"/>
          <w:szCs w:val="19"/>
        </w:rPr>
      </w:pPr>
      <w:r w:rsidRPr="00B26ED3">
        <w:rPr>
          <w:rFonts w:ascii="Verdana" w:hAnsi="Verdana" w:cs="Arial"/>
          <w:color w:val="000000"/>
          <w:sz w:val="19"/>
          <w:szCs w:val="19"/>
        </w:rPr>
        <w:t>Las que tengan un presupuesto anual superior o igual a 120.000 salarios mínimos legales mensuales e inferior a 400.000 salarios mínimos legales mensuales, la menor cuantía será hasta 450 salarios mínimos legales mensuales.</w:t>
      </w:r>
    </w:p>
    <w:p w14:paraId="2D09057B" w14:textId="77777777" w:rsidR="00DA679C" w:rsidRPr="00B26ED3" w:rsidRDefault="00DA679C" w:rsidP="00DA679C">
      <w:pPr>
        <w:pStyle w:val="Textonotapie"/>
        <w:ind w:firstLine="709"/>
        <w:jc w:val="both"/>
        <w:rPr>
          <w:rFonts w:ascii="Verdana" w:hAnsi="Verdana" w:cs="Arial"/>
          <w:color w:val="000000"/>
          <w:sz w:val="19"/>
          <w:szCs w:val="19"/>
        </w:rPr>
      </w:pPr>
      <w:r w:rsidRPr="00B26ED3">
        <w:rPr>
          <w:rFonts w:ascii="Verdana" w:hAnsi="Verdana" w:cs="Arial"/>
          <w:color w:val="000000"/>
          <w:sz w:val="19"/>
          <w:szCs w:val="19"/>
        </w:rPr>
        <w:t>Las que tengan un presupuesto anual inferior a 120.000 salarios mínimos legales mensuales, la menor cuantía será hasta 280 salarios mínimos legales mensuales”.</w:t>
      </w:r>
    </w:p>
    <w:p w14:paraId="4E240A89" w14:textId="77777777" w:rsidR="00DA679C" w:rsidRPr="00B26ED3" w:rsidRDefault="00DA679C" w:rsidP="00DA679C">
      <w:pPr>
        <w:pStyle w:val="Textonotapie"/>
        <w:ind w:firstLine="709"/>
        <w:jc w:val="both"/>
        <w:rPr>
          <w:rFonts w:ascii="Verdana" w:hAnsi="Verdana" w:cs="Arial"/>
          <w:color w:val="000000"/>
          <w:sz w:val="19"/>
          <w:szCs w:val="19"/>
        </w:rPr>
      </w:pPr>
    </w:p>
  </w:footnote>
  <w:footnote w:id="8">
    <w:p w14:paraId="57B51537" w14:textId="77777777" w:rsidR="00DA679C" w:rsidRDefault="00DA679C" w:rsidP="00DA679C">
      <w:pPr>
        <w:pStyle w:val="Textonotapie"/>
        <w:ind w:firstLine="709"/>
        <w:jc w:val="both"/>
        <w:rPr>
          <w:rFonts w:ascii="Verdana" w:hAnsi="Verdana" w:cs="Arial"/>
          <w:sz w:val="19"/>
          <w:szCs w:val="19"/>
        </w:rPr>
      </w:pPr>
      <w:r w:rsidRPr="00B26ED3">
        <w:rPr>
          <w:rStyle w:val="Refdenotaalpie"/>
          <w:rFonts w:ascii="Verdana" w:hAnsi="Verdana" w:cs="Arial"/>
          <w:sz w:val="19"/>
          <w:szCs w:val="19"/>
        </w:rPr>
        <w:footnoteRef/>
      </w:r>
      <w:hyperlink r:id="rId1" w:history="1">
        <w:r w:rsidRPr="00B26ED3">
          <w:rPr>
            <w:rStyle w:val="Hipervnculo"/>
            <w:rFonts w:ascii="Verdana" w:hAnsi="Verdana" w:cs="Arial"/>
            <w:sz w:val="19"/>
            <w:szCs w:val="19"/>
          </w:rPr>
          <w:t>https://www.colombiacompra.gov.co/wp-content/uploads/2024/08/manual_de_la_modalidad_de_seleccion_de_minima_cuantia.pdf</w:t>
        </w:r>
      </w:hyperlink>
      <w:r w:rsidRPr="00B26ED3">
        <w:rPr>
          <w:rFonts w:ascii="Verdana" w:hAnsi="Verdana" w:cs="Arial"/>
          <w:sz w:val="19"/>
          <w:szCs w:val="19"/>
        </w:rPr>
        <w:t xml:space="preserve"> </w:t>
      </w:r>
    </w:p>
    <w:p w14:paraId="58FBCAF3" w14:textId="77777777" w:rsidR="00DA679C" w:rsidRPr="00B26ED3" w:rsidRDefault="00DA679C" w:rsidP="00DA679C">
      <w:pPr>
        <w:pStyle w:val="Textonotapie"/>
        <w:ind w:firstLine="709"/>
        <w:jc w:val="both"/>
        <w:rPr>
          <w:rFonts w:ascii="Verdana" w:hAnsi="Verdana" w:cs="Arial"/>
          <w:sz w:val="19"/>
          <w:szCs w:val="19"/>
        </w:rPr>
      </w:pPr>
    </w:p>
  </w:footnote>
  <w:footnote w:id="9">
    <w:p w14:paraId="4EA5C2AA" w14:textId="77777777" w:rsidR="00DA679C" w:rsidRPr="00B26ED3" w:rsidRDefault="00DA679C" w:rsidP="00DA679C">
      <w:pPr>
        <w:pStyle w:val="Textonotapie"/>
        <w:ind w:firstLine="709"/>
        <w:jc w:val="both"/>
        <w:rPr>
          <w:rFonts w:ascii="Verdana" w:hAnsi="Verdana" w:cs="Arial"/>
          <w:sz w:val="19"/>
          <w:szCs w:val="19"/>
          <w:lang w:val="es-ES"/>
        </w:rPr>
      </w:pPr>
      <w:r w:rsidRPr="00B26ED3">
        <w:rPr>
          <w:rStyle w:val="Refdenotaalpie"/>
          <w:rFonts w:ascii="Verdana" w:hAnsi="Verdana" w:cs="Arial"/>
          <w:sz w:val="19"/>
          <w:szCs w:val="19"/>
        </w:rPr>
        <w:footnoteRef/>
      </w:r>
      <w:r w:rsidRPr="00B26ED3">
        <w:rPr>
          <w:rFonts w:ascii="Verdana" w:hAnsi="Verdana" w:cs="Arial"/>
          <w:sz w:val="19"/>
          <w:szCs w:val="19"/>
        </w:rPr>
        <w:t xml:space="preserve"> </w:t>
      </w:r>
      <w:r w:rsidRPr="00B26ED3">
        <w:rPr>
          <w:rFonts w:ascii="Verdana" w:hAnsi="Verdana" w:cs="Arial"/>
          <w:sz w:val="19"/>
          <w:szCs w:val="19"/>
          <w:lang w:val="es-ES"/>
        </w:rPr>
        <w:t xml:space="preserve">Este numeral dispone: </w:t>
      </w:r>
      <w:r>
        <w:rPr>
          <w:rFonts w:ascii="Verdana" w:hAnsi="Verdana" w:cs="Arial"/>
          <w:sz w:val="19"/>
          <w:szCs w:val="19"/>
          <w:lang w:val="es-ES"/>
        </w:rPr>
        <w:t>“</w:t>
      </w:r>
      <w:r w:rsidRPr="00B26ED3">
        <w:rPr>
          <w:rFonts w:ascii="Verdana" w:hAnsi="Verdana" w:cs="Arial"/>
          <w:sz w:val="19"/>
          <w:szCs w:val="19"/>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829CD4C" w14:textId="77777777" w:rsidR="00DA679C" w:rsidRPr="00B26ED3"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Son también contratos de consultoría los que tienen por objeto la interventoría, asesoría, gerencia de obra o de proyectos, dirección, programación y la ejecución de diseños, planos, anteproyectos y proyectos.</w:t>
      </w:r>
    </w:p>
    <w:p w14:paraId="06B5B8C6" w14:textId="77777777" w:rsidR="00DA679C" w:rsidRDefault="00DA679C" w:rsidP="00DA679C">
      <w:pPr>
        <w:pStyle w:val="Textonotapie"/>
        <w:ind w:firstLine="709"/>
        <w:jc w:val="both"/>
        <w:rPr>
          <w:rFonts w:ascii="Verdana" w:hAnsi="Verdana" w:cs="Arial"/>
          <w:sz w:val="19"/>
          <w:szCs w:val="19"/>
          <w:lang w:val="es-ES"/>
        </w:rPr>
      </w:pPr>
      <w:r w:rsidRPr="00B26ED3">
        <w:rPr>
          <w:rFonts w:ascii="Verdana" w:hAnsi="Verdana" w:cs="Arial"/>
          <w:sz w:val="19"/>
          <w:szCs w:val="19"/>
          <w:lang w:val="es-ES"/>
        </w:rPr>
        <w:t>Ninguna orden del interventor de una obra podrá darse verbalmente. Es obligatorio para el interventor entregar por escrito sus órdenes o sugerencias y ellas deben enmarcarse dentro de los términos del respectivo contrato</w:t>
      </w:r>
      <w:r>
        <w:rPr>
          <w:rFonts w:ascii="Verdana" w:hAnsi="Verdana" w:cs="Arial"/>
          <w:sz w:val="19"/>
          <w:szCs w:val="19"/>
          <w:lang w:val="es-ES"/>
        </w:rPr>
        <w:t>”</w:t>
      </w:r>
      <w:r w:rsidRPr="00B26ED3">
        <w:rPr>
          <w:rFonts w:ascii="Verdana" w:hAnsi="Verdana" w:cs="Arial"/>
          <w:sz w:val="19"/>
          <w:szCs w:val="19"/>
          <w:lang w:val="es-ES"/>
        </w:rPr>
        <w:t>.</w:t>
      </w:r>
    </w:p>
    <w:p w14:paraId="047E4772" w14:textId="77777777" w:rsidR="00DA679C" w:rsidRPr="00B26ED3" w:rsidRDefault="00DA679C" w:rsidP="00DA679C">
      <w:pPr>
        <w:pStyle w:val="Textonotapie"/>
        <w:ind w:firstLine="709"/>
        <w:jc w:val="both"/>
        <w:rPr>
          <w:rFonts w:ascii="Verdana" w:hAnsi="Verdana" w:cs="Arial"/>
          <w:sz w:val="19"/>
          <w:szCs w:val="19"/>
          <w:lang w:val="es-CO"/>
        </w:rPr>
      </w:pPr>
    </w:p>
  </w:footnote>
  <w:footnote w:id="10">
    <w:p w14:paraId="7B8786C6" w14:textId="77777777" w:rsidR="00DA679C" w:rsidRPr="00B26ED3" w:rsidRDefault="00DA679C" w:rsidP="00DA679C">
      <w:pPr>
        <w:pStyle w:val="Textonotapie"/>
        <w:ind w:firstLine="709"/>
        <w:jc w:val="both"/>
        <w:rPr>
          <w:rFonts w:ascii="Verdana" w:hAnsi="Verdana" w:cs="Arial"/>
          <w:color w:val="000000"/>
          <w:sz w:val="19"/>
          <w:szCs w:val="19"/>
          <w:lang w:val="es-ES"/>
        </w:rPr>
      </w:pPr>
      <w:r w:rsidRPr="00B26ED3">
        <w:rPr>
          <w:rStyle w:val="Refdenotaalpie"/>
          <w:rFonts w:ascii="Verdana" w:hAnsi="Verdana" w:cs="Arial"/>
          <w:sz w:val="19"/>
          <w:szCs w:val="19"/>
        </w:rPr>
        <w:footnoteRef/>
      </w:r>
      <w:r w:rsidRPr="00B26ED3">
        <w:rPr>
          <w:rFonts w:ascii="Verdana" w:hAnsi="Verdana" w:cs="Arial"/>
          <w:sz w:val="19"/>
          <w:szCs w:val="19"/>
        </w:rPr>
        <w:t xml:space="preserve"> </w:t>
      </w:r>
      <w:r w:rsidRPr="00B26ED3">
        <w:rPr>
          <w:rFonts w:ascii="Verdana" w:hAnsi="Verdana" w:cs="Arial"/>
          <w:color w:val="000000"/>
          <w:sz w:val="19"/>
          <w:szCs w:val="19"/>
          <w:lang w:val="es-ES"/>
        </w:rPr>
        <w:t>Consejo de Estado. Sección Tercera. Subsección A. Auto del 29 de marzo de 2017. Exp. 56307. Consejero: Carlos Alberto Zambrano Barrera.</w:t>
      </w:r>
    </w:p>
    <w:p w14:paraId="194A5A22" w14:textId="77777777" w:rsidR="00DA679C" w:rsidRPr="00B26ED3" w:rsidRDefault="00DA679C" w:rsidP="00DA679C">
      <w:pPr>
        <w:pStyle w:val="Textonotapie"/>
        <w:ind w:firstLine="709"/>
        <w:jc w:val="both"/>
        <w:rPr>
          <w:rFonts w:ascii="Verdana" w:hAnsi="Verdana" w:cs="Arial"/>
          <w:sz w:val="19"/>
          <w:szCs w:val="19"/>
        </w:rPr>
      </w:pPr>
    </w:p>
  </w:footnote>
  <w:footnote w:id="11">
    <w:p w14:paraId="54709C19" w14:textId="77777777" w:rsidR="00DA679C" w:rsidRPr="00F46224" w:rsidRDefault="00DA679C" w:rsidP="00DA679C">
      <w:pPr>
        <w:pStyle w:val="Textonotapie"/>
        <w:ind w:firstLine="708"/>
        <w:rPr>
          <w:rFonts w:ascii="Verdana" w:eastAsia="Calibri" w:hAnsi="Verdana" w:cs="Arial"/>
          <w:color w:val="000000"/>
          <w:sz w:val="18"/>
          <w:szCs w:val="18"/>
          <w:lang w:val="es-ES_tradnl"/>
        </w:rPr>
      </w:pPr>
      <w:r w:rsidRPr="00D615FB">
        <w:rPr>
          <w:rStyle w:val="Refdenotaalpie"/>
          <w:rFonts w:ascii="Verdana" w:hAnsi="Verdana"/>
          <w:sz w:val="18"/>
          <w:szCs w:val="18"/>
        </w:rPr>
        <w:footnoteRef/>
      </w:r>
      <w:r w:rsidRPr="00D615FB">
        <w:rPr>
          <w:rFonts w:ascii="Verdana" w:hAnsi="Verdana"/>
          <w:sz w:val="18"/>
          <w:szCs w:val="18"/>
        </w:rPr>
        <w:t xml:space="preserve"> </w:t>
      </w:r>
      <w:r w:rsidRPr="00F46224">
        <w:rPr>
          <w:rFonts w:ascii="Verdana" w:eastAsia="Calibri" w:hAnsi="Verdana" w:cs="Arial"/>
          <w:color w:val="000000"/>
          <w:sz w:val="18"/>
          <w:szCs w:val="18"/>
          <w:lang w:val="es-ES_tradnl"/>
        </w:rPr>
        <w:t>Numeral 1 del artículo 32 de la Ley 80 de 1993.</w:t>
      </w:r>
    </w:p>
    <w:p w14:paraId="7F214B70" w14:textId="77777777" w:rsidR="00DA679C" w:rsidRPr="00D615FB" w:rsidRDefault="00DA679C" w:rsidP="00DA679C">
      <w:pPr>
        <w:pStyle w:val="Textonotapie"/>
        <w:ind w:firstLine="708"/>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BF3"/>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042CA"/>
    <w:rsid w:val="006200BF"/>
    <w:rsid w:val="006219F8"/>
    <w:rsid w:val="006302F7"/>
    <w:rsid w:val="00646B9F"/>
    <w:rsid w:val="00665D70"/>
    <w:rsid w:val="006849EB"/>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107C"/>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75A2"/>
    <w:rsid w:val="009F3A13"/>
    <w:rsid w:val="00A122D3"/>
    <w:rsid w:val="00A14468"/>
    <w:rsid w:val="00A17F13"/>
    <w:rsid w:val="00A20739"/>
    <w:rsid w:val="00A23AF9"/>
    <w:rsid w:val="00A33C78"/>
    <w:rsid w:val="00A36412"/>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0AA3"/>
    <w:rsid w:val="00CB6357"/>
    <w:rsid w:val="00CC1B26"/>
    <w:rsid w:val="00CE095C"/>
    <w:rsid w:val="00D361FD"/>
    <w:rsid w:val="00D423A2"/>
    <w:rsid w:val="00D44E26"/>
    <w:rsid w:val="00D520D8"/>
    <w:rsid w:val="00D63AC2"/>
    <w:rsid w:val="00D7383B"/>
    <w:rsid w:val="00D7788A"/>
    <w:rsid w:val="00DA231B"/>
    <w:rsid w:val="00DA679C"/>
    <w:rsid w:val="00DC39FC"/>
    <w:rsid w:val="00DF5254"/>
    <w:rsid w:val="00E02524"/>
    <w:rsid w:val="00E1224E"/>
    <w:rsid w:val="00E16408"/>
    <w:rsid w:val="00E20894"/>
    <w:rsid w:val="00E245AB"/>
    <w:rsid w:val="00E2764C"/>
    <w:rsid w:val="00E27F2E"/>
    <w:rsid w:val="00E46335"/>
    <w:rsid w:val="00E50AFE"/>
    <w:rsid w:val="00E550D1"/>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7B7B"/>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Piedepgina1">
    <w:name w:val="Pie de página1"/>
    <w:basedOn w:val="Normal"/>
    <w:next w:val="Piedepgina"/>
    <w:uiPriority w:val="99"/>
    <w:unhideWhenUsed/>
    <w:rsid w:val="00DA679C"/>
    <w:pPr>
      <w:tabs>
        <w:tab w:val="center" w:pos="4419"/>
        <w:tab w:val="right" w:pos="8838"/>
      </w:tabs>
      <w:spacing w:after="0" w:line="240" w:lineRule="auto"/>
    </w:pPr>
  </w:style>
  <w:style w:type="paragraph" w:customStyle="1" w:styleId="Appelnotedebasde">
    <w:name w:val="Appel note de bas de..."/>
    <w:basedOn w:val="Normal"/>
    <w:link w:val="Refdenotaalpie"/>
    <w:uiPriority w:val="99"/>
    <w:rsid w:val="00DA679C"/>
    <w:pPr>
      <w:spacing w:line="240" w:lineRule="exact"/>
    </w:pPr>
    <w:rPr>
      <w:vertAlign w:val="superscript"/>
    </w:rPr>
  </w:style>
  <w:style w:type="table" w:customStyle="1" w:styleId="Tablaconcuadrcula1">
    <w:name w:val="Tabla con cuadrícula1"/>
    <w:basedOn w:val="Tablanormal"/>
    <w:next w:val="Tablaconcuadrcula"/>
    <w:uiPriority w:val="39"/>
    <w:qFormat/>
    <w:rsid w:val="00DA679C"/>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manual_de_la_modalidad_de_seleccion_de_minima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A0587EF-C725-4292-8A3C-BBD074BCC5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23</Pages>
  <Words>7105</Words>
  <Characters>39080</Characters>
  <Application>Microsoft Office Word</Application>
  <DocSecurity>0</DocSecurity>
  <Lines>325</Lines>
  <Paragraphs>92</Paragraphs>
  <ScaleCrop>false</ScaleCrop>
  <Company/>
  <LinksUpToDate>false</LinksUpToDate>
  <CharactersWithSpaces>46093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2026-07-08T11:50:00Z</dcterms:created>
  <dcterms:modified xsi:type="dcterms:W3CDTF">2026-07-08T23:49:00Z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