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6A547" w14:textId="762F500F" w:rsidR="00FF0CA6" w:rsidRDefault="00FF0CA6" w:rsidP="00FF0CA6">
      <w:pPr>
        <w:spacing w:after="0" w:line="240" w:lineRule="auto"/>
        <w:jc w:val="both"/>
        <w:rPr>
          <w:rFonts w:ascii="Verdana" w:eastAsia="Calibri" w:hAnsi="Verdana" w:cs="Arial"/>
          <w:b/>
          <w:bCs/>
          <w:lang w:eastAsia="es-ES"/>
        </w:rPr>
      </w:pPr>
      <w:bookmarkStart w:id="0" w:name="_Hlk230693044"/>
      <w:r w:rsidRPr="00FF0CA6">
        <w:rPr>
          <w:rFonts w:ascii="Verdana" w:eastAsia="Calibri" w:hAnsi="Verdana" w:cs="Arial"/>
          <w:b/>
          <w:bCs/>
          <w:lang w:eastAsia="es-ES"/>
        </w:rPr>
        <w:t>DECRETO 0287 DE 2026 ‒ Sistema Integral de Preferencias ‒ Contratación pública inclusiva ‒ Personas con discapacidad</w:t>
      </w:r>
    </w:p>
    <w:p w14:paraId="1A6540D5" w14:textId="77777777" w:rsidR="00FF0CA6" w:rsidRDefault="00FF0CA6" w:rsidP="00FF0CA6">
      <w:pPr>
        <w:spacing w:after="0" w:line="240" w:lineRule="auto"/>
        <w:jc w:val="both"/>
        <w:rPr>
          <w:rFonts w:ascii="Verdana" w:eastAsia="Calibri" w:hAnsi="Verdana" w:cs="Arial"/>
          <w:b/>
          <w:bCs/>
          <w:lang w:eastAsia="es-ES"/>
        </w:rPr>
      </w:pPr>
    </w:p>
    <w:p w14:paraId="5682C4E3" w14:textId="77777777" w:rsidR="0029005A" w:rsidRPr="0029005A" w:rsidRDefault="0029005A" w:rsidP="0029005A">
      <w:pPr>
        <w:spacing w:after="0" w:line="240" w:lineRule="auto"/>
        <w:jc w:val="both"/>
        <w:rPr>
          <w:rFonts w:ascii="Verdana" w:hAnsi="Verdana"/>
          <w:sz w:val="21"/>
          <w:szCs w:val="21"/>
        </w:rPr>
      </w:pPr>
      <w:r w:rsidRPr="0029005A">
        <w:rPr>
          <w:rFonts w:ascii="Verdana" w:hAnsi="Verdana"/>
          <w:sz w:val="21"/>
          <w:szCs w:val="21"/>
        </w:rPr>
        <w:t>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 solo contempló el 1% de puntaje para empleadores de PcD, sin incluir a las empresas de PcD; redujo el "sistema de preferencias" a un único criterio de desempate; y no previó medidas en planeación, criterios habilitantes diferenciales, condiciones especiales de ejecución ni abordó la contratación directa como escenario de inclusión. En consecuencia, desde el punto de vista sustantivo, el Decreto 392 de 2018 reglamentó el numeral 1 de manera parcial y el numeral 7, dejando sin reglamentación material el numeral 8, que era precisamente el que ordenaba el sistema de preferencias en favor de las propias PcD como contratistas.</w:t>
      </w:r>
    </w:p>
    <w:p w14:paraId="2C3A04C1" w14:textId="77777777" w:rsidR="0029005A" w:rsidRPr="0029005A" w:rsidRDefault="0029005A" w:rsidP="0029005A">
      <w:pPr>
        <w:spacing w:after="0" w:line="240" w:lineRule="auto"/>
        <w:jc w:val="both"/>
        <w:rPr>
          <w:rFonts w:ascii="Verdana" w:hAnsi="Verdana"/>
          <w:sz w:val="21"/>
          <w:szCs w:val="21"/>
        </w:rPr>
      </w:pPr>
    </w:p>
    <w:p w14:paraId="71C81FCA" w14:textId="77777777" w:rsidR="0029005A" w:rsidRPr="0029005A" w:rsidRDefault="0029005A" w:rsidP="0029005A">
      <w:pPr>
        <w:spacing w:after="0" w:line="240" w:lineRule="auto"/>
        <w:jc w:val="both"/>
        <w:rPr>
          <w:rFonts w:ascii="Verdana" w:hAnsi="Verdana"/>
          <w:sz w:val="21"/>
          <w:szCs w:val="21"/>
        </w:rPr>
      </w:pPr>
      <w:r w:rsidRPr="0029005A">
        <w:rPr>
          <w:rFonts w:ascii="Verdana" w:hAnsi="Verdana"/>
          <w:sz w:val="21"/>
          <w:szCs w:val="21"/>
        </w:rPr>
        <w:t>La insuficiencia del Decreto 392 de 2018 fue constatada judicialmente. La Sección Quinta del Consejo de Estado, mediante sentencia de acción de cumplimiento del 12 de diciembre de 2024, radicación n.°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3700589B" w14:textId="77777777" w:rsidR="0029005A" w:rsidRPr="0029005A" w:rsidRDefault="0029005A" w:rsidP="0029005A">
      <w:pPr>
        <w:spacing w:after="0" w:line="240" w:lineRule="auto"/>
        <w:jc w:val="both"/>
        <w:rPr>
          <w:rFonts w:ascii="Verdana" w:hAnsi="Verdana"/>
          <w:sz w:val="21"/>
          <w:szCs w:val="21"/>
        </w:rPr>
      </w:pPr>
    </w:p>
    <w:p w14:paraId="257874BB" w14:textId="77777777" w:rsidR="0029005A" w:rsidRPr="0029005A" w:rsidRDefault="0029005A" w:rsidP="0029005A">
      <w:pPr>
        <w:spacing w:after="0" w:line="240" w:lineRule="auto"/>
        <w:jc w:val="both"/>
        <w:rPr>
          <w:rFonts w:ascii="Verdana" w:eastAsia="Times New Roman" w:hAnsi="Verdana" w:cs="Times New Roman"/>
          <w:sz w:val="21"/>
          <w:szCs w:val="21"/>
        </w:rPr>
      </w:pPr>
      <w:r w:rsidRPr="0029005A">
        <w:rPr>
          <w:rFonts w:ascii="Verdana" w:hAnsi="Verdana"/>
          <w:sz w:val="21"/>
          <w:szCs w:val="21"/>
        </w:rPr>
        <w:t xml:space="preserve">En cumplimiento de esa decisión fue expedido el Decreto 0287 de 2026, el cual, como se indicó en la respuesta, establece un Sistema Integral de Preferencias compuesto por cinco medidas afirmativas que actúan en todas las fases del proceso contractual, planeación, selección, adjudicación y ejecución, y que benefician a dos sujetos diferenciados: los emprendimientos y empresas de PcD y los empleadores de PcD. </w:t>
      </w:r>
    </w:p>
    <w:p w14:paraId="6D5AAB5C" w14:textId="77777777" w:rsidR="0029005A" w:rsidRDefault="0029005A" w:rsidP="00B56F26">
      <w:pPr>
        <w:spacing w:after="0" w:line="240" w:lineRule="auto"/>
        <w:rPr>
          <w:rFonts w:ascii="Verdana" w:eastAsia="Geomanist Light" w:hAnsi="Verdana" w:cs="Arial"/>
          <w:color w:val="000000" w:themeColor="text1"/>
          <w:lang w:val="es-MX"/>
        </w:rPr>
      </w:pPr>
    </w:p>
    <w:p w14:paraId="4E89DADB" w14:textId="05FA9147" w:rsidR="0029005A" w:rsidRDefault="0029005A" w:rsidP="0029005A">
      <w:pPr>
        <w:spacing w:after="0" w:line="240" w:lineRule="auto"/>
        <w:jc w:val="both"/>
        <w:rPr>
          <w:rFonts w:ascii="Verdana" w:eastAsia="Century Gothic" w:hAnsi="Verdana" w:cs="Century Gothic"/>
          <w:b/>
          <w:bCs/>
        </w:rPr>
      </w:pPr>
      <w:r w:rsidRPr="0029005A">
        <w:rPr>
          <w:rFonts w:ascii="Verdana" w:eastAsia="Calibri" w:hAnsi="Verdana" w:cs="Arial"/>
          <w:b/>
          <w:bCs/>
          <w:lang w:eastAsia="es-ES"/>
        </w:rPr>
        <w:t xml:space="preserve">DECRETO 0287 DE 2026 ‒ Antecedentes normativos ‒ Decreto 392 de 2018 ‒ Omisiones reglamentarias ‒ Sentencia de acción de cumplimiento </w:t>
      </w:r>
      <w:r w:rsidR="0057670A" w:rsidRPr="0057670A">
        <w:rPr>
          <w:rFonts w:ascii="Verdana" w:eastAsia="Calibri" w:hAnsi="Verdana" w:cs="Arial"/>
          <w:b/>
          <w:bCs/>
          <w:lang w:val="es-ES" w:eastAsia="es-ES"/>
        </w:rPr>
        <w:t>–</w:t>
      </w:r>
      <w:r w:rsidRPr="0029005A">
        <w:rPr>
          <w:rFonts w:ascii="Verdana" w:eastAsia="Calibri" w:hAnsi="Verdana" w:cs="Arial"/>
          <w:b/>
          <w:bCs/>
          <w:lang w:eastAsia="es-ES"/>
        </w:rPr>
        <w:t xml:space="preserve"> DECRETO 0287 DE 2026 ‒ Sujetos del sistema ‒ Emprendimientos y empresas de personas con discapacidad ‒ Empleadores de personas con discapacidad ‒ Definición y diferenciación </w:t>
      </w:r>
      <w:r w:rsidR="0057670A" w:rsidRPr="0057670A">
        <w:rPr>
          <w:rFonts w:ascii="Verdana" w:eastAsia="Calibri" w:hAnsi="Verdana" w:cs="Arial"/>
          <w:b/>
          <w:bCs/>
          <w:lang w:val="es-ES" w:eastAsia="es-ES"/>
        </w:rPr>
        <w:t>–</w:t>
      </w:r>
      <w:r w:rsidRPr="0029005A">
        <w:rPr>
          <w:rFonts w:ascii="Verdana" w:eastAsia="Century Gothic" w:hAnsi="Verdana" w:cs="Century Gothic"/>
          <w:b/>
          <w:bCs/>
        </w:rPr>
        <w:t xml:space="preserve"> </w:t>
      </w:r>
      <w:r w:rsidR="0057670A">
        <w:rPr>
          <w:rFonts w:ascii="Verdana" w:eastAsia="Century Gothic" w:hAnsi="Verdana" w:cs="Century Gothic"/>
          <w:b/>
          <w:bCs/>
        </w:rPr>
        <w:t>R</w:t>
      </w:r>
      <w:r w:rsidRPr="0029005A">
        <w:rPr>
          <w:rFonts w:ascii="Verdana" w:eastAsia="Century Gothic" w:hAnsi="Verdana" w:cs="Century Gothic"/>
          <w:b/>
          <w:bCs/>
        </w:rPr>
        <w:t>égimen Legal</w:t>
      </w:r>
    </w:p>
    <w:p w14:paraId="68089863" w14:textId="77777777" w:rsidR="00A31798" w:rsidRPr="0029005A" w:rsidRDefault="00A31798" w:rsidP="0029005A">
      <w:pPr>
        <w:spacing w:after="0" w:line="240" w:lineRule="auto"/>
        <w:jc w:val="both"/>
        <w:rPr>
          <w:rFonts w:ascii="Verdana" w:eastAsia="Geomanist Light" w:hAnsi="Verdana" w:cs="Arial"/>
          <w:b/>
          <w:bCs/>
          <w:color w:val="000000" w:themeColor="text1"/>
          <w:lang w:val="es-MX"/>
        </w:rPr>
      </w:pPr>
    </w:p>
    <w:p w14:paraId="1EAAE35A" w14:textId="0CB5078F" w:rsidR="0029005A" w:rsidRDefault="0029005A" w:rsidP="0029005A">
      <w:pPr>
        <w:spacing w:after="0" w:line="240" w:lineRule="auto"/>
        <w:jc w:val="both"/>
        <w:rPr>
          <w:rFonts w:ascii="Verdana" w:eastAsia="Times New Roman" w:hAnsi="Verdana" w:cs="Times New Roman"/>
          <w:sz w:val="21"/>
          <w:szCs w:val="21"/>
        </w:rPr>
      </w:pPr>
      <w:r w:rsidRPr="0029005A">
        <w:rPr>
          <w:rFonts w:ascii="Verdana" w:eastAsia="Times New Roman" w:hAnsi="Verdana" w:cs="Times New Roman"/>
          <w:sz w:val="21"/>
          <w:szCs w:val="21"/>
        </w:rPr>
        <w:t xml:space="preserve">En el plano internacional, Colombia es Estado Parte de instrumentos que conforman el Bloque de Constitucionalidad en virtud del artículo 93 superior. La Convención </w:t>
      </w:r>
      <w:r w:rsidRPr="0029005A">
        <w:rPr>
          <w:rFonts w:ascii="Verdana" w:eastAsia="Times New Roman" w:hAnsi="Verdana" w:cs="Times New Roman"/>
          <w:sz w:val="21"/>
          <w:szCs w:val="21"/>
        </w:rPr>
        <w:lastRenderedPageBreak/>
        <w:t>sobre los Derechos de las Personas con Discapacidad de la ONU reconoce el derecho de las PcD a trabajar en igualdad de condiciones y exige programas de acción afirmativa. La Convención Interamericana para la Eliminación de todas las Formas de Discriminación ordena eliminar progresivamente la discriminación en la prestación de servicios, incluido el empleo. El Convenio 159 de la OIT exige medidas orientadas a garantizar la igualdad de oportunidades de todas las categorías de PcD en materia de empleo.</w:t>
      </w:r>
    </w:p>
    <w:p w14:paraId="6E45A09B" w14:textId="77777777" w:rsidR="0029005A" w:rsidRPr="0029005A" w:rsidRDefault="0029005A" w:rsidP="0029005A">
      <w:pPr>
        <w:spacing w:after="0" w:line="240" w:lineRule="auto"/>
        <w:jc w:val="both"/>
        <w:rPr>
          <w:rFonts w:ascii="Verdana" w:hAnsi="Verdana"/>
          <w:sz w:val="21"/>
          <w:szCs w:val="21"/>
        </w:rPr>
      </w:pPr>
    </w:p>
    <w:p w14:paraId="1CE0BCE7" w14:textId="002F398C" w:rsidR="0029005A" w:rsidRPr="0029005A" w:rsidRDefault="0029005A" w:rsidP="0029005A">
      <w:pPr>
        <w:spacing w:after="0" w:line="240" w:lineRule="auto"/>
        <w:jc w:val="both"/>
        <w:rPr>
          <w:rFonts w:ascii="Verdana" w:eastAsia="Times New Roman" w:hAnsi="Verdana" w:cs="Times New Roman"/>
          <w:sz w:val="21"/>
          <w:szCs w:val="21"/>
        </w:rPr>
      </w:pPr>
      <w:r w:rsidRPr="0029005A">
        <w:rPr>
          <w:rFonts w:ascii="Verdana" w:eastAsia="Times New Roman" w:hAnsi="Verdana" w:cs="Times New Roman"/>
          <w:sz w:val="21"/>
          <w:szCs w:val="21"/>
        </w:rPr>
        <w:t>La Ley 361 de 1997 estableció los primeros mecanismos de integración social de las PcD. Su artículo 24 introdujo una preferencia en igualdad de condiciones en licitaciones y adjudicaciones de contratos para los empleadores que tuvieran al menos el 10% de su nómina compuesta por PcD. Esta norma vinculó por primera vez la contratación pública con la inclusión laboral de las PcD, pero su alcance era limitado: una preferencia residual aplicable solo en caso de empate, que beneficiaba únicamente a los empleadores de PcD sin considerar a las propias PcD como proponentes directos.</w:t>
      </w:r>
    </w:p>
    <w:p w14:paraId="37D43C58" w14:textId="77777777" w:rsidR="0029005A" w:rsidRPr="0029005A" w:rsidRDefault="0029005A" w:rsidP="0029005A">
      <w:pPr>
        <w:spacing w:after="0" w:line="240" w:lineRule="auto"/>
        <w:jc w:val="both"/>
        <w:rPr>
          <w:rFonts w:ascii="Verdana" w:hAnsi="Verdana"/>
          <w:sz w:val="21"/>
          <w:szCs w:val="21"/>
        </w:rPr>
      </w:pPr>
    </w:p>
    <w:p w14:paraId="74BBAF26" w14:textId="62CFC78E" w:rsidR="0029005A" w:rsidRPr="0029005A" w:rsidRDefault="0029005A" w:rsidP="0029005A">
      <w:pPr>
        <w:spacing w:after="0" w:line="240" w:lineRule="auto"/>
        <w:jc w:val="both"/>
        <w:rPr>
          <w:rFonts w:ascii="Verdana" w:eastAsia="Times New Roman" w:hAnsi="Verdana" w:cs="Times New Roman"/>
          <w:sz w:val="21"/>
          <w:szCs w:val="21"/>
        </w:rPr>
      </w:pPr>
      <w:r w:rsidRPr="0029005A">
        <w:rPr>
          <w:rFonts w:ascii="Verdana" w:eastAsia="Times New Roman" w:hAnsi="Verdana" w:cs="Times New Roman"/>
          <w:sz w:val="21"/>
          <w:szCs w:val="21"/>
        </w:rPr>
        <w:t xml:space="preserve">La Ley Estatutaria 1618 de 2013 representó un salto cualitativo en el marco jurídico de protección de las PcD, al definir a estas como </w:t>
      </w:r>
      <w:r w:rsidRPr="0029005A">
        <w:rPr>
          <w:rFonts w:ascii="Verdana" w:eastAsia="Times New Roman" w:hAnsi="Verdana" w:cs="Times New Roman"/>
          <w:i/>
          <w:iCs/>
          <w:sz w:val="21"/>
          <w:szCs w:val="21"/>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r w:rsidRPr="0029005A">
        <w:rPr>
          <w:rFonts w:ascii="Verdana" w:eastAsia="Times New Roman" w:hAnsi="Verdana" w:cs="Times New Roman"/>
          <w:sz w:val="21"/>
          <w:szCs w:val="21"/>
        </w:rPr>
        <w:t xml:space="preserve"> Su artículo 13, en los numerales 1, 7 y 8, ordenó al Gobierno Nacional reglamentar: una puntuación adicional en licitación pública, concurso de méritos y contratación directa para empresas que vinculen PcD y para empresas de PcD; un sistema de preferencias para empleadores de PcD en la adjudicación; y un sistema de preferencias en favor de las propias PcD como contratistas. Este último mandato fue especialmente significativo porque introdujo el concepto de </w:t>
      </w:r>
      <w:r w:rsidRPr="0029005A">
        <w:rPr>
          <w:rFonts w:ascii="Verdana" w:eastAsia="Times New Roman" w:hAnsi="Verdana" w:cs="Times New Roman"/>
          <w:i/>
          <w:iCs/>
          <w:sz w:val="21"/>
          <w:szCs w:val="21"/>
        </w:rPr>
        <w:t>"sistema de preferencias"</w:t>
      </w:r>
      <w:r w:rsidRPr="0029005A">
        <w:rPr>
          <w:rFonts w:ascii="Verdana" w:eastAsia="Times New Roman" w:hAnsi="Verdana" w:cs="Times New Roman"/>
          <w:sz w:val="21"/>
          <w:szCs w:val="21"/>
        </w:rPr>
        <w:t>, que por definición no puede reducirse a una sola medida sino que implica un conjunto estructurado de instrumentos que actúen en las distintas fases del proceso contractual.</w:t>
      </w:r>
    </w:p>
    <w:p w14:paraId="58A1E755" w14:textId="77777777" w:rsidR="0029005A" w:rsidRPr="0029005A" w:rsidRDefault="0029005A" w:rsidP="0029005A">
      <w:pPr>
        <w:spacing w:after="0" w:line="240" w:lineRule="auto"/>
        <w:jc w:val="both"/>
        <w:rPr>
          <w:rFonts w:ascii="Verdana" w:hAnsi="Verdana"/>
          <w:sz w:val="21"/>
          <w:szCs w:val="21"/>
        </w:rPr>
      </w:pPr>
    </w:p>
    <w:p w14:paraId="5F3B3EB6" w14:textId="77777777" w:rsidR="0029005A" w:rsidRPr="0029005A" w:rsidRDefault="0029005A" w:rsidP="0029005A">
      <w:pPr>
        <w:spacing w:after="0" w:line="240" w:lineRule="auto"/>
        <w:jc w:val="both"/>
        <w:rPr>
          <w:rFonts w:ascii="Verdana" w:hAnsi="Verdana"/>
          <w:sz w:val="21"/>
          <w:szCs w:val="21"/>
        </w:rPr>
      </w:pPr>
      <w:r w:rsidRPr="0029005A">
        <w:rPr>
          <w:rFonts w:ascii="Verdana" w:hAnsi="Verdana"/>
          <w:sz w:val="21"/>
          <w:szCs w:val="21"/>
        </w:rPr>
        <w:t>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 solo contempló el 1% de puntaje para empleadores de PcD, sin incluir a las empresas de PcD; redujo el "sistema de preferencias" a un único criterio de desempate; y no previó medidas en planeación, criterios habilitantes diferenciales, condiciones especiales de ejecución ni abordó la contratación directa como escenario de inclusión. En consecuencia, desde el punto de vista sustantivo, el Decreto 392 de 2018 reglamentó el numeral 1 de manera parcial y el numeral 7, dejando sin reglamentación material el numeral 8, que era precisamente el que ordenaba el sistema de preferencias en favor de las propias PcD como contratistas.</w:t>
      </w:r>
    </w:p>
    <w:p w14:paraId="592A5E5D" w14:textId="77777777" w:rsidR="0029005A" w:rsidRPr="0029005A" w:rsidRDefault="0029005A" w:rsidP="0029005A">
      <w:pPr>
        <w:spacing w:after="0" w:line="240" w:lineRule="auto"/>
        <w:jc w:val="both"/>
        <w:rPr>
          <w:rFonts w:ascii="Verdana" w:hAnsi="Verdana"/>
          <w:sz w:val="21"/>
          <w:szCs w:val="21"/>
        </w:rPr>
      </w:pPr>
    </w:p>
    <w:p w14:paraId="34B65680" w14:textId="669C55C2" w:rsidR="0029005A" w:rsidRPr="0029005A" w:rsidRDefault="00A31798" w:rsidP="0029005A">
      <w:pPr>
        <w:spacing w:after="0" w:line="240" w:lineRule="auto"/>
        <w:jc w:val="both"/>
        <w:rPr>
          <w:rFonts w:ascii="Verdana" w:hAnsi="Verdana"/>
          <w:sz w:val="21"/>
          <w:szCs w:val="21"/>
        </w:rPr>
      </w:pPr>
      <w:r>
        <w:rPr>
          <w:rFonts w:ascii="Verdana" w:hAnsi="Verdana"/>
          <w:sz w:val="21"/>
          <w:szCs w:val="21"/>
        </w:rPr>
        <w:t>[…]</w:t>
      </w:r>
    </w:p>
    <w:p w14:paraId="19200C4F" w14:textId="77777777" w:rsidR="0029005A" w:rsidRDefault="0029005A" w:rsidP="0029005A">
      <w:pPr>
        <w:spacing w:after="0" w:line="240" w:lineRule="auto"/>
        <w:jc w:val="both"/>
        <w:rPr>
          <w:rFonts w:ascii="Verdana" w:eastAsia="Times New Roman" w:hAnsi="Verdana" w:cs="Times New Roman"/>
        </w:rPr>
      </w:pPr>
    </w:p>
    <w:p w14:paraId="3414D7E3" w14:textId="2E79FA6F" w:rsidR="0029005A" w:rsidRPr="0029005A" w:rsidRDefault="0029005A" w:rsidP="0029005A">
      <w:pPr>
        <w:spacing w:after="0" w:line="240" w:lineRule="auto"/>
        <w:jc w:val="both"/>
        <w:rPr>
          <w:rFonts w:ascii="Verdana" w:eastAsia="Geomanist Light" w:hAnsi="Verdana" w:cs="Arial"/>
          <w:b/>
          <w:bCs/>
          <w:color w:val="000000" w:themeColor="text1"/>
        </w:rPr>
      </w:pPr>
      <w:r w:rsidRPr="0029005A">
        <w:rPr>
          <w:rFonts w:ascii="Verdana" w:eastAsia="Calibri" w:hAnsi="Verdana" w:cs="Arial"/>
          <w:b/>
          <w:bCs/>
          <w:lang w:eastAsia="es-ES"/>
        </w:rPr>
        <w:t>DECRETO 0287 DE 2026 – Vigencia – Entrada en Rigor – Implementación</w:t>
      </w:r>
    </w:p>
    <w:p w14:paraId="4F49F5BC" w14:textId="384ADECE" w:rsidR="0029005A" w:rsidRPr="0029005A" w:rsidRDefault="0029005A" w:rsidP="009F2CB4">
      <w:pPr>
        <w:spacing w:before="120" w:after="120" w:line="240" w:lineRule="auto"/>
        <w:jc w:val="both"/>
        <w:rPr>
          <w:rFonts w:ascii="Verdana" w:eastAsia="Calibri" w:hAnsi="Verdana" w:cs="Arial"/>
          <w:sz w:val="21"/>
          <w:szCs w:val="21"/>
        </w:rPr>
      </w:pPr>
      <w:r w:rsidRPr="0029005A">
        <w:rPr>
          <w:rFonts w:ascii="Verdana" w:eastAsia="Calibri" w:hAnsi="Verdana" w:cs="Arial"/>
          <w:sz w:val="21"/>
          <w:szCs w:val="21"/>
        </w:rPr>
        <w:t>Respecto del régimen de transición para la aplicación del Decreto 287 de 2026, se debe tener en cuenta que se expidió el 19 de marzo de 2026, y rige a partir del día siguiente a su publicación en el Diario Oficial, derogando todas las disposiciones contrarias, incluidas las versiones anteriores de los artículos 2.2.1.2.4.2.6., 2.2.1.2.4.2.7. y 2.2.1.2.4.2.8. del Decreto 1082 de 2015. Se aclara que la numeración del Decreto 392 de 2018 se mantuvo, pero su contenido fue modificado en su integridad, por lo que no hubo derogatoria sino modificación total para conservar la numeración del mencionado decreto, pero lo señalado en este concepto debe entenderse de acuerdo con la nueva redacción de los artículos enlistados, y no recurrir a la antigua redacción.</w:t>
      </w:r>
    </w:p>
    <w:p w14:paraId="652B2ED4" w14:textId="1C4B828B" w:rsidR="0029005A" w:rsidRPr="009F2CB4" w:rsidRDefault="0029005A" w:rsidP="009F2CB4">
      <w:pPr>
        <w:spacing w:before="120" w:after="120" w:line="240" w:lineRule="auto"/>
        <w:jc w:val="both"/>
        <w:rPr>
          <w:rFonts w:ascii="Verdana" w:eastAsia="Calibri" w:hAnsi="Verdana" w:cs="Arial"/>
          <w:sz w:val="21"/>
          <w:szCs w:val="21"/>
        </w:rPr>
      </w:pPr>
      <w:r w:rsidRPr="0029005A">
        <w:rPr>
          <w:rFonts w:ascii="Verdana" w:eastAsia="Calibri" w:hAnsi="Verdana" w:cs="Arial"/>
          <w:sz w:val="21"/>
          <w:szCs w:val="21"/>
        </w:rPr>
        <w:t>La aplicación del Decreto 287 de 2026 en los procesos de contratación que estén en curso depende de si estos contaban o no con resolución de apertura antes del 20 de marzo de 2026: i) La resolución de apertura fue expedida el 19 de marzo de 2026 o antes de esta fecha, en este caso el proceso continúa con las reglas originales sin aplicar el Decreto 287 de 2026; y ii) La resolución de apertura no existe, o fue expedida el 20 de marzo de 2026 o en fecha posterior, por lo que se debe incorporar el Decreto 287 de 2026 al proceso contractual y la entidad debe ajustar sus estudios previos y pliegos de condiciones, incluido el proyecto de pliego, para dar pleno cumplimiento al decreto antes de expedir el acto administrativo de apertura.</w:t>
      </w:r>
    </w:p>
    <w:p w14:paraId="3FB37931" w14:textId="454C5451" w:rsidR="0029005A" w:rsidRPr="009F2CB4" w:rsidRDefault="009F2CB4" w:rsidP="009F2CB4">
      <w:pPr>
        <w:spacing w:after="0" w:line="240" w:lineRule="auto"/>
        <w:jc w:val="both"/>
        <w:rPr>
          <w:rFonts w:ascii="Verdana" w:eastAsia="Geomanist Light" w:hAnsi="Verdana" w:cs="Arial"/>
          <w:b/>
          <w:bCs/>
          <w:color w:val="000000" w:themeColor="text1"/>
        </w:rPr>
      </w:pPr>
      <w:r w:rsidRPr="009F2CB4">
        <w:rPr>
          <w:rFonts w:ascii="Verdana" w:eastAsia="Calibri" w:hAnsi="Verdana" w:cs="Arial"/>
          <w:b/>
          <w:bCs/>
          <w:lang w:eastAsia="es-ES"/>
        </w:rPr>
        <w:t>N</w:t>
      </w:r>
      <w:r w:rsidRPr="009F2CB4">
        <w:rPr>
          <w:rFonts w:ascii="Verdana" w:eastAsia="Century Gothic" w:hAnsi="Verdana" w:cs="Century Gothic"/>
          <w:b/>
          <w:bCs/>
        </w:rPr>
        <w:t xml:space="preserve">UMERAL 4 DEL ARTÍCULO 2.2.1.2.4.2.6 – Aplicabilidad - </w:t>
      </w:r>
      <w:r w:rsidRPr="009F2CB4">
        <w:rPr>
          <w:rFonts w:ascii="Verdana" w:eastAsia="Calibri" w:hAnsi="Verdana" w:cs="Arial"/>
          <w:b/>
          <w:bCs/>
          <w:lang w:eastAsia="es-ES"/>
        </w:rPr>
        <w:t>DECRETO 0287 DE 2026 – Cargos de Nivel Directivo - Definición</w:t>
      </w:r>
    </w:p>
    <w:p w14:paraId="3A8A8410" w14:textId="77777777" w:rsidR="0029005A" w:rsidRDefault="0029005A" w:rsidP="00B56F26">
      <w:pPr>
        <w:spacing w:after="0" w:line="240" w:lineRule="auto"/>
        <w:rPr>
          <w:rFonts w:ascii="Verdana" w:eastAsia="Geomanist Light" w:hAnsi="Verdana" w:cs="Arial"/>
          <w:color w:val="000000" w:themeColor="text1"/>
          <w:lang w:val="es-MX"/>
        </w:rPr>
      </w:pPr>
    </w:p>
    <w:p w14:paraId="3629807D" w14:textId="77777777" w:rsidR="009F2CB4" w:rsidRPr="009F2CB4" w:rsidRDefault="009F2CB4" w:rsidP="009F2CB4">
      <w:pPr>
        <w:spacing w:before="120" w:after="120" w:line="240" w:lineRule="auto"/>
        <w:jc w:val="both"/>
        <w:rPr>
          <w:rFonts w:ascii="Verdana" w:eastAsia="Calibri" w:hAnsi="Verdana" w:cs="Arial"/>
          <w:sz w:val="21"/>
          <w:szCs w:val="21"/>
        </w:rPr>
      </w:pPr>
      <w:r w:rsidRPr="009F2CB4">
        <w:rPr>
          <w:rFonts w:ascii="Verdana" w:eastAsia="Calibri" w:hAnsi="Verdana" w:cs="Arial"/>
          <w:sz w:val="21"/>
          <w:szCs w:val="21"/>
        </w:rPr>
        <w:t>De la lectura del artículo 2.2.1.2.4.2.6 del Decreto 1082 de 2015, modificado por el Decreto 287 de 2026, se desprende que el requisito de acreditar una antigüedad mínima de un (1) año de vinculación laboral del personal con discapacidad en el nivel directivo exige verificar el tiempo efectivo de permanencia de la relación laboral, sin que la disposición establezca que dicho término deba contabilizarse exclusivamente a partir de la entrada en vigencia del decreto. En consecuencia, para efectos de la acreditación de este requisito, es procedente computar el tiempo de vinculación laboral causado con anterioridad al 19 de marzo de 2026, siempre que la relación laboral haya permanecido vigente y se satisfagan las demás condiciones previstas en la norma, toda vez que el Decreto 287 de 2026 no dispuso una regla de cómputo prospectivo de la antigüedad.</w:t>
      </w:r>
    </w:p>
    <w:p w14:paraId="392CC027" w14:textId="2CDDBF8B" w:rsidR="009F2CB4" w:rsidRPr="009F2CB4" w:rsidRDefault="009F2CB4" w:rsidP="009F2CB4">
      <w:pPr>
        <w:spacing w:after="0" w:line="240" w:lineRule="auto"/>
        <w:jc w:val="both"/>
        <w:rPr>
          <w:rFonts w:ascii="Verdana" w:eastAsia="Calibri" w:hAnsi="Verdana" w:cs="Arial"/>
          <w:sz w:val="21"/>
          <w:szCs w:val="21"/>
        </w:rPr>
      </w:pPr>
      <w:r w:rsidRPr="009F2CB4">
        <w:rPr>
          <w:rFonts w:ascii="Verdana" w:eastAsia="Calibri" w:hAnsi="Verdana" w:cs="Arial"/>
          <w:sz w:val="21"/>
          <w:szCs w:val="21"/>
        </w:rPr>
        <w:t xml:space="preserve">Por tanto, en los procesos de selección cuyo cierre ocurra con posterioridad a la entrada en vigor del Decreto 287 de 2026, la entidad podrá verificar el cumplimiento del requisito considerando el tiempo de vinculación laboral efectivamente acumulado por el trabajador, incluso si parte de este se causó antes del 19 de marzo de 2026, </w:t>
      </w:r>
      <w:r w:rsidRPr="009F2CB4">
        <w:rPr>
          <w:rFonts w:ascii="Verdana" w:eastAsia="Calibri" w:hAnsi="Verdana" w:cs="Arial"/>
          <w:sz w:val="21"/>
          <w:szCs w:val="21"/>
        </w:rPr>
        <w:lastRenderedPageBreak/>
        <w:t>siempre que no exista interrupción de la relación laboral y se acrediten las demás exigencias previstas en la regulación</w:t>
      </w:r>
      <w:r>
        <w:rPr>
          <w:rFonts w:ascii="Verdana" w:eastAsia="Calibri" w:hAnsi="Verdana" w:cs="Arial"/>
          <w:sz w:val="21"/>
          <w:szCs w:val="21"/>
        </w:rPr>
        <w:t>.</w:t>
      </w:r>
    </w:p>
    <w:p w14:paraId="7B103FD3" w14:textId="77777777" w:rsidR="009F2CB4" w:rsidRDefault="009F2CB4" w:rsidP="009F2CB4">
      <w:pPr>
        <w:spacing w:after="0" w:line="240" w:lineRule="auto"/>
        <w:rPr>
          <w:rFonts w:ascii="Verdana" w:eastAsia="Geomanist Light" w:hAnsi="Verdana" w:cs="Arial"/>
          <w:color w:val="000000" w:themeColor="text1"/>
          <w:lang w:val="es-MX"/>
        </w:rPr>
      </w:pPr>
    </w:p>
    <w:p w14:paraId="061103EA" w14:textId="77777777" w:rsidR="009F2CB4" w:rsidRDefault="009F2CB4" w:rsidP="00B56F26">
      <w:pPr>
        <w:spacing w:after="0" w:line="240" w:lineRule="auto"/>
        <w:rPr>
          <w:rFonts w:ascii="Verdana" w:eastAsia="Geomanist Light" w:hAnsi="Verdana" w:cs="Arial"/>
          <w:color w:val="000000" w:themeColor="text1"/>
          <w:lang w:val="es-MX"/>
        </w:rPr>
      </w:pPr>
    </w:p>
    <w:p w14:paraId="21100223" w14:textId="77777777" w:rsidR="009F2CB4" w:rsidRDefault="009F2CB4" w:rsidP="00B56F26">
      <w:pPr>
        <w:spacing w:after="0" w:line="240" w:lineRule="auto"/>
        <w:rPr>
          <w:rFonts w:ascii="Verdana" w:eastAsia="Geomanist Light" w:hAnsi="Verdana" w:cs="Arial"/>
          <w:color w:val="000000" w:themeColor="text1"/>
          <w:lang w:val="es-MX"/>
        </w:rPr>
      </w:pPr>
    </w:p>
    <w:p w14:paraId="614B518E" w14:textId="77777777" w:rsidR="009F2CB4" w:rsidRDefault="009F2CB4" w:rsidP="00B56F26">
      <w:pPr>
        <w:spacing w:after="0" w:line="240" w:lineRule="auto"/>
        <w:rPr>
          <w:rFonts w:ascii="Verdana" w:eastAsia="Geomanist Light" w:hAnsi="Verdana" w:cs="Arial"/>
          <w:color w:val="000000" w:themeColor="text1"/>
          <w:lang w:val="es-MX"/>
        </w:rPr>
      </w:pPr>
    </w:p>
    <w:p w14:paraId="77E81FC8" w14:textId="77777777" w:rsidR="009F2CB4" w:rsidRDefault="009F2CB4" w:rsidP="00B56F26">
      <w:pPr>
        <w:spacing w:after="0" w:line="240" w:lineRule="auto"/>
        <w:rPr>
          <w:rFonts w:ascii="Verdana" w:eastAsia="Geomanist Light" w:hAnsi="Verdana" w:cs="Arial"/>
          <w:color w:val="000000" w:themeColor="text1"/>
          <w:lang w:val="es-MX"/>
        </w:rPr>
      </w:pPr>
    </w:p>
    <w:p w14:paraId="7CD79A08" w14:textId="77777777" w:rsidR="009F2CB4" w:rsidRDefault="009F2CB4" w:rsidP="00B56F26">
      <w:pPr>
        <w:spacing w:after="0" w:line="240" w:lineRule="auto"/>
        <w:rPr>
          <w:rFonts w:ascii="Verdana" w:eastAsia="Geomanist Light" w:hAnsi="Verdana" w:cs="Arial"/>
          <w:color w:val="000000" w:themeColor="text1"/>
          <w:lang w:val="es-MX"/>
        </w:rPr>
      </w:pPr>
    </w:p>
    <w:p w14:paraId="221BDC7A" w14:textId="77777777" w:rsidR="009F2CB4" w:rsidRDefault="009F2CB4" w:rsidP="00B56F26">
      <w:pPr>
        <w:spacing w:after="0" w:line="240" w:lineRule="auto"/>
        <w:rPr>
          <w:rFonts w:ascii="Verdana" w:eastAsia="Geomanist Light" w:hAnsi="Verdana" w:cs="Arial"/>
          <w:color w:val="000000" w:themeColor="text1"/>
          <w:lang w:val="es-MX"/>
        </w:rPr>
      </w:pPr>
    </w:p>
    <w:p w14:paraId="0DDD390F" w14:textId="77777777" w:rsidR="009F2CB4" w:rsidRDefault="009F2CB4" w:rsidP="00B56F26">
      <w:pPr>
        <w:spacing w:after="0" w:line="240" w:lineRule="auto"/>
        <w:rPr>
          <w:rFonts w:ascii="Verdana" w:eastAsia="Geomanist Light" w:hAnsi="Verdana" w:cs="Arial"/>
          <w:color w:val="000000" w:themeColor="text1"/>
          <w:lang w:val="es-MX"/>
        </w:rPr>
      </w:pPr>
    </w:p>
    <w:p w14:paraId="63FAC4A6" w14:textId="77777777" w:rsidR="009F2CB4" w:rsidRDefault="009F2CB4" w:rsidP="00B56F26">
      <w:pPr>
        <w:spacing w:after="0" w:line="240" w:lineRule="auto"/>
        <w:rPr>
          <w:rFonts w:ascii="Verdana" w:eastAsia="Geomanist Light" w:hAnsi="Verdana" w:cs="Arial"/>
          <w:color w:val="000000" w:themeColor="text1"/>
          <w:lang w:val="es-MX"/>
        </w:rPr>
      </w:pPr>
    </w:p>
    <w:p w14:paraId="71314525" w14:textId="77777777" w:rsidR="009F2CB4" w:rsidRDefault="009F2CB4" w:rsidP="00B56F26">
      <w:pPr>
        <w:spacing w:after="0" w:line="240" w:lineRule="auto"/>
        <w:rPr>
          <w:rFonts w:ascii="Verdana" w:eastAsia="Geomanist Light" w:hAnsi="Verdana" w:cs="Arial"/>
          <w:color w:val="000000" w:themeColor="text1"/>
          <w:lang w:val="es-MX"/>
        </w:rPr>
      </w:pPr>
    </w:p>
    <w:p w14:paraId="689DA04B" w14:textId="77777777" w:rsidR="009F2CB4" w:rsidRDefault="009F2CB4" w:rsidP="00B56F26">
      <w:pPr>
        <w:spacing w:after="0" w:line="240" w:lineRule="auto"/>
        <w:rPr>
          <w:rFonts w:ascii="Verdana" w:eastAsia="Geomanist Light" w:hAnsi="Verdana" w:cs="Arial"/>
          <w:color w:val="000000" w:themeColor="text1"/>
          <w:lang w:val="es-MX"/>
        </w:rPr>
      </w:pPr>
    </w:p>
    <w:p w14:paraId="6E4A3D0B" w14:textId="77777777" w:rsidR="009F2CB4" w:rsidRDefault="009F2CB4" w:rsidP="00B56F26">
      <w:pPr>
        <w:spacing w:after="0" w:line="240" w:lineRule="auto"/>
        <w:rPr>
          <w:rFonts w:ascii="Verdana" w:eastAsia="Geomanist Light" w:hAnsi="Verdana" w:cs="Arial"/>
          <w:color w:val="000000" w:themeColor="text1"/>
          <w:lang w:val="es-MX"/>
        </w:rPr>
      </w:pPr>
    </w:p>
    <w:p w14:paraId="034D0396" w14:textId="77777777" w:rsidR="009F2CB4" w:rsidRDefault="009F2CB4" w:rsidP="00B56F26">
      <w:pPr>
        <w:spacing w:after="0" w:line="240" w:lineRule="auto"/>
        <w:rPr>
          <w:rFonts w:ascii="Verdana" w:eastAsia="Geomanist Light" w:hAnsi="Verdana" w:cs="Arial"/>
          <w:color w:val="000000" w:themeColor="text1"/>
          <w:lang w:val="es-MX"/>
        </w:rPr>
      </w:pPr>
    </w:p>
    <w:p w14:paraId="60D3FE91" w14:textId="77777777" w:rsidR="009F2CB4" w:rsidRDefault="009F2CB4" w:rsidP="00B56F26">
      <w:pPr>
        <w:spacing w:after="0" w:line="240" w:lineRule="auto"/>
        <w:rPr>
          <w:rFonts w:ascii="Verdana" w:eastAsia="Geomanist Light" w:hAnsi="Verdana" w:cs="Arial"/>
          <w:color w:val="000000" w:themeColor="text1"/>
          <w:lang w:val="es-MX"/>
        </w:rPr>
      </w:pPr>
    </w:p>
    <w:p w14:paraId="255B77B6" w14:textId="77777777" w:rsidR="009F2CB4" w:rsidRDefault="009F2CB4" w:rsidP="00B56F26">
      <w:pPr>
        <w:spacing w:after="0" w:line="240" w:lineRule="auto"/>
        <w:rPr>
          <w:rFonts w:ascii="Verdana" w:eastAsia="Geomanist Light" w:hAnsi="Verdana" w:cs="Arial"/>
          <w:color w:val="000000" w:themeColor="text1"/>
          <w:lang w:val="es-MX"/>
        </w:rPr>
      </w:pPr>
    </w:p>
    <w:p w14:paraId="0ED9DF68" w14:textId="77777777" w:rsidR="009F2CB4" w:rsidRDefault="009F2CB4" w:rsidP="00B56F26">
      <w:pPr>
        <w:spacing w:after="0" w:line="240" w:lineRule="auto"/>
        <w:rPr>
          <w:rFonts w:ascii="Verdana" w:eastAsia="Geomanist Light" w:hAnsi="Verdana" w:cs="Arial"/>
          <w:color w:val="000000" w:themeColor="text1"/>
          <w:lang w:val="es-MX"/>
        </w:rPr>
      </w:pPr>
    </w:p>
    <w:p w14:paraId="0DC070CE" w14:textId="77777777" w:rsidR="009F2CB4" w:rsidRDefault="009F2CB4" w:rsidP="00B56F26">
      <w:pPr>
        <w:spacing w:after="0" w:line="240" w:lineRule="auto"/>
        <w:rPr>
          <w:rFonts w:ascii="Verdana" w:eastAsia="Geomanist Light" w:hAnsi="Verdana" w:cs="Arial"/>
          <w:color w:val="000000" w:themeColor="text1"/>
          <w:lang w:val="es-MX"/>
        </w:rPr>
      </w:pPr>
    </w:p>
    <w:p w14:paraId="5EABDC64" w14:textId="77777777" w:rsidR="009F2CB4" w:rsidRDefault="009F2CB4" w:rsidP="00B56F26">
      <w:pPr>
        <w:spacing w:after="0" w:line="240" w:lineRule="auto"/>
        <w:rPr>
          <w:rFonts w:ascii="Verdana" w:eastAsia="Geomanist Light" w:hAnsi="Verdana" w:cs="Arial"/>
          <w:color w:val="000000" w:themeColor="text1"/>
          <w:lang w:val="es-MX"/>
        </w:rPr>
      </w:pPr>
    </w:p>
    <w:p w14:paraId="72216857" w14:textId="77777777" w:rsidR="009F2CB4" w:rsidRDefault="009F2CB4" w:rsidP="00B56F26">
      <w:pPr>
        <w:spacing w:after="0" w:line="240" w:lineRule="auto"/>
        <w:rPr>
          <w:rFonts w:ascii="Verdana" w:eastAsia="Geomanist Light" w:hAnsi="Verdana" w:cs="Arial"/>
          <w:color w:val="000000" w:themeColor="text1"/>
          <w:lang w:val="es-MX"/>
        </w:rPr>
      </w:pPr>
    </w:p>
    <w:p w14:paraId="2C98764B" w14:textId="77777777" w:rsidR="009F2CB4" w:rsidRDefault="009F2CB4" w:rsidP="00B56F26">
      <w:pPr>
        <w:spacing w:after="0" w:line="240" w:lineRule="auto"/>
        <w:rPr>
          <w:rFonts w:ascii="Verdana" w:eastAsia="Geomanist Light" w:hAnsi="Verdana" w:cs="Arial"/>
          <w:color w:val="000000" w:themeColor="text1"/>
          <w:lang w:val="es-MX"/>
        </w:rPr>
      </w:pPr>
    </w:p>
    <w:p w14:paraId="20529E18" w14:textId="77777777" w:rsidR="009F2CB4" w:rsidRDefault="009F2CB4" w:rsidP="00B56F26">
      <w:pPr>
        <w:spacing w:after="0" w:line="240" w:lineRule="auto"/>
        <w:rPr>
          <w:rFonts w:ascii="Verdana" w:eastAsia="Geomanist Light" w:hAnsi="Verdana" w:cs="Arial"/>
          <w:color w:val="000000" w:themeColor="text1"/>
          <w:lang w:val="es-MX"/>
        </w:rPr>
      </w:pPr>
    </w:p>
    <w:p w14:paraId="1D55F3A1" w14:textId="77777777" w:rsidR="009F2CB4" w:rsidRDefault="009F2CB4" w:rsidP="00B56F26">
      <w:pPr>
        <w:spacing w:after="0" w:line="240" w:lineRule="auto"/>
        <w:rPr>
          <w:rFonts w:ascii="Verdana" w:eastAsia="Geomanist Light" w:hAnsi="Verdana" w:cs="Arial"/>
          <w:color w:val="000000" w:themeColor="text1"/>
          <w:lang w:val="es-MX"/>
        </w:rPr>
      </w:pPr>
    </w:p>
    <w:p w14:paraId="3D8FD04F" w14:textId="77777777" w:rsidR="009F2CB4" w:rsidRDefault="009F2CB4" w:rsidP="00B56F26">
      <w:pPr>
        <w:spacing w:after="0" w:line="240" w:lineRule="auto"/>
        <w:rPr>
          <w:rFonts w:ascii="Verdana" w:eastAsia="Geomanist Light" w:hAnsi="Verdana" w:cs="Arial"/>
          <w:color w:val="000000" w:themeColor="text1"/>
          <w:lang w:val="es-MX"/>
        </w:rPr>
      </w:pPr>
    </w:p>
    <w:p w14:paraId="510130CD" w14:textId="77777777" w:rsidR="009F2CB4" w:rsidRDefault="009F2CB4" w:rsidP="00B56F26">
      <w:pPr>
        <w:spacing w:after="0" w:line="240" w:lineRule="auto"/>
        <w:rPr>
          <w:rFonts w:ascii="Verdana" w:eastAsia="Geomanist Light" w:hAnsi="Verdana" w:cs="Arial"/>
          <w:color w:val="000000" w:themeColor="text1"/>
          <w:lang w:val="es-MX"/>
        </w:rPr>
      </w:pPr>
    </w:p>
    <w:p w14:paraId="3EFFA5D1" w14:textId="77777777" w:rsidR="009F2CB4" w:rsidRDefault="009F2CB4" w:rsidP="00B56F26">
      <w:pPr>
        <w:spacing w:after="0" w:line="240" w:lineRule="auto"/>
        <w:rPr>
          <w:rFonts w:ascii="Verdana" w:eastAsia="Geomanist Light" w:hAnsi="Verdana" w:cs="Arial"/>
          <w:color w:val="000000" w:themeColor="text1"/>
          <w:lang w:val="es-MX"/>
        </w:rPr>
      </w:pPr>
    </w:p>
    <w:p w14:paraId="0BEEC0D6" w14:textId="77777777" w:rsidR="0057670A" w:rsidRDefault="0057670A" w:rsidP="00B56F26">
      <w:pPr>
        <w:spacing w:after="0" w:line="240" w:lineRule="auto"/>
        <w:rPr>
          <w:rFonts w:ascii="Verdana" w:eastAsia="Geomanist Light" w:hAnsi="Verdana" w:cs="Arial"/>
          <w:color w:val="000000" w:themeColor="text1"/>
          <w:lang w:val="es-MX"/>
        </w:rPr>
      </w:pPr>
    </w:p>
    <w:p w14:paraId="00A93415" w14:textId="77777777" w:rsidR="0057670A" w:rsidRDefault="0057670A" w:rsidP="00B56F26">
      <w:pPr>
        <w:spacing w:after="0" w:line="240" w:lineRule="auto"/>
        <w:rPr>
          <w:rFonts w:ascii="Verdana" w:eastAsia="Geomanist Light" w:hAnsi="Verdana" w:cs="Arial"/>
          <w:color w:val="000000" w:themeColor="text1"/>
          <w:lang w:val="es-MX"/>
        </w:rPr>
      </w:pPr>
    </w:p>
    <w:p w14:paraId="0557F138" w14:textId="77777777" w:rsidR="0057670A" w:rsidRDefault="0057670A" w:rsidP="00B56F26">
      <w:pPr>
        <w:spacing w:after="0" w:line="240" w:lineRule="auto"/>
        <w:rPr>
          <w:rFonts w:ascii="Verdana" w:eastAsia="Geomanist Light" w:hAnsi="Verdana" w:cs="Arial"/>
          <w:color w:val="000000" w:themeColor="text1"/>
          <w:lang w:val="es-MX"/>
        </w:rPr>
      </w:pPr>
    </w:p>
    <w:p w14:paraId="02699042" w14:textId="77777777" w:rsidR="0057670A" w:rsidRDefault="0057670A" w:rsidP="00B56F26">
      <w:pPr>
        <w:spacing w:after="0" w:line="240" w:lineRule="auto"/>
        <w:rPr>
          <w:rFonts w:ascii="Verdana" w:eastAsia="Geomanist Light" w:hAnsi="Verdana" w:cs="Arial"/>
          <w:color w:val="000000" w:themeColor="text1"/>
          <w:lang w:val="es-MX"/>
        </w:rPr>
      </w:pPr>
    </w:p>
    <w:p w14:paraId="0EA4B933" w14:textId="77777777" w:rsidR="0057670A" w:rsidRDefault="0057670A" w:rsidP="00B56F26">
      <w:pPr>
        <w:spacing w:after="0" w:line="240" w:lineRule="auto"/>
        <w:rPr>
          <w:rFonts w:ascii="Verdana" w:eastAsia="Geomanist Light" w:hAnsi="Verdana" w:cs="Arial"/>
          <w:color w:val="000000" w:themeColor="text1"/>
          <w:lang w:val="es-MX"/>
        </w:rPr>
      </w:pPr>
    </w:p>
    <w:p w14:paraId="1C4DEFCD" w14:textId="77777777" w:rsidR="0057670A" w:rsidRDefault="0057670A" w:rsidP="00B56F26">
      <w:pPr>
        <w:spacing w:after="0" w:line="240" w:lineRule="auto"/>
        <w:rPr>
          <w:rFonts w:ascii="Verdana" w:eastAsia="Geomanist Light" w:hAnsi="Verdana" w:cs="Arial"/>
          <w:color w:val="000000" w:themeColor="text1"/>
          <w:lang w:val="es-MX"/>
        </w:rPr>
      </w:pPr>
    </w:p>
    <w:p w14:paraId="01AD48BC" w14:textId="77777777" w:rsidR="0057670A" w:rsidRDefault="0057670A" w:rsidP="00B56F26">
      <w:pPr>
        <w:spacing w:after="0" w:line="240" w:lineRule="auto"/>
        <w:rPr>
          <w:rFonts w:ascii="Verdana" w:eastAsia="Geomanist Light" w:hAnsi="Verdana" w:cs="Arial"/>
          <w:color w:val="000000" w:themeColor="text1"/>
          <w:lang w:val="es-MX"/>
        </w:rPr>
      </w:pPr>
    </w:p>
    <w:p w14:paraId="019245C3" w14:textId="77777777" w:rsidR="0057670A" w:rsidRDefault="0057670A" w:rsidP="00B56F26">
      <w:pPr>
        <w:spacing w:after="0" w:line="240" w:lineRule="auto"/>
        <w:rPr>
          <w:rFonts w:ascii="Verdana" w:eastAsia="Geomanist Light" w:hAnsi="Verdana" w:cs="Arial"/>
          <w:color w:val="000000" w:themeColor="text1"/>
          <w:lang w:val="es-MX"/>
        </w:rPr>
      </w:pPr>
    </w:p>
    <w:p w14:paraId="67724F18" w14:textId="77777777" w:rsidR="0057670A" w:rsidRDefault="0057670A" w:rsidP="00B56F26">
      <w:pPr>
        <w:spacing w:after="0" w:line="240" w:lineRule="auto"/>
        <w:rPr>
          <w:rFonts w:ascii="Verdana" w:eastAsia="Geomanist Light" w:hAnsi="Verdana" w:cs="Arial"/>
          <w:color w:val="000000" w:themeColor="text1"/>
          <w:lang w:val="es-MX"/>
        </w:rPr>
      </w:pPr>
    </w:p>
    <w:p w14:paraId="73DA99EA" w14:textId="77777777" w:rsidR="0057670A" w:rsidRDefault="0057670A" w:rsidP="00B56F26">
      <w:pPr>
        <w:spacing w:after="0" w:line="240" w:lineRule="auto"/>
        <w:rPr>
          <w:rFonts w:ascii="Verdana" w:eastAsia="Geomanist Light" w:hAnsi="Verdana" w:cs="Arial"/>
          <w:color w:val="000000" w:themeColor="text1"/>
          <w:lang w:val="es-MX"/>
        </w:rPr>
      </w:pPr>
    </w:p>
    <w:p w14:paraId="1C10352A" w14:textId="77777777" w:rsidR="0057670A" w:rsidRDefault="0057670A" w:rsidP="00B56F26">
      <w:pPr>
        <w:spacing w:after="0" w:line="240" w:lineRule="auto"/>
        <w:rPr>
          <w:rFonts w:ascii="Verdana" w:eastAsia="Geomanist Light" w:hAnsi="Verdana" w:cs="Arial"/>
          <w:color w:val="000000" w:themeColor="text1"/>
          <w:lang w:val="es-MX"/>
        </w:rPr>
      </w:pPr>
    </w:p>
    <w:p w14:paraId="523B4BD1" w14:textId="77777777" w:rsidR="0057670A" w:rsidRDefault="0057670A" w:rsidP="00B56F26">
      <w:pPr>
        <w:spacing w:after="0" w:line="240" w:lineRule="auto"/>
        <w:rPr>
          <w:rFonts w:ascii="Verdana" w:eastAsia="Geomanist Light" w:hAnsi="Verdana" w:cs="Arial"/>
          <w:color w:val="000000" w:themeColor="text1"/>
          <w:lang w:val="es-MX"/>
        </w:rPr>
      </w:pPr>
    </w:p>
    <w:p w14:paraId="53961D9C" w14:textId="77777777" w:rsidR="0057670A" w:rsidRDefault="0057670A" w:rsidP="00B56F26">
      <w:pPr>
        <w:spacing w:after="0" w:line="240" w:lineRule="auto"/>
        <w:rPr>
          <w:rFonts w:ascii="Verdana" w:eastAsia="Geomanist Light" w:hAnsi="Verdana" w:cs="Arial"/>
          <w:color w:val="000000" w:themeColor="text1"/>
          <w:lang w:val="es-MX"/>
        </w:rPr>
      </w:pPr>
    </w:p>
    <w:p w14:paraId="6E9E7099" w14:textId="77777777" w:rsidR="0057670A" w:rsidRDefault="0057670A" w:rsidP="00B56F26">
      <w:pPr>
        <w:spacing w:after="0" w:line="240" w:lineRule="auto"/>
        <w:rPr>
          <w:rFonts w:ascii="Verdana" w:eastAsia="Geomanist Light" w:hAnsi="Verdana" w:cs="Arial"/>
          <w:color w:val="000000" w:themeColor="text1"/>
          <w:lang w:val="es-MX"/>
        </w:rPr>
      </w:pPr>
    </w:p>
    <w:p w14:paraId="2B2F0B3A" w14:textId="77777777" w:rsidR="0057670A" w:rsidRDefault="0057670A" w:rsidP="00B56F26">
      <w:pPr>
        <w:spacing w:after="0" w:line="240" w:lineRule="auto"/>
        <w:rPr>
          <w:rFonts w:ascii="Verdana" w:eastAsia="Geomanist Light" w:hAnsi="Verdana" w:cs="Arial"/>
          <w:color w:val="000000" w:themeColor="text1"/>
          <w:lang w:val="es-MX"/>
        </w:rPr>
      </w:pPr>
    </w:p>
    <w:p w14:paraId="44823784" w14:textId="080B11D5" w:rsidR="00B56F26" w:rsidRPr="0050687B" w:rsidRDefault="00B56F26" w:rsidP="00B56F26">
      <w:pPr>
        <w:spacing w:after="0" w:line="240" w:lineRule="auto"/>
        <w:rPr>
          <w:rFonts w:ascii="Verdana" w:eastAsia="Times New Roman" w:hAnsi="Verdana" w:cs="Arial"/>
          <w:lang w:eastAsia="es-ES_tradnl"/>
        </w:rPr>
      </w:pPr>
      <w:r w:rsidRPr="00CF64C0">
        <w:rPr>
          <w:rFonts w:ascii="Verdana" w:eastAsia="Geomanist Light" w:hAnsi="Verdana" w:cs="Arial"/>
          <w:color w:val="000000" w:themeColor="text1"/>
          <w:lang w:val="es-MX"/>
        </w:rPr>
        <w:lastRenderedPageBreak/>
        <w:t>Bogotá D.C., </w:t>
      </w:r>
      <w:r w:rsidR="0057670A">
        <w:rPr>
          <w:rFonts w:ascii="Verdana" w:eastAsia="Geomanist Light" w:hAnsi="Verdana" w:cs="Arial"/>
          <w:color w:val="201F1E"/>
          <w:lang w:val="es-MX"/>
        </w:rPr>
        <w:t>22</w:t>
      </w:r>
      <w:r w:rsidRPr="00CF64C0">
        <w:rPr>
          <w:rFonts w:ascii="Verdana" w:eastAsia="Geomanist Light" w:hAnsi="Verdana" w:cs="Arial"/>
          <w:color w:val="201F1E"/>
          <w:lang w:val="es-MX"/>
        </w:rPr>
        <w:t xml:space="preserve"> de </w:t>
      </w:r>
      <w:r w:rsidR="00A31798">
        <w:rPr>
          <w:rFonts w:ascii="Verdana" w:eastAsia="Geomanist Light" w:hAnsi="Verdana" w:cs="Arial"/>
          <w:color w:val="201F1E"/>
          <w:lang w:val="es-MX"/>
        </w:rPr>
        <w:t xml:space="preserve">julio </w:t>
      </w:r>
      <w:r w:rsidRPr="00CF64C0">
        <w:rPr>
          <w:rFonts w:ascii="Verdana" w:eastAsia="Geomanist Light" w:hAnsi="Verdana" w:cs="Arial"/>
          <w:color w:val="201F1E"/>
          <w:lang w:val="es-MX"/>
        </w:rPr>
        <w:t xml:space="preserve">de </w:t>
      </w:r>
      <w:r w:rsidR="00A31798">
        <w:rPr>
          <w:rFonts w:ascii="Verdana" w:eastAsia="Geomanist Light" w:hAnsi="Verdana" w:cs="Arial"/>
          <w:color w:val="201F1E"/>
          <w:lang w:val="es-MX"/>
        </w:rPr>
        <w:t>2026</w:t>
      </w:r>
    </w:p>
    <w:p w14:paraId="11BEB825" w14:textId="63B2D4F8" w:rsidR="00E5634E" w:rsidRPr="00B56F26" w:rsidRDefault="00E5634E" w:rsidP="00E5634E">
      <w:pPr>
        <w:spacing w:after="0"/>
        <w:rPr>
          <w:rFonts w:ascii="Verdana" w:hAnsi="Verdana"/>
        </w:rPr>
      </w:pPr>
    </w:p>
    <w:p w14:paraId="60F4BDD9" w14:textId="5EA10F0D" w:rsidR="001B5CB2" w:rsidRDefault="0057670A" w:rsidP="00A31798">
      <w:pPr>
        <w:spacing w:after="0" w:line="240" w:lineRule="auto"/>
        <w:ind w:left="3540"/>
        <w:rPr>
          <w:rFonts w:ascii="Verdana" w:eastAsia="Calibri" w:hAnsi="Verdana" w:cs="Arial"/>
          <w:lang w:val="es-ES" w:eastAsia="es-ES"/>
        </w:rPr>
      </w:pPr>
      <w:bookmarkStart w:id="1" w:name="_Hlk143780582"/>
      <w:r w:rsidRPr="00A31798">
        <w:rPr>
          <w:rFonts w:ascii="Verdana" w:eastAsia="Calibri" w:hAnsi="Verdana" w:cs="Arial"/>
          <w:noProof/>
          <w:lang w:val="es-ES" w:eastAsia="es-ES"/>
        </w:rPr>
        <w:drawing>
          <wp:anchor distT="0" distB="0" distL="114300" distR="114300" simplePos="0" relativeHeight="251658240" behindDoc="0" locked="0" layoutInCell="1" allowOverlap="1" wp14:anchorId="007892AF" wp14:editId="7FE30D12">
            <wp:simplePos x="0" y="0"/>
            <wp:positionH relativeFrom="margin">
              <wp:align>right</wp:align>
            </wp:positionH>
            <wp:positionV relativeFrom="paragraph">
              <wp:posOffset>5825</wp:posOffset>
            </wp:positionV>
            <wp:extent cx="2218055" cy="720090"/>
            <wp:effectExtent l="0" t="0" r="0" b="3810"/>
            <wp:wrapSquare wrapText="bothSides"/>
            <wp:docPr id="18171659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65974" name=""/>
                    <pic:cNvPicPr/>
                  </pic:nvPicPr>
                  <pic:blipFill>
                    <a:blip r:embed="rId11">
                      <a:extLst>
                        <a:ext uri="{28A0092B-C50C-407E-A947-70E740481C1C}">
                          <a14:useLocalDpi xmlns:a14="http://schemas.microsoft.com/office/drawing/2010/main" val="0"/>
                        </a:ext>
                      </a:extLst>
                    </a:blip>
                    <a:stretch>
                      <a:fillRect/>
                    </a:stretch>
                  </pic:blipFill>
                  <pic:spPr>
                    <a:xfrm>
                      <a:off x="0" y="0"/>
                      <a:ext cx="2218055" cy="720090"/>
                    </a:xfrm>
                    <a:prstGeom prst="rect">
                      <a:avLst/>
                    </a:prstGeom>
                  </pic:spPr>
                </pic:pic>
              </a:graphicData>
            </a:graphic>
            <wp14:sizeRelH relativeFrom="margin">
              <wp14:pctWidth>0</wp14:pctWidth>
            </wp14:sizeRelH>
            <wp14:sizeRelV relativeFrom="margin">
              <wp14:pctHeight>0</wp14:pctHeight>
            </wp14:sizeRelV>
          </wp:anchor>
        </w:drawing>
      </w:r>
    </w:p>
    <w:p w14:paraId="5CAB25C0" w14:textId="70E37462" w:rsidR="00E5634E" w:rsidRPr="00777292" w:rsidRDefault="00E5634E" w:rsidP="00E5634E">
      <w:pPr>
        <w:spacing w:after="0" w:line="240" w:lineRule="auto"/>
        <w:rPr>
          <w:rFonts w:ascii="Verdana" w:hAnsi="Verdana"/>
          <w:lang w:val="es-ES"/>
        </w:rPr>
      </w:pPr>
      <w:r w:rsidRPr="00777292">
        <w:rPr>
          <w:rFonts w:ascii="Verdana" w:eastAsia="Calibri" w:hAnsi="Verdana" w:cs="Arial"/>
          <w:lang w:val="es-ES" w:eastAsia="es-ES"/>
        </w:rPr>
        <w:t>Señor</w:t>
      </w:r>
      <w:r>
        <w:rPr>
          <w:rFonts w:ascii="Verdana" w:eastAsia="Calibri" w:hAnsi="Verdana" w:cs="Arial"/>
          <w:lang w:val="es-ES" w:eastAsia="es-ES"/>
        </w:rPr>
        <w:t>a</w:t>
      </w:r>
    </w:p>
    <w:p w14:paraId="2CD42D70" w14:textId="3192C54F" w:rsidR="00E5634E" w:rsidRPr="00B762FE" w:rsidRDefault="00B56F26" w:rsidP="00E5634E">
      <w:pPr>
        <w:spacing w:after="0"/>
        <w:rPr>
          <w:rFonts w:ascii="Verdana" w:eastAsia="Calibri" w:hAnsi="Verdana" w:cs="Arial"/>
          <w:b/>
          <w:bCs/>
          <w:lang w:val="it-IT" w:eastAsia="es-ES"/>
        </w:rPr>
      </w:pPr>
      <w:r w:rsidRPr="00B762FE">
        <w:rPr>
          <w:rFonts w:ascii="Verdana" w:eastAsia="Calibri" w:hAnsi="Verdana" w:cs="Arial"/>
          <w:b/>
          <w:bCs/>
          <w:lang w:val="it-IT" w:eastAsia="es-ES"/>
        </w:rPr>
        <w:t>Angie Dayanna Torres Vanegas</w:t>
      </w:r>
    </w:p>
    <w:p w14:paraId="62DFF0BC" w14:textId="0136E243" w:rsidR="00E5634E" w:rsidRPr="00B762FE" w:rsidRDefault="00B56F26" w:rsidP="00E5634E">
      <w:pPr>
        <w:spacing w:after="0"/>
        <w:rPr>
          <w:rStyle w:val="Hipervnculo"/>
          <w:rFonts w:ascii="Verdana" w:hAnsi="Verdana"/>
          <w:color w:val="ED7D31" w:themeColor="accent2"/>
          <w:lang w:val="it-IT"/>
        </w:rPr>
      </w:pPr>
      <w:hyperlink r:id="rId12" w:history="1">
        <w:r w:rsidRPr="00B762FE">
          <w:rPr>
            <w:rStyle w:val="Hipervnculo"/>
            <w:rFonts w:ascii="Verdana" w:hAnsi="Verdana"/>
            <w:lang w:val="it-IT"/>
          </w:rPr>
          <w:t>angietorres4536@gmail.com;</w:t>
        </w:r>
      </w:hyperlink>
      <w:r w:rsidRPr="00B762FE">
        <w:rPr>
          <w:lang w:val="it-IT"/>
        </w:rPr>
        <w:t xml:space="preserve"> </w:t>
      </w:r>
      <w:r w:rsidR="00E5634E" w:rsidRPr="00B762FE">
        <w:rPr>
          <w:rFonts w:ascii="Verdana" w:hAnsi="Verdana"/>
          <w:lang w:val="it-IT"/>
        </w:rPr>
        <w:t xml:space="preserve"> </w:t>
      </w:r>
    </w:p>
    <w:p w14:paraId="44234E56" w14:textId="06BF0865" w:rsidR="00E5634E" w:rsidRPr="00374D19" w:rsidRDefault="00B56F26" w:rsidP="00E5634E">
      <w:pPr>
        <w:spacing w:after="0"/>
        <w:rPr>
          <w:rFonts w:ascii="Verdana" w:eastAsia="Calibri" w:hAnsi="Verdana" w:cs="Arial"/>
          <w:lang w:val="pt-PT" w:eastAsia="es-ES"/>
        </w:rPr>
      </w:pPr>
      <w:r>
        <w:rPr>
          <w:rFonts w:ascii="Verdana" w:eastAsia="Calibri" w:hAnsi="Verdana" w:cs="Arial"/>
          <w:lang w:val="pt-PT" w:eastAsia="es-ES"/>
        </w:rPr>
        <w:t>Villavicencio</w:t>
      </w:r>
      <w:r w:rsidR="00E5634E" w:rsidRPr="00374D19">
        <w:rPr>
          <w:rFonts w:ascii="Verdana" w:eastAsia="Calibri" w:hAnsi="Verdana" w:cs="Arial"/>
          <w:lang w:val="pt-PT" w:eastAsia="es-ES"/>
        </w:rPr>
        <w:t xml:space="preserve">, </w:t>
      </w:r>
      <w:r>
        <w:rPr>
          <w:rFonts w:ascii="Verdana" w:eastAsia="Calibri" w:hAnsi="Verdana" w:cs="Arial"/>
          <w:lang w:val="pt-PT" w:eastAsia="es-ES"/>
        </w:rPr>
        <w:t>Meta</w:t>
      </w: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E5634E" w:rsidRPr="00777292" w14:paraId="66AB5275" w14:textId="77777777" w:rsidTr="00371A9A">
        <w:trPr>
          <w:trHeight w:val="190"/>
        </w:trPr>
        <w:tc>
          <w:tcPr>
            <w:tcW w:w="2689" w:type="dxa"/>
          </w:tcPr>
          <w:p w14:paraId="1981249E" w14:textId="77777777" w:rsidR="00E5634E" w:rsidRPr="00374D19" w:rsidRDefault="00E5634E" w:rsidP="00371A9A">
            <w:pPr>
              <w:jc w:val="both"/>
              <w:rPr>
                <w:rFonts w:ascii="Verdana" w:eastAsia="Calibri" w:hAnsi="Verdana" w:cs="Arial"/>
                <w:b/>
                <w:bCs/>
                <w:lang w:val="pt-PT" w:eastAsia="es-ES_tradnl"/>
              </w:rPr>
            </w:pPr>
          </w:p>
        </w:tc>
        <w:tc>
          <w:tcPr>
            <w:tcW w:w="6100" w:type="dxa"/>
          </w:tcPr>
          <w:p w14:paraId="0A66800B" w14:textId="2633A975" w:rsidR="00E5634E" w:rsidRPr="00777292" w:rsidRDefault="00E5634E" w:rsidP="00371A9A">
            <w:pPr>
              <w:jc w:val="both"/>
              <w:rPr>
                <w:rFonts w:ascii="Verdana" w:eastAsia="Calibri" w:hAnsi="Verdana" w:cs="Arial"/>
                <w:b/>
                <w:bCs/>
                <w:lang w:eastAsia="es-ES"/>
              </w:rPr>
            </w:pPr>
            <w:r w:rsidRPr="00777292">
              <w:rPr>
                <w:rFonts w:ascii="Verdana" w:eastAsia="Calibri" w:hAnsi="Verdana" w:cs="Arial"/>
                <w:b/>
                <w:bCs/>
                <w:lang w:eastAsia="es-ES"/>
              </w:rPr>
              <w:t xml:space="preserve">Concepto </w:t>
            </w:r>
            <w:r w:rsidR="00B56F26" w:rsidRPr="00B56F26">
              <w:rPr>
                <w:rFonts w:ascii="Verdana" w:eastAsia="Calibri" w:hAnsi="Verdana" w:cs="Arial"/>
                <w:b/>
                <w:bCs/>
                <w:lang w:eastAsia="es-ES"/>
              </w:rPr>
              <w:t>C-952</w:t>
            </w:r>
            <w:r w:rsidRPr="00777292">
              <w:rPr>
                <w:rFonts w:ascii="Verdana" w:eastAsia="Calibri" w:hAnsi="Verdana" w:cs="Arial"/>
                <w:b/>
                <w:bCs/>
                <w:lang w:eastAsia="es-ES"/>
              </w:rPr>
              <w:t xml:space="preserve"> de 2026</w:t>
            </w:r>
          </w:p>
          <w:p w14:paraId="194AD3C8" w14:textId="77777777" w:rsidR="00E5634E" w:rsidRPr="00777292" w:rsidRDefault="00E5634E" w:rsidP="00371A9A">
            <w:pPr>
              <w:jc w:val="both"/>
              <w:rPr>
                <w:rFonts w:ascii="Verdana" w:eastAsia="Calibri" w:hAnsi="Verdana" w:cs="Arial"/>
                <w:b/>
                <w:bCs/>
                <w:lang w:eastAsia="es-ES"/>
              </w:rPr>
            </w:pPr>
          </w:p>
        </w:tc>
      </w:tr>
      <w:tr w:rsidR="00E5634E" w:rsidRPr="00777292" w14:paraId="4A3E4922" w14:textId="77777777" w:rsidTr="00371A9A">
        <w:trPr>
          <w:trHeight w:val="884"/>
        </w:trPr>
        <w:tc>
          <w:tcPr>
            <w:tcW w:w="2689" w:type="dxa"/>
          </w:tcPr>
          <w:p w14:paraId="55873230" w14:textId="77777777" w:rsidR="00E5634E" w:rsidRPr="00777292" w:rsidRDefault="00E5634E" w:rsidP="00371A9A">
            <w:pPr>
              <w:jc w:val="both"/>
              <w:rPr>
                <w:rFonts w:ascii="Verdana" w:eastAsia="Calibri" w:hAnsi="Verdana" w:cs="Arial"/>
                <w:lang w:eastAsia="es-ES_tradnl"/>
              </w:rPr>
            </w:pPr>
            <w:r w:rsidRPr="00777292">
              <w:rPr>
                <w:rFonts w:ascii="Verdana" w:eastAsia="Calibri" w:hAnsi="Verdana" w:cs="Arial"/>
                <w:b/>
                <w:lang w:eastAsia="es-ES_tradnl"/>
              </w:rPr>
              <w:t>Tema:</w:t>
            </w:r>
            <w:r w:rsidRPr="00777292">
              <w:rPr>
                <w:rFonts w:ascii="Verdana" w:eastAsia="Calibri" w:hAnsi="Verdana" w:cs="Arial"/>
                <w:lang w:eastAsia="es-ES_tradnl"/>
              </w:rPr>
              <w:t xml:space="preserve">                   </w:t>
            </w:r>
          </w:p>
        </w:tc>
        <w:tc>
          <w:tcPr>
            <w:tcW w:w="6100" w:type="dxa"/>
          </w:tcPr>
          <w:p w14:paraId="3E9D338E" w14:textId="4C047B84" w:rsidR="00E5634E" w:rsidRDefault="00E5634E" w:rsidP="00371A9A">
            <w:pPr>
              <w:contextualSpacing/>
              <w:jc w:val="both"/>
              <w:rPr>
                <w:rFonts w:ascii="Verdana" w:eastAsia="Calibri" w:hAnsi="Verdana" w:cs="Arial"/>
                <w:lang w:eastAsia="es-ES"/>
              </w:rPr>
            </w:pPr>
            <w:r w:rsidRPr="00B762FE">
              <w:rPr>
                <w:rFonts w:ascii="Verdana" w:eastAsia="Calibri" w:hAnsi="Verdana" w:cs="Arial"/>
                <w:lang w:eastAsia="es-ES"/>
              </w:rPr>
              <w:t xml:space="preserve">DECRETO 0287 DE 2026 ‒ Sistema Integral de Preferencias ‒ Contratación pública inclusiva ‒ Personas con discapacidad / DECRETO 0287 DE 2026 ‒ Antecedentes normativos ‒ Decreto 392 de 2018 ‒ Omisiones reglamentarias ‒ Sentencia de acción de cumplimiento / DECRETO 0287 DE 2026 ‒ Sujetos del sistema ‒ Emprendimientos y empresas de personas con discapacidad ‒ Empleadores de personas con discapacidad ‒ Definición y diferenciación </w:t>
            </w:r>
            <w:r w:rsidRPr="00B762FE">
              <w:rPr>
                <w:rFonts w:ascii="Verdana" w:eastAsia="Century Gothic" w:hAnsi="Verdana" w:cs="Century Gothic"/>
              </w:rPr>
              <w:t xml:space="preserve">- régimen Legal - </w:t>
            </w:r>
            <w:r w:rsidRPr="00B762FE">
              <w:rPr>
                <w:rFonts w:ascii="Verdana" w:eastAsia="Calibri" w:hAnsi="Verdana" w:cs="Arial"/>
                <w:lang w:eastAsia="es-ES"/>
              </w:rPr>
              <w:t>DECRETO 0287 DE 2026 – Vigencia – Entrada en Rigor – Implementación/ N</w:t>
            </w:r>
            <w:r w:rsidRPr="00B762FE">
              <w:rPr>
                <w:rFonts w:ascii="Verdana" w:eastAsia="Century Gothic" w:hAnsi="Verdana" w:cs="Century Gothic"/>
              </w:rPr>
              <w:t xml:space="preserve">umeral 4 del artículo 2.2.1.2.4.2.6 – Aplicabilidad - </w:t>
            </w:r>
            <w:r w:rsidRPr="00B762FE">
              <w:rPr>
                <w:rFonts w:ascii="Verdana" w:eastAsia="Calibri" w:hAnsi="Verdana" w:cs="Arial"/>
                <w:lang w:eastAsia="es-ES"/>
              </w:rPr>
              <w:t>DECRETO 0287 DE 2026 – Cargos de Nivel Directivo - Definición</w:t>
            </w:r>
          </w:p>
          <w:p w14:paraId="2FCF9971" w14:textId="77777777" w:rsidR="00E5634E" w:rsidRPr="00777292" w:rsidRDefault="00E5634E" w:rsidP="00371A9A">
            <w:pPr>
              <w:contextualSpacing/>
              <w:jc w:val="both"/>
              <w:rPr>
                <w:rFonts w:ascii="Verdana" w:eastAsia="Calibri" w:hAnsi="Verdana" w:cs="Arial"/>
                <w:lang w:eastAsia="es-ES"/>
              </w:rPr>
            </w:pPr>
          </w:p>
        </w:tc>
      </w:tr>
      <w:tr w:rsidR="00E5634E" w:rsidRPr="00777292" w14:paraId="041868E4" w14:textId="77777777" w:rsidTr="00371A9A">
        <w:tc>
          <w:tcPr>
            <w:tcW w:w="2689" w:type="dxa"/>
          </w:tcPr>
          <w:p w14:paraId="52888953" w14:textId="77777777" w:rsidR="00E5634E" w:rsidRPr="00777292" w:rsidRDefault="00E5634E" w:rsidP="00371A9A">
            <w:pPr>
              <w:jc w:val="both"/>
              <w:rPr>
                <w:rFonts w:ascii="Verdana" w:eastAsia="Calibri" w:hAnsi="Verdana" w:cs="Arial"/>
                <w:b/>
                <w:lang w:eastAsia="es-ES_tradnl"/>
              </w:rPr>
            </w:pPr>
            <w:r w:rsidRPr="00777292">
              <w:rPr>
                <w:rFonts w:ascii="Verdana" w:eastAsia="Calibri" w:hAnsi="Verdana" w:cs="Arial"/>
                <w:b/>
                <w:lang w:eastAsia="es-ES_tradnl"/>
              </w:rPr>
              <w:t>Radicación:</w:t>
            </w:r>
            <w:r w:rsidRPr="00777292">
              <w:rPr>
                <w:rFonts w:ascii="Verdana" w:eastAsia="Calibri" w:hAnsi="Verdana" w:cs="Arial"/>
                <w:lang w:eastAsia="es-ES_tradnl"/>
              </w:rPr>
              <w:t xml:space="preserve">               </w:t>
            </w:r>
          </w:p>
        </w:tc>
        <w:tc>
          <w:tcPr>
            <w:tcW w:w="6100" w:type="dxa"/>
          </w:tcPr>
          <w:p w14:paraId="5B09052D" w14:textId="2E9A346D" w:rsidR="00E5634E" w:rsidRPr="00777292" w:rsidRDefault="00E5634E" w:rsidP="00371A9A">
            <w:pPr>
              <w:jc w:val="both"/>
              <w:rPr>
                <w:rFonts w:ascii="Verdana" w:eastAsia="Calibri" w:hAnsi="Verdana" w:cs="Arial"/>
                <w:lang w:eastAsia="es-ES_tradnl"/>
              </w:rPr>
            </w:pPr>
            <w:r w:rsidRPr="00777292">
              <w:rPr>
                <w:rFonts w:ascii="Verdana" w:eastAsia="Calibri" w:hAnsi="Verdana" w:cs="Arial"/>
                <w:lang w:eastAsia="es-ES_tradnl"/>
              </w:rPr>
              <w:t>Respuesta a consulta con radicado No.</w:t>
            </w:r>
            <w:r>
              <w:rPr>
                <w:rFonts w:ascii="Verdana" w:eastAsia="Calibri" w:hAnsi="Verdana" w:cs="Arial"/>
                <w:lang w:eastAsia="es-ES_tradnl"/>
              </w:rPr>
              <w:t xml:space="preserve"> </w:t>
            </w:r>
            <w:r w:rsidR="00B56F26" w:rsidRPr="00B56F26">
              <w:rPr>
                <w:rFonts w:ascii="Verdana" w:eastAsia="Calibri" w:hAnsi="Verdana" w:cs="Arial"/>
                <w:lang w:eastAsia="es-ES_tradnl"/>
              </w:rPr>
              <w:t>1_2026_06_09_007800</w:t>
            </w:r>
          </w:p>
        </w:tc>
      </w:tr>
    </w:tbl>
    <w:p w14:paraId="377CA8A1" w14:textId="77777777" w:rsidR="00E5634E" w:rsidRPr="00206556" w:rsidRDefault="00E5634E" w:rsidP="00E5634E">
      <w:pPr>
        <w:spacing w:after="0" w:line="276" w:lineRule="auto"/>
        <w:jc w:val="both"/>
        <w:rPr>
          <w:rFonts w:ascii="Verdana" w:eastAsia="Calibri" w:hAnsi="Verdana" w:cs="Arial"/>
          <w:color w:val="ED7D31" w:themeColor="accent2"/>
          <w:lang w:val="es-ES" w:eastAsia="es-ES"/>
        </w:rPr>
      </w:pPr>
    </w:p>
    <w:p w14:paraId="445DEC00" w14:textId="61F75388" w:rsidR="00E5634E" w:rsidRPr="00206556" w:rsidRDefault="00E5634E" w:rsidP="00E5634E">
      <w:pPr>
        <w:spacing w:after="0" w:line="276" w:lineRule="auto"/>
        <w:jc w:val="both"/>
        <w:rPr>
          <w:rFonts w:ascii="Verdana" w:eastAsia="Calibri" w:hAnsi="Verdana" w:cs="Arial"/>
          <w:lang w:val="es-ES" w:eastAsia="es-ES"/>
        </w:rPr>
      </w:pPr>
      <w:r w:rsidRPr="006B694D">
        <w:rPr>
          <w:rFonts w:ascii="Verdana" w:eastAsia="Calibri" w:hAnsi="Verdana" w:cs="Arial"/>
          <w:lang w:val="es-ES" w:eastAsia="es-ES"/>
        </w:rPr>
        <w:t>Estimad</w:t>
      </w:r>
      <w:r>
        <w:rPr>
          <w:rFonts w:ascii="Verdana" w:eastAsia="Calibri" w:hAnsi="Verdana" w:cs="Arial"/>
          <w:lang w:val="es-ES" w:eastAsia="es-ES"/>
        </w:rPr>
        <w:t>a</w:t>
      </w:r>
      <w:r w:rsidRPr="006B694D">
        <w:rPr>
          <w:rFonts w:ascii="Verdana" w:eastAsia="Calibri" w:hAnsi="Verdana" w:cs="Arial"/>
          <w:lang w:val="es-ES" w:eastAsia="es-ES"/>
        </w:rPr>
        <w:t xml:space="preserve"> </w:t>
      </w:r>
      <w:r>
        <w:rPr>
          <w:rFonts w:ascii="Verdana" w:eastAsia="Calibri" w:hAnsi="Verdana" w:cs="Arial"/>
          <w:lang w:val="es-ES" w:eastAsia="es-ES"/>
        </w:rPr>
        <w:t xml:space="preserve">señora </w:t>
      </w:r>
      <w:r w:rsidR="00B56F26">
        <w:rPr>
          <w:rFonts w:ascii="Verdana" w:eastAsia="Calibri" w:hAnsi="Verdana" w:cs="Arial"/>
          <w:lang w:val="es-ES" w:eastAsia="es-ES"/>
        </w:rPr>
        <w:t>Torres</w:t>
      </w:r>
      <w:r>
        <w:rPr>
          <w:rFonts w:ascii="Verdana" w:eastAsia="Calibri" w:hAnsi="Verdana" w:cs="Arial"/>
          <w:lang w:val="es-ES" w:eastAsia="es-ES"/>
        </w:rPr>
        <w:t xml:space="preserve">, </w:t>
      </w:r>
      <w:r w:rsidR="00B56F26">
        <w:rPr>
          <w:rFonts w:ascii="Verdana" w:eastAsia="Calibri" w:hAnsi="Verdana" w:cs="Arial"/>
          <w:lang w:val="es-ES" w:eastAsia="es-ES"/>
        </w:rPr>
        <w:t xml:space="preserve">Cordial saludo. </w:t>
      </w:r>
    </w:p>
    <w:p w14:paraId="623388BA" w14:textId="77777777" w:rsidR="00E5634E" w:rsidRPr="00206556" w:rsidRDefault="00E5634E" w:rsidP="00E5634E">
      <w:pPr>
        <w:tabs>
          <w:tab w:val="left" w:pos="3768"/>
        </w:tabs>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ab/>
      </w:r>
    </w:p>
    <w:p w14:paraId="0BE045B4" w14:textId="77777777" w:rsidR="0057670A" w:rsidRDefault="00E5634E" w:rsidP="00A31798">
      <w:pPr>
        <w:spacing w:after="0" w:line="276" w:lineRule="auto"/>
        <w:jc w:val="both"/>
        <w:rPr>
          <w:rFonts w:ascii="Verdana" w:eastAsia="Calibri" w:hAnsi="Verdana" w:cs="Arial"/>
          <w:lang w:val="es-ES" w:eastAsia="es-ES"/>
        </w:rPr>
      </w:pPr>
      <w:r w:rsidRPr="006B694D">
        <w:rPr>
          <w:rFonts w:ascii="Verdana" w:eastAsia="Calibri" w:hAnsi="Verdana" w:cs="Arial"/>
          <w:lang w:val="es-ES" w:eastAsia="es-ES"/>
        </w:rPr>
        <w:t>En ejercicio de la competencia otorgada por los artículos 3, numeral 5º, y 11, numeral 8º, del Decreto Ley 4170 de 2011,</w:t>
      </w:r>
      <w:r w:rsidRPr="006B694D">
        <w:rPr>
          <w:rFonts w:ascii="Verdana" w:eastAsia="Arial MT" w:hAnsi="Verdana" w:cs="Arial MT"/>
          <w:lang w:val="es-ES" w:eastAsia="es-ES"/>
        </w:rPr>
        <w:t xml:space="preserve"> </w:t>
      </w:r>
      <w:r w:rsidRPr="006B694D">
        <w:rPr>
          <w:rFonts w:ascii="Verdana" w:hAnsi="Verdana" w:cs="Arial"/>
          <w:lang w:val="es-ES"/>
        </w:rPr>
        <w:t xml:space="preserve">así como lo establecido en la Resolución 469 de 2025 expedida por esta Entidad, </w:t>
      </w:r>
      <w:r w:rsidRPr="006B694D">
        <w:rPr>
          <w:rFonts w:ascii="Verdana" w:eastAsia="Calibri" w:hAnsi="Verdana" w:cs="Arial"/>
          <w:lang w:val="es-ES" w:eastAsia="es-ES"/>
        </w:rPr>
        <w:t xml:space="preserve">la Agencia Nacional de Contratación Pública – Colombia Compra Eficiente– responde su solicitud de consulta de fecha </w:t>
      </w:r>
      <w:r>
        <w:rPr>
          <w:rFonts w:ascii="Verdana" w:eastAsia="Calibri" w:hAnsi="Verdana" w:cs="Arial"/>
          <w:lang w:val="es-ES" w:eastAsia="es-ES"/>
        </w:rPr>
        <w:t>0</w:t>
      </w:r>
      <w:r w:rsidR="00B56F26">
        <w:rPr>
          <w:rFonts w:ascii="Verdana" w:eastAsia="Calibri" w:hAnsi="Verdana" w:cs="Arial"/>
          <w:lang w:val="es-ES" w:eastAsia="es-ES"/>
        </w:rPr>
        <w:t>9</w:t>
      </w:r>
      <w:r w:rsidRPr="006B694D">
        <w:rPr>
          <w:rFonts w:ascii="Verdana" w:eastAsia="Calibri" w:hAnsi="Verdana" w:cs="Arial"/>
          <w:lang w:val="es-ES" w:eastAsia="es-ES"/>
        </w:rPr>
        <w:t xml:space="preserve"> de</w:t>
      </w:r>
      <w:r w:rsidR="00B56F26">
        <w:rPr>
          <w:rFonts w:ascii="Verdana" w:eastAsia="Calibri" w:hAnsi="Verdana" w:cs="Arial"/>
          <w:lang w:val="es-ES" w:eastAsia="es-ES"/>
        </w:rPr>
        <w:t xml:space="preserve"> junio</w:t>
      </w:r>
      <w:r w:rsidRPr="006B694D">
        <w:rPr>
          <w:rFonts w:ascii="Verdana" w:eastAsia="Calibri" w:hAnsi="Verdana" w:cs="Arial"/>
          <w:lang w:val="es-ES" w:eastAsia="es-ES"/>
        </w:rPr>
        <w:t xml:space="preserve"> de 2026, en la cual manifiesta lo siguiente</w:t>
      </w:r>
      <w:r w:rsidRPr="00206556">
        <w:rPr>
          <w:rFonts w:ascii="Verdana" w:eastAsia="Calibri" w:hAnsi="Verdana" w:cs="Arial"/>
          <w:lang w:val="es-ES" w:eastAsia="es-ES"/>
        </w:rPr>
        <w:t xml:space="preserve">: </w:t>
      </w:r>
    </w:p>
    <w:p w14:paraId="3E32134B" w14:textId="77777777" w:rsidR="0057670A" w:rsidRDefault="0057670A" w:rsidP="00A31798">
      <w:pPr>
        <w:spacing w:after="0" w:line="276" w:lineRule="auto"/>
        <w:jc w:val="both"/>
        <w:rPr>
          <w:rFonts w:ascii="Verdana" w:eastAsia="Calibri" w:hAnsi="Verdana" w:cs="Arial"/>
          <w:lang w:val="es-ES" w:eastAsia="es-ES"/>
        </w:rPr>
      </w:pPr>
    </w:p>
    <w:p w14:paraId="462910ED" w14:textId="35DEC4D6" w:rsidR="00B56F26" w:rsidRPr="00A31798" w:rsidRDefault="00B56F26" w:rsidP="00A31798">
      <w:pPr>
        <w:spacing w:after="0" w:line="276" w:lineRule="auto"/>
        <w:jc w:val="both"/>
        <w:rPr>
          <w:rFonts w:ascii="Verdana" w:eastAsia="Calibri" w:hAnsi="Verdana" w:cs="Arial"/>
          <w:lang w:val="es-ES" w:eastAsia="es-ES"/>
        </w:rPr>
      </w:pPr>
      <w:r w:rsidRPr="00B56F26">
        <w:rPr>
          <w:rFonts w:ascii="Verdana" w:eastAsia="Calibri" w:hAnsi="Verdana" w:cs="Arial"/>
          <w:i/>
          <w:iCs/>
          <w:sz w:val="21"/>
          <w:szCs w:val="21"/>
          <w:lang w:eastAsia="es-ES"/>
        </w:rPr>
        <w:t xml:space="preserve">¿El requisito de antigüedad de al menos un (1) año de vinculación laboral de personal con discapacidad en el nivel directivo, consagrado en el artículo 2.2.1.2.4.2.6 del Decreto 1082 de 2015 (modificado por el Decreto 287 de 2026), puede acreditarse en procesos de selección cuyo cierre ocurra en el año 2026 computando tiempo de vinculación anterior al 19 de marzo de 2026; o, por el contrario, dicho término debe </w:t>
      </w:r>
      <w:r w:rsidRPr="00B56F26">
        <w:rPr>
          <w:rFonts w:ascii="Verdana" w:eastAsia="Calibri" w:hAnsi="Verdana" w:cs="Arial"/>
          <w:i/>
          <w:iCs/>
          <w:sz w:val="21"/>
          <w:szCs w:val="21"/>
          <w:lang w:eastAsia="es-ES"/>
        </w:rPr>
        <w:lastRenderedPageBreak/>
        <w:t>contarse de forma prospectiva únicamente a partir de la entrada en vigencia del citado decreto?:</w:t>
      </w:r>
    </w:p>
    <w:p w14:paraId="223B8AD2" w14:textId="77777777" w:rsidR="00E5634E" w:rsidRPr="00120A74" w:rsidRDefault="00E5634E" w:rsidP="00E5634E">
      <w:pPr>
        <w:spacing w:before="120" w:after="120" w:line="240" w:lineRule="auto"/>
        <w:ind w:right="709"/>
        <w:contextualSpacing/>
        <w:jc w:val="both"/>
        <w:rPr>
          <w:rFonts w:ascii="Verdana" w:eastAsia="Century Gothic" w:hAnsi="Verdana" w:cs="Century Gothic"/>
          <w:i/>
          <w:iCs/>
          <w:sz w:val="20"/>
          <w:szCs w:val="20"/>
          <w:lang w:val="es-ES"/>
        </w:rPr>
      </w:pPr>
    </w:p>
    <w:p w14:paraId="6B734A3C" w14:textId="77777777" w:rsidR="00E5634E" w:rsidRDefault="00E5634E" w:rsidP="00A31798">
      <w:pPr>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40F3D7D5" w14:textId="77777777" w:rsidR="00E5634E" w:rsidRPr="00206556" w:rsidRDefault="00E5634E" w:rsidP="00E5634E">
      <w:pPr>
        <w:spacing w:after="0" w:line="276" w:lineRule="auto"/>
        <w:ind w:firstLine="709"/>
        <w:jc w:val="both"/>
        <w:rPr>
          <w:rFonts w:ascii="Verdana" w:eastAsia="Calibri" w:hAnsi="Verdana" w:cs="Arial"/>
          <w:lang w:val="es-ES" w:eastAsia="es-ES"/>
        </w:rPr>
      </w:pPr>
    </w:p>
    <w:p w14:paraId="65ABDFEB" w14:textId="77777777" w:rsidR="00E5634E" w:rsidRPr="00206556" w:rsidRDefault="00E5634E" w:rsidP="00E5634E">
      <w:pPr>
        <w:tabs>
          <w:tab w:val="left" w:pos="142"/>
          <w:tab w:val="left" w:pos="284"/>
        </w:tabs>
        <w:spacing w:after="0" w:line="276" w:lineRule="auto"/>
        <w:contextualSpacing/>
        <w:jc w:val="both"/>
        <w:rPr>
          <w:rFonts w:ascii="Verdana" w:eastAsia="Century Gothic" w:hAnsi="Verdana" w:cs="Century Gothic"/>
          <w:b/>
          <w:lang w:val="es-ES"/>
        </w:rPr>
      </w:pPr>
      <w:r w:rsidRPr="00206556">
        <w:rPr>
          <w:rFonts w:ascii="Verdana" w:eastAsia="Century Gothic" w:hAnsi="Verdana" w:cs="Century Gothic"/>
          <w:b/>
          <w:lang w:val="es-ES"/>
        </w:rPr>
        <w:t>1. Problema planteado:</w:t>
      </w:r>
    </w:p>
    <w:p w14:paraId="0DBA1689" w14:textId="77777777" w:rsidR="00E5634E" w:rsidRPr="00206556" w:rsidRDefault="00E5634E" w:rsidP="00E5634E">
      <w:pPr>
        <w:tabs>
          <w:tab w:val="left" w:pos="426"/>
        </w:tabs>
        <w:spacing w:after="0" w:line="276" w:lineRule="auto"/>
        <w:jc w:val="both"/>
        <w:rPr>
          <w:rFonts w:ascii="Verdana" w:eastAsia="Century Gothic" w:hAnsi="Verdana" w:cs="Century Gothic"/>
          <w:color w:val="ED7D31" w:themeColor="accent2"/>
          <w:lang w:val="es-ES"/>
        </w:rPr>
      </w:pPr>
    </w:p>
    <w:p w14:paraId="7AAB1BE1" w14:textId="77777777" w:rsidR="00E5634E" w:rsidRPr="008335A2" w:rsidRDefault="00E5634E" w:rsidP="00E5634E">
      <w:pPr>
        <w:pStyle w:val="Prrafodelista"/>
        <w:numPr>
          <w:ilvl w:val="0"/>
          <w:numId w:val="18"/>
        </w:numPr>
        <w:spacing w:after="0" w:line="276" w:lineRule="auto"/>
        <w:jc w:val="both"/>
        <w:rPr>
          <w:rFonts w:ascii="Verdana" w:eastAsia="Century Gothic" w:hAnsi="Verdana" w:cs="Century Gothic"/>
        </w:rPr>
      </w:pPr>
      <w:r w:rsidRPr="00481B32">
        <w:rPr>
          <w:rFonts w:ascii="Verdana" w:eastAsia="Century Gothic" w:hAnsi="Verdana" w:cs="Century Gothic"/>
          <w:lang w:val="es-CO"/>
        </w:rPr>
        <w:t>¿A partir de qué fecha entran en vigor y resultan exigibles las disposiciones contenidas en el Decreto 287 de 2026 dentro de los procesos de contratación estatal?</w:t>
      </w:r>
    </w:p>
    <w:p w14:paraId="70914CF7" w14:textId="06D0210C" w:rsidR="00E5634E" w:rsidRPr="00975CEA" w:rsidRDefault="00B56F26" w:rsidP="00B56F26">
      <w:pPr>
        <w:pStyle w:val="Prrafodelista"/>
        <w:numPr>
          <w:ilvl w:val="0"/>
          <w:numId w:val="18"/>
        </w:numPr>
        <w:spacing w:after="0" w:line="276" w:lineRule="auto"/>
        <w:jc w:val="both"/>
        <w:rPr>
          <w:rFonts w:ascii="Verdana" w:eastAsia="Century Gothic" w:hAnsi="Verdana" w:cs="Century Gothic"/>
        </w:rPr>
      </w:pPr>
      <w:r w:rsidRPr="00B56F26">
        <w:rPr>
          <w:rFonts w:ascii="Verdana" w:eastAsia="Century Gothic" w:hAnsi="Verdana" w:cs="Century Gothic"/>
          <w:lang w:val="es-CO"/>
        </w:rPr>
        <w:t>¿Cómo debe computarse el requisito de antigüedad mínima de un (1) año de vinculación laboral del personal con discapacidad en el nivel directivo, previsto en el artículo 2.2.1.2.4.2.6 del Decreto 1082 de 2015, modificado por el Decreto 287 de 2026, para efectos de su acreditación en los procesos de selección adelantados bajo dicha regulación?</w:t>
      </w:r>
    </w:p>
    <w:p w14:paraId="11429033" w14:textId="77777777" w:rsidR="00E5634E" w:rsidRPr="005747B3" w:rsidRDefault="00E5634E" w:rsidP="00E5634E">
      <w:pPr>
        <w:pStyle w:val="Prrafodelista"/>
        <w:spacing w:after="0" w:line="276" w:lineRule="auto"/>
        <w:ind w:left="1140"/>
        <w:jc w:val="both"/>
        <w:rPr>
          <w:rFonts w:ascii="Verdana" w:eastAsia="Century Gothic" w:hAnsi="Verdana" w:cs="Century Gothic"/>
        </w:rPr>
      </w:pPr>
    </w:p>
    <w:p w14:paraId="41A2C0BB" w14:textId="77777777" w:rsidR="00E5634E" w:rsidRPr="00206556" w:rsidRDefault="00E5634E" w:rsidP="00E5634E">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2. Respuesta:</w:t>
      </w:r>
    </w:p>
    <w:p w14:paraId="1BC8955C" w14:textId="77777777" w:rsidR="00E5634E" w:rsidRPr="00206556" w:rsidRDefault="00E5634E" w:rsidP="00E5634E">
      <w:pPr>
        <w:tabs>
          <w:tab w:val="left" w:pos="142"/>
          <w:tab w:val="left" w:pos="284"/>
        </w:tabs>
        <w:spacing w:after="0" w:line="276" w:lineRule="auto"/>
        <w:jc w:val="both"/>
        <w:rPr>
          <w:rFonts w:ascii="Verdana" w:eastAsia="Century Gothic" w:hAnsi="Verdana" w:cs="Century Gothic"/>
          <w:b/>
          <w:bCs/>
          <w:color w:val="ED7D31" w:themeColor="accent2"/>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5634E" w:rsidRPr="00206556" w14:paraId="4EBAECF9" w14:textId="77777777" w:rsidTr="00371A9A">
        <w:tc>
          <w:tcPr>
            <w:tcW w:w="8828" w:type="dxa"/>
          </w:tcPr>
          <w:p w14:paraId="4AAF3D36" w14:textId="0E236729" w:rsidR="00B56F26" w:rsidRPr="00372C44" w:rsidRDefault="00372C44" w:rsidP="00372C44">
            <w:pPr>
              <w:spacing w:before="120" w:after="120" w:line="276" w:lineRule="auto"/>
              <w:jc w:val="both"/>
              <w:rPr>
                <w:rFonts w:ascii="Verdana" w:eastAsia="Calibri" w:hAnsi="Verdana" w:cs="Arial"/>
              </w:rPr>
            </w:pPr>
            <w:r>
              <w:rPr>
                <w:rFonts w:ascii="Verdana" w:eastAsia="Calibri" w:hAnsi="Verdana" w:cs="Arial"/>
              </w:rPr>
              <w:t xml:space="preserve">i) </w:t>
            </w:r>
            <w:r w:rsidR="00B56F26" w:rsidRPr="00372C44">
              <w:rPr>
                <w:rFonts w:ascii="Verdana" w:eastAsia="Calibri" w:hAnsi="Verdana" w:cs="Arial"/>
              </w:rPr>
              <w:t>Respecto del régimen de transición para la aplicación del Decreto 287 de 2026, se debe tener en cuenta que se expidió el 19 de marzo de 2026, y rige a partir del día siguiente a su publicación en el Diario Oficial, derogando todas las disposiciones contrarias, incluidas las versiones anteriores de los artículos 2.2.1.2.4.2.6., 2.2.1.2.4.2.7. y 2.2.1.2.4.2.8. del Decreto 1082 de 2015. Se aclara que la numeración del Decreto 392 de 2018 se mantuvo, pero su contenido fue modificado en su integridad, por lo que no hubo derogatoria sino modificación total para conservar la numeración del mencionado decreto, pero lo señalado en este concepto debe entenderse de acuerdo con la nueva redacción de los artículos enlistados, y no recurrir a la antigua redacción.</w:t>
            </w:r>
          </w:p>
          <w:p w14:paraId="3FCC247F" w14:textId="77777777" w:rsidR="00B56F26" w:rsidRPr="00D851ED" w:rsidRDefault="00B56F26" w:rsidP="00372C44">
            <w:pPr>
              <w:spacing w:before="120" w:after="120" w:line="276" w:lineRule="auto"/>
              <w:jc w:val="both"/>
              <w:rPr>
                <w:rFonts w:ascii="Verdana" w:eastAsia="Calibri" w:hAnsi="Verdana" w:cs="Arial"/>
              </w:rPr>
            </w:pPr>
            <w:r w:rsidRPr="00D851ED">
              <w:rPr>
                <w:rFonts w:ascii="Verdana" w:eastAsia="Calibri" w:hAnsi="Verdana" w:cs="Arial"/>
              </w:rPr>
              <w:t xml:space="preserve">La aplicación del Decreto 287 de 2026 en los procesos de contratación que estén en curso depende de si estos contaban o no con resolución de apertura antes del 20 de marzo de 2026: i) La resolución de apertura fue expedida el 19 de marzo de 2026 o antes de esta fecha, en este caso el proceso continúa </w:t>
            </w:r>
            <w:r w:rsidRPr="00D851ED">
              <w:rPr>
                <w:rFonts w:ascii="Verdana" w:eastAsia="Calibri" w:hAnsi="Verdana" w:cs="Arial"/>
              </w:rPr>
              <w:lastRenderedPageBreak/>
              <w:t>con las reglas originales sin aplicar el Decreto 287 de 2026; y ii) La resolución de apertura no existe, o fue expedida el 20 de marzo de 2026 o en fecha posterior, por lo que se debe incorporar el Decreto 287 de 2026 al proceso contractual y la entidad debe ajustar sus estudios previos y pliegos de condiciones, incluido el proyecto de pliego, para dar pleno cumplimiento al decreto antes de expedir el acto administrativo de apertura.</w:t>
            </w:r>
          </w:p>
          <w:p w14:paraId="15A0FAD9" w14:textId="77777777" w:rsidR="00B56F26" w:rsidRDefault="00B56F26" w:rsidP="00372C44">
            <w:pPr>
              <w:spacing w:before="120" w:after="120" w:line="276" w:lineRule="auto"/>
              <w:jc w:val="both"/>
              <w:rPr>
                <w:rFonts w:ascii="Verdana" w:eastAsia="Calibri" w:hAnsi="Verdana" w:cs="Arial"/>
              </w:rPr>
            </w:pPr>
            <w:r w:rsidRPr="00D851ED">
              <w:rPr>
                <w:rFonts w:ascii="Verdana" w:eastAsia="Calibri" w:hAnsi="Verdana" w:cs="Arial"/>
              </w:rPr>
              <w:t>Para los procesos de contratación con proyecto de pliego publicado pero sin apertura al 19 de marzo de 2026, se recomienda que se incorporen las medidas del Decreto 287 de 2026 antes de publicar los pliegos definitivos. En esa etapa aún es posible realizar ajustes sin afectar derechos adquiridos de los proponentes</w:t>
            </w:r>
            <w:r>
              <w:rPr>
                <w:rFonts w:ascii="Verdana" w:eastAsia="Calibri" w:hAnsi="Verdana" w:cs="Arial"/>
              </w:rPr>
              <w:t>.</w:t>
            </w:r>
          </w:p>
          <w:p w14:paraId="3C02106B" w14:textId="77777777" w:rsidR="002E32F9" w:rsidRPr="008335A2" w:rsidRDefault="00372C44" w:rsidP="002E32F9">
            <w:pPr>
              <w:spacing w:before="120" w:after="120" w:line="276" w:lineRule="auto"/>
              <w:ind w:firstLine="709"/>
              <w:jc w:val="both"/>
              <w:rPr>
                <w:rFonts w:ascii="Verdana" w:eastAsia="Calibri" w:hAnsi="Verdana" w:cs="Arial"/>
              </w:rPr>
            </w:pPr>
            <w:r>
              <w:rPr>
                <w:rFonts w:ascii="Verdana" w:eastAsia="Calibri" w:hAnsi="Verdana" w:cs="Arial"/>
              </w:rPr>
              <w:t xml:space="preserve">ii) </w:t>
            </w:r>
            <w:r w:rsidR="002E32F9" w:rsidRPr="008335A2">
              <w:rPr>
                <w:rFonts w:ascii="Verdana" w:eastAsia="Calibri" w:hAnsi="Verdana" w:cs="Arial"/>
              </w:rPr>
              <w:t>El numeral 4 del artículo 2.2.1.2.4.2.6 del Decreto 287 de 2026 establece como una de las modalidades para acreditar la condición de emprendimiento o empresa de personas con discapacidad la existencia de una persona jurídica que tenga vinculada laboralmente, durante al menos el último año anterior a la fecha de cierre del proceso de selección, a una persona con discapacidad en un empleo del nivel directivo.</w:t>
            </w:r>
          </w:p>
          <w:p w14:paraId="76CDAE88" w14:textId="1E0BF795" w:rsidR="00E5634E" w:rsidRPr="00372C44" w:rsidRDefault="00E5634E" w:rsidP="00372C44">
            <w:pPr>
              <w:spacing w:before="120" w:after="120" w:line="276" w:lineRule="auto"/>
              <w:jc w:val="both"/>
              <w:rPr>
                <w:rFonts w:ascii="Verdana" w:eastAsia="Calibri" w:hAnsi="Verdana" w:cs="Arial"/>
              </w:rPr>
            </w:pPr>
            <w:r w:rsidRPr="00372C44">
              <w:rPr>
                <w:rFonts w:ascii="Verdana" w:eastAsia="Calibri" w:hAnsi="Verdana" w:cs="Arial"/>
              </w:rPr>
              <w:t xml:space="preserve">Frente al problema jurídico planteado, </w:t>
            </w:r>
            <w:r w:rsidR="002E32F9">
              <w:rPr>
                <w:rFonts w:ascii="Verdana" w:eastAsia="Calibri" w:hAnsi="Verdana" w:cs="Arial"/>
              </w:rPr>
              <w:t xml:space="preserve">como ya se mencionó, </w:t>
            </w:r>
            <w:r w:rsidRPr="00372C44">
              <w:rPr>
                <w:rFonts w:ascii="Verdana" w:eastAsia="Calibri" w:hAnsi="Verdana" w:cs="Arial"/>
              </w:rPr>
              <w:t xml:space="preserve">resulta pertinente señalar que el numeral </w:t>
            </w:r>
            <w:r w:rsidR="00372C44">
              <w:rPr>
                <w:rFonts w:ascii="Verdana" w:eastAsia="Calibri" w:hAnsi="Verdana" w:cs="Arial"/>
              </w:rPr>
              <w:t>4</w:t>
            </w:r>
            <w:r w:rsidRPr="00372C44">
              <w:rPr>
                <w:rFonts w:ascii="Verdana" w:eastAsia="Calibri" w:hAnsi="Verdana" w:cs="Arial"/>
              </w:rPr>
              <w:t xml:space="preserve"> del citado artículo dispone expresamente que el proponente debe acreditar dentro de su planta </w:t>
            </w:r>
            <w:r w:rsidR="00372C44">
              <w:rPr>
                <w:rFonts w:ascii="Verdana" w:eastAsia="Calibri" w:hAnsi="Verdana" w:cs="Arial"/>
              </w:rPr>
              <w:t>directiva</w:t>
            </w:r>
            <w:r w:rsidRPr="00372C44">
              <w:rPr>
                <w:rFonts w:ascii="Verdana" w:eastAsia="Calibri" w:hAnsi="Verdana" w:cs="Arial"/>
              </w:rPr>
              <w:t xml:space="preserve"> la vinculación de personas con discapacidad </w:t>
            </w:r>
            <w:r w:rsidRPr="00372C44">
              <w:rPr>
                <w:rFonts w:ascii="Verdana" w:eastAsia="Calibri" w:hAnsi="Verdana" w:cs="Arial"/>
                <w:i/>
                <w:iCs/>
              </w:rPr>
              <w:t>“</w:t>
            </w:r>
            <w:r w:rsidR="00372C44" w:rsidRPr="00372C44">
              <w:rPr>
                <w:rFonts w:ascii="Verdana" w:eastAsia="Calibri" w:hAnsi="Verdana" w:cs="Arial"/>
                <w:i/>
                <w:iCs/>
              </w:rPr>
              <w:t>durante al menos el último año anterior a la fecha de cierre del Proceso de Selección en el mismo cargo u otro del mismo nivel</w:t>
            </w:r>
            <w:r w:rsidR="00372C44" w:rsidRPr="00372C44">
              <w:rPr>
                <w:rFonts w:ascii="Verdana" w:eastAsia="Calibri" w:hAnsi="Verdana" w:cs="Arial"/>
              </w:rPr>
              <w:t>.</w:t>
            </w:r>
            <w:r w:rsidRPr="00372C44">
              <w:rPr>
                <w:rFonts w:ascii="Verdana" w:eastAsia="Calibri" w:hAnsi="Verdana" w:cs="Arial"/>
              </w:rPr>
              <w:t>”.</w:t>
            </w:r>
          </w:p>
          <w:p w14:paraId="59AD1E36" w14:textId="77777777" w:rsidR="00E5634E" w:rsidRDefault="002E32F9" w:rsidP="00106EAB">
            <w:pPr>
              <w:spacing w:before="120" w:after="120" w:line="276" w:lineRule="auto"/>
              <w:jc w:val="both"/>
              <w:rPr>
                <w:rFonts w:ascii="Verdana" w:eastAsia="Calibri" w:hAnsi="Verdana" w:cs="Arial"/>
              </w:rPr>
            </w:pPr>
            <w:r>
              <w:rPr>
                <w:rFonts w:ascii="Verdana" w:eastAsia="Calibri" w:hAnsi="Verdana" w:cs="Arial"/>
              </w:rPr>
              <w:t>D</w:t>
            </w:r>
            <w:r w:rsidRPr="002E32F9">
              <w:rPr>
                <w:rFonts w:ascii="Verdana" w:eastAsia="Calibri" w:hAnsi="Verdana" w:cs="Arial"/>
              </w:rPr>
              <w:t xml:space="preserve">e la lectura del artículo 2.2.1.2.4.2.6 del Decreto 1082 de 2015, modificado por el Decreto 287 de 2026, se desprende que el requisito de acreditar una antigüedad mínima de un (1) año de vinculación laboral del personal con discapacidad en el nivel directivo exige verificar el tiempo efectivo de permanencia de la relación laboral, sin que la disposición establezca que dicho término deba contabilizarse exclusivamente a partir de la entrada en vigencia del decreto. En consecuencia, para efectos de la acreditación de este requisito, es procedente computar el tiempo de vinculación laboral causado con anterioridad al 19 de marzo de 2026, siempre que la relación laboral haya permanecido vigente y se satisfagan las demás condiciones previstas en la </w:t>
            </w:r>
            <w:r w:rsidRPr="002E32F9">
              <w:rPr>
                <w:rFonts w:ascii="Verdana" w:eastAsia="Calibri" w:hAnsi="Verdana" w:cs="Arial"/>
              </w:rPr>
              <w:lastRenderedPageBreak/>
              <w:t>norma, toda vez que el Decreto 287 de 2026</w:t>
            </w:r>
            <w:r>
              <w:rPr>
                <w:rFonts w:ascii="Verdana" w:eastAsia="Calibri" w:hAnsi="Verdana" w:cs="Arial"/>
              </w:rPr>
              <w:t xml:space="preserve"> no d</w:t>
            </w:r>
            <w:r w:rsidRPr="002E32F9">
              <w:rPr>
                <w:rFonts w:ascii="Verdana" w:eastAsia="Calibri" w:hAnsi="Verdana" w:cs="Arial"/>
              </w:rPr>
              <w:t>ispuso una regla de cómputo prospectivo de la antigüedad.</w:t>
            </w:r>
          </w:p>
          <w:p w14:paraId="1E34129E" w14:textId="1DFB1368" w:rsidR="002E32F9" w:rsidRPr="00670CFB" w:rsidRDefault="002E32F9" w:rsidP="00106EAB">
            <w:pPr>
              <w:spacing w:before="120" w:after="120" w:line="276" w:lineRule="auto"/>
              <w:jc w:val="both"/>
              <w:rPr>
                <w:rFonts w:ascii="Verdana" w:eastAsia="Calibri" w:hAnsi="Verdana" w:cs="Arial"/>
              </w:rPr>
            </w:pPr>
            <w:r w:rsidRPr="002E32F9">
              <w:rPr>
                <w:rFonts w:ascii="Verdana" w:eastAsia="Calibri" w:hAnsi="Verdana" w:cs="Arial"/>
              </w:rPr>
              <w:t>Por tanto, en los procesos de selección cuyo cierre ocurra con posterioridad a la entrada en vigor del Decreto 287 de 2026, la entidad podrá verificar el cumplimiento del requisito considerando el tiempo de vinculación laboral efectivamente acumulado por el trabajador, incluso si parte de este se causó antes del 19 de marzo de 2026, siempre que no exista interrupción de la relación laboral y se acrediten las demás exigencias previstas en la regulación.</w:t>
            </w:r>
          </w:p>
        </w:tc>
      </w:tr>
    </w:tbl>
    <w:p w14:paraId="7421E16C" w14:textId="77777777" w:rsidR="00E5634E" w:rsidRPr="00206556" w:rsidRDefault="00E5634E" w:rsidP="00E5634E">
      <w:pPr>
        <w:tabs>
          <w:tab w:val="left" w:pos="142"/>
          <w:tab w:val="left" w:pos="284"/>
        </w:tabs>
        <w:spacing w:after="0" w:line="276" w:lineRule="auto"/>
        <w:jc w:val="both"/>
        <w:rPr>
          <w:rFonts w:ascii="Verdana" w:eastAsia="Century Gothic" w:hAnsi="Verdana" w:cs="Century Gothic"/>
          <w:b/>
          <w:bCs/>
          <w:color w:val="ED7D31" w:themeColor="accent2"/>
          <w:lang w:val="es-ES"/>
        </w:rPr>
      </w:pPr>
    </w:p>
    <w:p w14:paraId="52D1EBB0" w14:textId="77777777" w:rsidR="00E5634E" w:rsidRPr="00206556" w:rsidRDefault="00E5634E" w:rsidP="00E5634E">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3. Razones de la respuesta:</w:t>
      </w:r>
    </w:p>
    <w:p w14:paraId="5A4B97BA" w14:textId="77777777" w:rsidR="00E5634E" w:rsidRPr="00206556" w:rsidRDefault="00E5634E" w:rsidP="00E5634E">
      <w:pPr>
        <w:tabs>
          <w:tab w:val="left" w:pos="142"/>
          <w:tab w:val="left" w:pos="284"/>
        </w:tabs>
        <w:spacing w:after="0" w:line="276" w:lineRule="auto"/>
        <w:jc w:val="both"/>
        <w:rPr>
          <w:rFonts w:ascii="Verdana" w:eastAsia="Century Gothic" w:hAnsi="Verdana" w:cs="Century Gothic"/>
          <w:b/>
          <w:color w:val="ED7D31" w:themeColor="accent2"/>
          <w:lang w:val="es-ES"/>
        </w:rPr>
      </w:pPr>
    </w:p>
    <w:p w14:paraId="21089DC7" w14:textId="77777777" w:rsidR="00E5634E" w:rsidRPr="00206556" w:rsidRDefault="00E5634E" w:rsidP="00E5634E">
      <w:pPr>
        <w:spacing w:after="0" w:line="276" w:lineRule="auto"/>
        <w:jc w:val="both"/>
        <w:rPr>
          <w:rFonts w:ascii="Verdana" w:eastAsia="Calibri" w:hAnsi="Verdana" w:cs="Arial"/>
          <w:lang w:val="es-ES"/>
        </w:rPr>
      </w:pPr>
      <w:r w:rsidRPr="00206556">
        <w:rPr>
          <w:rFonts w:ascii="Verdana" w:eastAsia="Calibri" w:hAnsi="Verdana" w:cs="Arial"/>
          <w:lang w:val="es-ES"/>
        </w:rPr>
        <w:t>Lo anterior se sustenta en las siguientes consideraciones:</w:t>
      </w:r>
    </w:p>
    <w:p w14:paraId="6299A1A6" w14:textId="77777777" w:rsidR="00E5634E" w:rsidRPr="00206556" w:rsidRDefault="00E5634E" w:rsidP="00E5634E">
      <w:pPr>
        <w:spacing w:after="0" w:line="276" w:lineRule="auto"/>
        <w:jc w:val="both"/>
        <w:rPr>
          <w:rFonts w:ascii="Verdana" w:eastAsia="Calibri" w:hAnsi="Verdana" w:cs="Arial"/>
          <w:lang w:val="es-ES"/>
        </w:rPr>
      </w:pPr>
    </w:p>
    <w:p w14:paraId="3ADB4CA6" w14:textId="20033BE6" w:rsidR="00E5634E" w:rsidRPr="00206556" w:rsidRDefault="00E5634E" w:rsidP="00E5634E">
      <w:pPr>
        <w:spacing w:after="120" w:line="276" w:lineRule="auto"/>
        <w:jc w:val="both"/>
        <w:rPr>
          <w:rFonts w:ascii="Verdana" w:hAnsi="Verdana"/>
        </w:rPr>
      </w:pPr>
      <w:r w:rsidRPr="00206556">
        <w:rPr>
          <w:rFonts w:ascii="Verdana" w:eastAsia="Calibri" w:hAnsi="Verdana" w:cs="Arial"/>
          <w:lang w:val="es-ES"/>
        </w:rPr>
        <w:t xml:space="preserve">(i) </w:t>
      </w:r>
      <w:r w:rsidRPr="00206556">
        <w:rPr>
          <w:rFonts w:ascii="Verdana" w:eastAsia="Calibri" w:hAnsi="Verdana" w:cs="Arial"/>
        </w:rPr>
        <w:t xml:space="preserve">Para resolver </w:t>
      </w:r>
      <w:r w:rsidR="002E32F9">
        <w:rPr>
          <w:rFonts w:ascii="Verdana" w:eastAsia="Calibri" w:hAnsi="Verdana" w:cs="Arial"/>
        </w:rPr>
        <w:t>los</w:t>
      </w:r>
      <w:r w:rsidRPr="00206556">
        <w:rPr>
          <w:rFonts w:ascii="Verdana" w:eastAsia="Calibri" w:hAnsi="Verdana" w:cs="Arial"/>
        </w:rPr>
        <w:t xml:space="preserve"> problema</w:t>
      </w:r>
      <w:r w:rsidR="002E32F9">
        <w:rPr>
          <w:rFonts w:ascii="Verdana" w:eastAsia="Calibri" w:hAnsi="Verdana" w:cs="Arial"/>
        </w:rPr>
        <w:t>s</w:t>
      </w:r>
      <w:r w:rsidRPr="00206556">
        <w:rPr>
          <w:rFonts w:ascii="Verdana" w:eastAsia="Calibri" w:hAnsi="Verdana" w:cs="Arial"/>
        </w:rPr>
        <w:t xml:space="preserve"> jurídico</w:t>
      </w:r>
      <w:r w:rsidR="002E32F9">
        <w:rPr>
          <w:rFonts w:ascii="Verdana" w:eastAsia="Calibri" w:hAnsi="Verdana" w:cs="Arial"/>
        </w:rPr>
        <w:t>s</w:t>
      </w:r>
      <w:r w:rsidRPr="00206556">
        <w:rPr>
          <w:rFonts w:ascii="Verdana" w:eastAsia="Calibri" w:hAnsi="Verdana" w:cs="Arial"/>
        </w:rPr>
        <w:t xml:space="preserve"> planteado</w:t>
      </w:r>
      <w:r w:rsidR="002E32F9">
        <w:rPr>
          <w:rFonts w:ascii="Verdana" w:eastAsia="Calibri" w:hAnsi="Verdana" w:cs="Arial"/>
        </w:rPr>
        <w:t>s</w:t>
      </w:r>
      <w:r w:rsidRPr="00206556">
        <w:rPr>
          <w:rFonts w:ascii="Verdana" w:eastAsia="Calibri" w:hAnsi="Verdana" w:cs="Arial"/>
        </w:rPr>
        <w:t xml:space="preserve">, esta Agencia considera necesario partir de los antecedentes normativos que explican el origen, la finalidad y el alcance del Sistema Integral de Preferencias establecido por el Decreto 0287 de 2026, pues solo a partir de ese contexto es posible comprender las obligaciones concretas que dicho decreto impone a las entidades estatales y a los demás partícipes de la contratación pública. </w:t>
      </w:r>
      <w:r w:rsidRPr="00206556">
        <w:rPr>
          <w:rFonts w:ascii="Verdana" w:eastAsia="Times New Roman" w:hAnsi="Verdana" w:cs="Times New Roman"/>
        </w:rPr>
        <w:t>El fundamento del Sistema de Preferencias para PcD en la contratación pública es el principio de igualdad real y efectiva consagrado en el artículo 13 de la Constitución Política de 1991</w:t>
      </w:r>
      <w:r w:rsidRPr="00206556">
        <w:rPr>
          <w:rStyle w:val="Refdenotaalpie"/>
          <w:rFonts w:ascii="Verdana" w:eastAsia="Times New Roman" w:hAnsi="Verdana" w:cs="Times New Roman"/>
        </w:rPr>
        <w:footnoteReference w:id="1"/>
      </w:r>
      <w:r>
        <w:rPr>
          <w:rFonts w:ascii="Verdana" w:eastAsia="Times New Roman" w:hAnsi="Verdana" w:cs="Times New Roman"/>
        </w:rPr>
        <w:t>,</w:t>
      </w:r>
      <w:r w:rsidRPr="00206556">
        <w:rPr>
          <w:rFonts w:ascii="Verdana" w:eastAsia="Times New Roman" w:hAnsi="Verdana" w:cs="Times New Roman"/>
        </w:rPr>
        <w:t xml:space="preserve"> que impone al Estado el deber positivo de adoptar </w:t>
      </w:r>
      <w:r w:rsidRPr="00206556">
        <w:rPr>
          <w:rFonts w:ascii="Verdana" w:eastAsia="Times New Roman" w:hAnsi="Verdana" w:cs="Times New Roman"/>
          <w:i/>
          <w:iCs/>
        </w:rPr>
        <w:t>acciones afirmativas</w:t>
      </w:r>
      <w:r w:rsidRPr="00206556">
        <w:rPr>
          <w:rFonts w:ascii="Verdana" w:eastAsia="Times New Roman" w:hAnsi="Verdana" w:cs="Times New Roman"/>
        </w:rPr>
        <w:t xml:space="preserve"> en favor de grupos históricamente excluidos. La Corte Constitucional ha sostenido que tales medidas buscan contrarrestar los efectos de la discriminación y que el Estado puede establecer tratamientos diferenciales a favor de estos grupos en aras de lograr una igualdad real y efectiva. Los artículos 47 y 54 de la Carta Política refuerzan este mandato al ordenar políticas de integración social y ubicación laboral para las PcD</w:t>
      </w:r>
      <w:r w:rsidRPr="00206556">
        <w:rPr>
          <w:rStyle w:val="Refdenotaalpie"/>
          <w:rFonts w:ascii="Verdana" w:eastAsia="Times New Roman" w:hAnsi="Verdana" w:cs="Times New Roman"/>
        </w:rPr>
        <w:footnoteReference w:id="2"/>
      </w:r>
      <w:r>
        <w:rPr>
          <w:rFonts w:ascii="Verdana" w:eastAsia="Times New Roman" w:hAnsi="Verdana" w:cs="Times New Roman"/>
        </w:rPr>
        <w:t>.</w:t>
      </w:r>
    </w:p>
    <w:p w14:paraId="0A185300" w14:textId="77777777" w:rsidR="00E5634E" w:rsidRPr="00206556" w:rsidRDefault="00E5634E" w:rsidP="00E5634E">
      <w:pPr>
        <w:spacing w:after="120" w:line="276" w:lineRule="auto"/>
        <w:ind w:firstLine="708"/>
        <w:jc w:val="both"/>
        <w:rPr>
          <w:rFonts w:ascii="Verdana" w:hAnsi="Verdana"/>
        </w:rPr>
      </w:pPr>
      <w:r w:rsidRPr="00206556">
        <w:rPr>
          <w:rFonts w:ascii="Verdana" w:eastAsia="Times New Roman" w:hAnsi="Verdana" w:cs="Times New Roman"/>
        </w:rPr>
        <w:t xml:space="preserve">En el plano internacional, Colombia es Estado Parte de instrumentos que conforman el Bloque de Constitucionalidad en virtud del artículo 93 superior. La </w:t>
      </w:r>
      <w:r w:rsidRPr="00206556">
        <w:rPr>
          <w:rFonts w:ascii="Verdana" w:eastAsia="Times New Roman" w:hAnsi="Verdana" w:cs="Times New Roman"/>
        </w:rPr>
        <w:lastRenderedPageBreak/>
        <w:t>Convención sobre los Derechos de las Personas con Discapacidad de la ONU</w:t>
      </w:r>
      <w:r w:rsidRPr="00206556">
        <w:rPr>
          <w:rStyle w:val="Refdenotaalpie"/>
          <w:rFonts w:ascii="Verdana" w:eastAsia="Times New Roman" w:hAnsi="Verdana" w:cs="Times New Roman"/>
        </w:rPr>
        <w:footnoteReference w:id="3"/>
      </w:r>
      <w:r w:rsidRPr="00206556">
        <w:rPr>
          <w:rFonts w:ascii="Verdana" w:eastAsia="Times New Roman" w:hAnsi="Verdana" w:cs="Times New Roman"/>
        </w:rPr>
        <w:t xml:space="preserve"> reconoce el derecho de las PcD a trabajar en igualdad de condiciones y exige programas de acción afirmativa. La Convención Interamericana para la Eliminación de todas las Formas de Discriminación</w:t>
      </w:r>
      <w:r w:rsidRPr="00206556">
        <w:rPr>
          <w:rStyle w:val="Refdenotaalpie"/>
          <w:rFonts w:ascii="Verdana" w:eastAsia="Times New Roman" w:hAnsi="Verdana" w:cs="Times New Roman"/>
        </w:rPr>
        <w:footnoteReference w:id="4"/>
      </w:r>
      <w:r w:rsidRPr="00206556">
        <w:rPr>
          <w:rFonts w:ascii="Verdana" w:eastAsia="Times New Roman" w:hAnsi="Verdana" w:cs="Times New Roman"/>
        </w:rPr>
        <w:t xml:space="preserve"> ordena eliminar progresivamente la discriminación en la prestación de servicios, incluido el empleo. El Convenio 159 de la OIT</w:t>
      </w:r>
      <w:r w:rsidRPr="00206556">
        <w:rPr>
          <w:rStyle w:val="Refdenotaalpie"/>
          <w:rFonts w:ascii="Verdana" w:eastAsia="Times New Roman" w:hAnsi="Verdana" w:cs="Times New Roman"/>
        </w:rPr>
        <w:footnoteReference w:id="5"/>
      </w:r>
      <w:r w:rsidRPr="00206556">
        <w:rPr>
          <w:rFonts w:ascii="Verdana" w:eastAsia="Times New Roman" w:hAnsi="Verdana" w:cs="Times New Roman"/>
        </w:rPr>
        <w:t xml:space="preserve"> exige medidas orientadas a garantizar la igualdad de oportunidades de todas las categorías de PcD en materia de empleo.</w:t>
      </w:r>
    </w:p>
    <w:p w14:paraId="6234E08B" w14:textId="77777777" w:rsidR="00E5634E" w:rsidRPr="00206556" w:rsidRDefault="00E5634E" w:rsidP="00E5634E">
      <w:pPr>
        <w:spacing w:after="120" w:line="276" w:lineRule="auto"/>
        <w:jc w:val="both"/>
        <w:rPr>
          <w:rFonts w:ascii="Verdana" w:hAnsi="Verdana"/>
        </w:rPr>
      </w:pPr>
      <w:r w:rsidRPr="00206556">
        <w:rPr>
          <w:rFonts w:ascii="Verdana" w:eastAsia="Times New Roman" w:hAnsi="Verdana" w:cs="Times New Roman"/>
          <w:b/>
          <w:bCs/>
        </w:rPr>
        <w:t xml:space="preserve">        </w:t>
      </w:r>
      <w:r w:rsidRPr="00206556">
        <w:rPr>
          <w:rFonts w:ascii="Verdana" w:eastAsia="Times New Roman" w:hAnsi="Verdana" w:cs="Times New Roman"/>
        </w:rPr>
        <w:t>La Ley 361 de 1997 estableció los primeros mecanismos de integración social de las PcD. Su artículo 24 introdujo una preferencia en igualdad de condiciones en licitaciones y adjudicaciones de contratos para los empleadores que tuvieran al menos el 10% de su nómina compuesta por PcD</w:t>
      </w:r>
      <w:r w:rsidRPr="00206556">
        <w:rPr>
          <w:rStyle w:val="Refdenotaalpie"/>
          <w:rFonts w:ascii="Verdana" w:eastAsia="Times New Roman" w:hAnsi="Verdana" w:cs="Times New Roman"/>
        </w:rPr>
        <w:footnoteReference w:id="6"/>
      </w:r>
      <w:r>
        <w:rPr>
          <w:rFonts w:ascii="Verdana" w:eastAsia="Times New Roman" w:hAnsi="Verdana" w:cs="Times New Roman"/>
        </w:rPr>
        <w:t>.</w:t>
      </w:r>
      <w:r w:rsidRPr="00206556">
        <w:rPr>
          <w:rFonts w:ascii="Verdana" w:eastAsia="Times New Roman" w:hAnsi="Verdana" w:cs="Times New Roman"/>
        </w:rPr>
        <w:t xml:space="preserve"> Esta norma vinculó por primera vez la contratación pública con la inclusión laboral de las PcD, pero su alcance era limitado: una preferencia residual aplicable solo en caso de empate, que beneficiaba únicamente a los empleadores de PcD sin considerar a las propias PcD como proponentes directos.</w:t>
      </w:r>
    </w:p>
    <w:p w14:paraId="21972185" w14:textId="77777777" w:rsidR="00E5634E" w:rsidRPr="00206556" w:rsidRDefault="00E5634E" w:rsidP="00E5634E">
      <w:pPr>
        <w:spacing w:after="120" w:line="276" w:lineRule="auto"/>
        <w:jc w:val="both"/>
        <w:rPr>
          <w:rFonts w:ascii="Verdana" w:hAnsi="Verdana"/>
        </w:rPr>
      </w:pPr>
      <w:r w:rsidRPr="00206556">
        <w:rPr>
          <w:rFonts w:ascii="Verdana" w:eastAsia="Times New Roman" w:hAnsi="Verdana" w:cs="Times New Roman"/>
          <w:b/>
          <w:bCs/>
        </w:rPr>
        <w:t xml:space="preserve">       </w:t>
      </w:r>
      <w:r w:rsidRPr="00206556">
        <w:rPr>
          <w:rFonts w:ascii="Verdana" w:eastAsia="Times New Roman" w:hAnsi="Verdana" w:cs="Times New Roman"/>
        </w:rPr>
        <w:t xml:space="preserve">La Ley Estatutaria 1618 de 2013 representó un salto cualitativo en el marco jurídico de protección de las PcD, al definir a estas como </w:t>
      </w:r>
      <w:r w:rsidRPr="00206556">
        <w:rPr>
          <w:rFonts w:ascii="Verdana" w:eastAsia="Times New Roman" w:hAnsi="Verdana" w:cs="Times New Roman"/>
          <w:i/>
          <w:iCs/>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r w:rsidRPr="00206556">
        <w:rPr>
          <w:rStyle w:val="Refdenotaalpie"/>
          <w:rFonts w:ascii="Verdana" w:eastAsia="Times New Roman" w:hAnsi="Verdana" w:cs="Times New Roman"/>
          <w:i/>
          <w:iCs/>
        </w:rPr>
        <w:footnoteReference w:id="7"/>
      </w:r>
      <w:r>
        <w:rPr>
          <w:rFonts w:ascii="Verdana" w:eastAsia="Times New Roman" w:hAnsi="Verdana" w:cs="Times New Roman"/>
          <w:i/>
          <w:iCs/>
        </w:rPr>
        <w:t>.</w:t>
      </w:r>
      <w:r w:rsidRPr="00206556">
        <w:rPr>
          <w:rFonts w:ascii="Verdana" w:eastAsia="Times New Roman" w:hAnsi="Verdana" w:cs="Times New Roman"/>
        </w:rPr>
        <w:t xml:space="preserve"> Su artículo 13, en los numerales 1, 7 y 8, ordenó </w:t>
      </w:r>
      <w:r w:rsidRPr="00206556">
        <w:rPr>
          <w:rFonts w:ascii="Verdana" w:eastAsia="Times New Roman" w:hAnsi="Verdana" w:cs="Times New Roman"/>
        </w:rPr>
        <w:lastRenderedPageBreak/>
        <w:t>al Gobierno Nacional reglamentar: una puntuación adicional en licitación pública, concurso de méritos y contratación directa para empresas que vinculen PcD y para empresas de PcD; un sistema de preferencias para empleadores de PcD en la adjudicación; y un sistema de preferencias en favor de las propias PcD como contratistas</w:t>
      </w:r>
      <w:r w:rsidRPr="00206556">
        <w:rPr>
          <w:rStyle w:val="Refdenotaalpie"/>
          <w:rFonts w:ascii="Verdana" w:eastAsia="Times New Roman" w:hAnsi="Verdana" w:cs="Times New Roman"/>
        </w:rPr>
        <w:footnoteReference w:id="8"/>
      </w:r>
      <w:r>
        <w:rPr>
          <w:rFonts w:ascii="Verdana" w:eastAsia="Times New Roman" w:hAnsi="Verdana" w:cs="Times New Roman"/>
        </w:rPr>
        <w:t>.</w:t>
      </w:r>
      <w:r w:rsidRPr="00206556">
        <w:rPr>
          <w:rFonts w:ascii="Verdana" w:eastAsia="Times New Roman" w:hAnsi="Verdana" w:cs="Times New Roman"/>
        </w:rPr>
        <w:t xml:space="preserve"> Este último mandato fue especialmente significativo porque introdujo el concepto de </w:t>
      </w:r>
      <w:r w:rsidRPr="00206556">
        <w:rPr>
          <w:rFonts w:ascii="Verdana" w:eastAsia="Times New Roman" w:hAnsi="Verdana" w:cs="Times New Roman"/>
          <w:i/>
          <w:iCs/>
        </w:rPr>
        <w:t>"sistema de preferencias"</w:t>
      </w:r>
      <w:r w:rsidRPr="00206556">
        <w:rPr>
          <w:rFonts w:ascii="Verdana" w:eastAsia="Times New Roman" w:hAnsi="Verdana" w:cs="Times New Roman"/>
        </w:rPr>
        <w:t>, que por definición no puede reducirse a una sola medida sino que implica un conjunto estructurado de instrumentos que actúen en las distintas fases del proceso contractual.</w:t>
      </w:r>
    </w:p>
    <w:p w14:paraId="3DEDA9CF" w14:textId="77777777" w:rsidR="00E5634E" w:rsidRPr="00A420A9" w:rsidRDefault="00E5634E" w:rsidP="00E5634E">
      <w:pPr>
        <w:spacing w:after="120" w:line="276" w:lineRule="auto"/>
        <w:ind w:firstLine="709"/>
        <w:jc w:val="both"/>
        <w:rPr>
          <w:rFonts w:ascii="Verdana" w:hAnsi="Verdana"/>
        </w:rPr>
      </w:pPr>
      <w:r w:rsidRPr="00E727F0">
        <w:rPr>
          <w:rFonts w:ascii="Verdana" w:hAnsi="Verdana"/>
        </w:rPr>
        <w:t>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 solo contempló el 1% de puntaje para empleadores de PcD, sin incluir a las empresas de PcD; redujo el "sistema de preferencias" a un único criterio de desempate; y no previó medidas en planeación, criterios habilitantes diferenciales, condiciones especiales de ejecución ni abordó la contratación directa como escenario de inclusión.</w:t>
      </w:r>
      <w:r>
        <w:rPr>
          <w:rFonts w:ascii="Verdana" w:hAnsi="Verdana"/>
        </w:rPr>
        <w:t xml:space="preserve"> </w:t>
      </w:r>
      <w:r w:rsidRPr="00A420A9">
        <w:rPr>
          <w:rFonts w:ascii="Verdana" w:hAnsi="Verdana"/>
        </w:rPr>
        <w:t>En consecuencia, desde el punto de vista sustantivo, el Decreto 392 de 2018 reglamentó el numeral 1 de manera parcial y el numeral 7, dejando sin reglamentación material el numeral 8, que era precisamente el que ordenaba el sistema de preferencias en favor de las propias PcD como contratistas.</w:t>
      </w:r>
    </w:p>
    <w:p w14:paraId="61983068" w14:textId="77777777" w:rsidR="00E5634E" w:rsidRDefault="00E5634E" w:rsidP="00E5634E">
      <w:pPr>
        <w:spacing w:after="120" w:line="276" w:lineRule="auto"/>
        <w:ind w:firstLine="709"/>
        <w:jc w:val="both"/>
        <w:rPr>
          <w:rFonts w:ascii="Verdana" w:hAnsi="Verdana"/>
        </w:rPr>
      </w:pPr>
      <w:r w:rsidRPr="00A420A9">
        <w:rPr>
          <w:rFonts w:ascii="Verdana" w:hAnsi="Verdana"/>
        </w:rPr>
        <w:t>La insuficiencia del Decreto 392 de 2018 fue constatada judicialmente. La Sección Quinta del Consejo de Estado, mediante sentencia de acción de cumplimiento del 12 de diciembre de 2024, radicación n.°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3C8D2119" w14:textId="371DA259" w:rsidR="00E5634E" w:rsidRDefault="00E5634E" w:rsidP="002E32F9">
      <w:pPr>
        <w:spacing w:after="120" w:line="276" w:lineRule="auto"/>
        <w:ind w:firstLine="709"/>
        <w:jc w:val="both"/>
        <w:rPr>
          <w:rFonts w:ascii="Verdana" w:eastAsia="Times New Roman" w:hAnsi="Verdana" w:cs="Times New Roman"/>
        </w:rPr>
      </w:pPr>
      <w:r w:rsidRPr="00E727F0">
        <w:rPr>
          <w:rFonts w:ascii="Verdana" w:hAnsi="Verdana"/>
        </w:rPr>
        <w:lastRenderedPageBreak/>
        <w:t>En cumplimiento de esa decisión fue expedido el Decreto 0287 de 2026, el cual, como se indicó en la respuesta, establece un Sistema Integral de Preferencias compuesto por cinco medidas afirmativas que actúan en todas las fases del proceso contractual</w:t>
      </w:r>
      <w:r>
        <w:rPr>
          <w:rFonts w:ascii="Verdana" w:hAnsi="Verdana"/>
        </w:rPr>
        <w:t xml:space="preserve">, </w:t>
      </w:r>
      <w:r w:rsidRPr="00E727F0">
        <w:rPr>
          <w:rFonts w:ascii="Verdana" w:hAnsi="Verdana"/>
        </w:rPr>
        <w:t>planeación, selección, adjudicación y ejecución</w:t>
      </w:r>
      <w:r>
        <w:rPr>
          <w:rFonts w:ascii="Verdana" w:hAnsi="Verdana"/>
        </w:rPr>
        <w:t xml:space="preserve">, </w:t>
      </w:r>
      <w:r w:rsidRPr="00E727F0">
        <w:rPr>
          <w:rFonts w:ascii="Verdana" w:hAnsi="Verdana"/>
        </w:rPr>
        <w:t xml:space="preserve">y que benefician a dos sujetos diferenciados: los emprendimientos y empresas de PcD y los empleadores de PcD. </w:t>
      </w:r>
    </w:p>
    <w:p w14:paraId="0D3B8D75" w14:textId="6D35A92F" w:rsidR="00E5634E" w:rsidRPr="00D851ED" w:rsidRDefault="00E5634E" w:rsidP="00E5634E">
      <w:pPr>
        <w:spacing w:before="120" w:after="120" w:line="276" w:lineRule="auto"/>
        <w:ind w:firstLine="708"/>
        <w:jc w:val="both"/>
        <w:rPr>
          <w:rFonts w:ascii="Verdana" w:eastAsia="Calibri" w:hAnsi="Verdana" w:cs="Arial"/>
        </w:rPr>
      </w:pPr>
      <w:r>
        <w:rPr>
          <w:rFonts w:ascii="Verdana" w:eastAsia="Calibri" w:hAnsi="Verdana" w:cs="Arial"/>
        </w:rPr>
        <w:t xml:space="preserve">Respecto del régimen de transición para la aplicación del Decreto 287 de 2026, se debe tener en cuenta que </w:t>
      </w:r>
      <w:r w:rsidRPr="00D851ED">
        <w:rPr>
          <w:rFonts w:ascii="Verdana" w:eastAsia="Calibri" w:hAnsi="Verdana" w:cs="Arial"/>
        </w:rPr>
        <w:t>se expidió el 19 de marzo de 2026, y rige a partir del día siguiente a su publicación en el Diario Oficial, derogando todas las disposiciones contrarias, incluidas las versiones anteriores de los artículos 2.2.1.2.4.2.6., 2.2.1.2.4.2.7. y 2.2.1.2.4.2.8. del Decreto 1082 de 2015. Se aclara que la numeración del Decreto 392 de 2018 se mantuvo, pero su contenido fue modificado en su integridad, por lo que no hubo derogatoria sino modificación total para conservar la numeración del mencionado decreto</w:t>
      </w:r>
      <w:r>
        <w:rPr>
          <w:rFonts w:ascii="Verdana" w:eastAsia="Calibri" w:hAnsi="Verdana" w:cs="Arial"/>
        </w:rPr>
        <w:t>, pero lo señalado en este concepto debe entenderse de acuerdo con la nueva redacción de los artículos enlistados, y no recurrir a la antigua redacción</w:t>
      </w:r>
      <w:r w:rsidRPr="00D851ED">
        <w:rPr>
          <w:rFonts w:ascii="Verdana" w:eastAsia="Calibri" w:hAnsi="Verdana" w:cs="Arial"/>
        </w:rPr>
        <w:t>.</w:t>
      </w:r>
    </w:p>
    <w:p w14:paraId="40AE7F05" w14:textId="77777777" w:rsidR="00E5634E" w:rsidRPr="00D851ED" w:rsidRDefault="00E5634E" w:rsidP="00E5634E">
      <w:pPr>
        <w:spacing w:before="120" w:after="120" w:line="276" w:lineRule="auto"/>
        <w:ind w:firstLine="709"/>
        <w:jc w:val="both"/>
        <w:rPr>
          <w:rFonts w:ascii="Verdana" w:eastAsia="Calibri" w:hAnsi="Verdana" w:cs="Arial"/>
        </w:rPr>
      </w:pPr>
      <w:r w:rsidRPr="00D851ED">
        <w:rPr>
          <w:rFonts w:ascii="Verdana" w:eastAsia="Calibri" w:hAnsi="Verdana" w:cs="Arial"/>
        </w:rPr>
        <w:t>La aplicación del Decreto 287 de 2026 en los procesos de contratación que estén en curso depende de si estos contaban o no con resolución de apertura antes del 20 de marzo de 2026: i) La resolución de apertura fue expedida el 19 de marzo de 2026 o antes de esta fecha, en este caso el proceso continúa con las reglas originales sin aplicar el Decreto 287 de 2026; y ii) La resolución de apertura no existe, o fue expedida el 20 de marzo de 2026 o en fecha posterior, por lo que se debe incorporar el Decreto 287 de 2026 al proceso contractual y la entidad debe ajustar sus estudios previos y pliegos de condiciones, incluido el proyecto de pliego, para dar pleno cumplimiento al decreto antes de expedir el acto administrativo de apertura.</w:t>
      </w:r>
    </w:p>
    <w:p w14:paraId="014BC188" w14:textId="77777777" w:rsidR="00E5634E" w:rsidRDefault="00E5634E" w:rsidP="00E5634E">
      <w:pPr>
        <w:spacing w:after="120" w:line="276" w:lineRule="auto"/>
        <w:ind w:firstLine="708"/>
        <w:jc w:val="both"/>
        <w:rPr>
          <w:rFonts w:ascii="Verdana" w:eastAsia="Calibri" w:hAnsi="Verdana" w:cs="Arial"/>
        </w:rPr>
      </w:pPr>
      <w:r w:rsidRPr="00D851ED">
        <w:rPr>
          <w:rFonts w:ascii="Verdana" w:eastAsia="Calibri" w:hAnsi="Verdana" w:cs="Arial"/>
        </w:rPr>
        <w:t>Para los procesos de contratación con proyecto de pliego publicado pero sin apertura al 19 de marzo de 2026, se recomienda que se incorporen las medidas del Decreto 287 de 2026 antes de publicar los pliegos definitivos. En esa etapa aún es posible realizar ajustes sin afectar derechos adquiridos de los proponentes</w:t>
      </w:r>
      <w:r>
        <w:rPr>
          <w:rFonts w:ascii="Verdana" w:eastAsia="Calibri" w:hAnsi="Verdana" w:cs="Arial"/>
        </w:rPr>
        <w:t>.</w:t>
      </w:r>
    </w:p>
    <w:p w14:paraId="524C224C" w14:textId="3EA87107" w:rsidR="00E5634E" w:rsidRPr="008335A2" w:rsidRDefault="00E5634E" w:rsidP="00E5634E">
      <w:pPr>
        <w:spacing w:after="120" w:line="276" w:lineRule="auto"/>
        <w:ind w:firstLine="708"/>
        <w:jc w:val="both"/>
        <w:rPr>
          <w:rFonts w:ascii="Verdana" w:eastAsia="Calibri" w:hAnsi="Verdana" w:cs="Arial"/>
        </w:rPr>
      </w:pPr>
      <w:r>
        <w:rPr>
          <w:rFonts w:ascii="Verdana" w:eastAsia="Calibri" w:hAnsi="Verdana" w:cs="Arial"/>
        </w:rPr>
        <w:t xml:space="preserve">ii) </w:t>
      </w:r>
      <w:r w:rsidRPr="008335A2">
        <w:rPr>
          <w:rFonts w:ascii="Verdana" w:eastAsia="Calibri" w:hAnsi="Verdana" w:cs="Arial"/>
        </w:rPr>
        <w:t xml:space="preserve">El numeral 4 del artículo 2.2.1.2.4.2.6 del Decreto 287 de 2026 establece como una de las modalidades para acreditar la condición de emprendimiento o empresa de personas con discapacidad la existencia de una persona jurídica que tenga vinculada laboralmente, durante al menos el último </w:t>
      </w:r>
      <w:r w:rsidRPr="008335A2">
        <w:rPr>
          <w:rFonts w:ascii="Verdana" w:eastAsia="Calibri" w:hAnsi="Verdana" w:cs="Arial"/>
        </w:rPr>
        <w:lastRenderedPageBreak/>
        <w:t>año anterior a la fecha de cierre del proceso de selección, a una persona con discapacidad en un empleo del nivel directivo.</w:t>
      </w:r>
    </w:p>
    <w:p w14:paraId="4DCC97AD" w14:textId="77777777" w:rsidR="00E5634E" w:rsidRPr="008335A2" w:rsidRDefault="00E5634E" w:rsidP="00E5634E">
      <w:pPr>
        <w:spacing w:after="120" w:line="276" w:lineRule="auto"/>
        <w:ind w:firstLine="708"/>
        <w:jc w:val="both"/>
        <w:rPr>
          <w:rFonts w:ascii="Verdana" w:eastAsia="Calibri" w:hAnsi="Verdana" w:cs="Arial"/>
        </w:rPr>
      </w:pPr>
      <w:r w:rsidRPr="008335A2">
        <w:rPr>
          <w:rFonts w:ascii="Verdana" w:eastAsia="Calibri" w:hAnsi="Verdana" w:cs="Arial"/>
        </w:rPr>
        <w:t>De la lectura de la disposición se advierte que su ámbito de aplicación está restringido a las personas jurídicas, toda vez que la norma exige la existencia de una estructura organizacional empresarial que permita identificar cargos del nivel directivo, acreditar una vinculación laboral y demostrar el pago de aportes al sistema de seguridad social por parte del empleador.</w:t>
      </w:r>
    </w:p>
    <w:p w14:paraId="3CE39387" w14:textId="77777777" w:rsidR="00E5634E" w:rsidRPr="008335A2" w:rsidRDefault="00E5634E" w:rsidP="00E5634E">
      <w:pPr>
        <w:spacing w:after="120" w:line="276" w:lineRule="auto"/>
        <w:ind w:firstLine="708"/>
        <w:jc w:val="both"/>
        <w:rPr>
          <w:rFonts w:ascii="Verdana" w:eastAsia="Calibri" w:hAnsi="Verdana" w:cs="Arial"/>
        </w:rPr>
      </w:pPr>
      <w:r w:rsidRPr="008335A2">
        <w:rPr>
          <w:rFonts w:ascii="Verdana" w:eastAsia="Calibri" w:hAnsi="Verdana" w:cs="Arial"/>
        </w:rPr>
        <w:t>En consecuencia, una persona natural no puede acreditar la condición prevista en el numeral 4, dado que este supuesto fue diseñado exclusivamente para personas jurídicas. Para las personas naturales con discapacidad, el mismo artículo contempla mecanismos específicos de acreditación en los numerales 1 y 2, correspondientes a quienes ejercen una profesión liberal o desarrollan actividades comerciales a través de un establecimiento de comercio.</w:t>
      </w:r>
    </w:p>
    <w:p w14:paraId="019F670E" w14:textId="77777777" w:rsidR="00E5634E" w:rsidRDefault="00E5634E" w:rsidP="00E5634E">
      <w:pPr>
        <w:spacing w:after="120" w:line="276" w:lineRule="auto"/>
        <w:ind w:firstLine="708"/>
        <w:jc w:val="both"/>
        <w:rPr>
          <w:rFonts w:ascii="Verdana" w:eastAsia="Calibri" w:hAnsi="Verdana" w:cs="Arial"/>
        </w:rPr>
      </w:pPr>
      <w:r w:rsidRPr="008335A2">
        <w:rPr>
          <w:rFonts w:ascii="Verdana" w:eastAsia="Calibri" w:hAnsi="Verdana" w:cs="Arial"/>
        </w:rPr>
        <w:t>Por otra parte, cuando se trate de una persona jurídica que pretenda acreditar el cumplimiento del numeral 4, sí es necesario demostrar la vinculación laboral de al menos una persona con discapacidad que ocupe un cargo del nivel directivo durante el período exigido por la norma. Dicha circunstancia debe acreditarse mediante la certificación correspondiente, acompañada de los documentos de identidad, el certificado de discapacidad, el contrato de trabajo o certificación laboral con funciones, así como los soportes de aportes al sistema de seguridad social del último año.</w:t>
      </w:r>
    </w:p>
    <w:p w14:paraId="5B4142BA" w14:textId="26F9438F" w:rsidR="00E5634E" w:rsidRPr="00374D19" w:rsidRDefault="00E5634E" w:rsidP="00E5634E">
      <w:pPr>
        <w:spacing w:after="120" w:line="276" w:lineRule="auto"/>
        <w:ind w:firstLine="708"/>
        <w:jc w:val="both"/>
        <w:rPr>
          <w:rFonts w:ascii="Verdana" w:eastAsia="Calibri" w:hAnsi="Verdana" w:cs="Arial"/>
        </w:rPr>
      </w:pPr>
      <w:r>
        <w:rPr>
          <w:rFonts w:ascii="Verdana" w:eastAsia="Calibri" w:hAnsi="Verdana" w:cs="Arial"/>
        </w:rPr>
        <w:t>A</w:t>
      </w:r>
      <w:r w:rsidRPr="00374D19">
        <w:rPr>
          <w:rFonts w:ascii="Verdana" w:eastAsia="Calibri" w:hAnsi="Verdana" w:cs="Arial"/>
        </w:rPr>
        <w:t>dicionalmente, la norma establece expresamente qué debe entenderse por empleos del nivel directivo para efectos de la acreditación prevista en el numeral 4 del artículo 2.2.1.2.4.2.6 del Decreto 287 de 2026. En efecto, dispone que son aquellos cargos cuyas funciones se encuentran relacionadas con la dirección de áreas misionales de la empresa y con la adopción de decisiones de carácter estratégico.</w:t>
      </w:r>
    </w:p>
    <w:p w14:paraId="71A9ADB7" w14:textId="77777777" w:rsidR="00E5634E" w:rsidRPr="00374D19" w:rsidRDefault="00E5634E" w:rsidP="00E5634E">
      <w:pPr>
        <w:spacing w:after="120" w:line="276" w:lineRule="auto"/>
        <w:ind w:firstLine="708"/>
        <w:jc w:val="both"/>
        <w:rPr>
          <w:rFonts w:ascii="Verdana" w:eastAsia="Calibri" w:hAnsi="Verdana" w:cs="Arial"/>
        </w:rPr>
      </w:pPr>
      <w:r w:rsidRPr="00374D19">
        <w:rPr>
          <w:rFonts w:ascii="Verdana" w:eastAsia="Calibri" w:hAnsi="Verdana" w:cs="Arial"/>
        </w:rPr>
        <w:t>Asimismo, la disposición precisa que tienen la calidad de cargos del nivel directivo aquellos que, dentro de la estructura organizacional de la empresa, se encuentran ubicados en niveles de mando o que, por razón de su jerarquía, ejercen funciones orientadas a la representación del empleador.</w:t>
      </w:r>
    </w:p>
    <w:p w14:paraId="157A2A1D" w14:textId="77777777" w:rsidR="00E5634E" w:rsidRPr="00374D19" w:rsidRDefault="00E5634E" w:rsidP="00E5634E">
      <w:pPr>
        <w:spacing w:after="120" w:line="276" w:lineRule="auto"/>
        <w:ind w:firstLine="708"/>
        <w:jc w:val="both"/>
        <w:rPr>
          <w:rFonts w:ascii="Verdana" w:eastAsia="Calibri" w:hAnsi="Verdana" w:cs="Arial"/>
        </w:rPr>
      </w:pPr>
      <w:r w:rsidRPr="00374D19">
        <w:rPr>
          <w:rFonts w:ascii="Verdana" w:eastAsia="Calibri" w:hAnsi="Verdana" w:cs="Arial"/>
        </w:rPr>
        <w:t xml:space="preserve">En consecuencia, la acreditación de este requisito no puede recaer sobre cualquier trabajador vinculado a la empresa, sino únicamente sobre personas con discapacidad que ocupen cargos que, de acuerdo con sus funciones y </w:t>
      </w:r>
      <w:r w:rsidRPr="00374D19">
        <w:rPr>
          <w:rFonts w:ascii="Verdana" w:eastAsia="Calibri" w:hAnsi="Verdana" w:cs="Arial"/>
        </w:rPr>
        <w:lastRenderedPageBreak/>
        <w:t>posición dentro de la organización, tengan facultades de dirección, administración, coordinación estratégica o representación. Por tanto, corresponderá al proponente demostrar, a través de los documentos exigidos por la norma, que el cargo desempeñado por la persona con discapacidad efectivamente corresponde al nivel directivo definido en el Decreto 287 de 2026.</w:t>
      </w:r>
    </w:p>
    <w:p w14:paraId="0AAE4BEB" w14:textId="77777777" w:rsidR="00E5634E" w:rsidRPr="00670CFB" w:rsidRDefault="00E5634E" w:rsidP="00E5634E">
      <w:pPr>
        <w:spacing w:line="278" w:lineRule="auto"/>
        <w:ind w:firstLine="708"/>
        <w:jc w:val="both"/>
        <w:rPr>
          <w:rFonts w:ascii="Verdana" w:hAnsi="Verdana"/>
        </w:rPr>
      </w:pPr>
      <w:r w:rsidRPr="00B00AE9">
        <w:rPr>
          <w:rFonts w:ascii="Verdana" w:hAnsi="Verdana"/>
        </w:rPr>
        <w:t>Por último, es pertinente señalar que esta Agencia expidió la Circular Externa No. 003 del 12 de mayo de 2026, mediante la cual se impartieron orientaciones para la correcta aplicación del Decreto 287 de 2026, dirigidas a las entidades estatales con independencia de su régimen de contratación, a los patrimonios autónomos constituidos por entidades estatales y a los particulares que ejecuten recursos públicos. En consecuencia, las consideraciones expuestas en el presente concepto deben entenderse en armonía con los lineamientos contenidos en la referida circular, la cual se encuentra disponible para consulta en el portal institucional de la Agencia Nacional de Contratación Pública – Colombia Compra Eficiente.</w:t>
      </w:r>
    </w:p>
    <w:p w14:paraId="5BA31E62" w14:textId="77777777" w:rsidR="00E5634E" w:rsidRPr="00670CFB" w:rsidRDefault="00E5634E" w:rsidP="00E5634E">
      <w:pPr>
        <w:spacing w:after="120" w:line="276" w:lineRule="auto"/>
        <w:ind w:firstLine="709"/>
        <w:jc w:val="both"/>
        <w:rPr>
          <w:rFonts w:ascii="Verdana" w:hAnsi="Verdana"/>
        </w:rPr>
      </w:pPr>
      <w:r w:rsidRPr="00670CFB">
        <w:rPr>
          <w:rFonts w:ascii="Verdana" w:hAnsi="Verdana"/>
        </w:rPr>
        <w:t>De esta manera, el Sistema Integral de Preferencias establecido por el Decreto 0287 de 2026 constituye un cambio estructural en la forma en que el Estado colombiano se relaciona con las personas con discapacidad en la contratación pública: ya no se trata de un punto adicional al final del proceso, sino de un conjunto articulado de obligaciones que acompañan cada fase del ciclo contractual, desde la planeación hasta la ejecución, con consecuencias jurídicas concretas frente a su inobservancia y con un horizonte claro de inclusión laboral efectiva y progresiva de esta población.</w:t>
      </w:r>
    </w:p>
    <w:p w14:paraId="1BD16F4B" w14:textId="77777777" w:rsidR="00E5634E" w:rsidRPr="00206556" w:rsidRDefault="00E5634E" w:rsidP="00E5634E">
      <w:pPr>
        <w:spacing w:after="0" w:line="276" w:lineRule="auto"/>
        <w:jc w:val="both"/>
        <w:rPr>
          <w:rFonts w:ascii="Verdana" w:eastAsia="Calibri" w:hAnsi="Verdana" w:cs="Arial"/>
          <w:lang w:val="es-ES"/>
        </w:rPr>
      </w:pPr>
    </w:p>
    <w:p w14:paraId="4CA753FB" w14:textId="77777777" w:rsidR="00E5634E" w:rsidRPr="00206556" w:rsidRDefault="00E5634E" w:rsidP="00E5634E">
      <w:pPr>
        <w:spacing w:after="120" w:line="276" w:lineRule="auto"/>
        <w:jc w:val="both"/>
        <w:rPr>
          <w:rFonts w:ascii="Verdana" w:eastAsia="Century Gothic" w:hAnsi="Verdana" w:cs="Century Gothic"/>
          <w:b/>
          <w:lang w:val="es-ES"/>
        </w:rPr>
      </w:pPr>
      <w:r w:rsidRPr="00206556">
        <w:rPr>
          <w:rFonts w:ascii="Verdana" w:eastAsia="Century Gothic" w:hAnsi="Verdana" w:cs="Century Gothic"/>
          <w:b/>
          <w:lang w:val="es-ES"/>
        </w:rPr>
        <w:t>4. Referencias normativas, jurisprudenciales y otras fuentes:</w:t>
      </w: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5634E" w:rsidRPr="00206556" w14:paraId="19AF6412" w14:textId="77777777" w:rsidTr="00371A9A">
        <w:trPr>
          <w:trHeight w:val="297"/>
        </w:trPr>
        <w:tc>
          <w:tcPr>
            <w:tcW w:w="8647" w:type="dxa"/>
          </w:tcPr>
          <w:p w14:paraId="4A4DA5D1" w14:textId="77777777" w:rsidR="00E5634E" w:rsidRPr="00670CFB"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670CFB">
              <w:rPr>
                <w:rFonts w:ascii="Verdana" w:eastAsia="Arial MT" w:hAnsi="Verdana" w:cs="Arial"/>
                <w:lang w:eastAsia="es-ES" w:bidi="es-ES"/>
              </w:rPr>
              <w:t>Constitución Política de Colombia. Artículos 13, 47, 54 y 93.</w:t>
            </w:r>
          </w:p>
          <w:p w14:paraId="1FDF1067"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 de 1967. Por la cual se aprueba el Convenio número 111 Internacional del Trabajo, relativo a la discriminación en materia de empleo y ocupación.</w:t>
            </w:r>
          </w:p>
          <w:p w14:paraId="4B851237"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82 de 1988. Por la cual se aprueba el Convenio 159 de la OIT sobre readaptación profesional y empleo de personas inválidas.</w:t>
            </w:r>
          </w:p>
          <w:p w14:paraId="4B1896CE"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361 de 1997. Artículo 24.</w:t>
            </w:r>
          </w:p>
          <w:p w14:paraId="095E39FA"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 xml:space="preserve">Ley 762 de 2002. Por medio de la cual se aprueba la Convención Interamericana para la Eliminación de todas las Formas de </w:t>
            </w:r>
            <w:r w:rsidRPr="00206556">
              <w:rPr>
                <w:rFonts w:ascii="Verdana" w:eastAsia="Arial MT" w:hAnsi="Verdana" w:cs="Arial"/>
                <w:lang w:eastAsia="es-ES" w:bidi="es-ES"/>
              </w:rPr>
              <w:lastRenderedPageBreak/>
              <w:t>Discriminación contra las Personas con Discapacidad.</w:t>
            </w:r>
          </w:p>
          <w:p w14:paraId="7EE2D6D3"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1346 de 2009. Por medio de la cual se aprueba la Convención sobre los Derechos de las Personas con Discapacidad de la ONU.</w:t>
            </w:r>
          </w:p>
          <w:p w14:paraId="5F5866E5"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Estatutaria 1618 de 2013. Artículo 13, numerales 1, 7 y 8.</w:t>
            </w:r>
          </w:p>
          <w:p w14:paraId="5D703DF9"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1996 de 2019. Artículo 62.</w:t>
            </w:r>
          </w:p>
          <w:p w14:paraId="3606710B"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2069 de 2020. Artículos 34 y 35.</w:t>
            </w:r>
          </w:p>
          <w:p w14:paraId="302B88F1"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2294 de 2023. Artículos 4, 76 y 79.</w:t>
            </w:r>
          </w:p>
          <w:p w14:paraId="11314624"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2466 de 2025. Artículo 15, numeral 17.</w:t>
            </w:r>
          </w:p>
          <w:p w14:paraId="2A5C9C96"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1082 de 2015. Artículos 2.2.1.2.4.2.6., 2.2.1.2.4.2.7. y siguientes, y 2.2.1.2.4.2.8., modificados por el Decreto 0287 de 2026.</w:t>
            </w:r>
          </w:p>
          <w:p w14:paraId="3DEFE13D"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392 de 2018. Derogado en lo contrario por el Decreto 0287 de 2026.</w:t>
            </w:r>
          </w:p>
          <w:p w14:paraId="36A0A439"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1860 de 2021. Artículo 3.</w:t>
            </w:r>
          </w:p>
          <w:p w14:paraId="4BC8E7FD"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0287 de 2026. Por el cual se modifican los artículos 2.2.1.2.4.2.6., 2.2.1.2.4.2.7. y 2.2.1.2.4.2.8. del Decreto 1082 de 2015.</w:t>
            </w:r>
          </w:p>
          <w:p w14:paraId="7578A11C"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0C5D0B">
              <w:rPr>
                <w:rFonts w:ascii="Verdana" w:eastAsia="Arial MT" w:hAnsi="Verdana" w:cs="Arial"/>
                <w:lang w:val="pt-PT" w:eastAsia="es-ES" w:bidi="es-ES"/>
              </w:rPr>
              <w:t xml:space="preserve">Corte Constitucional. Sentencia C-410 de 2001. </w:t>
            </w:r>
            <w:r w:rsidRPr="00206556">
              <w:rPr>
                <w:rFonts w:ascii="Verdana" w:eastAsia="Arial MT" w:hAnsi="Verdana" w:cs="Arial"/>
                <w:lang w:eastAsia="es-ES" w:bidi="es-ES"/>
              </w:rPr>
              <w:t>M.P. Álvaro Tafur Galvis.</w:t>
            </w:r>
          </w:p>
          <w:p w14:paraId="2FC9A4F6"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Corte Constitucional. Sentencia SU-049 de 2017. M.P. María Victoria Calle Correa.</w:t>
            </w:r>
          </w:p>
          <w:p w14:paraId="65CA3985"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Consejo de Estado. Sala de lo Contencioso Administrativo, Sección Quinta. Sentencia de acción de cumplimiento del 12 de diciembre de 2024. Rad. n.° 05001-23-33-000-2024-00847-01. M.P. Omar Joaquín Barreto Suárez.</w:t>
            </w:r>
          </w:p>
          <w:p w14:paraId="1A0DA073"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Consejo de Estado. Sala de Consulta y Servicio Civil. Concepto del 24 de julio de 2013. Rad. 2166. C.P. Álvaro Namén Vargas.</w:t>
            </w:r>
          </w:p>
          <w:p w14:paraId="17D11C4B"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Circular Externa sobre orientaciones para la aplicación del Decreto 287 de 2026. Bogotá, 2026.</w:t>
            </w:r>
          </w:p>
          <w:p w14:paraId="4C372BC8"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ABC del Decreto 0287 de 2026. Bogotá, 2026.</w:t>
            </w:r>
          </w:p>
          <w:p w14:paraId="7B977CE2"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Memoria Justificativa del Decreto 0287 de 2026. Bogotá, 2026.</w:t>
            </w:r>
          </w:p>
          <w:p w14:paraId="7D9ED326"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 xml:space="preserve">Agencia Nacional de Contratación Pública – Colombia Compra Eficiente. Guía de Compras Públicas Sostenibles y Socialmente </w:t>
            </w:r>
            <w:r w:rsidRPr="00206556">
              <w:rPr>
                <w:rFonts w:ascii="Verdana" w:eastAsia="Arial MT" w:hAnsi="Verdana" w:cs="Arial"/>
                <w:lang w:eastAsia="es-ES" w:bidi="es-ES"/>
              </w:rPr>
              <w:lastRenderedPageBreak/>
              <w:t>Responsables. Bogotá, 2025.</w:t>
            </w:r>
          </w:p>
          <w:p w14:paraId="51174C1E"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C-864 del 14 de diciembre de 2022.</w:t>
            </w:r>
          </w:p>
          <w:p w14:paraId="05D009B9"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C-1519 del 19 de noviembre de 2025.</w:t>
            </w:r>
          </w:p>
          <w:p w14:paraId="1911A420" w14:textId="77777777" w:rsidR="00E5634E" w:rsidRPr="00206556" w:rsidRDefault="00E5634E" w:rsidP="00E5634E">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Departamento Nacional de Planeación. Documento CONPES 166 de 2013. Política Pública Nacional de Discapacidad e Inclusión Social.</w:t>
            </w:r>
          </w:p>
          <w:p w14:paraId="54D20FA7" w14:textId="77777777" w:rsidR="00E5634E" w:rsidRPr="00206556" w:rsidRDefault="00E5634E" w:rsidP="00371A9A">
            <w:pPr>
              <w:widowControl w:val="0"/>
              <w:autoSpaceDE w:val="0"/>
              <w:autoSpaceDN w:val="0"/>
              <w:spacing w:line="276" w:lineRule="auto"/>
              <w:jc w:val="both"/>
              <w:rPr>
                <w:rFonts w:ascii="Verdana" w:eastAsia="Arial MT" w:hAnsi="Verdana" w:cs="Arial"/>
                <w:lang w:val="es-ES" w:eastAsia="es-ES" w:bidi="es-ES"/>
              </w:rPr>
            </w:pPr>
          </w:p>
        </w:tc>
      </w:tr>
    </w:tbl>
    <w:p w14:paraId="789EB750" w14:textId="77777777" w:rsidR="00E5634E" w:rsidRPr="00206556" w:rsidRDefault="00E5634E" w:rsidP="00E5634E">
      <w:pPr>
        <w:widowControl w:val="0"/>
        <w:autoSpaceDE w:val="0"/>
        <w:autoSpaceDN w:val="0"/>
        <w:spacing w:after="0" w:line="276" w:lineRule="auto"/>
        <w:jc w:val="both"/>
        <w:rPr>
          <w:rFonts w:ascii="Verdana" w:hAnsi="Verdana" w:cs="Arial"/>
          <w:color w:val="ED7D31" w:themeColor="accent2"/>
          <w:lang w:val="es-ES"/>
        </w:rPr>
      </w:pPr>
    </w:p>
    <w:p w14:paraId="7BEB81C7" w14:textId="77777777" w:rsidR="00E5634E" w:rsidRDefault="00E5634E" w:rsidP="00E5634E">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5. Doctrina de la Agencia Nacional de Contratación Pública:</w:t>
      </w:r>
    </w:p>
    <w:p w14:paraId="14DEAA1A" w14:textId="77777777" w:rsidR="00E5634E" w:rsidRPr="00670CFB" w:rsidRDefault="00E5634E" w:rsidP="00E5634E">
      <w:pPr>
        <w:tabs>
          <w:tab w:val="left" w:pos="142"/>
          <w:tab w:val="left" w:pos="284"/>
        </w:tabs>
        <w:spacing w:after="0" w:line="276" w:lineRule="auto"/>
        <w:jc w:val="both"/>
        <w:rPr>
          <w:rFonts w:ascii="Verdana" w:eastAsia="Century Gothic" w:hAnsi="Verdana" w:cs="Century Gothic"/>
          <w:b/>
          <w:lang w:val="es-ES"/>
        </w:rPr>
      </w:pPr>
    </w:p>
    <w:p w14:paraId="3D307632" w14:textId="77777777" w:rsidR="00E5634E" w:rsidRPr="00206556" w:rsidRDefault="00E5634E" w:rsidP="00E5634E">
      <w:pPr>
        <w:spacing w:after="0" w:line="276" w:lineRule="auto"/>
        <w:jc w:val="both"/>
        <w:rPr>
          <w:rFonts w:ascii="Verdana" w:hAnsi="Verdana"/>
          <w:color w:val="ED7D31" w:themeColor="accent2"/>
          <w:lang w:val="es-ES"/>
        </w:rPr>
      </w:pPr>
      <w:r w:rsidRPr="00206556">
        <w:rPr>
          <w:rFonts w:ascii="Verdana" w:eastAsia="Calibri" w:hAnsi="Verdana" w:cs="Arial"/>
          <w:lang w:val="es-ES"/>
        </w:rPr>
        <w:t xml:space="preserve">La Agencia Nacional de Contratación Pública – Colombia Compra Eficiente se ha referido </w:t>
      </w:r>
      <w:r w:rsidRPr="00206556">
        <w:rPr>
          <w:rFonts w:ascii="Verdana" w:hAnsi="Verdana" w:cs="Arial"/>
          <w:shd w:val="clear" w:color="auto" w:fill="FFFFFF"/>
          <w:lang w:val="es-ES"/>
        </w:rPr>
        <w:t>sobre el alcance del Decreto 0287 de 2026 en este concepto</w:t>
      </w:r>
      <w:r w:rsidRPr="00206556">
        <w:rPr>
          <w:rFonts w:ascii="Verdana" w:eastAsia="Calibri" w:hAnsi="Verdana" w:cs="Arial"/>
          <w:lang w:val="es-ES_tradnl" w:eastAsia="es-ES"/>
        </w:rPr>
        <w:t>.</w:t>
      </w:r>
      <w:r w:rsidRPr="00206556">
        <w:rPr>
          <w:rFonts w:ascii="Verdana" w:hAnsi="Verdana" w:cs="Arial"/>
          <w:shd w:val="clear" w:color="auto" w:fill="FFFFFF"/>
          <w:lang w:val="es-ES"/>
        </w:rPr>
        <w:t xml:space="preserve"> Est</w:t>
      </w:r>
      <w:r>
        <w:rPr>
          <w:rFonts w:ascii="Verdana" w:hAnsi="Verdana" w:cs="Arial"/>
          <w:shd w:val="clear" w:color="auto" w:fill="FFFFFF"/>
          <w:lang w:val="es-ES"/>
        </w:rPr>
        <w:t>e</w:t>
      </w:r>
      <w:r w:rsidRPr="00206556">
        <w:rPr>
          <w:rFonts w:ascii="Verdana" w:hAnsi="Verdana"/>
          <w:lang w:val="es-ES"/>
        </w:rPr>
        <w:t xml:space="preserve"> y otros se encuentran disponibles para consulta en el Sistema de relatoría de la Agencia, al cual se puede acceder a través del siguiente enlace:</w:t>
      </w:r>
      <w:r w:rsidRPr="00206556">
        <w:rPr>
          <w:rFonts w:ascii="Verdana" w:hAnsi="Verdana" w:cs="Arial"/>
          <w:shd w:val="clear" w:color="auto" w:fill="FFFFFF"/>
          <w:lang w:val="es-ES"/>
        </w:rPr>
        <w:t xml:space="preserve"> </w:t>
      </w:r>
      <w:hyperlink r:id="rId13" w:history="1">
        <w:r w:rsidRPr="00206556">
          <w:rPr>
            <w:rStyle w:val="Hipervnculo"/>
            <w:rFonts w:ascii="Verdana" w:hAnsi="Verdana" w:cs="Arial"/>
            <w:shd w:val="clear" w:color="auto" w:fill="FFFFFF"/>
            <w:lang w:val="es-ES"/>
          </w:rPr>
          <w:t>https://relatoria.colombiacompra.gov.co/busqueda/conceptos</w:t>
        </w:r>
      </w:hyperlink>
    </w:p>
    <w:p w14:paraId="07333256" w14:textId="77777777" w:rsidR="00E5634E" w:rsidRPr="00206556" w:rsidRDefault="00E5634E" w:rsidP="00E5634E">
      <w:pPr>
        <w:spacing w:after="0" w:line="276" w:lineRule="auto"/>
        <w:jc w:val="both"/>
        <w:rPr>
          <w:rFonts w:ascii="Verdana" w:hAnsi="Verdana" w:cs="Arial"/>
          <w:color w:val="ED7D31" w:themeColor="accent2"/>
          <w:shd w:val="clear" w:color="auto" w:fill="FFFFFF"/>
          <w:lang w:val="es-ES"/>
        </w:rPr>
      </w:pPr>
    </w:p>
    <w:p w14:paraId="521EBC5F" w14:textId="77777777" w:rsidR="00E5634E" w:rsidRPr="00206556" w:rsidRDefault="00E5634E" w:rsidP="00E5634E">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4" w:history="1">
        <w:r w:rsidRPr="00206556">
          <w:rPr>
            <w:rStyle w:val="Hipervnculo"/>
            <w:rFonts w:ascii="Verdana" w:hAnsi="Verdana" w:cs="Arial"/>
            <w:shd w:val="clear" w:color="auto" w:fill="FFFFFF"/>
          </w:rPr>
          <w:t>https://formacionvirtual.colombiacompra.gov.co/mod/page/view.php?id=3718</w:t>
        </w:r>
      </w:hyperlink>
      <w:r w:rsidRPr="00206556">
        <w:rPr>
          <w:rFonts w:ascii="Verdana" w:hAnsi="Verdana" w:cs="Arial"/>
          <w:shd w:val="clear" w:color="auto" w:fill="FFFFFF"/>
        </w:rPr>
        <w:t xml:space="preserve"> </w:t>
      </w:r>
    </w:p>
    <w:p w14:paraId="002D6C05" w14:textId="77777777" w:rsidR="00E5634E" w:rsidRPr="00206556" w:rsidRDefault="00E5634E" w:rsidP="00E5634E">
      <w:pPr>
        <w:spacing w:after="0" w:line="276" w:lineRule="auto"/>
        <w:jc w:val="both"/>
        <w:rPr>
          <w:rFonts w:ascii="Verdana" w:hAnsi="Verdana" w:cs="Arial"/>
          <w:shd w:val="clear" w:color="auto" w:fill="FFFFFF"/>
        </w:rPr>
      </w:pPr>
    </w:p>
    <w:p w14:paraId="6995B7AF" w14:textId="77777777" w:rsidR="00E5634E" w:rsidRPr="00206556" w:rsidRDefault="00E5634E" w:rsidP="00E5634E">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5" w:history="1">
        <w:r w:rsidRPr="00206556">
          <w:rPr>
            <w:rStyle w:val="Hipervnculo"/>
            <w:rFonts w:ascii="Verdana" w:hAnsi="Verdana" w:cs="Arial"/>
            <w:shd w:val="clear" w:color="auto" w:fill="FFFFFF"/>
          </w:rPr>
          <w:t>https://www.colombiacompra.gov.co/normativa-y-relatoria/documentos-tipo</w:t>
        </w:r>
      </w:hyperlink>
    </w:p>
    <w:p w14:paraId="2FB49370" w14:textId="77777777" w:rsidR="00E5634E" w:rsidRPr="00206556" w:rsidRDefault="00E5634E" w:rsidP="00E5634E">
      <w:pPr>
        <w:spacing w:after="0" w:line="276" w:lineRule="auto"/>
        <w:jc w:val="both"/>
        <w:rPr>
          <w:rFonts w:ascii="Verdana" w:hAnsi="Verdana" w:cs="Arial"/>
          <w:shd w:val="clear" w:color="auto" w:fill="FFFFFF"/>
        </w:rPr>
      </w:pPr>
    </w:p>
    <w:p w14:paraId="3D88EFE7" w14:textId="77777777" w:rsidR="00E5634E" w:rsidRPr="00206556" w:rsidRDefault="00E5634E" w:rsidP="00E5634E">
      <w:pPr>
        <w:spacing w:after="0" w:line="276" w:lineRule="auto"/>
        <w:jc w:val="both"/>
        <w:rPr>
          <w:rFonts w:ascii="Verdana" w:hAnsi="Verdana" w:cs="Arial"/>
          <w:shd w:val="clear" w:color="auto" w:fill="FFFFFF"/>
        </w:rPr>
      </w:pPr>
      <w:r w:rsidRPr="00206556">
        <w:rPr>
          <w:rFonts w:ascii="Verdana" w:hAnsi="Verdana" w:cs="Arial"/>
          <w:shd w:val="clear" w:color="auto" w:fill="FFFFFF"/>
        </w:rPr>
        <w:t>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49683DF2" w14:textId="77777777" w:rsidR="00E5634E" w:rsidRPr="00206556" w:rsidRDefault="00E5634E" w:rsidP="00E5634E">
      <w:pPr>
        <w:spacing w:after="0" w:line="276" w:lineRule="auto"/>
        <w:jc w:val="both"/>
        <w:rPr>
          <w:rFonts w:ascii="Verdana" w:hAnsi="Verdana" w:cs="Arial"/>
          <w:color w:val="ED7D31" w:themeColor="accent2"/>
          <w:shd w:val="clear" w:color="auto" w:fill="FFFFFF"/>
        </w:rPr>
      </w:pPr>
    </w:p>
    <w:p w14:paraId="3F1D3C43" w14:textId="77777777" w:rsidR="00E5634E" w:rsidRPr="00206556" w:rsidRDefault="00E5634E" w:rsidP="00E5634E">
      <w:pPr>
        <w:spacing w:after="0"/>
        <w:jc w:val="both"/>
        <w:rPr>
          <w:rFonts w:ascii="Verdana" w:hAnsi="Verdana" w:cs="Arial"/>
          <w:shd w:val="clear" w:color="auto" w:fill="FFFFFF"/>
        </w:rPr>
      </w:pPr>
      <w:r w:rsidRPr="00206556">
        <w:rPr>
          <w:rFonts w:ascii="Verdana" w:hAnsi="Verdana" w:cs="Arial"/>
          <w:shd w:val="clear" w:color="auto" w:fill="FFFFFF"/>
        </w:rPr>
        <w:t xml:space="preserve">Por último, lo invitamos a seguirnos en las redes sociales en las cuales se difunde información institucional: </w:t>
      </w:r>
    </w:p>
    <w:p w14:paraId="5F9DBDE4" w14:textId="77777777" w:rsidR="00E5634E" w:rsidRPr="00206556" w:rsidRDefault="00E5634E" w:rsidP="00E5634E">
      <w:pPr>
        <w:spacing w:after="0"/>
        <w:jc w:val="both"/>
        <w:rPr>
          <w:rFonts w:ascii="Verdana" w:hAnsi="Verdana" w:cs="Arial"/>
          <w:shd w:val="clear" w:color="auto" w:fill="FFFFFF"/>
        </w:rPr>
      </w:pPr>
    </w:p>
    <w:p w14:paraId="418AAEB7" w14:textId="77777777" w:rsidR="00E5634E" w:rsidRPr="00206556" w:rsidRDefault="00E5634E" w:rsidP="00E5634E">
      <w:pPr>
        <w:spacing w:after="0"/>
        <w:jc w:val="both"/>
        <w:rPr>
          <w:rFonts w:ascii="Verdana" w:hAnsi="Verdana" w:cs="Arial"/>
          <w:shd w:val="clear" w:color="auto" w:fill="FFFFFF"/>
        </w:rPr>
      </w:pPr>
      <w:r w:rsidRPr="00206556">
        <w:rPr>
          <w:rFonts w:ascii="Verdana" w:hAnsi="Verdana" w:cs="Arial"/>
          <w:shd w:val="clear" w:color="auto" w:fill="FFFFFF"/>
        </w:rPr>
        <w:t xml:space="preserve">Twitter: </w:t>
      </w:r>
      <w:r w:rsidRPr="00206556">
        <w:rPr>
          <w:rStyle w:val="Hipervnculo"/>
          <w:rFonts w:ascii="Verdana" w:hAnsi="Verdana"/>
          <w:lang w:val="es-ES"/>
        </w:rPr>
        <w:t>@colombiacompra</w:t>
      </w:r>
      <w:r w:rsidRPr="00206556">
        <w:rPr>
          <w:rStyle w:val="Hipervnculo"/>
          <w:rFonts w:ascii="Verdana" w:hAnsi="Verdana"/>
          <w:color w:val="auto"/>
          <w:lang w:val="es-ES"/>
        </w:rPr>
        <w:t xml:space="preserve"> </w:t>
      </w:r>
    </w:p>
    <w:p w14:paraId="005D88FD" w14:textId="77777777" w:rsidR="00E5634E" w:rsidRPr="00206556" w:rsidRDefault="00E5634E" w:rsidP="00E5634E">
      <w:pPr>
        <w:spacing w:after="0"/>
        <w:jc w:val="both"/>
        <w:rPr>
          <w:rFonts w:ascii="Verdana" w:hAnsi="Verdana" w:cs="Arial"/>
          <w:shd w:val="clear" w:color="auto" w:fill="FFFFFF"/>
        </w:rPr>
      </w:pPr>
      <w:r w:rsidRPr="00206556">
        <w:rPr>
          <w:rFonts w:ascii="Verdana" w:hAnsi="Verdana" w:cs="Arial"/>
          <w:shd w:val="clear" w:color="auto" w:fill="FFFFFF"/>
        </w:rPr>
        <w:t>Facebook:</w:t>
      </w:r>
      <w:r w:rsidRPr="00206556">
        <w:rPr>
          <w:rStyle w:val="Hipervnculo"/>
          <w:rFonts w:ascii="Verdana" w:hAnsi="Verdana"/>
          <w:lang w:val="es-ES"/>
        </w:rPr>
        <w:t xml:space="preserve"> ColombiaCompraEficiente</w:t>
      </w:r>
    </w:p>
    <w:p w14:paraId="1F5CF19B" w14:textId="77777777" w:rsidR="00E5634E" w:rsidRPr="00206556" w:rsidRDefault="00E5634E" w:rsidP="00E5634E">
      <w:pPr>
        <w:spacing w:after="0"/>
        <w:jc w:val="both"/>
        <w:rPr>
          <w:rFonts w:ascii="Verdana" w:hAnsi="Verdana" w:cs="Arial"/>
          <w:shd w:val="clear" w:color="auto" w:fill="FFFFFF"/>
        </w:rPr>
      </w:pPr>
      <w:r w:rsidRPr="00206556">
        <w:rPr>
          <w:rFonts w:ascii="Verdana" w:hAnsi="Verdana" w:cs="Arial"/>
          <w:shd w:val="clear" w:color="auto" w:fill="FFFFFF"/>
        </w:rPr>
        <w:t xml:space="preserve">LinkedIn: </w:t>
      </w:r>
      <w:r w:rsidRPr="00206556">
        <w:rPr>
          <w:rStyle w:val="Hipervnculo"/>
          <w:rFonts w:ascii="Verdana" w:hAnsi="Verdana"/>
          <w:lang w:val="es-ES"/>
        </w:rPr>
        <w:t>Agencia Nacional de Contratación Pública - Colombia Compra Eficiente</w:t>
      </w:r>
      <w:r w:rsidRPr="00206556">
        <w:rPr>
          <w:rFonts w:ascii="Verdana" w:hAnsi="Verdana" w:cs="Arial"/>
          <w:color w:val="0000FF"/>
          <w:shd w:val="clear" w:color="auto" w:fill="FFFFFF"/>
        </w:rPr>
        <w:t xml:space="preserve"> </w:t>
      </w:r>
    </w:p>
    <w:p w14:paraId="4BAD9AC8" w14:textId="77777777" w:rsidR="00E5634E" w:rsidRPr="00206556" w:rsidRDefault="00E5634E" w:rsidP="00E5634E">
      <w:pPr>
        <w:spacing w:after="0"/>
        <w:jc w:val="both"/>
        <w:rPr>
          <w:rFonts w:ascii="Verdana" w:hAnsi="Verdana" w:cs="Arial"/>
          <w:shd w:val="clear" w:color="auto" w:fill="FFFFFF"/>
        </w:rPr>
      </w:pPr>
      <w:r w:rsidRPr="00206556">
        <w:rPr>
          <w:rFonts w:ascii="Verdana" w:hAnsi="Verdana" w:cs="Arial"/>
          <w:shd w:val="clear" w:color="auto" w:fill="FFFFFF"/>
        </w:rPr>
        <w:t xml:space="preserve">Instagram: </w:t>
      </w:r>
      <w:r w:rsidRPr="00206556">
        <w:rPr>
          <w:rStyle w:val="Hipervnculo"/>
          <w:rFonts w:ascii="Verdana" w:hAnsi="Verdana"/>
          <w:lang w:val="es-ES"/>
        </w:rPr>
        <w:t>@colombiacompraeficiente_cce</w:t>
      </w:r>
    </w:p>
    <w:p w14:paraId="5E17B9DB" w14:textId="77777777" w:rsidR="00E5634E" w:rsidRPr="00206556" w:rsidRDefault="00E5634E" w:rsidP="00E5634E">
      <w:pPr>
        <w:widowControl w:val="0"/>
        <w:autoSpaceDE w:val="0"/>
        <w:autoSpaceDN w:val="0"/>
        <w:spacing w:after="0" w:line="276" w:lineRule="auto"/>
        <w:jc w:val="both"/>
        <w:rPr>
          <w:rFonts w:ascii="Verdana" w:hAnsi="Verdana" w:cs="Arial"/>
          <w:color w:val="ED7D31" w:themeColor="accent2"/>
          <w:lang w:val="es-ES"/>
        </w:rPr>
      </w:pPr>
    </w:p>
    <w:p w14:paraId="4F41E02C" w14:textId="77777777" w:rsidR="00E5634E" w:rsidRPr="00206556" w:rsidRDefault="00E5634E" w:rsidP="00E5634E">
      <w:pPr>
        <w:widowControl w:val="0"/>
        <w:autoSpaceDE w:val="0"/>
        <w:autoSpaceDN w:val="0"/>
        <w:spacing w:after="0" w:line="276" w:lineRule="auto"/>
        <w:jc w:val="both"/>
        <w:rPr>
          <w:rFonts w:ascii="Verdana" w:hAnsi="Verdana" w:cs="Arial"/>
          <w:lang w:val="es-ES"/>
        </w:rPr>
      </w:pPr>
      <w:r w:rsidRPr="0020655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D41DB1E" w14:textId="77777777" w:rsidR="00E5634E" w:rsidRPr="00206556" w:rsidRDefault="00E5634E" w:rsidP="00E5634E">
      <w:pPr>
        <w:widowControl w:val="0"/>
        <w:autoSpaceDE w:val="0"/>
        <w:autoSpaceDN w:val="0"/>
        <w:spacing w:after="0" w:line="276" w:lineRule="auto"/>
        <w:jc w:val="both"/>
        <w:rPr>
          <w:rFonts w:ascii="Verdana" w:hAnsi="Verdana" w:cs="Arial"/>
          <w:lang w:val="es-ES"/>
        </w:rPr>
      </w:pPr>
    </w:p>
    <w:p w14:paraId="527FCD49" w14:textId="77777777" w:rsidR="00E5634E" w:rsidRPr="00206556" w:rsidRDefault="00E5634E" w:rsidP="00E5634E">
      <w:pPr>
        <w:spacing w:after="0" w:line="276" w:lineRule="auto"/>
        <w:rPr>
          <w:rFonts w:ascii="Verdana" w:hAnsi="Verdana" w:cs="Arial"/>
          <w:lang w:val="es-ES" w:eastAsia="es-CO"/>
        </w:rPr>
      </w:pPr>
      <w:r w:rsidRPr="00206556">
        <w:rPr>
          <w:rFonts w:ascii="Verdana" w:eastAsia="Times New Roman" w:hAnsi="Verdana" w:cs="Arial"/>
          <w:lang w:val="es-ES" w:eastAsia="es-CO"/>
        </w:rPr>
        <w:t>Atentamente,</w:t>
      </w:r>
      <w:r w:rsidRPr="00206556">
        <w:rPr>
          <w:rFonts w:ascii="Verdana" w:hAnsi="Verdana" w:cs="Arial"/>
          <w:lang w:val="es-ES" w:eastAsia="es-CO"/>
        </w:rPr>
        <w:t xml:space="preserve"> </w:t>
      </w:r>
    </w:p>
    <w:p w14:paraId="0BF35CFD" w14:textId="766CE2F3" w:rsidR="00E5634E" w:rsidRPr="00206556" w:rsidRDefault="00E5634E" w:rsidP="00E5634E">
      <w:pPr>
        <w:spacing w:after="0" w:line="256" w:lineRule="auto"/>
        <w:jc w:val="center"/>
        <w:rPr>
          <w:rFonts w:ascii="Verdana" w:eastAsia="Times New Roman" w:hAnsi="Verdana" w:cs="Arial"/>
          <w:lang w:eastAsia="es-ES"/>
        </w:rPr>
      </w:pPr>
    </w:p>
    <w:bookmarkEnd w:id="0"/>
    <w:bookmarkEnd w:id="1"/>
    <w:p w14:paraId="656EE25B" w14:textId="40B3F3B8" w:rsidR="00B762FE" w:rsidRPr="00464D09" w:rsidRDefault="00A31798" w:rsidP="00B762FE">
      <w:pPr>
        <w:spacing w:after="0" w:line="276" w:lineRule="auto"/>
        <w:jc w:val="center"/>
        <w:rPr>
          <w:rFonts w:ascii="Verdana" w:eastAsia="Calibri" w:hAnsi="Verdana" w:cs="Times New Roman"/>
        </w:rPr>
      </w:pPr>
      <w:r w:rsidRPr="002C3AD6">
        <w:rPr>
          <w:rFonts w:ascii="Century Gothic" w:hAnsi="Century Gothic"/>
          <w:noProof/>
        </w:rPr>
        <w:drawing>
          <wp:inline distT="0" distB="0" distL="0" distR="0" wp14:anchorId="5299A91E" wp14:editId="373FCDB8">
            <wp:extent cx="3771900" cy="1175657"/>
            <wp:effectExtent l="0" t="0" r="0" b="571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6"/>
                    <a:stretch>
                      <a:fillRect/>
                    </a:stretch>
                  </pic:blipFill>
                  <pic:spPr>
                    <a:xfrm>
                      <a:off x="0" y="0"/>
                      <a:ext cx="3777834" cy="1177506"/>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762FE" w:rsidRPr="00464D09" w14:paraId="7B190DED" w14:textId="77777777" w:rsidTr="00735928">
        <w:trPr>
          <w:trHeight w:val="315"/>
        </w:trPr>
        <w:tc>
          <w:tcPr>
            <w:tcW w:w="893" w:type="dxa"/>
            <w:vAlign w:val="center"/>
            <w:hideMark/>
          </w:tcPr>
          <w:p w14:paraId="69EEA2A9" w14:textId="77777777" w:rsidR="00B762FE" w:rsidRPr="00464D09" w:rsidRDefault="00B762FE" w:rsidP="00735928">
            <w:pPr>
              <w:contextualSpacing/>
              <w:rPr>
                <w:rFonts w:ascii="Verdana" w:hAnsi="Verdana" w:cs="Arial"/>
                <w:sz w:val="16"/>
                <w:szCs w:val="16"/>
                <w:lang w:eastAsia="es-ES"/>
              </w:rPr>
            </w:pPr>
            <w:r w:rsidRPr="00464D09">
              <w:rPr>
                <w:rFonts w:ascii="Verdana" w:hAnsi="Verdana" w:cs="Arial"/>
                <w:sz w:val="16"/>
                <w:szCs w:val="16"/>
                <w:lang w:eastAsia="es-ES"/>
              </w:rPr>
              <w:lastRenderedPageBreak/>
              <w:t>Elaboró:</w:t>
            </w:r>
          </w:p>
        </w:tc>
        <w:tc>
          <w:tcPr>
            <w:tcW w:w="5628" w:type="dxa"/>
            <w:tcBorders>
              <w:top w:val="nil"/>
              <w:left w:val="nil"/>
              <w:bottom w:val="dotted" w:sz="4" w:space="0" w:color="7F7F7F" w:themeColor="text1" w:themeTint="80"/>
              <w:right w:val="nil"/>
            </w:tcBorders>
            <w:vAlign w:val="center"/>
            <w:hideMark/>
          </w:tcPr>
          <w:p w14:paraId="02E312ED" w14:textId="77777777" w:rsidR="00B762FE" w:rsidRPr="00464D09" w:rsidRDefault="00B762FE" w:rsidP="00735928">
            <w:pPr>
              <w:contextualSpacing/>
              <w:rPr>
                <w:rFonts w:ascii="Verdana" w:hAnsi="Verdana"/>
                <w:sz w:val="16"/>
                <w:szCs w:val="16"/>
              </w:rPr>
            </w:pPr>
            <w:r>
              <w:rPr>
                <w:rFonts w:ascii="Verdana" w:hAnsi="Verdana"/>
                <w:sz w:val="16"/>
                <w:szCs w:val="16"/>
              </w:rPr>
              <w:t>Richard Andrés Montenegro Siefken</w:t>
            </w:r>
          </w:p>
          <w:p w14:paraId="5C59C64B" w14:textId="77777777" w:rsidR="00B762FE" w:rsidRPr="00464D09" w:rsidRDefault="00B762FE" w:rsidP="00735928">
            <w:pPr>
              <w:contextualSpacing/>
              <w:rPr>
                <w:rFonts w:ascii="Verdana" w:eastAsia="Arial" w:hAnsi="Verdana" w:cs="Arial"/>
                <w:sz w:val="16"/>
                <w:szCs w:val="16"/>
              </w:rPr>
            </w:pPr>
            <w:r>
              <w:rPr>
                <w:rFonts w:ascii="Verdana" w:hAnsi="Verdana" w:cs="Arial"/>
                <w:sz w:val="16"/>
                <w:szCs w:val="16"/>
                <w:lang w:val="es-ES_tradnl"/>
              </w:rPr>
              <w:t xml:space="preserve">Contratista </w:t>
            </w:r>
            <w:r w:rsidRPr="00464D09">
              <w:rPr>
                <w:rFonts w:ascii="Verdana" w:hAnsi="Verdana" w:cs="Arial"/>
                <w:sz w:val="16"/>
                <w:szCs w:val="16"/>
                <w:lang w:val="es-ES_tradnl"/>
              </w:rPr>
              <w:t>de la Subdirección de Gestión Contractual</w:t>
            </w:r>
          </w:p>
        </w:tc>
      </w:tr>
      <w:tr w:rsidR="00B762FE" w:rsidRPr="00464D09" w14:paraId="5F7B2D57" w14:textId="77777777" w:rsidTr="00735928">
        <w:trPr>
          <w:trHeight w:val="330"/>
        </w:trPr>
        <w:tc>
          <w:tcPr>
            <w:tcW w:w="893" w:type="dxa"/>
            <w:vAlign w:val="center"/>
            <w:hideMark/>
          </w:tcPr>
          <w:p w14:paraId="0B383669" w14:textId="77777777" w:rsidR="00B762FE" w:rsidRPr="00464D09" w:rsidRDefault="00B762FE" w:rsidP="00735928">
            <w:pPr>
              <w:contextualSpacing/>
              <w:rPr>
                <w:rFonts w:ascii="Verdana" w:hAnsi="Verdana" w:cs="Arial"/>
                <w:sz w:val="16"/>
                <w:szCs w:val="16"/>
                <w:lang w:eastAsia="es-ES"/>
              </w:rPr>
            </w:pPr>
            <w:r w:rsidRPr="00464D09">
              <w:rPr>
                <w:rFonts w:ascii="Verdana" w:hAnsi="Verdana" w:cs="Arial"/>
                <w:sz w:val="16"/>
                <w:szCs w:val="16"/>
                <w:lang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68C109F" w14:textId="77777777" w:rsidR="00B762FE" w:rsidRPr="00464D09" w:rsidRDefault="00B762FE" w:rsidP="00735928">
            <w:pPr>
              <w:rPr>
                <w:rFonts w:ascii="Verdana" w:eastAsia="Aptos" w:hAnsi="Verdana" w:cs="Arial"/>
                <w:sz w:val="16"/>
                <w:szCs w:val="16"/>
                <w:lang w:eastAsia="es-ES"/>
              </w:rPr>
            </w:pPr>
            <w:r>
              <w:rPr>
                <w:rFonts w:ascii="Verdana" w:eastAsia="Aptos" w:hAnsi="Verdana" w:cs="Arial"/>
                <w:sz w:val="16"/>
                <w:szCs w:val="16"/>
                <w:lang w:eastAsia="es-ES"/>
              </w:rPr>
              <w:t>Adriana Katherine López</w:t>
            </w:r>
          </w:p>
          <w:p w14:paraId="46665943" w14:textId="77777777" w:rsidR="00B762FE" w:rsidRPr="00464D09" w:rsidRDefault="00B762FE" w:rsidP="00735928">
            <w:pPr>
              <w:contextualSpacing/>
              <w:textAlignment w:val="baseline"/>
              <w:rPr>
                <w:rFonts w:ascii="Verdana" w:eastAsia="Times New Roman" w:hAnsi="Verdana" w:cs="Segoe UI"/>
                <w:sz w:val="16"/>
                <w:szCs w:val="16"/>
                <w:lang w:eastAsia="es-ES_tradnl"/>
              </w:rPr>
            </w:pPr>
            <w:r>
              <w:rPr>
                <w:rFonts w:ascii="Verdana" w:eastAsia="Aptos" w:hAnsi="Verdana" w:cs="Arial"/>
                <w:sz w:val="16"/>
                <w:szCs w:val="16"/>
                <w:lang w:eastAsia="es-ES"/>
              </w:rPr>
              <w:t>Contratista</w:t>
            </w:r>
            <w:r w:rsidRPr="00464D09">
              <w:rPr>
                <w:rFonts w:ascii="Verdana" w:eastAsia="Aptos" w:hAnsi="Verdana" w:cs="Arial"/>
                <w:sz w:val="16"/>
                <w:szCs w:val="16"/>
                <w:lang w:eastAsia="es-ES"/>
              </w:rPr>
              <w:t xml:space="preserve"> de la Subdirección de Gestión Contractual</w:t>
            </w:r>
          </w:p>
        </w:tc>
      </w:tr>
      <w:tr w:rsidR="00B762FE" w:rsidRPr="00464D09" w14:paraId="1D6A92F4" w14:textId="77777777" w:rsidTr="00735928">
        <w:trPr>
          <w:trHeight w:val="300"/>
        </w:trPr>
        <w:tc>
          <w:tcPr>
            <w:tcW w:w="893" w:type="dxa"/>
            <w:vAlign w:val="center"/>
          </w:tcPr>
          <w:p w14:paraId="13873FD2" w14:textId="77777777" w:rsidR="00B762FE" w:rsidRPr="00464D09" w:rsidRDefault="00B762FE" w:rsidP="00735928">
            <w:pPr>
              <w:contextualSpacing/>
              <w:rPr>
                <w:rFonts w:ascii="Verdana" w:hAnsi="Verdana" w:cs="Arial"/>
                <w:sz w:val="16"/>
                <w:szCs w:val="16"/>
                <w:lang w:eastAsia="es-ES"/>
              </w:rPr>
            </w:pPr>
            <w:r w:rsidRPr="00464D09">
              <w:rPr>
                <w:rFonts w:ascii="Verdana" w:hAnsi="Verdana" w:cs="Arial"/>
                <w:sz w:val="16"/>
                <w:szCs w:val="16"/>
                <w:lang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6A80D44" w14:textId="77777777" w:rsidR="00B762FE" w:rsidRPr="00464D09" w:rsidRDefault="00B762FE" w:rsidP="00735928">
            <w:pPr>
              <w:contextualSpacing/>
              <w:rPr>
                <w:rFonts w:ascii="Verdana" w:eastAsia="Calibri" w:hAnsi="Verdana" w:cs="Arial"/>
                <w:sz w:val="16"/>
                <w:szCs w:val="16"/>
                <w:lang w:eastAsia="es-ES"/>
              </w:rPr>
            </w:pPr>
            <w:r w:rsidRPr="00464D09">
              <w:rPr>
                <w:rFonts w:ascii="Verdana" w:eastAsia="Calibri" w:hAnsi="Verdana" w:cs="Arial"/>
                <w:sz w:val="16"/>
                <w:szCs w:val="16"/>
                <w:lang w:eastAsia="es-ES"/>
              </w:rPr>
              <w:t>Carolina Quintero Gacharná</w:t>
            </w:r>
          </w:p>
          <w:p w14:paraId="3811C976" w14:textId="77777777" w:rsidR="00B762FE" w:rsidRPr="00464D09" w:rsidRDefault="00B762FE" w:rsidP="00735928">
            <w:pPr>
              <w:contextualSpacing/>
              <w:rPr>
                <w:rFonts w:ascii="Verdana" w:eastAsia="Calibri" w:hAnsi="Verdana" w:cs="Arial"/>
                <w:sz w:val="16"/>
                <w:szCs w:val="16"/>
                <w:lang w:eastAsia="es-ES"/>
              </w:rPr>
            </w:pPr>
            <w:r w:rsidRPr="00464D09">
              <w:rPr>
                <w:rFonts w:ascii="Verdana" w:eastAsia="Calibri" w:hAnsi="Verdana" w:cs="Arial"/>
                <w:sz w:val="16"/>
                <w:szCs w:val="16"/>
                <w:lang w:eastAsia="es-ES"/>
              </w:rPr>
              <w:t>Subdirectora de Gestión Contractual ANCP – CCE</w:t>
            </w:r>
          </w:p>
        </w:tc>
      </w:tr>
    </w:tbl>
    <w:p w14:paraId="1C946160" w14:textId="77777777" w:rsidR="00B762FE" w:rsidRPr="004F07B1" w:rsidRDefault="00B762FE" w:rsidP="00B762FE"/>
    <w:p w14:paraId="0F293BF4" w14:textId="3F6F28A5" w:rsidR="00127233" w:rsidRPr="005D64E1" w:rsidRDefault="00127233" w:rsidP="005D64E1"/>
    <w:sectPr w:rsidR="00127233" w:rsidRPr="005D64E1"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ED39E" w14:textId="77777777" w:rsidR="003A1BDE" w:rsidRDefault="003A1BDE" w:rsidP="004A1847">
      <w:pPr>
        <w:spacing w:after="0" w:line="240" w:lineRule="auto"/>
      </w:pPr>
      <w:r>
        <w:separator/>
      </w:r>
    </w:p>
  </w:endnote>
  <w:endnote w:type="continuationSeparator" w:id="0">
    <w:p w14:paraId="76AA38B4" w14:textId="77777777" w:rsidR="003A1BDE" w:rsidRDefault="003A1BDE"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manist Light">
    <w:altName w:val="Calibri"/>
    <w:panose1 w:val="00000000000000000000"/>
    <w:charset w:val="00"/>
    <w:family w:val="modern"/>
    <w:notTrueType/>
    <w:pitch w:val="variable"/>
    <w:sig w:usb0="A000002F" w:usb1="1000004A" w:usb2="00000000" w:usb3="00000000" w:csb0="00000193" w:csb1="00000000"/>
  </w:font>
  <w:font w:name="Calibri">
    <w:panose1 w:val="020F0502020204030204"/>
    <w:charset w:val="00"/>
    <w:family w:val="swiss"/>
    <w:pitch w:val="variable"/>
    <w:sig w:usb0="E4002EFF" w:usb1="C200247B" w:usb2="00000009" w:usb3="00000000" w:csb0="000001FF"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5D64E1"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PT" w:eastAsia="es-CO"/>
      </w:rPr>
    </w:pPr>
    <w:r w:rsidRPr="005D64E1">
      <w:rPr>
        <w:rFonts w:ascii="Verdana" w:eastAsia="Verdana" w:hAnsi="Verdana" w:cs="Verdana"/>
        <w:b/>
        <w:bCs/>
        <w:color w:val="000000" w:themeColor="text1"/>
        <w:sz w:val="18"/>
        <w:szCs w:val="18"/>
        <w:lang w:val="pt-PT" w:eastAsia="es-CO"/>
      </w:rPr>
      <w:t xml:space="preserve">Código: </w:t>
    </w:r>
    <w:r w:rsidRPr="005D64E1">
      <w:rPr>
        <w:rFonts w:ascii="Verdana" w:eastAsia="Verdana" w:hAnsi="Verdana" w:cs="Verdana"/>
        <w:color w:val="000000" w:themeColor="text1"/>
        <w:sz w:val="18"/>
        <w:szCs w:val="18"/>
        <w:lang w:val="pt-PT" w:eastAsia="es-CO"/>
      </w:rPr>
      <w:t xml:space="preserve">CCE-REC-FM-17 </w:t>
    </w:r>
    <w:r w:rsidRPr="005D64E1">
      <w:rPr>
        <w:rFonts w:ascii="Verdana" w:eastAsia="Verdana" w:hAnsi="Verdana" w:cs="Verdana"/>
        <w:b/>
        <w:bCs/>
        <w:color w:val="000000" w:themeColor="text1"/>
        <w:sz w:val="18"/>
        <w:szCs w:val="18"/>
        <w:lang w:val="pt-PT" w:eastAsia="es-CO"/>
      </w:rPr>
      <w:t xml:space="preserve">V: </w:t>
    </w:r>
    <w:r w:rsidRPr="005D64E1">
      <w:rPr>
        <w:rFonts w:ascii="Verdana" w:eastAsia="Verdana" w:hAnsi="Verdana" w:cs="Verdana"/>
        <w:sz w:val="18"/>
        <w:szCs w:val="18"/>
        <w:lang w:val="pt-PT"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0BF4A" w14:textId="77777777" w:rsidR="003A1BDE" w:rsidRDefault="003A1BDE" w:rsidP="004A1847">
      <w:pPr>
        <w:spacing w:after="0" w:line="240" w:lineRule="auto"/>
      </w:pPr>
      <w:r>
        <w:separator/>
      </w:r>
    </w:p>
  </w:footnote>
  <w:footnote w:type="continuationSeparator" w:id="0">
    <w:p w14:paraId="16247F21" w14:textId="77777777" w:rsidR="003A1BDE" w:rsidRDefault="003A1BDE" w:rsidP="004A1847">
      <w:pPr>
        <w:spacing w:after="0" w:line="240" w:lineRule="auto"/>
      </w:pPr>
      <w:r>
        <w:continuationSeparator/>
      </w:r>
    </w:p>
  </w:footnote>
  <w:footnote w:id="1">
    <w:p w14:paraId="6758E846" w14:textId="77777777" w:rsidR="00E5634E" w:rsidRPr="00206556" w:rsidRDefault="00E5634E" w:rsidP="00E5634E">
      <w:pPr>
        <w:spacing w:after="80" w:line="240" w:lineRule="auto"/>
        <w:ind w:firstLine="708"/>
        <w:jc w:val="both"/>
        <w:rPr>
          <w:rFonts w:ascii="Verdana" w:eastAsia="Times New Roman" w:hAnsi="Verdana" w:cs="Times New Roman"/>
          <w:sz w:val="16"/>
          <w:szCs w:val="16"/>
        </w:rPr>
      </w:pPr>
      <w:r w:rsidRPr="001C2502">
        <w:rPr>
          <w:rStyle w:val="Refdenotaalpie"/>
          <w:rFonts w:ascii="Verdana" w:hAnsi="Verdana"/>
          <w:sz w:val="16"/>
          <w:szCs w:val="16"/>
        </w:rPr>
        <w:footnoteRef/>
      </w:r>
      <w:r w:rsidRPr="001C2502">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 13. </w:t>
      </w:r>
    </w:p>
    <w:p w14:paraId="58D3A7E2" w14:textId="77777777" w:rsidR="00E5634E" w:rsidRPr="00206556" w:rsidRDefault="00E5634E" w:rsidP="00E5634E">
      <w:pPr>
        <w:spacing w:after="80" w:line="240" w:lineRule="auto"/>
        <w:ind w:firstLine="708"/>
        <w:jc w:val="both"/>
        <w:rPr>
          <w:rFonts w:ascii="Verdana" w:hAnsi="Verdana"/>
          <w:sz w:val="16"/>
          <w:szCs w:val="16"/>
        </w:rPr>
      </w:pPr>
    </w:p>
  </w:footnote>
  <w:footnote w:id="2">
    <w:p w14:paraId="4ADC7CDE" w14:textId="77777777" w:rsidR="00E5634E" w:rsidRPr="00206556" w:rsidRDefault="00E5634E" w:rsidP="00E5634E">
      <w:pPr>
        <w:pStyle w:val="Textonotapie"/>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Artículos 47 y 54. </w:t>
      </w:r>
    </w:p>
    <w:p w14:paraId="07AF1C7B" w14:textId="77777777" w:rsidR="00E5634E" w:rsidRPr="00206556" w:rsidRDefault="00E5634E" w:rsidP="00E5634E">
      <w:pPr>
        <w:pStyle w:val="Textonotapie"/>
        <w:ind w:firstLine="708"/>
        <w:jc w:val="both"/>
        <w:rPr>
          <w:rFonts w:ascii="Verdana" w:hAnsi="Verdana"/>
          <w:sz w:val="16"/>
          <w:szCs w:val="16"/>
          <w:lang w:val="es-ES"/>
        </w:rPr>
      </w:pPr>
    </w:p>
  </w:footnote>
  <w:footnote w:id="3">
    <w:p w14:paraId="63E44744" w14:textId="77777777" w:rsidR="00E5634E" w:rsidRPr="00206556" w:rsidRDefault="00E5634E" w:rsidP="00E5634E">
      <w:pPr>
        <w:spacing w:after="80" w:line="240" w:lineRule="auto"/>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las Naciones Unidas. (2006). Convención sobre los Derechos de las Personas con Discapacidad. Nueva York: ONU. Aprobada en Colombia mediante: Colombia. Congreso de la República. (31 de julio de 2009). Ley 1346 de 2009. Diario Oficial 47427.</w:t>
      </w:r>
    </w:p>
    <w:p w14:paraId="478ED877" w14:textId="77777777" w:rsidR="00E5634E" w:rsidRPr="00206556" w:rsidRDefault="00E5634E" w:rsidP="00E5634E">
      <w:pPr>
        <w:spacing w:after="80" w:line="240" w:lineRule="auto"/>
        <w:ind w:firstLine="708"/>
        <w:jc w:val="both"/>
        <w:rPr>
          <w:rFonts w:ascii="Verdana" w:hAnsi="Verdana"/>
          <w:sz w:val="16"/>
          <w:szCs w:val="16"/>
        </w:rPr>
      </w:pPr>
    </w:p>
  </w:footnote>
  <w:footnote w:id="4">
    <w:p w14:paraId="4E132220" w14:textId="77777777" w:rsidR="00E5634E" w:rsidRPr="00206556" w:rsidRDefault="00E5634E" w:rsidP="00E5634E">
      <w:pPr>
        <w:pStyle w:val="Textonotapie"/>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los Estados Americanos. (1999). Convención Interamericana para la Eliminación de todas las Formas de Discriminación contra las Personas con Discapacidad. Ciudad de Guatemala. Aprobada en Colombia mediante: Colombia. Congreso de la República. (31 de julio de 2002). Ley 762 de 2002. Diario Oficial 44889.</w:t>
      </w:r>
    </w:p>
    <w:p w14:paraId="4F10F7BF" w14:textId="77777777" w:rsidR="00E5634E" w:rsidRPr="00206556" w:rsidRDefault="00E5634E" w:rsidP="00E5634E">
      <w:pPr>
        <w:pStyle w:val="Textonotapie"/>
        <w:ind w:firstLine="708"/>
        <w:jc w:val="both"/>
        <w:rPr>
          <w:rFonts w:ascii="Verdana" w:hAnsi="Verdana"/>
          <w:sz w:val="16"/>
          <w:szCs w:val="16"/>
          <w:lang w:val="es-ES"/>
        </w:rPr>
      </w:pPr>
    </w:p>
  </w:footnote>
  <w:footnote w:id="5">
    <w:p w14:paraId="58FD3739" w14:textId="77777777" w:rsidR="00E5634E" w:rsidRPr="00206556" w:rsidRDefault="00E5634E" w:rsidP="00E5634E">
      <w:pPr>
        <w:pStyle w:val="Textonotapie"/>
        <w:ind w:firstLine="708"/>
        <w:jc w:val="both"/>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Organización Internacional del Trabajo. (1983). Convenio sobre la readaptación profesional y el empleo (personas inválidas), núm. 159. Ginebra: OIT. Aprobado en Colombia mediante: Colombia. Congreso de la República. (23 de diciembre de 1988). Ley 82 de 1988. Diario Oficial 38608.</w:t>
      </w:r>
    </w:p>
    <w:p w14:paraId="053C6193" w14:textId="77777777" w:rsidR="00E5634E" w:rsidRPr="00206556" w:rsidRDefault="00E5634E" w:rsidP="00E5634E">
      <w:pPr>
        <w:pStyle w:val="Textonotapie"/>
        <w:ind w:firstLine="708"/>
        <w:jc w:val="both"/>
        <w:rPr>
          <w:rFonts w:ascii="Verdana" w:hAnsi="Verdana"/>
          <w:sz w:val="16"/>
          <w:szCs w:val="16"/>
          <w:lang w:val="es-ES"/>
        </w:rPr>
      </w:pPr>
    </w:p>
  </w:footnote>
  <w:footnote w:id="6">
    <w:p w14:paraId="7877EC09" w14:textId="77777777" w:rsidR="00E5634E" w:rsidRPr="00206556" w:rsidRDefault="00E5634E" w:rsidP="00E5634E">
      <w:pPr>
        <w:pStyle w:val="Textonotapie"/>
        <w:ind w:firstLine="708"/>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(7 de febrero de 1997). Ley 361 de 1997, por la cual se establecen mecanismos de integración social de las personas con limitación y se dictan otras disposiciones. Artículo 24. Diario Oficial 42978.</w:t>
      </w:r>
    </w:p>
    <w:p w14:paraId="2BA718D8" w14:textId="77777777" w:rsidR="00E5634E" w:rsidRPr="00206556" w:rsidRDefault="00E5634E" w:rsidP="00E5634E">
      <w:pPr>
        <w:pStyle w:val="Textonotapie"/>
        <w:ind w:firstLine="708"/>
        <w:rPr>
          <w:rFonts w:ascii="Verdana" w:hAnsi="Verdana"/>
          <w:sz w:val="16"/>
          <w:szCs w:val="16"/>
          <w:lang w:val="es-ES"/>
        </w:rPr>
      </w:pPr>
    </w:p>
  </w:footnote>
  <w:footnote w:id="7">
    <w:p w14:paraId="4470EECF" w14:textId="77777777" w:rsidR="00E5634E" w:rsidRPr="00206556" w:rsidRDefault="00E5634E" w:rsidP="00E5634E">
      <w:pPr>
        <w:pStyle w:val="Textonotapie"/>
        <w:ind w:firstLine="708"/>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Artículo 2, numeral 1. Diario Oficial 48717.</w:t>
      </w:r>
    </w:p>
    <w:p w14:paraId="3B865AF5" w14:textId="77777777" w:rsidR="00E5634E" w:rsidRPr="00206556" w:rsidRDefault="00E5634E" w:rsidP="00E5634E">
      <w:pPr>
        <w:pStyle w:val="Textonotapie"/>
        <w:ind w:firstLine="708"/>
        <w:rPr>
          <w:rFonts w:ascii="Verdana" w:hAnsi="Verdana"/>
          <w:sz w:val="16"/>
          <w:szCs w:val="16"/>
          <w:lang w:val="es-ES"/>
        </w:rPr>
      </w:pPr>
    </w:p>
  </w:footnote>
  <w:footnote w:id="8">
    <w:p w14:paraId="2C5C4817" w14:textId="77777777" w:rsidR="00E5634E" w:rsidRPr="00206556" w:rsidRDefault="00E5634E" w:rsidP="00E5634E">
      <w:pPr>
        <w:pStyle w:val="Textonotapie"/>
        <w:ind w:firstLine="708"/>
        <w:rPr>
          <w:rFonts w:ascii="Verdana" w:hAnsi="Verdana"/>
          <w:sz w:val="16"/>
          <w:szCs w:val="16"/>
          <w:lang w:val="es-ES"/>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por medio de la cual se establecen las disposiciones para garantizar el pleno ejercicio de los derechos de las personas con discapacidad. Artículo 13, numerales 1, 7 y 8. Diario Oficial 48717.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2C44A6E"/>
    <w:multiLevelType w:val="hybridMultilevel"/>
    <w:tmpl w:val="11FC52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37782A"/>
    <w:multiLevelType w:val="multilevel"/>
    <w:tmpl w:val="90D2420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2"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8890F60"/>
    <w:multiLevelType w:val="hybridMultilevel"/>
    <w:tmpl w:val="3C784C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C76440D"/>
    <w:multiLevelType w:val="hybridMultilevel"/>
    <w:tmpl w:val="EF2033C6"/>
    <w:lvl w:ilvl="0" w:tplc="A9E2AE72">
      <w:start w:val="2"/>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E95994"/>
    <w:multiLevelType w:val="hybridMultilevel"/>
    <w:tmpl w:val="DEACEFC2"/>
    <w:lvl w:ilvl="0" w:tplc="9B46313C">
      <w:start w:val="1"/>
      <w:numFmt w:val="decimal"/>
      <w:lvlText w:val="%1."/>
      <w:lvlJc w:val="left"/>
      <w:pPr>
        <w:ind w:left="720" w:hanging="360"/>
      </w:pPr>
      <w:rPr>
        <w:rFonts w:ascii="Geomanist Light" w:eastAsiaTheme="minorHAnsi" w:hAnsi="Geomanist Light"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3E20C5A"/>
    <w:multiLevelType w:val="hybridMultilevel"/>
    <w:tmpl w:val="9F4CA3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9C7E47"/>
    <w:multiLevelType w:val="hybridMultilevel"/>
    <w:tmpl w:val="D52C7E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11"/>
  </w:num>
  <w:num w:numId="2" w16cid:durableId="19822139">
    <w:abstractNumId w:val="3"/>
  </w:num>
  <w:num w:numId="3" w16cid:durableId="876742304">
    <w:abstractNumId w:val="9"/>
  </w:num>
  <w:num w:numId="4" w16cid:durableId="245186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18"/>
  </w:num>
  <w:num w:numId="7" w16cid:durableId="1946422806">
    <w:abstractNumId w:val="10"/>
  </w:num>
  <w:num w:numId="8" w16cid:durableId="152644682">
    <w:abstractNumId w:val="17"/>
  </w:num>
  <w:num w:numId="9" w16cid:durableId="1317221377">
    <w:abstractNumId w:val="12"/>
  </w:num>
  <w:num w:numId="10" w16cid:durableId="1471245386">
    <w:abstractNumId w:val="16"/>
  </w:num>
  <w:num w:numId="11" w16cid:durableId="289172385">
    <w:abstractNumId w:val="13"/>
  </w:num>
  <w:num w:numId="12" w16cid:durableId="1470781324">
    <w:abstractNumId w:val="1"/>
  </w:num>
  <w:num w:numId="13" w16cid:durableId="1512908409">
    <w:abstractNumId w:val="8"/>
  </w:num>
  <w:num w:numId="14" w16cid:durableId="895897244">
    <w:abstractNumId w:val="19"/>
  </w:num>
  <w:num w:numId="15" w16cid:durableId="390349800">
    <w:abstractNumId w:val="15"/>
  </w:num>
  <w:num w:numId="16" w16cid:durableId="1245649885">
    <w:abstractNumId w:val="2"/>
  </w:num>
  <w:num w:numId="17" w16cid:durableId="1791628973">
    <w:abstractNumId w:val="6"/>
  </w:num>
  <w:num w:numId="18" w16cid:durableId="919366845">
    <w:abstractNumId w:val="14"/>
  </w:num>
  <w:num w:numId="19" w16cid:durableId="1058557000">
    <w:abstractNumId w:val="4"/>
  </w:num>
  <w:num w:numId="20" w16cid:durableId="1418283865">
    <w:abstractNumId w:val="7"/>
  </w:num>
  <w:num w:numId="21" w16cid:durableId="1691372772">
    <w:abstractNumId w:val="0"/>
  </w:num>
  <w:num w:numId="22" w16cid:durableId="13794752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179EB"/>
    <w:rsid w:val="00046945"/>
    <w:rsid w:val="00061B2A"/>
    <w:rsid w:val="00082362"/>
    <w:rsid w:val="000A683E"/>
    <w:rsid w:val="000B19B9"/>
    <w:rsid w:val="000D0334"/>
    <w:rsid w:val="000D5DA7"/>
    <w:rsid w:val="000F6486"/>
    <w:rsid w:val="00106EAB"/>
    <w:rsid w:val="00116940"/>
    <w:rsid w:val="00125105"/>
    <w:rsid w:val="00127233"/>
    <w:rsid w:val="0015699B"/>
    <w:rsid w:val="001604C0"/>
    <w:rsid w:val="001A33BF"/>
    <w:rsid w:val="001B5CB2"/>
    <w:rsid w:val="001E4177"/>
    <w:rsid w:val="001F0B24"/>
    <w:rsid w:val="001F7DC6"/>
    <w:rsid w:val="0022400B"/>
    <w:rsid w:val="002421BB"/>
    <w:rsid w:val="00246943"/>
    <w:rsid w:val="0025796E"/>
    <w:rsid w:val="002707A2"/>
    <w:rsid w:val="0029005A"/>
    <w:rsid w:val="002951A0"/>
    <w:rsid w:val="002962BC"/>
    <w:rsid w:val="002A093D"/>
    <w:rsid w:val="002A0DD0"/>
    <w:rsid w:val="002A49AC"/>
    <w:rsid w:val="002A64FD"/>
    <w:rsid w:val="002C7A84"/>
    <w:rsid w:val="002E2BF8"/>
    <w:rsid w:val="002E32F9"/>
    <w:rsid w:val="002E4FD9"/>
    <w:rsid w:val="0030657A"/>
    <w:rsid w:val="00322A85"/>
    <w:rsid w:val="00324168"/>
    <w:rsid w:val="00330834"/>
    <w:rsid w:val="003448F4"/>
    <w:rsid w:val="00372C44"/>
    <w:rsid w:val="00374F5E"/>
    <w:rsid w:val="00377E3E"/>
    <w:rsid w:val="003A1BDE"/>
    <w:rsid w:val="003A779E"/>
    <w:rsid w:val="003B255E"/>
    <w:rsid w:val="003D0F4D"/>
    <w:rsid w:val="003D5B0D"/>
    <w:rsid w:val="003E0499"/>
    <w:rsid w:val="003E4F80"/>
    <w:rsid w:val="003E6439"/>
    <w:rsid w:val="003F3941"/>
    <w:rsid w:val="00406575"/>
    <w:rsid w:val="00414C74"/>
    <w:rsid w:val="0042722E"/>
    <w:rsid w:val="0044528D"/>
    <w:rsid w:val="00466E39"/>
    <w:rsid w:val="004A1847"/>
    <w:rsid w:val="004A305D"/>
    <w:rsid w:val="004A6E44"/>
    <w:rsid w:val="004F21C4"/>
    <w:rsid w:val="004F685F"/>
    <w:rsid w:val="005566E8"/>
    <w:rsid w:val="0056776F"/>
    <w:rsid w:val="00573803"/>
    <w:rsid w:val="00574867"/>
    <w:rsid w:val="0057670A"/>
    <w:rsid w:val="00591460"/>
    <w:rsid w:val="005A65E0"/>
    <w:rsid w:val="005C3777"/>
    <w:rsid w:val="005C5CDC"/>
    <w:rsid w:val="005D0C01"/>
    <w:rsid w:val="005D476C"/>
    <w:rsid w:val="005D64E1"/>
    <w:rsid w:val="006200BF"/>
    <w:rsid w:val="006219F8"/>
    <w:rsid w:val="006302F7"/>
    <w:rsid w:val="00646B9F"/>
    <w:rsid w:val="00665D70"/>
    <w:rsid w:val="006900D9"/>
    <w:rsid w:val="006B2056"/>
    <w:rsid w:val="006D0E34"/>
    <w:rsid w:val="006D27E5"/>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2F08"/>
    <w:rsid w:val="00867F95"/>
    <w:rsid w:val="008843B6"/>
    <w:rsid w:val="00891928"/>
    <w:rsid w:val="008A446D"/>
    <w:rsid w:val="008B25F1"/>
    <w:rsid w:val="008D180B"/>
    <w:rsid w:val="008F0EA7"/>
    <w:rsid w:val="00923EEF"/>
    <w:rsid w:val="009419F9"/>
    <w:rsid w:val="0095685E"/>
    <w:rsid w:val="00961B09"/>
    <w:rsid w:val="00965334"/>
    <w:rsid w:val="0097093E"/>
    <w:rsid w:val="0097322E"/>
    <w:rsid w:val="00974683"/>
    <w:rsid w:val="00986D8F"/>
    <w:rsid w:val="009A0DFA"/>
    <w:rsid w:val="009A1C6F"/>
    <w:rsid w:val="009B2D26"/>
    <w:rsid w:val="009C4A8B"/>
    <w:rsid w:val="009C71FA"/>
    <w:rsid w:val="009C72E7"/>
    <w:rsid w:val="009C7F7E"/>
    <w:rsid w:val="009D3058"/>
    <w:rsid w:val="009D7F9E"/>
    <w:rsid w:val="009F2CB4"/>
    <w:rsid w:val="009F3A13"/>
    <w:rsid w:val="00A122D3"/>
    <w:rsid w:val="00A14468"/>
    <w:rsid w:val="00A17F13"/>
    <w:rsid w:val="00A20739"/>
    <w:rsid w:val="00A23AF9"/>
    <w:rsid w:val="00A31798"/>
    <w:rsid w:val="00A33C78"/>
    <w:rsid w:val="00A3682F"/>
    <w:rsid w:val="00AA420F"/>
    <w:rsid w:val="00AB0ADB"/>
    <w:rsid w:val="00B00C0E"/>
    <w:rsid w:val="00B01B1A"/>
    <w:rsid w:val="00B0381D"/>
    <w:rsid w:val="00B2635C"/>
    <w:rsid w:val="00B44A47"/>
    <w:rsid w:val="00B56F26"/>
    <w:rsid w:val="00B72CD3"/>
    <w:rsid w:val="00B72FFF"/>
    <w:rsid w:val="00B762FE"/>
    <w:rsid w:val="00BC38C2"/>
    <w:rsid w:val="00BC3D36"/>
    <w:rsid w:val="00BD54A6"/>
    <w:rsid w:val="00BD7F72"/>
    <w:rsid w:val="00BF7425"/>
    <w:rsid w:val="00C04FB3"/>
    <w:rsid w:val="00C11D8B"/>
    <w:rsid w:val="00C15139"/>
    <w:rsid w:val="00C24486"/>
    <w:rsid w:val="00C330EB"/>
    <w:rsid w:val="00C41E7C"/>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345D"/>
    <w:rsid w:val="00DF5254"/>
    <w:rsid w:val="00E02524"/>
    <w:rsid w:val="00E16408"/>
    <w:rsid w:val="00E20894"/>
    <w:rsid w:val="00E232AA"/>
    <w:rsid w:val="00E245AB"/>
    <w:rsid w:val="00E2764C"/>
    <w:rsid w:val="00E27F2E"/>
    <w:rsid w:val="00E50AFE"/>
    <w:rsid w:val="00E5634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0CA6"/>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B0A236D"/>
    <w:rsid w:val="3C591AFD"/>
    <w:rsid w:val="42183F0A"/>
    <w:rsid w:val="545B112A"/>
    <w:rsid w:val="5BEB1497"/>
    <w:rsid w:val="69614A15"/>
    <w:rsid w:val="74BA017B"/>
    <w:rsid w:val="7677286E"/>
    <w:rsid w:val="79A64A20"/>
    <w:rsid w:val="7BB183BC"/>
    <w:rsid w:val="7FBBD8D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E5634E"/>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gietorres4536@g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0C95B5-B7EC-4E17-AB93-C2C824A6896C}">
  <ds:schemaRefs>
    <ds:schemaRef ds:uri="http://schemas.openxmlformats.org/officeDocument/2006/bibliography"/>
  </ds:schemaRefs>
</ds:datastoreItem>
</file>

<file path=customXml/itemProps2.xml><?xml version="1.0" encoding="utf-8"?>
<ds:datastoreItem xmlns:ds="http://schemas.openxmlformats.org/officeDocument/2006/customXml" ds:itemID="{D7CD30C6-F8A9-4D60-B050-6C1AE023B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17</Pages>
  <Words>5230</Words>
  <Characters>28765</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3</cp:revision>
  <cp:lastPrinted>2023-01-10T21:18:00Z</cp:lastPrinted>
  <dcterms:created xsi:type="dcterms:W3CDTF">2026-07-24T18:16:00Z</dcterms:created>
  <dcterms:modified xsi:type="dcterms:W3CDTF">2026-07-24T20:53:00Z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