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75EBF" w14:textId="77777777" w:rsidR="00F56178" w:rsidRDefault="00F56178" w:rsidP="00F56178">
      <w:pPr>
        <w:tabs>
          <w:tab w:val="left" w:pos="426"/>
        </w:tabs>
        <w:spacing w:line="240" w:lineRule="auto"/>
        <w:contextualSpacing/>
        <w:jc w:val="both"/>
        <w:rPr>
          <w:rFonts w:ascii="Verdana" w:eastAsia="Verdana" w:hAnsi="Verdana" w:cs="Verdana"/>
          <w:b/>
          <w:bCs/>
          <w:color w:val="000000" w:themeColor="text1"/>
        </w:rPr>
      </w:pPr>
      <w:bookmarkStart w:id="0" w:name="_Hlk143780582"/>
      <w:r w:rsidRPr="009D25AB">
        <w:rPr>
          <w:rFonts w:ascii="Verdana" w:eastAsia="Verdana" w:hAnsi="Verdana" w:cs="Verdana"/>
          <w:b/>
          <w:bCs/>
          <w:color w:val="000000" w:themeColor="text1"/>
        </w:rPr>
        <w:t>RÉGIMEN DE INHABILIDADES E INCOMPATIBILIDADES – Noción – Finalidad</w:t>
      </w:r>
    </w:p>
    <w:p w14:paraId="31CE6D8E" w14:textId="77777777" w:rsidR="009D25AB" w:rsidRPr="009D25AB" w:rsidRDefault="009D25AB" w:rsidP="00F56178">
      <w:pPr>
        <w:tabs>
          <w:tab w:val="left" w:pos="426"/>
        </w:tabs>
        <w:spacing w:line="240" w:lineRule="auto"/>
        <w:contextualSpacing/>
        <w:jc w:val="both"/>
        <w:rPr>
          <w:rFonts w:ascii="Verdana" w:eastAsia="Verdana" w:hAnsi="Verdana" w:cs="Verdana"/>
          <w:b/>
          <w:bCs/>
          <w:color w:val="000000" w:themeColor="text1"/>
        </w:rPr>
      </w:pPr>
    </w:p>
    <w:p w14:paraId="6C8A82C0" w14:textId="77777777" w:rsidR="00F56178" w:rsidRPr="00696EFC" w:rsidRDefault="00F56178" w:rsidP="00F56178">
      <w:pPr>
        <w:tabs>
          <w:tab w:val="left" w:pos="426"/>
        </w:tabs>
        <w:spacing w:line="240" w:lineRule="auto"/>
        <w:contextualSpacing/>
        <w:jc w:val="both"/>
        <w:rPr>
          <w:rFonts w:ascii="Verdana" w:eastAsia="Verdana" w:hAnsi="Verdana" w:cs="Verdana"/>
          <w:color w:val="000000" w:themeColor="text1"/>
          <w:sz w:val="20"/>
          <w:szCs w:val="20"/>
        </w:rPr>
      </w:pPr>
      <w:r w:rsidRPr="00696EFC">
        <w:rPr>
          <w:rFonts w:ascii="Verdana" w:eastAsia="Verdana" w:hAnsi="Verdana" w:cs="Verdana"/>
          <w:color w:val="000000" w:themeColor="text1"/>
          <w:sz w:val="20"/>
          <w:szCs w:val="20"/>
        </w:rPr>
        <w:t>El régimen de inhabilidades e incompatibilidades en la contratación pública responde a la tendencia de asegurar que la provisión de los bienes y servicios por parte de las Entidades Estatales se efectúe cumpliendo con los principios de la función administrativa y de la gestión fiscal, especialmente con probidad y transparencia. Las inhabilidades son prohibiciones para concurrir a los procedimientos de selección y para contratar con el Estado, que se derivan de la existencia de comportamientos reprochables o de sanciones anteriormente impuestas, de vínculos personales relativos al parentesco o al estado civil, o de una actividad u oficio que se desempeñó en el pasado. Las incompatibilidades, por su parte, son prohibiciones fundadas en la presencia de una calidad que ostenta el sujeto interesado, que no puede coexistir con su calidad de proponente o contratista del Estado.</w:t>
      </w:r>
    </w:p>
    <w:p w14:paraId="2E61D0AE" w14:textId="77777777" w:rsidR="009D25AB" w:rsidRDefault="009D25AB" w:rsidP="00F56178">
      <w:pPr>
        <w:tabs>
          <w:tab w:val="left" w:pos="426"/>
        </w:tabs>
        <w:spacing w:line="240" w:lineRule="auto"/>
        <w:contextualSpacing/>
        <w:jc w:val="both"/>
        <w:rPr>
          <w:rFonts w:ascii="Verdana" w:eastAsia="Verdana" w:hAnsi="Verdana" w:cs="Verdana"/>
          <w:color w:val="000000" w:themeColor="text1"/>
        </w:rPr>
      </w:pPr>
    </w:p>
    <w:p w14:paraId="18C6F6E4" w14:textId="36CB3FF8" w:rsidR="00F56178" w:rsidRDefault="00F56178" w:rsidP="00F56178">
      <w:pPr>
        <w:tabs>
          <w:tab w:val="left" w:pos="426"/>
        </w:tabs>
        <w:spacing w:line="240" w:lineRule="auto"/>
        <w:contextualSpacing/>
        <w:jc w:val="both"/>
        <w:rPr>
          <w:rFonts w:ascii="Verdana" w:eastAsia="Verdana" w:hAnsi="Verdana" w:cs="Verdana"/>
          <w:b/>
          <w:bCs/>
          <w:color w:val="000000" w:themeColor="text1"/>
        </w:rPr>
      </w:pPr>
      <w:r w:rsidRPr="009D25AB">
        <w:rPr>
          <w:rFonts w:ascii="Verdana" w:eastAsia="Verdana" w:hAnsi="Verdana" w:cs="Verdana"/>
          <w:b/>
          <w:bCs/>
          <w:color w:val="000000" w:themeColor="text1"/>
        </w:rPr>
        <w:t>RÉGIMEN DE INHABILIDADES E INCOMPATIBILIDADES – Carácter restrictivo – Interpretación restrictiva</w:t>
      </w:r>
    </w:p>
    <w:p w14:paraId="4FD9422D" w14:textId="77777777" w:rsidR="009D25AB" w:rsidRPr="009D25AB" w:rsidRDefault="009D25AB" w:rsidP="00F56178">
      <w:pPr>
        <w:tabs>
          <w:tab w:val="left" w:pos="426"/>
        </w:tabs>
        <w:spacing w:line="240" w:lineRule="auto"/>
        <w:contextualSpacing/>
        <w:jc w:val="both"/>
        <w:rPr>
          <w:rFonts w:ascii="Verdana" w:eastAsia="Verdana" w:hAnsi="Verdana" w:cs="Verdana"/>
          <w:b/>
          <w:bCs/>
          <w:color w:val="000000" w:themeColor="text1"/>
        </w:rPr>
      </w:pPr>
    </w:p>
    <w:p w14:paraId="23FA351D" w14:textId="77777777" w:rsidR="00F56178" w:rsidRPr="00696EFC" w:rsidRDefault="00F56178" w:rsidP="00F56178">
      <w:pPr>
        <w:tabs>
          <w:tab w:val="left" w:pos="426"/>
        </w:tabs>
        <w:spacing w:line="240" w:lineRule="auto"/>
        <w:contextualSpacing/>
        <w:jc w:val="both"/>
        <w:rPr>
          <w:rFonts w:ascii="Verdana" w:eastAsia="Verdana" w:hAnsi="Verdana" w:cs="Verdana"/>
          <w:color w:val="000000" w:themeColor="text1"/>
          <w:sz w:val="20"/>
          <w:szCs w:val="20"/>
        </w:rPr>
      </w:pPr>
      <w:r w:rsidRPr="00696EFC">
        <w:rPr>
          <w:rFonts w:ascii="Verdana" w:eastAsia="Verdana" w:hAnsi="Verdana" w:cs="Verdana"/>
          <w:color w:val="000000" w:themeColor="text1"/>
          <w:sz w:val="20"/>
          <w:szCs w:val="20"/>
        </w:rPr>
        <w:t>Las inhabilidades e incompatibilidades son circunstancias establecidas por la Constitución o la ley que impiden que personas naturales o jurídicas celebren contratos con el Estado, con el objetivo de garantizar la idoneidad, imparcialidad, probidad, transparencia y moralidad de la función pública, en aras del interés general. Al constituir límites especiales a la capacidad para contratar, solo pueden tipificarse en la ley o en la Constitución —esto es, deben satisfacer el principio de legalidad— y su interpretación es restrictiva, sin que sea posible ampliar sus causales por vía de analogía o de interpretación extensiva.</w:t>
      </w:r>
    </w:p>
    <w:p w14:paraId="0FD17801" w14:textId="77777777" w:rsidR="009D25AB" w:rsidRDefault="009D25AB" w:rsidP="00F56178">
      <w:pPr>
        <w:tabs>
          <w:tab w:val="left" w:pos="426"/>
        </w:tabs>
        <w:spacing w:line="240" w:lineRule="auto"/>
        <w:contextualSpacing/>
        <w:jc w:val="both"/>
        <w:rPr>
          <w:rFonts w:ascii="Verdana" w:eastAsia="Verdana" w:hAnsi="Verdana" w:cs="Verdana"/>
          <w:color w:val="000000" w:themeColor="text1"/>
        </w:rPr>
      </w:pPr>
    </w:p>
    <w:p w14:paraId="50D45A6C" w14:textId="798F76E7" w:rsidR="00F56178" w:rsidRDefault="00F56178" w:rsidP="00F56178">
      <w:pPr>
        <w:tabs>
          <w:tab w:val="left" w:pos="426"/>
        </w:tabs>
        <w:spacing w:line="240" w:lineRule="auto"/>
        <w:contextualSpacing/>
        <w:jc w:val="both"/>
        <w:rPr>
          <w:rFonts w:ascii="Verdana" w:eastAsia="Verdana" w:hAnsi="Verdana" w:cs="Verdana"/>
          <w:b/>
          <w:bCs/>
          <w:color w:val="000000" w:themeColor="text1"/>
        </w:rPr>
      </w:pPr>
      <w:r w:rsidRPr="009D25AB">
        <w:rPr>
          <w:rFonts w:ascii="Verdana" w:eastAsia="Verdana" w:hAnsi="Verdana" w:cs="Verdana"/>
          <w:b/>
          <w:bCs/>
          <w:color w:val="000000" w:themeColor="text1"/>
        </w:rPr>
        <w:t>PARENTESCO POR AFINIDAD – Segundo grado – Alcance</w:t>
      </w:r>
    </w:p>
    <w:p w14:paraId="32F49B37" w14:textId="77777777" w:rsidR="009D25AB" w:rsidRPr="009D25AB" w:rsidRDefault="009D25AB" w:rsidP="00F56178">
      <w:pPr>
        <w:tabs>
          <w:tab w:val="left" w:pos="426"/>
        </w:tabs>
        <w:spacing w:line="240" w:lineRule="auto"/>
        <w:contextualSpacing/>
        <w:jc w:val="both"/>
        <w:rPr>
          <w:rFonts w:ascii="Verdana" w:eastAsia="Verdana" w:hAnsi="Verdana" w:cs="Verdana"/>
          <w:b/>
          <w:bCs/>
          <w:color w:val="000000" w:themeColor="text1"/>
        </w:rPr>
      </w:pPr>
    </w:p>
    <w:p w14:paraId="7D9DC69C" w14:textId="77777777" w:rsidR="00F56178" w:rsidRPr="00696EFC" w:rsidRDefault="00F56178" w:rsidP="00F56178">
      <w:pPr>
        <w:tabs>
          <w:tab w:val="left" w:pos="426"/>
        </w:tabs>
        <w:spacing w:line="240" w:lineRule="auto"/>
        <w:contextualSpacing/>
        <w:jc w:val="both"/>
        <w:rPr>
          <w:rFonts w:ascii="Verdana" w:eastAsia="Verdana" w:hAnsi="Verdana" w:cs="Verdana"/>
          <w:color w:val="000000" w:themeColor="text1"/>
          <w:sz w:val="20"/>
          <w:szCs w:val="20"/>
        </w:rPr>
      </w:pPr>
      <w:r w:rsidRPr="00696EFC">
        <w:rPr>
          <w:rFonts w:ascii="Verdana" w:eastAsia="Verdana" w:hAnsi="Verdana" w:cs="Verdana"/>
          <w:color w:val="000000" w:themeColor="text1"/>
          <w:sz w:val="20"/>
          <w:szCs w:val="20"/>
        </w:rPr>
        <w:t>De conformidad con el artículo 47 del Código Civil, el parentesco por afinidad es el que existe entre una persona que está o ha estado casada —o unida en unión marital de hecho— y los consanguíneos de su cónyuge o compañero permanente. La línea y el grado de afinidad se califican por la línea y el grado de consanguinidad del cónyuge o compañero permanente con el respectivo pariente. En consecuencia, los hermanos del cónyuge o compañero permanente se ubican en el segundo grado de afinidad, en la línea transversal o colateral.</w:t>
      </w:r>
    </w:p>
    <w:p w14:paraId="6EF2243A" w14:textId="77777777" w:rsidR="009D25AB" w:rsidRDefault="009D25AB" w:rsidP="00F56178">
      <w:pPr>
        <w:tabs>
          <w:tab w:val="left" w:pos="426"/>
        </w:tabs>
        <w:spacing w:line="240" w:lineRule="auto"/>
        <w:contextualSpacing/>
        <w:jc w:val="both"/>
        <w:rPr>
          <w:rFonts w:ascii="Verdana" w:eastAsia="Verdana" w:hAnsi="Verdana" w:cs="Verdana"/>
          <w:color w:val="000000" w:themeColor="text1"/>
        </w:rPr>
      </w:pPr>
    </w:p>
    <w:p w14:paraId="28D945A9" w14:textId="71F56A0B" w:rsidR="00F56178" w:rsidRDefault="00F56178" w:rsidP="00F56178">
      <w:pPr>
        <w:tabs>
          <w:tab w:val="left" w:pos="426"/>
        </w:tabs>
        <w:spacing w:line="240" w:lineRule="auto"/>
        <w:contextualSpacing/>
        <w:jc w:val="both"/>
        <w:rPr>
          <w:rFonts w:ascii="Verdana" w:eastAsia="Verdana" w:hAnsi="Verdana" w:cs="Verdana"/>
          <w:b/>
          <w:bCs/>
          <w:color w:val="000000" w:themeColor="text1"/>
        </w:rPr>
      </w:pPr>
      <w:r w:rsidRPr="009D25AB">
        <w:rPr>
          <w:rFonts w:ascii="Verdana" w:eastAsia="Verdana" w:hAnsi="Verdana" w:cs="Verdana"/>
          <w:b/>
          <w:bCs/>
          <w:color w:val="000000" w:themeColor="text1"/>
        </w:rPr>
        <w:t>ADQUISICIÓN DE BIENES INMUEBLES – Contratación directa – Capacidad para contratar</w:t>
      </w:r>
    </w:p>
    <w:p w14:paraId="64C2FA38" w14:textId="77777777" w:rsidR="009D25AB" w:rsidRPr="009D25AB" w:rsidRDefault="009D25AB" w:rsidP="00F56178">
      <w:pPr>
        <w:tabs>
          <w:tab w:val="left" w:pos="426"/>
        </w:tabs>
        <w:spacing w:line="240" w:lineRule="auto"/>
        <w:contextualSpacing/>
        <w:jc w:val="both"/>
        <w:rPr>
          <w:rFonts w:ascii="Verdana" w:eastAsia="Verdana" w:hAnsi="Verdana" w:cs="Verdana"/>
          <w:b/>
          <w:bCs/>
          <w:color w:val="000000" w:themeColor="text1"/>
        </w:rPr>
      </w:pPr>
    </w:p>
    <w:p w14:paraId="325228F5" w14:textId="77777777" w:rsidR="00F56178" w:rsidRPr="00696EFC" w:rsidRDefault="00F56178" w:rsidP="00F56178">
      <w:pPr>
        <w:tabs>
          <w:tab w:val="left" w:pos="426"/>
        </w:tabs>
        <w:spacing w:line="240" w:lineRule="auto"/>
        <w:contextualSpacing/>
        <w:jc w:val="both"/>
        <w:rPr>
          <w:rFonts w:ascii="Verdana" w:eastAsia="Verdana" w:hAnsi="Verdana" w:cs="Verdana"/>
          <w:color w:val="000000" w:themeColor="text1"/>
          <w:sz w:val="20"/>
          <w:szCs w:val="20"/>
        </w:rPr>
      </w:pPr>
      <w:r w:rsidRPr="00696EFC">
        <w:rPr>
          <w:rFonts w:ascii="Verdana" w:eastAsia="Verdana" w:hAnsi="Verdana" w:cs="Verdana"/>
          <w:color w:val="000000" w:themeColor="text1"/>
          <w:sz w:val="20"/>
          <w:szCs w:val="20"/>
        </w:rPr>
        <w:t xml:space="preserve">La adquisición de bienes inmuebles por las Entidades Estatales puede adelantarse mediante la modalidad de contratación directa, conforme al literal i) del numeral 4 del artículo 2 de la Ley 1150 de 2007 y al artículo 2.2.1.2.1.4.10 del Decreto 1082 de 2015. Sin embargo, la procedencia de dicha modalidad no excluye ni suspende la aplicación del régimen de inhabilidades e incompatibilidades, pues una cosa es la modalidad de </w:t>
      </w:r>
      <w:r w:rsidRPr="00696EFC">
        <w:rPr>
          <w:rFonts w:ascii="Verdana" w:eastAsia="Verdana" w:hAnsi="Verdana" w:cs="Verdana"/>
          <w:color w:val="000000" w:themeColor="text1"/>
          <w:sz w:val="20"/>
          <w:szCs w:val="20"/>
        </w:rPr>
        <w:lastRenderedPageBreak/>
        <w:t>selección y otra distinta la capacidad jurídica del propietario para celebrar el contrato estatal.</w:t>
      </w:r>
    </w:p>
    <w:p w14:paraId="62229787" w14:textId="77777777" w:rsidR="009D25AB" w:rsidRDefault="009D25AB" w:rsidP="00F56178">
      <w:pPr>
        <w:tabs>
          <w:tab w:val="left" w:pos="426"/>
        </w:tabs>
        <w:spacing w:line="240" w:lineRule="auto"/>
        <w:contextualSpacing/>
        <w:jc w:val="both"/>
        <w:rPr>
          <w:rFonts w:ascii="Verdana" w:eastAsia="Verdana" w:hAnsi="Verdana" w:cs="Verdana"/>
          <w:color w:val="000000" w:themeColor="text1"/>
        </w:rPr>
      </w:pPr>
    </w:p>
    <w:p w14:paraId="14F9FA33" w14:textId="5A64A534" w:rsidR="00F56178" w:rsidRDefault="00F56178" w:rsidP="00F56178">
      <w:pPr>
        <w:tabs>
          <w:tab w:val="left" w:pos="426"/>
        </w:tabs>
        <w:spacing w:line="240" w:lineRule="auto"/>
        <w:contextualSpacing/>
        <w:jc w:val="both"/>
        <w:rPr>
          <w:rFonts w:ascii="Verdana" w:eastAsia="Verdana" w:hAnsi="Verdana" w:cs="Verdana"/>
          <w:b/>
          <w:bCs/>
          <w:color w:val="000000" w:themeColor="text1"/>
        </w:rPr>
      </w:pPr>
      <w:r w:rsidRPr="009D25AB">
        <w:rPr>
          <w:rFonts w:ascii="Verdana" w:eastAsia="Verdana" w:hAnsi="Verdana" w:cs="Verdana"/>
          <w:b/>
          <w:bCs/>
          <w:color w:val="000000" w:themeColor="text1"/>
        </w:rPr>
        <w:t>INHABILIDAD POR PARENTESCO – Representante legal de la entidad estatal – Artículo 8, numeral 2, literal b), de la Ley 80 de 1993</w:t>
      </w:r>
    </w:p>
    <w:p w14:paraId="1FA61914" w14:textId="77777777" w:rsidR="009D25AB" w:rsidRPr="009D25AB" w:rsidRDefault="009D25AB" w:rsidP="00F56178">
      <w:pPr>
        <w:tabs>
          <w:tab w:val="left" w:pos="426"/>
        </w:tabs>
        <w:spacing w:line="240" w:lineRule="auto"/>
        <w:contextualSpacing/>
        <w:jc w:val="both"/>
        <w:rPr>
          <w:rFonts w:ascii="Verdana" w:eastAsia="Verdana" w:hAnsi="Verdana" w:cs="Verdana"/>
          <w:b/>
          <w:bCs/>
          <w:color w:val="000000" w:themeColor="text1"/>
        </w:rPr>
      </w:pPr>
    </w:p>
    <w:p w14:paraId="681561A9" w14:textId="55003D09" w:rsidR="00093BF9" w:rsidRPr="00696EFC" w:rsidRDefault="00F56178" w:rsidP="00F56178">
      <w:pPr>
        <w:tabs>
          <w:tab w:val="left" w:pos="426"/>
        </w:tabs>
        <w:spacing w:line="240" w:lineRule="auto"/>
        <w:contextualSpacing/>
        <w:jc w:val="both"/>
        <w:rPr>
          <w:rFonts w:ascii="Verdana" w:eastAsia="Verdana" w:hAnsi="Verdana" w:cs="Verdana"/>
          <w:color w:val="000000" w:themeColor="text1"/>
          <w:sz w:val="20"/>
          <w:szCs w:val="20"/>
        </w:rPr>
      </w:pPr>
      <w:r w:rsidRPr="00696EFC">
        <w:rPr>
          <w:rFonts w:ascii="Verdana" w:eastAsia="Verdana" w:hAnsi="Verdana" w:cs="Verdana"/>
          <w:color w:val="000000" w:themeColor="text1"/>
          <w:sz w:val="20"/>
          <w:szCs w:val="20"/>
        </w:rPr>
        <w:t>El numeral 2, literal b), del artículo 8 de la Ley 80 de 1993 dispone que no pueden celebrar contratos con la entidad respectiva las personas que tengan vínculos de parentesco, hasta el segundo grado de consanguinidad, segundo de afinidad o primero civil, con los servidores públicos de los niveles directivo, asesor o ejecutivo de la entidad contratante. El representante legal de la entidad territorial ostenta la condición de servidor público del nivel directivo para efectos de esta causal.</w:t>
      </w:r>
    </w:p>
    <w:p w14:paraId="06D105E4"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54A7C31A"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40387206"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1DF40B6A"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1D620030"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54BD2DF1"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072E340C"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2057ED0A"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2F6E4195"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515AE798"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17B12309"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06781FB6" w14:textId="77777777" w:rsidR="00093BF9" w:rsidRDefault="00093BF9" w:rsidP="00093BF9">
      <w:pPr>
        <w:tabs>
          <w:tab w:val="left" w:pos="426"/>
        </w:tabs>
        <w:spacing w:line="240" w:lineRule="auto"/>
        <w:contextualSpacing/>
        <w:jc w:val="both"/>
        <w:rPr>
          <w:rFonts w:ascii="Verdana" w:eastAsia="Verdana" w:hAnsi="Verdana" w:cs="Verdana"/>
          <w:color w:val="000000" w:themeColor="text1"/>
        </w:rPr>
      </w:pPr>
    </w:p>
    <w:p w14:paraId="779454E2" w14:textId="77777777" w:rsidR="00F56178" w:rsidRDefault="00F56178" w:rsidP="00093BF9">
      <w:pPr>
        <w:tabs>
          <w:tab w:val="left" w:pos="426"/>
        </w:tabs>
        <w:spacing w:line="240" w:lineRule="auto"/>
        <w:contextualSpacing/>
        <w:jc w:val="both"/>
        <w:rPr>
          <w:rFonts w:ascii="Verdana" w:eastAsia="Verdana" w:hAnsi="Verdana" w:cs="Verdana"/>
          <w:color w:val="000000" w:themeColor="text1"/>
        </w:rPr>
      </w:pPr>
    </w:p>
    <w:p w14:paraId="0292B065" w14:textId="77777777" w:rsidR="00F56178" w:rsidRDefault="00F56178" w:rsidP="00093BF9">
      <w:pPr>
        <w:tabs>
          <w:tab w:val="left" w:pos="426"/>
        </w:tabs>
        <w:spacing w:line="240" w:lineRule="auto"/>
        <w:contextualSpacing/>
        <w:jc w:val="both"/>
        <w:rPr>
          <w:rFonts w:ascii="Verdana" w:eastAsia="Verdana" w:hAnsi="Verdana" w:cs="Verdana"/>
          <w:color w:val="000000" w:themeColor="text1"/>
        </w:rPr>
      </w:pPr>
    </w:p>
    <w:p w14:paraId="34A06D5C" w14:textId="77777777" w:rsidR="00F56178" w:rsidRDefault="00F56178" w:rsidP="00093BF9">
      <w:pPr>
        <w:tabs>
          <w:tab w:val="left" w:pos="426"/>
        </w:tabs>
        <w:spacing w:line="240" w:lineRule="auto"/>
        <w:contextualSpacing/>
        <w:jc w:val="both"/>
        <w:rPr>
          <w:rFonts w:ascii="Verdana" w:eastAsia="Verdana" w:hAnsi="Verdana" w:cs="Verdana"/>
          <w:color w:val="000000" w:themeColor="text1"/>
        </w:rPr>
      </w:pPr>
    </w:p>
    <w:p w14:paraId="7CCF2EBC" w14:textId="77777777" w:rsidR="00F56178" w:rsidRPr="00D13475" w:rsidRDefault="00F56178" w:rsidP="00093BF9">
      <w:pPr>
        <w:tabs>
          <w:tab w:val="left" w:pos="426"/>
        </w:tabs>
        <w:spacing w:line="240" w:lineRule="auto"/>
        <w:contextualSpacing/>
        <w:jc w:val="both"/>
        <w:rPr>
          <w:rFonts w:ascii="Verdana" w:eastAsia="Verdana" w:hAnsi="Verdana" w:cs="Verdana"/>
          <w:color w:val="000000" w:themeColor="text1"/>
        </w:rPr>
      </w:pPr>
    </w:p>
    <w:p w14:paraId="4E8A1117"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243EF933"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329EDBD4"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58CB7670" w14:textId="77777777" w:rsidR="00F56178" w:rsidRDefault="00F56178" w:rsidP="00B42204">
      <w:pPr>
        <w:spacing w:after="0" w:line="240" w:lineRule="auto"/>
        <w:rPr>
          <w:rFonts w:ascii="Verdana" w:eastAsia="Geomanist Light" w:hAnsi="Verdana" w:cs="Arial"/>
        </w:rPr>
      </w:pPr>
    </w:p>
    <w:p w14:paraId="562FC5C9" w14:textId="77777777" w:rsidR="00F56178" w:rsidRDefault="00F56178" w:rsidP="00B42204">
      <w:pPr>
        <w:spacing w:after="0" w:line="240" w:lineRule="auto"/>
        <w:rPr>
          <w:rFonts w:ascii="Verdana" w:eastAsia="Geomanist Light" w:hAnsi="Verdana" w:cs="Arial"/>
        </w:rPr>
      </w:pPr>
    </w:p>
    <w:p w14:paraId="494F8345" w14:textId="77777777" w:rsidR="00F56178" w:rsidRDefault="00F56178" w:rsidP="00B42204">
      <w:pPr>
        <w:spacing w:after="0" w:line="240" w:lineRule="auto"/>
        <w:rPr>
          <w:rFonts w:ascii="Verdana" w:eastAsia="Geomanist Light" w:hAnsi="Verdana" w:cs="Arial"/>
        </w:rPr>
      </w:pPr>
    </w:p>
    <w:p w14:paraId="63E3D7D3" w14:textId="77777777" w:rsidR="00F56178" w:rsidRDefault="00F56178" w:rsidP="00B42204">
      <w:pPr>
        <w:spacing w:after="0" w:line="240" w:lineRule="auto"/>
        <w:rPr>
          <w:rFonts w:ascii="Verdana" w:eastAsia="Geomanist Light" w:hAnsi="Verdana" w:cs="Arial"/>
        </w:rPr>
      </w:pPr>
    </w:p>
    <w:p w14:paraId="246AAFC5" w14:textId="77777777" w:rsidR="00F56178" w:rsidRDefault="00F56178" w:rsidP="00B42204">
      <w:pPr>
        <w:spacing w:after="0" w:line="240" w:lineRule="auto"/>
        <w:rPr>
          <w:rFonts w:ascii="Verdana" w:eastAsia="Geomanist Light" w:hAnsi="Verdana" w:cs="Arial"/>
        </w:rPr>
      </w:pPr>
    </w:p>
    <w:p w14:paraId="574E560D" w14:textId="77777777" w:rsidR="005B3A5C" w:rsidRDefault="005B3A5C" w:rsidP="00B42204">
      <w:pPr>
        <w:spacing w:after="0" w:line="240" w:lineRule="auto"/>
        <w:rPr>
          <w:rFonts w:ascii="Verdana" w:eastAsia="Calibri" w:hAnsi="Verdana" w:cs="Arial"/>
          <w:bCs/>
          <w:sz w:val="20"/>
          <w:szCs w:val="20"/>
          <w:lang w:eastAsia="es-ES_tradnl"/>
        </w:rPr>
      </w:pPr>
    </w:p>
    <w:p w14:paraId="30EC03E7" w14:textId="77777777" w:rsidR="005B3A5C" w:rsidRDefault="005B3A5C" w:rsidP="00B42204">
      <w:pPr>
        <w:spacing w:after="0" w:line="240" w:lineRule="auto"/>
        <w:rPr>
          <w:rFonts w:ascii="Verdana" w:eastAsia="Calibri" w:hAnsi="Verdana" w:cs="Arial"/>
          <w:bCs/>
          <w:sz w:val="20"/>
          <w:szCs w:val="20"/>
          <w:lang w:eastAsia="es-ES_tradnl"/>
        </w:rPr>
      </w:pPr>
    </w:p>
    <w:p w14:paraId="6BB438DA" w14:textId="77777777" w:rsidR="005B3A5C" w:rsidRDefault="005B3A5C" w:rsidP="00B42204">
      <w:pPr>
        <w:spacing w:after="0" w:line="240" w:lineRule="auto"/>
        <w:rPr>
          <w:rFonts w:ascii="Verdana" w:eastAsia="Calibri" w:hAnsi="Verdana" w:cs="Arial"/>
          <w:bCs/>
          <w:sz w:val="20"/>
          <w:szCs w:val="20"/>
          <w:lang w:eastAsia="es-ES_tradnl"/>
        </w:rPr>
      </w:pPr>
    </w:p>
    <w:p w14:paraId="276EB77E" w14:textId="77777777" w:rsidR="005B3A5C" w:rsidRDefault="005B3A5C" w:rsidP="00B42204">
      <w:pPr>
        <w:spacing w:after="0" w:line="240" w:lineRule="auto"/>
        <w:rPr>
          <w:rFonts w:ascii="Verdana" w:eastAsia="Calibri" w:hAnsi="Verdana" w:cs="Arial"/>
          <w:bCs/>
          <w:sz w:val="20"/>
          <w:szCs w:val="20"/>
          <w:lang w:eastAsia="es-ES_tradnl"/>
        </w:rPr>
      </w:pPr>
    </w:p>
    <w:p w14:paraId="66E07D6E" w14:textId="77777777" w:rsidR="005B3A5C" w:rsidRDefault="005B3A5C" w:rsidP="00B42204">
      <w:pPr>
        <w:spacing w:after="0" w:line="240" w:lineRule="auto"/>
        <w:rPr>
          <w:rFonts w:ascii="Verdana" w:eastAsia="Calibri" w:hAnsi="Verdana" w:cs="Arial"/>
          <w:bCs/>
          <w:sz w:val="20"/>
          <w:szCs w:val="20"/>
          <w:lang w:eastAsia="es-ES_tradnl"/>
        </w:rPr>
      </w:pPr>
    </w:p>
    <w:p w14:paraId="1849AA20" w14:textId="77777777" w:rsidR="005B3A5C" w:rsidRDefault="005B3A5C" w:rsidP="00B42204">
      <w:pPr>
        <w:spacing w:after="0" w:line="240" w:lineRule="auto"/>
        <w:rPr>
          <w:rFonts w:ascii="Verdana" w:eastAsia="Calibri" w:hAnsi="Verdana" w:cs="Arial"/>
          <w:bCs/>
          <w:sz w:val="20"/>
          <w:szCs w:val="20"/>
          <w:lang w:eastAsia="es-ES_tradnl"/>
        </w:rPr>
      </w:pPr>
    </w:p>
    <w:p w14:paraId="55F43937" w14:textId="77777777" w:rsidR="005B3A5C" w:rsidRDefault="005B3A5C" w:rsidP="00B42204">
      <w:pPr>
        <w:spacing w:after="0" w:line="240" w:lineRule="auto"/>
        <w:rPr>
          <w:rFonts w:ascii="Verdana" w:eastAsia="Calibri" w:hAnsi="Verdana" w:cs="Arial"/>
          <w:bCs/>
          <w:sz w:val="20"/>
          <w:szCs w:val="20"/>
          <w:lang w:eastAsia="es-ES_tradnl"/>
        </w:rPr>
      </w:pPr>
    </w:p>
    <w:p w14:paraId="30178751" w14:textId="5D1050AF" w:rsidR="00B42204" w:rsidRPr="005B3A5C" w:rsidRDefault="005B79CE" w:rsidP="00B42204">
      <w:pPr>
        <w:spacing w:after="0" w:line="240" w:lineRule="auto"/>
        <w:rPr>
          <w:rFonts w:ascii="Verdana" w:eastAsia="Calibri" w:hAnsi="Verdana" w:cs="Arial"/>
          <w:bCs/>
          <w:lang w:eastAsia="es-ES_tradnl"/>
        </w:rPr>
      </w:pPr>
      <w:r w:rsidRPr="005B3A5C">
        <w:rPr>
          <w:rFonts w:ascii="Verdana" w:eastAsia="Calibri" w:hAnsi="Verdana" w:cs="Arial"/>
          <w:bCs/>
          <w:lang w:eastAsia="es-ES_tradnl"/>
        </w:rPr>
        <w:lastRenderedPageBreak/>
        <w:t>Bogotá D.C., 24 de Julio de 2026</w:t>
      </w:r>
    </w:p>
    <w:p w14:paraId="3CD9C233" w14:textId="437A0936" w:rsidR="007C31D6" w:rsidRPr="00D13475" w:rsidRDefault="005B79CE" w:rsidP="00093BF9">
      <w:pPr>
        <w:tabs>
          <w:tab w:val="left" w:pos="426"/>
        </w:tabs>
        <w:spacing w:line="240" w:lineRule="auto"/>
        <w:contextualSpacing/>
        <w:jc w:val="both"/>
        <w:rPr>
          <w:rFonts w:ascii="Verdana" w:eastAsia="Calibri" w:hAnsi="Verdana" w:cs="Arial"/>
          <w:noProof/>
          <w:color w:val="000000" w:themeColor="text1"/>
          <w:sz w:val="20"/>
          <w:szCs w:val="20"/>
          <w:lang w:val="es-ES_tradnl"/>
        </w:rPr>
      </w:pPr>
      <w:r w:rsidRPr="005B79CE">
        <w:rPr>
          <w:rFonts w:ascii="Verdana" w:eastAsia="Calibri" w:hAnsi="Verdana" w:cs="Arial"/>
          <w:noProof/>
          <w:color w:val="000000" w:themeColor="text1"/>
          <w:lang w:eastAsia="es-ES_tradnl"/>
        </w:rPr>
        <w:drawing>
          <wp:anchor distT="0" distB="0" distL="114300" distR="114300" simplePos="0" relativeHeight="251658240" behindDoc="1" locked="0" layoutInCell="1" allowOverlap="1" wp14:anchorId="085861BF" wp14:editId="25EECF47">
            <wp:simplePos x="0" y="0"/>
            <wp:positionH relativeFrom="column">
              <wp:posOffset>3352800</wp:posOffset>
            </wp:positionH>
            <wp:positionV relativeFrom="paragraph">
              <wp:posOffset>58420</wp:posOffset>
            </wp:positionV>
            <wp:extent cx="3064510" cy="960120"/>
            <wp:effectExtent l="0" t="0" r="2540" b="0"/>
            <wp:wrapTight wrapText="bothSides">
              <wp:wrapPolygon edited="0">
                <wp:start x="0" y="0"/>
                <wp:lineTo x="0" y="21000"/>
                <wp:lineTo x="21484" y="21000"/>
                <wp:lineTo x="21484" y="0"/>
                <wp:lineTo x="0" y="0"/>
              </wp:wrapPolygon>
            </wp:wrapTight>
            <wp:docPr id="18551816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181635" name=""/>
                    <pic:cNvPicPr/>
                  </pic:nvPicPr>
                  <pic:blipFill>
                    <a:blip r:embed="rId10">
                      <a:extLst>
                        <a:ext uri="{28A0092B-C50C-407E-A947-70E740481C1C}">
                          <a14:useLocalDpi xmlns:a14="http://schemas.microsoft.com/office/drawing/2010/main" val="0"/>
                        </a:ext>
                      </a:extLst>
                    </a:blip>
                    <a:stretch>
                      <a:fillRect/>
                    </a:stretch>
                  </pic:blipFill>
                  <pic:spPr>
                    <a:xfrm>
                      <a:off x="0" y="0"/>
                      <a:ext cx="3064510" cy="960120"/>
                    </a:xfrm>
                    <a:prstGeom prst="rect">
                      <a:avLst/>
                    </a:prstGeom>
                  </pic:spPr>
                </pic:pic>
              </a:graphicData>
            </a:graphic>
            <wp14:sizeRelH relativeFrom="page">
              <wp14:pctWidth>0</wp14:pctWidth>
            </wp14:sizeRelH>
            <wp14:sizeRelV relativeFrom="page">
              <wp14:pctHeight>0</wp14:pctHeight>
            </wp14:sizeRelV>
          </wp:anchor>
        </w:drawing>
      </w:r>
    </w:p>
    <w:p w14:paraId="1BACD2DF" w14:textId="17EFF808" w:rsidR="00CB1DED" w:rsidRPr="00D13475" w:rsidRDefault="00CB1DED" w:rsidP="007C31D6">
      <w:pPr>
        <w:spacing w:after="0" w:line="240" w:lineRule="auto"/>
        <w:rPr>
          <w:rFonts w:ascii="Verdana" w:eastAsia="Calibri" w:hAnsi="Verdana" w:cs="Arial"/>
          <w:color w:val="000000" w:themeColor="text1"/>
          <w:lang w:eastAsia="es-ES_tradnl"/>
        </w:rPr>
      </w:pPr>
    </w:p>
    <w:p w14:paraId="45EF9A42" w14:textId="26348763" w:rsidR="007C31D6" w:rsidRPr="00D13475" w:rsidRDefault="007C31D6" w:rsidP="007C31D6">
      <w:pPr>
        <w:spacing w:after="0" w:line="240" w:lineRule="auto"/>
        <w:rPr>
          <w:rFonts w:ascii="Verdana" w:eastAsia="Calibri" w:hAnsi="Verdana" w:cs="Arial"/>
          <w:color w:val="000000" w:themeColor="text1"/>
          <w:lang w:eastAsia="es-ES_tradnl"/>
        </w:rPr>
      </w:pPr>
      <w:r w:rsidRPr="00D13475">
        <w:rPr>
          <w:rFonts w:ascii="Verdana" w:eastAsia="Calibri" w:hAnsi="Verdana" w:cs="Arial"/>
          <w:color w:val="000000" w:themeColor="text1"/>
          <w:lang w:eastAsia="es-ES_tradnl"/>
        </w:rPr>
        <w:t>Señor</w:t>
      </w:r>
      <w:r w:rsidR="002C39A1">
        <w:rPr>
          <w:rFonts w:ascii="Verdana" w:eastAsia="Calibri" w:hAnsi="Verdana" w:cs="Arial"/>
          <w:color w:val="000000" w:themeColor="text1"/>
          <w:lang w:eastAsia="es-ES_tradnl"/>
        </w:rPr>
        <w:t xml:space="preserve"> (a)</w:t>
      </w:r>
    </w:p>
    <w:p w14:paraId="10172902" w14:textId="676EBD04" w:rsidR="007C31D6" w:rsidRDefault="002C39A1" w:rsidP="007C31D6">
      <w:pPr>
        <w:spacing w:after="0" w:line="240" w:lineRule="auto"/>
        <w:rPr>
          <w:rFonts w:ascii="Verdana" w:eastAsia="Calibri" w:hAnsi="Verdana" w:cs="Arial"/>
          <w:b/>
          <w:bCs/>
          <w:color w:val="000000" w:themeColor="text1"/>
          <w:lang w:eastAsia="es-ES_tradnl"/>
        </w:rPr>
      </w:pPr>
      <w:r>
        <w:rPr>
          <w:rFonts w:ascii="Verdana" w:eastAsia="Calibri" w:hAnsi="Verdana" w:cs="Arial"/>
          <w:b/>
          <w:bCs/>
          <w:color w:val="000000" w:themeColor="text1"/>
          <w:lang w:eastAsia="es-ES_tradnl"/>
        </w:rPr>
        <w:t>Anónimo</w:t>
      </w:r>
    </w:p>
    <w:p w14:paraId="7165DC80" w14:textId="23B074B5" w:rsidR="002C39A1" w:rsidRPr="002C39A1" w:rsidRDefault="002C39A1" w:rsidP="007C31D6">
      <w:pPr>
        <w:spacing w:after="0" w:line="240" w:lineRule="auto"/>
        <w:rPr>
          <w:rFonts w:ascii="Verdana" w:eastAsia="Calibri" w:hAnsi="Verdana" w:cs="Arial"/>
          <w:color w:val="000000" w:themeColor="text1"/>
          <w:lang w:eastAsia="es-ES_tradnl"/>
        </w:rPr>
      </w:pPr>
      <w:r>
        <w:rPr>
          <w:rFonts w:ascii="Verdana" w:eastAsia="Calibri" w:hAnsi="Verdana" w:cs="Arial"/>
          <w:color w:val="000000" w:themeColor="text1"/>
          <w:lang w:eastAsia="es-ES_tradnl"/>
        </w:rPr>
        <w:t>Contacto@ardilaasesores.com</w:t>
      </w:r>
    </w:p>
    <w:p w14:paraId="76D2FFF3" w14:textId="453E7077" w:rsidR="009979E9" w:rsidRPr="009979E9" w:rsidRDefault="009979E9" w:rsidP="007C31D6">
      <w:pPr>
        <w:spacing w:after="0" w:line="240" w:lineRule="auto"/>
        <w:rPr>
          <w:rFonts w:ascii="Verdana" w:eastAsia="Calibri" w:hAnsi="Verdana" w:cs="Arial"/>
          <w:color w:val="000000" w:themeColor="text1"/>
          <w:lang w:eastAsia="es-ES_tradnl"/>
        </w:rPr>
      </w:pPr>
      <w:r>
        <w:rPr>
          <w:rFonts w:ascii="Verdana" w:hAnsi="Verdana"/>
        </w:rPr>
        <w:t>Bogotá, Cundinamarca</w:t>
      </w:r>
    </w:p>
    <w:p w14:paraId="36B9961D" w14:textId="77777777" w:rsidR="00BD40B4" w:rsidRPr="009979E9" w:rsidRDefault="00BD40B4" w:rsidP="007C31D6">
      <w:pPr>
        <w:spacing w:after="0" w:line="240" w:lineRule="auto"/>
        <w:rPr>
          <w:rFonts w:ascii="Verdana" w:eastAsia="Calibri" w:hAnsi="Verdana" w:cs="Arial"/>
          <w:color w:val="000000" w:themeColor="text1"/>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D13475" w:rsidRPr="00D13475" w14:paraId="16601339" w14:textId="77777777" w:rsidTr="000E7260">
        <w:trPr>
          <w:trHeight w:val="190"/>
        </w:trPr>
        <w:tc>
          <w:tcPr>
            <w:tcW w:w="2689" w:type="dxa"/>
          </w:tcPr>
          <w:p w14:paraId="638CF024" w14:textId="77777777" w:rsidR="007C31D6" w:rsidRPr="00D13475" w:rsidRDefault="007C31D6" w:rsidP="000E7260">
            <w:pPr>
              <w:jc w:val="both"/>
              <w:rPr>
                <w:rFonts w:ascii="Verdana" w:eastAsia="Calibri" w:hAnsi="Verdana" w:cs="Arial"/>
                <w:b/>
                <w:bCs/>
                <w:color w:val="000000" w:themeColor="text1"/>
                <w:lang w:eastAsia="es-ES_tradnl"/>
              </w:rPr>
            </w:pPr>
          </w:p>
        </w:tc>
        <w:tc>
          <w:tcPr>
            <w:tcW w:w="6100" w:type="dxa"/>
          </w:tcPr>
          <w:p w14:paraId="30E57AAF" w14:textId="6AC5CC94" w:rsidR="007C31D6" w:rsidRPr="00D13475" w:rsidRDefault="007C31D6" w:rsidP="000E7260">
            <w:pPr>
              <w:jc w:val="both"/>
              <w:rPr>
                <w:rFonts w:ascii="Verdana" w:eastAsia="Calibri" w:hAnsi="Verdana" w:cs="Arial"/>
                <w:b/>
                <w:bCs/>
                <w:color w:val="000000" w:themeColor="text1"/>
                <w:lang w:eastAsia="es-ES"/>
              </w:rPr>
            </w:pPr>
            <w:r w:rsidRPr="00D13475">
              <w:rPr>
                <w:rFonts w:ascii="Verdana" w:eastAsia="Calibri" w:hAnsi="Verdana" w:cs="Arial"/>
                <w:b/>
                <w:bCs/>
                <w:color w:val="000000" w:themeColor="text1"/>
                <w:lang w:eastAsia="es-ES"/>
              </w:rPr>
              <w:t>Concepto C-</w:t>
            </w:r>
            <w:r w:rsidR="009979E9">
              <w:rPr>
                <w:rFonts w:ascii="Verdana" w:eastAsia="Calibri" w:hAnsi="Verdana" w:cs="Arial"/>
                <w:b/>
                <w:bCs/>
                <w:color w:val="000000" w:themeColor="text1"/>
                <w:lang w:eastAsia="es-ES"/>
              </w:rPr>
              <w:t xml:space="preserve"> </w:t>
            </w:r>
            <w:r w:rsidR="009D25AB">
              <w:rPr>
                <w:rFonts w:ascii="Verdana" w:eastAsia="Calibri" w:hAnsi="Verdana" w:cs="Arial"/>
                <w:b/>
                <w:bCs/>
                <w:color w:val="000000" w:themeColor="text1"/>
                <w:lang w:eastAsia="es-ES"/>
              </w:rPr>
              <w:t>953</w:t>
            </w:r>
            <w:r w:rsidRPr="00D13475">
              <w:rPr>
                <w:rFonts w:ascii="Verdana" w:eastAsia="Calibri" w:hAnsi="Verdana" w:cs="Arial"/>
                <w:b/>
                <w:bCs/>
                <w:color w:val="000000" w:themeColor="text1"/>
                <w:lang w:eastAsia="es-ES"/>
              </w:rPr>
              <w:t xml:space="preserve"> de 2026</w:t>
            </w:r>
          </w:p>
          <w:p w14:paraId="6EA04ABC" w14:textId="77777777" w:rsidR="007C31D6" w:rsidRPr="00D13475" w:rsidRDefault="007C31D6" w:rsidP="000E7260">
            <w:pPr>
              <w:jc w:val="both"/>
              <w:rPr>
                <w:rFonts w:ascii="Verdana" w:eastAsia="Calibri" w:hAnsi="Verdana" w:cs="Arial"/>
                <w:b/>
                <w:bCs/>
                <w:color w:val="000000" w:themeColor="text1"/>
                <w:lang w:eastAsia="es-ES"/>
              </w:rPr>
            </w:pPr>
          </w:p>
        </w:tc>
      </w:tr>
      <w:tr w:rsidR="00B42204" w:rsidRPr="00D13475" w14:paraId="42C90597" w14:textId="77777777" w:rsidTr="000E7260">
        <w:trPr>
          <w:trHeight w:val="884"/>
        </w:trPr>
        <w:tc>
          <w:tcPr>
            <w:tcW w:w="2689" w:type="dxa"/>
          </w:tcPr>
          <w:p w14:paraId="7ECE2E2C" w14:textId="77777777" w:rsidR="00B42204" w:rsidRPr="00D13475" w:rsidRDefault="00B42204" w:rsidP="00B42204">
            <w:pPr>
              <w:jc w:val="both"/>
              <w:rPr>
                <w:rFonts w:ascii="Verdana" w:eastAsia="Calibri" w:hAnsi="Verdana" w:cs="Arial"/>
                <w:color w:val="000000" w:themeColor="text1"/>
                <w:lang w:eastAsia="es-ES_tradnl"/>
              </w:rPr>
            </w:pPr>
            <w:r w:rsidRPr="00D13475">
              <w:rPr>
                <w:rFonts w:ascii="Verdana" w:eastAsia="Calibri" w:hAnsi="Verdana" w:cs="Arial"/>
                <w:b/>
                <w:color w:val="000000" w:themeColor="text1"/>
                <w:lang w:eastAsia="es-ES_tradnl"/>
              </w:rPr>
              <w:t>Tema:</w:t>
            </w:r>
            <w:r w:rsidRPr="00D13475">
              <w:rPr>
                <w:rFonts w:ascii="Verdana" w:eastAsia="Calibri" w:hAnsi="Verdana" w:cs="Arial"/>
                <w:color w:val="000000" w:themeColor="text1"/>
                <w:lang w:eastAsia="es-ES_tradnl"/>
              </w:rPr>
              <w:t xml:space="preserve">                   </w:t>
            </w:r>
          </w:p>
        </w:tc>
        <w:tc>
          <w:tcPr>
            <w:tcW w:w="6100" w:type="dxa"/>
          </w:tcPr>
          <w:p w14:paraId="32B07AF7" w14:textId="77777777" w:rsidR="00B42204" w:rsidRDefault="009D25AB" w:rsidP="00B42204">
            <w:pPr>
              <w:jc w:val="both"/>
              <w:rPr>
                <w:rFonts w:ascii="Verdana" w:hAnsi="Verdana" w:cs="Verdana"/>
                <w:color w:val="000000"/>
              </w:rPr>
            </w:pPr>
            <w:r w:rsidRPr="00331BE8">
              <w:rPr>
                <w:rFonts w:ascii="Verdana" w:hAnsi="Verdana" w:cs="Verdana"/>
                <w:color w:val="000000"/>
              </w:rPr>
              <w:t>RÉGIMEN DE INHABILIDADES E INCOMPATIBILIDADES – Noción – Finalidad / RÉGIMEN DE INHABILIDADES E INCOMPATIBILIDADES – Carácter restrictivo – Interpretación restrictiva / PARENTESCO POR AFINIDAD – Segundo grado – Alcance / ADQUISICIÓN DE BIENES INMUEBLES – Contratación directa – Capacidad para contratar / INHABILIDAD POR PARENTESCO – Representante legal de la entidad estatal – Artículo 8, numeral 2, literal b), de la Ley 80 de 1993</w:t>
            </w:r>
          </w:p>
          <w:p w14:paraId="713614CE" w14:textId="14C285E5" w:rsidR="009D25AB" w:rsidRPr="00D13475" w:rsidRDefault="009D25AB" w:rsidP="00B42204">
            <w:pPr>
              <w:jc w:val="both"/>
              <w:rPr>
                <w:rFonts w:ascii="Verdana" w:eastAsia="Verdana" w:hAnsi="Verdana" w:cs="Verdana"/>
                <w:color w:val="000000" w:themeColor="text1"/>
                <w:sz w:val="20"/>
                <w:szCs w:val="20"/>
                <w:lang w:val="es-MX"/>
              </w:rPr>
            </w:pPr>
          </w:p>
        </w:tc>
      </w:tr>
      <w:tr w:rsidR="00B42204" w:rsidRPr="00D13475" w14:paraId="6D1E6EE3" w14:textId="77777777" w:rsidTr="000E7260">
        <w:tc>
          <w:tcPr>
            <w:tcW w:w="2689" w:type="dxa"/>
          </w:tcPr>
          <w:p w14:paraId="34E85B48" w14:textId="77777777" w:rsidR="00B42204" w:rsidRPr="00D13475" w:rsidRDefault="00B42204" w:rsidP="00B42204">
            <w:pPr>
              <w:jc w:val="both"/>
              <w:rPr>
                <w:rFonts w:ascii="Verdana" w:eastAsia="Calibri" w:hAnsi="Verdana" w:cs="Arial"/>
                <w:b/>
                <w:color w:val="000000" w:themeColor="text1"/>
                <w:lang w:eastAsia="es-ES_tradnl"/>
              </w:rPr>
            </w:pPr>
            <w:r w:rsidRPr="00D13475">
              <w:rPr>
                <w:rFonts w:ascii="Verdana" w:eastAsia="Calibri" w:hAnsi="Verdana" w:cs="Arial"/>
                <w:b/>
                <w:color w:val="000000" w:themeColor="text1"/>
                <w:lang w:eastAsia="es-ES_tradnl"/>
              </w:rPr>
              <w:t>Radicación:</w:t>
            </w:r>
            <w:r w:rsidRPr="00D13475">
              <w:rPr>
                <w:rFonts w:ascii="Verdana" w:eastAsia="Calibri" w:hAnsi="Verdana" w:cs="Arial"/>
                <w:color w:val="000000" w:themeColor="text1"/>
                <w:lang w:eastAsia="es-ES_tradnl"/>
              </w:rPr>
              <w:t xml:space="preserve">               </w:t>
            </w:r>
          </w:p>
        </w:tc>
        <w:tc>
          <w:tcPr>
            <w:tcW w:w="6100" w:type="dxa"/>
          </w:tcPr>
          <w:p w14:paraId="5102A26F" w14:textId="27B9E7AD" w:rsidR="00B42204" w:rsidRPr="00D13475" w:rsidRDefault="00B42204" w:rsidP="00B42204">
            <w:pPr>
              <w:jc w:val="both"/>
              <w:rPr>
                <w:rFonts w:ascii="Verdana" w:eastAsia="Calibri" w:hAnsi="Verdana" w:cs="Arial"/>
                <w:color w:val="000000" w:themeColor="text1"/>
                <w:lang w:eastAsia="es-ES_tradnl"/>
              </w:rPr>
            </w:pPr>
            <w:r w:rsidRPr="00D13475">
              <w:rPr>
                <w:rFonts w:ascii="Verdana" w:eastAsia="Calibri" w:hAnsi="Verdana" w:cs="Arial"/>
                <w:color w:val="000000" w:themeColor="text1"/>
                <w:lang w:eastAsia="es-ES_tradnl"/>
              </w:rPr>
              <w:t xml:space="preserve">Respuesta a consulta con radicado </w:t>
            </w:r>
            <w:r w:rsidR="005B3A5C" w:rsidRPr="00D13475">
              <w:rPr>
                <w:rFonts w:ascii="Verdana" w:eastAsia="Calibri" w:hAnsi="Verdana" w:cs="Arial"/>
                <w:color w:val="000000" w:themeColor="text1"/>
                <w:lang w:eastAsia="es-ES_tradnl"/>
              </w:rPr>
              <w:t>No.</w:t>
            </w:r>
            <w:r w:rsidR="005B3A5C" w:rsidRPr="00D13475">
              <w:rPr>
                <w:rFonts w:ascii="Verdana" w:hAnsi="Verdana" w:cs="Segoe UI"/>
                <w:color w:val="000000" w:themeColor="text1"/>
                <w:shd w:val="clear" w:color="auto" w:fill="FFFFFF"/>
              </w:rPr>
              <w:t xml:space="preserve"> 1</w:t>
            </w:r>
            <w:r w:rsidR="002C39A1" w:rsidRPr="002C39A1">
              <w:rPr>
                <w:rFonts w:ascii="Verdana" w:hAnsi="Verdana" w:cs="Segoe UI"/>
                <w:color w:val="000000" w:themeColor="text1"/>
                <w:shd w:val="clear" w:color="auto" w:fill="FFFFFF"/>
              </w:rPr>
              <w:t>_2026_06_09_007831</w:t>
            </w:r>
          </w:p>
        </w:tc>
      </w:tr>
    </w:tbl>
    <w:p w14:paraId="4390F041" w14:textId="77777777" w:rsidR="007C31D6" w:rsidRPr="00D13475" w:rsidRDefault="007C31D6" w:rsidP="007C31D6">
      <w:pPr>
        <w:spacing w:after="0" w:line="240" w:lineRule="auto"/>
        <w:jc w:val="both"/>
        <w:rPr>
          <w:rFonts w:ascii="Verdana" w:eastAsia="Calibri" w:hAnsi="Verdana" w:cs="Arial"/>
          <w:color w:val="000000" w:themeColor="text1"/>
          <w:lang w:eastAsia="es-ES_tradnl"/>
        </w:rPr>
      </w:pPr>
    </w:p>
    <w:p w14:paraId="2A5DB5C5" w14:textId="3BB2BC8E" w:rsidR="007C31D6" w:rsidRPr="00D13475" w:rsidRDefault="00F56178" w:rsidP="007C31D6">
      <w:pPr>
        <w:spacing w:after="0" w:line="276" w:lineRule="auto"/>
        <w:jc w:val="both"/>
        <w:rPr>
          <w:rFonts w:ascii="Verdana" w:eastAsia="Calibri" w:hAnsi="Verdana" w:cs="Arial"/>
          <w:color w:val="000000" w:themeColor="text1"/>
          <w:lang w:eastAsia="es-ES"/>
        </w:rPr>
      </w:pPr>
      <w:r w:rsidRPr="00F56178">
        <w:rPr>
          <w:rFonts w:ascii="Verdana" w:eastAsia="Calibri" w:hAnsi="Verdana" w:cs="Arial"/>
          <w:color w:val="000000" w:themeColor="text1"/>
          <w:lang w:eastAsia="es-ES"/>
        </w:rPr>
        <w:t>Respetado(a) peticionario(a):</w:t>
      </w:r>
    </w:p>
    <w:p w14:paraId="68131D55" w14:textId="77777777" w:rsidR="007C31D6" w:rsidRPr="00D13475" w:rsidRDefault="007C31D6" w:rsidP="007C31D6">
      <w:pPr>
        <w:tabs>
          <w:tab w:val="left" w:pos="3768"/>
        </w:tabs>
        <w:spacing w:after="0" w:line="276" w:lineRule="auto"/>
        <w:jc w:val="both"/>
        <w:rPr>
          <w:rFonts w:ascii="Verdana" w:eastAsia="Calibri" w:hAnsi="Verdana" w:cs="Arial"/>
          <w:color w:val="000000" w:themeColor="text1"/>
          <w:lang w:eastAsia="es-ES"/>
        </w:rPr>
      </w:pPr>
    </w:p>
    <w:p w14:paraId="6ABFAF51" w14:textId="42DCAC55" w:rsidR="0068231B" w:rsidRPr="00D13475" w:rsidRDefault="007C31D6" w:rsidP="007C31D6">
      <w:pPr>
        <w:spacing w:after="0" w:line="276" w:lineRule="auto"/>
        <w:jc w:val="both"/>
        <w:rPr>
          <w:rFonts w:ascii="Verdana" w:eastAsia="Calibri" w:hAnsi="Verdana" w:cs="Arial"/>
          <w:color w:val="000000" w:themeColor="text1"/>
          <w:lang w:eastAsia="es-ES"/>
        </w:rPr>
      </w:pPr>
      <w:r w:rsidRPr="00D13475">
        <w:rPr>
          <w:rFonts w:ascii="Verdana" w:eastAsia="Calibri" w:hAnsi="Verdana" w:cs="Arial"/>
          <w:color w:val="000000" w:themeColor="text1"/>
          <w:lang w:eastAsia="es-ES"/>
        </w:rPr>
        <w:t>En ejercicio de la competencia otorgada por los artículos 3, numeral 5º, y 11, numeral 8º, del Decreto Ley 4170 de 2011,</w:t>
      </w:r>
      <w:r w:rsidRPr="00D13475">
        <w:rPr>
          <w:rFonts w:ascii="Verdana" w:eastAsia="Arial MT" w:hAnsi="Verdana" w:cs="Arial MT"/>
          <w:color w:val="000000" w:themeColor="text1"/>
          <w:lang w:eastAsia="es-ES"/>
        </w:rPr>
        <w:t xml:space="preserve"> </w:t>
      </w:r>
      <w:r w:rsidRPr="00D13475">
        <w:rPr>
          <w:rFonts w:ascii="Verdana" w:hAnsi="Verdana" w:cs="Arial"/>
          <w:color w:val="000000" w:themeColor="text1"/>
        </w:rPr>
        <w:t xml:space="preserve">así como lo establecido en el artículo 4 de la Resolución 1707 de 2018 expedida por esta Entidad, </w:t>
      </w:r>
      <w:r w:rsidRPr="00D13475">
        <w:rPr>
          <w:rFonts w:ascii="Verdana" w:eastAsia="Calibri" w:hAnsi="Verdana" w:cs="Arial"/>
          <w:color w:val="000000" w:themeColor="text1"/>
          <w:lang w:eastAsia="es-ES"/>
        </w:rPr>
        <w:t xml:space="preserve">la Agencia Nacional de Contratación Pública – Colombia Compra Eficiente– responde su solicitud </w:t>
      </w:r>
      <w:r w:rsidR="00C3587D" w:rsidRPr="00D13475">
        <w:rPr>
          <w:rFonts w:ascii="Verdana" w:eastAsia="Calibri" w:hAnsi="Verdana" w:cs="Arial"/>
          <w:color w:val="000000" w:themeColor="text1"/>
          <w:lang w:eastAsia="es-ES"/>
        </w:rPr>
        <w:t xml:space="preserve">remitida </w:t>
      </w:r>
      <w:r w:rsidR="00051D01" w:rsidRPr="00D13475">
        <w:rPr>
          <w:rFonts w:ascii="Verdana" w:eastAsia="Calibri" w:hAnsi="Verdana" w:cs="Arial"/>
          <w:color w:val="000000" w:themeColor="text1"/>
          <w:lang w:eastAsia="es-ES"/>
        </w:rPr>
        <w:t xml:space="preserve">a esta Agencia el pasado </w:t>
      </w:r>
      <w:r w:rsidR="002C39A1">
        <w:rPr>
          <w:rFonts w:ascii="Verdana" w:eastAsia="Calibri" w:hAnsi="Verdana" w:cs="Arial"/>
          <w:color w:val="000000" w:themeColor="text1"/>
          <w:lang w:eastAsia="es-ES"/>
        </w:rPr>
        <w:t>9</w:t>
      </w:r>
      <w:r w:rsidR="00B42204">
        <w:rPr>
          <w:rFonts w:ascii="Verdana" w:eastAsia="Calibri" w:hAnsi="Verdana" w:cs="Arial"/>
          <w:color w:val="000000" w:themeColor="text1"/>
          <w:lang w:eastAsia="es-ES"/>
        </w:rPr>
        <w:t xml:space="preserve"> </w:t>
      </w:r>
      <w:r w:rsidRPr="00D13475">
        <w:rPr>
          <w:rFonts w:ascii="Verdana" w:eastAsia="Calibri" w:hAnsi="Verdana" w:cs="Arial"/>
          <w:color w:val="000000" w:themeColor="text1"/>
          <w:lang w:eastAsia="es-ES"/>
        </w:rPr>
        <w:t xml:space="preserve">de </w:t>
      </w:r>
      <w:r w:rsidR="002C39A1">
        <w:rPr>
          <w:rFonts w:ascii="Verdana" w:eastAsia="Calibri" w:hAnsi="Verdana" w:cs="Arial"/>
          <w:color w:val="000000" w:themeColor="text1"/>
          <w:lang w:eastAsia="es-ES"/>
        </w:rPr>
        <w:t>juni</w:t>
      </w:r>
      <w:r w:rsidR="005B3A5C">
        <w:rPr>
          <w:rFonts w:ascii="Verdana" w:eastAsia="Calibri" w:hAnsi="Verdana" w:cs="Arial"/>
          <w:color w:val="000000" w:themeColor="text1"/>
          <w:lang w:eastAsia="es-ES"/>
        </w:rPr>
        <w:t>o</w:t>
      </w:r>
      <w:r w:rsidRPr="00D13475">
        <w:rPr>
          <w:rFonts w:ascii="Verdana" w:eastAsia="Calibri" w:hAnsi="Verdana" w:cs="Arial"/>
          <w:color w:val="000000" w:themeColor="text1"/>
          <w:lang w:eastAsia="es-ES"/>
        </w:rPr>
        <w:t xml:space="preserve"> de 2026, en la cual manifiesta lo siguiente: </w:t>
      </w:r>
    </w:p>
    <w:p w14:paraId="40F334F8" w14:textId="77777777" w:rsidR="00093BF9" w:rsidRPr="00D13475" w:rsidRDefault="00093BF9" w:rsidP="007C31D6">
      <w:pPr>
        <w:spacing w:after="0" w:line="276" w:lineRule="auto"/>
        <w:jc w:val="both"/>
        <w:rPr>
          <w:rFonts w:ascii="Verdana" w:eastAsia="Calibri" w:hAnsi="Verdana" w:cs="Arial"/>
          <w:color w:val="000000" w:themeColor="text1"/>
          <w:lang w:eastAsia="es-ES"/>
        </w:rPr>
      </w:pPr>
    </w:p>
    <w:p w14:paraId="17681449" w14:textId="3385E495" w:rsidR="0068231B" w:rsidRPr="00D13475" w:rsidRDefault="00093BF9" w:rsidP="002C39A1">
      <w:pPr>
        <w:spacing w:after="0" w:line="276" w:lineRule="auto"/>
        <w:ind w:left="709" w:right="616"/>
        <w:jc w:val="both"/>
        <w:rPr>
          <w:rFonts w:ascii="Verdana" w:eastAsia="Calibri" w:hAnsi="Verdana" w:cs="Arial"/>
          <w:color w:val="000000" w:themeColor="text1"/>
          <w:sz w:val="20"/>
          <w:szCs w:val="20"/>
          <w:lang w:eastAsia="es-ES"/>
        </w:rPr>
      </w:pPr>
      <w:r w:rsidRPr="00D13475">
        <w:rPr>
          <w:rFonts w:ascii="Verdana" w:eastAsia="Calibri" w:hAnsi="Verdana" w:cs="Arial"/>
          <w:color w:val="000000" w:themeColor="text1"/>
          <w:sz w:val="20"/>
          <w:szCs w:val="20"/>
          <w:lang w:eastAsia="es-ES"/>
        </w:rPr>
        <w:t>“</w:t>
      </w:r>
      <w:r w:rsidR="002C39A1" w:rsidRPr="002C39A1">
        <w:rPr>
          <w:rFonts w:ascii="Verdana" w:eastAsia="Calibri" w:hAnsi="Verdana" w:cs="Arial"/>
          <w:color w:val="000000" w:themeColor="text1"/>
          <w:sz w:val="20"/>
          <w:szCs w:val="20"/>
          <w:lang w:eastAsia="es-ES"/>
        </w:rPr>
        <w:t>EL Alcalde de una entidad territorial (Municipio) de sexta categoría, en</w:t>
      </w:r>
      <w:r w:rsidR="002C39A1">
        <w:rPr>
          <w:rFonts w:ascii="Verdana" w:eastAsia="Calibri" w:hAnsi="Verdana" w:cs="Arial"/>
          <w:color w:val="000000" w:themeColor="text1"/>
          <w:sz w:val="20"/>
          <w:szCs w:val="20"/>
          <w:lang w:eastAsia="es-ES"/>
        </w:rPr>
        <w:t xml:space="preserve"> </w:t>
      </w:r>
      <w:r w:rsidR="002C39A1" w:rsidRPr="002C39A1">
        <w:rPr>
          <w:rFonts w:ascii="Verdana" w:eastAsia="Calibri" w:hAnsi="Verdana" w:cs="Arial"/>
          <w:color w:val="000000" w:themeColor="text1"/>
          <w:sz w:val="20"/>
          <w:szCs w:val="20"/>
          <w:lang w:eastAsia="es-ES"/>
        </w:rPr>
        <w:t>cumplimiento de lo establecido en el Art. 111 de la Ley 99 de 1993</w:t>
      </w:r>
      <w:r w:rsidR="002C39A1">
        <w:rPr>
          <w:rFonts w:ascii="Verdana" w:eastAsia="Calibri" w:hAnsi="Verdana" w:cs="Arial"/>
          <w:color w:val="000000" w:themeColor="text1"/>
          <w:sz w:val="20"/>
          <w:szCs w:val="20"/>
          <w:lang w:eastAsia="es-ES"/>
        </w:rPr>
        <w:t xml:space="preserve"> </w:t>
      </w:r>
      <w:r w:rsidR="002C39A1" w:rsidRPr="002C39A1">
        <w:rPr>
          <w:rFonts w:ascii="Verdana" w:eastAsia="Calibri" w:hAnsi="Verdana" w:cs="Arial"/>
          <w:color w:val="000000" w:themeColor="text1"/>
          <w:sz w:val="20"/>
          <w:szCs w:val="20"/>
          <w:lang w:eastAsia="es-ES"/>
        </w:rPr>
        <w:t>(modificado por la Ley 1450 de 2011), puede contratar con su cuñada la</w:t>
      </w:r>
      <w:r w:rsidR="002C39A1">
        <w:rPr>
          <w:rFonts w:ascii="Verdana" w:eastAsia="Calibri" w:hAnsi="Verdana" w:cs="Arial"/>
          <w:color w:val="000000" w:themeColor="text1"/>
          <w:sz w:val="20"/>
          <w:szCs w:val="20"/>
          <w:lang w:eastAsia="es-ES"/>
        </w:rPr>
        <w:t xml:space="preserve"> </w:t>
      </w:r>
      <w:r w:rsidR="002C39A1" w:rsidRPr="002C39A1">
        <w:rPr>
          <w:rFonts w:ascii="Verdana" w:eastAsia="Calibri" w:hAnsi="Verdana" w:cs="Arial"/>
          <w:color w:val="000000" w:themeColor="text1"/>
          <w:sz w:val="20"/>
          <w:szCs w:val="20"/>
          <w:lang w:eastAsia="es-ES"/>
        </w:rPr>
        <w:t>compra de un predio de importancia estratégica para la conservación de</w:t>
      </w:r>
      <w:r w:rsidR="002C39A1">
        <w:rPr>
          <w:rFonts w:ascii="Verdana" w:eastAsia="Calibri" w:hAnsi="Verdana" w:cs="Arial"/>
          <w:color w:val="000000" w:themeColor="text1"/>
          <w:sz w:val="20"/>
          <w:szCs w:val="20"/>
          <w:lang w:eastAsia="es-ES"/>
        </w:rPr>
        <w:t xml:space="preserve"> </w:t>
      </w:r>
      <w:r w:rsidR="002C39A1" w:rsidRPr="002C39A1">
        <w:rPr>
          <w:rFonts w:ascii="Verdana" w:eastAsia="Calibri" w:hAnsi="Verdana" w:cs="Arial"/>
          <w:color w:val="000000" w:themeColor="text1"/>
          <w:sz w:val="20"/>
          <w:szCs w:val="20"/>
          <w:lang w:eastAsia="es-ES"/>
        </w:rPr>
        <w:t>recursos hídricos, cuando después de realizar los estudios y análisis</w:t>
      </w:r>
      <w:r w:rsidR="002C39A1">
        <w:rPr>
          <w:rFonts w:ascii="Verdana" w:eastAsia="Calibri" w:hAnsi="Verdana" w:cs="Arial"/>
          <w:color w:val="000000" w:themeColor="text1"/>
          <w:sz w:val="20"/>
          <w:szCs w:val="20"/>
          <w:lang w:eastAsia="es-ES"/>
        </w:rPr>
        <w:t xml:space="preserve"> </w:t>
      </w:r>
      <w:r w:rsidR="002C39A1" w:rsidRPr="002C39A1">
        <w:rPr>
          <w:rFonts w:ascii="Verdana" w:eastAsia="Calibri" w:hAnsi="Verdana" w:cs="Arial"/>
          <w:color w:val="000000" w:themeColor="text1"/>
          <w:sz w:val="20"/>
          <w:szCs w:val="20"/>
          <w:lang w:eastAsia="es-ES"/>
        </w:rPr>
        <w:t>previos, se establece que dicho inmueble es de importancia estratégica</w:t>
      </w:r>
      <w:r w:rsidR="002C39A1">
        <w:rPr>
          <w:rFonts w:ascii="Verdana" w:eastAsia="Calibri" w:hAnsi="Verdana" w:cs="Arial"/>
          <w:color w:val="000000" w:themeColor="text1"/>
          <w:sz w:val="20"/>
          <w:szCs w:val="20"/>
          <w:lang w:eastAsia="es-ES"/>
        </w:rPr>
        <w:t xml:space="preserve"> </w:t>
      </w:r>
      <w:r w:rsidR="002C39A1" w:rsidRPr="002C39A1">
        <w:rPr>
          <w:rFonts w:ascii="Verdana" w:eastAsia="Calibri" w:hAnsi="Verdana" w:cs="Arial"/>
          <w:color w:val="000000" w:themeColor="text1"/>
          <w:sz w:val="20"/>
          <w:szCs w:val="20"/>
          <w:lang w:eastAsia="es-ES"/>
        </w:rPr>
        <w:t>para la entidad:</w:t>
      </w:r>
      <w:r w:rsidR="0068231B" w:rsidRPr="00D13475">
        <w:rPr>
          <w:rFonts w:ascii="Verdana" w:eastAsia="Calibri" w:hAnsi="Verdana" w:cs="Arial"/>
          <w:color w:val="000000" w:themeColor="text1"/>
          <w:sz w:val="20"/>
          <w:szCs w:val="20"/>
          <w:lang w:eastAsia="es-ES"/>
        </w:rPr>
        <w:t>”</w:t>
      </w:r>
    </w:p>
    <w:p w14:paraId="02C50C52" w14:textId="77777777" w:rsidR="007C31D6" w:rsidRPr="00D13475" w:rsidRDefault="007C31D6" w:rsidP="007C31D6">
      <w:pPr>
        <w:spacing w:after="0" w:line="276" w:lineRule="auto"/>
        <w:ind w:right="709"/>
        <w:jc w:val="both"/>
        <w:rPr>
          <w:rFonts w:ascii="Verdana" w:eastAsia="Calibri" w:hAnsi="Verdana" w:cs="Arial"/>
          <w:color w:val="000000" w:themeColor="text1"/>
          <w:lang w:eastAsia="es-ES"/>
        </w:rPr>
      </w:pPr>
    </w:p>
    <w:p w14:paraId="5C765451" w14:textId="77777777" w:rsidR="007C31D6" w:rsidRPr="00D13475" w:rsidRDefault="007C31D6" w:rsidP="007C31D6">
      <w:pPr>
        <w:spacing w:after="120" w:line="276" w:lineRule="auto"/>
        <w:ind w:firstLine="709"/>
        <w:jc w:val="both"/>
        <w:rPr>
          <w:rFonts w:ascii="Verdana" w:eastAsia="Calibri" w:hAnsi="Verdana" w:cs="Arial"/>
          <w:color w:val="000000" w:themeColor="text1"/>
          <w:szCs w:val="24"/>
          <w:lang w:eastAsia="es-ES_tradnl"/>
        </w:rPr>
      </w:pPr>
      <w:r w:rsidRPr="00D13475">
        <w:rPr>
          <w:rFonts w:ascii="Verdana" w:eastAsia="Calibri" w:hAnsi="Verdana" w:cs="Arial"/>
          <w:color w:val="000000" w:themeColor="text1"/>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D13475">
        <w:rPr>
          <w:rFonts w:ascii="Verdana" w:eastAsia="Calibri" w:hAnsi="Verdana" w:cs="Arial"/>
          <w:color w:val="000000" w:themeColor="text1"/>
          <w:szCs w:val="24"/>
          <w:lang w:eastAsia="es-ES_tradnl"/>
        </w:rPr>
        <w:tab/>
      </w:r>
    </w:p>
    <w:p w14:paraId="53C18D10" w14:textId="434D853D" w:rsidR="00CB1DED" w:rsidRPr="00D13475" w:rsidRDefault="007C31D6" w:rsidP="00CB1DED">
      <w:pPr>
        <w:spacing w:after="0" w:line="276" w:lineRule="auto"/>
        <w:ind w:firstLine="709"/>
        <w:jc w:val="both"/>
        <w:rPr>
          <w:rFonts w:ascii="Verdana" w:eastAsia="Calibri" w:hAnsi="Verdana" w:cs="Arial"/>
          <w:color w:val="000000" w:themeColor="text1"/>
          <w:lang w:eastAsia="es-ES"/>
        </w:rPr>
      </w:pPr>
      <w:r w:rsidRPr="00D13475">
        <w:rPr>
          <w:rFonts w:ascii="Verdana" w:eastAsia="Calibri" w:hAnsi="Verdana" w:cs="Arial"/>
          <w:color w:val="000000" w:themeColor="text1"/>
          <w:lang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algunas consideraciones sobre las normas generales relacionadas con el problema jurídico de su consulta. </w:t>
      </w:r>
    </w:p>
    <w:p w14:paraId="058A10A1" w14:textId="77777777" w:rsidR="00CB1DED" w:rsidRPr="00D13475" w:rsidRDefault="00CB1DED" w:rsidP="00CB1DED">
      <w:pPr>
        <w:spacing w:after="0" w:line="276" w:lineRule="auto"/>
        <w:ind w:firstLine="709"/>
        <w:jc w:val="both"/>
        <w:rPr>
          <w:rFonts w:ascii="Verdana" w:eastAsia="Calibri" w:hAnsi="Verdana" w:cs="Arial"/>
          <w:color w:val="000000" w:themeColor="text1"/>
          <w:lang w:eastAsia="es-ES"/>
        </w:rPr>
      </w:pPr>
    </w:p>
    <w:p w14:paraId="73CC0334" w14:textId="5C86FFFA" w:rsidR="007C31D6" w:rsidRPr="00D13475" w:rsidRDefault="007C31D6" w:rsidP="00CB1DED">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lang w:val="es-CO"/>
        </w:rPr>
      </w:pPr>
      <w:r w:rsidRPr="00D13475">
        <w:rPr>
          <w:rFonts w:ascii="Verdana" w:eastAsia="Century Gothic" w:hAnsi="Verdana" w:cs="Century Gothic"/>
          <w:b/>
          <w:bCs/>
          <w:color w:val="000000" w:themeColor="text1"/>
          <w:lang w:val="es-CO"/>
        </w:rPr>
        <w:t>Problema planteado:</w:t>
      </w:r>
    </w:p>
    <w:p w14:paraId="63D4123A" w14:textId="77777777" w:rsidR="001B7673" w:rsidRPr="00D13475" w:rsidRDefault="001B7673" w:rsidP="00D13475">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lang w:val="es-CO"/>
        </w:rPr>
      </w:pPr>
    </w:p>
    <w:p w14:paraId="1E2B530B" w14:textId="3919E509" w:rsidR="00BD40B4" w:rsidRPr="00D13475" w:rsidRDefault="007C31D6" w:rsidP="00BD40B4">
      <w:pPr>
        <w:snapToGrid w:val="0"/>
        <w:spacing w:after="0" w:line="276" w:lineRule="auto"/>
        <w:jc w:val="both"/>
        <w:rPr>
          <w:rFonts w:ascii="Verdana" w:eastAsia="Century Gothic" w:hAnsi="Verdana" w:cs="Century Gothic"/>
          <w:color w:val="000000" w:themeColor="text1"/>
        </w:rPr>
      </w:pPr>
      <w:r w:rsidRPr="00D13475">
        <w:rPr>
          <w:rFonts w:ascii="Verdana" w:eastAsia="Century Gothic" w:hAnsi="Verdana" w:cs="Century Gothic"/>
          <w:color w:val="000000" w:themeColor="text1"/>
        </w:rPr>
        <w:t xml:space="preserve">De acuerdo con el contenido de su solicitud, esta Agencia resolverá el siguiente problema jurídico: </w:t>
      </w:r>
      <w:r w:rsidR="002C39A1" w:rsidRPr="002C39A1">
        <w:rPr>
          <w:rFonts w:ascii="Verdana" w:eastAsia="Century Gothic" w:hAnsi="Verdana" w:cs="Century Gothic"/>
          <w:color w:val="000000" w:themeColor="text1"/>
        </w:rPr>
        <w:t>¿Cuál es el alcance del régimen de inhabilidades e incompatibilidades en la adquisición directa de bienes inmuebles cuando el propietario tiene un vínculo de parentesco en segundo grado de afinidad con el representante legal de la entidad estatal?</w:t>
      </w:r>
    </w:p>
    <w:p w14:paraId="2B7FE07E" w14:textId="77777777" w:rsidR="00BD40B4" w:rsidRPr="00D13475" w:rsidRDefault="00BD40B4" w:rsidP="00BD40B4">
      <w:pPr>
        <w:snapToGrid w:val="0"/>
        <w:spacing w:after="0" w:line="276" w:lineRule="auto"/>
        <w:jc w:val="both"/>
        <w:rPr>
          <w:rFonts w:ascii="Verdana" w:eastAsia="Century Gothic" w:hAnsi="Verdana" w:cs="Century Gothic"/>
          <w:color w:val="000000" w:themeColor="text1"/>
        </w:rPr>
      </w:pPr>
    </w:p>
    <w:p w14:paraId="5F17CC91" w14:textId="7F1D8B8F" w:rsidR="007C31D6" w:rsidRPr="00D13475" w:rsidRDefault="007C31D6" w:rsidP="00BD40B4">
      <w:pPr>
        <w:snapToGrid w:val="0"/>
        <w:spacing w:after="0" w:line="276" w:lineRule="auto"/>
        <w:jc w:val="both"/>
        <w:rPr>
          <w:rFonts w:ascii="Verdana" w:eastAsia="Century Gothic" w:hAnsi="Verdana" w:cs="Century Gothic"/>
          <w:b/>
          <w:bCs/>
          <w:color w:val="000000" w:themeColor="text1"/>
        </w:rPr>
      </w:pPr>
      <w:r w:rsidRPr="00D13475">
        <w:rPr>
          <w:rFonts w:ascii="Verdana" w:eastAsia="Century Gothic" w:hAnsi="Verdana" w:cs="Century Gothic"/>
          <w:b/>
          <w:bCs/>
          <w:color w:val="000000" w:themeColor="text1"/>
        </w:rPr>
        <w:t>Respuesta:</w:t>
      </w:r>
    </w:p>
    <w:p w14:paraId="2F0FD1DC" w14:textId="77777777" w:rsidR="007C31D6" w:rsidRPr="00D13475" w:rsidRDefault="007C31D6" w:rsidP="007C31D6">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lang w:val="es-CO"/>
        </w:rPr>
      </w:pPr>
    </w:p>
    <w:tbl>
      <w:tblPr>
        <w:tblStyle w:val="Tablaconcuadrcula"/>
        <w:tblW w:w="882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13475" w:rsidRPr="00D13475" w14:paraId="3CC15C7C" w14:textId="77777777" w:rsidTr="00D13475">
        <w:tc>
          <w:tcPr>
            <w:tcW w:w="8828" w:type="dxa"/>
          </w:tcPr>
          <w:p w14:paraId="5FA2CF39" w14:textId="77777777" w:rsidR="00F56178" w:rsidRPr="00F56178" w:rsidRDefault="00F56178" w:rsidP="00F56178">
            <w:pPr>
              <w:spacing w:after="120" w:line="276" w:lineRule="auto"/>
              <w:ind w:firstLine="709"/>
              <w:jc w:val="both"/>
              <w:rPr>
                <w:rFonts w:ascii="Verdana" w:hAnsi="Verdana" w:cs="Arial"/>
                <w:color w:val="000000" w:themeColor="text1"/>
                <w:lang w:eastAsia="es-ES"/>
              </w:rPr>
            </w:pPr>
            <w:r w:rsidRPr="00F56178">
              <w:rPr>
                <w:rFonts w:ascii="Verdana" w:hAnsi="Verdana" w:cs="Arial"/>
                <w:color w:val="000000" w:themeColor="text1"/>
                <w:lang w:eastAsia="es-ES"/>
              </w:rPr>
              <w:t xml:space="preserve">El régimen de inhabilidades e incompatibilidades constituye un conjunto de restricciones especiales a la capacidad para presentar ofertas y celebrar contratos estatales que, por afectar el ejercicio de un derecho, únicamente puede ser establecido por la Constitución o la ley y debe interpretarse de </w:t>
            </w:r>
            <w:r w:rsidRPr="00F56178">
              <w:rPr>
                <w:rFonts w:ascii="Verdana" w:hAnsi="Verdana" w:cs="Arial"/>
                <w:color w:val="000000" w:themeColor="text1"/>
                <w:lang w:eastAsia="es-ES"/>
              </w:rPr>
              <w:lastRenderedPageBreak/>
              <w:t>manera restrictiva, sin que sea posible ampliar sus causales por vía de analogía o de interpretación extensiva.</w:t>
            </w:r>
          </w:p>
          <w:p w14:paraId="03F49766" w14:textId="12D43D69" w:rsidR="00F56178" w:rsidRPr="00F56178" w:rsidRDefault="00F56178" w:rsidP="00F56178">
            <w:pPr>
              <w:spacing w:after="120" w:line="276" w:lineRule="auto"/>
              <w:ind w:firstLine="709"/>
              <w:jc w:val="both"/>
              <w:rPr>
                <w:rFonts w:ascii="Verdana" w:hAnsi="Verdana" w:cs="Arial"/>
                <w:color w:val="000000" w:themeColor="text1"/>
                <w:lang w:eastAsia="es-ES"/>
              </w:rPr>
            </w:pPr>
            <w:r w:rsidRPr="00F56178">
              <w:rPr>
                <w:rFonts w:ascii="Verdana" w:hAnsi="Verdana" w:cs="Arial"/>
                <w:color w:val="000000" w:themeColor="text1"/>
                <w:lang w:eastAsia="es-ES"/>
              </w:rPr>
              <w:t>La causal aplicable al supuesto consultado es la prevista en el numeral 2, literal b), del artículo 8 de la Ley 80 de 1993, conforme a la cual no pueden celebrar contratos con la entidad respectiva las personas que tengan vínculos de parentesco, hasta el segundo grado de consanguinidad, segundo de afinidad o primero civil, con los servidores públicos de los niveles directivo, asesor o ejecutivo de la entidad contratante. El representante legal de la entidad territorial</w:t>
            </w:r>
            <w:r>
              <w:rPr>
                <w:rFonts w:ascii="Verdana" w:hAnsi="Verdana" w:cs="Arial"/>
                <w:color w:val="000000" w:themeColor="text1"/>
                <w:lang w:eastAsia="es-ES"/>
              </w:rPr>
              <w:t xml:space="preserve">, para el caso concreto, </w:t>
            </w:r>
            <w:r w:rsidRPr="00F56178">
              <w:rPr>
                <w:rFonts w:ascii="Verdana" w:hAnsi="Verdana" w:cs="Arial"/>
                <w:color w:val="000000" w:themeColor="text1"/>
                <w:lang w:eastAsia="es-ES"/>
              </w:rPr>
              <w:t>el alcalde</w:t>
            </w:r>
            <w:r>
              <w:rPr>
                <w:rFonts w:ascii="Verdana" w:hAnsi="Verdana" w:cs="Arial"/>
                <w:color w:val="000000" w:themeColor="text1"/>
                <w:lang w:eastAsia="es-ES"/>
              </w:rPr>
              <w:t>,</w:t>
            </w:r>
            <w:r w:rsidRPr="00F56178">
              <w:rPr>
                <w:rFonts w:ascii="Verdana" w:hAnsi="Verdana" w:cs="Arial"/>
                <w:color w:val="000000" w:themeColor="text1"/>
                <w:lang w:eastAsia="es-ES"/>
              </w:rPr>
              <w:t xml:space="preserve"> ostenta la condición de servidor público del nivel directivo para estos efectos.</w:t>
            </w:r>
          </w:p>
          <w:p w14:paraId="5960E7CA" w14:textId="77777777" w:rsidR="00F56178" w:rsidRPr="00F56178" w:rsidRDefault="00F56178" w:rsidP="00F56178">
            <w:pPr>
              <w:spacing w:after="120" w:line="276" w:lineRule="auto"/>
              <w:ind w:firstLine="709"/>
              <w:jc w:val="both"/>
              <w:rPr>
                <w:rFonts w:ascii="Verdana" w:hAnsi="Verdana" w:cs="Arial"/>
                <w:color w:val="000000" w:themeColor="text1"/>
                <w:lang w:eastAsia="es-ES"/>
              </w:rPr>
            </w:pPr>
            <w:r w:rsidRPr="00F56178">
              <w:rPr>
                <w:rFonts w:ascii="Verdana" w:hAnsi="Verdana" w:cs="Arial"/>
                <w:color w:val="000000" w:themeColor="text1"/>
                <w:lang w:eastAsia="es-ES"/>
              </w:rPr>
              <w:t>Que la adquisición del inmueble pueda adelantarse mediante contratación directa, en los términos del literal i) del numeral 4 del artículo 2 de la Ley 1150 de 2007 y del artículo 2.2.1.2.1.4.10 del Decreto 1082 de 2015, no excluye ni suspende la aplicación del régimen de inhabilidades e incompatibilidades. Una cosa es la procedencia de la modalidad de selección y otra distinta la capacidad jurídica del propietario para ser parte del contrato estatal.</w:t>
            </w:r>
          </w:p>
          <w:p w14:paraId="75A91203" w14:textId="5506BE89" w:rsidR="00F56178" w:rsidRPr="00F56178" w:rsidRDefault="00F56178" w:rsidP="00F56178">
            <w:pPr>
              <w:spacing w:after="120" w:line="276" w:lineRule="auto"/>
              <w:ind w:firstLine="709"/>
              <w:jc w:val="both"/>
              <w:rPr>
                <w:rFonts w:ascii="Verdana" w:hAnsi="Verdana" w:cs="Arial"/>
                <w:color w:val="000000" w:themeColor="text1"/>
                <w:lang w:eastAsia="es-ES"/>
              </w:rPr>
            </w:pPr>
            <w:r w:rsidRPr="00F56178">
              <w:rPr>
                <w:rFonts w:ascii="Verdana" w:hAnsi="Verdana" w:cs="Arial"/>
                <w:color w:val="000000" w:themeColor="text1"/>
                <w:lang w:eastAsia="es-ES"/>
              </w:rPr>
              <w:t>En consecuencia, cuando se encuentra debidamente acreditado que la propietaria del predio tiene un vínculo de parentesco en segundo grado de afinidad con el representante legal de la entidad</w:t>
            </w:r>
            <w:r w:rsidR="009D25AB">
              <w:rPr>
                <w:rFonts w:ascii="Verdana" w:hAnsi="Verdana" w:cs="Arial"/>
                <w:color w:val="000000" w:themeColor="text1"/>
                <w:lang w:eastAsia="es-ES"/>
              </w:rPr>
              <w:t xml:space="preserve">, </w:t>
            </w:r>
            <w:r w:rsidRPr="00F56178">
              <w:rPr>
                <w:rFonts w:ascii="Verdana" w:hAnsi="Verdana" w:cs="Arial"/>
                <w:color w:val="000000" w:themeColor="text1"/>
                <w:lang w:eastAsia="es-ES"/>
              </w:rPr>
              <w:t>como ocurre, según el artículo 47 del Código Civil, respecto de los hermanos del cónyuge o compañero permanente, dicha persona se halla incursa en la inhabilidad del numeral 2, literal b), del artículo 8 de la Ley 80 de 1993 y, por tanto, no puede celebrar el contrato de compraventa con la respectiva entidad territorial.</w:t>
            </w:r>
          </w:p>
          <w:p w14:paraId="7224F0ED" w14:textId="77777777" w:rsidR="00F56178" w:rsidRPr="00F56178" w:rsidRDefault="00F56178" w:rsidP="00F56178">
            <w:pPr>
              <w:spacing w:after="120" w:line="276" w:lineRule="auto"/>
              <w:ind w:firstLine="709"/>
              <w:jc w:val="both"/>
              <w:rPr>
                <w:rFonts w:ascii="Verdana" w:hAnsi="Verdana" w:cs="Arial"/>
                <w:color w:val="000000" w:themeColor="text1"/>
                <w:lang w:eastAsia="es-ES"/>
              </w:rPr>
            </w:pPr>
            <w:r w:rsidRPr="00F56178">
              <w:rPr>
                <w:rFonts w:ascii="Verdana" w:hAnsi="Verdana" w:cs="Arial"/>
                <w:color w:val="000000" w:themeColor="text1"/>
                <w:lang w:eastAsia="es-ES"/>
              </w:rPr>
              <w:t xml:space="preserve">La importancia estratégica del predio para la conservación de los recursos hídricos y la obligación general prevista en el artículo 111 de la Ley 99 de 1993 no neutralizan por sí mismas la inhabilidad. Dicha disposición impone a los departamentos y municipios el deber de destinar recursos para adquirir y mantener áreas de importancia estratégica o para financiar esquemas de pago por servicios ambientales, pero no constituye una obligación legal de contratar con una persona determinada; por ello no configura la excepción prevista en el artículo 10 de la Ley 80 de 1993, que se predica de quienes contratan por obligación legal. La entidad conserva </w:t>
            </w:r>
            <w:r w:rsidRPr="00F56178">
              <w:rPr>
                <w:rFonts w:ascii="Verdana" w:hAnsi="Verdana" w:cs="Arial"/>
                <w:color w:val="000000" w:themeColor="text1"/>
                <w:lang w:eastAsia="es-ES"/>
              </w:rPr>
              <w:lastRenderedPageBreak/>
              <w:t>alternativas para satisfacer ese deber, de modo que la finalidad ambiental no impone la celebración del contrato con la propietaria inhábil.</w:t>
            </w:r>
          </w:p>
          <w:p w14:paraId="6398E78C" w14:textId="0E3BAD69" w:rsidR="00D13475" w:rsidRPr="00D13475" w:rsidRDefault="00F56178" w:rsidP="00F56178">
            <w:pPr>
              <w:spacing w:after="120" w:line="276" w:lineRule="auto"/>
              <w:ind w:firstLine="709"/>
              <w:jc w:val="both"/>
              <w:rPr>
                <w:rFonts w:ascii="Verdana" w:hAnsi="Verdana" w:cs="Arial"/>
                <w:color w:val="000000" w:themeColor="text1"/>
                <w:lang w:eastAsia="es-ES"/>
              </w:rPr>
            </w:pPr>
            <w:r w:rsidRPr="00F56178">
              <w:rPr>
                <w:rFonts w:ascii="Verdana" w:hAnsi="Verdana" w:cs="Arial"/>
                <w:color w:val="000000" w:themeColor="text1"/>
                <w:lang w:eastAsia="es-ES"/>
              </w:rPr>
              <w:t>Lo anterior se formula sobre el supuesto, expresamente definido en la consulta, de que el parentesco en segundo grado de afinidad y la condición funcional del representante legal se encuentran debidamente acreditados. La verificación de tales hechos y la valoración definitiva del caso concreto corresponden a la entidad contratante y, en caso de controversia, a las autoridades judiciales, disciplinarias y fiscales, sin que sea atribución de Colombia Compra Eficiente resolver situaciones particulares ni validar actuaciones.</w:t>
            </w:r>
          </w:p>
        </w:tc>
      </w:tr>
    </w:tbl>
    <w:p w14:paraId="60F64467" w14:textId="77777777" w:rsidR="00D13475" w:rsidRPr="00D13475" w:rsidRDefault="00D13475" w:rsidP="007C31D6">
      <w:pPr>
        <w:tabs>
          <w:tab w:val="left" w:pos="142"/>
          <w:tab w:val="left" w:pos="284"/>
        </w:tabs>
        <w:spacing w:after="0" w:line="276" w:lineRule="auto"/>
        <w:jc w:val="both"/>
        <w:rPr>
          <w:rFonts w:ascii="Verdana" w:eastAsia="Century Gothic" w:hAnsi="Verdana" w:cs="Century Gothic"/>
          <w:b/>
          <w:bCs/>
          <w:color w:val="000000" w:themeColor="text1"/>
        </w:rPr>
      </w:pPr>
    </w:p>
    <w:p w14:paraId="37F8D028" w14:textId="77777777" w:rsidR="007C31D6" w:rsidRPr="00D13475" w:rsidRDefault="007C31D6" w:rsidP="007C31D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lang w:val="es-CO"/>
        </w:rPr>
      </w:pPr>
      <w:r w:rsidRPr="00D13475">
        <w:rPr>
          <w:rFonts w:ascii="Verdana" w:eastAsia="Century Gothic" w:hAnsi="Verdana" w:cs="Century Gothic"/>
          <w:b/>
          <w:bCs/>
          <w:color w:val="000000" w:themeColor="text1"/>
          <w:lang w:val="es-CO"/>
        </w:rPr>
        <w:t>Razones de la respuesta:</w:t>
      </w:r>
    </w:p>
    <w:p w14:paraId="5F565AE2" w14:textId="77777777" w:rsidR="007C31D6" w:rsidRPr="00D13475" w:rsidRDefault="007C31D6" w:rsidP="007C31D6">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lang w:val="es-CO"/>
        </w:rPr>
      </w:pPr>
    </w:p>
    <w:p w14:paraId="28631893" w14:textId="77777777" w:rsidR="00093BF9" w:rsidRPr="00D13475" w:rsidRDefault="00093BF9" w:rsidP="00D13475">
      <w:pPr>
        <w:pStyle w:val="Textoindependiente"/>
        <w:spacing w:line="276" w:lineRule="auto"/>
        <w:jc w:val="both"/>
        <w:rPr>
          <w:color w:val="000000" w:themeColor="text1"/>
          <w:spacing w:val="-2"/>
          <w:lang w:val="es-CO"/>
        </w:rPr>
      </w:pPr>
      <w:r w:rsidRPr="00D13475">
        <w:rPr>
          <w:color w:val="000000" w:themeColor="text1"/>
          <w:lang w:val="es-CO"/>
        </w:rPr>
        <w:t>Lo</w:t>
      </w:r>
      <w:r w:rsidRPr="00D13475">
        <w:rPr>
          <w:color w:val="000000" w:themeColor="text1"/>
          <w:spacing w:val="-4"/>
          <w:lang w:val="es-CO"/>
        </w:rPr>
        <w:t xml:space="preserve"> </w:t>
      </w:r>
      <w:r w:rsidRPr="00D13475">
        <w:rPr>
          <w:color w:val="000000" w:themeColor="text1"/>
          <w:lang w:val="es-CO"/>
        </w:rPr>
        <w:t>anterior</w:t>
      </w:r>
      <w:r w:rsidRPr="00D13475">
        <w:rPr>
          <w:color w:val="000000" w:themeColor="text1"/>
          <w:spacing w:val="-8"/>
          <w:lang w:val="es-CO"/>
        </w:rPr>
        <w:t xml:space="preserve"> </w:t>
      </w:r>
      <w:r w:rsidRPr="00D13475">
        <w:rPr>
          <w:color w:val="000000" w:themeColor="text1"/>
          <w:lang w:val="es-CO"/>
        </w:rPr>
        <w:t>se</w:t>
      </w:r>
      <w:r w:rsidRPr="00D13475">
        <w:rPr>
          <w:color w:val="000000" w:themeColor="text1"/>
          <w:spacing w:val="-5"/>
          <w:lang w:val="es-CO"/>
        </w:rPr>
        <w:t xml:space="preserve"> </w:t>
      </w:r>
      <w:r w:rsidRPr="00D13475">
        <w:rPr>
          <w:color w:val="000000" w:themeColor="text1"/>
          <w:lang w:val="es-CO"/>
        </w:rPr>
        <w:t>sustenta</w:t>
      </w:r>
      <w:r w:rsidRPr="00D13475">
        <w:rPr>
          <w:color w:val="000000" w:themeColor="text1"/>
          <w:spacing w:val="-8"/>
          <w:lang w:val="es-CO"/>
        </w:rPr>
        <w:t xml:space="preserve"> </w:t>
      </w:r>
      <w:r w:rsidRPr="00D13475">
        <w:rPr>
          <w:color w:val="000000" w:themeColor="text1"/>
          <w:lang w:val="es-CO"/>
        </w:rPr>
        <w:t>en</w:t>
      </w:r>
      <w:r w:rsidRPr="00D13475">
        <w:rPr>
          <w:color w:val="000000" w:themeColor="text1"/>
          <w:spacing w:val="-4"/>
          <w:lang w:val="es-CO"/>
        </w:rPr>
        <w:t xml:space="preserve"> </w:t>
      </w:r>
      <w:r w:rsidRPr="00D13475">
        <w:rPr>
          <w:color w:val="000000" w:themeColor="text1"/>
          <w:lang w:val="es-CO"/>
        </w:rPr>
        <w:t>las</w:t>
      </w:r>
      <w:r w:rsidRPr="00D13475">
        <w:rPr>
          <w:color w:val="000000" w:themeColor="text1"/>
          <w:spacing w:val="-5"/>
          <w:lang w:val="es-CO"/>
        </w:rPr>
        <w:t xml:space="preserve"> </w:t>
      </w:r>
      <w:r w:rsidRPr="00D13475">
        <w:rPr>
          <w:color w:val="000000" w:themeColor="text1"/>
          <w:lang w:val="es-CO"/>
        </w:rPr>
        <w:t>siguientes</w:t>
      </w:r>
      <w:r w:rsidRPr="00D13475">
        <w:rPr>
          <w:color w:val="000000" w:themeColor="text1"/>
          <w:spacing w:val="-4"/>
          <w:lang w:val="es-CO"/>
        </w:rPr>
        <w:t xml:space="preserve"> </w:t>
      </w:r>
      <w:r w:rsidRPr="00D13475">
        <w:rPr>
          <w:color w:val="000000" w:themeColor="text1"/>
          <w:spacing w:val="-2"/>
          <w:lang w:val="es-CO"/>
        </w:rPr>
        <w:t>consideraciones:</w:t>
      </w:r>
    </w:p>
    <w:p w14:paraId="7CB290B2" w14:textId="77777777" w:rsidR="00093BF9" w:rsidRPr="00D13475" w:rsidRDefault="00093BF9" w:rsidP="00093BF9">
      <w:pPr>
        <w:pStyle w:val="Textoindependiente"/>
        <w:spacing w:line="276" w:lineRule="auto"/>
        <w:ind w:left="260"/>
        <w:jc w:val="both"/>
        <w:rPr>
          <w:color w:val="000000" w:themeColor="text1"/>
          <w:spacing w:val="-2"/>
          <w:lang w:val="es-CO"/>
        </w:rPr>
      </w:pPr>
    </w:p>
    <w:p w14:paraId="216B6F17" w14:textId="3BB5D48B" w:rsidR="00F56178" w:rsidRPr="00331BE8" w:rsidRDefault="00F56178" w:rsidP="00F56178">
      <w:pPr>
        <w:spacing w:line="276" w:lineRule="auto"/>
        <w:jc w:val="both"/>
        <w:rPr>
          <w:rFonts w:ascii="Verdana" w:hAnsi="Verdana"/>
        </w:rPr>
      </w:pPr>
      <w:r w:rsidRPr="00331BE8">
        <w:rPr>
          <w:rFonts w:ascii="Verdana" w:hAnsi="Verdana" w:cs="Verdana"/>
          <w:color w:val="000000"/>
        </w:rPr>
        <w:t>El régimen de inhabilidades e incompatibilidades en la contratación pública responde a la necesidad de asegurar que la provisión de bienes y servicios por parte de las Entidades Estatales se efectúe con observancia de los principios de la función administrativa y de la gestión fiscal, en particular la moralidad, la transparencia, la imparcialidad, la probidad y el interés general. Las inhabilidades e incompatibilidades son circunstancias establecidas por la Constitución o la ley que impiden que ciertas personas celebren contratos con el Estado y, por constituir límites especiales a la capacidad para contratar, deben interpretarse de forma restrictiva.</w:t>
      </w:r>
    </w:p>
    <w:p w14:paraId="31919262" w14:textId="49A7BED9" w:rsidR="00F56178" w:rsidRPr="00331BE8" w:rsidRDefault="00F56178" w:rsidP="00F56178">
      <w:pPr>
        <w:spacing w:line="276" w:lineRule="auto"/>
        <w:ind w:firstLine="708"/>
        <w:jc w:val="both"/>
        <w:rPr>
          <w:rFonts w:ascii="Verdana" w:hAnsi="Verdana"/>
        </w:rPr>
      </w:pPr>
      <w:r w:rsidRPr="00331BE8">
        <w:rPr>
          <w:rFonts w:ascii="Verdana" w:hAnsi="Verdana" w:cs="Verdana"/>
          <w:color w:val="000000"/>
        </w:rPr>
        <w:t>Por afectar el ejercicio de un derecho, las causales de inhabilidad e incompatibilidad únicamente pueden ser tipificadas por la Constitución o la ley. La Corte Constitucional ha señalado que el intérprete de este tipo de normas debe ceñirse en la mayor medida posible al tenor literal y gramatical de los enunciados normativos, sin acudir a criterios como la analogía o la interpretación extensiva para ampliar el alcance de las causales legalmente fijadas</w:t>
      </w:r>
      <w:r w:rsidRPr="00331BE8">
        <w:rPr>
          <w:rStyle w:val="Refdenotaalpie"/>
          <w:rFonts w:ascii="Verdana" w:hAnsi="Verdana" w:cs="Verdana"/>
        </w:rPr>
        <w:footnoteReference w:id="1"/>
      </w:r>
      <w:r w:rsidRPr="00331BE8">
        <w:rPr>
          <w:rFonts w:ascii="Verdana" w:hAnsi="Verdana" w:cs="Verdana"/>
          <w:color w:val="000000"/>
        </w:rPr>
        <w:t xml:space="preserve">. En el mismo sentido, el Consejo de Estado ha considerado que la interpretación restrictiva de las normas que establecen inhabilidades constituye una aplicación </w:t>
      </w:r>
      <w:r w:rsidRPr="00331BE8">
        <w:rPr>
          <w:rFonts w:ascii="Verdana" w:hAnsi="Verdana" w:cs="Verdana"/>
          <w:color w:val="000000"/>
        </w:rPr>
        <w:lastRenderedPageBreak/>
        <w:t>del principio del Estado de Derecho previsto en el artículo 6 de la Constitución Política, según el cual los particulares pueden hacer todo aquello que no les esté expresamente prohibido</w:t>
      </w:r>
      <w:r w:rsidRPr="00331BE8">
        <w:rPr>
          <w:rStyle w:val="Refdenotaalpie"/>
          <w:rFonts w:ascii="Verdana" w:hAnsi="Verdana" w:cs="Verdana"/>
        </w:rPr>
        <w:footnoteReference w:id="2"/>
      </w:r>
      <w:r w:rsidRPr="00331BE8">
        <w:rPr>
          <w:rFonts w:ascii="Verdana" w:hAnsi="Verdana" w:cs="Verdana"/>
          <w:color w:val="000000"/>
        </w:rPr>
        <w:t>.</w:t>
      </w:r>
    </w:p>
    <w:p w14:paraId="38A988F4" w14:textId="25422424" w:rsidR="00F56178" w:rsidRPr="00331BE8" w:rsidRDefault="00F56178" w:rsidP="00F56178">
      <w:pPr>
        <w:spacing w:line="276" w:lineRule="auto"/>
        <w:ind w:firstLine="708"/>
        <w:jc w:val="both"/>
        <w:rPr>
          <w:rFonts w:ascii="Verdana" w:hAnsi="Verdana"/>
        </w:rPr>
      </w:pPr>
      <w:r w:rsidRPr="00331BE8">
        <w:rPr>
          <w:rFonts w:ascii="Verdana" w:hAnsi="Verdana" w:cs="Verdana"/>
          <w:color w:val="000000"/>
        </w:rPr>
        <w:t>El artículo 8 de la Ley 80 de 1993 establece limitaciones a la capacidad para suscribir contratos estatales fundadas en las relaciones de parentesco. En particular, el numeral 2, literal b), dispone que tampoco podrán celebrar contratos estatales con la entidad respectiva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 A diferencia de las causales de los literales g) y h) del numeral 1 —referidas a la concurrencia de proponentes en un mismo proceso— y de los literales c) y d) del numeral 2 —relativos al cónyuge o compañero permanente y a determinadas personas jurídicas—, la causal aquí analizada recae directamente sobre el vínculo de parentesco del particular con el servidor público de nivel directivo de la entidad contratante.</w:t>
      </w:r>
    </w:p>
    <w:p w14:paraId="5AF7B9D4" w14:textId="75713924" w:rsidR="00F56178" w:rsidRPr="00331BE8" w:rsidRDefault="00F56178" w:rsidP="00F56178">
      <w:pPr>
        <w:spacing w:line="276" w:lineRule="auto"/>
        <w:ind w:firstLine="708"/>
        <w:jc w:val="both"/>
        <w:rPr>
          <w:rFonts w:ascii="Verdana" w:hAnsi="Verdana"/>
        </w:rPr>
      </w:pPr>
      <w:r w:rsidRPr="00331BE8">
        <w:rPr>
          <w:rFonts w:ascii="Verdana" w:hAnsi="Verdana" w:cs="Verdana"/>
          <w:color w:val="000000"/>
        </w:rPr>
        <w:t>El parentesco por afinidad se encuentra definido en el artículo 47 del Código Civil, conforme al cual la afinidad es la que existe entre una persona que está o ha estado casada y los consanguíneos de su cónyuge; la línea y el grado de afinidad de una persona con un consanguíneo de su cónyuge se califican por la línea y el grado de consanguinidad de este último con el respectivo pariente</w:t>
      </w:r>
      <w:r w:rsidRPr="00331BE8">
        <w:rPr>
          <w:rStyle w:val="Refdenotaalpie"/>
          <w:rFonts w:ascii="Verdana" w:hAnsi="Verdana" w:cs="Verdana"/>
        </w:rPr>
        <w:footnoteReference w:id="3"/>
      </w:r>
      <w:r w:rsidRPr="00331BE8">
        <w:rPr>
          <w:rFonts w:ascii="Verdana" w:hAnsi="Verdana" w:cs="Verdana"/>
          <w:color w:val="000000"/>
        </w:rPr>
        <w:t xml:space="preserve">. Comoquiera que dos hermanos se hallan en segundo grado de consanguinidad en la línea transversal (artículo 46 del Código Civil), los hermanos del cónyuge o compañero permanente se ubican, correlativamente, en el segundo grado de afinidad. La calificación de “legítima” empleada en el texto original de la norma debe entenderse superada por el principio constitucional de igualdad, y el vínculo de afinidad también se predica de la unión marital de hecho. Ahora bien, la </w:t>
      </w:r>
      <w:r w:rsidRPr="00331BE8">
        <w:rPr>
          <w:rFonts w:ascii="Verdana" w:hAnsi="Verdana" w:cs="Verdana"/>
          <w:color w:val="000000"/>
        </w:rPr>
        <w:lastRenderedPageBreak/>
        <w:t>denominación coloquial de “cuñada” no acredita por sí sola dicho vínculo: la conclusión de este concepto parte del supuesto, expresamente definido en la consulta, de que existe un parentesco jurídicamente acreditado en segundo grado de afinidad entre la propietaria y el representante legal de la entidad.</w:t>
      </w:r>
    </w:p>
    <w:p w14:paraId="6CA0D4E7" w14:textId="13A9FF89" w:rsidR="00F56178" w:rsidRPr="00331BE8" w:rsidRDefault="00F56178" w:rsidP="00F56178">
      <w:pPr>
        <w:spacing w:line="276" w:lineRule="auto"/>
        <w:ind w:firstLine="708"/>
        <w:jc w:val="both"/>
        <w:rPr>
          <w:rFonts w:ascii="Verdana" w:hAnsi="Verdana"/>
        </w:rPr>
      </w:pPr>
      <w:r w:rsidRPr="00331BE8">
        <w:rPr>
          <w:rFonts w:ascii="Verdana" w:hAnsi="Verdana" w:cs="Verdana"/>
          <w:color w:val="000000"/>
        </w:rPr>
        <w:t>La adquisición de bienes inmuebles por las Entidades Estatales puede adelantarse mediante contratación directa, de conformidad con el literal i) del numeral 4 del artículo 2 de la Ley 1150 de 2007, y con el artículo 2.2.1.2.1.4.10 del Decreto 1082 de 2015, que fija las reglas para su procedencia. La contratación directa es una modalidad de selección de aplicación restrictiva y excepcional al principio de libre concurrencia, pero ello no altera la naturaleza del negocio: la compraventa que celebra la entidad es un contrato estatal y, como tal, se encuentra sometida al Estatuto General de Contratación de la Administración Pública, incluido su régimen de inhabilidades e incompatibilidades. En otras palabras, la procedencia de la modalidad de selección atañe a la forma de escoger al contratista, mientras que las inhabilidades atañen a la capacidad jurídica de la persona para ser parte del contrato.</w:t>
      </w:r>
    </w:p>
    <w:p w14:paraId="7114886B" w14:textId="7BBCDC25" w:rsidR="00F56178" w:rsidRPr="00331BE8" w:rsidRDefault="00F56178" w:rsidP="00F56178">
      <w:pPr>
        <w:spacing w:line="276" w:lineRule="auto"/>
        <w:ind w:firstLine="708"/>
        <w:jc w:val="both"/>
        <w:rPr>
          <w:rFonts w:ascii="Verdana" w:hAnsi="Verdana"/>
        </w:rPr>
      </w:pPr>
      <w:r w:rsidRPr="00331BE8">
        <w:rPr>
          <w:rFonts w:ascii="Verdana" w:hAnsi="Verdana" w:cs="Verdana"/>
          <w:color w:val="000000"/>
        </w:rPr>
        <w:t>De la lectura sistemática de las disposiciones anteriores se sigue que la inhabilidad del numeral 2, literal b), del artículo 8 de la Ley 80 de 1993 opera respecto de la celebración de cualquier contrato estatal con la entidad respectiva, sin distinguir la modalidad de selección empleada. Por consiguiente, la circunstancia de que la compraventa del inmueble se tramite por contratación directa no exceptúa la aplicación de la causal. Si la propietaria del predio tiene un vínculo de parentesco en segundo grado de afinidad con el representante legal de la entidad contratante, se encuentra impedida para celebrar el contrato de compraventa con dicha entidad.</w:t>
      </w:r>
    </w:p>
    <w:p w14:paraId="3BC25D4B" w14:textId="17566C2F" w:rsidR="00F56178" w:rsidRPr="00331BE8" w:rsidRDefault="00F56178" w:rsidP="00F56178">
      <w:pPr>
        <w:spacing w:line="276" w:lineRule="auto"/>
        <w:ind w:firstLine="708"/>
        <w:jc w:val="both"/>
        <w:rPr>
          <w:rFonts w:ascii="Verdana" w:hAnsi="Verdana"/>
        </w:rPr>
      </w:pPr>
      <w:r w:rsidRPr="00331BE8">
        <w:rPr>
          <w:rFonts w:ascii="Verdana" w:hAnsi="Verdana" w:cs="Verdana"/>
          <w:color w:val="000000"/>
        </w:rPr>
        <w:t>El artículo 111 de la Ley 99 de 1993 declara de interés público las áreas de importancia estratégica para la conservación de los recursos hídricos que surten de agua a los acueductos municipales, distritales y regionales, y dispone que los departamentos y municipios dedicarán un porcentaje no inferior al 1 % de sus ingresos corrientes a la adquisición y mantenimiento de dichas áreas o a la financiación de esquemas de pago por servicios ambientales</w:t>
      </w:r>
      <w:r w:rsidRPr="00331BE8">
        <w:rPr>
          <w:rStyle w:val="Refdenotaalpie"/>
          <w:rFonts w:ascii="Verdana" w:hAnsi="Verdana" w:cs="Verdana"/>
        </w:rPr>
        <w:footnoteReference w:id="4"/>
      </w:r>
      <w:r w:rsidRPr="00331BE8">
        <w:rPr>
          <w:rFonts w:ascii="Verdana" w:hAnsi="Verdana" w:cs="Verdana"/>
          <w:color w:val="000000"/>
        </w:rPr>
        <w:t xml:space="preserve">. Se trata, por </w:t>
      </w:r>
      <w:r w:rsidRPr="00331BE8">
        <w:rPr>
          <w:rFonts w:ascii="Verdana" w:hAnsi="Verdana" w:cs="Verdana"/>
          <w:color w:val="000000"/>
        </w:rPr>
        <w:lastRenderedPageBreak/>
        <w:t>tanto, de una obligación de contenido finalístico y presupuestal, dirigida a la protección de un bien de interés general, que no identifica un predio determinado ni un propietario específico y que admite diversas modalidades de cumplimiento. Por su parte, el artículo 10 de la Ley 80 de 1993 establece que no quedan cobijadas por las inhabilidades e incompatibilidades las personas que contraten por obligación legal, entre otras excepciones. Sin embargo, esta excepción exige que la propia ley imponga la celebración del contrato de manera tal que su cumplimiento no pueda condicionarse a que la persona se encuentre o no inhabilitada, supuesto que no se configura con la obligación general del artículo 111 de la Ley 99 de 1993, pues esta no compele a contratar con una persona determinada y deja a la entidad territorial alternativas idóneas para satisfacer el deber —entre ellas la adquisición de otras áreas estratégicas o la implementación de esquemas de pago por servicios ambientales—. En aplicación del carácter restrictivo del régimen, la obligación general de proteger áreas estratégicas no puede leerse como una autorización para desconocer las inhabilidades ni como una obligación legal de contratar específicamente con la propietaria vinculada por parentesco.</w:t>
      </w:r>
    </w:p>
    <w:p w14:paraId="2A81D9CB" w14:textId="6980FA8C" w:rsidR="00F56178" w:rsidRPr="00331BE8" w:rsidRDefault="00F56178" w:rsidP="00F56178">
      <w:pPr>
        <w:spacing w:line="276" w:lineRule="auto"/>
        <w:ind w:firstLine="708"/>
        <w:jc w:val="both"/>
        <w:rPr>
          <w:rFonts w:ascii="Verdana" w:hAnsi="Verdana"/>
        </w:rPr>
      </w:pPr>
      <w:r w:rsidRPr="00331BE8">
        <w:rPr>
          <w:rFonts w:ascii="Verdana" w:hAnsi="Verdana" w:cs="Verdana"/>
          <w:color w:val="000000"/>
        </w:rPr>
        <w:t>Acreditados el parentesco en segundo grado de afinidad entre la propietaria y el representante legal de la entidad y la condición de este último como servidor público del nivel directivo, la primera se halla incursa en la inhabilidad del numeral 2, literal b), del artículo 8 de la Ley 80 de 1993 y no puede celebrar el contrato de compraventa con la respectiva entidad territorial. Ni la modalidad de contratación directa ni la importancia estratégica del predio neutralizan dicha inhabilidad, y la obligación general del artículo 111 de la Ley 99 de 1993 no constituye la excepción de obligación legal prevista en el artículo 10 de la Ley 80 de 1993.</w:t>
      </w:r>
    </w:p>
    <w:p w14:paraId="528D0887" w14:textId="1418C4E6" w:rsidR="00F56178" w:rsidRPr="00331BE8" w:rsidRDefault="00F56178" w:rsidP="00F56178">
      <w:pPr>
        <w:spacing w:line="276" w:lineRule="auto"/>
        <w:ind w:firstLine="357"/>
        <w:jc w:val="both"/>
        <w:rPr>
          <w:rFonts w:ascii="Verdana" w:hAnsi="Verdana"/>
        </w:rPr>
      </w:pPr>
      <w:r w:rsidRPr="00331BE8">
        <w:rPr>
          <w:rFonts w:ascii="Verdana" w:hAnsi="Verdana" w:cs="Verdana"/>
          <w:color w:val="000000"/>
        </w:rPr>
        <w:t xml:space="preserve">El análisis requerido para resolver problemas específicos sobre la aplicabilidad del régimen de inhabilidades e incompatibilidades a un asunto particular y concreto debe ser realizado por quienes tengan interés en ello, de acuerdo con el marco jurídico aquí explicado. Las afirmaciones contenidas en este concepto no constituyen juicios de valor sobre las circunstancias particulares que motivan la consulta ni sobre la conducta de persona alguna. Por lo anterior, la solución de las situaciones concretas corresponde a los interesados y, en caso de conflicto, a las autoridades judiciales, disciplinarias y fiscales competentes, sin que sea atribución de la Agencia Nacional de Contratación </w:t>
      </w:r>
      <w:r w:rsidRPr="00331BE8">
        <w:rPr>
          <w:rFonts w:ascii="Verdana" w:hAnsi="Verdana" w:cs="Verdana"/>
          <w:color w:val="000000"/>
        </w:rPr>
        <w:lastRenderedPageBreak/>
        <w:t>Pública – Colombia Compra Eficiente validar las actuaciones de las entidades ni de los demás partícipes del sistema de compra pública.</w:t>
      </w:r>
    </w:p>
    <w:p w14:paraId="0D0C1E2A" w14:textId="77777777" w:rsidR="00B42204" w:rsidRPr="00D56B2A" w:rsidRDefault="00B42204" w:rsidP="00B42204">
      <w:pPr>
        <w:snapToGrid w:val="0"/>
        <w:spacing w:after="0" w:line="276" w:lineRule="auto"/>
        <w:ind w:rightChars="125" w:right="275"/>
        <w:jc w:val="both"/>
        <w:rPr>
          <w:rFonts w:ascii="Verdana" w:eastAsia="Calibri" w:hAnsi="Verdana" w:cs="Arial"/>
          <w:color w:val="3399FF"/>
          <w:lang w:val="es-ES" w:eastAsia="es-ES"/>
        </w:rPr>
      </w:pPr>
    </w:p>
    <w:p w14:paraId="24EDEC3A" w14:textId="77777777" w:rsidR="00B42204" w:rsidRPr="004D7523" w:rsidRDefault="00B42204" w:rsidP="00B4220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_tradnl"/>
        </w:rPr>
      </w:pPr>
      <w:r w:rsidRPr="004D7523">
        <w:rPr>
          <w:rFonts w:ascii="Verdana" w:eastAsia="Century Gothic" w:hAnsi="Verdana" w:cs="Century Gothic"/>
          <w:b/>
          <w:bCs/>
          <w:lang w:val="es-ES_tradnl"/>
        </w:rPr>
        <w:t>Referencias normativas, jurisprudenciales y otras fuentes:</w:t>
      </w:r>
    </w:p>
    <w:p w14:paraId="568C4509" w14:textId="77777777" w:rsidR="00B42204" w:rsidRPr="004D7523" w:rsidRDefault="00B42204" w:rsidP="00B42204">
      <w:pPr>
        <w:tabs>
          <w:tab w:val="left" w:pos="970"/>
        </w:tabs>
        <w:spacing w:after="0" w:line="276" w:lineRule="auto"/>
        <w:ind w:left="-15840"/>
        <w:jc w:val="both"/>
        <w:rPr>
          <w:rFonts w:ascii="Verdana" w:eastAsia="Calibri" w:hAnsi="Verdana" w:cs="Arial"/>
          <w:b/>
          <w:bCs/>
        </w:rPr>
      </w:pPr>
      <w:r w:rsidRPr="004D7523">
        <w:rPr>
          <w:rFonts w:ascii="Verdana" w:eastAsia="Calibri" w:hAnsi="Verdana" w:cs="Arial"/>
          <w:b/>
          <w:bCs/>
        </w:rPr>
        <w:t>4. Referencias normativas, jurisprudenciales y otras fuentes:</w:t>
      </w:r>
      <w:r w:rsidRPr="004D7523">
        <w:rPr>
          <w:rFonts w:ascii="Verdana" w:eastAsia="Calibri" w:hAnsi="Verdana" w:cs="Arial"/>
          <w:b/>
          <w:bCs/>
        </w:rPr>
        <w:tab/>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B42204" w:rsidRPr="00D56B2A" w14:paraId="5603548F" w14:textId="77777777" w:rsidTr="00E07241">
        <w:trPr>
          <w:trHeight w:val="242"/>
        </w:trPr>
        <w:tc>
          <w:tcPr>
            <w:tcW w:w="8647" w:type="dxa"/>
            <w:tcBorders>
              <w:top w:val="dotted" w:sz="4" w:space="0" w:color="auto"/>
              <w:left w:val="dotted" w:sz="4" w:space="0" w:color="auto"/>
              <w:bottom w:val="dotted" w:sz="4" w:space="0" w:color="auto"/>
              <w:right w:val="dotted" w:sz="4" w:space="0" w:color="auto"/>
            </w:tcBorders>
          </w:tcPr>
          <w:p w14:paraId="00507DBB" w14:textId="77777777" w:rsidR="009D25AB" w:rsidRPr="00331BE8" w:rsidRDefault="009D25AB" w:rsidP="009D25AB">
            <w:pPr>
              <w:spacing w:before="40" w:after="40" w:line="276" w:lineRule="auto"/>
              <w:jc w:val="both"/>
              <w:rPr>
                <w:rFonts w:ascii="Verdana" w:hAnsi="Verdana"/>
              </w:rPr>
            </w:pPr>
            <w:r w:rsidRPr="00331BE8">
              <w:rPr>
                <w:rFonts w:ascii="Verdana" w:hAnsi="Verdana" w:cs="Verdana"/>
                <w:color w:val="000000"/>
              </w:rPr>
              <w:t>•  Constitución Política de 1991, artículos 6, 13, 42 y 209.</w:t>
            </w:r>
          </w:p>
          <w:p w14:paraId="2AF41AFE" w14:textId="77777777" w:rsidR="009D25AB" w:rsidRPr="00331BE8" w:rsidRDefault="009D25AB" w:rsidP="009D25AB">
            <w:pPr>
              <w:spacing w:before="40" w:after="40" w:line="276" w:lineRule="auto"/>
              <w:jc w:val="both"/>
              <w:rPr>
                <w:rFonts w:ascii="Verdana" w:hAnsi="Verdana"/>
              </w:rPr>
            </w:pPr>
            <w:r w:rsidRPr="00331BE8">
              <w:rPr>
                <w:rFonts w:ascii="Verdana" w:hAnsi="Verdana" w:cs="Verdana"/>
                <w:color w:val="000000"/>
              </w:rPr>
              <w:t>•  Ley 80 de 1993, artículos 8 y 10.</w:t>
            </w:r>
          </w:p>
          <w:p w14:paraId="71BC549E" w14:textId="77777777" w:rsidR="009D25AB" w:rsidRPr="00331BE8" w:rsidRDefault="009D25AB" w:rsidP="009D25AB">
            <w:pPr>
              <w:spacing w:before="40" w:after="40" w:line="276" w:lineRule="auto"/>
              <w:jc w:val="both"/>
              <w:rPr>
                <w:rFonts w:ascii="Verdana" w:hAnsi="Verdana"/>
              </w:rPr>
            </w:pPr>
            <w:r w:rsidRPr="00331BE8">
              <w:rPr>
                <w:rFonts w:ascii="Verdana" w:hAnsi="Verdana" w:cs="Verdana"/>
                <w:color w:val="000000"/>
              </w:rPr>
              <w:t>•  Ley 1150 de 2007, artículo 2, numeral 4, literal i).</w:t>
            </w:r>
          </w:p>
          <w:p w14:paraId="61073186" w14:textId="77777777" w:rsidR="009D25AB" w:rsidRPr="00331BE8" w:rsidRDefault="009D25AB" w:rsidP="009D25AB">
            <w:pPr>
              <w:spacing w:before="40" w:after="40" w:line="276" w:lineRule="auto"/>
              <w:jc w:val="both"/>
              <w:rPr>
                <w:rFonts w:ascii="Verdana" w:hAnsi="Verdana"/>
              </w:rPr>
            </w:pPr>
            <w:r w:rsidRPr="00331BE8">
              <w:rPr>
                <w:rFonts w:ascii="Verdana" w:hAnsi="Verdana" w:cs="Verdana"/>
                <w:color w:val="000000"/>
              </w:rPr>
              <w:t>•  Ley 99 de 1993, artículo 111 (modificado por el artículo 210 de la Ley 1450 de 2011 y por la Ley 2320 de 2023).</w:t>
            </w:r>
          </w:p>
          <w:p w14:paraId="6C03D2E5" w14:textId="77777777" w:rsidR="009D25AB" w:rsidRPr="00331BE8" w:rsidRDefault="009D25AB" w:rsidP="009D25AB">
            <w:pPr>
              <w:spacing w:before="40" w:after="40" w:line="276" w:lineRule="auto"/>
              <w:jc w:val="both"/>
              <w:rPr>
                <w:rFonts w:ascii="Verdana" w:hAnsi="Verdana"/>
              </w:rPr>
            </w:pPr>
            <w:r w:rsidRPr="00331BE8">
              <w:rPr>
                <w:rFonts w:ascii="Verdana" w:hAnsi="Verdana" w:cs="Verdana"/>
                <w:color w:val="000000"/>
              </w:rPr>
              <w:t>•  Decreto 1082 de 2015, artículo 2.2.1.2.1.4.10.</w:t>
            </w:r>
          </w:p>
          <w:p w14:paraId="69BE86A3" w14:textId="77777777" w:rsidR="009D25AB" w:rsidRPr="00331BE8" w:rsidRDefault="009D25AB" w:rsidP="009D25AB">
            <w:pPr>
              <w:spacing w:before="40" w:after="40" w:line="276" w:lineRule="auto"/>
              <w:jc w:val="both"/>
              <w:rPr>
                <w:rFonts w:ascii="Verdana" w:hAnsi="Verdana"/>
              </w:rPr>
            </w:pPr>
            <w:r w:rsidRPr="00331BE8">
              <w:rPr>
                <w:rFonts w:ascii="Verdana" w:hAnsi="Verdana" w:cs="Verdana"/>
                <w:color w:val="000000"/>
              </w:rPr>
              <w:t>•  Código Civil, artículos 35, 37, 42, 46 y 47.</w:t>
            </w:r>
          </w:p>
          <w:p w14:paraId="4D400756" w14:textId="77777777" w:rsidR="009D25AB" w:rsidRPr="00331BE8" w:rsidRDefault="009D25AB" w:rsidP="009D25AB">
            <w:pPr>
              <w:spacing w:before="40" w:after="40" w:line="276" w:lineRule="auto"/>
              <w:jc w:val="both"/>
              <w:rPr>
                <w:rFonts w:ascii="Verdana" w:hAnsi="Verdana"/>
              </w:rPr>
            </w:pPr>
            <w:r w:rsidRPr="00331BE8">
              <w:rPr>
                <w:rFonts w:ascii="Verdana" w:hAnsi="Verdana" w:cs="Verdana"/>
                <w:color w:val="000000"/>
              </w:rPr>
              <w:t>•  Corte Constitucional. Sentencias T-1039 de 2006, C-903 de 2008 y C-101 de 2018.</w:t>
            </w:r>
          </w:p>
          <w:p w14:paraId="35068404" w14:textId="2C664C34" w:rsidR="00B42204" w:rsidRPr="009D25AB" w:rsidRDefault="009D25AB" w:rsidP="009D25AB">
            <w:pPr>
              <w:widowControl w:val="0"/>
              <w:autoSpaceDE w:val="0"/>
              <w:autoSpaceDN w:val="0"/>
              <w:spacing w:after="120" w:line="276" w:lineRule="auto"/>
              <w:jc w:val="both"/>
              <w:rPr>
                <w:rFonts w:ascii="Verdana" w:hAnsi="Verdana" w:cs="Arial"/>
              </w:rPr>
            </w:pPr>
            <w:r w:rsidRPr="009D25AB">
              <w:rPr>
                <w:rFonts w:ascii="Verdana" w:hAnsi="Verdana" w:cs="Verdana"/>
                <w:color w:val="000000"/>
              </w:rPr>
              <w:t>•  Consejo de Estado. Sala de Consulta y Servicio Civil. Concepto del 30 de abril de 2015. Exp. 2251.</w:t>
            </w:r>
          </w:p>
        </w:tc>
      </w:tr>
    </w:tbl>
    <w:p w14:paraId="6A18CD81" w14:textId="77777777" w:rsidR="00D13475" w:rsidRPr="00D13475" w:rsidRDefault="00D13475" w:rsidP="00D13475">
      <w:pPr>
        <w:tabs>
          <w:tab w:val="left" w:pos="142"/>
          <w:tab w:val="left" w:pos="284"/>
        </w:tabs>
        <w:spacing w:before="240" w:line="276" w:lineRule="auto"/>
        <w:ind w:left="360"/>
        <w:contextualSpacing/>
        <w:jc w:val="both"/>
        <w:rPr>
          <w:rFonts w:ascii="Verdana" w:eastAsia="Century Gothic" w:hAnsi="Verdana" w:cs="Century Gothic"/>
          <w:b/>
          <w:bCs/>
          <w:color w:val="000000" w:themeColor="text1"/>
        </w:rPr>
      </w:pPr>
    </w:p>
    <w:p w14:paraId="5490B33E" w14:textId="77777777" w:rsidR="00D13475" w:rsidRDefault="00D13475" w:rsidP="00D13475">
      <w:pPr>
        <w:numPr>
          <w:ilvl w:val="0"/>
          <w:numId w:val="23"/>
        </w:numPr>
        <w:tabs>
          <w:tab w:val="left" w:pos="142"/>
          <w:tab w:val="left" w:pos="284"/>
        </w:tabs>
        <w:spacing w:before="240" w:line="276" w:lineRule="auto"/>
        <w:ind w:firstLine="0"/>
        <w:contextualSpacing/>
        <w:jc w:val="both"/>
        <w:rPr>
          <w:rFonts w:ascii="Verdana" w:eastAsia="Century Gothic" w:hAnsi="Verdana" w:cs="Century Gothic"/>
          <w:b/>
          <w:bCs/>
          <w:color w:val="000000" w:themeColor="text1"/>
        </w:rPr>
      </w:pPr>
      <w:r w:rsidRPr="00D13475">
        <w:rPr>
          <w:rFonts w:ascii="Verdana" w:eastAsia="Century Gothic" w:hAnsi="Verdana" w:cs="Century Gothic"/>
          <w:b/>
          <w:bCs/>
          <w:color w:val="000000" w:themeColor="text1"/>
        </w:rPr>
        <w:t>Doctrina de la Agencia Nacional de Contratación Pública:</w:t>
      </w:r>
    </w:p>
    <w:p w14:paraId="510643AF" w14:textId="77777777" w:rsidR="00B42204" w:rsidRPr="00D13475" w:rsidRDefault="00B42204" w:rsidP="00B42204">
      <w:pPr>
        <w:tabs>
          <w:tab w:val="left" w:pos="142"/>
          <w:tab w:val="left" w:pos="284"/>
        </w:tabs>
        <w:spacing w:before="240" w:line="276" w:lineRule="auto"/>
        <w:ind w:left="360"/>
        <w:contextualSpacing/>
        <w:jc w:val="both"/>
        <w:rPr>
          <w:rFonts w:ascii="Verdana" w:eastAsia="Century Gothic" w:hAnsi="Verdana" w:cs="Century Gothic"/>
          <w:b/>
          <w:bCs/>
          <w:color w:val="000000" w:themeColor="text1"/>
        </w:rPr>
      </w:pPr>
    </w:p>
    <w:p w14:paraId="17902C92" w14:textId="6366E1A4" w:rsidR="00B42204" w:rsidRPr="009D25AB" w:rsidRDefault="009D25AB" w:rsidP="009D25AB">
      <w:pPr>
        <w:spacing w:line="276" w:lineRule="auto"/>
        <w:jc w:val="both"/>
        <w:rPr>
          <w:rFonts w:ascii="Verdana" w:hAnsi="Verdana"/>
        </w:rPr>
      </w:pPr>
      <w:r w:rsidRPr="00331BE8">
        <w:rPr>
          <w:rFonts w:ascii="Verdana" w:hAnsi="Verdana" w:cs="Verdana"/>
          <w:color w:val="000000"/>
        </w:rPr>
        <w:t xml:space="preserve">Sobre el régimen de inhabilidades e incompatibilidades en la contratación estatal, esta Subdirección se ha referido, entre otros, en los Conceptos C-035 del 24 de abril de 2024, C-067 del 16 de mayo de 2024, C-041 del 29 de mayo de 2024, C-078 del 4 de junio de 2024, C-193 del 19 de julio de 2024, C-271 del 25 de julio de 2024, C-108 del 6 de agosto de 2024, C-332 del 27 de agosto de 2024 y C-151 del 18 de marzo de 2025. En relación con la adquisición y el arrendamiento de bienes inmuebles mediante contratación directa, pueden consultarse, entre otros, los Conceptos C-564 de 2025 y C-1258 de 2025. Estos y otros conceptos se encuentran disponibles para consulta en el Sistema de Relatoría de la Agencia, a través del siguiente enlace: </w:t>
      </w:r>
      <w:r>
        <w:rPr>
          <w:rFonts w:ascii="Verdana" w:hAnsi="Verdana"/>
        </w:rPr>
        <w:t xml:space="preserve"> </w:t>
      </w:r>
      <w:hyperlink r:id="rId11" w:history="1">
        <w:r w:rsidR="00B42204">
          <w:rPr>
            <w:rStyle w:val="Hipervnculo"/>
            <w:rFonts w:ascii="Verdana" w:hAnsi="Verdana" w:cs="Arial"/>
            <w:shd w:val="clear" w:color="auto" w:fill="FFFFFF"/>
            <w:lang w:val="es-ES"/>
          </w:rPr>
          <w:t>https://relatoria.colombiacompra.gov.co/busqueda/conceptos</w:t>
        </w:r>
      </w:hyperlink>
    </w:p>
    <w:p w14:paraId="110A98C3" w14:textId="77777777" w:rsidR="00B42204" w:rsidRPr="00206556" w:rsidRDefault="00B42204" w:rsidP="00B42204">
      <w:pPr>
        <w:spacing w:after="0" w:line="276" w:lineRule="auto"/>
        <w:jc w:val="both"/>
        <w:rPr>
          <w:rFonts w:ascii="Verdana" w:hAnsi="Verdana" w:cs="Arial"/>
          <w:color w:val="ED7D31" w:themeColor="accent2"/>
          <w:shd w:val="clear" w:color="auto" w:fill="FFFFFF"/>
          <w:lang w:val="es-ES"/>
        </w:rPr>
      </w:pPr>
    </w:p>
    <w:p w14:paraId="5E931B66" w14:textId="77777777" w:rsidR="00B42204" w:rsidRPr="00206556" w:rsidRDefault="00B42204" w:rsidP="00B42204">
      <w:pPr>
        <w:spacing w:after="0" w:line="276" w:lineRule="auto"/>
        <w:jc w:val="both"/>
        <w:rPr>
          <w:rFonts w:ascii="Verdana" w:hAnsi="Verdana" w:cs="Arial"/>
          <w:shd w:val="clear" w:color="auto" w:fill="FFFFFF"/>
        </w:rPr>
      </w:pPr>
      <w:r>
        <w:rPr>
          <w:rFonts w:ascii="Verdana" w:hAnsi="Verdana" w:cs="Arial"/>
          <w:shd w:val="clear" w:color="auto" w:fill="FFFFFF"/>
        </w:rPr>
        <w:t xml:space="preserve">La sostenibilidad no es una opción, es una obligación. Por ello, la Agencia Nacional de Contratación Pública –Colombia Compra Eficiente– te invita a realizar el Curso de Contratación Pública Sostenible y Socialmente Responsable, </w:t>
      </w:r>
      <w:r>
        <w:rPr>
          <w:rFonts w:ascii="Verdana" w:hAnsi="Verdana" w:cs="Arial"/>
          <w:shd w:val="clear" w:color="auto" w:fill="FFFFFF"/>
        </w:rPr>
        <w:lastRenderedPageBreak/>
        <w:t xml:space="preserve">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 </w:t>
      </w:r>
      <w:hyperlink r:id="rId12" w:history="1">
        <w:r>
          <w:rPr>
            <w:rStyle w:val="Hipervnculo"/>
            <w:rFonts w:ascii="Verdana" w:hAnsi="Verdana" w:cs="Arial"/>
            <w:shd w:val="clear" w:color="auto" w:fill="FFFFFF"/>
          </w:rPr>
          <w:t>https://formacionvirtual.colombiacompra.gov.co/mod/page/view.php?id=3718</w:t>
        </w:r>
      </w:hyperlink>
      <w:r>
        <w:rPr>
          <w:rFonts w:ascii="Verdana" w:hAnsi="Verdana" w:cs="Arial"/>
          <w:shd w:val="clear" w:color="auto" w:fill="FFFFFF"/>
        </w:rPr>
        <w:t xml:space="preserve"> </w:t>
      </w:r>
    </w:p>
    <w:p w14:paraId="4C8EF87D" w14:textId="77777777" w:rsidR="00B42204" w:rsidRPr="00206556" w:rsidRDefault="00B42204" w:rsidP="00B42204">
      <w:pPr>
        <w:spacing w:after="0" w:line="276" w:lineRule="auto"/>
        <w:jc w:val="both"/>
        <w:rPr>
          <w:rFonts w:ascii="Verdana" w:hAnsi="Verdana" w:cs="Arial"/>
          <w:shd w:val="clear" w:color="auto" w:fill="FFFFFF"/>
        </w:rPr>
      </w:pPr>
    </w:p>
    <w:p w14:paraId="23DFA47C" w14:textId="77777777" w:rsidR="00B42204" w:rsidRPr="00206556" w:rsidRDefault="00B42204" w:rsidP="00B42204">
      <w:pPr>
        <w:spacing w:after="0" w:line="276" w:lineRule="auto"/>
        <w:jc w:val="both"/>
        <w:rPr>
          <w:rFonts w:ascii="Verdana" w:hAnsi="Verdana" w:cs="Arial"/>
          <w:shd w:val="clear" w:color="auto" w:fill="FFFFFF"/>
        </w:rPr>
      </w:pPr>
      <w:r>
        <w:rPr>
          <w:rFonts w:ascii="Verdana" w:hAnsi="Verdana" w:cs="Arial"/>
          <w:shd w:val="clear" w:color="auto" w:fill="FFFFFF"/>
        </w:rPr>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interventoría, promoviendo procesos más transparentes, eficientes competitivos y sostenibles en sectores estratégicos como educación, salud, cultura, recreación, deporte, institucional y vivienda. Consulta y descarga los documentos aquí: </w:t>
      </w:r>
      <w:hyperlink r:id="rId13" w:history="1">
        <w:r>
          <w:rPr>
            <w:rStyle w:val="Hipervnculo"/>
            <w:rFonts w:ascii="Verdana" w:hAnsi="Verdana" w:cs="Arial"/>
            <w:shd w:val="clear" w:color="auto" w:fill="FFFFFF"/>
          </w:rPr>
          <w:t>https://www.colombiacompra.gov.co/normativa-y-relatoria/documentos-tipo</w:t>
        </w:r>
      </w:hyperlink>
    </w:p>
    <w:p w14:paraId="55B5F10D" w14:textId="77777777" w:rsidR="00B42204" w:rsidRPr="00206556" w:rsidRDefault="00B42204" w:rsidP="00B42204">
      <w:pPr>
        <w:spacing w:after="0" w:line="276" w:lineRule="auto"/>
        <w:jc w:val="both"/>
        <w:rPr>
          <w:rFonts w:ascii="Verdana" w:hAnsi="Verdana" w:cs="Arial"/>
          <w:shd w:val="clear" w:color="auto" w:fill="FFFFFF"/>
        </w:rPr>
      </w:pPr>
    </w:p>
    <w:p w14:paraId="3FED6EEB" w14:textId="77777777" w:rsidR="00B42204" w:rsidRPr="00206556" w:rsidRDefault="00B42204" w:rsidP="00B42204">
      <w:pPr>
        <w:spacing w:after="0" w:line="276" w:lineRule="auto"/>
        <w:jc w:val="both"/>
        <w:rPr>
          <w:rFonts w:ascii="Verdana" w:hAnsi="Verdana" w:cs="Arial"/>
          <w:shd w:val="clear" w:color="auto" w:fill="FFFFFF"/>
        </w:rPr>
      </w:pPr>
      <w:r>
        <w:rPr>
          <w:rFonts w:ascii="Verdana" w:hAnsi="Verdana" w:cs="Arial"/>
          <w:shd w:val="clear" w:color="auto" w:fill="FFFFFF"/>
        </w:rPr>
        <w:t>Si quieres conocer más sobre la aplicación de Documentos Tipo puedes consultar la última versión de la Guía para la comprensión e implementación de los Documentos Tipo de obra pública de infraestructura de transporte.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 https://www.colombiacompra.gov.co/archivos/manual/guia-para-la-comprension-e-implementacion-de-los-documentos-tipo-de-obra-publica-de-infraestructura-de-transporte-bajo-las-diferentes-modalidades-de-contratacion-vigentes</w:t>
      </w:r>
    </w:p>
    <w:p w14:paraId="12C4F621" w14:textId="77777777" w:rsidR="00B42204" w:rsidRPr="00206556" w:rsidRDefault="00B42204" w:rsidP="00B42204">
      <w:pPr>
        <w:spacing w:after="0" w:line="276" w:lineRule="auto"/>
        <w:jc w:val="both"/>
        <w:rPr>
          <w:rFonts w:ascii="Verdana" w:hAnsi="Verdana" w:cs="Arial"/>
          <w:color w:val="ED7D31" w:themeColor="accent2"/>
          <w:shd w:val="clear" w:color="auto" w:fill="FFFFFF"/>
        </w:rPr>
      </w:pPr>
    </w:p>
    <w:p w14:paraId="292311C7" w14:textId="77777777" w:rsidR="00B42204" w:rsidRPr="00206556" w:rsidRDefault="00B42204" w:rsidP="00B42204">
      <w:pPr>
        <w:spacing w:after="0"/>
        <w:jc w:val="both"/>
        <w:rPr>
          <w:rFonts w:ascii="Verdana" w:hAnsi="Verdana" w:cs="Arial"/>
          <w:shd w:val="clear" w:color="auto" w:fill="FFFFFF"/>
        </w:rPr>
      </w:pPr>
      <w:r>
        <w:rPr>
          <w:rFonts w:ascii="Verdana" w:hAnsi="Verdana" w:cs="Arial"/>
          <w:shd w:val="clear" w:color="auto" w:fill="FFFFFF"/>
        </w:rPr>
        <w:t xml:space="preserve">Por último, lo invitamos a seguirnos en las redes sociales en las cuales se difunde información institucional: </w:t>
      </w:r>
    </w:p>
    <w:p w14:paraId="416DC534" w14:textId="77777777" w:rsidR="00B42204" w:rsidRPr="00206556" w:rsidRDefault="00B42204" w:rsidP="00B42204">
      <w:pPr>
        <w:spacing w:after="0"/>
        <w:jc w:val="both"/>
        <w:rPr>
          <w:rFonts w:ascii="Verdana" w:hAnsi="Verdana" w:cs="Arial"/>
          <w:shd w:val="clear" w:color="auto" w:fill="FFFFFF"/>
        </w:rPr>
      </w:pPr>
    </w:p>
    <w:p w14:paraId="2B33216D" w14:textId="77777777" w:rsidR="00B42204" w:rsidRPr="00206556" w:rsidRDefault="00B42204" w:rsidP="00B42204">
      <w:pPr>
        <w:spacing w:after="0"/>
        <w:jc w:val="both"/>
        <w:rPr>
          <w:rFonts w:ascii="Verdana" w:hAnsi="Verdana" w:cs="Arial"/>
          <w:shd w:val="clear" w:color="auto" w:fill="FFFFFF"/>
        </w:rPr>
      </w:pPr>
      <w:r>
        <w:rPr>
          <w:rFonts w:ascii="Verdana" w:hAnsi="Verdana" w:cs="Arial"/>
          <w:shd w:val="clear" w:color="auto" w:fill="FFFFFF"/>
        </w:rPr>
        <w:t xml:space="preserve">Twitter: </w:t>
      </w:r>
      <w:r>
        <w:rPr>
          <w:rStyle w:val="Hipervnculo"/>
          <w:rFonts w:ascii="Verdana" w:hAnsi="Verdana"/>
          <w:lang w:val="es-ES"/>
        </w:rPr>
        <w:t>@colombiacompra</w:t>
      </w:r>
      <w:r>
        <w:rPr>
          <w:rStyle w:val="Hipervnculo"/>
          <w:rFonts w:ascii="Verdana" w:hAnsi="Verdana"/>
          <w:color w:val="auto"/>
          <w:lang w:val="es-ES"/>
        </w:rPr>
        <w:t xml:space="preserve"> </w:t>
      </w:r>
    </w:p>
    <w:p w14:paraId="63961BA7" w14:textId="77777777" w:rsidR="00B42204" w:rsidRPr="00206556" w:rsidRDefault="00B42204" w:rsidP="00B42204">
      <w:pPr>
        <w:spacing w:after="0"/>
        <w:jc w:val="both"/>
        <w:rPr>
          <w:rFonts w:ascii="Verdana" w:hAnsi="Verdana" w:cs="Arial"/>
          <w:shd w:val="clear" w:color="auto" w:fill="FFFFFF"/>
        </w:rPr>
      </w:pPr>
      <w:r>
        <w:rPr>
          <w:rFonts w:ascii="Verdana" w:hAnsi="Verdana" w:cs="Arial"/>
          <w:shd w:val="clear" w:color="auto" w:fill="FFFFFF"/>
        </w:rPr>
        <w:t>Facebook:</w:t>
      </w:r>
      <w:r>
        <w:rPr>
          <w:rStyle w:val="Hipervnculo"/>
          <w:rFonts w:ascii="Verdana" w:hAnsi="Verdana"/>
          <w:lang w:val="es-ES"/>
        </w:rPr>
        <w:t xml:space="preserve"> ColombiaCompraEficiente</w:t>
      </w:r>
    </w:p>
    <w:p w14:paraId="10AFB355" w14:textId="77777777" w:rsidR="00B42204" w:rsidRPr="00206556" w:rsidRDefault="00B42204" w:rsidP="00B42204">
      <w:pPr>
        <w:spacing w:after="0"/>
        <w:jc w:val="both"/>
        <w:rPr>
          <w:rFonts w:ascii="Verdana" w:hAnsi="Verdana" w:cs="Arial"/>
          <w:shd w:val="clear" w:color="auto" w:fill="FFFFFF"/>
        </w:rPr>
      </w:pPr>
      <w:r>
        <w:rPr>
          <w:rFonts w:ascii="Verdana" w:hAnsi="Verdana" w:cs="Arial"/>
          <w:shd w:val="clear" w:color="auto" w:fill="FFFFFF"/>
        </w:rPr>
        <w:t xml:space="preserve">LinkedIn: </w:t>
      </w:r>
      <w:r>
        <w:rPr>
          <w:rStyle w:val="Hipervnculo"/>
          <w:rFonts w:ascii="Verdana" w:hAnsi="Verdana"/>
          <w:lang w:val="es-ES"/>
        </w:rPr>
        <w:t>Agencia Nacional de Contratación Pública - Colombia Compra Eficiente</w:t>
      </w:r>
      <w:r>
        <w:rPr>
          <w:rFonts w:ascii="Verdana" w:hAnsi="Verdana" w:cs="Arial"/>
          <w:color w:val="0000FF"/>
          <w:shd w:val="clear" w:color="auto" w:fill="FFFFFF"/>
        </w:rPr>
        <w:t xml:space="preserve"> </w:t>
      </w:r>
    </w:p>
    <w:p w14:paraId="3F7F794E" w14:textId="77777777" w:rsidR="00B42204" w:rsidRPr="00206556" w:rsidRDefault="00B42204" w:rsidP="00B42204">
      <w:pPr>
        <w:spacing w:after="0"/>
        <w:jc w:val="both"/>
        <w:rPr>
          <w:rFonts w:ascii="Verdana" w:hAnsi="Verdana" w:cs="Arial"/>
          <w:shd w:val="clear" w:color="auto" w:fill="FFFFFF"/>
        </w:rPr>
      </w:pPr>
      <w:r>
        <w:rPr>
          <w:rFonts w:ascii="Verdana" w:hAnsi="Verdana" w:cs="Arial"/>
          <w:shd w:val="clear" w:color="auto" w:fill="FFFFFF"/>
        </w:rPr>
        <w:lastRenderedPageBreak/>
        <w:t xml:space="preserve">Instagram: </w:t>
      </w:r>
      <w:r>
        <w:rPr>
          <w:rStyle w:val="Hipervnculo"/>
          <w:rFonts w:ascii="Verdana" w:hAnsi="Verdana"/>
          <w:lang w:val="es-ES"/>
        </w:rPr>
        <w:t>@colombiacompraeficiente_cce</w:t>
      </w:r>
    </w:p>
    <w:p w14:paraId="185D6C5F" w14:textId="77777777" w:rsidR="00B42204" w:rsidRPr="00206556" w:rsidRDefault="00B42204" w:rsidP="00B42204">
      <w:pPr>
        <w:widowControl w:val="0"/>
        <w:autoSpaceDE w:val="0"/>
        <w:autoSpaceDN w:val="0"/>
        <w:spacing w:after="0" w:line="276" w:lineRule="auto"/>
        <w:jc w:val="both"/>
        <w:rPr>
          <w:rFonts w:ascii="Verdana" w:hAnsi="Verdana" w:cs="Arial"/>
          <w:color w:val="ED7D31" w:themeColor="accent2"/>
          <w:lang w:val="es-ES"/>
        </w:rPr>
      </w:pPr>
    </w:p>
    <w:p w14:paraId="5313337B" w14:textId="77777777" w:rsidR="00B42204" w:rsidRPr="00206556" w:rsidRDefault="00B42204" w:rsidP="00B42204">
      <w:pPr>
        <w:widowControl w:val="0"/>
        <w:autoSpaceDE w:val="0"/>
        <w:autoSpaceDN w:val="0"/>
        <w:spacing w:after="0" w:line="276" w:lineRule="auto"/>
        <w:jc w:val="both"/>
        <w:rPr>
          <w:rFonts w:ascii="Verdana" w:hAnsi="Verdana" w:cs="Arial"/>
          <w:lang w:val="es-ES"/>
        </w:rPr>
      </w:pPr>
      <w:r>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22AACDA7" w14:textId="77777777" w:rsidR="00B42204" w:rsidRPr="00206556" w:rsidRDefault="00B42204" w:rsidP="00B42204">
      <w:pPr>
        <w:widowControl w:val="0"/>
        <w:autoSpaceDE w:val="0"/>
        <w:autoSpaceDN w:val="0"/>
        <w:spacing w:after="0" w:line="276" w:lineRule="auto"/>
        <w:jc w:val="both"/>
        <w:rPr>
          <w:rFonts w:ascii="Verdana" w:hAnsi="Verdana" w:cs="Arial"/>
          <w:lang w:val="es-ES"/>
        </w:rPr>
      </w:pPr>
    </w:p>
    <w:p w14:paraId="0DA03C97" w14:textId="77777777" w:rsidR="00B42204" w:rsidRDefault="00B42204" w:rsidP="00B42204">
      <w:pPr>
        <w:spacing w:after="0" w:line="276" w:lineRule="auto"/>
        <w:rPr>
          <w:rFonts w:ascii="Verdana" w:hAnsi="Verdana" w:cs="Arial"/>
          <w:lang w:val="es-ES" w:eastAsia="es-CO"/>
        </w:rPr>
      </w:pPr>
      <w:r>
        <w:rPr>
          <w:rFonts w:ascii="Verdana" w:eastAsia="Times New Roman" w:hAnsi="Verdana" w:cs="Arial"/>
          <w:lang w:val="es-ES" w:eastAsia="es-CO"/>
        </w:rPr>
        <w:t>Atentamente,</w:t>
      </w:r>
      <w:r>
        <w:rPr>
          <w:rFonts w:ascii="Verdana" w:hAnsi="Verdana" w:cs="Arial"/>
          <w:lang w:val="es-ES" w:eastAsia="es-CO"/>
        </w:rPr>
        <w:t xml:space="preserve"> </w:t>
      </w:r>
    </w:p>
    <w:p w14:paraId="6B4CF40A" w14:textId="77777777" w:rsidR="00B42204" w:rsidRDefault="00B42204" w:rsidP="00B42204">
      <w:pPr>
        <w:spacing w:after="0" w:line="276" w:lineRule="auto"/>
        <w:rPr>
          <w:rFonts w:ascii="Verdana" w:hAnsi="Verdana" w:cs="Arial"/>
          <w:lang w:val="es-ES" w:eastAsia="es-CO"/>
        </w:rPr>
      </w:pPr>
    </w:p>
    <w:p w14:paraId="324D9551" w14:textId="0BB2CC2E" w:rsidR="00B42204" w:rsidRPr="00206556" w:rsidRDefault="005B79CE" w:rsidP="00B42204">
      <w:pPr>
        <w:spacing w:after="0" w:line="276" w:lineRule="auto"/>
        <w:jc w:val="center"/>
        <w:rPr>
          <w:rFonts w:ascii="Verdana" w:hAnsi="Verdana" w:cs="Arial"/>
          <w:lang w:val="es-ES" w:eastAsia="es-CO"/>
        </w:rPr>
      </w:pPr>
      <w:r>
        <w:rPr>
          <w:rFonts w:ascii="Verdana" w:hAnsi="Verdana" w:cs="Arial"/>
          <w:noProof/>
          <w:lang w:val="es-ES" w:eastAsia="es-CO"/>
        </w:rPr>
        <w:drawing>
          <wp:inline distT="0" distB="0" distL="0" distR="0" wp14:anchorId="654FB409" wp14:editId="484C7FA1">
            <wp:extent cx="3639058" cy="1343212"/>
            <wp:effectExtent l="0" t="0" r="0" b="0"/>
            <wp:docPr id="10305339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53397" name="Imagen 1" descr="Texto&#10;&#10;Descripción generada automáticamente"/>
                    <pic:cNvPicPr/>
                  </pic:nvPicPr>
                  <pic:blipFill>
                    <a:blip r:embed="rId14">
                      <a:extLst>
                        <a:ext uri="{28A0092B-C50C-407E-A947-70E740481C1C}">
                          <a14:useLocalDpi xmlns:a14="http://schemas.microsoft.com/office/drawing/2010/main" val="0"/>
                        </a:ext>
                      </a:extLst>
                    </a:blip>
                    <a:stretch>
                      <a:fillRect/>
                    </a:stretch>
                  </pic:blipFill>
                  <pic:spPr>
                    <a:xfrm>
                      <a:off x="0" y="0"/>
                      <a:ext cx="3639058" cy="1343212"/>
                    </a:xfrm>
                    <a:prstGeom prst="rect">
                      <a:avLst/>
                    </a:prstGeom>
                  </pic:spPr>
                </pic:pic>
              </a:graphicData>
            </a:graphic>
          </wp:inline>
        </w:drawing>
      </w:r>
    </w:p>
    <w:p w14:paraId="1C20DF8C" w14:textId="377381CE" w:rsidR="007C31D6" w:rsidRPr="00D13475" w:rsidRDefault="007C31D6" w:rsidP="007C31D6">
      <w:pPr>
        <w:spacing w:after="0" w:line="276" w:lineRule="auto"/>
        <w:jc w:val="center"/>
        <w:rPr>
          <w:rFonts w:ascii="Verdana" w:hAnsi="Verdana"/>
          <w:color w:val="000000" w:themeColor="text1"/>
          <w:lang w:val="es-ES_tradnl"/>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D13475" w:rsidRPr="00D13475" w14:paraId="275BB42E" w14:textId="77777777" w:rsidTr="000E7260">
        <w:trPr>
          <w:trHeight w:val="315"/>
        </w:trPr>
        <w:tc>
          <w:tcPr>
            <w:tcW w:w="893" w:type="dxa"/>
            <w:vAlign w:val="center"/>
            <w:hideMark/>
          </w:tcPr>
          <w:p w14:paraId="342CC9B0"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Elaboró:</w:t>
            </w:r>
          </w:p>
        </w:tc>
        <w:tc>
          <w:tcPr>
            <w:tcW w:w="5628" w:type="dxa"/>
            <w:tcBorders>
              <w:top w:val="nil"/>
              <w:left w:val="nil"/>
              <w:bottom w:val="dotted" w:sz="4" w:space="0" w:color="7F7F7F"/>
              <w:right w:val="nil"/>
            </w:tcBorders>
            <w:vAlign w:val="center"/>
            <w:hideMark/>
          </w:tcPr>
          <w:p w14:paraId="354237E2"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Gloria Elizabeth Arango Builes</w:t>
            </w:r>
          </w:p>
          <w:p w14:paraId="4866B5DD"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Contratista de la Subdirección de Gestión Contractual</w:t>
            </w:r>
          </w:p>
        </w:tc>
      </w:tr>
      <w:tr w:rsidR="00D13475" w:rsidRPr="00D13475" w14:paraId="283ACB79" w14:textId="77777777" w:rsidTr="000E7260">
        <w:trPr>
          <w:trHeight w:val="330"/>
        </w:trPr>
        <w:tc>
          <w:tcPr>
            <w:tcW w:w="893" w:type="dxa"/>
            <w:vAlign w:val="center"/>
            <w:hideMark/>
          </w:tcPr>
          <w:p w14:paraId="041C1AD6"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Revisó:</w:t>
            </w:r>
          </w:p>
        </w:tc>
        <w:tc>
          <w:tcPr>
            <w:tcW w:w="5628" w:type="dxa"/>
            <w:tcBorders>
              <w:top w:val="dotted" w:sz="4" w:space="0" w:color="7F7F7F"/>
              <w:left w:val="nil"/>
              <w:bottom w:val="dotted" w:sz="4" w:space="0" w:color="7F7F7F"/>
              <w:right w:val="nil"/>
            </w:tcBorders>
            <w:vAlign w:val="center"/>
            <w:hideMark/>
          </w:tcPr>
          <w:p w14:paraId="453E3A37" w14:textId="0E964B16" w:rsidR="007C31D6" w:rsidRPr="00D13475" w:rsidRDefault="009D25AB" w:rsidP="000E7260">
            <w:pPr>
              <w:spacing w:line="276" w:lineRule="auto"/>
              <w:jc w:val="both"/>
              <w:rPr>
                <w:rFonts w:ascii="Verdana" w:hAnsi="Verdana"/>
                <w:color w:val="000000" w:themeColor="text1"/>
                <w:sz w:val="16"/>
                <w:szCs w:val="16"/>
              </w:rPr>
            </w:pPr>
            <w:r>
              <w:rPr>
                <w:rFonts w:ascii="Verdana" w:hAnsi="Verdana"/>
                <w:color w:val="000000" w:themeColor="text1"/>
                <w:sz w:val="16"/>
                <w:szCs w:val="16"/>
              </w:rPr>
              <w:t>Juan David Cárdenas Cabeza</w:t>
            </w:r>
          </w:p>
          <w:p w14:paraId="7F4C2BD7"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Contratista de la Subdirección de Gestión Contractual </w:t>
            </w:r>
          </w:p>
        </w:tc>
      </w:tr>
      <w:tr w:rsidR="007C31D6" w:rsidRPr="00D13475" w14:paraId="0A66432D" w14:textId="77777777" w:rsidTr="000E7260">
        <w:trPr>
          <w:trHeight w:val="300"/>
        </w:trPr>
        <w:tc>
          <w:tcPr>
            <w:tcW w:w="893" w:type="dxa"/>
            <w:vAlign w:val="center"/>
            <w:hideMark/>
          </w:tcPr>
          <w:p w14:paraId="729C97E0"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Aprobó:</w:t>
            </w:r>
          </w:p>
        </w:tc>
        <w:tc>
          <w:tcPr>
            <w:tcW w:w="5628" w:type="dxa"/>
            <w:tcBorders>
              <w:top w:val="dotted" w:sz="4" w:space="0" w:color="7F7F7F"/>
              <w:left w:val="nil"/>
              <w:bottom w:val="dotted" w:sz="4" w:space="0" w:color="7F7F7F"/>
              <w:right w:val="nil"/>
            </w:tcBorders>
            <w:vAlign w:val="center"/>
            <w:hideMark/>
          </w:tcPr>
          <w:p w14:paraId="7C7B720B" w14:textId="77777777" w:rsidR="007C31D6" w:rsidRPr="00D13475" w:rsidRDefault="007C31D6" w:rsidP="000E7260">
            <w:pPr>
              <w:spacing w:line="276" w:lineRule="auto"/>
              <w:jc w:val="both"/>
              <w:rPr>
                <w:rFonts w:ascii="Verdana" w:hAnsi="Verdana"/>
                <w:color w:val="000000" w:themeColor="text1"/>
                <w:sz w:val="16"/>
                <w:szCs w:val="16"/>
                <w:lang w:val="pt-BR"/>
              </w:rPr>
            </w:pPr>
            <w:r w:rsidRPr="00D13475">
              <w:rPr>
                <w:rFonts w:ascii="Verdana" w:hAnsi="Verdana"/>
                <w:color w:val="000000" w:themeColor="text1"/>
                <w:sz w:val="16"/>
                <w:szCs w:val="16"/>
                <w:lang w:val="pt-BR"/>
              </w:rPr>
              <w:t>Carolina Quintero Gacharná</w:t>
            </w:r>
          </w:p>
          <w:p w14:paraId="26D31200" w14:textId="77777777" w:rsidR="007C31D6" w:rsidRPr="00D13475" w:rsidRDefault="007C31D6" w:rsidP="000E7260">
            <w:pPr>
              <w:spacing w:line="276" w:lineRule="auto"/>
              <w:jc w:val="both"/>
              <w:rPr>
                <w:rFonts w:ascii="Verdana" w:hAnsi="Verdana"/>
                <w:color w:val="000000" w:themeColor="text1"/>
                <w:sz w:val="16"/>
                <w:szCs w:val="16"/>
                <w:lang w:val="pt-BR"/>
              </w:rPr>
            </w:pPr>
            <w:r w:rsidRPr="00D13475">
              <w:rPr>
                <w:rFonts w:ascii="Verdana" w:hAnsi="Verdana"/>
                <w:color w:val="000000" w:themeColor="text1"/>
                <w:sz w:val="16"/>
                <w:szCs w:val="16"/>
              </w:rPr>
              <w:t>Subdirectora</w:t>
            </w:r>
            <w:r w:rsidRPr="00D13475">
              <w:rPr>
                <w:rFonts w:ascii="Verdana" w:hAnsi="Verdana"/>
                <w:color w:val="000000" w:themeColor="text1"/>
                <w:sz w:val="16"/>
                <w:szCs w:val="16"/>
                <w:lang w:val="pt-BR"/>
              </w:rPr>
              <w:t xml:space="preserve"> de Gestión Contratual ANCP – CCE</w:t>
            </w:r>
          </w:p>
        </w:tc>
      </w:tr>
    </w:tbl>
    <w:p w14:paraId="7C9026E2" w14:textId="77777777" w:rsidR="002A0DD0" w:rsidRPr="00D13475" w:rsidRDefault="002A0DD0" w:rsidP="30821638">
      <w:pPr>
        <w:spacing w:after="0" w:line="240" w:lineRule="auto"/>
        <w:jc w:val="both"/>
        <w:rPr>
          <w:rFonts w:ascii="Verdana" w:eastAsia="Verdana" w:hAnsi="Verdana" w:cs="Verdana"/>
          <w:b/>
          <w:bCs/>
          <w:color w:val="000000" w:themeColor="text1"/>
          <w:lang w:val="es-MX"/>
        </w:rPr>
      </w:pPr>
    </w:p>
    <w:p w14:paraId="1006A388" w14:textId="77777777" w:rsidR="00C15139" w:rsidRPr="00D13475" w:rsidRDefault="00C15139" w:rsidP="30821638">
      <w:pPr>
        <w:spacing w:after="0" w:line="240" w:lineRule="auto"/>
        <w:jc w:val="both"/>
        <w:textAlignment w:val="baseline"/>
        <w:rPr>
          <w:rFonts w:ascii="Verdana" w:eastAsia="Verdana" w:hAnsi="Verdana" w:cs="Verdana"/>
          <w:color w:val="000000" w:themeColor="text1"/>
          <w:lang w:eastAsia="es-CO"/>
        </w:rPr>
      </w:pPr>
    </w:p>
    <w:p w14:paraId="69BC4D14" w14:textId="5F436481" w:rsidR="00C15139" w:rsidRPr="00D13475" w:rsidRDefault="00C15139" w:rsidP="30821638">
      <w:pPr>
        <w:spacing w:after="0" w:line="240" w:lineRule="auto"/>
        <w:textAlignment w:val="baseline"/>
        <w:rPr>
          <w:rFonts w:ascii="Verdana" w:eastAsia="Verdana" w:hAnsi="Verdana" w:cs="Verdana"/>
          <w:color w:val="000000" w:themeColor="text1"/>
          <w:lang w:eastAsia="es-CO"/>
        </w:rPr>
      </w:pPr>
      <w:r w:rsidRPr="00D13475">
        <w:rPr>
          <w:rFonts w:ascii="Verdana" w:eastAsia="Verdana" w:hAnsi="Verdana" w:cs="Verdana"/>
          <w:color w:val="000000" w:themeColor="text1"/>
          <w:lang w:eastAsia="es-CO"/>
        </w:rPr>
        <w:t> </w:t>
      </w:r>
      <w:bookmarkEnd w:id="0"/>
    </w:p>
    <w:sectPr w:rsidR="00C15139" w:rsidRPr="00D13475" w:rsidSect="007C0C0F">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48A21" w14:textId="77777777" w:rsidR="005C681F" w:rsidRDefault="005C681F" w:rsidP="004A1847">
      <w:pPr>
        <w:spacing w:after="0" w:line="240" w:lineRule="auto"/>
      </w:pPr>
      <w:r>
        <w:separator/>
      </w:r>
    </w:p>
  </w:endnote>
  <w:endnote w:type="continuationSeparator" w:id="0">
    <w:p w14:paraId="2280E07C" w14:textId="77777777" w:rsidR="005C681F" w:rsidRDefault="005C681F"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MT">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9BE46" w14:textId="77777777" w:rsidR="005C681F" w:rsidRDefault="005C681F" w:rsidP="004A1847">
      <w:pPr>
        <w:spacing w:after="0" w:line="240" w:lineRule="auto"/>
      </w:pPr>
      <w:r>
        <w:separator/>
      </w:r>
    </w:p>
  </w:footnote>
  <w:footnote w:type="continuationSeparator" w:id="0">
    <w:p w14:paraId="0727F7E5" w14:textId="77777777" w:rsidR="005C681F" w:rsidRDefault="005C681F" w:rsidP="004A1847">
      <w:pPr>
        <w:spacing w:after="0" w:line="240" w:lineRule="auto"/>
      </w:pPr>
      <w:r>
        <w:continuationSeparator/>
      </w:r>
    </w:p>
  </w:footnote>
  <w:footnote w:id="1">
    <w:p w14:paraId="078CFD56" w14:textId="77777777" w:rsidR="00F56178" w:rsidRDefault="00F56178" w:rsidP="00F56178">
      <w:pPr>
        <w:pStyle w:val="Textonotapie"/>
        <w:ind w:right="-2" w:firstLine="709"/>
        <w:jc w:val="both"/>
      </w:pPr>
      <w:r>
        <w:rPr>
          <w:rStyle w:val="Refdenotaalpie"/>
          <w:sz w:val="16"/>
          <w:szCs w:val="16"/>
        </w:rPr>
        <w:footnoteRef/>
      </w:r>
      <w:r>
        <w:rPr>
          <w:rFonts w:ascii="Verdana" w:hAnsi="Verdana" w:cs="Verdana"/>
          <w:sz w:val="16"/>
          <w:szCs w:val="16"/>
        </w:rPr>
        <w:t xml:space="preserve"> Corte Constitucional. Sentencia T-1039 de 2006. M.P. Humberto Sierra Porto. La Corte Constitucional ha mantenido este criterio, entre otras, en las Sentencias C-903 de 2008. M.P. Jaime Araújo Rentería, y C-101 de 2018. M.P. Gloria Stella Ortiz Delgado.</w:t>
      </w:r>
    </w:p>
  </w:footnote>
  <w:footnote w:id="2">
    <w:p w14:paraId="46DF7AFF" w14:textId="77777777" w:rsidR="00F56178" w:rsidRDefault="00F56178" w:rsidP="00F56178">
      <w:pPr>
        <w:pStyle w:val="Textonotapie"/>
        <w:ind w:right="-2" w:firstLine="709"/>
        <w:jc w:val="both"/>
      </w:pPr>
      <w:r>
        <w:rPr>
          <w:rStyle w:val="Refdenotaalpie"/>
          <w:sz w:val="16"/>
          <w:szCs w:val="16"/>
        </w:rPr>
        <w:footnoteRef/>
      </w:r>
      <w:r>
        <w:rPr>
          <w:rFonts w:ascii="Verdana" w:hAnsi="Verdana" w:cs="Verdana"/>
          <w:sz w:val="16"/>
          <w:szCs w:val="16"/>
        </w:rPr>
        <w:t xml:space="preserve"> Consejo de Estado. Sala de Consulta y Servicio Civil. Concepto del 30 de abril de 2015. Exp. 2251. C.P. Álvaro Namén Vargas.</w:t>
      </w:r>
    </w:p>
  </w:footnote>
  <w:footnote w:id="3">
    <w:p w14:paraId="067E6FAB" w14:textId="77777777" w:rsidR="00F56178" w:rsidRDefault="00F56178" w:rsidP="00F56178">
      <w:pPr>
        <w:pStyle w:val="Textonotapie"/>
        <w:ind w:right="-2" w:firstLine="709"/>
        <w:jc w:val="both"/>
      </w:pPr>
      <w:r>
        <w:rPr>
          <w:rStyle w:val="Refdenotaalpie"/>
          <w:sz w:val="16"/>
          <w:szCs w:val="16"/>
        </w:rPr>
        <w:footnoteRef/>
      </w:r>
      <w:r>
        <w:rPr>
          <w:rFonts w:ascii="Verdana" w:hAnsi="Verdana" w:cs="Verdana"/>
          <w:sz w:val="16"/>
          <w:szCs w:val="16"/>
        </w:rPr>
        <w:t xml:space="preserve"> Código Civil, artículo 47: “Afinidad legítima es la que existe entre una persona que está o ha estado casada y los consanguíneos legítimos de su marido o mujer. La línea o grado de afinidad legítima de una persona con un consanguíneo de su marido o mujer, se califica por la línea o grado de consanguinidad legítima de dicho marido o mujer con el dicho consanguíneo. Así un varón está en primer grado de afinidad legítima, en la línea recta, con los hijos habidos por su mujer en anterior matrimonio; en segundo grado de afinidad legítima, en la línea transversal, con los hermanos legítimos de su mujer”. La calificación de “legítima” debe entenderse superada por el principio constitucional de igualdad previsto en los artículos 13 y 42 de la Constitución Política.</w:t>
      </w:r>
    </w:p>
  </w:footnote>
  <w:footnote w:id="4">
    <w:p w14:paraId="3B8E9D3B" w14:textId="77777777" w:rsidR="00F56178" w:rsidRDefault="00F56178" w:rsidP="00F56178">
      <w:pPr>
        <w:pStyle w:val="Textonotapie"/>
        <w:ind w:right="-2" w:firstLine="709"/>
        <w:jc w:val="both"/>
      </w:pPr>
      <w:r>
        <w:rPr>
          <w:rStyle w:val="Refdenotaalpie"/>
          <w:sz w:val="16"/>
          <w:szCs w:val="16"/>
        </w:rPr>
        <w:footnoteRef/>
      </w:r>
      <w:r>
        <w:rPr>
          <w:rFonts w:ascii="Verdana" w:hAnsi="Verdana" w:cs="Verdana"/>
          <w:sz w:val="16"/>
          <w:szCs w:val="16"/>
        </w:rPr>
        <w:t xml:space="preserve"> El artículo 111 de la Ley 99 de 1993 fue modificado por el artículo 210 de la Ley 1450 de 2011 y, posteriormente, por la Ley 2320 de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17A1800"/>
    <w:multiLevelType w:val="hybridMultilevel"/>
    <w:tmpl w:val="9C3292A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2090739E"/>
    <w:multiLevelType w:val="multilevel"/>
    <w:tmpl w:val="7BBA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84042B"/>
    <w:multiLevelType w:val="multilevel"/>
    <w:tmpl w:val="402EB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3FF0212F"/>
    <w:multiLevelType w:val="hybridMultilevel"/>
    <w:tmpl w:val="949CBC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18679D0"/>
    <w:multiLevelType w:val="hybridMultilevel"/>
    <w:tmpl w:val="00200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F371B4A"/>
    <w:multiLevelType w:val="hybridMultilevel"/>
    <w:tmpl w:val="7D8AB1EA"/>
    <w:lvl w:ilvl="0" w:tplc="240A000F">
      <w:start w:val="2"/>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7"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CC6F5F"/>
    <w:multiLevelType w:val="hybridMultilevel"/>
    <w:tmpl w:val="D2B628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FC3243A"/>
    <w:multiLevelType w:val="hybridMultilevel"/>
    <w:tmpl w:val="FD2897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48779781">
    <w:abstractNumId w:val="9"/>
  </w:num>
  <w:num w:numId="2" w16cid:durableId="19822139">
    <w:abstractNumId w:val="2"/>
  </w:num>
  <w:num w:numId="3" w16cid:durableId="876742304">
    <w:abstractNumId w:val="7"/>
  </w:num>
  <w:num w:numId="4" w16cid:durableId="2451864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9"/>
  </w:num>
  <w:num w:numId="7" w16cid:durableId="1946422806">
    <w:abstractNumId w:val="8"/>
  </w:num>
  <w:num w:numId="8" w16cid:durableId="152644682">
    <w:abstractNumId w:val="18"/>
  </w:num>
  <w:num w:numId="9" w16cid:durableId="1317221377">
    <w:abstractNumId w:val="10"/>
  </w:num>
  <w:num w:numId="10" w16cid:durableId="1471245386">
    <w:abstractNumId w:val="17"/>
  </w:num>
  <w:num w:numId="11" w16cid:durableId="289172385">
    <w:abstractNumId w:val="11"/>
  </w:num>
  <w:num w:numId="12" w16cid:durableId="1470781324">
    <w:abstractNumId w:val="1"/>
  </w:num>
  <w:num w:numId="13" w16cid:durableId="1512908409">
    <w:abstractNumId w:val="6"/>
  </w:num>
  <w:num w:numId="14" w16cid:durableId="895897244">
    <w:abstractNumId w:val="20"/>
  </w:num>
  <w:num w:numId="15" w16cid:durableId="390349800">
    <w:abstractNumId w:val="16"/>
  </w:num>
  <w:num w:numId="16" w16cid:durableId="341274352">
    <w:abstractNumId w:val="0"/>
  </w:num>
  <w:num w:numId="17" w16cid:durableId="679089576">
    <w:abstractNumId w:val="12"/>
  </w:num>
  <w:num w:numId="18" w16cid:durableId="1290623316">
    <w:abstractNumId w:val="3"/>
  </w:num>
  <w:num w:numId="19" w16cid:durableId="784039179">
    <w:abstractNumId w:val="21"/>
  </w:num>
  <w:num w:numId="20" w16cid:durableId="153255849">
    <w:abstractNumId w:val="14"/>
  </w:num>
  <w:num w:numId="21" w16cid:durableId="2067800759">
    <w:abstractNumId w:val="5"/>
  </w:num>
  <w:num w:numId="22" w16cid:durableId="1018896880">
    <w:abstractNumId w:val="4"/>
  </w:num>
  <w:num w:numId="23" w16cid:durableId="1897617933">
    <w:abstractNumId w:val="15"/>
  </w:num>
  <w:num w:numId="24" w16cid:durableId="457456159">
    <w:abstractNumId w:val="13"/>
  </w:num>
  <w:num w:numId="25" w16cid:durableId="13866352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51D01"/>
    <w:rsid w:val="00061B2A"/>
    <w:rsid w:val="00082362"/>
    <w:rsid w:val="00093BF9"/>
    <w:rsid w:val="000A683E"/>
    <w:rsid w:val="000B19B9"/>
    <w:rsid w:val="000C47B9"/>
    <w:rsid w:val="000C7411"/>
    <w:rsid w:val="000D0334"/>
    <w:rsid w:val="000D5DA7"/>
    <w:rsid w:val="000F6486"/>
    <w:rsid w:val="00116940"/>
    <w:rsid w:val="00125105"/>
    <w:rsid w:val="00127233"/>
    <w:rsid w:val="0015699B"/>
    <w:rsid w:val="00172DEB"/>
    <w:rsid w:val="001A33BF"/>
    <w:rsid w:val="001B7673"/>
    <w:rsid w:val="001D6B44"/>
    <w:rsid w:val="001E4177"/>
    <w:rsid w:val="001F0B24"/>
    <w:rsid w:val="001F7DC6"/>
    <w:rsid w:val="002161D5"/>
    <w:rsid w:val="0022400B"/>
    <w:rsid w:val="0023710D"/>
    <w:rsid w:val="002421BB"/>
    <w:rsid w:val="0024444B"/>
    <w:rsid w:val="00244BBA"/>
    <w:rsid w:val="0025796E"/>
    <w:rsid w:val="0027017D"/>
    <w:rsid w:val="002707A2"/>
    <w:rsid w:val="002951A0"/>
    <w:rsid w:val="002962BC"/>
    <w:rsid w:val="002A093D"/>
    <w:rsid w:val="002A0DD0"/>
    <w:rsid w:val="002A3275"/>
    <w:rsid w:val="002A49AC"/>
    <w:rsid w:val="002A64FD"/>
    <w:rsid w:val="002C39A1"/>
    <w:rsid w:val="002C7A84"/>
    <w:rsid w:val="002E2BF8"/>
    <w:rsid w:val="002E4FD9"/>
    <w:rsid w:val="002F0E98"/>
    <w:rsid w:val="0030657A"/>
    <w:rsid w:val="00322A85"/>
    <w:rsid w:val="00324168"/>
    <w:rsid w:val="00330834"/>
    <w:rsid w:val="003448F4"/>
    <w:rsid w:val="003640DC"/>
    <w:rsid w:val="00366A6E"/>
    <w:rsid w:val="00374F5E"/>
    <w:rsid w:val="0037799F"/>
    <w:rsid w:val="00377E3E"/>
    <w:rsid w:val="003A779E"/>
    <w:rsid w:val="003C049F"/>
    <w:rsid w:val="003D0F4D"/>
    <w:rsid w:val="003D5B0D"/>
    <w:rsid w:val="003E0499"/>
    <w:rsid w:val="003E4F80"/>
    <w:rsid w:val="003E6439"/>
    <w:rsid w:val="003F3941"/>
    <w:rsid w:val="00406575"/>
    <w:rsid w:val="00414C74"/>
    <w:rsid w:val="0042722E"/>
    <w:rsid w:val="0044528D"/>
    <w:rsid w:val="00466E39"/>
    <w:rsid w:val="00485824"/>
    <w:rsid w:val="004A1847"/>
    <w:rsid w:val="004A305D"/>
    <w:rsid w:val="004F21C4"/>
    <w:rsid w:val="004F685F"/>
    <w:rsid w:val="00522FFE"/>
    <w:rsid w:val="00530B2E"/>
    <w:rsid w:val="005566E8"/>
    <w:rsid w:val="00574867"/>
    <w:rsid w:val="00591460"/>
    <w:rsid w:val="005A65E0"/>
    <w:rsid w:val="005B3A5C"/>
    <w:rsid w:val="005B79CE"/>
    <w:rsid w:val="005C3777"/>
    <w:rsid w:val="005C5CDC"/>
    <w:rsid w:val="005C681F"/>
    <w:rsid w:val="005D01AA"/>
    <w:rsid w:val="005D476C"/>
    <w:rsid w:val="005F3FB6"/>
    <w:rsid w:val="006200BF"/>
    <w:rsid w:val="006219F8"/>
    <w:rsid w:val="006302F7"/>
    <w:rsid w:val="00641DA9"/>
    <w:rsid w:val="00646B9F"/>
    <w:rsid w:val="00665D70"/>
    <w:rsid w:val="0068231B"/>
    <w:rsid w:val="006900D9"/>
    <w:rsid w:val="00696EFC"/>
    <w:rsid w:val="006D38F4"/>
    <w:rsid w:val="00706C16"/>
    <w:rsid w:val="007340C3"/>
    <w:rsid w:val="00740302"/>
    <w:rsid w:val="0075235A"/>
    <w:rsid w:val="00756841"/>
    <w:rsid w:val="007649AB"/>
    <w:rsid w:val="00771D0C"/>
    <w:rsid w:val="007833AC"/>
    <w:rsid w:val="007A4245"/>
    <w:rsid w:val="007B268C"/>
    <w:rsid w:val="007B7171"/>
    <w:rsid w:val="007C0C0F"/>
    <w:rsid w:val="007C31D6"/>
    <w:rsid w:val="007C3DC2"/>
    <w:rsid w:val="007D1F56"/>
    <w:rsid w:val="007E5497"/>
    <w:rsid w:val="00804F48"/>
    <w:rsid w:val="00806F5F"/>
    <w:rsid w:val="0081120D"/>
    <w:rsid w:val="00820278"/>
    <w:rsid w:val="008258C9"/>
    <w:rsid w:val="00844AE9"/>
    <w:rsid w:val="00862A50"/>
    <w:rsid w:val="00867F95"/>
    <w:rsid w:val="008843B6"/>
    <w:rsid w:val="00891928"/>
    <w:rsid w:val="008958F6"/>
    <w:rsid w:val="008A446D"/>
    <w:rsid w:val="008B25F1"/>
    <w:rsid w:val="008D180B"/>
    <w:rsid w:val="008D2999"/>
    <w:rsid w:val="008F0EA7"/>
    <w:rsid w:val="00904B8A"/>
    <w:rsid w:val="00914AB2"/>
    <w:rsid w:val="00923EEF"/>
    <w:rsid w:val="009419F9"/>
    <w:rsid w:val="0095685E"/>
    <w:rsid w:val="00961B09"/>
    <w:rsid w:val="00965334"/>
    <w:rsid w:val="0097093E"/>
    <w:rsid w:val="00991C7D"/>
    <w:rsid w:val="009979E9"/>
    <w:rsid w:val="009A0DFA"/>
    <w:rsid w:val="009A1C6F"/>
    <w:rsid w:val="009B2D26"/>
    <w:rsid w:val="009B547B"/>
    <w:rsid w:val="009C377C"/>
    <w:rsid w:val="009C4CA5"/>
    <w:rsid w:val="009C71FA"/>
    <w:rsid w:val="009C72E7"/>
    <w:rsid w:val="009C7F7E"/>
    <w:rsid w:val="009D25AB"/>
    <w:rsid w:val="009D3058"/>
    <w:rsid w:val="009F3A13"/>
    <w:rsid w:val="009F569E"/>
    <w:rsid w:val="00A122D3"/>
    <w:rsid w:val="00A14468"/>
    <w:rsid w:val="00A17F13"/>
    <w:rsid w:val="00A20739"/>
    <w:rsid w:val="00A23AF9"/>
    <w:rsid w:val="00A30ED9"/>
    <w:rsid w:val="00A33C78"/>
    <w:rsid w:val="00A421A1"/>
    <w:rsid w:val="00A743CE"/>
    <w:rsid w:val="00A951C3"/>
    <w:rsid w:val="00AB0ADB"/>
    <w:rsid w:val="00AD0C24"/>
    <w:rsid w:val="00AE40CC"/>
    <w:rsid w:val="00AF1D25"/>
    <w:rsid w:val="00B00C0E"/>
    <w:rsid w:val="00B01B1A"/>
    <w:rsid w:val="00B0381D"/>
    <w:rsid w:val="00B232BB"/>
    <w:rsid w:val="00B42204"/>
    <w:rsid w:val="00B44A47"/>
    <w:rsid w:val="00B72CD3"/>
    <w:rsid w:val="00B72FFF"/>
    <w:rsid w:val="00BC3D36"/>
    <w:rsid w:val="00BD40B4"/>
    <w:rsid w:val="00BD54A6"/>
    <w:rsid w:val="00BD7F72"/>
    <w:rsid w:val="00BF7425"/>
    <w:rsid w:val="00C04FB3"/>
    <w:rsid w:val="00C11D8B"/>
    <w:rsid w:val="00C11FDA"/>
    <w:rsid w:val="00C15139"/>
    <w:rsid w:val="00C2543B"/>
    <w:rsid w:val="00C330EB"/>
    <w:rsid w:val="00C3587D"/>
    <w:rsid w:val="00C42100"/>
    <w:rsid w:val="00C50D69"/>
    <w:rsid w:val="00C5365C"/>
    <w:rsid w:val="00C754BE"/>
    <w:rsid w:val="00C76B1C"/>
    <w:rsid w:val="00C925AC"/>
    <w:rsid w:val="00CB1DED"/>
    <w:rsid w:val="00CB6357"/>
    <w:rsid w:val="00CC1B26"/>
    <w:rsid w:val="00D0616C"/>
    <w:rsid w:val="00D13475"/>
    <w:rsid w:val="00D361FD"/>
    <w:rsid w:val="00D423A2"/>
    <w:rsid w:val="00D44E26"/>
    <w:rsid w:val="00D520D8"/>
    <w:rsid w:val="00D63AC2"/>
    <w:rsid w:val="00D7351E"/>
    <w:rsid w:val="00D7383B"/>
    <w:rsid w:val="00D739EA"/>
    <w:rsid w:val="00D7788A"/>
    <w:rsid w:val="00DA231B"/>
    <w:rsid w:val="00DC39FC"/>
    <w:rsid w:val="00DF1CE7"/>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C5D98"/>
    <w:rsid w:val="00EE1AA8"/>
    <w:rsid w:val="00F23FEA"/>
    <w:rsid w:val="00F31EDC"/>
    <w:rsid w:val="00F43F8D"/>
    <w:rsid w:val="00F462B3"/>
    <w:rsid w:val="00F56178"/>
    <w:rsid w:val="00F5664F"/>
    <w:rsid w:val="00F666C4"/>
    <w:rsid w:val="00F764BC"/>
    <w:rsid w:val="00F76AFC"/>
    <w:rsid w:val="00FA47C0"/>
    <w:rsid w:val="00FA59D8"/>
    <w:rsid w:val="00FA79EC"/>
    <w:rsid w:val="00FB5DD1"/>
    <w:rsid w:val="00FC2B5D"/>
    <w:rsid w:val="00FE2194"/>
    <w:rsid w:val="00FF1449"/>
    <w:rsid w:val="00FF7963"/>
    <w:rsid w:val="071B8F93"/>
    <w:rsid w:val="07C73DD1"/>
    <w:rsid w:val="09908A09"/>
    <w:rsid w:val="0EFE6349"/>
    <w:rsid w:val="0FF4CCA8"/>
    <w:rsid w:val="13CFC91B"/>
    <w:rsid w:val="19A2EC2C"/>
    <w:rsid w:val="21779BE6"/>
    <w:rsid w:val="2859CA1B"/>
    <w:rsid w:val="2C4D2425"/>
    <w:rsid w:val="2EE1E026"/>
    <w:rsid w:val="30821638"/>
    <w:rsid w:val="32A4F9CF"/>
    <w:rsid w:val="33A1FF93"/>
    <w:rsid w:val="356CEDFD"/>
    <w:rsid w:val="3C591AFD"/>
    <w:rsid w:val="42183F0A"/>
    <w:rsid w:val="545B112A"/>
    <w:rsid w:val="5BEB1497"/>
    <w:rsid w:val="69614A15"/>
    <w:rsid w:val="74BA017B"/>
    <w:rsid w:val="7677286E"/>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7C31D6"/>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7C31D6"/>
    <w:rPr>
      <w:rFonts w:ascii="Geomanist Light" w:hAnsi="Geomanist Light"/>
      <w:lang w:val="es-ES"/>
    </w:rPr>
  </w:style>
  <w:style w:type="paragraph" w:styleId="Textoindependiente">
    <w:name w:val="Body Text"/>
    <w:basedOn w:val="Normal"/>
    <w:link w:val="TextoindependienteCar"/>
    <w:uiPriority w:val="99"/>
    <w:qFormat/>
    <w:rsid w:val="007C31D6"/>
    <w:pPr>
      <w:widowControl w:val="0"/>
      <w:autoSpaceDE w:val="0"/>
      <w:autoSpaceDN w:val="0"/>
      <w:spacing w:after="0" w:line="240" w:lineRule="auto"/>
    </w:pPr>
    <w:rPr>
      <w:rFonts w:ascii="Verdana" w:eastAsia="Verdana" w:hAnsi="Verdana" w:cs="Verdana"/>
      <w:lang w:val="es-ES"/>
    </w:rPr>
  </w:style>
  <w:style w:type="character" w:customStyle="1" w:styleId="TextoindependienteCar">
    <w:name w:val="Texto independiente Car"/>
    <w:basedOn w:val="Fuentedeprrafopredeter"/>
    <w:link w:val="Textoindependiente"/>
    <w:uiPriority w:val="99"/>
    <w:rsid w:val="007C31D6"/>
    <w:rPr>
      <w:rFonts w:ascii="Verdana" w:eastAsia="Verdana" w:hAnsi="Verdana" w:cs="Verdana"/>
      <w:lang w:val="es-ES"/>
    </w:rPr>
  </w:style>
  <w:style w:type="character" w:customStyle="1" w:styleId="s15">
    <w:name w:val="s15"/>
    <w:basedOn w:val="Fuentedeprrafopredeter"/>
    <w:rsid w:val="002A3275"/>
  </w:style>
  <w:style w:type="character" w:customStyle="1" w:styleId="apple-converted-space">
    <w:name w:val="apple-converted-space"/>
    <w:basedOn w:val="Fuentedeprrafopredeter"/>
    <w:rsid w:val="002A3275"/>
  </w:style>
  <w:style w:type="paragraph" w:styleId="Sinespaciado">
    <w:name w:val="No Spacing"/>
    <w:uiPriority w:val="1"/>
    <w:qFormat/>
    <w:rsid w:val="00093BF9"/>
    <w:pPr>
      <w:spacing w:after="0" w:line="240" w:lineRule="auto"/>
    </w:pPr>
  </w:style>
  <w:style w:type="table" w:customStyle="1" w:styleId="Tablaconcuadrcula1">
    <w:name w:val="Tabla con cuadrícula1"/>
    <w:basedOn w:val="Tablanormal"/>
    <w:next w:val="Tablaconcuadrcula"/>
    <w:uiPriority w:val="39"/>
    <w:qFormat/>
    <w:rsid w:val="00B42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1910">
      <w:bodyDiv w:val="1"/>
      <w:marLeft w:val="0"/>
      <w:marRight w:val="0"/>
      <w:marTop w:val="0"/>
      <w:marBottom w:val="0"/>
      <w:divBdr>
        <w:top w:val="none" w:sz="0" w:space="0" w:color="auto"/>
        <w:left w:val="none" w:sz="0" w:space="0" w:color="auto"/>
        <w:bottom w:val="none" w:sz="0" w:space="0" w:color="auto"/>
        <w:right w:val="none" w:sz="0" w:space="0" w:color="auto"/>
      </w:divBdr>
    </w:div>
    <w:div w:id="65417150">
      <w:bodyDiv w:val="1"/>
      <w:marLeft w:val="0"/>
      <w:marRight w:val="0"/>
      <w:marTop w:val="0"/>
      <w:marBottom w:val="0"/>
      <w:divBdr>
        <w:top w:val="none" w:sz="0" w:space="0" w:color="auto"/>
        <w:left w:val="none" w:sz="0" w:space="0" w:color="auto"/>
        <w:bottom w:val="none" w:sz="0" w:space="0" w:color="auto"/>
        <w:right w:val="none" w:sz="0" w:space="0" w:color="auto"/>
      </w:divBdr>
    </w:div>
    <w:div w:id="488523089">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792137267">
      <w:bodyDiv w:val="1"/>
      <w:marLeft w:val="0"/>
      <w:marRight w:val="0"/>
      <w:marTop w:val="0"/>
      <w:marBottom w:val="0"/>
      <w:divBdr>
        <w:top w:val="none" w:sz="0" w:space="0" w:color="auto"/>
        <w:left w:val="none" w:sz="0" w:space="0" w:color="auto"/>
        <w:bottom w:val="none" w:sz="0" w:space="0" w:color="auto"/>
        <w:right w:val="none" w:sz="0" w:space="0" w:color="auto"/>
      </w:divBdr>
    </w:div>
    <w:div w:id="976566751">
      <w:bodyDiv w:val="1"/>
      <w:marLeft w:val="0"/>
      <w:marRight w:val="0"/>
      <w:marTop w:val="0"/>
      <w:marBottom w:val="0"/>
      <w:divBdr>
        <w:top w:val="none" w:sz="0" w:space="0" w:color="auto"/>
        <w:left w:val="none" w:sz="0" w:space="0" w:color="auto"/>
        <w:bottom w:val="none" w:sz="0" w:space="0" w:color="auto"/>
        <w:right w:val="none" w:sz="0" w:space="0" w:color="auto"/>
      </w:divBdr>
    </w:div>
    <w:div w:id="1013723161">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15607299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456368013">
      <w:bodyDiv w:val="1"/>
      <w:marLeft w:val="0"/>
      <w:marRight w:val="0"/>
      <w:marTop w:val="0"/>
      <w:marBottom w:val="0"/>
      <w:divBdr>
        <w:top w:val="none" w:sz="0" w:space="0" w:color="auto"/>
        <w:left w:val="none" w:sz="0" w:space="0" w:color="auto"/>
        <w:bottom w:val="none" w:sz="0" w:space="0" w:color="auto"/>
        <w:right w:val="none" w:sz="0" w:space="0" w:color="auto"/>
      </w:divBdr>
    </w:div>
    <w:div w:id="1573588996">
      <w:bodyDiv w:val="1"/>
      <w:marLeft w:val="0"/>
      <w:marRight w:val="0"/>
      <w:marTop w:val="0"/>
      <w:marBottom w:val="0"/>
      <w:divBdr>
        <w:top w:val="none" w:sz="0" w:space="0" w:color="auto"/>
        <w:left w:val="none" w:sz="0" w:space="0" w:color="auto"/>
        <w:bottom w:val="none" w:sz="0" w:space="0" w:color="auto"/>
        <w:right w:val="none" w:sz="0" w:space="0" w:color="auto"/>
      </w:divBdr>
    </w:div>
    <w:div w:id="1618440583">
      <w:bodyDiv w:val="1"/>
      <w:marLeft w:val="0"/>
      <w:marRight w:val="0"/>
      <w:marTop w:val="0"/>
      <w:marBottom w:val="0"/>
      <w:divBdr>
        <w:top w:val="none" w:sz="0" w:space="0" w:color="auto"/>
        <w:left w:val="none" w:sz="0" w:space="0" w:color="auto"/>
        <w:bottom w:val="none" w:sz="0" w:space="0" w:color="auto"/>
        <w:right w:val="none" w:sz="0" w:space="0" w:color="auto"/>
      </w:divBdr>
    </w:div>
    <w:div w:id="1799488849">
      <w:bodyDiv w:val="1"/>
      <w:marLeft w:val="0"/>
      <w:marRight w:val="0"/>
      <w:marTop w:val="0"/>
      <w:marBottom w:val="0"/>
      <w:divBdr>
        <w:top w:val="none" w:sz="0" w:space="0" w:color="auto"/>
        <w:left w:val="none" w:sz="0" w:space="0" w:color="auto"/>
        <w:bottom w:val="none" w:sz="0" w:space="0" w:color="auto"/>
        <w:right w:val="none" w:sz="0" w:space="0" w:color="auto"/>
      </w:divBdr>
    </w:div>
    <w:div w:id="1893808724">
      <w:bodyDiv w:val="1"/>
      <w:marLeft w:val="0"/>
      <w:marRight w:val="0"/>
      <w:marTop w:val="0"/>
      <w:marBottom w:val="0"/>
      <w:divBdr>
        <w:top w:val="none" w:sz="0" w:space="0" w:color="auto"/>
        <w:left w:val="none" w:sz="0" w:space="0" w:color="auto"/>
        <w:bottom w:val="none" w:sz="0" w:space="0" w:color="auto"/>
        <w:right w:val="none" w:sz="0" w:space="0" w:color="auto"/>
      </w:divBdr>
    </w:div>
    <w:div w:id="1939555573">
      <w:bodyDiv w:val="1"/>
      <w:marLeft w:val="0"/>
      <w:marRight w:val="0"/>
      <w:marTop w:val="0"/>
      <w:marBottom w:val="0"/>
      <w:divBdr>
        <w:top w:val="none" w:sz="0" w:space="0" w:color="auto"/>
        <w:left w:val="none" w:sz="0" w:space="0" w:color="auto"/>
        <w:bottom w:val="none" w:sz="0" w:space="0" w:color="auto"/>
        <w:right w:val="none" w:sz="0" w:space="0" w:color="auto"/>
      </w:divBdr>
    </w:div>
    <w:div w:id="2131320819">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normativa-y-relatoria/documentos-tip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rmacionvirtual.colombiacompra.gov.co/mod/page/view.php?id=371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latoria.colombiacompra.gov.co/busqueda/concepto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829193-4476-4F52-8087-08040C30C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130</TotalTime>
  <Pages>12</Pages>
  <Words>3612</Words>
  <Characters>19869</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2026-07-12T14:42:00Z</dcterms:created>
  <dcterms:modified xsi:type="dcterms:W3CDTF">2026-07-25T17:42:00Z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