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A2184" w14:textId="77777777" w:rsidR="003A1BAC" w:rsidRPr="004C046B" w:rsidRDefault="003A1BAC" w:rsidP="003A1BAC">
      <w:pPr>
        <w:spacing w:after="0" w:line="240" w:lineRule="auto"/>
        <w:contextualSpacing/>
        <w:jc w:val="both"/>
        <w:rPr>
          <w:rFonts w:ascii="Verdana" w:eastAsia="Calibri" w:hAnsi="Verdana" w:cs="Arial"/>
          <w:b/>
          <w:bCs/>
          <w:lang w:eastAsia="es-ES"/>
        </w:rPr>
      </w:pPr>
      <w:r w:rsidRPr="004C046B">
        <w:rPr>
          <w:rFonts w:ascii="Verdana" w:eastAsia="Calibri" w:hAnsi="Verdana" w:cs="Arial"/>
          <w:b/>
          <w:bCs/>
          <w:lang w:eastAsia="es-ES"/>
        </w:rPr>
        <w:t>DECRETO 0287 DE 2026 ‒ Antecedentes normativos ‒ Decreto 392 de 2018 ‒ Omisiones reglamentarias ‒ Sentencia de acción de cumplimiento</w:t>
      </w:r>
    </w:p>
    <w:p w14:paraId="41D49B7F" w14:textId="77777777" w:rsidR="003A1BAC" w:rsidRPr="007B5AD4" w:rsidRDefault="003A1BAC" w:rsidP="003A1BAC">
      <w:pPr>
        <w:spacing w:after="0" w:line="240" w:lineRule="auto"/>
        <w:contextualSpacing/>
        <w:jc w:val="both"/>
        <w:rPr>
          <w:rFonts w:ascii="Verdana" w:eastAsia="Calibri" w:hAnsi="Verdana" w:cs="Arial"/>
          <w:b/>
          <w:bCs/>
          <w:sz w:val="20"/>
          <w:szCs w:val="20"/>
          <w:lang w:eastAsia="es-ES"/>
        </w:rPr>
      </w:pPr>
    </w:p>
    <w:p w14:paraId="145E291C" w14:textId="77777777" w:rsidR="003A1BAC" w:rsidRDefault="003A1BAC" w:rsidP="003A1BAC">
      <w:pPr>
        <w:spacing w:after="0" w:line="240" w:lineRule="auto"/>
        <w:contextualSpacing/>
        <w:jc w:val="both"/>
        <w:rPr>
          <w:rFonts w:ascii="Verdana" w:eastAsia="Calibri" w:hAnsi="Verdana" w:cs="Arial"/>
          <w:sz w:val="20"/>
          <w:szCs w:val="20"/>
          <w:lang w:eastAsia="es-ES"/>
        </w:rPr>
      </w:pPr>
      <w:r w:rsidRPr="007C6F9B">
        <w:rPr>
          <w:rFonts w:ascii="Verdana" w:eastAsia="Calibri" w:hAnsi="Verdana" w:cs="Arial"/>
          <w:sz w:val="20"/>
          <w:szCs w:val="20"/>
          <w:lang w:eastAsia="es-ES"/>
        </w:rPr>
        <w:t>La insuficiencia del Decreto 392 de 2018 fue constatada judicialmente. La Sección Quinta del Consejo de Estado, mediante sentencia de acción de cumplimiento del 12 de diciembre de 2024, radicación n.° 05001-23-33-000-2024-00847-01, M.P. Omar Joaquín Barreto Suárez, declaró el incumplimiento del Gobierno Nacional del artículo 62 de la Ley 1996 de 2019, que ordenaba reglamentar las medidas del artículo 13 de la Ley 1618 de 2013, y ordenó expedir los decretos reglamentarios faltantes en el término de cuatro (4) meses contados a partir de la ejecutoria de la providencia. La Sala calificó la obligación como imperativa, expresa e inobjetable, señalando que el Gobierno Nacional no contaba con margen de discrecionalidad para decidir si reglamentaba o no el sistema de preferencias.</w:t>
      </w:r>
    </w:p>
    <w:p w14:paraId="332D09BA" w14:textId="77777777" w:rsidR="00594D0B" w:rsidRDefault="00594D0B" w:rsidP="003A1BAC">
      <w:pPr>
        <w:spacing w:after="0" w:line="240" w:lineRule="auto"/>
        <w:contextualSpacing/>
        <w:jc w:val="both"/>
        <w:rPr>
          <w:rFonts w:ascii="Verdana" w:eastAsia="Calibri" w:hAnsi="Verdana" w:cs="Arial"/>
          <w:sz w:val="20"/>
          <w:szCs w:val="20"/>
          <w:lang w:eastAsia="es-ES"/>
        </w:rPr>
      </w:pPr>
    </w:p>
    <w:p w14:paraId="25AD1E5E" w14:textId="3E6CC5F7" w:rsidR="00594D0B" w:rsidRDefault="00594D0B" w:rsidP="003A1BAC">
      <w:pPr>
        <w:spacing w:after="0" w:line="240" w:lineRule="auto"/>
        <w:contextualSpacing/>
        <w:jc w:val="both"/>
        <w:rPr>
          <w:rFonts w:ascii="Verdana" w:eastAsia="Calibri" w:hAnsi="Verdana" w:cs="Arial"/>
          <w:b/>
          <w:bCs/>
          <w:lang w:eastAsia="es-ES"/>
        </w:rPr>
      </w:pPr>
      <w:r w:rsidRPr="00594D0B">
        <w:rPr>
          <w:rFonts w:ascii="Verdana" w:eastAsia="Calibri" w:hAnsi="Verdana" w:cs="Arial"/>
          <w:b/>
          <w:bCs/>
          <w:lang w:eastAsia="es-ES"/>
        </w:rPr>
        <w:t>DECRETO 0287 DE 2026 – Puntaje adicional – Requisitos</w:t>
      </w:r>
    </w:p>
    <w:p w14:paraId="4292AE6D" w14:textId="77777777" w:rsidR="00594D0B" w:rsidRDefault="00594D0B" w:rsidP="003A1BAC">
      <w:pPr>
        <w:spacing w:after="0" w:line="240" w:lineRule="auto"/>
        <w:contextualSpacing/>
        <w:jc w:val="both"/>
        <w:rPr>
          <w:rFonts w:ascii="Verdana" w:eastAsia="Calibri" w:hAnsi="Verdana" w:cs="Arial"/>
          <w:b/>
          <w:bCs/>
          <w:lang w:eastAsia="es-ES"/>
        </w:rPr>
      </w:pPr>
    </w:p>
    <w:p w14:paraId="6E8C544F" w14:textId="77777777" w:rsidR="00594D0B" w:rsidRPr="008D1F58" w:rsidRDefault="00594D0B" w:rsidP="00594D0B">
      <w:pPr>
        <w:spacing w:after="0" w:line="240" w:lineRule="auto"/>
        <w:contextualSpacing/>
        <w:jc w:val="both"/>
        <w:rPr>
          <w:rFonts w:ascii="Verdana" w:eastAsia="Calibri" w:hAnsi="Verdana" w:cs="Arial"/>
          <w:sz w:val="20"/>
          <w:szCs w:val="20"/>
          <w:lang w:eastAsia="es-ES"/>
        </w:rPr>
      </w:pPr>
      <w:r w:rsidRPr="008D1F58">
        <w:rPr>
          <w:rFonts w:ascii="Verdana" w:eastAsia="Calibri" w:hAnsi="Verdana" w:cs="Arial"/>
          <w:sz w:val="20"/>
          <w:szCs w:val="20"/>
          <w:lang w:eastAsia="es-ES"/>
        </w:rPr>
        <w:t>En respuesta al problema planteado, es preciso señalar que el artículo 2.2.1.2.4.2.7.4 del Decreto 1082 de 2015, modificado por el Decreto 287 de 2026, establece un puntaje adicional del dos por ciento (2 %) del total de los puntos previstos en el pliego de condiciones para los procedimientos de licitación pública y concurso de méritos. A este beneficio pueden acceder los proponentes que: i) acrediten alguna de las condiciones previstas en el artículo 2.2.1.2.4.2.6 del Decreto 1082 de 2015, o ii) demuestren la vinculación de personas con discapacidad a su planta de personal en los términos establecidos en el numeral 2 del artículo 2.2.1.2.4.2.7.4.</w:t>
      </w:r>
    </w:p>
    <w:p w14:paraId="7B5BE611"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545C4AEF" w14:textId="72FA4E2D" w:rsidR="003A1BAC" w:rsidRDefault="008D1F58" w:rsidP="003A1BAC">
      <w:pPr>
        <w:spacing w:after="0" w:line="240" w:lineRule="auto"/>
        <w:contextualSpacing/>
        <w:jc w:val="both"/>
        <w:rPr>
          <w:rFonts w:ascii="Verdana" w:eastAsia="Calibri" w:hAnsi="Verdana" w:cs="Arial"/>
          <w:b/>
          <w:bCs/>
          <w:lang w:eastAsia="es-ES"/>
        </w:rPr>
      </w:pPr>
      <w:r w:rsidRPr="008D1F58">
        <w:rPr>
          <w:rFonts w:ascii="Verdana" w:eastAsia="Calibri" w:hAnsi="Verdana" w:cs="Arial"/>
          <w:b/>
          <w:bCs/>
          <w:lang w:eastAsia="es-ES"/>
        </w:rPr>
        <w:t xml:space="preserve">EMPRENDIMIENTOS Y EMPRESAS DE PERSONAS CON DISCAPACIDAD ‒ Cargos del </w:t>
      </w:r>
      <w:r>
        <w:rPr>
          <w:rFonts w:ascii="Verdana" w:eastAsia="Calibri" w:hAnsi="Verdana" w:cs="Arial"/>
          <w:b/>
          <w:bCs/>
          <w:lang w:eastAsia="es-ES"/>
        </w:rPr>
        <w:t>n</w:t>
      </w:r>
      <w:r w:rsidRPr="008D1F58">
        <w:rPr>
          <w:rFonts w:ascii="Verdana" w:eastAsia="Calibri" w:hAnsi="Verdana" w:cs="Arial"/>
          <w:b/>
          <w:bCs/>
          <w:lang w:eastAsia="es-ES"/>
        </w:rPr>
        <w:t>ivel directivo – Noción</w:t>
      </w:r>
      <w:r w:rsidR="004A187C">
        <w:rPr>
          <w:rFonts w:ascii="Verdana" w:eastAsia="Calibri" w:hAnsi="Verdana" w:cs="Arial"/>
          <w:b/>
          <w:bCs/>
          <w:lang w:eastAsia="es-ES"/>
        </w:rPr>
        <w:t xml:space="preserve"> </w:t>
      </w:r>
      <w:r w:rsidR="004A187C" w:rsidRPr="008D1F58">
        <w:rPr>
          <w:rFonts w:ascii="Verdana" w:eastAsia="Calibri" w:hAnsi="Verdana" w:cs="Arial"/>
          <w:b/>
          <w:bCs/>
          <w:lang w:eastAsia="es-ES"/>
        </w:rPr>
        <w:t>–</w:t>
      </w:r>
      <w:r w:rsidR="004A187C">
        <w:rPr>
          <w:rFonts w:ascii="Verdana" w:eastAsia="Calibri" w:hAnsi="Verdana" w:cs="Arial"/>
          <w:b/>
          <w:bCs/>
          <w:lang w:eastAsia="es-ES"/>
        </w:rPr>
        <w:t xml:space="preserve"> Control</w:t>
      </w:r>
    </w:p>
    <w:p w14:paraId="51C1B2C3" w14:textId="77777777" w:rsidR="008D1F58" w:rsidRPr="00D70058" w:rsidRDefault="008D1F58" w:rsidP="003A1BAC">
      <w:pPr>
        <w:spacing w:after="0" w:line="240" w:lineRule="auto"/>
        <w:contextualSpacing/>
        <w:jc w:val="both"/>
        <w:rPr>
          <w:rFonts w:ascii="Verdana" w:eastAsia="Calibri" w:hAnsi="Verdana" w:cs="Arial"/>
          <w:b/>
          <w:bCs/>
          <w:sz w:val="20"/>
          <w:szCs w:val="20"/>
          <w:highlight w:val="yellow"/>
          <w:lang w:eastAsia="es-ES"/>
        </w:rPr>
      </w:pPr>
    </w:p>
    <w:p w14:paraId="22F08EBF" w14:textId="7E83DB2C" w:rsidR="008D1F58" w:rsidRPr="008D1F58" w:rsidRDefault="008D1F58" w:rsidP="008D1F58">
      <w:pPr>
        <w:spacing w:after="0" w:line="240" w:lineRule="auto"/>
        <w:contextualSpacing/>
        <w:jc w:val="both"/>
        <w:rPr>
          <w:rFonts w:ascii="Verdana" w:eastAsia="Calibri" w:hAnsi="Verdana" w:cs="Arial"/>
          <w:sz w:val="20"/>
          <w:szCs w:val="20"/>
          <w:lang w:eastAsia="es-ES"/>
        </w:rPr>
      </w:pPr>
      <w:r w:rsidRPr="008D1F58">
        <w:rPr>
          <w:rFonts w:ascii="Verdana" w:eastAsia="Calibri" w:hAnsi="Verdana" w:cs="Arial"/>
          <w:sz w:val="20"/>
          <w:szCs w:val="20"/>
          <w:lang w:eastAsia="es-ES"/>
        </w:rPr>
        <w:t>Ahora bien, de conformidad con el numeral 4 del artículo 2.2.1.2.4.2.6, se consideran emprendimientos o empresas de personas con discapacidad las personas jurídicas que tengan vinculada laboralmente al menos una (1) persona con discapacidad en un empleo del nivel directivo durante, por lo menos, el año anterior a la fecha de cierre del proceso de selección, ya sea en el mismo cargo o en otro del mismo nivel. La norma precisa que los empleos del nivel directivo son aquellos cuyas funciones se relacionan con la dirección de áreas misionales de la empresa y la adopción de decisiones estratégicas. En consecuencia, se trata de cargos ubicados en los niveles superiores de la estructura organizacional o que, por su jerarquía, impliquen funciones de representación del empleador.</w:t>
      </w:r>
    </w:p>
    <w:p w14:paraId="7761D060" w14:textId="77777777" w:rsidR="008D1F58" w:rsidRDefault="008D1F58" w:rsidP="008D1F58">
      <w:pPr>
        <w:spacing w:after="0" w:line="240" w:lineRule="auto"/>
        <w:contextualSpacing/>
        <w:jc w:val="both"/>
        <w:rPr>
          <w:rFonts w:ascii="Verdana" w:eastAsia="Calibri" w:hAnsi="Verdana" w:cs="Arial"/>
          <w:sz w:val="20"/>
          <w:szCs w:val="20"/>
          <w:lang w:eastAsia="es-ES"/>
        </w:rPr>
      </w:pPr>
    </w:p>
    <w:p w14:paraId="01A10AE2" w14:textId="4B077008" w:rsidR="008D1F58" w:rsidRDefault="008D1F58" w:rsidP="008D1F58">
      <w:pPr>
        <w:spacing w:after="0" w:line="240" w:lineRule="auto"/>
        <w:contextualSpacing/>
        <w:jc w:val="both"/>
        <w:rPr>
          <w:rFonts w:ascii="Verdana" w:eastAsia="Calibri" w:hAnsi="Verdana" w:cs="Arial"/>
          <w:sz w:val="20"/>
          <w:szCs w:val="20"/>
          <w:lang w:eastAsia="es-ES"/>
        </w:rPr>
      </w:pPr>
      <w:r w:rsidRPr="008D1F58">
        <w:rPr>
          <w:rFonts w:ascii="Verdana" w:eastAsia="Calibri" w:hAnsi="Verdana" w:cs="Arial"/>
          <w:sz w:val="20"/>
          <w:szCs w:val="20"/>
          <w:lang w:eastAsia="es-ES"/>
        </w:rPr>
        <w:t xml:space="preserve">De acuerdo con el inciso cuarto del citado numeral, esta circunstancia debe acreditarse mediante certificación expedida por el representante legal y el revisor fiscal, cuando exista, o por el contador, en la que se identifique a las personas con discapacidad que ocupan cargos del nivel directivo y se indique el tiempo de vinculación correspondiente. Por tanto, el proponente que acredite esta condición podrá acceder al puntaje adicional </w:t>
      </w:r>
      <w:r w:rsidRPr="008D1F58">
        <w:rPr>
          <w:rFonts w:ascii="Verdana" w:eastAsia="Calibri" w:hAnsi="Verdana" w:cs="Arial"/>
          <w:sz w:val="20"/>
          <w:szCs w:val="20"/>
          <w:lang w:eastAsia="es-ES"/>
        </w:rPr>
        <w:lastRenderedPageBreak/>
        <w:t>previsto en el artículo 2.2.1.2.4.2.7.4 del Decreto 1082 de 2015, conforme con lo dispuesto en el numeral 1 de dicha disposición.</w:t>
      </w:r>
    </w:p>
    <w:p w14:paraId="278726A2" w14:textId="77777777" w:rsidR="00AA2B61" w:rsidRDefault="00AA2B61" w:rsidP="008D1F58">
      <w:pPr>
        <w:spacing w:after="0" w:line="240" w:lineRule="auto"/>
        <w:contextualSpacing/>
        <w:jc w:val="both"/>
        <w:rPr>
          <w:rFonts w:ascii="Verdana" w:eastAsia="Calibri" w:hAnsi="Verdana" w:cs="Arial"/>
          <w:sz w:val="20"/>
          <w:szCs w:val="20"/>
          <w:lang w:eastAsia="es-ES"/>
        </w:rPr>
      </w:pPr>
    </w:p>
    <w:p w14:paraId="139530C4" w14:textId="77777777" w:rsidR="00AA2B61" w:rsidRDefault="00AA2B61" w:rsidP="00AA2B61">
      <w:pPr>
        <w:spacing w:after="0" w:line="240" w:lineRule="auto"/>
        <w:contextualSpacing/>
        <w:jc w:val="both"/>
        <w:rPr>
          <w:rFonts w:ascii="Verdana" w:eastAsia="Calibri" w:hAnsi="Verdana" w:cs="Arial"/>
          <w:sz w:val="20"/>
          <w:szCs w:val="20"/>
          <w:lang w:eastAsia="es-ES"/>
        </w:rPr>
      </w:pPr>
      <w:r w:rsidRPr="00AA2B61">
        <w:rPr>
          <w:rFonts w:ascii="Verdana" w:eastAsia="Calibri" w:hAnsi="Verdana" w:cs="Arial"/>
          <w:sz w:val="20"/>
          <w:szCs w:val="20"/>
          <w:lang w:eastAsia="es-ES"/>
        </w:rPr>
        <w:t>Por tanto, respecto de su pregunta sobre controlar que las personas con discapacidad pertenezcan al nivel directivo, la entidad contratante es la encargada de verificar con los documentos señalados anteriormente, que la persona con discapacidad si ejerza el cargo de nivel directivo teniendo en cuenta que:</w:t>
      </w:r>
    </w:p>
    <w:p w14:paraId="1F465AD3" w14:textId="77777777" w:rsidR="00AA2B61" w:rsidRPr="00AA2B61" w:rsidRDefault="00AA2B61" w:rsidP="00AA2B61">
      <w:pPr>
        <w:spacing w:after="0" w:line="240" w:lineRule="auto"/>
        <w:contextualSpacing/>
        <w:jc w:val="both"/>
        <w:rPr>
          <w:rFonts w:ascii="Verdana" w:eastAsia="Calibri" w:hAnsi="Verdana" w:cs="Arial"/>
          <w:sz w:val="20"/>
          <w:szCs w:val="20"/>
          <w:lang w:eastAsia="es-ES"/>
        </w:rPr>
      </w:pPr>
    </w:p>
    <w:p w14:paraId="5D7C9BA1" w14:textId="77777777" w:rsidR="00AA2B61" w:rsidRPr="00AA2B61" w:rsidRDefault="00AA2B61" w:rsidP="00AA2B61">
      <w:pPr>
        <w:spacing w:after="0" w:line="240" w:lineRule="auto"/>
        <w:contextualSpacing/>
        <w:jc w:val="both"/>
        <w:rPr>
          <w:rFonts w:ascii="Verdana" w:eastAsia="Calibri" w:hAnsi="Verdana" w:cs="Arial"/>
          <w:sz w:val="20"/>
          <w:szCs w:val="20"/>
          <w:lang w:eastAsia="es-ES"/>
        </w:rPr>
      </w:pPr>
      <w:r w:rsidRPr="00AA2B61">
        <w:rPr>
          <w:rFonts w:ascii="Verdana" w:eastAsia="Calibri" w:hAnsi="Verdana" w:cs="Arial"/>
          <w:sz w:val="20"/>
          <w:szCs w:val="20"/>
          <w:lang w:eastAsia="es-ES"/>
        </w:rPr>
        <w:t>“(…) Sobre la definición de empleo del nivel directivo es de indicar que, este depende de las funciones y de la organización interna de la persona jurídica, es decir, que la PcD debe, en ejercicio de su cargo, tomar decisiones estratégicas, dirigir áreas misionales o la posibilidad de representar al empleador que tenga la PcD.</w:t>
      </w:r>
    </w:p>
    <w:p w14:paraId="1853343B" w14:textId="1B8EBEF8" w:rsidR="008D1F58" w:rsidRPr="008D1F58" w:rsidRDefault="00AA2B61" w:rsidP="00AA2B61">
      <w:pPr>
        <w:spacing w:after="0" w:line="240" w:lineRule="auto"/>
        <w:contextualSpacing/>
        <w:jc w:val="both"/>
        <w:rPr>
          <w:rFonts w:ascii="Verdana" w:eastAsia="Calibri" w:hAnsi="Verdana" w:cs="Arial"/>
          <w:sz w:val="20"/>
          <w:szCs w:val="20"/>
          <w:lang w:eastAsia="es-ES"/>
        </w:rPr>
      </w:pPr>
      <w:r w:rsidRPr="00AA2B61">
        <w:rPr>
          <w:rFonts w:ascii="Verdana" w:eastAsia="Calibri" w:hAnsi="Verdana" w:cs="Arial"/>
          <w:sz w:val="20"/>
          <w:szCs w:val="20"/>
          <w:lang w:eastAsia="es-ES"/>
        </w:rPr>
        <w:t>Esto se acreditará con los documentos enlistados en la norma, y particularmente con el certificado del representante legal, revisor fiscal o contador acompañada de certificación laboral o copia del contrato laboral, y los aportes a seguridad social del último año, los cuales deberán acreditar con suficiencia la condición exigida”.</w:t>
      </w:r>
    </w:p>
    <w:p w14:paraId="6DA83550"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3E3CD2C8" w14:textId="77777777" w:rsidR="007D7FAB" w:rsidRPr="00D72D95" w:rsidRDefault="007D7FAB" w:rsidP="007D7FAB">
      <w:pPr>
        <w:spacing w:after="0" w:line="240" w:lineRule="auto"/>
        <w:jc w:val="both"/>
        <w:rPr>
          <w:rFonts w:ascii="Verdana" w:eastAsia="Calibri" w:hAnsi="Verdana" w:cs="Arial"/>
          <w:b/>
          <w:bCs/>
          <w:lang w:val="es-ES" w:eastAsia="es-ES"/>
        </w:rPr>
      </w:pPr>
      <w:r w:rsidRPr="00D72D95">
        <w:rPr>
          <w:rFonts w:ascii="Verdana" w:eastAsia="Calibri" w:hAnsi="Verdana" w:cs="Arial"/>
          <w:b/>
          <w:bCs/>
          <w:lang w:val="es-ES" w:eastAsia="es-ES"/>
        </w:rPr>
        <w:t>SUBSANABILIDAD – Aplicación – R</w:t>
      </w:r>
      <w:r w:rsidRPr="00D72D95">
        <w:rPr>
          <w:rFonts w:ascii="Verdana" w:eastAsia="Calibri" w:hAnsi="Verdana"/>
          <w:b/>
          <w:bCs/>
          <w:lang w:val="es-ES" w:eastAsia="es-ES"/>
        </w:rPr>
        <w:t>egla general</w:t>
      </w:r>
      <w:r w:rsidRPr="00D72D95">
        <w:rPr>
          <w:rFonts w:ascii="Verdana" w:eastAsia="Calibri" w:hAnsi="Verdana" w:cs="Arial"/>
          <w:b/>
          <w:bCs/>
          <w:lang w:val="es-ES" w:eastAsia="es-ES"/>
        </w:rPr>
        <w:t xml:space="preserve"> – Excepciones </w:t>
      </w:r>
    </w:p>
    <w:p w14:paraId="3E6F08B7" w14:textId="77777777" w:rsidR="007D7FAB" w:rsidRPr="00D72D95" w:rsidRDefault="007D7FAB" w:rsidP="007D7FAB">
      <w:pPr>
        <w:tabs>
          <w:tab w:val="left" w:pos="426"/>
        </w:tabs>
        <w:spacing w:after="0" w:line="240" w:lineRule="auto"/>
        <w:jc w:val="both"/>
        <w:rPr>
          <w:rFonts w:ascii="Verdana" w:hAnsi="Verdana" w:cs="Arial"/>
          <w:b/>
          <w:sz w:val="20"/>
          <w:szCs w:val="20"/>
          <w:lang w:eastAsia="es-CO"/>
        </w:rPr>
      </w:pPr>
    </w:p>
    <w:p w14:paraId="44AE27F3" w14:textId="77777777" w:rsidR="007D7FAB" w:rsidRDefault="007D7FAB" w:rsidP="007D7FAB">
      <w:pPr>
        <w:spacing w:after="0" w:line="240" w:lineRule="auto"/>
        <w:jc w:val="both"/>
        <w:rPr>
          <w:rFonts w:ascii="Verdana" w:hAnsi="Verdana" w:cs="Arial"/>
          <w:bCs/>
          <w:sz w:val="20"/>
          <w:szCs w:val="20"/>
          <w:lang w:eastAsia="es-CO"/>
        </w:rPr>
      </w:pPr>
      <w:r w:rsidRPr="00D72D95">
        <w:rPr>
          <w:rFonts w:ascii="Verdana" w:hAnsi="Verdana" w:cs="Arial"/>
          <w:bCs/>
          <w:sz w:val="20"/>
          <w:szCs w:val="20"/>
          <w:lang w:eastAsia="es-CO"/>
        </w:rPr>
        <w:t>La regla de la subsanabilidad de las ofertas en los procedimientos de selección indica que, por regla general, la falta de entrega y los defectos en la acreditación de los requisitos habilitantes son aspectos subsanables. La excepción a esta regla se encuentra en la prohibición de permitir que se subsanen aspectos que otorgan puntaje, de valer la acreditación de circunstancias ocurridas con posterioridad al cierre del proceso y de permitir la entrega de la garantía de seriedad de la oferta que no fue aportada con la propuesta.</w:t>
      </w:r>
    </w:p>
    <w:p w14:paraId="683F7C74" w14:textId="77777777" w:rsidR="007D7FAB" w:rsidRPr="002E5295" w:rsidRDefault="007D7FAB" w:rsidP="007D7FAB">
      <w:pPr>
        <w:spacing w:after="0" w:line="240" w:lineRule="auto"/>
        <w:jc w:val="both"/>
        <w:rPr>
          <w:rFonts w:ascii="Verdana" w:hAnsi="Verdana" w:cs="Arial"/>
          <w:bCs/>
          <w:sz w:val="20"/>
          <w:szCs w:val="20"/>
          <w:lang w:val="es-ES_tradnl" w:eastAsia="es-CO"/>
        </w:rPr>
      </w:pPr>
    </w:p>
    <w:p w14:paraId="66964C8C" w14:textId="77777777" w:rsidR="007D7FAB" w:rsidRPr="00914070" w:rsidRDefault="007D7FAB" w:rsidP="007D7FAB">
      <w:pPr>
        <w:spacing w:after="0" w:line="240" w:lineRule="auto"/>
        <w:jc w:val="both"/>
        <w:rPr>
          <w:rFonts w:ascii="Verdana" w:eastAsia="Calibri" w:hAnsi="Verdana" w:cs="Arial"/>
          <w:b/>
          <w:bCs/>
          <w:lang w:val="es-ES" w:eastAsia="es-ES"/>
        </w:rPr>
      </w:pPr>
      <w:r w:rsidRPr="00914070">
        <w:rPr>
          <w:rFonts w:ascii="Verdana" w:eastAsia="Calibri" w:hAnsi="Verdana" w:cs="Arial"/>
          <w:b/>
          <w:bCs/>
          <w:lang w:val="es-ES" w:eastAsia="es-ES"/>
        </w:rPr>
        <w:t xml:space="preserve">SUBSANABILIDAD – Ley 1882 de 2018 </w:t>
      </w:r>
    </w:p>
    <w:p w14:paraId="2F0391F8" w14:textId="77777777" w:rsidR="007D7FAB" w:rsidRDefault="007D7FAB" w:rsidP="007D7FAB">
      <w:pPr>
        <w:spacing w:after="0" w:line="240" w:lineRule="auto"/>
        <w:jc w:val="both"/>
        <w:rPr>
          <w:rFonts w:ascii="Verdana" w:eastAsia="Times New Roman" w:hAnsi="Verdana" w:cs="Arial"/>
          <w:lang w:val="es-ES" w:eastAsia="es-ES_tradnl"/>
        </w:rPr>
      </w:pPr>
    </w:p>
    <w:p w14:paraId="37039B48" w14:textId="77777777" w:rsidR="007D7FAB" w:rsidRDefault="007D7FAB" w:rsidP="007D7FAB">
      <w:pPr>
        <w:spacing w:after="0" w:line="240" w:lineRule="auto"/>
        <w:jc w:val="both"/>
        <w:rPr>
          <w:rFonts w:ascii="Verdana" w:hAnsi="Verdana" w:cs="Arial"/>
          <w:bCs/>
          <w:sz w:val="20"/>
          <w:szCs w:val="20"/>
          <w:lang w:eastAsia="es-CO"/>
        </w:rPr>
      </w:pPr>
      <w:r>
        <w:rPr>
          <w:rFonts w:ascii="Verdana" w:hAnsi="Verdana" w:cs="Arial"/>
          <w:bCs/>
          <w:sz w:val="20"/>
          <w:szCs w:val="20"/>
          <w:lang w:eastAsia="es-CO"/>
        </w:rPr>
        <w:t xml:space="preserve">[…] </w:t>
      </w:r>
      <w:r w:rsidRPr="00C86B78">
        <w:rPr>
          <w:rFonts w:ascii="Verdana" w:hAnsi="Verdana" w:cs="Arial"/>
          <w:bCs/>
          <w:sz w:val="20"/>
          <w:szCs w:val="20"/>
          <w:lang w:eastAsia="es-CO"/>
        </w:rPr>
        <w:t>la Ley 1882 de 2018: i) mantiene el criterio de la Ley 80 de 1993, relativo a que todo lo que no sea necesario para la comparación de propuestas no es título suficiente para su rechazo; ii) mantiene el criterio aclaratorio de la Ley 1150 de 2007, según el cual todo lo que no afecte la asignación de puntaje puede subsanarse; e, iii) introduce modificaciones en relación con algunos aspectos que se analizarán a continuación.</w:t>
      </w:r>
    </w:p>
    <w:p w14:paraId="2068D7E0" w14:textId="77777777" w:rsidR="007D7FAB" w:rsidRPr="00C86B78" w:rsidRDefault="007D7FAB" w:rsidP="007D7FAB">
      <w:pPr>
        <w:spacing w:after="0" w:line="240" w:lineRule="auto"/>
        <w:rPr>
          <w:rFonts w:ascii="Verdana" w:eastAsia="Times New Roman" w:hAnsi="Verdana" w:cs="Arial"/>
          <w:lang w:val="es-ES" w:eastAsia="es-ES_tradnl"/>
        </w:rPr>
      </w:pPr>
    </w:p>
    <w:p w14:paraId="712E611F" w14:textId="77777777" w:rsidR="007D7FAB" w:rsidRDefault="007D7FAB" w:rsidP="007D7FAB">
      <w:pPr>
        <w:tabs>
          <w:tab w:val="left" w:pos="426"/>
        </w:tabs>
        <w:spacing w:after="0" w:line="240" w:lineRule="auto"/>
        <w:jc w:val="both"/>
        <w:rPr>
          <w:rFonts w:ascii="Verdana" w:hAnsi="Verdana" w:cs="Arial"/>
          <w:b/>
          <w:lang w:eastAsia="es-CO"/>
        </w:rPr>
      </w:pPr>
      <w:r>
        <w:rPr>
          <w:rFonts w:ascii="Verdana" w:hAnsi="Verdana" w:cs="Arial"/>
          <w:b/>
          <w:lang w:eastAsia="es-CO"/>
        </w:rPr>
        <w:t>CAUSALES DE RECHAZO DE LAS OFERTAS – Origen – Límites en su configuración</w:t>
      </w:r>
    </w:p>
    <w:p w14:paraId="1B50DDAC" w14:textId="77777777" w:rsidR="007D7FAB" w:rsidRDefault="007D7FAB" w:rsidP="007D7FAB">
      <w:pPr>
        <w:tabs>
          <w:tab w:val="left" w:pos="426"/>
        </w:tabs>
        <w:spacing w:after="0" w:line="240" w:lineRule="auto"/>
        <w:jc w:val="both"/>
        <w:rPr>
          <w:rFonts w:ascii="Verdana" w:hAnsi="Verdana" w:cs="Arial"/>
          <w:b/>
          <w:lang w:eastAsia="es-CO"/>
        </w:rPr>
      </w:pPr>
    </w:p>
    <w:p w14:paraId="0854C942" w14:textId="77777777" w:rsidR="007D7FAB" w:rsidRDefault="007D7FAB" w:rsidP="007D7FAB">
      <w:pPr>
        <w:tabs>
          <w:tab w:val="left" w:pos="426"/>
        </w:tabs>
        <w:spacing w:after="0" w:line="240" w:lineRule="auto"/>
        <w:jc w:val="both"/>
        <w:rPr>
          <w:rFonts w:ascii="Verdana" w:eastAsia="Calibri" w:hAnsi="Verdana" w:cs="Arial"/>
          <w:sz w:val="20"/>
          <w:szCs w:val="20"/>
        </w:rPr>
      </w:pPr>
      <w:r w:rsidRPr="00633549">
        <w:rPr>
          <w:rFonts w:ascii="Verdana" w:eastAsia="Calibri" w:hAnsi="Verdana" w:cs="Arial"/>
          <w:sz w:val="20"/>
          <w:szCs w:val="20"/>
        </w:rPr>
        <w:t xml:space="preserve">El rechazo de las ofertas y los eventos en los que proceden han sido asuntos de los que se ha ocupado la legislación nacional en materia de contratación pública, por lo que “la competencia de las entidades estales para establecer eventos de exclusión de propuestas es de carácter residual y restringido”. En ese sentido, si bien las entidades estatales, en ejercicio de la discrecionalidad que les corresponde en la configuración de los pliegos de condiciones, tienen competencia para determinar los requisitos que deben cumplir los proponentes para la presentación de ofertas y regular los eventos en los que procede su </w:t>
      </w:r>
      <w:r w:rsidRPr="00633549">
        <w:rPr>
          <w:rFonts w:ascii="Verdana" w:eastAsia="Calibri" w:hAnsi="Verdana" w:cs="Arial"/>
          <w:sz w:val="20"/>
          <w:szCs w:val="20"/>
        </w:rPr>
        <w:lastRenderedPageBreak/>
        <w:t xml:space="preserve">rechazo, el ejercicio de tales facultades encuentra ciertos límites en la ley y el reglamento, así como en los principios de razonabilidad y proporcionalidad.  </w:t>
      </w:r>
    </w:p>
    <w:p w14:paraId="37B99E2D" w14:textId="77777777" w:rsidR="007D7FAB" w:rsidRDefault="007D7FAB" w:rsidP="007D7FAB">
      <w:pPr>
        <w:tabs>
          <w:tab w:val="left" w:pos="426"/>
        </w:tabs>
        <w:spacing w:after="0" w:line="240" w:lineRule="auto"/>
        <w:jc w:val="both"/>
        <w:rPr>
          <w:rFonts w:ascii="Verdana" w:eastAsia="Calibri" w:hAnsi="Verdana" w:cs="Arial"/>
          <w:sz w:val="20"/>
          <w:szCs w:val="20"/>
        </w:rPr>
      </w:pPr>
    </w:p>
    <w:p w14:paraId="66F5FCD6" w14:textId="77777777" w:rsidR="007D7FAB" w:rsidRDefault="007D7FAB" w:rsidP="007D7FAB">
      <w:pPr>
        <w:tabs>
          <w:tab w:val="left" w:pos="426"/>
        </w:tabs>
        <w:spacing w:after="0" w:line="240" w:lineRule="auto"/>
        <w:jc w:val="both"/>
        <w:rPr>
          <w:rFonts w:ascii="Verdana" w:hAnsi="Verdana" w:cs="Arial"/>
          <w:b/>
          <w:lang w:eastAsia="es-CO"/>
        </w:rPr>
      </w:pPr>
      <w:r>
        <w:rPr>
          <w:rFonts w:ascii="Verdana" w:hAnsi="Verdana" w:cs="Arial"/>
          <w:b/>
          <w:lang w:eastAsia="es-CO"/>
        </w:rPr>
        <w:t>CAUSALES DE RECHAZO – Procedencia</w:t>
      </w:r>
    </w:p>
    <w:p w14:paraId="05F18B71" w14:textId="77777777" w:rsidR="007D7FAB" w:rsidRDefault="007D7FAB" w:rsidP="007D7FAB">
      <w:pPr>
        <w:tabs>
          <w:tab w:val="left" w:pos="426"/>
        </w:tabs>
        <w:spacing w:after="0" w:line="240" w:lineRule="auto"/>
        <w:jc w:val="both"/>
        <w:rPr>
          <w:rFonts w:ascii="Verdana" w:hAnsi="Verdana" w:cs="Arial"/>
          <w:b/>
          <w:lang w:eastAsia="es-CO"/>
        </w:rPr>
      </w:pPr>
    </w:p>
    <w:p w14:paraId="1E7F1E88" w14:textId="77777777" w:rsidR="007D7FAB" w:rsidRPr="007B4E49" w:rsidRDefault="007D7FAB" w:rsidP="007D7FAB">
      <w:pPr>
        <w:spacing w:after="0" w:line="240" w:lineRule="auto"/>
        <w:jc w:val="both"/>
        <w:rPr>
          <w:rFonts w:ascii="Verdana" w:eastAsia="Times New Roman" w:hAnsi="Verdana" w:cs="Arial"/>
          <w:lang w:eastAsia="es-ES_tradnl"/>
        </w:rPr>
      </w:pPr>
      <w:r w:rsidRPr="007B4E49">
        <w:rPr>
          <w:rFonts w:ascii="Verdana" w:eastAsia="Calibri" w:hAnsi="Verdana" w:cs="Arial"/>
          <w:sz w:val="20"/>
          <w:szCs w:val="20"/>
        </w:rPr>
        <w:t xml:space="preserve">Dicho lo anterior, sobre si procede o no el rechazo de la oferta en razón al documento </w:t>
      </w:r>
      <w:r w:rsidRPr="00A242F6">
        <w:rPr>
          <w:rFonts w:ascii="Verdana" w:eastAsia="Calibri" w:hAnsi="Verdana" w:cs="Arial"/>
          <w:i/>
          <w:iCs/>
          <w:sz w:val="20"/>
          <w:szCs w:val="20"/>
        </w:rPr>
        <w:t>ambiguo u oscuro</w:t>
      </w:r>
      <w:r w:rsidRPr="007B4E49">
        <w:rPr>
          <w:rFonts w:ascii="Verdana" w:eastAsia="Calibri" w:hAnsi="Verdana" w:cs="Arial"/>
          <w:sz w:val="20"/>
          <w:szCs w:val="20"/>
        </w:rPr>
        <w:t>, en primera medida, dependerá de que exista la causal de rechazo en la ley, el reglamento o tenga origen en el pliego de condiciones expresada de manera clara y taxativa. De otro lado, si existe un supuesto de hecho incorporado por la entidad estatal en el pliego de condiciones como causal de rechazo, aquella deberá estar acorde con los principios de razonabilidad y proporcionalidad, no contrariar el ordenamiento jurídico y evitar que versen sobre aspectos meramente formales sin relevancia para el transcurso del proceso de selección o el perfeccionamiento del contrato.</w:t>
      </w:r>
    </w:p>
    <w:p w14:paraId="69123E6A"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7BF14830"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726B57EA"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1B189D3A"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1A547F3B"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36A1C703"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775C89FD"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3426AF30"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4B1B9D14"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7D65DD88" w14:textId="77777777" w:rsidR="003A1BAC" w:rsidRDefault="003A1BAC" w:rsidP="003A1BAC">
      <w:pPr>
        <w:spacing w:after="0" w:line="240" w:lineRule="auto"/>
        <w:contextualSpacing/>
        <w:jc w:val="both"/>
        <w:rPr>
          <w:rFonts w:ascii="Verdana" w:eastAsia="Calibri" w:hAnsi="Verdana" w:cs="Arial"/>
          <w:sz w:val="20"/>
          <w:szCs w:val="20"/>
          <w:lang w:eastAsia="es-ES"/>
        </w:rPr>
      </w:pPr>
    </w:p>
    <w:p w14:paraId="58C07D14" w14:textId="77777777" w:rsidR="00594D0B" w:rsidRDefault="00594D0B" w:rsidP="003A1BAC">
      <w:pPr>
        <w:spacing w:after="0" w:line="240" w:lineRule="auto"/>
        <w:contextualSpacing/>
        <w:jc w:val="both"/>
        <w:rPr>
          <w:rFonts w:ascii="Verdana" w:eastAsia="Calibri" w:hAnsi="Verdana" w:cs="Arial"/>
          <w:sz w:val="20"/>
          <w:szCs w:val="20"/>
          <w:lang w:eastAsia="es-ES"/>
        </w:rPr>
      </w:pPr>
    </w:p>
    <w:p w14:paraId="59E0E70E" w14:textId="77777777" w:rsidR="00594D0B" w:rsidRDefault="00594D0B" w:rsidP="003A1BAC">
      <w:pPr>
        <w:spacing w:after="0" w:line="240" w:lineRule="auto"/>
        <w:contextualSpacing/>
        <w:jc w:val="both"/>
        <w:rPr>
          <w:rFonts w:ascii="Verdana" w:eastAsia="Calibri" w:hAnsi="Verdana" w:cs="Arial"/>
          <w:sz w:val="20"/>
          <w:szCs w:val="20"/>
          <w:lang w:eastAsia="es-ES"/>
        </w:rPr>
      </w:pPr>
    </w:p>
    <w:p w14:paraId="1EAA47C0" w14:textId="77777777" w:rsidR="00594D0B" w:rsidRDefault="00594D0B" w:rsidP="003A1BAC">
      <w:pPr>
        <w:spacing w:after="0" w:line="240" w:lineRule="auto"/>
        <w:contextualSpacing/>
        <w:jc w:val="both"/>
        <w:rPr>
          <w:rFonts w:ascii="Verdana" w:eastAsia="Calibri" w:hAnsi="Verdana" w:cs="Arial"/>
          <w:sz w:val="20"/>
          <w:szCs w:val="20"/>
          <w:lang w:eastAsia="es-ES"/>
        </w:rPr>
      </w:pPr>
    </w:p>
    <w:p w14:paraId="69357D52" w14:textId="77777777" w:rsidR="00594D0B" w:rsidRDefault="00594D0B" w:rsidP="003A1BAC">
      <w:pPr>
        <w:spacing w:after="0" w:line="240" w:lineRule="auto"/>
        <w:contextualSpacing/>
        <w:jc w:val="both"/>
        <w:rPr>
          <w:rFonts w:ascii="Verdana" w:eastAsia="Calibri" w:hAnsi="Verdana" w:cs="Arial"/>
          <w:sz w:val="20"/>
          <w:szCs w:val="20"/>
          <w:lang w:eastAsia="es-ES"/>
        </w:rPr>
      </w:pPr>
    </w:p>
    <w:p w14:paraId="0B6FFAC4" w14:textId="77777777" w:rsidR="00594D0B" w:rsidRDefault="00594D0B" w:rsidP="003A1BAC">
      <w:pPr>
        <w:spacing w:after="0" w:line="240" w:lineRule="auto"/>
        <w:contextualSpacing/>
        <w:jc w:val="both"/>
        <w:rPr>
          <w:rFonts w:ascii="Verdana" w:eastAsia="Calibri" w:hAnsi="Verdana" w:cs="Arial"/>
          <w:sz w:val="20"/>
          <w:szCs w:val="20"/>
          <w:lang w:eastAsia="es-ES"/>
        </w:rPr>
      </w:pPr>
    </w:p>
    <w:p w14:paraId="63E0C128" w14:textId="77777777" w:rsidR="00594D0B" w:rsidRDefault="00594D0B" w:rsidP="003A1BAC">
      <w:pPr>
        <w:spacing w:after="0" w:line="240" w:lineRule="auto"/>
        <w:contextualSpacing/>
        <w:jc w:val="both"/>
        <w:rPr>
          <w:rFonts w:ascii="Verdana" w:eastAsia="Calibri" w:hAnsi="Verdana" w:cs="Arial"/>
          <w:sz w:val="20"/>
          <w:szCs w:val="20"/>
          <w:lang w:eastAsia="es-ES"/>
        </w:rPr>
      </w:pPr>
    </w:p>
    <w:p w14:paraId="1AEE9606" w14:textId="77777777" w:rsidR="00594D0B" w:rsidRDefault="00594D0B" w:rsidP="003A1BAC">
      <w:pPr>
        <w:spacing w:after="0" w:line="240" w:lineRule="auto"/>
        <w:contextualSpacing/>
        <w:jc w:val="both"/>
        <w:rPr>
          <w:rFonts w:ascii="Verdana" w:eastAsia="Calibri" w:hAnsi="Verdana" w:cs="Arial"/>
          <w:sz w:val="20"/>
          <w:szCs w:val="20"/>
          <w:lang w:eastAsia="es-ES"/>
        </w:rPr>
      </w:pPr>
    </w:p>
    <w:p w14:paraId="2AC9B814" w14:textId="77777777" w:rsidR="00594D0B" w:rsidRDefault="00594D0B" w:rsidP="003A1BAC">
      <w:pPr>
        <w:spacing w:after="0" w:line="240" w:lineRule="auto"/>
        <w:contextualSpacing/>
        <w:jc w:val="both"/>
        <w:rPr>
          <w:rFonts w:ascii="Verdana" w:eastAsia="Calibri" w:hAnsi="Verdana" w:cs="Arial"/>
          <w:sz w:val="20"/>
          <w:szCs w:val="20"/>
          <w:lang w:eastAsia="es-ES"/>
        </w:rPr>
      </w:pPr>
    </w:p>
    <w:p w14:paraId="1798669A" w14:textId="77777777" w:rsidR="00594D0B" w:rsidRDefault="00594D0B" w:rsidP="003A1BAC">
      <w:pPr>
        <w:spacing w:after="0" w:line="240" w:lineRule="auto"/>
        <w:contextualSpacing/>
        <w:jc w:val="both"/>
        <w:rPr>
          <w:rFonts w:ascii="Verdana" w:eastAsia="Calibri" w:hAnsi="Verdana" w:cs="Arial"/>
          <w:sz w:val="20"/>
          <w:szCs w:val="20"/>
          <w:lang w:eastAsia="es-ES"/>
        </w:rPr>
      </w:pPr>
    </w:p>
    <w:p w14:paraId="6F032F35" w14:textId="77777777" w:rsidR="00594D0B" w:rsidRDefault="00594D0B" w:rsidP="003A1BAC">
      <w:pPr>
        <w:spacing w:after="0" w:line="240" w:lineRule="auto"/>
        <w:contextualSpacing/>
        <w:jc w:val="both"/>
        <w:rPr>
          <w:rFonts w:ascii="Verdana" w:eastAsia="Calibri" w:hAnsi="Verdana" w:cs="Arial"/>
          <w:sz w:val="20"/>
          <w:szCs w:val="20"/>
          <w:lang w:eastAsia="es-ES"/>
        </w:rPr>
      </w:pPr>
    </w:p>
    <w:p w14:paraId="21009645" w14:textId="77777777" w:rsidR="00594D0B" w:rsidRDefault="00594D0B" w:rsidP="003A1BAC">
      <w:pPr>
        <w:spacing w:after="0" w:line="240" w:lineRule="auto"/>
        <w:contextualSpacing/>
        <w:jc w:val="both"/>
        <w:rPr>
          <w:rFonts w:ascii="Verdana" w:eastAsia="Calibri" w:hAnsi="Verdana" w:cs="Arial"/>
          <w:sz w:val="20"/>
          <w:szCs w:val="20"/>
          <w:lang w:eastAsia="es-ES"/>
        </w:rPr>
      </w:pPr>
    </w:p>
    <w:p w14:paraId="7E301FAE" w14:textId="77777777" w:rsidR="007D7FAB" w:rsidRDefault="007D7FAB" w:rsidP="003A1BAC">
      <w:pPr>
        <w:spacing w:after="0" w:line="240" w:lineRule="auto"/>
        <w:contextualSpacing/>
        <w:jc w:val="both"/>
        <w:rPr>
          <w:rFonts w:ascii="Verdana" w:eastAsia="Calibri" w:hAnsi="Verdana" w:cs="Arial"/>
          <w:sz w:val="20"/>
          <w:szCs w:val="20"/>
          <w:lang w:eastAsia="es-ES"/>
        </w:rPr>
      </w:pPr>
    </w:p>
    <w:p w14:paraId="02EB39BE" w14:textId="77777777" w:rsidR="007D7FAB" w:rsidRDefault="007D7FAB" w:rsidP="003A1BAC">
      <w:pPr>
        <w:spacing w:after="0" w:line="240" w:lineRule="auto"/>
        <w:contextualSpacing/>
        <w:jc w:val="both"/>
        <w:rPr>
          <w:rFonts w:ascii="Verdana" w:eastAsia="Calibri" w:hAnsi="Verdana" w:cs="Arial"/>
          <w:sz w:val="20"/>
          <w:szCs w:val="20"/>
          <w:lang w:eastAsia="es-ES"/>
        </w:rPr>
      </w:pPr>
    </w:p>
    <w:p w14:paraId="0E92F200" w14:textId="77777777" w:rsidR="007D7FAB" w:rsidRDefault="007D7FAB" w:rsidP="003A1BAC">
      <w:pPr>
        <w:spacing w:after="0" w:line="240" w:lineRule="auto"/>
        <w:contextualSpacing/>
        <w:jc w:val="both"/>
        <w:rPr>
          <w:rFonts w:ascii="Verdana" w:eastAsia="Calibri" w:hAnsi="Verdana" w:cs="Arial"/>
          <w:sz w:val="20"/>
          <w:szCs w:val="20"/>
          <w:lang w:eastAsia="es-ES"/>
        </w:rPr>
      </w:pPr>
    </w:p>
    <w:p w14:paraId="4CABAAC0" w14:textId="77777777" w:rsidR="007D7FAB" w:rsidRDefault="007D7FAB" w:rsidP="003A1BAC">
      <w:pPr>
        <w:spacing w:after="0" w:line="240" w:lineRule="auto"/>
        <w:contextualSpacing/>
        <w:jc w:val="both"/>
        <w:rPr>
          <w:rFonts w:ascii="Verdana" w:eastAsia="Calibri" w:hAnsi="Verdana" w:cs="Arial"/>
          <w:sz w:val="20"/>
          <w:szCs w:val="20"/>
          <w:lang w:eastAsia="es-ES"/>
        </w:rPr>
      </w:pPr>
    </w:p>
    <w:p w14:paraId="24F5B735" w14:textId="77777777" w:rsidR="00594D0B" w:rsidRDefault="00594D0B" w:rsidP="003A1BAC">
      <w:pPr>
        <w:spacing w:after="0" w:line="240" w:lineRule="auto"/>
        <w:contextualSpacing/>
        <w:jc w:val="both"/>
        <w:rPr>
          <w:rFonts w:ascii="Verdana" w:eastAsia="Calibri" w:hAnsi="Verdana" w:cs="Arial"/>
          <w:sz w:val="20"/>
          <w:szCs w:val="20"/>
          <w:lang w:eastAsia="es-ES"/>
        </w:rPr>
      </w:pPr>
    </w:p>
    <w:p w14:paraId="79F3A47D" w14:textId="77777777" w:rsidR="00594D0B" w:rsidRDefault="00594D0B" w:rsidP="003A1BAC">
      <w:pPr>
        <w:spacing w:after="0" w:line="240" w:lineRule="auto"/>
        <w:contextualSpacing/>
        <w:jc w:val="both"/>
        <w:rPr>
          <w:rFonts w:ascii="Verdana" w:eastAsia="Calibri" w:hAnsi="Verdana" w:cs="Arial"/>
          <w:sz w:val="20"/>
          <w:szCs w:val="20"/>
          <w:lang w:eastAsia="es-ES"/>
        </w:rPr>
      </w:pPr>
    </w:p>
    <w:p w14:paraId="259C9077" w14:textId="77777777" w:rsidR="00594D0B" w:rsidRDefault="00594D0B" w:rsidP="003A1BAC">
      <w:pPr>
        <w:spacing w:after="0" w:line="240" w:lineRule="auto"/>
        <w:contextualSpacing/>
        <w:jc w:val="both"/>
        <w:rPr>
          <w:rFonts w:ascii="Verdana" w:eastAsia="Calibri" w:hAnsi="Verdana" w:cs="Arial"/>
          <w:sz w:val="20"/>
          <w:szCs w:val="20"/>
          <w:lang w:eastAsia="es-ES"/>
        </w:rPr>
      </w:pPr>
    </w:p>
    <w:p w14:paraId="10E50D4B" w14:textId="77777777" w:rsidR="00594D0B" w:rsidRDefault="00594D0B" w:rsidP="003A1BAC">
      <w:pPr>
        <w:spacing w:after="0" w:line="240" w:lineRule="auto"/>
        <w:contextualSpacing/>
        <w:jc w:val="both"/>
        <w:rPr>
          <w:rFonts w:ascii="Verdana" w:eastAsia="Calibri" w:hAnsi="Verdana" w:cs="Arial"/>
          <w:sz w:val="20"/>
          <w:szCs w:val="20"/>
          <w:lang w:eastAsia="es-ES"/>
        </w:rPr>
      </w:pPr>
    </w:p>
    <w:p w14:paraId="1221A46E" w14:textId="77777777" w:rsidR="00594D0B" w:rsidRDefault="00594D0B" w:rsidP="003A1BAC">
      <w:pPr>
        <w:spacing w:after="0" w:line="240" w:lineRule="auto"/>
        <w:contextualSpacing/>
        <w:jc w:val="both"/>
        <w:rPr>
          <w:rFonts w:ascii="Verdana" w:eastAsia="Calibri" w:hAnsi="Verdana" w:cs="Arial"/>
          <w:sz w:val="20"/>
          <w:szCs w:val="20"/>
          <w:lang w:eastAsia="es-ES"/>
        </w:rPr>
      </w:pPr>
    </w:p>
    <w:p w14:paraId="36860480" w14:textId="77777777" w:rsidR="00594D0B" w:rsidRDefault="00594D0B" w:rsidP="003A1BAC">
      <w:pPr>
        <w:spacing w:after="0" w:line="240" w:lineRule="auto"/>
        <w:contextualSpacing/>
        <w:jc w:val="both"/>
        <w:rPr>
          <w:rFonts w:ascii="Verdana" w:eastAsia="Calibri" w:hAnsi="Verdana" w:cs="Arial"/>
          <w:sz w:val="20"/>
          <w:szCs w:val="20"/>
          <w:lang w:eastAsia="es-ES"/>
        </w:rPr>
      </w:pPr>
    </w:p>
    <w:p w14:paraId="72732EC7" w14:textId="77777777" w:rsidR="00594D0B" w:rsidRDefault="00594D0B" w:rsidP="003A1BAC">
      <w:pPr>
        <w:spacing w:after="0" w:line="240" w:lineRule="auto"/>
        <w:contextualSpacing/>
        <w:jc w:val="both"/>
        <w:rPr>
          <w:rFonts w:ascii="Verdana" w:eastAsia="Calibri" w:hAnsi="Verdana" w:cs="Arial"/>
          <w:sz w:val="20"/>
          <w:szCs w:val="20"/>
          <w:lang w:eastAsia="es-ES"/>
        </w:rPr>
      </w:pPr>
    </w:p>
    <w:p w14:paraId="07C1759E" w14:textId="77777777" w:rsidR="00594D0B" w:rsidRDefault="00594D0B" w:rsidP="003A1BAC">
      <w:pPr>
        <w:spacing w:after="0" w:line="240" w:lineRule="auto"/>
        <w:contextualSpacing/>
        <w:jc w:val="both"/>
        <w:rPr>
          <w:rFonts w:ascii="Verdana" w:eastAsia="Calibri" w:hAnsi="Verdana" w:cs="Arial"/>
          <w:sz w:val="20"/>
          <w:szCs w:val="20"/>
          <w:lang w:eastAsia="es-ES"/>
        </w:rPr>
      </w:pPr>
    </w:p>
    <w:p w14:paraId="74AD6680" w14:textId="77777777" w:rsidR="00CF631D" w:rsidRDefault="00331F7C" w:rsidP="003A1BAC">
      <w:pPr>
        <w:spacing w:after="0"/>
        <w:rPr>
          <w:rFonts w:ascii="Verdana" w:hAnsi="Verdana"/>
          <w:lang w:val="es-ES_tradnl"/>
        </w:rPr>
      </w:pPr>
      <w:r w:rsidRPr="00331F7C">
        <w:rPr>
          <w:rFonts w:ascii="Verdana" w:hAnsi="Verdana"/>
          <w:lang w:val="es-ES_tradnl"/>
        </w:rPr>
        <w:lastRenderedPageBreak/>
        <w:t xml:space="preserve">Bogotá D.C., </w:t>
      </w:r>
      <w:r w:rsidR="00CF631D">
        <w:rPr>
          <w:rFonts w:ascii="Verdana" w:hAnsi="Verdana"/>
          <w:lang w:val="es-ES_tradnl"/>
        </w:rPr>
        <w:t>24 de julio de 2026</w:t>
      </w:r>
    </w:p>
    <w:p w14:paraId="732EA474" w14:textId="77777777" w:rsidR="00CF631D" w:rsidRDefault="00CF631D" w:rsidP="003A1BAC">
      <w:pPr>
        <w:spacing w:after="0"/>
        <w:rPr>
          <w:rFonts w:ascii="Verdana" w:hAnsi="Verdana"/>
          <w:lang w:val="es-ES_tradnl"/>
        </w:rPr>
      </w:pPr>
    </w:p>
    <w:p w14:paraId="306476B5" w14:textId="180B1D19" w:rsidR="004846BE" w:rsidRDefault="00CF631D" w:rsidP="00CF631D">
      <w:pPr>
        <w:spacing w:after="0"/>
        <w:jc w:val="right"/>
        <w:rPr>
          <w:rFonts w:ascii="Verdana" w:hAnsi="Verdana"/>
          <w:lang w:val="es-ES_tradnl"/>
        </w:rPr>
      </w:pPr>
      <w:r w:rsidRPr="00CF631D">
        <w:rPr>
          <w:rFonts w:ascii="Verdana" w:hAnsi="Verdana"/>
          <w:lang w:val="es-ES_tradnl"/>
        </w:rPr>
        <w:drawing>
          <wp:inline distT="0" distB="0" distL="0" distR="0" wp14:anchorId="7D681687" wp14:editId="1D354011">
            <wp:extent cx="3677163" cy="1000265"/>
            <wp:effectExtent l="0" t="0" r="0" b="9525"/>
            <wp:docPr id="1005489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8997" name=""/>
                    <pic:cNvPicPr/>
                  </pic:nvPicPr>
                  <pic:blipFill>
                    <a:blip r:embed="rId11"/>
                    <a:stretch>
                      <a:fillRect/>
                    </a:stretch>
                  </pic:blipFill>
                  <pic:spPr>
                    <a:xfrm>
                      <a:off x="0" y="0"/>
                      <a:ext cx="3677163" cy="1000265"/>
                    </a:xfrm>
                    <a:prstGeom prst="rect">
                      <a:avLst/>
                    </a:prstGeom>
                  </pic:spPr>
                </pic:pic>
              </a:graphicData>
            </a:graphic>
          </wp:inline>
        </w:drawing>
      </w:r>
      <w:r w:rsidR="00331F7C" w:rsidRPr="00331F7C">
        <w:rPr>
          <w:rFonts w:ascii="Verdana" w:hAnsi="Verdana"/>
          <w:lang w:val="es-ES_tradnl"/>
        </w:rPr>
        <w:tab/>
      </w:r>
    </w:p>
    <w:p w14:paraId="5A3C1D37" w14:textId="77777777" w:rsidR="003A1BAC" w:rsidRPr="00777292" w:rsidRDefault="003A1BAC" w:rsidP="003A1BAC">
      <w:pPr>
        <w:spacing w:after="0"/>
        <w:rPr>
          <w:rFonts w:ascii="Verdana" w:hAnsi="Verdana"/>
          <w:lang w:val="es-ES_tradnl"/>
        </w:rPr>
      </w:pPr>
    </w:p>
    <w:p w14:paraId="4F39BDE4" w14:textId="60B0F383" w:rsidR="003A1BAC" w:rsidRPr="00FB6143" w:rsidRDefault="003A1BAC" w:rsidP="003A1BAC">
      <w:pPr>
        <w:spacing w:after="0" w:line="240" w:lineRule="auto"/>
        <w:rPr>
          <w:rFonts w:ascii="Verdana" w:hAnsi="Verdana"/>
        </w:rPr>
      </w:pPr>
      <w:bookmarkStart w:id="0" w:name="_Hlk143780582"/>
      <w:r w:rsidRPr="00FB6143">
        <w:rPr>
          <w:rFonts w:ascii="Verdana" w:eastAsia="Calibri" w:hAnsi="Verdana" w:cs="Arial"/>
          <w:lang w:eastAsia="es-ES"/>
        </w:rPr>
        <w:t>Señor</w:t>
      </w:r>
    </w:p>
    <w:p w14:paraId="4334EE90" w14:textId="77777777" w:rsidR="002E5E73" w:rsidRDefault="002E5E73" w:rsidP="00FE7F4D">
      <w:pPr>
        <w:spacing w:after="0"/>
        <w:rPr>
          <w:rFonts w:ascii="Verdana" w:eastAsia="Calibri" w:hAnsi="Verdana" w:cs="Arial"/>
          <w:b/>
          <w:bCs/>
          <w:lang w:eastAsia="es-ES"/>
        </w:rPr>
      </w:pPr>
      <w:r w:rsidRPr="002E5E73">
        <w:rPr>
          <w:rFonts w:ascii="Verdana" w:eastAsia="Calibri" w:hAnsi="Verdana" w:cs="Arial"/>
          <w:b/>
          <w:bCs/>
          <w:lang w:eastAsia="es-ES"/>
        </w:rPr>
        <w:t>Ricardo Alberto Sanabria Vega</w:t>
      </w:r>
    </w:p>
    <w:p w14:paraId="4F355955" w14:textId="10B7A0C6" w:rsidR="003A1BAC" w:rsidRPr="00FE7F4D" w:rsidRDefault="002A4690" w:rsidP="00FE7F4D">
      <w:pPr>
        <w:spacing w:after="0"/>
        <w:rPr>
          <w:rFonts w:ascii="Verdana" w:hAnsi="Verdana"/>
        </w:rPr>
      </w:pPr>
      <w:hyperlink r:id="rId12" w:history="1">
        <w:r w:rsidRPr="008A760D">
          <w:rPr>
            <w:rStyle w:val="Hipervnculo"/>
            <w:rFonts w:ascii="Verdana" w:hAnsi="Verdana"/>
          </w:rPr>
          <w:t>ricardosanabria81@hotmail.com</w:t>
        </w:r>
      </w:hyperlink>
    </w:p>
    <w:p w14:paraId="4CB0FE73" w14:textId="77777777" w:rsidR="003A1BAC" w:rsidRPr="00181EEB" w:rsidRDefault="003A1BAC" w:rsidP="003A1BAC">
      <w:pPr>
        <w:spacing w:after="0"/>
        <w:rPr>
          <w:rFonts w:ascii="Verdana" w:eastAsia="Calibri" w:hAnsi="Verdana" w:cs="Arial"/>
          <w:lang w:eastAsia="es-ES"/>
        </w:rPr>
      </w:pPr>
      <w:r w:rsidRPr="00181EEB">
        <w:rPr>
          <w:rFonts w:ascii="Verdana" w:eastAsia="Calibri" w:hAnsi="Verdana" w:cs="Arial"/>
          <w:lang w:eastAsia="es-ES"/>
        </w:rPr>
        <w:t>Ciudad</w:t>
      </w:r>
    </w:p>
    <w:p w14:paraId="3D1E632F" w14:textId="77777777" w:rsidR="003A1BAC" w:rsidRPr="00777292" w:rsidRDefault="003A1BAC" w:rsidP="003A1BAC">
      <w:pPr>
        <w:spacing w:after="0"/>
        <w:rPr>
          <w:rFonts w:ascii="Verdana" w:eastAsia="Calibri" w:hAnsi="Verdana" w:cs="Arial"/>
          <w:lang w:eastAsia="es-ES"/>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3A1BAC" w:rsidRPr="00777292" w14:paraId="317B33D4" w14:textId="77777777" w:rsidTr="002D3CDE">
        <w:trPr>
          <w:trHeight w:val="190"/>
        </w:trPr>
        <w:tc>
          <w:tcPr>
            <w:tcW w:w="2689" w:type="dxa"/>
          </w:tcPr>
          <w:p w14:paraId="51CFE102" w14:textId="77777777" w:rsidR="003A1BAC" w:rsidRDefault="003A1BAC" w:rsidP="002D3CDE">
            <w:pPr>
              <w:jc w:val="both"/>
              <w:rPr>
                <w:rFonts w:ascii="Verdana" w:eastAsia="Calibri" w:hAnsi="Verdana" w:cs="Arial"/>
                <w:b/>
                <w:bCs/>
                <w:lang w:eastAsia="es-ES_tradnl"/>
              </w:rPr>
            </w:pPr>
          </w:p>
          <w:p w14:paraId="2EF7E8E3" w14:textId="77777777" w:rsidR="003A1BAC" w:rsidRPr="00777292" w:rsidRDefault="003A1BAC" w:rsidP="002D3CDE">
            <w:pPr>
              <w:jc w:val="both"/>
              <w:rPr>
                <w:rFonts w:ascii="Verdana" w:eastAsia="Calibri" w:hAnsi="Verdana" w:cs="Arial"/>
                <w:b/>
                <w:bCs/>
                <w:lang w:eastAsia="es-ES_tradnl"/>
              </w:rPr>
            </w:pPr>
          </w:p>
        </w:tc>
        <w:tc>
          <w:tcPr>
            <w:tcW w:w="6100" w:type="dxa"/>
          </w:tcPr>
          <w:p w14:paraId="77AE1A2A" w14:textId="7E079066" w:rsidR="003A1BAC" w:rsidRPr="00777292" w:rsidRDefault="003A1BAC" w:rsidP="002D3CDE">
            <w:pPr>
              <w:jc w:val="both"/>
              <w:rPr>
                <w:rFonts w:ascii="Verdana" w:eastAsia="Calibri" w:hAnsi="Verdana" w:cs="Arial"/>
                <w:b/>
                <w:bCs/>
                <w:lang w:eastAsia="es-ES"/>
              </w:rPr>
            </w:pPr>
            <w:r w:rsidRPr="00777292">
              <w:rPr>
                <w:rFonts w:ascii="Verdana" w:eastAsia="Calibri" w:hAnsi="Verdana" w:cs="Arial"/>
                <w:b/>
                <w:bCs/>
                <w:lang w:eastAsia="es-ES"/>
              </w:rPr>
              <w:t xml:space="preserve">Concepto C- </w:t>
            </w:r>
            <w:r w:rsidR="00331F7C">
              <w:rPr>
                <w:rFonts w:ascii="Verdana" w:eastAsia="Calibri" w:hAnsi="Verdana" w:cs="Arial"/>
                <w:b/>
                <w:bCs/>
                <w:lang w:eastAsia="es-ES"/>
              </w:rPr>
              <w:t>9</w:t>
            </w:r>
            <w:r w:rsidR="009A5A6C">
              <w:rPr>
                <w:rFonts w:ascii="Verdana" w:eastAsia="Calibri" w:hAnsi="Verdana" w:cs="Arial"/>
                <w:b/>
                <w:bCs/>
                <w:lang w:eastAsia="es-ES"/>
              </w:rPr>
              <w:t>5</w:t>
            </w:r>
            <w:r w:rsidR="00331F7C">
              <w:rPr>
                <w:rFonts w:ascii="Verdana" w:eastAsia="Calibri" w:hAnsi="Verdana" w:cs="Arial"/>
                <w:b/>
                <w:bCs/>
                <w:lang w:eastAsia="es-ES"/>
              </w:rPr>
              <w:t>4</w:t>
            </w:r>
            <w:r w:rsidRPr="00777292">
              <w:rPr>
                <w:rFonts w:ascii="Verdana" w:eastAsia="Calibri" w:hAnsi="Verdana" w:cs="Arial"/>
                <w:b/>
                <w:bCs/>
                <w:lang w:eastAsia="es-ES"/>
              </w:rPr>
              <w:t xml:space="preserve"> de 2026</w:t>
            </w:r>
          </w:p>
          <w:p w14:paraId="6D2EA4F5" w14:textId="77777777" w:rsidR="003A1BAC" w:rsidRPr="00777292" w:rsidRDefault="003A1BAC" w:rsidP="002D3CDE">
            <w:pPr>
              <w:jc w:val="both"/>
              <w:rPr>
                <w:rFonts w:ascii="Verdana" w:eastAsia="Calibri" w:hAnsi="Verdana" w:cs="Arial"/>
                <w:b/>
                <w:bCs/>
                <w:lang w:eastAsia="es-ES"/>
              </w:rPr>
            </w:pPr>
          </w:p>
        </w:tc>
      </w:tr>
      <w:tr w:rsidR="003A1BAC" w:rsidRPr="00777292" w14:paraId="024AC644" w14:textId="77777777" w:rsidTr="002D3CDE">
        <w:trPr>
          <w:trHeight w:val="884"/>
        </w:trPr>
        <w:tc>
          <w:tcPr>
            <w:tcW w:w="2689" w:type="dxa"/>
          </w:tcPr>
          <w:p w14:paraId="5E802A59" w14:textId="77777777" w:rsidR="003A1BAC" w:rsidRPr="00777292" w:rsidRDefault="003A1BAC" w:rsidP="002D3CDE">
            <w:pPr>
              <w:jc w:val="both"/>
              <w:rPr>
                <w:rFonts w:ascii="Verdana" w:eastAsia="Calibri" w:hAnsi="Verdana" w:cs="Arial"/>
                <w:lang w:eastAsia="es-ES_tradnl"/>
              </w:rPr>
            </w:pPr>
            <w:r w:rsidRPr="00777292">
              <w:rPr>
                <w:rFonts w:ascii="Verdana" w:eastAsia="Calibri" w:hAnsi="Verdana" w:cs="Arial"/>
                <w:b/>
                <w:lang w:eastAsia="es-ES_tradnl"/>
              </w:rPr>
              <w:t>Tema:</w:t>
            </w:r>
            <w:r w:rsidRPr="00777292">
              <w:rPr>
                <w:rFonts w:ascii="Verdana" w:eastAsia="Calibri" w:hAnsi="Verdana" w:cs="Arial"/>
                <w:lang w:eastAsia="es-ES_tradnl"/>
              </w:rPr>
              <w:t xml:space="preserve">                   </w:t>
            </w:r>
          </w:p>
        </w:tc>
        <w:tc>
          <w:tcPr>
            <w:tcW w:w="6100" w:type="dxa"/>
          </w:tcPr>
          <w:p w14:paraId="75E58C78" w14:textId="3BE4F0AD" w:rsidR="003A1BAC" w:rsidRPr="00777292" w:rsidRDefault="003A1BAC" w:rsidP="00F17922">
            <w:pPr>
              <w:spacing w:line="276" w:lineRule="auto"/>
              <w:contextualSpacing/>
              <w:jc w:val="both"/>
              <w:rPr>
                <w:rFonts w:ascii="Verdana" w:eastAsia="Calibri" w:hAnsi="Verdana" w:cs="Arial"/>
                <w:lang w:eastAsia="es-ES"/>
              </w:rPr>
            </w:pPr>
            <w:r w:rsidRPr="00777292">
              <w:rPr>
                <w:rFonts w:ascii="Verdana" w:eastAsia="Calibri" w:hAnsi="Verdana" w:cs="Arial"/>
                <w:lang w:eastAsia="es-ES"/>
              </w:rPr>
              <w:t>DECRETO 0287 DE 2026 ‒ Antecedentes normativos ‒ Decreto 392 de 2018 ‒ Omisiones reglamentarias ‒ Sentencia de acción de cumplimiento</w:t>
            </w:r>
            <w:r>
              <w:rPr>
                <w:rFonts w:ascii="Verdana" w:eastAsia="Calibri" w:hAnsi="Verdana" w:cs="Arial"/>
                <w:lang w:eastAsia="es-ES"/>
              </w:rPr>
              <w:t xml:space="preserve"> </w:t>
            </w:r>
            <w:r w:rsidR="00A373F2">
              <w:rPr>
                <w:rFonts w:ascii="Verdana" w:eastAsia="Calibri" w:hAnsi="Verdana" w:cs="Arial"/>
                <w:lang w:eastAsia="es-ES"/>
              </w:rPr>
              <w:t>/</w:t>
            </w:r>
            <w:r w:rsidR="00D73A23">
              <w:rPr>
                <w:rFonts w:ascii="Verdana" w:eastAsia="Calibri" w:hAnsi="Verdana" w:cs="Arial"/>
                <w:lang w:eastAsia="es-ES"/>
              </w:rPr>
              <w:t xml:space="preserve"> </w:t>
            </w:r>
            <w:r w:rsidR="00BD7D24" w:rsidRPr="00777292">
              <w:rPr>
                <w:rFonts w:ascii="Verdana" w:eastAsia="Calibri" w:hAnsi="Verdana" w:cs="Arial"/>
                <w:lang w:eastAsia="es-ES"/>
              </w:rPr>
              <w:t xml:space="preserve">DECRETO 0287 DE 2026 </w:t>
            </w:r>
            <w:r w:rsidR="00D73A23">
              <w:rPr>
                <w:rFonts w:ascii="Verdana" w:eastAsia="Calibri" w:hAnsi="Verdana" w:cs="Arial"/>
                <w:lang w:eastAsia="es-ES"/>
              </w:rPr>
              <w:t>– Puntaje adicional – Requisitos</w:t>
            </w:r>
            <w:r w:rsidR="00BD7D24">
              <w:rPr>
                <w:rFonts w:ascii="Verdana" w:eastAsia="Calibri" w:hAnsi="Verdana" w:cs="Arial"/>
                <w:lang w:eastAsia="es-ES"/>
              </w:rPr>
              <w:t xml:space="preserve"> /</w:t>
            </w:r>
            <w:r w:rsidR="00A373F2">
              <w:rPr>
                <w:rFonts w:ascii="Verdana" w:eastAsia="Calibri" w:hAnsi="Verdana" w:cs="Arial"/>
                <w:lang w:eastAsia="es-ES"/>
              </w:rPr>
              <w:t xml:space="preserve"> </w:t>
            </w:r>
            <w:r w:rsidR="00A373F2" w:rsidRPr="00777292">
              <w:rPr>
                <w:rFonts w:ascii="Verdana" w:eastAsia="Calibri" w:hAnsi="Verdana" w:cs="Arial"/>
                <w:lang w:eastAsia="es-ES"/>
              </w:rPr>
              <w:t>EMPRENDIMIENTOS Y EMPRESAS DE PERSONAS CON DISCAPACIDAD</w:t>
            </w:r>
            <w:r w:rsidR="001B4B80">
              <w:rPr>
                <w:rFonts w:ascii="Verdana" w:eastAsia="Calibri" w:hAnsi="Verdana" w:cs="Arial"/>
                <w:lang w:eastAsia="es-ES"/>
              </w:rPr>
              <w:t xml:space="preserve"> </w:t>
            </w:r>
            <w:r w:rsidRPr="00777292">
              <w:rPr>
                <w:rFonts w:ascii="Verdana" w:eastAsia="Calibri" w:hAnsi="Verdana" w:cs="Arial"/>
                <w:lang w:eastAsia="es-ES"/>
              </w:rPr>
              <w:t>‒</w:t>
            </w:r>
            <w:r>
              <w:rPr>
                <w:rFonts w:ascii="Verdana" w:eastAsia="Calibri" w:hAnsi="Verdana" w:cs="Arial"/>
                <w:lang w:eastAsia="es-ES"/>
              </w:rPr>
              <w:t xml:space="preserve"> </w:t>
            </w:r>
            <w:r w:rsidR="00D73A23">
              <w:rPr>
                <w:rFonts w:ascii="Verdana" w:eastAsia="Calibri" w:hAnsi="Verdana" w:cs="Arial"/>
                <w:lang w:eastAsia="es-ES"/>
              </w:rPr>
              <w:t>Cargos del</w:t>
            </w:r>
            <w:r w:rsidRPr="00B66A1B">
              <w:rPr>
                <w:rFonts w:ascii="Verdana" w:eastAsia="Calibri" w:hAnsi="Verdana" w:cs="Arial"/>
                <w:lang w:eastAsia="es-ES"/>
              </w:rPr>
              <w:t xml:space="preserve"> </w:t>
            </w:r>
            <w:r w:rsidR="00594D0B">
              <w:rPr>
                <w:rFonts w:ascii="Verdana" w:eastAsia="Calibri" w:hAnsi="Verdana" w:cs="Arial"/>
                <w:lang w:eastAsia="es-ES"/>
              </w:rPr>
              <w:t>n</w:t>
            </w:r>
            <w:r w:rsidRPr="00B66A1B">
              <w:rPr>
                <w:rFonts w:ascii="Verdana" w:eastAsia="Calibri" w:hAnsi="Verdana" w:cs="Arial"/>
                <w:lang w:eastAsia="es-ES"/>
              </w:rPr>
              <w:t>ivel directivo</w:t>
            </w:r>
            <w:r w:rsidR="001B4B80">
              <w:rPr>
                <w:rFonts w:ascii="Verdana" w:eastAsia="Calibri" w:hAnsi="Verdana" w:cs="Arial"/>
                <w:lang w:eastAsia="es-ES"/>
              </w:rPr>
              <w:t xml:space="preserve"> – Noción</w:t>
            </w:r>
            <w:r w:rsidR="004A187C">
              <w:rPr>
                <w:rFonts w:ascii="Verdana" w:eastAsia="Calibri" w:hAnsi="Verdana" w:cs="Arial"/>
                <w:lang w:eastAsia="es-ES"/>
              </w:rPr>
              <w:t xml:space="preserve"> </w:t>
            </w:r>
            <w:r w:rsidR="004A187C" w:rsidRPr="004A187C">
              <w:rPr>
                <w:rFonts w:ascii="Verdana" w:eastAsia="Calibri" w:hAnsi="Verdana" w:cs="Arial"/>
                <w:lang w:eastAsia="es-ES"/>
              </w:rPr>
              <w:t>– Control</w:t>
            </w:r>
            <w:r w:rsidR="00B7223F">
              <w:rPr>
                <w:rFonts w:ascii="Verdana" w:eastAsia="Calibri" w:hAnsi="Verdana" w:cs="Arial"/>
                <w:lang w:eastAsia="es-ES"/>
              </w:rPr>
              <w:t xml:space="preserve"> / </w:t>
            </w:r>
            <w:r w:rsidR="006E0924" w:rsidRPr="006E0924">
              <w:rPr>
                <w:rFonts w:ascii="Verdana" w:eastAsia="Calibri" w:hAnsi="Verdana" w:cs="Arial"/>
                <w:lang w:eastAsia="es-ES"/>
              </w:rPr>
              <w:t>SUBSANABILIDAD – Aplicación – Regla general – Excepciones / SUBSANABILIDAD – Ley 1882 de 2018 / CAUSALES DE RECHAZO DE LAS OFERTAS – Origen – Límites en su configuración / CAUSALES DE RECHAZO – Procedencia</w:t>
            </w:r>
          </w:p>
        </w:tc>
      </w:tr>
      <w:tr w:rsidR="003A1BAC" w:rsidRPr="00777292" w14:paraId="31E40406" w14:textId="77777777" w:rsidTr="002D3CDE">
        <w:tc>
          <w:tcPr>
            <w:tcW w:w="2689" w:type="dxa"/>
          </w:tcPr>
          <w:p w14:paraId="09A4DD1F" w14:textId="77777777" w:rsidR="003A1BAC" w:rsidRPr="00777292" w:rsidRDefault="003A1BAC" w:rsidP="002D3CDE">
            <w:pPr>
              <w:jc w:val="both"/>
              <w:rPr>
                <w:rFonts w:ascii="Verdana" w:eastAsia="Calibri" w:hAnsi="Verdana" w:cs="Arial"/>
                <w:b/>
                <w:lang w:eastAsia="es-ES_tradnl"/>
              </w:rPr>
            </w:pPr>
            <w:r w:rsidRPr="00777292">
              <w:rPr>
                <w:rFonts w:ascii="Verdana" w:eastAsia="Calibri" w:hAnsi="Verdana" w:cs="Arial"/>
                <w:b/>
                <w:lang w:eastAsia="es-ES_tradnl"/>
              </w:rPr>
              <w:t>Radicación:</w:t>
            </w:r>
            <w:r w:rsidRPr="00777292">
              <w:rPr>
                <w:rFonts w:ascii="Verdana" w:eastAsia="Calibri" w:hAnsi="Verdana" w:cs="Arial"/>
                <w:lang w:eastAsia="es-ES_tradnl"/>
              </w:rPr>
              <w:t xml:space="preserve">               </w:t>
            </w:r>
          </w:p>
        </w:tc>
        <w:tc>
          <w:tcPr>
            <w:tcW w:w="6100" w:type="dxa"/>
          </w:tcPr>
          <w:p w14:paraId="14C3AD82" w14:textId="2474C52B" w:rsidR="003A1BAC" w:rsidRPr="00777292" w:rsidRDefault="003A1BAC" w:rsidP="00F17922">
            <w:pPr>
              <w:spacing w:line="276" w:lineRule="auto"/>
              <w:jc w:val="both"/>
              <w:rPr>
                <w:rFonts w:ascii="Verdana" w:eastAsia="Calibri" w:hAnsi="Verdana" w:cs="Arial"/>
                <w:lang w:eastAsia="es-ES_tradnl"/>
              </w:rPr>
            </w:pPr>
            <w:r w:rsidRPr="00777292">
              <w:rPr>
                <w:rFonts w:ascii="Verdana" w:eastAsia="Calibri" w:hAnsi="Verdana" w:cs="Arial"/>
                <w:lang w:eastAsia="es-ES_tradnl"/>
              </w:rPr>
              <w:t>Respuesta a consulta</w:t>
            </w:r>
            <w:r w:rsidR="00180D4A">
              <w:rPr>
                <w:rFonts w:ascii="Verdana" w:eastAsia="Calibri" w:hAnsi="Verdana" w:cs="Arial"/>
                <w:lang w:eastAsia="es-ES_tradnl"/>
              </w:rPr>
              <w:t>s</w:t>
            </w:r>
            <w:r w:rsidRPr="00777292">
              <w:rPr>
                <w:rFonts w:ascii="Verdana" w:eastAsia="Calibri" w:hAnsi="Verdana" w:cs="Arial"/>
                <w:lang w:eastAsia="es-ES_tradnl"/>
              </w:rPr>
              <w:t xml:space="preserve"> con radicado</w:t>
            </w:r>
            <w:r w:rsidR="00180D4A">
              <w:rPr>
                <w:rFonts w:ascii="Verdana" w:eastAsia="Calibri" w:hAnsi="Verdana" w:cs="Arial"/>
                <w:lang w:eastAsia="es-ES_tradnl"/>
              </w:rPr>
              <w:t>s</w:t>
            </w:r>
            <w:r w:rsidRPr="00777292">
              <w:rPr>
                <w:rFonts w:ascii="Verdana" w:eastAsia="Calibri" w:hAnsi="Verdana" w:cs="Arial"/>
                <w:lang w:eastAsia="es-ES_tradnl"/>
              </w:rPr>
              <w:t xml:space="preserve"> No.</w:t>
            </w:r>
            <w:r w:rsidRPr="00777292">
              <w:rPr>
                <w:rFonts w:ascii="Verdana" w:hAnsi="Verdana" w:cs="Segoe UI"/>
                <w:color w:val="2B2B2B"/>
                <w:shd w:val="clear" w:color="auto" w:fill="FFFFFF"/>
              </w:rPr>
              <w:t xml:space="preserve"> </w:t>
            </w:r>
            <w:r w:rsidR="00180D4A" w:rsidRPr="00180D4A">
              <w:rPr>
                <w:rFonts w:ascii="Verdana" w:hAnsi="Verdana" w:cs="Segoe UI"/>
                <w:color w:val="2B2B2B"/>
                <w:shd w:val="clear" w:color="auto" w:fill="FFFFFF"/>
              </w:rPr>
              <w:t>1_2026_06_10_007863</w:t>
            </w:r>
            <w:r w:rsidR="00180D4A">
              <w:rPr>
                <w:rFonts w:ascii="Verdana" w:hAnsi="Verdana" w:cs="Segoe UI"/>
                <w:color w:val="2B2B2B"/>
                <w:shd w:val="clear" w:color="auto" w:fill="FFFFFF"/>
              </w:rPr>
              <w:t xml:space="preserve"> y </w:t>
            </w:r>
            <w:r w:rsidR="00CC6544" w:rsidRPr="00CC6544">
              <w:rPr>
                <w:rFonts w:ascii="Verdana" w:hAnsi="Verdana" w:cs="Segoe UI"/>
                <w:color w:val="2B2B2B"/>
                <w:shd w:val="clear" w:color="auto" w:fill="FFFFFF"/>
              </w:rPr>
              <w:t>1_2026_06_10_007883</w:t>
            </w:r>
          </w:p>
        </w:tc>
      </w:tr>
    </w:tbl>
    <w:p w14:paraId="137B206E" w14:textId="77777777" w:rsidR="003A1BAC" w:rsidRPr="00206556" w:rsidRDefault="003A1BAC" w:rsidP="003A1BAC">
      <w:pPr>
        <w:tabs>
          <w:tab w:val="left" w:pos="1520"/>
        </w:tabs>
        <w:spacing w:after="0" w:line="276" w:lineRule="auto"/>
        <w:jc w:val="both"/>
        <w:rPr>
          <w:rFonts w:ascii="Verdana" w:eastAsia="Calibri" w:hAnsi="Verdana" w:cs="Arial"/>
          <w:color w:val="ED7D31" w:themeColor="accent2"/>
          <w:sz w:val="20"/>
          <w:szCs w:val="20"/>
          <w:lang w:val="es-ES" w:eastAsia="es-ES"/>
        </w:rPr>
      </w:pPr>
    </w:p>
    <w:p w14:paraId="7597C74E" w14:textId="77777777" w:rsidR="003A1BAC" w:rsidRPr="00206556" w:rsidRDefault="003A1BAC" w:rsidP="003A1BAC">
      <w:pPr>
        <w:spacing w:after="0" w:line="276" w:lineRule="auto"/>
        <w:jc w:val="both"/>
        <w:rPr>
          <w:rFonts w:ascii="Verdana" w:eastAsia="Calibri" w:hAnsi="Verdana" w:cs="Arial"/>
          <w:color w:val="ED7D31" w:themeColor="accent2"/>
          <w:lang w:val="es-ES" w:eastAsia="es-ES"/>
        </w:rPr>
      </w:pPr>
    </w:p>
    <w:p w14:paraId="5AC5EB64" w14:textId="152BB956" w:rsidR="003A1BAC" w:rsidRPr="00206556" w:rsidRDefault="003A1BAC" w:rsidP="003A1BAC">
      <w:pPr>
        <w:spacing w:after="0" w:line="276" w:lineRule="auto"/>
        <w:jc w:val="both"/>
        <w:rPr>
          <w:rFonts w:ascii="Verdana" w:eastAsia="Calibri" w:hAnsi="Verdana" w:cs="Arial"/>
          <w:lang w:val="es-ES" w:eastAsia="es-ES"/>
        </w:rPr>
      </w:pPr>
      <w:r w:rsidRPr="006A7B59">
        <w:rPr>
          <w:rFonts w:ascii="Verdana" w:eastAsia="Calibri" w:hAnsi="Verdana" w:cs="Arial"/>
          <w:lang w:val="es-ES" w:eastAsia="es-ES"/>
        </w:rPr>
        <w:t>Estimad</w:t>
      </w:r>
      <w:r w:rsidR="002E5E73">
        <w:rPr>
          <w:rFonts w:ascii="Verdana" w:eastAsia="Calibri" w:hAnsi="Verdana" w:cs="Arial"/>
          <w:lang w:val="es-ES" w:eastAsia="es-ES"/>
        </w:rPr>
        <w:t>o</w:t>
      </w:r>
      <w:r w:rsidRPr="006A7B59">
        <w:rPr>
          <w:rFonts w:ascii="Verdana" w:eastAsia="Calibri" w:hAnsi="Verdana" w:cs="Arial"/>
          <w:lang w:val="es-ES" w:eastAsia="es-ES"/>
        </w:rPr>
        <w:t xml:space="preserve"> Señor</w:t>
      </w:r>
      <w:r w:rsidR="002E5E73">
        <w:rPr>
          <w:rFonts w:ascii="Verdana" w:eastAsia="Calibri" w:hAnsi="Verdana" w:cs="Arial"/>
          <w:lang w:val="es-ES" w:eastAsia="es-ES"/>
        </w:rPr>
        <w:t xml:space="preserve"> Sanabria</w:t>
      </w:r>
      <w:r w:rsidRPr="006A7B59">
        <w:rPr>
          <w:rFonts w:ascii="Verdana" w:eastAsia="Calibri" w:hAnsi="Verdana" w:cs="Arial"/>
          <w:lang w:val="es-ES" w:eastAsia="es-ES"/>
        </w:rPr>
        <w:t>,</w:t>
      </w:r>
    </w:p>
    <w:p w14:paraId="75E43AB5" w14:textId="77777777" w:rsidR="003A1BAC" w:rsidRPr="00206556" w:rsidRDefault="003A1BAC" w:rsidP="003A1BAC">
      <w:pPr>
        <w:tabs>
          <w:tab w:val="left" w:pos="3768"/>
        </w:tabs>
        <w:spacing w:after="0" w:line="276" w:lineRule="auto"/>
        <w:jc w:val="both"/>
        <w:rPr>
          <w:rFonts w:ascii="Verdana" w:eastAsia="Calibri" w:hAnsi="Verdana" w:cs="Arial"/>
          <w:lang w:val="es-ES" w:eastAsia="es-ES"/>
        </w:rPr>
      </w:pPr>
      <w:r w:rsidRPr="00206556">
        <w:rPr>
          <w:rFonts w:ascii="Verdana" w:eastAsia="Calibri" w:hAnsi="Verdana" w:cs="Arial"/>
          <w:lang w:val="es-ES" w:eastAsia="es-ES"/>
        </w:rPr>
        <w:tab/>
      </w:r>
    </w:p>
    <w:p w14:paraId="4FAD3AB9" w14:textId="641274D8" w:rsidR="003A1BAC" w:rsidRPr="00206556" w:rsidRDefault="003A1BAC" w:rsidP="003A1BAC">
      <w:pPr>
        <w:spacing w:after="0" w:line="276" w:lineRule="auto"/>
        <w:jc w:val="both"/>
        <w:rPr>
          <w:rFonts w:ascii="Verdana" w:eastAsia="Calibri" w:hAnsi="Verdana" w:cs="Arial"/>
          <w:lang w:val="es-ES" w:eastAsia="es-ES"/>
        </w:rPr>
      </w:pPr>
      <w:r w:rsidRPr="00206556">
        <w:rPr>
          <w:rFonts w:ascii="Verdana" w:eastAsia="Calibri" w:hAnsi="Verdana" w:cs="Arial"/>
          <w:lang w:val="es-ES" w:eastAsia="es-ES"/>
        </w:rPr>
        <w:t>En ejercicio de la competencia otorgada por los artículos 3, numeral 5º, y 11, numeral 8º, del Decreto Ley 4170 de 2011,</w:t>
      </w:r>
      <w:r w:rsidRPr="00206556">
        <w:rPr>
          <w:rFonts w:ascii="Verdana" w:eastAsia="Arial MT" w:hAnsi="Verdana" w:cs="Arial MT"/>
          <w:lang w:val="es-ES" w:eastAsia="es-ES"/>
        </w:rPr>
        <w:t xml:space="preserve"> </w:t>
      </w:r>
      <w:r w:rsidRPr="00206556">
        <w:rPr>
          <w:rFonts w:ascii="Verdana" w:hAnsi="Verdana" w:cs="Arial"/>
          <w:lang w:val="es-ES"/>
        </w:rPr>
        <w:t xml:space="preserve">así como lo establecido en la Resolución 469 de 2025 expedida por esta Entidad, </w:t>
      </w:r>
      <w:r w:rsidRPr="00206556">
        <w:rPr>
          <w:rFonts w:ascii="Verdana" w:eastAsia="Calibri" w:hAnsi="Verdana" w:cs="Arial"/>
          <w:lang w:val="es-ES" w:eastAsia="es-ES"/>
        </w:rPr>
        <w:t>la Agencia Nacional de Contratación Pública – Colombia Compra Eficiente– responde su</w:t>
      </w:r>
      <w:r w:rsidR="00205694">
        <w:rPr>
          <w:rFonts w:ascii="Verdana" w:eastAsia="Calibri" w:hAnsi="Verdana" w:cs="Arial"/>
          <w:lang w:val="es-ES" w:eastAsia="es-ES"/>
        </w:rPr>
        <w:t>s</w:t>
      </w:r>
      <w:r w:rsidRPr="00206556">
        <w:rPr>
          <w:rFonts w:ascii="Verdana" w:eastAsia="Calibri" w:hAnsi="Verdana" w:cs="Arial"/>
          <w:lang w:val="es-ES" w:eastAsia="es-ES"/>
        </w:rPr>
        <w:t xml:space="preserve"> solicitud</w:t>
      </w:r>
      <w:r w:rsidR="00205694">
        <w:rPr>
          <w:rFonts w:ascii="Verdana" w:eastAsia="Calibri" w:hAnsi="Verdana" w:cs="Arial"/>
          <w:lang w:val="es-ES" w:eastAsia="es-ES"/>
        </w:rPr>
        <w:t>es</w:t>
      </w:r>
      <w:r w:rsidRPr="00206556">
        <w:rPr>
          <w:rFonts w:ascii="Verdana" w:eastAsia="Calibri" w:hAnsi="Verdana" w:cs="Arial"/>
          <w:lang w:val="es-ES" w:eastAsia="es-ES"/>
        </w:rPr>
        <w:t xml:space="preserve"> de</w:t>
      </w:r>
      <w:r w:rsidR="00205694">
        <w:rPr>
          <w:rFonts w:ascii="Verdana" w:eastAsia="Calibri" w:hAnsi="Verdana" w:cs="Arial"/>
          <w:lang w:val="es-ES" w:eastAsia="es-ES"/>
        </w:rPr>
        <w:t xml:space="preserve"> </w:t>
      </w:r>
      <w:r w:rsidRPr="00FB46F9">
        <w:rPr>
          <w:rFonts w:ascii="Verdana" w:eastAsia="Calibri" w:hAnsi="Verdana" w:cs="Arial"/>
          <w:lang w:val="es-ES" w:eastAsia="es-ES"/>
        </w:rPr>
        <w:t>consulta de fecha</w:t>
      </w:r>
      <w:r>
        <w:rPr>
          <w:rFonts w:ascii="Verdana" w:eastAsia="Calibri" w:hAnsi="Verdana" w:cs="Arial"/>
          <w:lang w:val="es-ES" w:eastAsia="es-ES"/>
        </w:rPr>
        <w:t xml:space="preserve"> </w:t>
      </w:r>
      <w:r w:rsidR="00205694">
        <w:rPr>
          <w:rFonts w:ascii="Verdana" w:eastAsia="Calibri" w:hAnsi="Verdana" w:cs="Arial"/>
          <w:lang w:val="es-ES" w:eastAsia="es-ES"/>
        </w:rPr>
        <w:t>10</w:t>
      </w:r>
      <w:r w:rsidRPr="00FB46F9">
        <w:rPr>
          <w:rFonts w:ascii="Verdana" w:eastAsia="Calibri" w:hAnsi="Verdana" w:cs="Arial"/>
          <w:lang w:val="es-ES" w:eastAsia="es-ES"/>
        </w:rPr>
        <w:t xml:space="preserve"> de </w:t>
      </w:r>
      <w:r w:rsidR="00205694">
        <w:rPr>
          <w:rFonts w:ascii="Verdana" w:eastAsia="Calibri" w:hAnsi="Verdana" w:cs="Arial"/>
          <w:lang w:val="es-ES" w:eastAsia="es-ES"/>
        </w:rPr>
        <w:t>junio</w:t>
      </w:r>
      <w:r w:rsidRPr="00FB46F9">
        <w:rPr>
          <w:rFonts w:ascii="Verdana" w:eastAsia="Calibri" w:hAnsi="Verdana" w:cs="Arial"/>
          <w:lang w:val="es-ES" w:eastAsia="es-ES"/>
        </w:rPr>
        <w:t xml:space="preserve"> de 2026, en</w:t>
      </w:r>
      <w:r w:rsidRPr="00206556">
        <w:rPr>
          <w:rFonts w:ascii="Verdana" w:eastAsia="Calibri" w:hAnsi="Verdana" w:cs="Arial"/>
          <w:lang w:val="es-ES" w:eastAsia="es-ES"/>
        </w:rPr>
        <w:t xml:space="preserve"> la</w:t>
      </w:r>
      <w:r w:rsidR="00A1616B">
        <w:rPr>
          <w:rFonts w:ascii="Verdana" w:eastAsia="Calibri" w:hAnsi="Verdana" w:cs="Arial"/>
          <w:lang w:val="es-ES" w:eastAsia="es-ES"/>
        </w:rPr>
        <w:t>s</w:t>
      </w:r>
      <w:r w:rsidRPr="00206556">
        <w:rPr>
          <w:rFonts w:ascii="Verdana" w:eastAsia="Calibri" w:hAnsi="Verdana" w:cs="Arial"/>
          <w:lang w:val="es-ES" w:eastAsia="es-ES"/>
        </w:rPr>
        <w:t xml:space="preserve"> cual</w:t>
      </w:r>
      <w:r w:rsidR="00A1616B">
        <w:rPr>
          <w:rFonts w:ascii="Verdana" w:eastAsia="Calibri" w:hAnsi="Verdana" w:cs="Arial"/>
          <w:lang w:val="es-ES" w:eastAsia="es-ES"/>
        </w:rPr>
        <w:t>es</w:t>
      </w:r>
      <w:r w:rsidRPr="00206556">
        <w:rPr>
          <w:rFonts w:ascii="Verdana" w:eastAsia="Calibri" w:hAnsi="Verdana" w:cs="Arial"/>
          <w:lang w:val="es-ES" w:eastAsia="es-ES"/>
        </w:rPr>
        <w:t xml:space="preserve"> manifiesta lo siguiente: </w:t>
      </w:r>
    </w:p>
    <w:p w14:paraId="43B2A68B" w14:textId="77777777" w:rsidR="003A1BAC" w:rsidRDefault="003A1BAC" w:rsidP="003A1BAC">
      <w:pPr>
        <w:spacing w:before="120" w:after="120" w:line="240" w:lineRule="auto"/>
        <w:ind w:right="709"/>
        <w:contextualSpacing/>
        <w:jc w:val="both"/>
        <w:rPr>
          <w:rFonts w:ascii="Verdana" w:eastAsia="Century Gothic" w:hAnsi="Verdana" w:cs="Century Gothic"/>
          <w:i/>
          <w:iCs/>
          <w:sz w:val="20"/>
          <w:szCs w:val="20"/>
          <w:lang w:val="es-ES"/>
        </w:rPr>
      </w:pPr>
    </w:p>
    <w:p w14:paraId="527AD1B9" w14:textId="239B10AD" w:rsidR="00863124" w:rsidRPr="00863124" w:rsidRDefault="002B011A" w:rsidP="00863124">
      <w:pPr>
        <w:spacing w:before="120" w:after="120" w:line="240" w:lineRule="auto"/>
        <w:ind w:left="709" w:right="709"/>
        <w:contextualSpacing/>
        <w:jc w:val="both"/>
        <w:rPr>
          <w:rFonts w:ascii="Verdana" w:eastAsia="Century Gothic" w:hAnsi="Verdana" w:cs="Century Gothic"/>
          <w:i/>
          <w:iCs/>
          <w:sz w:val="21"/>
          <w:szCs w:val="21"/>
          <w:lang w:val="es-ES"/>
        </w:rPr>
      </w:pPr>
      <w:r>
        <w:rPr>
          <w:rFonts w:ascii="Verdana" w:eastAsia="Century Gothic" w:hAnsi="Verdana" w:cs="Century Gothic"/>
          <w:i/>
          <w:iCs/>
          <w:sz w:val="21"/>
          <w:szCs w:val="21"/>
          <w:lang w:val="es-ES"/>
        </w:rPr>
        <w:t>“</w:t>
      </w:r>
      <w:r w:rsidR="00B936AA">
        <w:rPr>
          <w:rFonts w:ascii="Verdana" w:eastAsia="Century Gothic" w:hAnsi="Verdana" w:cs="Century Gothic"/>
          <w:i/>
          <w:iCs/>
          <w:sz w:val="21"/>
          <w:szCs w:val="21"/>
          <w:lang w:val="es-ES"/>
        </w:rPr>
        <w:t xml:space="preserve">(…) </w:t>
      </w:r>
      <w:r w:rsidR="00E74CD4" w:rsidRPr="00E74CD4">
        <w:rPr>
          <w:rFonts w:ascii="Verdana" w:eastAsia="Century Gothic" w:hAnsi="Verdana" w:cs="Century Gothic"/>
          <w:i/>
          <w:iCs/>
          <w:sz w:val="21"/>
          <w:szCs w:val="21"/>
          <w:lang w:val="es-ES"/>
        </w:rPr>
        <w:t>1. ¿La simple certificación expedida por el representante legal y el revisor fiscal o contador, en la que se indique que una persona con discapacidad ocupa u ocupó un cargo directivo, es suficiente por sí sola para acreditar la condición</w:t>
      </w:r>
      <w:r w:rsidR="00863124">
        <w:rPr>
          <w:rFonts w:ascii="Verdana" w:eastAsia="Century Gothic" w:hAnsi="Verdana" w:cs="Century Gothic"/>
          <w:i/>
          <w:iCs/>
          <w:sz w:val="21"/>
          <w:szCs w:val="21"/>
          <w:lang w:val="es-ES"/>
        </w:rPr>
        <w:t xml:space="preserve"> </w:t>
      </w:r>
      <w:r w:rsidR="00863124" w:rsidRPr="00863124">
        <w:rPr>
          <w:rFonts w:ascii="Verdana" w:eastAsia="Century Gothic" w:hAnsi="Verdana" w:cs="Century Gothic"/>
          <w:i/>
          <w:iCs/>
          <w:sz w:val="21"/>
          <w:szCs w:val="21"/>
          <w:lang w:val="es-ES"/>
        </w:rPr>
        <w:t xml:space="preserve">prevista en el numeral 4 del artículo 2.2.1.2.4.2.6 del Decreto 1082 de 2015, modificado por el Decreto 287 de 2026? </w:t>
      </w:r>
    </w:p>
    <w:p w14:paraId="4F35DAFE" w14:textId="77777777" w:rsidR="00F44870" w:rsidRDefault="00863124" w:rsidP="00863124">
      <w:pPr>
        <w:spacing w:before="120" w:after="120" w:line="240" w:lineRule="auto"/>
        <w:ind w:left="709" w:right="709"/>
        <w:contextualSpacing/>
        <w:jc w:val="both"/>
        <w:rPr>
          <w:rFonts w:ascii="Verdana" w:eastAsia="Century Gothic" w:hAnsi="Verdana" w:cs="Century Gothic"/>
          <w:i/>
          <w:iCs/>
          <w:sz w:val="21"/>
          <w:szCs w:val="21"/>
          <w:lang w:val="es-ES"/>
        </w:rPr>
      </w:pPr>
      <w:r w:rsidRPr="00863124">
        <w:rPr>
          <w:rFonts w:ascii="Verdana" w:eastAsia="Century Gothic" w:hAnsi="Verdana" w:cs="Century Gothic"/>
          <w:i/>
          <w:iCs/>
          <w:sz w:val="21"/>
          <w:szCs w:val="21"/>
          <w:lang w:val="es-ES"/>
        </w:rPr>
        <w:t xml:space="preserve">2. ¿Debe la certificación detallar expresamente las funciones ejercidas por la persona con discapacidad, indicando cuáles corresponden a dirección de áreas misionales, toma de decisiones estratégicas, nivel de mando o representación del empleador? </w:t>
      </w:r>
    </w:p>
    <w:p w14:paraId="16253FBD" w14:textId="0E7C3CD1" w:rsidR="00863124" w:rsidRPr="00863124" w:rsidRDefault="00863124" w:rsidP="00863124">
      <w:pPr>
        <w:spacing w:before="120" w:after="120" w:line="240" w:lineRule="auto"/>
        <w:ind w:left="709" w:right="709"/>
        <w:contextualSpacing/>
        <w:jc w:val="both"/>
        <w:rPr>
          <w:rFonts w:ascii="Verdana" w:eastAsia="Century Gothic" w:hAnsi="Verdana" w:cs="Century Gothic"/>
          <w:i/>
          <w:iCs/>
          <w:sz w:val="21"/>
          <w:szCs w:val="21"/>
          <w:lang w:val="es-ES"/>
        </w:rPr>
      </w:pPr>
      <w:r w:rsidRPr="00863124">
        <w:rPr>
          <w:rFonts w:ascii="Verdana" w:eastAsia="Century Gothic" w:hAnsi="Verdana" w:cs="Century Gothic"/>
          <w:i/>
          <w:iCs/>
          <w:sz w:val="21"/>
          <w:szCs w:val="21"/>
          <w:lang w:val="es-ES"/>
        </w:rPr>
        <w:t xml:space="preserve">3. ¿La certificación laboral o el contrato de trabajo que se aporte como soporte debe contener funciones específicas del cargo, o basta con la denominación del cargo? </w:t>
      </w:r>
    </w:p>
    <w:p w14:paraId="555824AD" w14:textId="5BE90515" w:rsidR="00863124" w:rsidRPr="00863124" w:rsidRDefault="00863124" w:rsidP="00863124">
      <w:pPr>
        <w:spacing w:before="120" w:after="120" w:line="240" w:lineRule="auto"/>
        <w:ind w:left="709" w:right="709"/>
        <w:contextualSpacing/>
        <w:jc w:val="both"/>
        <w:rPr>
          <w:rFonts w:ascii="Verdana" w:eastAsia="Century Gothic" w:hAnsi="Verdana" w:cs="Century Gothic"/>
          <w:i/>
          <w:iCs/>
          <w:sz w:val="21"/>
          <w:szCs w:val="21"/>
          <w:lang w:val="es-ES"/>
        </w:rPr>
      </w:pPr>
      <w:r w:rsidRPr="00863124">
        <w:rPr>
          <w:rFonts w:ascii="Verdana" w:eastAsia="Century Gothic" w:hAnsi="Verdana" w:cs="Century Gothic"/>
          <w:i/>
          <w:iCs/>
          <w:sz w:val="21"/>
          <w:szCs w:val="21"/>
          <w:lang w:val="es-ES"/>
        </w:rPr>
        <w:t xml:space="preserve">4. Cuando el cargo certificado tiene una denominación directiva, pero no se evidencia el ejercicio real de funciones de dirección, mando, representación o toma de decisiones estratégicas, ¿la entidad estatal puede solicitar aclaraciones o soportes adicionales al proponente? </w:t>
      </w:r>
    </w:p>
    <w:p w14:paraId="0A3C341F" w14:textId="56193816" w:rsidR="00863124" w:rsidRPr="00863124" w:rsidRDefault="00863124" w:rsidP="00863124">
      <w:pPr>
        <w:spacing w:before="120" w:after="120" w:line="240" w:lineRule="auto"/>
        <w:ind w:left="709" w:right="709"/>
        <w:contextualSpacing/>
        <w:jc w:val="both"/>
        <w:rPr>
          <w:rFonts w:ascii="Verdana" w:eastAsia="Century Gothic" w:hAnsi="Verdana" w:cs="Century Gothic"/>
          <w:i/>
          <w:iCs/>
          <w:sz w:val="21"/>
          <w:szCs w:val="21"/>
          <w:lang w:val="es-ES"/>
        </w:rPr>
      </w:pPr>
      <w:r w:rsidRPr="00863124">
        <w:rPr>
          <w:rFonts w:ascii="Verdana" w:eastAsia="Century Gothic" w:hAnsi="Verdana" w:cs="Century Gothic"/>
          <w:i/>
          <w:iCs/>
          <w:sz w:val="21"/>
          <w:szCs w:val="21"/>
          <w:lang w:val="es-ES"/>
        </w:rPr>
        <w:t xml:space="preserve">5. ¿Qué documentos pueden solicitar las entidades estatales, sin desconocer el Decreto 287 de 2026 ni imponer barreras desproporcionadas, para verificar que la persona con discapacidad efectivamente ejerció un cargo de nivel directivo durante el último año? </w:t>
      </w:r>
    </w:p>
    <w:p w14:paraId="7A71CADB" w14:textId="3136DC3C" w:rsidR="00863124" w:rsidRPr="00863124" w:rsidRDefault="00863124" w:rsidP="00863124">
      <w:pPr>
        <w:spacing w:before="120" w:after="120" w:line="240" w:lineRule="auto"/>
        <w:ind w:left="709" w:right="709"/>
        <w:contextualSpacing/>
        <w:jc w:val="both"/>
        <w:rPr>
          <w:rFonts w:ascii="Verdana" w:eastAsia="Century Gothic" w:hAnsi="Verdana" w:cs="Century Gothic"/>
          <w:i/>
          <w:iCs/>
          <w:sz w:val="21"/>
          <w:szCs w:val="21"/>
          <w:lang w:val="es-ES"/>
        </w:rPr>
      </w:pPr>
      <w:r w:rsidRPr="00863124">
        <w:rPr>
          <w:rFonts w:ascii="Verdana" w:eastAsia="Century Gothic" w:hAnsi="Verdana" w:cs="Century Gothic"/>
          <w:i/>
          <w:iCs/>
          <w:sz w:val="21"/>
          <w:szCs w:val="21"/>
          <w:lang w:val="es-ES"/>
        </w:rPr>
        <w:t xml:space="preserve">6. ¿Es jurídicamente viable que, en caso de duda razonable, la entidad contratante solicite documentos tales como organigrama vigente, manual o descripción de funciones, certificación de ubicación jerárquica, actas de nombramiento o designación interna, desprendibles de nómina, soportes de pago de seguridad social, certificaciones de subordinados o superiores, o documentos equivalentes que demuestren el ejercicio real del cargo? </w:t>
      </w:r>
    </w:p>
    <w:p w14:paraId="6FB8783C" w14:textId="6B2EEDEC" w:rsidR="00863124" w:rsidRPr="00863124" w:rsidRDefault="00863124" w:rsidP="00863124">
      <w:pPr>
        <w:spacing w:before="120" w:after="120" w:line="240" w:lineRule="auto"/>
        <w:ind w:left="709" w:right="709"/>
        <w:contextualSpacing/>
        <w:jc w:val="both"/>
        <w:rPr>
          <w:rFonts w:ascii="Verdana" w:eastAsia="Century Gothic" w:hAnsi="Verdana" w:cs="Century Gothic"/>
          <w:i/>
          <w:iCs/>
          <w:sz w:val="21"/>
          <w:szCs w:val="21"/>
          <w:lang w:val="es-ES"/>
        </w:rPr>
      </w:pPr>
      <w:r w:rsidRPr="00863124">
        <w:rPr>
          <w:rFonts w:ascii="Verdana" w:eastAsia="Century Gothic" w:hAnsi="Verdana" w:cs="Century Gothic"/>
          <w:i/>
          <w:iCs/>
          <w:sz w:val="21"/>
          <w:szCs w:val="21"/>
          <w:lang w:val="es-ES"/>
        </w:rPr>
        <w:t xml:space="preserve">7. ¿La certificación expedida bajo gravedad de juramento por representante legal y revisor fiscal o contador genera responsabilidad para quienes la suscriben en caso de que se certifique una condición directiva inexistente, inexacta o no soportada? </w:t>
      </w:r>
    </w:p>
    <w:p w14:paraId="1C36B234" w14:textId="4D74A434" w:rsidR="00863124" w:rsidRPr="00863124" w:rsidRDefault="00863124" w:rsidP="00863124">
      <w:pPr>
        <w:spacing w:before="120" w:after="120" w:line="240" w:lineRule="auto"/>
        <w:ind w:left="709" w:right="709"/>
        <w:contextualSpacing/>
        <w:jc w:val="both"/>
        <w:rPr>
          <w:rFonts w:ascii="Verdana" w:eastAsia="Century Gothic" w:hAnsi="Verdana" w:cs="Century Gothic"/>
          <w:i/>
          <w:iCs/>
          <w:sz w:val="21"/>
          <w:szCs w:val="21"/>
          <w:lang w:val="es-ES"/>
        </w:rPr>
      </w:pPr>
      <w:r w:rsidRPr="00863124">
        <w:rPr>
          <w:rFonts w:ascii="Verdana" w:eastAsia="Century Gothic" w:hAnsi="Verdana" w:cs="Century Gothic"/>
          <w:i/>
          <w:iCs/>
          <w:sz w:val="21"/>
          <w:szCs w:val="21"/>
          <w:lang w:val="es-ES"/>
        </w:rPr>
        <w:t xml:space="preserve">8. ¿Qué lineamientos recomienda Colombia Compra Eficiente para que las entidades contratantes puedan prevenir la presentación de certificaciones meramente formales, inexactas o eventualmente falsas, sin afectar los derechos de las personas con discapacidad ni imponer barreras injustificadas? </w:t>
      </w:r>
    </w:p>
    <w:p w14:paraId="752D331C" w14:textId="5DA112C6" w:rsidR="002E5E73" w:rsidRPr="002E5E73" w:rsidRDefault="00863124" w:rsidP="002E5E73">
      <w:pPr>
        <w:spacing w:before="120" w:after="120" w:line="240" w:lineRule="auto"/>
        <w:ind w:left="709" w:right="709"/>
        <w:contextualSpacing/>
        <w:jc w:val="both"/>
        <w:rPr>
          <w:rFonts w:ascii="Verdana" w:eastAsia="Century Gothic" w:hAnsi="Verdana" w:cs="Century Gothic"/>
          <w:i/>
          <w:iCs/>
          <w:sz w:val="21"/>
          <w:szCs w:val="21"/>
          <w:lang w:val="es-ES"/>
        </w:rPr>
      </w:pPr>
      <w:r w:rsidRPr="00863124">
        <w:rPr>
          <w:rFonts w:ascii="Verdana" w:eastAsia="Century Gothic" w:hAnsi="Verdana" w:cs="Century Gothic"/>
          <w:i/>
          <w:iCs/>
          <w:sz w:val="21"/>
          <w:szCs w:val="21"/>
          <w:lang w:val="es-ES"/>
        </w:rPr>
        <w:t>9. ¿Debe diferenciarse la acreditación de la condición de “empresa de persona con discapacidad por directivo con discapacidad” frente a la acreditación</w:t>
      </w:r>
      <w:r>
        <w:rPr>
          <w:rFonts w:ascii="Verdana" w:eastAsia="Century Gothic" w:hAnsi="Verdana" w:cs="Century Gothic"/>
          <w:i/>
          <w:iCs/>
          <w:sz w:val="21"/>
          <w:szCs w:val="21"/>
          <w:lang w:val="es-ES"/>
        </w:rPr>
        <w:t xml:space="preserve"> </w:t>
      </w:r>
      <w:r w:rsidR="002B011A">
        <w:rPr>
          <w:rFonts w:ascii="Verdana" w:eastAsia="Century Gothic" w:hAnsi="Verdana" w:cs="Century Gothic"/>
          <w:i/>
          <w:iCs/>
          <w:sz w:val="21"/>
          <w:szCs w:val="21"/>
          <w:lang w:val="es-ES"/>
        </w:rPr>
        <w:t>de</w:t>
      </w:r>
      <w:r w:rsidR="002B011A" w:rsidRPr="002E5E73">
        <w:rPr>
          <w:rFonts w:ascii="Verdana" w:eastAsia="Century Gothic" w:hAnsi="Verdana" w:cs="Century Gothic"/>
          <w:i/>
          <w:iCs/>
          <w:sz w:val="21"/>
          <w:szCs w:val="21"/>
          <w:lang w:val="es-ES"/>
        </w:rPr>
        <w:t xml:space="preserve"> “empleador</w:t>
      </w:r>
      <w:r w:rsidR="002E5E73" w:rsidRPr="002E5E73">
        <w:rPr>
          <w:rFonts w:ascii="Verdana" w:eastAsia="Century Gothic" w:hAnsi="Verdana" w:cs="Century Gothic"/>
          <w:i/>
          <w:iCs/>
          <w:sz w:val="21"/>
          <w:szCs w:val="21"/>
          <w:lang w:val="es-ES"/>
        </w:rPr>
        <w:t xml:space="preserve"> de personas con discapacidad” para efectos del puntaje adicional del Decreto 287 de 2026? </w:t>
      </w:r>
    </w:p>
    <w:p w14:paraId="36A05E70" w14:textId="20EF1CD3" w:rsidR="002E5E73" w:rsidRPr="002E5E73" w:rsidRDefault="002E5E73" w:rsidP="002E5E73">
      <w:pPr>
        <w:spacing w:before="120" w:after="120" w:line="240" w:lineRule="auto"/>
        <w:ind w:left="709" w:right="709"/>
        <w:contextualSpacing/>
        <w:jc w:val="both"/>
        <w:rPr>
          <w:rFonts w:ascii="Verdana" w:eastAsia="Century Gothic" w:hAnsi="Verdana" w:cs="Century Gothic"/>
          <w:i/>
          <w:iCs/>
          <w:sz w:val="21"/>
          <w:szCs w:val="21"/>
          <w:lang w:val="es-ES"/>
        </w:rPr>
      </w:pPr>
      <w:r w:rsidRPr="002E5E73">
        <w:rPr>
          <w:rFonts w:ascii="Verdana" w:eastAsia="Century Gothic" w:hAnsi="Verdana" w:cs="Century Gothic"/>
          <w:i/>
          <w:iCs/>
          <w:sz w:val="21"/>
          <w:szCs w:val="21"/>
          <w:lang w:val="es-ES"/>
        </w:rPr>
        <w:lastRenderedPageBreak/>
        <w:t xml:space="preserve">10. ¿Tiene previsto Colombia Compra Eficiente expedir una guía, formato, circular complementaria o lineamiento específico sobre la acreditación de cargos directivos ocupados por personas con discapacidad, en especial frente a la verificación de funciones realmente ejecutadas? </w:t>
      </w:r>
    </w:p>
    <w:p w14:paraId="6801BB9D" w14:textId="6B9EDC2C" w:rsidR="002E5E73" w:rsidRPr="002E5E73" w:rsidRDefault="002E5E73" w:rsidP="002E5E73">
      <w:pPr>
        <w:spacing w:before="120" w:after="120" w:line="240" w:lineRule="auto"/>
        <w:ind w:left="709" w:right="709"/>
        <w:contextualSpacing/>
        <w:jc w:val="both"/>
        <w:rPr>
          <w:rFonts w:ascii="Verdana" w:eastAsia="Century Gothic" w:hAnsi="Verdana" w:cs="Century Gothic"/>
          <w:i/>
          <w:iCs/>
          <w:sz w:val="21"/>
          <w:szCs w:val="21"/>
          <w:lang w:val="es-ES"/>
        </w:rPr>
      </w:pPr>
      <w:r w:rsidRPr="002E5E73">
        <w:rPr>
          <w:rFonts w:ascii="Verdana" w:eastAsia="Century Gothic" w:hAnsi="Verdana" w:cs="Century Gothic"/>
          <w:i/>
          <w:iCs/>
          <w:sz w:val="21"/>
          <w:szCs w:val="21"/>
          <w:lang w:val="es-ES"/>
        </w:rPr>
        <w:t xml:space="preserve">11. En caso de que una entidad estatal advierta inconsistencias entre la certificación aportada y los soportes del cargo directivo, ¿cuál debería ser el tratamiento en la evaluación de la oferta: solicitud de aclaración, rechazo, no asignación del beneficio, traslado a autoridad competente, o alguna otra actuación? </w:t>
      </w:r>
    </w:p>
    <w:p w14:paraId="13F3001C" w14:textId="7E6E80E0" w:rsidR="00B936AA" w:rsidRDefault="002E5E73" w:rsidP="002E5E73">
      <w:pPr>
        <w:spacing w:before="120" w:after="120" w:line="240" w:lineRule="auto"/>
        <w:ind w:left="709" w:right="709"/>
        <w:contextualSpacing/>
        <w:jc w:val="both"/>
        <w:rPr>
          <w:rFonts w:ascii="Verdana" w:eastAsia="Century Gothic" w:hAnsi="Verdana" w:cs="Century Gothic"/>
          <w:i/>
          <w:iCs/>
          <w:sz w:val="20"/>
          <w:szCs w:val="20"/>
          <w:lang w:val="es-ES"/>
        </w:rPr>
      </w:pPr>
      <w:r w:rsidRPr="002E5E73">
        <w:rPr>
          <w:rFonts w:ascii="Verdana" w:eastAsia="Century Gothic" w:hAnsi="Verdana" w:cs="Century Gothic"/>
          <w:i/>
          <w:iCs/>
          <w:sz w:val="21"/>
          <w:szCs w:val="21"/>
          <w:lang w:val="es-ES"/>
        </w:rPr>
        <w:t>12. ¿Qué recomendaciones deben incluir las entidades en los pliegos de condiciones o documentos equivalentes para evitar ambigüedades en la acreditación de esta condición y prevenir riesgos de falsedad documental?</w:t>
      </w:r>
      <w:r w:rsidR="002B011A">
        <w:rPr>
          <w:rFonts w:ascii="Verdana" w:eastAsia="Century Gothic" w:hAnsi="Verdana" w:cs="Century Gothic"/>
          <w:i/>
          <w:iCs/>
          <w:sz w:val="21"/>
          <w:szCs w:val="21"/>
          <w:lang w:val="es-ES"/>
        </w:rPr>
        <w:t>”</w:t>
      </w:r>
    </w:p>
    <w:p w14:paraId="5E66451C" w14:textId="77777777" w:rsidR="003A1BAC" w:rsidRPr="00206556" w:rsidRDefault="003A1BAC" w:rsidP="003A1BAC">
      <w:pPr>
        <w:spacing w:before="120" w:after="120" w:line="240" w:lineRule="auto"/>
        <w:ind w:left="709" w:right="709"/>
        <w:contextualSpacing/>
        <w:jc w:val="both"/>
        <w:rPr>
          <w:rFonts w:ascii="Verdana" w:eastAsia="Century Gothic" w:hAnsi="Verdana" w:cs="Century Gothic"/>
          <w:i/>
          <w:iCs/>
          <w:sz w:val="20"/>
          <w:szCs w:val="20"/>
          <w:lang w:val="es-ES"/>
        </w:rPr>
      </w:pPr>
    </w:p>
    <w:p w14:paraId="147618E5" w14:textId="77777777" w:rsidR="003A1BAC" w:rsidRPr="00206556" w:rsidRDefault="003A1BAC" w:rsidP="003A1BAC">
      <w:pPr>
        <w:spacing w:after="120" w:line="276" w:lineRule="auto"/>
        <w:ind w:firstLine="708"/>
        <w:jc w:val="both"/>
        <w:rPr>
          <w:rFonts w:ascii="Verdana" w:eastAsia="Calibri" w:hAnsi="Verdana" w:cs="Arial"/>
          <w:lang w:val="es-ES" w:eastAsia="es-ES"/>
        </w:rPr>
      </w:pPr>
      <w:r w:rsidRPr="00206556">
        <w:rPr>
          <w:rFonts w:ascii="Verdana" w:eastAsia="Calibri" w:hAnsi="Verdana" w:cs="Arial"/>
          <w:lang w:val="es-ES" w:eastAsia="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w:t>
      </w:r>
      <w:r>
        <w:rPr>
          <w:rFonts w:ascii="Verdana" w:eastAsia="Calibri" w:hAnsi="Verdana" w:cs="Arial"/>
          <w:lang w:val="es-ES" w:eastAsia="es-ES"/>
        </w:rPr>
        <w:t xml:space="preserve"> al</w:t>
      </w:r>
      <w:r w:rsidRPr="00206556">
        <w:rPr>
          <w:rFonts w:ascii="Verdana" w:eastAsia="Calibri" w:hAnsi="Verdana" w:cs="Arial"/>
          <w:lang w:val="es-ES" w:eastAsia="es-ES"/>
        </w:rPr>
        <w:t xml:space="preserve"> </w:t>
      </w:r>
      <w:r>
        <w:rPr>
          <w:rFonts w:ascii="Verdana" w:hAnsi="Verdana"/>
        </w:rPr>
        <w:t>Estatuto General de Contratación Pública</w:t>
      </w:r>
      <w:r w:rsidRPr="00206556">
        <w:rPr>
          <w:rFonts w:ascii="Verdana" w:eastAsia="Calibri" w:hAnsi="Verdana" w:cs="Arial"/>
          <w:lang w:val="es-ES" w:eastAsia="es-ES"/>
        </w:rPr>
        <w:t xml:space="preserve"> o de los demás participantes de la contratación pública. Esta competencia de interpretación de normas generales, por definición, no puede extenderse a la resolución de controversias, ni a brindar asesorías sobre casos puntuales.  </w:t>
      </w:r>
      <w:r w:rsidRPr="00206556">
        <w:rPr>
          <w:rFonts w:ascii="Verdana" w:hAnsi="Verdana"/>
          <w:lang w:val="es-ES"/>
        </w:rPr>
        <w:tab/>
      </w:r>
    </w:p>
    <w:p w14:paraId="11A5B4E1" w14:textId="10B38CE5" w:rsidR="003A1BAC" w:rsidRPr="00206556" w:rsidRDefault="003A1BAC" w:rsidP="003A1BAC">
      <w:pPr>
        <w:spacing w:after="0" w:line="276" w:lineRule="auto"/>
        <w:ind w:firstLine="709"/>
        <w:jc w:val="both"/>
        <w:rPr>
          <w:rFonts w:ascii="Verdana" w:eastAsia="Calibri" w:hAnsi="Verdana" w:cs="Arial"/>
          <w:lang w:val="es-ES" w:eastAsia="es-ES"/>
        </w:rPr>
      </w:pPr>
      <w:r w:rsidRPr="00206556">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w:t>
      </w:r>
      <w:r w:rsidR="001A4AA2">
        <w:rPr>
          <w:rFonts w:ascii="Verdana" w:eastAsia="Calibri" w:hAnsi="Verdana" w:cs="Arial"/>
          <w:lang w:val="es-ES" w:eastAsia="es-ES"/>
        </w:rPr>
        <w:t>los</w:t>
      </w:r>
      <w:r>
        <w:rPr>
          <w:rFonts w:ascii="Verdana" w:eastAsia="Calibri" w:hAnsi="Verdana" w:cs="Arial"/>
          <w:lang w:val="es-ES" w:eastAsia="es-ES"/>
        </w:rPr>
        <w:t xml:space="preserve"> </w:t>
      </w:r>
      <w:r w:rsidRPr="00206556">
        <w:rPr>
          <w:rFonts w:ascii="Verdana" w:eastAsia="Calibri" w:hAnsi="Verdana" w:cs="Arial"/>
          <w:lang w:val="es-ES" w:eastAsia="es-ES"/>
        </w:rPr>
        <w:t>problema</w:t>
      </w:r>
      <w:r w:rsidR="001A4AA2">
        <w:rPr>
          <w:rFonts w:ascii="Verdana" w:eastAsia="Calibri" w:hAnsi="Verdana" w:cs="Arial"/>
          <w:lang w:val="es-ES" w:eastAsia="es-ES"/>
        </w:rPr>
        <w:t>s</w:t>
      </w:r>
      <w:r w:rsidRPr="00206556">
        <w:rPr>
          <w:rFonts w:ascii="Verdana" w:eastAsia="Calibri" w:hAnsi="Verdana" w:cs="Arial"/>
          <w:lang w:val="es-ES" w:eastAsia="es-ES"/>
        </w:rPr>
        <w:t xml:space="preserve"> jurídico</w:t>
      </w:r>
      <w:r w:rsidR="001A4AA2">
        <w:rPr>
          <w:rFonts w:ascii="Verdana" w:eastAsia="Calibri" w:hAnsi="Verdana" w:cs="Arial"/>
          <w:lang w:val="es-ES" w:eastAsia="es-ES"/>
        </w:rPr>
        <w:t>s</w:t>
      </w:r>
      <w:r w:rsidRPr="00206556">
        <w:rPr>
          <w:rFonts w:ascii="Verdana" w:eastAsia="Calibri" w:hAnsi="Verdana" w:cs="Arial"/>
          <w:lang w:val="es-ES" w:eastAsia="es-ES"/>
        </w:rPr>
        <w:t xml:space="preserve"> de su consulta. </w:t>
      </w:r>
    </w:p>
    <w:p w14:paraId="1D18CB3F" w14:textId="77777777" w:rsidR="003A1BAC" w:rsidRPr="00206556" w:rsidRDefault="003A1BAC" w:rsidP="003A1BAC">
      <w:pPr>
        <w:spacing w:after="0" w:line="276" w:lineRule="auto"/>
        <w:ind w:firstLine="709"/>
        <w:jc w:val="both"/>
        <w:rPr>
          <w:rFonts w:ascii="Verdana" w:eastAsia="Calibri" w:hAnsi="Verdana" w:cs="Arial"/>
          <w:lang w:val="es-ES" w:eastAsia="es-ES"/>
        </w:rPr>
      </w:pPr>
    </w:p>
    <w:p w14:paraId="5B39E981" w14:textId="128A72C1" w:rsidR="003A1BAC" w:rsidRPr="00206556" w:rsidRDefault="003A1BAC" w:rsidP="003A1BAC">
      <w:pPr>
        <w:tabs>
          <w:tab w:val="left" w:pos="142"/>
          <w:tab w:val="left" w:pos="284"/>
        </w:tabs>
        <w:spacing w:after="0" w:line="276" w:lineRule="auto"/>
        <w:contextualSpacing/>
        <w:jc w:val="both"/>
        <w:rPr>
          <w:rFonts w:ascii="Verdana" w:eastAsia="Century Gothic" w:hAnsi="Verdana" w:cs="Century Gothic"/>
          <w:b/>
          <w:lang w:val="es-ES"/>
        </w:rPr>
      </w:pPr>
      <w:r w:rsidRPr="00206556">
        <w:rPr>
          <w:rFonts w:ascii="Verdana" w:eastAsia="Century Gothic" w:hAnsi="Verdana" w:cs="Century Gothic"/>
          <w:b/>
          <w:lang w:val="es-ES"/>
        </w:rPr>
        <w:t>1. Problema</w:t>
      </w:r>
      <w:r w:rsidR="001A4AA2">
        <w:rPr>
          <w:rFonts w:ascii="Verdana" w:eastAsia="Century Gothic" w:hAnsi="Verdana" w:cs="Century Gothic"/>
          <w:b/>
          <w:lang w:val="es-ES"/>
        </w:rPr>
        <w:t>s</w:t>
      </w:r>
      <w:r w:rsidRPr="00206556">
        <w:rPr>
          <w:rFonts w:ascii="Verdana" w:eastAsia="Century Gothic" w:hAnsi="Verdana" w:cs="Century Gothic"/>
          <w:b/>
          <w:lang w:val="es-ES"/>
        </w:rPr>
        <w:t xml:space="preserve"> planteado</w:t>
      </w:r>
      <w:r w:rsidR="001A4AA2">
        <w:rPr>
          <w:rFonts w:ascii="Verdana" w:eastAsia="Century Gothic" w:hAnsi="Verdana" w:cs="Century Gothic"/>
          <w:b/>
          <w:lang w:val="es-ES"/>
        </w:rPr>
        <w:t>s</w:t>
      </w:r>
      <w:r w:rsidRPr="00206556">
        <w:rPr>
          <w:rFonts w:ascii="Verdana" w:eastAsia="Century Gothic" w:hAnsi="Verdana" w:cs="Century Gothic"/>
          <w:b/>
          <w:lang w:val="es-ES"/>
        </w:rPr>
        <w:t>:</w:t>
      </w:r>
    </w:p>
    <w:p w14:paraId="57BFEDDA" w14:textId="77777777" w:rsidR="003A1BAC" w:rsidRPr="00206556" w:rsidRDefault="003A1BAC" w:rsidP="003A1BAC">
      <w:pPr>
        <w:tabs>
          <w:tab w:val="left" w:pos="426"/>
        </w:tabs>
        <w:spacing w:after="0" w:line="276" w:lineRule="auto"/>
        <w:jc w:val="both"/>
        <w:rPr>
          <w:rFonts w:ascii="Verdana" w:eastAsia="Century Gothic" w:hAnsi="Verdana" w:cs="Century Gothic"/>
          <w:color w:val="ED7D31" w:themeColor="accent2"/>
          <w:lang w:val="es-ES"/>
        </w:rPr>
      </w:pPr>
    </w:p>
    <w:p w14:paraId="7914A4ED" w14:textId="000F978F" w:rsidR="003A1BAC" w:rsidRDefault="003A1BAC" w:rsidP="003A1BAC">
      <w:pPr>
        <w:spacing w:after="0" w:line="276" w:lineRule="auto"/>
        <w:jc w:val="both"/>
        <w:rPr>
          <w:rFonts w:ascii="Verdana" w:eastAsia="Century Gothic" w:hAnsi="Verdana" w:cs="Century Gothic"/>
        </w:rPr>
      </w:pPr>
      <w:r w:rsidRPr="00206556">
        <w:rPr>
          <w:rFonts w:ascii="Verdana" w:eastAsia="Century Gothic" w:hAnsi="Verdana" w:cs="Century Gothic"/>
          <w:lang w:val="es-ES"/>
        </w:rPr>
        <w:lastRenderedPageBreak/>
        <w:t>De acuerdo con el contenido de su solicitud, esta Agencia resolverá l</w:t>
      </w:r>
      <w:r w:rsidR="00252D90">
        <w:rPr>
          <w:rFonts w:ascii="Verdana" w:eastAsia="Century Gothic" w:hAnsi="Verdana" w:cs="Century Gothic"/>
          <w:lang w:val="es-ES"/>
        </w:rPr>
        <w:t>os</w:t>
      </w:r>
      <w:r w:rsidRPr="00206556">
        <w:rPr>
          <w:rFonts w:ascii="Verdana" w:eastAsia="Century Gothic" w:hAnsi="Verdana" w:cs="Century Gothic"/>
          <w:lang w:val="es-ES"/>
        </w:rPr>
        <w:t xml:space="preserve"> siguiente</w:t>
      </w:r>
      <w:r w:rsidR="00252D90">
        <w:rPr>
          <w:rFonts w:ascii="Verdana" w:eastAsia="Century Gothic" w:hAnsi="Verdana" w:cs="Century Gothic"/>
          <w:lang w:val="es-ES"/>
        </w:rPr>
        <w:t>s</w:t>
      </w:r>
      <w:r w:rsidRPr="00206556">
        <w:rPr>
          <w:rFonts w:ascii="Verdana" w:eastAsia="Century Gothic" w:hAnsi="Verdana" w:cs="Century Gothic"/>
          <w:lang w:val="es-ES"/>
        </w:rPr>
        <w:t xml:space="preserve"> problema</w:t>
      </w:r>
      <w:r w:rsidR="00252D90">
        <w:rPr>
          <w:rFonts w:ascii="Verdana" w:eastAsia="Century Gothic" w:hAnsi="Verdana" w:cs="Century Gothic"/>
          <w:lang w:val="es-ES"/>
        </w:rPr>
        <w:t>s</w:t>
      </w:r>
      <w:r w:rsidRPr="00206556">
        <w:rPr>
          <w:rFonts w:ascii="Verdana" w:eastAsia="Century Gothic" w:hAnsi="Verdana" w:cs="Century Gothic"/>
          <w:lang w:val="es-ES"/>
        </w:rPr>
        <w:t xml:space="preserve"> jurídico</w:t>
      </w:r>
      <w:r w:rsidR="00252D90">
        <w:rPr>
          <w:rFonts w:ascii="Verdana" w:eastAsia="Century Gothic" w:hAnsi="Verdana" w:cs="Century Gothic"/>
          <w:lang w:val="es-ES"/>
        </w:rPr>
        <w:t>s</w:t>
      </w:r>
      <w:r w:rsidRPr="00206556">
        <w:rPr>
          <w:rFonts w:ascii="Verdana" w:eastAsia="Century Gothic" w:hAnsi="Verdana" w:cs="Century Gothic"/>
          <w:lang w:val="es-ES"/>
        </w:rPr>
        <w:t xml:space="preserve">: </w:t>
      </w:r>
      <w:r w:rsidR="00252D90">
        <w:rPr>
          <w:rFonts w:ascii="Verdana" w:eastAsia="Century Gothic" w:hAnsi="Verdana" w:cs="Century Gothic"/>
          <w:lang w:val="es-ES"/>
        </w:rPr>
        <w:t xml:space="preserve">i) </w:t>
      </w:r>
      <w:r w:rsidRPr="00206556">
        <w:rPr>
          <w:rFonts w:ascii="Verdana" w:eastAsia="Century Gothic" w:hAnsi="Verdana" w:cs="Century Gothic"/>
        </w:rPr>
        <w:t>¿</w:t>
      </w:r>
      <w:r>
        <w:rPr>
          <w:rFonts w:ascii="Verdana" w:eastAsia="Century Gothic" w:hAnsi="Verdana" w:cs="Century Gothic"/>
        </w:rPr>
        <w:t>Cómo se aplica el puntaje para empleadores de personas con discapacidad que ocupan el nivel directivo de la empresa</w:t>
      </w:r>
      <w:r w:rsidRPr="00206556">
        <w:rPr>
          <w:rFonts w:ascii="Verdana" w:eastAsia="Century Gothic" w:hAnsi="Verdana" w:cs="Century Gothic"/>
        </w:rPr>
        <w:t>?</w:t>
      </w:r>
      <w:r w:rsidR="00502E25">
        <w:rPr>
          <w:rFonts w:ascii="Verdana" w:eastAsia="Century Gothic" w:hAnsi="Verdana" w:cs="Century Gothic"/>
        </w:rPr>
        <w:t xml:space="preserve">, y ii) </w:t>
      </w:r>
      <w:r w:rsidR="001F4DD8">
        <w:rPr>
          <w:rFonts w:ascii="Verdana" w:eastAsia="Century Gothic" w:hAnsi="Verdana" w:cs="Century Gothic"/>
        </w:rPr>
        <w:t xml:space="preserve">¿Cuáles son los lineamientos para prevenir certificaciones falsas </w:t>
      </w:r>
      <w:r w:rsidR="001A7EC8">
        <w:rPr>
          <w:rFonts w:ascii="Verdana" w:eastAsia="Century Gothic" w:hAnsi="Verdana" w:cs="Century Gothic"/>
        </w:rPr>
        <w:t>y el tratamiento de esta situación?</w:t>
      </w:r>
    </w:p>
    <w:p w14:paraId="2808050C" w14:textId="77777777" w:rsidR="003A1BAC" w:rsidRPr="00206556" w:rsidRDefault="003A1BAC" w:rsidP="003A1BAC">
      <w:pPr>
        <w:spacing w:after="0" w:line="276" w:lineRule="auto"/>
        <w:jc w:val="both"/>
        <w:rPr>
          <w:rFonts w:ascii="Verdana" w:eastAsia="Century Gothic" w:hAnsi="Verdana" w:cs="Century Gothic"/>
          <w:color w:val="ED7D31" w:themeColor="accent2"/>
        </w:rPr>
      </w:pPr>
    </w:p>
    <w:p w14:paraId="56B65508" w14:textId="1593E17E" w:rsidR="003A1BAC" w:rsidRPr="00206556" w:rsidRDefault="003A1BAC" w:rsidP="003A1BAC">
      <w:pPr>
        <w:tabs>
          <w:tab w:val="left" w:pos="142"/>
          <w:tab w:val="left" w:pos="284"/>
        </w:tabs>
        <w:spacing w:after="0" w:line="276" w:lineRule="auto"/>
        <w:jc w:val="both"/>
        <w:rPr>
          <w:rFonts w:ascii="Verdana" w:eastAsia="Century Gothic" w:hAnsi="Verdana" w:cs="Century Gothic"/>
          <w:b/>
          <w:lang w:val="es-ES"/>
        </w:rPr>
      </w:pPr>
      <w:r w:rsidRPr="00206556">
        <w:rPr>
          <w:rFonts w:ascii="Verdana" w:eastAsia="Century Gothic" w:hAnsi="Verdana" w:cs="Century Gothic"/>
          <w:b/>
          <w:lang w:val="es-ES"/>
        </w:rPr>
        <w:t>2. Respuesta</w:t>
      </w:r>
      <w:r w:rsidR="00521AC1">
        <w:rPr>
          <w:rFonts w:ascii="Verdana" w:eastAsia="Century Gothic" w:hAnsi="Verdana" w:cs="Century Gothic"/>
          <w:b/>
          <w:lang w:val="es-ES"/>
        </w:rPr>
        <w:t>s</w:t>
      </w:r>
      <w:r w:rsidRPr="00206556">
        <w:rPr>
          <w:rFonts w:ascii="Verdana" w:eastAsia="Century Gothic" w:hAnsi="Verdana" w:cs="Century Gothic"/>
          <w:b/>
          <w:lang w:val="es-ES"/>
        </w:rPr>
        <w:t>:</w:t>
      </w:r>
    </w:p>
    <w:p w14:paraId="2BE8EC2C" w14:textId="77777777" w:rsidR="003A1BAC" w:rsidRPr="00206556" w:rsidRDefault="003A1BAC" w:rsidP="003A1BAC">
      <w:pPr>
        <w:tabs>
          <w:tab w:val="left" w:pos="142"/>
          <w:tab w:val="left" w:pos="284"/>
        </w:tabs>
        <w:spacing w:after="0" w:line="276" w:lineRule="auto"/>
        <w:jc w:val="both"/>
        <w:rPr>
          <w:rFonts w:ascii="Verdana" w:eastAsia="Century Gothic" w:hAnsi="Verdana" w:cs="Century Gothic"/>
          <w:b/>
          <w:bCs/>
          <w:color w:val="ED7D31" w:themeColor="accent2"/>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3A1BAC" w:rsidRPr="00206556" w14:paraId="655FF97A" w14:textId="77777777" w:rsidTr="002D3CDE">
        <w:tc>
          <w:tcPr>
            <w:tcW w:w="8828" w:type="dxa"/>
          </w:tcPr>
          <w:p w14:paraId="60A35710" w14:textId="5D786994" w:rsidR="00D86808" w:rsidRPr="00D86808" w:rsidRDefault="00252D90" w:rsidP="00F17922">
            <w:pPr>
              <w:spacing w:before="120" w:after="120" w:line="276" w:lineRule="auto"/>
              <w:jc w:val="both"/>
              <w:rPr>
                <w:rFonts w:ascii="Verdana" w:eastAsia="Calibri" w:hAnsi="Verdana" w:cs="Arial"/>
              </w:rPr>
            </w:pPr>
            <w:r>
              <w:rPr>
                <w:rFonts w:ascii="Verdana" w:eastAsia="Calibri" w:hAnsi="Verdana" w:cs="Arial"/>
              </w:rPr>
              <w:t xml:space="preserve">i) </w:t>
            </w:r>
            <w:r w:rsidR="00D86808" w:rsidRPr="00D86808">
              <w:rPr>
                <w:rFonts w:ascii="Verdana" w:eastAsia="Calibri" w:hAnsi="Verdana" w:cs="Arial"/>
              </w:rPr>
              <w:t>En respuesta al problema planteado, es preciso señalar que el artículo 2.2.1.2.4.2.7.4 del Decreto 1082 de 2015, modificado por el Decreto 287 de 2026, establece un puntaje adicional del dos por ciento (2 %) del total de los puntos previstos en el pliego de condiciones para los procedimientos de licitación pública y concurso de méritos. A este beneficio pueden acceder los proponentes que: i) acrediten alguna de las condiciones previstas en el artículo 2.2.1.2.4.2.6 del Decreto 1082 de 2015, o ii) demuestren la vinculación de personas con discapacidad a su planta de personal en los términos establecidos en el numeral 2 del artículo 2.2.1.2.4.2.7.4.</w:t>
            </w:r>
          </w:p>
          <w:p w14:paraId="754FF912" w14:textId="77777777" w:rsidR="00D86808" w:rsidRPr="00D86808" w:rsidRDefault="00D86808" w:rsidP="00D86808">
            <w:pPr>
              <w:spacing w:before="120" w:after="120" w:line="276" w:lineRule="auto"/>
              <w:ind w:firstLine="709"/>
              <w:jc w:val="both"/>
              <w:rPr>
                <w:rFonts w:ascii="Verdana" w:eastAsia="Calibri" w:hAnsi="Verdana" w:cs="Arial"/>
              </w:rPr>
            </w:pPr>
            <w:r w:rsidRPr="00D86808">
              <w:rPr>
                <w:rFonts w:ascii="Verdana" w:eastAsia="Calibri" w:hAnsi="Verdana" w:cs="Arial"/>
              </w:rPr>
              <w:t>Ahora bien, de conformidad con el numeral 4 del artículo 2.2.1.2.4.2.6, se consideran emprendimientos o empresas de personas con discapacidad las personas jurídicas que tengan vinculada laboralmente al menos una (1) persona con discapacidad en un empleo del nivel directivo durante, por lo menos, el año anterior a la fecha de cierre del proceso de selección, ya sea en el mismo cargo o en otro del mismo nivel. La norma precisa que los empleos del nivel directivo son aquellos cuyas funciones se relacionan con la dirección de áreas misionales de la empresa y la adopción de decisiones estratégicas. En consecuencia, se trata de cargos ubicados en los niveles superiores de la estructura organizacional o que, por su jerarquía, impliquen funciones de representación del empleador.</w:t>
            </w:r>
          </w:p>
          <w:p w14:paraId="181315D6" w14:textId="77777777" w:rsidR="00D86808" w:rsidRDefault="00D86808" w:rsidP="00D86808">
            <w:pPr>
              <w:spacing w:before="120" w:after="120" w:line="276" w:lineRule="auto"/>
              <w:ind w:firstLine="709"/>
              <w:jc w:val="both"/>
              <w:rPr>
                <w:rFonts w:ascii="Verdana" w:eastAsia="Calibri" w:hAnsi="Verdana" w:cs="Arial"/>
              </w:rPr>
            </w:pPr>
            <w:r w:rsidRPr="00D86808">
              <w:rPr>
                <w:rFonts w:ascii="Verdana" w:eastAsia="Calibri" w:hAnsi="Verdana" w:cs="Arial"/>
              </w:rPr>
              <w:t xml:space="preserve">De acuerdo con el inciso cuarto del citado numeral, esta circunstancia debe acreditarse mediante certificación expedida por el representante legal y el revisor fiscal, cuando exista, o por el contador, en la que se identifique a las personas con discapacidad que ocupan cargos del nivel directivo y se indique el tiempo de vinculación correspondiente. Por tanto, el proponente que acredite esta condición podrá acceder al puntaje adicional previsto en el </w:t>
            </w:r>
            <w:r w:rsidRPr="00D86808">
              <w:rPr>
                <w:rFonts w:ascii="Verdana" w:eastAsia="Calibri" w:hAnsi="Verdana" w:cs="Arial"/>
              </w:rPr>
              <w:lastRenderedPageBreak/>
              <w:t>artículo 2.2.1.2.4.2.7.4 del Decreto 1082 de 2015, conforme con lo dispuesto en el numeral 1 de dicha disposición.</w:t>
            </w:r>
          </w:p>
          <w:p w14:paraId="37E59A33" w14:textId="5DCB2DDC" w:rsidR="004D24BB" w:rsidRDefault="008A0B3E" w:rsidP="00D86808">
            <w:pPr>
              <w:spacing w:before="120" w:after="120" w:line="276" w:lineRule="auto"/>
              <w:ind w:firstLine="709"/>
              <w:jc w:val="both"/>
              <w:rPr>
                <w:rFonts w:ascii="Verdana" w:eastAsia="Calibri" w:hAnsi="Verdana" w:cs="Arial"/>
              </w:rPr>
            </w:pPr>
            <w:r>
              <w:rPr>
                <w:rFonts w:ascii="Verdana" w:eastAsia="Calibri" w:hAnsi="Verdana" w:cs="Arial"/>
              </w:rPr>
              <w:t xml:space="preserve">En ese sentido, sobre su pregunta sobre si </w:t>
            </w:r>
            <w:r w:rsidR="00EB5375">
              <w:rPr>
                <w:rFonts w:ascii="Verdana" w:eastAsia="Calibri" w:hAnsi="Verdana" w:cs="Arial"/>
              </w:rPr>
              <w:t>la certificación señalada es suficiente y qu</w:t>
            </w:r>
            <w:r w:rsidR="008F6E82">
              <w:rPr>
                <w:rFonts w:ascii="Verdana" w:eastAsia="Calibri" w:hAnsi="Verdana" w:cs="Arial"/>
              </w:rPr>
              <w:t>é</w:t>
            </w:r>
            <w:r w:rsidR="00EB5375">
              <w:rPr>
                <w:rFonts w:ascii="Verdana" w:eastAsia="Calibri" w:hAnsi="Verdana" w:cs="Arial"/>
              </w:rPr>
              <w:t xml:space="preserve"> otros documentos se deben solicitar, el mencionado artículo dispone que: </w:t>
            </w:r>
          </w:p>
          <w:p w14:paraId="5A12ADA5" w14:textId="4A3394F0" w:rsidR="008A0B3E" w:rsidRDefault="00EB5375" w:rsidP="004D24BB">
            <w:pPr>
              <w:spacing w:before="120" w:after="120"/>
              <w:ind w:left="709" w:right="709"/>
              <w:jc w:val="both"/>
              <w:rPr>
                <w:rFonts w:ascii="Verdana" w:eastAsia="Times New Roman" w:hAnsi="Verdana" w:cs="Times New Roman"/>
                <w:i/>
                <w:iCs/>
                <w:sz w:val="21"/>
                <w:szCs w:val="21"/>
              </w:rPr>
            </w:pPr>
            <w:r w:rsidRPr="004D24BB">
              <w:rPr>
                <w:rFonts w:ascii="Verdana" w:eastAsia="Times New Roman" w:hAnsi="Verdana" w:cs="Times New Roman"/>
                <w:i/>
                <w:iCs/>
                <w:sz w:val="21"/>
                <w:szCs w:val="21"/>
              </w:rPr>
              <w:t>“</w:t>
            </w:r>
            <w:r w:rsidR="004D24BB" w:rsidRPr="004D24BB">
              <w:rPr>
                <w:rFonts w:ascii="Verdana" w:eastAsia="Times New Roman" w:hAnsi="Verdana" w:cs="Times New Roman"/>
                <w:i/>
                <w:iCs/>
                <w:sz w:val="21"/>
                <w:szCs w:val="21"/>
              </w:rPr>
              <w:t>(…) La certificación deberá relacionar el nombre completo y el número de documento de identidad de las personas con discapacidad que ocupan cargos de nivel directivo del proponente. Como soporte, se anexará copia de los respectivos documentos de identidad, copia de los contratos de trabajo o certificación laboral con las funciones, así como el certificado de aportes a seguridad social del último año en el que se demuestren los pagos realizados por el empleador, y el certificado de discapacidad expedido de acuerdo con la normativa del Ministerio de Salud y Protección Social”.</w:t>
            </w:r>
          </w:p>
          <w:p w14:paraId="0293C9FC" w14:textId="474AD724" w:rsidR="008F6E82" w:rsidRPr="00216F92" w:rsidRDefault="008F6E82" w:rsidP="00216F92">
            <w:pPr>
              <w:spacing w:before="120" w:after="120" w:line="276" w:lineRule="auto"/>
              <w:ind w:firstLine="709"/>
              <w:jc w:val="both"/>
              <w:rPr>
                <w:rFonts w:ascii="Verdana" w:eastAsia="Calibri" w:hAnsi="Verdana" w:cs="Arial"/>
              </w:rPr>
            </w:pPr>
            <w:r w:rsidRPr="00216F92">
              <w:rPr>
                <w:rFonts w:ascii="Verdana" w:eastAsia="Calibri" w:hAnsi="Verdana" w:cs="Arial"/>
              </w:rPr>
              <w:t>De acuerdo con esto</w:t>
            </w:r>
            <w:r w:rsidR="00216F92">
              <w:rPr>
                <w:rFonts w:ascii="Verdana" w:eastAsia="Calibri" w:hAnsi="Verdana" w:cs="Arial"/>
              </w:rPr>
              <w:t xml:space="preserve">, la certificación </w:t>
            </w:r>
            <w:r w:rsidR="00216F92" w:rsidRPr="00D86808">
              <w:rPr>
                <w:rFonts w:ascii="Verdana" w:eastAsia="Calibri" w:hAnsi="Verdana" w:cs="Arial"/>
              </w:rPr>
              <w:t>expedida por el representante legal y el revisor fiscal, cuando exista, o por el contador,</w:t>
            </w:r>
            <w:r w:rsidR="00216F92">
              <w:rPr>
                <w:rFonts w:ascii="Verdana" w:eastAsia="Calibri" w:hAnsi="Verdana" w:cs="Arial"/>
              </w:rPr>
              <w:t xml:space="preserve"> no es suficiente ya que se requieren documentos adicionales, y </w:t>
            </w:r>
            <w:r w:rsidR="001A5B82">
              <w:rPr>
                <w:rFonts w:ascii="Verdana" w:eastAsia="Calibri" w:hAnsi="Verdana" w:cs="Arial"/>
              </w:rPr>
              <w:t xml:space="preserve">en ese certificado </w:t>
            </w:r>
            <w:r w:rsidR="00E7663F">
              <w:rPr>
                <w:rFonts w:ascii="Verdana" w:eastAsia="Calibri" w:hAnsi="Verdana" w:cs="Arial"/>
              </w:rPr>
              <w:t>no se deben indicar las funciones debido a que estas estarán en los contratos laborales o en la certificación laboral con funciones</w:t>
            </w:r>
            <w:r w:rsidR="007877A0">
              <w:rPr>
                <w:rFonts w:ascii="Verdana" w:eastAsia="Calibri" w:hAnsi="Verdana" w:cs="Arial"/>
              </w:rPr>
              <w:t xml:space="preserve">, </w:t>
            </w:r>
            <w:r w:rsidR="00502BF1">
              <w:rPr>
                <w:rFonts w:ascii="Verdana" w:eastAsia="Calibri" w:hAnsi="Verdana" w:cs="Arial"/>
              </w:rPr>
              <w:t>según</w:t>
            </w:r>
            <w:r w:rsidR="007877A0">
              <w:rPr>
                <w:rFonts w:ascii="Verdana" w:eastAsia="Calibri" w:hAnsi="Verdana" w:cs="Arial"/>
              </w:rPr>
              <w:t xml:space="preserve"> la literalidad de la norma citada</w:t>
            </w:r>
            <w:r w:rsidR="00E7663F">
              <w:rPr>
                <w:rFonts w:ascii="Verdana" w:eastAsia="Calibri" w:hAnsi="Verdana" w:cs="Arial"/>
              </w:rPr>
              <w:t>.</w:t>
            </w:r>
          </w:p>
          <w:p w14:paraId="06E9F8DA" w14:textId="21171AA0" w:rsidR="00967A1E" w:rsidRDefault="00967A1E" w:rsidP="00967A1E">
            <w:pPr>
              <w:spacing w:before="120" w:after="120" w:line="276" w:lineRule="auto"/>
              <w:ind w:firstLine="709"/>
              <w:jc w:val="both"/>
              <w:rPr>
                <w:rFonts w:ascii="Verdana" w:eastAsia="Calibri" w:hAnsi="Verdana" w:cs="Arial"/>
              </w:rPr>
            </w:pPr>
            <w:r>
              <w:rPr>
                <w:rFonts w:ascii="Verdana" w:eastAsia="Calibri" w:hAnsi="Verdana" w:cs="Arial"/>
              </w:rPr>
              <w:t xml:space="preserve">Por </w:t>
            </w:r>
            <w:r w:rsidR="00390BAD">
              <w:rPr>
                <w:rFonts w:ascii="Verdana" w:eastAsia="Calibri" w:hAnsi="Verdana" w:cs="Arial"/>
              </w:rPr>
              <w:t>otra parte</w:t>
            </w:r>
            <w:r>
              <w:rPr>
                <w:rFonts w:ascii="Verdana" w:eastAsia="Calibri" w:hAnsi="Verdana" w:cs="Arial"/>
              </w:rPr>
              <w:t>, respecto de su pregunta sobre controlar que las personas con discapacidad pertenezcan al nivel directivo</w:t>
            </w:r>
            <w:r w:rsidR="0093530E">
              <w:rPr>
                <w:rFonts w:ascii="Verdana" w:eastAsia="Calibri" w:hAnsi="Verdana" w:cs="Arial"/>
              </w:rPr>
              <w:t xml:space="preserve"> y que ejerzan realmente esas funciones</w:t>
            </w:r>
            <w:r>
              <w:rPr>
                <w:rFonts w:ascii="Verdana" w:eastAsia="Calibri" w:hAnsi="Verdana" w:cs="Arial"/>
              </w:rPr>
              <w:t xml:space="preserve">, la entidad contratante es la encargada de verificar con los documentos señalados </w:t>
            </w:r>
            <w:r w:rsidR="00944456">
              <w:rPr>
                <w:rFonts w:ascii="Verdana" w:eastAsia="Calibri" w:hAnsi="Verdana" w:cs="Arial"/>
              </w:rPr>
              <w:t xml:space="preserve">anteriormente, que </w:t>
            </w:r>
            <w:r w:rsidR="00937535">
              <w:rPr>
                <w:rFonts w:ascii="Verdana" w:eastAsia="Calibri" w:hAnsi="Verdana" w:cs="Arial"/>
              </w:rPr>
              <w:t>la persona con discapacidad si ejerza el cargo de nivel directivo</w:t>
            </w:r>
            <w:r w:rsidR="006365B8">
              <w:rPr>
                <w:rFonts w:ascii="Verdana" w:eastAsia="Calibri" w:hAnsi="Verdana" w:cs="Arial"/>
              </w:rPr>
              <w:t xml:space="preserve"> teniendo en cuenta que:</w:t>
            </w:r>
          </w:p>
          <w:p w14:paraId="595C1AF4" w14:textId="267E9D8A" w:rsidR="00F709A9" w:rsidRPr="00F709A9" w:rsidRDefault="006365B8" w:rsidP="00F709A9">
            <w:pPr>
              <w:spacing w:before="120" w:after="120"/>
              <w:ind w:left="709" w:right="709"/>
              <w:jc w:val="both"/>
              <w:rPr>
                <w:rFonts w:ascii="Verdana" w:eastAsia="Times New Roman" w:hAnsi="Verdana" w:cs="Times New Roman"/>
                <w:i/>
                <w:iCs/>
                <w:sz w:val="21"/>
                <w:szCs w:val="21"/>
              </w:rPr>
            </w:pPr>
            <w:r w:rsidRPr="00F709A9">
              <w:rPr>
                <w:rFonts w:ascii="Verdana" w:eastAsia="Times New Roman" w:hAnsi="Verdana" w:cs="Times New Roman"/>
                <w:i/>
                <w:iCs/>
                <w:sz w:val="21"/>
                <w:szCs w:val="21"/>
              </w:rPr>
              <w:t>“</w:t>
            </w:r>
            <w:r w:rsidR="00F709A9" w:rsidRPr="00F709A9">
              <w:rPr>
                <w:rFonts w:ascii="Verdana" w:eastAsia="Times New Roman" w:hAnsi="Verdana" w:cs="Times New Roman"/>
                <w:i/>
                <w:iCs/>
                <w:sz w:val="21"/>
                <w:szCs w:val="21"/>
              </w:rPr>
              <w:t>(…) Sobre la definición de empleo del nivel directivo es de indicar que, este depende de las funciones y de la organización interna de la persona jurídica, es decir, que la PcD debe, en ejercicio de su cargo, tomar decisiones estratégicas, dirigir áreas misionales o la posibilidad de representar al empleador que tenga la PcD.</w:t>
            </w:r>
          </w:p>
          <w:p w14:paraId="6AD184F8" w14:textId="05F12FB0" w:rsidR="006365B8" w:rsidRDefault="00F709A9" w:rsidP="00F709A9">
            <w:pPr>
              <w:spacing w:before="120" w:after="120"/>
              <w:ind w:left="709" w:right="709"/>
              <w:jc w:val="both"/>
              <w:rPr>
                <w:rFonts w:ascii="Verdana" w:eastAsia="Times New Roman" w:hAnsi="Verdana" w:cs="Times New Roman"/>
                <w:i/>
                <w:iCs/>
                <w:sz w:val="21"/>
                <w:szCs w:val="21"/>
              </w:rPr>
            </w:pPr>
            <w:r w:rsidRPr="00F709A9">
              <w:rPr>
                <w:rFonts w:ascii="Verdana" w:eastAsia="Times New Roman" w:hAnsi="Verdana" w:cs="Times New Roman"/>
                <w:i/>
                <w:iCs/>
                <w:sz w:val="21"/>
                <w:szCs w:val="21"/>
              </w:rPr>
              <w:t>Esto se acreditará con los documentos enlistados en la norma, y particularmente con el certificado del representante legal, revisor fiscal o contador acompañada de certificación laboral o copia del contrato laboral, y los aportes a seguridad social del último año, los cuales deberán acreditar con suficiencia la condición exigida”</w:t>
            </w:r>
            <w:r w:rsidR="006C5A43">
              <w:rPr>
                <w:rStyle w:val="Refdenotaalpie"/>
                <w:rFonts w:ascii="Verdana" w:eastAsia="Times New Roman" w:hAnsi="Verdana" w:cs="Times New Roman"/>
                <w:i/>
                <w:iCs/>
                <w:sz w:val="21"/>
                <w:szCs w:val="21"/>
              </w:rPr>
              <w:footnoteReference w:id="1"/>
            </w:r>
            <w:r w:rsidRPr="00F709A9">
              <w:rPr>
                <w:rFonts w:ascii="Verdana" w:eastAsia="Times New Roman" w:hAnsi="Verdana" w:cs="Times New Roman"/>
                <w:i/>
                <w:iCs/>
                <w:sz w:val="21"/>
                <w:szCs w:val="21"/>
              </w:rPr>
              <w:t>.</w:t>
            </w:r>
          </w:p>
          <w:p w14:paraId="01BEF69F" w14:textId="431C1924" w:rsidR="008372F9" w:rsidRDefault="008372F9" w:rsidP="008372F9">
            <w:pPr>
              <w:spacing w:before="120" w:after="120" w:line="276" w:lineRule="auto"/>
              <w:ind w:firstLine="709"/>
              <w:jc w:val="both"/>
              <w:rPr>
                <w:rFonts w:ascii="Verdana" w:eastAsia="Calibri" w:hAnsi="Verdana" w:cs="Arial"/>
              </w:rPr>
            </w:pPr>
            <w:r>
              <w:rPr>
                <w:rFonts w:ascii="Verdana" w:eastAsia="Calibri" w:hAnsi="Verdana" w:cs="Arial"/>
              </w:rPr>
              <w:lastRenderedPageBreak/>
              <w:t>En ese sentido, respecto de su pregunta sobre la</w:t>
            </w:r>
            <w:r w:rsidR="00D06500">
              <w:rPr>
                <w:rFonts w:ascii="Verdana" w:eastAsia="Calibri" w:hAnsi="Verdana" w:cs="Arial"/>
              </w:rPr>
              <w:t xml:space="preserve"> posibilidad de solicitar otros documentos, </w:t>
            </w:r>
            <w:r>
              <w:rPr>
                <w:rFonts w:ascii="Verdana" w:eastAsia="Calibri" w:hAnsi="Verdana" w:cs="Arial"/>
              </w:rPr>
              <w:t>el</w:t>
            </w:r>
            <w:r w:rsidRPr="00D86808">
              <w:rPr>
                <w:rFonts w:ascii="Verdana" w:eastAsia="Calibri" w:hAnsi="Verdana" w:cs="Arial"/>
              </w:rPr>
              <w:t xml:space="preserve"> numeral 4 del artículo 2.2.1.2.4.2.6</w:t>
            </w:r>
            <w:r w:rsidR="00AF0737">
              <w:rPr>
                <w:rFonts w:ascii="Verdana" w:eastAsia="Calibri" w:hAnsi="Verdana" w:cs="Arial"/>
              </w:rPr>
              <w:t xml:space="preserve"> no plantea esa opción, por lo que la entidad debe regirse por lo dispuesto en la norma.</w:t>
            </w:r>
            <w:r w:rsidR="00E1648E">
              <w:rPr>
                <w:rFonts w:ascii="Verdana" w:eastAsia="Calibri" w:hAnsi="Verdana" w:cs="Arial"/>
              </w:rPr>
              <w:t xml:space="preserve"> Asimismo,</w:t>
            </w:r>
            <w:r>
              <w:rPr>
                <w:rFonts w:ascii="Verdana" w:eastAsia="Calibri" w:hAnsi="Verdana" w:cs="Arial"/>
              </w:rPr>
              <w:t xml:space="preserve"> cuando</w:t>
            </w:r>
            <w:r w:rsidR="00E1648E">
              <w:rPr>
                <w:rFonts w:ascii="Verdana" w:eastAsia="Calibri" w:hAnsi="Verdana" w:cs="Arial"/>
              </w:rPr>
              <w:t xml:space="preserve"> se</w:t>
            </w:r>
            <w:r>
              <w:rPr>
                <w:rFonts w:ascii="Verdana" w:eastAsia="Calibri" w:hAnsi="Verdana" w:cs="Arial"/>
              </w:rPr>
              <w:t xml:space="preserve"> menciona: “(…)</w:t>
            </w:r>
            <w:r w:rsidRPr="00AB7849">
              <w:rPr>
                <w:rFonts w:ascii="Verdana" w:eastAsia="Calibri" w:hAnsi="Verdana" w:cs="Arial"/>
              </w:rPr>
              <w:t xml:space="preserve"> ubicados en un nivel de mando o los que por su jerarquía desempeñan cargos encaminados al cumplimiento de funciones orientadas a representar al empleador</w:t>
            </w:r>
            <w:r>
              <w:rPr>
                <w:rFonts w:ascii="Verdana" w:eastAsia="Calibri" w:hAnsi="Verdana" w:cs="Arial"/>
              </w:rPr>
              <w:t>”, es necesario precisar que esto hace mención de supuestos de hecho diferentes, es decir, el nivel directivo será quienes tengan un nivel de mando o quienes representen al empleador, siendo posible que ambos concurran en una misma persona, pero la ley no exige que coincidan sino que la persona con discapacidad cuente con nivel de mando o represente al empleador.</w:t>
            </w:r>
          </w:p>
          <w:p w14:paraId="1607E7A3" w14:textId="77777777" w:rsidR="008372F9" w:rsidRPr="00D86808" w:rsidRDefault="008372F9" w:rsidP="008372F9">
            <w:pPr>
              <w:spacing w:before="120" w:after="120" w:line="276" w:lineRule="auto"/>
              <w:ind w:firstLine="709"/>
              <w:jc w:val="both"/>
              <w:rPr>
                <w:rFonts w:ascii="Verdana" w:eastAsia="Calibri" w:hAnsi="Verdana" w:cs="Arial"/>
              </w:rPr>
            </w:pPr>
            <w:r>
              <w:rPr>
                <w:rFonts w:ascii="Verdana" w:eastAsia="Calibri" w:hAnsi="Verdana" w:cs="Arial"/>
              </w:rPr>
              <w:t xml:space="preserve">Ahora bien, sobre la denominación del cargo para efectos de acreditar la condición del </w:t>
            </w:r>
            <w:r w:rsidRPr="00D86808">
              <w:rPr>
                <w:rFonts w:ascii="Verdana" w:eastAsia="Calibri" w:hAnsi="Verdana" w:cs="Arial"/>
              </w:rPr>
              <w:t>numeral 4 del artículo 2.2.1.2.4.2.6</w:t>
            </w:r>
            <w:r>
              <w:rPr>
                <w:rFonts w:ascii="Verdana" w:eastAsia="Calibri" w:hAnsi="Verdana" w:cs="Arial"/>
              </w:rPr>
              <w:t>, es necesario aclarar que por autonomía empresarial, las empresas pueden organizarse internamente según lo consideren pertinente, no obstante, se aclara que el cumplimiento de la condición mencionada por la norma depende de que el cargo de nivel directivo cuente con las características de: i) dirigir áreas misionales de la empresa, ii) tomar decisiones a nivel estratégico, y iii) ubicarse en un nivel de mando o tener funciones orientadas a representar al empleador.</w:t>
            </w:r>
          </w:p>
          <w:p w14:paraId="731668A8" w14:textId="77777777" w:rsidR="001E2340" w:rsidRDefault="00D86808" w:rsidP="0049195E">
            <w:pPr>
              <w:spacing w:before="120" w:after="120" w:line="276" w:lineRule="auto"/>
              <w:ind w:firstLine="709"/>
              <w:jc w:val="both"/>
              <w:rPr>
                <w:rFonts w:ascii="Verdana" w:eastAsia="Calibri" w:hAnsi="Verdana" w:cs="Arial"/>
              </w:rPr>
            </w:pPr>
            <w:r w:rsidRPr="00D86808">
              <w:rPr>
                <w:rFonts w:ascii="Verdana" w:eastAsia="Calibri" w:hAnsi="Verdana" w:cs="Arial"/>
              </w:rPr>
              <w:t xml:space="preserve">Sin perjuicio de lo anterior, cuando la persona con discapacidad vinculada no ocupe un cargo del nivel directivo en los términos del numeral 4 del artículo 2.2.1.2.4.2.6, el proponente podrá verificar la procedencia del puntaje con fundamento en el numeral 2 del artículo 2.2.1.2.4.2.7.4. En este evento, deberá determinar el rango en el que se ubica su planta de personal para establecer el número mínimo de personas con discapacidad que deben encontrarse vinculadas laboralmente. </w:t>
            </w:r>
          </w:p>
          <w:p w14:paraId="6693E86F" w14:textId="1E8AC614" w:rsidR="0049195E" w:rsidRDefault="00A722F7" w:rsidP="0049195E">
            <w:pPr>
              <w:spacing w:before="120" w:after="120" w:line="276" w:lineRule="auto"/>
              <w:ind w:firstLine="709"/>
              <w:jc w:val="both"/>
              <w:rPr>
                <w:rFonts w:ascii="Verdana" w:eastAsia="Calibri" w:hAnsi="Verdana" w:cs="Arial"/>
              </w:rPr>
            </w:pPr>
            <w:r>
              <w:rPr>
                <w:rFonts w:ascii="Verdana" w:eastAsia="Calibri" w:hAnsi="Verdana" w:cs="Arial"/>
              </w:rPr>
              <w:t xml:space="preserve">Por tanto, respecto de su pregunta sobre la diferencia entre ser emprendimiento y empresa de persona con discapacidad y ser empleador de </w:t>
            </w:r>
            <w:r w:rsidR="00FD5FED">
              <w:rPr>
                <w:rFonts w:ascii="Verdana" w:eastAsia="Calibri" w:hAnsi="Verdana" w:cs="Arial"/>
              </w:rPr>
              <w:t xml:space="preserve">personas con discapacidad para la aplicación del puntaje señalado por la norma, </w:t>
            </w:r>
            <w:r w:rsidR="001E2340">
              <w:rPr>
                <w:rFonts w:ascii="Verdana" w:eastAsia="Calibri" w:hAnsi="Verdana" w:cs="Arial"/>
              </w:rPr>
              <w:t xml:space="preserve">la respuesta es que si son supuestos de hecho diferentes y están regulados en artículos diferentes a pesar de que en la aplicación del puntaje se hace referencia a la definición de emprendimiento y empresa de persona con discapacidad del artículo </w:t>
            </w:r>
            <w:r w:rsidR="001E2340" w:rsidRPr="00D86808">
              <w:rPr>
                <w:rFonts w:ascii="Verdana" w:eastAsia="Calibri" w:hAnsi="Verdana" w:cs="Arial"/>
              </w:rPr>
              <w:t>2.2.1.2.4.2.6</w:t>
            </w:r>
            <w:r w:rsidR="00181E97">
              <w:rPr>
                <w:rFonts w:ascii="Verdana" w:eastAsia="Calibri" w:hAnsi="Verdana" w:cs="Arial"/>
              </w:rPr>
              <w:t>,</w:t>
            </w:r>
            <w:r w:rsidR="00400B55">
              <w:rPr>
                <w:rFonts w:ascii="Verdana" w:eastAsia="Calibri" w:hAnsi="Verdana" w:cs="Arial"/>
              </w:rPr>
              <w:t xml:space="preserve"> y que este mismo artículo en su </w:t>
            </w:r>
            <w:r w:rsidR="00400B55">
              <w:rPr>
                <w:rFonts w:ascii="Verdana" w:eastAsia="Calibri" w:hAnsi="Verdana" w:cs="Arial"/>
              </w:rPr>
              <w:lastRenderedPageBreak/>
              <w:t xml:space="preserve">numeral 4 </w:t>
            </w:r>
            <w:r w:rsidR="00181E97">
              <w:rPr>
                <w:rFonts w:ascii="Verdana" w:eastAsia="Calibri" w:hAnsi="Verdana" w:cs="Arial"/>
              </w:rPr>
              <w:t>se podría entender como empleador de personas con discapacidad en el nivel directivo</w:t>
            </w:r>
            <w:r w:rsidR="00ED16CC">
              <w:rPr>
                <w:rFonts w:ascii="Verdana" w:eastAsia="Calibri" w:hAnsi="Verdana" w:cs="Arial"/>
              </w:rPr>
              <w:t>,</w:t>
            </w:r>
            <w:r w:rsidR="003A0D4B">
              <w:rPr>
                <w:rFonts w:ascii="Verdana" w:eastAsia="Calibri" w:hAnsi="Verdana" w:cs="Arial"/>
              </w:rPr>
              <w:t xml:space="preserve"> es diferente porque el empleador de personas con discapacidad debe cumplir con la tabla de la norma,</w:t>
            </w:r>
            <w:r w:rsidR="007D3D74">
              <w:rPr>
                <w:rFonts w:ascii="Verdana" w:eastAsia="Calibri" w:hAnsi="Verdana" w:cs="Arial"/>
              </w:rPr>
              <w:t xml:space="preserve"> es decir, tener más de 2 personas con discapacidad vinculadas y no solo una, dependiendo el tamaño de su planta de personal,</w:t>
            </w:r>
            <w:r w:rsidR="00ED16CC">
              <w:rPr>
                <w:rFonts w:ascii="Verdana" w:eastAsia="Calibri" w:hAnsi="Verdana" w:cs="Arial"/>
              </w:rPr>
              <w:t xml:space="preserve"> ya que en caso de que se cumpla una de las dos condiciones para la obtención del puntaje o ambas,</w:t>
            </w:r>
            <w:r w:rsidR="00C27D1C">
              <w:rPr>
                <w:rFonts w:ascii="Verdana" w:eastAsia="Calibri" w:hAnsi="Verdana" w:cs="Arial"/>
              </w:rPr>
              <w:t xml:space="preserve"> esto es, ser empleador de personas con discapacidad o ser emprendimiento y empresa de personas con discapacidad,</w:t>
            </w:r>
            <w:r w:rsidR="00ED16CC">
              <w:rPr>
                <w:rFonts w:ascii="Verdana" w:eastAsia="Calibri" w:hAnsi="Verdana" w:cs="Arial"/>
              </w:rPr>
              <w:t xml:space="preserve"> el proponente tendrá derecho a obtener</w:t>
            </w:r>
            <w:r w:rsidR="007551B3">
              <w:rPr>
                <w:rFonts w:ascii="Verdana" w:eastAsia="Calibri" w:hAnsi="Verdana" w:cs="Arial"/>
              </w:rPr>
              <w:t xml:space="preserve"> únicamente</w:t>
            </w:r>
            <w:r w:rsidR="00ED16CC">
              <w:rPr>
                <w:rFonts w:ascii="Verdana" w:eastAsia="Calibri" w:hAnsi="Verdana" w:cs="Arial"/>
              </w:rPr>
              <w:t xml:space="preserve"> el 2% de los puntos del proceso de selección</w:t>
            </w:r>
            <w:r w:rsidR="007551B3">
              <w:rPr>
                <w:rFonts w:ascii="Verdana" w:eastAsia="Calibri" w:hAnsi="Verdana" w:cs="Arial"/>
              </w:rPr>
              <w:t>, sin que sea acumulable</w:t>
            </w:r>
            <w:r w:rsidR="00ED16CC">
              <w:rPr>
                <w:rFonts w:ascii="Verdana" w:eastAsia="Calibri" w:hAnsi="Verdana" w:cs="Arial"/>
              </w:rPr>
              <w:t xml:space="preserve">. </w:t>
            </w:r>
            <w:r w:rsidR="001E2340">
              <w:rPr>
                <w:rFonts w:ascii="Verdana" w:eastAsia="Calibri" w:hAnsi="Verdana" w:cs="Arial"/>
              </w:rPr>
              <w:t xml:space="preserve"> </w:t>
            </w:r>
          </w:p>
          <w:p w14:paraId="281F9600" w14:textId="54F53553" w:rsidR="00502E25" w:rsidRDefault="00502E25" w:rsidP="00502E25">
            <w:pPr>
              <w:spacing w:before="120" w:line="276" w:lineRule="auto"/>
              <w:ind w:firstLine="709"/>
              <w:jc w:val="both"/>
              <w:rPr>
                <w:rFonts w:ascii="Verdana" w:hAnsi="Verdana" w:cs="Arial"/>
                <w:color w:val="000000" w:themeColor="text1"/>
                <w:lang w:val="es-ES_tradnl"/>
              </w:rPr>
            </w:pPr>
            <w:r w:rsidRPr="001920E4">
              <w:rPr>
                <w:rFonts w:ascii="Verdana" w:eastAsia="Arial" w:hAnsi="Verdana" w:cs="Arial"/>
              </w:rPr>
              <w:t xml:space="preserve">Al margen de lo anterior, debe advertirse que el análisis sobre la </w:t>
            </w:r>
            <w:r w:rsidR="0074524D">
              <w:rPr>
                <w:rFonts w:ascii="Verdana" w:eastAsia="Arial" w:hAnsi="Verdana" w:cs="Arial"/>
              </w:rPr>
              <w:t xml:space="preserve">responsabilidad de quienes suscriben documentos </w:t>
            </w:r>
            <w:r w:rsidRPr="001920E4">
              <w:rPr>
                <w:rFonts w:ascii="Verdana" w:eastAsia="Arial" w:hAnsi="Verdana" w:cs="Arial"/>
              </w:rPr>
              <w:t xml:space="preserve">de las ofertas al interior de los procedimientos de selección debe ser realizado por quienes tengan interés en ello, de acuerdo con lo explicado </w:t>
            </w:r>
            <w:r>
              <w:rPr>
                <w:rFonts w:ascii="Verdana" w:eastAsia="Arial" w:hAnsi="Verdana" w:cs="Arial"/>
              </w:rPr>
              <w:t>en el</w:t>
            </w:r>
            <w:r w:rsidRPr="001920E4">
              <w:rPr>
                <w:rFonts w:ascii="Verdana" w:eastAsia="Arial" w:hAnsi="Verdana" w:cs="Arial"/>
              </w:rPr>
              <w:t xml:space="preserve">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  </w:t>
            </w:r>
          </w:p>
          <w:p w14:paraId="5ECA410F" w14:textId="77777777" w:rsidR="00502E25" w:rsidRDefault="00502E25" w:rsidP="00502E25">
            <w:pPr>
              <w:spacing w:before="120" w:line="276" w:lineRule="auto"/>
              <w:ind w:firstLine="709"/>
              <w:jc w:val="both"/>
              <w:rPr>
                <w:rFonts w:ascii="Verdana" w:eastAsia="Arial" w:hAnsi="Verdana" w:cs="Arial"/>
                <w:bCs/>
              </w:rPr>
            </w:pPr>
            <w:r w:rsidRPr="001920E4">
              <w:rPr>
                <w:rFonts w:ascii="Verdana" w:eastAsia="Arial" w:hAnsi="Verdana" w:cs="Arial"/>
                <w:bCs/>
              </w:rPr>
              <w:t>De esta manera, al tratarse de un análisis que se debe realizar en cada caso concreto, la Agencia, por vía consultiva, no puede definir un criterio universal y absoluto, sino que brinda elementos hermenéuticos de carácter general para que los partícipes del sistema de compras y contratación pública adopten la decisión que corresponda, lo cual es acorde con el principio de juridicidad. Por lo anterior, previo concepto de sus órganos asesores, la solución de casos particulares corresponde a la entidad que debe adoptar la decisión correspondiente para atender las necesidades de la Entidad Pública.</w:t>
            </w:r>
          </w:p>
          <w:p w14:paraId="5B716698" w14:textId="6CF6EDDA" w:rsidR="00894018" w:rsidRDefault="00894018" w:rsidP="00894018">
            <w:pPr>
              <w:spacing w:before="120" w:after="120" w:line="276" w:lineRule="auto"/>
              <w:ind w:firstLine="709"/>
              <w:jc w:val="both"/>
              <w:rPr>
                <w:rFonts w:ascii="Verdana" w:eastAsia="Calibri" w:hAnsi="Verdana" w:cs="Arial"/>
                <w:lang w:val="es-ES"/>
              </w:rPr>
            </w:pPr>
            <w:r w:rsidRPr="00775D32">
              <w:rPr>
                <w:rFonts w:ascii="Verdana" w:eastAsia="Calibri" w:hAnsi="Verdana" w:cs="Arial"/>
              </w:rPr>
              <w:t xml:space="preserve">Finalmente, </w:t>
            </w:r>
            <w:r w:rsidRPr="00775D32">
              <w:rPr>
                <w:rFonts w:ascii="Verdana" w:eastAsia="Calibri" w:hAnsi="Verdana" w:cs="Arial"/>
                <w:lang w:val="es-ES"/>
              </w:rPr>
              <w:t>la Agencia Nacional de Contratación Pública – Colombia Compra Eficiente– como ente rector y en su función de brindar lineamientos para los partícipes del sistema de compras y contratación pública, ha expedido</w:t>
            </w:r>
            <w:r w:rsidR="002960E3">
              <w:rPr>
                <w:rFonts w:ascii="Verdana" w:eastAsia="Calibri" w:hAnsi="Verdana" w:cs="Arial"/>
                <w:lang w:val="es-ES"/>
              </w:rPr>
              <w:t xml:space="preserve"> los siguientes documentos, sin que hasta el momento se tenga</w:t>
            </w:r>
            <w:r w:rsidR="00743B09">
              <w:rPr>
                <w:rFonts w:ascii="Verdana" w:eastAsia="Calibri" w:hAnsi="Verdana" w:cs="Arial"/>
                <w:lang w:val="es-ES"/>
              </w:rPr>
              <w:t>n previstos otros al respecto:</w:t>
            </w:r>
            <w:r w:rsidRPr="00775D32">
              <w:rPr>
                <w:rFonts w:ascii="Verdana" w:eastAsia="Calibri" w:hAnsi="Verdana" w:cs="Arial"/>
                <w:lang w:val="es-ES"/>
              </w:rPr>
              <w:t xml:space="preserve"> el ABC del Decreto 287 de 2026 disponible en: </w:t>
            </w:r>
            <w:hyperlink r:id="rId13" w:history="1">
              <w:r w:rsidRPr="00775D32">
                <w:rPr>
                  <w:rStyle w:val="Hipervnculo"/>
                  <w:rFonts w:ascii="Verdana" w:eastAsia="Calibri" w:hAnsi="Verdana" w:cs="Arial"/>
                  <w:lang w:val="es-ES"/>
                </w:rPr>
                <w:t>https://www.colombiacompra.gov.co/archivos/infografia/abc-del-decreto-0287-de-2026-contratacion-publica-inclusiva-para-personas-con-discapacidad</w:t>
              </w:r>
            </w:hyperlink>
            <w:r w:rsidRPr="00775D32">
              <w:rPr>
                <w:rFonts w:ascii="Verdana" w:eastAsia="Calibri" w:hAnsi="Verdana" w:cs="Arial"/>
                <w:lang w:val="es-ES"/>
              </w:rPr>
              <w:t xml:space="preserve"> con el fin de apoyar su implementación, y de la misma manera </w:t>
            </w:r>
            <w:r w:rsidRPr="00775D32">
              <w:rPr>
                <w:rFonts w:ascii="Verdana" w:eastAsia="Calibri" w:hAnsi="Verdana" w:cs="Arial"/>
                <w:lang w:val="es-ES"/>
              </w:rPr>
              <w:lastRenderedPageBreak/>
              <w:t>se exp</w:t>
            </w:r>
            <w:r>
              <w:rPr>
                <w:rFonts w:ascii="Verdana" w:eastAsia="Calibri" w:hAnsi="Verdana" w:cs="Arial"/>
                <w:lang w:val="es-ES"/>
              </w:rPr>
              <w:t>i</w:t>
            </w:r>
            <w:r w:rsidRPr="00775D32">
              <w:rPr>
                <w:rFonts w:ascii="Verdana" w:eastAsia="Calibri" w:hAnsi="Verdana" w:cs="Arial"/>
                <w:lang w:val="es-ES"/>
              </w:rPr>
              <w:t>di</w:t>
            </w:r>
            <w:r>
              <w:rPr>
                <w:rFonts w:ascii="Verdana" w:eastAsia="Calibri" w:hAnsi="Verdana" w:cs="Arial"/>
                <w:lang w:val="es-ES"/>
              </w:rPr>
              <w:t>ó</w:t>
            </w:r>
            <w:r w:rsidRPr="00775D32">
              <w:rPr>
                <w:rFonts w:ascii="Verdana" w:eastAsia="Calibri" w:hAnsi="Verdana" w:cs="Arial"/>
                <w:lang w:val="es-ES"/>
              </w:rPr>
              <w:t xml:space="preserve"> </w:t>
            </w:r>
            <w:r>
              <w:rPr>
                <w:rFonts w:ascii="Verdana" w:eastAsia="Calibri" w:hAnsi="Verdana" w:cs="Arial"/>
                <w:lang w:val="es-ES"/>
              </w:rPr>
              <w:t>el</w:t>
            </w:r>
            <w:r w:rsidRPr="00775D32">
              <w:rPr>
                <w:rFonts w:ascii="Verdana" w:eastAsia="Calibri" w:hAnsi="Verdana" w:cs="Arial"/>
                <w:lang w:val="es-ES"/>
              </w:rPr>
              <w:t xml:space="preserve"> </w:t>
            </w:r>
            <w:r>
              <w:rPr>
                <w:rFonts w:ascii="Verdana" w:eastAsia="Calibri" w:hAnsi="Verdana" w:cs="Arial"/>
                <w:lang w:val="es-ES"/>
              </w:rPr>
              <w:t>B</w:t>
            </w:r>
            <w:r w:rsidRPr="00775D32">
              <w:rPr>
                <w:rFonts w:ascii="Verdana" w:eastAsia="Calibri" w:hAnsi="Verdana" w:cs="Arial"/>
                <w:lang w:val="es-ES"/>
              </w:rPr>
              <w:t>oletín</w:t>
            </w:r>
            <w:r>
              <w:rPr>
                <w:rFonts w:ascii="Verdana" w:eastAsia="Calibri" w:hAnsi="Verdana" w:cs="Arial"/>
                <w:lang w:val="es-ES"/>
              </w:rPr>
              <w:t xml:space="preserve"> No. 002 de mayo de 2026 disponible en: </w:t>
            </w:r>
            <w:r w:rsidRPr="00C167E7">
              <w:rPr>
                <w:rFonts w:ascii="Verdana" w:eastAsia="Calibri" w:hAnsi="Verdana" w:cs="Arial"/>
                <w:lang w:val="es-ES"/>
              </w:rPr>
              <w:t>chrome-extension://efaidnbmnnnibpcajpcglclefindmkaj/https://www.colombiacompra.gov.co/wp-content/uploads/2026/05/Boletin-RCP-02-CCE.pdf</w:t>
            </w:r>
            <w:r w:rsidRPr="00775D32">
              <w:rPr>
                <w:rFonts w:ascii="Verdana" w:eastAsia="Calibri" w:hAnsi="Verdana" w:cs="Arial"/>
                <w:lang w:val="es-ES"/>
              </w:rPr>
              <w:t>,</w:t>
            </w:r>
            <w:r>
              <w:rPr>
                <w:rFonts w:ascii="Verdana" w:eastAsia="Calibri" w:hAnsi="Verdana" w:cs="Arial"/>
                <w:lang w:val="es-ES"/>
              </w:rPr>
              <w:t xml:space="preserve"> donde se analiza la expedición del nuevo decreto.</w:t>
            </w:r>
          </w:p>
          <w:p w14:paraId="2879B8E0" w14:textId="77777777" w:rsidR="00894018" w:rsidRDefault="00894018" w:rsidP="00894018">
            <w:pPr>
              <w:spacing w:before="120" w:after="120" w:line="276" w:lineRule="auto"/>
              <w:ind w:firstLine="709"/>
              <w:jc w:val="both"/>
              <w:rPr>
                <w:rFonts w:ascii="Verdana" w:eastAsia="Calibri" w:hAnsi="Verdana" w:cs="Arial"/>
              </w:rPr>
            </w:pPr>
            <w:r w:rsidRPr="00775D32">
              <w:rPr>
                <w:rFonts w:ascii="Verdana" w:eastAsia="Calibri" w:hAnsi="Verdana" w:cs="Arial"/>
                <w:lang w:val="es-ES"/>
              </w:rPr>
              <w:t xml:space="preserve">También, el día 30 de abril de 2026 se desarrolló el 2° foro virtual de compra pública inclusiva para personas con discapacidad “hacia un mercado público sin barreras” con el fin de explicar las medidas adoptadas por la nueva regulación, disponible en: </w:t>
            </w:r>
            <w:hyperlink r:id="rId14" w:history="1">
              <w:r w:rsidRPr="00775D32">
                <w:rPr>
                  <w:rStyle w:val="Hipervnculo"/>
                  <w:rFonts w:ascii="Verdana" w:eastAsia="Calibri" w:hAnsi="Verdana" w:cs="Arial"/>
                  <w:lang w:val="es-ES"/>
                </w:rPr>
                <w:t>https://www.youtube.com/live/vpxD3PlXqPI?si=49f8ghb7Iiit6Ja9</w:t>
              </w:r>
            </w:hyperlink>
          </w:p>
          <w:p w14:paraId="1F8D35E7" w14:textId="60B6332D" w:rsidR="0049195E" w:rsidRPr="00940F6E" w:rsidRDefault="00894018" w:rsidP="00894018">
            <w:pPr>
              <w:spacing w:before="120" w:after="120" w:line="276" w:lineRule="auto"/>
              <w:ind w:firstLine="709"/>
              <w:jc w:val="both"/>
              <w:rPr>
                <w:rFonts w:ascii="Verdana" w:hAnsi="Verdana" w:cs="Arial"/>
                <w:lang w:eastAsia="es-CO"/>
              </w:rPr>
            </w:pPr>
            <w:r>
              <w:rPr>
                <w:rFonts w:ascii="Verdana" w:eastAsia="Calibri" w:hAnsi="Verdana" w:cs="Arial"/>
                <w:lang w:val="es-ES"/>
              </w:rPr>
              <w:t>Y por último se expidió</w:t>
            </w:r>
            <w:r w:rsidRPr="00775D32">
              <w:rPr>
                <w:rFonts w:ascii="Verdana" w:eastAsia="Calibri" w:hAnsi="Verdana" w:cs="Arial"/>
                <w:lang w:val="es-ES"/>
              </w:rPr>
              <w:t xml:space="preserve"> </w:t>
            </w:r>
            <w:r>
              <w:rPr>
                <w:rFonts w:ascii="Verdana" w:eastAsia="Calibri" w:hAnsi="Verdana" w:cs="Arial"/>
                <w:lang w:val="es-ES"/>
              </w:rPr>
              <w:t>la</w:t>
            </w:r>
            <w:r w:rsidRPr="00775D32">
              <w:rPr>
                <w:rFonts w:ascii="Verdana" w:eastAsia="Calibri" w:hAnsi="Verdana" w:cs="Arial"/>
                <w:lang w:val="es-ES"/>
              </w:rPr>
              <w:t xml:space="preserve"> </w:t>
            </w:r>
            <w:r>
              <w:rPr>
                <w:rFonts w:ascii="Verdana" w:eastAsia="Calibri" w:hAnsi="Verdana" w:cs="Arial"/>
                <w:lang w:val="es-ES"/>
              </w:rPr>
              <w:t>C</w:t>
            </w:r>
            <w:r w:rsidRPr="00775D32">
              <w:rPr>
                <w:rFonts w:ascii="Verdana" w:eastAsia="Calibri" w:hAnsi="Verdana" w:cs="Arial"/>
                <w:lang w:val="es-ES"/>
              </w:rPr>
              <w:t xml:space="preserve">ircular </w:t>
            </w:r>
            <w:r>
              <w:rPr>
                <w:rFonts w:ascii="Verdana" w:eastAsia="Calibri" w:hAnsi="Verdana" w:cs="Arial"/>
                <w:lang w:val="es-ES"/>
              </w:rPr>
              <w:t>E</w:t>
            </w:r>
            <w:r w:rsidRPr="00775D32">
              <w:rPr>
                <w:rFonts w:ascii="Verdana" w:eastAsia="Calibri" w:hAnsi="Verdana" w:cs="Arial"/>
                <w:lang w:val="es-ES"/>
              </w:rPr>
              <w:t xml:space="preserve">xterna </w:t>
            </w:r>
            <w:r>
              <w:rPr>
                <w:rFonts w:ascii="Verdana" w:eastAsia="Calibri" w:hAnsi="Verdana" w:cs="Arial"/>
                <w:lang w:val="es-ES"/>
              </w:rPr>
              <w:t xml:space="preserve">No. 003 del 12 de mayo de 2026 señalando </w:t>
            </w:r>
            <w:r w:rsidRPr="00775D32">
              <w:rPr>
                <w:rFonts w:ascii="Verdana" w:eastAsia="Calibri" w:hAnsi="Verdana" w:cs="Arial"/>
                <w:lang w:val="es-ES"/>
              </w:rPr>
              <w:t xml:space="preserve">las directrices para </w:t>
            </w:r>
            <w:r>
              <w:rPr>
                <w:rFonts w:ascii="Verdana" w:eastAsia="Calibri" w:hAnsi="Verdana" w:cs="Arial"/>
                <w:lang w:val="es-ES"/>
              </w:rPr>
              <w:t xml:space="preserve">la aplicación de las medidas afirmativas del sistema de preferencias implementado por el Decreto 287 de 2026 en los procesos de contratación estatal, disponible en: </w:t>
            </w:r>
            <w:r w:rsidRPr="00ED2786">
              <w:rPr>
                <w:rFonts w:ascii="Verdana" w:eastAsia="Calibri" w:hAnsi="Verdana" w:cs="Arial"/>
                <w:lang w:val="es-ES"/>
              </w:rPr>
              <w:t>chrome-extension://efaidnbmnnnibpcajpcglclefindmkaj/https://www.colombiacompra.gov.co/wp-content/uploads/2026/05/CIRCULAR-EXTERNA-003-DE-2026-DISCAPACIDAD.pdf</w:t>
            </w:r>
          </w:p>
          <w:p w14:paraId="3FBF30C3" w14:textId="77777777" w:rsidR="002F2D12" w:rsidRPr="00553BC6" w:rsidRDefault="001A7EC8" w:rsidP="002F2D12">
            <w:pPr>
              <w:spacing w:line="276" w:lineRule="auto"/>
              <w:jc w:val="both"/>
              <w:rPr>
                <w:rFonts w:ascii="Verdana" w:eastAsia="Calibri" w:hAnsi="Verdana" w:cs="Arial"/>
                <w:lang w:val="es-ES"/>
              </w:rPr>
            </w:pPr>
            <w:r>
              <w:rPr>
                <w:rFonts w:ascii="Verdana" w:hAnsi="Verdana" w:cs="Arial"/>
                <w:lang w:eastAsia="es-CO"/>
              </w:rPr>
              <w:t xml:space="preserve">ii) </w:t>
            </w:r>
            <w:r w:rsidR="002F2D12" w:rsidRPr="4E6CD920">
              <w:rPr>
                <w:rFonts w:ascii="Verdana" w:eastAsia="Calibri" w:hAnsi="Verdana" w:cs="Arial"/>
                <w:lang w:val="es-ES"/>
              </w:rPr>
              <w:t xml:space="preserve">La consecuencia aplicable a los proponentes que acrediten información posiblemente falsa dentro de la documentación </w:t>
            </w:r>
            <w:r w:rsidR="002F2D12">
              <w:rPr>
                <w:rFonts w:ascii="Verdana" w:eastAsia="Calibri" w:hAnsi="Verdana" w:cs="Arial"/>
                <w:lang w:val="es-ES"/>
              </w:rPr>
              <w:t>de la oferta</w:t>
            </w:r>
            <w:r w:rsidR="002F2D12" w:rsidRPr="4E6CD920">
              <w:rPr>
                <w:rFonts w:ascii="Verdana" w:eastAsia="Calibri" w:hAnsi="Verdana" w:cs="Arial"/>
                <w:lang w:val="es-ES"/>
              </w:rPr>
              <w:t xml:space="preserve">, dependerá de las reglas establecidas en el pliego de condiciones. </w:t>
            </w:r>
          </w:p>
          <w:p w14:paraId="3DBBE6F5" w14:textId="77777777" w:rsidR="002F2D12" w:rsidRPr="00553BC6" w:rsidRDefault="002F2D12" w:rsidP="0051576B">
            <w:pPr>
              <w:spacing w:before="120" w:after="120" w:line="276" w:lineRule="auto"/>
              <w:ind w:firstLine="709"/>
              <w:jc w:val="both"/>
              <w:rPr>
                <w:rFonts w:ascii="Verdana" w:eastAsia="Calibri" w:hAnsi="Verdana" w:cs="Arial"/>
                <w:lang w:val="es-ES"/>
              </w:rPr>
            </w:pPr>
            <w:r w:rsidRPr="4E6CD920">
              <w:rPr>
                <w:rFonts w:ascii="Verdana" w:eastAsia="Calibri" w:hAnsi="Verdana" w:cs="Arial"/>
                <w:lang w:val="es-ES"/>
              </w:rPr>
              <w:t>En principio, se recomienda requerir al proponente con el fin de que presente las aclaraciones que sean pertinentes atendiendo los postulados previstos en el numeral 7 del artículo 30 de la Ley 80 de 1993, esto con el fin de verificar si se trata de un error formal, evento en el cual y previo análisis de la entidad contratante, considere sí es procedente dar aplicación al principio de subsanabilidad en la forma establecida en el parágrafo 1° del artículo 5 de la Ley 1150 de 2007</w:t>
            </w:r>
            <w:r>
              <w:rPr>
                <w:rFonts w:ascii="Verdana" w:eastAsia="Calibri" w:hAnsi="Verdana" w:cs="Arial"/>
                <w:lang w:val="es-ES"/>
              </w:rPr>
              <w:t xml:space="preserve">, respecto de los requisitos habilitantes; o sobre la oferta económica, </w:t>
            </w:r>
            <w:r w:rsidRPr="00B10A68">
              <w:rPr>
                <w:rFonts w:ascii="Verdana" w:hAnsi="Verdana" w:cs="Arial"/>
                <w:lang w:val="es-ES"/>
              </w:rPr>
              <w:t>considere sí es procedente aclararl</w:t>
            </w:r>
            <w:r>
              <w:rPr>
                <w:rFonts w:ascii="Verdana" w:hAnsi="Verdana" w:cs="Arial"/>
                <w:lang w:val="es-ES"/>
              </w:rPr>
              <w:t>a</w:t>
            </w:r>
            <w:r w:rsidRPr="00B10A68">
              <w:rPr>
                <w:rFonts w:ascii="Verdana" w:hAnsi="Verdana" w:cs="Arial"/>
                <w:lang w:val="es-ES"/>
              </w:rPr>
              <w:t xml:space="preserve">, dado que </w:t>
            </w:r>
            <w:r>
              <w:rPr>
                <w:rFonts w:ascii="Verdana" w:hAnsi="Verdana" w:cs="Arial"/>
                <w:lang w:val="es-ES"/>
              </w:rPr>
              <w:t xml:space="preserve">esta </w:t>
            </w:r>
            <w:r w:rsidRPr="00B10A68">
              <w:rPr>
                <w:rFonts w:ascii="Verdana" w:hAnsi="Verdana" w:cs="Arial"/>
                <w:lang w:val="es-ES"/>
              </w:rPr>
              <w:t>es un criterio ponderable y se le asigna un puntaje, por lo que no es susceptible de subsanación. Sin embargo, se pueden realizar aclaraciones sobre aspectos meramente formales, pero no sobre requisitos esenciales del pliego de condiciones ni sobre factores calificables, como es el componente económico.</w:t>
            </w:r>
          </w:p>
          <w:p w14:paraId="238DAE83" w14:textId="77777777" w:rsidR="002F2D12" w:rsidRPr="00553BC6" w:rsidRDefault="002F2D12" w:rsidP="0051576B">
            <w:pPr>
              <w:spacing w:before="120" w:after="120" w:line="276" w:lineRule="auto"/>
              <w:ind w:firstLine="709"/>
              <w:jc w:val="both"/>
              <w:rPr>
                <w:rFonts w:ascii="Verdana" w:eastAsia="Calibri" w:hAnsi="Verdana" w:cs="Arial"/>
                <w:lang w:val="es-ES"/>
              </w:rPr>
            </w:pPr>
            <w:r w:rsidRPr="4E6CD920">
              <w:rPr>
                <w:rFonts w:ascii="Verdana" w:eastAsia="Calibri" w:hAnsi="Verdana" w:cs="Arial"/>
                <w:lang w:val="es-ES"/>
              </w:rPr>
              <w:t xml:space="preserve">Este tipo de situaciones incluso pueden ser materia de estipulación de causales de rechazo en los pliegos de condiciones, tal como sucede en los documentos tipo adoptados por esta Agencia Nacional de Contratación Pública, </w:t>
            </w:r>
            <w:r w:rsidRPr="4E6CD920">
              <w:rPr>
                <w:rFonts w:ascii="Verdana" w:eastAsia="Calibri" w:hAnsi="Verdana" w:cs="Arial"/>
                <w:lang w:val="es-ES"/>
              </w:rPr>
              <w:lastRenderedPageBreak/>
              <w:t>tal como lo establece el numeral 1.11 y el literal H del numeral 1.15 del Documento Base adoptado mediante la Resolución 465 del 10 de septiembre de 2024, donde se prevé que la información inexacta debe darse por no acreditada. Sin embargo, si la información inexacta se considera que puede tener el carácter de falsedad, procederá el rechazo de la oferta.</w:t>
            </w:r>
          </w:p>
          <w:p w14:paraId="5D8F814B" w14:textId="1BDFF1A8" w:rsidR="00940F6E" w:rsidRPr="00940F6E" w:rsidRDefault="002F2D12" w:rsidP="002F2D12">
            <w:pPr>
              <w:spacing w:before="120" w:after="120" w:line="276" w:lineRule="auto"/>
              <w:ind w:firstLine="709"/>
              <w:jc w:val="both"/>
              <w:rPr>
                <w:rFonts w:ascii="Verdana" w:hAnsi="Verdana" w:cs="Arial"/>
                <w:lang w:eastAsia="es-CO"/>
              </w:rPr>
            </w:pPr>
            <w:r w:rsidRPr="4E6CD920">
              <w:rPr>
                <w:rFonts w:ascii="Verdana" w:eastAsia="Calibri" w:hAnsi="Verdana" w:cs="Arial"/>
                <w:lang w:val="es-ES"/>
              </w:rPr>
              <w:t>No obstante lo anterior y conforme el análisis que efectué cada entidad, deberá darse traslado antes las autoridades competentes para que adelanten las investigaciones que por la presunta falsedad de documentos, puedan ser de su competencia.</w:t>
            </w:r>
          </w:p>
        </w:tc>
      </w:tr>
    </w:tbl>
    <w:p w14:paraId="2DF2B85B" w14:textId="77777777" w:rsidR="003A1BAC" w:rsidRPr="00206556" w:rsidRDefault="003A1BAC" w:rsidP="003A1BAC">
      <w:pPr>
        <w:tabs>
          <w:tab w:val="left" w:pos="142"/>
          <w:tab w:val="left" w:pos="284"/>
        </w:tabs>
        <w:spacing w:after="0" w:line="276" w:lineRule="auto"/>
        <w:jc w:val="both"/>
        <w:rPr>
          <w:rFonts w:ascii="Verdana" w:eastAsia="Century Gothic" w:hAnsi="Verdana" w:cs="Century Gothic"/>
          <w:b/>
          <w:bCs/>
          <w:color w:val="ED7D31" w:themeColor="accent2"/>
          <w:lang w:val="es-ES"/>
        </w:rPr>
      </w:pPr>
    </w:p>
    <w:p w14:paraId="53973846" w14:textId="32C440F6" w:rsidR="003A1BAC" w:rsidRPr="00206556" w:rsidRDefault="003A1BAC" w:rsidP="003A1BAC">
      <w:pPr>
        <w:tabs>
          <w:tab w:val="left" w:pos="142"/>
          <w:tab w:val="left" w:pos="284"/>
        </w:tabs>
        <w:spacing w:after="0" w:line="276" w:lineRule="auto"/>
        <w:jc w:val="both"/>
        <w:rPr>
          <w:rFonts w:ascii="Verdana" w:eastAsia="Century Gothic" w:hAnsi="Verdana" w:cs="Century Gothic"/>
          <w:b/>
          <w:lang w:val="es-ES"/>
        </w:rPr>
      </w:pPr>
      <w:r w:rsidRPr="00206556">
        <w:rPr>
          <w:rFonts w:ascii="Verdana" w:eastAsia="Century Gothic" w:hAnsi="Verdana" w:cs="Century Gothic"/>
          <w:b/>
          <w:lang w:val="es-ES"/>
        </w:rPr>
        <w:t>3. Razones de la</w:t>
      </w:r>
      <w:r w:rsidR="007422A7">
        <w:rPr>
          <w:rFonts w:ascii="Verdana" w:eastAsia="Century Gothic" w:hAnsi="Verdana" w:cs="Century Gothic"/>
          <w:b/>
          <w:lang w:val="es-ES"/>
        </w:rPr>
        <w:t>s</w:t>
      </w:r>
      <w:r w:rsidRPr="00206556">
        <w:rPr>
          <w:rFonts w:ascii="Verdana" w:eastAsia="Century Gothic" w:hAnsi="Verdana" w:cs="Century Gothic"/>
          <w:b/>
          <w:lang w:val="es-ES"/>
        </w:rPr>
        <w:t xml:space="preserve"> respuesta</w:t>
      </w:r>
      <w:r w:rsidR="007422A7">
        <w:rPr>
          <w:rFonts w:ascii="Verdana" w:eastAsia="Century Gothic" w:hAnsi="Verdana" w:cs="Century Gothic"/>
          <w:b/>
          <w:lang w:val="es-ES"/>
        </w:rPr>
        <w:t>s</w:t>
      </w:r>
      <w:r w:rsidRPr="00206556">
        <w:rPr>
          <w:rFonts w:ascii="Verdana" w:eastAsia="Century Gothic" w:hAnsi="Verdana" w:cs="Century Gothic"/>
          <w:b/>
          <w:lang w:val="es-ES"/>
        </w:rPr>
        <w:t>:</w:t>
      </w:r>
    </w:p>
    <w:p w14:paraId="6B56BEA0" w14:textId="77777777" w:rsidR="003A1BAC" w:rsidRPr="00206556" w:rsidRDefault="003A1BAC" w:rsidP="003A1BAC">
      <w:pPr>
        <w:tabs>
          <w:tab w:val="left" w:pos="142"/>
          <w:tab w:val="left" w:pos="284"/>
        </w:tabs>
        <w:spacing w:after="0" w:line="276" w:lineRule="auto"/>
        <w:jc w:val="both"/>
        <w:rPr>
          <w:rFonts w:ascii="Verdana" w:eastAsia="Century Gothic" w:hAnsi="Verdana" w:cs="Century Gothic"/>
          <w:b/>
          <w:color w:val="ED7D31" w:themeColor="accent2"/>
          <w:lang w:val="es-ES"/>
        </w:rPr>
      </w:pPr>
    </w:p>
    <w:p w14:paraId="79DC0139" w14:textId="77777777" w:rsidR="003A1BAC" w:rsidRPr="00206556" w:rsidRDefault="003A1BAC" w:rsidP="003A1BAC">
      <w:pPr>
        <w:spacing w:after="0" w:line="276" w:lineRule="auto"/>
        <w:jc w:val="both"/>
        <w:rPr>
          <w:rFonts w:ascii="Verdana" w:eastAsia="Calibri" w:hAnsi="Verdana" w:cs="Arial"/>
          <w:lang w:val="es-ES"/>
        </w:rPr>
      </w:pPr>
      <w:r w:rsidRPr="00206556">
        <w:rPr>
          <w:rFonts w:ascii="Verdana" w:eastAsia="Calibri" w:hAnsi="Verdana" w:cs="Arial"/>
          <w:lang w:val="es-ES"/>
        </w:rPr>
        <w:t>Lo anterior se sustenta en las siguientes consideraciones:</w:t>
      </w:r>
    </w:p>
    <w:p w14:paraId="0827E6B7" w14:textId="77777777" w:rsidR="003A1BAC" w:rsidRPr="00206556" w:rsidRDefault="003A1BAC" w:rsidP="003A1BAC">
      <w:pPr>
        <w:spacing w:after="0" w:line="276" w:lineRule="auto"/>
        <w:jc w:val="both"/>
        <w:rPr>
          <w:rFonts w:ascii="Verdana" w:eastAsia="Calibri" w:hAnsi="Verdana" w:cs="Arial"/>
          <w:lang w:val="es-ES"/>
        </w:rPr>
      </w:pPr>
    </w:p>
    <w:p w14:paraId="7DCAA975" w14:textId="77777777" w:rsidR="003A1BAC" w:rsidRPr="000C6B53" w:rsidRDefault="003A1BAC" w:rsidP="003A1BAC">
      <w:pPr>
        <w:spacing w:after="120" w:line="276" w:lineRule="auto"/>
        <w:jc w:val="both"/>
        <w:rPr>
          <w:rFonts w:ascii="Verdana" w:eastAsia="Calibri" w:hAnsi="Verdana" w:cs="Arial"/>
        </w:rPr>
      </w:pPr>
      <w:r w:rsidRPr="000C6B53">
        <w:rPr>
          <w:rFonts w:ascii="Verdana" w:eastAsia="Calibri" w:hAnsi="Verdana" w:cs="Arial"/>
          <w:lang w:val="es-ES"/>
        </w:rPr>
        <w:t xml:space="preserve">(i) </w:t>
      </w:r>
      <w:r w:rsidRPr="000C6B53">
        <w:rPr>
          <w:rFonts w:ascii="Verdana" w:eastAsia="Calibri" w:hAnsi="Verdana" w:cs="Arial"/>
        </w:rPr>
        <w:t xml:space="preserve">Para resolver el problema jurídico planteado, esta Agencia considera necesario partir del análisis de los antecedentes normativos que explican el origen, la finalidad y el alcance del Sistema Integral de Preferencias establecido por el Decreto 0287 de 2026, en la medida en que solo a partir de ese contexto es posible comprender las obligaciones concretas que dicho decreto impone a las entidades estatales y a los demás partícipes de la contratación pública. </w:t>
      </w:r>
    </w:p>
    <w:p w14:paraId="62D3E96F" w14:textId="77777777" w:rsidR="003A1BAC" w:rsidRPr="000C6B53" w:rsidRDefault="003A1BAC" w:rsidP="003A1BAC">
      <w:pPr>
        <w:spacing w:after="120" w:line="276" w:lineRule="auto"/>
        <w:ind w:firstLine="708"/>
        <w:jc w:val="both"/>
        <w:rPr>
          <w:rFonts w:ascii="Verdana" w:eastAsia="Times New Roman" w:hAnsi="Verdana" w:cs="Times New Roman"/>
        </w:rPr>
      </w:pPr>
      <w:r w:rsidRPr="000C6B53">
        <w:rPr>
          <w:rFonts w:ascii="Verdana" w:eastAsia="Times New Roman" w:hAnsi="Verdana" w:cs="Times New Roman"/>
        </w:rPr>
        <w:t>El fundamento constitucional del Sistema de Preferencias en favor de las PcD en la contratación pública se encuentra en el principio de igualdad material o real y efectiva consagrado en el artículo 13 de la Constitución Política de 1991</w:t>
      </w:r>
      <w:r w:rsidRPr="000C6B53">
        <w:rPr>
          <w:rStyle w:val="Refdenotaalpie"/>
          <w:rFonts w:ascii="Verdana" w:eastAsia="Times New Roman" w:hAnsi="Verdana" w:cs="Times New Roman"/>
        </w:rPr>
        <w:footnoteReference w:id="2"/>
      </w:r>
      <w:r w:rsidRPr="000C6B53">
        <w:rPr>
          <w:rFonts w:ascii="Verdana" w:eastAsia="Times New Roman" w:hAnsi="Verdana" w:cs="Times New Roman"/>
        </w:rPr>
        <w:t xml:space="preserve">, el cual le impone al Estado el deber positivo de adoptar </w:t>
      </w:r>
      <w:r w:rsidRPr="000C6B53">
        <w:rPr>
          <w:rFonts w:ascii="Verdana" w:eastAsia="Times New Roman" w:hAnsi="Verdana" w:cs="Times New Roman"/>
          <w:i/>
          <w:iCs/>
        </w:rPr>
        <w:t>acciones afirmativas</w:t>
      </w:r>
      <w:r w:rsidRPr="000C6B53">
        <w:rPr>
          <w:rFonts w:ascii="Verdana" w:eastAsia="Times New Roman" w:hAnsi="Verdana" w:cs="Times New Roman"/>
        </w:rPr>
        <w:t xml:space="preserve"> en favor de grupos históricamente excluidos, dirigidas a corregir situaciones de discriminación estructural que los afectan. En desarrollo de este mandato, la Corte Constitucional ha sostenido que tales medidas buscan contrarrestar los efectos de la discriminación y que el Estado puede establecer tratamientos diferenciales a favor de estos grupos en aras de lograr una igualdad real y efectiva. </w:t>
      </w:r>
    </w:p>
    <w:p w14:paraId="76AF31F2" w14:textId="77777777" w:rsidR="003A1BAC" w:rsidRPr="000C6B53" w:rsidRDefault="003A1BAC" w:rsidP="003A1BAC">
      <w:pPr>
        <w:spacing w:after="120" w:line="276" w:lineRule="auto"/>
        <w:ind w:firstLine="708"/>
        <w:jc w:val="both"/>
        <w:rPr>
          <w:rFonts w:ascii="Verdana" w:eastAsia="Times New Roman" w:hAnsi="Verdana" w:cs="Times New Roman"/>
        </w:rPr>
      </w:pPr>
      <w:r w:rsidRPr="000C6B53">
        <w:rPr>
          <w:rFonts w:ascii="Verdana" w:eastAsia="Times New Roman" w:hAnsi="Verdana" w:cs="Times New Roman"/>
        </w:rPr>
        <w:lastRenderedPageBreak/>
        <w:t>A su vez, los artículos 47 y 54 de la Carta Política refuerzan este mandato al ordenar políticas de integración social y ubicación laboral para las PcD</w:t>
      </w:r>
      <w:r w:rsidRPr="000C6B53">
        <w:rPr>
          <w:rStyle w:val="Refdenotaalpie"/>
          <w:rFonts w:ascii="Verdana" w:eastAsia="Times New Roman" w:hAnsi="Verdana" w:cs="Times New Roman"/>
        </w:rPr>
        <w:footnoteReference w:id="3"/>
      </w:r>
      <w:r w:rsidRPr="000C6B53">
        <w:rPr>
          <w:rFonts w:ascii="Verdana" w:eastAsia="Times New Roman" w:hAnsi="Verdana" w:cs="Times New Roman"/>
        </w:rPr>
        <w:t>.</w:t>
      </w:r>
    </w:p>
    <w:p w14:paraId="3A1BFCF6" w14:textId="77777777" w:rsidR="003A1BAC" w:rsidRPr="000C6B53" w:rsidRDefault="003A1BAC" w:rsidP="003A1BAC">
      <w:pPr>
        <w:spacing w:after="120" w:line="276" w:lineRule="auto"/>
        <w:ind w:firstLine="708"/>
        <w:jc w:val="both"/>
        <w:rPr>
          <w:rFonts w:ascii="Verdana" w:hAnsi="Verdana"/>
        </w:rPr>
      </w:pPr>
      <w:r w:rsidRPr="000C6B53">
        <w:rPr>
          <w:rFonts w:ascii="Verdana" w:eastAsia="Times New Roman" w:hAnsi="Verdana" w:cs="Times New Roman"/>
        </w:rPr>
        <w:t>En el plano internacional, Colombia es Estado Parte de diversos instrumentos que conforman el Bloque de Constitucionalidad en los términos del artículo 93 superior. En particular, la Convención sobre los Derechos de las Personas con Discapacidad de la ONU</w:t>
      </w:r>
      <w:r w:rsidRPr="000C6B53">
        <w:rPr>
          <w:rStyle w:val="Refdenotaalpie"/>
          <w:rFonts w:ascii="Verdana" w:eastAsia="Times New Roman" w:hAnsi="Verdana" w:cs="Times New Roman"/>
        </w:rPr>
        <w:footnoteReference w:id="4"/>
      </w:r>
      <w:r w:rsidRPr="000C6B53">
        <w:rPr>
          <w:rFonts w:ascii="Verdana" w:eastAsia="Times New Roman" w:hAnsi="Verdana" w:cs="Times New Roman"/>
        </w:rPr>
        <w:t xml:space="preserve"> reconoce el derecho de las PcD a trabajar en igualdad de condiciones y exige programas de acción afirmativa. De igual forma, la Convención Interamericana para la Eliminación de todas las Formas de Discriminación</w:t>
      </w:r>
      <w:r w:rsidRPr="000C6B53">
        <w:rPr>
          <w:rStyle w:val="Refdenotaalpie"/>
          <w:rFonts w:ascii="Verdana" w:eastAsia="Times New Roman" w:hAnsi="Verdana" w:cs="Times New Roman"/>
        </w:rPr>
        <w:footnoteReference w:id="5"/>
      </w:r>
      <w:r w:rsidRPr="000C6B53">
        <w:rPr>
          <w:rFonts w:ascii="Verdana" w:eastAsia="Times New Roman" w:hAnsi="Verdana" w:cs="Times New Roman"/>
        </w:rPr>
        <w:t xml:space="preserve"> ordena eliminar progresivamente la discriminación en la prestación de servicios, incluido el empleo. Finalmente, el Convenio 159 de la OIT</w:t>
      </w:r>
      <w:r w:rsidRPr="000C6B53">
        <w:rPr>
          <w:rStyle w:val="Refdenotaalpie"/>
          <w:rFonts w:ascii="Verdana" w:eastAsia="Times New Roman" w:hAnsi="Verdana" w:cs="Times New Roman"/>
        </w:rPr>
        <w:footnoteReference w:id="6"/>
      </w:r>
      <w:r w:rsidRPr="000C6B53">
        <w:rPr>
          <w:rFonts w:ascii="Verdana" w:eastAsia="Times New Roman" w:hAnsi="Verdana" w:cs="Times New Roman"/>
        </w:rPr>
        <w:t xml:space="preserve"> exige medidas orientadas a garantizar la igualdad de oportunidades de todas las categorías de PcD en materia de empleo.</w:t>
      </w:r>
    </w:p>
    <w:p w14:paraId="5EC44082" w14:textId="77777777" w:rsidR="003A1BAC" w:rsidRPr="000C6B53" w:rsidRDefault="003A1BAC" w:rsidP="003A1BAC">
      <w:pPr>
        <w:spacing w:after="120" w:line="276" w:lineRule="auto"/>
        <w:jc w:val="both"/>
        <w:rPr>
          <w:rFonts w:ascii="Verdana" w:hAnsi="Verdana"/>
        </w:rPr>
      </w:pPr>
      <w:r w:rsidRPr="000C6B53">
        <w:rPr>
          <w:rFonts w:ascii="Verdana" w:eastAsia="Times New Roman" w:hAnsi="Verdana" w:cs="Times New Roman"/>
          <w:b/>
          <w:bCs/>
        </w:rPr>
        <w:t xml:space="preserve">       </w:t>
      </w:r>
      <w:r w:rsidRPr="000C6B53">
        <w:rPr>
          <w:rFonts w:ascii="Verdana" w:eastAsia="Times New Roman" w:hAnsi="Verdana" w:cs="Times New Roman"/>
        </w:rPr>
        <w:t>En desarrollo de estos mandatos, con rango constitucional,</w:t>
      </w:r>
      <w:r w:rsidRPr="000C6B53">
        <w:rPr>
          <w:rFonts w:ascii="Verdana" w:eastAsia="Times New Roman" w:hAnsi="Verdana" w:cs="Times New Roman"/>
          <w:b/>
          <w:bCs/>
        </w:rPr>
        <w:t xml:space="preserve"> </w:t>
      </w:r>
      <w:r w:rsidRPr="000C6B53">
        <w:rPr>
          <w:rFonts w:ascii="Verdana" w:eastAsia="Times New Roman" w:hAnsi="Verdana" w:cs="Times New Roman"/>
        </w:rPr>
        <w:t>la Ley 361 de 1997 estableció los primeros mecanismos de integración social de las PcD. Su artículo 24 introdujo una preferencia en igualdad de condiciones en licitaciones y adjudicaciones de contratos estatales para aquellos empleadores que tuvieran al menos el diez por ciento (10%) de su nómina compuesta por PcD</w:t>
      </w:r>
      <w:r w:rsidRPr="000C6B53">
        <w:rPr>
          <w:rStyle w:val="Refdenotaalpie"/>
          <w:rFonts w:ascii="Verdana" w:eastAsia="Times New Roman" w:hAnsi="Verdana" w:cs="Times New Roman"/>
        </w:rPr>
        <w:footnoteReference w:id="7"/>
      </w:r>
      <w:r w:rsidRPr="000C6B53">
        <w:rPr>
          <w:rFonts w:ascii="Verdana" w:eastAsia="Times New Roman" w:hAnsi="Verdana" w:cs="Times New Roman"/>
        </w:rPr>
        <w:t xml:space="preserve">. Esta norma vinculó por primera vez la contratación pública con la inclusión laboral de las PcD, pero su alcance era limitado en la medida que se trataba de una preferencia residual aplicable solo en caso de empate y que beneficiaba únicamente a los </w:t>
      </w:r>
      <w:r w:rsidRPr="000C6B53">
        <w:rPr>
          <w:rFonts w:ascii="Verdana" w:eastAsia="Times New Roman" w:hAnsi="Verdana" w:cs="Times New Roman"/>
        </w:rPr>
        <w:lastRenderedPageBreak/>
        <w:t>empleadores de PcD sin considerar a las propias PcD como proponentes o contratistas directos.</w:t>
      </w:r>
    </w:p>
    <w:p w14:paraId="29EB9E95" w14:textId="77777777" w:rsidR="003A1BAC" w:rsidRPr="000C6B53" w:rsidRDefault="003A1BAC" w:rsidP="003A1BAC">
      <w:pPr>
        <w:spacing w:after="120" w:line="276" w:lineRule="auto"/>
        <w:jc w:val="both"/>
        <w:rPr>
          <w:rFonts w:ascii="Verdana" w:hAnsi="Verdana"/>
        </w:rPr>
      </w:pPr>
      <w:r w:rsidRPr="000C6B53">
        <w:rPr>
          <w:rFonts w:ascii="Verdana" w:eastAsia="Times New Roman" w:hAnsi="Verdana" w:cs="Times New Roman"/>
          <w:b/>
          <w:bCs/>
        </w:rPr>
        <w:t xml:space="preserve">       </w:t>
      </w:r>
      <w:r w:rsidRPr="000C6B53">
        <w:rPr>
          <w:rFonts w:ascii="Verdana" w:eastAsia="Times New Roman" w:hAnsi="Verdana" w:cs="Times New Roman"/>
        </w:rPr>
        <w:t xml:space="preserve">Posteriormente, la Ley Estatutaria 1618 de 2013 representó un avance sustancial en el marco jurídico de protección de las PcD, al definirlas como </w:t>
      </w:r>
      <w:r w:rsidRPr="000C6B53">
        <w:rPr>
          <w:rFonts w:ascii="Verdana" w:eastAsia="Times New Roman" w:hAnsi="Verdana" w:cs="Times New Roman"/>
          <w:i/>
          <w:iCs/>
        </w:rPr>
        <w:t>"aquellas personas que tengan deficiencias físicas, mentales, intelectuales o sensoriales a mediano y largo plazo que, al interactuar con diversas barreras incluyendo las actitudinales, puedan impedir su participación plena y efectiva en la sociedad, en igualdad de condiciones con las demás"</w:t>
      </w:r>
      <w:r w:rsidRPr="000C6B53">
        <w:rPr>
          <w:rStyle w:val="Refdenotaalpie"/>
          <w:rFonts w:ascii="Verdana" w:eastAsia="Times New Roman" w:hAnsi="Verdana" w:cs="Times New Roman"/>
          <w:i/>
          <w:iCs/>
        </w:rPr>
        <w:footnoteReference w:id="8"/>
      </w:r>
      <w:r w:rsidRPr="000C6B53">
        <w:rPr>
          <w:rFonts w:ascii="Verdana" w:eastAsia="Times New Roman" w:hAnsi="Verdana" w:cs="Times New Roman"/>
          <w:i/>
          <w:iCs/>
        </w:rPr>
        <w:t>.</w:t>
      </w:r>
      <w:r w:rsidRPr="000C6B53">
        <w:rPr>
          <w:rFonts w:ascii="Verdana" w:eastAsia="Times New Roman" w:hAnsi="Verdana" w:cs="Times New Roman"/>
        </w:rPr>
        <w:t xml:space="preserve"> En su artículo 13, numerales 1, 7 y 8, ordenó al Gobierno Nacional reglamentar: i) una puntuación adicional en licitación pública, concurso de méritos y contratación directa para empresas que vinculen PcD y para empresas de PcD; ii) un sistema de preferencias para empleadores de PcD en la adjudicación; y iii) </w:t>
      </w:r>
      <w:r w:rsidRPr="000C6B53">
        <w:rPr>
          <w:rFonts w:ascii="Verdana" w:eastAsia="Times New Roman" w:hAnsi="Verdana" w:cs="Times New Roman"/>
          <w:i/>
        </w:rPr>
        <w:t>un sistema de preferencias en favor de las propias PcD como contratistas</w:t>
      </w:r>
      <w:r w:rsidRPr="000C6B53">
        <w:rPr>
          <w:rStyle w:val="Refdenotaalpie"/>
          <w:rFonts w:ascii="Verdana" w:eastAsia="Times New Roman" w:hAnsi="Verdana" w:cs="Times New Roman"/>
        </w:rPr>
        <w:footnoteReference w:id="9"/>
      </w:r>
      <w:r w:rsidRPr="000C6B53">
        <w:rPr>
          <w:rFonts w:ascii="Verdana" w:eastAsia="Times New Roman" w:hAnsi="Verdana" w:cs="Times New Roman"/>
        </w:rPr>
        <w:t xml:space="preserve">. Este último mandato fue especialmente significativo porque introdujo el concepto de </w:t>
      </w:r>
      <w:r w:rsidRPr="000C6B53">
        <w:rPr>
          <w:rFonts w:ascii="Verdana" w:eastAsia="Times New Roman" w:hAnsi="Verdana" w:cs="Times New Roman"/>
          <w:i/>
          <w:iCs/>
        </w:rPr>
        <w:t>"sistema de preferencias"</w:t>
      </w:r>
      <w:r w:rsidRPr="000C6B53">
        <w:rPr>
          <w:rFonts w:ascii="Verdana" w:eastAsia="Times New Roman" w:hAnsi="Verdana" w:cs="Times New Roman"/>
        </w:rPr>
        <w:t>, que por definición no puede reducirse a una sola medida, sino que implica un conjunto estructurado de instrumentos que actúen en las distintas fases del proceso contractual.</w:t>
      </w:r>
    </w:p>
    <w:p w14:paraId="4F2F8E6C" w14:textId="77777777" w:rsidR="003A1BAC" w:rsidRPr="000C6B53" w:rsidRDefault="003A1BAC" w:rsidP="003A1BAC">
      <w:pPr>
        <w:spacing w:after="120" w:line="276" w:lineRule="auto"/>
        <w:ind w:firstLine="709"/>
        <w:jc w:val="both"/>
        <w:rPr>
          <w:rFonts w:ascii="Verdana" w:hAnsi="Verdana"/>
        </w:rPr>
      </w:pPr>
      <w:r w:rsidRPr="000C6B53">
        <w:rPr>
          <w:rFonts w:ascii="Verdana" w:hAnsi="Verdana"/>
        </w:rPr>
        <w:t>En cumplimiento parcial de los numerales 1 y 8 del artículo 13 de la Ley 1618 de 2013, se expidió el Decreto 392 de 2018. Sin embargo, tal y como se reconoce en los considerandos del Decreto 0287 de 2026, dicha regulación presentó omisiones estructurales que frustraron la finalidad de la Ley Estatutaria. En efecto, el Decreto 392 de 2018 solo contempló el uno por ciento (1%) del puntaje para empleadores de PcD, sin incluir a las empresas de PcD; redujo el "sistema de preferencias" a un único criterio de desempate; y no previó medidas en planeación, criterios habilitantes diferenciales, condiciones especiales de ejecución ni abordó la contratación directa como escenario de inclusión. En consecuencia, desde el punto de vista sustantivo, el Decreto 392 de 2018 reglamentó el numeral 1 de manera parcial y el numeral 7, dejando sin reglamentación material el numeral 8, que era precisamente el que ordenaba el Sistema De Preferencias en favor de las propias PcD como contratistas.</w:t>
      </w:r>
    </w:p>
    <w:p w14:paraId="6E77AC55" w14:textId="77777777" w:rsidR="003A1BAC" w:rsidRPr="000C6B53" w:rsidRDefault="003A1BAC" w:rsidP="003A1BAC">
      <w:pPr>
        <w:spacing w:after="120" w:line="276" w:lineRule="auto"/>
        <w:ind w:firstLine="709"/>
        <w:jc w:val="both"/>
        <w:rPr>
          <w:rFonts w:ascii="Verdana" w:hAnsi="Verdana"/>
        </w:rPr>
      </w:pPr>
      <w:r w:rsidRPr="000C6B53">
        <w:rPr>
          <w:rFonts w:ascii="Verdana" w:hAnsi="Verdana"/>
        </w:rPr>
        <w:lastRenderedPageBreak/>
        <w:t>La insuficiencia del Decreto 392 de 2018 fue constatada judicialmente. La Sección Quinta del Consejo de Estado, mediante sentencia proferida dentro de una acción de cumplimiento del 12 de diciembre de 2024, radicación n.° 05001-23-33-000-2024-00847-01, M.P. Omar Joaquín Barreto Suárez, declaró el incumplimiento por parte del Gobierno Nacional del artículo 62 de la Ley 1996 de 2019, norma que ordenaba reglamentar las medidas del artículo 13 de la Ley 1618 de 2013. En dicha providencia, la Sala ordenó expedir los decretos reglamentarios faltantes en el término de cuatro (4) meses contados a partir de la ejecutoria de la providencia. La Sala calificó la obligación como imperativa, expresa e inobjetable, señalando que el Gobierno Nacional no contaba con margen de discrecionalidad para decidir si reglamentaba o no el Sistema de Preferencias.</w:t>
      </w:r>
    </w:p>
    <w:p w14:paraId="001B36B0" w14:textId="77777777" w:rsidR="003A1BAC" w:rsidRDefault="003A1BAC" w:rsidP="003A1BAC">
      <w:pPr>
        <w:spacing w:after="120" w:line="276" w:lineRule="auto"/>
        <w:ind w:firstLine="709"/>
        <w:jc w:val="both"/>
        <w:rPr>
          <w:rFonts w:ascii="Verdana" w:hAnsi="Verdana"/>
        </w:rPr>
      </w:pPr>
      <w:r w:rsidRPr="000C6B53">
        <w:rPr>
          <w:rFonts w:ascii="Verdana" w:hAnsi="Verdana"/>
        </w:rPr>
        <w:t>En cumplimiento de esa decisión, fue expedido el Decreto 0287 de 2026, el cual, como se indicó en la respuesta del presente concepto, establece un Sistema Integral de Preferencias compuesto por cinco medidas afirmativas que actúan en todas las fases del proceso contractual: planeación, selección, adjudicación y ejecución. Dicho sistema se orienta a beneficiar a dos sujetos diferenciados: los emprendimientos y empresas de PcD y los empleadores de PcD. A continuación, se desarrolla el alcance de cada aspecto del sistema planteado en los problemas jurídicos.</w:t>
      </w:r>
      <w:r w:rsidRPr="00E727F0">
        <w:rPr>
          <w:rFonts w:ascii="Verdana" w:hAnsi="Verdana"/>
        </w:rPr>
        <w:t xml:space="preserve"> </w:t>
      </w:r>
    </w:p>
    <w:p w14:paraId="2F0DB084" w14:textId="77777777" w:rsidR="003A1BAC" w:rsidRPr="00E727F0" w:rsidRDefault="003A1BAC" w:rsidP="003A1BAC">
      <w:pPr>
        <w:spacing w:after="120" w:line="276" w:lineRule="auto"/>
        <w:ind w:firstLine="708"/>
        <w:jc w:val="both"/>
        <w:rPr>
          <w:rFonts w:ascii="Verdana" w:hAnsi="Verdana"/>
        </w:rPr>
      </w:pPr>
      <w:r w:rsidRPr="00206556">
        <w:rPr>
          <w:rFonts w:ascii="Verdana" w:hAnsi="Verdana"/>
        </w:rPr>
        <w:t xml:space="preserve">(ii) </w:t>
      </w:r>
      <w:r w:rsidRPr="00E727F0">
        <w:rPr>
          <w:rFonts w:ascii="Verdana" w:eastAsia="Times New Roman" w:hAnsi="Verdana" w:cs="Times New Roman"/>
        </w:rPr>
        <w:t>Uno de los incentivos centrales que el Decreto 0287 de 2026 establece en favor de los partícipes del sistema es el puntaje adicional del 2%, previsto en el artículo 2.2.1.2.4.2.7.4. del Decreto 1082 de 2015 (modificado). Este puntaje puede obtenerse acreditando cualquiera de las dos condiciones que la norma contempla: ser emprendimiento o empresa de PcD, conforme a las categorías del artículo 2.2.1.2.4.2.6., o ser empleador de PcD que supere los mínimos de vinculación exigidos por la Ley 2466 de 2025 (Reforma Laboral). Sin embargo, el hecho de que ambas condiciones puedan acreditarse simultáneamente no significa que el puntaje sea acumulable. El mismo artículo es explícito al disponer que:</w:t>
      </w:r>
    </w:p>
    <w:p w14:paraId="3B3982BC" w14:textId="77777777" w:rsidR="003A1BAC" w:rsidRPr="00FE07F8" w:rsidRDefault="003A1BAC" w:rsidP="003A1BAC">
      <w:pPr>
        <w:spacing w:before="120" w:after="120" w:line="240" w:lineRule="auto"/>
        <w:ind w:left="709" w:right="709"/>
        <w:jc w:val="both"/>
        <w:rPr>
          <w:rFonts w:ascii="Verdana" w:hAnsi="Verdana"/>
          <w:sz w:val="21"/>
          <w:szCs w:val="21"/>
        </w:rPr>
      </w:pPr>
      <w:r w:rsidRPr="00FE07F8">
        <w:rPr>
          <w:rFonts w:ascii="Verdana" w:eastAsia="Times New Roman" w:hAnsi="Verdana" w:cs="Times New Roman"/>
          <w:i/>
          <w:iCs/>
          <w:sz w:val="21"/>
          <w:szCs w:val="21"/>
        </w:rPr>
        <w:t>"El proponente podrá acreditar alguna de las situaciones mencionadas, y en todo caso el puntaje adicional total y único a otorgar por este criterio será del dos por ciento (2%), sin que sean acumulables a efecto de la evaluación de la oferta."</w:t>
      </w:r>
    </w:p>
    <w:p w14:paraId="285932CD" w14:textId="77777777" w:rsidR="003A1BAC" w:rsidRPr="00206556" w:rsidRDefault="003A1BAC" w:rsidP="003A1BAC">
      <w:pPr>
        <w:spacing w:after="120" w:line="276" w:lineRule="auto"/>
        <w:ind w:firstLine="709"/>
        <w:jc w:val="both"/>
        <w:rPr>
          <w:rFonts w:ascii="Verdana" w:hAnsi="Verdana"/>
        </w:rPr>
      </w:pPr>
      <w:r w:rsidRPr="00E727F0">
        <w:rPr>
          <w:rFonts w:ascii="Verdana" w:eastAsia="Times New Roman" w:hAnsi="Verdana" w:cs="Times New Roman"/>
        </w:rPr>
        <w:lastRenderedPageBreak/>
        <w:t>Esta decisión normativa responde a una razón de diseño del sistema: el 2% ya incorpora el estímulo suficiente para promover la inclusión de PcD, y permitir su acumulación distorsionaría la evaluación de las ofertas en perjuicio de la pluralidad de oferentes y de la selección objetiva, que son principios rectores de la contratación estatal. Es importante distinguir entre la acreditación de condiciones y el puntaje resultante: el proponente puede acreditar varias condiciones al mismo tiempo, pero el puntaje que recibe siempre será el 2%, sin variación. En términos prácticos, en una licitación de 1.000 puntos el 2% equivale a 20 puntos adicionales, ventaja que puede ser determinante en escenarios de puntuaciones cercanas.</w:t>
      </w:r>
    </w:p>
    <w:p w14:paraId="00FEA769" w14:textId="77777777" w:rsidR="003A1BAC" w:rsidRPr="00D22B7C" w:rsidRDefault="003A1BAC" w:rsidP="003A1BAC">
      <w:pPr>
        <w:spacing w:after="120" w:line="276" w:lineRule="auto"/>
        <w:ind w:firstLine="709"/>
        <w:jc w:val="both"/>
        <w:rPr>
          <w:rFonts w:ascii="Verdana" w:hAnsi="Verdana"/>
        </w:rPr>
      </w:pPr>
      <w:r w:rsidRPr="00206556">
        <w:rPr>
          <w:rFonts w:ascii="Verdana" w:eastAsia="Times New Roman" w:hAnsi="Verdana" w:cs="Times New Roman"/>
        </w:rPr>
        <w:t xml:space="preserve">(iii) </w:t>
      </w:r>
      <w:r w:rsidRPr="00D22B7C">
        <w:rPr>
          <w:rFonts w:ascii="Verdana" w:eastAsia="Times New Roman" w:hAnsi="Verdana" w:cs="Times New Roman"/>
        </w:rPr>
        <w:t xml:space="preserve">En cuanto </w:t>
      </w:r>
      <w:r>
        <w:rPr>
          <w:rFonts w:ascii="Verdana" w:eastAsia="Times New Roman" w:hAnsi="Verdana" w:cs="Times New Roman"/>
        </w:rPr>
        <w:t>a las condiciones para acceder al puntaje, e</w:t>
      </w:r>
      <w:r w:rsidRPr="006E7113">
        <w:rPr>
          <w:rFonts w:ascii="Verdana" w:eastAsia="Times New Roman" w:hAnsi="Verdana" w:cs="Times New Roman"/>
        </w:rPr>
        <w:t xml:space="preserve">l artículo 2.2.1.2.4.2.7.4. del Decreto 0287 de 2026 establece que para </w:t>
      </w:r>
      <w:r>
        <w:rPr>
          <w:rFonts w:ascii="Verdana" w:eastAsia="Times New Roman" w:hAnsi="Verdana" w:cs="Times New Roman"/>
        </w:rPr>
        <w:t>obtener los puntos</w:t>
      </w:r>
      <w:r w:rsidRPr="00D22B7C">
        <w:rPr>
          <w:rFonts w:ascii="Verdana" w:eastAsia="Times New Roman" w:hAnsi="Verdana" w:cs="Times New Roman"/>
        </w:rPr>
        <w:t xml:space="preserve"> adicional</w:t>
      </w:r>
      <w:r>
        <w:rPr>
          <w:rFonts w:ascii="Verdana" w:eastAsia="Times New Roman" w:hAnsi="Verdana" w:cs="Times New Roman"/>
        </w:rPr>
        <w:t>es se debe cumplir una de las siguientes condiciones: i) ser emprendimiento y empresa de personas con discapacidad, o ii) ser empleador</w:t>
      </w:r>
      <w:r w:rsidRPr="00D22B7C">
        <w:rPr>
          <w:rFonts w:ascii="Verdana" w:eastAsia="Times New Roman" w:hAnsi="Verdana" w:cs="Times New Roman"/>
        </w:rPr>
        <w:t xml:space="preserve"> de PcD,</w:t>
      </w:r>
      <w:r>
        <w:rPr>
          <w:rFonts w:ascii="Verdana" w:eastAsia="Times New Roman" w:hAnsi="Verdana" w:cs="Times New Roman"/>
        </w:rPr>
        <w:t xml:space="preserve"> y en este último caso</w:t>
      </w:r>
      <w:r w:rsidRPr="00D22B7C">
        <w:rPr>
          <w:rFonts w:ascii="Verdana" w:eastAsia="Times New Roman" w:hAnsi="Verdana" w:cs="Times New Roman"/>
        </w:rPr>
        <w:t xml:space="preserve"> el proponente debe acreditar dentro de su planta de personal la vinculación de personas con discapacidad mediante contrato laboral con dedicación exclusiva, superando los mínimos que exige la Ley 2466 de 2025 (Reforma Laboral). El número mínimo de PcD requerido varía según el tamaño de la planta de personal del proponente, conforme a la siguiente tabla:</w:t>
      </w:r>
    </w:p>
    <w:p w14:paraId="44691ED1" w14:textId="77777777" w:rsidR="003A1BAC" w:rsidRPr="00D22B7C" w:rsidRDefault="003A1BAC" w:rsidP="003A1BAC">
      <w:pPr>
        <w:spacing w:after="100"/>
        <w:rPr>
          <w:rFonts w:ascii="Verdana" w:hAnsi="Verdana"/>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67"/>
        <w:gridCol w:w="2828"/>
      </w:tblGrid>
      <w:tr w:rsidR="003A1BAC" w:rsidRPr="00D22B7C" w14:paraId="687D5046"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FD01032" w14:textId="77777777" w:rsidR="003A1BAC" w:rsidRPr="00D22B7C" w:rsidRDefault="003A1BAC" w:rsidP="002D3CDE">
            <w:pPr>
              <w:jc w:val="center"/>
              <w:rPr>
                <w:rFonts w:ascii="Verdana" w:hAnsi="Verdana"/>
              </w:rPr>
            </w:pPr>
            <w:r w:rsidRPr="00D22B7C">
              <w:rPr>
                <w:rFonts w:ascii="Verdana" w:eastAsia="Times New Roman" w:hAnsi="Verdana" w:cs="Times New Roman"/>
                <w:b/>
                <w:bCs/>
              </w:rPr>
              <w:t>Número total de trabajadores de la planta de personal del proponente</w:t>
            </w:r>
          </w:p>
        </w:tc>
        <w:tc>
          <w:tcPr>
            <w:tcW w:w="282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C0A0C0E" w14:textId="77777777" w:rsidR="003A1BAC" w:rsidRPr="00D22B7C" w:rsidRDefault="003A1BAC" w:rsidP="002D3CDE">
            <w:pPr>
              <w:jc w:val="center"/>
              <w:rPr>
                <w:rFonts w:ascii="Verdana" w:hAnsi="Verdana"/>
              </w:rPr>
            </w:pPr>
            <w:r w:rsidRPr="00D22B7C">
              <w:rPr>
                <w:rFonts w:ascii="Verdana" w:eastAsia="Times New Roman" w:hAnsi="Verdana" w:cs="Times New Roman"/>
                <w:b/>
                <w:bCs/>
              </w:rPr>
              <w:t>Número mínimo de trabajadores con discapacidad requerido</w:t>
            </w:r>
          </w:p>
        </w:tc>
      </w:tr>
      <w:tr w:rsidR="003A1BAC" w:rsidRPr="00D22B7C" w14:paraId="2AFD91E1"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2A7D6971" w14:textId="77777777" w:rsidR="003A1BAC" w:rsidRPr="00D22B7C" w:rsidRDefault="003A1BAC" w:rsidP="002D3CDE">
            <w:pPr>
              <w:jc w:val="center"/>
              <w:rPr>
                <w:rFonts w:ascii="Verdana" w:hAnsi="Verdana"/>
              </w:rPr>
            </w:pPr>
            <w:r w:rsidRPr="00D22B7C">
              <w:rPr>
                <w:rFonts w:ascii="Verdana" w:eastAsia="Times New Roman" w:hAnsi="Verdana" w:cs="Times New Roman"/>
              </w:rPr>
              <w:t>Entre 1 y 30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2842EFFD" w14:textId="77777777" w:rsidR="003A1BAC" w:rsidRPr="00D22B7C" w:rsidRDefault="003A1BAC" w:rsidP="002D3CDE">
            <w:pPr>
              <w:jc w:val="center"/>
              <w:rPr>
                <w:rFonts w:ascii="Verdana" w:hAnsi="Verdana"/>
              </w:rPr>
            </w:pPr>
            <w:r w:rsidRPr="00D22B7C">
              <w:rPr>
                <w:rFonts w:ascii="Verdana" w:eastAsia="Times New Roman" w:hAnsi="Verdana" w:cs="Times New Roman"/>
              </w:rPr>
              <w:t>2</w:t>
            </w:r>
          </w:p>
        </w:tc>
      </w:tr>
      <w:tr w:rsidR="003A1BAC" w:rsidRPr="00D22B7C" w14:paraId="34C6D02C"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5CD23DD4" w14:textId="77777777" w:rsidR="003A1BAC" w:rsidRPr="00D22B7C" w:rsidRDefault="003A1BAC" w:rsidP="002D3CDE">
            <w:pPr>
              <w:jc w:val="center"/>
              <w:rPr>
                <w:rFonts w:ascii="Verdana" w:hAnsi="Verdana"/>
              </w:rPr>
            </w:pPr>
            <w:r w:rsidRPr="00D22B7C">
              <w:rPr>
                <w:rFonts w:ascii="Verdana" w:eastAsia="Times New Roman" w:hAnsi="Verdana" w:cs="Times New Roman"/>
              </w:rPr>
              <w:t>Entre 31 y 100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089AC6BC" w14:textId="77777777" w:rsidR="003A1BAC" w:rsidRPr="00D22B7C" w:rsidRDefault="003A1BAC" w:rsidP="002D3CDE">
            <w:pPr>
              <w:jc w:val="center"/>
              <w:rPr>
                <w:rFonts w:ascii="Verdana" w:hAnsi="Verdana"/>
              </w:rPr>
            </w:pPr>
            <w:r w:rsidRPr="00D22B7C">
              <w:rPr>
                <w:rFonts w:ascii="Verdana" w:eastAsia="Times New Roman" w:hAnsi="Verdana" w:cs="Times New Roman"/>
              </w:rPr>
              <w:t>3</w:t>
            </w:r>
          </w:p>
        </w:tc>
      </w:tr>
      <w:tr w:rsidR="003A1BAC" w:rsidRPr="00D22B7C" w14:paraId="7A8DF6F4"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4A2CF276" w14:textId="77777777" w:rsidR="003A1BAC" w:rsidRPr="00D22B7C" w:rsidRDefault="003A1BAC" w:rsidP="002D3CDE">
            <w:pPr>
              <w:jc w:val="center"/>
              <w:rPr>
                <w:rFonts w:ascii="Verdana" w:hAnsi="Verdana"/>
              </w:rPr>
            </w:pPr>
            <w:r w:rsidRPr="00D22B7C">
              <w:rPr>
                <w:rFonts w:ascii="Verdana" w:eastAsia="Times New Roman" w:hAnsi="Verdana" w:cs="Times New Roman"/>
              </w:rPr>
              <w:t>Entre 101 y 150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395E87D6" w14:textId="77777777" w:rsidR="003A1BAC" w:rsidRPr="00D22B7C" w:rsidRDefault="003A1BAC" w:rsidP="002D3CDE">
            <w:pPr>
              <w:jc w:val="center"/>
              <w:rPr>
                <w:rFonts w:ascii="Verdana" w:hAnsi="Verdana"/>
              </w:rPr>
            </w:pPr>
            <w:r w:rsidRPr="00D22B7C">
              <w:rPr>
                <w:rFonts w:ascii="Verdana" w:eastAsia="Times New Roman" w:hAnsi="Verdana" w:cs="Times New Roman"/>
              </w:rPr>
              <w:t>4</w:t>
            </w:r>
          </w:p>
        </w:tc>
      </w:tr>
      <w:tr w:rsidR="003A1BAC" w:rsidRPr="00D22B7C" w14:paraId="6CE6E564"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3347E328" w14:textId="77777777" w:rsidR="003A1BAC" w:rsidRPr="00D22B7C" w:rsidRDefault="003A1BAC" w:rsidP="002D3CDE">
            <w:pPr>
              <w:jc w:val="center"/>
              <w:rPr>
                <w:rFonts w:ascii="Verdana" w:hAnsi="Verdana"/>
              </w:rPr>
            </w:pPr>
            <w:r w:rsidRPr="00D22B7C">
              <w:rPr>
                <w:rFonts w:ascii="Verdana" w:eastAsia="Times New Roman" w:hAnsi="Verdana" w:cs="Times New Roman"/>
              </w:rPr>
              <w:t>Entre 151 y 200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67E23A63" w14:textId="77777777" w:rsidR="003A1BAC" w:rsidRPr="00D22B7C" w:rsidRDefault="003A1BAC" w:rsidP="002D3CDE">
            <w:pPr>
              <w:jc w:val="center"/>
              <w:rPr>
                <w:rFonts w:ascii="Verdana" w:hAnsi="Verdana"/>
              </w:rPr>
            </w:pPr>
            <w:r w:rsidRPr="00D22B7C">
              <w:rPr>
                <w:rFonts w:ascii="Verdana" w:eastAsia="Times New Roman" w:hAnsi="Verdana" w:cs="Times New Roman"/>
              </w:rPr>
              <w:t>5</w:t>
            </w:r>
          </w:p>
        </w:tc>
      </w:tr>
      <w:tr w:rsidR="003A1BAC" w:rsidRPr="00D22B7C" w14:paraId="417DA4E2"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70FB3013" w14:textId="77777777" w:rsidR="003A1BAC" w:rsidRPr="00D22B7C" w:rsidRDefault="003A1BAC" w:rsidP="002D3CDE">
            <w:pPr>
              <w:jc w:val="center"/>
              <w:rPr>
                <w:rFonts w:ascii="Verdana" w:hAnsi="Verdana"/>
              </w:rPr>
            </w:pPr>
            <w:r w:rsidRPr="00D22B7C">
              <w:rPr>
                <w:rFonts w:ascii="Verdana" w:eastAsia="Times New Roman" w:hAnsi="Verdana" w:cs="Times New Roman"/>
              </w:rPr>
              <w:t>Entre 201 y 300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6F7047C1" w14:textId="77777777" w:rsidR="003A1BAC" w:rsidRPr="00D22B7C" w:rsidRDefault="003A1BAC" w:rsidP="002D3CDE">
            <w:pPr>
              <w:jc w:val="center"/>
              <w:rPr>
                <w:rFonts w:ascii="Verdana" w:hAnsi="Verdana"/>
              </w:rPr>
            </w:pPr>
            <w:r w:rsidRPr="00D22B7C">
              <w:rPr>
                <w:rFonts w:ascii="Verdana" w:eastAsia="Times New Roman" w:hAnsi="Verdana" w:cs="Times New Roman"/>
              </w:rPr>
              <w:t>7</w:t>
            </w:r>
          </w:p>
        </w:tc>
      </w:tr>
      <w:tr w:rsidR="003A1BAC" w:rsidRPr="00D22B7C" w14:paraId="7B8D7030"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0C2B4FFD" w14:textId="77777777" w:rsidR="003A1BAC" w:rsidRPr="00D22B7C" w:rsidRDefault="003A1BAC" w:rsidP="002D3CDE">
            <w:pPr>
              <w:jc w:val="center"/>
              <w:rPr>
                <w:rFonts w:ascii="Verdana" w:hAnsi="Verdana"/>
              </w:rPr>
            </w:pPr>
            <w:r w:rsidRPr="00D22B7C">
              <w:rPr>
                <w:rFonts w:ascii="Verdana" w:eastAsia="Times New Roman" w:hAnsi="Verdana" w:cs="Times New Roman"/>
              </w:rPr>
              <w:lastRenderedPageBreak/>
              <w:t>Entre 301 y 400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74A8673C" w14:textId="77777777" w:rsidR="003A1BAC" w:rsidRPr="00D22B7C" w:rsidRDefault="003A1BAC" w:rsidP="002D3CDE">
            <w:pPr>
              <w:jc w:val="center"/>
              <w:rPr>
                <w:rFonts w:ascii="Verdana" w:hAnsi="Verdana"/>
              </w:rPr>
            </w:pPr>
            <w:r w:rsidRPr="00D22B7C">
              <w:rPr>
                <w:rFonts w:ascii="Verdana" w:eastAsia="Times New Roman" w:hAnsi="Verdana" w:cs="Times New Roman"/>
              </w:rPr>
              <w:t>10</w:t>
            </w:r>
          </w:p>
        </w:tc>
      </w:tr>
      <w:tr w:rsidR="003A1BAC" w:rsidRPr="00D22B7C" w14:paraId="6FDFA5E6"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7C15EA54" w14:textId="77777777" w:rsidR="003A1BAC" w:rsidRPr="00D22B7C" w:rsidRDefault="003A1BAC" w:rsidP="002D3CDE">
            <w:pPr>
              <w:jc w:val="center"/>
              <w:rPr>
                <w:rFonts w:ascii="Verdana" w:hAnsi="Verdana"/>
              </w:rPr>
            </w:pPr>
            <w:r w:rsidRPr="00D22B7C">
              <w:rPr>
                <w:rFonts w:ascii="Verdana" w:eastAsia="Times New Roman" w:hAnsi="Verdana" w:cs="Times New Roman"/>
              </w:rPr>
              <w:t>Entre 401 y 500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6FCB9352" w14:textId="77777777" w:rsidR="003A1BAC" w:rsidRPr="00D22B7C" w:rsidRDefault="003A1BAC" w:rsidP="002D3CDE">
            <w:pPr>
              <w:jc w:val="center"/>
              <w:rPr>
                <w:rFonts w:ascii="Verdana" w:hAnsi="Verdana"/>
              </w:rPr>
            </w:pPr>
            <w:r w:rsidRPr="00D22B7C">
              <w:rPr>
                <w:rFonts w:ascii="Verdana" w:eastAsia="Times New Roman" w:hAnsi="Verdana" w:cs="Times New Roman"/>
              </w:rPr>
              <w:t>12</w:t>
            </w:r>
          </w:p>
        </w:tc>
      </w:tr>
      <w:tr w:rsidR="003A1BAC" w:rsidRPr="00D22B7C" w14:paraId="17570C64"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71EC6528" w14:textId="77777777" w:rsidR="003A1BAC" w:rsidRPr="00D22B7C" w:rsidRDefault="003A1BAC" w:rsidP="002D3CDE">
            <w:pPr>
              <w:jc w:val="center"/>
              <w:rPr>
                <w:rFonts w:ascii="Verdana" w:hAnsi="Verdana"/>
              </w:rPr>
            </w:pPr>
            <w:r w:rsidRPr="00D22B7C">
              <w:rPr>
                <w:rFonts w:ascii="Verdana" w:eastAsia="Times New Roman" w:hAnsi="Verdana" w:cs="Times New Roman"/>
              </w:rPr>
              <w:t>Entre 501 y 600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14F1B26F" w14:textId="77777777" w:rsidR="003A1BAC" w:rsidRPr="00D22B7C" w:rsidRDefault="003A1BAC" w:rsidP="002D3CDE">
            <w:pPr>
              <w:jc w:val="center"/>
              <w:rPr>
                <w:rFonts w:ascii="Verdana" w:hAnsi="Verdana"/>
              </w:rPr>
            </w:pPr>
            <w:r w:rsidRPr="00D22B7C">
              <w:rPr>
                <w:rFonts w:ascii="Verdana" w:eastAsia="Times New Roman" w:hAnsi="Verdana" w:cs="Times New Roman"/>
              </w:rPr>
              <w:t>14</w:t>
            </w:r>
          </w:p>
        </w:tc>
      </w:tr>
      <w:tr w:rsidR="003A1BAC" w:rsidRPr="00D22B7C" w14:paraId="5EC404AB"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0183176C" w14:textId="77777777" w:rsidR="003A1BAC" w:rsidRPr="00D22B7C" w:rsidRDefault="003A1BAC" w:rsidP="002D3CDE">
            <w:pPr>
              <w:jc w:val="center"/>
              <w:rPr>
                <w:rFonts w:ascii="Verdana" w:hAnsi="Verdana"/>
              </w:rPr>
            </w:pPr>
            <w:r w:rsidRPr="00D22B7C">
              <w:rPr>
                <w:rFonts w:ascii="Verdana" w:eastAsia="Times New Roman" w:hAnsi="Verdana" w:cs="Times New Roman"/>
              </w:rPr>
              <w:t>Entre 601 y 700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1D263B77" w14:textId="77777777" w:rsidR="003A1BAC" w:rsidRPr="00D22B7C" w:rsidRDefault="003A1BAC" w:rsidP="002D3CDE">
            <w:pPr>
              <w:jc w:val="center"/>
              <w:rPr>
                <w:rFonts w:ascii="Verdana" w:hAnsi="Verdana"/>
              </w:rPr>
            </w:pPr>
            <w:r w:rsidRPr="00D22B7C">
              <w:rPr>
                <w:rFonts w:ascii="Verdana" w:eastAsia="Times New Roman" w:hAnsi="Verdana" w:cs="Times New Roman"/>
              </w:rPr>
              <w:t>16</w:t>
            </w:r>
          </w:p>
        </w:tc>
      </w:tr>
      <w:tr w:rsidR="003A1BAC" w:rsidRPr="00D22B7C" w14:paraId="49819B5E" w14:textId="77777777" w:rsidTr="002D3CDE">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20F4018E" w14:textId="77777777" w:rsidR="003A1BAC" w:rsidRPr="00D22B7C" w:rsidRDefault="003A1BAC" w:rsidP="002D3CDE">
            <w:pPr>
              <w:jc w:val="center"/>
              <w:rPr>
                <w:rFonts w:ascii="Verdana" w:hAnsi="Verdana"/>
              </w:rPr>
            </w:pPr>
            <w:r w:rsidRPr="00D22B7C">
              <w:rPr>
                <w:rFonts w:ascii="Verdana" w:eastAsia="Times New Roman" w:hAnsi="Verdana" w:cs="Times New Roman"/>
              </w:rPr>
              <w:t>Más de 700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4BEC7642" w14:textId="77777777" w:rsidR="003A1BAC" w:rsidRPr="00D22B7C" w:rsidRDefault="003A1BAC" w:rsidP="002D3CDE">
            <w:pPr>
              <w:jc w:val="center"/>
              <w:rPr>
                <w:rFonts w:ascii="Verdana" w:hAnsi="Verdana"/>
              </w:rPr>
            </w:pPr>
            <w:r w:rsidRPr="00D22B7C">
              <w:rPr>
                <w:rFonts w:ascii="Verdana" w:eastAsia="Times New Roman" w:hAnsi="Verdana" w:cs="Times New Roman"/>
              </w:rPr>
              <w:t>Por cada 100 trabajadores adicionales, se suman 2 trabajadores con discapacidad</w:t>
            </w:r>
          </w:p>
        </w:tc>
      </w:tr>
    </w:tbl>
    <w:p w14:paraId="0C323361" w14:textId="77777777" w:rsidR="003A1BAC" w:rsidRPr="00D22B7C" w:rsidRDefault="003A1BAC" w:rsidP="003A1BAC">
      <w:pPr>
        <w:spacing w:after="0" w:line="276" w:lineRule="auto"/>
        <w:rPr>
          <w:rFonts w:ascii="Verdana" w:hAnsi="Verdana"/>
        </w:rPr>
      </w:pPr>
    </w:p>
    <w:p w14:paraId="7CE9B5A0" w14:textId="77777777" w:rsidR="003A1BAC" w:rsidRPr="00D22B7C" w:rsidRDefault="003A1BAC" w:rsidP="003A1BAC">
      <w:pPr>
        <w:spacing w:after="120" w:line="276" w:lineRule="auto"/>
        <w:ind w:firstLine="709"/>
        <w:jc w:val="both"/>
        <w:rPr>
          <w:rFonts w:ascii="Verdana" w:hAnsi="Verdana"/>
        </w:rPr>
      </w:pPr>
      <w:r w:rsidRPr="00D22B7C">
        <w:rPr>
          <w:rFonts w:ascii="Verdana" w:eastAsia="Times New Roman" w:hAnsi="Verdana" w:cs="Times New Roman"/>
        </w:rPr>
        <w:t>El puntaje no se otorga por cumplir la ley sino por superarla: solo el proponente que acredite un número de PcD vinculadas igual o superior al indicado en la tabla tendrá derecho al puntaje adicional del 2%. Esta precisión es relevante porque evita que el proponente confunda el mínimo legal de vinculación con el umbral exigido para acceder al beneficio contractual. Cuando se trate de un proponente plural, se tomará en cuenta únicamente la planta de personal del integrante con mayor participación porcentual en el consorcio o unión temporal</w:t>
      </w:r>
      <w:r>
        <w:rPr>
          <w:rFonts w:ascii="Verdana" w:eastAsia="Times New Roman" w:hAnsi="Verdana" w:cs="Times New Roman"/>
        </w:rPr>
        <w:t>, sin que se exija el aporte de experiencia</w:t>
      </w:r>
      <w:r w:rsidRPr="00D22B7C">
        <w:rPr>
          <w:rFonts w:ascii="Verdana" w:eastAsia="Times New Roman" w:hAnsi="Verdana" w:cs="Times New Roman"/>
        </w:rPr>
        <w:t>.</w:t>
      </w:r>
    </w:p>
    <w:p w14:paraId="2CE9AD78" w14:textId="77777777" w:rsidR="003A1BAC" w:rsidRDefault="003A1BAC" w:rsidP="003A1BAC">
      <w:pPr>
        <w:spacing w:after="120" w:line="276" w:lineRule="auto"/>
        <w:ind w:firstLine="708"/>
        <w:jc w:val="both"/>
        <w:rPr>
          <w:rFonts w:ascii="Verdana" w:eastAsia="Times New Roman" w:hAnsi="Verdana" w:cs="Times New Roman"/>
        </w:rPr>
      </w:pPr>
      <w:r>
        <w:rPr>
          <w:rFonts w:ascii="Verdana" w:eastAsia="Times New Roman" w:hAnsi="Verdana" w:cs="Times New Roman"/>
        </w:rPr>
        <w:t>Por otra parte, respecto de la calidad de emprendimiento y empresa de persona con discapacidad el decreto dispone 4 categorías en las que una persona natural o jurídica tendrá esa calidad:</w:t>
      </w:r>
    </w:p>
    <w:p w14:paraId="1BB08F44" w14:textId="77777777" w:rsidR="003A1BAC" w:rsidRPr="00E4530E" w:rsidRDefault="003A1BAC" w:rsidP="003A1BAC">
      <w:pPr>
        <w:spacing w:before="120" w:after="120" w:line="240" w:lineRule="auto"/>
        <w:ind w:left="709" w:right="709"/>
        <w:jc w:val="both"/>
        <w:rPr>
          <w:rFonts w:ascii="Verdana" w:eastAsia="Times New Roman" w:hAnsi="Verdana" w:cs="Times New Roman"/>
          <w:i/>
          <w:iCs/>
          <w:sz w:val="21"/>
          <w:szCs w:val="21"/>
        </w:rPr>
      </w:pPr>
      <w:r w:rsidRPr="00E4530E">
        <w:rPr>
          <w:rFonts w:ascii="Verdana" w:eastAsia="Times New Roman" w:hAnsi="Verdana" w:cs="Times New Roman"/>
          <w:i/>
          <w:iCs/>
          <w:sz w:val="21"/>
          <w:szCs w:val="21"/>
        </w:rPr>
        <w:t>“</w:t>
      </w:r>
      <w:r>
        <w:rPr>
          <w:rFonts w:ascii="Verdana" w:eastAsia="Times New Roman" w:hAnsi="Verdana" w:cs="Times New Roman"/>
          <w:i/>
          <w:iCs/>
          <w:sz w:val="21"/>
          <w:szCs w:val="21"/>
        </w:rPr>
        <w:t>(…)</w:t>
      </w:r>
      <w:r w:rsidRPr="00E4530E">
        <w:rPr>
          <w:rFonts w:ascii="Verdana" w:eastAsia="Times New Roman" w:hAnsi="Verdana" w:cs="Times New Roman"/>
          <w:i/>
          <w:iCs/>
          <w:sz w:val="21"/>
          <w:szCs w:val="21"/>
        </w:rPr>
        <w:t>1) Personas naturales con discapacidad que ejerzan una profesión liberal. Esta circunstancia se acreditará mediante la copia de cedula de ciudadanía, la cedula de extranjería o el pasaporte, el certificado de discapacidad expedido de acuerdo con la normativa del Ministerio de Salud y Protección Social, así coma el título profesional correspondiente.</w:t>
      </w:r>
    </w:p>
    <w:p w14:paraId="5F74DFCB" w14:textId="77777777" w:rsidR="003A1BAC" w:rsidRPr="00E4530E" w:rsidRDefault="003A1BAC" w:rsidP="003A1BAC">
      <w:pPr>
        <w:spacing w:before="120" w:after="120" w:line="240" w:lineRule="auto"/>
        <w:ind w:left="709" w:right="709"/>
        <w:jc w:val="both"/>
        <w:rPr>
          <w:rFonts w:ascii="Verdana" w:eastAsia="Times New Roman" w:hAnsi="Verdana" w:cs="Times New Roman"/>
          <w:i/>
          <w:iCs/>
          <w:sz w:val="21"/>
          <w:szCs w:val="21"/>
        </w:rPr>
      </w:pPr>
      <w:r w:rsidRPr="00E4530E">
        <w:rPr>
          <w:rFonts w:ascii="Verdana" w:eastAsia="Times New Roman" w:hAnsi="Verdana" w:cs="Times New Roman"/>
          <w:i/>
          <w:iCs/>
          <w:sz w:val="21"/>
          <w:szCs w:val="21"/>
        </w:rPr>
        <w:t xml:space="preserve">2) Personas naturales con discapacidad que hayan realizado actividades comerciales a través de un establecimiento de comercio, durante al menos el último año anterior a la fecha de cierre del proceso de selección. Esta circunstancia se acreditará mediante la copia de cedula de ciudadanía, la cedula de extranjera o el pasaporte, el certificado de discapacidad expedido de acuerdo con la normativa del </w:t>
      </w:r>
      <w:r w:rsidRPr="00E4530E">
        <w:rPr>
          <w:rFonts w:ascii="Verdana" w:eastAsia="Times New Roman" w:hAnsi="Verdana" w:cs="Times New Roman"/>
          <w:i/>
          <w:iCs/>
          <w:sz w:val="21"/>
          <w:szCs w:val="21"/>
        </w:rPr>
        <w:lastRenderedPageBreak/>
        <w:t>Ministerio de Salud y Protección Social, así coma la copia del registro mercantil.</w:t>
      </w:r>
    </w:p>
    <w:p w14:paraId="21BA6283" w14:textId="77777777" w:rsidR="003A1BAC" w:rsidRPr="00E4530E" w:rsidRDefault="003A1BAC" w:rsidP="003A1BAC">
      <w:pPr>
        <w:spacing w:before="120" w:after="120" w:line="240" w:lineRule="auto"/>
        <w:ind w:left="709" w:right="709"/>
        <w:jc w:val="both"/>
        <w:rPr>
          <w:rFonts w:ascii="Verdana" w:eastAsia="Times New Roman" w:hAnsi="Verdana" w:cs="Times New Roman"/>
          <w:i/>
          <w:iCs/>
          <w:sz w:val="21"/>
          <w:szCs w:val="21"/>
        </w:rPr>
      </w:pPr>
      <w:r w:rsidRPr="00E4530E">
        <w:rPr>
          <w:rFonts w:ascii="Verdana" w:eastAsia="Times New Roman" w:hAnsi="Verdana" w:cs="Times New Roman"/>
          <w:i/>
          <w:iCs/>
          <w:sz w:val="21"/>
          <w:szCs w:val="21"/>
        </w:rPr>
        <w:t>3) Personas jurídicas donde más del cincuenta por ciento (50%) de sus acciones, partes de interés o cuotas de participación pertenezcan a personas con discapacidad y los derechos de propiedad hayan pertenecido a estas durante al menos el último año anterior a la fecha de cierre del Proceso de Selección.</w:t>
      </w:r>
    </w:p>
    <w:p w14:paraId="0662076C" w14:textId="77777777" w:rsidR="003A1BAC" w:rsidRPr="00E4530E" w:rsidRDefault="003A1BAC" w:rsidP="003A1BAC">
      <w:pPr>
        <w:spacing w:before="120" w:after="120" w:line="240" w:lineRule="auto"/>
        <w:ind w:left="709" w:right="709"/>
        <w:jc w:val="both"/>
        <w:rPr>
          <w:rFonts w:ascii="Verdana" w:eastAsia="Times New Roman" w:hAnsi="Verdana" w:cs="Times New Roman"/>
          <w:i/>
          <w:iCs/>
          <w:sz w:val="21"/>
          <w:szCs w:val="21"/>
        </w:rPr>
      </w:pPr>
      <w:r w:rsidRPr="00E4530E">
        <w:rPr>
          <w:rFonts w:ascii="Verdana" w:eastAsia="Times New Roman" w:hAnsi="Verdana" w:cs="Times New Roman"/>
          <w:i/>
          <w:iCs/>
          <w:sz w:val="21"/>
          <w:szCs w:val="21"/>
        </w:rPr>
        <w:t>La circunstancia de la propiedad de la persona jurídica se acreditará mediante certificación expedida por el representante legal y el revisor fiscal, cuando exista, de acuerdo con los requerimientos de ley o, el contador, donde conste la distribución de l</w:t>
      </w:r>
      <w:r>
        <w:rPr>
          <w:rFonts w:ascii="Verdana" w:eastAsia="Times New Roman" w:hAnsi="Verdana" w:cs="Times New Roman"/>
          <w:i/>
          <w:iCs/>
          <w:sz w:val="21"/>
          <w:szCs w:val="21"/>
        </w:rPr>
        <w:t>o</w:t>
      </w:r>
      <w:r w:rsidRPr="00E4530E">
        <w:rPr>
          <w:rFonts w:ascii="Verdana" w:eastAsia="Times New Roman" w:hAnsi="Verdana" w:cs="Times New Roman"/>
          <w:i/>
          <w:iCs/>
          <w:sz w:val="21"/>
          <w:szCs w:val="21"/>
        </w:rPr>
        <w:t>s derechos en la sociedad y el tiempo en el que las personas con discapacidad han mantenido su participación. Adicionalmente se debe adjuntar la copia de cedula de ciudadanía, la cedula de extranjera o el pasaporte, el certificado de discapacidad expedido de acuerdo con la normativa del Ministerio de Salud y Protección Social, así como la copia del certificado de existencia y representación legal.</w:t>
      </w:r>
    </w:p>
    <w:p w14:paraId="79C366D0" w14:textId="77777777" w:rsidR="003A1BAC" w:rsidRPr="00E4530E" w:rsidRDefault="003A1BAC" w:rsidP="003A1BAC">
      <w:pPr>
        <w:spacing w:before="120" w:after="120" w:line="240" w:lineRule="auto"/>
        <w:ind w:left="709" w:right="709"/>
        <w:jc w:val="both"/>
        <w:rPr>
          <w:rFonts w:ascii="Verdana" w:eastAsia="Times New Roman" w:hAnsi="Verdana" w:cs="Times New Roman"/>
          <w:i/>
          <w:iCs/>
          <w:sz w:val="21"/>
          <w:szCs w:val="21"/>
        </w:rPr>
      </w:pPr>
      <w:r w:rsidRPr="00E4530E">
        <w:rPr>
          <w:rFonts w:ascii="Verdana" w:eastAsia="Times New Roman" w:hAnsi="Verdana" w:cs="Times New Roman"/>
          <w:i/>
          <w:iCs/>
          <w:sz w:val="21"/>
          <w:szCs w:val="21"/>
        </w:rPr>
        <w:t>4) Personas jurídicas que tengan vinculadas laboralmente al menos una persona con discapacidad en empleos del nivel directivo de la empresa durante al menos el último año anterior a la fecha de cierre del Proceso de Selección en el mismo cargo u otro del mismo nivel.</w:t>
      </w:r>
    </w:p>
    <w:p w14:paraId="584C3CB0" w14:textId="77777777" w:rsidR="003A1BAC" w:rsidRPr="00E4530E" w:rsidRDefault="003A1BAC" w:rsidP="003A1BAC">
      <w:pPr>
        <w:spacing w:before="120" w:after="120" w:line="240" w:lineRule="auto"/>
        <w:ind w:left="709" w:right="709"/>
        <w:jc w:val="both"/>
        <w:rPr>
          <w:rFonts w:ascii="Verdana" w:eastAsia="Times New Roman" w:hAnsi="Verdana" w:cs="Times New Roman"/>
          <w:i/>
          <w:iCs/>
          <w:sz w:val="21"/>
          <w:szCs w:val="21"/>
        </w:rPr>
      </w:pPr>
      <w:r w:rsidRPr="00E4530E">
        <w:rPr>
          <w:rFonts w:ascii="Verdana" w:eastAsia="Times New Roman" w:hAnsi="Verdana" w:cs="Times New Roman"/>
          <w:i/>
          <w:iCs/>
          <w:sz w:val="21"/>
          <w:szCs w:val="21"/>
        </w:rPr>
        <w:t>Por otra parte, se entenderá como empleos del nivel directivo aquellos cuyas funciones están relacionadas con la dirección de áreas misionales de la empresa y la toma de decisiones a nivel estratégico. En este sentido, serán cargos de nivel directivo los que dentro de la organización de la empresa se encuentran ubicados en un nivel de mando o los que por su jerarquía desempeñan cargos encaminados al cumplimiento de funciones orientadas a representar al empleador.</w:t>
      </w:r>
    </w:p>
    <w:p w14:paraId="7FC100FA" w14:textId="77777777" w:rsidR="003A1BAC" w:rsidRPr="00E4530E" w:rsidRDefault="003A1BAC" w:rsidP="003A1BAC">
      <w:pPr>
        <w:spacing w:before="120" w:after="120" w:line="240" w:lineRule="auto"/>
        <w:ind w:left="709" w:right="709"/>
        <w:jc w:val="both"/>
        <w:rPr>
          <w:rFonts w:ascii="Verdana" w:eastAsia="Times New Roman" w:hAnsi="Verdana" w:cs="Times New Roman"/>
          <w:i/>
          <w:iCs/>
          <w:sz w:val="21"/>
          <w:szCs w:val="21"/>
        </w:rPr>
      </w:pPr>
      <w:r w:rsidRPr="00E4530E">
        <w:rPr>
          <w:rFonts w:ascii="Verdana" w:eastAsia="Times New Roman" w:hAnsi="Verdana" w:cs="Times New Roman"/>
          <w:i/>
          <w:iCs/>
          <w:sz w:val="21"/>
          <w:szCs w:val="21"/>
        </w:rPr>
        <w:t>Esta circunstancia se acreditará mediante certificación expedida por el representante legal y el revisor fiscal, cuando exista de acuerdo con los requerimientos de ley, o el contador, donde se señale de manera detallada las personas con discapacidad que ocupan cargos de nivel directivo del proponente y el tiempo de vinculación.</w:t>
      </w:r>
    </w:p>
    <w:p w14:paraId="2A4F7D3E" w14:textId="77777777" w:rsidR="003A1BAC" w:rsidRDefault="003A1BAC" w:rsidP="003A1BAC">
      <w:pPr>
        <w:spacing w:before="120" w:after="120" w:line="240" w:lineRule="auto"/>
        <w:ind w:left="709" w:right="709"/>
        <w:jc w:val="both"/>
        <w:rPr>
          <w:rFonts w:ascii="Verdana" w:eastAsia="Times New Roman" w:hAnsi="Verdana" w:cs="Times New Roman"/>
          <w:i/>
          <w:iCs/>
          <w:sz w:val="21"/>
          <w:szCs w:val="21"/>
        </w:rPr>
      </w:pPr>
      <w:r w:rsidRPr="00E4530E">
        <w:rPr>
          <w:rFonts w:ascii="Verdana" w:eastAsia="Times New Roman" w:hAnsi="Verdana" w:cs="Times New Roman"/>
          <w:i/>
          <w:iCs/>
          <w:sz w:val="21"/>
          <w:szCs w:val="21"/>
        </w:rPr>
        <w:t xml:space="preserve">La certificación deberá relacionar el nombre completo y el número de documento de identidad de las personas con discapacidad que ocupan cargos de nivel directivo del proponente. Como soporte, se anexará copia de los respectivos documentos de identidad, copia de los contratos de trabajo o certificación laboral con las funciones, así como el certificado de aportes a seguridad social del último año en el que se demuestren los pagos realizados por el empleador, y el certificado de </w:t>
      </w:r>
      <w:r w:rsidRPr="00E4530E">
        <w:rPr>
          <w:rFonts w:ascii="Verdana" w:eastAsia="Times New Roman" w:hAnsi="Verdana" w:cs="Times New Roman"/>
          <w:i/>
          <w:iCs/>
          <w:sz w:val="21"/>
          <w:szCs w:val="21"/>
        </w:rPr>
        <w:lastRenderedPageBreak/>
        <w:t>discapacidad expedido de acuerdo con la normativa del Ministerio de Salud y Protección Social</w:t>
      </w:r>
      <w:r>
        <w:rPr>
          <w:rFonts w:ascii="Verdana" w:eastAsia="Times New Roman" w:hAnsi="Verdana" w:cs="Times New Roman"/>
          <w:i/>
          <w:iCs/>
          <w:sz w:val="21"/>
          <w:szCs w:val="21"/>
        </w:rPr>
        <w:t>”.</w:t>
      </w:r>
    </w:p>
    <w:p w14:paraId="4630CEBC" w14:textId="77777777" w:rsidR="00A22CA9" w:rsidRDefault="00A22CA9" w:rsidP="00A22CA9">
      <w:pPr>
        <w:spacing w:before="120" w:after="120" w:line="276" w:lineRule="auto"/>
        <w:ind w:firstLine="709"/>
        <w:jc w:val="both"/>
        <w:rPr>
          <w:rFonts w:ascii="Verdana" w:eastAsia="Calibri" w:hAnsi="Verdana" w:cs="Arial"/>
        </w:rPr>
      </w:pPr>
      <w:r>
        <w:rPr>
          <w:rFonts w:ascii="Verdana" w:eastAsia="Calibri" w:hAnsi="Verdana" w:cs="Arial"/>
        </w:rPr>
        <w:t>Por tanto, respecto de su pregunta sobre controlar que las personas con discapacidad pertenezcan al nivel directivo, la entidad contratante es la encargada de verificar con los documentos señalados anteriormente, que la persona con discapacidad si ejerza el cargo de nivel directivo teniendo en cuenta que:</w:t>
      </w:r>
    </w:p>
    <w:p w14:paraId="5977D1A5" w14:textId="77777777" w:rsidR="00A22CA9" w:rsidRPr="00F709A9" w:rsidRDefault="00A22CA9" w:rsidP="00A22CA9">
      <w:pPr>
        <w:spacing w:before="120" w:after="120" w:line="240" w:lineRule="auto"/>
        <w:ind w:left="709" w:right="709"/>
        <w:jc w:val="both"/>
        <w:rPr>
          <w:rFonts w:ascii="Verdana" w:eastAsia="Times New Roman" w:hAnsi="Verdana" w:cs="Times New Roman"/>
          <w:i/>
          <w:iCs/>
          <w:sz w:val="21"/>
          <w:szCs w:val="21"/>
        </w:rPr>
      </w:pPr>
      <w:r w:rsidRPr="00F709A9">
        <w:rPr>
          <w:rFonts w:ascii="Verdana" w:eastAsia="Times New Roman" w:hAnsi="Verdana" w:cs="Times New Roman"/>
          <w:i/>
          <w:iCs/>
          <w:sz w:val="21"/>
          <w:szCs w:val="21"/>
        </w:rPr>
        <w:t>“(…) Sobre la definición de empleo del nivel directivo es de indicar que, este depende de las funciones y de la organización interna de la persona jurídica, es decir, que la PcD debe, en ejercicio de su cargo, tomar decisiones estratégicas, dirigir áreas misionales o la posibilidad de representar al empleador que tenga la PcD.</w:t>
      </w:r>
    </w:p>
    <w:p w14:paraId="64B28E7E" w14:textId="77777777" w:rsidR="00A22CA9" w:rsidRPr="00F709A9" w:rsidRDefault="00A22CA9" w:rsidP="00A22CA9">
      <w:pPr>
        <w:spacing w:before="120" w:after="120" w:line="240" w:lineRule="auto"/>
        <w:ind w:left="709" w:right="709"/>
        <w:jc w:val="both"/>
        <w:rPr>
          <w:rFonts w:ascii="Verdana" w:eastAsia="Times New Roman" w:hAnsi="Verdana" w:cs="Times New Roman"/>
          <w:i/>
          <w:iCs/>
          <w:sz w:val="21"/>
          <w:szCs w:val="21"/>
        </w:rPr>
      </w:pPr>
      <w:r w:rsidRPr="00F709A9">
        <w:rPr>
          <w:rFonts w:ascii="Verdana" w:eastAsia="Times New Roman" w:hAnsi="Verdana" w:cs="Times New Roman"/>
          <w:i/>
          <w:iCs/>
          <w:sz w:val="21"/>
          <w:szCs w:val="21"/>
        </w:rPr>
        <w:t>Esto se acreditará con los documentos enlistados en la norma, y particularmente con el certificado del representante legal, revisor fiscal o contador acompañada de certificación laboral o copia del contrato laboral, y los aportes a seguridad social del último año, los cuales deberán acreditar con suficiencia la condición exigida”</w:t>
      </w:r>
      <w:r>
        <w:rPr>
          <w:rStyle w:val="Refdenotaalpie"/>
          <w:rFonts w:ascii="Verdana" w:eastAsia="Times New Roman" w:hAnsi="Verdana" w:cs="Times New Roman"/>
          <w:i/>
          <w:iCs/>
          <w:sz w:val="21"/>
          <w:szCs w:val="21"/>
        </w:rPr>
        <w:footnoteReference w:id="10"/>
      </w:r>
      <w:r w:rsidRPr="00F709A9">
        <w:rPr>
          <w:rFonts w:ascii="Verdana" w:eastAsia="Times New Roman" w:hAnsi="Verdana" w:cs="Times New Roman"/>
          <w:i/>
          <w:iCs/>
          <w:sz w:val="21"/>
          <w:szCs w:val="21"/>
        </w:rPr>
        <w:t>.</w:t>
      </w:r>
    </w:p>
    <w:p w14:paraId="311152AA" w14:textId="77777777" w:rsidR="00A22CA9" w:rsidRDefault="00A22CA9" w:rsidP="00A22CA9">
      <w:pPr>
        <w:spacing w:before="120" w:after="120" w:line="276" w:lineRule="auto"/>
        <w:ind w:firstLine="709"/>
        <w:jc w:val="both"/>
        <w:rPr>
          <w:rFonts w:ascii="Verdana" w:eastAsia="Calibri" w:hAnsi="Verdana" w:cs="Arial"/>
        </w:rPr>
      </w:pPr>
      <w:r w:rsidRPr="00D86808">
        <w:rPr>
          <w:rFonts w:ascii="Verdana" w:eastAsia="Calibri" w:hAnsi="Verdana" w:cs="Arial"/>
        </w:rPr>
        <w:t xml:space="preserve">Sin perjuicio de lo anterior, cuando la persona con discapacidad vinculada no ocupe un cargo del nivel directivo en los términos del numeral 4 del artículo 2.2.1.2.4.2.6, el proponente podrá verificar la procedencia del puntaje con fundamento en el numeral 2 del artículo 2.2.1.2.4.2.7.4. En este evento, deberá determinar el rango en el que se ubica su planta de personal para establecer el número mínimo de personas con discapacidad que deben encontrarse vinculadas laboralmente. </w:t>
      </w:r>
      <w:r>
        <w:rPr>
          <w:rFonts w:ascii="Verdana" w:eastAsia="Calibri" w:hAnsi="Verdana" w:cs="Arial"/>
        </w:rPr>
        <w:t>Al respecto, debe tenerse en cuenta que,</w:t>
      </w:r>
      <w:r w:rsidRPr="00D86808">
        <w:rPr>
          <w:rFonts w:ascii="Verdana" w:eastAsia="Calibri" w:hAnsi="Verdana" w:cs="Arial"/>
        </w:rPr>
        <w:t xml:space="preserve"> las empresas cuya planta de personal esté conformada entre uno (1) y treinta (30) trabajadores, la norma exige la vinculación de al menos dos (2) personas con discapacidad para acceder al puntaje adicional.</w:t>
      </w:r>
    </w:p>
    <w:p w14:paraId="656C8340" w14:textId="77777777" w:rsidR="003A1BAC" w:rsidRPr="00D22B7C" w:rsidRDefault="003A1BAC" w:rsidP="003A1BAC">
      <w:pPr>
        <w:spacing w:after="120" w:line="276" w:lineRule="auto"/>
        <w:ind w:firstLine="709"/>
        <w:jc w:val="both"/>
        <w:rPr>
          <w:rFonts w:ascii="Verdana" w:hAnsi="Verdana"/>
        </w:rPr>
      </w:pPr>
      <w:r w:rsidRPr="00206556">
        <w:rPr>
          <w:rFonts w:ascii="Verdana" w:hAnsi="Verdana"/>
        </w:rPr>
        <w:t>(</w:t>
      </w:r>
      <w:r>
        <w:rPr>
          <w:rFonts w:ascii="Verdana" w:hAnsi="Verdana"/>
        </w:rPr>
        <w:t>iv</w:t>
      </w:r>
      <w:r w:rsidRPr="00206556">
        <w:rPr>
          <w:rFonts w:ascii="Verdana" w:hAnsi="Verdana"/>
        </w:rPr>
        <w:t>) En relación, al ámbito de aplicación del puntaje adicional del 2%</w:t>
      </w:r>
      <w:r>
        <w:rPr>
          <w:rFonts w:ascii="Verdana" w:hAnsi="Verdana"/>
        </w:rPr>
        <w:t>, e</w:t>
      </w:r>
      <w:r w:rsidRPr="00206556">
        <w:rPr>
          <w:rFonts w:ascii="Verdana" w:hAnsi="Verdana"/>
        </w:rPr>
        <w:t xml:space="preserve">l artículo 2.2.1.2.4.2.7.4. del Decreto 0287 de 2026 establece este puntaje exclusivamente en los procedimientos de licitación pública y concurso de méritos, para entidades regidas por </w:t>
      </w:r>
      <w:r>
        <w:rPr>
          <w:rFonts w:ascii="Verdana" w:hAnsi="Verdana"/>
        </w:rPr>
        <w:t>el Estatuto General de Contratación Pública</w:t>
      </w:r>
      <w:r w:rsidRPr="00206556">
        <w:rPr>
          <w:rFonts w:ascii="Verdana" w:hAnsi="Verdana"/>
        </w:rPr>
        <w:t xml:space="preserve">. La restricción obedece a que el puntaje solo tiene lugar en procesos de selección competitiva con evaluación comparativa de propuestas; en la contratación </w:t>
      </w:r>
      <w:r w:rsidRPr="00206556">
        <w:rPr>
          <w:rFonts w:ascii="Verdana" w:hAnsi="Verdana"/>
        </w:rPr>
        <w:lastRenderedPageBreak/>
        <w:t xml:space="preserve">directa no hay concurrencia ni asignación de puntos, de modo que técnicamente no es posible aplicarlo. No obstante, la ausencia del puntaje en otras modalidades y regímenes no equivale a la ausencia de medidas afirmativas: los criterios habilitantes diferenciales aplican en régimen especial; las compras públicas accesibles y las condiciones especiales de ejecución aplican en todas las modalidades </w:t>
      </w:r>
      <w:r>
        <w:rPr>
          <w:rFonts w:ascii="Verdana" w:hAnsi="Verdana"/>
        </w:rPr>
        <w:t>de selección</w:t>
      </w:r>
      <w:r w:rsidRPr="00206556">
        <w:rPr>
          <w:rFonts w:ascii="Verdana" w:hAnsi="Verdana"/>
        </w:rPr>
        <w:t>; y la contratación directa tiene su propia medida afirmativa a través de los contratos de prestación de servicios con PcD.</w:t>
      </w:r>
    </w:p>
    <w:p w14:paraId="0EF41355" w14:textId="77777777" w:rsidR="003A1BAC" w:rsidRPr="00670CFB" w:rsidRDefault="003A1BAC" w:rsidP="003A1BAC">
      <w:pPr>
        <w:spacing w:after="120" w:line="276" w:lineRule="auto"/>
        <w:ind w:firstLine="709"/>
        <w:jc w:val="both"/>
        <w:rPr>
          <w:rFonts w:ascii="Verdana" w:hAnsi="Verdana"/>
        </w:rPr>
      </w:pPr>
      <w:r w:rsidRPr="00206556">
        <w:rPr>
          <w:rFonts w:ascii="Verdana" w:hAnsi="Verdana"/>
        </w:rPr>
        <w:t>(</w:t>
      </w:r>
      <w:r>
        <w:rPr>
          <w:rFonts w:ascii="Verdana" w:hAnsi="Verdana"/>
        </w:rPr>
        <w:t>v</w:t>
      </w:r>
      <w:r w:rsidRPr="00206556">
        <w:rPr>
          <w:rFonts w:ascii="Verdana" w:hAnsi="Verdana"/>
        </w:rPr>
        <w:t xml:space="preserve">) </w:t>
      </w:r>
      <w:r w:rsidRPr="00670CFB">
        <w:rPr>
          <w:rFonts w:ascii="Verdana" w:hAnsi="Verdana"/>
        </w:rPr>
        <w:t>Las consideraciones desarrolladas en los numerales precedentes permiten ahora presentar, de manera articulada, el alcance completo de las cinco medidas que componen el Sistema Integral de Preferencias, su forma de aplicación en cada fase del proceso contractual y las consecuencias jurídicas que se derivan de su inobservancia, es necesario precisar que el Decreto 0287 de 2026 no concibe la inclusión de las PcD como un momento aislado sino como un compromiso continuo que atraviesa todo el ciclo contractual. Cada medida tiene un momento de activación, unas obligaciones concretas para la entidad y el contratista, y unas consecuencias específicas frente a su incumplimiento, que se exponen a continuación.</w:t>
      </w:r>
    </w:p>
    <w:p w14:paraId="449658A1" w14:textId="77777777" w:rsidR="003A1BAC" w:rsidRPr="00670CFB" w:rsidRDefault="003A1BAC" w:rsidP="003A1BAC">
      <w:pPr>
        <w:spacing w:after="120" w:line="276" w:lineRule="auto"/>
        <w:ind w:firstLine="709"/>
        <w:jc w:val="both"/>
        <w:rPr>
          <w:rFonts w:ascii="Verdana" w:hAnsi="Verdana"/>
        </w:rPr>
      </w:pPr>
      <w:r w:rsidRPr="00670CFB">
        <w:rPr>
          <w:rFonts w:ascii="Verdana" w:hAnsi="Verdana"/>
        </w:rPr>
        <w:t xml:space="preserve">La primera medida son las herramientas de planeación para procesos inclusivos, reguladas en el artículo 2.2.1.2.4.2.7.2. del Decreto 1082 de 2015 (modificado), que se activan en la fase precontractual, antes de la apertura del proceso, y comprenden tres instrumentos. El primero son las ferias de negocios inclusivas, que consisten en reuniones entre la entidad contratante y los emprendimientos y empresas de PcD que puedan ofrecer los bienes, obras o servicios requeridos, con el propósito de identificarlos en el mercado y recibir sus observaciones sobre la estructuración del proceso antes de que este sea abierto; estas ferias no son ruedas de negocios ni implican compromisos contractuales, sino un ejercicio de planeación responsable que puede realizarse simultáneamente con las ferias previstas para MiPymes. El segundo instrumento es la incorporación de criterios sociales en los pliegos de condiciones, que permite a la entidad establecer exigencias adicionales vinculadas al objeto del contrato que promuevan la integración laboral de las PcD, más allá de lo que el propio decreto ya exige como mínimo obligatorio. El tercero es la división del proceso en lotes o segmentos, que facilita la participación de emprendimientos de menor capacidad al reducir la escala de las obligaciones contractuales requeridas para cada parte. Estas herramientas aplican a las entidades </w:t>
      </w:r>
      <w:r>
        <w:rPr>
          <w:rFonts w:ascii="Verdana" w:hAnsi="Verdana"/>
        </w:rPr>
        <w:t xml:space="preserve">sometidas al </w:t>
      </w:r>
      <w:r w:rsidRPr="00670CFB">
        <w:rPr>
          <w:rFonts w:ascii="Verdana" w:hAnsi="Verdana"/>
        </w:rPr>
        <w:t>Estatuto</w:t>
      </w:r>
      <w:r>
        <w:rPr>
          <w:rFonts w:ascii="Verdana" w:hAnsi="Verdana"/>
        </w:rPr>
        <w:t xml:space="preserve"> General de Contratación Pública </w:t>
      </w:r>
      <w:r w:rsidRPr="00670CFB">
        <w:rPr>
          <w:rFonts w:ascii="Verdana" w:hAnsi="Verdana"/>
        </w:rPr>
        <w:t xml:space="preserve">en licitación pública, </w:t>
      </w:r>
      <w:r w:rsidRPr="00670CFB">
        <w:rPr>
          <w:rFonts w:ascii="Verdana" w:hAnsi="Verdana"/>
        </w:rPr>
        <w:lastRenderedPageBreak/>
        <w:t>concurso de méritos, mínima cuantía y selección abreviada, pero no en contratación directa, que tiene su propia medida afirmativa. Su omisión injustificada en los estudios previos puede comprometer la legalidad de la planeación contractual al desconocer una obligación legal expresa.</w:t>
      </w:r>
    </w:p>
    <w:p w14:paraId="56D2ED88" w14:textId="77777777" w:rsidR="003A1BAC" w:rsidRPr="00670CFB" w:rsidRDefault="003A1BAC" w:rsidP="003A1BAC">
      <w:pPr>
        <w:spacing w:after="120" w:line="276" w:lineRule="auto"/>
        <w:ind w:firstLine="709"/>
        <w:jc w:val="both"/>
        <w:rPr>
          <w:rFonts w:ascii="Verdana" w:hAnsi="Verdana"/>
        </w:rPr>
      </w:pPr>
      <w:r w:rsidRPr="00670CFB">
        <w:rPr>
          <w:rFonts w:ascii="Verdana" w:hAnsi="Verdana"/>
        </w:rPr>
        <w:t>La segunda medida son los criterios habilitantes diferenciales, regulados en el artículo 2.2.1.2.4.2.7.3. del Decreto 1082 de 2015 (modificado), que operan en la fase de selección y consisten en la obligación de establecer requisitos habilitantes ajustados o reducidos en materia de experiencia, capacidad financiera, capacidad organizacional o valor de la garantía de seriedad de la oferta, para facilitar la participación de los emprendimientos y empresas de PcD con domicilio en el territorio nacional. La entidad debe flexibilizar la mayor cantidad posible de estos requisitos de acuerdo con lo que resulte justificado en sus estudios previos, garantizando en todo caso que los requisitos ajustados sean suficientes para acreditar la idoneidad del proponente y el adecuado cumplimiento del objeto contractual, con el límite del principio de proporcionalidad. Esta medida aplica en licitación pública, selección abreviada y concurso de méritos, tanto en el régimen de</w:t>
      </w:r>
      <w:r>
        <w:rPr>
          <w:rFonts w:ascii="Verdana" w:hAnsi="Verdana"/>
        </w:rPr>
        <w:t>l</w:t>
      </w:r>
      <w:r w:rsidRPr="00670CFB">
        <w:rPr>
          <w:rFonts w:ascii="Verdana" w:hAnsi="Verdana"/>
        </w:rPr>
        <w:t xml:space="preserve"> </w:t>
      </w:r>
      <w:r>
        <w:rPr>
          <w:rFonts w:ascii="Verdana" w:hAnsi="Verdana"/>
        </w:rPr>
        <w:t>Estatuto General de Contratación Pública</w:t>
      </w:r>
      <w:r w:rsidRPr="00670CFB">
        <w:rPr>
          <w:rFonts w:ascii="Verdana" w:hAnsi="Verdana"/>
        </w:rPr>
        <w:t xml:space="preserve"> como en los procesos competitivos de entidades con régimen especial, pero no en mínima cuantía ni en contratación directa. Aplica exclusivamente para los emprendimientos y empresas de PcD y no para los empleadores de PcD. En tratándose de proponentes plurales, opera cuando al menos uno de los integrantes cumple las condiciones del artículo 2.2.1.2.4.2.6. con una participación no inferior al 10%, aportando la experiencia en proporción equivalente a su participación. Su omisión injustificada en el pliego de condiciones puede constituir una barrera de acceso contraria a los mandatos del decreto y comprometer la validez del proceso de selección.</w:t>
      </w:r>
    </w:p>
    <w:p w14:paraId="74EF5A76" w14:textId="77777777" w:rsidR="003A1BAC" w:rsidRPr="00670CFB" w:rsidRDefault="003A1BAC" w:rsidP="003A1BAC">
      <w:pPr>
        <w:spacing w:after="120" w:line="276" w:lineRule="auto"/>
        <w:ind w:firstLine="709"/>
        <w:jc w:val="both"/>
        <w:rPr>
          <w:rFonts w:ascii="Verdana" w:hAnsi="Verdana"/>
        </w:rPr>
      </w:pPr>
      <w:r w:rsidRPr="00670CFB">
        <w:rPr>
          <w:rFonts w:ascii="Verdana" w:hAnsi="Verdana"/>
        </w:rPr>
        <w:t xml:space="preserve">La tercera medida es el puntaje adicional del 2%, regulado en el artículo 2.2.1.2.4.2.7.4. del Decreto 1082 de 2015 (modificado), que opera en la fase de evaluación de propuestas y consiste en otorgar un puntaje adicional máximo del dos por ciento (2%) del total de los puntos del pliego a los proponentes que acrediten ser emprendimientos o empresas de PcD o ser empleadores de PcD que superen los mínimos de vinculación exigidos por la Ley 2466 de 2025. </w:t>
      </w:r>
      <w:r>
        <w:rPr>
          <w:rFonts w:ascii="Verdana" w:hAnsi="Verdana"/>
        </w:rPr>
        <w:t>Como ya se indicó anteriormente, e</w:t>
      </w:r>
      <w:r w:rsidRPr="00670CFB">
        <w:rPr>
          <w:rFonts w:ascii="Verdana" w:hAnsi="Verdana"/>
        </w:rPr>
        <w:t xml:space="preserve">ste puntaje es único </w:t>
      </w:r>
      <w:r>
        <w:rPr>
          <w:rFonts w:ascii="Verdana" w:hAnsi="Verdana"/>
        </w:rPr>
        <w:t xml:space="preserve">y no </w:t>
      </w:r>
      <w:r w:rsidRPr="00670CFB">
        <w:rPr>
          <w:rFonts w:ascii="Verdana" w:hAnsi="Verdana"/>
        </w:rPr>
        <w:t xml:space="preserve">acumulable: aunque el proponente acredite ambas condiciones simultáneamente, el puntaje máximo a otorgar es siempre el 2%, sin que las condiciones sean sumables. Aplica únicamente en entidades </w:t>
      </w:r>
      <w:r>
        <w:rPr>
          <w:rFonts w:ascii="Verdana" w:hAnsi="Verdana"/>
        </w:rPr>
        <w:t>sometidas al Estatuto General de Contratación Pública</w:t>
      </w:r>
      <w:r w:rsidRPr="00670CFB">
        <w:rPr>
          <w:rFonts w:ascii="Verdana" w:hAnsi="Verdana"/>
        </w:rPr>
        <w:t xml:space="preserve">, </w:t>
      </w:r>
      <w:r w:rsidRPr="00670CFB">
        <w:rPr>
          <w:rFonts w:ascii="Verdana" w:hAnsi="Verdana"/>
        </w:rPr>
        <w:lastRenderedPageBreak/>
        <w:t>en licitación pública y concurso de méritos. La acreditación exige, entre otros documentos, los certificados de aportes a seguridad social de los tres (3) meses anteriores a la presentación de la oferta para cada PcD incluida en el cómputo, junto con el certificado del Ministerio de Trabajo. La no inclusión de este puntaje en el pliego por parte de la entidad configura el incumplimiento de una obligación legal expresa. Adicionalmente, las condiciones que dieron lugar al puntaje deben mantenerse durante toda la ejecución del contrato, y el contratista debe acreditarlo con cada solicitud de pago; la reducción injustificada del número de PcD vinculadas puede constituir causal de incumplimiento contractual, salvo que se demuestre fuerza mayor o caso fortuito, y en todo caso respetando el derecho a la estabilidad laboral reforzada de las PcD.</w:t>
      </w:r>
    </w:p>
    <w:p w14:paraId="1D6E5BD4" w14:textId="77777777" w:rsidR="003A1BAC" w:rsidRPr="00670CFB" w:rsidRDefault="003A1BAC" w:rsidP="003A1BAC">
      <w:pPr>
        <w:spacing w:after="120" w:line="276" w:lineRule="auto"/>
        <w:ind w:firstLine="709"/>
        <w:jc w:val="both"/>
        <w:rPr>
          <w:rFonts w:ascii="Verdana" w:hAnsi="Verdana"/>
        </w:rPr>
      </w:pPr>
      <w:r w:rsidRPr="00670CFB">
        <w:rPr>
          <w:rFonts w:ascii="Verdana" w:hAnsi="Verdana"/>
        </w:rPr>
        <w:t xml:space="preserve">La cuarta medida son las condiciones especiales de ejecución, reguladas en el artículo 2.2.1.2.4.2.7.5. del Decreto 1082 de 2015 (modificado), que operan durante la ejecución del contrato y consisten en la obligación de incluir en los documentos del proceso al menos una de dos condiciones contractuales: la subcontratación inclusiva, que exige al contratista priorizar a PcD y a emprendimientos y empresas de PcD cuando requiera subcontratar bienes, obras o servicios para la ejecución; o la integración del equipo de trabajo, que exige priorizar personas naturales con discapacidad cuando la ejecución requiera conformar un equipo de trabajo. La priorización no implica exclusividad: el contratista puede contratar a otros proveedores, pero debe procurar que las PcD y sus empresas tengan preferencia cuando existan en el mercado y sea factible su vinculación. Esta medida aplica en entidades </w:t>
      </w:r>
      <w:r>
        <w:rPr>
          <w:rFonts w:ascii="Verdana" w:hAnsi="Verdana"/>
        </w:rPr>
        <w:t>sometidas al</w:t>
      </w:r>
      <w:r w:rsidRPr="00670CFB">
        <w:rPr>
          <w:rFonts w:ascii="Verdana" w:hAnsi="Verdana"/>
        </w:rPr>
        <w:t xml:space="preserve"> </w:t>
      </w:r>
      <w:r>
        <w:rPr>
          <w:rFonts w:ascii="Verdana" w:hAnsi="Verdana"/>
        </w:rPr>
        <w:t>Estatuto General de Contratación Pública</w:t>
      </w:r>
      <w:r w:rsidRPr="00670CFB">
        <w:rPr>
          <w:rFonts w:ascii="Verdana" w:hAnsi="Verdana"/>
        </w:rPr>
        <w:t xml:space="preserve"> en todas las modalidades, incluida la contratación directa. Solo puede omitirse su inclusión cuando la entidad justifique expresamente esa decisión en los estudios previos con argumentos objetivos relacionados con las características del contrato específico, pues esta justificación constituye una verdadera carga argumentativa. El cumplimiento de estas condiciones es verificado por el supervisor o interventor con cada solicitud de pago, y su inobservancia injustificada puede constituir causal de incumplimiento contractual.</w:t>
      </w:r>
    </w:p>
    <w:p w14:paraId="2DC58A57" w14:textId="77777777" w:rsidR="003A1BAC" w:rsidRPr="00670CFB" w:rsidRDefault="003A1BAC" w:rsidP="003A1BAC">
      <w:pPr>
        <w:spacing w:after="120" w:line="276" w:lineRule="auto"/>
        <w:ind w:firstLine="709"/>
        <w:jc w:val="both"/>
        <w:rPr>
          <w:rFonts w:ascii="Verdana" w:hAnsi="Verdana"/>
        </w:rPr>
      </w:pPr>
      <w:r w:rsidRPr="00670CFB">
        <w:rPr>
          <w:rFonts w:ascii="Verdana" w:hAnsi="Verdana"/>
        </w:rPr>
        <w:t xml:space="preserve">La quinta medida es la inclusión de PcD en contratos de prestación de servicios profesionales y/o de apoyo a la gestión, regulada en el artículo 2.2.1.2.4.2.7.6. del Decreto 1082 de 2015 (modificado), que opera en la modalidad de contratación directa y tiene carácter potestativo: las entidades </w:t>
      </w:r>
      <w:r>
        <w:rPr>
          <w:rFonts w:ascii="Verdana" w:hAnsi="Verdana"/>
        </w:rPr>
        <w:t>sometidas al Estatuto General de Contratación Pública</w:t>
      </w:r>
      <w:r w:rsidRPr="00670CFB">
        <w:rPr>
          <w:rFonts w:ascii="Verdana" w:hAnsi="Verdana"/>
        </w:rPr>
        <w:t xml:space="preserve"> propenderán por esta </w:t>
      </w:r>
      <w:r w:rsidRPr="00670CFB">
        <w:rPr>
          <w:rFonts w:ascii="Verdana" w:hAnsi="Verdana"/>
        </w:rPr>
        <w:lastRenderedPageBreak/>
        <w:t>contratación de forma progresiva, de acuerdo con su planeación institucional, disponibilidad presupuestal y necesidades del servicio, sin que su no aplicación en un caso concreto configure incumplimiento. La entidad que decida aplicarla debe verificar la idoneidad de la PcD para cumplir el objeto contractual, acordar los ajustes razonables necesarios en corresponsabilidad con la persona contratista, evaluar la no exigencia de garantías —que no son obligatorias para esta tipología contractual— e indicar en el SECOP que el contrato corresponde a la aplicación de esta medida afirmativa. En ningún caso la medida autoriza la asignación de funciones permanentes ni genera subordinación laboral. Colombia Compra Eficiente realizará el seguimiento de esta medida a través del SECOP, evaluando pertinencia, duración, objeto y nivel de especialización de cada contrato.</w:t>
      </w:r>
    </w:p>
    <w:p w14:paraId="0E58F989" w14:textId="77777777" w:rsidR="003A1BAC" w:rsidRPr="00670CFB" w:rsidRDefault="003A1BAC" w:rsidP="003A1BAC">
      <w:pPr>
        <w:spacing w:after="120" w:line="276" w:lineRule="auto"/>
        <w:ind w:firstLine="709"/>
        <w:jc w:val="both"/>
        <w:rPr>
          <w:rFonts w:ascii="Verdana" w:hAnsi="Verdana"/>
        </w:rPr>
      </w:pPr>
      <w:r w:rsidRPr="00670CFB">
        <w:rPr>
          <w:rFonts w:ascii="Verdana" w:hAnsi="Verdana"/>
        </w:rPr>
        <w:t xml:space="preserve">A estas cinco medidas se suma, de manera transversal e independiente, la obligación de compras públicas accesibles regulada en el artículo 2.2.1.2.4.2.7.1. del Decreto 1082 de 2015 (modificado), que aplica a todos los entes del Estado con independencia de su régimen de contratación, en todas las modalidades de selección incluida la contratación directa, y en todos los contratos en </w:t>
      </w:r>
      <w:r>
        <w:rPr>
          <w:rFonts w:ascii="Verdana" w:hAnsi="Verdana"/>
        </w:rPr>
        <w:t>los que se adquieran</w:t>
      </w:r>
      <w:r w:rsidRPr="00670CFB">
        <w:rPr>
          <w:rFonts w:ascii="Verdana" w:hAnsi="Verdana"/>
        </w:rPr>
        <w:t xml:space="preserve"> bien</w:t>
      </w:r>
      <w:r>
        <w:rPr>
          <w:rFonts w:ascii="Verdana" w:hAnsi="Verdana"/>
        </w:rPr>
        <w:t>es</w:t>
      </w:r>
      <w:r w:rsidRPr="00670CFB">
        <w:rPr>
          <w:rFonts w:ascii="Verdana" w:hAnsi="Verdana"/>
        </w:rPr>
        <w:t>, obra</w:t>
      </w:r>
      <w:r>
        <w:rPr>
          <w:rFonts w:ascii="Verdana" w:hAnsi="Verdana"/>
        </w:rPr>
        <w:t>s</w:t>
      </w:r>
      <w:r w:rsidRPr="00670CFB">
        <w:rPr>
          <w:rFonts w:ascii="Verdana" w:hAnsi="Verdana"/>
        </w:rPr>
        <w:t xml:space="preserve"> o servicio</w:t>
      </w:r>
      <w:r>
        <w:rPr>
          <w:rFonts w:ascii="Verdana" w:hAnsi="Verdana"/>
        </w:rPr>
        <w:t>s</w:t>
      </w:r>
      <w:r w:rsidRPr="00670CFB">
        <w:rPr>
          <w:rFonts w:ascii="Verdana" w:hAnsi="Verdana"/>
        </w:rPr>
        <w:t>. Esta obligación consiste en incorporar en los estudios previos y en los documentos del proceso criterios que garanticen la accesibilidad de las PcD, teniendo en cuenta las siete categorías de discapacidad definidas por el Ministerio de Salud y Protección Social —visual, física, psicosocial (mental), auditiva, sordoceguera, intelectual y múltiple— y los principios de accesibilidad universal, diseño universal y ajustes razonables consagrados en la Ley 1346 de 2009 y la Ley 1618 de 2013. Cuando no existan normas legales, reglamentarias o técnicas aplicables al objeto del contrato, la entidad debe elaborar una ficha técnica propia con criterios de accesibilidad; la inexistencia de norma técnica no exonera a la entidad de esta obligación sino que la convierte en autora de sus propios estándares de accesibilidad para ese contrato específico.</w:t>
      </w:r>
    </w:p>
    <w:p w14:paraId="0669ACA7" w14:textId="77777777" w:rsidR="003A1BAC" w:rsidRDefault="003A1BAC" w:rsidP="003A1BAC">
      <w:pPr>
        <w:spacing w:after="120" w:line="276" w:lineRule="auto"/>
        <w:ind w:firstLine="709"/>
        <w:jc w:val="both"/>
        <w:rPr>
          <w:rFonts w:ascii="Verdana" w:hAnsi="Verdana"/>
        </w:rPr>
      </w:pPr>
      <w:r w:rsidRPr="00670CFB">
        <w:rPr>
          <w:rFonts w:ascii="Verdana" w:hAnsi="Verdana"/>
        </w:rPr>
        <w:t xml:space="preserve">De esta manera, el Sistema Integral de Preferencias establecido por el Decreto 0287 de 2026 constituye un cambio estructural en la forma en que el Estado colombiano se relaciona con las personas con discapacidad en la contratación pública: ya no se trata de un punto adicional al final del proceso, sino de un conjunto articulado de obligaciones que acompañan cada fase del ciclo contractual, desde la planeación hasta la ejecución, con consecuencias </w:t>
      </w:r>
      <w:r w:rsidRPr="00670CFB">
        <w:rPr>
          <w:rFonts w:ascii="Verdana" w:hAnsi="Verdana"/>
        </w:rPr>
        <w:lastRenderedPageBreak/>
        <w:t>jurídicas concretas frente a su inobservancia y con un horizonte claro de inclusión laboral efectiva y progresiva de esta población.</w:t>
      </w:r>
    </w:p>
    <w:p w14:paraId="3D80B517" w14:textId="33A961F3" w:rsidR="001846BC" w:rsidRPr="00553BC6" w:rsidRDefault="001846BC" w:rsidP="00207E88">
      <w:pPr>
        <w:spacing w:after="120" w:line="276" w:lineRule="auto"/>
        <w:ind w:firstLine="708"/>
        <w:jc w:val="both"/>
        <w:rPr>
          <w:rFonts w:ascii="Verdana" w:eastAsia="Times New Roman" w:hAnsi="Verdana" w:cs="Arial"/>
          <w:lang w:val="es-ES_tradnl" w:eastAsia="es-ES_tradnl"/>
        </w:rPr>
      </w:pPr>
      <w:r>
        <w:rPr>
          <w:rFonts w:ascii="Verdana" w:hAnsi="Verdana"/>
        </w:rPr>
        <w:t xml:space="preserve">(vi) </w:t>
      </w:r>
      <w:r w:rsidR="00207E88">
        <w:rPr>
          <w:rFonts w:ascii="Verdana" w:hAnsi="Verdana"/>
        </w:rPr>
        <w:t>Por otra parte, respecto del segundo problema jurídico, l</w:t>
      </w:r>
      <w:r w:rsidRPr="00553BC6">
        <w:rPr>
          <w:rFonts w:ascii="Verdana" w:eastAsia="Times New Roman" w:hAnsi="Verdana" w:cs="Arial"/>
        </w:rPr>
        <w:t>a regla de la subsanabilidad de las ofertas en los procedimientos de selección</w:t>
      </w:r>
      <w:r w:rsidRPr="00553BC6">
        <w:rPr>
          <w:rFonts w:ascii="Verdana" w:eastAsia="Times New Roman" w:hAnsi="Verdana" w:cs="Arial"/>
          <w:b/>
          <w:bCs/>
        </w:rPr>
        <w:t xml:space="preserve"> </w:t>
      </w:r>
      <w:r w:rsidRPr="00553BC6">
        <w:rPr>
          <w:rFonts w:ascii="Verdana" w:eastAsia="Times New Roman" w:hAnsi="Verdana" w:cs="Arial"/>
          <w:lang w:val="es-ES_tradnl" w:eastAsia="es-ES_tradnl"/>
        </w:rPr>
        <w:t>indica que, por regla general, la falta de entrega y los defectos en la acreditación de los requisitos habilitantes son aspectos subsanables. La excepción a esta regla se encuentra en la prohibición de permitir que se subsanen aspectos que otorgan puntaje, de valer la acreditación de circunstancias ocurridas con posterioridad al cierre del proceso y de permitir la entrega de la garantía de seriedad de la oferta que no fue aportada con la propuesta.</w:t>
      </w:r>
    </w:p>
    <w:p w14:paraId="0DB019C9" w14:textId="77777777" w:rsidR="001846BC" w:rsidRPr="00553BC6" w:rsidRDefault="001846BC" w:rsidP="001846BC">
      <w:pPr>
        <w:spacing w:after="120" w:line="276" w:lineRule="auto"/>
        <w:ind w:firstLine="708"/>
        <w:jc w:val="both"/>
        <w:rPr>
          <w:rFonts w:ascii="Verdana" w:eastAsia="Times New Roman" w:hAnsi="Verdana" w:cs="Arial"/>
          <w:lang w:val="es-ES" w:eastAsia="es-ES"/>
        </w:rPr>
      </w:pPr>
      <w:r w:rsidRPr="00553BC6">
        <w:rPr>
          <w:rFonts w:ascii="Verdana" w:eastAsia="Times New Roman" w:hAnsi="Verdana" w:cs="Arial"/>
          <w:lang w:val="es-ES_tradnl" w:eastAsia="es-ES_tradnl"/>
        </w:rPr>
        <w:t>La posibilidad de enmendar, corregir o subsanar los errores en los que se incurre en los documentos contentivos de la oferta es un tema que ha tenido diferentes momentos o etapas en el ordenamiento jurídico colombiano, momentos que se han expuesto de manera detallada en conceptos como el C-285 del 20 de mayo de 2022</w:t>
      </w:r>
      <w:r w:rsidRPr="00553BC6">
        <w:rPr>
          <w:rFonts w:ascii="Verdana" w:eastAsia="Times New Roman" w:hAnsi="Verdana" w:cs="Arial"/>
          <w:vertAlign w:val="superscript"/>
          <w:lang w:val="es-ES_tradnl" w:eastAsia="es-ES_tradnl"/>
        </w:rPr>
        <w:footnoteReference w:id="11"/>
      </w:r>
      <w:r w:rsidRPr="00553BC6">
        <w:rPr>
          <w:rFonts w:ascii="Verdana" w:eastAsia="Times New Roman" w:hAnsi="Verdana" w:cs="Arial"/>
          <w:lang w:val="es-ES_tradnl" w:eastAsia="es-ES_tradnl"/>
        </w:rPr>
        <w:t xml:space="preserve"> o el C-447 del 19 de septiembre de 2024</w:t>
      </w:r>
      <w:r w:rsidRPr="00553BC6">
        <w:rPr>
          <w:rFonts w:ascii="Verdana" w:eastAsia="Times New Roman" w:hAnsi="Verdana" w:cs="Arial"/>
          <w:vertAlign w:val="superscript"/>
          <w:lang w:val="es-ES_tradnl" w:eastAsia="es-ES_tradnl"/>
        </w:rPr>
        <w:footnoteReference w:id="12"/>
      </w:r>
      <w:r w:rsidRPr="00553BC6">
        <w:rPr>
          <w:rFonts w:ascii="Verdana" w:eastAsia="Times New Roman" w:hAnsi="Verdana" w:cs="Arial"/>
          <w:lang w:val="es-ES_tradnl" w:eastAsia="es-ES_tradnl"/>
        </w:rPr>
        <w:t xml:space="preserve"> los cuales, en el evento en que tenga interés, podrá consultar en los enlaces de la nota al pie. Sin embargo</w:t>
      </w:r>
      <w:r w:rsidRPr="00553BC6">
        <w:rPr>
          <w:rFonts w:ascii="Verdana" w:eastAsia="Times New Roman" w:hAnsi="Verdana" w:cs="Arial"/>
          <w:lang w:val="es-ES" w:eastAsia="es-ES"/>
        </w:rPr>
        <w:t>, a continuación, se hará referencia particularmente al último momento, que refleja la postura vigente en torno a la subsanabilidad:</w:t>
      </w:r>
    </w:p>
    <w:p w14:paraId="37D9F31C" w14:textId="77777777" w:rsidR="001846BC" w:rsidRPr="00553BC6" w:rsidRDefault="001846BC" w:rsidP="001846BC">
      <w:pPr>
        <w:tabs>
          <w:tab w:val="left" w:pos="284"/>
        </w:tabs>
        <w:spacing w:after="0" w:line="276" w:lineRule="auto"/>
        <w:ind w:firstLine="709"/>
        <w:jc w:val="both"/>
        <w:rPr>
          <w:rFonts w:ascii="Verdana" w:eastAsia="Times New Roman" w:hAnsi="Verdana" w:cs="Arial"/>
          <w:lang w:val="es-ES_tradnl" w:eastAsia="es-CO"/>
        </w:rPr>
      </w:pPr>
      <w:r w:rsidRPr="00553BC6">
        <w:rPr>
          <w:rFonts w:ascii="Verdana" w:eastAsia="Times New Roman" w:hAnsi="Verdana" w:cs="Arial"/>
          <w:lang w:val="es-ES_tradnl" w:eastAsia="es-ES_tradnl"/>
        </w:rPr>
        <w:t xml:space="preserve">La expedición de la Ley </w:t>
      </w:r>
      <w:r w:rsidRPr="00553BC6">
        <w:rPr>
          <w:rFonts w:ascii="Verdana" w:eastAsia="Times New Roman" w:hAnsi="Verdana" w:cs="Arial"/>
          <w:lang w:val="es-ES_tradnl" w:eastAsia="es-CO"/>
        </w:rPr>
        <w:t xml:space="preserve">1882 de 2018 tuvo por finalidad la de introducir cambios y ajustes para fortalecer la contratación pública. En ese orden, mediante su artículo 5 modificó el parágrafo 1º y adicionó algunos otros, entre ellos el 3° y 4° del artículo 5 de la Ley 1150 de 2007, en los siguientes términos: </w:t>
      </w:r>
    </w:p>
    <w:p w14:paraId="3F5050C3" w14:textId="77777777" w:rsidR="001846BC" w:rsidRPr="00553BC6" w:rsidRDefault="001846BC" w:rsidP="001846BC">
      <w:pPr>
        <w:spacing w:after="0" w:line="276" w:lineRule="auto"/>
        <w:ind w:left="709" w:right="709"/>
        <w:jc w:val="both"/>
        <w:rPr>
          <w:rFonts w:ascii="Verdana" w:eastAsia="Times New Roman" w:hAnsi="Verdana" w:cs="Arial"/>
          <w:lang w:val="es-ES_tradnl" w:eastAsia="es-CO"/>
        </w:rPr>
      </w:pPr>
    </w:p>
    <w:p w14:paraId="07372FA5" w14:textId="77777777" w:rsidR="001846BC" w:rsidRPr="00553BC6" w:rsidRDefault="001846BC" w:rsidP="001846BC">
      <w:pPr>
        <w:spacing w:after="0" w:line="240" w:lineRule="auto"/>
        <w:ind w:left="709" w:right="709"/>
        <w:jc w:val="both"/>
        <w:rPr>
          <w:rFonts w:ascii="Verdana" w:eastAsia="Times New Roman" w:hAnsi="Verdana" w:cs="Arial"/>
          <w:sz w:val="20"/>
          <w:szCs w:val="20"/>
          <w:lang w:val="es-ES_tradnl" w:eastAsia="es-CO"/>
        </w:rPr>
      </w:pPr>
      <w:r w:rsidRPr="00553BC6">
        <w:rPr>
          <w:rFonts w:ascii="Verdana" w:eastAsia="Times New Roman" w:hAnsi="Verdana" w:cs="Arial"/>
          <w:sz w:val="20"/>
          <w:szCs w:val="20"/>
          <w:lang w:val="es-ES_tradnl" w:eastAsia="es-CO"/>
        </w:rPr>
        <w:t xml:space="preserve">“Artículo 5°. De la selección objetiva. </w:t>
      </w:r>
    </w:p>
    <w:p w14:paraId="6B2B8882" w14:textId="77777777" w:rsidR="001846BC" w:rsidRPr="00553BC6" w:rsidRDefault="001846BC" w:rsidP="001846BC">
      <w:pPr>
        <w:spacing w:after="0" w:line="240" w:lineRule="auto"/>
        <w:ind w:left="709" w:right="709"/>
        <w:jc w:val="both"/>
        <w:textAlignment w:val="baseline"/>
        <w:rPr>
          <w:rFonts w:ascii="Verdana" w:eastAsia="Times New Roman" w:hAnsi="Verdana" w:cs="Arial"/>
          <w:color w:val="000000"/>
          <w:sz w:val="20"/>
          <w:szCs w:val="20"/>
          <w:lang w:val="es-ES" w:eastAsia="es-ES_tradnl"/>
        </w:rPr>
      </w:pPr>
    </w:p>
    <w:p w14:paraId="0020CC94"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r w:rsidRPr="00553BC6">
        <w:rPr>
          <w:rFonts w:ascii="Verdana" w:eastAsia="Times New Roman" w:hAnsi="Verdana" w:cs="Arial"/>
          <w:color w:val="000000"/>
          <w:sz w:val="20"/>
          <w:szCs w:val="20"/>
          <w:lang w:val="es-ES" w:eastAsia="es-ES_tradnl"/>
        </w:rPr>
        <w:t>Es objetiva la selección en la cual la escogencia se haga al ofrecimiento más favorable a la entidad y a los fines que ella busca, sin tener en consideración factores de afecto o de interés y, en general, cualquier clase de motivación subjetiva. En consecuencia, los factores de escogencia y calificación que establezcan las entidades en los pliegos de condiciones o sus equivalentes, tendrán en cuenta los siguientes criterios:</w:t>
      </w:r>
      <w:r w:rsidRPr="00553BC6">
        <w:rPr>
          <w:rFonts w:ascii="Verdana" w:eastAsia="Arial" w:hAnsi="Verdana" w:cs="Times New Roman"/>
          <w:color w:val="000000"/>
          <w:sz w:val="20"/>
          <w:szCs w:val="20"/>
          <w:lang w:eastAsia="es-ES_tradnl"/>
        </w:rPr>
        <w:t> </w:t>
      </w:r>
    </w:p>
    <w:p w14:paraId="05550C3B"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r w:rsidRPr="00553BC6">
        <w:rPr>
          <w:rFonts w:ascii="Verdana" w:eastAsia="Arial" w:hAnsi="Verdana" w:cs="Times New Roman"/>
          <w:color w:val="000000"/>
          <w:sz w:val="20"/>
          <w:szCs w:val="20"/>
          <w:lang w:eastAsia="es-ES_tradnl"/>
        </w:rPr>
        <w:t> </w:t>
      </w:r>
    </w:p>
    <w:p w14:paraId="2AC2EB55"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r w:rsidRPr="00553BC6">
        <w:rPr>
          <w:rFonts w:ascii="Verdana" w:eastAsia="Times New Roman" w:hAnsi="Verdana" w:cs="Arial"/>
          <w:color w:val="000000"/>
          <w:sz w:val="20"/>
          <w:szCs w:val="20"/>
          <w:lang w:val="es-ES" w:eastAsia="es-ES_tradnl"/>
        </w:rPr>
        <w:t xml:space="preserve">1. La capacidad jurídica y las condiciones de experiencia, capacidad financiera y de organización de los proponentes serán objeto de </w:t>
      </w:r>
      <w:r w:rsidRPr="00553BC6">
        <w:rPr>
          <w:rFonts w:ascii="Verdana" w:eastAsia="Times New Roman" w:hAnsi="Verdana" w:cs="Arial"/>
          <w:color w:val="000000"/>
          <w:sz w:val="20"/>
          <w:szCs w:val="20"/>
          <w:lang w:val="es-ES" w:eastAsia="es-ES_tradnl"/>
        </w:rPr>
        <w:lastRenderedPageBreak/>
        <w:t>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6o de la presente ley, de acuerdo con lo cual se expedirá la respectiva certificación.</w:t>
      </w:r>
      <w:r w:rsidRPr="00553BC6">
        <w:rPr>
          <w:rFonts w:ascii="Verdana" w:eastAsia="Arial" w:hAnsi="Verdana" w:cs="Times New Roman"/>
          <w:color w:val="000000"/>
          <w:sz w:val="20"/>
          <w:szCs w:val="20"/>
          <w:lang w:eastAsia="es-ES_tradnl"/>
        </w:rPr>
        <w:t> </w:t>
      </w:r>
    </w:p>
    <w:p w14:paraId="12CAF110"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r w:rsidRPr="00553BC6">
        <w:rPr>
          <w:rFonts w:ascii="Verdana" w:eastAsia="Arial" w:hAnsi="Verdana" w:cs="Times New Roman"/>
          <w:color w:val="000000"/>
          <w:sz w:val="20"/>
          <w:szCs w:val="20"/>
          <w:lang w:eastAsia="es-ES_tradnl"/>
        </w:rPr>
        <w:t> </w:t>
      </w:r>
    </w:p>
    <w:p w14:paraId="0E8EA38F"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r w:rsidRPr="00553BC6">
        <w:rPr>
          <w:rFonts w:ascii="Verdana" w:eastAsia="Times New Roman" w:hAnsi="Verdana" w:cs="Arial"/>
          <w:color w:val="000000"/>
          <w:sz w:val="20"/>
          <w:szCs w:val="20"/>
          <w:lang w:val="es-ES" w:eastAsia="es-ES_tradnl"/>
        </w:rPr>
        <w:t>2. &lt;Numeral modificado por el artículo 88 de la Ley 1474 de 2011. El nuevo texto es el siguiente:&gt; La oferta más favorable será aquella que, teniendo en cuenta los factores técnicos y económicos de escogencia y la ponderación precisa y detallada de los mismos contenida en los pliegos de condiciones o sus equivalentes, resulte ser la más ventajosa para la entidad, sin que la favorabilidad la constituyan factores diferentes a los contenidos en dichos documentos. En los contratos de obra pública, el menor plazo ofrecido no será objeto de evaluación. La entidad efectuará las comparaciones del caso mediante el cotejo de los ofrecimientos recibidos y la consulta de precios o condiciones del mercado y los estudios y deducciones de la entidad o de los organismos consultores o asesores designados para ello.</w:t>
      </w:r>
      <w:r w:rsidRPr="00553BC6">
        <w:rPr>
          <w:rFonts w:ascii="Verdana" w:eastAsia="Arial" w:hAnsi="Verdana" w:cs="Times New Roman"/>
          <w:color w:val="000000"/>
          <w:sz w:val="20"/>
          <w:szCs w:val="20"/>
          <w:lang w:eastAsia="es-ES_tradnl"/>
        </w:rPr>
        <w:t> </w:t>
      </w:r>
    </w:p>
    <w:p w14:paraId="11254B47"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p>
    <w:p w14:paraId="5EC5A5F7"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r w:rsidRPr="00553BC6">
        <w:rPr>
          <w:rFonts w:ascii="Verdana" w:eastAsia="Times New Roman" w:hAnsi="Verdana" w:cs="Arial"/>
          <w:color w:val="000000"/>
          <w:sz w:val="20"/>
          <w:szCs w:val="20"/>
          <w:lang w:val="es-ES" w:eastAsia="es-ES_tradnl"/>
        </w:rPr>
        <w:t>En los procesos de selección en los que se tenga en cuenta los factores técnicos y económicos, la oferta más ventajosa será la que resulte de aplicar alguna de las siguientes alternativas:</w:t>
      </w:r>
      <w:r w:rsidRPr="00553BC6">
        <w:rPr>
          <w:rFonts w:ascii="Verdana" w:eastAsia="Arial" w:hAnsi="Verdana" w:cs="Times New Roman"/>
          <w:color w:val="000000"/>
          <w:sz w:val="20"/>
          <w:szCs w:val="20"/>
          <w:lang w:eastAsia="es-ES_tradnl"/>
        </w:rPr>
        <w:t> </w:t>
      </w:r>
    </w:p>
    <w:p w14:paraId="5F7CDBA5"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p>
    <w:p w14:paraId="5403221B"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r w:rsidRPr="00553BC6">
        <w:rPr>
          <w:rFonts w:ascii="Verdana" w:eastAsia="Times New Roman" w:hAnsi="Verdana" w:cs="Arial"/>
          <w:color w:val="000000"/>
          <w:sz w:val="20"/>
          <w:szCs w:val="20"/>
          <w:lang w:val="es-ES" w:eastAsia="es-ES_tradnl"/>
        </w:rPr>
        <w:t>a) La ponderación de los elementos de calidad y precio soportados en puntajes o fórmulas señaladas en el pliego de condiciones; o</w:t>
      </w:r>
    </w:p>
    <w:p w14:paraId="1740457F"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p>
    <w:p w14:paraId="17B6CAE4"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r w:rsidRPr="00553BC6">
        <w:rPr>
          <w:rFonts w:ascii="Verdana" w:eastAsia="Times New Roman" w:hAnsi="Verdana" w:cs="Arial"/>
          <w:color w:val="000000"/>
          <w:sz w:val="20"/>
          <w:szCs w:val="20"/>
          <w:lang w:val="es-ES" w:eastAsia="es-ES_tradnl"/>
        </w:rPr>
        <w:t>b) La ponderación de los elementos de calidad y precio que representen la mejor relación de costo-beneficio para la entidad.</w:t>
      </w:r>
      <w:r w:rsidRPr="00553BC6">
        <w:rPr>
          <w:rFonts w:ascii="Verdana" w:eastAsia="Arial" w:hAnsi="Verdana" w:cs="Times New Roman"/>
          <w:color w:val="000000"/>
          <w:sz w:val="20"/>
          <w:szCs w:val="20"/>
          <w:lang w:eastAsia="es-ES_tradnl"/>
        </w:rPr>
        <w:t> </w:t>
      </w:r>
    </w:p>
    <w:p w14:paraId="5A9257AE"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p>
    <w:p w14:paraId="3B3A99A9"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r w:rsidRPr="00553BC6">
        <w:rPr>
          <w:rFonts w:ascii="Verdana" w:eastAsia="Times New Roman" w:hAnsi="Verdana" w:cs="Arial"/>
          <w:color w:val="000000"/>
          <w:sz w:val="20"/>
          <w:szCs w:val="20"/>
          <w:lang w:val="es-ES" w:eastAsia="es-ES_tradnl"/>
        </w:rPr>
        <w:t>3. Sin perjuicio de lo previsto en el numeral 1 del presente artículo, en los pliegos de condiciones para las contrataciones cuyo objeto sea la adquisición o suministro de bienes y servicios de características técnicas uniformes y común utilización, las entidades estatales incluirán como único factor de evaluación el menor precio ofrecido.</w:t>
      </w:r>
      <w:r w:rsidRPr="00553BC6">
        <w:rPr>
          <w:rFonts w:ascii="Verdana" w:eastAsia="Arial" w:hAnsi="Verdana" w:cs="Times New Roman"/>
          <w:color w:val="000000"/>
          <w:sz w:val="20"/>
          <w:szCs w:val="20"/>
          <w:lang w:eastAsia="es-ES_tradnl"/>
        </w:rPr>
        <w:t> </w:t>
      </w:r>
    </w:p>
    <w:p w14:paraId="5225AE01"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r w:rsidRPr="00553BC6">
        <w:rPr>
          <w:rFonts w:ascii="Verdana" w:eastAsia="Arial" w:hAnsi="Verdana" w:cs="Times New Roman"/>
          <w:color w:val="000000"/>
          <w:sz w:val="20"/>
          <w:szCs w:val="20"/>
          <w:lang w:eastAsia="es-ES_tradnl"/>
        </w:rPr>
        <w:t> </w:t>
      </w:r>
    </w:p>
    <w:p w14:paraId="0A912C64"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r w:rsidRPr="00553BC6">
        <w:rPr>
          <w:rFonts w:ascii="Verdana" w:eastAsia="Times New Roman" w:hAnsi="Verdana" w:cs="Arial"/>
          <w:color w:val="000000"/>
          <w:sz w:val="20"/>
          <w:szCs w:val="20"/>
          <w:lang w:val="es-ES" w:eastAsia="es-ES_tradnl"/>
        </w:rPr>
        <w:t>4. En los procesos para la selección de consultores se hará uso de factores de calificación destinados a valorar los aspectos técnicos de la oferta o proyecto. De conformidad con las condiciones que señale el reglamento, se podrán utilizar criterios de experiencia específica del oferente y del equipo de trabajo, en el campo de que se trate.</w:t>
      </w:r>
      <w:r w:rsidRPr="00553BC6">
        <w:rPr>
          <w:rFonts w:ascii="Verdana" w:eastAsia="Arial" w:hAnsi="Verdana" w:cs="Times New Roman"/>
          <w:color w:val="000000"/>
          <w:sz w:val="20"/>
          <w:szCs w:val="20"/>
          <w:lang w:eastAsia="es-ES_tradnl"/>
        </w:rPr>
        <w:t> </w:t>
      </w:r>
    </w:p>
    <w:p w14:paraId="7E60AB80"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r w:rsidRPr="00553BC6">
        <w:rPr>
          <w:rFonts w:ascii="Verdana" w:eastAsia="Arial" w:hAnsi="Verdana" w:cs="Times New Roman"/>
          <w:color w:val="000000"/>
          <w:sz w:val="20"/>
          <w:szCs w:val="20"/>
          <w:lang w:eastAsia="es-ES_tradnl"/>
        </w:rPr>
        <w:t> </w:t>
      </w:r>
    </w:p>
    <w:p w14:paraId="5DA05006"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r w:rsidRPr="00553BC6">
        <w:rPr>
          <w:rFonts w:ascii="Verdana" w:eastAsia="Times New Roman" w:hAnsi="Verdana" w:cs="Arial"/>
          <w:color w:val="000000"/>
          <w:sz w:val="20"/>
          <w:szCs w:val="20"/>
          <w:lang w:val="es-ES" w:eastAsia="es-ES_tradnl"/>
        </w:rPr>
        <w:t>En ningún caso se podrá incluir el precio, como factor de escogencia para la selección de consultores.</w:t>
      </w:r>
      <w:r w:rsidRPr="00553BC6">
        <w:rPr>
          <w:rFonts w:ascii="Verdana" w:eastAsia="Arial" w:hAnsi="Verdana" w:cs="Times New Roman"/>
          <w:color w:val="000000"/>
          <w:sz w:val="20"/>
          <w:szCs w:val="20"/>
          <w:lang w:eastAsia="es-ES_tradnl"/>
        </w:rPr>
        <w:t> </w:t>
      </w:r>
    </w:p>
    <w:p w14:paraId="6A2AE033"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r w:rsidRPr="00553BC6">
        <w:rPr>
          <w:rFonts w:ascii="Verdana" w:eastAsia="Arial" w:hAnsi="Verdana" w:cs="Times New Roman"/>
          <w:color w:val="000000"/>
          <w:sz w:val="20"/>
          <w:szCs w:val="20"/>
          <w:lang w:eastAsia="es-ES_tradnl"/>
        </w:rPr>
        <w:lastRenderedPageBreak/>
        <w:t> </w:t>
      </w:r>
    </w:p>
    <w:p w14:paraId="09E8058F"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r w:rsidRPr="00553BC6">
        <w:rPr>
          <w:rFonts w:ascii="Verdana" w:eastAsia="Times New Roman" w:hAnsi="Verdana" w:cs="Arial"/>
          <w:color w:val="000000"/>
          <w:sz w:val="20"/>
          <w:szCs w:val="20"/>
          <w:u w:val="single"/>
          <w:lang w:val="es-ES" w:eastAsia="es-ES_tradnl"/>
        </w:rPr>
        <w:t>PARÁGRAFO 1o. &lt;Parágrafo modificado por el artículo 5 de la Ley 1882 de 2018. El nuevo texto es el siguiente:&gt;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puntaje, deberán ser solicitados por las entidades estatales y deberán ser entregados por los proponentes hasta el término de traslado del informe de evaluación que corresponda a cada modalidad de selección</w:t>
      </w:r>
      <w:r w:rsidRPr="00553BC6">
        <w:rPr>
          <w:rFonts w:ascii="Verdana" w:eastAsia="Times New Roman" w:hAnsi="Verdana" w:cs="Arial"/>
          <w:color w:val="000000"/>
          <w:sz w:val="20"/>
          <w:szCs w:val="20"/>
          <w:lang w:val="es-ES" w:eastAsia="es-ES_tradnl"/>
        </w:rPr>
        <w:t xml:space="preserve">, salvo lo dispuesto para el proceso de Mínima cuantía y para el proceso de selección a través del sistema de subasta. </w:t>
      </w:r>
      <w:r w:rsidRPr="00553BC6">
        <w:rPr>
          <w:rFonts w:ascii="Verdana" w:eastAsia="Times New Roman" w:hAnsi="Verdana" w:cs="Arial"/>
          <w:color w:val="000000"/>
          <w:sz w:val="20"/>
          <w:szCs w:val="20"/>
          <w:u w:val="single"/>
          <w:lang w:val="es-ES" w:eastAsia="es-ES_tradnl"/>
        </w:rPr>
        <w:t>Serán rechazadas las ofertas de aquellos proponentes que no suministren la información y la documentación solicitada por la entidad estatal hasta el plazo anteriormente señalado.</w:t>
      </w:r>
      <w:r w:rsidRPr="00553BC6">
        <w:rPr>
          <w:rFonts w:ascii="Verdana" w:eastAsia="Arial" w:hAnsi="Verdana" w:cs="Times New Roman"/>
          <w:color w:val="000000"/>
          <w:sz w:val="20"/>
          <w:szCs w:val="20"/>
          <w:u w:val="single"/>
          <w:lang w:eastAsia="es-ES_tradnl"/>
        </w:rPr>
        <w:t> </w:t>
      </w:r>
    </w:p>
    <w:p w14:paraId="2529EA2F"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r w:rsidRPr="00553BC6">
        <w:rPr>
          <w:rFonts w:ascii="Verdana" w:eastAsia="Arial" w:hAnsi="Verdana" w:cs="Times New Roman"/>
          <w:color w:val="000000"/>
          <w:sz w:val="20"/>
          <w:szCs w:val="20"/>
          <w:lang w:eastAsia="es-ES_tradnl"/>
        </w:rPr>
        <w:t> </w:t>
      </w:r>
    </w:p>
    <w:p w14:paraId="5409DF7F"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r w:rsidRPr="00553BC6">
        <w:rPr>
          <w:rFonts w:ascii="Verdana" w:eastAsia="Times New Roman" w:hAnsi="Verdana" w:cs="Arial"/>
          <w:color w:val="000000"/>
          <w:sz w:val="20"/>
          <w:szCs w:val="20"/>
          <w:u w:val="single"/>
          <w:lang w:val="es-ES" w:eastAsia="es-ES_tradnl"/>
        </w:rPr>
        <w:t>Durante el término otorgado para subsanar las ofertas, los proponentes no podrán acreditar circunstancias ocurridas con posterioridad al cierre del proceso.</w:t>
      </w:r>
      <w:r w:rsidRPr="00553BC6">
        <w:rPr>
          <w:rFonts w:ascii="Verdana" w:eastAsia="Arial" w:hAnsi="Verdana" w:cs="Times New Roman"/>
          <w:color w:val="000000"/>
          <w:sz w:val="20"/>
          <w:szCs w:val="20"/>
          <w:lang w:eastAsia="es-ES_tradnl"/>
        </w:rPr>
        <w:t> </w:t>
      </w:r>
    </w:p>
    <w:p w14:paraId="19CFDD7C"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r w:rsidRPr="00553BC6">
        <w:rPr>
          <w:rFonts w:ascii="Verdana" w:eastAsia="Arial" w:hAnsi="Verdana" w:cs="Times New Roman"/>
          <w:color w:val="000000"/>
          <w:sz w:val="20"/>
          <w:szCs w:val="20"/>
          <w:lang w:eastAsia="es-ES_tradnl"/>
        </w:rPr>
        <w:t> </w:t>
      </w:r>
    </w:p>
    <w:p w14:paraId="5670A96C"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r w:rsidRPr="00553BC6">
        <w:rPr>
          <w:rFonts w:ascii="Verdana" w:eastAsia="Times New Roman" w:hAnsi="Verdana" w:cs="Arial"/>
          <w:color w:val="000000"/>
          <w:sz w:val="20"/>
          <w:szCs w:val="20"/>
          <w:lang w:val="es-ES" w:eastAsia="es-ES_tradnl"/>
        </w:rPr>
        <w:t>PARÁGRAFO 2o. Las certificaciones de sistemas de gestión de calidad no serán objeto de calificación, ni podrán establecerse como documento habilitante para participar en licitaciones o concursos.</w:t>
      </w:r>
      <w:r w:rsidRPr="00553BC6">
        <w:rPr>
          <w:rFonts w:ascii="Verdana" w:eastAsia="Arial" w:hAnsi="Verdana" w:cs="Times New Roman"/>
          <w:color w:val="000000"/>
          <w:sz w:val="20"/>
          <w:szCs w:val="20"/>
          <w:lang w:eastAsia="es-ES_tradnl"/>
        </w:rPr>
        <w:t> </w:t>
      </w:r>
    </w:p>
    <w:p w14:paraId="3B208A19"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r w:rsidRPr="00553BC6">
        <w:rPr>
          <w:rFonts w:ascii="Verdana" w:eastAsia="Arial" w:hAnsi="Verdana" w:cs="Times New Roman"/>
          <w:color w:val="000000"/>
          <w:sz w:val="20"/>
          <w:szCs w:val="20"/>
          <w:lang w:eastAsia="es-ES_tradnl"/>
        </w:rPr>
        <w:t> </w:t>
      </w:r>
    </w:p>
    <w:p w14:paraId="6A5EB034"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u w:val="single"/>
          <w:lang w:eastAsia="es-ES_tradnl"/>
        </w:rPr>
      </w:pPr>
      <w:r w:rsidRPr="00553BC6">
        <w:rPr>
          <w:rFonts w:ascii="Verdana" w:eastAsia="Times New Roman" w:hAnsi="Verdana" w:cs="Arial"/>
          <w:color w:val="000000"/>
          <w:sz w:val="20"/>
          <w:szCs w:val="20"/>
          <w:u w:val="single"/>
          <w:lang w:val="es-ES" w:eastAsia="es-ES_tradnl"/>
        </w:rPr>
        <w:t>PARÁGRAFO 3o. &lt;Parágrafo adicionado por el artículo 5 de la Ley 1882 de 2018. El nuevo texto es el siguiente:&gt; La no entrega de la garantía de seriedad junto con la propuesta no será subsanable y será causal de rechazo de la misma.</w:t>
      </w:r>
      <w:r w:rsidRPr="00553BC6">
        <w:rPr>
          <w:rFonts w:ascii="Verdana" w:eastAsia="Arial" w:hAnsi="Verdana" w:cs="Times New Roman"/>
          <w:color w:val="000000"/>
          <w:sz w:val="20"/>
          <w:szCs w:val="20"/>
          <w:u w:val="single"/>
          <w:lang w:eastAsia="es-ES_tradnl"/>
        </w:rPr>
        <w:t> </w:t>
      </w:r>
    </w:p>
    <w:p w14:paraId="4D9AB3E6"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r w:rsidRPr="00553BC6">
        <w:rPr>
          <w:rFonts w:ascii="Verdana" w:eastAsia="Arial" w:hAnsi="Verdana" w:cs="Times New Roman"/>
          <w:color w:val="000000"/>
          <w:sz w:val="20"/>
          <w:szCs w:val="20"/>
          <w:lang w:eastAsia="es-ES_tradnl"/>
        </w:rPr>
        <w:t> </w:t>
      </w:r>
    </w:p>
    <w:p w14:paraId="42F465CE"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r w:rsidRPr="00553BC6">
        <w:rPr>
          <w:rFonts w:ascii="Verdana" w:eastAsia="Times New Roman" w:hAnsi="Verdana" w:cs="Arial"/>
          <w:color w:val="000000"/>
          <w:sz w:val="20"/>
          <w:szCs w:val="20"/>
          <w:lang w:val="es-ES" w:eastAsia="es-ES_tradnl"/>
        </w:rPr>
        <w:t>PARÁGRAFO 4o. &lt;Parágrafo adicionado por el artículo 5 de la Ley 1882 de 2018. El nuevo texto es el siguiente:&gt; En aquellos procesos de selección en los que se utilice el mecanismo de subasta, los documentos referentes a la futura contratación o al proponente, no necesarios para la comparación de las propuestas, deberán ser solicitados hasta el momento previo a su realización.</w:t>
      </w:r>
      <w:r w:rsidRPr="00553BC6">
        <w:rPr>
          <w:rFonts w:ascii="Verdana" w:eastAsia="Arial" w:hAnsi="Verdana" w:cs="Times New Roman"/>
          <w:color w:val="000000"/>
          <w:sz w:val="20"/>
          <w:szCs w:val="20"/>
          <w:lang w:eastAsia="es-ES_tradnl"/>
        </w:rPr>
        <w:t> </w:t>
      </w:r>
    </w:p>
    <w:p w14:paraId="34F27537"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r w:rsidRPr="00553BC6">
        <w:rPr>
          <w:rFonts w:ascii="Verdana" w:eastAsia="Arial" w:hAnsi="Verdana" w:cs="Times New Roman"/>
          <w:color w:val="000000"/>
          <w:sz w:val="20"/>
          <w:szCs w:val="20"/>
          <w:lang w:eastAsia="es-ES_tradnl"/>
        </w:rPr>
        <w:t> </w:t>
      </w:r>
    </w:p>
    <w:p w14:paraId="54878F9A" w14:textId="77777777" w:rsidR="001846BC" w:rsidRPr="00553BC6" w:rsidRDefault="001846BC" w:rsidP="001846BC">
      <w:pPr>
        <w:spacing w:after="0" w:line="240" w:lineRule="auto"/>
        <w:ind w:left="709" w:right="709"/>
        <w:jc w:val="both"/>
        <w:textAlignment w:val="baseline"/>
        <w:rPr>
          <w:rFonts w:ascii="Verdana" w:eastAsia="Times New Roman" w:hAnsi="Verdana" w:cs="Segoe UI"/>
          <w:sz w:val="20"/>
          <w:szCs w:val="20"/>
          <w:lang w:eastAsia="es-ES_tradnl"/>
        </w:rPr>
      </w:pPr>
      <w:r w:rsidRPr="00553BC6">
        <w:rPr>
          <w:rFonts w:ascii="Verdana" w:eastAsia="Times New Roman" w:hAnsi="Verdana" w:cs="Arial"/>
          <w:color w:val="000000"/>
          <w:sz w:val="20"/>
          <w:szCs w:val="20"/>
          <w:lang w:val="es-ES" w:eastAsia="es-ES_tradnl"/>
        </w:rPr>
        <w:t>PARÁGRAFO 5o. &lt;Parágrafo adicionado por el artículo 5 de la Ley 1882 de 2018. El nuevo texto es el siguiente:&gt; En los procesos de contratación, las entidades estatales deberán aceptar la experiencia adquirida por los proponentes a través de la ejecución de contratos con particulares”. [Subrayado por fuera de texto original]</w:t>
      </w:r>
    </w:p>
    <w:p w14:paraId="6F9CF1DE" w14:textId="77777777" w:rsidR="001846BC" w:rsidRPr="00553BC6" w:rsidRDefault="001846BC" w:rsidP="001846BC">
      <w:pPr>
        <w:spacing w:after="0" w:line="276" w:lineRule="auto"/>
        <w:ind w:left="709" w:right="709"/>
        <w:jc w:val="both"/>
        <w:rPr>
          <w:rFonts w:ascii="Verdana" w:eastAsia="Times New Roman" w:hAnsi="Verdana" w:cs="Arial"/>
          <w:lang w:eastAsia="es-CO"/>
        </w:rPr>
      </w:pPr>
    </w:p>
    <w:p w14:paraId="72F7B334" w14:textId="77777777" w:rsidR="001846BC" w:rsidRPr="00553BC6" w:rsidRDefault="001846BC" w:rsidP="001846BC">
      <w:pPr>
        <w:spacing w:after="120" w:line="276" w:lineRule="auto"/>
        <w:ind w:firstLine="709"/>
        <w:jc w:val="both"/>
        <w:rPr>
          <w:rFonts w:ascii="Verdana" w:eastAsia="Times New Roman" w:hAnsi="Verdana" w:cs="Arial"/>
          <w:lang w:val="es-ES" w:eastAsia="es-ES"/>
        </w:rPr>
      </w:pPr>
      <w:r w:rsidRPr="00553BC6">
        <w:rPr>
          <w:rFonts w:ascii="Verdana" w:eastAsia="Times New Roman" w:hAnsi="Verdana" w:cs="Arial"/>
          <w:lang w:val="es-ES" w:eastAsia="es-ES"/>
        </w:rPr>
        <w:t xml:space="preserve">Como puede observarse, la Ley 1882 de 2018: i) mantiene el criterio de la Ley 80 de 1993, relativo a que todo lo que no sea necesario para la comparación de propuestas no es título suficiente para su rechazo; ii) mantiene el criterio aclaratorio de la Ley 1150 de 2007, según el cual todo lo que no afecte </w:t>
      </w:r>
      <w:r w:rsidRPr="00553BC6">
        <w:rPr>
          <w:rFonts w:ascii="Verdana" w:eastAsia="Times New Roman" w:hAnsi="Verdana" w:cs="Arial"/>
          <w:lang w:val="es-ES" w:eastAsia="es-ES"/>
        </w:rPr>
        <w:lastRenderedPageBreak/>
        <w:t xml:space="preserve">la asignación de puntaje puede subsanarse; e, iii) introduce modificaciones en relación con algunos aspectos que se analizarán a continuación. </w:t>
      </w:r>
    </w:p>
    <w:p w14:paraId="23A2BEEA" w14:textId="77777777" w:rsidR="001846BC" w:rsidRPr="00553BC6" w:rsidRDefault="001846BC" w:rsidP="001846BC">
      <w:pPr>
        <w:spacing w:after="120" w:line="276" w:lineRule="auto"/>
        <w:ind w:right="51" w:firstLine="709"/>
        <w:jc w:val="both"/>
        <w:rPr>
          <w:rFonts w:ascii="Verdana" w:eastAsia="Times New Roman" w:hAnsi="Verdana" w:cs="Arial"/>
          <w:lang w:val="es-ES_tradnl" w:eastAsia="es-ES_tradnl"/>
        </w:rPr>
      </w:pPr>
      <w:r w:rsidRPr="00553BC6">
        <w:rPr>
          <w:rFonts w:ascii="Verdana" w:eastAsia="Times New Roman" w:hAnsi="Verdana" w:cs="Arial"/>
          <w:i/>
          <w:iCs/>
          <w:lang w:val="es-ES_tradnl" w:eastAsia="es-ES_tradnl"/>
        </w:rPr>
        <w:t xml:space="preserve">La primera modificación </w:t>
      </w:r>
      <w:r w:rsidRPr="00553BC6">
        <w:rPr>
          <w:rFonts w:ascii="Verdana" w:eastAsia="Times New Roman" w:hAnsi="Verdana" w:cs="Arial"/>
          <w:lang w:val="es-ES_tradnl" w:eastAsia="es-ES_tradnl"/>
        </w:rPr>
        <w:t>está relacionada con el ámbito temporal para ejercer la facultad de subsanar la oferta, pues la Ley 1882 de 2018 fijó una regla general y una excepción. La regla general es que, el límite para que la entidad solicite y para que el proponente corrija lo que haga falta es hasta el término de traslado del informe de evaluación que corresponda a cada modalidad de selección. La excepción es que el límite anterior no aplica para los procesos de mínima cuantía y para el proceso de selección a través del sistema de subasta</w:t>
      </w:r>
      <w:r w:rsidRPr="00553BC6">
        <w:rPr>
          <w:rFonts w:ascii="Verdana" w:eastAsia="Times New Roman" w:hAnsi="Verdana" w:cs="Arial"/>
          <w:vertAlign w:val="superscript"/>
          <w:lang w:val="es-ES_tradnl" w:eastAsia="es-ES_tradnl"/>
        </w:rPr>
        <w:footnoteReference w:id="13"/>
      </w:r>
      <w:r w:rsidRPr="00553BC6">
        <w:rPr>
          <w:rFonts w:ascii="Verdana" w:eastAsia="Times New Roman" w:hAnsi="Verdana" w:cs="Arial"/>
          <w:lang w:val="es-ES_tradnl" w:eastAsia="es-ES_tradnl"/>
        </w:rPr>
        <w:t>.</w:t>
      </w:r>
    </w:p>
    <w:p w14:paraId="3582D593" w14:textId="77777777" w:rsidR="001846BC" w:rsidRPr="00553BC6" w:rsidRDefault="001846BC" w:rsidP="001846BC">
      <w:pPr>
        <w:spacing w:after="120" w:line="276" w:lineRule="auto"/>
        <w:ind w:firstLine="709"/>
        <w:jc w:val="both"/>
        <w:rPr>
          <w:rFonts w:ascii="Verdana" w:eastAsia="Times New Roman" w:hAnsi="Verdana" w:cs="Arial"/>
          <w:lang w:val="es-ES" w:eastAsia="es-ES"/>
        </w:rPr>
      </w:pPr>
      <w:r w:rsidRPr="00553BC6">
        <w:rPr>
          <w:rFonts w:ascii="Verdana" w:eastAsia="Times New Roman" w:hAnsi="Verdana" w:cs="Arial"/>
          <w:lang w:val="es-ES" w:eastAsia="es-ES"/>
        </w:rPr>
        <w:t>Frente a la regla general aplicable a los demás procesos de selección, la norma fijó un límite final para que la Administración y los oferentes subsanen los requisitos o documentos que puedan y deban ser subsanados. No obstante, lo anterior, nada impide, y la norma no lo hace, que la Administración requiera al proponente antes de publicar el informe de evaluación. En efecto, la redacción de la norma permite que la Administración solicite a los oferentes subsanar y que estos lo hagan hasta antes del término del traslado del informe de evaluación: “</w:t>
      </w:r>
      <w:r w:rsidRPr="00553BC6">
        <w:rPr>
          <w:rFonts w:ascii="Verdana" w:eastAsia="Times New Roman" w:hAnsi="Verdana" w:cs="Arial"/>
          <w:i/>
          <w:iCs/>
          <w:lang w:val="es-ES" w:eastAsia="es-ES"/>
        </w:rPr>
        <w:t>deberán ser solicitados por las entidades estatales y deberán ser entregados por los proponentes hasta el término de traslado del informe de evaluación que corresponda a cada modalidad de selección”.</w:t>
      </w:r>
      <w:r w:rsidRPr="00553BC6">
        <w:rPr>
          <w:rFonts w:ascii="Verdana" w:eastAsia="Times New Roman" w:hAnsi="Verdana" w:cs="Arial"/>
          <w:lang w:val="es-ES" w:eastAsia="es-ES"/>
        </w:rPr>
        <w:t xml:space="preserve"> </w:t>
      </w:r>
    </w:p>
    <w:p w14:paraId="77483593" w14:textId="77777777" w:rsidR="001846BC" w:rsidRPr="00553BC6" w:rsidRDefault="001846BC" w:rsidP="001846BC">
      <w:pPr>
        <w:spacing w:after="120" w:line="276" w:lineRule="auto"/>
        <w:ind w:firstLine="709"/>
        <w:jc w:val="both"/>
        <w:rPr>
          <w:rFonts w:ascii="Verdana" w:eastAsia="Times New Roman" w:hAnsi="Verdana" w:cs="Arial"/>
          <w:lang w:val="es-ES" w:eastAsia="es-ES"/>
        </w:rPr>
      </w:pPr>
      <w:r w:rsidRPr="00553BC6">
        <w:rPr>
          <w:rFonts w:ascii="Verdana" w:eastAsia="Times New Roman" w:hAnsi="Verdana" w:cs="Arial"/>
          <w:lang w:val="es-ES" w:eastAsia="es-ES"/>
        </w:rPr>
        <w:t xml:space="preserve">Sin perjuicio de lo expuesto, de la lectura de este aparte podrían, en la práctica, darse dos interpretaciones que dan lugar a dos formas de proceder en los procesos de selección, en lo que a la subsanabilidad de las ofertas se refiere. </w:t>
      </w:r>
      <w:r w:rsidRPr="00553BC6">
        <w:rPr>
          <w:rFonts w:ascii="Verdana" w:eastAsia="Times New Roman" w:hAnsi="Verdana" w:cs="Arial"/>
          <w:i/>
          <w:iCs/>
          <w:lang w:val="es-ES" w:eastAsia="es-ES"/>
        </w:rPr>
        <w:t>Primera</w:t>
      </w:r>
      <w:r w:rsidRPr="00553BC6">
        <w:rPr>
          <w:rFonts w:ascii="Verdana" w:eastAsia="Times New Roman" w:hAnsi="Verdana" w:cs="Arial"/>
          <w:lang w:val="es-ES" w:eastAsia="es-ES"/>
        </w:rPr>
        <w:t xml:space="preserve">, que la posibilidad para subsanar de los oferentes es el término del traslado del informe de evaluación, ya que es en este documento donde la Administración consigna los requisitos o documentos omitidos que los oferentes deben subsanar, so pena de rechazo. </w:t>
      </w:r>
      <w:r w:rsidRPr="00553BC6">
        <w:rPr>
          <w:rFonts w:ascii="Verdana" w:eastAsia="Times New Roman" w:hAnsi="Verdana" w:cs="Arial"/>
          <w:i/>
          <w:iCs/>
          <w:lang w:val="es-ES" w:eastAsia="es-ES"/>
        </w:rPr>
        <w:t>Segunda</w:t>
      </w:r>
      <w:r w:rsidRPr="00553BC6">
        <w:rPr>
          <w:rFonts w:ascii="Verdana" w:eastAsia="Times New Roman" w:hAnsi="Verdana" w:cs="Arial"/>
          <w:lang w:val="es-ES" w:eastAsia="es-ES"/>
        </w:rPr>
        <w:t xml:space="preserve">, que el término del traslado del informe de evaluación es el </w:t>
      </w:r>
      <w:r w:rsidRPr="00553BC6">
        <w:rPr>
          <w:rFonts w:ascii="Verdana" w:eastAsia="Times New Roman" w:hAnsi="Verdana" w:cs="Arial"/>
          <w:i/>
          <w:lang w:val="es-ES" w:eastAsia="es-ES"/>
        </w:rPr>
        <w:t>límite</w:t>
      </w:r>
      <w:r w:rsidRPr="00553BC6">
        <w:rPr>
          <w:rFonts w:ascii="Verdana" w:eastAsia="Times New Roman" w:hAnsi="Verdana" w:cs="Arial"/>
          <w:lang w:val="es-ES" w:eastAsia="es-ES"/>
        </w:rPr>
        <w:t xml:space="preserve"> para la subsanación de ofertas, pero no el único momento para hacerlo. </w:t>
      </w:r>
    </w:p>
    <w:p w14:paraId="283C4C0E" w14:textId="77777777" w:rsidR="001846BC" w:rsidRPr="00553BC6" w:rsidRDefault="001846BC" w:rsidP="001846BC">
      <w:pPr>
        <w:spacing w:after="120" w:line="276" w:lineRule="auto"/>
        <w:ind w:firstLine="709"/>
        <w:jc w:val="both"/>
        <w:rPr>
          <w:rFonts w:ascii="Verdana" w:eastAsia="Times New Roman" w:hAnsi="Verdana" w:cs="Arial"/>
          <w:lang w:val="es-ES_tradnl" w:eastAsia="es-ES_tradnl"/>
        </w:rPr>
      </w:pPr>
      <w:r w:rsidRPr="00553BC6">
        <w:rPr>
          <w:rFonts w:ascii="Verdana" w:eastAsia="Times New Roman" w:hAnsi="Verdana" w:cs="Arial"/>
          <w:lang w:val="es-ES_tradnl" w:eastAsia="es-ES_tradnl"/>
        </w:rPr>
        <w:t xml:space="preserve">De acuerdo con la primera interpretación, el informe de evaluación se convierte en la oportunidad que adopta la Administración para decirles a los oferentes qué documentos o requisitos omitieron y deben subsanar. </w:t>
      </w:r>
      <w:r w:rsidRPr="00553BC6">
        <w:rPr>
          <w:rFonts w:ascii="Verdana" w:eastAsia="Times New Roman" w:hAnsi="Verdana" w:cs="Arial"/>
          <w:lang w:val="es-ES_tradnl" w:eastAsia="es-ES_tradnl"/>
        </w:rPr>
        <w:lastRenderedPageBreak/>
        <w:t xml:space="preserve">Consecuentemente, el término del traslado es la oportunidad del proponente para cumplir con lo solicitado.  </w:t>
      </w:r>
    </w:p>
    <w:p w14:paraId="2C3E6E1C" w14:textId="77777777" w:rsidR="001846BC" w:rsidRPr="00553BC6" w:rsidRDefault="001846BC" w:rsidP="001846BC">
      <w:pPr>
        <w:spacing w:after="120" w:line="276" w:lineRule="auto"/>
        <w:ind w:firstLine="709"/>
        <w:jc w:val="both"/>
        <w:rPr>
          <w:rFonts w:ascii="Verdana" w:eastAsia="Times New Roman" w:hAnsi="Verdana" w:cs="Arial"/>
          <w:lang w:val="es-ES_tradnl" w:eastAsia="es-ES_tradnl"/>
        </w:rPr>
      </w:pPr>
      <w:r w:rsidRPr="00553BC6">
        <w:rPr>
          <w:rFonts w:ascii="Verdana" w:eastAsia="Times New Roman" w:hAnsi="Verdana" w:cs="Arial"/>
          <w:lang w:val="es-ES_tradnl" w:eastAsia="es-ES_tradnl"/>
        </w:rPr>
        <w:t>La segunda interpretación permitiría que la Administración requiera al oferente durante el proceso de evaluación de las propuestas, tan pronto advierta que hace falta un documento o requisito que se puede subsanar. En este caso, el proceso de subsanación se podría realizar con anterioridad a la publicación del informe de evaluación, de manera que, una vez se publique el informe ya se encuentren subsanadas las propuestas, sin perjuicio del término límite que concedió la ley.</w:t>
      </w:r>
    </w:p>
    <w:p w14:paraId="7212E469" w14:textId="77777777" w:rsidR="001846BC" w:rsidRPr="00553BC6" w:rsidRDefault="001846BC" w:rsidP="001846BC">
      <w:pPr>
        <w:spacing w:after="120" w:line="276" w:lineRule="auto"/>
        <w:ind w:firstLine="709"/>
        <w:jc w:val="both"/>
        <w:rPr>
          <w:rFonts w:ascii="Verdana" w:eastAsia="Times New Roman" w:hAnsi="Verdana" w:cs="Arial"/>
          <w:lang w:val="es-ES" w:eastAsia="es-ES"/>
        </w:rPr>
      </w:pPr>
      <w:r w:rsidRPr="00553BC6">
        <w:rPr>
          <w:rFonts w:ascii="Verdana" w:eastAsia="Times New Roman" w:hAnsi="Verdana" w:cs="Arial"/>
          <w:lang w:val="es-ES" w:eastAsia="es-ES"/>
        </w:rPr>
        <w:t>La modificación introducida por el artículo 5 de la Ley 1882 de 2018, si bien pudo significar, en la práctica de los procesos de selección, que el informe de evaluación fuera la oportunidad de la Administración para requerir al proponente para que subsane la oferta, y el término del traslado la oportunidad para hacerlo, lo cierto es que no impide que esto se realice con anterioridad a la publicación del informe. Inclusive, es más adecuado y conveniente que la subsanación de las ofertas se intente con anterioridad, de forma que, una vez la Administración advierta el defecto, le solicite directamente al oferente que subsane. Esta interpretación es más consistente con los principios de economía, transparencia y selección objetiva. Lo anterior, se aclara, sin desconocer el límite que establece la norma para que los oferentes, sin perjuicio de que lo hagan antes, cuenten hasta el término de traslado del informe de evaluación con la posibilidad de presentar la información solicitada.</w:t>
      </w:r>
    </w:p>
    <w:p w14:paraId="59D191D8" w14:textId="77777777" w:rsidR="001846BC" w:rsidRPr="00553BC6" w:rsidRDefault="001846BC" w:rsidP="001846BC">
      <w:pPr>
        <w:spacing w:after="120" w:line="276" w:lineRule="auto"/>
        <w:ind w:firstLine="709"/>
        <w:jc w:val="both"/>
        <w:rPr>
          <w:rFonts w:ascii="Verdana" w:eastAsia="Times New Roman" w:hAnsi="Verdana" w:cs="Arial"/>
          <w:lang w:val="es-ES_tradnl" w:eastAsia="es-ES_tradnl"/>
        </w:rPr>
      </w:pPr>
      <w:r w:rsidRPr="00553BC6">
        <w:rPr>
          <w:rFonts w:ascii="Verdana" w:eastAsia="Times New Roman" w:hAnsi="Verdana" w:cs="Arial"/>
          <w:lang w:val="es-ES_tradnl" w:eastAsia="es-ES_tradnl"/>
        </w:rPr>
        <w:t xml:space="preserve">El </w:t>
      </w:r>
      <w:r w:rsidRPr="00553BC6">
        <w:rPr>
          <w:rFonts w:ascii="Verdana" w:eastAsia="Times New Roman" w:hAnsi="Verdana" w:cs="Arial"/>
          <w:i/>
          <w:iCs/>
          <w:lang w:val="es-ES_tradnl" w:eastAsia="es-ES_tradnl"/>
        </w:rPr>
        <w:t>segundo cambio</w:t>
      </w:r>
      <w:r w:rsidRPr="00553BC6">
        <w:rPr>
          <w:rFonts w:ascii="Verdana" w:eastAsia="Times New Roman" w:hAnsi="Verdana" w:cs="Arial"/>
          <w:lang w:val="es-ES_tradnl" w:eastAsia="es-ES_tradnl"/>
        </w:rPr>
        <w:t xml:space="preserve"> importante de la Ley 1882 de 2018 fue la introducción de un criterio material, directamente relacionado con los aspectos subsanables: </w:t>
      </w:r>
      <w:r w:rsidRPr="00553BC6">
        <w:rPr>
          <w:rFonts w:ascii="Verdana" w:eastAsia="Times New Roman" w:hAnsi="Verdana" w:cs="Arial"/>
          <w:i/>
          <w:iCs/>
          <w:lang w:val="es-ES_tradnl" w:eastAsia="es-ES_tradnl"/>
        </w:rPr>
        <w:t>“los proponentes no podrán acreditar circunstancias ocurridas con posterioridad al cierre del proceso”.</w:t>
      </w:r>
      <w:r w:rsidRPr="00553BC6">
        <w:rPr>
          <w:rFonts w:ascii="Verdana" w:eastAsia="Times New Roman" w:hAnsi="Verdana" w:cs="Arial"/>
          <w:lang w:val="es-ES_tradnl" w:eastAsia="es-ES_tradnl"/>
        </w:rPr>
        <w:t xml:space="preserve"> Lo anterior ofrece dos aspectos que merecen clarificación; primero, qué debe entenderse por circunstancias ocurridas con posterioridad; y segundo, qué es el cierre del proceso. </w:t>
      </w:r>
    </w:p>
    <w:p w14:paraId="57D4F57E" w14:textId="77777777" w:rsidR="001846BC" w:rsidRPr="00553BC6" w:rsidRDefault="001846BC" w:rsidP="001846BC">
      <w:pPr>
        <w:spacing w:after="120" w:line="276" w:lineRule="auto"/>
        <w:ind w:firstLine="709"/>
        <w:jc w:val="both"/>
        <w:rPr>
          <w:rFonts w:ascii="Verdana" w:eastAsia="Times New Roman" w:hAnsi="Verdana" w:cs="Arial"/>
          <w:lang w:val="es-ES" w:eastAsia="es-ES"/>
        </w:rPr>
      </w:pPr>
      <w:r w:rsidRPr="00553BC6">
        <w:rPr>
          <w:rFonts w:ascii="Verdana" w:eastAsia="Times New Roman" w:hAnsi="Verdana" w:cs="Arial"/>
          <w:lang w:val="es-ES" w:eastAsia="es-ES"/>
        </w:rPr>
        <w:t xml:space="preserve">La Sala de Consulta y Servicio Civil del Consejo de Estado ya había tenido la oportunidad de precisar estas expresiones, a propósito de un concepto en el que se refirió al artículo 10 del derogado Decreto 2474 de 2008, que había determinado que en ningún caso la entidad podía permitir que se acreditaran circunstancias ocurridas con posterioridad al cierre del proceso. En esa ocasión, el Consejo de Estado precisó que, por cierre del proceso debe entenderse el </w:t>
      </w:r>
      <w:r w:rsidRPr="00553BC6">
        <w:rPr>
          <w:rFonts w:ascii="Verdana" w:eastAsia="Times New Roman" w:hAnsi="Verdana" w:cs="Arial"/>
          <w:lang w:val="es-ES" w:eastAsia="es-ES"/>
        </w:rPr>
        <w:lastRenderedPageBreak/>
        <w:t>vencimiento del plazo para la presentación de las ofertas y que lo subsanable son las circunstancias que ocurrieron con anterioridad a esa fecha</w:t>
      </w:r>
      <w:r w:rsidRPr="00553BC6">
        <w:rPr>
          <w:rFonts w:ascii="Verdana" w:eastAsia="Times New Roman" w:hAnsi="Verdana" w:cs="Arial"/>
          <w:vertAlign w:val="superscript"/>
          <w:lang w:val="es-ES" w:eastAsia="es-ES"/>
        </w:rPr>
        <w:footnoteReference w:id="14"/>
      </w:r>
      <w:r w:rsidRPr="00553BC6">
        <w:rPr>
          <w:rFonts w:ascii="Verdana" w:eastAsia="Times New Roman" w:hAnsi="Verdana" w:cs="Arial"/>
          <w:lang w:val="es-ES" w:eastAsia="es-ES"/>
        </w:rPr>
        <w:t>.</w:t>
      </w:r>
    </w:p>
    <w:p w14:paraId="1FDABD70" w14:textId="77777777" w:rsidR="001846BC" w:rsidRPr="00553BC6" w:rsidRDefault="001846BC" w:rsidP="001846BC">
      <w:pPr>
        <w:spacing w:after="120" w:line="276" w:lineRule="auto"/>
        <w:ind w:firstLine="709"/>
        <w:jc w:val="both"/>
        <w:rPr>
          <w:rFonts w:ascii="Verdana" w:eastAsia="Times New Roman" w:hAnsi="Verdana" w:cs="Arial"/>
          <w:lang w:val="es-ES_tradnl" w:eastAsia="es-ES_tradnl"/>
        </w:rPr>
      </w:pPr>
      <w:r w:rsidRPr="00553BC6">
        <w:rPr>
          <w:rFonts w:ascii="Verdana" w:eastAsia="Times New Roman" w:hAnsi="Verdana" w:cs="Arial"/>
          <w:lang w:val="es-ES_tradnl" w:eastAsia="es-ES_tradnl"/>
        </w:rPr>
        <w:t xml:space="preserve">De conformidad con el artículo 5 de la Ley 1882 de 2018, lo subsanable es la prueba de todas las circunstancias ocurridas antes del vencimiento del término para presentar las ofertas, ello es lo que implica la prohibición de acreditar circunstancias ocurridas con posterioridad al “cierre del proceso”. Lo anterior evita, por ejemplo, que se presenten oferentes que no cumplían con los requisitos para participar al momento de presentar las ofertas, y pretendan cumplirlos durante el proceso de selección o, inclusive, que se puedan variar condiciones de la oferta una vez presentada. </w:t>
      </w:r>
    </w:p>
    <w:p w14:paraId="25A24349" w14:textId="77777777" w:rsidR="001846BC" w:rsidRPr="00553BC6" w:rsidRDefault="001846BC" w:rsidP="001846BC">
      <w:pPr>
        <w:spacing w:after="120" w:line="276" w:lineRule="auto"/>
        <w:ind w:firstLine="709"/>
        <w:jc w:val="both"/>
        <w:rPr>
          <w:rFonts w:ascii="Verdana" w:eastAsia="Times New Roman" w:hAnsi="Verdana" w:cs="Arial"/>
          <w:lang w:val="es-ES" w:eastAsia="es-ES"/>
        </w:rPr>
      </w:pPr>
      <w:r w:rsidRPr="00553BC6">
        <w:rPr>
          <w:rFonts w:ascii="Verdana" w:eastAsia="Times New Roman" w:hAnsi="Verdana" w:cs="Arial"/>
          <w:lang w:val="es-ES" w:eastAsia="es-ES"/>
        </w:rPr>
        <w:t xml:space="preserve">Un mejor entendimiento del significado de la expresión </w:t>
      </w:r>
      <w:r w:rsidRPr="00553BC6">
        <w:rPr>
          <w:rFonts w:ascii="Verdana" w:eastAsia="Times New Roman" w:hAnsi="Verdana" w:cs="Arial"/>
          <w:i/>
          <w:lang w:val="es-ES" w:eastAsia="es-ES"/>
        </w:rPr>
        <w:t>“circunstancias ocurridas con posterioridad al cierre del proceso”</w:t>
      </w:r>
      <w:r w:rsidRPr="00553BC6">
        <w:rPr>
          <w:rFonts w:ascii="Verdana" w:eastAsia="Times New Roman" w:hAnsi="Verdana" w:cs="Arial"/>
          <w:lang w:val="es-ES" w:eastAsia="es-ES"/>
        </w:rPr>
        <w:t xml:space="preserve"> implica distinguir entre la prueba de un hecho y el hecho mismo. En el caso de la subsanabilidad de las ofertas, una cosa es el requisito habilitante o el elemento de la propuesta y otra su prueba. Lo que prohíbe la norma es que se subsanen requisitos que no estaban materialmente cumplidos al momento de presentación de la oferta, o en palabras de la ley, que se acrediten hechos que ocurrieron después del cierre del proceso</w:t>
      </w:r>
      <w:r w:rsidRPr="00553BC6">
        <w:rPr>
          <w:rFonts w:ascii="Verdana" w:eastAsia="Times New Roman" w:hAnsi="Verdana" w:cs="Arial"/>
          <w:vertAlign w:val="superscript"/>
          <w:lang w:val="es-ES" w:eastAsia="es-ES"/>
        </w:rPr>
        <w:footnoteReference w:id="15"/>
      </w:r>
      <w:r w:rsidRPr="00553BC6">
        <w:rPr>
          <w:rFonts w:ascii="Verdana" w:eastAsia="Times New Roman" w:hAnsi="Verdana" w:cs="Arial"/>
          <w:lang w:val="es-ES" w:eastAsia="es-ES"/>
        </w:rPr>
        <w:t xml:space="preserve">. </w:t>
      </w:r>
    </w:p>
    <w:p w14:paraId="5CFC19F0" w14:textId="77777777" w:rsidR="001846BC" w:rsidRPr="00553BC6" w:rsidRDefault="001846BC" w:rsidP="001846BC">
      <w:pPr>
        <w:spacing w:after="120" w:line="276" w:lineRule="auto"/>
        <w:ind w:firstLine="709"/>
        <w:jc w:val="both"/>
        <w:rPr>
          <w:rFonts w:ascii="Verdana" w:eastAsia="Times New Roman" w:hAnsi="Verdana" w:cs="Arial"/>
          <w:lang w:val="es-ES" w:eastAsia="es-ES"/>
        </w:rPr>
      </w:pPr>
      <w:r w:rsidRPr="00553BC6">
        <w:rPr>
          <w:rFonts w:ascii="Verdana" w:eastAsia="Times New Roman" w:hAnsi="Verdana" w:cs="Arial"/>
          <w:lang w:val="es-ES" w:eastAsia="es-ES"/>
        </w:rPr>
        <w:t xml:space="preserve">Por ejemplo: i) si un oferente olvidó adjuntar con su propuesta el certificado que da cuenta de su inscripción en el RUP, el requisito será subsanable siempre que la prueba allegada demuestre que el hecho, esto es, la </w:t>
      </w:r>
      <w:r w:rsidRPr="00553BC6">
        <w:rPr>
          <w:rFonts w:ascii="Verdana" w:eastAsia="Times New Roman" w:hAnsi="Verdana" w:cs="Arial"/>
          <w:lang w:val="es-ES" w:eastAsia="es-ES"/>
        </w:rPr>
        <w:lastRenderedPageBreak/>
        <w:t>inscripción en el registro, ocurrió con anterioridad al cierre del proceso, estando está en firme para dicho momento; ii) si un oferente presentó la propuesta sin allegar la autorización al representante legal, por parte de la junta directiva de la sociedad, el certificado, aunque sea posterior, debe dar cuenta de que el hecho que pretende acreditar –la autorización de la junta– ocurrió antes del vencimiento del término para ofertar</w:t>
      </w:r>
      <w:r w:rsidRPr="00553BC6">
        <w:rPr>
          <w:rFonts w:ascii="Verdana" w:eastAsia="Times New Roman" w:hAnsi="Verdana" w:cs="Arial"/>
          <w:vertAlign w:val="superscript"/>
          <w:lang w:val="es-ES" w:eastAsia="es-ES"/>
        </w:rPr>
        <w:footnoteReference w:id="16"/>
      </w:r>
      <w:r w:rsidRPr="00553BC6">
        <w:rPr>
          <w:rFonts w:ascii="Verdana" w:eastAsia="Times New Roman" w:hAnsi="Verdana" w:cs="Arial"/>
          <w:lang w:val="es-ES" w:eastAsia="es-ES"/>
        </w:rPr>
        <w:t>; iii) si un oferente no anexó el Certificado de existencia y representación legal, el documento aportado con posterioridad debe dar cuenta de que la sociedad existía antes del cierre del proceso</w:t>
      </w:r>
      <w:r w:rsidRPr="00553BC6">
        <w:rPr>
          <w:rFonts w:ascii="Verdana" w:eastAsia="Times New Roman" w:hAnsi="Verdana" w:cs="Arial"/>
          <w:vertAlign w:val="superscript"/>
          <w:lang w:val="es-ES" w:eastAsia="es-ES"/>
        </w:rPr>
        <w:footnoteReference w:id="17"/>
      </w:r>
      <w:r w:rsidRPr="00553BC6">
        <w:rPr>
          <w:rFonts w:ascii="Verdana" w:eastAsia="Times New Roman" w:hAnsi="Verdana" w:cs="Arial"/>
          <w:lang w:val="es-ES" w:eastAsia="es-ES"/>
        </w:rPr>
        <w:t xml:space="preserve">; iv) si un oferente olvidó adjuntar un certificado que demuestra un título universitario, el documento, aunque tenga fecha posterior al cierre del proceso, debe acreditar que el título académico se obtuvo con anterioridad al cierre del proceso; v) si un oferente no allegó un certificado de experiencia, el documento que subsana –sin importar que tenga fecha posterior– debe demostrar que la experiencia que se pretende hacer valer se obtuvo antes de vencerse el término para presentar ofertas y vi) si el oferente olvidó firmar la propuesta o presentar una copia de ella, puede subsanar sin que con ello se entienda que acreditó una circunstancia ocurrida con posterioridad al cierre del proceso. </w:t>
      </w:r>
    </w:p>
    <w:p w14:paraId="4E7C04E5" w14:textId="77777777" w:rsidR="001846BC" w:rsidRPr="00553BC6" w:rsidRDefault="001846BC" w:rsidP="001846BC">
      <w:pPr>
        <w:spacing w:after="120" w:line="276" w:lineRule="auto"/>
        <w:ind w:firstLine="709"/>
        <w:jc w:val="both"/>
        <w:rPr>
          <w:rFonts w:ascii="Verdana" w:eastAsia="Times New Roman" w:hAnsi="Verdana" w:cs="Arial"/>
          <w:i/>
          <w:lang w:val="es-ES" w:eastAsia="es-ES"/>
        </w:rPr>
      </w:pPr>
      <w:r w:rsidRPr="00553BC6">
        <w:rPr>
          <w:rFonts w:ascii="Verdana" w:eastAsia="Times New Roman" w:hAnsi="Verdana" w:cs="Arial"/>
          <w:lang w:val="es-ES" w:eastAsia="es-ES"/>
        </w:rPr>
        <w:t xml:space="preserve">Lo anterior quiere decir que no es la prueba –usualmente un documento– lo que debe ser anterior al cierre del proceso, sino el hecho que ella acredita. Es decir, ante la solicitud de la Administración de subsanar determinado requisito, el documento podría estar fechado con posterioridad al vencimiento del término para recibir propuestas, siempre y cuando el hecho que acredite haya ocurrido antes, esto es, que no sea una circunstancia ocurrida con posterioridad al cierre del proceso. Es por esto que el Consejo de Estado sostiene que </w:t>
      </w:r>
      <w:r>
        <w:rPr>
          <w:rFonts w:ascii="Verdana" w:eastAsia="Times New Roman" w:hAnsi="Verdana" w:cs="Arial"/>
          <w:lang w:val="es-ES" w:eastAsia="es-ES"/>
        </w:rPr>
        <w:t>“</w:t>
      </w:r>
      <w:r w:rsidRPr="00553BC6">
        <w:rPr>
          <w:rFonts w:ascii="Verdana" w:eastAsia="Times New Roman" w:hAnsi="Verdana" w:cs="Arial"/>
          <w:lang w:val="es-ES" w:eastAsia="es-ES"/>
        </w:rPr>
        <w:t>lo que se subsana es la prueba y no la condición habilitante o un elemento de la propuesta [...] lo que se puede remediar es la prueba y no el requisito: La posibilidad debe recaer exclusivamente sobre circunstancias acaecidas antes del cierre del respectivo proceso, esto es, del vencimiento del plazo para presentar ofertas”</w:t>
      </w:r>
      <w:r w:rsidRPr="00553BC6">
        <w:rPr>
          <w:rFonts w:ascii="Verdana" w:eastAsia="Times New Roman" w:hAnsi="Verdana" w:cs="Arial"/>
          <w:vertAlign w:val="superscript"/>
          <w:lang w:val="es-ES" w:eastAsia="es-ES"/>
        </w:rPr>
        <w:footnoteReference w:id="18"/>
      </w:r>
      <w:r w:rsidRPr="00553BC6">
        <w:rPr>
          <w:rFonts w:ascii="Verdana" w:eastAsia="Times New Roman" w:hAnsi="Verdana" w:cs="Arial"/>
          <w:lang w:val="es-ES" w:eastAsia="es-ES"/>
        </w:rPr>
        <w:t>.</w:t>
      </w:r>
    </w:p>
    <w:p w14:paraId="06D4B6F0" w14:textId="77777777" w:rsidR="001846BC" w:rsidRPr="00553BC6" w:rsidRDefault="001846BC" w:rsidP="001846BC">
      <w:pPr>
        <w:spacing w:after="120" w:line="276" w:lineRule="auto"/>
        <w:ind w:firstLine="709"/>
        <w:jc w:val="both"/>
        <w:rPr>
          <w:rFonts w:ascii="Verdana" w:hAnsi="Verdana"/>
          <w:color w:val="000000"/>
        </w:rPr>
      </w:pPr>
      <w:r w:rsidRPr="00553BC6">
        <w:rPr>
          <w:rFonts w:ascii="Verdana" w:eastAsia="Times New Roman" w:hAnsi="Verdana" w:cs="Arial"/>
          <w:iCs/>
          <w:lang w:val="es-ES" w:eastAsia="es-ES"/>
        </w:rPr>
        <w:t>Ahora bien,</w:t>
      </w:r>
      <w:r w:rsidRPr="00553BC6">
        <w:rPr>
          <w:rFonts w:ascii="Verdana" w:eastAsia="Times New Roman" w:hAnsi="Verdana" w:cs="Arial"/>
          <w:i/>
          <w:lang w:val="es-ES" w:eastAsia="es-ES"/>
        </w:rPr>
        <w:t xml:space="preserve"> e</w:t>
      </w:r>
      <w:r w:rsidRPr="00553BC6">
        <w:rPr>
          <w:rFonts w:ascii="Verdana" w:hAnsi="Verdana" w:cs="Arial"/>
          <w:color w:val="000000"/>
          <w:lang w:val="es-ES"/>
        </w:rPr>
        <w:t xml:space="preserve">l parágrafo 3 del artículo 5 de la Ley 1882 de 2018 determinó, de manera expresa, que “la no entrega de la garantía de seriedad junto con la propuesta no será subsanable y será causal de rechazo de la </w:t>
      </w:r>
      <w:r w:rsidRPr="00553BC6">
        <w:rPr>
          <w:rFonts w:ascii="Verdana" w:hAnsi="Verdana" w:cs="Arial"/>
          <w:color w:val="000000"/>
          <w:lang w:val="es-ES"/>
        </w:rPr>
        <w:lastRenderedPageBreak/>
        <w:t>misma”, dejando claro que se trata de un documento de obligatoria presentación junto con la propuesta y que materializa los principios de seriedad e irrevocabilidad de la oferta.</w:t>
      </w:r>
      <w:r w:rsidRPr="00553BC6">
        <w:rPr>
          <w:rFonts w:ascii="Verdana" w:hAnsi="Verdana"/>
          <w:color w:val="000000"/>
        </w:rPr>
        <w:t> </w:t>
      </w:r>
    </w:p>
    <w:p w14:paraId="297ABE53" w14:textId="77777777" w:rsidR="001846BC" w:rsidRPr="00553BC6" w:rsidRDefault="001846BC" w:rsidP="001846BC">
      <w:pPr>
        <w:widowControl w:val="0"/>
        <w:spacing w:after="120"/>
        <w:ind w:firstLine="607"/>
        <w:jc w:val="both"/>
        <w:rPr>
          <w:rFonts w:ascii="Verdana" w:eastAsia="Arial" w:hAnsi="Verdana" w:cs="Arial"/>
        </w:rPr>
      </w:pPr>
      <w:r w:rsidRPr="00553BC6">
        <w:rPr>
          <w:rFonts w:ascii="Verdana" w:eastAsia="Arial" w:hAnsi="Verdana" w:cs="Arial"/>
        </w:rPr>
        <w:t>El rechazo de las ofertas y los eventos en los que proceden han sido asuntos de los que se ha ocupado la legislación nacional en materia de contratación pública, por lo que “la competencia de las entidades estales para establecer eventos de exclusión de propuestas es de carácter residual y restringido”</w:t>
      </w:r>
      <w:r w:rsidRPr="00553BC6">
        <w:rPr>
          <w:rFonts w:ascii="Verdana" w:eastAsia="Arial" w:hAnsi="Verdana" w:cs="Arial"/>
          <w:vertAlign w:val="superscript"/>
        </w:rPr>
        <w:footnoteReference w:id="19"/>
      </w:r>
      <w:r w:rsidRPr="00553BC6">
        <w:rPr>
          <w:rFonts w:ascii="Verdana" w:eastAsia="Arial" w:hAnsi="Verdana" w:cs="Arial"/>
        </w:rPr>
        <w:t>. En ese sentido, si bien las entidades estatales, en ejercicio de la discrecionalidad que les corresponde en la configuración de los pliegos de condiciones, tienen competencia para determinar los requisitos que deben cumplir los proponentes para la presentación de ofertas</w:t>
      </w:r>
      <w:r w:rsidRPr="00553BC6">
        <w:rPr>
          <w:rFonts w:ascii="Verdana" w:eastAsia="Arial" w:hAnsi="Verdana" w:cs="Arial"/>
          <w:vertAlign w:val="superscript"/>
        </w:rPr>
        <w:footnoteReference w:id="20"/>
      </w:r>
      <w:r w:rsidRPr="00553BC6">
        <w:rPr>
          <w:rFonts w:ascii="Verdana" w:eastAsia="Arial" w:hAnsi="Verdana" w:cs="Arial"/>
        </w:rPr>
        <w:t xml:space="preserve"> y regular los eventos en los que procede su rechazo</w:t>
      </w:r>
      <w:r w:rsidRPr="00553BC6">
        <w:rPr>
          <w:rFonts w:ascii="Verdana" w:eastAsia="Arial" w:hAnsi="Verdana" w:cs="Arial"/>
          <w:vertAlign w:val="superscript"/>
        </w:rPr>
        <w:footnoteReference w:id="21"/>
      </w:r>
      <w:r w:rsidRPr="00553BC6">
        <w:rPr>
          <w:rFonts w:ascii="Verdana" w:eastAsia="Arial" w:hAnsi="Verdana" w:cs="Arial"/>
        </w:rPr>
        <w:t xml:space="preserve">, el ejercicio de tales facultades encuentra ciertos límites en la ley y el reglamento, así como en los principios de razonabilidad y proporcionalidad.  </w:t>
      </w:r>
    </w:p>
    <w:p w14:paraId="64E44546" w14:textId="77777777" w:rsidR="001846BC" w:rsidRPr="00553BC6" w:rsidRDefault="001846BC" w:rsidP="001846BC">
      <w:pPr>
        <w:widowControl w:val="0"/>
        <w:spacing w:after="120"/>
        <w:ind w:firstLine="607"/>
        <w:jc w:val="both"/>
        <w:rPr>
          <w:rFonts w:ascii="Verdana" w:eastAsia="Arial" w:hAnsi="Verdana" w:cs="Arial"/>
        </w:rPr>
      </w:pPr>
      <w:r w:rsidRPr="00553BC6">
        <w:rPr>
          <w:rFonts w:ascii="Verdana" w:eastAsia="Arial" w:hAnsi="Verdana" w:cs="Arial"/>
        </w:rPr>
        <w:t xml:space="preserve">En ese entendido, uno de los límites a la facultad para establecer causales de rechazo, se encuentra en la regla de subsanabilidad del parágrafo 1 del artículo 5 de la Ley 1150 de 2007, según la cual “La ausencia de requisitos o la falta de documentos referentes a la futura contratación o al proponente, no necesarios para la comparación de las propuestas no servirán de título suficiente para el rechazo de los ofrecimientos hechos”, por lo que las entidades no podrán establecer causales de rechazo referentes a meros requisitos formales o rechazar las ofertas por esa razón. </w:t>
      </w:r>
    </w:p>
    <w:p w14:paraId="24428771" w14:textId="77777777" w:rsidR="001846BC" w:rsidRPr="00553BC6" w:rsidRDefault="001846BC" w:rsidP="001846BC">
      <w:pPr>
        <w:widowControl w:val="0"/>
        <w:spacing w:after="0"/>
        <w:ind w:firstLine="708"/>
        <w:jc w:val="both"/>
        <w:rPr>
          <w:rFonts w:ascii="Verdana" w:eastAsia="Arial" w:hAnsi="Verdana" w:cs="Arial"/>
        </w:rPr>
      </w:pPr>
      <w:r w:rsidRPr="00553BC6">
        <w:rPr>
          <w:rFonts w:ascii="Verdana" w:eastAsia="Arial" w:hAnsi="Verdana" w:cs="Arial"/>
        </w:rPr>
        <w:t>De esta manera, la jurisprudencia del Consejo de Estado ha determinado que las causales de rechazo pueden o no estar establecidas en el pliego de condiciones, sin perjuicio de que sean aplicables al proceso contractual las establecidas directamente en la ley. Así se estableció en la sentencia del 27 de abril de 2011, en los siguientes términos:</w:t>
      </w:r>
    </w:p>
    <w:p w14:paraId="2752BAF1" w14:textId="77777777" w:rsidR="001846BC" w:rsidRPr="00553BC6" w:rsidRDefault="001846BC" w:rsidP="001846BC">
      <w:pPr>
        <w:widowControl w:val="0"/>
        <w:spacing w:after="0"/>
        <w:ind w:firstLine="708"/>
        <w:jc w:val="both"/>
        <w:rPr>
          <w:rFonts w:ascii="Verdana" w:eastAsia="Arial" w:hAnsi="Verdana" w:cs="Arial"/>
        </w:rPr>
      </w:pPr>
    </w:p>
    <w:p w14:paraId="2BDA6E91" w14:textId="77777777" w:rsidR="001846BC" w:rsidRPr="00553BC6" w:rsidRDefault="001846BC" w:rsidP="001846BC">
      <w:pPr>
        <w:widowControl w:val="0"/>
        <w:spacing w:line="240" w:lineRule="auto"/>
        <w:ind w:left="709" w:right="709"/>
        <w:jc w:val="both"/>
        <w:rPr>
          <w:rFonts w:ascii="Verdana" w:eastAsia="Arial" w:hAnsi="Verdana" w:cs="Arial"/>
          <w:sz w:val="21"/>
          <w:szCs w:val="21"/>
        </w:rPr>
      </w:pPr>
      <w:r w:rsidRPr="00553BC6">
        <w:rPr>
          <w:rFonts w:ascii="Verdana" w:eastAsia="Arial" w:hAnsi="Verdana" w:cs="Arial"/>
          <w:sz w:val="21"/>
          <w:szCs w:val="21"/>
        </w:rPr>
        <w:t xml:space="preserve">“En efecto, la Administración puede rechazar o descalificar los </w:t>
      </w:r>
      <w:r w:rsidRPr="00553BC6">
        <w:rPr>
          <w:rFonts w:ascii="Verdana" w:eastAsia="Arial" w:hAnsi="Verdana" w:cs="Arial"/>
          <w:sz w:val="21"/>
          <w:szCs w:val="21"/>
        </w:rPr>
        <w:lastRenderedPageBreak/>
        <w:t>ofrecimientos hechos por causales previstas en la ley; hipótesis bajo la cual, la entidad pública licitante se limita a dar por comprobado el hecho que justifica la exclusión y así lo declarará apoyada en normas legales o reglamentarias de carácter general.</w:t>
      </w:r>
    </w:p>
    <w:p w14:paraId="75D0814C" w14:textId="77777777" w:rsidR="001846BC" w:rsidRPr="00553BC6" w:rsidRDefault="001846BC" w:rsidP="001846BC">
      <w:pPr>
        <w:widowControl w:val="0"/>
        <w:spacing w:line="240" w:lineRule="auto"/>
        <w:ind w:left="709" w:right="709"/>
        <w:jc w:val="both"/>
        <w:rPr>
          <w:rFonts w:ascii="Verdana" w:eastAsia="Arial" w:hAnsi="Verdana" w:cs="Arial"/>
          <w:sz w:val="21"/>
          <w:szCs w:val="21"/>
        </w:rPr>
      </w:pPr>
      <w:r w:rsidRPr="00553BC6">
        <w:rPr>
          <w:rFonts w:ascii="Verdana" w:eastAsia="Arial" w:hAnsi="Verdana" w:cs="Arial"/>
          <w:sz w:val="21"/>
          <w:szCs w:val="21"/>
        </w:rPr>
        <w:t>En esta línea de pensamiento, resulta claro que el rechazo o la descalificación de ofertas no puede depender de la libre discrecionalidad de la Administración, en la medida en que el oferente adquiere el derecho de participar en el procedimiento de selección y se genera para él una situación jurídica particular, en consecuencia, para rechazar o descalificar una propuesta la entidad pública debe sujetarse a determinadas reglas consistentes en que las causales que dan lugar a ello se encuentren previamente establecidas en la ley o deriven del incumplimiento de requisitos de la propuesta o de la omisión de documentos referentes a la futura contratación que sean necesarios para la comparación de las propuestas, de conformidad con lo establecido en el numeral 15 del artículo 25 de la Ley 80 de 1993, puesto que la causa excluyente debe ser razonable, esencial y proporcionada, toda vez que no tendría justificación excluir una propuesta por una deficiencia que no tenga incidencia alguna en la contratación.</w:t>
      </w:r>
    </w:p>
    <w:p w14:paraId="5AFD2B88" w14:textId="77777777" w:rsidR="001846BC" w:rsidRPr="00553BC6" w:rsidRDefault="001846BC" w:rsidP="001846BC">
      <w:pPr>
        <w:widowControl w:val="0"/>
        <w:spacing w:line="240" w:lineRule="auto"/>
        <w:ind w:left="709" w:right="709"/>
        <w:jc w:val="both"/>
        <w:rPr>
          <w:rFonts w:ascii="Verdana" w:eastAsia="Arial" w:hAnsi="Verdana" w:cs="Arial"/>
          <w:sz w:val="21"/>
          <w:szCs w:val="21"/>
        </w:rPr>
      </w:pPr>
      <w:r w:rsidRPr="00553BC6">
        <w:rPr>
          <w:rFonts w:ascii="Verdana" w:eastAsia="Arial" w:hAnsi="Verdana" w:cs="Arial"/>
          <w:sz w:val="21"/>
          <w:szCs w:val="21"/>
        </w:rPr>
        <w:t>[…]</w:t>
      </w:r>
    </w:p>
    <w:p w14:paraId="3D7BE20A" w14:textId="77777777" w:rsidR="001846BC" w:rsidRPr="00553BC6" w:rsidRDefault="001846BC" w:rsidP="001846BC">
      <w:pPr>
        <w:widowControl w:val="0"/>
        <w:spacing w:after="0" w:line="240" w:lineRule="auto"/>
        <w:ind w:left="709" w:right="709"/>
        <w:jc w:val="both"/>
        <w:rPr>
          <w:rFonts w:ascii="Verdana" w:eastAsia="Arial" w:hAnsi="Verdana" w:cs="Arial"/>
          <w:sz w:val="21"/>
          <w:szCs w:val="21"/>
        </w:rPr>
      </w:pPr>
      <w:r w:rsidRPr="00553BC6">
        <w:rPr>
          <w:rFonts w:ascii="Verdana" w:eastAsia="Arial" w:hAnsi="Verdana" w:cs="Arial"/>
          <w:sz w:val="21"/>
          <w:szCs w:val="21"/>
        </w:rPr>
        <w:t xml:space="preserve">Quiere con esto destacar la Sala que las causales de rechazo de las propuestas pueden ser legales y por lo mismo generan el efecto del descarte o exclusión de la oferta </w:t>
      </w:r>
      <w:r w:rsidRPr="00553BC6">
        <w:rPr>
          <w:rFonts w:ascii="Verdana" w:eastAsia="Arial" w:hAnsi="Verdana" w:cs="Arial"/>
          <w:i/>
          <w:iCs/>
          <w:sz w:val="21"/>
          <w:szCs w:val="21"/>
        </w:rPr>
        <w:t>ope legis</w:t>
      </w:r>
      <w:r w:rsidRPr="00553BC6">
        <w:rPr>
          <w:rFonts w:ascii="Verdana" w:eastAsia="Arial" w:hAnsi="Verdana" w:cs="Arial"/>
          <w:sz w:val="21"/>
          <w:szCs w:val="21"/>
        </w:rPr>
        <w:t>, sin necesidad de que se haga referencia a las mismas en el pliego de condiciones; o también pueden las causales de rechazo de las propuestas ser establecidas expresamente por la entidad en el respectivo pliego de condiciones. Lo cierto es que, sea que las causales de rechazo de la oferta emanen directamente de la ley o del pliego de condiciones, en uno y en otro caso se refieren a defectos, omisiones o circunstancias impeditivas que permiten deducir que la misma no resulta favorable para los intereses de la entidad y los fines de la contratación y que de soslayarse se comprometería el cumplimiento de los principios de transparencia, economía y responsabilidad, así como  el deber de selección objetiva en la contratación</w:t>
      </w:r>
      <w:r w:rsidRPr="00553BC6">
        <w:rPr>
          <w:rFonts w:ascii="Verdana" w:eastAsia="Arial" w:hAnsi="Verdana" w:cs="Arial"/>
          <w:sz w:val="21"/>
          <w:szCs w:val="21"/>
          <w:vertAlign w:val="superscript"/>
        </w:rPr>
        <w:footnoteReference w:id="22"/>
      </w:r>
      <w:r w:rsidRPr="00553BC6">
        <w:rPr>
          <w:rFonts w:ascii="Verdana" w:eastAsia="Arial" w:hAnsi="Verdana" w:cs="Arial"/>
          <w:sz w:val="21"/>
          <w:szCs w:val="21"/>
        </w:rPr>
        <w:t>”.</w:t>
      </w:r>
    </w:p>
    <w:p w14:paraId="549B671C" w14:textId="77777777" w:rsidR="001846BC" w:rsidRPr="00553BC6" w:rsidRDefault="001846BC" w:rsidP="001846BC">
      <w:pPr>
        <w:widowControl w:val="0"/>
        <w:spacing w:after="0" w:line="240" w:lineRule="auto"/>
        <w:ind w:left="709" w:right="709"/>
        <w:jc w:val="both"/>
        <w:rPr>
          <w:rFonts w:ascii="Verdana" w:eastAsia="Arial" w:hAnsi="Verdana" w:cs="Arial"/>
          <w:sz w:val="21"/>
          <w:szCs w:val="21"/>
        </w:rPr>
      </w:pPr>
    </w:p>
    <w:p w14:paraId="68CF6FF7" w14:textId="77777777" w:rsidR="001846BC" w:rsidRPr="00553BC6" w:rsidRDefault="001846BC" w:rsidP="001846BC">
      <w:pPr>
        <w:widowControl w:val="0"/>
        <w:spacing w:after="120"/>
        <w:ind w:firstLine="708"/>
        <w:jc w:val="both"/>
        <w:rPr>
          <w:rFonts w:ascii="Verdana" w:eastAsia="Arial" w:hAnsi="Verdana" w:cs="Arial"/>
        </w:rPr>
      </w:pPr>
      <w:r w:rsidRPr="00553BC6">
        <w:rPr>
          <w:rFonts w:ascii="Verdana" w:eastAsia="Arial" w:hAnsi="Verdana" w:cs="Arial"/>
        </w:rPr>
        <w:t xml:space="preserve">De acuerdo con la jurisprudencia citada, existen dos casos en los que procede el rechazo de la oferta: i) que se configure alguna de las causales de rechazo originadas en la ley o el reglamento y ii) que se materialicen las </w:t>
      </w:r>
      <w:r w:rsidRPr="00553BC6">
        <w:rPr>
          <w:rFonts w:ascii="Verdana" w:eastAsia="Arial" w:hAnsi="Verdana" w:cs="Arial"/>
        </w:rPr>
        <w:lastRenderedPageBreak/>
        <w:t xml:space="preserve">establecidas en el pliego de condiciones. En tal sentido, las causales de rechazo de la oferta serán las consagradas en la ley o el reglamento producto de su aplicación, así como las definidas por las entidades en el respectivo pliego de condiciones. </w:t>
      </w:r>
    </w:p>
    <w:p w14:paraId="79074BEA" w14:textId="77777777" w:rsidR="001846BC" w:rsidRPr="00553BC6" w:rsidRDefault="001846BC" w:rsidP="001846BC">
      <w:pPr>
        <w:spacing w:after="120"/>
        <w:jc w:val="both"/>
        <w:rPr>
          <w:rFonts w:ascii="Verdana" w:eastAsia="Arial" w:hAnsi="Verdana" w:cs="Arial"/>
        </w:rPr>
      </w:pPr>
      <w:r w:rsidRPr="00553BC6">
        <w:rPr>
          <w:rFonts w:ascii="Verdana" w:eastAsia="Arial" w:hAnsi="Verdana" w:cs="Arial"/>
        </w:rPr>
        <w:tab/>
        <w:t xml:space="preserve">En tales términos, la facultad de las entidades estatales para incluir en los pliegos de condiciones causales de rechazo de las ofertas, no es una facultad absoluta, en la medida que se encuentra limitada por lo dispuesto en ley, al igual que por los principios de razonabilidad y proporcionalidad, los cuales exigen que las causales de rechazo que sean establecidas por la entidad, además de no contrariar el ordenamiento jurídico, no versen sobre aspectos meramente formales sin relevancia para el transcurso del proceso de selección o el perfeccionamiento del contrato. </w:t>
      </w:r>
    </w:p>
    <w:p w14:paraId="27F85382" w14:textId="77777777" w:rsidR="001846BC" w:rsidRPr="00553BC6" w:rsidRDefault="001846BC" w:rsidP="001846BC">
      <w:pPr>
        <w:spacing w:after="120" w:line="276" w:lineRule="auto"/>
        <w:ind w:firstLine="708"/>
        <w:jc w:val="both"/>
        <w:rPr>
          <w:rFonts w:ascii="Verdana" w:hAnsi="Verdana" w:cs="Arial"/>
          <w:color w:val="000000" w:themeColor="text1"/>
          <w:lang w:val="es-ES"/>
        </w:rPr>
      </w:pPr>
      <w:r w:rsidRPr="00553BC6">
        <w:rPr>
          <w:rFonts w:ascii="Verdana" w:eastAsia="Arial" w:hAnsi="Verdana" w:cs="Arial"/>
          <w:color w:val="000000"/>
        </w:rPr>
        <w:t>Ahora bien, aplicando lo dicho al objeto de la consulta que ahora resuelve esta Agencia, debe decirse que, como se indicó atrás,</w:t>
      </w:r>
      <w:r w:rsidRPr="00553BC6">
        <w:rPr>
          <w:rFonts w:ascii="Verdana" w:hAnsi="Verdana" w:cs="Arial"/>
        </w:rPr>
        <w:t xml:space="preserve"> </w:t>
      </w:r>
      <w:r w:rsidRPr="00553BC6">
        <w:rPr>
          <w:rFonts w:ascii="Verdana" w:eastAsia="Arial" w:hAnsi="Verdana" w:cs="Arial"/>
        </w:rPr>
        <w:t>para determinar qué aspectos de las propuestas son subsanables, u</w:t>
      </w:r>
      <w:r w:rsidRPr="00553BC6">
        <w:rPr>
          <w:rFonts w:ascii="Verdana" w:hAnsi="Verdana" w:cs="Arial"/>
          <w:color w:val="000000" w:themeColor="text1"/>
          <w:lang w:val="es-ES"/>
        </w:rPr>
        <w:t xml:space="preserve">na vez verificada la ausencia de requisitos y/o documentos de la oferta, la Administración se debe preguntar, en primer lugar, si lo que hace falta es un documento o información que otorga puntaje o no y, en segundo lugar, si el cumplimiento del requisito constituye una circunstancia ocurrida con anterioridad o con posterioridad al cierre del proceso. Para arribar a la conclusión de que lo omitido puede subsanarse, la respuesta al primer interrogante debe ser negativa, es decir, que lo omitido no sea un factor que otorgue puntaje. Posteriormente, la respuesta al segundo interrogante debe dar cuenta de que lo omitido sea la prueba de una circunstancia o hecho que ocurrió con anterioridad al cierre del proceso. Con dicha afirmación, es que se puede establecer si lo presentado en el trámite para corregir la oferta mejora la misma, o si es un documento que demuestra una condición previamente consolidada. </w:t>
      </w:r>
    </w:p>
    <w:p w14:paraId="7CA873AC" w14:textId="77777777" w:rsidR="001846BC" w:rsidRPr="00553BC6" w:rsidRDefault="001846BC" w:rsidP="001846BC">
      <w:pPr>
        <w:spacing w:after="120" w:line="276" w:lineRule="auto"/>
        <w:ind w:firstLine="708"/>
        <w:jc w:val="both"/>
        <w:rPr>
          <w:rFonts w:ascii="Verdana" w:hAnsi="Verdana"/>
          <w:iCs/>
        </w:rPr>
      </w:pPr>
      <w:r w:rsidRPr="00553BC6">
        <w:rPr>
          <w:rFonts w:ascii="Verdana" w:hAnsi="Verdana" w:cs="Arial"/>
          <w:color w:val="000000" w:themeColor="text1"/>
        </w:rPr>
        <w:t xml:space="preserve">En consecuencia, </w:t>
      </w:r>
      <w:r>
        <w:rPr>
          <w:rFonts w:ascii="Verdana" w:hAnsi="Verdana" w:cs="Arial"/>
          <w:color w:val="000000" w:themeColor="text1"/>
        </w:rPr>
        <w:t>si</w:t>
      </w:r>
      <w:r w:rsidRPr="00553BC6">
        <w:rPr>
          <w:rFonts w:ascii="Verdana" w:hAnsi="Verdana" w:cs="Arial"/>
          <w:color w:val="000000" w:themeColor="text1"/>
        </w:rPr>
        <w:t xml:space="preserve"> el documento al que usted califica como </w:t>
      </w:r>
      <w:r w:rsidRPr="00553BC6">
        <w:rPr>
          <w:rFonts w:ascii="Verdana" w:hAnsi="Verdana"/>
          <w:i/>
        </w:rPr>
        <w:t xml:space="preserve">posiblemente falso </w:t>
      </w:r>
      <w:r w:rsidRPr="00553BC6">
        <w:rPr>
          <w:rFonts w:ascii="Verdana" w:hAnsi="Verdana"/>
          <w:iCs/>
        </w:rPr>
        <w:t xml:space="preserve">busca acreditar una condición en relación con los requisitos habilitantes (aspecto que no permite la comparación de las ofertas); es un aspecto subsanable, en tanto que no se trata de un factor de calificación y tiene el carácter de habilitante para la participación en el proceso de contratación, sin afectar de manera directa la asignación de puntaje. Ante lo dicho, resultaría entendible que la entidad estatal no rechace una oferta, en el evento en que se trataría, en el caso hipotético, de un requisito habilitante que pudiera subsanarse. Vale aclarar que, en algunas ocasiones, las causales de rechazo de </w:t>
      </w:r>
      <w:r w:rsidRPr="00553BC6">
        <w:rPr>
          <w:rFonts w:ascii="Verdana" w:hAnsi="Verdana"/>
          <w:iCs/>
        </w:rPr>
        <w:lastRenderedPageBreak/>
        <w:t>las ofertas pueden versar sobre aspectos relacionados con criterios de evaluación, como cuando se establece que, cuando el valor de la propuesta exceda el presupuesto oficial estimado para el proceso de contratación, será rechazada la oferta. En este caso, la causal de rechazo tiene relación con un criterio de evaluación y no con un requisito habilitante. Sin embargo, en todo caso, siempre deberá primar su existencia legal, reglamentaria o que tenga origen en el pliego de condiciones.</w:t>
      </w:r>
    </w:p>
    <w:p w14:paraId="656A7855" w14:textId="27931A1E" w:rsidR="001846BC" w:rsidRPr="00553BC6" w:rsidRDefault="001846BC" w:rsidP="001846BC">
      <w:pPr>
        <w:spacing w:after="120" w:line="276" w:lineRule="auto"/>
        <w:ind w:firstLine="709"/>
        <w:jc w:val="both"/>
        <w:rPr>
          <w:rFonts w:ascii="Verdana" w:eastAsia="Arial" w:hAnsi="Verdana" w:cs="Arial"/>
        </w:rPr>
      </w:pPr>
      <w:r w:rsidRPr="00553BC6">
        <w:rPr>
          <w:rFonts w:ascii="Verdana" w:hAnsi="Verdana" w:cs="Arial"/>
          <w:iCs/>
          <w:color w:val="000000" w:themeColor="text1"/>
        </w:rPr>
        <w:t xml:space="preserve">Dicho lo anterior, sobre si procede o no el rechazo de la oferta en razón al documento </w:t>
      </w:r>
      <w:r w:rsidRPr="00553BC6">
        <w:rPr>
          <w:rFonts w:ascii="Verdana" w:hAnsi="Verdana"/>
          <w:i/>
        </w:rPr>
        <w:t>posiblemente falso,</w:t>
      </w:r>
      <w:r w:rsidRPr="00553BC6">
        <w:rPr>
          <w:rFonts w:ascii="Verdana" w:hAnsi="Verdana" w:cs="Arial"/>
          <w:iCs/>
          <w:color w:val="000000" w:themeColor="text1"/>
        </w:rPr>
        <w:t xml:space="preserve"> remitiéndonos a las consideraciones del presente concepto, en primera medida, dicha causal deberá estar contenida en la ley, el reglamento o el pliego de condiciones de manera clara y taxativa. De otro lado, si la causal de rechazo fue incorporada por la entidad estatal en el pliego de condiciones, aquella deberá estar acorde con los principios</w:t>
      </w:r>
      <w:r w:rsidRPr="00553BC6">
        <w:rPr>
          <w:rFonts w:ascii="Verdana" w:eastAsia="Arial" w:hAnsi="Verdana" w:cs="Arial"/>
        </w:rPr>
        <w:t xml:space="preserve"> de razonabilidad y proporcionalidad, no contrariar el ordenamiento jurídico y evitar que versen sobre aspectos meramente formales sin relevancia para el transcurso del proceso de selección o el perfeccionamiento del contrato.</w:t>
      </w:r>
    </w:p>
    <w:p w14:paraId="40972F9E" w14:textId="77777777" w:rsidR="001846BC" w:rsidRPr="00553BC6" w:rsidRDefault="001846BC" w:rsidP="001846BC">
      <w:pPr>
        <w:spacing w:after="120" w:line="276" w:lineRule="auto"/>
        <w:ind w:firstLine="709"/>
        <w:jc w:val="both"/>
        <w:rPr>
          <w:rFonts w:ascii="Verdana" w:eastAsia="Calibri" w:hAnsi="Verdana" w:cs="Arial"/>
          <w:color w:val="000000"/>
        </w:rPr>
      </w:pPr>
      <w:r w:rsidRPr="00553BC6">
        <w:rPr>
          <w:rFonts w:ascii="Verdana" w:eastAsia="Calibri" w:hAnsi="Verdana" w:cs="Arial"/>
          <w:color w:val="000000"/>
        </w:rPr>
        <w:t xml:space="preserve">En los procesos cobijados por los documentos tipo obligatorios expedidos por esta Agencia, de conformidad con la potestad otorgada por la Ley 2022 de 2020, se aplica una causal de rechazo relacionada con la información inexacta. Este es el caso de los documentos tipo para licitación de obra pública de infraestructura de transporte, adoptados mediante Resolución No. 465 de 10 septiembre de 2024. Esta causal es la establecida en el literal H del numeral 1.15 del Documento Base tipificada al siguiente tenor: </w:t>
      </w:r>
      <w:r w:rsidRPr="00553BC6">
        <w:rPr>
          <w:rFonts w:ascii="Verdana" w:eastAsia="Calibri" w:hAnsi="Verdana" w:cs="Arial"/>
          <w:i/>
          <w:iCs/>
          <w:color w:val="000000"/>
        </w:rPr>
        <w:t>“H.</w:t>
      </w:r>
      <w:r w:rsidRPr="00553BC6">
        <w:rPr>
          <w:rFonts w:ascii="Verdana" w:eastAsia="Calibri" w:hAnsi="Verdana" w:cs="Arial"/>
          <w:i/>
          <w:iCs/>
          <w:color w:val="000000"/>
        </w:rPr>
        <w:tab/>
        <w:t>Que el proponente aporte información inexacta sobre la cual pueda existir una posible falsedad en los términos de la sección 1.11 del Documento Base”</w:t>
      </w:r>
      <w:r w:rsidRPr="00553BC6">
        <w:rPr>
          <w:rFonts w:ascii="Verdana" w:eastAsia="Calibri" w:hAnsi="Verdana" w:cs="Arial"/>
          <w:color w:val="000000"/>
        </w:rPr>
        <w:t xml:space="preserve">. A su turno, el numeral 1.11 establece que </w:t>
      </w:r>
      <w:r w:rsidRPr="00553BC6">
        <w:rPr>
          <w:rFonts w:ascii="Verdana" w:eastAsia="Calibri" w:hAnsi="Verdana" w:cs="Arial"/>
          <w:i/>
          <w:iCs/>
          <w:color w:val="000000"/>
        </w:rPr>
        <w:t>“La entidad se reserva el derecho de verificar integralmente la información aportada por el proponente. Para esto, puede acudir a las autoridades, personas, empresas o entidades   respectivas</w:t>
      </w:r>
      <w:r w:rsidRPr="00553BC6">
        <w:rPr>
          <w:rFonts w:ascii="Verdana" w:eastAsia="Calibri" w:hAnsi="Verdana" w:cs="Arial"/>
          <w:color w:val="000000"/>
        </w:rPr>
        <w:t>. Cuando exista inconsistencia entre la información suministrada por el proponente y la verificada por la entidad, la información que pretende</w:t>
      </w:r>
      <w:r w:rsidRPr="00553BC6">
        <w:rPr>
          <w:rFonts w:ascii="Verdana" w:eastAsia="Calibri" w:hAnsi="Verdana" w:cs="Arial"/>
          <w:i/>
          <w:iCs/>
          <w:color w:val="000000"/>
        </w:rPr>
        <w:t xml:space="preserve"> demostrar el proponente se tendrá por no acreditada</w:t>
      </w:r>
      <w:r w:rsidRPr="00553BC6">
        <w:rPr>
          <w:rFonts w:ascii="Verdana" w:eastAsia="Calibri" w:hAnsi="Verdana" w:cs="Arial"/>
          <w:color w:val="000000"/>
        </w:rPr>
        <w:t xml:space="preserve">. </w:t>
      </w:r>
      <w:r w:rsidRPr="00553BC6">
        <w:rPr>
          <w:rFonts w:ascii="Verdana" w:eastAsia="Calibri" w:hAnsi="Verdana" w:cs="Arial"/>
          <w:i/>
          <w:iCs/>
          <w:color w:val="000000"/>
        </w:rPr>
        <w:t>La entidad compulsará copias a las autoridades competentes en aquellos eventos en los cuales la información aportada tenga inconsistencias sobre las cuales pueda existir una posible falsedad, sin que el proponente haya demostrado lo contrario, y rechazará la oferta”</w:t>
      </w:r>
      <w:r w:rsidRPr="00553BC6">
        <w:rPr>
          <w:rFonts w:ascii="Verdana" w:eastAsia="Calibri" w:hAnsi="Verdana" w:cs="Arial"/>
          <w:color w:val="000000"/>
        </w:rPr>
        <w:t>.</w:t>
      </w:r>
    </w:p>
    <w:p w14:paraId="030A98F8" w14:textId="77777777" w:rsidR="001846BC" w:rsidRPr="00553BC6" w:rsidRDefault="001846BC" w:rsidP="001846BC">
      <w:pPr>
        <w:widowControl w:val="0"/>
        <w:autoSpaceDE w:val="0"/>
        <w:autoSpaceDN w:val="0"/>
        <w:spacing w:after="0" w:line="276" w:lineRule="auto"/>
        <w:ind w:firstLine="567"/>
        <w:jc w:val="both"/>
        <w:rPr>
          <w:rFonts w:ascii="Verdana" w:eastAsia="Calibri" w:hAnsi="Verdana" w:cs="Arial"/>
          <w:szCs w:val="20"/>
          <w:lang w:val="es-MX"/>
        </w:rPr>
      </w:pPr>
      <w:r w:rsidRPr="00553BC6">
        <w:rPr>
          <w:rFonts w:ascii="Verdana" w:eastAsia="Calibri" w:hAnsi="Verdana" w:cs="Arial"/>
          <w:szCs w:val="20"/>
        </w:rPr>
        <w:t xml:space="preserve">En los apartados en cita, el documento base </w:t>
      </w:r>
      <w:r w:rsidRPr="00553BC6">
        <w:rPr>
          <w:rFonts w:ascii="Verdana" w:eastAsia="Calibri" w:hAnsi="Verdana" w:cs="Arial"/>
          <w:szCs w:val="20"/>
          <w:lang w:val="es-MX"/>
        </w:rPr>
        <w:t xml:space="preserve">recoge una regla de </w:t>
      </w:r>
      <w:r w:rsidRPr="00553BC6">
        <w:rPr>
          <w:rFonts w:ascii="Verdana" w:eastAsia="Calibri" w:hAnsi="Verdana" w:cs="Arial"/>
          <w:szCs w:val="20"/>
          <w:lang w:val="es-MX"/>
        </w:rPr>
        <w:lastRenderedPageBreak/>
        <w:t xml:space="preserve">verificación </w:t>
      </w:r>
      <w:r w:rsidRPr="00553BC6">
        <w:rPr>
          <w:rFonts w:ascii="Verdana" w:eastAsia="Calibri" w:hAnsi="Verdana" w:cs="Arial"/>
        </w:rPr>
        <w:t xml:space="preserve">frente a la totalidad de la información y documentación aportada, la cual deriva en </w:t>
      </w:r>
      <w:r w:rsidRPr="00553BC6">
        <w:rPr>
          <w:rFonts w:ascii="Verdana" w:eastAsia="Calibri" w:hAnsi="Verdana" w:cs="Arial"/>
          <w:szCs w:val="20"/>
          <w:lang w:val="es-MX"/>
        </w:rPr>
        <w:t xml:space="preserve">dos supuestos con consecuencias diferentes: </w:t>
      </w:r>
      <w:r w:rsidRPr="00553BC6">
        <w:rPr>
          <w:rFonts w:ascii="Verdana" w:eastAsia="Calibri" w:hAnsi="Verdana" w:cs="Arial"/>
        </w:rPr>
        <w:t xml:space="preserve">el </w:t>
      </w:r>
      <w:r w:rsidRPr="00553BC6">
        <w:rPr>
          <w:rFonts w:ascii="Verdana" w:eastAsia="Calibri" w:hAnsi="Verdana" w:cs="Arial"/>
          <w:i/>
          <w:iCs/>
        </w:rPr>
        <w:t>primero</w:t>
      </w:r>
      <w:r w:rsidRPr="00553BC6">
        <w:rPr>
          <w:rFonts w:ascii="Verdana" w:eastAsia="Calibri" w:hAnsi="Verdana" w:cs="Arial"/>
        </w:rPr>
        <w:t xml:space="preserve">, señala que una vez verificada la información y evidenciada la inconsistencia, la entidad estatal la tendrá por no acreditada. Por ejemplo, cuando se presente documentación para acreditar un requisito habilitante y ante las observaciones recibidas en el traslado del informe de evaluación no se logre constatar con exactitud lo acreditado o la veracidad de este y ante esa duda, no tendrá en cuenta la documentación aportada, sin perjuicio de que el proponente cumpla con el requisito habilitante con los demás documentos que aporte. En este evento, se trata de inconsistencias que, aunque no se superan por la ausencia de otro medio probatorio, no tienen la connotación de falsedad. </w:t>
      </w:r>
    </w:p>
    <w:p w14:paraId="489B0A08" w14:textId="77777777" w:rsidR="001846BC" w:rsidRPr="00553BC6" w:rsidRDefault="001846BC" w:rsidP="001846BC">
      <w:pPr>
        <w:spacing w:before="120" w:line="276" w:lineRule="auto"/>
        <w:ind w:firstLine="709"/>
        <w:jc w:val="both"/>
        <w:rPr>
          <w:rFonts w:ascii="Verdana" w:eastAsia="Calibri" w:hAnsi="Verdana" w:cs="Arial"/>
        </w:rPr>
      </w:pPr>
      <w:r w:rsidRPr="00553BC6">
        <w:rPr>
          <w:rFonts w:ascii="Verdana" w:eastAsia="Calibri" w:hAnsi="Verdana" w:cs="Arial"/>
        </w:rPr>
        <w:t xml:space="preserve">El segundo evento se configura cuando de la verificación se corrobora que las inconsistencias obedecerían a una presunta falsedad no desvirtuada por el proponente, caso en el cual se rechaza la oferta y se informa a las autoridades correspondientes. Por ejemplo, cuando ante una certificación de experiencia, la entidad que adelanta el procedimiento de selección, al comunicarse con la entidad para quien se ejecutó el contrato a acreditar, le informan que la certificación aportada por el proponente no fue expedida por esta, por cuanto ese objeto no fue ejecutado ni contratado. En este supuesto, cuando la entidad tiene el suficiente convencimiento de la existencia de la presunta falsedad, y luego de dar la oportunidad para que el proponente se manifieste, es procedente rechazar la oferta y compulsar copias a las autoridades competentes, quienes adelantarán las respectivas investigaciones. </w:t>
      </w:r>
    </w:p>
    <w:p w14:paraId="7EDCA7A0" w14:textId="77777777" w:rsidR="001846BC" w:rsidRPr="00553BC6" w:rsidRDefault="001846BC" w:rsidP="001846BC">
      <w:pPr>
        <w:spacing w:before="120" w:line="276" w:lineRule="auto"/>
        <w:ind w:firstLine="709"/>
        <w:jc w:val="both"/>
        <w:rPr>
          <w:rFonts w:ascii="Verdana" w:eastAsia="Calibri" w:hAnsi="Verdana" w:cs="Arial"/>
        </w:rPr>
      </w:pPr>
      <w:r w:rsidRPr="00553BC6">
        <w:rPr>
          <w:rFonts w:ascii="Verdana" w:eastAsia="Calibri" w:hAnsi="Verdana" w:cs="Arial"/>
        </w:rPr>
        <w:t>Con todo, los supuestos señalados parten de la base del deber que le asiste a la Entidad Estatal de verificar la veracidad de la información suministrada por el proponente para evitar vicios en la adjudicación y en el contrato. Así, durante el plazo de evaluación de las ofertas las entidades contratantes tienen el deber de verificar la veracidad de la información que se allegue con las propuestas, bien sea mediante solicitud de aclaraciones al mismo oferente, o mediante la constatación con fuentes externas, pues de ello depende no solamente la correcta escogencia del contratista y la forma más idónea de ejecución de la compra planeada, sino la validez misma de la decisión de adjudicación y, por ende del contrato celebrado.</w:t>
      </w:r>
    </w:p>
    <w:p w14:paraId="7217AA58" w14:textId="77777777" w:rsidR="001846BC" w:rsidRPr="00553BC6" w:rsidRDefault="001846BC" w:rsidP="001846BC">
      <w:pPr>
        <w:widowControl w:val="0"/>
        <w:autoSpaceDE w:val="0"/>
        <w:autoSpaceDN w:val="0"/>
        <w:spacing w:after="0" w:line="276" w:lineRule="auto"/>
        <w:ind w:firstLine="708"/>
        <w:jc w:val="both"/>
        <w:rPr>
          <w:rFonts w:ascii="Verdana" w:eastAsia="Calibri" w:hAnsi="Verdana" w:cs="Arial"/>
          <w:lang w:val="es-ES_tradnl"/>
        </w:rPr>
      </w:pPr>
      <w:r w:rsidRPr="00553BC6">
        <w:rPr>
          <w:rFonts w:ascii="Verdana" w:eastAsia="Calibri" w:hAnsi="Verdana" w:cs="Arial"/>
        </w:rPr>
        <w:t xml:space="preserve">De esta manera, la verificación que realice la entidad durante esta etapa resulta decisiva para la correcta evaluación de las ofertas, de manera que en </w:t>
      </w:r>
      <w:r w:rsidRPr="00553BC6">
        <w:rPr>
          <w:rFonts w:ascii="Verdana" w:eastAsia="Calibri" w:hAnsi="Verdana" w:cs="Arial"/>
        </w:rPr>
        <w:lastRenderedPageBreak/>
        <w:t>caso de encontrar inconsistencias y después de revisar dicha información con las entidades que corresponda, si es del caso, la entidad tomará las medidas que se indican en el pliego de condiciones respecto de los supuestos señalados. Si se presenta observaciones sobre dicha información por fuera de esta etapa y una vez adjudicado el contrato, es importante que la entidad revise su contenido y alcance para tomar las medidas que correspondan, como se señaló en párrafos precedentes.</w:t>
      </w:r>
    </w:p>
    <w:p w14:paraId="1F1138C5" w14:textId="77777777" w:rsidR="003A1BAC" w:rsidRPr="00206556" w:rsidRDefault="003A1BAC" w:rsidP="003A1BAC">
      <w:pPr>
        <w:spacing w:after="0" w:line="276" w:lineRule="auto"/>
        <w:jc w:val="both"/>
        <w:rPr>
          <w:rFonts w:ascii="Verdana" w:eastAsia="Calibri" w:hAnsi="Verdana" w:cs="Arial"/>
          <w:lang w:val="es-ES"/>
        </w:rPr>
      </w:pPr>
    </w:p>
    <w:p w14:paraId="72BB9696" w14:textId="77777777" w:rsidR="003A1BAC" w:rsidRPr="00206556" w:rsidRDefault="003A1BAC" w:rsidP="003A1BAC">
      <w:pPr>
        <w:spacing w:after="120" w:line="276" w:lineRule="auto"/>
        <w:jc w:val="both"/>
        <w:rPr>
          <w:rFonts w:ascii="Verdana" w:eastAsia="Century Gothic" w:hAnsi="Verdana" w:cs="Century Gothic"/>
          <w:b/>
          <w:lang w:val="es-ES"/>
        </w:rPr>
      </w:pPr>
      <w:r w:rsidRPr="00206556">
        <w:rPr>
          <w:rFonts w:ascii="Verdana" w:eastAsia="Century Gothic" w:hAnsi="Verdana" w:cs="Century Gothic"/>
          <w:b/>
          <w:lang w:val="es-ES"/>
        </w:rPr>
        <w:t>4. Referencias normativas, jurisprudenciales y otras fuentes:</w:t>
      </w: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3A1BAC" w:rsidRPr="00206556" w14:paraId="2CB619CD" w14:textId="77777777" w:rsidTr="002D3CDE">
        <w:trPr>
          <w:trHeight w:val="297"/>
        </w:trPr>
        <w:tc>
          <w:tcPr>
            <w:tcW w:w="8647" w:type="dxa"/>
          </w:tcPr>
          <w:p w14:paraId="218CDB1A" w14:textId="77777777" w:rsidR="003A1BAC" w:rsidRPr="00670CFB" w:rsidRDefault="003A1BAC"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670CFB">
              <w:rPr>
                <w:rFonts w:ascii="Verdana" w:eastAsia="Arial MT" w:hAnsi="Verdana" w:cs="Arial"/>
                <w:lang w:eastAsia="es-ES" w:bidi="es-ES"/>
              </w:rPr>
              <w:t>Constitución Política de Colombia. Artículos 13, 47, 54 y 93.</w:t>
            </w:r>
          </w:p>
          <w:p w14:paraId="33BE296C" w14:textId="77777777" w:rsidR="003A1BAC" w:rsidRPr="00206556" w:rsidRDefault="003A1BAC"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22 de 1967. Por la cual se aprueba el Convenio número 111 Internacional del Trabajo, relativo a la discriminación en materia de empleo y ocupación.</w:t>
            </w:r>
          </w:p>
          <w:p w14:paraId="2147D7D2" w14:textId="77777777" w:rsidR="003A1BAC" w:rsidRPr="00206556" w:rsidRDefault="003A1BAC"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82 de 1988. Por la cual se aprueba el Convenio 159 de la OIT sobre readaptación profesional y empleo de personas inválidas.</w:t>
            </w:r>
          </w:p>
          <w:p w14:paraId="5C2F66FC" w14:textId="77777777" w:rsidR="003A1BAC" w:rsidRPr="00206556" w:rsidRDefault="003A1BAC"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361 de 1997. Artículo 24.</w:t>
            </w:r>
          </w:p>
          <w:p w14:paraId="218EA744" w14:textId="77777777" w:rsidR="003A1BAC" w:rsidRPr="00206556" w:rsidRDefault="003A1BAC"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762 de 2002. Por medio de la cual se aprueba la Convención Interamericana para la Eliminación de todas las Formas de Discriminación contra las Personas con Discapacidad.</w:t>
            </w:r>
          </w:p>
          <w:p w14:paraId="78B3ADBF" w14:textId="77777777" w:rsidR="003A1BAC" w:rsidRPr="00206556" w:rsidRDefault="003A1BAC"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1346 de 2009. Por medio de la cual se aprueba la Convención sobre los Derechos de las Personas con Discapacidad de la ONU.</w:t>
            </w:r>
          </w:p>
          <w:p w14:paraId="201D749F" w14:textId="77777777" w:rsidR="003A1BAC" w:rsidRPr="00206556" w:rsidRDefault="003A1BAC"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Estatutaria 1618 de 2013. Artículo 13, numerales 1, 7 y 8.</w:t>
            </w:r>
          </w:p>
          <w:p w14:paraId="250FB189" w14:textId="77777777" w:rsidR="003A1BAC" w:rsidRPr="00206556" w:rsidRDefault="003A1BAC"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1996 de 2019. Artículo 62.</w:t>
            </w:r>
          </w:p>
          <w:p w14:paraId="661A89F7" w14:textId="77777777" w:rsidR="003A1BAC" w:rsidRPr="00206556" w:rsidRDefault="003A1BAC"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2069 de 2020. Artículos 34 y 35.</w:t>
            </w:r>
          </w:p>
          <w:p w14:paraId="232BC796" w14:textId="77777777" w:rsidR="003A1BAC" w:rsidRPr="00206556" w:rsidRDefault="003A1BAC"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2294 de 2023. Artículos 4, 76 y 79.</w:t>
            </w:r>
          </w:p>
          <w:p w14:paraId="61948CD2" w14:textId="77777777" w:rsidR="003A1BAC" w:rsidRDefault="003A1BAC"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2466 de 2025. Artículo 15, numeral 17.</w:t>
            </w:r>
          </w:p>
          <w:p w14:paraId="46D13BBD" w14:textId="77777777" w:rsidR="00EF2D6D" w:rsidRPr="00553BC6" w:rsidRDefault="00EF2D6D" w:rsidP="00EF2D6D">
            <w:pPr>
              <w:numPr>
                <w:ilvl w:val="0"/>
                <w:numId w:val="16"/>
              </w:numPr>
              <w:spacing w:line="276" w:lineRule="auto"/>
              <w:jc w:val="both"/>
              <w:rPr>
                <w:rFonts w:ascii="Verdana" w:eastAsia="Calibri" w:hAnsi="Verdana" w:cs="Arial"/>
                <w:color w:val="000000"/>
                <w:lang w:eastAsia="es-ES"/>
              </w:rPr>
            </w:pPr>
            <w:r w:rsidRPr="00553BC6">
              <w:rPr>
                <w:rFonts w:ascii="Verdana" w:eastAsia="Calibri" w:hAnsi="Verdana" w:cs="Arial"/>
                <w:color w:val="000000"/>
                <w:lang w:val="es-ES_tradnl"/>
              </w:rPr>
              <w:t>Ley 80 de 1993, artículos 24.5 literal b) y 30.8</w:t>
            </w:r>
          </w:p>
          <w:p w14:paraId="63EDA8FC" w14:textId="77777777" w:rsidR="00EF2D6D" w:rsidRPr="00EF2D6D" w:rsidRDefault="00EF2D6D" w:rsidP="00EF2D6D">
            <w:pPr>
              <w:numPr>
                <w:ilvl w:val="0"/>
                <w:numId w:val="16"/>
              </w:numPr>
              <w:spacing w:line="276" w:lineRule="auto"/>
              <w:jc w:val="both"/>
              <w:rPr>
                <w:rFonts w:ascii="Verdana" w:eastAsia="Calibri" w:hAnsi="Verdana" w:cs="Arial"/>
                <w:color w:val="000000"/>
                <w:lang w:eastAsia="es-ES"/>
              </w:rPr>
            </w:pPr>
            <w:r w:rsidRPr="00553BC6">
              <w:rPr>
                <w:rFonts w:ascii="Verdana" w:eastAsia="Calibri" w:hAnsi="Verdana" w:cs="Arial"/>
                <w:color w:val="000000"/>
                <w:lang w:eastAsia="es-ES"/>
              </w:rPr>
              <w:t xml:space="preserve">Ley 1150 de 2007, </w:t>
            </w:r>
            <w:r w:rsidRPr="00553BC6">
              <w:rPr>
                <w:rFonts w:ascii="Verdana" w:eastAsia="Calibri" w:hAnsi="Verdana" w:cs="Arial"/>
                <w:color w:val="000000" w:themeColor="text1"/>
              </w:rPr>
              <w:t>artículo 5, parágrafo 1, 3 y 4</w:t>
            </w:r>
          </w:p>
          <w:p w14:paraId="72820367" w14:textId="2B12B134" w:rsidR="00EF2D6D" w:rsidRPr="00553BC6" w:rsidRDefault="00EF2D6D" w:rsidP="00EF2D6D">
            <w:pPr>
              <w:numPr>
                <w:ilvl w:val="0"/>
                <w:numId w:val="16"/>
              </w:numPr>
              <w:spacing w:line="276" w:lineRule="auto"/>
              <w:jc w:val="both"/>
              <w:rPr>
                <w:rFonts w:ascii="Verdana" w:eastAsia="Calibri" w:hAnsi="Verdana" w:cs="Arial"/>
                <w:shd w:val="clear" w:color="auto" w:fill="FFFFFF"/>
              </w:rPr>
            </w:pPr>
            <w:r w:rsidRPr="00553BC6">
              <w:rPr>
                <w:rFonts w:ascii="Verdana" w:eastAsia="Calibri" w:hAnsi="Verdana" w:cs="Arial"/>
                <w:color w:val="000000"/>
              </w:rPr>
              <w:t>Ley 1882 de 2018</w:t>
            </w:r>
            <w:r>
              <w:rPr>
                <w:rFonts w:ascii="Verdana" w:eastAsia="Calibri" w:hAnsi="Verdana" w:cs="Arial"/>
                <w:color w:val="000000"/>
              </w:rPr>
              <w:t>,</w:t>
            </w:r>
            <w:r w:rsidRPr="00553BC6">
              <w:rPr>
                <w:rFonts w:ascii="Verdana" w:eastAsia="Calibri" w:hAnsi="Verdana" w:cs="Arial"/>
                <w:color w:val="000000"/>
              </w:rPr>
              <w:t xml:space="preserve"> artículo 5</w:t>
            </w:r>
          </w:p>
          <w:p w14:paraId="1AEB517F" w14:textId="77777777" w:rsidR="003A1BAC" w:rsidRPr="00206556" w:rsidRDefault="003A1BAC"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1082 de 2015. Artículos 2.2.1.2.4.2.6., 2.2.1.2.4.2.7. y siguientes, y 2.2.1.2.4.2.8., modificados por el Decreto 0287 de 2026.</w:t>
            </w:r>
          </w:p>
          <w:p w14:paraId="50A23C9E" w14:textId="77777777" w:rsidR="003A1BAC" w:rsidRDefault="003A1BAC"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392 de 2018. Derogado en lo contrario por el Decreto 0287 de 2026.</w:t>
            </w:r>
          </w:p>
          <w:p w14:paraId="3EFE0B6F" w14:textId="77777777" w:rsidR="00780766" w:rsidRPr="00553BC6" w:rsidRDefault="00780766" w:rsidP="00780766">
            <w:pPr>
              <w:numPr>
                <w:ilvl w:val="0"/>
                <w:numId w:val="16"/>
              </w:numPr>
              <w:spacing w:line="276" w:lineRule="auto"/>
              <w:jc w:val="both"/>
              <w:rPr>
                <w:rFonts w:ascii="Verdana" w:eastAsia="Calibri" w:hAnsi="Verdana" w:cs="Arial"/>
                <w:color w:val="000000"/>
                <w:lang w:eastAsia="es-ES"/>
              </w:rPr>
            </w:pPr>
            <w:r w:rsidRPr="00553BC6">
              <w:rPr>
                <w:rFonts w:ascii="Verdana" w:eastAsia="Calibri" w:hAnsi="Verdana" w:cs="Arial"/>
                <w:color w:val="000000"/>
                <w:lang w:eastAsia="es-ES"/>
              </w:rPr>
              <w:t>Decreto 1082 de 2015, artículo 2.2.1.1.2.1.3. numeral 6</w:t>
            </w:r>
          </w:p>
          <w:p w14:paraId="7AFC5E2C" w14:textId="77777777" w:rsidR="003A1BAC" w:rsidRPr="00206556" w:rsidRDefault="003A1BAC"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1860 de 2021. Artículo 3.</w:t>
            </w:r>
          </w:p>
          <w:p w14:paraId="3EB5C9F3" w14:textId="77777777" w:rsidR="003A1BAC" w:rsidRPr="00206556" w:rsidRDefault="003A1BAC"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 xml:space="preserve">Decreto 0287 de 2026. Por el cual se modifican los artículos </w:t>
            </w:r>
            <w:r w:rsidRPr="00206556">
              <w:rPr>
                <w:rFonts w:ascii="Verdana" w:eastAsia="Arial MT" w:hAnsi="Verdana" w:cs="Arial"/>
                <w:lang w:eastAsia="es-ES" w:bidi="es-ES"/>
              </w:rPr>
              <w:lastRenderedPageBreak/>
              <w:t>2.2.1.2.4.2.6., 2.2.1.2.4.2.7. y 2.2.1.2.4.2.8. del Decreto 1082 de 2015.</w:t>
            </w:r>
          </w:p>
          <w:p w14:paraId="5F1154CE" w14:textId="77777777" w:rsidR="003A1BAC" w:rsidRPr="00206556" w:rsidRDefault="003A1BAC"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Corte Constitucional. Sentencia C-410 de 2001. M.P. Álvaro Tafur Galvis.</w:t>
            </w:r>
          </w:p>
          <w:p w14:paraId="36EF4165" w14:textId="77777777" w:rsidR="003A1BAC" w:rsidRPr="00206556" w:rsidRDefault="003A1BAC"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Corte Constitucional. Sentencia SU-049 de 2017. M.P. María Victoria Calle Correa.</w:t>
            </w:r>
          </w:p>
          <w:p w14:paraId="13ACA260" w14:textId="77777777" w:rsidR="003A1BAC" w:rsidRPr="00206556" w:rsidRDefault="003A1BAC"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Consejo de Estado. Sala de lo Contencioso Administrativo, Sección Quinta. Sentencia de acción de cumplimiento del 12 de diciembre de 2024. Rad. n.° 05001-23-33-000-2024-00847-01. M.P. Omar Joaquín Barreto Suárez.</w:t>
            </w:r>
          </w:p>
          <w:p w14:paraId="60DDF8D1" w14:textId="77777777" w:rsidR="003A1BAC" w:rsidRPr="00206556" w:rsidRDefault="003A1BAC"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Consejo de Estado. Sala de Consulta y Servicio Civil. Concepto del 24 de julio de 2013. Rad. 2166. C.P. Álvaro Namén Vargas.</w:t>
            </w:r>
          </w:p>
          <w:p w14:paraId="3E9F4FC1" w14:textId="77777777" w:rsidR="003A1BAC" w:rsidRPr="00206556" w:rsidRDefault="003A1BAC"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Circular Externa sobre orientaciones para la aplicación del Decreto 287 de 2026. Bogotá, 2026.</w:t>
            </w:r>
          </w:p>
          <w:p w14:paraId="00C37330" w14:textId="77777777" w:rsidR="003A1BAC" w:rsidRPr="00206556" w:rsidRDefault="003A1BAC"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ABC del Decreto 0287 de 2026. Bogotá, 2026.</w:t>
            </w:r>
          </w:p>
          <w:p w14:paraId="6526A445" w14:textId="77777777" w:rsidR="003A1BAC" w:rsidRPr="00206556" w:rsidRDefault="003A1BAC"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Memoria Justificativa del Decreto 0287 de 2026. Bogotá, 2026.</w:t>
            </w:r>
          </w:p>
          <w:p w14:paraId="1678CEE0" w14:textId="77777777" w:rsidR="003A1BAC" w:rsidRPr="00206556" w:rsidRDefault="003A1BAC"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Guía de Compras Públicas Sostenibles y Socialmente Responsables. Bogotá, 2025.</w:t>
            </w:r>
          </w:p>
          <w:p w14:paraId="33A52438" w14:textId="77777777" w:rsidR="003A1BAC" w:rsidRPr="00206556" w:rsidRDefault="003A1BAC"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Concepto C-864 del 14 de diciembre de 2022.</w:t>
            </w:r>
          </w:p>
          <w:p w14:paraId="616B3EB3" w14:textId="77777777" w:rsidR="003A1BAC" w:rsidRPr="00206556" w:rsidRDefault="003A1BAC"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Concepto C-1519 del 19 de noviembre de 2025.</w:t>
            </w:r>
          </w:p>
          <w:p w14:paraId="0FD3FCD3" w14:textId="77777777" w:rsidR="003A1BAC" w:rsidRDefault="003A1BAC"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Departamento Nacional de Planeación. Documento CONPES 166 de 2013. Política Pública Nacional de Discapacidad e Inclusión Social.</w:t>
            </w:r>
          </w:p>
          <w:p w14:paraId="4BB46890" w14:textId="77777777" w:rsidR="00EF2D6D" w:rsidRPr="00553BC6" w:rsidRDefault="00EF2D6D" w:rsidP="00EF2D6D">
            <w:pPr>
              <w:numPr>
                <w:ilvl w:val="0"/>
                <w:numId w:val="16"/>
              </w:numPr>
              <w:spacing w:line="276" w:lineRule="auto"/>
              <w:contextualSpacing/>
              <w:jc w:val="both"/>
              <w:rPr>
                <w:rFonts w:ascii="Verdana" w:eastAsia="Calibri" w:hAnsi="Verdana" w:cs="Arial"/>
                <w:shd w:val="clear" w:color="auto" w:fill="FFFFFF"/>
              </w:rPr>
            </w:pPr>
            <w:r w:rsidRPr="00553BC6">
              <w:rPr>
                <w:rFonts w:ascii="Verdana" w:eastAsia="Calibri" w:hAnsi="Verdana" w:cs="Arial"/>
                <w:shd w:val="clear" w:color="auto" w:fill="FFFFFF"/>
              </w:rPr>
              <w:t xml:space="preserve">CONSEJO DE ESTADO, Sección Tercera, Subsección C. Sentencia del 26 de febrero de 2011. C.P. Jaime Orlando Santofimio. Rad. 36.408. </w:t>
            </w:r>
          </w:p>
          <w:p w14:paraId="631C340D" w14:textId="77777777" w:rsidR="00EF2D6D" w:rsidRPr="00553BC6" w:rsidRDefault="00EF2D6D" w:rsidP="00EF2D6D">
            <w:pPr>
              <w:numPr>
                <w:ilvl w:val="0"/>
                <w:numId w:val="16"/>
              </w:numPr>
              <w:spacing w:line="276" w:lineRule="auto"/>
              <w:contextualSpacing/>
              <w:jc w:val="both"/>
              <w:rPr>
                <w:rFonts w:ascii="Verdana" w:eastAsia="Calibri" w:hAnsi="Verdana" w:cs="Arial"/>
                <w:shd w:val="clear" w:color="auto" w:fill="FFFFFF"/>
              </w:rPr>
            </w:pPr>
            <w:r w:rsidRPr="00553BC6">
              <w:rPr>
                <w:rFonts w:ascii="Verdana" w:eastAsia="Calibri" w:hAnsi="Verdana" w:cs="Arial"/>
                <w:shd w:val="clear" w:color="auto" w:fill="FFFFFF"/>
              </w:rPr>
              <w:t>Consejo de Estado. Sala de Consulta y Servicio Civil. Concepto del 6 de noviembre de 2008. Expediente: 1927. Consejero Ponente: William Zambrano Cetina</w:t>
            </w:r>
          </w:p>
          <w:p w14:paraId="4C05CB76" w14:textId="77777777" w:rsidR="00EF2D6D" w:rsidRPr="00553BC6" w:rsidRDefault="00EF2D6D" w:rsidP="00EF2D6D">
            <w:pPr>
              <w:numPr>
                <w:ilvl w:val="0"/>
                <w:numId w:val="16"/>
              </w:numPr>
              <w:spacing w:line="276" w:lineRule="auto"/>
              <w:contextualSpacing/>
              <w:jc w:val="both"/>
              <w:rPr>
                <w:rFonts w:ascii="Verdana" w:eastAsia="Calibri" w:hAnsi="Verdana" w:cs="Arial"/>
                <w:shd w:val="clear" w:color="auto" w:fill="FFFFFF"/>
              </w:rPr>
            </w:pPr>
            <w:r w:rsidRPr="00553BC6">
              <w:rPr>
                <w:rFonts w:ascii="Verdana" w:eastAsia="Calibri" w:hAnsi="Verdana" w:cs="Arial"/>
                <w:shd w:val="clear" w:color="auto" w:fill="FFFFFF"/>
              </w:rPr>
              <w:t>CONSEJO DE ESTADO, Sección Tercera, Subsección C. Sentencia del 26 de febrero de 2014. C.P. Enrique Gil Botero. Rad. 25.804.</w:t>
            </w:r>
          </w:p>
          <w:p w14:paraId="155B478F" w14:textId="77777777" w:rsidR="00EF2D6D" w:rsidRPr="00553BC6" w:rsidRDefault="00EF2D6D" w:rsidP="00EF2D6D">
            <w:pPr>
              <w:numPr>
                <w:ilvl w:val="0"/>
                <w:numId w:val="16"/>
              </w:numPr>
              <w:spacing w:line="276" w:lineRule="auto"/>
              <w:contextualSpacing/>
              <w:jc w:val="both"/>
              <w:rPr>
                <w:rFonts w:ascii="Verdana" w:eastAsia="Calibri" w:hAnsi="Verdana" w:cs="Arial"/>
                <w:shd w:val="clear" w:color="auto" w:fill="FFFFFF"/>
              </w:rPr>
            </w:pPr>
            <w:r w:rsidRPr="00553BC6">
              <w:rPr>
                <w:rFonts w:ascii="Verdana" w:eastAsia="Calibri" w:hAnsi="Verdana" w:cs="Arial"/>
                <w:shd w:val="clear" w:color="auto" w:fill="FFFFFF"/>
              </w:rPr>
              <w:lastRenderedPageBreak/>
              <w:t>CONSEJO DE ESTADO. Sala de Consulta y Servicio Civil. Concepto del 20 de mayo de 2010. Expediente: 1992. Consejero Ponente: Enrique José Arboleda Perdomo.</w:t>
            </w:r>
          </w:p>
          <w:p w14:paraId="69D4FCAF" w14:textId="77777777" w:rsidR="00EF2D6D" w:rsidRPr="00553BC6" w:rsidRDefault="00EF2D6D" w:rsidP="00EF2D6D">
            <w:pPr>
              <w:numPr>
                <w:ilvl w:val="0"/>
                <w:numId w:val="16"/>
              </w:numPr>
              <w:spacing w:line="276" w:lineRule="auto"/>
              <w:contextualSpacing/>
              <w:jc w:val="both"/>
              <w:rPr>
                <w:rFonts w:ascii="Verdana" w:eastAsia="Calibri" w:hAnsi="Verdana" w:cs="Arial"/>
                <w:shd w:val="clear" w:color="auto" w:fill="FFFFFF"/>
              </w:rPr>
            </w:pPr>
            <w:r w:rsidRPr="00553BC6">
              <w:rPr>
                <w:rFonts w:ascii="Verdana" w:eastAsia="Calibri" w:hAnsi="Verdana" w:cs="Arial"/>
                <w:shd w:val="clear" w:color="auto" w:fill="FFFFFF"/>
              </w:rPr>
              <w:t>CONSEJO DE ESTADO. Sección Tercera Subsección B. Sentencia del 27 de abril de 2011. Expediente No. 18.293. C.P. Ponente: Ruth Stella Correa Palacio.</w:t>
            </w:r>
          </w:p>
          <w:p w14:paraId="2AEEA735" w14:textId="77777777" w:rsidR="00EF2D6D" w:rsidRPr="00553BC6" w:rsidRDefault="00EF2D6D" w:rsidP="00EF2D6D">
            <w:pPr>
              <w:numPr>
                <w:ilvl w:val="0"/>
                <w:numId w:val="16"/>
              </w:numPr>
              <w:spacing w:line="276" w:lineRule="auto"/>
              <w:contextualSpacing/>
              <w:jc w:val="both"/>
              <w:rPr>
                <w:rFonts w:ascii="Verdana" w:eastAsia="Calibri" w:hAnsi="Verdana" w:cs="Arial"/>
                <w:shd w:val="clear" w:color="auto" w:fill="FFFFFF"/>
              </w:rPr>
            </w:pPr>
            <w:r w:rsidRPr="00553BC6">
              <w:rPr>
                <w:rFonts w:ascii="Verdana" w:eastAsia="Calibri" w:hAnsi="Verdana" w:cs="Arial"/>
                <w:shd w:val="clear" w:color="auto" w:fill="FFFFFF"/>
              </w:rPr>
              <w:t>Circular Externa Única de Colombia Compra Eficiente</w:t>
            </w:r>
          </w:p>
          <w:p w14:paraId="209169BB" w14:textId="77777777" w:rsidR="00EF2D6D" w:rsidRPr="00553BC6" w:rsidRDefault="00EF2D6D" w:rsidP="00EF2D6D">
            <w:pPr>
              <w:numPr>
                <w:ilvl w:val="0"/>
                <w:numId w:val="16"/>
              </w:numPr>
              <w:spacing w:line="276" w:lineRule="auto"/>
              <w:contextualSpacing/>
              <w:jc w:val="both"/>
              <w:rPr>
                <w:rFonts w:ascii="Verdana" w:eastAsia="Calibri" w:hAnsi="Verdana" w:cs="Arial"/>
                <w:shd w:val="clear" w:color="auto" w:fill="FFFFFF"/>
              </w:rPr>
            </w:pPr>
            <w:r w:rsidRPr="00553BC6">
              <w:rPr>
                <w:rFonts w:ascii="Verdana" w:eastAsia="Calibri" w:hAnsi="Verdana" w:cs="Arial"/>
                <w:shd w:val="clear" w:color="auto" w:fill="FFFFFF"/>
              </w:rPr>
              <w:t xml:space="preserve">Agencia Nacional de Contratación Pública – Colombia Compra Eficiente. Concepto C-285 del 20 de mayo de 2022. Consultar en: </w:t>
            </w:r>
            <w:hyperlink r:id="rId15" w:history="1">
              <w:r w:rsidRPr="00553BC6">
                <w:rPr>
                  <w:rFonts w:ascii="Verdana" w:eastAsia="Calibri" w:hAnsi="Verdana" w:cs="Arial"/>
                  <w:color w:val="0563C1" w:themeColor="hyperlink"/>
                  <w:u w:val="single"/>
                  <w:shd w:val="clear" w:color="auto" w:fill="FFFFFF"/>
                </w:rPr>
                <w:t>https://relatoria.colombiacompra.gov.co/conceptos/c-285-de-2022/</w:t>
              </w:r>
            </w:hyperlink>
            <w:r w:rsidRPr="00553BC6">
              <w:rPr>
                <w:rFonts w:ascii="Verdana" w:eastAsia="Calibri" w:hAnsi="Verdana" w:cs="Arial"/>
                <w:shd w:val="clear" w:color="auto" w:fill="FFFFFF"/>
              </w:rPr>
              <w:t xml:space="preserve"> </w:t>
            </w:r>
          </w:p>
          <w:p w14:paraId="0591FDBC" w14:textId="77777777" w:rsidR="00EF2D6D" w:rsidRPr="00553BC6" w:rsidRDefault="00EF2D6D" w:rsidP="00EF2D6D">
            <w:pPr>
              <w:numPr>
                <w:ilvl w:val="0"/>
                <w:numId w:val="16"/>
              </w:numPr>
              <w:spacing w:line="276" w:lineRule="auto"/>
              <w:contextualSpacing/>
              <w:jc w:val="both"/>
              <w:rPr>
                <w:rFonts w:ascii="Verdana" w:eastAsia="Calibri" w:hAnsi="Verdana" w:cs="Arial"/>
                <w:shd w:val="clear" w:color="auto" w:fill="FFFFFF"/>
              </w:rPr>
            </w:pPr>
            <w:r w:rsidRPr="00553BC6">
              <w:rPr>
                <w:rFonts w:ascii="Verdana" w:eastAsia="Calibri" w:hAnsi="Verdana" w:cs="Arial"/>
                <w:shd w:val="clear" w:color="auto" w:fill="FFFFFF"/>
              </w:rPr>
              <w:t xml:space="preserve">Agencia Nacional de Contratación Pública – Colombia Compra Eficiente. Concepto C-447 del 19 de septiembre de 2024. Consultar en: </w:t>
            </w:r>
            <w:hyperlink r:id="rId16" w:history="1">
              <w:r w:rsidRPr="00553BC6">
                <w:rPr>
                  <w:rFonts w:ascii="Verdana" w:eastAsia="Calibri" w:hAnsi="Verdana" w:cs="Arial"/>
                  <w:color w:val="0563C1" w:themeColor="hyperlink"/>
                  <w:u w:val="single"/>
                  <w:shd w:val="clear" w:color="auto" w:fill="FFFFFF"/>
                </w:rPr>
                <w:t>https://relatoria.colombiacompra.gov.co/conceptos/c-447-de-2024/</w:t>
              </w:r>
            </w:hyperlink>
            <w:r w:rsidRPr="00553BC6">
              <w:rPr>
                <w:rFonts w:ascii="Verdana" w:eastAsia="Calibri" w:hAnsi="Verdana" w:cs="Arial"/>
                <w:shd w:val="clear" w:color="auto" w:fill="FFFFFF"/>
              </w:rPr>
              <w:t xml:space="preserve"> </w:t>
            </w:r>
          </w:p>
          <w:p w14:paraId="4B523B34" w14:textId="4CBFBDC2" w:rsidR="00EF2D6D" w:rsidRPr="00206556" w:rsidRDefault="00EF2D6D" w:rsidP="00EF2D6D">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553BC6">
              <w:rPr>
                <w:rFonts w:ascii="Verdana" w:eastAsia="Calibri" w:hAnsi="Verdana" w:cs="Arial"/>
                <w:shd w:val="clear" w:color="auto" w:fill="FFFFFF"/>
              </w:rPr>
              <w:t>RODRÍGUEZ TAMAYO, Mauricio Fernando. Evaluación y rechazo de ofertas en la Ley 80 de 1993. Medellín: Librería Jurídica Sánchez, 2016. p. 190.</w:t>
            </w:r>
          </w:p>
        </w:tc>
      </w:tr>
    </w:tbl>
    <w:p w14:paraId="61089421" w14:textId="77777777" w:rsidR="003A1BAC" w:rsidRPr="00206556" w:rsidRDefault="003A1BAC" w:rsidP="003A1BAC">
      <w:pPr>
        <w:widowControl w:val="0"/>
        <w:autoSpaceDE w:val="0"/>
        <w:autoSpaceDN w:val="0"/>
        <w:spacing w:after="0" w:line="276" w:lineRule="auto"/>
        <w:jc w:val="both"/>
        <w:rPr>
          <w:rFonts w:ascii="Verdana" w:hAnsi="Verdana" w:cs="Arial"/>
          <w:color w:val="ED7D31" w:themeColor="accent2"/>
          <w:lang w:val="es-ES"/>
        </w:rPr>
      </w:pPr>
    </w:p>
    <w:p w14:paraId="21279AD8" w14:textId="77777777" w:rsidR="003A1BAC" w:rsidRDefault="003A1BAC" w:rsidP="003A1BAC">
      <w:pPr>
        <w:tabs>
          <w:tab w:val="left" w:pos="142"/>
          <w:tab w:val="left" w:pos="284"/>
        </w:tabs>
        <w:spacing w:after="0" w:line="276" w:lineRule="auto"/>
        <w:jc w:val="both"/>
        <w:rPr>
          <w:rFonts w:ascii="Verdana" w:eastAsia="Century Gothic" w:hAnsi="Verdana" w:cs="Century Gothic"/>
          <w:b/>
          <w:lang w:val="es-ES"/>
        </w:rPr>
      </w:pPr>
      <w:r w:rsidRPr="00206556">
        <w:rPr>
          <w:rFonts w:ascii="Verdana" w:eastAsia="Century Gothic" w:hAnsi="Verdana" w:cs="Century Gothic"/>
          <w:b/>
          <w:lang w:val="es-ES"/>
        </w:rPr>
        <w:t>5. Doctrina de la Agencia Nacional de Contratación Pública:</w:t>
      </w:r>
    </w:p>
    <w:p w14:paraId="076C16AE" w14:textId="77777777" w:rsidR="003A1BAC" w:rsidRPr="00670CFB" w:rsidRDefault="003A1BAC" w:rsidP="003A1BAC">
      <w:pPr>
        <w:tabs>
          <w:tab w:val="left" w:pos="142"/>
          <w:tab w:val="left" w:pos="284"/>
        </w:tabs>
        <w:spacing w:after="0" w:line="276" w:lineRule="auto"/>
        <w:jc w:val="both"/>
        <w:rPr>
          <w:rFonts w:ascii="Verdana" w:eastAsia="Century Gothic" w:hAnsi="Verdana" w:cs="Century Gothic"/>
          <w:b/>
          <w:lang w:val="es-ES"/>
        </w:rPr>
      </w:pPr>
    </w:p>
    <w:p w14:paraId="58AECC41" w14:textId="6E7D8526" w:rsidR="003A1BAC" w:rsidRPr="00206556" w:rsidRDefault="003A1BAC" w:rsidP="003A1BAC">
      <w:pPr>
        <w:spacing w:after="0" w:line="276" w:lineRule="auto"/>
        <w:jc w:val="both"/>
        <w:rPr>
          <w:rFonts w:ascii="Verdana" w:hAnsi="Verdana"/>
          <w:color w:val="ED7D31" w:themeColor="accent2"/>
          <w:lang w:val="es-ES"/>
        </w:rPr>
      </w:pPr>
      <w:r w:rsidRPr="00E85A49">
        <w:rPr>
          <w:rFonts w:ascii="Verdana" w:eastAsia="Calibri" w:hAnsi="Verdana" w:cs="Arial"/>
          <w:lang w:val="es-ES"/>
        </w:rPr>
        <w:t>La Agencia Nacional de Contratación Pública – Colombia Compra Eficiente se ha referido sobre el alcance del Decreto 0287 de 2026 en los conceptos C-473 del 7 de mayo de 2026, C-498 del 8 de mayo de 2026</w:t>
      </w:r>
      <w:r>
        <w:rPr>
          <w:rFonts w:ascii="Verdana" w:eastAsia="Calibri" w:hAnsi="Verdana" w:cs="Arial"/>
          <w:lang w:val="es-ES"/>
        </w:rPr>
        <w:t>,</w:t>
      </w:r>
      <w:r w:rsidRPr="00E85A49">
        <w:rPr>
          <w:rFonts w:ascii="Verdana" w:eastAsia="Calibri" w:hAnsi="Verdana" w:cs="Arial"/>
          <w:lang w:val="es-ES"/>
        </w:rPr>
        <w:t xml:space="preserve"> C-576 del 19 de mayo de 2026</w:t>
      </w:r>
      <w:r w:rsidR="00322D4E">
        <w:rPr>
          <w:rFonts w:ascii="Verdana" w:eastAsia="Calibri" w:hAnsi="Verdana" w:cs="Arial"/>
          <w:lang w:val="es-ES"/>
        </w:rPr>
        <w:t xml:space="preserve">, </w:t>
      </w:r>
      <w:r>
        <w:rPr>
          <w:rFonts w:ascii="Verdana" w:eastAsia="Calibri" w:hAnsi="Verdana" w:cs="Arial"/>
          <w:lang w:val="es-ES"/>
        </w:rPr>
        <w:t>C-604 del 22 de mayo de 2026</w:t>
      </w:r>
      <w:r w:rsidR="00B10553">
        <w:rPr>
          <w:rFonts w:ascii="Verdana" w:eastAsia="Calibri" w:hAnsi="Verdana" w:cs="Arial"/>
          <w:lang w:val="es-ES"/>
        </w:rPr>
        <w:t xml:space="preserve">, </w:t>
      </w:r>
      <w:r w:rsidR="00322D4E">
        <w:rPr>
          <w:rFonts w:ascii="Verdana" w:eastAsia="Calibri" w:hAnsi="Verdana" w:cs="Arial"/>
          <w:lang w:val="es-ES"/>
        </w:rPr>
        <w:t>C-612 del 27 de mayo de 2026</w:t>
      </w:r>
      <w:r w:rsidR="00CC6544">
        <w:rPr>
          <w:rFonts w:ascii="Verdana" w:eastAsia="Calibri" w:hAnsi="Verdana" w:cs="Arial"/>
          <w:lang w:val="es-ES"/>
        </w:rPr>
        <w:t xml:space="preserve">, </w:t>
      </w:r>
      <w:r w:rsidR="00B10553">
        <w:rPr>
          <w:rFonts w:ascii="Verdana" w:eastAsia="Calibri" w:hAnsi="Verdana" w:cs="Arial"/>
          <w:lang w:val="es-ES"/>
        </w:rPr>
        <w:t>C-686 del 28 de mayo de 2026</w:t>
      </w:r>
      <w:r w:rsidR="00CC6544">
        <w:rPr>
          <w:rFonts w:ascii="Verdana" w:eastAsia="Calibri" w:hAnsi="Verdana" w:cs="Arial"/>
          <w:lang w:val="es-ES"/>
        </w:rPr>
        <w:t>, C-745 del 2 de junio de 2026</w:t>
      </w:r>
      <w:r w:rsidRPr="00206556">
        <w:rPr>
          <w:rFonts w:ascii="Verdana" w:eastAsia="Calibri" w:hAnsi="Verdana" w:cs="Arial"/>
          <w:lang w:val="es-ES_tradnl" w:eastAsia="es-ES"/>
        </w:rPr>
        <w:t>.</w:t>
      </w:r>
      <w:r w:rsidRPr="00206556">
        <w:rPr>
          <w:rFonts w:ascii="Verdana" w:hAnsi="Verdana" w:cs="Arial"/>
          <w:shd w:val="clear" w:color="auto" w:fill="FFFFFF"/>
          <w:lang w:val="es-ES"/>
        </w:rPr>
        <w:t xml:space="preserve"> Est</w:t>
      </w:r>
      <w:r>
        <w:rPr>
          <w:rFonts w:ascii="Verdana" w:hAnsi="Verdana" w:cs="Arial"/>
          <w:shd w:val="clear" w:color="auto" w:fill="FFFFFF"/>
          <w:lang w:val="es-ES"/>
        </w:rPr>
        <w:t>os</w:t>
      </w:r>
      <w:r w:rsidRPr="00206556">
        <w:rPr>
          <w:rFonts w:ascii="Verdana" w:hAnsi="Verdana"/>
          <w:lang w:val="es-ES"/>
        </w:rPr>
        <w:t xml:space="preserve"> y otros se encuentran disponibles para consulta en el Sistema de relatoría de la Agencia, al cual se puede acceder a través del siguiente enlace:</w:t>
      </w:r>
      <w:r w:rsidRPr="00206556">
        <w:rPr>
          <w:rFonts w:ascii="Verdana" w:hAnsi="Verdana" w:cs="Arial"/>
          <w:shd w:val="clear" w:color="auto" w:fill="FFFFFF"/>
          <w:lang w:val="es-ES"/>
        </w:rPr>
        <w:t xml:space="preserve"> </w:t>
      </w:r>
      <w:hyperlink r:id="rId17" w:history="1">
        <w:r w:rsidRPr="00206556">
          <w:rPr>
            <w:rStyle w:val="Hipervnculo"/>
            <w:rFonts w:ascii="Verdana" w:hAnsi="Verdana" w:cs="Arial"/>
            <w:shd w:val="clear" w:color="auto" w:fill="FFFFFF"/>
            <w:lang w:val="es-ES"/>
          </w:rPr>
          <w:t>https://relatoria.colombiacompra.gov.co/busqueda/conceptos</w:t>
        </w:r>
      </w:hyperlink>
    </w:p>
    <w:p w14:paraId="44DEB88C" w14:textId="77777777" w:rsidR="003A1BAC" w:rsidRPr="00206556" w:rsidRDefault="003A1BAC" w:rsidP="003A1BAC">
      <w:pPr>
        <w:spacing w:after="0" w:line="276" w:lineRule="auto"/>
        <w:jc w:val="both"/>
        <w:rPr>
          <w:rFonts w:ascii="Verdana" w:hAnsi="Verdana" w:cs="Arial"/>
          <w:color w:val="ED7D31" w:themeColor="accent2"/>
          <w:shd w:val="clear" w:color="auto" w:fill="FFFFFF"/>
          <w:lang w:val="es-ES"/>
        </w:rPr>
      </w:pPr>
    </w:p>
    <w:p w14:paraId="2F5AB205" w14:textId="77777777" w:rsidR="003A1BAC" w:rsidRPr="00206556" w:rsidRDefault="003A1BAC" w:rsidP="003A1BAC">
      <w:pPr>
        <w:spacing w:after="0" w:line="276" w:lineRule="auto"/>
        <w:jc w:val="both"/>
        <w:rPr>
          <w:rFonts w:ascii="Verdana" w:hAnsi="Verdana" w:cs="Arial"/>
          <w:shd w:val="clear" w:color="auto" w:fill="FFFFFF"/>
        </w:rPr>
      </w:pPr>
      <w:r w:rsidRPr="00206556">
        <w:rPr>
          <w:rFonts w:ascii="Verdana" w:hAnsi="Verdana" w:cs="Arial"/>
          <w:shd w:val="clear" w:color="auto" w:fill="FFFFFF"/>
        </w:rPr>
        <w:t xml:space="preserve">La sostenibilidad no es una opción, es una obligación. Por ello, la Agencia Nacional de Contratación Pública –Colombia Compra Eficiente– te invita a realizar el Curso de Contratación Pública Sostenible y Socialmente Responsable, una herramienta clave para fortalecer las capacidades de todos los compradores públicos, proveedores, servidores públicos v para generar mayor valor público. Accede al curso y aprende como implementar criterios sociales y ambientales en </w:t>
      </w:r>
      <w:r w:rsidRPr="00206556">
        <w:rPr>
          <w:rFonts w:ascii="Verdana" w:hAnsi="Verdana" w:cs="Arial"/>
          <w:shd w:val="clear" w:color="auto" w:fill="FFFFFF"/>
        </w:rPr>
        <w:lastRenderedPageBreak/>
        <w:t xml:space="preserve">las diferentes etapas del proceso de contratación: </w:t>
      </w:r>
      <w:hyperlink r:id="rId18" w:history="1">
        <w:r w:rsidRPr="00206556">
          <w:rPr>
            <w:rStyle w:val="Hipervnculo"/>
            <w:rFonts w:ascii="Verdana" w:hAnsi="Verdana" w:cs="Arial"/>
            <w:shd w:val="clear" w:color="auto" w:fill="FFFFFF"/>
          </w:rPr>
          <w:t>https://formacionvirtual.colombiacompra.gov.co/mod/page/view.php?id=3718</w:t>
        </w:r>
      </w:hyperlink>
      <w:r w:rsidRPr="00206556">
        <w:rPr>
          <w:rFonts w:ascii="Verdana" w:hAnsi="Verdana" w:cs="Arial"/>
          <w:shd w:val="clear" w:color="auto" w:fill="FFFFFF"/>
        </w:rPr>
        <w:t xml:space="preserve"> </w:t>
      </w:r>
    </w:p>
    <w:p w14:paraId="456C3784" w14:textId="77777777" w:rsidR="003A1BAC" w:rsidRPr="00206556" w:rsidRDefault="003A1BAC" w:rsidP="003A1BAC">
      <w:pPr>
        <w:spacing w:after="0" w:line="276" w:lineRule="auto"/>
        <w:jc w:val="both"/>
        <w:rPr>
          <w:rFonts w:ascii="Verdana" w:hAnsi="Verdana" w:cs="Arial"/>
          <w:shd w:val="clear" w:color="auto" w:fill="FFFFFF"/>
        </w:rPr>
      </w:pPr>
    </w:p>
    <w:p w14:paraId="639AAAA7" w14:textId="77777777" w:rsidR="003A1BAC" w:rsidRPr="00206556" w:rsidRDefault="003A1BAC" w:rsidP="003A1BAC">
      <w:pPr>
        <w:spacing w:after="0" w:line="276" w:lineRule="auto"/>
        <w:jc w:val="both"/>
        <w:rPr>
          <w:rFonts w:ascii="Verdana" w:hAnsi="Verdana" w:cs="Arial"/>
          <w:shd w:val="clear" w:color="auto" w:fill="FFFFFF"/>
        </w:rPr>
      </w:pPr>
      <w:r w:rsidRPr="00206556">
        <w:rPr>
          <w:rFonts w:ascii="Verdana" w:hAnsi="Verdana" w:cs="Arial"/>
          <w:shd w:val="clear" w:color="auto" w:fill="FFFFFF"/>
        </w:rPr>
        <w:t xml:space="preserve">De otro lado, te contamos que esta Agencia ha da un paso decisivo en la estandarización y modernización del sector social con la expedición de las Resoluciones 539, 540, 541, 952 y 953 de 2025, mediante las cuales adoptó Documentos Tipo para las modalidades de selección de licitación pública (versión 2), selección abreviada de menor cuantía, mínima cuantía, consultoría e interventoría, promoviendo procesos más transparentes, eficientes competitivos y sostenibles en sectores estratégicos como educación, salud, cultura, recreación, deporte, institucional y vivienda. Consulta y descarga los documentos aquí: </w:t>
      </w:r>
      <w:hyperlink r:id="rId19" w:history="1">
        <w:r w:rsidRPr="00206556">
          <w:rPr>
            <w:rStyle w:val="Hipervnculo"/>
            <w:rFonts w:ascii="Verdana" w:hAnsi="Verdana" w:cs="Arial"/>
            <w:shd w:val="clear" w:color="auto" w:fill="FFFFFF"/>
          </w:rPr>
          <w:t>https://www.colombiacompra.gov.co/normativa-y-relatoria/documentos-tipo</w:t>
        </w:r>
      </w:hyperlink>
    </w:p>
    <w:p w14:paraId="3F91B17E" w14:textId="77777777" w:rsidR="003A1BAC" w:rsidRPr="00206556" w:rsidRDefault="003A1BAC" w:rsidP="003A1BAC">
      <w:pPr>
        <w:spacing w:after="0" w:line="276" w:lineRule="auto"/>
        <w:jc w:val="both"/>
        <w:rPr>
          <w:rFonts w:ascii="Verdana" w:hAnsi="Verdana" w:cs="Arial"/>
          <w:shd w:val="clear" w:color="auto" w:fill="FFFFFF"/>
        </w:rPr>
      </w:pPr>
    </w:p>
    <w:p w14:paraId="53530D08" w14:textId="77777777" w:rsidR="003A1BAC" w:rsidRPr="00206556" w:rsidRDefault="003A1BAC" w:rsidP="003A1BAC">
      <w:pPr>
        <w:spacing w:after="0" w:line="276" w:lineRule="auto"/>
        <w:jc w:val="both"/>
        <w:rPr>
          <w:rFonts w:ascii="Verdana" w:hAnsi="Verdana" w:cs="Arial"/>
          <w:shd w:val="clear" w:color="auto" w:fill="FFFFFF"/>
        </w:rPr>
      </w:pPr>
      <w:r w:rsidRPr="00206556">
        <w:rPr>
          <w:rFonts w:ascii="Verdana" w:hAnsi="Verdana" w:cs="Arial"/>
          <w:shd w:val="clear" w:color="auto" w:fill="FFFFFF"/>
        </w:rPr>
        <w:t>Si quieres conocer más sobre la aplicación de Documentos Tipo puedes consultar la última versión de la Guía para la comprensión e implementación de los Documentos Tipo de obra pública de infraestructura de transporte.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 https://www.colombiacompra.gov.co/archivos/manual/guia-para-la-comprension-e-implementacion-de-los-documentos-tipo-de-obra-publica-de-infraestructura-de-transporte-bajo-las-diferentes-modalidades-de-contratacion-vigentes</w:t>
      </w:r>
    </w:p>
    <w:p w14:paraId="3427D914" w14:textId="77777777" w:rsidR="003A1BAC" w:rsidRPr="00206556" w:rsidRDefault="003A1BAC" w:rsidP="003A1BAC">
      <w:pPr>
        <w:spacing w:after="0" w:line="276" w:lineRule="auto"/>
        <w:jc w:val="both"/>
        <w:rPr>
          <w:rFonts w:ascii="Verdana" w:hAnsi="Verdana" w:cs="Arial"/>
          <w:color w:val="ED7D31" w:themeColor="accent2"/>
          <w:shd w:val="clear" w:color="auto" w:fill="FFFFFF"/>
        </w:rPr>
      </w:pPr>
    </w:p>
    <w:p w14:paraId="77BFA0B0" w14:textId="77777777" w:rsidR="003A1BAC" w:rsidRPr="00206556" w:rsidRDefault="003A1BAC" w:rsidP="003A1BAC">
      <w:pPr>
        <w:spacing w:after="0"/>
        <w:jc w:val="both"/>
        <w:rPr>
          <w:rFonts w:ascii="Verdana" w:hAnsi="Verdana" w:cs="Arial"/>
          <w:shd w:val="clear" w:color="auto" w:fill="FFFFFF"/>
        </w:rPr>
      </w:pPr>
      <w:r w:rsidRPr="00206556">
        <w:rPr>
          <w:rFonts w:ascii="Verdana" w:hAnsi="Verdana" w:cs="Arial"/>
          <w:shd w:val="clear" w:color="auto" w:fill="FFFFFF"/>
        </w:rPr>
        <w:t xml:space="preserve">Por último, lo invitamos a seguirnos en las redes sociales en las cuales se difunde información institucional: </w:t>
      </w:r>
    </w:p>
    <w:p w14:paraId="0D848AA2" w14:textId="77777777" w:rsidR="003A1BAC" w:rsidRPr="00206556" w:rsidRDefault="003A1BAC" w:rsidP="003A1BAC">
      <w:pPr>
        <w:spacing w:after="0"/>
        <w:jc w:val="both"/>
        <w:rPr>
          <w:rFonts w:ascii="Verdana" w:hAnsi="Verdana" w:cs="Arial"/>
          <w:shd w:val="clear" w:color="auto" w:fill="FFFFFF"/>
        </w:rPr>
      </w:pPr>
    </w:p>
    <w:p w14:paraId="30C724B8" w14:textId="77777777" w:rsidR="003A1BAC" w:rsidRPr="00206556" w:rsidRDefault="003A1BAC" w:rsidP="003A1BAC">
      <w:pPr>
        <w:spacing w:after="0"/>
        <w:jc w:val="both"/>
        <w:rPr>
          <w:rFonts w:ascii="Verdana" w:hAnsi="Verdana" w:cs="Arial"/>
          <w:shd w:val="clear" w:color="auto" w:fill="FFFFFF"/>
        </w:rPr>
      </w:pPr>
      <w:r w:rsidRPr="00206556">
        <w:rPr>
          <w:rFonts w:ascii="Verdana" w:hAnsi="Verdana" w:cs="Arial"/>
          <w:shd w:val="clear" w:color="auto" w:fill="FFFFFF"/>
        </w:rPr>
        <w:t xml:space="preserve">Twitter: </w:t>
      </w:r>
      <w:r w:rsidRPr="00206556">
        <w:rPr>
          <w:rStyle w:val="Hipervnculo"/>
          <w:rFonts w:ascii="Verdana" w:hAnsi="Verdana"/>
          <w:lang w:val="es-ES"/>
        </w:rPr>
        <w:t>@colombiacompra</w:t>
      </w:r>
      <w:r w:rsidRPr="00206556">
        <w:rPr>
          <w:rStyle w:val="Hipervnculo"/>
          <w:rFonts w:ascii="Verdana" w:hAnsi="Verdana"/>
          <w:color w:val="auto"/>
          <w:lang w:val="es-ES"/>
        </w:rPr>
        <w:t xml:space="preserve"> </w:t>
      </w:r>
    </w:p>
    <w:p w14:paraId="62D885B3" w14:textId="77777777" w:rsidR="003A1BAC" w:rsidRPr="00206556" w:rsidRDefault="003A1BAC" w:rsidP="003A1BAC">
      <w:pPr>
        <w:spacing w:after="0"/>
        <w:jc w:val="both"/>
        <w:rPr>
          <w:rFonts w:ascii="Verdana" w:hAnsi="Verdana" w:cs="Arial"/>
          <w:shd w:val="clear" w:color="auto" w:fill="FFFFFF"/>
        </w:rPr>
      </w:pPr>
      <w:r w:rsidRPr="00206556">
        <w:rPr>
          <w:rFonts w:ascii="Verdana" w:hAnsi="Verdana" w:cs="Arial"/>
          <w:shd w:val="clear" w:color="auto" w:fill="FFFFFF"/>
        </w:rPr>
        <w:t>Facebook:</w:t>
      </w:r>
      <w:r w:rsidRPr="00206556">
        <w:rPr>
          <w:rStyle w:val="Hipervnculo"/>
          <w:rFonts w:ascii="Verdana" w:hAnsi="Verdana"/>
          <w:lang w:val="es-ES"/>
        </w:rPr>
        <w:t xml:space="preserve"> ColombiaCompraEficiente</w:t>
      </w:r>
    </w:p>
    <w:p w14:paraId="278E2295" w14:textId="77777777" w:rsidR="003A1BAC" w:rsidRPr="00206556" w:rsidRDefault="003A1BAC" w:rsidP="003A1BAC">
      <w:pPr>
        <w:spacing w:after="0"/>
        <w:jc w:val="both"/>
        <w:rPr>
          <w:rFonts w:ascii="Verdana" w:hAnsi="Verdana" w:cs="Arial"/>
          <w:shd w:val="clear" w:color="auto" w:fill="FFFFFF"/>
        </w:rPr>
      </w:pPr>
      <w:r w:rsidRPr="00206556">
        <w:rPr>
          <w:rFonts w:ascii="Verdana" w:hAnsi="Verdana" w:cs="Arial"/>
          <w:shd w:val="clear" w:color="auto" w:fill="FFFFFF"/>
        </w:rPr>
        <w:t xml:space="preserve">LinkedIn: </w:t>
      </w:r>
      <w:r w:rsidRPr="00206556">
        <w:rPr>
          <w:rStyle w:val="Hipervnculo"/>
          <w:rFonts w:ascii="Verdana" w:hAnsi="Verdana"/>
          <w:lang w:val="es-ES"/>
        </w:rPr>
        <w:t>Agencia Nacional de Contratación Pública - Colombia Compra Eficiente</w:t>
      </w:r>
      <w:r w:rsidRPr="00206556">
        <w:rPr>
          <w:rFonts w:ascii="Verdana" w:hAnsi="Verdana" w:cs="Arial"/>
          <w:color w:val="0000FF"/>
          <w:shd w:val="clear" w:color="auto" w:fill="FFFFFF"/>
        </w:rPr>
        <w:t xml:space="preserve"> </w:t>
      </w:r>
    </w:p>
    <w:p w14:paraId="12D17FF4" w14:textId="77777777" w:rsidR="003A1BAC" w:rsidRPr="00206556" w:rsidRDefault="003A1BAC" w:rsidP="003A1BAC">
      <w:pPr>
        <w:spacing w:after="0"/>
        <w:jc w:val="both"/>
        <w:rPr>
          <w:rFonts w:ascii="Verdana" w:hAnsi="Verdana" w:cs="Arial"/>
          <w:shd w:val="clear" w:color="auto" w:fill="FFFFFF"/>
        </w:rPr>
      </w:pPr>
      <w:r w:rsidRPr="00206556">
        <w:rPr>
          <w:rFonts w:ascii="Verdana" w:hAnsi="Verdana" w:cs="Arial"/>
          <w:shd w:val="clear" w:color="auto" w:fill="FFFFFF"/>
        </w:rPr>
        <w:t xml:space="preserve">Instagram: </w:t>
      </w:r>
      <w:r w:rsidRPr="00206556">
        <w:rPr>
          <w:rStyle w:val="Hipervnculo"/>
          <w:rFonts w:ascii="Verdana" w:hAnsi="Verdana"/>
          <w:lang w:val="es-ES"/>
        </w:rPr>
        <w:t>@colombiacompraeficiente_cce</w:t>
      </w:r>
    </w:p>
    <w:p w14:paraId="0A26749B" w14:textId="77777777" w:rsidR="003A1BAC" w:rsidRPr="00206556" w:rsidRDefault="003A1BAC" w:rsidP="003A1BAC">
      <w:pPr>
        <w:widowControl w:val="0"/>
        <w:autoSpaceDE w:val="0"/>
        <w:autoSpaceDN w:val="0"/>
        <w:spacing w:after="0" w:line="276" w:lineRule="auto"/>
        <w:jc w:val="both"/>
        <w:rPr>
          <w:rFonts w:ascii="Verdana" w:hAnsi="Verdana" w:cs="Arial"/>
          <w:color w:val="ED7D31" w:themeColor="accent2"/>
          <w:lang w:val="es-ES"/>
        </w:rPr>
      </w:pPr>
    </w:p>
    <w:p w14:paraId="0054244C" w14:textId="77777777" w:rsidR="003A1BAC" w:rsidRPr="00206556" w:rsidRDefault="003A1BAC" w:rsidP="003A1BAC">
      <w:pPr>
        <w:widowControl w:val="0"/>
        <w:autoSpaceDE w:val="0"/>
        <w:autoSpaceDN w:val="0"/>
        <w:spacing w:after="0" w:line="276" w:lineRule="auto"/>
        <w:jc w:val="both"/>
        <w:rPr>
          <w:rFonts w:ascii="Verdana" w:hAnsi="Verdana" w:cs="Arial"/>
          <w:lang w:val="es-ES"/>
        </w:rPr>
      </w:pPr>
      <w:r w:rsidRPr="00206556">
        <w:rPr>
          <w:rFonts w:ascii="Verdana" w:hAnsi="Verdana" w:cs="Arial"/>
          <w:lang w:val="es-ES"/>
        </w:rPr>
        <w:t xml:space="preserve">Este concepto tiene el alcance previsto en el artículo 28 del Código de </w:t>
      </w:r>
      <w:r w:rsidRPr="00206556">
        <w:rPr>
          <w:rFonts w:ascii="Verdana" w:hAnsi="Verdana" w:cs="Arial"/>
          <w:lang w:val="es-ES"/>
        </w:rPr>
        <w:lastRenderedPageBreak/>
        <w:t>Procedimiento Administrativo y de lo Contencioso Administrativo y las expresiones aquí utilizadas con mayúscula inicial deben ser entendidas con el significado que les otorga el artículo 2.2.1.1.1.3.1. del Decreto 1082 de 2015.</w:t>
      </w:r>
    </w:p>
    <w:p w14:paraId="37011DC0" w14:textId="77777777" w:rsidR="003A1BAC" w:rsidRPr="00206556" w:rsidRDefault="003A1BAC" w:rsidP="003A1BAC">
      <w:pPr>
        <w:widowControl w:val="0"/>
        <w:autoSpaceDE w:val="0"/>
        <w:autoSpaceDN w:val="0"/>
        <w:spacing w:after="0" w:line="276" w:lineRule="auto"/>
        <w:jc w:val="both"/>
        <w:rPr>
          <w:rFonts w:ascii="Verdana" w:hAnsi="Verdana" w:cs="Arial"/>
          <w:lang w:val="es-ES"/>
        </w:rPr>
      </w:pPr>
    </w:p>
    <w:p w14:paraId="40DF13B0" w14:textId="77777777" w:rsidR="003A1BAC" w:rsidRPr="00206556" w:rsidRDefault="003A1BAC" w:rsidP="003A1BAC">
      <w:pPr>
        <w:spacing w:after="0" w:line="276" w:lineRule="auto"/>
        <w:rPr>
          <w:rFonts w:ascii="Verdana" w:hAnsi="Verdana" w:cs="Arial"/>
          <w:lang w:val="es-ES" w:eastAsia="es-CO"/>
        </w:rPr>
      </w:pPr>
      <w:r w:rsidRPr="00206556">
        <w:rPr>
          <w:rFonts w:ascii="Verdana" w:eastAsia="Times New Roman" w:hAnsi="Verdana" w:cs="Arial"/>
          <w:lang w:val="es-ES" w:eastAsia="es-CO"/>
        </w:rPr>
        <w:t>Atentamente,</w:t>
      </w:r>
      <w:r w:rsidRPr="00206556">
        <w:rPr>
          <w:rFonts w:ascii="Verdana" w:hAnsi="Verdana" w:cs="Arial"/>
          <w:lang w:val="es-ES" w:eastAsia="es-CO"/>
        </w:rPr>
        <w:t xml:space="preserve"> </w:t>
      </w:r>
    </w:p>
    <w:p w14:paraId="49030CFF" w14:textId="77777777" w:rsidR="003A1BAC" w:rsidRPr="00206556" w:rsidRDefault="003A1BAC" w:rsidP="003A1BAC">
      <w:pPr>
        <w:autoSpaceDE w:val="0"/>
        <w:autoSpaceDN w:val="0"/>
        <w:adjustRightInd w:val="0"/>
        <w:spacing w:after="0" w:line="276" w:lineRule="auto"/>
        <w:rPr>
          <w:rFonts w:ascii="Verdana" w:eastAsia="Calibri" w:hAnsi="Verdana" w:cs="Arial"/>
          <w:noProof/>
          <w:sz w:val="20"/>
          <w:szCs w:val="20"/>
        </w:rPr>
      </w:pPr>
    </w:p>
    <w:p w14:paraId="1516661C" w14:textId="24817E1F" w:rsidR="003A1BAC" w:rsidRPr="00206556" w:rsidRDefault="00CF631D" w:rsidP="003A1BAC">
      <w:pPr>
        <w:spacing w:after="0" w:line="256" w:lineRule="auto"/>
        <w:jc w:val="center"/>
        <w:rPr>
          <w:rFonts w:ascii="Verdana" w:eastAsia="Times New Roman" w:hAnsi="Verdana" w:cs="Arial"/>
          <w:lang w:eastAsia="es-ES"/>
        </w:rPr>
      </w:pPr>
      <w:r>
        <w:rPr>
          <w:noProof/>
        </w:rPr>
        <w:drawing>
          <wp:inline distT="0" distB="0" distL="0" distR="0" wp14:anchorId="16D0313F" wp14:editId="4BFE0A63">
            <wp:extent cx="3771900" cy="1400175"/>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20"/>
                    <a:stretch>
                      <a:fillRect/>
                    </a:stretch>
                  </pic:blipFill>
                  <pic:spPr>
                    <a:xfrm>
                      <a:off x="0" y="0"/>
                      <a:ext cx="3771900" cy="1400175"/>
                    </a:xfrm>
                    <a:prstGeom prst="rect">
                      <a:avLst/>
                    </a:prstGeom>
                  </pic:spPr>
                </pic:pic>
              </a:graphicData>
            </a:graphic>
          </wp:inline>
        </w:drawing>
      </w:r>
    </w:p>
    <w:p w14:paraId="175800FD" w14:textId="77777777" w:rsidR="003A1BAC" w:rsidRPr="00206556" w:rsidRDefault="003A1BAC" w:rsidP="003A1BAC">
      <w:pPr>
        <w:spacing w:after="0" w:line="240" w:lineRule="auto"/>
        <w:jc w:val="center"/>
        <w:rPr>
          <w:rFonts w:ascii="Verdana" w:eastAsia="Times New Roman" w:hAnsi="Verdana" w:cs="Arial"/>
          <w:lang w:eastAsia="es-ES"/>
        </w:rPr>
      </w:pPr>
    </w:p>
    <w:tbl>
      <w:tblPr>
        <w:tblW w:w="6570" w:type="dxa"/>
        <w:tblInd w:w="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3"/>
        <w:gridCol w:w="5837"/>
      </w:tblGrid>
      <w:tr w:rsidR="003A1BAC" w:rsidRPr="00206556" w14:paraId="05BFC2E8" w14:textId="77777777" w:rsidTr="002D3CDE">
        <w:trPr>
          <w:trHeight w:val="322"/>
        </w:trPr>
        <w:tc>
          <w:tcPr>
            <w:tcW w:w="733" w:type="dxa"/>
            <w:tcBorders>
              <w:top w:val="nil"/>
              <w:left w:val="nil"/>
              <w:bottom w:val="nil"/>
              <w:right w:val="nil"/>
            </w:tcBorders>
            <w:vAlign w:val="center"/>
            <w:hideMark/>
          </w:tcPr>
          <w:p w14:paraId="262AA1F5" w14:textId="77777777" w:rsidR="003A1BAC" w:rsidRPr="00206556" w:rsidRDefault="003A1BAC" w:rsidP="002D3CDE">
            <w:pPr>
              <w:spacing w:after="0" w:line="240" w:lineRule="auto"/>
              <w:textAlignment w:val="baseline"/>
              <w:rPr>
                <w:rFonts w:ascii="Verdana" w:eastAsia="Times New Roman" w:hAnsi="Verdana" w:cs="Times New Roman"/>
                <w:sz w:val="16"/>
                <w:szCs w:val="16"/>
                <w:lang w:eastAsia="es-CO"/>
              </w:rPr>
            </w:pPr>
            <w:r w:rsidRPr="00206556">
              <w:rPr>
                <w:rFonts w:ascii="Verdana" w:eastAsia="Times New Roman" w:hAnsi="Verdana" w:cs="Times New Roman"/>
                <w:sz w:val="16"/>
                <w:szCs w:val="16"/>
                <w:lang w:val="es-MX" w:eastAsia="es-CO"/>
              </w:rPr>
              <w:t>Elaboró:         </w:t>
            </w:r>
            <w:r w:rsidRPr="00206556">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4C9408BF" w14:textId="77777777" w:rsidR="003A1BAC" w:rsidRPr="00206556" w:rsidRDefault="003A1BAC" w:rsidP="002D3CDE">
            <w:pPr>
              <w:spacing w:after="0" w:line="256" w:lineRule="auto"/>
              <w:rPr>
                <w:rFonts w:ascii="Verdana" w:eastAsia="Times New Roman" w:hAnsi="Verdana" w:cs="Arial"/>
                <w:sz w:val="16"/>
                <w:szCs w:val="16"/>
                <w:lang w:val="es-ES_tradnl" w:eastAsia="es-ES"/>
              </w:rPr>
            </w:pPr>
            <w:r w:rsidRPr="00206556">
              <w:rPr>
                <w:rFonts w:ascii="Verdana" w:eastAsia="Times New Roman" w:hAnsi="Verdana" w:cs="Arial"/>
                <w:sz w:val="16"/>
                <w:szCs w:val="16"/>
                <w:lang w:val="es-ES_tradnl" w:eastAsia="es-ES"/>
              </w:rPr>
              <w:t>Ximena Ríos López</w:t>
            </w:r>
          </w:p>
          <w:p w14:paraId="662071EF" w14:textId="77777777" w:rsidR="003A1BAC" w:rsidRPr="00A5703A" w:rsidRDefault="003A1BAC" w:rsidP="002D3CDE">
            <w:pPr>
              <w:autoSpaceDE w:val="0"/>
              <w:autoSpaceDN w:val="0"/>
              <w:adjustRightInd w:val="0"/>
              <w:spacing w:after="0" w:line="276" w:lineRule="auto"/>
              <w:rPr>
                <w:rFonts w:ascii="Verdana" w:eastAsia="Calibri" w:hAnsi="Verdana" w:cs="Arial"/>
              </w:rPr>
            </w:pPr>
            <w:r w:rsidRPr="00206556">
              <w:rPr>
                <w:rFonts w:ascii="Verdana" w:eastAsia="Times New Roman" w:hAnsi="Verdana" w:cs="Arial"/>
                <w:sz w:val="16"/>
                <w:szCs w:val="16"/>
                <w:lang w:eastAsia="es-ES"/>
              </w:rPr>
              <w:t>Gestor T1-11 de la Subdirección de Gestión Contractual</w:t>
            </w:r>
          </w:p>
        </w:tc>
      </w:tr>
      <w:tr w:rsidR="003A1BAC" w:rsidRPr="00206556" w14:paraId="113CD7D7" w14:textId="77777777" w:rsidTr="002D3CDE">
        <w:trPr>
          <w:trHeight w:val="322"/>
        </w:trPr>
        <w:tc>
          <w:tcPr>
            <w:tcW w:w="733" w:type="dxa"/>
            <w:tcBorders>
              <w:top w:val="nil"/>
              <w:left w:val="nil"/>
              <w:bottom w:val="nil"/>
              <w:right w:val="nil"/>
            </w:tcBorders>
            <w:vAlign w:val="center"/>
            <w:hideMark/>
          </w:tcPr>
          <w:p w14:paraId="28A4F308" w14:textId="77777777" w:rsidR="003A1BAC" w:rsidRPr="00206556" w:rsidRDefault="003A1BAC" w:rsidP="002D3CDE">
            <w:pPr>
              <w:spacing w:after="0" w:line="240" w:lineRule="auto"/>
              <w:textAlignment w:val="baseline"/>
              <w:rPr>
                <w:rFonts w:ascii="Verdana" w:eastAsia="Times New Roman" w:hAnsi="Verdana" w:cs="Times New Roman"/>
                <w:sz w:val="16"/>
                <w:szCs w:val="16"/>
                <w:lang w:eastAsia="es-CO"/>
              </w:rPr>
            </w:pPr>
            <w:r w:rsidRPr="00206556">
              <w:rPr>
                <w:rFonts w:ascii="Verdana" w:eastAsia="Times New Roman" w:hAnsi="Verdana" w:cs="Times New Roman"/>
                <w:sz w:val="16"/>
                <w:szCs w:val="16"/>
                <w:lang w:val="es-MX" w:eastAsia="es-CO"/>
              </w:rPr>
              <w:t>Revisó:</w:t>
            </w:r>
            <w:r w:rsidRPr="00206556">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5B0C4EF3" w14:textId="0668816F" w:rsidR="003A1BAC" w:rsidRPr="00206556" w:rsidRDefault="000D533E" w:rsidP="002D3CDE">
            <w:pPr>
              <w:spacing w:after="0" w:line="256" w:lineRule="auto"/>
              <w:rPr>
                <w:rFonts w:ascii="Verdana" w:eastAsia="Times New Roman" w:hAnsi="Verdana" w:cs="Arial"/>
                <w:sz w:val="16"/>
                <w:szCs w:val="16"/>
                <w:lang w:val="es-ES_tradnl" w:eastAsia="es-ES"/>
              </w:rPr>
            </w:pPr>
            <w:r>
              <w:rPr>
                <w:rFonts w:ascii="Verdana" w:eastAsia="Times New Roman" w:hAnsi="Verdana" w:cs="Arial"/>
                <w:sz w:val="16"/>
                <w:szCs w:val="16"/>
                <w:lang w:val="es-ES_tradnl" w:eastAsia="es-ES"/>
              </w:rPr>
              <w:t>Juan David Cárdenas</w:t>
            </w:r>
          </w:p>
          <w:p w14:paraId="023DA057" w14:textId="3445B145" w:rsidR="003A1BAC" w:rsidRPr="00A5703A" w:rsidRDefault="009A5A6C" w:rsidP="002D3CDE">
            <w:pPr>
              <w:autoSpaceDE w:val="0"/>
              <w:autoSpaceDN w:val="0"/>
              <w:adjustRightInd w:val="0"/>
              <w:spacing w:after="0" w:line="276" w:lineRule="auto"/>
              <w:rPr>
                <w:rFonts w:ascii="Verdana" w:eastAsia="Calibri" w:hAnsi="Verdana" w:cs="Arial"/>
              </w:rPr>
            </w:pPr>
            <w:r>
              <w:rPr>
                <w:rFonts w:ascii="Verdana" w:eastAsia="Times New Roman" w:hAnsi="Verdana" w:cs="Arial"/>
                <w:sz w:val="16"/>
                <w:szCs w:val="16"/>
                <w:lang w:eastAsia="es-ES"/>
              </w:rPr>
              <w:t>Contratista</w:t>
            </w:r>
            <w:r w:rsidR="003A1BAC">
              <w:rPr>
                <w:rFonts w:ascii="Verdana" w:eastAsia="Times New Roman" w:hAnsi="Verdana" w:cs="Arial"/>
                <w:sz w:val="16"/>
                <w:szCs w:val="16"/>
                <w:lang w:eastAsia="es-ES"/>
              </w:rPr>
              <w:t xml:space="preserve"> </w:t>
            </w:r>
            <w:r w:rsidR="003A1BAC" w:rsidRPr="00206556">
              <w:rPr>
                <w:rFonts w:ascii="Verdana" w:eastAsia="Times New Roman" w:hAnsi="Verdana" w:cs="Arial"/>
                <w:sz w:val="16"/>
                <w:szCs w:val="16"/>
                <w:lang w:eastAsia="es-ES"/>
              </w:rPr>
              <w:t>de la Subdirección de Gestión Contractual</w:t>
            </w:r>
          </w:p>
        </w:tc>
      </w:tr>
      <w:tr w:rsidR="003A1BAC" w:rsidRPr="00206556" w14:paraId="438E5873" w14:textId="77777777" w:rsidTr="002D3CDE">
        <w:trPr>
          <w:trHeight w:val="307"/>
        </w:trPr>
        <w:tc>
          <w:tcPr>
            <w:tcW w:w="733" w:type="dxa"/>
            <w:tcBorders>
              <w:top w:val="nil"/>
              <w:left w:val="nil"/>
              <w:bottom w:val="nil"/>
              <w:right w:val="nil"/>
            </w:tcBorders>
            <w:vAlign w:val="center"/>
            <w:hideMark/>
          </w:tcPr>
          <w:p w14:paraId="6631095B" w14:textId="77777777" w:rsidR="003A1BAC" w:rsidRPr="00206556" w:rsidRDefault="003A1BAC" w:rsidP="002D3CDE">
            <w:pPr>
              <w:spacing w:after="0" w:line="240" w:lineRule="auto"/>
              <w:textAlignment w:val="baseline"/>
              <w:rPr>
                <w:rFonts w:ascii="Verdana" w:eastAsia="Times New Roman" w:hAnsi="Verdana" w:cs="Times New Roman"/>
                <w:sz w:val="16"/>
                <w:szCs w:val="16"/>
                <w:lang w:eastAsia="es-CO"/>
              </w:rPr>
            </w:pPr>
            <w:r w:rsidRPr="00206556">
              <w:rPr>
                <w:rFonts w:ascii="Verdana" w:eastAsia="Times New Roman" w:hAnsi="Verdana" w:cs="Times New Roman"/>
                <w:sz w:val="16"/>
                <w:szCs w:val="16"/>
                <w:lang w:val="es-MX" w:eastAsia="es-CO"/>
              </w:rPr>
              <w:t>Aprobó:</w:t>
            </w:r>
            <w:r w:rsidRPr="00206556">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0240C606" w14:textId="77777777" w:rsidR="003A1BAC" w:rsidRPr="00206556" w:rsidRDefault="003A1BAC" w:rsidP="002D3CDE">
            <w:pPr>
              <w:spacing w:after="0" w:line="256" w:lineRule="auto"/>
              <w:rPr>
                <w:rFonts w:ascii="Verdana" w:eastAsia="Times New Roman" w:hAnsi="Verdana" w:cs="Arial"/>
                <w:sz w:val="16"/>
                <w:szCs w:val="16"/>
                <w:lang w:eastAsia="es-ES"/>
              </w:rPr>
            </w:pPr>
            <w:r w:rsidRPr="00206556">
              <w:rPr>
                <w:rFonts w:ascii="Verdana" w:eastAsia="Times New Roman" w:hAnsi="Verdana" w:cs="Arial"/>
                <w:sz w:val="16"/>
                <w:szCs w:val="16"/>
                <w:lang w:eastAsia="es-ES"/>
              </w:rPr>
              <w:t>Carolina Quintero Gacharná</w:t>
            </w:r>
          </w:p>
          <w:p w14:paraId="09F97F1E" w14:textId="77777777" w:rsidR="003A1BAC" w:rsidRPr="00206556" w:rsidRDefault="003A1BAC" w:rsidP="002D3CDE">
            <w:pPr>
              <w:spacing w:after="0" w:line="256" w:lineRule="auto"/>
              <w:rPr>
                <w:rFonts w:ascii="Verdana" w:eastAsia="Times New Roman" w:hAnsi="Verdana" w:cs="Arial"/>
                <w:sz w:val="16"/>
                <w:szCs w:val="16"/>
                <w:lang w:eastAsia="es-ES"/>
              </w:rPr>
            </w:pPr>
            <w:r w:rsidRPr="00206556">
              <w:rPr>
                <w:rFonts w:ascii="Verdana" w:eastAsia="Times New Roman" w:hAnsi="Verdana" w:cs="Arial"/>
                <w:sz w:val="16"/>
                <w:szCs w:val="16"/>
                <w:lang w:eastAsia="es-ES"/>
              </w:rPr>
              <w:t>Subdirectora de Gestión Contractual ANCP – CCE</w:t>
            </w:r>
          </w:p>
        </w:tc>
      </w:tr>
      <w:bookmarkEnd w:id="0"/>
    </w:tbl>
    <w:p w14:paraId="46E4073D" w14:textId="1EE78BF1" w:rsidR="003A1BAC" w:rsidRDefault="003A1BAC" w:rsidP="003A1BAC">
      <w:pPr>
        <w:autoSpaceDE w:val="0"/>
        <w:autoSpaceDN w:val="0"/>
        <w:adjustRightInd w:val="0"/>
        <w:spacing w:after="0" w:line="276" w:lineRule="auto"/>
        <w:jc w:val="center"/>
        <w:rPr>
          <w:rFonts w:ascii="Verdana" w:eastAsia="Calibri" w:hAnsi="Verdana" w:cs="Arial"/>
        </w:rPr>
      </w:pPr>
    </w:p>
    <w:p w14:paraId="34F6870D" w14:textId="6D595FA3" w:rsidR="003A1BAC" w:rsidRDefault="003A1BAC" w:rsidP="003A1BAC">
      <w:pPr>
        <w:autoSpaceDE w:val="0"/>
        <w:autoSpaceDN w:val="0"/>
        <w:adjustRightInd w:val="0"/>
        <w:spacing w:after="0" w:line="276" w:lineRule="auto"/>
        <w:jc w:val="center"/>
        <w:rPr>
          <w:rFonts w:ascii="Verdana" w:eastAsia="Calibri" w:hAnsi="Verdana" w:cs="Arial"/>
        </w:rPr>
      </w:pPr>
    </w:p>
    <w:p w14:paraId="0F293BF4" w14:textId="320013C9" w:rsidR="00127233" w:rsidRPr="003A1BAC" w:rsidRDefault="00127233" w:rsidP="003A1BAC"/>
    <w:sectPr w:rsidR="00127233" w:rsidRPr="003A1BAC"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385D7" w14:textId="77777777" w:rsidR="00062F89" w:rsidRDefault="00062F89" w:rsidP="004A1847">
      <w:pPr>
        <w:spacing w:after="0" w:line="240" w:lineRule="auto"/>
      </w:pPr>
      <w:r>
        <w:separator/>
      </w:r>
    </w:p>
  </w:endnote>
  <w:endnote w:type="continuationSeparator" w:id="0">
    <w:p w14:paraId="78BD959B" w14:textId="77777777" w:rsidR="00062F89" w:rsidRDefault="00062F89"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0BD1A" w14:textId="77777777" w:rsidR="00062F89" w:rsidRDefault="00062F89" w:rsidP="004A1847">
      <w:pPr>
        <w:spacing w:after="0" w:line="240" w:lineRule="auto"/>
      </w:pPr>
      <w:r>
        <w:separator/>
      </w:r>
    </w:p>
  </w:footnote>
  <w:footnote w:type="continuationSeparator" w:id="0">
    <w:p w14:paraId="23BF918C" w14:textId="77777777" w:rsidR="00062F89" w:rsidRDefault="00062F89" w:rsidP="004A1847">
      <w:pPr>
        <w:spacing w:after="0" w:line="240" w:lineRule="auto"/>
      </w:pPr>
      <w:r>
        <w:continuationSeparator/>
      </w:r>
    </w:p>
  </w:footnote>
  <w:footnote w:id="1">
    <w:p w14:paraId="10BF1AF4" w14:textId="6F3ACB75" w:rsidR="006C5A43" w:rsidRPr="000C2B07" w:rsidRDefault="006C5A43" w:rsidP="000C2B07">
      <w:pPr>
        <w:pStyle w:val="Textonotapie"/>
        <w:ind w:firstLine="708"/>
        <w:jc w:val="both"/>
        <w:rPr>
          <w:rFonts w:ascii="Verdana" w:hAnsi="Verdana"/>
          <w:sz w:val="16"/>
          <w:szCs w:val="16"/>
          <w:lang w:val="es-CO"/>
        </w:rPr>
      </w:pPr>
      <w:r w:rsidRPr="000C2B07">
        <w:rPr>
          <w:rStyle w:val="Refdenotaalpie"/>
          <w:rFonts w:ascii="Verdana" w:hAnsi="Verdana"/>
          <w:sz w:val="16"/>
          <w:szCs w:val="16"/>
        </w:rPr>
        <w:footnoteRef/>
      </w:r>
      <w:r w:rsidRPr="000C2B07">
        <w:rPr>
          <w:rFonts w:ascii="Verdana" w:hAnsi="Verdana"/>
          <w:sz w:val="16"/>
          <w:szCs w:val="16"/>
        </w:rPr>
        <w:t xml:space="preserve"> </w:t>
      </w:r>
      <w:r w:rsidRPr="000C2B07">
        <w:rPr>
          <w:rFonts w:ascii="Verdana" w:eastAsia="Calibri" w:hAnsi="Verdana" w:cs="Arial"/>
          <w:sz w:val="16"/>
          <w:szCs w:val="16"/>
          <w:lang w:val="es-ES" w:eastAsia="es-ES"/>
        </w:rPr>
        <w:t xml:space="preserve">Agencia Nacional de Contratación Pública – Colombia Compra Eficiente–, </w:t>
      </w:r>
      <w:r w:rsidRPr="000C2B07">
        <w:rPr>
          <w:rFonts w:ascii="Verdana" w:hAnsi="Verdana"/>
          <w:sz w:val="16"/>
          <w:szCs w:val="16"/>
        </w:rPr>
        <w:t>Circular Externa No. 003 del 12 de mayo de 2026,</w:t>
      </w:r>
      <w:r w:rsidR="007E7A79" w:rsidRPr="000C2B07">
        <w:rPr>
          <w:rFonts w:ascii="Verdana" w:hAnsi="Verdana"/>
          <w:sz w:val="16"/>
          <w:szCs w:val="16"/>
        </w:rPr>
        <w:t xml:space="preserve"> pág. 5.</w:t>
      </w:r>
      <w:r w:rsidRPr="000C2B07">
        <w:rPr>
          <w:rFonts w:ascii="Verdana" w:hAnsi="Verdana"/>
          <w:sz w:val="16"/>
          <w:szCs w:val="16"/>
        </w:rPr>
        <w:t xml:space="preserve"> </w:t>
      </w:r>
      <w:r w:rsidR="007E7A79" w:rsidRPr="000C2B07">
        <w:rPr>
          <w:rFonts w:ascii="Verdana" w:hAnsi="Verdana"/>
          <w:sz w:val="16"/>
          <w:szCs w:val="16"/>
        </w:rPr>
        <w:t>D</w:t>
      </w:r>
      <w:r w:rsidRPr="000C2B07">
        <w:rPr>
          <w:rFonts w:ascii="Verdana" w:hAnsi="Verdana"/>
          <w:sz w:val="16"/>
          <w:szCs w:val="16"/>
        </w:rPr>
        <w:t xml:space="preserve">isponible en: </w:t>
      </w:r>
      <w:r w:rsidR="00586A1D" w:rsidRPr="000C2B07">
        <w:rPr>
          <w:rFonts w:ascii="Verdana" w:hAnsi="Verdana"/>
          <w:sz w:val="16"/>
          <w:szCs w:val="16"/>
        </w:rPr>
        <w:t xml:space="preserve">procesos de contratación estatal, disponible en: chrome-extension://efaidnbmnnnibpcajpcglclefindmkaj/https://www.colombiacompra.gov.co/wp-content/uploads/2026/05/CIRCULAR-EXTERNA-003-DE-2026-DISCAPACIDAD.pdf </w:t>
      </w:r>
    </w:p>
  </w:footnote>
  <w:footnote w:id="2">
    <w:p w14:paraId="241B4833" w14:textId="77777777" w:rsidR="003A1BAC" w:rsidRPr="000C2B07" w:rsidRDefault="003A1BAC" w:rsidP="000C2B07">
      <w:pPr>
        <w:spacing w:after="0" w:line="240" w:lineRule="auto"/>
        <w:ind w:firstLine="709"/>
        <w:jc w:val="both"/>
        <w:rPr>
          <w:rFonts w:ascii="Verdana" w:eastAsia="Times New Roman" w:hAnsi="Verdana" w:cs="Times New Roman"/>
          <w:sz w:val="16"/>
          <w:szCs w:val="16"/>
        </w:rPr>
      </w:pPr>
      <w:r w:rsidRPr="000C2B07">
        <w:rPr>
          <w:rStyle w:val="Refdenotaalpie"/>
          <w:rFonts w:ascii="Verdana" w:hAnsi="Verdana"/>
          <w:sz w:val="16"/>
          <w:szCs w:val="16"/>
        </w:rPr>
        <w:footnoteRef/>
      </w:r>
      <w:r w:rsidRPr="000C2B07">
        <w:rPr>
          <w:rFonts w:ascii="Verdana" w:hAnsi="Verdana"/>
          <w:sz w:val="16"/>
          <w:szCs w:val="16"/>
        </w:rPr>
        <w:t xml:space="preserve"> </w:t>
      </w:r>
      <w:r w:rsidRPr="000C2B07">
        <w:rPr>
          <w:rFonts w:ascii="Verdana" w:eastAsia="Times New Roman" w:hAnsi="Verdana" w:cs="Times New Roman"/>
          <w:sz w:val="16"/>
          <w:szCs w:val="16"/>
        </w:rPr>
        <w:t xml:space="preserve">Colombia. Asamblea Nacional Constituyente. (1991). Constitución Política de Colombia. Artículo 13. </w:t>
      </w:r>
    </w:p>
    <w:p w14:paraId="45AD9F53" w14:textId="77777777" w:rsidR="003A1BAC" w:rsidRPr="000C2B07" w:rsidRDefault="003A1BAC" w:rsidP="000C2B07">
      <w:pPr>
        <w:spacing w:after="0" w:line="240" w:lineRule="auto"/>
        <w:ind w:firstLine="709"/>
        <w:jc w:val="both"/>
        <w:rPr>
          <w:rFonts w:ascii="Verdana" w:hAnsi="Verdana"/>
          <w:sz w:val="16"/>
          <w:szCs w:val="16"/>
        </w:rPr>
      </w:pPr>
    </w:p>
  </w:footnote>
  <w:footnote w:id="3">
    <w:p w14:paraId="30C618FB" w14:textId="77777777" w:rsidR="003A1BAC" w:rsidRPr="000C2B07" w:rsidRDefault="003A1BAC" w:rsidP="000C2B07">
      <w:pPr>
        <w:pStyle w:val="Textonotapie"/>
        <w:ind w:firstLine="709"/>
        <w:jc w:val="both"/>
        <w:rPr>
          <w:rFonts w:ascii="Verdana" w:eastAsia="Times New Roman" w:hAnsi="Verdana" w:cs="Times New Roman"/>
          <w:sz w:val="16"/>
          <w:szCs w:val="16"/>
        </w:rPr>
      </w:pPr>
      <w:r w:rsidRPr="000C2B07">
        <w:rPr>
          <w:rStyle w:val="Refdenotaalpie"/>
          <w:rFonts w:ascii="Verdana" w:hAnsi="Verdana"/>
          <w:sz w:val="16"/>
          <w:szCs w:val="16"/>
        </w:rPr>
        <w:footnoteRef/>
      </w:r>
      <w:r w:rsidRPr="000C2B07">
        <w:rPr>
          <w:rFonts w:ascii="Verdana" w:hAnsi="Verdana"/>
          <w:sz w:val="16"/>
          <w:szCs w:val="16"/>
        </w:rPr>
        <w:t xml:space="preserve"> </w:t>
      </w:r>
      <w:r w:rsidRPr="000C2B07">
        <w:rPr>
          <w:rFonts w:ascii="Verdana" w:eastAsia="Times New Roman" w:hAnsi="Verdana" w:cs="Times New Roman"/>
          <w:sz w:val="16"/>
          <w:szCs w:val="16"/>
        </w:rPr>
        <w:t xml:space="preserve">Colombia. Asamblea Nacional Constituyente. (1991). Constitución Política de Colombia. Artículos 47 y 54. </w:t>
      </w:r>
    </w:p>
    <w:p w14:paraId="3AB92941" w14:textId="77777777" w:rsidR="003A1BAC" w:rsidRPr="000C2B07" w:rsidRDefault="003A1BAC" w:rsidP="000C2B07">
      <w:pPr>
        <w:pStyle w:val="Textonotapie"/>
        <w:ind w:firstLine="709"/>
        <w:jc w:val="both"/>
        <w:rPr>
          <w:rFonts w:ascii="Verdana" w:hAnsi="Verdana"/>
          <w:sz w:val="16"/>
          <w:szCs w:val="16"/>
          <w:lang w:val="es-ES"/>
        </w:rPr>
      </w:pPr>
    </w:p>
  </w:footnote>
  <w:footnote w:id="4">
    <w:p w14:paraId="6C7074CF" w14:textId="77777777" w:rsidR="003A1BAC" w:rsidRPr="000C2B07" w:rsidRDefault="003A1BAC" w:rsidP="000C2B07">
      <w:pPr>
        <w:spacing w:after="0" w:line="240" w:lineRule="auto"/>
        <w:ind w:firstLine="709"/>
        <w:jc w:val="both"/>
        <w:rPr>
          <w:rFonts w:ascii="Verdana" w:eastAsia="Times New Roman" w:hAnsi="Verdana" w:cs="Times New Roman"/>
          <w:sz w:val="16"/>
          <w:szCs w:val="16"/>
        </w:rPr>
      </w:pPr>
      <w:r w:rsidRPr="000C2B07">
        <w:rPr>
          <w:rStyle w:val="Refdenotaalpie"/>
          <w:rFonts w:ascii="Verdana" w:hAnsi="Verdana"/>
          <w:sz w:val="16"/>
          <w:szCs w:val="16"/>
        </w:rPr>
        <w:footnoteRef/>
      </w:r>
      <w:r w:rsidRPr="000C2B07">
        <w:rPr>
          <w:rFonts w:ascii="Verdana" w:hAnsi="Verdana"/>
          <w:sz w:val="16"/>
          <w:szCs w:val="16"/>
        </w:rPr>
        <w:t xml:space="preserve"> </w:t>
      </w:r>
      <w:r w:rsidRPr="000C2B07">
        <w:rPr>
          <w:rFonts w:ascii="Verdana" w:eastAsia="Times New Roman" w:hAnsi="Verdana" w:cs="Times New Roman"/>
          <w:sz w:val="16"/>
          <w:szCs w:val="16"/>
        </w:rPr>
        <w:t>Organización de las Naciones Unidas. (2006). Convención sobre los Derechos de las Personas con Discapacidad. Nueva York: ONU. Aprobada en Colombia mediante: Colombia. Congreso de la República. (31 de julio de 2009). Ley 1346 de 2009. Diario Oficial 47427.</w:t>
      </w:r>
    </w:p>
    <w:p w14:paraId="313E0D01" w14:textId="77777777" w:rsidR="003A1BAC" w:rsidRPr="000C2B07" w:rsidRDefault="003A1BAC" w:rsidP="000C2B07">
      <w:pPr>
        <w:spacing w:after="0" w:line="240" w:lineRule="auto"/>
        <w:ind w:firstLine="709"/>
        <w:jc w:val="both"/>
        <w:rPr>
          <w:rFonts w:ascii="Verdana" w:hAnsi="Verdana"/>
          <w:sz w:val="16"/>
          <w:szCs w:val="16"/>
        </w:rPr>
      </w:pPr>
    </w:p>
  </w:footnote>
  <w:footnote w:id="5">
    <w:p w14:paraId="3485B71B" w14:textId="77777777" w:rsidR="003A1BAC" w:rsidRPr="000C2B07" w:rsidRDefault="003A1BAC" w:rsidP="000C2B07">
      <w:pPr>
        <w:pStyle w:val="Textonotapie"/>
        <w:ind w:firstLine="709"/>
        <w:jc w:val="both"/>
        <w:rPr>
          <w:rFonts w:ascii="Verdana" w:eastAsia="Times New Roman" w:hAnsi="Verdana" w:cs="Times New Roman"/>
          <w:sz w:val="16"/>
          <w:szCs w:val="16"/>
        </w:rPr>
      </w:pPr>
      <w:r w:rsidRPr="000C2B07">
        <w:rPr>
          <w:rStyle w:val="Refdenotaalpie"/>
          <w:rFonts w:ascii="Verdana" w:hAnsi="Verdana"/>
          <w:sz w:val="16"/>
          <w:szCs w:val="16"/>
        </w:rPr>
        <w:footnoteRef/>
      </w:r>
      <w:r w:rsidRPr="000C2B07">
        <w:rPr>
          <w:rFonts w:ascii="Verdana" w:hAnsi="Verdana"/>
          <w:sz w:val="16"/>
          <w:szCs w:val="16"/>
        </w:rPr>
        <w:t xml:space="preserve"> </w:t>
      </w:r>
      <w:r w:rsidRPr="000C2B07">
        <w:rPr>
          <w:rFonts w:ascii="Verdana" w:eastAsia="Times New Roman" w:hAnsi="Verdana" w:cs="Times New Roman"/>
          <w:sz w:val="16"/>
          <w:szCs w:val="16"/>
        </w:rPr>
        <w:t>Organización de los Estados Americanos. (1999). Convención Interamericana para la Eliminación de todas las Formas de Discriminación contra las Personas con Discapacidad. Ciudad de Guatemala. Aprobada en Colombia mediante: Colombia. Congreso de la República. (31 de julio de 2002). Ley 762 de 2002. Diario Oficial 44889.</w:t>
      </w:r>
    </w:p>
    <w:p w14:paraId="08CE5530" w14:textId="77777777" w:rsidR="003A1BAC" w:rsidRPr="000C2B07" w:rsidRDefault="003A1BAC" w:rsidP="000C2B07">
      <w:pPr>
        <w:pStyle w:val="Textonotapie"/>
        <w:ind w:firstLine="709"/>
        <w:jc w:val="both"/>
        <w:rPr>
          <w:rFonts w:ascii="Verdana" w:hAnsi="Verdana"/>
          <w:sz w:val="16"/>
          <w:szCs w:val="16"/>
          <w:lang w:val="es-ES"/>
        </w:rPr>
      </w:pPr>
    </w:p>
  </w:footnote>
  <w:footnote w:id="6">
    <w:p w14:paraId="6EA6C5C3" w14:textId="77777777" w:rsidR="003A1BAC" w:rsidRPr="000C2B07" w:rsidRDefault="003A1BAC" w:rsidP="000C2B07">
      <w:pPr>
        <w:pStyle w:val="Textonotapie"/>
        <w:ind w:firstLine="709"/>
        <w:jc w:val="both"/>
        <w:rPr>
          <w:rFonts w:ascii="Verdana" w:hAnsi="Verdana"/>
          <w:sz w:val="16"/>
          <w:szCs w:val="16"/>
        </w:rPr>
      </w:pPr>
      <w:r w:rsidRPr="000C2B07">
        <w:rPr>
          <w:rStyle w:val="Refdenotaalpie"/>
          <w:rFonts w:ascii="Verdana" w:hAnsi="Verdana"/>
          <w:sz w:val="16"/>
          <w:szCs w:val="16"/>
        </w:rPr>
        <w:footnoteRef/>
      </w:r>
      <w:r w:rsidRPr="000C2B07">
        <w:rPr>
          <w:rFonts w:ascii="Verdana" w:hAnsi="Verdana"/>
          <w:sz w:val="16"/>
          <w:szCs w:val="16"/>
        </w:rPr>
        <w:t xml:space="preserve"> Organización Internacional del Trabajo. (1983). Convenio sobre la readaptación profesional y el empleo (personas inválidas), núm. 159. Ginebra: OIT. Aprobado en Colombia mediante: Colombia. Congreso de la República. (23 de diciembre de 1988). Ley 82 de 1988. Diario Oficial 38608.</w:t>
      </w:r>
    </w:p>
    <w:p w14:paraId="0EFDB3F1" w14:textId="77777777" w:rsidR="003A1BAC" w:rsidRPr="000C2B07" w:rsidRDefault="003A1BAC" w:rsidP="000C2B07">
      <w:pPr>
        <w:pStyle w:val="Textonotapie"/>
        <w:ind w:firstLine="709"/>
        <w:jc w:val="both"/>
        <w:rPr>
          <w:rFonts w:ascii="Verdana" w:hAnsi="Verdana"/>
          <w:sz w:val="16"/>
          <w:szCs w:val="16"/>
          <w:lang w:val="es-ES"/>
        </w:rPr>
      </w:pPr>
    </w:p>
  </w:footnote>
  <w:footnote w:id="7">
    <w:p w14:paraId="35ECDFD2" w14:textId="77777777" w:rsidR="003A1BAC" w:rsidRPr="000C2B07" w:rsidRDefault="003A1BAC" w:rsidP="000C2B07">
      <w:pPr>
        <w:pStyle w:val="Textonotapie"/>
        <w:ind w:firstLine="709"/>
        <w:jc w:val="both"/>
        <w:rPr>
          <w:rFonts w:ascii="Verdana" w:hAnsi="Verdana"/>
          <w:sz w:val="16"/>
          <w:szCs w:val="16"/>
        </w:rPr>
      </w:pPr>
      <w:r w:rsidRPr="000C2B07">
        <w:rPr>
          <w:rStyle w:val="Refdenotaalpie"/>
          <w:rFonts w:ascii="Verdana" w:hAnsi="Verdana"/>
          <w:sz w:val="16"/>
          <w:szCs w:val="16"/>
        </w:rPr>
        <w:footnoteRef/>
      </w:r>
      <w:r w:rsidRPr="000C2B07">
        <w:rPr>
          <w:rFonts w:ascii="Verdana" w:hAnsi="Verdana"/>
          <w:sz w:val="16"/>
          <w:szCs w:val="16"/>
        </w:rPr>
        <w:t xml:space="preserve"> Colombia. Congreso de la República. (7 de febrero de 1997). Ley 361 de 1997, por la cual se establecen mecanismos de integración social de las personas con limitación y se dictan otras disposiciones. Artículo 24. Diario Oficial 42978.</w:t>
      </w:r>
    </w:p>
    <w:p w14:paraId="5B5348C3" w14:textId="77777777" w:rsidR="003A1BAC" w:rsidRPr="000C2B07" w:rsidRDefault="003A1BAC" w:rsidP="000C2B07">
      <w:pPr>
        <w:pStyle w:val="Textonotapie"/>
        <w:ind w:firstLine="709"/>
        <w:jc w:val="both"/>
        <w:rPr>
          <w:rFonts w:ascii="Verdana" w:hAnsi="Verdana"/>
          <w:sz w:val="16"/>
          <w:szCs w:val="16"/>
          <w:lang w:val="es-ES"/>
        </w:rPr>
      </w:pPr>
    </w:p>
  </w:footnote>
  <w:footnote w:id="8">
    <w:p w14:paraId="251B5A00" w14:textId="77777777" w:rsidR="003A1BAC" w:rsidRPr="000C2B07" w:rsidRDefault="003A1BAC" w:rsidP="000C2B07">
      <w:pPr>
        <w:pStyle w:val="Textonotapie"/>
        <w:ind w:firstLine="709"/>
        <w:jc w:val="both"/>
        <w:rPr>
          <w:rFonts w:ascii="Verdana" w:hAnsi="Verdana"/>
          <w:sz w:val="16"/>
          <w:szCs w:val="16"/>
        </w:rPr>
      </w:pPr>
      <w:r w:rsidRPr="000C2B07">
        <w:rPr>
          <w:rStyle w:val="Refdenotaalpie"/>
          <w:rFonts w:ascii="Verdana" w:hAnsi="Verdana"/>
          <w:sz w:val="16"/>
          <w:szCs w:val="16"/>
        </w:rPr>
        <w:footnoteRef/>
      </w:r>
      <w:r w:rsidRPr="000C2B07">
        <w:rPr>
          <w:rFonts w:ascii="Verdana" w:hAnsi="Verdana"/>
          <w:sz w:val="16"/>
          <w:szCs w:val="16"/>
        </w:rPr>
        <w:t xml:space="preserve"> Colombia. Congreso de la República. (27 de febrero de 2013). Ley Estatutaria 1618 de 2013. Artículo 2, numeral 1. Diario Oficial 48717.</w:t>
      </w:r>
    </w:p>
    <w:p w14:paraId="255880D4" w14:textId="77777777" w:rsidR="003A1BAC" w:rsidRPr="000C2B07" w:rsidRDefault="003A1BAC" w:rsidP="000C2B07">
      <w:pPr>
        <w:pStyle w:val="Textonotapie"/>
        <w:ind w:firstLine="709"/>
        <w:jc w:val="both"/>
        <w:rPr>
          <w:rFonts w:ascii="Verdana" w:hAnsi="Verdana"/>
          <w:sz w:val="16"/>
          <w:szCs w:val="16"/>
          <w:lang w:val="es-ES"/>
        </w:rPr>
      </w:pPr>
    </w:p>
  </w:footnote>
  <w:footnote w:id="9">
    <w:p w14:paraId="4F52FBCA" w14:textId="77777777" w:rsidR="003A1BAC" w:rsidRPr="000C2B07" w:rsidRDefault="003A1BAC" w:rsidP="000C2B07">
      <w:pPr>
        <w:pStyle w:val="Textonotapie"/>
        <w:ind w:firstLine="709"/>
        <w:jc w:val="both"/>
        <w:rPr>
          <w:rFonts w:ascii="Verdana" w:hAnsi="Verdana"/>
          <w:sz w:val="16"/>
          <w:szCs w:val="16"/>
          <w:lang w:val="es-ES"/>
        </w:rPr>
      </w:pPr>
      <w:r w:rsidRPr="000C2B07">
        <w:rPr>
          <w:rStyle w:val="Refdenotaalpie"/>
          <w:rFonts w:ascii="Verdana" w:hAnsi="Verdana"/>
          <w:sz w:val="16"/>
          <w:szCs w:val="16"/>
        </w:rPr>
        <w:footnoteRef/>
      </w:r>
      <w:r w:rsidRPr="000C2B07">
        <w:rPr>
          <w:rFonts w:ascii="Verdana" w:hAnsi="Verdana"/>
          <w:sz w:val="16"/>
          <w:szCs w:val="16"/>
        </w:rPr>
        <w:t xml:space="preserve"> Colombia. Congreso de la República. (27 de febrero de 2013). Ley Estatutaria 1618 de 2013, por medio de la cual se establecen las disposiciones para garantizar el pleno ejercicio de los derechos de las personas con discapacidad. Artículo 13, numerales 1, 7 y 8. Diario Oficial 48717.</w:t>
      </w:r>
    </w:p>
  </w:footnote>
  <w:footnote w:id="10">
    <w:p w14:paraId="009D03E7" w14:textId="77777777" w:rsidR="00A22CA9" w:rsidRPr="000C2B07" w:rsidRDefault="00A22CA9" w:rsidP="00A22CA9">
      <w:pPr>
        <w:pStyle w:val="Textonotapie"/>
        <w:ind w:firstLine="708"/>
        <w:jc w:val="both"/>
        <w:rPr>
          <w:rFonts w:ascii="Verdana" w:hAnsi="Verdana"/>
          <w:sz w:val="16"/>
          <w:szCs w:val="16"/>
          <w:lang w:val="es-CO"/>
        </w:rPr>
      </w:pPr>
      <w:r w:rsidRPr="000C2B07">
        <w:rPr>
          <w:rStyle w:val="Refdenotaalpie"/>
          <w:rFonts w:ascii="Verdana" w:hAnsi="Verdana"/>
          <w:sz w:val="16"/>
          <w:szCs w:val="16"/>
        </w:rPr>
        <w:footnoteRef/>
      </w:r>
      <w:r w:rsidRPr="000C2B07">
        <w:rPr>
          <w:rFonts w:ascii="Verdana" w:hAnsi="Verdana"/>
          <w:sz w:val="16"/>
          <w:szCs w:val="16"/>
        </w:rPr>
        <w:t xml:space="preserve"> </w:t>
      </w:r>
      <w:r w:rsidRPr="000C2B07">
        <w:rPr>
          <w:rFonts w:ascii="Verdana" w:eastAsia="Calibri" w:hAnsi="Verdana" w:cs="Arial"/>
          <w:sz w:val="16"/>
          <w:szCs w:val="16"/>
          <w:lang w:val="es-ES" w:eastAsia="es-ES"/>
        </w:rPr>
        <w:t xml:space="preserve">Agencia Nacional de Contratación Pública – Colombia Compra Eficiente–, </w:t>
      </w:r>
      <w:r w:rsidRPr="000C2B07">
        <w:rPr>
          <w:rFonts w:ascii="Verdana" w:hAnsi="Verdana"/>
          <w:sz w:val="16"/>
          <w:szCs w:val="16"/>
        </w:rPr>
        <w:t xml:space="preserve">Circular Externa No. 003 del 12 de mayo de 2026, pág. 5. Disponible en: procesos de contratación estatal, disponible en: chrome-extension://efaidnbmnnnibpcajpcglclefindmkaj/https://www.colombiacompra.gov.co/wp-content/uploads/2026/05/CIRCULAR-EXTERNA-003-DE-2026-DISCAPACIDAD.pdf </w:t>
      </w:r>
    </w:p>
  </w:footnote>
  <w:footnote w:id="11">
    <w:p w14:paraId="3993D652" w14:textId="77777777" w:rsidR="001846BC" w:rsidRPr="009F4912" w:rsidRDefault="001846BC" w:rsidP="001846BC">
      <w:pPr>
        <w:pStyle w:val="Textonotapie"/>
        <w:ind w:firstLine="708"/>
        <w:jc w:val="both"/>
        <w:rPr>
          <w:rFonts w:ascii="Verdana" w:hAnsi="Verdana"/>
          <w:sz w:val="12"/>
          <w:szCs w:val="12"/>
        </w:rPr>
      </w:pPr>
      <w:r w:rsidRPr="009F4912">
        <w:rPr>
          <w:rStyle w:val="Refdenotaalpie"/>
          <w:rFonts w:ascii="Verdana" w:hAnsi="Verdana"/>
          <w:sz w:val="12"/>
          <w:szCs w:val="12"/>
        </w:rPr>
        <w:footnoteRef/>
      </w:r>
      <w:r w:rsidRPr="009F4912">
        <w:rPr>
          <w:rFonts w:ascii="Verdana" w:hAnsi="Verdana"/>
          <w:sz w:val="12"/>
          <w:szCs w:val="12"/>
        </w:rPr>
        <w:t xml:space="preserve"> Agencia Nacional de Contratación Pública – Colombia Compra Eficiente. Concepto C-285 del 20 de mayo de 2022. Consultar en: </w:t>
      </w:r>
      <w:hyperlink r:id="rId1" w:history="1">
        <w:r w:rsidRPr="009F4912">
          <w:rPr>
            <w:rStyle w:val="Hipervnculo"/>
            <w:rFonts w:ascii="Verdana" w:hAnsi="Verdana"/>
            <w:sz w:val="12"/>
            <w:szCs w:val="12"/>
          </w:rPr>
          <w:t>https://relatoria.colombiacompra.gov.co/conceptos/c-285-de-2022/</w:t>
        </w:r>
      </w:hyperlink>
    </w:p>
    <w:p w14:paraId="7791C77A" w14:textId="77777777" w:rsidR="001846BC" w:rsidRPr="009F4912" w:rsidRDefault="001846BC" w:rsidP="001846BC">
      <w:pPr>
        <w:pStyle w:val="Textonotapie"/>
        <w:ind w:firstLine="708"/>
        <w:jc w:val="both"/>
        <w:rPr>
          <w:rFonts w:ascii="Verdana" w:hAnsi="Verdana"/>
          <w:sz w:val="12"/>
          <w:szCs w:val="12"/>
          <w:lang w:val="es-CO"/>
        </w:rPr>
      </w:pPr>
      <w:r w:rsidRPr="009F4912">
        <w:rPr>
          <w:rFonts w:ascii="Verdana" w:hAnsi="Verdana"/>
          <w:sz w:val="12"/>
          <w:szCs w:val="12"/>
        </w:rPr>
        <w:t xml:space="preserve"> </w:t>
      </w:r>
    </w:p>
  </w:footnote>
  <w:footnote w:id="12">
    <w:p w14:paraId="2E9E7C4C" w14:textId="77777777" w:rsidR="001846BC" w:rsidRPr="009F4912" w:rsidRDefault="001846BC" w:rsidP="001846BC">
      <w:pPr>
        <w:pStyle w:val="Textonotapie"/>
        <w:ind w:firstLine="708"/>
        <w:jc w:val="both"/>
        <w:rPr>
          <w:rFonts w:ascii="Verdana" w:hAnsi="Verdana"/>
          <w:sz w:val="12"/>
          <w:szCs w:val="12"/>
        </w:rPr>
      </w:pPr>
      <w:r w:rsidRPr="009F4912">
        <w:rPr>
          <w:rStyle w:val="Refdenotaalpie"/>
          <w:rFonts w:ascii="Verdana" w:hAnsi="Verdana"/>
          <w:sz w:val="12"/>
          <w:szCs w:val="12"/>
        </w:rPr>
        <w:footnoteRef/>
      </w:r>
      <w:r w:rsidRPr="009F4912">
        <w:rPr>
          <w:rFonts w:ascii="Verdana" w:hAnsi="Verdana"/>
          <w:sz w:val="12"/>
          <w:szCs w:val="12"/>
        </w:rPr>
        <w:t xml:space="preserve"> Agencia Nacional de Contratación Pública – Colombia Compra Eficiente. Concepto C-447 del 19 de septiembre de 2024. Consultar en: </w:t>
      </w:r>
      <w:hyperlink r:id="rId2" w:history="1">
        <w:r w:rsidRPr="009F4912">
          <w:rPr>
            <w:rStyle w:val="Hipervnculo"/>
            <w:rFonts w:ascii="Verdana" w:hAnsi="Verdana"/>
            <w:sz w:val="12"/>
            <w:szCs w:val="12"/>
          </w:rPr>
          <w:t>https://relatoria.colombiacompra.gov.co/conceptos/c-447-de-2024/</w:t>
        </w:r>
      </w:hyperlink>
      <w:r w:rsidRPr="009F4912">
        <w:rPr>
          <w:rFonts w:ascii="Verdana" w:hAnsi="Verdana"/>
          <w:sz w:val="12"/>
          <w:szCs w:val="12"/>
        </w:rPr>
        <w:t xml:space="preserve"> </w:t>
      </w:r>
    </w:p>
    <w:p w14:paraId="11133585" w14:textId="77777777" w:rsidR="001846BC" w:rsidRPr="009F4912" w:rsidRDefault="001846BC" w:rsidP="001846BC">
      <w:pPr>
        <w:pStyle w:val="Textonotapie"/>
        <w:rPr>
          <w:rFonts w:ascii="Verdana" w:hAnsi="Verdana"/>
          <w:sz w:val="12"/>
          <w:szCs w:val="12"/>
        </w:rPr>
      </w:pPr>
    </w:p>
  </w:footnote>
  <w:footnote w:id="13">
    <w:p w14:paraId="28F8F4DA" w14:textId="77777777" w:rsidR="001846BC" w:rsidRPr="009F4912" w:rsidRDefault="001846BC" w:rsidP="001846BC">
      <w:pPr>
        <w:pStyle w:val="Textonotapie"/>
        <w:ind w:firstLine="709"/>
        <w:jc w:val="both"/>
        <w:rPr>
          <w:rFonts w:ascii="Verdana" w:hAnsi="Verdana" w:cs="Arial"/>
          <w:color w:val="000000"/>
          <w:sz w:val="12"/>
          <w:szCs w:val="12"/>
        </w:rPr>
      </w:pPr>
      <w:r w:rsidRPr="009F4912">
        <w:rPr>
          <w:rStyle w:val="Refdenotaalpie"/>
          <w:rFonts w:ascii="Verdana" w:hAnsi="Verdana" w:cs="Arial"/>
          <w:color w:val="000000"/>
          <w:sz w:val="12"/>
          <w:szCs w:val="12"/>
        </w:rPr>
        <w:footnoteRef/>
      </w:r>
      <w:r w:rsidRPr="009F4912">
        <w:rPr>
          <w:rStyle w:val="Refdenotaalpie"/>
          <w:rFonts w:ascii="Verdana" w:hAnsi="Verdana" w:cs="Arial"/>
          <w:color w:val="000000"/>
          <w:sz w:val="12"/>
          <w:szCs w:val="12"/>
        </w:rPr>
        <w:t xml:space="preserve"> </w:t>
      </w:r>
      <w:r w:rsidRPr="009F4912">
        <w:rPr>
          <w:rFonts w:ascii="Verdana" w:hAnsi="Verdana" w:cs="Arial"/>
          <w:color w:val="000000"/>
          <w:sz w:val="12"/>
          <w:szCs w:val="12"/>
        </w:rPr>
        <w:t>Ley 1150 de 2007, artículo 5, parágrafo 4°: “En aquellos procesos de selección en los que se utilice el mecanismo de subasta, los documentos referentes a la futura contratación o a proponente, no necesarios para la comparación de las propuestas, deberán ser solicitados hasta el momento previo a su realización”.</w:t>
      </w:r>
    </w:p>
    <w:p w14:paraId="71D6183F" w14:textId="77777777" w:rsidR="001846BC" w:rsidRPr="009F4912" w:rsidRDefault="001846BC" w:rsidP="001846BC">
      <w:pPr>
        <w:pStyle w:val="Textonotapie"/>
        <w:ind w:firstLine="709"/>
        <w:jc w:val="both"/>
        <w:rPr>
          <w:rFonts w:ascii="Verdana" w:hAnsi="Verdana" w:cs="Arial"/>
          <w:color w:val="000000"/>
          <w:sz w:val="12"/>
          <w:szCs w:val="12"/>
        </w:rPr>
      </w:pPr>
    </w:p>
  </w:footnote>
  <w:footnote w:id="14">
    <w:p w14:paraId="3D6D2CE9" w14:textId="77777777" w:rsidR="001846BC" w:rsidRPr="009F4912" w:rsidRDefault="001846BC" w:rsidP="001846BC">
      <w:pPr>
        <w:pStyle w:val="Textonotapie"/>
        <w:ind w:firstLine="709"/>
        <w:jc w:val="both"/>
        <w:rPr>
          <w:rFonts w:ascii="Verdana" w:hAnsi="Verdana" w:cs="Arial"/>
          <w:color w:val="000000"/>
          <w:sz w:val="12"/>
          <w:szCs w:val="12"/>
        </w:rPr>
      </w:pPr>
      <w:r w:rsidRPr="009F4912">
        <w:rPr>
          <w:rStyle w:val="Refdenotaalpie"/>
          <w:rFonts w:ascii="Verdana" w:hAnsi="Verdana" w:cs="Arial"/>
          <w:color w:val="000000"/>
          <w:sz w:val="12"/>
          <w:szCs w:val="12"/>
        </w:rPr>
        <w:footnoteRef/>
      </w:r>
      <w:r w:rsidRPr="009F4912">
        <w:rPr>
          <w:rFonts w:ascii="Verdana" w:hAnsi="Verdana" w:cs="Arial"/>
          <w:color w:val="000000"/>
          <w:sz w:val="12"/>
          <w:szCs w:val="12"/>
        </w:rPr>
        <w:t xml:space="preserve"> Sin embargo, debe tenerse en cuenta que la última norma en cita -Decreto 2474 de 2008, aparte subrayado-, establece un límite a la subsanabilidad, puesto que en cualquier caso debe referirse o recaer sobre circunstancias ocurridas antes del cierre del respectivo proceso, esto es, del vencimiento del plazo para presentar ofertas.</w:t>
      </w:r>
    </w:p>
    <w:p w14:paraId="2060C295" w14:textId="77777777" w:rsidR="001846BC" w:rsidRPr="009F4912" w:rsidRDefault="001846BC" w:rsidP="001846BC">
      <w:pPr>
        <w:pStyle w:val="Textonotapie"/>
        <w:ind w:firstLine="709"/>
        <w:jc w:val="both"/>
        <w:rPr>
          <w:rFonts w:ascii="Verdana" w:hAnsi="Verdana" w:cs="Arial"/>
          <w:color w:val="000000"/>
          <w:sz w:val="12"/>
          <w:szCs w:val="12"/>
        </w:rPr>
      </w:pPr>
      <w:r w:rsidRPr="009F4912">
        <w:rPr>
          <w:rFonts w:ascii="Verdana" w:hAnsi="Verdana" w:cs="Arial"/>
          <w:color w:val="000000"/>
          <w:sz w:val="12"/>
          <w:szCs w:val="12"/>
        </w:rPr>
        <w:t>De esta manera, quien se presenta al proceso de selección debe cumplir para la fecha en que ‘se cierra el proceso’ con los requisitos que se requieren para presentar la oferta, de manera que es sobre ellos y no sobre otros que se cumplan con posterioridad, sobre los que recae la posibilidad de saneamiento. Así, por ejemplo, si se requiere una experiencia x, la misma se debe tener al presentar la oferta y la Administración puede requerir al oferente para que especifique aspectos relacionados con ella (complementar certificaciones, aclarar fechas, acreditación de la misma, etc.); pero no podría, por vía de las normas en cita, extender el tiempo para avalar experiencia que sólo se llega a cumplir después del cierre del proceso contractual. O si, igualmente a manera de ejemplo, fuera necesario ser persona jurídica pero el oferente no entrega el certificado de existencia y representación legal que lo acredita o éste es demasiado antiguo, la entidad contratante podría requerir al interesado para que haga entrega del mismo o lo actualice, pero no para que se constituya la sociedad con posterioridad al cierre del proceso, pues si ello no se había hecho, significa simplemente que el oferente no tenía la condición para participar. (Consejo de Estado. Sala de Consulta y Servicio Civil. Concepto del 6 de noviembre de 2008. Expediente: 1927. Consejero Ponente: William Zambrano Cetina).</w:t>
      </w:r>
    </w:p>
    <w:p w14:paraId="3B15A319" w14:textId="77777777" w:rsidR="001846BC" w:rsidRPr="009F4912" w:rsidRDefault="001846BC" w:rsidP="001846BC">
      <w:pPr>
        <w:pStyle w:val="Textonotapie"/>
        <w:ind w:firstLine="709"/>
        <w:jc w:val="both"/>
        <w:rPr>
          <w:rFonts w:ascii="Verdana" w:hAnsi="Verdana" w:cs="Arial"/>
          <w:color w:val="000000"/>
          <w:sz w:val="12"/>
          <w:szCs w:val="12"/>
        </w:rPr>
      </w:pPr>
    </w:p>
  </w:footnote>
  <w:footnote w:id="15">
    <w:p w14:paraId="481ECF2C" w14:textId="77777777" w:rsidR="001846BC" w:rsidRPr="009F4912" w:rsidRDefault="001846BC" w:rsidP="001846BC">
      <w:pPr>
        <w:pStyle w:val="Textonotapie"/>
        <w:ind w:firstLine="709"/>
        <w:jc w:val="both"/>
        <w:rPr>
          <w:rFonts w:ascii="Verdana" w:hAnsi="Verdana" w:cs="Arial"/>
          <w:color w:val="000000"/>
          <w:sz w:val="12"/>
          <w:szCs w:val="12"/>
        </w:rPr>
      </w:pPr>
      <w:r w:rsidRPr="009F4912">
        <w:rPr>
          <w:rStyle w:val="Refdenotaalpie"/>
          <w:rFonts w:ascii="Verdana" w:hAnsi="Verdana" w:cs="Arial"/>
          <w:sz w:val="12"/>
          <w:szCs w:val="12"/>
        </w:rPr>
        <w:footnoteRef/>
      </w:r>
      <w:r w:rsidRPr="009F4912">
        <w:rPr>
          <w:rFonts w:ascii="Verdana" w:hAnsi="Verdana" w:cs="Arial"/>
          <w:sz w:val="12"/>
          <w:szCs w:val="12"/>
        </w:rPr>
        <w:t xml:space="preserve"> </w:t>
      </w:r>
      <w:r w:rsidRPr="009F4912">
        <w:rPr>
          <w:rFonts w:ascii="Verdana" w:hAnsi="Verdana" w:cs="Arial"/>
          <w:color w:val="000000"/>
          <w:sz w:val="12"/>
          <w:szCs w:val="12"/>
        </w:rPr>
        <w:t xml:space="preserve">En armonía con lo anterior, actualmente la Circular Externa Única de Colombia Compra Eficiente señala lo siguiente: “De otro lado, cabe destacar que, de conformidad con el artículo 5 de la Ley 1882 de 2018, durante el término otorgado para subsanar, los proponentes no podrán acreditar circunstancias ocurridas luego del cierre del proceso. De esta manera, es subsanable la prueba de todas las circunstancias ocurridas antes del vencimiento del término para presentar las ofertas, por lo que no se podrán acreditar circunstancias ocurridas con posterioridad a dicho momento. </w:t>
      </w:r>
    </w:p>
    <w:p w14:paraId="60FEA3B3" w14:textId="77777777" w:rsidR="001846BC" w:rsidRPr="009F4912" w:rsidRDefault="001846BC" w:rsidP="001846BC">
      <w:pPr>
        <w:pStyle w:val="Textonotapie"/>
        <w:ind w:firstLine="709"/>
        <w:jc w:val="both"/>
        <w:rPr>
          <w:rFonts w:ascii="Verdana" w:hAnsi="Verdana" w:cs="Arial"/>
          <w:color w:val="000000"/>
          <w:sz w:val="12"/>
          <w:szCs w:val="12"/>
        </w:rPr>
      </w:pPr>
      <w:r w:rsidRPr="009F4912">
        <w:rPr>
          <w:rFonts w:ascii="Verdana" w:hAnsi="Verdana" w:cs="Arial"/>
          <w:color w:val="000000"/>
          <w:sz w:val="12"/>
          <w:szCs w:val="12"/>
        </w:rPr>
        <w:t xml:space="preserve">Lo anterior quiere decir que no es la prueba lo que debe ser anterior al cierre del proceso, sino el hecho que esta acredita. En ese sentido, ante la solicitud de la Administración de subsanar un requisito, el documento podría estar fechado con posterioridad al vencimiento del término para recibir propuestas, con la condición de que el hecho que acredite haya ocurrido antes, esto es, que no sea una circunstancia ocurrida con posterioridad al cierre del proceso. Un mejor entendimiento del significado de la expresión «circunstancias ocurridas con posterioridad al cierre del proceso» implica distinguir entre la prueba de un hecho y el hecho mismo. En el caso de la subsanabilidad de las ofertas, una cosa es el requisito habilitante o el elemento de la propuesta que permite cumplir determinada exigencia del pliego de condiciones –o documento equivalente– y otra su prueba. Lo que prohíbe la norma es que se subsanen requisitos que no estaban materialmente cumplidos al momento del cierre del proceso”. Disponible en: </w:t>
      </w:r>
      <w:hyperlink r:id="rId3" w:history="1">
        <w:r w:rsidRPr="009F4912">
          <w:rPr>
            <w:rStyle w:val="Hipervnculo"/>
            <w:rFonts w:ascii="Verdana" w:hAnsi="Verdana" w:cs="Arial"/>
            <w:sz w:val="12"/>
            <w:szCs w:val="12"/>
          </w:rPr>
          <w:t>https://www.colombiacompra.gov.co/circulares?page=2</w:t>
        </w:r>
      </w:hyperlink>
      <w:r w:rsidRPr="009F4912">
        <w:rPr>
          <w:rStyle w:val="Hipervnculo"/>
          <w:rFonts w:ascii="Verdana" w:hAnsi="Verdana" w:cs="Arial"/>
          <w:color w:val="000000"/>
          <w:sz w:val="12"/>
          <w:szCs w:val="12"/>
        </w:rPr>
        <w:t xml:space="preserve"> </w:t>
      </w:r>
    </w:p>
    <w:p w14:paraId="23DAE644" w14:textId="77777777" w:rsidR="001846BC" w:rsidRPr="009F4912" w:rsidRDefault="001846BC" w:rsidP="001846BC">
      <w:pPr>
        <w:pStyle w:val="Textonotapie"/>
        <w:ind w:firstLine="709"/>
        <w:jc w:val="both"/>
        <w:rPr>
          <w:rFonts w:ascii="Verdana" w:hAnsi="Verdana" w:cs="Arial"/>
          <w:color w:val="000000"/>
          <w:sz w:val="12"/>
          <w:szCs w:val="12"/>
        </w:rPr>
      </w:pPr>
    </w:p>
  </w:footnote>
  <w:footnote w:id="16">
    <w:p w14:paraId="1FC0892F" w14:textId="77777777" w:rsidR="001846BC" w:rsidRPr="009F4912" w:rsidRDefault="001846BC" w:rsidP="001846BC">
      <w:pPr>
        <w:pStyle w:val="Textonotapie"/>
        <w:ind w:firstLine="709"/>
        <w:jc w:val="both"/>
        <w:rPr>
          <w:rFonts w:ascii="Verdana" w:hAnsi="Verdana" w:cs="Arial"/>
          <w:color w:val="000000"/>
          <w:sz w:val="12"/>
          <w:szCs w:val="12"/>
        </w:rPr>
      </w:pPr>
      <w:r w:rsidRPr="009F4912">
        <w:rPr>
          <w:rStyle w:val="Refdenotaalpie"/>
          <w:rFonts w:ascii="Verdana" w:hAnsi="Verdana" w:cs="Arial"/>
          <w:color w:val="000000"/>
          <w:sz w:val="12"/>
          <w:szCs w:val="12"/>
        </w:rPr>
        <w:footnoteRef/>
      </w:r>
      <w:r w:rsidRPr="009F4912">
        <w:rPr>
          <w:rFonts w:ascii="Verdana" w:hAnsi="Verdana" w:cs="Arial"/>
          <w:color w:val="000000"/>
          <w:sz w:val="12"/>
          <w:szCs w:val="12"/>
        </w:rPr>
        <w:t xml:space="preserve"> Ver CONSEJO DE ESTADO, Sección Tercera, Subsección C. Sentencia del 26 de febrero de 2011. C.P. Jaime Orlando Santofimio. Rad. 36.408. </w:t>
      </w:r>
    </w:p>
  </w:footnote>
  <w:footnote w:id="17">
    <w:p w14:paraId="385B98AE" w14:textId="77777777" w:rsidR="001846BC" w:rsidRPr="009F4912" w:rsidRDefault="001846BC" w:rsidP="001846BC">
      <w:pPr>
        <w:pStyle w:val="Textonotapie"/>
        <w:ind w:firstLine="709"/>
        <w:jc w:val="both"/>
        <w:rPr>
          <w:rFonts w:ascii="Verdana" w:hAnsi="Verdana" w:cs="Arial"/>
          <w:color w:val="000000"/>
          <w:sz w:val="12"/>
          <w:szCs w:val="12"/>
        </w:rPr>
      </w:pPr>
    </w:p>
    <w:p w14:paraId="2CFD256D" w14:textId="77777777" w:rsidR="001846BC" w:rsidRPr="009F4912" w:rsidRDefault="001846BC" w:rsidP="001846BC">
      <w:pPr>
        <w:pStyle w:val="Textonotapie"/>
        <w:ind w:firstLine="709"/>
        <w:jc w:val="both"/>
        <w:rPr>
          <w:rFonts w:ascii="Verdana" w:hAnsi="Verdana" w:cs="Arial"/>
          <w:color w:val="000000"/>
          <w:sz w:val="12"/>
          <w:szCs w:val="12"/>
        </w:rPr>
      </w:pPr>
      <w:r w:rsidRPr="009F4912">
        <w:rPr>
          <w:rStyle w:val="Refdenotaalpie"/>
          <w:rFonts w:ascii="Verdana" w:hAnsi="Verdana" w:cs="Arial"/>
          <w:color w:val="000000"/>
          <w:sz w:val="12"/>
          <w:szCs w:val="12"/>
        </w:rPr>
        <w:footnoteRef/>
      </w:r>
      <w:r w:rsidRPr="009F4912">
        <w:rPr>
          <w:rFonts w:ascii="Verdana" w:hAnsi="Verdana" w:cs="Arial"/>
          <w:color w:val="000000"/>
          <w:sz w:val="12"/>
          <w:szCs w:val="12"/>
        </w:rPr>
        <w:t xml:space="preserve"> Ver CONSEJO DE ESTADO, Sección Tercera, Subsección C. Sentencia del 26 de febrero de 2014. C.P. Enrique Gil Botero. Rad. 25.804. </w:t>
      </w:r>
    </w:p>
    <w:p w14:paraId="069194C0" w14:textId="77777777" w:rsidR="001846BC" w:rsidRPr="009F4912" w:rsidRDefault="001846BC" w:rsidP="001846BC">
      <w:pPr>
        <w:pStyle w:val="Textonotapie"/>
        <w:ind w:firstLine="709"/>
        <w:jc w:val="both"/>
        <w:rPr>
          <w:rFonts w:ascii="Verdana" w:hAnsi="Verdana" w:cs="Arial"/>
          <w:color w:val="000000"/>
          <w:sz w:val="12"/>
          <w:szCs w:val="12"/>
        </w:rPr>
      </w:pPr>
    </w:p>
  </w:footnote>
  <w:footnote w:id="18">
    <w:p w14:paraId="1A044E89" w14:textId="77777777" w:rsidR="001846BC" w:rsidRPr="009F4912" w:rsidRDefault="001846BC" w:rsidP="001846BC">
      <w:pPr>
        <w:pStyle w:val="Textonotapie"/>
        <w:ind w:firstLine="708"/>
        <w:jc w:val="both"/>
        <w:rPr>
          <w:rFonts w:ascii="Verdana" w:hAnsi="Verdana" w:cs="Arial"/>
          <w:color w:val="000000"/>
          <w:sz w:val="12"/>
          <w:szCs w:val="12"/>
        </w:rPr>
      </w:pPr>
      <w:r w:rsidRPr="009F4912">
        <w:rPr>
          <w:rStyle w:val="Refdenotaalpie"/>
          <w:rFonts w:ascii="Verdana" w:hAnsi="Verdana" w:cs="Arial"/>
          <w:color w:val="000000"/>
          <w:sz w:val="12"/>
          <w:szCs w:val="12"/>
        </w:rPr>
        <w:footnoteRef/>
      </w:r>
      <w:r w:rsidRPr="009F4912">
        <w:rPr>
          <w:rFonts w:ascii="Verdana" w:hAnsi="Verdana" w:cs="Arial"/>
          <w:color w:val="000000"/>
          <w:sz w:val="12"/>
          <w:szCs w:val="12"/>
        </w:rPr>
        <w:t xml:space="preserve"> CONSEJO DE ESTADO. Sala de Consulta y Servicio Civil. Concepto del 20 de mayo de 2010. Expediente: 1992. Consejero Ponente: Enrique José Arboleda Perdomo.</w:t>
      </w:r>
    </w:p>
    <w:p w14:paraId="3245ADDE" w14:textId="77777777" w:rsidR="001846BC" w:rsidRPr="009F4912" w:rsidRDefault="001846BC" w:rsidP="001846BC">
      <w:pPr>
        <w:pStyle w:val="Textonotapie"/>
        <w:ind w:firstLine="708"/>
        <w:jc w:val="both"/>
        <w:rPr>
          <w:rFonts w:ascii="Verdana" w:hAnsi="Verdana" w:cs="Arial"/>
          <w:color w:val="000000"/>
          <w:sz w:val="12"/>
          <w:szCs w:val="12"/>
        </w:rPr>
      </w:pPr>
    </w:p>
  </w:footnote>
  <w:footnote w:id="19">
    <w:p w14:paraId="362BFE28" w14:textId="77777777" w:rsidR="001846BC" w:rsidRPr="009F4912" w:rsidRDefault="001846BC" w:rsidP="001846BC">
      <w:pPr>
        <w:pBdr>
          <w:top w:val="nil"/>
          <w:left w:val="nil"/>
          <w:bottom w:val="nil"/>
          <w:right w:val="nil"/>
          <w:between w:val="nil"/>
        </w:pBdr>
        <w:spacing w:after="0" w:line="240" w:lineRule="auto"/>
        <w:ind w:firstLine="709"/>
        <w:jc w:val="both"/>
        <w:rPr>
          <w:rFonts w:ascii="Verdana" w:eastAsia="Arial" w:hAnsi="Verdana" w:cs="Arial"/>
          <w:color w:val="000000" w:themeColor="text1"/>
          <w:sz w:val="12"/>
          <w:szCs w:val="12"/>
        </w:rPr>
      </w:pPr>
      <w:r w:rsidRPr="009F4912">
        <w:rPr>
          <w:rFonts w:ascii="Verdana" w:hAnsi="Verdana" w:cs="Arial"/>
          <w:color w:val="000000" w:themeColor="text1"/>
          <w:sz w:val="12"/>
          <w:szCs w:val="12"/>
          <w:vertAlign w:val="superscript"/>
        </w:rPr>
        <w:footnoteRef/>
      </w:r>
      <w:r w:rsidRPr="009F4912">
        <w:rPr>
          <w:rFonts w:ascii="Verdana" w:eastAsia="Arial" w:hAnsi="Verdana" w:cs="Arial"/>
          <w:color w:val="000000" w:themeColor="text1"/>
          <w:sz w:val="12"/>
          <w:szCs w:val="12"/>
        </w:rPr>
        <w:t xml:space="preserve">  RODRÍGUEZ TAMAYO, Mauricio Fernando. Evaluación y rechazo de ofertas en la Ley 80 de 1993. Medellín: Librería Jurídica Sánchez, 2016. p. 190. </w:t>
      </w:r>
    </w:p>
    <w:p w14:paraId="50C21C92" w14:textId="77777777" w:rsidR="001846BC" w:rsidRPr="009F4912" w:rsidRDefault="001846BC" w:rsidP="001846BC">
      <w:pPr>
        <w:pBdr>
          <w:top w:val="nil"/>
          <w:left w:val="nil"/>
          <w:bottom w:val="nil"/>
          <w:right w:val="nil"/>
          <w:between w:val="nil"/>
        </w:pBdr>
        <w:spacing w:after="0" w:line="240" w:lineRule="auto"/>
        <w:ind w:firstLine="709"/>
        <w:jc w:val="both"/>
        <w:rPr>
          <w:rFonts w:ascii="Verdana" w:eastAsia="Arial" w:hAnsi="Verdana" w:cs="Arial"/>
          <w:color w:val="000000" w:themeColor="text1"/>
          <w:sz w:val="12"/>
          <w:szCs w:val="12"/>
        </w:rPr>
      </w:pPr>
    </w:p>
  </w:footnote>
  <w:footnote w:id="20">
    <w:p w14:paraId="41CEF74A" w14:textId="77777777" w:rsidR="001846BC" w:rsidRPr="009F4912" w:rsidRDefault="001846BC" w:rsidP="001846BC">
      <w:pPr>
        <w:pBdr>
          <w:top w:val="nil"/>
          <w:left w:val="nil"/>
          <w:bottom w:val="nil"/>
          <w:right w:val="nil"/>
          <w:between w:val="nil"/>
        </w:pBdr>
        <w:spacing w:after="0" w:line="240" w:lineRule="auto"/>
        <w:ind w:firstLine="709"/>
        <w:jc w:val="both"/>
        <w:rPr>
          <w:rFonts w:ascii="Verdana" w:eastAsia="Arial" w:hAnsi="Verdana" w:cs="Arial"/>
          <w:color w:val="000000" w:themeColor="text1"/>
          <w:sz w:val="12"/>
          <w:szCs w:val="12"/>
        </w:rPr>
      </w:pPr>
      <w:r w:rsidRPr="009F4912">
        <w:rPr>
          <w:rFonts w:ascii="Verdana" w:hAnsi="Verdana" w:cs="Arial"/>
          <w:color w:val="000000" w:themeColor="text1"/>
          <w:sz w:val="12"/>
          <w:szCs w:val="12"/>
          <w:vertAlign w:val="superscript"/>
        </w:rPr>
        <w:footnoteRef/>
      </w:r>
      <w:r w:rsidRPr="009F4912">
        <w:rPr>
          <w:rFonts w:ascii="Verdana" w:eastAsia="Arial" w:hAnsi="Verdana" w:cs="Arial"/>
          <w:color w:val="000000" w:themeColor="text1"/>
          <w:sz w:val="12"/>
          <w:szCs w:val="12"/>
        </w:rPr>
        <w:t xml:space="preserve">  Ley 80 de 1993 “</w:t>
      </w:r>
      <w:r w:rsidRPr="009F4912">
        <w:rPr>
          <w:rFonts w:ascii="Verdana" w:eastAsia="Arial" w:hAnsi="Verdana" w:cs="Arial"/>
          <w:bCs/>
          <w:color w:val="000000" w:themeColor="text1"/>
          <w:sz w:val="12"/>
          <w:szCs w:val="12"/>
        </w:rPr>
        <w:t>Articulo 24. Del principio de transparencia. </w:t>
      </w:r>
      <w:r w:rsidRPr="009F4912">
        <w:rPr>
          <w:rFonts w:ascii="Verdana" w:eastAsia="Arial" w:hAnsi="Verdana" w:cs="Arial"/>
          <w:color w:val="000000" w:themeColor="text1"/>
          <w:sz w:val="12"/>
          <w:szCs w:val="12"/>
        </w:rPr>
        <w:t xml:space="preserve">En virtud de este principio: </w:t>
      </w:r>
    </w:p>
    <w:p w14:paraId="3BF19B17" w14:textId="77777777" w:rsidR="001846BC" w:rsidRPr="009F4912" w:rsidRDefault="001846BC" w:rsidP="001846BC">
      <w:pPr>
        <w:pBdr>
          <w:top w:val="nil"/>
          <w:left w:val="nil"/>
          <w:bottom w:val="nil"/>
          <w:right w:val="nil"/>
          <w:between w:val="nil"/>
        </w:pBdr>
        <w:spacing w:after="0" w:line="240" w:lineRule="auto"/>
        <w:ind w:firstLine="709"/>
        <w:jc w:val="both"/>
        <w:rPr>
          <w:rFonts w:ascii="Verdana" w:eastAsia="Arial" w:hAnsi="Verdana" w:cs="Arial"/>
          <w:color w:val="000000" w:themeColor="text1"/>
          <w:sz w:val="12"/>
          <w:szCs w:val="12"/>
        </w:rPr>
      </w:pPr>
      <w:r w:rsidRPr="009F4912">
        <w:rPr>
          <w:rFonts w:ascii="Verdana" w:eastAsia="Arial" w:hAnsi="Verdana" w:cs="Arial"/>
          <w:color w:val="000000" w:themeColor="text1"/>
          <w:sz w:val="12"/>
          <w:szCs w:val="12"/>
        </w:rPr>
        <w:t>[…]</w:t>
      </w:r>
    </w:p>
    <w:p w14:paraId="3ED78697" w14:textId="77777777" w:rsidR="001846BC" w:rsidRPr="009F4912" w:rsidRDefault="001846BC" w:rsidP="001846BC">
      <w:pPr>
        <w:spacing w:after="0" w:line="240" w:lineRule="auto"/>
        <w:ind w:firstLine="709"/>
        <w:jc w:val="both"/>
        <w:rPr>
          <w:rFonts w:ascii="Verdana" w:eastAsia="Arial" w:hAnsi="Verdana" w:cs="Arial"/>
          <w:color w:val="000000" w:themeColor="text1"/>
          <w:sz w:val="12"/>
          <w:szCs w:val="12"/>
        </w:rPr>
      </w:pPr>
      <w:r w:rsidRPr="009F4912">
        <w:rPr>
          <w:rFonts w:ascii="Verdana" w:eastAsia="Arial" w:hAnsi="Verdana" w:cs="Arial"/>
          <w:color w:val="000000" w:themeColor="text1"/>
          <w:sz w:val="12"/>
          <w:szCs w:val="12"/>
        </w:rPr>
        <w:t>5o. En los pliegos de condiciones:</w:t>
      </w:r>
    </w:p>
    <w:p w14:paraId="6D532266" w14:textId="77777777" w:rsidR="001846BC" w:rsidRPr="009F4912" w:rsidRDefault="001846BC" w:rsidP="001846BC">
      <w:pPr>
        <w:spacing w:after="0" w:line="240" w:lineRule="auto"/>
        <w:ind w:firstLine="709"/>
        <w:jc w:val="both"/>
        <w:rPr>
          <w:rFonts w:ascii="Verdana" w:eastAsia="Arial" w:hAnsi="Verdana" w:cs="Arial"/>
          <w:color w:val="000000" w:themeColor="text1"/>
          <w:sz w:val="12"/>
          <w:szCs w:val="12"/>
        </w:rPr>
      </w:pPr>
      <w:r w:rsidRPr="009F4912">
        <w:rPr>
          <w:rFonts w:ascii="Verdana" w:eastAsia="Arial" w:hAnsi="Verdana" w:cs="Arial"/>
          <w:color w:val="000000" w:themeColor="text1"/>
          <w:sz w:val="12"/>
          <w:szCs w:val="12"/>
        </w:rPr>
        <w:t>[…]</w:t>
      </w:r>
    </w:p>
    <w:p w14:paraId="295B9133" w14:textId="77777777" w:rsidR="001846BC" w:rsidRPr="009F4912" w:rsidRDefault="001846BC" w:rsidP="001846BC">
      <w:pPr>
        <w:spacing w:after="0" w:line="240" w:lineRule="auto"/>
        <w:ind w:firstLine="709"/>
        <w:jc w:val="both"/>
        <w:rPr>
          <w:rFonts w:ascii="Verdana" w:eastAsia="Arial" w:hAnsi="Verdana" w:cs="Arial"/>
          <w:color w:val="000000" w:themeColor="text1"/>
          <w:sz w:val="12"/>
          <w:szCs w:val="12"/>
        </w:rPr>
      </w:pPr>
      <w:r w:rsidRPr="009F4912">
        <w:rPr>
          <w:rFonts w:ascii="Verdana" w:eastAsia="Arial" w:hAnsi="Verdana" w:cs="Arial"/>
          <w:color w:val="000000" w:themeColor="text1"/>
          <w:sz w:val="12"/>
          <w:szCs w:val="12"/>
        </w:rPr>
        <w:t>b) Se definirán reglas objetivas, justas, claras y completas que permitan la confección de ofrecimientos de la misma índole, aseguren una escogencia objetiva y eviten la declaratoria de desierta de la licitación […]”.</w:t>
      </w:r>
    </w:p>
    <w:p w14:paraId="38DE2BF7" w14:textId="77777777" w:rsidR="001846BC" w:rsidRPr="009F4912" w:rsidRDefault="001846BC" w:rsidP="001846BC">
      <w:pPr>
        <w:spacing w:after="0" w:line="240" w:lineRule="auto"/>
        <w:ind w:firstLine="709"/>
        <w:jc w:val="both"/>
        <w:rPr>
          <w:rFonts w:ascii="Verdana" w:eastAsia="Arial" w:hAnsi="Verdana" w:cs="Arial"/>
          <w:color w:val="000000" w:themeColor="text1"/>
          <w:sz w:val="12"/>
          <w:szCs w:val="12"/>
        </w:rPr>
      </w:pPr>
    </w:p>
  </w:footnote>
  <w:footnote w:id="21">
    <w:p w14:paraId="3E4985C9" w14:textId="77777777" w:rsidR="001846BC" w:rsidRPr="009F4912" w:rsidRDefault="001846BC" w:rsidP="001846BC">
      <w:pPr>
        <w:pBdr>
          <w:top w:val="nil"/>
          <w:left w:val="nil"/>
          <w:bottom w:val="nil"/>
          <w:right w:val="nil"/>
          <w:between w:val="nil"/>
        </w:pBdr>
        <w:spacing w:after="0" w:line="240" w:lineRule="auto"/>
        <w:ind w:firstLine="709"/>
        <w:jc w:val="both"/>
        <w:rPr>
          <w:rFonts w:ascii="Verdana" w:eastAsia="Arial" w:hAnsi="Verdana" w:cs="Arial"/>
          <w:color w:val="000000" w:themeColor="text1"/>
          <w:sz w:val="12"/>
          <w:szCs w:val="12"/>
        </w:rPr>
      </w:pPr>
      <w:r w:rsidRPr="009F4912">
        <w:rPr>
          <w:rFonts w:ascii="Verdana" w:hAnsi="Verdana" w:cs="Arial"/>
          <w:color w:val="000000" w:themeColor="text1"/>
          <w:sz w:val="12"/>
          <w:szCs w:val="12"/>
          <w:vertAlign w:val="superscript"/>
        </w:rPr>
        <w:footnoteRef/>
      </w:r>
      <w:r w:rsidRPr="009F4912">
        <w:rPr>
          <w:rFonts w:ascii="Verdana" w:eastAsia="Arial" w:hAnsi="Verdana" w:cs="Arial"/>
          <w:color w:val="000000" w:themeColor="text1"/>
          <w:sz w:val="12"/>
          <w:szCs w:val="12"/>
        </w:rPr>
        <w:t xml:space="preserve"> Decreto 1082 de 2015 “Artículo 2.2.1.1.2.1.3. Pliegos de condiciones. Los pliegos de condiciones deben contener por lo menos la siguiente información</w:t>
      </w:r>
    </w:p>
    <w:p w14:paraId="259E4ECE" w14:textId="77777777" w:rsidR="001846BC" w:rsidRPr="009F4912" w:rsidRDefault="001846BC" w:rsidP="001846BC">
      <w:pPr>
        <w:pBdr>
          <w:top w:val="nil"/>
          <w:left w:val="nil"/>
          <w:bottom w:val="nil"/>
          <w:right w:val="nil"/>
          <w:between w:val="nil"/>
        </w:pBdr>
        <w:spacing w:after="0" w:line="240" w:lineRule="auto"/>
        <w:ind w:firstLine="709"/>
        <w:jc w:val="both"/>
        <w:rPr>
          <w:rFonts w:ascii="Verdana" w:eastAsia="Arial" w:hAnsi="Verdana" w:cs="Arial"/>
          <w:color w:val="000000" w:themeColor="text1"/>
          <w:sz w:val="12"/>
          <w:szCs w:val="12"/>
        </w:rPr>
      </w:pPr>
      <w:r w:rsidRPr="009F4912">
        <w:rPr>
          <w:rFonts w:ascii="Verdana" w:eastAsia="Arial" w:hAnsi="Verdana" w:cs="Arial"/>
          <w:color w:val="000000" w:themeColor="text1"/>
          <w:sz w:val="12"/>
          <w:szCs w:val="12"/>
        </w:rPr>
        <w:t>[…]</w:t>
      </w:r>
    </w:p>
    <w:p w14:paraId="4542060F" w14:textId="77777777" w:rsidR="001846BC" w:rsidRPr="009F4912" w:rsidRDefault="001846BC" w:rsidP="001846BC">
      <w:pPr>
        <w:pBdr>
          <w:top w:val="nil"/>
          <w:left w:val="nil"/>
          <w:bottom w:val="nil"/>
          <w:right w:val="nil"/>
          <w:between w:val="nil"/>
        </w:pBdr>
        <w:spacing w:after="0" w:line="240" w:lineRule="auto"/>
        <w:ind w:firstLine="709"/>
        <w:jc w:val="both"/>
        <w:rPr>
          <w:rFonts w:ascii="Verdana" w:eastAsia="Arial" w:hAnsi="Verdana" w:cs="Arial"/>
          <w:color w:val="000000" w:themeColor="text1"/>
          <w:sz w:val="12"/>
          <w:szCs w:val="12"/>
        </w:rPr>
      </w:pPr>
      <w:r w:rsidRPr="009F4912">
        <w:rPr>
          <w:rFonts w:ascii="Verdana" w:eastAsia="Arial" w:hAnsi="Verdana" w:cs="Arial"/>
          <w:color w:val="000000" w:themeColor="text1"/>
          <w:sz w:val="12"/>
          <w:szCs w:val="12"/>
        </w:rPr>
        <w:t>6. Las causas que dan lugar a rechazar una oferta […]”</w:t>
      </w:r>
    </w:p>
  </w:footnote>
  <w:footnote w:id="22">
    <w:p w14:paraId="10EF4365" w14:textId="77777777" w:rsidR="001846BC" w:rsidRPr="009F4912" w:rsidRDefault="001846BC" w:rsidP="001846BC">
      <w:pPr>
        <w:pBdr>
          <w:top w:val="nil"/>
          <w:left w:val="nil"/>
          <w:bottom w:val="nil"/>
          <w:right w:val="nil"/>
          <w:between w:val="nil"/>
        </w:pBdr>
        <w:spacing w:after="0" w:line="240" w:lineRule="auto"/>
        <w:ind w:firstLine="709"/>
        <w:jc w:val="both"/>
        <w:rPr>
          <w:rFonts w:ascii="Verdana" w:eastAsia="Arial" w:hAnsi="Verdana" w:cs="Arial"/>
          <w:color w:val="000000" w:themeColor="text1"/>
          <w:sz w:val="12"/>
          <w:szCs w:val="12"/>
        </w:rPr>
      </w:pPr>
      <w:r w:rsidRPr="009F4912">
        <w:rPr>
          <w:rFonts w:ascii="Verdana" w:hAnsi="Verdana" w:cs="Arial"/>
          <w:color w:val="000000" w:themeColor="text1"/>
          <w:sz w:val="12"/>
          <w:szCs w:val="12"/>
          <w:vertAlign w:val="superscript"/>
        </w:rPr>
        <w:footnoteRef/>
      </w:r>
      <w:r w:rsidRPr="009F4912">
        <w:rPr>
          <w:rFonts w:ascii="Verdana" w:eastAsia="Arial" w:hAnsi="Verdana" w:cs="Arial"/>
          <w:color w:val="000000" w:themeColor="text1"/>
          <w:sz w:val="12"/>
          <w:szCs w:val="12"/>
        </w:rPr>
        <w:t xml:space="preserve"> CONSEJO DE ESTADO. Sección Tercera Subsección B. Sentencia del 27 de abril de 2011. Expediente No. 18.293. C.P. Ponente: Ruth Stella Correa Palacio. </w:t>
      </w:r>
    </w:p>
    <w:p w14:paraId="45F93A48" w14:textId="77777777" w:rsidR="001846BC" w:rsidRPr="009F4912" w:rsidRDefault="001846BC" w:rsidP="001846BC">
      <w:pPr>
        <w:pBdr>
          <w:top w:val="nil"/>
          <w:left w:val="nil"/>
          <w:bottom w:val="nil"/>
          <w:right w:val="nil"/>
          <w:between w:val="nil"/>
        </w:pBdr>
        <w:spacing w:after="0" w:line="240" w:lineRule="auto"/>
        <w:ind w:firstLine="709"/>
        <w:jc w:val="both"/>
        <w:rPr>
          <w:rFonts w:ascii="Verdana" w:eastAsia="Arial" w:hAnsi="Verdana" w:cs="Arial"/>
          <w:color w:val="000000" w:themeColor="text1"/>
          <w:sz w:val="12"/>
          <w:szCs w:val="1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pt;height:12.2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0733F7"/>
    <w:multiLevelType w:val="hybridMultilevel"/>
    <w:tmpl w:val="AF12C2B6"/>
    <w:lvl w:ilvl="0" w:tplc="672EB6E4">
      <w:start w:val="4"/>
      <w:numFmt w:val="bullet"/>
      <w:lvlText w:val=""/>
      <w:lvlJc w:val="left"/>
      <w:pPr>
        <w:ind w:left="720" w:hanging="360"/>
      </w:pPr>
      <w:rPr>
        <w:rFonts w:ascii="Symbol" w:eastAsia="Arial MT" w:hAnsi="Symbo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3"/>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3"/>
  </w:num>
  <w:num w:numId="6" w16cid:durableId="316692925">
    <w:abstractNumId w:val="14"/>
  </w:num>
  <w:num w:numId="7" w16cid:durableId="1946422806">
    <w:abstractNumId w:val="6"/>
  </w:num>
  <w:num w:numId="8" w16cid:durableId="152644682">
    <w:abstractNumId w:val="13"/>
  </w:num>
  <w:num w:numId="9" w16cid:durableId="1317221377">
    <w:abstractNumId w:val="8"/>
  </w:num>
  <w:num w:numId="10" w16cid:durableId="1471245386">
    <w:abstractNumId w:val="12"/>
  </w:num>
  <w:num w:numId="11" w16cid:durableId="289172385">
    <w:abstractNumId w:val="9"/>
  </w:num>
  <w:num w:numId="12" w16cid:durableId="1470781324">
    <w:abstractNumId w:val="1"/>
  </w:num>
  <w:num w:numId="13" w16cid:durableId="1512908409">
    <w:abstractNumId w:val="4"/>
  </w:num>
  <w:num w:numId="14" w16cid:durableId="895897244">
    <w:abstractNumId w:val="15"/>
  </w:num>
  <w:num w:numId="15" w16cid:durableId="390349800">
    <w:abstractNumId w:val="11"/>
  </w:num>
  <w:num w:numId="16" w16cid:durableId="1245649885">
    <w:abstractNumId w:val="2"/>
  </w:num>
  <w:num w:numId="17" w16cid:durableId="341274352">
    <w:abstractNumId w:val="0"/>
  </w:num>
  <w:num w:numId="18" w16cid:durableId="6790895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3B5D"/>
    <w:rsid w:val="00013F7E"/>
    <w:rsid w:val="00016F78"/>
    <w:rsid w:val="00023509"/>
    <w:rsid w:val="0002390F"/>
    <w:rsid w:val="000364C3"/>
    <w:rsid w:val="00045DAC"/>
    <w:rsid w:val="00046945"/>
    <w:rsid w:val="00050EF1"/>
    <w:rsid w:val="00052609"/>
    <w:rsid w:val="00061B2A"/>
    <w:rsid w:val="00062F89"/>
    <w:rsid w:val="00063D2B"/>
    <w:rsid w:val="00082362"/>
    <w:rsid w:val="000A683E"/>
    <w:rsid w:val="000B19B9"/>
    <w:rsid w:val="000B1FAA"/>
    <w:rsid w:val="000C2B07"/>
    <w:rsid w:val="000D0334"/>
    <w:rsid w:val="000D533E"/>
    <w:rsid w:val="000D5DA7"/>
    <w:rsid w:val="000E08EE"/>
    <w:rsid w:val="000F6486"/>
    <w:rsid w:val="00116940"/>
    <w:rsid w:val="00121532"/>
    <w:rsid w:val="001231C7"/>
    <w:rsid w:val="00125105"/>
    <w:rsid w:val="00127233"/>
    <w:rsid w:val="0015699B"/>
    <w:rsid w:val="00167F23"/>
    <w:rsid w:val="00180D4A"/>
    <w:rsid w:val="0018129F"/>
    <w:rsid w:val="00181E97"/>
    <w:rsid w:val="001846BC"/>
    <w:rsid w:val="001850FD"/>
    <w:rsid w:val="00185759"/>
    <w:rsid w:val="00192DB5"/>
    <w:rsid w:val="001A33BF"/>
    <w:rsid w:val="001A4AA2"/>
    <w:rsid w:val="001A5B82"/>
    <w:rsid w:val="001A7EC8"/>
    <w:rsid w:val="001B4B80"/>
    <w:rsid w:val="001C1D5F"/>
    <w:rsid w:val="001E2340"/>
    <w:rsid w:val="001E4177"/>
    <w:rsid w:val="001F0B24"/>
    <w:rsid w:val="001F4DD8"/>
    <w:rsid w:val="001F5AAA"/>
    <w:rsid w:val="001F7DC6"/>
    <w:rsid w:val="00205694"/>
    <w:rsid w:val="00207E88"/>
    <w:rsid w:val="00211B48"/>
    <w:rsid w:val="0021388C"/>
    <w:rsid w:val="0021400E"/>
    <w:rsid w:val="00216F92"/>
    <w:rsid w:val="0022400B"/>
    <w:rsid w:val="00225AB2"/>
    <w:rsid w:val="00230952"/>
    <w:rsid w:val="002421BB"/>
    <w:rsid w:val="00243E40"/>
    <w:rsid w:val="00252605"/>
    <w:rsid w:val="00252D90"/>
    <w:rsid w:val="00255747"/>
    <w:rsid w:val="0025796E"/>
    <w:rsid w:val="002707A2"/>
    <w:rsid w:val="00275A66"/>
    <w:rsid w:val="00280361"/>
    <w:rsid w:val="002951A0"/>
    <w:rsid w:val="002960E3"/>
    <w:rsid w:val="002962BC"/>
    <w:rsid w:val="002A093D"/>
    <w:rsid w:val="002A0DD0"/>
    <w:rsid w:val="002A4690"/>
    <w:rsid w:val="002A49AC"/>
    <w:rsid w:val="002A527B"/>
    <w:rsid w:val="002A64FD"/>
    <w:rsid w:val="002A77C8"/>
    <w:rsid w:val="002B011A"/>
    <w:rsid w:val="002C7A84"/>
    <w:rsid w:val="002D2E28"/>
    <w:rsid w:val="002D4EAE"/>
    <w:rsid w:val="002E2BF8"/>
    <w:rsid w:val="002E4FD9"/>
    <w:rsid w:val="002E5E73"/>
    <w:rsid w:val="002F2D12"/>
    <w:rsid w:val="003044B0"/>
    <w:rsid w:val="0030657A"/>
    <w:rsid w:val="00317F35"/>
    <w:rsid w:val="00322A85"/>
    <w:rsid w:val="00322D4E"/>
    <w:rsid w:val="00324168"/>
    <w:rsid w:val="00330834"/>
    <w:rsid w:val="00331F7C"/>
    <w:rsid w:val="00340CE0"/>
    <w:rsid w:val="003448F4"/>
    <w:rsid w:val="00345267"/>
    <w:rsid w:val="003706EC"/>
    <w:rsid w:val="00374F5E"/>
    <w:rsid w:val="00377E3E"/>
    <w:rsid w:val="00385F8E"/>
    <w:rsid w:val="0038731B"/>
    <w:rsid w:val="00387F12"/>
    <w:rsid w:val="00390A4F"/>
    <w:rsid w:val="00390BAD"/>
    <w:rsid w:val="00396D58"/>
    <w:rsid w:val="003A013C"/>
    <w:rsid w:val="003A03AE"/>
    <w:rsid w:val="003A0D4B"/>
    <w:rsid w:val="003A101E"/>
    <w:rsid w:val="003A1BAC"/>
    <w:rsid w:val="003A779E"/>
    <w:rsid w:val="003B1196"/>
    <w:rsid w:val="003C7D4A"/>
    <w:rsid w:val="003D081E"/>
    <w:rsid w:val="003D0F4D"/>
    <w:rsid w:val="003D5B0D"/>
    <w:rsid w:val="003E0499"/>
    <w:rsid w:val="003E4F80"/>
    <w:rsid w:val="003E6439"/>
    <w:rsid w:val="003F0ED1"/>
    <w:rsid w:val="003F3941"/>
    <w:rsid w:val="00400B55"/>
    <w:rsid w:val="00406575"/>
    <w:rsid w:val="00407026"/>
    <w:rsid w:val="00414C74"/>
    <w:rsid w:val="0042119F"/>
    <w:rsid w:val="0042722E"/>
    <w:rsid w:val="0043471B"/>
    <w:rsid w:val="004353EE"/>
    <w:rsid w:val="0044528D"/>
    <w:rsid w:val="00461175"/>
    <w:rsid w:val="00466E39"/>
    <w:rsid w:val="004846BE"/>
    <w:rsid w:val="0049195E"/>
    <w:rsid w:val="004947A6"/>
    <w:rsid w:val="004A1847"/>
    <w:rsid w:val="004A187C"/>
    <w:rsid w:val="004A305D"/>
    <w:rsid w:val="004B5150"/>
    <w:rsid w:val="004D24BB"/>
    <w:rsid w:val="004D352A"/>
    <w:rsid w:val="004F01CA"/>
    <w:rsid w:val="004F21C4"/>
    <w:rsid w:val="004F685F"/>
    <w:rsid w:val="005006C2"/>
    <w:rsid w:val="00502BF1"/>
    <w:rsid w:val="00502E25"/>
    <w:rsid w:val="00504492"/>
    <w:rsid w:val="00507361"/>
    <w:rsid w:val="00512770"/>
    <w:rsid w:val="0051576B"/>
    <w:rsid w:val="00521962"/>
    <w:rsid w:val="00521AC1"/>
    <w:rsid w:val="00521BB1"/>
    <w:rsid w:val="00524580"/>
    <w:rsid w:val="00533DBF"/>
    <w:rsid w:val="00536F0A"/>
    <w:rsid w:val="00540500"/>
    <w:rsid w:val="00542636"/>
    <w:rsid w:val="0054478F"/>
    <w:rsid w:val="00554544"/>
    <w:rsid w:val="005566E8"/>
    <w:rsid w:val="00556F32"/>
    <w:rsid w:val="0056310D"/>
    <w:rsid w:val="00565519"/>
    <w:rsid w:val="0057033C"/>
    <w:rsid w:val="00574867"/>
    <w:rsid w:val="00574B02"/>
    <w:rsid w:val="00580197"/>
    <w:rsid w:val="005837FA"/>
    <w:rsid w:val="0058531C"/>
    <w:rsid w:val="00586A1D"/>
    <w:rsid w:val="00591460"/>
    <w:rsid w:val="00594D0B"/>
    <w:rsid w:val="005A65E0"/>
    <w:rsid w:val="005A77D1"/>
    <w:rsid w:val="005B65A4"/>
    <w:rsid w:val="005C1592"/>
    <w:rsid w:val="005C2CED"/>
    <w:rsid w:val="005C3777"/>
    <w:rsid w:val="005C5CDC"/>
    <w:rsid w:val="005D476C"/>
    <w:rsid w:val="005D5628"/>
    <w:rsid w:val="0061269B"/>
    <w:rsid w:val="00615EA1"/>
    <w:rsid w:val="0061672C"/>
    <w:rsid w:val="006200BF"/>
    <w:rsid w:val="006219F8"/>
    <w:rsid w:val="006263FB"/>
    <w:rsid w:val="006302F7"/>
    <w:rsid w:val="006365B8"/>
    <w:rsid w:val="00646B9F"/>
    <w:rsid w:val="006521CE"/>
    <w:rsid w:val="00652FDF"/>
    <w:rsid w:val="00664EF8"/>
    <w:rsid w:val="0066595E"/>
    <w:rsid w:val="00665D70"/>
    <w:rsid w:val="00677D51"/>
    <w:rsid w:val="006878AF"/>
    <w:rsid w:val="006900D9"/>
    <w:rsid w:val="00690614"/>
    <w:rsid w:val="006C5A43"/>
    <w:rsid w:val="006C6930"/>
    <w:rsid w:val="006C6C71"/>
    <w:rsid w:val="006D36D3"/>
    <w:rsid w:val="006E0924"/>
    <w:rsid w:val="006E2F67"/>
    <w:rsid w:val="006E70F1"/>
    <w:rsid w:val="00706C16"/>
    <w:rsid w:val="00714942"/>
    <w:rsid w:val="007219AE"/>
    <w:rsid w:val="00722403"/>
    <w:rsid w:val="007301C3"/>
    <w:rsid w:val="007340C3"/>
    <w:rsid w:val="007422A7"/>
    <w:rsid w:val="007437D5"/>
    <w:rsid w:val="00743B09"/>
    <w:rsid w:val="0074524D"/>
    <w:rsid w:val="0075235A"/>
    <w:rsid w:val="00754D51"/>
    <w:rsid w:val="007551B3"/>
    <w:rsid w:val="00756841"/>
    <w:rsid w:val="007649AB"/>
    <w:rsid w:val="00771D0C"/>
    <w:rsid w:val="00780766"/>
    <w:rsid w:val="007833AC"/>
    <w:rsid w:val="0078641B"/>
    <w:rsid w:val="007877A0"/>
    <w:rsid w:val="00795FD2"/>
    <w:rsid w:val="00797209"/>
    <w:rsid w:val="007B268C"/>
    <w:rsid w:val="007B7171"/>
    <w:rsid w:val="007C0C0F"/>
    <w:rsid w:val="007C20C9"/>
    <w:rsid w:val="007C3DC2"/>
    <w:rsid w:val="007C6A48"/>
    <w:rsid w:val="007D3D74"/>
    <w:rsid w:val="007D7FAB"/>
    <w:rsid w:val="007E5497"/>
    <w:rsid w:val="007E7A79"/>
    <w:rsid w:val="00806F5F"/>
    <w:rsid w:val="00807F32"/>
    <w:rsid w:val="00820278"/>
    <w:rsid w:val="008258C9"/>
    <w:rsid w:val="008372F9"/>
    <w:rsid w:val="00844AE9"/>
    <w:rsid w:val="00846F5A"/>
    <w:rsid w:val="00850EAC"/>
    <w:rsid w:val="008512A0"/>
    <w:rsid w:val="008561D8"/>
    <w:rsid w:val="0086169D"/>
    <w:rsid w:val="00863124"/>
    <w:rsid w:val="00865CDD"/>
    <w:rsid w:val="00867F95"/>
    <w:rsid w:val="008750E9"/>
    <w:rsid w:val="008843B6"/>
    <w:rsid w:val="00887DF7"/>
    <w:rsid w:val="00891928"/>
    <w:rsid w:val="00894018"/>
    <w:rsid w:val="008A0B3E"/>
    <w:rsid w:val="008A446D"/>
    <w:rsid w:val="008B25F1"/>
    <w:rsid w:val="008C002A"/>
    <w:rsid w:val="008C0FC7"/>
    <w:rsid w:val="008C11B1"/>
    <w:rsid w:val="008D04D2"/>
    <w:rsid w:val="008D180B"/>
    <w:rsid w:val="008D1F58"/>
    <w:rsid w:val="008D22EA"/>
    <w:rsid w:val="008F0EA7"/>
    <w:rsid w:val="008F5F21"/>
    <w:rsid w:val="008F6E82"/>
    <w:rsid w:val="009157DB"/>
    <w:rsid w:val="00923EEF"/>
    <w:rsid w:val="00931712"/>
    <w:rsid w:val="0093530E"/>
    <w:rsid w:val="00937535"/>
    <w:rsid w:val="00940F6E"/>
    <w:rsid w:val="009419F9"/>
    <w:rsid w:val="00944456"/>
    <w:rsid w:val="0095685E"/>
    <w:rsid w:val="00961B09"/>
    <w:rsid w:val="00965334"/>
    <w:rsid w:val="00966696"/>
    <w:rsid w:val="00967A1E"/>
    <w:rsid w:val="0097093E"/>
    <w:rsid w:val="00984567"/>
    <w:rsid w:val="0098798A"/>
    <w:rsid w:val="009A0DFA"/>
    <w:rsid w:val="009A1C6F"/>
    <w:rsid w:val="009A3E8B"/>
    <w:rsid w:val="009A5A6C"/>
    <w:rsid w:val="009B2D26"/>
    <w:rsid w:val="009B55B3"/>
    <w:rsid w:val="009C0D3A"/>
    <w:rsid w:val="009C37A3"/>
    <w:rsid w:val="009C3885"/>
    <w:rsid w:val="009C52AE"/>
    <w:rsid w:val="009C71FA"/>
    <w:rsid w:val="009C72E7"/>
    <w:rsid w:val="009C7F7E"/>
    <w:rsid w:val="009D3058"/>
    <w:rsid w:val="009E69FC"/>
    <w:rsid w:val="009F3928"/>
    <w:rsid w:val="009F3A13"/>
    <w:rsid w:val="00A04A89"/>
    <w:rsid w:val="00A122D3"/>
    <w:rsid w:val="00A14468"/>
    <w:rsid w:val="00A1616B"/>
    <w:rsid w:val="00A17F13"/>
    <w:rsid w:val="00A20739"/>
    <w:rsid w:val="00A22CA9"/>
    <w:rsid w:val="00A23AF9"/>
    <w:rsid w:val="00A24E17"/>
    <w:rsid w:val="00A33C78"/>
    <w:rsid w:val="00A373F2"/>
    <w:rsid w:val="00A41525"/>
    <w:rsid w:val="00A722F7"/>
    <w:rsid w:val="00A80498"/>
    <w:rsid w:val="00A91F13"/>
    <w:rsid w:val="00AA2B61"/>
    <w:rsid w:val="00AB0ADB"/>
    <w:rsid w:val="00AC47A7"/>
    <w:rsid w:val="00AD0122"/>
    <w:rsid w:val="00AD06E8"/>
    <w:rsid w:val="00AD0FD5"/>
    <w:rsid w:val="00AD2196"/>
    <w:rsid w:val="00AF0737"/>
    <w:rsid w:val="00B00C0E"/>
    <w:rsid w:val="00B01B1A"/>
    <w:rsid w:val="00B0381D"/>
    <w:rsid w:val="00B10553"/>
    <w:rsid w:val="00B4266E"/>
    <w:rsid w:val="00B44073"/>
    <w:rsid w:val="00B44A47"/>
    <w:rsid w:val="00B51B43"/>
    <w:rsid w:val="00B65A1F"/>
    <w:rsid w:val="00B7223F"/>
    <w:rsid w:val="00B72CD3"/>
    <w:rsid w:val="00B72FFF"/>
    <w:rsid w:val="00B817C0"/>
    <w:rsid w:val="00B86367"/>
    <w:rsid w:val="00B936AA"/>
    <w:rsid w:val="00BB5D07"/>
    <w:rsid w:val="00BC3D36"/>
    <w:rsid w:val="00BD1EC9"/>
    <w:rsid w:val="00BD3403"/>
    <w:rsid w:val="00BD54A6"/>
    <w:rsid w:val="00BD5F3F"/>
    <w:rsid w:val="00BD7D24"/>
    <w:rsid w:val="00BD7F72"/>
    <w:rsid w:val="00BF72F8"/>
    <w:rsid w:val="00BF7425"/>
    <w:rsid w:val="00C04FB3"/>
    <w:rsid w:val="00C05134"/>
    <w:rsid w:val="00C11D8B"/>
    <w:rsid w:val="00C137C6"/>
    <w:rsid w:val="00C150A5"/>
    <w:rsid w:val="00C15139"/>
    <w:rsid w:val="00C174D8"/>
    <w:rsid w:val="00C27D1C"/>
    <w:rsid w:val="00C330EB"/>
    <w:rsid w:val="00C50D69"/>
    <w:rsid w:val="00C5365C"/>
    <w:rsid w:val="00C61377"/>
    <w:rsid w:val="00C754BE"/>
    <w:rsid w:val="00C76B1C"/>
    <w:rsid w:val="00C925AC"/>
    <w:rsid w:val="00CA577A"/>
    <w:rsid w:val="00CB3C75"/>
    <w:rsid w:val="00CB6357"/>
    <w:rsid w:val="00CC1B26"/>
    <w:rsid w:val="00CC4922"/>
    <w:rsid w:val="00CC4AC6"/>
    <w:rsid w:val="00CC6544"/>
    <w:rsid w:val="00CD2412"/>
    <w:rsid w:val="00CD319B"/>
    <w:rsid w:val="00CE6726"/>
    <w:rsid w:val="00CF631D"/>
    <w:rsid w:val="00D024F7"/>
    <w:rsid w:val="00D02709"/>
    <w:rsid w:val="00D03071"/>
    <w:rsid w:val="00D06500"/>
    <w:rsid w:val="00D12161"/>
    <w:rsid w:val="00D1557A"/>
    <w:rsid w:val="00D21C34"/>
    <w:rsid w:val="00D23E8E"/>
    <w:rsid w:val="00D361FD"/>
    <w:rsid w:val="00D423A2"/>
    <w:rsid w:val="00D43727"/>
    <w:rsid w:val="00D44E26"/>
    <w:rsid w:val="00D45E2C"/>
    <w:rsid w:val="00D520D8"/>
    <w:rsid w:val="00D63AC2"/>
    <w:rsid w:val="00D7383B"/>
    <w:rsid w:val="00D73A23"/>
    <w:rsid w:val="00D7788A"/>
    <w:rsid w:val="00D86808"/>
    <w:rsid w:val="00DA16F9"/>
    <w:rsid w:val="00DA231B"/>
    <w:rsid w:val="00DA79A1"/>
    <w:rsid w:val="00DB21F1"/>
    <w:rsid w:val="00DC39FC"/>
    <w:rsid w:val="00DE0395"/>
    <w:rsid w:val="00DE4257"/>
    <w:rsid w:val="00DF5254"/>
    <w:rsid w:val="00E02524"/>
    <w:rsid w:val="00E10FC2"/>
    <w:rsid w:val="00E12A5D"/>
    <w:rsid w:val="00E16408"/>
    <w:rsid w:val="00E1648E"/>
    <w:rsid w:val="00E20894"/>
    <w:rsid w:val="00E245AB"/>
    <w:rsid w:val="00E2764C"/>
    <w:rsid w:val="00E27F2E"/>
    <w:rsid w:val="00E3246D"/>
    <w:rsid w:val="00E50AFE"/>
    <w:rsid w:val="00E73301"/>
    <w:rsid w:val="00E74CD4"/>
    <w:rsid w:val="00E75C92"/>
    <w:rsid w:val="00E7663F"/>
    <w:rsid w:val="00E771DC"/>
    <w:rsid w:val="00E86342"/>
    <w:rsid w:val="00E8772A"/>
    <w:rsid w:val="00E90F6B"/>
    <w:rsid w:val="00E92C27"/>
    <w:rsid w:val="00E94B18"/>
    <w:rsid w:val="00EA0E3D"/>
    <w:rsid w:val="00EA2538"/>
    <w:rsid w:val="00EB4D75"/>
    <w:rsid w:val="00EB5375"/>
    <w:rsid w:val="00EC38A7"/>
    <w:rsid w:val="00EC6B65"/>
    <w:rsid w:val="00ED16CC"/>
    <w:rsid w:val="00ED3EA0"/>
    <w:rsid w:val="00ED5576"/>
    <w:rsid w:val="00EE154C"/>
    <w:rsid w:val="00EE1AA8"/>
    <w:rsid w:val="00EE6D42"/>
    <w:rsid w:val="00EF2D6D"/>
    <w:rsid w:val="00EF6CA0"/>
    <w:rsid w:val="00F025BA"/>
    <w:rsid w:val="00F17922"/>
    <w:rsid w:val="00F23FEA"/>
    <w:rsid w:val="00F31EDC"/>
    <w:rsid w:val="00F36D31"/>
    <w:rsid w:val="00F444D3"/>
    <w:rsid w:val="00F44870"/>
    <w:rsid w:val="00F462B3"/>
    <w:rsid w:val="00F478BA"/>
    <w:rsid w:val="00F5233B"/>
    <w:rsid w:val="00F553EE"/>
    <w:rsid w:val="00F5664F"/>
    <w:rsid w:val="00F609A0"/>
    <w:rsid w:val="00F62A55"/>
    <w:rsid w:val="00F666C4"/>
    <w:rsid w:val="00F709A9"/>
    <w:rsid w:val="00F76AFC"/>
    <w:rsid w:val="00F77C86"/>
    <w:rsid w:val="00F86D79"/>
    <w:rsid w:val="00F96832"/>
    <w:rsid w:val="00FA1389"/>
    <w:rsid w:val="00FA47C0"/>
    <w:rsid w:val="00FB5DD1"/>
    <w:rsid w:val="00FC2B5D"/>
    <w:rsid w:val="00FD5FED"/>
    <w:rsid w:val="00FE7F4D"/>
    <w:rsid w:val="00FF1449"/>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3A1BAC"/>
    <w:pPr>
      <w:spacing w:line="240" w:lineRule="exact"/>
    </w:pPr>
    <w:rPr>
      <w:vertAlign w:val="superscript"/>
    </w:rPr>
  </w:style>
  <w:style w:type="character" w:styleId="Refdecomentario">
    <w:name w:val="annotation reference"/>
    <w:basedOn w:val="Fuentedeprrafopredeter"/>
    <w:uiPriority w:val="99"/>
    <w:semiHidden/>
    <w:unhideWhenUsed/>
    <w:rsid w:val="00DE0395"/>
    <w:rPr>
      <w:sz w:val="16"/>
      <w:szCs w:val="16"/>
    </w:rPr>
  </w:style>
  <w:style w:type="paragraph" w:styleId="Textocomentario">
    <w:name w:val="annotation text"/>
    <w:basedOn w:val="Normal"/>
    <w:link w:val="TextocomentarioCar"/>
    <w:uiPriority w:val="99"/>
    <w:unhideWhenUsed/>
    <w:rsid w:val="00DE0395"/>
    <w:pPr>
      <w:spacing w:line="240" w:lineRule="auto"/>
    </w:pPr>
    <w:rPr>
      <w:sz w:val="20"/>
      <w:szCs w:val="20"/>
    </w:rPr>
  </w:style>
  <w:style w:type="character" w:customStyle="1" w:styleId="TextocomentarioCar">
    <w:name w:val="Texto comentario Car"/>
    <w:basedOn w:val="Fuentedeprrafopredeter"/>
    <w:link w:val="Textocomentario"/>
    <w:uiPriority w:val="99"/>
    <w:rsid w:val="00DE0395"/>
    <w:rPr>
      <w:sz w:val="20"/>
      <w:szCs w:val="20"/>
    </w:rPr>
  </w:style>
  <w:style w:type="paragraph" w:styleId="Asuntodelcomentario">
    <w:name w:val="annotation subject"/>
    <w:basedOn w:val="Textocomentario"/>
    <w:next w:val="Textocomentario"/>
    <w:link w:val="AsuntodelcomentarioCar"/>
    <w:uiPriority w:val="99"/>
    <w:semiHidden/>
    <w:unhideWhenUsed/>
    <w:rsid w:val="00DE0395"/>
    <w:rPr>
      <w:b/>
      <w:bCs/>
    </w:rPr>
  </w:style>
  <w:style w:type="character" w:customStyle="1" w:styleId="AsuntodelcomentarioCar">
    <w:name w:val="Asunto del comentario Car"/>
    <w:basedOn w:val="TextocomentarioCar"/>
    <w:link w:val="Asuntodelcomentario"/>
    <w:uiPriority w:val="99"/>
    <w:semiHidden/>
    <w:rsid w:val="00DE03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lombiacompra.gov.co/archivos/infografia/abc-del-decreto-0287-de-2026-contratacion-publica-inclusiva-para-personas-con-discapacidad" TargetMode="External"/><Relationship Id="rId18" Type="http://schemas.openxmlformats.org/officeDocument/2006/relationships/hyperlink" Target="https://formacionvirtual.colombiacompra.gov.co/mod/page/view.php?id=3718"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ricardosanabria81@hotmail.com" TargetMode="External"/><Relationship Id="rId17" Type="http://schemas.openxmlformats.org/officeDocument/2006/relationships/hyperlink" Target="https://relatoria.colombiacompra.gov.co/busqueda/conceptos" TargetMode="External"/><Relationship Id="rId2" Type="http://schemas.openxmlformats.org/officeDocument/2006/relationships/customXml" Target="../customXml/item2.xml"/><Relationship Id="rId16" Type="http://schemas.openxmlformats.org/officeDocument/2006/relationships/hyperlink" Target="https://relatoria.colombiacompra.gov.co/conceptos/c-447-de-2024/"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relatoria.colombiacompra.gov.co/conceptos/c-285-de-2022/"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olombiacompra.gov.co/normativa-y-relatoria/documentos-tip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live/vpxD3PlXqPI?si=49f8ghb7Iiit6Ja9"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colombiacompra.gov.co/circulares?page=2" TargetMode="External"/><Relationship Id="rId2" Type="http://schemas.openxmlformats.org/officeDocument/2006/relationships/hyperlink" Target="https://relatoria.colombiacompra.gov.co/conceptos/c-447-de-2024/" TargetMode="External"/><Relationship Id="rId1" Type="http://schemas.openxmlformats.org/officeDocument/2006/relationships/hyperlink" Target="https://relatoria.colombiacompra.gov.co/conceptos/c-285-de-202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E632A-9A68-4EEB-8F3B-BB85C8AB81AD}"/>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4.xml><?xml version="1.0" encoding="utf-8"?>
<ds:datastoreItem xmlns:ds="http://schemas.openxmlformats.org/officeDocument/2006/customXml" ds:itemID="{DEC21E34-8E75-4D2A-A45C-8AFCADAE3A98}">
  <ds:schemaRefs>
    <ds:schemaRef ds:uri="http://schemas.openxmlformats.org/officeDocument/2006/bibliography"/>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1740</TotalTime>
  <Pages>40</Pages>
  <Words>13630</Words>
  <Characters>74968</Characters>
  <Application>Microsoft Office Word</Application>
  <DocSecurity>0</DocSecurity>
  <Lines>624</Lines>
  <Paragraphs>176</Paragraphs>
  <ScaleCrop>false</ScaleCrop>
  <Company/>
  <LinksUpToDate>false</LinksUpToDate>
  <CharactersWithSpaces>88422</CharactersWithSpaces>
  <SharedDoc>false</SharedDoc>
  <HLinks>
    <vt:vector size="24" baseType="variant">
      <vt:variant>
        <vt:i4>3735661</vt:i4>
      </vt:variant>
      <vt:variant>
        <vt:i4>9</vt:i4>
      </vt:variant>
      <vt:variant>
        <vt:i4>0</vt:i4>
      </vt:variant>
      <vt:variant>
        <vt:i4>5</vt:i4>
      </vt:variant>
      <vt:variant>
        <vt:lpwstr>https://www.colombiacompra.gov.co/normativa-y-relatoria/documentos-tipo</vt:lpwstr>
      </vt:variant>
      <vt:variant>
        <vt:lpwstr/>
      </vt:variant>
      <vt:variant>
        <vt:i4>65544</vt:i4>
      </vt:variant>
      <vt:variant>
        <vt:i4>6</vt:i4>
      </vt:variant>
      <vt:variant>
        <vt:i4>0</vt:i4>
      </vt:variant>
      <vt:variant>
        <vt:i4>5</vt:i4>
      </vt:variant>
      <vt:variant>
        <vt:lpwstr>https://formacionvirtual.colombiacompra.gov.co/mod/page/view.php?id=3718</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8257627</vt:i4>
      </vt:variant>
      <vt:variant>
        <vt:i4>0</vt:i4>
      </vt:variant>
      <vt:variant>
        <vt:i4>0</vt:i4>
      </vt:variant>
      <vt:variant>
        <vt:i4>5</vt:i4>
      </vt:variant>
      <vt:variant>
        <vt:lpwstr>mailto:arturoemartinez@hotmail.com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Ximena Ríos López</cp:lastModifiedBy>
  <cp:revision>86</cp:revision>
  <cp:lastPrinted>2023-01-10T21:18:00Z</cp:lastPrinted>
  <dcterms:created xsi:type="dcterms:W3CDTF">2026-07-02T16:29:00Z</dcterms:created>
  <dcterms:modified xsi:type="dcterms:W3CDTF">2026-07-27T15:36:00Z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