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4EF85" w14:textId="08F3B043" w:rsidR="006506B4" w:rsidRPr="006506B4" w:rsidRDefault="006506B4" w:rsidP="006506B4">
      <w:pPr>
        <w:tabs>
          <w:tab w:val="left" w:pos="426"/>
        </w:tabs>
        <w:spacing w:line="240" w:lineRule="auto"/>
        <w:jc w:val="both"/>
        <w:rPr>
          <w:rFonts w:ascii="Verdana" w:eastAsia="Calibri" w:hAnsi="Verdana" w:cs="Arial"/>
          <w:lang w:val="en-CO" w:eastAsia="es-ES"/>
        </w:rPr>
      </w:pPr>
      <w:bookmarkStart w:id="0" w:name="_Hlk143780582"/>
      <w:r w:rsidRPr="006506B4">
        <w:rPr>
          <w:rFonts w:ascii="Verdana" w:eastAsia="Calibri" w:hAnsi="Verdana" w:cs="Arial"/>
          <w:b/>
          <w:bCs/>
          <w:lang w:val="en-CO" w:eastAsia="es-ES"/>
        </w:rPr>
        <w:t>SOCIEDAD DE ECONOMÍA MIXTA – Naturaleza Jurídica –</w:t>
      </w:r>
      <w:r w:rsidRPr="006506B4">
        <w:rPr>
          <w:rFonts w:ascii="Verdana" w:eastAsia="Calibri" w:hAnsi="Verdana" w:cs="Arial"/>
          <w:lang w:val="en-CO" w:eastAsia="es-ES"/>
        </w:rPr>
        <w:t> </w:t>
      </w:r>
      <w:r w:rsidRPr="006506B4">
        <w:rPr>
          <w:rFonts w:ascii="Verdana" w:eastAsia="Calibri" w:hAnsi="Verdana" w:cs="Arial"/>
          <w:b/>
          <w:bCs/>
          <w:lang w:val="en-CO" w:eastAsia="es-ES"/>
        </w:rPr>
        <w:t>Régimen de contratación</w:t>
      </w:r>
    </w:p>
    <w:p w14:paraId="1075C737"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En nuestro ordenamiento jurídico, el artículo 97 de la Ley 489 de 1998, al cual se presume hace referencia en su consulta dado que no se especificó el número de la norma, define a las sociedades de economía mixta como organismos autorizados por la ley, constituidos como sociedades comerciales, con aportes de capital público y privado, que desarrollan actividades de naturaleza industrial o comercial conforme a las reglas del derecho privado, salvo las excepciones que consagra la ley. En este sentido, la misma Ley, en los artículos 38 y 68, clasifica a las sociedades de economía mixta como entidades descentralizadas por servicios, con personería jurídica, autonomía administrativa y patrimonio propio, que pueden ser del orden nacional, departamental o municipal, según su órgano de creación.</w:t>
      </w:r>
    </w:p>
    <w:p w14:paraId="1168533D"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w:t>
      </w:r>
    </w:p>
    <w:p w14:paraId="6A4DFEDC"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De lo expuesto, se concluye que, las sociedades de economía mixta sometidas al EGCAP son aquellas en las que el aporte del Estado es superior al cincuenta por ciento (50%) y, además, las actuaciones que adelantan no se encuentran en competencia con el sector privado o público, nacional o internacional o en mercados regulados. Por el contrario, las sociedades de economía mixta en las que el Estado tenga una participación menor al cincuenta por ciento (50%) o aquellas que desarrollan actividades comerciales en competencia con el sector privado y/o público, nacional o internacional, o en mercados regulados se regirán por las disposiciones legales y reglamentarias aplicables a sus actividades económicas y comerciales, lo que implica acudir usualmente al derecho privado. La misma conclusión se aplica para aquellas en las que el capital estatal sea mayor al noventa por ciento (90%).</w:t>
      </w:r>
    </w:p>
    <w:p w14:paraId="7875A6C9" w14:textId="77777777" w:rsidR="006506B4" w:rsidRPr="006506B4" w:rsidRDefault="006506B4" w:rsidP="006506B4">
      <w:pPr>
        <w:tabs>
          <w:tab w:val="left" w:pos="426"/>
        </w:tabs>
        <w:spacing w:line="240" w:lineRule="auto"/>
        <w:jc w:val="both"/>
        <w:rPr>
          <w:rFonts w:ascii="Verdana" w:eastAsia="Calibri" w:hAnsi="Verdana" w:cs="Arial"/>
          <w:lang w:val="en-CO" w:eastAsia="es-ES"/>
        </w:rPr>
      </w:pPr>
      <w:r w:rsidRPr="006506B4">
        <w:rPr>
          <w:rFonts w:ascii="Verdana" w:eastAsia="Calibri" w:hAnsi="Verdana" w:cs="Arial"/>
          <w:b/>
          <w:bCs/>
          <w:lang w:val="en-CO" w:eastAsia="es-ES"/>
        </w:rPr>
        <w:t>LIQUIDACIÓN DEL CONTRATO – Definición – Objetivo</w:t>
      </w:r>
    </w:p>
    <w:p w14:paraId="548C5FCF"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liquidar supone un ajuste en relación con las cuentas y el estado de cumplimiento del contrato estatal y, por el otro, que la liquidación debe incluir el análisis de las condiciones de calidad y oportunidad en la entrega de los bienes, obras o servicios, así como el balance económico y el comportamiento financiero del negocio.</w:t>
      </w:r>
    </w:p>
    <w:p w14:paraId="49A92D08" w14:textId="77777777" w:rsidR="006506B4" w:rsidRPr="006506B4" w:rsidRDefault="006506B4" w:rsidP="006506B4">
      <w:pPr>
        <w:tabs>
          <w:tab w:val="left" w:pos="426"/>
        </w:tabs>
        <w:spacing w:line="240" w:lineRule="auto"/>
        <w:jc w:val="both"/>
        <w:rPr>
          <w:rFonts w:ascii="Verdana" w:eastAsia="Calibri" w:hAnsi="Verdana" w:cs="Arial"/>
          <w:lang w:val="en-CO" w:eastAsia="es-ES"/>
        </w:rPr>
      </w:pPr>
      <w:r w:rsidRPr="006506B4">
        <w:rPr>
          <w:rFonts w:ascii="Verdana" w:eastAsia="Calibri" w:hAnsi="Verdana" w:cs="Arial"/>
          <w:b/>
          <w:bCs/>
          <w:lang w:val="en-CO" w:eastAsia="es-ES"/>
        </w:rPr>
        <w:t>LIQUIDACIÓN BILATERAL – Naturaleza – Alcance – Salvedades</w:t>
      </w:r>
    </w:p>
    <w:p w14:paraId="7A31733B"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 xml:space="preserve">La liquidación bilateral es un acuerdo en el que las partes del contrato estatal, en ejercicio de la autonomía de la voluntad, regulan la finalización de su relación y disponen de los intereses que emanan de ella. Asimismo, tiene efectos de título ejecutivo, transaccionales, puesto que las declaraciones y expresiones incorporadas en la correspondiente acta son reconocidas y protegidas por el ordenamiento jurídico, siempre y cuando no sean contrarias a la Constitución Política, la ley, el orden público, la moral y las buenas costumbres, y los principios y finalidades del Estatuto General de la Contratación de la Administración Pública y de la buena administración. En ese sentido, </w:t>
      </w:r>
      <w:r w:rsidRPr="006506B4">
        <w:rPr>
          <w:rFonts w:ascii="Verdana" w:eastAsia="Calibri" w:hAnsi="Verdana" w:cs="Arial"/>
          <w:sz w:val="20"/>
          <w:szCs w:val="20"/>
          <w:lang w:val="en-CO" w:eastAsia="es-ES"/>
        </w:rPr>
        <w:lastRenderedPageBreak/>
        <w:t>la liquidación bilateral puede considerarse como una forma alternativa de resolver los conflictos o controversias que surjan a partir de la determinación de las prestaciones comunes a que las partes contractuales puedan o no tener derecho luego de haberse ejecutado el contrato, esto es, como una manera de evitar futuros litigios frente a los mismos asuntos.</w:t>
      </w:r>
    </w:p>
    <w:p w14:paraId="561E8AC7"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w:t>
      </w:r>
    </w:p>
    <w:p w14:paraId="6CBEE74E"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Así las cosas, si al momento de suscribir la liquidación no se dejan consignadas salvedades expresas, se entenderá que las partes han llegado a un acuerdo integral sobre la finalización del contrato y sus efectos, quedando imposibilitadas para reclamar posteriormente por vía jurisdiccional sobre aspectos que fueron objeto de dicho acuerdo o que no fueron oportunamente controvertidos. Esta interpretación, como se indicó, ha sido reiterada por la jurisprudencia del Consejo de Estado, la cual ha sostenido que la ausencia de manifestaciones de inconformidad en el acta de liquidación impide a las partes, por regla general, acudir posteriormente a la jurisdicción para reclamar derechos u obligaciones que no quedaron consignados en el acta.</w:t>
      </w:r>
    </w:p>
    <w:p w14:paraId="5970E5E4" w14:textId="77777777" w:rsidR="006506B4" w:rsidRPr="006506B4" w:rsidRDefault="006506B4" w:rsidP="006506B4">
      <w:pPr>
        <w:tabs>
          <w:tab w:val="left" w:pos="426"/>
        </w:tabs>
        <w:spacing w:line="240" w:lineRule="auto"/>
        <w:jc w:val="both"/>
        <w:rPr>
          <w:rFonts w:ascii="Verdana" w:eastAsia="Calibri" w:hAnsi="Verdana" w:cs="Arial"/>
          <w:lang w:val="en-CO" w:eastAsia="es-ES"/>
        </w:rPr>
      </w:pPr>
      <w:r w:rsidRPr="006506B4">
        <w:rPr>
          <w:rFonts w:ascii="Verdana" w:eastAsia="Calibri" w:hAnsi="Verdana" w:cs="Arial"/>
          <w:b/>
          <w:bCs/>
          <w:lang w:val="en-CO" w:eastAsia="es-ES"/>
        </w:rPr>
        <w:t>LIQUIDACIÓN DE MUTUO ACUERDO – Entidades exceptuadas</w:t>
      </w:r>
    </w:p>
    <w:p w14:paraId="5B304387"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Aunque las entidades de régimen exceptuado no están obligadas a aplicar el artículo 60 de la Ley 80 de 1993 ni el artículo 11 de la Ley 1150 de 2007, su naturaleza y efectos tienen carácter transversal y, por tanto, aplica a todas las entidades al margen de que estén o no sometidas al Estatuto General de Contratación de la Administración Pública. Como explica la doctrina, la liquidación bilateral puede pactarse en los contratos de régimen especial, sin perjuicio de lo regulado en el respectivo manual de contratación.</w:t>
      </w:r>
    </w:p>
    <w:p w14:paraId="726CECD2" w14:textId="77777777" w:rsidR="006506B4" w:rsidRPr="006506B4" w:rsidRDefault="006506B4" w:rsidP="006506B4">
      <w:pPr>
        <w:tabs>
          <w:tab w:val="left" w:pos="426"/>
        </w:tabs>
        <w:spacing w:line="240" w:lineRule="auto"/>
        <w:jc w:val="both"/>
        <w:rPr>
          <w:rFonts w:ascii="Verdana" w:eastAsia="Calibri" w:hAnsi="Verdana" w:cs="Arial"/>
          <w:lang w:val="en-CO" w:eastAsia="es-ES"/>
        </w:rPr>
      </w:pPr>
      <w:r w:rsidRPr="006506B4">
        <w:rPr>
          <w:rFonts w:ascii="Verdana" w:eastAsia="Calibri" w:hAnsi="Verdana" w:cs="Arial"/>
          <w:b/>
          <w:bCs/>
          <w:lang w:val="en-CO" w:eastAsia="es-ES"/>
        </w:rPr>
        <w:t>ENRIQUECIMIENTO SIN JUSTA CAUSA – Sentencia de Unificación del 19 de noviembre de 2012 – Alcance</w:t>
      </w:r>
    </w:p>
    <w:p w14:paraId="57C61BC4"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 xml:space="preserve">[…] la Sala Plena del Consejo de Estado expidió la Sentencia de Unificación del 19 de noviembre de 2012, </w:t>
      </w:r>
      <w:r w:rsidRPr="006506B4">
        <w:rPr>
          <w:rFonts w:ascii="Verdana" w:eastAsia="Calibri" w:hAnsi="Verdana" w:cs="Arial"/>
          <w:i/>
          <w:iCs/>
          <w:sz w:val="20"/>
          <w:szCs w:val="20"/>
          <w:lang w:val="en-CO" w:eastAsia="es-ES"/>
        </w:rPr>
        <w:t>por regla general,</w:t>
      </w:r>
      <w:r w:rsidRPr="006506B4">
        <w:rPr>
          <w:rFonts w:ascii="Verdana" w:eastAsia="Calibri" w:hAnsi="Verdana" w:cs="Arial"/>
          <w:sz w:val="20"/>
          <w:szCs w:val="20"/>
          <w:lang w:val="en-CO" w:eastAsia="es-ES"/>
        </w:rPr>
        <w:t xml:space="preserve"> no es posible solicitar reconocimientos económicos por la ejecución de obras extras o adicionales, sin la previa suscripción de un contrato adicional que las justifique. Esto en la medida que los artículos 39 y 41 del EGCAP disponen que los contratos estatales son solemnes y, por tanto, requieren formalidad escrita, salvo que se presente una situación de urgencia manifiesta.</w:t>
      </w:r>
    </w:p>
    <w:p w14:paraId="66240232"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i/>
          <w:iCs/>
          <w:sz w:val="20"/>
          <w:szCs w:val="20"/>
          <w:lang w:val="en-CO" w:eastAsia="es-ES"/>
        </w:rPr>
        <w:t>Excepcionalmente</w:t>
      </w:r>
      <w:r w:rsidRPr="006506B4">
        <w:rPr>
          <w:rFonts w:ascii="Verdana" w:eastAsia="Calibri" w:hAnsi="Verdana" w:cs="Arial"/>
          <w:sz w:val="20"/>
          <w:szCs w:val="20"/>
          <w:lang w:val="en-CO" w:eastAsia="es-ES"/>
        </w:rPr>
        <w:t>, la jurisprudencia citada admitió la posibilidad de reconocer al contratista la ejecución de obras extras o adicionales en tres (3) eventos de interpretación restrictiva: i) cuando existe prueba fehaciente de que la ejecución de obras o servicios extras o adicionales o el suministro de bienes, por fuera del objeto contractual, se haya realizado por la imposición de la entidad, en ejercicio de su autoridad; ii) que fueran urgentes para evitar una lesión inminente e irreversible al derecho a la salud; y iii) cuando se omite el decreto de la urgencia manifiesta y concurren las circunstancias para que ésta hubiera sido declarada.</w:t>
      </w:r>
    </w:p>
    <w:p w14:paraId="6E3A9A99" w14:textId="670517B3" w:rsidR="006506B4" w:rsidRPr="006506B4" w:rsidRDefault="006506B4" w:rsidP="006506B4">
      <w:pPr>
        <w:tabs>
          <w:tab w:val="left" w:pos="426"/>
        </w:tabs>
        <w:spacing w:line="240" w:lineRule="auto"/>
        <w:jc w:val="both"/>
        <w:rPr>
          <w:rFonts w:ascii="Verdana" w:eastAsia="Calibri" w:hAnsi="Verdana" w:cs="Arial"/>
          <w:lang w:val="en-CO" w:eastAsia="es-ES"/>
        </w:rPr>
      </w:pPr>
      <w:r w:rsidRPr="006506B4">
        <w:rPr>
          <w:rFonts w:ascii="Verdana" w:eastAsia="Calibri" w:hAnsi="Verdana" w:cs="Arial"/>
          <w:b/>
          <w:bCs/>
          <w:lang w:val="en-CO" w:eastAsia="es-ES"/>
        </w:rPr>
        <w:lastRenderedPageBreak/>
        <w:t>ENRIQUECIMIENTO SIN JUSTA CAUSA – Nueva Postura – Sentencia de Unificación Jurisprudencial – Elementos – Prueba de la Actividad – Circunstancia Excepcional – Procedencia</w:t>
      </w:r>
    </w:p>
    <w:p w14:paraId="5949DA8A"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En todo caso, esta postura jurisprudencial consolidada cambió con la Sentencia de Unificación del 31 de julio de 2025, en la que se expresó la compensación del enriquecimiento sin justa causa no está condicionado a la subsunción de ciertos hechos que se concuerdan con una lista de hipótesis fácticas previa y taxativamente definidas, sino que corresponde al juez, en virtud de los elementos sustantivos y la revisión el comportamiento de las partes, establecer la viabilidad de ordenar que haya una corrección al traslado patrimonial injustificado por bienes y obras no previstos en el contrato.</w:t>
      </w:r>
    </w:p>
    <w:p w14:paraId="0151BCD3"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w:t>
      </w:r>
    </w:p>
    <w:p w14:paraId="37C59237" w14:textId="77777777" w:rsidR="006506B4" w:rsidRPr="006506B4" w:rsidRDefault="006506B4" w:rsidP="006506B4">
      <w:pPr>
        <w:tabs>
          <w:tab w:val="left" w:pos="426"/>
        </w:tabs>
        <w:spacing w:line="240" w:lineRule="auto"/>
        <w:jc w:val="both"/>
        <w:rPr>
          <w:rFonts w:ascii="Verdana" w:eastAsia="Calibri" w:hAnsi="Verdana" w:cs="Arial"/>
          <w:sz w:val="20"/>
          <w:szCs w:val="20"/>
          <w:lang w:val="en-CO" w:eastAsia="es-ES"/>
        </w:rPr>
      </w:pPr>
      <w:r w:rsidRPr="006506B4">
        <w:rPr>
          <w:rFonts w:ascii="Verdana" w:eastAsia="Calibri" w:hAnsi="Verdana" w:cs="Arial"/>
          <w:sz w:val="20"/>
          <w:szCs w:val="20"/>
          <w:lang w:val="en-CO" w:eastAsia="es-ES"/>
        </w:rPr>
        <w:t xml:space="preserve">Teniendo en cuenta los elementos, debe tenerse en cuenta la prueba de la actividad, sumado a la circunstancia excepcional que se invoca. El Consejo de Estado estableció que esta regla sobre el reconocimiento económico debe aplicarse a partir de la ejecutoria de la nueva sentencia de unificación, en aquellas pretensiones de compensación por enriquecimiento sin causa, de forma que no podrá dejarse de conceder lo pedido por el solo hecho de que el caso no se enmarque en los eventos indicados en la Sentencia del 19 de noviembre de 2012. </w:t>
      </w:r>
    </w:p>
    <w:p w14:paraId="0527F41C" w14:textId="5CEC328E" w:rsidR="006506B4" w:rsidRPr="006506B4" w:rsidRDefault="006506B4" w:rsidP="006506B4">
      <w:pPr>
        <w:snapToGrid w:val="0"/>
        <w:spacing w:after="0" w:line="240" w:lineRule="auto"/>
        <w:contextualSpacing/>
        <w:jc w:val="both"/>
        <w:rPr>
          <w:rFonts w:ascii="Verdana" w:hAnsi="Verdana" w:cs="Arial"/>
          <w:b/>
          <w:bCs/>
          <w:lang w:val="en-CO" w:eastAsia="es-ES"/>
        </w:rPr>
      </w:pPr>
      <w:r w:rsidRPr="006506B4">
        <w:rPr>
          <w:rFonts w:ascii="Verdana" w:hAnsi="Verdana" w:cs="Arial"/>
          <w:b/>
          <w:bCs/>
          <w:lang w:val="en-CO" w:eastAsia="es-ES"/>
        </w:rPr>
        <w:t>LIQUIDACIÓN – Reconocimientos Económicos – Deber – Certificado de Disponibilidad Presupuestal – Registro Presupuestal</w:t>
      </w:r>
    </w:p>
    <w:p w14:paraId="2DF0B518" w14:textId="77777777" w:rsidR="006506B4" w:rsidRPr="006506B4" w:rsidRDefault="006506B4" w:rsidP="006506B4">
      <w:pPr>
        <w:snapToGrid w:val="0"/>
        <w:spacing w:after="0" w:line="240" w:lineRule="auto"/>
        <w:contextualSpacing/>
        <w:jc w:val="both"/>
        <w:rPr>
          <w:rFonts w:ascii="Verdana" w:hAnsi="Verdana" w:cs="Arial"/>
          <w:sz w:val="20"/>
          <w:szCs w:val="20"/>
          <w:lang w:val="en-CO" w:eastAsia="es-ES"/>
        </w:rPr>
      </w:pPr>
    </w:p>
    <w:p w14:paraId="68CC8F57" w14:textId="77777777" w:rsidR="006506B4" w:rsidRPr="006506B4" w:rsidRDefault="006506B4" w:rsidP="006506B4">
      <w:pPr>
        <w:snapToGrid w:val="0"/>
        <w:spacing w:after="0" w:line="240" w:lineRule="auto"/>
        <w:contextualSpacing/>
        <w:jc w:val="both"/>
        <w:rPr>
          <w:rFonts w:ascii="Verdana" w:hAnsi="Verdana" w:cs="Arial"/>
          <w:sz w:val="20"/>
          <w:szCs w:val="20"/>
          <w:lang w:val="en-CO" w:eastAsia="es-ES"/>
        </w:rPr>
      </w:pPr>
      <w:r w:rsidRPr="006506B4">
        <w:rPr>
          <w:rFonts w:ascii="Verdana" w:hAnsi="Verdana" w:cs="Arial"/>
          <w:sz w:val="20"/>
          <w:szCs w:val="20"/>
          <w:lang w:val="en-CO" w:eastAsia="es-ES"/>
        </w:rPr>
        <w:t>Ahora bien, teniendo en cuenta que es posible reconocer obras extras o adicionales, así como asuntos derivados de ajustes o revisiones económicas por la entidad contratante, es necesario precisar que la liquidación del contrato, ya sea que se derive de cualquiera de sus manifestaciones -liquidación bilateral, liquidación unilateral o liquidación judicial- debe contar con el Certificado de Disponibilidad Presupuestal –CDP- y el Registro Presupuestal, ya que dichos documentos se constituyen en requisitos para la ejecución y pago de las obligaciones que se estipularon y reconocieron en esta. Para reconocer y pagar las obras extras o las revisiones o ajustes derivadas de las transacciones en la liquidación, primero debe obtenerse un CDP con saldo disponible y luego tramitar el RP. En tal sentido, de conformidad con la Ley 80 de 1993 y el Estatuto Orgánico de Presupuesto, las entidades estatales tienen el deber de contar con la disponibilidad de recursos para asumir gastos u obligaciones. Esta obligación es una expresión del principio de legalidad del gasto público que se enmarca en el mandato constitucional de la legalidad de las actuaciones públicas y que permea todo el régimen regulado por el Estatuto Orgánico del Presupuesto.</w:t>
      </w:r>
    </w:p>
    <w:p w14:paraId="56807819" w14:textId="77777777" w:rsidR="006506B4" w:rsidRPr="006506B4" w:rsidRDefault="006506B4" w:rsidP="006506B4">
      <w:pPr>
        <w:snapToGrid w:val="0"/>
        <w:spacing w:after="0" w:line="240" w:lineRule="auto"/>
        <w:contextualSpacing/>
        <w:jc w:val="both"/>
        <w:rPr>
          <w:rFonts w:ascii="Verdana" w:hAnsi="Verdana" w:cs="Arial"/>
          <w:sz w:val="20"/>
          <w:szCs w:val="20"/>
          <w:lang w:val="en-CO" w:eastAsia="es-ES"/>
        </w:rPr>
      </w:pPr>
    </w:p>
    <w:p w14:paraId="0AA3ED27" w14:textId="77777777" w:rsidR="006506B4" w:rsidRPr="006506B4" w:rsidRDefault="006506B4" w:rsidP="006506B4">
      <w:pPr>
        <w:snapToGrid w:val="0"/>
        <w:spacing w:after="0" w:line="240" w:lineRule="auto"/>
        <w:contextualSpacing/>
        <w:jc w:val="both"/>
        <w:rPr>
          <w:rFonts w:ascii="Verdana" w:hAnsi="Verdana" w:cs="Arial"/>
          <w:sz w:val="20"/>
          <w:szCs w:val="20"/>
          <w:lang w:val="en-CO" w:eastAsia="es-ES"/>
        </w:rPr>
      </w:pPr>
      <w:r w:rsidRPr="006506B4">
        <w:rPr>
          <w:rFonts w:ascii="Verdana" w:hAnsi="Verdana" w:cs="Arial"/>
          <w:sz w:val="20"/>
          <w:szCs w:val="20"/>
          <w:lang w:val="en-CO" w:eastAsia="es-ES"/>
        </w:rPr>
        <w:t xml:space="preserve">En este tipo de situaciones de reconocimientos y revisiones en la liquidación del contrato, su cumplimiento se refleja necesariamente mediante la expedición del Certificado de Disponibilidad Presupuestal –CDP- de forma previa a que la entidad asuma obligaciones o compromisos de este tipo, como una garantía de la existencia de recursos suficientes para atender los gastos que serán asumidos por el Estado. Para el reconocimiento </w:t>
      </w:r>
      <w:r w:rsidRPr="006506B4">
        <w:rPr>
          <w:rFonts w:ascii="Verdana" w:hAnsi="Verdana" w:cs="Arial"/>
          <w:sz w:val="20"/>
          <w:szCs w:val="20"/>
          <w:lang w:val="en-CO" w:eastAsia="es-ES"/>
        </w:rPr>
        <w:lastRenderedPageBreak/>
        <w:t>efectivo de las revisiones y ajustes en la liquidación del contrato se exige a la entidad estatal contar con un Registro Presupuestal –RP- que consiste en la certificación de apropiación de presupuesto con destino al cumplimiento de las obligaciones pecuniarias estipuladas, ya sea en el acta de liquidación bilateral, el acto administrativo que liquida unilateralmente el contrato, o el acto administrativo de ejecución que se limita a cumplir la decisión judicial que liquida el contrato.</w:t>
      </w:r>
    </w:p>
    <w:p w14:paraId="68E50C28" w14:textId="77777777" w:rsidR="006506B4" w:rsidRPr="006506B4" w:rsidRDefault="006506B4" w:rsidP="006506B4">
      <w:pPr>
        <w:snapToGrid w:val="0"/>
        <w:spacing w:after="0" w:line="240" w:lineRule="auto"/>
        <w:contextualSpacing/>
        <w:jc w:val="both"/>
        <w:rPr>
          <w:rFonts w:ascii="Verdana" w:hAnsi="Verdana" w:cs="Arial"/>
          <w:lang w:val="es-ES" w:eastAsia="es-ES"/>
        </w:rPr>
      </w:pPr>
    </w:p>
    <w:p w14:paraId="52867F59" w14:textId="2497A6C1" w:rsidR="001E002D" w:rsidRPr="006506B4" w:rsidRDefault="001E002D" w:rsidP="006506B4">
      <w:pPr>
        <w:snapToGrid w:val="0"/>
        <w:spacing w:after="0" w:line="240" w:lineRule="auto"/>
        <w:contextualSpacing/>
        <w:jc w:val="both"/>
        <w:rPr>
          <w:rFonts w:ascii="Verdana" w:eastAsia="Calibri" w:hAnsi="Verdana" w:cs="Arial"/>
          <w:b/>
          <w:bCs/>
          <w:color w:val="000000" w:themeColor="text1"/>
          <w:lang w:val="es-ES" w:eastAsia="es-ES"/>
        </w:rPr>
      </w:pPr>
      <w:r w:rsidRPr="006506B4">
        <w:rPr>
          <w:rFonts w:ascii="Verdana" w:eastAsia="Calibri" w:hAnsi="Verdana" w:cs="Arial"/>
          <w:b/>
          <w:bCs/>
          <w:color w:val="000000" w:themeColor="text1"/>
          <w:lang w:val="es-ES" w:eastAsia="es-ES"/>
        </w:rPr>
        <w:t>RESPONSABILIDAD – Contractual – Alcance</w:t>
      </w:r>
    </w:p>
    <w:p w14:paraId="0CD05C64" w14:textId="77777777" w:rsidR="001E002D" w:rsidRPr="006506B4" w:rsidRDefault="001E002D" w:rsidP="006506B4">
      <w:pPr>
        <w:snapToGrid w:val="0"/>
        <w:spacing w:line="240" w:lineRule="auto"/>
        <w:contextualSpacing/>
        <w:jc w:val="both"/>
        <w:rPr>
          <w:rFonts w:ascii="Verdana" w:eastAsia="Calibri" w:hAnsi="Verdana" w:cs="Arial"/>
          <w:color w:val="000000"/>
          <w:sz w:val="20"/>
          <w:szCs w:val="20"/>
          <w:lang w:val="es-ES_tradnl"/>
        </w:rPr>
      </w:pPr>
    </w:p>
    <w:p w14:paraId="307520C0" w14:textId="77777777" w:rsidR="001E002D" w:rsidRPr="006506B4" w:rsidRDefault="001E002D" w:rsidP="006506B4">
      <w:pPr>
        <w:snapToGrid w:val="0"/>
        <w:spacing w:after="0" w:line="240" w:lineRule="auto"/>
        <w:contextualSpacing/>
        <w:jc w:val="both"/>
        <w:rPr>
          <w:rFonts w:ascii="Verdana" w:eastAsia="Calibri" w:hAnsi="Verdana" w:cs="Arial"/>
          <w:color w:val="000000"/>
          <w:sz w:val="20"/>
          <w:szCs w:val="20"/>
          <w:lang w:val="es-ES_tradnl"/>
        </w:rPr>
      </w:pPr>
      <w:r w:rsidRPr="006506B4">
        <w:rPr>
          <w:rFonts w:ascii="Verdana" w:eastAsia="Calibri" w:hAnsi="Verdana" w:cs="Arial"/>
          <w:color w:val="000000"/>
          <w:sz w:val="20"/>
          <w:szCs w:val="20"/>
          <w:lang w:val="es-ES_tradnl"/>
        </w:rPr>
        <w:t xml:space="preserve">Frente a la responsabilidad de los distintos agentes que intervienen en los procesos de contratación, es preciso aclarar que esta se determina en cada caso concreto con arreglo al régimen disciplinario y de responsabilidad fiscal o penal correspondiente. En materia de contratación estatal, las entidades y otros agentes deberán considerar especialmente lo dispuesto en el artículo 26 de la Ley 80 de 1993 sobre el principio de responsabilidad, así como las reglas específicas aplicables en esta materia a las entidades contratantes, los servidores públicos, los contratistas, consultores, asesores externos, interventores y supervisores, de acuerdo con lo establecido en los artículos 50 al 59 de dicho estatuto, tal como se explica en este concepto. </w:t>
      </w:r>
    </w:p>
    <w:p w14:paraId="187636FA" w14:textId="77777777" w:rsidR="001E002D" w:rsidRPr="006506B4" w:rsidRDefault="001E002D" w:rsidP="006506B4">
      <w:pPr>
        <w:snapToGrid w:val="0"/>
        <w:spacing w:line="240" w:lineRule="auto"/>
        <w:contextualSpacing/>
        <w:jc w:val="both"/>
        <w:rPr>
          <w:rFonts w:ascii="Verdana" w:eastAsia="Verdana" w:hAnsi="Verdana" w:cs="Verdana"/>
          <w:color w:val="000000"/>
          <w:sz w:val="20"/>
          <w:szCs w:val="20"/>
          <w:lang w:val="es-ES_tradnl"/>
        </w:rPr>
      </w:pPr>
    </w:p>
    <w:p w14:paraId="0A27C467" w14:textId="77777777" w:rsidR="001E002D" w:rsidRPr="006506B4" w:rsidRDefault="001E002D" w:rsidP="006506B4">
      <w:pPr>
        <w:snapToGrid w:val="0"/>
        <w:spacing w:after="0" w:line="240" w:lineRule="auto"/>
        <w:contextualSpacing/>
        <w:jc w:val="both"/>
        <w:rPr>
          <w:rFonts w:ascii="Verdana" w:eastAsia="Calibri" w:hAnsi="Verdana" w:cs="Arial"/>
          <w:sz w:val="20"/>
          <w:szCs w:val="20"/>
          <w:shd w:val="clear" w:color="auto" w:fill="FFFFFF"/>
        </w:rPr>
      </w:pPr>
      <w:r w:rsidRPr="006506B4">
        <w:rPr>
          <w:rFonts w:ascii="Verdana" w:eastAsia="Verdana" w:hAnsi="Verdana" w:cs="Verdana"/>
          <w:color w:val="000000"/>
          <w:sz w:val="20"/>
          <w:szCs w:val="20"/>
          <w:lang w:val="es-ES_tradnl"/>
        </w:rPr>
        <w:t>En cualquier caso, l</w:t>
      </w:r>
      <w:r w:rsidRPr="006506B4">
        <w:rPr>
          <w:rFonts w:ascii="Verdana" w:eastAsia="Verdana" w:hAnsi="Verdana" w:cs="Verdana"/>
          <w:sz w:val="20"/>
          <w:szCs w:val="20"/>
        </w:rPr>
        <w:t>a entidad contratante, el contratista, las personas naturales que actúan en representación de las dos partes, los supervisores, interventores, consultores, asesores y servidores públicos que intervienen en los procesos de contratación estatal responderán de diversas maneras en cada caso, según lo establecido en el régimen de contratación aplicable, así como en la normativa correspondiente en materia disciplinaria, fiscal o penal. De cualquier modo, quienes incurran en acciones u omisiones que comprometan su responsabilidad en material contractual podrán ser acreedoras del pago de indemnizaciones ante la declaratoria de responsabilidad civil; podrán ser objeto de destitución en materia disciplinaria; y ser inhábiles para contratar como resultado de condenas en materia penal o de sanciones en sede administrativa.</w:t>
      </w:r>
    </w:p>
    <w:p w14:paraId="1AEF45C2" w14:textId="77777777" w:rsidR="001E002D" w:rsidRPr="00B8272B" w:rsidRDefault="001E002D" w:rsidP="000E2A11">
      <w:pPr>
        <w:tabs>
          <w:tab w:val="left" w:pos="426"/>
        </w:tabs>
        <w:spacing w:line="276" w:lineRule="auto"/>
        <w:jc w:val="both"/>
        <w:rPr>
          <w:rFonts w:ascii="Verdana" w:hAnsi="Verdana" w:cs="Arial"/>
          <w:lang w:val="es-ES" w:eastAsia="es-ES"/>
        </w:rPr>
      </w:pPr>
    </w:p>
    <w:p w14:paraId="09E1F3E5" w14:textId="77777777" w:rsidR="000E2A11" w:rsidRDefault="000E2A11" w:rsidP="002707E7">
      <w:pPr>
        <w:spacing w:after="0"/>
        <w:rPr>
          <w:rFonts w:ascii="Verdana" w:hAnsi="Verdana"/>
          <w:lang w:val="es-ES"/>
        </w:rPr>
      </w:pPr>
    </w:p>
    <w:p w14:paraId="153AC499" w14:textId="77777777" w:rsidR="006506B4" w:rsidRDefault="006506B4" w:rsidP="002707E7">
      <w:pPr>
        <w:spacing w:after="0"/>
        <w:rPr>
          <w:rFonts w:ascii="Verdana" w:hAnsi="Verdana"/>
          <w:lang w:val="es-ES"/>
        </w:rPr>
      </w:pPr>
    </w:p>
    <w:p w14:paraId="0C53BFE4" w14:textId="77777777" w:rsidR="006506B4" w:rsidRDefault="006506B4" w:rsidP="002707E7">
      <w:pPr>
        <w:spacing w:after="0"/>
        <w:rPr>
          <w:rFonts w:ascii="Verdana" w:hAnsi="Verdana"/>
          <w:lang w:val="es-ES"/>
        </w:rPr>
      </w:pPr>
    </w:p>
    <w:p w14:paraId="71EE497B" w14:textId="77777777" w:rsidR="006506B4" w:rsidRDefault="006506B4" w:rsidP="002707E7">
      <w:pPr>
        <w:spacing w:after="0"/>
        <w:rPr>
          <w:rFonts w:ascii="Verdana" w:hAnsi="Verdana"/>
          <w:lang w:val="es-ES"/>
        </w:rPr>
      </w:pPr>
    </w:p>
    <w:p w14:paraId="752111B2" w14:textId="77777777" w:rsidR="006506B4" w:rsidRDefault="006506B4" w:rsidP="002707E7">
      <w:pPr>
        <w:spacing w:after="0"/>
        <w:rPr>
          <w:rFonts w:ascii="Verdana" w:hAnsi="Verdana"/>
          <w:lang w:val="es-ES"/>
        </w:rPr>
      </w:pPr>
    </w:p>
    <w:p w14:paraId="6C0786F1" w14:textId="77777777" w:rsidR="006506B4" w:rsidRDefault="006506B4" w:rsidP="002707E7">
      <w:pPr>
        <w:spacing w:after="0"/>
        <w:rPr>
          <w:rFonts w:ascii="Verdana" w:hAnsi="Verdana"/>
          <w:lang w:val="es-ES"/>
        </w:rPr>
      </w:pPr>
    </w:p>
    <w:p w14:paraId="1DCCB7F7" w14:textId="77777777" w:rsidR="006506B4" w:rsidRDefault="006506B4" w:rsidP="002707E7">
      <w:pPr>
        <w:spacing w:after="0"/>
        <w:rPr>
          <w:rFonts w:ascii="Verdana" w:hAnsi="Verdana"/>
          <w:lang w:val="es-ES"/>
        </w:rPr>
      </w:pPr>
    </w:p>
    <w:p w14:paraId="73C537A4" w14:textId="77777777" w:rsidR="006506B4" w:rsidRDefault="006506B4" w:rsidP="002707E7">
      <w:pPr>
        <w:spacing w:after="0"/>
        <w:rPr>
          <w:rFonts w:ascii="Verdana" w:hAnsi="Verdana"/>
          <w:lang w:val="es-ES"/>
        </w:rPr>
      </w:pPr>
    </w:p>
    <w:p w14:paraId="1289B241" w14:textId="77777777" w:rsidR="006506B4" w:rsidRDefault="006506B4" w:rsidP="002707E7">
      <w:pPr>
        <w:spacing w:after="0"/>
        <w:rPr>
          <w:rFonts w:ascii="Verdana" w:hAnsi="Verdana"/>
          <w:lang w:val="es-ES"/>
        </w:rPr>
      </w:pPr>
    </w:p>
    <w:p w14:paraId="4B7E5349" w14:textId="77777777" w:rsidR="006506B4" w:rsidRDefault="006506B4" w:rsidP="002707E7">
      <w:pPr>
        <w:spacing w:after="0"/>
        <w:rPr>
          <w:rFonts w:ascii="Verdana" w:hAnsi="Verdana"/>
          <w:lang w:val="es-ES"/>
        </w:rPr>
      </w:pPr>
    </w:p>
    <w:p w14:paraId="28AD37E5" w14:textId="47881AF0" w:rsidR="002707E7" w:rsidRPr="00B8272B" w:rsidRDefault="000E2A11" w:rsidP="002707E7">
      <w:pPr>
        <w:spacing w:after="0"/>
        <w:rPr>
          <w:rFonts w:ascii="Verdana" w:hAnsi="Verdana"/>
          <w:lang w:val="es-ES"/>
        </w:rPr>
      </w:pPr>
      <w:r>
        <w:rPr>
          <w:rFonts w:ascii="Verdana" w:hAnsi="Verdana"/>
          <w:noProof/>
          <w:lang w:val="es-ES"/>
        </w:rPr>
        <w:lastRenderedPageBreak/>
        <w:drawing>
          <wp:anchor distT="0" distB="0" distL="114300" distR="114300" simplePos="0" relativeHeight="251660288" behindDoc="0" locked="0" layoutInCell="1" allowOverlap="1" wp14:anchorId="63980ACE" wp14:editId="61DCF6B4">
            <wp:simplePos x="0" y="0"/>
            <wp:positionH relativeFrom="column">
              <wp:posOffset>3217545</wp:posOffset>
            </wp:positionH>
            <wp:positionV relativeFrom="paragraph">
              <wp:posOffset>3175</wp:posOffset>
            </wp:positionV>
            <wp:extent cx="2482215" cy="689610"/>
            <wp:effectExtent l="0" t="0" r="0" b="0"/>
            <wp:wrapSquare wrapText="bothSides"/>
            <wp:docPr id="160038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8166" name="Picture 160038166"/>
                    <pic:cNvPicPr/>
                  </pic:nvPicPr>
                  <pic:blipFill>
                    <a:blip r:embed="rId10">
                      <a:extLst>
                        <a:ext uri="{28A0092B-C50C-407E-A947-70E740481C1C}">
                          <a14:useLocalDpi xmlns:a14="http://schemas.microsoft.com/office/drawing/2010/main" val="0"/>
                        </a:ext>
                      </a:extLst>
                    </a:blip>
                    <a:stretch>
                      <a:fillRect/>
                    </a:stretch>
                  </pic:blipFill>
                  <pic:spPr>
                    <a:xfrm>
                      <a:off x="0" y="0"/>
                      <a:ext cx="2482215" cy="689610"/>
                    </a:xfrm>
                    <a:prstGeom prst="rect">
                      <a:avLst/>
                    </a:prstGeom>
                  </pic:spPr>
                </pic:pic>
              </a:graphicData>
            </a:graphic>
            <wp14:sizeRelH relativeFrom="page">
              <wp14:pctWidth>0</wp14:pctWidth>
            </wp14:sizeRelH>
            <wp14:sizeRelV relativeFrom="page">
              <wp14:pctHeight>0</wp14:pctHeight>
            </wp14:sizeRelV>
          </wp:anchor>
        </w:drawing>
      </w:r>
      <w:r w:rsidR="002707E7" w:rsidRPr="00B8272B">
        <w:rPr>
          <w:rFonts w:ascii="Verdana" w:hAnsi="Verdana"/>
          <w:lang w:val="es-ES"/>
        </w:rPr>
        <w:t xml:space="preserve">Bogotá D.C., </w:t>
      </w:r>
      <w:r>
        <w:rPr>
          <w:rFonts w:ascii="Verdana" w:hAnsi="Verdana"/>
          <w:lang w:val="es-ES"/>
        </w:rPr>
        <w:t>23 de julio de 2023</w:t>
      </w:r>
    </w:p>
    <w:p w14:paraId="184619D2" w14:textId="77777777" w:rsidR="002707E7" w:rsidRPr="00B8272B" w:rsidRDefault="002707E7" w:rsidP="002707E7">
      <w:pPr>
        <w:spacing w:after="0"/>
        <w:rPr>
          <w:rFonts w:ascii="Verdana" w:hAnsi="Verdana"/>
          <w:lang w:val="es-ES"/>
        </w:rPr>
      </w:pPr>
    </w:p>
    <w:p w14:paraId="545947A8" w14:textId="77777777" w:rsidR="002707E7" w:rsidRPr="00B8272B" w:rsidRDefault="002707E7" w:rsidP="002707E7">
      <w:pPr>
        <w:spacing w:after="0" w:line="240" w:lineRule="auto"/>
        <w:jc w:val="both"/>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Doctor</w:t>
      </w:r>
    </w:p>
    <w:p w14:paraId="001EE4FB" w14:textId="77777777" w:rsidR="002707E7" w:rsidRPr="00B8272B" w:rsidRDefault="002707E7" w:rsidP="002707E7">
      <w:pPr>
        <w:spacing w:after="0" w:line="240" w:lineRule="auto"/>
        <w:rPr>
          <w:rFonts w:ascii="Verdana" w:eastAsia="Calibri" w:hAnsi="Verdana" w:cs="Arial"/>
          <w:b/>
          <w:bCs/>
          <w:color w:val="000000" w:themeColor="text1"/>
          <w:lang w:val="es-ES" w:eastAsia="es-ES"/>
        </w:rPr>
      </w:pPr>
      <w:r w:rsidRPr="00B8272B">
        <w:rPr>
          <w:rFonts w:ascii="Verdana" w:eastAsia="Calibri" w:hAnsi="Verdana" w:cs="Arial"/>
          <w:b/>
          <w:bCs/>
          <w:color w:val="000000" w:themeColor="text1"/>
          <w:lang w:val="es-ES" w:eastAsia="es-ES"/>
        </w:rPr>
        <w:t>Mario Alberto Alvarino Carrillo</w:t>
      </w:r>
    </w:p>
    <w:p w14:paraId="3C4328B5" w14:textId="77777777" w:rsidR="002707E7" w:rsidRPr="00B8272B" w:rsidRDefault="002707E7" w:rsidP="002707E7">
      <w:pPr>
        <w:spacing w:after="0" w:line="240" w:lineRule="auto"/>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Vicepresidente de Asuntos Jurídicos y Secretaría General</w:t>
      </w:r>
    </w:p>
    <w:p w14:paraId="777D7215" w14:textId="77777777" w:rsidR="002707E7" w:rsidRPr="00B8272B" w:rsidRDefault="002707E7" w:rsidP="002707E7">
      <w:pPr>
        <w:spacing w:after="0" w:line="240" w:lineRule="auto"/>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Nueva EPS</w:t>
      </w:r>
    </w:p>
    <w:p w14:paraId="228E7F0D" w14:textId="77777777" w:rsidR="002707E7" w:rsidRPr="00B8272B" w:rsidRDefault="002707E7" w:rsidP="002707E7">
      <w:pPr>
        <w:spacing w:after="0" w:line="240" w:lineRule="auto"/>
        <w:rPr>
          <w:rFonts w:ascii="Verdana" w:eastAsia="Calibri" w:hAnsi="Verdana" w:cs="Arial"/>
          <w:color w:val="000000" w:themeColor="text1"/>
          <w:lang w:val="es-ES" w:eastAsia="es-ES_tradnl"/>
        </w:rPr>
      </w:pPr>
      <w:r w:rsidRPr="00B8272B">
        <w:rPr>
          <w:rFonts w:ascii="Verdana" w:eastAsia="Calibri" w:hAnsi="Verdana" w:cs="Arial"/>
          <w:color w:val="000000" w:themeColor="text1"/>
          <w:lang w:val="es-ES" w:eastAsia="es-ES"/>
        </w:rPr>
        <w:t>Bogotá D.C.</w:t>
      </w: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2707E7" w:rsidRPr="00B8272B" w14:paraId="46464C24" w14:textId="77777777" w:rsidTr="00E21D2F">
        <w:trPr>
          <w:gridAfter w:val="1"/>
          <w:wAfter w:w="4179" w:type="dxa"/>
          <w:trHeight w:val="304"/>
        </w:trPr>
        <w:tc>
          <w:tcPr>
            <w:tcW w:w="2689" w:type="dxa"/>
          </w:tcPr>
          <w:p w14:paraId="4FACCD18" w14:textId="77777777" w:rsidR="002707E7" w:rsidRPr="00B8272B" w:rsidRDefault="002707E7" w:rsidP="00E21D2F">
            <w:pPr>
              <w:jc w:val="both"/>
              <w:rPr>
                <w:rFonts w:ascii="Verdana" w:eastAsia="Calibri" w:hAnsi="Verdana" w:cs="Arial"/>
                <w:b/>
                <w:bCs/>
                <w:color w:val="000000" w:themeColor="text1"/>
                <w:lang w:val="es-ES" w:eastAsia="es-ES_tradnl"/>
              </w:rPr>
            </w:pPr>
          </w:p>
        </w:tc>
        <w:tc>
          <w:tcPr>
            <w:tcW w:w="6100" w:type="dxa"/>
          </w:tcPr>
          <w:p w14:paraId="3344F47A" w14:textId="77777777" w:rsidR="002707E7" w:rsidRPr="00B8272B" w:rsidRDefault="002707E7" w:rsidP="00E21D2F">
            <w:pPr>
              <w:jc w:val="both"/>
              <w:rPr>
                <w:rFonts w:ascii="Verdana" w:eastAsia="Calibri" w:hAnsi="Verdana" w:cs="Arial"/>
                <w:b/>
                <w:bCs/>
                <w:color w:val="000000" w:themeColor="text1"/>
                <w:lang w:val="es-ES" w:eastAsia="es-ES"/>
              </w:rPr>
            </w:pPr>
            <w:r w:rsidRPr="00B8272B">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956</w:t>
            </w:r>
            <w:r w:rsidRPr="00B8272B">
              <w:rPr>
                <w:rFonts w:ascii="Verdana" w:eastAsia="Calibri" w:hAnsi="Verdana" w:cs="Arial"/>
                <w:b/>
                <w:bCs/>
                <w:color w:val="000000" w:themeColor="text1"/>
                <w:lang w:val="es-ES" w:eastAsia="es-ES"/>
              </w:rPr>
              <w:t xml:space="preserve"> de 2026</w:t>
            </w:r>
          </w:p>
          <w:p w14:paraId="7763AF3A" w14:textId="77777777" w:rsidR="002707E7" w:rsidRPr="00B8272B" w:rsidRDefault="002707E7" w:rsidP="00E21D2F">
            <w:pPr>
              <w:jc w:val="both"/>
              <w:rPr>
                <w:rFonts w:ascii="Verdana" w:eastAsia="Calibri" w:hAnsi="Verdana" w:cs="Arial"/>
                <w:b/>
                <w:bCs/>
                <w:color w:val="000000" w:themeColor="text1"/>
                <w:lang w:val="es-ES" w:eastAsia="es-ES"/>
              </w:rPr>
            </w:pPr>
          </w:p>
        </w:tc>
      </w:tr>
      <w:tr w:rsidR="002707E7" w:rsidRPr="00B8272B" w14:paraId="4A4FE431" w14:textId="77777777" w:rsidTr="00E21D2F">
        <w:trPr>
          <w:trHeight w:val="2095"/>
        </w:trPr>
        <w:tc>
          <w:tcPr>
            <w:tcW w:w="2689" w:type="dxa"/>
          </w:tcPr>
          <w:p w14:paraId="11E3D587" w14:textId="77777777" w:rsidR="002707E7" w:rsidRPr="00B8272B" w:rsidRDefault="002707E7" w:rsidP="00E21D2F">
            <w:pPr>
              <w:jc w:val="both"/>
              <w:rPr>
                <w:rFonts w:ascii="Verdana" w:eastAsia="Calibri" w:hAnsi="Verdana" w:cs="Arial"/>
                <w:color w:val="000000" w:themeColor="text1"/>
                <w:lang w:val="es-ES" w:eastAsia="es-ES_tradnl"/>
              </w:rPr>
            </w:pPr>
            <w:r w:rsidRPr="00B8272B">
              <w:rPr>
                <w:rFonts w:ascii="Verdana" w:eastAsia="Calibri" w:hAnsi="Verdana" w:cs="Arial"/>
                <w:b/>
                <w:color w:val="000000" w:themeColor="text1"/>
                <w:lang w:val="es-ES" w:eastAsia="es-ES_tradnl"/>
              </w:rPr>
              <w:t>Temas:</w:t>
            </w:r>
            <w:r w:rsidRPr="00B8272B">
              <w:rPr>
                <w:rFonts w:ascii="Verdana" w:eastAsia="Calibri" w:hAnsi="Verdana" w:cs="Arial"/>
                <w:color w:val="000000" w:themeColor="text1"/>
                <w:lang w:val="es-ES" w:eastAsia="es-ES_tradnl"/>
              </w:rPr>
              <w:t xml:space="preserve">                   </w:t>
            </w:r>
          </w:p>
        </w:tc>
        <w:tc>
          <w:tcPr>
            <w:tcW w:w="6100" w:type="dxa"/>
          </w:tcPr>
          <w:p w14:paraId="6C83445A" w14:textId="77777777" w:rsidR="002707E7" w:rsidRPr="00B8272B" w:rsidRDefault="002707E7" w:rsidP="00E21D2F">
            <w:pPr>
              <w:tabs>
                <w:tab w:val="left" w:pos="426"/>
              </w:tabs>
              <w:spacing w:line="276" w:lineRule="auto"/>
              <w:jc w:val="both"/>
              <w:rPr>
                <w:rFonts w:ascii="Verdana" w:hAnsi="Verdana" w:cs="Arial"/>
                <w:lang w:val="es-ES" w:eastAsia="es-ES"/>
              </w:rPr>
            </w:pPr>
            <w:r w:rsidRPr="00B8272B">
              <w:rPr>
                <w:rFonts w:ascii="Verdana" w:eastAsia="Calibri" w:hAnsi="Verdana" w:cs="Arial"/>
                <w:lang w:val="es-ES" w:eastAsia="es-ES"/>
              </w:rPr>
              <w:t xml:space="preserve">SOCIEDADES DE ECONOMÍA MIXTA – Naturaleza jurídica – Régimen de contratación / LIQUIDACIÓN DEL CONTRATO – Definición – Objetivo / </w:t>
            </w:r>
            <w:r w:rsidRPr="00B8272B">
              <w:rPr>
                <w:rFonts w:ascii="Verdana" w:eastAsia="Times New Roman" w:hAnsi="Verdana" w:cs="Arial"/>
                <w:lang w:val="es-ES"/>
              </w:rPr>
              <w:t xml:space="preserve">LIQUIDACIÓN BILATERAL – Naturaleza – Alcance </w:t>
            </w:r>
            <w:r w:rsidRPr="00B8272B">
              <w:rPr>
                <w:rFonts w:ascii="Verdana" w:eastAsia="Calibri" w:hAnsi="Verdana" w:cs="Arial"/>
                <w:lang w:val="es-ES" w:eastAsia="es-ES"/>
              </w:rPr>
              <w:t xml:space="preserve">– Salvedades / </w:t>
            </w:r>
            <w:r w:rsidRPr="00B8272B">
              <w:rPr>
                <w:rFonts w:ascii="Verdana" w:hAnsi="Verdana" w:cs="Arial"/>
                <w:bCs/>
                <w:lang w:val="es-ES" w:eastAsia="es-CO"/>
              </w:rPr>
              <w:t xml:space="preserve">LIQUIDACIÓN DE MUTUO ACUERDO – Entidades exceptuadas / </w:t>
            </w:r>
            <w:r w:rsidRPr="00B8272B">
              <w:rPr>
                <w:rFonts w:ascii="Verdana" w:hAnsi="Verdana" w:cs="Arial"/>
                <w:lang w:val="es-ES" w:eastAsia="es-ES"/>
              </w:rPr>
              <w:t xml:space="preserve">ENRIQUECIMIENTO SIN JUSTA CAUSA – Sentencia de Unificación del 19 de noviembre de 2012 – Alcance / ENRIQUECIMIENTO SIN JUSTA CAUSA – Nueva Postura – Sentencia de Unificación Jurisprudencial – Elementos – Prueba de la Actividad - Circunstancia Excepcional – Procedencia / LIQUIDACIÓN – Reconocimientos Económicos - Deber – Certificado de Disponibilidad Presupuestal – Registro Presupuestal </w:t>
            </w:r>
            <w:r w:rsidRPr="00B8272B">
              <w:rPr>
                <w:rFonts w:ascii="Verdana" w:eastAsia="Calibri" w:hAnsi="Verdana" w:cs="Arial"/>
                <w:lang w:val="es-ES" w:eastAsia="es-ES"/>
              </w:rPr>
              <w:t>/</w:t>
            </w:r>
            <w:r w:rsidRPr="00B8272B">
              <w:rPr>
                <w:rFonts w:ascii="Verdana" w:eastAsia="Calibri" w:hAnsi="Verdana" w:cs="Arial"/>
                <w:color w:val="000000" w:themeColor="text1"/>
                <w:lang w:val="es-ES" w:eastAsia="es-ES"/>
              </w:rPr>
              <w:t xml:space="preserve"> RESPONSABILIDAD – Contractual – Alcance.</w:t>
            </w:r>
          </w:p>
          <w:p w14:paraId="02E22643" w14:textId="77777777" w:rsidR="002707E7" w:rsidRPr="00B8272B" w:rsidRDefault="002707E7" w:rsidP="00E21D2F">
            <w:pPr>
              <w:tabs>
                <w:tab w:val="left" w:pos="426"/>
              </w:tabs>
              <w:spacing w:line="276" w:lineRule="auto"/>
              <w:jc w:val="both"/>
              <w:rPr>
                <w:rFonts w:ascii="Verdana" w:hAnsi="Verdana" w:cs="Arial"/>
                <w:bCs/>
                <w:lang w:val="es-ES" w:eastAsia="es-CO"/>
              </w:rPr>
            </w:pPr>
          </w:p>
        </w:tc>
        <w:tc>
          <w:tcPr>
            <w:tcW w:w="4179" w:type="dxa"/>
          </w:tcPr>
          <w:p w14:paraId="38E28BAB" w14:textId="77777777" w:rsidR="002707E7" w:rsidRPr="00B8272B" w:rsidRDefault="002707E7" w:rsidP="00E21D2F">
            <w:pPr>
              <w:spacing w:line="276" w:lineRule="auto"/>
              <w:jc w:val="both"/>
              <w:rPr>
                <w:rFonts w:ascii="Verdana" w:eastAsia="Calibri" w:hAnsi="Verdana" w:cs="Arial"/>
                <w:b/>
                <w:bCs/>
                <w:color w:val="000000" w:themeColor="text1"/>
                <w:lang w:val="es-ES" w:eastAsia="es-ES"/>
              </w:rPr>
            </w:pPr>
          </w:p>
          <w:p w14:paraId="6614E2DB" w14:textId="77777777" w:rsidR="002707E7" w:rsidRPr="00B8272B" w:rsidRDefault="002707E7" w:rsidP="00E21D2F">
            <w:pPr>
              <w:rPr>
                <w:rFonts w:ascii="Verdana" w:hAnsi="Verdana"/>
                <w:lang w:val="es-ES"/>
              </w:rPr>
            </w:pPr>
          </w:p>
        </w:tc>
      </w:tr>
      <w:tr w:rsidR="002707E7" w:rsidRPr="00B8272B" w14:paraId="628A89ED" w14:textId="77777777" w:rsidTr="00E21D2F">
        <w:trPr>
          <w:gridAfter w:val="1"/>
          <w:wAfter w:w="4179" w:type="dxa"/>
        </w:trPr>
        <w:tc>
          <w:tcPr>
            <w:tcW w:w="2689" w:type="dxa"/>
          </w:tcPr>
          <w:p w14:paraId="75F21692" w14:textId="77777777" w:rsidR="002707E7" w:rsidRPr="00B8272B" w:rsidRDefault="002707E7" w:rsidP="00E21D2F">
            <w:pPr>
              <w:jc w:val="both"/>
              <w:rPr>
                <w:rFonts w:ascii="Verdana" w:eastAsia="Calibri" w:hAnsi="Verdana" w:cs="Arial"/>
                <w:b/>
                <w:color w:val="000000" w:themeColor="text1"/>
                <w:lang w:val="es-ES" w:eastAsia="es-ES_tradnl"/>
              </w:rPr>
            </w:pPr>
            <w:r w:rsidRPr="00B8272B">
              <w:rPr>
                <w:rFonts w:ascii="Verdana" w:eastAsia="Calibri" w:hAnsi="Verdana" w:cs="Arial"/>
                <w:b/>
                <w:color w:val="000000" w:themeColor="text1"/>
                <w:lang w:val="es-ES" w:eastAsia="es-ES_tradnl"/>
              </w:rPr>
              <w:t>Radicación:</w:t>
            </w:r>
            <w:r w:rsidRPr="00B8272B">
              <w:rPr>
                <w:rFonts w:ascii="Verdana" w:eastAsia="Calibri" w:hAnsi="Verdana" w:cs="Arial"/>
                <w:color w:val="000000" w:themeColor="text1"/>
                <w:lang w:val="es-ES" w:eastAsia="es-ES_tradnl"/>
              </w:rPr>
              <w:t xml:space="preserve">               </w:t>
            </w:r>
          </w:p>
        </w:tc>
        <w:tc>
          <w:tcPr>
            <w:tcW w:w="6100" w:type="dxa"/>
          </w:tcPr>
          <w:p w14:paraId="6358D905" w14:textId="77777777" w:rsidR="002707E7" w:rsidRPr="00B8272B" w:rsidRDefault="002707E7" w:rsidP="00E21D2F">
            <w:pPr>
              <w:jc w:val="both"/>
              <w:rPr>
                <w:rFonts w:ascii="Verdana" w:eastAsia="Calibri" w:hAnsi="Verdana" w:cs="Arial"/>
                <w:color w:val="000000" w:themeColor="text1"/>
                <w:lang w:val="es-ES" w:eastAsia="es-ES_tradnl"/>
              </w:rPr>
            </w:pPr>
            <w:r w:rsidRPr="00B8272B">
              <w:rPr>
                <w:rFonts w:ascii="Verdana" w:eastAsia="Calibri" w:hAnsi="Verdana" w:cs="Arial"/>
                <w:color w:val="000000" w:themeColor="text1"/>
                <w:lang w:val="es-ES" w:eastAsia="es-ES_tradnl"/>
              </w:rPr>
              <w:t>Respuesta a la consulta con radicado No.</w:t>
            </w:r>
            <w:r w:rsidRPr="00B8272B">
              <w:rPr>
                <w:rFonts w:ascii="Verdana" w:hAnsi="Verdana"/>
                <w:lang w:val="es-ES"/>
              </w:rPr>
              <w:t xml:space="preserve"> 1_2026_06_10_007893</w:t>
            </w:r>
          </w:p>
        </w:tc>
      </w:tr>
    </w:tbl>
    <w:p w14:paraId="77DA45A0" w14:textId="77777777" w:rsidR="002707E7" w:rsidRPr="00B8272B" w:rsidRDefault="002707E7" w:rsidP="002707E7">
      <w:pPr>
        <w:spacing w:after="0" w:line="276" w:lineRule="auto"/>
        <w:jc w:val="both"/>
        <w:rPr>
          <w:rFonts w:ascii="Verdana" w:eastAsia="Calibri" w:hAnsi="Verdana" w:cs="Arial"/>
          <w:color w:val="000000" w:themeColor="text1"/>
          <w:lang w:val="es-ES" w:eastAsia="es-ES_tradnl"/>
        </w:rPr>
      </w:pPr>
    </w:p>
    <w:p w14:paraId="0BAE06FC" w14:textId="77777777" w:rsidR="002707E7" w:rsidRPr="00B8272B" w:rsidRDefault="002707E7" w:rsidP="002707E7">
      <w:pPr>
        <w:spacing w:after="0" w:line="240" w:lineRule="auto"/>
        <w:jc w:val="both"/>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Estimado Doctor Alvarino Carrillo:</w:t>
      </w:r>
    </w:p>
    <w:p w14:paraId="2E4EAEC4" w14:textId="77777777" w:rsidR="002707E7" w:rsidRPr="00B8272B" w:rsidRDefault="002707E7" w:rsidP="002707E7">
      <w:pPr>
        <w:tabs>
          <w:tab w:val="left" w:pos="3768"/>
        </w:tabs>
        <w:spacing w:after="0" w:line="276" w:lineRule="auto"/>
        <w:jc w:val="both"/>
        <w:rPr>
          <w:rFonts w:ascii="Verdana" w:eastAsia="Calibri" w:hAnsi="Verdana" w:cs="Arial"/>
          <w:color w:val="000000" w:themeColor="text1"/>
          <w:lang w:val="es-ES" w:eastAsia="es-ES"/>
        </w:rPr>
      </w:pPr>
    </w:p>
    <w:p w14:paraId="1B93580B" w14:textId="77777777" w:rsidR="002707E7" w:rsidRPr="00B8272B" w:rsidRDefault="002707E7" w:rsidP="002707E7">
      <w:pPr>
        <w:spacing w:after="0" w:line="276" w:lineRule="auto"/>
        <w:jc w:val="both"/>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En ejercicio de la competencia otorgada por los artículos 3, numeral 5º, y 11, numeral 8º, del Decreto Ley 4170 de 2011,</w:t>
      </w:r>
      <w:r w:rsidRPr="00B8272B">
        <w:rPr>
          <w:rFonts w:ascii="Verdana" w:eastAsia="Arial MT" w:hAnsi="Verdana" w:cs="Arial MT"/>
          <w:color w:val="000000" w:themeColor="text1"/>
          <w:lang w:val="es-ES" w:eastAsia="es-ES"/>
        </w:rPr>
        <w:t xml:space="preserve"> </w:t>
      </w:r>
      <w:r w:rsidRPr="00B8272B">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10 de junio de 2026, en la cual manifiesta lo siguiente:</w:t>
      </w:r>
      <w:r w:rsidRPr="00B8272B">
        <w:rPr>
          <w:rFonts w:ascii="Verdana" w:eastAsia="Calibri" w:hAnsi="Verdana" w:cs="Arial"/>
          <w:color w:val="000000" w:themeColor="text1"/>
          <w:lang w:val="es-ES" w:eastAsia="es-ES"/>
        </w:rPr>
        <w:t xml:space="preserve"> </w:t>
      </w:r>
    </w:p>
    <w:p w14:paraId="7EA5525E" w14:textId="77777777" w:rsidR="002707E7" w:rsidRPr="00B8272B" w:rsidRDefault="002707E7" w:rsidP="002707E7">
      <w:pPr>
        <w:spacing w:after="0" w:line="276" w:lineRule="auto"/>
        <w:jc w:val="both"/>
        <w:rPr>
          <w:rFonts w:ascii="Verdana" w:eastAsia="Calibri" w:hAnsi="Verdana" w:cs="Arial"/>
          <w:color w:val="000000" w:themeColor="text1"/>
          <w:lang w:val="es-ES" w:eastAsia="es-ES"/>
        </w:rPr>
      </w:pPr>
    </w:p>
    <w:p w14:paraId="2755DF14" w14:textId="77777777" w:rsidR="002707E7" w:rsidRPr="00B8272B" w:rsidRDefault="002707E7" w:rsidP="002707E7">
      <w:pPr>
        <w:spacing w:after="0"/>
        <w:ind w:left="709" w:right="709"/>
        <w:contextualSpacing/>
        <w:jc w:val="both"/>
        <w:rPr>
          <w:rFonts w:ascii="Verdana" w:eastAsia="Century Gothic" w:hAnsi="Verdana" w:cs="Century Gothic"/>
          <w:i/>
          <w:iCs/>
          <w:color w:val="000000" w:themeColor="text1"/>
          <w:sz w:val="20"/>
          <w:szCs w:val="20"/>
          <w:lang w:val="es-ES"/>
        </w:rPr>
      </w:pPr>
      <w:r w:rsidRPr="00B8272B">
        <w:rPr>
          <w:rFonts w:ascii="Verdana" w:eastAsia="Century Gothic" w:hAnsi="Verdana" w:cs="Century Gothic"/>
          <w:i/>
          <w:iCs/>
          <w:color w:val="000000" w:themeColor="text1"/>
          <w:sz w:val="20"/>
          <w:szCs w:val="20"/>
          <w:lang w:val="es-ES"/>
        </w:rPr>
        <w:t xml:space="preserve">“De manera atenta, y con el propósito de obtener la orientación jurídica de esa Agencia, me permito exponer los antecedentes y formular las </w:t>
      </w:r>
      <w:r w:rsidRPr="00B8272B">
        <w:rPr>
          <w:rFonts w:ascii="Verdana" w:eastAsia="Century Gothic" w:hAnsi="Verdana" w:cs="Century Gothic"/>
          <w:i/>
          <w:iCs/>
          <w:color w:val="000000" w:themeColor="text1"/>
          <w:sz w:val="20"/>
          <w:szCs w:val="20"/>
          <w:lang w:val="es-ES"/>
        </w:rPr>
        <w:lastRenderedPageBreak/>
        <w:t>consultas relacionadas con la liquidación de los contratos celebrados por NUEVA EPS S.A., cuyo marco jurídico reciente exige precisiones sobre los efectos derivados de la recomposición de su capital social.</w:t>
      </w:r>
    </w:p>
    <w:p w14:paraId="245BD0B8" w14:textId="77777777" w:rsidR="002707E7" w:rsidRPr="00C0429D" w:rsidRDefault="002707E7" w:rsidP="002707E7">
      <w:pPr>
        <w:spacing w:after="0"/>
        <w:ind w:left="709"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Mediante Escritura Pública No. 0000753 del 22 de marzo de 2007, otorgada en la Notaría 30 de Bogotá D.C., e inscrita en la Cámara de Comercio el 31 de mayo de 2007 bajo el número 01134885 del Libro IX, se constituyó la sociedad comercial denominada NUEVA EMPRESA PROMOTORA DE SALUD S.A. Actualmente, la entidad se encuentra bajo medida de toma de posesión para administrar, lo cual ha implicado la intervención estatal para asegurar la continuidad y estabilidad en la prestación del servicio público de salud.</w:t>
      </w:r>
    </w:p>
    <w:p w14:paraId="7162DD23" w14:textId="77777777" w:rsidR="002707E7" w:rsidRPr="00C0429D" w:rsidRDefault="002707E7" w:rsidP="002707E7">
      <w:pPr>
        <w:spacing w:after="0"/>
        <w:ind w:left="709"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De conformidad con la Resolución 2026310010000027-6 del 5 de enero de 2026, expedida por la Superintendencia Nacional de Salud, la Nación —por intermedio del Ministerio de Hacienda y Crédito Público— adquirió la calidad de accionista mayoritario, con una participación equivalente al 50,79 % del capital social de la entidad. Tal modificación representa una variación sustancial de su composición accionaria, razón por la cual resulta indispensable definir los efectos jurídicos frente a su régimen de contratación, particularmente en materia de liquidación de los contratos.</w:t>
      </w:r>
    </w:p>
    <w:p w14:paraId="78CA6DB0" w14:textId="77777777" w:rsidR="002707E7" w:rsidRPr="00C0429D" w:rsidRDefault="002707E7" w:rsidP="002707E7">
      <w:pPr>
        <w:spacing w:after="0"/>
        <w:ind w:left="709"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En virtud de los antecedentes expuestos, respetuosamente someto a consideración de esa Agencia las siguientes inquietudes jurídicas:</w:t>
      </w:r>
    </w:p>
    <w:p w14:paraId="08DF0163"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¿Qué régimen debe aplicarse para la liquidación de los contratos que se encontraban en ejecución al momento en que se materializó la recomposición accionaria: el vigente al momento de su celebración o el derivado de la nueva composición societaria?</w:t>
      </w:r>
    </w:p>
    <w:p w14:paraId="6E44DD99"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¿Cuáles son los lineamientos jurídicos que deben observarse para adelantar la liquidación bilateral o unilateral de los contratos, en el contexto de una entidad sometida a toma de posesión para administrar y cuya participación del Estado es mayor al 50%?</w:t>
      </w:r>
    </w:p>
    <w:p w14:paraId="62F61DFB"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En los casos en que se evidencie la ejecución de prestaciones por encima del valor contractual inicialmente pactado (contratos sobre ejecutados), ¿es jurídicamente procedente reconocer y pagar dichos valores en sede de liquidación? ¿Bajo qué condiciones?</w:t>
      </w:r>
    </w:p>
    <w:p w14:paraId="16E91980"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¿Qué figuras jurídicas permitirían respaldar el reconocimiento de mayores cuantías ejecutadas (por ejemplo, enriquecimiento sin causa, pago de lo no debido, o teoría de la imprevisión)?</w:t>
      </w:r>
    </w:p>
    <w:p w14:paraId="07840BE2"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¿Qué implicaciones jurídicas y responsabilidades podrían derivarse para NUEVA EPS S.A. y/o el contratista, proveedor o prestador cuando se presenta una ejecución contractual por fuera de los valores o condiciones pactadas?</w:t>
      </w:r>
    </w:p>
    <w:p w14:paraId="6FC8A268"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¿Cuál es el procedimiento idóneo para sanear o regularizar jurídicamente los contratos que presentan sobre ejecución, especialmente en el marco de la liquidación contractual?</w:t>
      </w:r>
    </w:p>
    <w:p w14:paraId="7F0B70A8"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lastRenderedPageBreak/>
        <w:t>¿Qué tipo de soportes técnicos, financieros y jurídicos deben exigirse para validar la ejecución adicional en los contratos sobre ejecutados de cara a su liquidación?</w:t>
      </w:r>
    </w:p>
    <w:p w14:paraId="74EDC70D"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¿Qué consideraciones deben tenerse en cuenta frente al control fiscal, disciplinario y eventualmente penal en el reconocimiento de valores derivados de una sobre ejecución contractual?</w:t>
      </w:r>
    </w:p>
    <w:p w14:paraId="60FA3ED3"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¿Cómo incide la medida de toma de posesión para administrar en los procesos de liquidación contractual, particularmente en lo relacionado con la toma de decisiones sobre pagos, conciliaciones y reconocimiento de obligaciones?</w:t>
      </w:r>
    </w:p>
    <w:p w14:paraId="7B48FD4A" w14:textId="77777777" w:rsidR="002707E7" w:rsidRPr="00C0429D" w:rsidRDefault="002707E7" w:rsidP="002707E7">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¿Existen lineamientos específicos emitidos por la Superintendencia Nacional de Salud u otras autoridades competentes que deban observarse en la liquidación de contratos y el manejo de sobre ejecuciones en entidades intervenidas, y en donde el porcentaje de participación del Estado es mayor al 50%?</w:t>
      </w:r>
    </w:p>
    <w:p w14:paraId="3A29FB84" w14:textId="77777777" w:rsidR="002707E7" w:rsidRPr="00B8272B" w:rsidRDefault="002707E7" w:rsidP="002707E7">
      <w:pPr>
        <w:spacing w:after="0"/>
        <w:ind w:left="709" w:right="709"/>
        <w:contextualSpacing/>
        <w:jc w:val="both"/>
        <w:rPr>
          <w:rFonts w:ascii="Verdana" w:eastAsia="Century Gothic" w:hAnsi="Verdana" w:cs="Century Gothic"/>
          <w:i/>
          <w:iCs/>
          <w:color w:val="000000" w:themeColor="text1"/>
          <w:sz w:val="20"/>
          <w:szCs w:val="20"/>
          <w:lang w:val="es-ES"/>
        </w:rPr>
      </w:pPr>
      <w:r w:rsidRPr="00C0429D">
        <w:rPr>
          <w:rFonts w:ascii="Verdana" w:eastAsia="Century Gothic" w:hAnsi="Verdana" w:cs="Century Gothic"/>
          <w:i/>
          <w:iCs/>
          <w:color w:val="000000" w:themeColor="text1"/>
          <w:sz w:val="20"/>
          <w:szCs w:val="20"/>
          <w:lang w:val="es-ES"/>
        </w:rPr>
        <w:t>La finalidad es establecer el alcance del principio de conservación de los actos y contratos jurídicamente perfeccionados frente a los efectos ex nunc de la variación de la participación estatal</w:t>
      </w:r>
      <w:r w:rsidRPr="00B8272B">
        <w:rPr>
          <w:rFonts w:ascii="Verdana" w:eastAsia="Century Gothic" w:hAnsi="Verdana" w:cs="Century Gothic"/>
          <w:i/>
          <w:iCs/>
          <w:color w:val="000000" w:themeColor="text1"/>
          <w:sz w:val="20"/>
          <w:szCs w:val="20"/>
          <w:lang w:val="es-ES"/>
        </w:rPr>
        <w:t>”</w:t>
      </w:r>
    </w:p>
    <w:p w14:paraId="77A2C5B3" w14:textId="77777777" w:rsidR="002707E7" w:rsidRPr="00B8272B" w:rsidRDefault="002707E7" w:rsidP="002707E7">
      <w:pPr>
        <w:spacing w:after="0"/>
        <w:ind w:left="709" w:right="709"/>
        <w:contextualSpacing/>
        <w:jc w:val="both"/>
        <w:rPr>
          <w:rFonts w:ascii="Verdana" w:eastAsia="Century Gothic" w:hAnsi="Verdana" w:cs="Century Gothic"/>
          <w:i/>
          <w:color w:val="000000" w:themeColor="text1"/>
          <w:sz w:val="20"/>
          <w:szCs w:val="20"/>
          <w:lang w:val="es-ES"/>
        </w:rPr>
      </w:pPr>
    </w:p>
    <w:p w14:paraId="3A87608F" w14:textId="77777777" w:rsidR="002707E7" w:rsidRPr="00B8272B" w:rsidRDefault="002707E7" w:rsidP="002707E7">
      <w:pPr>
        <w:spacing w:after="0" w:line="276" w:lineRule="auto"/>
        <w:contextualSpacing/>
        <w:jc w:val="both"/>
        <w:rPr>
          <w:rFonts w:ascii="Verdana" w:eastAsia="Calibri" w:hAnsi="Verdana" w:cs="Arial"/>
          <w:color w:val="000000" w:themeColor="text1"/>
          <w:szCs w:val="24"/>
          <w:lang w:val="es-ES" w:eastAsia="es-ES_tradnl"/>
        </w:rPr>
      </w:pPr>
      <w:r w:rsidRPr="00B8272B">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8272B">
        <w:rPr>
          <w:rFonts w:ascii="Verdana" w:eastAsia="Calibri" w:hAnsi="Verdana" w:cs="Arial"/>
          <w:color w:val="000000" w:themeColor="text1"/>
          <w:szCs w:val="24"/>
          <w:lang w:val="es-ES" w:eastAsia="es-ES_tradnl"/>
        </w:rPr>
        <w:tab/>
      </w:r>
    </w:p>
    <w:p w14:paraId="76902397" w14:textId="77777777" w:rsidR="002707E7" w:rsidRPr="00B8272B" w:rsidRDefault="002707E7" w:rsidP="002707E7">
      <w:pPr>
        <w:spacing w:before="120" w:after="120" w:line="276" w:lineRule="auto"/>
        <w:ind w:firstLine="709"/>
        <w:jc w:val="both"/>
        <w:rPr>
          <w:rFonts w:ascii="Verdana" w:eastAsia="Calibri" w:hAnsi="Verdana" w:cs="Arial"/>
          <w:color w:val="000000" w:themeColor="text1"/>
          <w:lang w:val="es-ES" w:eastAsia="es-ES"/>
        </w:rPr>
      </w:pPr>
      <w:r w:rsidRPr="00B8272B">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2B2494D" w14:textId="77777777" w:rsidR="002707E7" w:rsidRPr="00B8272B" w:rsidRDefault="002707E7" w:rsidP="002707E7">
      <w:pPr>
        <w:spacing w:after="0" w:line="276" w:lineRule="auto"/>
        <w:jc w:val="both"/>
        <w:rPr>
          <w:rFonts w:ascii="Verdana" w:eastAsia="Calibri" w:hAnsi="Verdana" w:cs="Arial"/>
          <w:color w:val="000000" w:themeColor="text1"/>
          <w:lang w:val="es-ES" w:eastAsia="es-ES"/>
        </w:rPr>
      </w:pPr>
    </w:p>
    <w:p w14:paraId="5CB2C2BF" w14:textId="77777777" w:rsidR="002707E7" w:rsidRPr="00B8272B" w:rsidRDefault="002707E7" w:rsidP="002707E7">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B8272B">
        <w:rPr>
          <w:rFonts w:ascii="Verdana" w:eastAsia="Century Gothic" w:hAnsi="Verdana" w:cs="Century Gothic"/>
          <w:b/>
          <w:bCs/>
          <w:color w:val="000000" w:themeColor="text1"/>
        </w:rPr>
        <w:lastRenderedPageBreak/>
        <w:t>Problema planteado:</w:t>
      </w:r>
    </w:p>
    <w:p w14:paraId="50E606EE" w14:textId="77777777" w:rsidR="002707E7" w:rsidRPr="00B8272B" w:rsidRDefault="002707E7" w:rsidP="002707E7">
      <w:pPr>
        <w:tabs>
          <w:tab w:val="left" w:pos="426"/>
        </w:tabs>
        <w:spacing w:after="0" w:line="276" w:lineRule="auto"/>
        <w:jc w:val="both"/>
        <w:rPr>
          <w:rFonts w:ascii="Verdana" w:eastAsia="Century Gothic" w:hAnsi="Verdana" w:cs="Century Gothic"/>
          <w:color w:val="000000" w:themeColor="text1"/>
          <w:lang w:val="es-ES"/>
        </w:rPr>
      </w:pPr>
    </w:p>
    <w:p w14:paraId="59E9E94E" w14:textId="3294DCB8" w:rsidR="002707E7" w:rsidRPr="00B8272B" w:rsidRDefault="002707E7" w:rsidP="00DD6D95">
      <w:pPr>
        <w:spacing w:after="0" w:line="276" w:lineRule="auto"/>
        <w:jc w:val="both"/>
        <w:rPr>
          <w:rFonts w:ascii="Verdana" w:eastAsia="Century Gothic" w:hAnsi="Verdana" w:cs="Century Gothic"/>
          <w:iCs/>
          <w:color w:val="000000" w:themeColor="text1"/>
          <w:lang w:val="es-ES"/>
        </w:rPr>
      </w:pPr>
      <w:r w:rsidRPr="00B8272B">
        <w:rPr>
          <w:rFonts w:ascii="Verdana" w:eastAsia="Century Gothic" w:hAnsi="Verdana" w:cs="Century Gothic"/>
          <w:color w:val="000000" w:themeColor="text1"/>
          <w:lang w:val="es-ES"/>
        </w:rPr>
        <w:t>De acuerdo con el contenido de su solicitud, esta Agencia resolverá los siguientes problemas jurídicos:</w:t>
      </w:r>
      <w:r w:rsidR="0052363C">
        <w:rPr>
          <w:rFonts w:ascii="Verdana" w:eastAsia="Century Gothic" w:hAnsi="Verdana" w:cs="Century Gothic"/>
          <w:color w:val="000000" w:themeColor="text1"/>
          <w:lang w:val="es-ES"/>
        </w:rPr>
        <w:t xml:space="preserve"> </w:t>
      </w:r>
      <w:r w:rsidRPr="00B8272B">
        <w:rPr>
          <w:rFonts w:ascii="Verdana" w:eastAsia="Century Gothic" w:hAnsi="Verdana" w:cs="Century Gothic"/>
          <w:iCs/>
          <w:color w:val="000000" w:themeColor="text1"/>
          <w:lang w:val="es-ES"/>
        </w:rPr>
        <w:t xml:space="preserve">i) </w:t>
      </w:r>
      <w:r w:rsidRPr="00B645BA">
        <w:rPr>
          <w:rFonts w:ascii="Verdana" w:eastAsia="Century Gothic" w:hAnsi="Verdana" w:cs="Century Gothic"/>
          <w:iCs/>
          <w:color w:val="000000" w:themeColor="text1"/>
          <w:lang w:val="es-ES"/>
        </w:rPr>
        <w:t>¿Cuál es el régimen de contratación aplicable a las Empresas Promotoras de Salud constituidas como sociedades de economía mixta en las que el Estado tiene una participación superior al cincuenta por ciento (50%)?</w:t>
      </w:r>
      <w:r w:rsidR="0052363C">
        <w:rPr>
          <w:rFonts w:ascii="Verdana" w:eastAsia="Century Gothic" w:hAnsi="Verdana" w:cs="Century Gothic"/>
          <w:iCs/>
          <w:color w:val="000000" w:themeColor="text1"/>
          <w:lang w:val="es-ES"/>
        </w:rPr>
        <w:t xml:space="preserve">; </w:t>
      </w:r>
      <w:proofErr w:type="spellStart"/>
      <w:r w:rsidRPr="00B8272B">
        <w:rPr>
          <w:rFonts w:ascii="Verdana" w:eastAsia="Century Gothic" w:hAnsi="Verdana" w:cs="Century Gothic"/>
          <w:iCs/>
          <w:color w:val="000000" w:themeColor="text1"/>
          <w:lang w:val="es-ES"/>
        </w:rPr>
        <w:t>ii</w:t>
      </w:r>
      <w:proofErr w:type="spellEnd"/>
      <w:r w:rsidRPr="00B8272B">
        <w:rPr>
          <w:rFonts w:ascii="Verdana" w:eastAsia="Century Gothic" w:hAnsi="Verdana" w:cs="Century Gothic"/>
          <w:iCs/>
          <w:color w:val="000000" w:themeColor="text1"/>
          <w:lang w:val="es-ES"/>
        </w:rPr>
        <w:t xml:space="preserve">) </w:t>
      </w:r>
      <w:r w:rsidRPr="00B645BA">
        <w:rPr>
          <w:rFonts w:ascii="Verdana" w:eastAsia="Century Gothic" w:hAnsi="Verdana" w:cs="Century Gothic"/>
          <w:iCs/>
          <w:color w:val="000000" w:themeColor="text1"/>
          <w:lang w:val="es-ES"/>
        </w:rPr>
        <w:t>¿Qué régimen jurídico rige la liquidación de los contratos celebrados por una Entidad Estatal cuando, con posterioridad a su celebración, se modifica su régimen de contratación?</w:t>
      </w:r>
      <w:r w:rsidR="0052363C">
        <w:rPr>
          <w:rFonts w:ascii="Verdana" w:eastAsia="Century Gothic" w:hAnsi="Verdana" w:cs="Century Gothic"/>
          <w:iCs/>
          <w:color w:val="000000" w:themeColor="text1"/>
          <w:lang w:val="es-ES"/>
        </w:rPr>
        <w:t xml:space="preserve">; </w:t>
      </w:r>
      <w:proofErr w:type="spellStart"/>
      <w:r w:rsidRPr="00B8272B">
        <w:rPr>
          <w:rFonts w:ascii="Verdana" w:eastAsia="Century Gothic" w:hAnsi="Verdana" w:cs="Century Gothic"/>
          <w:iCs/>
          <w:color w:val="000000" w:themeColor="text1"/>
          <w:lang w:val="es-ES"/>
        </w:rPr>
        <w:t>iii</w:t>
      </w:r>
      <w:proofErr w:type="spellEnd"/>
      <w:r w:rsidRPr="00B8272B">
        <w:rPr>
          <w:rFonts w:ascii="Verdana" w:eastAsia="Century Gothic" w:hAnsi="Verdana" w:cs="Century Gothic"/>
          <w:iCs/>
          <w:color w:val="000000" w:themeColor="text1"/>
          <w:lang w:val="es-ES"/>
        </w:rPr>
        <w:t xml:space="preserve">) </w:t>
      </w:r>
      <w:r w:rsidRPr="00B645BA">
        <w:rPr>
          <w:rFonts w:ascii="Verdana" w:eastAsia="Century Gothic" w:hAnsi="Verdana" w:cs="Century Gothic"/>
          <w:iCs/>
          <w:color w:val="000000" w:themeColor="text1"/>
          <w:lang w:val="es-ES"/>
        </w:rPr>
        <w:t>¿Las Entidades Estatales con régimen especial de contratación están obligadas a liquidar sus contratos y les resulta aplicable la liquidación unilateral?</w:t>
      </w:r>
      <w:r w:rsidR="0052363C">
        <w:rPr>
          <w:rFonts w:ascii="Verdana" w:eastAsia="Century Gothic" w:hAnsi="Verdana" w:cs="Century Gothic"/>
          <w:iCs/>
          <w:color w:val="000000" w:themeColor="text1"/>
          <w:lang w:val="es-ES"/>
        </w:rPr>
        <w:t>;</w:t>
      </w:r>
      <w:r w:rsidRPr="00B645BA">
        <w:rPr>
          <w:rFonts w:ascii="Verdana" w:eastAsia="Century Gothic" w:hAnsi="Verdana" w:cs="Century Gothic"/>
          <w:iCs/>
          <w:color w:val="000000" w:themeColor="text1"/>
          <w:lang w:val="es-ES"/>
        </w:rPr>
        <w:t xml:space="preserve"> </w:t>
      </w:r>
      <w:proofErr w:type="spellStart"/>
      <w:r w:rsidRPr="00B8272B">
        <w:rPr>
          <w:rFonts w:ascii="Verdana" w:eastAsia="Century Gothic" w:hAnsi="Verdana" w:cs="Century Gothic"/>
          <w:iCs/>
          <w:color w:val="000000" w:themeColor="text1"/>
          <w:lang w:val="es-ES"/>
        </w:rPr>
        <w:t>iv</w:t>
      </w:r>
      <w:proofErr w:type="spellEnd"/>
      <w:r w:rsidRPr="00B8272B">
        <w:rPr>
          <w:rFonts w:ascii="Verdana" w:eastAsia="Century Gothic" w:hAnsi="Verdana" w:cs="Century Gothic"/>
          <w:iCs/>
          <w:color w:val="000000" w:themeColor="text1"/>
          <w:lang w:val="es-ES"/>
        </w:rPr>
        <w:t xml:space="preserve">) </w:t>
      </w:r>
      <w:r w:rsidRPr="00B645BA">
        <w:rPr>
          <w:rFonts w:ascii="Verdana" w:eastAsia="Century Gothic" w:hAnsi="Verdana" w:cs="Century Gothic"/>
          <w:iCs/>
          <w:color w:val="000000" w:themeColor="text1"/>
          <w:lang w:val="es-ES"/>
        </w:rPr>
        <w:t>¿Es procedente reconocer y pagar, en la liquidación del contrato, la ejecución de mayores cantidades de ítems pactados o de prestaciones no previstas en el contrato inicial?</w:t>
      </w:r>
      <w:r w:rsidR="0052363C">
        <w:rPr>
          <w:rFonts w:ascii="Verdana" w:eastAsia="Century Gothic" w:hAnsi="Verdana" w:cs="Century Gothic"/>
          <w:iCs/>
          <w:color w:val="000000" w:themeColor="text1"/>
          <w:lang w:val="es-ES"/>
        </w:rPr>
        <w:t xml:space="preserve">; </w:t>
      </w:r>
      <w:r w:rsidRPr="00B8272B">
        <w:rPr>
          <w:rFonts w:ascii="Verdana" w:eastAsia="Century Gothic" w:hAnsi="Verdana" w:cs="Century Gothic"/>
          <w:iCs/>
          <w:color w:val="000000" w:themeColor="text1"/>
          <w:lang w:val="es-ES"/>
        </w:rPr>
        <w:t xml:space="preserve">v) </w:t>
      </w:r>
      <w:r w:rsidRPr="00B645BA">
        <w:rPr>
          <w:rFonts w:ascii="Verdana" w:eastAsia="Century Gothic" w:hAnsi="Verdana" w:cs="Century Gothic"/>
          <w:iCs/>
          <w:color w:val="000000" w:themeColor="text1"/>
          <w:lang w:val="es-ES"/>
        </w:rPr>
        <w:t>¿Cuáles son los elementos que deben acreditarse para el reconocimiento de la compensación derivada del enriquecimiento sin justa causa?</w:t>
      </w:r>
      <w:r w:rsidR="0052363C">
        <w:rPr>
          <w:rFonts w:ascii="Verdana" w:eastAsia="Century Gothic" w:hAnsi="Verdana" w:cs="Century Gothic"/>
          <w:iCs/>
          <w:color w:val="000000" w:themeColor="text1"/>
          <w:lang w:val="es-ES"/>
        </w:rPr>
        <w:t xml:space="preserve">; </w:t>
      </w:r>
      <w:r w:rsidRPr="00B8272B">
        <w:rPr>
          <w:rFonts w:ascii="Verdana" w:eastAsia="Century Gothic" w:hAnsi="Verdana" w:cs="Century Gothic"/>
          <w:iCs/>
          <w:color w:val="000000" w:themeColor="text1"/>
          <w:lang w:val="es-ES"/>
        </w:rPr>
        <w:t xml:space="preserve">vi) </w:t>
      </w:r>
      <w:r w:rsidRPr="00B645BA">
        <w:rPr>
          <w:rFonts w:ascii="Verdana" w:eastAsia="Century Gothic" w:hAnsi="Verdana" w:cs="Century Gothic"/>
          <w:iCs/>
          <w:color w:val="000000" w:themeColor="text1"/>
          <w:lang w:val="es-ES"/>
        </w:rPr>
        <w:t>¿Cuál es el mecanismo para sanear los vicios de nulidad en los contratos celebrados por Entidades Estatales con régimen especial de contratación?</w:t>
      </w:r>
      <w:r w:rsidR="0052363C">
        <w:rPr>
          <w:rFonts w:ascii="Verdana" w:eastAsia="Century Gothic" w:hAnsi="Verdana" w:cs="Century Gothic"/>
          <w:iCs/>
          <w:color w:val="000000" w:themeColor="text1"/>
          <w:lang w:val="es-ES"/>
        </w:rPr>
        <w:t xml:space="preserve">; </w:t>
      </w:r>
      <w:proofErr w:type="spellStart"/>
      <w:r w:rsidRPr="00B8272B">
        <w:rPr>
          <w:rFonts w:ascii="Verdana" w:eastAsia="Century Gothic" w:hAnsi="Verdana" w:cs="Century Gothic"/>
          <w:iCs/>
          <w:color w:val="000000" w:themeColor="text1"/>
          <w:lang w:val="es-ES"/>
        </w:rPr>
        <w:t>vii</w:t>
      </w:r>
      <w:proofErr w:type="spellEnd"/>
      <w:r w:rsidRPr="00B8272B">
        <w:rPr>
          <w:rFonts w:ascii="Verdana" w:eastAsia="Century Gothic" w:hAnsi="Verdana" w:cs="Century Gothic"/>
          <w:iCs/>
          <w:color w:val="000000" w:themeColor="text1"/>
          <w:lang w:val="es-ES"/>
        </w:rPr>
        <w:t xml:space="preserve">) </w:t>
      </w:r>
      <w:r w:rsidRPr="00B645BA">
        <w:rPr>
          <w:rFonts w:ascii="Verdana" w:eastAsia="Century Gothic" w:hAnsi="Verdana" w:cs="Century Gothic"/>
          <w:iCs/>
          <w:color w:val="000000" w:themeColor="text1"/>
          <w:lang w:val="es-ES"/>
        </w:rPr>
        <w:t>¿Qué soportes puede exigir la Entidad Estatal con régimen especial de contratación para validar la ejecución de prestaciones adicionales?</w:t>
      </w:r>
      <w:r w:rsidR="0052363C">
        <w:rPr>
          <w:rFonts w:ascii="Verdana" w:eastAsia="Century Gothic" w:hAnsi="Verdana" w:cs="Century Gothic"/>
          <w:iCs/>
          <w:color w:val="000000" w:themeColor="text1"/>
          <w:lang w:val="es-ES"/>
        </w:rPr>
        <w:t xml:space="preserve">; y </w:t>
      </w:r>
      <w:proofErr w:type="spellStart"/>
      <w:r w:rsidRPr="00B8272B">
        <w:rPr>
          <w:rFonts w:ascii="Verdana" w:eastAsia="Century Gothic" w:hAnsi="Verdana" w:cs="Century Gothic"/>
          <w:iCs/>
          <w:color w:val="000000" w:themeColor="text1"/>
          <w:lang w:val="es-ES"/>
        </w:rPr>
        <w:t>viii</w:t>
      </w:r>
      <w:proofErr w:type="spellEnd"/>
      <w:r w:rsidRPr="00B8272B">
        <w:rPr>
          <w:rFonts w:ascii="Verdana" w:eastAsia="Century Gothic" w:hAnsi="Verdana" w:cs="Century Gothic"/>
          <w:iCs/>
          <w:color w:val="000000" w:themeColor="text1"/>
          <w:lang w:val="es-ES"/>
        </w:rPr>
        <w:t>) ¿Cómo se determina la responsabilidad de los sujetos que intervienen en la actividad contractual?</w:t>
      </w:r>
    </w:p>
    <w:p w14:paraId="7DA8437A" w14:textId="77777777" w:rsidR="002707E7" w:rsidRPr="00B8272B" w:rsidRDefault="002707E7" w:rsidP="002707E7">
      <w:pPr>
        <w:spacing w:after="0" w:line="276" w:lineRule="auto"/>
        <w:jc w:val="both"/>
        <w:rPr>
          <w:rFonts w:ascii="Verdana" w:eastAsia="Calibri" w:hAnsi="Verdana" w:cs="Arial"/>
          <w:color w:val="000000" w:themeColor="text1"/>
          <w:lang w:val="es-ES"/>
        </w:rPr>
      </w:pPr>
    </w:p>
    <w:p w14:paraId="3B319FF9" w14:textId="77777777" w:rsidR="002707E7" w:rsidRPr="00B8272B" w:rsidRDefault="002707E7" w:rsidP="002707E7">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8272B">
        <w:rPr>
          <w:rFonts w:ascii="Verdana" w:eastAsia="Century Gothic" w:hAnsi="Verdana" w:cs="Century Gothic"/>
          <w:b/>
          <w:bCs/>
          <w:color w:val="000000" w:themeColor="text1"/>
        </w:rPr>
        <w:t>Respuesta:</w:t>
      </w:r>
    </w:p>
    <w:p w14:paraId="79D2E8A6" w14:textId="77777777" w:rsidR="002707E7" w:rsidRPr="00B8272B" w:rsidRDefault="002707E7" w:rsidP="002707E7">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707E7" w:rsidRPr="00B8272B" w14:paraId="5BAB97D8" w14:textId="77777777" w:rsidTr="00E21D2F">
        <w:tc>
          <w:tcPr>
            <w:tcW w:w="8828" w:type="dxa"/>
          </w:tcPr>
          <w:p w14:paraId="2B34164D" w14:textId="13E4498D" w:rsidR="002707E7" w:rsidRDefault="002707E7" w:rsidP="00E21D2F">
            <w:pPr>
              <w:spacing w:after="120" w:line="276" w:lineRule="auto"/>
              <w:jc w:val="both"/>
              <w:rPr>
                <w:rFonts w:ascii="Verdana" w:eastAsia="Arial" w:hAnsi="Verdana" w:cs="Arial"/>
              </w:rPr>
            </w:pPr>
            <w:r w:rsidRPr="00DD6D95">
              <w:rPr>
                <w:rFonts w:ascii="Verdana" w:eastAsia="Arial" w:hAnsi="Verdana" w:cs="Arial"/>
              </w:rPr>
              <w:t>i</w:t>
            </w:r>
            <w:r w:rsidR="0052363C" w:rsidRPr="00DD6D95">
              <w:rPr>
                <w:rFonts w:ascii="Verdana" w:eastAsia="Arial" w:hAnsi="Verdana" w:cs="Arial"/>
                <w:lang w:val="es-MX"/>
              </w:rPr>
              <w:t>.</w:t>
            </w:r>
            <w:r w:rsidRPr="00B8272B">
              <w:rPr>
                <w:rFonts w:ascii="Verdana" w:eastAsia="Arial" w:hAnsi="Verdana" w:cs="Arial"/>
              </w:rPr>
              <w:t xml:space="preserve"> El artículo 180 de la Ley 100 de 1993 establece que las Empresas Promotoras de Salud pueden ser públicas, privadas o mixtas. Las mixtas se constituyen como sociedades de economía mixta, en los términos del artículo 97 de la Ley 489 de 1998, y su régimen de contratación se determina conforme al artículo 14 de la Ley 1150 de 2007, modificado por el artículo 93 de la Ley 1474 de 2011.</w:t>
            </w:r>
          </w:p>
          <w:p w14:paraId="08485454"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Esta disposición somete al Estatuto General de Contratación de la Administración Pública</w:t>
            </w:r>
            <w:r>
              <w:rPr>
                <w:rFonts w:ascii="Verdana" w:eastAsia="Arial" w:hAnsi="Verdana" w:cs="Arial"/>
              </w:rPr>
              <w:t xml:space="preserve"> –en adelante, EGCAP–</w:t>
            </w:r>
            <w:r w:rsidRPr="00B8272B">
              <w:rPr>
                <w:rFonts w:ascii="Verdana" w:eastAsia="Arial" w:hAnsi="Verdana" w:cs="Arial"/>
              </w:rPr>
              <w:t xml:space="preserve"> a las sociedades de economía mixta en las que el Estado tenga participación superior al cincuenta por ciento (50%). Sin embargo, la regla no es absoluta, pues exceptúa a aquellas que desarrollen actividades comerciales en competencia con el sector privado y/o público, nacional o internacional, o en mercados regulados, caso en el cual se </w:t>
            </w:r>
            <w:r w:rsidRPr="00B8272B">
              <w:rPr>
                <w:rFonts w:ascii="Verdana" w:eastAsia="Arial" w:hAnsi="Verdana" w:cs="Arial"/>
              </w:rPr>
              <w:lastRenderedPageBreak/>
              <w:t>rigen por las disposiciones legales y reglamentarias aplicables a sus actividades económicas y comerciales.</w:t>
            </w:r>
          </w:p>
          <w:p w14:paraId="59D7D183"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En consecuencia, el régimen contractual de una sociedad de economía mixta no varía automáticamente por el hecho de que la participación estatal supere el cincuenta por ciento (50%). La actividad contractual de una Empresa Promotora de Salud que opera el aseguramiento en salud, en un mercado regulado y en competencia con aseguradores privados, se rige por el derecho privado, sin perjuicio de la aplicación de los principios de la función administrativa y de la gestión fiscal previstos en los artículos 209 y 267 de la Constitución Política y del régimen de inhabilidades e incompatibilidades.</w:t>
            </w:r>
          </w:p>
          <w:p w14:paraId="478D74DE" w14:textId="1B98D35D" w:rsidR="002707E7" w:rsidRPr="00B8272B" w:rsidRDefault="002707E7" w:rsidP="00E21D2F">
            <w:pPr>
              <w:spacing w:after="120" w:line="276" w:lineRule="auto"/>
              <w:jc w:val="both"/>
              <w:rPr>
                <w:rFonts w:ascii="Verdana" w:eastAsia="Arial" w:hAnsi="Verdana" w:cs="Arial"/>
              </w:rPr>
            </w:pPr>
            <w:proofErr w:type="spellStart"/>
            <w:r w:rsidRPr="00DD6D95">
              <w:rPr>
                <w:rFonts w:ascii="Verdana" w:eastAsia="Arial" w:hAnsi="Verdana" w:cs="Arial"/>
              </w:rPr>
              <w:t>ii</w:t>
            </w:r>
            <w:proofErr w:type="spellEnd"/>
            <w:r w:rsidR="0052363C">
              <w:rPr>
                <w:rFonts w:ascii="Verdana" w:eastAsia="Arial" w:hAnsi="Verdana" w:cs="Arial"/>
                <w:lang w:val="es-MX"/>
              </w:rPr>
              <w:t xml:space="preserve">. </w:t>
            </w:r>
            <w:r w:rsidRPr="00B8272B">
              <w:rPr>
                <w:rFonts w:ascii="Verdana" w:eastAsia="Arial" w:hAnsi="Verdana" w:cs="Arial"/>
              </w:rPr>
              <w:t>Conforme al artículo 38 de la Ley 153 de 1887, en todo contrato se entienden incorporadas las leyes vigentes al tiempo de su celebración, salvo las normas procesales y las sancionatorias. Esta regla se refuerza en materia contractual estatal con el artículo 78 de la Ley 80 de 1993, según el cual los contratos, los procedimientos de selección y los procesos judiciales en curso continúan sujetos a las normas vigentes en el momento de su celebración o iniciación.</w:t>
            </w:r>
          </w:p>
          <w:p w14:paraId="18C9402B"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Las leyes vigentes al tiempo de celebrar el contrato lo gobiernan hasta su extinción, incluida la etapa de liquidación. Esta es una fase postcontractual que hace parte de los efectos del contrato y, por tanto, se rige por el estatuto bajo el cual nació el negocio jurídico.</w:t>
            </w:r>
            <w:r>
              <w:rPr>
                <w:rFonts w:ascii="Verdana" w:eastAsia="Arial" w:hAnsi="Verdana" w:cs="Arial"/>
              </w:rPr>
              <w:t xml:space="preserve"> </w:t>
            </w:r>
            <w:r w:rsidRPr="00B8272B">
              <w:rPr>
                <w:rFonts w:ascii="Verdana" w:eastAsia="Arial" w:hAnsi="Verdana" w:cs="Arial"/>
              </w:rPr>
              <w:t>Por consiguiente, la variación de la composición accionaria de una Entidad Estatal no tiene la virtualidad de alterar retroactivamente el régimen de los contratos perfeccionados antes de que ella se materializara. Los contratos celebrados bajo el derecho privado se liquidan conforme a ese marco jurídico y no adquieren, por efecto de la recomposición, las figuras propias del Estatuto General de Contratación de la Administración Pública.</w:t>
            </w:r>
          </w:p>
          <w:p w14:paraId="7BAF6B16" w14:textId="57E52E08" w:rsidR="002707E7" w:rsidRPr="00B8272B" w:rsidRDefault="002707E7" w:rsidP="00E21D2F">
            <w:pPr>
              <w:spacing w:after="120" w:line="276" w:lineRule="auto"/>
              <w:jc w:val="both"/>
              <w:rPr>
                <w:rFonts w:ascii="Verdana" w:eastAsia="Arial" w:hAnsi="Verdana" w:cs="Arial"/>
              </w:rPr>
            </w:pPr>
            <w:proofErr w:type="spellStart"/>
            <w:r w:rsidRPr="00DD6D95">
              <w:rPr>
                <w:rFonts w:ascii="Verdana" w:eastAsia="Arial" w:hAnsi="Verdana" w:cs="Arial"/>
              </w:rPr>
              <w:t>iii</w:t>
            </w:r>
            <w:proofErr w:type="spellEnd"/>
            <w:r w:rsidR="0052363C" w:rsidRPr="00DD6D95">
              <w:rPr>
                <w:rFonts w:ascii="Verdana" w:eastAsia="Arial" w:hAnsi="Verdana" w:cs="Arial"/>
                <w:lang w:val="es-MX"/>
              </w:rPr>
              <w:t>.</w:t>
            </w:r>
            <w:r>
              <w:rPr>
                <w:rFonts w:ascii="Verdana" w:eastAsia="Arial" w:hAnsi="Verdana" w:cs="Arial"/>
              </w:rPr>
              <w:t xml:space="preserve"> </w:t>
            </w:r>
            <w:r w:rsidRPr="00B8272B">
              <w:rPr>
                <w:rFonts w:ascii="Verdana" w:eastAsia="Arial" w:hAnsi="Verdana" w:cs="Arial"/>
              </w:rPr>
              <w:t>Las Entidades Estatales con régimen especial de contratación no están obligadas a liquidar sus contratos y no deben aplicar el artículo 60 de la Ley 80 de 1993 ni el artículo 11 de la Ley 1150 de 2007. No obstante, pueden pactar la liquidación bilateral en el respectivo contrato, en ejercicio de la autonomía de la voluntad, pues esta no es una figura privativa de la contratación sometida al</w:t>
            </w:r>
            <w:r>
              <w:rPr>
                <w:rFonts w:ascii="Verdana" w:eastAsia="Arial" w:hAnsi="Verdana" w:cs="Arial"/>
              </w:rPr>
              <w:t xml:space="preserve"> EGCAP</w:t>
            </w:r>
            <w:r w:rsidRPr="00B8272B">
              <w:rPr>
                <w:rFonts w:ascii="Verdana" w:eastAsia="Arial" w:hAnsi="Verdana" w:cs="Arial"/>
              </w:rPr>
              <w:t>, sino que puede incorporarse como cláusula accidental.</w:t>
            </w:r>
          </w:p>
          <w:p w14:paraId="13AC3769"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lastRenderedPageBreak/>
              <w:t>Cuando estas entidades suscriben actas de liquidación bilateral, les son aplicables su naturaleza y efectos, por tener carácter transversal. En tal sentido, el acta constituye un negocio jurídico con efectos de título ejecutivo y carácter transaccional, y las salvedades que en ella se consignen determinan la posibilidad de acudir posteriormente a la jurisdicción, pues los aspectos respecto de los cuales no se dejó constancia expresa se entienden zanjados.</w:t>
            </w:r>
          </w:p>
          <w:p w14:paraId="50D679E8"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En cambio, no resulta viable incorporar las cláusulas exorbitantes o excepcionales, entre ellas la liquidación unilateral. Si las partes pactan una facultad de esa naturaleza, los actos mediante los cuales se materialice no pueden equipararse a actos administrativos, sino que tendrán la naturaleza de actos contractuales. En todo caso, el término de caducidad del medio de control de controversias contractuales tiene carácter transversal, de modo que, si se pacta la liquidación de mutuo acuerdo, aquel se computa conforme al numeral iii) del literal j) del artículo 164.2 de la Ley 1437 de 2011.</w:t>
            </w:r>
          </w:p>
          <w:p w14:paraId="4F0F8D0D" w14:textId="0DB94223" w:rsidR="002707E7" w:rsidRPr="00B8272B" w:rsidRDefault="002707E7" w:rsidP="00E21D2F">
            <w:pPr>
              <w:spacing w:after="120" w:line="276" w:lineRule="auto"/>
              <w:jc w:val="both"/>
              <w:rPr>
                <w:rFonts w:ascii="Verdana" w:eastAsia="Arial" w:hAnsi="Verdana" w:cs="Arial"/>
              </w:rPr>
            </w:pPr>
            <w:proofErr w:type="spellStart"/>
            <w:r w:rsidRPr="00DD6D95">
              <w:rPr>
                <w:rFonts w:ascii="Verdana" w:eastAsia="Arial" w:hAnsi="Verdana" w:cs="Arial"/>
              </w:rPr>
              <w:t>iv</w:t>
            </w:r>
            <w:proofErr w:type="spellEnd"/>
            <w:r w:rsidR="0052363C" w:rsidRPr="00DD6D95">
              <w:rPr>
                <w:rFonts w:ascii="Verdana" w:eastAsia="Arial" w:hAnsi="Verdana" w:cs="Arial"/>
                <w:lang w:val="es-MX"/>
              </w:rPr>
              <w:t>.</w:t>
            </w:r>
            <w:r w:rsidRPr="00B8272B">
              <w:rPr>
                <w:rFonts w:ascii="Verdana" w:eastAsia="Arial" w:hAnsi="Verdana" w:cs="Arial"/>
              </w:rPr>
              <w:t xml:space="preserve"> Durante la ejecución del contrato las partes pueden identificar la necesidad de mayores cantidades de bienes o actividades inicialmente previstos, o la de ampliar las prestaciones mediante la ejecución de ítems no incluidos en el contrato inicial. Estas nociones son categorías doctrinarias de uso práctico que actualmente no tienen un fundamento particular en el ordenamiento jurídico, el cual no les asigna efectos específicos.</w:t>
            </w:r>
          </w:p>
          <w:p w14:paraId="22A30869"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Las mayores cantidades de un ítem ya previsto en el alcance contractual, típicamente en contratos a precios unitarios, no implican una modificación del contrato, pues corresponden a la ejecución de ítems comprendidos en él. Las obras adicionales, en cambio, corresponden a trabajos nuevos no contemplados en el alcance inicial y requieren la suscripción de un acuerdo modificatorio o de un nuevo contrato. En los contratos por precio global, en principio, no procede el reconocimiento de obras adicionales ni de mayores cantidades no previstas inicialmente.</w:t>
            </w:r>
          </w:p>
          <w:p w14:paraId="63867211" w14:textId="77777777" w:rsidR="002707E7" w:rsidRPr="00B8272B" w:rsidRDefault="002707E7" w:rsidP="00E21D2F">
            <w:pPr>
              <w:spacing w:after="120" w:line="276" w:lineRule="auto"/>
              <w:ind w:firstLine="709"/>
              <w:jc w:val="both"/>
              <w:rPr>
                <w:rFonts w:ascii="Verdana" w:eastAsia="Calibri" w:hAnsi="Verdana" w:cs="Arial"/>
                <w:bCs/>
                <w:lang w:val="es-ES" w:eastAsia="es-ES_tradnl"/>
              </w:rPr>
            </w:pPr>
            <w:r w:rsidRPr="00B8272B">
              <w:rPr>
                <w:rFonts w:ascii="Verdana" w:eastAsia="Calibri" w:hAnsi="Verdana" w:cs="Arial"/>
                <w:color w:val="000000" w:themeColor="text1"/>
                <w:lang w:val="es-ES"/>
              </w:rPr>
              <w:t xml:space="preserve">En virtud de lo expuesto, cuando se trate de una entidad sometida a un régimen especial, la liquidación no se rige por el artículo 60 de la Ley 80 ni por el artículo 11 de la Ley 1150, sino por lo que hayan dispuesto las partes en el contrato y lo que al respecto señale el manual de contratación. En este sentido,  la ejecución de mayores cantidades de ítems pactados se reconocen conforme a estas reglas y con los soportes que resulten procedentes para su acreditación y recibo a satisfacción. La forma en que la entidad proceda frente a estos </w:t>
            </w:r>
            <w:r w:rsidRPr="00B8272B">
              <w:rPr>
                <w:rFonts w:ascii="Verdana" w:eastAsia="Calibri" w:hAnsi="Verdana" w:cs="Arial"/>
                <w:color w:val="000000" w:themeColor="text1"/>
                <w:lang w:val="es-ES"/>
              </w:rPr>
              <w:lastRenderedPageBreak/>
              <w:t xml:space="preserve">supuestos se encuentra en todo caso sujeta al cumplimiento de los principios </w:t>
            </w:r>
            <w:r w:rsidRPr="00F23172">
              <w:rPr>
                <w:rFonts w:ascii="Verdana" w:eastAsia="Calibri" w:hAnsi="Verdana" w:cs="Arial"/>
                <w:bCs/>
                <w:lang w:val="es-ES" w:eastAsia="es-ES_tradnl"/>
              </w:rPr>
              <w:t>de la función administrativa y de la gestión fiscal (arts. 209 y 267 de la Constitución)</w:t>
            </w:r>
          </w:p>
          <w:p w14:paraId="37D2F2C8" w14:textId="6803DF52" w:rsidR="002707E7" w:rsidRPr="00B8272B" w:rsidRDefault="002707E7" w:rsidP="00E21D2F">
            <w:pPr>
              <w:spacing w:after="120" w:line="276" w:lineRule="auto"/>
              <w:jc w:val="both"/>
              <w:rPr>
                <w:rFonts w:ascii="Verdana" w:eastAsia="Arial" w:hAnsi="Verdana" w:cs="Arial"/>
              </w:rPr>
            </w:pPr>
            <w:r w:rsidRPr="00DD6D95">
              <w:rPr>
                <w:rFonts w:ascii="Verdana" w:eastAsia="Arial" w:hAnsi="Verdana" w:cs="Arial"/>
              </w:rPr>
              <w:t>v</w:t>
            </w:r>
            <w:r w:rsidR="0052363C" w:rsidRPr="00DD6D95">
              <w:rPr>
                <w:rFonts w:ascii="Verdana" w:eastAsia="Arial" w:hAnsi="Verdana" w:cs="Arial"/>
                <w:lang w:val="es-MX"/>
              </w:rPr>
              <w:t>.</w:t>
            </w:r>
            <w:r>
              <w:rPr>
                <w:rFonts w:ascii="Verdana" w:eastAsia="Arial" w:hAnsi="Verdana" w:cs="Arial"/>
                <w:lang w:val="es-MX"/>
              </w:rPr>
              <w:t xml:space="preserve"> </w:t>
            </w:r>
            <w:r w:rsidRPr="00B8272B">
              <w:rPr>
                <w:rFonts w:ascii="Verdana" w:eastAsia="Arial" w:hAnsi="Verdana" w:cs="Arial"/>
              </w:rPr>
              <w:t xml:space="preserve">En la Sentencia de Unificación del 19 de noviembre de 2012, la Sala Plena de la Sección Tercera del Consejo de Estado sostuvo que, por regla general, no era posible solicitar reconocimientos económicos por la ejecución de prestaciones no respaldadas en un contrato, dado que los artículos 39 y 41 del </w:t>
            </w:r>
            <w:r>
              <w:rPr>
                <w:rFonts w:ascii="Verdana" w:eastAsia="Arial" w:hAnsi="Verdana" w:cs="Arial"/>
              </w:rPr>
              <w:t xml:space="preserve">EGCAP </w:t>
            </w:r>
            <w:r w:rsidRPr="00B8272B">
              <w:rPr>
                <w:rFonts w:ascii="Verdana" w:eastAsia="Arial" w:hAnsi="Verdana" w:cs="Arial"/>
              </w:rPr>
              <w:t>disponen que los contratos estatales son solemnes. Excepcionalmente, admitió tres eventos de interpretación restrictiva.</w:t>
            </w:r>
          </w:p>
          <w:p w14:paraId="32B8BF1E"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Esta postura cambió con la Sentencia de Unificación del 31 de julio de 2025, en la que se precisó que la compensación no está condicionada a la subsunción de los hechos en una lista de hipótesis fácticas previa y taxativamente definidas, sino que corresponde al juez, en virtud de los elementos sustantivos y de la evaluación del comportamiento de las partes, establecer la viabilidad de corregir el traslado patrimonial injustificado. El reconocimiento está supeditado a que se acrediten: i) una ventaja patrimonial en beneficio de la entidad; ii) un empobrecimiento correlativo del demandante; iii) la ausencia de causa jurídica en el desequilibrio; iv) la carencia de cualquier otro mecanismo para reclamar la compensación; y v) que con ella no se pretenda soslayar una disposición imperativa de la ley.</w:t>
            </w:r>
          </w:p>
          <w:p w14:paraId="7488C147"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A lo anterior se suma la prueba plena de la actividad desarrollada y la demostración de la circunstancia excepcional que se invoca, pues la prosperidad de la pretensión sigue siendo absolutamente excepcional. La regla se aplica a partir de la ejecutoria de dicha providencia, en los términos del artículo 10 de la Ley 1437 de 2011. Debe advertirse, no obstante, que la propia sentencia delimitó su alcance a las entidades que en su gestión deben aplicar el Estatuto General de Contratación de la Administración Pública y excluyó expresamente los negocios cuyo régimen sustantivo esté exceptuado de la Ley 80 de 1993.</w:t>
            </w:r>
          </w:p>
          <w:p w14:paraId="3D6BC9C3" w14:textId="17DD8C60" w:rsidR="002707E7" w:rsidRPr="00B8272B" w:rsidRDefault="002707E7" w:rsidP="00E21D2F">
            <w:pPr>
              <w:spacing w:after="120" w:line="276" w:lineRule="auto"/>
              <w:jc w:val="both"/>
              <w:rPr>
                <w:rFonts w:ascii="Verdana" w:eastAsia="Calibri" w:hAnsi="Verdana" w:cs="Arial"/>
                <w:bCs/>
                <w:lang w:val="es-ES" w:eastAsia="es-ES_tradnl"/>
              </w:rPr>
            </w:pPr>
            <w:r w:rsidRPr="00DD6D95">
              <w:rPr>
                <w:rFonts w:ascii="Verdana" w:eastAsia="Arial" w:hAnsi="Verdana" w:cs="Arial"/>
              </w:rPr>
              <w:t>vi</w:t>
            </w:r>
            <w:r w:rsidR="0052363C" w:rsidRPr="00DD6D95">
              <w:rPr>
                <w:rFonts w:ascii="Verdana" w:eastAsia="Arial" w:hAnsi="Verdana" w:cs="Arial"/>
                <w:lang w:val="es-MX"/>
              </w:rPr>
              <w:t>.</w:t>
            </w:r>
            <w:r>
              <w:rPr>
                <w:rFonts w:ascii="Verdana" w:eastAsia="Calibri" w:hAnsi="Verdana" w:cs="Arial"/>
                <w:lang w:val="es-ES" w:eastAsia="es-ES_tradnl"/>
              </w:rPr>
              <w:t xml:space="preserve"> </w:t>
            </w:r>
            <w:r w:rsidRPr="00B8272B">
              <w:rPr>
                <w:rFonts w:ascii="Verdana" w:eastAsia="Calibri" w:hAnsi="Verdana" w:cs="Arial"/>
                <w:bCs/>
                <w:lang w:val="es-ES" w:eastAsia="es-ES_tradnl"/>
              </w:rPr>
              <w:t xml:space="preserve">Lo expuesto anteriormente supone en el caso de su consulta que las circunstancias o mecanismos disponibles para “sanear” este tipo de situaciones dependen en gran medida del régimen contractual aplicable a la entidad. En el caso de las entidades exceptuadas del EGCAP se recuerda que no se encuentran obligadas a la liquidación y que </w:t>
            </w:r>
            <w:r w:rsidRPr="00B8272B">
              <w:rPr>
                <w:rFonts w:ascii="Verdana" w:hAnsi="Verdana"/>
                <w:lang w:val="es-ES"/>
              </w:rPr>
              <w:t>no resulta viable incorporar las cláusulas exorbitantes o excepcionales</w:t>
            </w:r>
            <w:r w:rsidRPr="00B8272B">
              <w:rPr>
                <w:rFonts w:ascii="Verdana" w:hAnsi="Verdana"/>
                <w:iCs/>
                <w:lang w:val="es-ES"/>
              </w:rPr>
              <w:t xml:space="preserve">, como la liquidación unilateral.  </w:t>
            </w:r>
            <w:r w:rsidRPr="00B8272B">
              <w:rPr>
                <w:rFonts w:ascii="Verdana" w:hAnsi="Verdana"/>
                <w:iCs/>
                <w:lang w:val="es-ES"/>
              </w:rPr>
              <w:lastRenderedPageBreak/>
              <w:t>Sobre estas, tienen la posibilidad de acudir a la autonomía de la voluntad para pactar su ejercicio, pero los actos a través de los cuales se materialice, derivado del ejercicio de la autonomía de la voluntad, no pueden ser equiparados a actos administrativos, sino que tendrán la naturaleza de actos contractuales. En este caso, la entidad no dispone de la liquidación unilateral o bilateral, salvo que se haya pactado y, e</w:t>
            </w:r>
            <w:r>
              <w:rPr>
                <w:rFonts w:ascii="Verdana" w:hAnsi="Verdana"/>
                <w:iCs/>
                <w:lang w:val="es-ES"/>
              </w:rPr>
              <w:t>n</w:t>
            </w:r>
            <w:r w:rsidRPr="00B8272B">
              <w:rPr>
                <w:rFonts w:ascii="Verdana" w:hAnsi="Verdana"/>
                <w:iCs/>
                <w:lang w:val="es-ES"/>
              </w:rPr>
              <w:t xml:space="preserve"> todo caso, en los términos que fije su manual y el contrato.</w:t>
            </w:r>
          </w:p>
          <w:p w14:paraId="6B28192D"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Tratándose de Entidades Estatales sometidas al</w:t>
            </w:r>
            <w:r>
              <w:rPr>
                <w:rFonts w:ascii="Verdana" w:eastAsia="Arial" w:hAnsi="Verdana" w:cs="Arial"/>
              </w:rPr>
              <w:t xml:space="preserve"> EGCAP</w:t>
            </w:r>
            <w:r w:rsidRPr="00B8272B">
              <w:rPr>
                <w:rFonts w:ascii="Verdana" w:eastAsia="Arial" w:hAnsi="Verdana" w:cs="Arial"/>
              </w:rPr>
              <w:t xml:space="preserve">, el artículo 46 de la Ley 80 de 1993 permite sanear por ratificación expresa únicamente los vicios de nulidad relativa, de lo que se sigue, </w:t>
            </w:r>
            <w:r w:rsidRPr="00B8272B">
              <w:rPr>
                <w:rFonts w:ascii="Verdana" w:eastAsia="Arial" w:hAnsi="Verdana" w:cs="Arial"/>
                <w:i/>
              </w:rPr>
              <w:t>contrario sensu</w:t>
            </w:r>
            <w:r w:rsidRPr="00B8272B">
              <w:rPr>
                <w:rFonts w:ascii="Verdana" w:eastAsia="Arial" w:hAnsi="Verdana" w:cs="Arial"/>
              </w:rPr>
              <w:t>, que las causales de nulidad absoluta son insaneables.</w:t>
            </w:r>
          </w:p>
          <w:p w14:paraId="7C5ABD4B"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 xml:space="preserve">Como las entidades de régimen exceptuado no son destinatarias de dicho estatuto, para el saneamiento deben tenerse en cuenta los artículos 1742 y 1743 del Código Civil, que permiten la ratificación de las nulidades absolutas no generadas por objeto o causa ilícitos, así como de las causales de nulidad relativa. La ratificación expresa se realiza conforme al artículo 1753 del Código Civil y deberá hacerse con las solemnidades a que están sujetos los actos o contratos que se ratifican. Ello sin perjuicio de que, por remisión del artículo 822 del Código de Comercio, se extienda a los contratos mercantiles, caso en el cual esta Agencia considera inaplicable la ratificación prevista en el artículo 898 </w:t>
            </w:r>
            <w:r w:rsidRPr="00B8272B">
              <w:rPr>
                <w:rFonts w:ascii="Verdana" w:eastAsia="Arial" w:hAnsi="Verdana" w:cs="Arial"/>
                <w:i/>
              </w:rPr>
              <w:t>ibidem</w:t>
            </w:r>
            <w:r w:rsidRPr="00B8272B">
              <w:rPr>
                <w:rFonts w:ascii="Verdana" w:eastAsia="Arial" w:hAnsi="Verdana" w:cs="Arial"/>
              </w:rPr>
              <w:t>, pues se refiere al fenómeno de la inexistencia y no al de la nulidad.</w:t>
            </w:r>
          </w:p>
          <w:p w14:paraId="401CE074"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En consecuencia, corresponde verificar en el manual de contratación si lo ejecutado se encontraba dentro del alcance del contrato o si requería una modificación contractual o la suscripción de un nuevo negocio jurídico. Si requería modificación previa y esta no se produjo, es necesario considerar la validez del acto conforme a las normas citadas.</w:t>
            </w:r>
          </w:p>
          <w:p w14:paraId="2EDBA5DF" w14:textId="295F07A2" w:rsidR="002707E7" w:rsidRPr="00B8272B" w:rsidRDefault="002707E7" w:rsidP="00E21D2F">
            <w:pPr>
              <w:spacing w:after="120" w:line="276" w:lineRule="auto"/>
              <w:jc w:val="both"/>
              <w:rPr>
                <w:rFonts w:ascii="Verdana" w:eastAsia="Calibri" w:hAnsi="Verdana" w:cs="Arial"/>
                <w:bCs/>
                <w:lang w:val="es-ES" w:eastAsia="es-ES_tradnl"/>
              </w:rPr>
            </w:pPr>
            <w:proofErr w:type="spellStart"/>
            <w:r w:rsidRPr="00DD6D95">
              <w:rPr>
                <w:rFonts w:ascii="Verdana" w:eastAsia="Arial" w:hAnsi="Verdana" w:cs="Arial"/>
              </w:rPr>
              <w:t>vii</w:t>
            </w:r>
            <w:proofErr w:type="spellEnd"/>
            <w:r w:rsidR="0052363C" w:rsidRPr="00DD6D95">
              <w:rPr>
                <w:rFonts w:ascii="Verdana" w:eastAsia="Arial" w:hAnsi="Verdana" w:cs="Arial"/>
                <w:lang w:val="es-MX"/>
              </w:rPr>
              <w:t>.</w:t>
            </w:r>
            <w:r w:rsidRPr="00B8272B">
              <w:rPr>
                <w:rFonts w:ascii="Verdana" w:eastAsia="Calibri" w:hAnsi="Verdana" w:cs="Times New Roman"/>
                <w:lang w:val="es-ES"/>
              </w:rPr>
              <w:t xml:space="preserve"> Respecto a la adición de los contratos por parte de las entidades de régimen especial, se resalta que son sus manuales de contratación los que eventualmente podrían establecer las formas y límites de la adición de los contratos, en caso de que se establezca alguna regulación al respecto, pues a ellas no le resultan aplicables las disposiciones establecidas en esta materia en el Estatuto General de Contratación de la Administración Pública. De esta manera, ante los supuestos objeto de consulta corresponde </w:t>
            </w:r>
            <w:r w:rsidRPr="00B8272B">
              <w:rPr>
                <w:rFonts w:ascii="Verdana" w:eastAsia="Calibri" w:hAnsi="Verdana" w:cs="Arial"/>
                <w:bCs/>
                <w:lang w:val="es-ES" w:eastAsia="es-ES_tradnl"/>
              </w:rPr>
              <w:t xml:space="preserve">verificar en el manual si lo ejecutado se encontraba dentro del alcance del contrato o si </w:t>
            </w:r>
            <w:r w:rsidRPr="00B8272B">
              <w:rPr>
                <w:rFonts w:ascii="Verdana" w:eastAsia="Calibri" w:hAnsi="Verdana" w:cs="Arial"/>
                <w:bCs/>
                <w:lang w:val="es-ES" w:eastAsia="es-ES_tradnl"/>
              </w:rPr>
              <w:lastRenderedPageBreak/>
              <w:t>requería de una modificación contractual, o la suscripción de un nuevo negocio jurídico; si requería modificación previa y no la hubo, es necesario considerar la validez del acto conforme a los artículos 1742, 1743 y 1753 del Código Civil, con la advertencia de que las nulidades por objeto o causa ilícitos son insaneables.</w:t>
            </w:r>
          </w:p>
          <w:p w14:paraId="3B772CC9" w14:textId="77777777" w:rsidR="002707E7" w:rsidRPr="00B8272B" w:rsidRDefault="002707E7" w:rsidP="00E21D2F">
            <w:pPr>
              <w:spacing w:line="276" w:lineRule="auto"/>
              <w:ind w:firstLine="709"/>
              <w:jc w:val="both"/>
              <w:rPr>
                <w:rFonts w:ascii="Verdana" w:eastAsia="Calibri" w:hAnsi="Verdana" w:cs="Arial"/>
                <w:bCs/>
                <w:lang w:val="es-ES" w:eastAsia="es-ES_tradnl"/>
              </w:rPr>
            </w:pPr>
            <w:r w:rsidRPr="00B8272B">
              <w:rPr>
                <w:rFonts w:ascii="Verdana" w:eastAsia="Calibri" w:hAnsi="Verdana" w:cs="Arial"/>
                <w:bCs/>
                <w:lang w:val="es-ES" w:eastAsia="es-ES_tradnl"/>
              </w:rPr>
              <w:t xml:space="preserve">La especialidad del régimen contractual también incidirá en los soportes que puede exigir la entidad en la validación de las “ejecuciones adicionales” a las cuales se refiere en su consulta. Será necesario establecer conforme a la normativa aplicable a la entidad, su manual de contratación y lo pactado en el contrato cuáles son los soportes que debía presentar el contratista y validar la entidad, así como los requisitos particulares que deben satisfacer los documentos. </w:t>
            </w:r>
          </w:p>
          <w:p w14:paraId="65FDED83"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Lo anterior, sin perjuicio de las reglas mínimas que deben incorporar dichos manuales para garantizar el cumplimiento de los principios de la función administrativa y el control fiscal, lo cual se traduce en trazabilidad documental de lo ejecutado. A ello se agrega que la vigilancia de la ejecución contractual prevista en los artículos 83, 84 y 85 de la Ley 1474 de 2011 constituye una obligación transversal, exigible con independencia del régimen de contratación de la entidad.</w:t>
            </w:r>
          </w:p>
          <w:p w14:paraId="598DBA44" w14:textId="5390C07C" w:rsidR="002707E7" w:rsidRPr="00B8272B" w:rsidRDefault="002707E7" w:rsidP="00E21D2F">
            <w:pPr>
              <w:spacing w:after="120" w:line="276" w:lineRule="auto"/>
              <w:jc w:val="both"/>
              <w:rPr>
                <w:rFonts w:ascii="Verdana" w:eastAsia="Arial" w:hAnsi="Verdana" w:cs="Arial"/>
              </w:rPr>
            </w:pPr>
            <w:proofErr w:type="spellStart"/>
            <w:r w:rsidRPr="00DD6D95">
              <w:rPr>
                <w:rFonts w:ascii="Verdana" w:eastAsia="Arial" w:hAnsi="Verdana" w:cs="Arial"/>
              </w:rPr>
              <w:t>viii</w:t>
            </w:r>
            <w:proofErr w:type="spellEnd"/>
            <w:r w:rsidR="0052363C" w:rsidRPr="00DD6D95">
              <w:rPr>
                <w:rFonts w:ascii="Verdana" w:eastAsia="Arial" w:hAnsi="Verdana" w:cs="Arial"/>
                <w:lang w:val="es-MX"/>
              </w:rPr>
              <w:t>.</w:t>
            </w:r>
            <w:r w:rsidRPr="00B8272B">
              <w:rPr>
                <w:rFonts w:ascii="Verdana" w:eastAsia="Arial" w:hAnsi="Verdana" w:cs="Arial"/>
              </w:rPr>
              <w:t xml:space="preserve"> La responsabilidad de los distintos agentes que intervienen en la actividad contractual se determina en cada caso concreto con arreglo al régimen disciplinario, de responsabilidad fiscal o penal correspondiente, mediante decisión motivada de la autoridad competente.</w:t>
            </w:r>
          </w:p>
          <w:p w14:paraId="2D2FB053" w14:textId="77777777" w:rsidR="002707E7" w:rsidRPr="00B8272B"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Tratándose de entidades sometidas al</w:t>
            </w:r>
            <w:r>
              <w:rPr>
                <w:rFonts w:ascii="Verdana" w:eastAsia="Arial" w:hAnsi="Verdana" w:cs="Arial"/>
              </w:rPr>
              <w:t xml:space="preserve"> EGCAP</w:t>
            </w:r>
            <w:r w:rsidRPr="00B8272B">
              <w:rPr>
                <w:rFonts w:ascii="Verdana" w:eastAsia="Arial" w:hAnsi="Verdana" w:cs="Arial"/>
              </w:rPr>
              <w:t>, los artículos 26 y 50 a 59 de la Ley 80 de 1993 fijan los parámetros aplicables a las entidades contratantes, los servidores públicos, los contratistas, los consultores, los asesores y los interventores, quienes para efectos penales se consideran particulares que cumplen funciones públicas en todo lo concerniente a la celebración, ejecución y liquidación de los contratos.</w:t>
            </w:r>
          </w:p>
          <w:p w14:paraId="198C3007" w14:textId="77777777" w:rsidR="002707E7" w:rsidRPr="00052AE0" w:rsidRDefault="002707E7" w:rsidP="00E21D2F">
            <w:pPr>
              <w:spacing w:after="120" w:line="276" w:lineRule="auto"/>
              <w:ind w:firstLine="738"/>
              <w:jc w:val="both"/>
              <w:rPr>
                <w:rFonts w:ascii="Verdana" w:eastAsia="Arial" w:hAnsi="Verdana" w:cs="Arial"/>
              </w:rPr>
            </w:pPr>
            <w:r w:rsidRPr="00B8272B">
              <w:rPr>
                <w:rFonts w:ascii="Verdana" w:eastAsia="Arial" w:hAnsi="Verdana" w:cs="Arial"/>
              </w:rPr>
              <w:t xml:space="preserve">En las entidades con régimen especial, la responsabilidad de quienes ejercen la supervisión o la interventoría se deriva de la obligación transversal de vigilancia antes referida. En todo caso, la sujeción al control fiscal no depende del régimen contractual aplicable, pues, al administrar recursos públicos, estas entidades deben ceñirse a reglas mínimas que garanticen el cumplimiento de los principios de la función pública, el control fiscal y los </w:t>
            </w:r>
            <w:r w:rsidRPr="00B8272B">
              <w:rPr>
                <w:rFonts w:ascii="Verdana" w:eastAsia="Arial" w:hAnsi="Verdana" w:cs="Arial"/>
              </w:rPr>
              <w:lastRenderedPageBreak/>
              <w:t>principios rectores de la contratación estatal, como la transparencia, la publicidad y la moralidad, que exceden el marco puramente privado.</w:t>
            </w:r>
          </w:p>
          <w:p w14:paraId="321B4826" w14:textId="77777777" w:rsidR="002707E7" w:rsidRPr="00B8272B" w:rsidRDefault="002707E7" w:rsidP="00E21D2F">
            <w:pPr>
              <w:spacing w:after="120" w:line="276" w:lineRule="auto"/>
              <w:ind w:firstLine="738"/>
              <w:jc w:val="both"/>
              <w:rPr>
                <w:rFonts w:ascii="Verdana" w:eastAsia="Arial" w:hAnsi="Verdana" w:cs="Arial"/>
                <w:lang w:val="es-ES"/>
              </w:rPr>
            </w:pPr>
            <w:r w:rsidRPr="00B8272B">
              <w:rPr>
                <w:rFonts w:ascii="Verdana" w:eastAsia="Arial" w:hAnsi="Verdana" w:cs="Arial"/>
                <w:lang w:val="es-ES"/>
              </w:rPr>
              <w:t xml:space="preserve">Al margen de lo expuesto,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 </w:t>
            </w:r>
          </w:p>
        </w:tc>
      </w:tr>
    </w:tbl>
    <w:p w14:paraId="60ED2297" w14:textId="77777777" w:rsidR="002707E7" w:rsidRPr="00B8272B" w:rsidRDefault="002707E7" w:rsidP="002707E7">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0454F4FE" w14:textId="77777777" w:rsidR="002707E7" w:rsidRPr="00B8272B" w:rsidRDefault="002707E7" w:rsidP="002707E7">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8272B">
        <w:rPr>
          <w:rFonts w:ascii="Verdana" w:eastAsia="Century Gothic" w:hAnsi="Verdana" w:cs="Century Gothic"/>
          <w:b/>
          <w:bCs/>
          <w:color w:val="000000" w:themeColor="text1"/>
        </w:rPr>
        <w:t>Razones de la respuesta:</w:t>
      </w:r>
    </w:p>
    <w:p w14:paraId="4A476A99" w14:textId="77777777" w:rsidR="002707E7" w:rsidRPr="00B8272B" w:rsidRDefault="002707E7" w:rsidP="002707E7">
      <w:pPr>
        <w:spacing w:after="0" w:line="276" w:lineRule="auto"/>
        <w:jc w:val="both"/>
        <w:rPr>
          <w:rFonts w:ascii="Verdana" w:eastAsia="Calibri" w:hAnsi="Verdana" w:cs="Arial"/>
          <w:color w:val="000000" w:themeColor="text1"/>
          <w:lang w:val="es-ES"/>
        </w:rPr>
      </w:pPr>
    </w:p>
    <w:p w14:paraId="30D13D82" w14:textId="77777777" w:rsidR="002707E7" w:rsidRPr="00B8272B" w:rsidRDefault="002707E7" w:rsidP="002707E7">
      <w:pPr>
        <w:spacing w:after="0" w:line="276" w:lineRule="auto"/>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Lo anterior se sustenta en las siguientes consideraciones: </w:t>
      </w:r>
    </w:p>
    <w:p w14:paraId="66317A78" w14:textId="77777777" w:rsidR="002707E7" w:rsidRPr="00B8272B" w:rsidRDefault="002707E7" w:rsidP="002707E7">
      <w:pPr>
        <w:spacing w:after="0" w:line="276" w:lineRule="auto"/>
        <w:jc w:val="both"/>
        <w:rPr>
          <w:rFonts w:ascii="Verdana" w:eastAsia="Calibri" w:hAnsi="Verdana" w:cs="Arial"/>
          <w:lang w:val="es-ES"/>
        </w:rPr>
      </w:pPr>
    </w:p>
    <w:p w14:paraId="13342A0F" w14:textId="733540F1" w:rsidR="002707E7" w:rsidRPr="00B8272B" w:rsidRDefault="002707E7" w:rsidP="002707E7">
      <w:pPr>
        <w:spacing w:after="120" w:line="276" w:lineRule="auto"/>
        <w:jc w:val="both"/>
        <w:rPr>
          <w:rFonts w:ascii="Verdana" w:hAnsi="Verdana" w:cs="Arial"/>
          <w:lang w:val="es-ES" w:eastAsia="es-CO"/>
        </w:rPr>
      </w:pPr>
      <w:r w:rsidRPr="00DD6D95">
        <w:rPr>
          <w:rFonts w:ascii="Verdana" w:eastAsia="Calibri" w:hAnsi="Verdana" w:cs="Arial"/>
          <w:lang w:val="es-ES"/>
        </w:rPr>
        <w:t>i</w:t>
      </w:r>
      <w:r w:rsidR="0052363C" w:rsidRPr="00DD6D95">
        <w:rPr>
          <w:rFonts w:ascii="Verdana" w:eastAsia="Calibri" w:hAnsi="Verdana" w:cs="Arial"/>
          <w:bCs/>
          <w:lang w:val="es-ES"/>
        </w:rPr>
        <w:t>.</w:t>
      </w:r>
      <w:r w:rsidRPr="00B8272B">
        <w:rPr>
          <w:rFonts w:ascii="Verdana" w:eastAsia="Calibri" w:hAnsi="Verdana" w:cs="Arial"/>
          <w:color w:val="000000"/>
          <w:lang w:val="es-ES"/>
        </w:rPr>
        <w:t xml:space="preserve"> </w:t>
      </w:r>
      <w:bookmarkStart w:id="1" w:name="_Hlk98877945"/>
      <w:r w:rsidRPr="00B8272B">
        <w:rPr>
          <w:rFonts w:ascii="Verdana" w:hAnsi="Verdana" w:cs="Arial"/>
          <w:lang w:val="es-ES" w:eastAsia="es-CO"/>
        </w:rPr>
        <w:t>Respecto de la naturaleza jurídica de las Entidades Promotoras de Salud –E.P.S.–, el artículo 180 de la Ley 100 de 1993 establece que estas pueden ser públicas, privadas o mixtas. Esto implica que las EPS pueden conformarse de acuerdo con los diferentes tipos de entidades que engloban las categorías de pública, mixta o privada, lo que, en principio, en el caso de las públicas y mixtas, determina sus regímenes de contratación, en los términos del artículo 14 de la Ley 1150 de 2007, modificado por la Ley 1474 de 2011</w:t>
      </w:r>
      <w:bookmarkEnd w:id="1"/>
      <w:r w:rsidRPr="00B8272B">
        <w:rPr>
          <w:rStyle w:val="FootnoteReference"/>
          <w:rFonts w:ascii="Verdana" w:hAnsi="Verdana" w:cs="Arial"/>
          <w:lang w:val="es-ES" w:eastAsia="es-CO"/>
        </w:rPr>
        <w:footnoteReference w:id="2"/>
      </w:r>
      <w:r w:rsidRPr="00B8272B">
        <w:rPr>
          <w:rFonts w:ascii="Verdana" w:hAnsi="Verdana" w:cs="Arial"/>
          <w:lang w:val="es-ES" w:eastAsia="es-CO"/>
        </w:rPr>
        <w:t xml:space="preserve">. </w:t>
      </w:r>
    </w:p>
    <w:p w14:paraId="533E3A78" w14:textId="77777777" w:rsidR="002707E7" w:rsidRPr="00B8272B" w:rsidRDefault="002707E7" w:rsidP="002707E7">
      <w:pPr>
        <w:spacing w:after="120" w:line="276" w:lineRule="auto"/>
        <w:jc w:val="both"/>
        <w:rPr>
          <w:rFonts w:ascii="Verdana" w:hAnsi="Verdana" w:cs="Arial"/>
          <w:lang w:val="es-ES" w:eastAsia="es-CO"/>
        </w:rPr>
      </w:pPr>
      <w:r w:rsidRPr="00B8272B">
        <w:rPr>
          <w:rFonts w:ascii="Verdana" w:hAnsi="Verdana" w:cs="Arial"/>
          <w:lang w:val="es-ES" w:eastAsia="es-CO"/>
        </w:rPr>
        <w:tab/>
        <w:t>Tratándose de E.P.S de naturaleza pública, estas pueden ser conformadas como empresas industriales y comerciales del Estado, conforme indica el artículo 85 de la Ley 489 de 1998</w:t>
      </w:r>
      <w:r w:rsidRPr="00B8272B">
        <w:rPr>
          <w:rStyle w:val="FootnoteReference"/>
          <w:rFonts w:ascii="Verdana" w:hAnsi="Verdana" w:cs="Arial"/>
          <w:lang w:val="es-ES" w:eastAsia="es-CO"/>
        </w:rPr>
        <w:footnoteReference w:id="3"/>
      </w:r>
      <w:r w:rsidRPr="00B8272B">
        <w:rPr>
          <w:rFonts w:ascii="Verdana" w:hAnsi="Verdana" w:cs="Arial"/>
          <w:lang w:val="es-ES" w:eastAsia="es-CO"/>
        </w:rPr>
        <w:t xml:space="preserve"> o como sociedades públicas conformadas con </w:t>
      </w:r>
      <w:r w:rsidRPr="00B8272B">
        <w:rPr>
          <w:rFonts w:ascii="Verdana" w:hAnsi="Verdana" w:cs="Arial"/>
          <w:lang w:val="es-ES" w:eastAsia="es-CO"/>
        </w:rPr>
        <w:lastRenderedPageBreak/>
        <w:t>participación de una o diversas entidades estatales. En ambos casos, estas tienen la calidad de entidades descentralizadas por servicios, por lo que deben ser creadas por disposición o autorización de la ley, en los términos de los artículos 68 y 69 de la Ley 489 de 1998</w:t>
      </w:r>
      <w:r w:rsidRPr="00B8272B">
        <w:rPr>
          <w:rStyle w:val="FootnoteReference"/>
          <w:rFonts w:ascii="Verdana" w:hAnsi="Verdana" w:cs="Arial"/>
          <w:lang w:val="es-ES" w:eastAsia="es-CO"/>
        </w:rPr>
        <w:footnoteReference w:id="4"/>
      </w:r>
      <w:r w:rsidRPr="00B8272B">
        <w:rPr>
          <w:rFonts w:ascii="Verdana" w:hAnsi="Verdana" w:cs="Arial"/>
          <w:lang w:val="es-ES" w:eastAsia="es-CO"/>
        </w:rPr>
        <w:t xml:space="preserve">. </w:t>
      </w:r>
    </w:p>
    <w:p w14:paraId="1555F034" w14:textId="77777777" w:rsidR="002707E7" w:rsidRPr="00B8272B" w:rsidRDefault="002707E7" w:rsidP="002707E7">
      <w:pPr>
        <w:spacing w:after="120" w:line="276" w:lineRule="auto"/>
        <w:ind w:firstLine="708"/>
        <w:jc w:val="both"/>
        <w:rPr>
          <w:rFonts w:ascii="Verdana" w:hAnsi="Verdana" w:cs="Arial"/>
          <w:lang w:val="es-ES" w:eastAsia="es-CO"/>
        </w:rPr>
      </w:pPr>
      <w:r w:rsidRPr="00B8272B">
        <w:rPr>
          <w:rFonts w:ascii="Verdana" w:hAnsi="Verdana" w:cs="Arial"/>
          <w:lang w:val="es-ES" w:eastAsia="es-CO"/>
        </w:rPr>
        <w:t>Sin embargo, en cuanto al régimen de contratación de las E.P.S. públicas existe una norma especial que regula su régimen de contratación, establecida en el artículo 45 de la Ley 1122 de 2007</w:t>
      </w:r>
      <w:r w:rsidRPr="00B8272B">
        <w:rPr>
          <w:rStyle w:val="FootnoteReference"/>
          <w:rFonts w:ascii="Verdana" w:hAnsi="Verdana" w:cs="Arial"/>
          <w:lang w:val="es-ES" w:eastAsia="es-CO"/>
        </w:rPr>
        <w:footnoteReference w:id="5"/>
      </w:r>
      <w:r w:rsidRPr="00B8272B">
        <w:rPr>
          <w:rFonts w:ascii="Verdana" w:hAnsi="Verdana" w:cs="Arial"/>
          <w:lang w:val="es-ES" w:eastAsia="es-CO"/>
        </w:rPr>
        <w:t xml:space="preserve">, que les hace extensivo el régimen de contratación de las empresas sociales del Estado –E.S.E.–, entidades cuya </w:t>
      </w:r>
      <w:r w:rsidRPr="00B8272B">
        <w:rPr>
          <w:rFonts w:ascii="Verdana" w:hAnsi="Verdana" w:cs="Arial"/>
          <w:lang w:val="es-ES" w:eastAsia="es-CO"/>
        </w:rPr>
        <w:lastRenderedPageBreak/>
        <w:t>contratación, de conformidad con el artículo 195, numeral 6, está regida de manera prevalente por el derecho privado</w:t>
      </w:r>
      <w:r w:rsidRPr="00B8272B">
        <w:rPr>
          <w:rStyle w:val="FootnoteReference"/>
          <w:rFonts w:ascii="Verdana" w:hAnsi="Verdana" w:cs="Arial"/>
          <w:lang w:val="es-ES" w:eastAsia="es-CO"/>
        </w:rPr>
        <w:footnoteReference w:id="6"/>
      </w:r>
      <w:r w:rsidRPr="00B8272B">
        <w:rPr>
          <w:rFonts w:ascii="Verdana" w:hAnsi="Verdana" w:cs="Arial"/>
          <w:lang w:val="es-ES" w:eastAsia="es-CO"/>
        </w:rPr>
        <w:t>.</w:t>
      </w:r>
    </w:p>
    <w:p w14:paraId="1CECAFDE" w14:textId="77777777" w:rsidR="002707E7" w:rsidRPr="00B8272B" w:rsidRDefault="002707E7" w:rsidP="002707E7">
      <w:pPr>
        <w:spacing w:after="120" w:line="276" w:lineRule="auto"/>
        <w:ind w:firstLine="708"/>
        <w:jc w:val="both"/>
        <w:rPr>
          <w:rFonts w:ascii="Verdana" w:hAnsi="Verdana" w:cs="Arial"/>
          <w:lang w:val="es-ES" w:eastAsia="es-CO"/>
        </w:rPr>
      </w:pPr>
      <w:r w:rsidRPr="00B8272B">
        <w:rPr>
          <w:rFonts w:ascii="Verdana" w:hAnsi="Verdana" w:cs="Arial"/>
          <w:lang w:val="es-ES" w:eastAsia="es-CO"/>
        </w:rPr>
        <w:t>Las E.P.S mixtas son creadas como sociedades de economía mixta, de acuerdo con el artículo 97 de la Ley 489 de 1998</w:t>
      </w:r>
      <w:r w:rsidRPr="00B8272B">
        <w:rPr>
          <w:rStyle w:val="FootnoteReference"/>
          <w:rFonts w:ascii="Verdana" w:hAnsi="Verdana" w:cs="Arial"/>
          <w:lang w:val="es-ES" w:eastAsia="es-CO"/>
        </w:rPr>
        <w:footnoteReference w:id="7"/>
      </w:r>
      <w:r w:rsidRPr="00B8272B">
        <w:rPr>
          <w:rFonts w:ascii="Verdana" w:hAnsi="Verdana" w:cs="Arial"/>
          <w:lang w:val="es-ES" w:eastAsia="es-CO"/>
        </w:rPr>
        <w:t xml:space="preserve">. Este tipo de entidades, bajo ciertos supuestos, </w:t>
      </w:r>
      <w:r w:rsidRPr="00B8272B">
        <w:rPr>
          <w:rFonts w:ascii="Verdana" w:hAnsi="Verdana" w:cs="Arial"/>
          <w:lang w:val="es-ES"/>
        </w:rPr>
        <w:t>se encuentran exceptuadas de la aplicación del Estatuto General de Contratación de la Administración Pública, de conformidad con el artículo 14 de la Ley 1150 de 2007.</w:t>
      </w:r>
      <w:r w:rsidRPr="00B8272B">
        <w:rPr>
          <w:rFonts w:ascii="Verdana" w:hAnsi="Verdana" w:cs="Arial"/>
          <w:lang w:val="es-ES" w:eastAsia="es-CO"/>
        </w:rPr>
        <w:t xml:space="preserve"> Por otro lado, respecto de las E.P.S privadas, el artículo 181 de la Ley 100 de 1993 permite que distintos tipos de entidades regidas por el derecho privado se constituyan como E.P.S. Así, por ejemplo, podrán hacerlo las asociaciones de cajas de compensación</w:t>
      </w:r>
      <w:r w:rsidRPr="00B8272B">
        <w:rPr>
          <w:rStyle w:val="FootnoteReference"/>
          <w:rFonts w:ascii="Verdana" w:hAnsi="Verdana" w:cs="Arial"/>
          <w:lang w:val="es-ES" w:eastAsia="es-CO"/>
        </w:rPr>
        <w:footnoteReference w:id="8"/>
      </w:r>
      <w:r w:rsidRPr="00B8272B">
        <w:rPr>
          <w:rFonts w:ascii="Verdana" w:hAnsi="Verdana" w:cs="Arial"/>
          <w:lang w:val="es-ES" w:eastAsia="es-CO"/>
        </w:rPr>
        <w:t xml:space="preserve"> –literal c)–, las sociedades comerciales y entidades de economía solidaria</w:t>
      </w:r>
      <w:r w:rsidRPr="00B8272B">
        <w:rPr>
          <w:rStyle w:val="FootnoteReference"/>
          <w:rFonts w:ascii="Verdana" w:hAnsi="Verdana" w:cs="Arial"/>
          <w:lang w:val="es-ES" w:eastAsia="es-CO"/>
        </w:rPr>
        <w:footnoteReference w:id="9"/>
      </w:r>
      <w:r w:rsidRPr="00B8272B">
        <w:rPr>
          <w:rFonts w:ascii="Verdana" w:hAnsi="Verdana" w:cs="Arial"/>
          <w:lang w:val="es-ES" w:eastAsia="es-CO"/>
        </w:rPr>
        <w:t xml:space="preserve"> que se creen con el </w:t>
      </w:r>
      <w:r w:rsidRPr="00B8272B">
        <w:rPr>
          <w:rFonts w:ascii="Verdana" w:hAnsi="Verdana" w:cs="Arial"/>
          <w:lang w:val="es-ES" w:eastAsia="es-CO"/>
        </w:rPr>
        <w:lastRenderedPageBreak/>
        <w:t>propósito de funcionar como E.P.S –literal h–. Este tipo de entidades, en tanto son personas jurídicas de derecho privado, les corresponde contratar conforme a dicho régimen, sin perjuicio de que en virtud de sus calidades de sujetos miembros del sistema de seguridad social en salud deban aplicar las disposiciones sectoriales correspondientes.</w:t>
      </w:r>
    </w:p>
    <w:p w14:paraId="3F239B3C" w14:textId="77777777" w:rsidR="002707E7" w:rsidRPr="00B8272B" w:rsidRDefault="002707E7" w:rsidP="002707E7">
      <w:pPr>
        <w:spacing w:after="0" w:line="276" w:lineRule="auto"/>
        <w:ind w:firstLine="708"/>
        <w:jc w:val="both"/>
        <w:rPr>
          <w:rFonts w:ascii="Verdana" w:hAnsi="Verdana" w:cs="Arial"/>
          <w:lang w:val="es-ES" w:eastAsia="es-CO"/>
        </w:rPr>
      </w:pPr>
      <w:r w:rsidRPr="00B8272B">
        <w:rPr>
          <w:rFonts w:ascii="Verdana" w:hAnsi="Verdana" w:cs="Arial"/>
          <w:lang w:val="es-ES" w:eastAsia="es-CO"/>
        </w:rPr>
        <w:t>Ahora bien, independientemente de la naturaleza jurídica concreta a la que obedezca una E.P.S, es claro que estas como actores del sistema general de seguridad social en salud</w:t>
      </w:r>
      <w:r w:rsidRPr="00B8272B">
        <w:rPr>
          <w:rStyle w:val="FootnoteReference"/>
          <w:rFonts w:ascii="Verdana" w:hAnsi="Verdana" w:cs="Arial"/>
          <w:lang w:val="es-ES" w:eastAsia="es-CO"/>
        </w:rPr>
        <w:footnoteReference w:id="10"/>
      </w:r>
      <w:r w:rsidRPr="00B8272B">
        <w:rPr>
          <w:rFonts w:ascii="Verdana" w:hAnsi="Verdana" w:cs="Arial"/>
          <w:lang w:val="es-ES" w:eastAsia="es-CO"/>
        </w:rPr>
        <w:t>, administran recursos públicos. Así se desprende, en el caso de las E.P.S del régimen subsidiado del artículo 214 de la Ley 100 de 1993, modificado por el 11 de la Ley 1122 de 2007, en donde se establecen como fuentes de financiación recursos transferidos por parte de entidades territoriales, así como otros provenientes del Fondo de Solidaridad y Garantía.</w:t>
      </w:r>
    </w:p>
    <w:p w14:paraId="5407207E" w14:textId="77777777" w:rsidR="002707E7" w:rsidRPr="00B8272B" w:rsidRDefault="002707E7" w:rsidP="002707E7">
      <w:pPr>
        <w:spacing w:after="0" w:line="276" w:lineRule="auto"/>
        <w:ind w:firstLine="708"/>
        <w:jc w:val="both"/>
        <w:rPr>
          <w:rFonts w:ascii="Verdana" w:hAnsi="Verdana" w:cs="Arial"/>
          <w:lang w:val="es-ES" w:eastAsia="es-CO"/>
        </w:rPr>
      </w:pPr>
    </w:p>
    <w:p w14:paraId="3076577E" w14:textId="25F0D095" w:rsidR="002707E7" w:rsidRPr="00B8272B" w:rsidRDefault="002707E7" w:rsidP="002707E7">
      <w:pPr>
        <w:spacing w:after="120" w:line="276" w:lineRule="auto"/>
        <w:jc w:val="both"/>
        <w:rPr>
          <w:rFonts w:ascii="Verdana" w:hAnsi="Verdana" w:cs="Arial"/>
          <w:lang w:val="es-ES" w:eastAsia="es-CO"/>
        </w:rPr>
      </w:pPr>
      <w:proofErr w:type="spellStart"/>
      <w:r w:rsidRPr="00DD6D95">
        <w:rPr>
          <w:rFonts w:ascii="Verdana" w:eastAsia="Calibri" w:hAnsi="Verdana" w:cs="Arial"/>
          <w:color w:val="000000"/>
          <w:lang w:val="es-ES"/>
        </w:rPr>
        <w:t>ii</w:t>
      </w:r>
      <w:proofErr w:type="spellEnd"/>
      <w:r w:rsidR="0052363C" w:rsidRPr="00DD6D95">
        <w:rPr>
          <w:rFonts w:ascii="Verdana" w:eastAsia="Calibri" w:hAnsi="Verdana" w:cs="Arial"/>
          <w:color w:val="000000"/>
          <w:lang w:val="es-ES"/>
        </w:rPr>
        <w:t>.</w:t>
      </w:r>
      <w:r w:rsidRPr="00B8272B">
        <w:rPr>
          <w:rFonts w:ascii="Verdana" w:eastAsia="Calibri" w:hAnsi="Verdana" w:cs="Arial"/>
          <w:color w:val="000000"/>
          <w:lang w:val="es-ES"/>
        </w:rPr>
        <w:t xml:space="preserve"> Teniendo en cuenta que el supuesto de la consulta se refiere a una EPS de naturaleza mixta, es necesario resaltar que </w:t>
      </w:r>
      <w:r w:rsidRPr="00B8272B">
        <w:rPr>
          <w:rFonts w:ascii="Verdana" w:eastAsia="Calibri" w:hAnsi="Verdana" w:cs="Arial"/>
          <w:shd w:val="clear" w:color="auto" w:fill="FFFFFF"/>
          <w:lang w:val="es-ES"/>
        </w:rPr>
        <w:t>el artículo 97 de la Ley 489 de 1998 define a las sociedades de economía mixta como organismos autorizados por la ley, constituidos como sociedades comerciales, con aportes de capital público y privado, que desarrollan actividades de naturaleza industrial o comercial conforme a las reglas del derecho privado, salvo las excepciones que consagra la ley. De esta forma, los artículos 3</w:t>
      </w:r>
      <w:r w:rsidRPr="00B8272B">
        <w:rPr>
          <w:rFonts w:ascii="Verdana" w:eastAsia="Calibri" w:hAnsi="Verdana" w:cs="Arial"/>
          <w:color w:val="000000"/>
          <w:lang w:val="es-ES"/>
        </w:rPr>
        <w:t>8 y 68 ibidem</w:t>
      </w:r>
      <w:r w:rsidRPr="00B8272B">
        <w:rPr>
          <w:rFonts w:ascii="Verdana" w:eastAsia="Calibri" w:hAnsi="Verdana" w:cs="Arial"/>
          <w:i/>
          <w:iCs/>
          <w:color w:val="000000"/>
          <w:lang w:val="es-ES"/>
        </w:rPr>
        <w:t xml:space="preserve">, </w:t>
      </w:r>
      <w:r w:rsidRPr="00B8272B">
        <w:rPr>
          <w:rFonts w:ascii="Verdana" w:eastAsia="Calibri" w:hAnsi="Verdana" w:cs="Arial"/>
          <w:color w:val="000000"/>
          <w:lang w:val="es-ES"/>
        </w:rPr>
        <w:t xml:space="preserve">clasifican a las sociedades de economía mixta como entidades descentralizadas por servicios, con personería </w:t>
      </w:r>
      <w:r w:rsidRPr="00B8272B">
        <w:rPr>
          <w:rFonts w:ascii="Verdana" w:eastAsia="Calibri" w:hAnsi="Verdana" w:cs="Arial"/>
          <w:color w:val="000000"/>
          <w:lang w:val="es-ES"/>
        </w:rPr>
        <w:lastRenderedPageBreak/>
        <w:t>jurídica</w:t>
      </w:r>
      <w:r w:rsidRPr="00B8272B">
        <w:rPr>
          <w:rFonts w:ascii="Verdana" w:hAnsi="Verdana" w:cs="Arial"/>
          <w:lang w:val="es-ES" w:eastAsia="es-CO"/>
        </w:rPr>
        <w:t>, autonomía administrativa y patrimonio propio</w:t>
      </w:r>
      <w:r w:rsidRPr="00B8272B">
        <w:rPr>
          <w:rFonts w:ascii="Verdana" w:hAnsi="Verdana" w:cs="Arial"/>
          <w:lang w:val="es-ES" w:eastAsia="es-CO"/>
        </w:rPr>
        <w:footnoteReference w:id="11"/>
      </w:r>
      <w:r w:rsidRPr="00B8272B">
        <w:rPr>
          <w:rFonts w:ascii="Verdana" w:hAnsi="Verdana" w:cs="Arial"/>
          <w:lang w:val="es-ES" w:eastAsia="es-CO"/>
        </w:rPr>
        <w:t>, que pueden ser del orden nacional, departamental o municipal, según su órgano de creación</w:t>
      </w:r>
      <w:r w:rsidRPr="00B8272B">
        <w:rPr>
          <w:rFonts w:ascii="Verdana" w:hAnsi="Verdana" w:cs="Arial"/>
          <w:vertAlign w:val="superscript"/>
          <w:lang w:val="es-ES" w:eastAsia="es-CO"/>
        </w:rPr>
        <w:footnoteReference w:id="12"/>
      </w:r>
      <w:r w:rsidRPr="00B8272B">
        <w:rPr>
          <w:rFonts w:ascii="Verdana" w:hAnsi="Verdana" w:cs="Arial"/>
          <w:lang w:val="es-ES" w:eastAsia="es-CO"/>
        </w:rPr>
        <w:t>.</w:t>
      </w:r>
    </w:p>
    <w:p w14:paraId="47074ED2" w14:textId="77777777" w:rsidR="002707E7" w:rsidRPr="00B8272B" w:rsidRDefault="002707E7" w:rsidP="002707E7">
      <w:pPr>
        <w:spacing w:after="120" w:line="276" w:lineRule="auto"/>
        <w:ind w:firstLine="708"/>
        <w:jc w:val="both"/>
        <w:rPr>
          <w:rFonts w:ascii="Verdana" w:eastAsia="Aptos" w:hAnsi="Verdana" w:cs="Arial"/>
          <w:lang w:val="es-ES" w:eastAsia="es-MX"/>
        </w:rPr>
      </w:pPr>
      <w:r w:rsidRPr="00B8272B">
        <w:rPr>
          <w:rFonts w:ascii="Verdana" w:hAnsi="Verdana" w:cs="Arial"/>
          <w:lang w:val="es-ES" w:eastAsia="es-CO"/>
        </w:rPr>
        <w:t>En ese sentido, resulta importante resaltar que las sociedades de economía mixta están sometidas a un régimen jurídico compuesto por un conjunto normativo de derecho público y de derecho privado; el primero, derivado directamente de la Constitución Política y referido a aspectos como su creación, autorización, organización y funcionamiento interno. Y el segundo destinado a regir el desarrollo de la actividad económica de cada sociedad</w:t>
      </w:r>
      <w:r w:rsidRPr="00B8272B">
        <w:rPr>
          <w:rFonts w:ascii="Verdana" w:eastAsia="Aptos" w:hAnsi="Verdana" w:cs="Arial"/>
          <w:lang w:val="es-ES" w:eastAsia="es-MX"/>
        </w:rPr>
        <w:t>. De esta forma, conviene analizar el régimen aplicable para los actos y contratos que celebran estas entidades. Al respecto, el literal a), del artículo 2 de la Ley 80 de 1993, señala que son Entidades Estatales las sociedades de economía mixta en las que el Estado tenga participación superior al cincuenta por ciento (50%)</w:t>
      </w:r>
      <w:r w:rsidRPr="00B8272B">
        <w:rPr>
          <w:rFonts w:ascii="Aptos" w:eastAsia="Aptos" w:hAnsi="Aptos" w:cs="Times New Roman"/>
          <w:vertAlign w:val="superscript"/>
          <w:lang w:val="es-ES" w:eastAsia="es-MX"/>
        </w:rPr>
        <w:footnoteReference w:id="13"/>
      </w:r>
      <w:r w:rsidRPr="00B8272B">
        <w:rPr>
          <w:rFonts w:ascii="Verdana" w:eastAsia="Aptos" w:hAnsi="Verdana" w:cs="Arial"/>
          <w:lang w:val="es-ES" w:eastAsia="es-MX"/>
        </w:rPr>
        <w:t xml:space="preserve">. </w:t>
      </w:r>
    </w:p>
    <w:p w14:paraId="7E67A427" w14:textId="77777777" w:rsidR="002707E7" w:rsidRPr="00B8272B" w:rsidRDefault="002707E7" w:rsidP="002707E7">
      <w:pPr>
        <w:spacing w:before="120" w:after="120" w:line="276" w:lineRule="auto"/>
        <w:ind w:firstLine="708"/>
        <w:contextualSpacing/>
        <w:jc w:val="both"/>
        <w:rPr>
          <w:rFonts w:ascii="Verdana" w:eastAsia="Aptos" w:hAnsi="Verdana" w:cs="Arial"/>
          <w:lang w:val="es-ES" w:eastAsia="es-MX"/>
        </w:rPr>
      </w:pPr>
      <w:r w:rsidRPr="00B8272B">
        <w:rPr>
          <w:rFonts w:ascii="Verdana" w:eastAsia="Aptos" w:hAnsi="Verdana" w:cs="Arial"/>
          <w:lang w:val="es-ES" w:eastAsia="es-MX"/>
        </w:rPr>
        <w:t xml:space="preserve">En consecuencia, el artículo 14 de la Ley 1150 de 2007 previó que las sociedades de economía mixta en las que el Estado tenga participación superior al cincuenta por ciento (50%) y sus filiales que cuenten con participación mayoritaria del Estado superior al cincuenta por ciento (50%) estarán sometidas al EGCAP. Sin embargo, esta regla no es absoluta, pues la norma establece excepciones: aquellas que desarrollen actividades comerciales en competencia con el sector privado y/o público, nacional o internacional, o en mercados regulados se regirán por las disposiciones legales y reglamentarias aplicables a </w:t>
      </w:r>
      <w:r w:rsidRPr="00B8272B">
        <w:rPr>
          <w:rFonts w:ascii="Verdana" w:eastAsia="Aptos" w:hAnsi="Verdana" w:cs="Arial"/>
          <w:lang w:val="es-ES" w:eastAsia="es-MX"/>
        </w:rPr>
        <w:lastRenderedPageBreak/>
        <w:t>sus actividades económicas y comerciales</w:t>
      </w:r>
      <w:r w:rsidRPr="00B8272B">
        <w:rPr>
          <w:rFonts w:ascii="Aptos" w:eastAsia="Aptos" w:hAnsi="Aptos" w:cs="Times New Roman"/>
          <w:vertAlign w:val="superscript"/>
          <w:lang w:val="es-ES" w:eastAsia="es-MX"/>
        </w:rPr>
        <w:footnoteReference w:id="14"/>
      </w:r>
      <w:r w:rsidRPr="00B8272B">
        <w:rPr>
          <w:rFonts w:ascii="Verdana" w:eastAsia="Aptos" w:hAnsi="Verdana" w:cs="Arial"/>
          <w:lang w:val="es-ES" w:eastAsia="es-MX"/>
        </w:rPr>
        <w:t>. En otras palabras, el legislador estableció que las sociedades de economía mixta en las que el Estado tenga participación superior al cincuenta por ciento (50%), cuando se encuentran en competencia con el sector privado o público, nacional o internacional o desarrollan su actividad en mercados regulados estarán sometidas al derecho privado.</w:t>
      </w:r>
    </w:p>
    <w:p w14:paraId="69117283" w14:textId="77777777" w:rsidR="002707E7" w:rsidRPr="00B8272B" w:rsidRDefault="002707E7" w:rsidP="002707E7">
      <w:pPr>
        <w:spacing w:before="240" w:after="120" w:line="276" w:lineRule="auto"/>
        <w:ind w:firstLine="709"/>
        <w:jc w:val="both"/>
        <w:textAlignment w:val="baseline"/>
        <w:rPr>
          <w:rFonts w:ascii="Verdana" w:eastAsia="Aptos" w:hAnsi="Verdana" w:cs="Arial"/>
          <w:lang w:val="es-ES" w:eastAsia="es-MX"/>
        </w:rPr>
      </w:pPr>
      <w:r w:rsidRPr="00B8272B">
        <w:rPr>
          <w:rFonts w:ascii="Verdana" w:eastAsia="Aptos" w:hAnsi="Verdana" w:cs="Arial"/>
          <w:lang w:val="es-ES" w:eastAsia="es-MX"/>
        </w:rPr>
        <w:t>Así las cosas, las sociedades de economía mixta sometidas al EGCAP son aquellas en las que el aporte del Estado es superior al cincuenta por ciento (50%) y además las actuaciones que adelantan no se encuentran en competencia con el sector privado o público, nacional o internacional o en mercados regulados. Por el contrario, las sociedades de economía mixta en las que el Estado tenga una participación menor al cincuenta por ciento (50%) o en los casos que desarrollan actividades comerciales en competencia con el sector privado y/o público, nacional o internacional, o en mercados regulados se regirán por las disposiciones legales y reglamentarias aplicables a sus actividades económicas y comerciales, lo que implica acudir usualmente al derecho privado.</w:t>
      </w:r>
    </w:p>
    <w:p w14:paraId="5D62FFA7" w14:textId="77777777" w:rsidR="002707E7" w:rsidRPr="00B8272B" w:rsidRDefault="002707E7" w:rsidP="002707E7">
      <w:pPr>
        <w:spacing w:before="120" w:after="120" w:line="276" w:lineRule="auto"/>
        <w:ind w:firstLine="709"/>
        <w:jc w:val="both"/>
        <w:textAlignment w:val="baseline"/>
        <w:rPr>
          <w:rFonts w:ascii="Verdana" w:eastAsia="Aptos" w:hAnsi="Verdana" w:cs="Arial"/>
          <w:lang w:val="es-ES" w:eastAsia="es-MX"/>
        </w:rPr>
      </w:pPr>
      <w:r w:rsidRPr="00B8272B">
        <w:rPr>
          <w:rFonts w:ascii="Verdana" w:eastAsia="Aptos" w:hAnsi="Verdana" w:cs="Arial"/>
          <w:lang w:val="es-ES" w:eastAsia="es-MX"/>
        </w:rPr>
        <w:t>En virtud de lo expuesto, el régimen jurídico contractual de una sociedad de economía mixta no necesariamente varía automáticamente cuando la participación estatal supera el 50%. Con respecto al supuesto de su consulta, esto supone que la adquisición por la Nación del 50,79 % del capital no "muta" necesariamente el régimen contractual hacia el Estatuto General de Contratación de la Administración Pública (EGCAP).</w:t>
      </w:r>
    </w:p>
    <w:p w14:paraId="39F6915F" w14:textId="77777777" w:rsidR="002707E7" w:rsidRPr="00B8272B" w:rsidRDefault="002707E7" w:rsidP="002707E7">
      <w:pPr>
        <w:spacing w:before="120" w:after="0" w:line="276" w:lineRule="auto"/>
        <w:ind w:firstLine="709"/>
        <w:jc w:val="both"/>
        <w:textAlignment w:val="baseline"/>
        <w:rPr>
          <w:rFonts w:ascii="Verdana" w:eastAsia="Calibri" w:hAnsi="Verdana" w:cs="Arial"/>
          <w:bCs/>
          <w:lang w:val="es-ES" w:eastAsia="es-ES_tradnl"/>
        </w:rPr>
      </w:pPr>
      <w:r w:rsidRPr="00B8272B">
        <w:rPr>
          <w:rFonts w:ascii="Verdana" w:eastAsia="Calibri" w:hAnsi="Verdana" w:cs="Arial"/>
          <w:bCs/>
          <w:lang w:val="es-ES" w:eastAsia="es-ES_tradnl"/>
        </w:rPr>
        <w:t>Como se mencionó antes, e</w:t>
      </w:r>
      <w:r w:rsidRPr="00F23172">
        <w:rPr>
          <w:rFonts w:ascii="Verdana" w:eastAsia="Calibri" w:hAnsi="Verdana" w:cs="Arial"/>
          <w:bCs/>
          <w:lang w:val="es-ES" w:eastAsia="es-ES_tradnl"/>
        </w:rPr>
        <w:t xml:space="preserve">l artículo 14 de la Ley 1150 de 2007, modificado por el artículo 93 de la Ley 1474 de 2011, somete al EGCAP a las sociedades de economía mixta con participación estatal superior al 50 %; pero </w:t>
      </w:r>
      <w:r w:rsidRPr="00B8272B">
        <w:rPr>
          <w:rFonts w:ascii="Verdana" w:eastAsia="Calibri" w:hAnsi="Verdana" w:cs="Arial"/>
          <w:bCs/>
          <w:lang w:val="es-ES" w:eastAsia="es-ES_tradnl"/>
        </w:rPr>
        <w:t xml:space="preserve">exceptúa de este régimen a </w:t>
      </w:r>
      <w:r w:rsidRPr="00F23172">
        <w:rPr>
          <w:rFonts w:ascii="Verdana" w:eastAsia="Calibri" w:hAnsi="Verdana" w:cs="Arial"/>
          <w:bCs/>
          <w:lang w:val="es-ES" w:eastAsia="es-ES_tradnl"/>
        </w:rPr>
        <w:t xml:space="preserve">las sociedades de economía mixta con participación estatal igual o superior al 50 % </w:t>
      </w:r>
      <w:r w:rsidRPr="00B8272B">
        <w:rPr>
          <w:rFonts w:ascii="Verdana" w:eastAsia="Calibri" w:hAnsi="Verdana" w:cs="Arial"/>
          <w:bCs/>
          <w:lang w:val="es-ES" w:eastAsia="es-ES_tradnl"/>
        </w:rPr>
        <w:t xml:space="preserve">que desarrollen </w:t>
      </w:r>
      <w:r w:rsidRPr="00F23172">
        <w:rPr>
          <w:rFonts w:ascii="Verdana" w:eastAsia="Calibri" w:hAnsi="Verdana" w:cs="Arial"/>
          <w:bCs/>
          <w:lang w:val="es-ES" w:eastAsia="es-ES_tradnl"/>
        </w:rPr>
        <w:t xml:space="preserve">actividades comerciales en competencia con el sector privado y/o público, nacional o internacional o en </w:t>
      </w:r>
      <w:r w:rsidRPr="00F23172">
        <w:rPr>
          <w:rFonts w:ascii="Verdana" w:eastAsia="Calibri" w:hAnsi="Verdana" w:cs="Arial"/>
          <w:bCs/>
          <w:lang w:val="es-ES" w:eastAsia="es-ES_tradnl"/>
        </w:rPr>
        <w:lastRenderedPageBreak/>
        <w:t xml:space="preserve">mercados regulados, </w:t>
      </w:r>
      <w:r w:rsidRPr="00B8272B">
        <w:rPr>
          <w:rFonts w:ascii="Verdana" w:eastAsia="Calibri" w:hAnsi="Verdana" w:cs="Arial"/>
          <w:bCs/>
          <w:lang w:val="es-ES" w:eastAsia="es-ES_tradnl"/>
        </w:rPr>
        <w:t xml:space="preserve">caso en el cual se regirán por </w:t>
      </w:r>
      <w:r w:rsidRPr="00F23172">
        <w:rPr>
          <w:rFonts w:ascii="Verdana" w:eastAsia="Calibri" w:hAnsi="Verdana" w:cs="Arial"/>
          <w:bCs/>
          <w:lang w:val="es-ES" w:eastAsia="es-ES_tradnl"/>
        </w:rPr>
        <w:t xml:space="preserve">el derecho privado. </w:t>
      </w:r>
      <w:r w:rsidRPr="00B8272B">
        <w:rPr>
          <w:rFonts w:ascii="Verdana" w:eastAsia="Calibri" w:hAnsi="Verdana" w:cs="Arial"/>
          <w:bCs/>
          <w:lang w:val="es-ES" w:eastAsia="es-ES_tradnl"/>
        </w:rPr>
        <w:t>En efecto, la actividad contractual de una</w:t>
      </w:r>
      <w:r w:rsidRPr="00F23172">
        <w:rPr>
          <w:rFonts w:ascii="Verdana" w:eastAsia="Calibri" w:hAnsi="Verdana" w:cs="Arial"/>
          <w:bCs/>
          <w:lang w:val="es-ES" w:eastAsia="es-ES_tradnl"/>
        </w:rPr>
        <w:t xml:space="preserve"> EPS que opera el aseguramiento en salud</w:t>
      </w:r>
      <w:r w:rsidRPr="00B8272B">
        <w:rPr>
          <w:rFonts w:ascii="Verdana" w:eastAsia="Calibri" w:hAnsi="Verdana" w:cs="Arial"/>
          <w:bCs/>
          <w:lang w:val="es-ES" w:eastAsia="es-ES_tradnl"/>
        </w:rPr>
        <w:t xml:space="preserve">, que </w:t>
      </w:r>
      <w:r w:rsidRPr="00F23172">
        <w:rPr>
          <w:rFonts w:ascii="Verdana" w:eastAsia="Calibri" w:hAnsi="Verdana" w:cs="Arial"/>
          <w:bCs/>
          <w:lang w:val="es-ES" w:eastAsia="es-ES_tradnl"/>
        </w:rPr>
        <w:t>actúa en un mercado regulado y en competencia con aseguradores privados, seguiría rigiéndose por el derecho privado, incluso tras la recomposición</w:t>
      </w:r>
      <w:r w:rsidRPr="00B8272B">
        <w:rPr>
          <w:rFonts w:ascii="Verdana" w:eastAsia="Calibri" w:hAnsi="Verdana" w:cs="Arial"/>
          <w:bCs/>
          <w:lang w:val="es-ES" w:eastAsia="es-ES_tradnl"/>
        </w:rPr>
        <w:t xml:space="preserve">, </w:t>
      </w:r>
      <w:r w:rsidRPr="00F23172">
        <w:rPr>
          <w:rFonts w:ascii="Verdana" w:eastAsia="Calibri" w:hAnsi="Verdana" w:cs="Arial"/>
          <w:bCs/>
          <w:lang w:val="es-ES" w:eastAsia="es-ES_tradnl"/>
        </w:rPr>
        <w:t>aplicando los principios de la función administrativa y de la gestión fiscal (arts. 209 y 267 de la Constitución) y el régimen de inhabilidades e incompatibilidades.</w:t>
      </w:r>
    </w:p>
    <w:p w14:paraId="4333ABF9" w14:textId="77777777" w:rsidR="002707E7" w:rsidRPr="00F23172" w:rsidRDefault="002707E7" w:rsidP="002707E7">
      <w:pPr>
        <w:spacing w:after="0" w:line="276" w:lineRule="auto"/>
        <w:ind w:firstLine="709"/>
        <w:jc w:val="both"/>
        <w:textAlignment w:val="baseline"/>
        <w:rPr>
          <w:rFonts w:ascii="Verdana" w:eastAsia="Aptos" w:hAnsi="Verdana" w:cs="Arial"/>
          <w:lang w:val="es-ES" w:eastAsia="es-MX"/>
        </w:rPr>
      </w:pPr>
      <w:r w:rsidRPr="00B8272B">
        <w:rPr>
          <w:rFonts w:ascii="Verdana" w:eastAsia="Calibri" w:hAnsi="Verdana" w:cs="Arial"/>
          <w:bCs/>
          <w:lang w:val="es-ES" w:eastAsia="es-ES_tradnl"/>
        </w:rPr>
        <w:t xml:space="preserve"> </w:t>
      </w:r>
    </w:p>
    <w:p w14:paraId="30594DB8" w14:textId="6E627D47" w:rsidR="002707E7" w:rsidRPr="00B8272B" w:rsidRDefault="002707E7" w:rsidP="002707E7">
      <w:pPr>
        <w:tabs>
          <w:tab w:val="left" w:pos="0"/>
        </w:tabs>
        <w:spacing w:after="120" w:line="276" w:lineRule="auto"/>
        <w:jc w:val="both"/>
        <w:rPr>
          <w:rFonts w:ascii="Verdana" w:eastAsia="Calibri" w:hAnsi="Verdana" w:cs="Arial"/>
          <w:bCs/>
          <w:lang w:val="es-ES" w:eastAsia="es-ES_tradnl"/>
        </w:rPr>
      </w:pPr>
      <w:proofErr w:type="spellStart"/>
      <w:r w:rsidRPr="00DD6D95">
        <w:rPr>
          <w:rFonts w:ascii="Verdana" w:eastAsia="Calibri" w:hAnsi="Verdana" w:cs="Arial"/>
          <w:lang w:val="es-ES" w:eastAsia="es-ES_tradnl"/>
        </w:rPr>
        <w:t>iii</w:t>
      </w:r>
      <w:proofErr w:type="spellEnd"/>
      <w:r w:rsidR="0052363C" w:rsidRPr="00DD6D95">
        <w:rPr>
          <w:rFonts w:ascii="Verdana" w:eastAsia="Calibri" w:hAnsi="Verdana" w:cs="Arial"/>
          <w:bCs/>
          <w:lang w:val="es-ES" w:eastAsia="es-ES_tradnl"/>
        </w:rPr>
        <w:t>.</w:t>
      </w:r>
      <w:r w:rsidRPr="00B8272B">
        <w:rPr>
          <w:rFonts w:ascii="Verdana" w:eastAsia="Calibri" w:hAnsi="Verdana" w:cs="Arial"/>
          <w:bCs/>
          <w:lang w:val="es-ES" w:eastAsia="es-ES_tradnl"/>
        </w:rPr>
        <w:t xml:space="preserve"> Sin perjuicio de lo expuesto, es preciso resaltar que incluso en el supuesto en el que el régimen contractual de la sociedad de economía mixta mutara, la regla general es que a la existencia, validez y efectos de un contrato se le aplica la ley vigente al momento de su celebración, de modo que una norma posterior no puede suprimirlos, ni modificarlos, o aplicarse retroactivamente a las situaciones jurídicas consolidadas. </w:t>
      </w:r>
    </w:p>
    <w:p w14:paraId="6D0752A6" w14:textId="77777777" w:rsidR="002707E7" w:rsidRPr="00B8272B" w:rsidRDefault="002707E7" w:rsidP="002707E7">
      <w:pPr>
        <w:tabs>
          <w:tab w:val="left" w:pos="0"/>
        </w:tabs>
        <w:spacing w:after="120" w:line="276" w:lineRule="auto"/>
        <w:jc w:val="both"/>
        <w:rPr>
          <w:rFonts w:ascii="Verdana" w:eastAsia="Calibri" w:hAnsi="Verdana" w:cs="Arial"/>
          <w:bCs/>
          <w:lang w:val="es-ES" w:eastAsia="es-ES_tradnl"/>
        </w:rPr>
      </w:pPr>
      <w:r w:rsidRPr="00B8272B">
        <w:rPr>
          <w:rFonts w:ascii="Verdana" w:eastAsia="Calibri" w:hAnsi="Verdana" w:cs="Arial"/>
          <w:bCs/>
          <w:lang w:val="es-ES" w:eastAsia="es-ES_tradnl"/>
        </w:rPr>
        <w:tab/>
        <w:t>Conforme al artículo 38 de la Ley 153 de 1887 en todo contrato se entenderán incorporadas las leyes vigentes al tiempo de su celebración, salvo las normas procesales y las sancionatorias. La razón de ser de esta regla es que los contratos no pueden estar sujetos a los constantes cambios o vaivenes de la legislación, sino que deben gozar de estabilidad y seguridad jurídica.</w:t>
      </w:r>
      <w:r w:rsidRPr="00B8272B">
        <w:rPr>
          <w:lang w:val="es-ES"/>
        </w:rPr>
        <w:t xml:space="preserve"> </w:t>
      </w:r>
      <w:r w:rsidRPr="00B8272B">
        <w:rPr>
          <w:rFonts w:ascii="Verdana" w:eastAsia="Calibri" w:hAnsi="Verdana" w:cs="Arial"/>
          <w:bCs/>
          <w:lang w:val="es-ES" w:eastAsia="es-ES_tradnl"/>
        </w:rPr>
        <w:t xml:space="preserve">Esta regla se refuerza en materia contractual estatal con el artículo 78 de la Ley 80 de 1993, que dispuso que los contratos, los procedimientos de selección y los procesos judiciales en curso a la fecha en que entre a regir la ley continuarán sujetos a las normas vigentes </w:t>
      </w:r>
      <w:r w:rsidRPr="00B8272B">
        <w:rPr>
          <w:rFonts w:ascii="Verdana" w:eastAsia="Calibri" w:hAnsi="Verdana" w:cs="Arial"/>
          <w:bCs/>
          <w:i/>
          <w:iCs/>
          <w:lang w:val="es-ES" w:eastAsia="es-ES_tradnl"/>
        </w:rPr>
        <w:t>en el momento de su celebración o iniciación</w:t>
      </w:r>
      <w:r w:rsidRPr="00B8272B">
        <w:rPr>
          <w:rFonts w:ascii="Verdana" w:eastAsia="Calibri" w:hAnsi="Verdana" w:cs="Arial"/>
          <w:bCs/>
          <w:lang w:val="es-ES" w:eastAsia="es-ES_tradnl"/>
        </w:rPr>
        <w:t xml:space="preserve">, en armonía con el artículo 38 de la Ley 153 de 1887. En consecuencia, la variación de la composición accionaria no tiene la virtualidad de alterar retroactivamente el régimen de los contratos celebrados antes de que ella se materializara. </w:t>
      </w:r>
    </w:p>
    <w:p w14:paraId="4CFA9D18" w14:textId="77777777" w:rsidR="002707E7" w:rsidRPr="00B8272B" w:rsidRDefault="002707E7" w:rsidP="002707E7">
      <w:pPr>
        <w:tabs>
          <w:tab w:val="left" w:pos="0"/>
        </w:tabs>
        <w:spacing w:after="0" w:line="276" w:lineRule="auto"/>
        <w:jc w:val="both"/>
        <w:rPr>
          <w:rFonts w:ascii="Verdana" w:eastAsia="Calibri" w:hAnsi="Verdana" w:cs="Arial"/>
          <w:bCs/>
          <w:lang w:val="es-ES" w:eastAsia="es-ES_tradnl"/>
        </w:rPr>
      </w:pPr>
      <w:r w:rsidRPr="00B8272B">
        <w:rPr>
          <w:rFonts w:ascii="Verdana" w:eastAsia="Calibri" w:hAnsi="Verdana" w:cs="Arial"/>
          <w:bCs/>
          <w:lang w:val="es-ES" w:eastAsia="es-ES_tradnl"/>
        </w:rPr>
        <w:tab/>
        <w:t xml:space="preserve">Sobre este punto el Consejo de  Estado analizó el régimen contractual aplicable a la Fábrica de Licores y Alcoholes de Antioquia, creada mediante Ordenanza </w:t>
      </w:r>
      <w:proofErr w:type="spellStart"/>
      <w:r w:rsidRPr="00B8272B">
        <w:rPr>
          <w:rFonts w:ascii="Verdana" w:eastAsia="Calibri" w:hAnsi="Verdana" w:cs="Arial"/>
          <w:bCs/>
          <w:lang w:val="es-ES" w:eastAsia="es-ES_tradnl"/>
        </w:rPr>
        <w:t>n°</w:t>
      </w:r>
      <w:proofErr w:type="spellEnd"/>
      <w:r w:rsidRPr="00B8272B">
        <w:rPr>
          <w:rFonts w:ascii="Verdana" w:eastAsia="Calibri" w:hAnsi="Verdana" w:cs="Arial"/>
          <w:bCs/>
          <w:lang w:val="es-ES" w:eastAsia="es-ES_tradnl"/>
        </w:rPr>
        <w:t>. 38 de 1919, a la luz del cambio normativo introducido mediante la Ley 1150 de 2007, con respecto a la normativa aplicable a las Empresas Industriales y Comerciales del Estado –en adelante, EICE–. En efecto, la Ley 80 de 1993</w:t>
      </w:r>
      <w:r w:rsidRPr="00B8272B">
        <w:rPr>
          <w:lang w:val="es-ES"/>
        </w:rPr>
        <w:t xml:space="preserve"> </w:t>
      </w:r>
      <w:r w:rsidRPr="00B8272B">
        <w:rPr>
          <w:rFonts w:ascii="Verdana" w:eastAsia="Calibri" w:hAnsi="Verdana" w:cs="Arial"/>
          <w:bCs/>
          <w:lang w:val="es-ES" w:eastAsia="es-ES_tradnl"/>
        </w:rPr>
        <w:t xml:space="preserve">dispuso que las EICE debían someterse al Estatuto al enlistarlas en su artículo 2. Así, salvo algunas excepciones (por ejemplo, el art. 24 y parágrafo 1 del art. 32 Ley 80 de 1993), el régimen de contratación de las EICE era el allí contenido. Posteriormente, el artículo 14 de la Ley 1150 de 2007 modificó ese régimen, al disponer que las EICE estarían sometidas al Estatuto, con excepción de aquellas que desarrollaran actividades comerciales en competencia con el </w:t>
      </w:r>
      <w:r w:rsidRPr="00B8272B">
        <w:rPr>
          <w:rFonts w:ascii="Verdana" w:eastAsia="Calibri" w:hAnsi="Verdana" w:cs="Arial"/>
          <w:bCs/>
          <w:lang w:val="es-ES" w:eastAsia="es-ES_tradnl"/>
        </w:rPr>
        <w:lastRenderedPageBreak/>
        <w:t xml:space="preserve">sector privado o público, nacional o internacional o en mercados regulados o en mercados monopolísticos, las cuales se regirán por las disposiciones legales y reglamentarias aplicables a sus actividades económicas y comerciales. Esta norma fue reproducida casi en su integridad por el artículo 93 de la Ley 1474 de 2011, excluyendo a las empresas que desarrollan su actividad en mercados monopolísticos, a las cuales sometió nuevamente el Estatuto General de la Contratación. Frente a este marco jurídico, el Consejo de Estado </w:t>
      </w:r>
      <w:r>
        <w:rPr>
          <w:rFonts w:ascii="Verdana" w:eastAsia="Calibri" w:hAnsi="Verdana" w:cs="Arial"/>
          <w:bCs/>
          <w:lang w:val="es-ES" w:eastAsia="es-ES_tradnl"/>
        </w:rPr>
        <w:t>a</w:t>
      </w:r>
      <w:r w:rsidRPr="00B8272B">
        <w:rPr>
          <w:rFonts w:ascii="Verdana" w:eastAsia="Calibri" w:hAnsi="Verdana" w:cs="Arial"/>
          <w:bCs/>
          <w:lang w:val="es-ES" w:eastAsia="es-ES_tradnl"/>
        </w:rPr>
        <w:t>nalizó el régimen jurídico aplicable a un contrato de distribución firmado en marzo del 2000. Sobre esto señaló que:</w:t>
      </w:r>
    </w:p>
    <w:p w14:paraId="4569860C" w14:textId="77777777" w:rsidR="002707E7" w:rsidRPr="00B8272B" w:rsidRDefault="002707E7" w:rsidP="002707E7">
      <w:pPr>
        <w:tabs>
          <w:tab w:val="left" w:pos="0"/>
        </w:tabs>
        <w:spacing w:after="0" w:line="276" w:lineRule="auto"/>
        <w:jc w:val="both"/>
        <w:rPr>
          <w:rFonts w:ascii="Verdana" w:eastAsia="Calibri" w:hAnsi="Verdana" w:cs="Arial"/>
          <w:bCs/>
          <w:lang w:val="es-ES" w:eastAsia="es-ES_tradnl"/>
        </w:rPr>
      </w:pPr>
    </w:p>
    <w:p w14:paraId="7C485C83" w14:textId="77777777" w:rsidR="002707E7" w:rsidRPr="00B8272B" w:rsidRDefault="002707E7" w:rsidP="002707E7">
      <w:pPr>
        <w:tabs>
          <w:tab w:val="left" w:pos="0"/>
        </w:tabs>
        <w:spacing w:after="0" w:line="240" w:lineRule="auto"/>
        <w:ind w:left="709" w:right="709"/>
        <w:jc w:val="both"/>
        <w:rPr>
          <w:rFonts w:ascii="Verdana" w:eastAsia="Calibri" w:hAnsi="Verdana" w:cs="Arial"/>
          <w:bCs/>
          <w:sz w:val="20"/>
          <w:szCs w:val="20"/>
          <w:lang w:val="es-ES" w:eastAsia="es-ES_tradnl"/>
        </w:rPr>
      </w:pPr>
      <w:r w:rsidRPr="00B8272B">
        <w:rPr>
          <w:rFonts w:ascii="Verdana" w:eastAsia="Calibri" w:hAnsi="Verdana" w:cs="Arial"/>
          <w:bCs/>
          <w:lang w:val="es-ES" w:eastAsia="es-ES_tradnl"/>
        </w:rPr>
        <w:t>“</w:t>
      </w:r>
      <w:r w:rsidRPr="00B8272B">
        <w:rPr>
          <w:rFonts w:ascii="Verdana" w:eastAsia="Calibri" w:hAnsi="Verdana" w:cs="Arial"/>
          <w:bCs/>
          <w:sz w:val="20"/>
          <w:szCs w:val="20"/>
          <w:lang w:val="es-ES" w:eastAsia="es-ES_tradnl"/>
        </w:rPr>
        <w:t>El artículo 38 de la Ley 153 de 1887 dispone que en todo contrato se entenderán incorporadas las leyes vigentes al tiempo de su celebración. Esta norma se opone al efecto general inmediato de una nueva ley en el ámbito contractual, porque los contratos no pueden estar sujetos a los cambios constantes y repentinos de la legislación, que generarían inestabilidad e incertidumbre en las relaciones jurídicas. Los contratos deben gozar de estabilidad y seguridad, porque así se promueve la confianza y se facilitan las relaciones jurídicas. Este mandato legal, es la concreción de la regla de la irretroactividad de la ley, pues la nueva no puede regular o afectar las situaciones jurídicas consolidadas.</w:t>
      </w:r>
    </w:p>
    <w:p w14:paraId="7F120BD7" w14:textId="77777777" w:rsidR="002707E7" w:rsidRPr="00B8272B" w:rsidRDefault="002707E7" w:rsidP="002707E7">
      <w:pPr>
        <w:tabs>
          <w:tab w:val="left" w:pos="0"/>
        </w:tabs>
        <w:spacing w:after="0" w:line="240" w:lineRule="auto"/>
        <w:ind w:left="709" w:right="709"/>
        <w:jc w:val="both"/>
        <w:rPr>
          <w:rFonts w:ascii="Verdana" w:eastAsia="Calibri" w:hAnsi="Verdana" w:cs="Arial"/>
          <w:bCs/>
          <w:sz w:val="20"/>
          <w:szCs w:val="20"/>
          <w:lang w:val="es-ES" w:eastAsia="es-ES_tradnl"/>
        </w:rPr>
      </w:pPr>
    </w:p>
    <w:p w14:paraId="725D39DA" w14:textId="77777777" w:rsidR="002707E7" w:rsidRPr="00B8272B" w:rsidRDefault="002707E7" w:rsidP="002707E7">
      <w:pPr>
        <w:tabs>
          <w:tab w:val="left" w:pos="0"/>
        </w:tabs>
        <w:spacing w:after="0" w:line="240" w:lineRule="auto"/>
        <w:ind w:left="709" w:right="709"/>
        <w:jc w:val="both"/>
        <w:rPr>
          <w:rFonts w:ascii="Verdana" w:eastAsia="Calibri" w:hAnsi="Verdana" w:cs="Arial"/>
          <w:bCs/>
          <w:sz w:val="20"/>
          <w:szCs w:val="20"/>
          <w:lang w:val="es-ES" w:eastAsia="es-ES_tradnl"/>
        </w:rPr>
      </w:pPr>
      <w:r w:rsidRPr="00B8272B">
        <w:rPr>
          <w:rFonts w:ascii="Verdana" w:eastAsia="Calibri" w:hAnsi="Verdana" w:cs="Arial"/>
          <w:bCs/>
          <w:sz w:val="20"/>
          <w:szCs w:val="20"/>
          <w:lang w:val="es-ES" w:eastAsia="es-ES_tradnl"/>
        </w:rPr>
        <w:t xml:space="preserve">La Fábrica de Licores y Alcoholes de Antioquia, creada mediante Ordenanza </w:t>
      </w:r>
      <w:proofErr w:type="spellStart"/>
      <w:r w:rsidRPr="00B8272B">
        <w:rPr>
          <w:rFonts w:ascii="Verdana" w:eastAsia="Calibri" w:hAnsi="Verdana" w:cs="Arial"/>
          <w:bCs/>
          <w:sz w:val="20"/>
          <w:szCs w:val="20"/>
          <w:lang w:val="es-ES" w:eastAsia="es-ES_tradnl"/>
        </w:rPr>
        <w:t>n°</w:t>
      </w:r>
      <w:proofErr w:type="spellEnd"/>
      <w:r w:rsidRPr="00B8272B">
        <w:rPr>
          <w:rFonts w:ascii="Verdana" w:eastAsia="Calibri" w:hAnsi="Verdana" w:cs="Arial"/>
          <w:bCs/>
          <w:sz w:val="20"/>
          <w:szCs w:val="20"/>
          <w:lang w:val="es-ES" w:eastAsia="es-ES_tradnl"/>
        </w:rPr>
        <w:t>. 38 de 1919, era una dependencia administrativa del departamento de Antioquia</w:t>
      </w:r>
      <w:r w:rsidRPr="00B8272B">
        <w:rPr>
          <w:sz w:val="20"/>
          <w:szCs w:val="20"/>
          <w:lang w:val="es-ES"/>
        </w:rPr>
        <w:t xml:space="preserve"> </w:t>
      </w:r>
      <w:r w:rsidRPr="00B8272B">
        <w:rPr>
          <w:rFonts w:ascii="Verdana" w:eastAsia="Calibri" w:hAnsi="Verdana" w:cs="Arial"/>
          <w:bCs/>
          <w:sz w:val="20"/>
          <w:szCs w:val="20"/>
          <w:lang w:val="es-ES" w:eastAsia="es-ES_tradnl"/>
        </w:rPr>
        <w:t>cuando celebró el contrato. Como el contrato de distribución está relacionado con el ejercicio de un monopolio estatal, el de producción y venta de licores, y se firmó –29 de marzo de 2000– en vigencia de la Ley 80 de 1993, antes de las modificaciones introducidas por la Ley 1150 de 2007 y 1474 de 2011, el régimen jurídico es el derecho privado (art. 13 de la Ley 80 de 1993) y la regulación especial del Estatuto de Contratación Pública.”</w:t>
      </w:r>
    </w:p>
    <w:p w14:paraId="7D815F0C" w14:textId="77777777" w:rsidR="002707E7" w:rsidRPr="00B8272B" w:rsidRDefault="002707E7" w:rsidP="002707E7">
      <w:pPr>
        <w:tabs>
          <w:tab w:val="left" w:pos="0"/>
        </w:tabs>
        <w:spacing w:after="0" w:line="240" w:lineRule="auto"/>
        <w:ind w:left="709" w:right="709"/>
        <w:jc w:val="both"/>
        <w:rPr>
          <w:rFonts w:ascii="Verdana" w:eastAsia="Calibri" w:hAnsi="Verdana" w:cs="Arial"/>
          <w:bCs/>
          <w:sz w:val="20"/>
          <w:szCs w:val="20"/>
          <w:lang w:val="es-ES" w:eastAsia="es-ES_tradnl"/>
        </w:rPr>
      </w:pPr>
    </w:p>
    <w:p w14:paraId="67283D21" w14:textId="77777777" w:rsidR="002707E7" w:rsidRPr="00B8272B" w:rsidRDefault="002707E7" w:rsidP="002707E7">
      <w:pPr>
        <w:tabs>
          <w:tab w:val="left" w:pos="0"/>
        </w:tabs>
        <w:spacing w:after="0" w:line="276" w:lineRule="auto"/>
        <w:jc w:val="both"/>
        <w:rPr>
          <w:rFonts w:ascii="Verdana" w:eastAsia="Calibri" w:hAnsi="Verdana" w:cs="Arial"/>
          <w:bCs/>
          <w:lang w:val="es-ES" w:eastAsia="es-ES_tradnl"/>
        </w:rPr>
      </w:pPr>
      <w:r w:rsidRPr="00B8272B">
        <w:rPr>
          <w:rFonts w:ascii="Verdana" w:eastAsia="Calibri" w:hAnsi="Verdana" w:cs="Arial"/>
          <w:bCs/>
          <w:lang w:val="es-ES" w:eastAsia="es-ES_tradnl"/>
        </w:rPr>
        <w:tab/>
        <w:t>De esta forma, las</w:t>
      </w:r>
      <w:r w:rsidRPr="00B756EA">
        <w:rPr>
          <w:rFonts w:ascii="Verdana" w:eastAsia="Calibri" w:hAnsi="Verdana" w:cs="Arial"/>
          <w:bCs/>
          <w:lang w:val="es-ES" w:eastAsia="es-ES_tradnl"/>
        </w:rPr>
        <w:t xml:space="preserve"> leyes vigentes al tiempo de celebrar se entienden incorporadas al contrato y lo gobiernan hasta su extinción, incluida la etapa de liquidación. La liquidación es una fase postcontractual que hace parte de esos "efectos" del contrato y, por tanto, se rige por el estatuto bajo el cual nació el negocio. La relatoría del Consejo de Estado lo ha reiterado al señalar que un contrato se rige por la ley vigente para el momento en que fue perfeccionado, en concordancia con el artículo 38 de la Ley 153 de 1887 y atendiendo al criterio orgánico de la entidad contratante.</w:t>
      </w:r>
      <w:r w:rsidRPr="00B8272B">
        <w:rPr>
          <w:rFonts w:ascii="Verdana" w:eastAsia="Calibri" w:hAnsi="Verdana" w:cs="Arial"/>
          <w:bCs/>
          <w:lang w:val="es-ES" w:eastAsia="es-ES_tradnl"/>
        </w:rPr>
        <w:t xml:space="preserve"> En el supuesto objeto de consulta esto implica que </w:t>
      </w:r>
      <w:r w:rsidRPr="00B756EA">
        <w:rPr>
          <w:rFonts w:ascii="Verdana" w:eastAsia="Calibri" w:hAnsi="Verdana" w:cs="Arial"/>
          <w:bCs/>
          <w:lang w:val="es-ES" w:eastAsia="es-ES_tradnl"/>
        </w:rPr>
        <w:t xml:space="preserve">los contratos celebrados por </w:t>
      </w:r>
      <w:r w:rsidRPr="00B8272B">
        <w:rPr>
          <w:rFonts w:ascii="Verdana" w:eastAsia="Calibri" w:hAnsi="Verdana" w:cs="Arial"/>
          <w:bCs/>
          <w:lang w:val="es-ES" w:eastAsia="es-ES_tradnl"/>
        </w:rPr>
        <w:t xml:space="preserve">una </w:t>
      </w:r>
      <w:r w:rsidRPr="00B756EA">
        <w:rPr>
          <w:rFonts w:ascii="Verdana" w:eastAsia="Calibri" w:hAnsi="Verdana" w:cs="Arial"/>
          <w:bCs/>
          <w:lang w:val="es-ES" w:eastAsia="es-ES_tradnl"/>
        </w:rPr>
        <w:t xml:space="preserve">EPS bajo </w:t>
      </w:r>
      <w:r w:rsidRPr="00B8272B">
        <w:rPr>
          <w:rFonts w:ascii="Verdana" w:eastAsia="Calibri" w:hAnsi="Verdana" w:cs="Arial"/>
          <w:bCs/>
          <w:lang w:val="es-ES" w:eastAsia="es-ES_tradnl"/>
        </w:rPr>
        <w:t xml:space="preserve">el </w:t>
      </w:r>
      <w:r w:rsidRPr="00B756EA">
        <w:rPr>
          <w:rFonts w:ascii="Verdana" w:eastAsia="Calibri" w:hAnsi="Verdana" w:cs="Arial"/>
          <w:bCs/>
          <w:lang w:val="es-ES" w:eastAsia="es-ES_tradnl"/>
        </w:rPr>
        <w:t xml:space="preserve">derecho privado se </w:t>
      </w:r>
      <w:r w:rsidRPr="00B756EA">
        <w:rPr>
          <w:rFonts w:ascii="Verdana" w:eastAsia="Calibri" w:hAnsi="Verdana" w:cs="Arial"/>
          <w:bCs/>
          <w:lang w:val="es-ES" w:eastAsia="es-ES_tradnl"/>
        </w:rPr>
        <w:lastRenderedPageBreak/>
        <w:t xml:space="preserve">liquidan conforme a </w:t>
      </w:r>
      <w:r w:rsidRPr="00B8272B">
        <w:rPr>
          <w:rFonts w:ascii="Verdana" w:eastAsia="Calibri" w:hAnsi="Verdana" w:cs="Arial"/>
          <w:bCs/>
          <w:lang w:val="es-ES" w:eastAsia="es-ES_tradnl"/>
        </w:rPr>
        <w:t>este marco jurídico</w:t>
      </w:r>
      <w:r w:rsidRPr="00B756EA">
        <w:rPr>
          <w:rFonts w:ascii="Verdana" w:eastAsia="Calibri" w:hAnsi="Verdana" w:cs="Arial"/>
          <w:bCs/>
          <w:lang w:val="es-ES" w:eastAsia="es-ES_tradnl"/>
        </w:rPr>
        <w:t>, y no adquieren, por efecto de la recomposición, las figuras propias del EGCAP.</w:t>
      </w:r>
    </w:p>
    <w:p w14:paraId="0DBDF8E0" w14:textId="77777777" w:rsidR="002707E7" w:rsidRPr="00B8272B" w:rsidRDefault="002707E7" w:rsidP="002707E7">
      <w:pPr>
        <w:tabs>
          <w:tab w:val="left" w:pos="0"/>
        </w:tabs>
        <w:spacing w:after="0" w:line="276" w:lineRule="auto"/>
        <w:jc w:val="both"/>
        <w:rPr>
          <w:rFonts w:ascii="Verdana" w:eastAsia="Calibri" w:hAnsi="Verdana" w:cs="Arial"/>
          <w:bCs/>
          <w:lang w:val="es-ES" w:eastAsia="es-ES_tradnl"/>
        </w:rPr>
      </w:pPr>
    </w:p>
    <w:p w14:paraId="4C0173B4" w14:textId="1933C8D6" w:rsidR="002707E7" w:rsidRPr="00B8272B" w:rsidRDefault="002707E7" w:rsidP="002707E7">
      <w:pPr>
        <w:spacing w:line="276" w:lineRule="auto"/>
        <w:jc w:val="both"/>
        <w:rPr>
          <w:rFonts w:ascii="Verdana" w:eastAsia="Calibri" w:hAnsi="Verdana" w:cs="Arial"/>
          <w:color w:val="000000"/>
          <w:lang w:val="es-ES"/>
        </w:rPr>
      </w:pPr>
      <w:proofErr w:type="spellStart"/>
      <w:r w:rsidRPr="00DD6D95">
        <w:rPr>
          <w:rFonts w:ascii="Verdana" w:eastAsia="Calibri" w:hAnsi="Verdana" w:cs="Arial"/>
          <w:lang w:val="es-ES" w:eastAsia="es-ES_tradnl"/>
        </w:rPr>
        <w:t>iv</w:t>
      </w:r>
      <w:proofErr w:type="spellEnd"/>
      <w:r w:rsidR="0052363C" w:rsidRPr="00DD6D95">
        <w:rPr>
          <w:rFonts w:ascii="Verdana" w:eastAsia="Calibri" w:hAnsi="Verdana" w:cs="Arial"/>
          <w:bCs/>
          <w:lang w:val="es-ES" w:eastAsia="es-ES_tradnl"/>
        </w:rPr>
        <w:t>.</w:t>
      </w:r>
      <w:r w:rsidRPr="00B8272B">
        <w:rPr>
          <w:rFonts w:ascii="Verdana" w:eastAsia="Calibri" w:hAnsi="Verdana" w:cs="Arial"/>
          <w:bCs/>
          <w:lang w:val="es-ES" w:eastAsia="es-ES_tradnl"/>
        </w:rPr>
        <w:t xml:space="preserve"> </w:t>
      </w:r>
      <w:r w:rsidRPr="00B8272B">
        <w:rPr>
          <w:rFonts w:ascii="Verdana" w:eastAsia="Calibri" w:hAnsi="Verdana" w:cs="Arial"/>
          <w:color w:val="000000"/>
          <w:lang w:val="es-ES"/>
        </w:rPr>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B8272B">
        <w:rPr>
          <w:vertAlign w:val="superscript"/>
          <w:lang w:val="es-ES"/>
        </w:rPr>
        <w:footnoteReference w:id="15"/>
      </w:r>
      <w:r w:rsidRPr="00B8272B">
        <w:rPr>
          <w:rFonts w:ascii="Verdana" w:eastAsia="Calibri" w:hAnsi="Verdana" w:cs="Arial"/>
          <w:color w:val="000000"/>
          <w:lang w:val="es-ES"/>
        </w:rPr>
        <w:t>. En armonía con lo anterior, la doctrina ha definido la liquidación de la siguiente manera:</w:t>
      </w:r>
    </w:p>
    <w:p w14:paraId="6EC0A16C" w14:textId="77777777" w:rsidR="002707E7" w:rsidRPr="00B8272B" w:rsidRDefault="002707E7" w:rsidP="002707E7">
      <w:pPr>
        <w:spacing w:after="0" w:line="240" w:lineRule="auto"/>
        <w:ind w:left="709" w:right="758"/>
        <w:jc w:val="both"/>
        <w:rPr>
          <w:rFonts w:ascii="Verdana" w:eastAsia="Calibri" w:hAnsi="Verdana" w:cs="Arial"/>
          <w:sz w:val="20"/>
          <w:szCs w:val="20"/>
          <w:lang w:val="es-ES"/>
        </w:rPr>
      </w:pPr>
      <w:r w:rsidRPr="00B8272B">
        <w:rPr>
          <w:rFonts w:ascii="Verdana" w:eastAsia="Calibri" w:hAnsi="Verdana" w:cs="Arial"/>
          <w:i/>
          <w:iCs/>
          <w:color w:val="000000"/>
          <w:sz w:val="20"/>
          <w:szCs w:val="20"/>
          <w:lang w:val="es-ES"/>
        </w:rPr>
        <w:t>“</w:t>
      </w:r>
      <w:r w:rsidRPr="00B8272B">
        <w:rPr>
          <w:rFonts w:ascii="Verdana" w:eastAsia="Calibri" w:hAnsi="Verdana" w:cs="Arial"/>
          <w:sz w:val="20"/>
          <w:szCs w:val="20"/>
          <w:lang w:val="es-ES"/>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B8272B">
        <w:rPr>
          <w:rFonts w:ascii="Verdana" w:eastAsia="Calibri" w:hAnsi="Verdana" w:cs="Arial"/>
          <w:sz w:val="20"/>
          <w:szCs w:val="20"/>
          <w:lang w:val="es-ES"/>
        </w:rPr>
        <w:t>ii</w:t>
      </w:r>
      <w:proofErr w:type="spellEnd"/>
      <w:r w:rsidRPr="00B8272B">
        <w:rPr>
          <w:rFonts w:ascii="Verdana" w:eastAsia="Calibri" w:hAnsi="Verdana" w:cs="Arial"/>
          <w:sz w:val="20"/>
          <w:szCs w:val="20"/>
          <w:lang w:val="es-ES"/>
        </w:rPr>
        <w:t>) definir la situación jurídica de las partes, estableciendo si pueden constituirse o no a paz y salvo; lo que exige, en la práctica, que los negociantes dialoguen e intenten ponerse de acuerdo (aspecto subjetivo)”</w:t>
      </w:r>
      <w:r w:rsidRPr="00B8272B">
        <w:rPr>
          <w:rFonts w:ascii="Verdana" w:eastAsia="Calibri" w:hAnsi="Verdana" w:cs="Arial"/>
          <w:sz w:val="20"/>
          <w:szCs w:val="20"/>
          <w:vertAlign w:val="superscript"/>
          <w:lang w:val="es-ES"/>
        </w:rPr>
        <w:footnoteReference w:id="16"/>
      </w:r>
      <w:r w:rsidRPr="00B8272B">
        <w:rPr>
          <w:rFonts w:ascii="Verdana" w:eastAsia="Calibri" w:hAnsi="Verdana" w:cs="Arial"/>
          <w:sz w:val="20"/>
          <w:szCs w:val="20"/>
          <w:lang w:val="es-ES"/>
        </w:rPr>
        <w:t>.</w:t>
      </w:r>
    </w:p>
    <w:p w14:paraId="6EFD8EB0" w14:textId="77777777" w:rsidR="002707E7" w:rsidRPr="00B8272B" w:rsidRDefault="002707E7" w:rsidP="002707E7">
      <w:pPr>
        <w:spacing w:after="0" w:line="276" w:lineRule="auto"/>
        <w:jc w:val="both"/>
        <w:rPr>
          <w:rFonts w:ascii="Verdana" w:eastAsia="Calibri" w:hAnsi="Verdana" w:cs="Arial"/>
          <w:color w:val="000000"/>
          <w:lang w:val="es-ES"/>
        </w:rPr>
      </w:pPr>
    </w:p>
    <w:p w14:paraId="1057E9DB" w14:textId="77777777" w:rsidR="002707E7" w:rsidRPr="00B8272B" w:rsidRDefault="002707E7" w:rsidP="002707E7">
      <w:pPr>
        <w:spacing w:after="120" w:line="276" w:lineRule="auto"/>
        <w:ind w:firstLine="709"/>
        <w:jc w:val="both"/>
        <w:rPr>
          <w:rFonts w:ascii="Verdana" w:eastAsia="Times New Roman" w:hAnsi="Verdana" w:cs="Arial"/>
          <w:color w:val="000000"/>
          <w:sz w:val="21"/>
          <w:szCs w:val="21"/>
          <w:lang w:val="es-ES" w:eastAsia="es-ES_tradnl"/>
        </w:rPr>
      </w:pPr>
      <w:r w:rsidRPr="00B8272B">
        <w:rPr>
          <w:rFonts w:ascii="Verdana" w:eastAsia="Times New Roman" w:hAnsi="Verdana" w:cs="Arial"/>
          <w:color w:val="000000"/>
          <w:szCs w:val="24"/>
          <w:lang w:val="es-ES" w:eastAsia="es-ES_tradnl"/>
        </w:rPr>
        <w:t xml:space="preserve">Según la jurisprudencia, la liquidación es el ajuste de cuentas donde las partes hacen un balance económico, técnico y jurídico del cumplimiento de las </w:t>
      </w:r>
      <w:r w:rsidRPr="00B8272B">
        <w:rPr>
          <w:rFonts w:ascii="Verdana" w:eastAsia="Times New Roman" w:hAnsi="Verdana" w:cs="Arial"/>
          <w:color w:val="000000"/>
          <w:szCs w:val="24"/>
          <w:lang w:val="es-ES" w:eastAsia="es-ES_tradnl"/>
        </w:rPr>
        <w:lastRenderedPageBreak/>
        <w:t xml:space="preserve">obligaciones que tienen a su cargo. Así lo manifestó el Consejo de Estado en la Sentencia del 20 de octubre de 2014, en la que consideró, por un lado, que </w:t>
      </w:r>
      <w:r w:rsidRPr="00B8272B">
        <w:rPr>
          <w:rFonts w:ascii="Verdana" w:eastAsia="Times New Roman" w:hAnsi="Verdana" w:cs="Arial"/>
          <w:i/>
          <w:iCs/>
          <w:color w:val="000000"/>
          <w:szCs w:val="24"/>
          <w:lang w:val="es-ES" w:eastAsia="es-ES_tradnl"/>
        </w:rPr>
        <w:t>liquidar</w:t>
      </w:r>
      <w:r w:rsidRPr="00B8272B">
        <w:rPr>
          <w:rFonts w:ascii="Verdana" w:eastAsia="Times New Roman" w:hAnsi="Verdana" w:cs="Arial"/>
          <w:color w:val="000000"/>
          <w:szCs w:val="24"/>
          <w:lang w:val="es-ES" w:eastAsia="es-ES_tradnl"/>
        </w:rPr>
        <w:t xml:space="preserve"> supone un ajuste en relación con las cuentas y el estado de cumplimiento del contrato estatal y, por el otro, que la </w:t>
      </w:r>
      <w:r w:rsidRPr="00B8272B">
        <w:rPr>
          <w:rFonts w:ascii="Verdana" w:eastAsia="Times New Roman" w:hAnsi="Verdana" w:cs="Arial"/>
          <w:i/>
          <w:iCs/>
          <w:color w:val="000000"/>
          <w:szCs w:val="24"/>
          <w:lang w:val="es-ES" w:eastAsia="es-ES_tradnl"/>
        </w:rPr>
        <w:t>liquidación</w:t>
      </w:r>
      <w:r w:rsidRPr="00B8272B">
        <w:rPr>
          <w:rFonts w:ascii="Verdana" w:eastAsia="Times New Roman" w:hAnsi="Verdana" w:cs="Arial"/>
          <w:color w:val="000000"/>
          <w:szCs w:val="24"/>
          <w:lang w:val="es-ES" w:eastAsia="es-ES_tradnl"/>
        </w:rPr>
        <w:t xml:space="preserve"> debe incluir el análisis de las condiciones de calidad y oportunidad en la entrega de los bienes, obras o servicios, así como el balance económico y el comportamiento financiero del negocio</w:t>
      </w:r>
      <w:r w:rsidRPr="00B8272B">
        <w:rPr>
          <w:rFonts w:ascii="Verdana" w:eastAsia="Times New Roman" w:hAnsi="Verdana" w:cs="Arial"/>
          <w:color w:val="000000"/>
          <w:szCs w:val="24"/>
          <w:vertAlign w:val="superscript"/>
          <w:lang w:val="es-ES" w:eastAsia="es-ES_tradnl"/>
        </w:rPr>
        <w:footnoteReference w:id="17"/>
      </w:r>
      <w:r w:rsidRPr="00B8272B">
        <w:rPr>
          <w:rFonts w:ascii="Verdana" w:eastAsia="Times New Roman" w:hAnsi="Verdana" w:cs="Arial"/>
          <w:color w:val="000000"/>
          <w:szCs w:val="24"/>
          <w:lang w:val="es-ES" w:eastAsia="es-ES_tradnl"/>
        </w:rPr>
        <w:t xml:space="preserve">. </w:t>
      </w:r>
    </w:p>
    <w:p w14:paraId="17B32A0A" w14:textId="77777777" w:rsidR="002707E7" w:rsidRPr="00B8272B" w:rsidRDefault="002707E7" w:rsidP="002707E7">
      <w:pPr>
        <w:spacing w:after="0" w:line="276" w:lineRule="auto"/>
        <w:ind w:firstLine="709"/>
        <w:jc w:val="both"/>
        <w:rPr>
          <w:rFonts w:ascii="Verdana" w:eastAsia="Calibri" w:hAnsi="Verdana" w:cs="Arial"/>
          <w:color w:val="000000"/>
          <w:lang w:val="es-ES"/>
        </w:rPr>
      </w:pPr>
      <w:r w:rsidRPr="00B8272B">
        <w:rPr>
          <w:rFonts w:ascii="Verdana" w:eastAsia="Calibri" w:hAnsi="Verdana" w:cs="Arial"/>
          <w:color w:val="000000"/>
          <w:lang w:val="es-ES"/>
        </w:rPr>
        <w:t>Para las entidades sometidas al EGCAP, 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4F606CF1" w14:textId="77777777" w:rsidR="002707E7" w:rsidRPr="00B8272B" w:rsidRDefault="002707E7" w:rsidP="002707E7">
      <w:pPr>
        <w:spacing w:after="0" w:line="276" w:lineRule="auto"/>
        <w:ind w:firstLine="708"/>
        <w:jc w:val="both"/>
        <w:rPr>
          <w:rFonts w:ascii="Verdana" w:eastAsia="Calibri" w:hAnsi="Verdana" w:cs="Arial"/>
          <w:lang w:val="es-ES"/>
        </w:rPr>
      </w:pPr>
    </w:p>
    <w:p w14:paraId="414032F1" w14:textId="77777777" w:rsidR="002707E7" w:rsidRPr="00B8272B" w:rsidRDefault="002707E7" w:rsidP="002707E7">
      <w:pPr>
        <w:spacing w:after="0" w:line="240" w:lineRule="auto"/>
        <w:ind w:left="709" w:right="758"/>
        <w:jc w:val="both"/>
        <w:rPr>
          <w:rFonts w:ascii="Verdana" w:eastAsia="Calibri" w:hAnsi="Verdana" w:cs="Arial"/>
          <w:sz w:val="20"/>
          <w:szCs w:val="20"/>
          <w:lang w:val="es-ES"/>
        </w:rPr>
      </w:pPr>
      <w:r w:rsidRPr="00B8272B">
        <w:rPr>
          <w:rFonts w:ascii="Verdana" w:eastAsia="Calibri" w:hAnsi="Verdana" w:cs="Arial"/>
          <w:sz w:val="20"/>
          <w:szCs w:val="20"/>
          <w:lang w:val="es-ES"/>
        </w:rPr>
        <w:t>“La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“los acuerdos, conciliaciones y transacciones a que llegaren las partes para poner fin a las divergencias presentadas y poder declararse a paz y salvo”</w:t>
      </w:r>
      <w:r w:rsidRPr="00B8272B">
        <w:rPr>
          <w:rFonts w:ascii="Verdana" w:eastAsia="Calibri" w:hAnsi="Verdana" w:cs="Arial"/>
          <w:sz w:val="20"/>
          <w:szCs w:val="20"/>
          <w:vertAlign w:val="superscript"/>
          <w:lang w:val="es-ES"/>
        </w:rPr>
        <w:footnoteReference w:id="18"/>
      </w:r>
      <w:r w:rsidRPr="00B8272B">
        <w:rPr>
          <w:rFonts w:ascii="Verdana" w:eastAsia="Calibri" w:hAnsi="Verdana" w:cs="Arial"/>
          <w:sz w:val="20"/>
          <w:szCs w:val="20"/>
          <w:lang w:val="es-ES"/>
        </w:rPr>
        <w:t>.</w:t>
      </w:r>
    </w:p>
    <w:p w14:paraId="56EF15C6" w14:textId="77777777" w:rsidR="002707E7" w:rsidRPr="00B8272B" w:rsidRDefault="002707E7" w:rsidP="002707E7">
      <w:pPr>
        <w:spacing w:after="0" w:line="276" w:lineRule="auto"/>
        <w:ind w:left="709" w:right="758"/>
        <w:jc w:val="both"/>
        <w:rPr>
          <w:rFonts w:ascii="Verdana" w:eastAsia="Calibri" w:hAnsi="Verdana" w:cs="Arial"/>
          <w:lang w:val="es-ES"/>
        </w:rPr>
      </w:pPr>
    </w:p>
    <w:p w14:paraId="2D233F0C" w14:textId="77777777" w:rsidR="002707E7" w:rsidRPr="00B8272B" w:rsidRDefault="002707E7" w:rsidP="002707E7">
      <w:pPr>
        <w:spacing w:after="120" w:line="276" w:lineRule="auto"/>
        <w:ind w:firstLine="708"/>
        <w:jc w:val="both"/>
        <w:rPr>
          <w:rFonts w:ascii="Verdana" w:eastAsia="Calibri" w:hAnsi="Verdana" w:cs="Arial"/>
          <w:color w:val="000000"/>
          <w:lang w:val="es-ES"/>
        </w:rPr>
      </w:pPr>
      <w:r w:rsidRPr="00B8272B">
        <w:rPr>
          <w:rFonts w:ascii="Verdana" w:eastAsia="Calibri" w:hAnsi="Verdana" w:cs="Arial"/>
          <w:color w:val="000000"/>
          <w:lang w:val="es-ES"/>
        </w:rPr>
        <w:t xml:space="preserve">Así las cosas, de acuerdo con el artículo 60 de la Ley 80 de 1993, los contratos de tracto sucesivo, aquellos cuyo cumplimiento o ejecución se prolongue en el tiempo y los demás que lo requieran </w:t>
      </w:r>
      <w:r w:rsidRPr="00B8272B">
        <w:rPr>
          <w:rFonts w:ascii="Verdana" w:eastAsia="Calibri" w:hAnsi="Verdana" w:cs="Arial"/>
          <w:i/>
          <w:color w:val="000000"/>
          <w:lang w:val="es-ES"/>
        </w:rPr>
        <w:t>“serán objeto de liquidación”.</w:t>
      </w:r>
      <w:r w:rsidRPr="00B8272B">
        <w:rPr>
          <w:rFonts w:ascii="Verdana" w:eastAsia="Calibri" w:hAnsi="Verdana" w:cs="Arial"/>
          <w:color w:val="000000"/>
          <w:lang w:val="es-ES"/>
        </w:rPr>
        <w:t xml:space="preserve"> El mismo artículo prescribe que no será obligatoria la liquidación en los contratos de prestación de servicios profesionales y de apoyo a la gestión. </w:t>
      </w:r>
      <w:r w:rsidRPr="00B8272B">
        <w:rPr>
          <w:rFonts w:ascii="Verdana" w:eastAsia="Calibri" w:hAnsi="Verdana" w:cs="Arial"/>
          <w:color w:val="000000"/>
          <w:lang w:val="es-ES"/>
        </w:rPr>
        <w:lastRenderedPageBreak/>
        <w:t>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B8272B">
        <w:rPr>
          <w:rFonts w:ascii="Verdana" w:eastAsia="Calibri" w:hAnsi="Verdana" w:cs="Arial"/>
          <w:color w:val="000000"/>
          <w:vertAlign w:val="superscript"/>
          <w:lang w:val="es-ES"/>
        </w:rPr>
        <w:footnoteReference w:id="19"/>
      </w:r>
      <w:r w:rsidRPr="00B8272B">
        <w:rPr>
          <w:rFonts w:ascii="Verdana" w:eastAsia="Calibri" w:hAnsi="Verdana" w:cs="Arial"/>
          <w:color w:val="000000"/>
          <w:lang w:val="es-ES"/>
        </w:rPr>
        <w:t xml:space="preserve">, así como la probabilidad de que puedan surgir diferencias durante la ejecución del contrato; sin perjuicio de que, como se indicó, todos los contratos estatales de </w:t>
      </w:r>
      <w:r w:rsidRPr="00B8272B">
        <w:rPr>
          <w:rFonts w:ascii="Verdana" w:eastAsia="Calibri" w:hAnsi="Verdana" w:cs="Arial"/>
          <w:i/>
          <w:iCs/>
          <w:color w:val="000000"/>
          <w:lang w:val="es-ES"/>
        </w:rPr>
        <w:t>tracto sucesivo</w:t>
      </w:r>
      <w:r w:rsidRPr="00B8272B">
        <w:rPr>
          <w:rFonts w:ascii="Verdana" w:eastAsia="Calibri" w:hAnsi="Verdana" w:cs="Arial"/>
          <w:color w:val="000000"/>
          <w:lang w:val="es-ES"/>
        </w:rPr>
        <w:t xml:space="preserve"> o aquellos cuya ejecución se prolongue en el tiempo siempre deban liquidarse, convirtiéndose en estos contratos en una cláusula de la naturaleza, conforme a la clasificación prevista en el Código Civil.</w:t>
      </w:r>
    </w:p>
    <w:p w14:paraId="3C367B56" w14:textId="77777777" w:rsidR="002707E7" w:rsidRPr="00B8272B" w:rsidRDefault="002707E7" w:rsidP="002707E7">
      <w:pPr>
        <w:spacing w:after="120" w:line="276" w:lineRule="auto"/>
        <w:ind w:firstLine="708"/>
        <w:jc w:val="both"/>
        <w:rPr>
          <w:rFonts w:ascii="Verdana" w:eastAsia="Times New Roman" w:hAnsi="Verdana" w:cs="Arial"/>
          <w:lang w:val="es-ES" w:eastAsia="es-ES"/>
        </w:rPr>
      </w:pPr>
      <w:r w:rsidRPr="00B8272B">
        <w:rPr>
          <w:rFonts w:ascii="Verdana" w:eastAsia="Calibri" w:hAnsi="Verdana" w:cs="Arial"/>
          <w:color w:val="000000"/>
          <w:lang w:val="es-ES"/>
        </w:rPr>
        <w:t xml:space="preserve">Por su parte, el artículo 11 de la Ley 1150 de 2007 contiene las reglas de tipo procedimental para liquidar los contratos estatales. En primer lugar,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00B8272B">
        <w:rPr>
          <w:rFonts w:ascii="Verdana" w:eastAsia="Calibri" w:hAnsi="Verdana" w:cs="Arial"/>
          <w:color w:val="000000"/>
          <w:lang w:val="es-ES"/>
        </w:rPr>
        <w:t>ii</w:t>
      </w:r>
      <w:proofErr w:type="spellEnd"/>
      <w:r w:rsidRPr="00B8272B">
        <w:rPr>
          <w:rFonts w:ascii="Verdana" w:eastAsia="Calibri" w:hAnsi="Verdana" w:cs="Arial"/>
          <w:color w:val="000000"/>
          <w:lang w:val="es-ES"/>
        </w:rPr>
        <w:t xml:space="preserve">) la expedición del acto administrativo que ordene la terminación del contrato; o, </w:t>
      </w:r>
      <w:proofErr w:type="spellStart"/>
      <w:r w:rsidRPr="00B8272B">
        <w:rPr>
          <w:rFonts w:ascii="Verdana" w:eastAsia="Calibri" w:hAnsi="Verdana" w:cs="Arial"/>
          <w:color w:val="000000"/>
          <w:lang w:val="es-ES"/>
        </w:rPr>
        <w:t>iii</w:t>
      </w:r>
      <w:proofErr w:type="spellEnd"/>
      <w:r w:rsidRPr="00B8272B">
        <w:rPr>
          <w:rFonts w:ascii="Verdana" w:eastAsia="Calibri" w:hAnsi="Verdana" w:cs="Arial"/>
          <w:color w:val="000000"/>
          <w:lang w:val="es-ES"/>
        </w:rPr>
        <w:t>) la fecha del acuerdo que disponga la terminación del contrato.</w:t>
      </w:r>
    </w:p>
    <w:p w14:paraId="11267321" w14:textId="77777777" w:rsidR="002707E7" w:rsidRPr="00B8272B" w:rsidRDefault="002707E7" w:rsidP="002707E7">
      <w:pPr>
        <w:spacing w:after="120" w:line="276" w:lineRule="auto"/>
        <w:ind w:firstLine="709"/>
        <w:jc w:val="both"/>
        <w:rPr>
          <w:rFonts w:ascii="Verdana" w:eastAsia="Times New Roman" w:hAnsi="Verdana" w:cs="Arial"/>
          <w:lang w:val="es-ES" w:eastAsia="es-ES"/>
        </w:rPr>
      </w:pPr>
      <w:r w:rsidRPr="00B8272B">
        <w:rPr>
          <w:rFonts w:ascii="Verdana" w:eastAsia="Times New Roman" w:hAnsi="Verdana" w:cs="Arial"/>
          <w:lang w:val="es-ES" w:eastAsia="es-ES"/>
        </w:rPr>
        <w:t>El artículo 11 de la Ley 1150 de 2007 señala que la liquidación de mutuo acuerdo deberá realizar</w:t>
      </w:r>
      <w:r>
        <w:rPr>
          <w:rFonts w:ascii="Verdana" w:eastAsia="Times New Roman" w:hAnsi="Verdana" w:cs="Arial"/>
          <w:lang w:val="es-ES" w:eastAsia="es-ES"/>
        </w:rPr>
        <w:t>se</w:t>
      </w:r>
      <w:r w:rsidRPr="00B8272B">
        <w:rPr>
          <w:rFonts w:ascii="Verdana" w:eastAsia="Times New Roman" w:hAnsi="Verdana" w:cs="Arial"/>
          <w:lang w:val="es-ES" w:eastAsia="es-ES"/>
        </w:rPr>
        <w:t xml:space="preserve"> dentro del plazo previsto en “los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“materializa los principios de planeación contractual y de trasparencia, comoquiera que su adecuada formulación permite o garantiza la selección objetiva del contratista de acuerdo con los parámetros de calificación correspondientes para cada tipo de procedimiento [y que] constituye la ley tanto del procedimiento administrativo de selección del contratista, como del contrato a</w:t>
      </w:r>
      <w:r w:rsidRPr="00B8272B">
        <w:rPr>
          <w:rFonts w:ascii="Verdana" w:eastAsia="Times New Roman" w:hAnsi="Verdana" w:cs="Arial"/>
          <w:spacing w:val="-7"/>
          <w:lang w:val="es-ES" w:eastAsia="es-ES"/>
        </w:rPr>
        <w:t xml:space="preserve"> </w:t>
      </w:r>
      <w:r w:rsidRPr="00B8272B">
        <w:rPr>
          <w:rFonts w:ascii="Verdana" w:eastAsia="Times New Roman" w:hAnsi="Verdana" w:cs="Arial"/>
          <w:lang w:val="es-ES" w:eastAsia="es-ES"/>
        </w:rPr>
        <w:t>celebrar”</w:t>
      </w:r>
      <w:r w:rsidRPr="00B8272B">
        <w:rPr>
          <w:rFonts w:ascii="Verdana" w:eastAsia="Times New Roman" w:hAnsi="Verdana" w:cs="Arial"/>
          <w:vertAlign w:val="superscript"/>
          <w:lang w:val="es-ES" w:eastAsia="es-ES"/>
        </w:rPr>
        <w:footnoteReference w:id="20"/>
      </w:r>
      <w:r w:rsidRPr="00B8272B">
        <w:rPr>
          <w:rFonts w:ascii="Verdana" w:eastAsia="Times New Roman" w:hAnsi="Verdana" w:cs="Arial"/>
          <w:lang w:val="es-ES" w:eastAsia="es-ES"/>
        </w:rPr>
        <w:t xml:space="preserve">. A partir de tales características debe determinarse la equivalencia de un documento con un pliego de condiciones, la cual se puede ejemplificar </w:t>
      </w:r>
      <w:r w:rsidRPr="00B8272B">
        <w:rPr>
          <w:rFonts w:ascii="Verdana" w:eastAsia="Times New Roman" w:hAnsi="Verdana" w:cs="Arial"/>
          <w:lang w:val="es-ES" w:eastAsia="es-ES"/>
        </w:rPr>
        <w:lastRenderedPageBreak/>
        <w:t>claramente con la invitación a participar en los procesos de mínima cuantía</w:t>
      </w:r>
      <w:r w:rsidRPr="00B8272B">
        <w:rPr>
          <w:rFonts w:ascii="Verdana" w:eastAsia="Times New Roman" w:hAnsi="Verdana" w:cs="Arial"/>
          <w:vertAlign w:val="superscript"/>
          <w:lang w:val="es-ES" w:eastAsia="es-ES"/>
        </w:rPr>
        <w:footnoteReference w:id="21"/>
      </w:r>
      <w:r w:rsidRPr="00B8272B">
        <w:rPr>
          <w:rFonts w:ascii="Verdana" w:eastAsia="Times New Roman" w:hAnsi="Verdana" w:cs="Arial"/>
          <w:lang w:val="es-ES" w:eastAsia="es-ES"/>
        </w:rPr>
        <w:t xml:space="preserve">, documento dentro del cual la entidad contratante debe fijar las reglas aplicables al procedimiento de selección, cumpliendo con la función del pliego de condiciones. En tal sentido, es un documento “equivalente” del mismo en los términos del artículo 11 Ibídem, dentro del cual es viable establecer el plazo para la liquidación de mutuo acuerdo. </w:t>
      </w:r>
    </w:p>
    <w:p w14:paraId="0B1B6726" w14:textId="77777777" w:rsidR="002707E7" w:rsidRPr="00B8272B" w:rsidRDefault="002707E7" w:rsidP="002707E7">
      <w:pPr>
        <w:spacing w:after="120" w:line="276" w:lineRule="auto"/>
        <w:ind w:firstLine="709"/>
        <w:jc w:val="both"/>
        <w:rPr>
          <w:rFonts w:ascii="Verdana" w:eastAsia="Times New Roman" w:hAnsi="Verdana" w:cs="Arial"/>
          <w:lang w:val="es-ES" w:eastAsia="es-ES"/>
        </w:rPr>
      </w:pPr>
      <w:r w:rsidRPr="00B8272B">
        <w:rPr>
          <w:rFonts w:ascii="Verdana" w:eastAsia="Times New Roman" w:hAnsi="Verdana" w:cs="Arial"/>
          <w:lang w:val="es-ES" w:eastAsia="es-ES"/>
        </w:rPr>
        <w:t>De otra parte, cuando el artículo 11 de la Ley 1150 de 2007 hace referencia al término que “acuerden las partes”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implica una modificación del contrato. Por tal razón, su celebración debe cumplir con los requisitos del negocio jurídico, ameritando la concurrencia de capacidad jurídica de los agentes, un consentimiento libre de vicios, un objeto y causa lícita, así como la formalidad escrita requerida en materia de contratación estatal</w:t>
      </w:r>
      <w:r w:rsidRPr="00B8272B">
        <w:rPr>
          <w:rFonts w:ascii="Verdana" w:eastAsia="Times New Roman" w:hAnsi="Verdana" w:cs="Arial"/>
          <w:vertAlign w:val="superscript"/>
          <w:lang w:val="es-ES" w:eastAsia="es-ES"/>
        </w:rPr>
        <w:footnoteReference w:id="22"/>
      </w:r>
      <w:r w:rsidRPr="00B8272B">
        <w:rPr>
          <w:rFonts w:ascii="Verdana" w:eastAsia="Times New Roman" w:hAnsi="Verdana" w:cs="Arial"/>
          <w:lang w:val="es-ES" w:eastAsia="es-ES"/>
        </w:rPr>
        <w:t xml:space="preserve">. </w:t>
      </w:r>
    </w:p>
    <w:p w14:paraId="3550CC16" w14:textId="77777777" w:rsidR="002707E7" w:rsidRPr="00B8272B" w:rsidRDefault="002707E7" w:rsidP="002707E7">
      <w:pPr>
        <w:spacing w:after="120" w:line="276" w:lineRule="auto"/>
        <w:ind w:firstLine="709"/>
        <w:jc w:val="both"/>
        <w:rPr>
          <w:rFonts w:ascii="Verdana" w:eastAsia="Calibri" w:hAnsi="Verdana" w:cs="Arial"/>
          <w:lang w:val="es-ES"/>
        </w:rPr>
      </w:pPr>
      <w:r w:rsidRPr="00B8272B">
        <w:rPr>
          <w:rFonts w:ascii="Verdana" w:eastAsia="Calibri" w:hAnsi="Verdana" w:cs="Arial"/>
          <w:lang w:val="es-ES"/>
        </w:rPr>
        <w:lastRenderedPageBreak/>
        <w:t>Ahora bien, el término de 4 meses previsto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se encuentran sometidas a los principios de la función administrativa</w:t>
      </w:r>
      <w:r w:rsidRPr="00B8272B">
        <w:rPr>
          <w:rFonts w:ascii="Verdana" w:eastAsia="Calibri" w:hAnsi="Verdana" w:cs="Arial"/>
          <w:vertAlign w:val="superscript"/>
          <w:lang w:val="es-ES"/>
        </w:rPr>
        <w:footnoteReference w:id="23"/>
      </w:r>
      <w:r w:rsidRPr="00B8272B">
        <w:rPr>
          <w:rFonts w:ascii="Verdana" w:eastAsia="Calibri" w:hAnsi="Verdana" w:cs="Arial"/>
          <w:lang w:val="es-ES"/>
        </w:rPr>
        <w:t>, lo cual implica que las mismas se desarrollen en procura de la economía y la celeridad</w:t>
      </w:r>
      <w:r w:rsidRPr="00B8272B">
        <w:rPr>
          <w:rFonts w:ascii="Verdana" w:eastAsia="Calibri" w:hAnsi="Verdana" w:cs="Arial"/>
          <w:vertAlign w:val="superscript"/>
          <w:lang w:val="es-ES"/>
        </w:rPr>
        <w:footnoteReference w:id="24"/>
      </w:r>
      <w:r w:rsidRPr="00B8272B">
        <w:rPr>
          <w:rFonts w:ascii="Verdana" w:eastAsia="Calibri" w:hAnsi="Verdana" w:cs="Arial"/>
          <w:lang w:val="es-ES"/>
        </w:rPr>
        <w:t>. Esto significa que, en ejercicio de la facultad que les asiste para fijar el plazo para la liquidación bilateral, las partes deben actuar en garantía de estos principios, por lo que el término que se acuerde debe fijarse de manera razonable.</w:t>
      </w:r>
    </w:p>
    <w:p w14:paraId="77B23311" w14:textId="77777777" w:rsidR="002707E7" w:rsidRPr="00B8272B" w:rsidRDefault="002707E7" w:rsidP="002707E7">
      <w:pPr>
        <w:spacing w:after="120" w:line="276" w:lineRule="auto"/>
        <w:ind w:firstLine="709"/>
        <w:jc w:val="both"/>
        <w:rPr>
          <w:rFonts w:ascii="Verdana" w:eastAsia="Calibri" w:hAnsi="Verdana" w:cs="Arial"/>
          <w:color w:val="000000"/>
          <w:lang w:val="es-ES"/>
        </w:rPr>
      </w:pPr>
      <w:r w:rsidRPr="00B8272B">
        <w:rPr>
          <w:rFonts w:ascii="Verdana" w:eastAsia="Calibri" w:hAnsi="Verdana" w:cs="Arial"/>
          <w:color w:val="000000"/>
          <w:lang w:val="es-ES"/>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B8272B">
        <w:rPr>
          <w:rFonts w:ascii="Verdana" w:eastAsia="Calibri" w:hAnsi="Verdana" w:cs="Arial"/>
          <w:color w:val="000000"/>
          <w:vertAlign w:val="superscript"/>
          <w:lang w:val="es-ES"/>
        </w:rPr>
        <w:footnoteReference w:id="25"/>
      </w:r>
      <w:r w:rsidRPr="00B8272B">
        <w:rPr>
          <w:rFonts w:ascii="Verdana" w:eastAsia="Calibri" w:hAnsi="Verdana" w:cs="Arial"/>
          <w:color w:val="000000"/>
          <w:lang w:val="es-ES"/>
        </w:rPr>
        <w:t>, de manera que el contrato pueda ser liquidado bilateralmente, bien sea en el plazo previsto en el pliego de condiciones, el acordado por las partes, o el supletivo de cuatro meses señalado en la ley, según corresponda. Esta liquidación bilateral puede ser total o parcial</w:t>
      </w:r>
      <w:r w:rsidRPr="00B8272B">
        <w:rPr>
          <w:rFonts w:ascii="Verdana" w:eastAsia="Calibri" w:hAnsi="Verdana" w:cs="Arial"/>
          <w:iCs/>
          <w:color w:val="000000"/>
          <w:vertAlign w:val="superscript"/>
          <w:lang w:val="es-ES"/>
        </w:rPr>
        <w:footnoteReference w:id="26"/>
      </w:r>
      <w:r w:rsidRPr="00B8272B">
        <w:rPr>
          <w:rFonts w:ascii="Verdana" w:eastAsia="Calibri" w:hAnsi="Verdana" w:cs="Arial"/>
          <w:color w:val="000000"/>
          <w:lang w:val="es-ES"/>
        </w:rPr>
        <w:t xml:space="preserve">, y </w:t>
      </w:r>
      <w:r w:rsidRPr="00B8272B">
        <w:rPr>
          <w:rFonts w:ascii="Verdana" w:eastAsia="Calibri" w:hAnsi="Verdana" w:cs="Arial"/>
          <w:iCs/>
          <w:color w:val="000000"/>
          <w:lang w:val="es-ES"/>
        </w:rPr>
        <w:t xml:space="preserve">el documento </w:t>
      </w:r>
      <w:r w:rsidRPr="00B8272B">
        <w:rPr>
          <w:rFonts w:ascii="Verdana" w:eastAsia="Calibri" w:hAnsi="Verdana" w:cs="Arial"/>
          <w:iCs/>
          <w:color w:val="000000"/>
          <w:lang w:val="es-ES"/>
        </w:rPr>
        <w:lastRenderedPageBreak/>
        <w:t>que la contiene presta mérito ejecutivo, siempre que se satisfagan los elementos para considerarlo como tal</w:t>
      </w:r>
      <w:r w:rsidRPr="00B8272B">
        <w:rPr>
          <w:rFonts w:ascii="Verdana" w:eastAsia="Calibri" w:hAnsi="Verdana" w:cs="Arial"/>
          <w:color w:val="000000"/>
          <w:lang w:val="es-ES"/>
        </w:rPr>
        <w:t>.</w:t>
      </w:r>
    </w:p>
    <w:p w14:paraId="0A5E1388" w14:textId="77777777" w:rsidR="002707E7" w:rsidRPr="00B8272B" w:rsidRDefault="002707E7" w:rsidP="002707E7">
      <w:pPr>
        <w:spacing w:after="0" w:line="276" w:lineRule="auto"/>
        <w:ind w:firstLine="705"/>
        <w:jc w:val="both"/>
        <w:rPr>
          <w:rFonts w:ascii="Verdana" w:eastAsia="Times New Roman" w:hAnsi="Verdana" w:cs="Arial"/>
          <w:color w:val="000000"/>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Si no es posible efectuar la liquidación de manera bilateral, el ordenamiento jurídico prevé una facultad, de carácter subsidiario, para que la Entidad Estatal realice la liquidación unilateralmente. En relación con este aspecto, la Sala de Consulta y Servicio Civil del Consejo de Estado, en concepto del 28 de junio de 2016, manifestó que:  </w:t>
      </w:r>
    </w:p>
    <w:p w14:paraId="562001BA" w14:textId="77777777" w:rsidR="002707E7" w:rsidRPr="00B8272B" w:rsidRDefault="002707E7" w:rsidP="002707E7">
      <w:pPr>
        <w:spacing w:after="0" w:line="276" w:lineRule="auto"/>
        <w:ind w:left="705" w:right="750"/>
        <w:jc w:val="both"/>
        <w:rPr>
          <w:rFonts w:ascii="Verdana" w:eastAsia="Times New Roman" w:hAnsi="Verdana" w:cs="Arial"/>
          <w:color w:val="000000"/>
          <w:lang w:val="es-ES" w:eastAsia="es-ES_tradnl"/>
        </w:rPr>
      </w:pPr>
    </w:p>
    <w:p w14:paraId="24EF14B0" w14:textId="77777777" w:rsidR="002707E7" w:rsidRPr="00B8272B" w:rsidRDefault="002707E7" w:rsidP="002707E7">
      <w:pPr>
        <w:spacing w:after="0" w:line="240" w:lineRule="auto"/>
        <w:ind w:left="705" w:right="750"/>
        <w:jc w:val="both"/>
        <w:rPr>
          <w:rFonts w:ascii="Verdana" w:eastAsia="Times New Roman" w:hAnsi="Verdana" w:cs="Arial"/>
          <w:color w:val="000000"/>
          <w:sz w:val="20"/>
          <w:szCs w:val="20"/>
          <w:lang w:val="es-ES" w:eastAsia="es-ES_tradnl"/>
        </w:rPr>
      </w:pPr>
      <w:r w:rsidRPr="00B8272B">
        <w:rPr>
          <w:rFonts w:ascii="Verdana" w:eastAsia="Times New Roman" w:hAnsi="Verdana" w:cs="Arial"/>
          <w:i/>
          <w:iCs/>
          <w:sz w:val="20"/>
          <w:szCs w:val="20"/>
          <w:lang w:val="es-ES" w:eastAsia="es-ES_tradnl"/>
        </w:rPr>
        <w:t>“</w:t>
      </w:r>
      <w:r w:rsidRPr="00B8272B">
        <w:rPr>
          <w:rFonts w:ascii="Verdana" w:eastAsia="Calibri" w:hAnsi="Verdana" w:cs="Arial"/>
          <w:color w:val="000000"/>
          <w:sz w:val="20"/>
          <w:szCs w:val="20"/>
          <w:lang w:val="es-ES" w:eastAsia="es-ES_tradnl"/>
        </w:rPr>
        <w:t>[</w:t>
      </w:r>
      <w:r w:rsidRPr="00B8272B">
        <w:rPr>
          <w:rFonts w:ascii="Verdana" w:eastAsia="Times New Roman" w:hAnsi="Verdana" w:cs="Arial"/>
          <w:color w:val="000000"/>
          <w:sz w:val="20"/>
          <w:szCs w:val="20"/>
          <w:bdr w:val="none" w:sz="0" w:space="0" w:color="auto" w:frame="1"/>
          <w:shd w:val="clear" w:color="auto" w:fill="FFFFFF"/>
          <w:lang w:val="es-ES" w:eastAsia="es-ES_tradnl"/>
        </w:rPr>
        <w:t>…] 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27"/>
      </w:r>
      <w:r w:rsidRPr="00B8272B">
        <w:rPr>
          <w:rFonts w:ascii="Verdana" w:eastAsia="Times New Roman" w:hAnsi="Verdana" w:cs="Arial"/>
          <w:color w:val="000000"/>
          <w:sz w:val="20"/>
          <w:szCs w:val="20"/>
          <w:bdr w:val="none" w:sz="0" w:space="0" w:color="auto" w:frame="1"/>
          <w:shd w:val="clear" w:color="auto" w:fill="FFFFFF"/>
          <w:lang w:val="es-ES" w:eastAsia="es-ES_tradnl"/>
        </w:rPr>
        <w:t>.   </w:t>
      </w:r>
    </w:p>
    <w:p w14:paraId="02F96ECB" w14:textId="77777777" w:rsidR="002707E7" w:rsidRPr="00B8272B" w:rsidRDefault="002707E7" w:rsidP="002707E7">
      <w:pPr>
        <w:spacing w:after="0" w:line="276" w:lineRule="auto"/>
        <w:ind w:left="705" w:right="750"/>
        <w:jc w:val="both"/>
        <w:rPr>
          <w:rFonts w:ascii="Verdana" w:eastAsia="Times New Roman" w:hAnsi="Verdana" w:cs="Arial"/>
          <w:color w:val="000000"/>
          <w:lang w:val="es-ES" w:eastAsia="es-ES_tradnl"/>
        </w:rPr>
      </w:pPr>
    </w:p>
    <w:p w14:paraId="361C26D5" w14:textId="77777777" w:rsidR="002707E7" w:rsidRPr="00B8272B" w:rsidRDefault="002707E7" w:rsidP="002707E7">
      <w:pPr>
        <w:spacing w:after="120" w:line="276" w:lineRule="auto"/>
        <w:ind w:firstLine="705"/>
        <w:jc w:val="both"/>
        <w:rPr>
          <w:rFonts w:ascii="Verdana" w:eastAsia="Times New Roman" w:hAnsi="Verdana" w:cs="Arial"/>
          <w:color w:val="000000"/>
          <w:lang w:val="es-ES" w:eastAsia="es-ES_tradnl"/>
        </w:rPr>
      </w:pPr>
      <w:bookmarkStart w:id="13" w:name="_Hlk141851266"/>
      <w:r w:rsidRPr="00B8272B">
        <w:rPr>
          <w:rFonts w:ascii="Verdana" w:eastAsia="Times New Roman" w:hAnsi="Verdana" w:cs="Arial"/>
          <w:color w:val="000000"/>
          <w:bdr w:val="none" w:sz="0" w:space="0" w:color="auto" w:frame="1"/>
          <w:shd w:val="clear" w:color="auto" w:fill="FFFFFF"/>
          <w:lang w:val="es-ES" w:eastAsia="es-ES_tradnl"/>
        </w:rPr>
        <w:t>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w:t>
      </w:r>
    </w:p>
    <w:p w14:paraId="710A7EFD" w14:textId="77777777" w:rsidR="002707E7" w:rsidRPr="00B8272B" w:rsidRDefault="002707E7" w:rsidP="002707E7">
      <w:pPr>
        <w:spacing w:after="0" w:line="276" w:lineRule="auto"/>
        <w:ind w:firstLine="705"/>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ser realizada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 </w:t>
      </w:r>
      <w:bookmarkEnd w:id="13"/>
      <w:r w:rsidRPr="00B8272B">
        <w:rPr>
          <w:rFonts w:ascii="Verdana" w:eastAsia="Times New Roman" w:hAnsi="Verdana" w:cs="Arial"/>
          <w:color w:val="000000"/>
          <w:bdr w:val="none" w:sz="0" w:space="0" w:color="auto" w:frame="1"/>
          <w:shd w:val="clear" w:color="auto" w:fill="FFFFFF"/>
          <w:lang w:val="es-ES" w:eastAsia="es-ES_tradnl"/>
        </w:rPr>
        <w:t>En este sentido, en decisión de unificación de la Sección Tercera del Consejo de Estado del 1 de agosto de 2019, se expresó: </w:t>
      </w:r>
    </w:p>
    <w:p w14:paraId="3AB696F0" w14:textId="77777777" w:rsidR="002707E7" w:rsidRPr="00B8272B" w:rsidRDefault="002707E7" w:rsidP="002707E7">
      <w:pPr>
        <w:spacing w:after="0" w:line="276" w:lineRule="auto"/>
        <w:ind w:firstLine="705"/>
        <w:jc w:val="both"/>
        <w:rPr>
          <w:rFonts w:ascii="Verdana" w:eastAsia="Times New Roman" w:hAnsi="Verdana" w:cs="Arial"/>
          <w:color w:val="000000"/>
          <w:lang w:val="es-ES" w:eastAsia="es-ES_tradnl"/>
        </w:rPr>
      </w:pPr>
    </w:p>
    <w:p w14:paraId="09C945BD" w14:textId="77777777" w:rsidR="002707E7" w:rsidRPr="00B8272B" w:rsidRDefault="002707E7" w:rsidP="002707E7">
      <w:pPr>
        <w:spacing w:after="0" w:line="240" w:lineRule="auto"/>
        <w:ind w:left="705" w:right="750"/>
        <w:jc w:val="both"/>
        <w:rPr>
          <w:rFonts w:ascii="Verdana" w:eastAsia="Times New Roman" w:hAnsi="Verdana" w:cs="Arial"/>
          <w:color w:val="000000"/>
          <w:sz w:val="20"/>
          <w:szCs w:val="20"/>
          <w:lang w:val="es-ES" w:eastAsia="es-ES_tradnl"/>
        </w:rPr>
      </w:pPr>
      <w:r w:rsidRPr="00B8272B">
        <w:rPr>
          <w:rFonts w:ascii="Verdana" w:eastAsia="Times New Roman" w:hAnsi="Verdana" w:cs="Arial"/>
          <w:sz w:val="20"/>
          <w:szCs w:val="20"/>
          <w:lang w:val="es-ES" w:eastAsia="es-ES_tradnl"/>
        </w:rPr>
        <w:t>“</w:t>
      </w: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Como pudo apreciarse, este precepto legal permite que la liquidación bilateral se acuerde después del vencimiento del término pactado en el </w:t>
      </w:r>
      <w:r w:rsidRPr="00B8272B">
        <w:rPr>
          <w:rFonts w:ascii="Verdana" w:eastAsia="Times New Roman" w:hAnsi="Verdana" w:cs="Arial"/>
          <w:color w:val="000000"/>
          <w:sz w:val="20"/>
          <w:szCs w:val="20"/>
          <w:bdr w:val="none" w:sz="0" w:space="0" w:color="auto" w:frame="1"/>
          <w:shd w:val="clear" w:color="auto" w:fill="FFFFFF"/>
          <w:lang w:val="es-ES" w:eastAsia="es-ES_tradnl"/>
        </w:rPr>
        <w:lastRenderedPageBreak/>
        <w:t>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se logre dentro del lapso de dos años contados a partir del vencimiento del término legalmente conocido para la liquidación unilateral, pues ese es el lapso que el ordenamiento ha fijado para el ejercicio oportuno de la acción</w:t>
      </w:r>
      <w:r w:rsidRPr="00B8272B">
        <w:rPr>
          <w:rFonts w:ascii="Verdana" w:eastAsia="Times New Roman" w:hAnsi="Verdana" w:cs="Arial"/>
          <w:sz w:val="20"/>
          <w:szCs w:val="20"/>
          <w:lang w:val="es-ES" w:eastAsia="es-ES_tradnl"/>
        </w:rPr>
        <w:t>”</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t xml:space="preserve"> </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28"/>
      </w:r>
      <w:r w:rsidRPr="00B8272B">
        <w:rPr>
          <w:rFonts w:ascii="Verdana" w:eastAsia="Times New Roman" w:hAnsi="Verdana" w:cs="Arial"/>
          <w:sz w:val="20"/>
          <w:szCs w:val="20"/>
          <w:lang w:val="es-ES" w:eastAsia="es-ES_tradnl"/>
        </w:rPr>
        <w:t>.</w:t>
      </w:r>
      <w:r w:rsidRPr="00B8272B">
        <w:rPr>
          <w:rFonts w:ascii="Verdana" w:eastAsia="Times New Roman" w:hAnsi="Verdana" w:cs="Arial"/>
          <w:color w:val="000000"/>
          <w:sz w:val="20"/>
          <w:szCs w:val="20"/>
          <w:bdr w:val="none" w:sz="0" w:space="0" w:color="auto" w:frame="1"/>
          <w:shd w:val="clear" w:color="auto" w:fill="FFFFFF"/>
          <w:lang w:val="es-ES" w:eastAsia="es-ES_tradnl"/>
        </w:rPr>
        <w:t> </w:t>
      </w:r>
    </w:p>
    <w:p w14:paraId="09852141" w14:textId="77777777" w:rsidR="002707E7" w:rsidRPr="00B8272B" w:rsidRDefault="002707E7" w:rsidP="002707E7">
      <w:pPr>
        <w:spacing w:after="0" w:line="276" w:lineRule="auto"/>
        <w:ind w:firstLine="708"/>
        <w:jc w:val="both"/>
        <w:rPr>
          <w:rFonts w:ascii="Verdana" w:eastAsia="Times New Roman" w:hAnsi="Verdana" w:cs="Arial"/>
          <w:color w:val="000000"/>
          <w:lang w:val="es-ES" w:eastAsia="es-ES_tradnl"/>
        </w:rPr>
      </w:pPr>
    </w:p>
    <w:p w14:paraId="535979ED" w14:textId="77777777" w:rsidR="002707E7" w:rsidRPr="00B8272B" w:rsidRDefault="002707E7" w:rsidP="002707E7">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 xml:space="preserve">A su turno, la liquidación judicial hace parte de una de las pretensiones que admite el medio de control de controversias contractuales. Al respecto, el artículo 141 de la Ley 1437 de 2011 dispone que “[…] el interesado podrá </w:t>
      </w:r>
      <w:bookmarkStart w:id="14" w:name="_Hlk172560769"/>
      <w:r w:rsidRPr="00B8272B">
        <w:rPr>
          <w:rFonts w:ascii="Verdana" w:eastAsia="Times New Roman" w:hAnsi="Verdana" w:cs="Arial"/>
          <w:color w:val="000000"/>
          <w:bdr w:val="none" w:sz="0" w:space="0" w:color="auto" w:frame="1"/>
          <w:shd w:val="clear" w:color="auto" w:fill="FFFFFF"/>
          <w:lang w:val="es-ES" w:eastAsia="es-ES_tradnl"/>
        </w:rPr>
        <w:t>solicitar la liquidación judicial</w:t>
      </w:r>
      <w:bookmarkEnd w:id="14"/>
      <w:r w:rsidRPr="00B8272B">
        <w:rPr>
          <w:rFonts w:ascii="Verdana" w:eastAsia="Times New Roman" w:hAnsi="Verdana" w:cs="Arial"/>
          <w:color w:val="000000"/>
          <w:bdr w:val="none" w:sz="0" w:space="0" w:color="auto" w:frame="1"/>
          <w:shd w:val="clear" w:color="auto" w:fill="FFFFFF"/>
          <w:lang w:val="es-ES"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 Bajo esta perspectiva, para la entidad cesa la facultad de liquidar bilateral o unilateralmente, ya que el tema pasa de la administración a la jurisdicción.</w:t>
      </w:r>
    </w:p>
    <w:p w14:paraId="2AA76598" w14:textId="77777777" w:rsidR="002707E7" w:rsidRPr="00B8272B" w:rsidRDefault="002707E7" w:rsidP="002707E7">
      <w:pPr>
        <w:spacing w:after="120" w:line="276" w:lineRule="auto"/>
        <w:ind w:firstLine="709"/>
        <w:jc w:val="both"/>
        <w:rPr>
          <w:rFonts w:ascii="Verdana" w:eastAsia="Calibri" w:hAnsi="Verdana" w:cs="Arial"/>
          <w:lang w:val="es-ES"/>
        </w:rPr>
      </w:pPr>
      <w:r w:rsidRPr="00B8272B">
        <w:rPr>
          <w:rFonts w:ascii="Verdana" w:eastAsia="Calibri" w:hAnsi="Verdana" w:cs="Arial"/>
          <w:lang w:val="es-ES"/>
        </w:rPr>
        <w:t xml:space="preserve">Ahora bien, aunque en los contratos celebrados por entidades sujetas a un régimen especial no se encuentran obligados a su liquidación, esta puede ser realizarse si así se estipula en el respectivo contrato, al respecto el Consejo de Estado en Sentencia del 12 de </w:t>
      </w:r>
      <w:r>
        <w:rPr>
          <w:rFonts w:ascii="Verdana" w:eastAsia="Calibri" w:hAnsi="Verdana" w:cs="Arial"/>
          <w:lang w:val="es-ES"/>
        </w:rPr>
        <w:t>d</w:t>
      </w:r>
      <w:r w:rsidRPr="00B8272B">
        <w:rPr>
          <w:rFonts w:ascii="Verdana" w:eastAsia="Calibri" w:hAnsi="Verdana" w:cs="Arial"/>
          <w:lang w:val="es-ES"/>
        </w:rPr>
        <w:t xml:space="preserve">iciembre de 2022, dijo: </w:t>
      </w:r>
    </w:p>
    <w:p w14:paraId="72F152A8" w14:textId="77777777" w:rsidR="002707E7" w:rsidRPr="00B8272B" w:rsidRDefault="002707E7" w:rsidP="002707E7">
      <w:pPr>
        <w:spacing w:after="120" w:line="240" w:lineRule="auto"/>
        <w:ind w:left="709" w:right="758"/>
        <w:jc w:val="both"/>
        <w:rPr>
          <w:rFonts w:ascii="Verdana" w:eastAsia="Calibri" w:hAnsi="Verdana" w:cs="Arial"/>
          <w:sz w:val="20"/>
          <w:szCs w:val="20"/>
          <w:lang w:val="es-ES"/>
        </w:rPr>
      </w:pPr>
      <w:r>
        <w:rPr>
          <w:rFonts w:ascii="Verdana" w:eastAsia="Calibri" w:hAnsi="Verdana" w:cs="Arial"/>
          <w:sz w:val="20"/>
          <w:szCs w:val="20"/>
          <w:lang w:val="es-ES"/>
        </w:rPr>
        <w:t>“</w:t>
      </w:r>
      <w:r w:rsidRPr="00B8272B">
        <w:rPr>
          <w:rFonts w:ascii="Verdana" w:eastAsia="Calibri" w:hAnsi="Verdana" w:cs="Arial"/>
          <w:sz w:val="20"/>
          <w:szCs w:val="20"/>
          <w:lang w:val="es-ES"/>
        </w:rPr>
        <w:t xml:space="preserve">En ese sentido, las distintas Subsecciones que integran la Sección Tercera de esta Corporación han establecido algunas pautas para el ejercicio de este tipo de cláusulas, de manera particular, en relación con la liquidación unilateral de un contrato regido por el derecho privado. </w:t>
      </w:r>
    </w:p>
    <w:p w14:paraId="2EFCDA16" w14:textId="77777777" w:rsidR="002707E7" w:rsidRPr="00B8272B" w:rsidRDefault="002707E7" w:rsidP="002707E7">
      <w:pPr>
        <w:spacing w:after="120" w:line="240" w:lineRule="auto"/>
        <w:ind w:left="709" w:right="758"/>
        <w:jc w:val="both"/>
        <w:rPr>
          <w:rFonts w:ascii="Verdana" w:eastAsia="Calibri" w:hAnsi="Verdana" w:cs="Arial"/>
          <w:sz w:val="20"/>
          <w:szCs w:val="20"/>
          <w:lang w:val="es-ES"/>
        </w:rPr>
      </w:pPr>
      <w:r w:rsidRPr="00B8272B">
        <w:rPr>
          <w:rFonts w:ascii="Verdana" w:eastAsia="Calibri" w:hAnsi="Verdana" w:cs="Arial"/>
          <w:sz w:val="20"/>
          <w:szCs w:val="20"/>
          <w:lang w:val="es-ES"/>
        </w:rPr>
        <w:t>Si bien en los contratos que se rigen por el derecho privado no existe la obligación de liquidarlos –como sí sucede en los que están sometidos al EGCAP por expresa disposición legal–, resulta válida la inclusión de cláusulas con esa finalidad, lo cual constituye una manifestación del ejercicio de la autonomía de la voluntad, siempre y cuando no contravengan el orden jurídico ni las finalidades del Estado</w:t>
      </w:r>
      <w:r>
        <w:rPr>
          <w:rFonts w:ascii="Verdana" w:eastAsia="Calibri" w:hAnsi="Verdana" w:cs="Arial"/>
          <w:sz w:val="20"/>
          <w:szCs w:val="20"/>
          <w:lang w:val="es-ES"/>
        </w:rPr>
        <w:t>”</w:t>
      </w:r>
      <w:r w:rsidRPr="00B8272B">
        <w:rPr>
          <w:rStyle w:val="FootnoteReference"/>
          <w:rFonts w:ascii="Verdana" w:eastAsia="Calibri" w:hAnsi="Verdana" w:cs="Arial"/>
          <w:sz w:val="20"/>
          <w:szCs w:val="20"/>
          <w:lang w:val="es-ES"/>
        </w:rPr>
        <w:footnoteReference w:id="29"/>
      </w:r>
      <w:r w:rsidRPr="00B8272B">
        <w:rPr>
          <w:rFonts w:ascii="Verdana" w:eastAsia="Calibri" w:hAnsi="Verdana" w:cs="Arial"/>
          <w:sz w:val="20"/>
          <w:szCs w:val="20"/>
          <w:lang w:val="es-ES"/>
        </w:rPr>
        <w:t>.</w:t>
      </w:r>
    </w:p>
    <w:p w14:paraId="35475CED" w14:textId="77777777" w:rsidR="002707E7" w:rsidRPr="00B8272B" w:rsidRDefault="002707E7" w:rsidP="002707E7">
      <w:pPr>
        <w:tabs>
          <w:tab w:val="left" w:pos="709"/>
        </w:tabs>
        <w:spacing w:after="0" w:line="276" w:lineRule="auto"/>
        <w:jc w:val="both"/>
        <w:rPr>
          <w:rFonts w:ascii="Verdana" w:eastAsia="Calibri" w:hAnsi="Verdana" w:cs="Arial"/>
          <w:color w:val="000000"/>
          <w:lang w:val="es-ES"/>
        </w:rPr>
      </w:pPr>
      <w:r w:rsidRPr="00B8272B">
        <w:rPr>
          <w:rFonts w:ascii="Verdana" w:eastAsia="Calibri" w:hAnsi="Verdana" w:cs="Arial"/>
          <w:color w:val="000000"/>
          <w:lang w:val="es-ES"/>
        </w:rPr>
        <w:t xml:space="preserve">En consecuencia, </w:t>
      </w:r>
      <w:r w:rsidRPr="00B8272B">
        <w:rPr>
          <w:rFonts w:ascii="Verdana" w:eastAsia="Times New Roman" w:hAnsi="Verdana" w:cs="Arial"/>
          <w:color w:val="000000"/>
          <w:bdr w:val="none" w:sz="0" w:space="0" w:color="auto" w:frame="1"/>
          <w:shd w:val="clear" w:color="auto" w:fill="FFFFFF"/>
          <w:lang w:val="es-ES" w:eastAsia="es-ES_tradnl"/>
        </w:rPr>
        <w:t xml:space="preserve">aunque las </w:t>
      </w:r>
      <w:r w:rsidRPr="00B8272B">
        <w:rPr>
          <w:rFonts w:ascii="Verdana" w:eastAsia="Times New Roman" w:hAnsi="Verdana" w:cs="Arial"/>
          <w:i/>
          <w:iCs/>
          <w:color w:val="000000"/>
          <w:bdr w:val="none" w:sz="0" w:space="0" w:color="auto" w:frame="1"/>
          <w:shd w:val="clear" w:color="auto" w:fill="FFFFFF"/>
          <w:lang w:val="es-ES" w:eastAsia="es-ES_tradnl"/>
        </w:rPr>
        <w:t>entidades de régimen exceptuado</w:t>
      </w:r>
      <w:r w:rsidRPr="00B8272B">
        <w:rPr>
          <w:rFonts w:ascii="Verdana" w:eastAsia="Times New Roman" w:hAnsi="Verdana" w:cs="Arial"/>
          <w:color w:val="000000"/>
          <w:bdr w:val="none" w:sz="0" w:space="0" w:color="auto" w:frame="1"/>
          <w:shd w:val="clear" w:color="auto" w:fill="FFFFFF"/>
          <w:lang w:val="es-ES" w:eastAsia="es-ES_tradnl"/>
        </w:rPr>
        <w:t xml:space="preserve"> no están obligadas a aplicar el artículo 60 de la Ley 80 de 1993 ni </w:t>
      </w:r>
      <w:r w:rsidRPr="00B8272B">
        <w:rPr>
          <w:rFonts w:ascii="Verdana" w:eastAsia="Calibri" w:hAnsi="Verdana" w:cs="Arial"/>
          <w:color w:val="000000"/>
          <w:lang w:val="es-ES"/>
        </w:rPr>
        <w:t xml:space="preserve">el artículo 11 de la Ley 1150 de 2007, cuando suscriben actas de liquidación bilateral, a estas le son </w:t>
      </w:r>
      <w:r w:rsidRPr="00B8272B">
        <w:rPr>
          <w:rFonts w:ascii="Verdana" w:eastAsia="Calibri" w:hAnsi="Verdana" w:cs="Arial"/>
          <w:color w:val="000000"/>
          <w:lang w:val="es-ES"/>
        </w:rPr>
        <w:lastRenderedPageBreak/>
        <w:t>aplicables su naturaleza y efectos, ya que tienen carácter transversal y, por tanto, aplica a todas las entidades al margen de que estén o no sometidas al Estatuto General de Contratación de la Administración Pública. Como explica la doctrina, la liquidación bilateral puede pactarse en los contratos de régimen especial, sin perjuicio de lo regulado en el respectivo manual de contratación; razón por la cual:</w:t>
      </w:r>
    </w:p>
    <w:p w14:paraId="0DC4CF43" w14:textId="77777777" w:rsidR="002707E7" w:rsidRPr="00B8272B" w:rsidRDefault="002707E7" w:rsidP="002707E7">
      <w:pPr>
        <w:tabs>
          <w:tab w:val="left" w:pos="709"/>
        </w:tabs>
        <w:spacing w:after="0" w:line="276" w:lineRule="auto"/>
        <w:jc w:val="both"/>
        <w:rPr>
          <w:rFonts w:ascii="Verdana" w:eastAsia="Calibri" w:hAnsi="Verdana" w:cs="Arial"/>
          <w:color w:val="000000"/>
          <w:lang w:val="es-ES"/>
        </w:rPr>
      </w:pPr>
    </w:p>
    <w:p w14:paraId="524FE4AD" w14:textId="77777777" w:rsidR="002707E7" w:rsidRPr="00B8272B" w:rsidRDefault="002707E7" w:rsidP="002707E7">
      <w:pPr>
        <w:tabs>
          <w:tab w:val="left" w:pos="709"/>
        </w:tabs>
        <w:spacing w:after="0" w:line="240" w:lineRule="auto"/>
        <w:ind w:left="709" w:right="709"/>
        <w:jc w:val="both"/>
        <w:rPr>
          <w:rFonts w:ascii="Verdana" w:eastAsia="Calibri" w:hAnsi="Verdana" w:cs="Arial"/>
          <w:color w:val="000000"/>
          <w:sz w:val="20"/>
          <w:szCs w:val="20"/>
          <w:lang w:val="es-ES"/>
        </w:rPr>
      </w:pPr>
      <w:r w:rsidRPr="00B8272B">
        <w:rPr>
          <w:rFonts w:ascii="Verdana" w:eastAsia="Calibri" w:hAnsi="Verdana" w:cs="Arial"/>
          <w:color w:val="000000"/>
          <w:sz w:val="20"/>
          <w:szCs w:val="20"/>
          <w:lang w:val="es-ES"/>
        </w:rPr>
        <w:t>“[…] resulta válido que estas pacten en sus contratos la carga de liquidarlos, independientemente de si utilizan o no un procedimiento distinto al establecido en los artículos</w:t>
      </w: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 60 de la Ley 80 de 1993 y </w:t>
      </w:r>
      <w:r w:rsidRPr="00B8272B">
        <w:rPr>
          <w:rFonts w:ascii="Verdana" w:eastAsia="Calibri" w:hAnsi="Verdana" w:cs="Arial"/>
          <w:color w:val="000000"/>
          <w:sz w:val="20"/>
          <w:szCs w:val="20"/>
          <w:lang w:val="es-ES"/>
        </w:rPr>
        <w:t xml:space="preserve">11 de la Ley 1150 de 2007, siempre y cuando cuenten con la anuencia del contratista; es decir, con la expresión de su consentimiento al firmar el contrato, pues </w:t>
      </w:r>
      <w:r w:rsidRPr="00B8272B">
        <w:rPr>
          <w:rFonts w:ascii="Verdana" w:eastAsia="Calibri" w:hAnsi="Verdana" w:cs="Arial"/>
          <w:i/>
          <w:iCs/>
          <w:color w:val="000000"/>
          <w:sz w:val="20"/>
          <w:szCs w:val="20"/>
          <w:lang w:val="es-ES"/>
        </w:rPr>
        <w:t>la liquidación</w:t>
      </w:r>
      <w:r w:rsidRPr="00B8272B">
        <w:rPr>
          <w:rFonts w:ascii="Verdana" w:eastAsia="Calibri" w:hAnsi="Verdana" w:cs="Arial"/>
          <w:color w:val="000000"/>
          <w:sz w:val="20"/>
          <w:szCs w:val="20"/>
          <w:lang w:val="es-ES"/>
        </w:rPr>
        <w:t xml:space="preserve"> […] </w:t>
      </w:r>
      <w:r w:rsidRPr="00B8272B">
        <w:rPr>
          <w:rFonts w:ascii="Verdana" w:eastAsia="Calibri" w:hAnsi="Verdana" w:cs="Arial"/>
          <w:i/>
          <w:iCs/>
          <w:color w:val="000000"/>
          <w:sz w:val="20"/>
          <w:szCs w:val="20"/>
          <w:lang w:val="es-ES"/>
        </w:rPr>
        <w:t>no es una figura privativa de la contratación estatal sometida al Estatuto General de Contratación de la Administración Pública, sino que puede incorporarse, como cláusula accidental, a los contratos de las entidades con un régimen de contratación especial, pudiendo, a su vez, el reglamento interno de las entidades exceptuadas, regular de otra manera el procedimiento para liquidación, e incluso, los plazos para hacerlo bilateralmente, siempre que no excedan los términos consagrados en el artículo 164 de la Ley 1437 de 2011</w:t>
      </w:r>
      <w:r w:rsidRPr="00B8272B">
        <w:rPr>
          <w:rFonts w:ascii="Verdana" w:eastAsia="Calibri" w:hAnsi="Verdana" w:cs="Arial"/>
          <w:color w:val="000000"/>
          <w:sz w:val="20"/>
          <w:szCs w:val="20"/>
          <w:lang w:val="es-ES"/>
        </w:rPr>
        <w:t>”</w:t>
      </w:r>
      <w:r w:rsidRPr="00B8272B">
        <w:rPr>
          <w:rStyle w:val="FootnoteReference"/>
          <w:rFonts w:ascii="Verdana" w:eastAsia="Calibri" w:hAnsi="Verdana" w:cs="Arial"/>
          <w:color w:val="000000"/>
          <w:sz w:val="20"/>
          <w:szCs w:val="20"/>
          <w:lang w:val="es-ES"/>
        </w:rPr>
        <w:footnoteReference w:id="30"/>
      </w:r>
      <w:r w:rsidRPr="00B8272B">
        <w:rPr>
          <w:rFonts w:ascii="Verdana" w:eastAsia="Calibri" w:hAnsi="Verdana" w:cs="Arial"/>
          <w:color w:val="000000"/>
          <w:sz w:val="20"/>
          <w:szCs w:val="20"/>
          <w:lang w:val="es-ES"/>
        </w:rPr>
        <w:t xml:space="preserve"> (Énfasis fuera de texto). </w:t>
      </w:r>
    </w:p>
    <w:p w14:paraId="5E04A88C" w14:textId="77777777" w:rsidR="002707E7" w:rsidRPr="00B8272B" w:rsidRDefault="002707E7" w:rsidP="002707E7">
      <w:pPr>
        <w:widowControl w:val="0"/>
        <w:autoSpaceDE w:val="0"/>
        <w:autoSpaceDN w:val="0"/>
        <w:spacing w:after="120" w:line="276" w:lineRule="auto"/>
        <w:ind w:right="108" w:firstLine="708"/>
        <w:jc w:val="both"/>
        <w:rPr>
          <w:rFonts w:ascii="Verdana" w:eastAsia="Times New Roman" w:hAnsi="Verdana" w:cs="Arial"/>
          <w:color w:val="000000"/>
          <w:bdr w:val="none" w:sz="0" w:space="0" w:color="auto" w:frame="1"/>
          <w:shd w:val="clear" w:color="auto" w:fill="FFFFFF"/>
          <w:lang w:val="es-ES" w:eastAsia="es-ES_tradnl"/>
        </w:rPr>
      </w:pPr>
    </w:p>
    <w:p w14:paraId="73C2EBAE" w14:textId="77777777" w:rsidR="002707E7" w:rsidRPr="00B8272B" w:rsidRDefault="002707E7" w:rsidP="002707E7">
      <w:pPr>
        <w:widowControl w:val="0"/>
        <w:autoSpaceDE w:val="0"/>
        <w:autoSpaceDN w:val="0"/>
        <w:spacing w:after="120" w:line="276" w:lineRule="auto"/>
        <w:ind w:right="108" w:firstLine="708"/>
        <w:jc w:val="both"/>
        <w:rPr>
          <w:rFonts w:ascii="Verdana" w:hAnsi="Verdana"/>
          <w:sz w:val="16"/>
          <w:szCs w:val="16"/>
          <w:lang w:val="es-ES"/>
        </w:rPr>
      </w:pPr>
      <w:r w:rsidRPr="00B8272B">
        <w:rPr>
          <w:rFonts w:ascii="Verdana" w:eastAsia="Times New Roman" w:hAnsi="Verdana" w:cs="Arial"/>
          <w:color w:val="000000"/>
          <w:bdr w:val="none" w:sz="0" w:space="0" w:color="auto" w:frame="1"/>
          <w:shd w:val="clear" w:color="auto" w:fill="FFFFFF"/>
          <w:lang w:val="es-ES" w:eastAsia="es-ES_tradnl"/>
        </w:rPr>
        <w:t xml:space="preserve">Frente a la naturaleza jurídica de la liquidación bilateral, </w:t>
      </w:r>
      <w:r w:rsidRPr="00B8272B">
        <w:rPr>
          <w:rFonts w:ascii="Verdana" w:eastAsia="Arial" w:hAnsi="Verdana" w:cs="Arial"/>
          <w:lang w:val="es-ES" w:eastAsia="es-ES" w:bidi="es-ES"/>
        </w:rPr>
        <w:t>esta Agencia ha señalado que se trata de un negocio jurídico, en el que las partes del contrato estatal, en ejercicio de la autonomía de la voluntad, regulan la finalización de su relación y disponen de los intereses que emanan de ella</w:t>
      </w:r>
      <w:r w:rsidRPr="00B8272B">
        <w:rPr>
          <w:rFonts w:ascii="Verdana" w:eastAsia="Arial" w:hAnsi="Verdana" w:cs="Arial"/>
          <w:vertAlign w:val="superscript"/>
          <w:lang w:val="es-ES" w:eastAsia="es-ES" w:bidi="es-ES"/>
        </w:rPr>
        <w:footnoteReference w:id="31"/>
      </w:r>
      <w:r w:rsidRPr="00B8272B">
        <w:rPr>
          <w:rFonts w:ascii="Verdana" w:eastAsia="Arial" w:hAnsi="Verdana" w:cs="Arial"/>
          <w:lang w:val="es-ES" w:eastAsia="es-ES" w:bidi="es-ES"/>
        </w:rPr>
        <w:t>.</w:t>
      </w:r>
      <w:r w:rsidRPr="00B8272B">
        <w:rPr>
          <w:lang w:val="es-ES"/>
        </w:rPr>
        <w:t xml:space="preserve"> </w:t>
      </w:r>
      <w:r w:rsidRPr="00B8272B">
        <w:rPr>
          <w:rFonts w:ascii="Verdana" w:eastAsia="Arial" w:hAnsi="Verdana" w:cs="Arial"/>
          <w:lang w:val="es-ES" w:eastAsia="es-ES" w:bidi="es-ES"/>
        </w:rPr>
        <w:t xml:space="preserve">Dicho acuerdo reviste un carácter negocial, en la medida en que implica manifestaciones recíprocas dirigidas a producir efectos jurídicos concretos frente a las prestaciones mutuas de la relación contractual. </w:t>
      </w:r>
    </w:p>
    <w:p w14:paraId="17D876D6" w14:textId="77777777" w:rsidR="002707E7" w:rsidRPr="00B8272B" w:rsidRDefault="002707E7" w:rsidP="002707E7">
      <w:pPr>
        <w:widowControl w:val="0"/>
        <w:autoSpaceDE w:val="0"/>
        <w:autoSpaceDN w:val="0"/>
        <w:spacing w:after="120" w:line="276" w:lineRule="auto"/>
        <w:ind w:right="108" w:firstLine="709"/>
        <w:jc w:val="both"/>
        <w:rPr>
          <w:rFonts w:ascii="Verdana" w:hAnsi="Verdana"/>
          <w:sz w:val="16"/>
          <w:szCs w:val="16"/>
          <w:lang w:val="es-ES"/>
        </w:rPr>
      </w:pPr>
      <w:r w:rsidRPr="00B8272B">
        <w:rPr>
          <w:rFonts w:ascii="Verdana" w:eastAsia="Arial" w:hAnsi="Verdana" w:cs="Arial"/>
          <w:lang w:val="es-ES" w:eastAsia="es-ES" w:bidi="es-ES"/>
        </w:rPr>
        <w:t xml:space="preserve">Sobre el particular el Consejo de Estado ha manifestado de manera reiterada que “Cuando dicha liquidación se lleva a cabo de manera bilateral, configura </w:t>
      </w:r>
      <w:r w:rsidRPr="00B8272B">
        <w:rPr>
          <w:rFonts w:ascii="Verdana" w:eastAsia="Arial" w:hAnsi="Verdana" w:cs="Arial"/>
          <w:i/>
          <w:iCs/>
          <w:lang w:val="es-ES" w:eastAsia="es-ES" w:bidi="es-ES"/>
        </w:rPr>
        <w:t>un negocio jurídico</w:t>
      </w:r>
      <w:r w:rsidRPr="00B8272B">
        <w:rPr>
          <w:rFonts w:ascii="Verdana" w:eastAsia="Arial" w:hAnsi="Verdana" w:cs="Arial"/>
          <w:lang w:val="es-ES" w:eastAsia="es-ES" w:bidi="es-ES"/>
        </w:rPr>
        <w:t xml:space="preserve"> que surge de la manifestación de voluntad de las partes, quienes al suscribir la respectiva acta consienten en que ese corte de cuentas corresponde a la realidad de la ejecución contractual y, por ello, se pueden declarar a paz y salvo una vez satisfechas las obligaciones que se </w:t>
      </w:r>
      <w:r w:rsidRPr="00B8272B">
        <w:rPr>
          <w:rFonts w:ascii="Verdana" w:eastAsia="Arial" w:hAnsi="Verdana" w:cs="Arial"/>
          <w:lang w:val="es-ES" w:eastAsia="es-ES" w:bidi="es-ES"/>
        </w:rPr>
        <w:lastRenderedPageBreak/>
        <w:t>deriven directamente de ese trabajo conjunto de liquidación</w:t>
      </w:r>
      <w:r w:rsidRPr="00B8272B">
        <w:rPr>
          <w:rFonts w:ascii="Verdana" w:eastAsia="Arial" w:hAnsi="Verdana" w:cs="Arial"/>
          <w:vertAlign w:val="superscript"/>
          <w:lang w:val="es-ES" w:eastAsia="es-ES" w:bidi="es-ES"/>
        </w:rPr>
        <w:footnoteReference w:id="32"/>
      </w:r>
      <w:r w:rsidRPr="00B8272B">
        <w:rPr>
          <w:rFonts w:ascii="Verdana" w:eastAsia="Arial" w:hAnsi="Verdana" w:cs="Arial"/>
          <w:lang w:val="es-ES" w:eastAsia="es-ES" w:bidi="es-ES"/>
        </w:rPr>
        <w:t xml:space="preserve">”.  </w:t>
      </w:r>
    </w:p>
    <w:p w14:paraId="6653B6B3" w14:textId="77777777" w:rsidR="002707E7" w:rsidRPr="00B8272B" w:rsidRDefault="002707E7" w:rsidP="002707E7">
      <w:pPr>
        <w:widowControl w:val="0"/>
        <w:autoSpaceDE w:val="0"/>
        <w:autoSpaceDN w:val="0"/>
        <w:spacing w:after="120" w:line="276" w:lineRule="auto"/>
        <w:ind w:right="105" w:firstLine="709"/>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Arial" w:hAnsi="Verdana" w:cs="Arial"/>
          <w:lang w:val="es-ES" w:eastAsia="es-ES" w:bidi="es-ES"/>
        </w:rPr>
        <w:t>Aunado a lo anterior, la liquidación bilateral tiene efectos de título ejecutivo, transaccional, puesto que las declaraciones y expresiones incorporadas en la correspondiente acta son reconocidas y protegidas por el ordenamiento jurídico, siempre y cuando no sean contrarias a la Constitución Política, la ley, el orden público, la moral y las buenas costumbres.</w:t>
      </w:r>
      <w:r w:rsidRPr="00B8272B">
        <w:rPr>
          <w:rFonts w:ascii="Verdana" w:eastAsia="Times New Roman" w:hAnsi="Verdana" w:cs="Arial"/>
          <w:color w:val="000000"/>
          <w:bdr w:val="none" w:sz="0" w:space="0" w:color="auto" w:frame="1"/>
          <w:shd w:val="clear" w:color="auto" w:fill="FFFFFF"/>
          <w:lang w:val="es-ES" w:eastAsia="es-ES_tradnl"/>
        </w:rPr>
        <w:t xml:space="preserve"> </w:t>
      </w:r>
      <w:r w:rsidRPr="00B8272B">
        <w:rPr>
          <w:rFonts w:ascii="Verdana" w:eastAsia="Arial" w:hAnsi="Verdana" w:cs="Arial"/>
          <w:lang w:val="es-ES" w:eastAsia="es-ES" w:bidi="es-ES"/>
        </w:rPr>
        <w:t xml:space="preserve">En ese sentido, </w:t>
      </w:r>
      <w:bookmarkStart w:id="15" w:name="_Hlk82568853"/>
      <w:r w:rsidRPr="00B8272B">
        <w:rPr>
          <w:rFonts w:ascii="Verdana" w:eastAsia="Arial" w:hAnsi="Verdana" w:cs="Arial"/>
          <w:lang w:val="es-ES" w:eastAsia="es-ES" w:bidi="es-ES"/>
        </w:rPr>
        <w:t>la liquidación bilateral puede considerarse como una forma alternativa de resolver los conflictos o controversias que surjan a partir de la determinación de las prestaciones comunes a que las partes contractuales puedan o no tener derecho luego de haberse ejecutado el contrato, esto es, como una manera de evitar futuros litigios frente a los mismos asuntos</w:t>
      </w:r>
      <w:bookmarkEnd w:id="15"/>
      <w:r w:rsidRPr="00B8272B">
        <w:rPr>
          <w:rFonts w:ascii="Verdana" w:hAnsi="Verdana" w:cs="Arial"/>
          <w:color w:val="201F1E"/>
          <w:bdr w:val="none" w:sz="0" w:space="0" w:color="auto" w:frame="1"/>
          <w:vertAlign w:val="superscript"/>
          <w:lang w:val="es-ES" w:eastAsia="es-CO" w:bidi="es-ES"/>
        </w:rPr>
        <w:footnoteReference w:id="33"/>
      </w:r>
      <w:r w:rsidRPr="00B8272B">
        <w:rPr>
          <w:rFonts w:ascii="Verdana" w:eastAsia="Arial" w:hAnsi="Verdana" w:cs="Arial"/>
          <w:lang w:val="es-ES" w:eastAsia="es-ES" w:bidi="es-ES"/>
        </w:rPr>
        <w:t>.</w:t>
      </w:r>
    </w:p>
    <w:p w14:paraId="3494CB64" w14:textId="77777777" w:rsidR="002707E7" w:rsidRPr="00B8272B" w:rsidRDefault="002707E7" w:rsidP="002707E7">
      <w:pPr>
        <w:widowControl w:val="0"/>
        <w:autoSpaceDE w:val="0"/>
        <w:autoSpaceDN w:val="0"/>
        <w:spacing w:after="120" w:line="276" w:lineRule="auto"/>
        <w:ind w:right="105" w:firstLine="709"/>
        <w:jc w:val="both"/>
        <w:rPr>
          <w:rFonts w:ascii="Verdana" w:eastAsia="Arial" w:hAnsi="Verdana" w:cs="Arial"/>
          <w:lang w:val="es-ES" w:eastAsia="es-ES" w:bidi="es-ES"/>
        </w:rPr>
      </w:pPr>
      <w:r w:rsidRPr="00B8272B">
        <w:rPr>
          <w:rFonts w:ascii="Verdana" w:eastAsia="Arial" w:hAnsi="Verdana" w:cs="Arial"/>
          <w:lang w:val="es-ES" w:eastAsia="es-ES" w:bidi="es-ES"/>
        </w:rPr>
        <w:t>En este contexto, dada la naturaleza de la liquidación bilateral, esta reviste carácter obligatorio y tiene efectos vinculantes para las partes contratantes, en tanto constituye una manifestación de la autonomía de la voluntad que determina la extinción de las obligaciones derivadas del vínculo contractual o el reconocimiento de derechos en favor de las partes. Esta obligatoriedad impide a las partes desconocer lo acordado y constituye a la liquidación bilateral en un mecanismo eficaz para prevenir o resolver controversias derivadas del vínculo contractual.</w:t>
      </w:r>
    </w:p>
    <w:p w14:paraId="4B4B976A" w14:textId="77777777" w:rsidR="002707E7" w:rsidRPr="00B8272B" w:rsidRDefault="002707E7" w:rsidP="002707E7">
      <w:pPr>
        <w:widowControl w:val="0"/>
        <w:autoSpaceDE w:val="0"/>
        <w:autoSpaceDN w:val="0"/>
        <w:spacing w:after="120" w:line="276" w:lineRule="auto"/>
        <w:ind w:right="108" w:firstLine="709"/>
        <w:jc w:val="both"/>
        <w:rPr>
          <w:rFonts w:ascii="Verdana" w:eastAsia="Arial" w:hAnsi="Verdana" w:cs="Arial"/>
          <w:lang w:val="es-ES" w:eastAsia="es-ES" w:bidi="es-ES"/>
        </w:rPr>
      </w:pPr>
      <w:r w:rsidRPr="00B8272B">
        <w:rPr>
          <w:rFonts w:ascii="Verdana" w:eastAsia="Arial" w:hAnsi="Verdana" w:cs="Arial"/>
          <w:lang w:val="es-ES" w:eastAsia="es-ES" w:bidi="es-ES"/>
        </w:rPr>
        <w:t>Sobre su carácter vinculante y obligatorio el Consejo de Estado ha manifestado que “la fuerza jurídica vinculante del acta de liquidación bilateral proviene de la naturaleza transaccional del acuerdo de voluntades que contiene, por esa precisa razón no es posible desatender el contenido obligacional incorporado, pues su finalidad según el artículo 60 de la Ley 80 de 1993 está encaminada a que las partes puedan “declararse a paz y salvo</w:t>
      </w:r>
      <w:r w:rsidRPr="00B8272B">
        <w:rPr>
          <w:rFonts w:ascii="Verdana" w:eastAsia="Arial" w:hAnsi="Verdana" w:cs="Arial"/>
          <w:vertAlign w:val="superscript"/>
          <w:lang w:val="es-ES" w:eastAsia="es-ES" w:bidi="es-ES"/>
        </w:rPr>
        <w:footnoteReference w:id="34"/>
      </w:r>
      <w:r w:rsidRPr="00B8272B">
        <w:rPr>
          <w:rFonts w:ascii="Verdana" w:eastAsia="Arial" w:hAnsi="Verdana" w:cs="Arial"/>
          <w:lang w:val="es-ES" w:eastAsia="es-ES" w:bidi="es-ES"/>
        </w:rPr>
        <w:t xml:space="preserve">”.  Por ello, ha mantenido la postura según la cual, por regla general, resulta improcedente </w:t>
      </w:r>
      <w:r w:rsidRPr="00B8272B">
        <w:rPr>
          <w:rFonts w:ascii="Verdana" w:eastAsia="Arial" w:hAnsi="Verdana" w:cs="Arial"/>
          <w:lang w:val="es-ES" w:eastAsia="es-ES" w:bidi="es-ES"/>
        </w:rPr>
        <w:lastRenderedPageBreak/>
        <w:t>elevar pretensiones originadas en el contrato que fue debidamente liquidado en forma bilateral por las partes, puesto que ello implicaría ir en contra de los propios actos y de una previa manifestación de voluntad efectuada por personas capaces de disponer de sus derechos, que quedó plasmada en el acta de liquidación cuando fue suscrita por la entidad contratante y el contratista</w:t>
      </w:r>
      <w:r w:rsidRPr="00B8272B">
        <w:rPr>
          <w:rFonts w:ascii="Verdana" w:eastAsia="Arial" w:hAnsi="Verdana" w:cs="Arial"/>
          <w:vertAlign w:val="superscript"/>
          <w:lang w:val="es-ES" w:eastAsia="es-ES" w:bidi="es-ES"/>
        </w:rPr>
        <w:footnoteReference w:id="35"/>
      </w:r>
      <w:r w:rsidRPr="00B8272B">
        <w:rPr>
          <w:rFonts w:ascii="Verdana" w:eastAsia="Arial" w:hAnsi="Verdana" w:cs="Arial"/>
          <w:lang w:val="es-ES" w:eastAsia="es-ES" w:bidi="es-ES"/>
        </w:rPr>
        <w:t>.</w:t>
      </w:r>
    </w:p>
    <w:p w14:paraId="2DFCA06A" w14:textId="77777777" w:rsidR="002707E7" w:rsidRPr="00B8272B" w:rsidRDefault="002707E7" w:rsidP="002707E7">
      <w:pPr>
        <w:widowControl w:val="0"/>
        <w:autoSpaceDE w:val="0"/>
        <w:autoSpaceDN w:val="0"/>
        <w:spacing w:after="120" w:line="276" w:lineRule="auto"/>
        <w:ind w:right="108" w:firstLine="709"/>
        <w:jc w:val="both"/>
        <w:rPr>
          <w:rFonts w:ascii="Verdana" w:eastAsia="Arial" w:hAnsi="Verdana" w:cs="Arial"/>
          <w:lang w:val="es-ES" w:eastAsia="es-ES" w:bidi="es-ES"/>
        </w:rPr>
      </w:pPr>
      <w:r w:rsidRPr="00B8272B">
        <w:rPr>
          <w:rFonts w:ascii="Verdana" w:eastAsia="Arial" w:hAnsi="Verdana" w:cs="Arial"/>
          <w:lang w:val="es-ES" w:eastAsia="es-ES" w:bidi="es-ES"/>
        </w:rPr>
        <w:t>En este sentido, ateniendo al carácter vinculante y obligatorio del acta de liquidación, no es procedente desconocer posteriormente su contenido y acudir a las autoridades judiciales para dirimir puntos que no fueron objeto de salvedades o hayan sido expresamente consignadas en el acta. En efecto, es derecho del contratista realizar las salvedades u objeciones que considere, sin afectar los acuerdos logrados en otros aspectos. Estos acuerdos deben quedar consignados en el acta bilateral, documento que sirve de base para evaluar el estado final del contrato, y de ser necesario reclamar por obligaciones pendientes y en consecuencia de ello, las entidades deben estipular en ellas las reclamaciones o salvedades de orden económico y técnico que el contratista formulen frente al balance técnico, jurídico y económico del contrato.</w:t>
      </w:r>
    </w:p>
    <w:p w14:paraId="4FA2D35B" w14:textId="77777777" w:rsidR="002707E7" w:rsidRPr="00B8272B" w:rsidRDefault="002707E7" w:rsidP="002707E7">
      <w:pPr>
        <w:widowControl w:val="0"/>
        <w:autoSpaceDE w:val="0"/>
        <w:autoSpaceDN w:val="0"/>
        <w:spacing w:after="120" w:line="276" w:lineRule="auto"/>
        <w:ind w:right="108" w:firstLine="709"/>
        <w:jc w:val="both"/>
        <w:rPr>
          <w:rFonts w:ascii="Verdana" w:eastAsia="Arial" w:hAnsi="Verdana" w:cs="Arial"/>
          <w:lang w:val="es-ES" w:eastAsia="es-ES" w:bidi="es-ES"/>
        </w:rPr>
      </w:pPr>
      <w:r w:rsidRPr="00B8272B">
        <w:rPr>
          <w:rFonts w:ascii="Verdana" w:eastAsia="Arial" w:hAnsi="Verdana" w:cs="Arial"/>
          <w:lang w:val="es-ES" w:eastAsia="es-ES" w:bidi="es-ES"/>
        </w:rPr>
        <w:t>Al respecto, la jurisprudencia del Consejo de Estado ha sido enfática al señalar que “</w:t>
      </w:r>
      <w:r w:rsidRPr="00B8272B">
        <w:rPr>
          <w:rFonts w:ascii="Verdana" w:eastAsia="Arial" w:hAnsi="Verdana" w:cs="Arial"/>
          <w:i/>
          <w:lang w:val="es-ES" w:eastAsia="es-ES" w:bidi="es-ES"/>
        </w:rPr>
        <w:t>una vez suscrita la liquidación bilateral del contrato solo se podrían interponer las acciones judiciales correspondientes para obtener el reconocimiento o pago de obligaciones pendientes en relación con las cuales se hubieren dejado salvedades o constancias en el acta, en el sentido de que las partes no lograron un acuerdo, exigencia que rige tanto para el Estado como para el contratista</w:t>
      </w:r>
      <w:r w:rsidRPr="00B8272B">
        <w:rPr>
          <w:rFonts w:ascii="Verdana" w:eastAsia="Arial" w:hAnsi="Verdana" w:cs="Arial"/>
          <w:i/>
          <w:iCs/>
          <w:lang w:val="es-ES" w:eastAsia="es-ES" w:bidi="es-ES"/>
        </w:rPr>
        <w:t>”</w:t>
      </w:r>
      <w:r w:rsidRPr="00B8272B">
        <w:rPr>
          <w:rFonts w:ascii="Verdana" w:eastAsia="Arial" w:hAnsi="Verdana" w:cs="Arial"/>
          <w:vertAlign w:val="superscript"/>
          <w:lang w:val="es-ES" w:eastAsia="es-ES" w:bidi="es-ES"/>
        </w:rPr>
        <w:footnoteReference w:id="36"/>
      </w:r>
      <w:r w:rsidRPr="00B8272B">
        <w:rPr>
          <w:rFonts w:ascii="Verdana" w:eastAsia="Arial" w:hAnsi="Verdana" w:cs="Arial"/>
          <w:lang w:val="es-ES" w:eastAsia="es-ES" w:bidi="es-ES"/>
        </w:rPr>
        <w:t>. Además, también se podría acudir a la jurisdicción cuando se ataca la validez misma del negocio jurídico contenido en el acta de liquidación bilateral, alegando la existencia de un vicio del consentimiento -error, fuerza o dolo-</w:t>
      </w:r>
      <w:r w:rsidRPr="00B8272B">
        <w:rPr>
          <w:rFonts w:ascii="Verdana" w:eastAsia="Arial" w:hAnsi="Verdana" w:cs="Arial"/>
          <w:vertAlign w:val="superscript"/>
          <w:lang w:val="es-ES" w:eastAsia="es-ES" w:bidi="es-ES"/>
        </w:rPr>
        <w:footnoteReference w:id="37"/>
      </w:r>
    </w:p>
    <w:p w14:paraId="34932386" w14:textId="77777777" w:rsidR="002707E7" w:rsidRPr="00B8272B" w:rsidRDefault="002707E7" w:rsidP="002707E7">
      <w:pPr>
        <w:widowControl w:val="0"/>
        <w:autoSpaceDE w:val="0"/>
        <w:autoSpaceDN w:val="0"/>
        <w:spacing w:after="120" w:line="276" w:lineRule="auto"/>
        <w:ind w:right="108" w:firstLine="709"/>
        <w:jc w:val="both"/>
        <w:rPr>
          <w:rFonts w:ascii="Verdana" w:eastAsia="Arial" w:hAnsi="Verdana" w:cs="Arial"/>
          <w:lang w:val="es-ES" w:eastAsia="es-ES" w:bidi="es-ES"/>
        </w:rPr>
      </w:pPr>
      <w:r w:rsidRPr="00B8272B">
        <w:rPr>
          <w:rFonts w:ascii="Verdana" w:eastAsia="Arial" w:hAnsi="Verdana" w:cs="Arial"/>
          <w:lang w:val="es-ES" w:eastAsia="es-ES" w:bidi="es-ES"/>
        </w:rPr>
        <w:t xml:space="preserve">De esta forma, solo hay dos situaciones en las cuales resulta viable acudir a las autoridades judiciales para debatir el contenido del acta de liquidación bilateral: i) cuando se invoque la existencia de algún vicio del consentimiento – error, fuerza o dolo, y </w:t>
      </w:r>
      <w:proofErr w:type="spellStart"/>
      <w:r w:rsidRPr="00B8272B">
        <w:rPr>
          <w:rFonts w:ascii="Verdana" w:eastAsia="Arial" w:hAnsi="Verdana" w:cs="Arial"/>
          <w:lang w:val="es-ES" w:eastAsia="es-ES" w:bidi="es-ES"/>
        </w:rPr>
        <w:t>ii</w:t>
      </w:r>
      <w:proofErr w:type="spellEnd"/>
      <w:r w:rsidRPr="00B8272B">
        <w:rPr>
          <w:rFonts w:ascii="Verdana" w:eastAsia="Arial" w:hAnsi="Verdana" w:cs="Arial"/>
          <w:lang w:val="es-ES" w:eastAsia="es-ES" w:bidi="es-ES"/>
        </w:rPr>
        <w:t xml:space="preserve">) cuando se hayan dejado salvedades en el acta de </w:t>
      </w:r>
      <w:r w:rsidRPr="00B8272B">
        <w:rPr>
          <w:rFonts w:ascii="Verdana" w:eastAsia="Arial" w:hAnsi="Verdana" w:cs="Arial"/>
          <w:lang w:val="es-ES" w:eastAsia="es-ES" w:bidi="es-ES"/>
        </w:rPr>
        <w:lastRenderedPageBreak/>
        <w:t xml:space="preserve">liquidación, y se reserva el derecho de acudir ante el juez para reclamar sobre aquello que precisamente sea motivo de inconformidad. </w:t>
      </w:r>
    </w:p>
    <w:p w14:paraId="0BC6A0E0" w14:textId="77777777" w:rsidR="002707E7" w:rsidRPr="00B8272B" w:rsidRDefault="002707E7" w:rsidP="002707E7">
      <w:pPr>
        <w:tabs>
          <w:tab w:val="left" w:pos="709"/>
        </w:tabs>
        <w:spacing w:after="0" w:line="276" w:lineRule="auto"/>
        <w:jc w:val="both"/>
        <w:rPr>
          <w:rFonts w:ascii="Verdana" w:eastAsia="Calibri" w:hAnsi="Verdana" w:cs="Arial"/>
          <w:color w:val="000000"/>
          <w:lang w:val="es-ES"/>
        </w:rPr>
      </w:pPr>
      <w:r w:rsidRPr="00B8272B">
        <w:rPr>
          <w:rFonts w:ascii="Verdana" w:eastAsia="Arial" w:hAnsi="Verdana" w:cs="Arial"/>
          <w:lang w:val="es-ES" w:eastAsia="es-ES" w:bidi="es-ES"/>
        </w:rPr>
        <w:tab/>
        <w:t xml:space="preserve">Por otra parte, </w:t>
      </w:r>
      <w:r w:rsidRPr="00B8272B">
        <w:rPr>
          <w:rFonts w:ascii="Verdana" w:eastAsia="Times New Roman" w:hAnsi="Verdana" w:cs="Arial"/>
          <w:color w:val="000000"/>
          <w:bdr w:val="none" w:sz="0" w:space="0" w:color="auto" w:frame="1"/>
          <w:shd w:val="clear" w:color="auto" w:fill="FFFFFF"/>
          <w:lang w:val="es-ES" w:eastAsia="es-ES_tradnl"/>
        </w:rPr>
        <w:t>conforme a la legislación vigente, los plazos para liquidar los contratos estatales influyen en el acceso oportuno al sistema de administración de justicia</w:t>
      </w:r>
      <w:r w:rsidRPr="00B8272B">
        <w:rPr>
          <w:rStyle w:val="FootnoteReference"/>
          <w:rFonts w:ascii="Verdana" w:eastAsia="Times New Roman" w:hAnsi="Verdana" w:cs="Arial"/>
          <w:color w:val="000000"/>
          <w:bdr w:val="none" w:sz="0" w:space="0" w:color="auto" w:frame="1"/>
          <w:shd w:val="clear" w:color="auto" w:fill="FFFFFF"/>
          <w:lang w:val="es-ES" w:eastAsia="es-ES_tradnl"/>
        </w:rPr>
        <w:footnoteReference w:id="38"/>
      </w:r>
      <w:r w:rsidRPr="00B8272B">
        <w:rPr>
          <w:rFonts w:ascii="Verdana" w:eastAsia="Times New Roman" w:hAnsi="Verdana" w:cs="Arial"/>
          <w:color w:val="000000"/>
          <w:bdr w:val="none" w:sz="0" w:space="0" w:color="auto" w:frame="1"/>
          <w:shd w:val="clear" w:color="auto" w:fill="FFFFFF"/>
          <w:lang w:val="es-ES" w:eastAsia="es-ES_tradnl"/>
        </w:rPr>
        <w:t xml:space="preserve">. No obstante, aunque las </w:t>
      </w:r>
      <w:r w:rsidRPr="00B8272B">
        <w:rPr>
          <w:rFonts w:ascii="Verdana" w:eastAsia="Times New Roman" w:hAnsi="Verdana" w:cs="Arial"/>
          <w:i/>
          <w:iCs/>
          <w:color w:val="000000"/>
          <w:bdr w:val="none" w:sz="0" w:space="0" w:color="auto" w:frame="1"/>
          <w:shd w:val="clear" w:color="auto" w:fill="FFFFFF"/>
          <w:lang w:val="es-ES" w:eastAsia="es-ES_tradnl"/>
        </w:rPr>
        <w:t>entidades de régimen exceptuado</w:t>
      </w:r>
      <w:r w:rsidRPr="00B8272B">
        <w:rPr>
          <w:rFonts w:ascii="Verdana" w:eastAsia="Times New Roman" w:hAnsi="Verdana" w:cs="Arial"/>
          <w:color w:val="000000"/>
          <w:bdr w:val="none" w:sz="0" w:space="0" w:color="auto" w:frame="1"/>
          <w:shd w:val="clear" w:color="auto" w:fill="FFFFFF"/>
          <w:lang w:val="es-ES" w:eastAsia="es-ES_tradnl"/>
        </w:rPr>
        <w:t xml:space="preserve"> no están obligadas a aplicar el artículo 60 de la Ley 80 de 1993 ni </w:t>
      </w:r>
      <w:r w:rsidRPr="00B8272B">
        <w:rPr>
          <w:rFonts w:ascii="Verdana" w:eastAsia="Calibri" w:hAnsi="Verdana" w:cs="Arial"/>
          <w:color w:val="000000"/>
          <w:lang w:val="es-ES"/>
        </w:rPr>
        <w:t>el artículo 11 de la Ley 1150 de 2007, el término de caducidad del medio de control de controversias contractuales tiene carácter transversal y, por tanto, aplica a todas las entidades al margen de que estén o no sometidas al Estatuto General de Contratación de la Administración Pública. Como explica la doctrina, la liquidación bilateral puede pactarse en los contratos de régimen especial, sin perjuicio de lo regulado en el respectivo manual de contratación; razón por la cual:</w:t>
      </w:r>
    </w:p>
    <w:p w14:paraId="5E167901" w14:textId="77777777" w:rsidR="002707E7" w:rsidRPr="00B8272B" w:rsidRDefault="002707E7" w:rsidP="002707E7">
      <w:pPr>
        <w:tabs>
          <w:tab w:val="left" w:pos="709"/>
        </w:tabs>
        <w:spacing w:after="0" w:line="276" w:lineRule="auto"/>
        <w:jc w:val="both"/>
        <w:rPr>
          <w:rFonts w:ascii="Verdana" w:eastAsia="Calibri" w:hAnsi="Verdana" w:cs="Arial"/>
          <w:color w:val="000000"/>
          <w:lang w:val="es-ES"/>
        </w:rPr>
      </w:pPr>
    </w:p>
    <w:p w14:paraId="1F2D0E15" w14:textId="77777777" w:rsidR="002707E7" w:rsidRPr="00B8272B" w:rsidRDefault="002707E7" w:rsidP="002707E7">
      <w:pPr>
        <w:tabs>
          <w:tab w:val="left" w:pos="709"/>
        </w:tabs>
        <w:spacing w:after="0" w:line="240" w:lineRule="auto"/>
        <w:ind w:left="709" w:right="709"/>
        <w:jc w:val="both"/>
        <w:rPr>
          <w:rFonts w:ascii="Verdana" w:eastAsia="Calibri" w:hAnsi="Verdana" w:cs="Arial"/>
          <w:color w:val="000000"/>
          <w:sz w:val="20"/>
          <w:szCs w:val="20"/>
          <w:lang w:val="es-ES"/>
        </w:rPr>
      </w:pPr>
      <w:r w:rsidRPr="00B8272B">
        <w:rPr>
          <w:rFonts w:ascii="Verdana" w:eastAsia="Calibri" w:hAnsi="Verdana" w:cs="Arial"/>
          <w:color w:val="000000"/>
          <w:sz w:val="20"/>
          <w:szCs w:val="20"/>
          <w:lang w:val="es-ES"/>
        </w:rPr>
        <w:t>“[…] resulta válido que estas pacten en sus contratos la carga de liquidarlos, independientemente de si utilizan o no un procedimiento distinto al establecido en los artículos</w:t>
      </w: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 60 de la Ley 80 de 1993 y </w:t>
      </w:r>
      <w:r w:rsidRPr="00B8272B">
        <w:rPr>
          <w:rFonts w:ascii="Verdana" w:eastAsia="Calibri" w:hAnsi="Verdana" w:cs="Arial"/>
          <w:color w:val="000000"/>
          <w:sz w:val="20"/>
          <w:szCs w:val="20"/>
          <w:lang w:val="es-ES"/>
        </w:rPr>
        <w:t xml:space="preserve">11 de la Ley 1150 de 2007, siempre y cuando cuenten con la anuencia del contratista; es decir, con la expresión de su consentimiento al firmar el contrato, pues </w:t>
      </w:r>
      <w:r w:rsidRPr="00B8272B">
        <w:rPr>
          <w:rFonts w:ascii="Verdana" w:eastAsia="Calibri" w:hAnsi="Verdana" w:cs="Arial"/>
          <w:i/>
          <w:iCs/>
          <w:color w:val="000000"/>
          <w:sz w:val="20"/>
          <w:szCs w:val="20"/>
          <w:lang w:val="es-ES"/>
        </w:rPr>
        <w:t>la liquidación</w:t>
      </w:r>
      <w:r w:rsidRPr="00B8272B">
        <w:rPr>
          <w:rFonts w:ascii="Verdana" w:eastAsia="Calibri" w:hAnsi="Verdana" w:cs="Arial"/>
          <w:color w:val="000000"/>
          <w:sz w:val="20"/>
          <w:szCs w:val="20"/>
          <w:lang w:val="es-ES"/>
        </w:rPr>
        <w:t xml:space="preserve"> […] </w:t>
      </w:r>
      <w:r w:rsidRPr="00B8272B">
        <w:rPr>
          <w:rFonts w:ascii="Verdana" w:eastAsia="Calibri" w:hAnsi="Verdana" w:cs="Arial"/>
          <w:i/>
          <w:iCs/>
          <w:color w:val="000000"/>
          <w:sz w:val="20"/>
          <w:szCs w:val="20"/>
          <w:lang w:val="es-ES"/>
        </w:rPr>
        <w:t xml:space="preserve">no es una figura privativa de la contratación estatal sometida al Estatuto General de Contratación de la Administración Pública, sino que puede incorporarse, como cláusula accidental, a los contratos de las entidades con un régimen de contratación especial, pudiendo, a su vez, el reglamento interno de las entidades exceptuadas, regular de otra manera el procedimiento para liquidación, e </w:t>
      </w:r>
      <w:r w:rsidRPr="00B8272B">
        <w:rPr>
          <w:rFonts w:ascii="Verdana" w:eastAsia="Calibri" w:hAnsi="Verdana" w:cs="Arial"/>
          <w:i/>
          <w:iCs/>
          <w:color w:val="000000"/>
          <w:sz w:val="20"/>
          <w:szCs w:val="20"/>
          <w:lang w:val="es-ES"/>
        </w:rPr>
        <w:lastRenderedPageBreak/>
        <w:t>incluso, los plazos para hacerlo bilateralmente, siempre que no excedan los términos consagrados en el artículo 164 de la Ley 1437 de 2011</w:t>
      </w:r>
      <w:r w:rsidRPr="00B8272B">
        <w:rPr>
          <w:rFonts w:ascii="Verdana" w:eastAsia="Calibri" w:hAnsi="Verdana" w:cs="Arial"/>
          <w:color w:val="000000"/>
          <w:sz w:val="20"/>
          <w:szCs w:val="20"/>
          <w:lang w:val="es-ES"/>
        </w:rPr>
        <w:t>”</w:t>
      </w:r>
      <w:r w:rsidRPr="00B8272B">
        <w:rPr>
          <w:rStyle w:val="FootnoteReference"/>
          <w:rFonts w:ascii="Verdana" w:eastAsia="Calibri" w:hAnsi="Verdana" w:cs="Arial"/>
          <w:color w:val="000000"/>
          <w:sz w:val="20"/>
          <w:szCs w:val="20"/>
          <w:lang w:val="es-ES"/>
        </w:rPr>
        <w:footnoteReference w:id="39"/>
      </w:r>
      <w:r w:rsidRPr="00B8272B">
        <w:rPr>
          <w:rFonts w:ascii="Verdana" w:eastAsia="Calibri" w:hAnsi="Verdana" w:cs="Arial"/>
          <w:color w:val="000000"/>
          <w:sz w:val="20"/>
          <w:szCs w:val="20"/>
          <w:lang w:val="es-ES"/>
        </w:rPr>
        <w:t xml:space="preserve"> (Énfasis fuera de texto). </w:t>
      </w:r>
    </w:p>
    <w:p w14:paraId="1E81F2A1" w14:textId="77777777" w:rsidR="002707E7" w:rsidRPr="00B8272B" w:rsidRDefault="002707E7" w:rsidP="002707E7">
      <w:pPr>
        <w:tabs>
          <w:tab w:val="left" w:pos="709"/>
        </w:tabs>
        <w:spacing w:after="0" w:line="276" w:lineRule="auto"/>
        <w:jc w:val="both"/>
        <w:rPr>
          <w:rFonts w:ascii="Verdana" w:eastAsia="Calibri" w:hAnsi="Verdana" w:cs="Arial"/>
          <w:color w:val="000000"/>
          <w:lang w:val="es-ES"/>
        </w:rPr>
      </w:pPr>
      <w:r w:rsidRPr="00B8272B">
        <w:rPr>
          <w:rFonts w:ascii="Verdana" w:eastAsia="Calibri" w:hAnsi="Verdana" w:cs="Arial"/>
          <w:color w:val="000000"/>
          <w:lang w:val="es-ES"/>
        </w:rPr>
        <w:t xml:space="preserve">  </w:t>
      </w:r>
    </w:p>
    <w:p w14:paraId="7A45CA66" w14:textId="77777777" w:rsidR="002707E7" w:rsidRPr="00B8272B" w:rsidRDefault="002707E7" w:rsidP="002707E7">
      <w:pPr>
        <w:widowControl w:val="0"/>
        <w:autoSpaceDE w:val="0"/>
        <w:autoSpaceDN w:val="0"/>
        <w:spacing w:after="120" w:line="276" w:lineRule="auto"/>
        <w:ind w:right="105" w:firstLine="709"/>
        <w:jc w:val="both"/>
        <w:rPr>
          <w:rFonts w:ascii="Verdana" w:eastAsia="Arial" w:hAnsi="Verdana" w:cs="Arial"/>
          <w:lang w:val="es-ES" w:eastAsia="es-ES" w:bidi="es-ES"/>
        </w:rPr>
      </w:pPr>
      <w:r w:rsidRPr="00B8272B">
        <w:rPr>
          <w:rFonts w:ascii="Verdana" w:eastAsia="Calibri" w:hAnsi="Verdana" w:cs="Arial"/>
          <w:color w:val="000000"/>
          <w:lang w:val="es-ES"/>
        </w:rPr>
        <w:t xml:space="preserve">De esta manera, si en un </w:t>
      </w:r>
      <w:r w:rsidRPr="00B8272B">
        <w:rPr>
          <w:rFonts w:ascii="Verdana" w:eastAsia="Calibri" w:hAnsi="Verdana" w:cs="Arial"/>
          <w:i/>
          <w:iCs/>
          <w:color w:val="000000"/>
          <w:lang w:val="es-ES"/>
        </w:rPr>
        <w:t>contrato de régimen exceptuado</w:t>
      </w:r>
      <w:r w:rsidRPr="00B8272B">
        <w:rPr>
          <w:rFonts w:ascii="Verdana" w:eastAsia="Calibri" w:hAnsi="Verdana" w:cs="Arial"/>
          <w:color w:val="000000"/>
          <w:lang w:val="es-ES"/>
        </w:rPr>
        <w:t xml:space="preserve"> se pacta la liquidación de mutuo acuerdo, la caducidad se computará conforme al numeral </w:t>
      </w:r>
      <w:proofErr w:type="spellStart"/>
      <w:r w:rsidRPr="00B8272B">
        <w:rPr>
          <w:rFonts w:ascii="Verdana" w:eastAsia="Calibri" w:hAnsi="Verdana" w:cs="Arial"/>
          <w:color w:val="000000"/>
          <w:lang w:val="es-ES"/>
        </w:rPr>
        <w:t>iii</w:t>
      </w:r>
      <w:proofErr w:type="spellEnd"/>
      <w:r w:rsidRPr="00B8272B">
        <w:rPr>
          <w:rFonts w:ascii="Verdana" w:eastAsia="Calibri" w:hAnsi="Verdana" w:cs="Arial"/>
          <w:color w:val="000000"/>
          <w:lang w:val="es-ES"/>
        </w:rPr>
        <w:t>) d</w:t>
      </w:r>
      <w:r w:rsidRPr="00B8272B">
        <w:rPr>
          <w:rFonts w:ascii="Verdana" w:eastAsia="Times New Roman" w:hAnsi="Verdana" w:cs="Arial"/>
          <w:color w:val="000000"/>
          <w:bdr w:val="none" w:sz="0" w:space="0" w:color="auto" w:frame="1"/>
          <w:shd w:val="clear" w:color="auto" w:fill="FFFFFF"/>
          <w:lang w:val="es-ES" w:eastAsia="es-ES_tradnl"/>
        </w:rPr>
        <w:t>el literal j) del artículo 164.2 del Código de Procedimiento Administrativo y Contencioso Administrativo. Dado que la oportunidad para demandar corresponde a un aspecto procesal del derecho de acción, es independiente de que el régimen sustantivo de la liquidación derive o no del EGCAP.</w:t>
      </w:r>
      <w:r w:rsidRPr="00B8272B">
        <w:rPr>
          <w:rFonts w:ascii="Verdana" w:eastAsia="Calibri" w:hAnsi="Verdana" w:cs="Arial"/>
          <w:color w:val="000000"/>
          <w:lang w:val="es-ES"/>
        </w:rPr>
        <w:t xml:space="preserve">  </w:t>
      </w:r>
    </w:p>
    <w:p w14:paraId="6272A8EF" w14:textId="77777777" w:rsidR="002707E7" w:rsidRPr="00B8272B" w:rsidRDefault="002707E7" w:rsidP="002707E7">
      <w:pPr>
        <w:widowControl w:val="0"/>
        <w:autoSpaceDE w:val="0"/>
        <w:autoSpaceDN w:val="0"/>
        <w:spacing w:after="120" w:line="276" w:lineRule="auto"/>
        <w:ind w:right="105" w:firstLine="709"/>
        <w:jc w:val="both"/>
        <w:rPr>
          <w:rFonts w:ascii="Verdana" w:eastAsia="Arial" w:hAnsi="Verdana" w:cs="Arial"/>
          <w:lang w:val="es-ES" w:eastAsia="es-ES" w:bidi="es-ES"/>
        </w:rPr>
      </w:pPr>
      <w:r w:rsidRPr="00B8272B">
        <w:rPr>
          <w:rFonts w:ascii="Verdana" w:eastAsia="Calibri" w:hAnsi="Verdana" w:cs="Arial"/>
          <w:bCs/>
          <w:lang w:val="es-ES" w:eastAsia="es-ES_tradnl"/>
        </w:rPr>
        <w:t xml:space="preserve">En suma, si un contrato concreto estuviera sometido al EGCAP, la liquidación puede ser bilateral, unilateral o judicial, en los plazos del artículo 11 de la Ley 1150 de 2007: de mutuo acuerdo dentro del término pactado o, en su defecto, dentro de los cuatro meses siguientes a la terminación; unilateralmente dentro de los dos meses siguientes; y, vencidos estos, en cualquier tiempo dentro de los dos años siguientes al vencimiento del término, de mutuo acuerdo o unilateralmente. El contenido de la liquidación es el del artículo 60 de la Ley 80 de 1993, el cual incluye el balance final de cuentas, ajustes, revisiones y reconocimientos, y los acuerdos, conciliaciones y transacciones para declararse a paz y salvo. </w:t>
      </w:r>
    </w:p>
    <w:p w14:paraId="63C7B8A8" w14:textId="77777777" w:rsidR="002707E7" w:rsidRPr="00B8272B" w:rsidRDefault="002707E7" w:rsidP="002707E7">
      <w:pPr>
        <w:widowControl w:val="0"/>
        <w:autoSpaceDE w:val="0"/>
        <w:autoSpaceDN w:val="0"/>
        <w:spacing w:after="0" w:line="276" w:lineRule="auto"/>
        <w:ind w:right="105" w:firstLine="709"/>
        <w:jc w:val="both"/>
        <w:rPr>
          <w:rFonts w:ascii="Verdana" w:eastAsia="Calibri" w:hAnsi="Verdana" w:cs="Arial"/>
          <w:bCs/>
          <w:lang w:val="es-ES" w:eastAsia="es-ES_tradnl"/>
        </w:rPr>
      </w:pPr>
      <w:r w:rsidRPr="00BA6286">
        <w:rPr>
          <w:rFonts w:ascii="Verdana" w:eastAsia="Calibri" w:hAnsi="Verdana" w:cs="Arial"/>
          <w:bCs/>
          <w:lang w:val="es-ES" w:eastAsia="es-ES_tradnl"/>
        </w:rPr>
        <w:t xml:space="preserve">Si el contrato está sometido al derecho privado, </w:t>
      </w:r>
      <w:r w:rsidRPr="00B8272B">
        <w:rPr>
          <w:rFonts w:ascii="Verdana" w:eastAsia="Calibri" w:hAnsi="Verdana" w:cs="Arial"/>
          <w:bCs/>
          <w:lang w:val="es-ES" w:eastAsia="es-ES_tradnl"/>
        </w:rPr>
        <w:t xml:space="preserve">las partes pueden pactar la liquidación bilateral. Esto se debe a que </w:t>
      </w:r>
      <w:r w:rsidRPr="00BA6286">
        <w:rPr>
          <w:rFonts w:ascii="Verdana" w:eastAsia="Calibri" w:hAnsi="Verdana" w:cs="Arial"/>
          <w:bCs/>
          <w:lang w:val="es-ES" w:eastAsia="es-ES_tradnl"/>
        </w:rPr>
        <w:t xml:space="preserve">el "acta de liquidación" es un negocio jurídico de cierre de cuentas regido por la autonomía de la voluntad, y una actuación unilateral fundada solo en cláusulas del contrato produce actos de derecho privado, sin presunción de legalidad, según ha precisado la propia jurisprudencia. </w:t>
      </w:r>
    </w:p>
    <w:p w14:paraId="0003EB16" w14:textId="77777777" w:rsidR="002707E7" w:rsidRPr="00BA6286" w:rsidRDefault="002707E7" w:rsidP="002707E7">
      <w:pPr>
        <w:widowControl w:val="0"/>
        <w:autoSpaceDE w:val="0"/>
        <w:autoSpaceDN w:val="0"/>
        <w:spacing w:after="0" w:line="276" w:lineRule="auto"/>
        <w:ind w:right="105" w:firstLine="709"/>
        <w:jc w:val="both"/>
        <w:rPr>
          <w:rFonts w:ascii="Verdana" w:eastAsia="Arial" w:hAnsi="Verdana" w:cs="Arial"/>
          <w:lang w:val="es-ES" w:eastAsia="es-ES" w:bidi="es-ES"/>
        </w:rPr>
      </w:pPr>
    </w:p>
    <w:p w14:paraId="315E6D9B" w14:textId="6033BD7B" w:rsidR="002707E7" w:rsidRPr="00B8272B" w:rsidRDefault="002707E7" w:rsidP="002707E7">
      <w:pPr>
        <w:spacing w:after="120" w:line="276" w:lineRule="auto"/>
        <w:jc w:val="both"/>
        <w:rPr>
          <w:rFonts w:ascii="Verdana" w:eastAsia="Calibri" w:hAnsi="Verdana" w:cs="Arial"/>
          <w:color w:val="000000"/>
          <w:szCs w:val="24"/>
          <w:lang w:val="es-ES" w:eastAsia="es-ES_tradnl"/>
        </w:rPr>
      </w:pPr>
      <w:r w:rsidRPr="00DD6D95">
        <w:rPr>
          <w:rFonts w:ascii="Verdana" w:eastAsia="Calibri" w:hAnsi="Verdana" w:cs="Arial"/>
          <w:lang w:val="es-ES" w:eastAsia="es-ES_tradnl"/>
        </w:rPr>
        <w:t>v</w:t>
      </w:r>
      <w:r w:rsidR="0052363C" w:rsidRPr="00DD6D95">
        <w:rPr>
          <w:rFonts w:ascii="Verdana" w:eastAsia="Calibri" w:hAnsi="Verdana" w:cs="Arial"/>
          <w:bCs/>
          <w:lang w:val="es-ES" w:eastAsia="es-ES_tradnl"/>
        </w:rPr>
        <w:t>.</w:t>
      </w:r>
      <w:r w:rsidRPr="00B8272B">
        <w:rPr>
          <w:rFonts w:ascii="Verdana" w:eastAsia="Calibri" w:hAnsi="Verdana" w:cs="Arial"/>
          <w:bCs/>
          <w:lang w:val="es-ES" w:eastAsia="es-ES_tradnl"/>
        </w:rPr>
        <w:t xml:space="preserve"> Con respecto a la realización de mayores pagos, por usted denominada </w:t>
      </w:r>
      <w:r w:rsidRPr="00322448">
        <w:rPr>
          <w:rFonts w:ascii="Verdana" w:eastAsia="Calibri" w:hAnsi="Verdana" w:cs="Arial"/>
          <w:bCs/>
          <w:lang w:val="es-ES" w:eastAsia="es-ES_tradnl"/>
        </w:rPr>
        <w:t>"sobre ejecución"</w:t>
      </w:r>
      <w:r w:rsidRPr="00B8272B">
        <w:rPr>
          <w:rFonts w:ascii="Verdana" w:eastAsia="Calibri" w:hAnsi="Verdana" w:cs="Arial"/>
          <w:bCs/>
          <w:lang w:val="es-ES" w:eastAsia="es-ES_tradnl"/>
        </w:rPr>
        <w:t xml:space="preserve">,  y el saneamiento en la liquidación, es preciso aclarar que ello puede derivarse de distintos supuestos. </w:t>
      </w:r>
      <w:r w:rsidRPr="00B8272B">
        <w:rPr>
          <w:rFonts w:ascii="Verdana" w:eastAsia="Calibri" w:hAnsi="Verdana" w:cs="Arial"/>
          <w:color w:val="000000"/>
          <w:szCs w:val="24"/>
          <w:lang w:val="es-ES" w:eastAsia="es-ES_tradnl"/>
        </w:rPr>
        <w:t xml:space="preserve">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w:t>
      </w:r>
      <w:r w:rsidRPr="00B8272B">
        <w:rPr>
          <w:rFonts w:ascii="Verdana" w:eastAsia="Calibri" w:hAnsi="Verdana" w:cs="Arial"/>
          <w:color w:val="000000"/>
          <w:szCs w:val="24"/>
          <w:lang w:val="es-ES" w:eastAsia="es-ES_tradnl"/>
        </w:rPr>
        <w:lastRenderedPageBreak/>
        <w:t xml:space="preserve">alguna de las siguientes situaciones: i) la necesidad de mayores cantidades de bienes o actividades inicialmente previstos, a lo que se le conoce como “mayores cantidades de obra”, “obras adicionales” o adición de “ítems contractuales”; y </w:t>
      </w:r>
      <w:proofErr w:type="spellStart"/>
      <w:r w:rsidRPr="00B8272B">
        <w:rPr>
          <w:rFonts w:ascii="Verdana" w:eastAsia="Calibri" w:hAnsi="Verdana" w:cs="Arial"/>
          <w:color w:val="000000"/>
          <w:szCs w:val="24"/>
          <w:lang w:val="es-ES" w:eastAsia="es-ES_tradnl"/>
        </w:rPr>
        <w:t>ii</w:t>
      </w:r>
      <w:proofErr w:type="spellEnd"/>
      <w:r w:rsidRPr="00B8272B">
        <w:rPr>
          <w:rFonts w:ascii="Verdana" w:eastAsia="Calibri" w:hAnsi="Verdana" w:cs="Arial"/>
          <w:color w:val="000000"/>
          <w:szCs w:val="24"/>
          <w:lang w:val="es-ES" w:eastAsia="es-ES_tradnl"/>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0E9F9926" w14:textId="77777777" w:rsidR="002707E7" w:rsidRPr="00B8272B" w:rsidRDefault="002707E7" w:rsidP="002707E7">
      <w:pPr>
        <w:spacing w:after="120" w:line="276" w:lineRule="auto"/>
        <w:ind w:firstLine="360"/>
        <w:jc w:val="both"/>
        <w:rPr>
          <w:rFonts w:ascii="Verdana" w:hAnsi="Verdana"/>
          <w:lang w:val="es-ES"/>
        </w:rPr>
      </w:pPr>
      <w:r w:rsidRPr="00B8272B">
        <w:rPr>
          <w:rFonts w:ascii="Verdana" w:eastAsia="Calibri" w:hAnsi="Verdana" w:cs="Arial"/>
          <w:color w:val="000000"/>
          <w:szCs w:val="24"/>
          <w:lang w:val="es-ES" w:eastAsia="es-ES_tradnl"/>
        </w:rPr>
        <w:t xml:space="preserve">Las mayores cantidades de un ítem </w:t>
      </w:r>
      <w:r w:rsidRPr="00322448">
        <w:rPr>
          <w:rFonts w:ascii="Verdana" w:eastAsia="Calibri" w:hAnsi="Verdana" w:cs="Arial"/>
          <w:bCs/>
          <w:lang w:val="es-ES" w:eastAsia="es-ES_tradnl"/>
        </w:rPr>
        <w:t>ya previsto en el alcance contractual, típicamente en contratos a precios unitarios</w:t>
      </w:r>
      <w:r w:rsidRPr="00B8272B">
        <w:rPr>
          <w:rFonts w:ascii="Verdana" w:eastAsia="Calibri" w:hAnsi="Verdana" w:cs="Arial"/>
          <w:bCs/>
          <w:lang w:val="es-ES" w:eastAsia="es-ES_tradnl"/>
        </w:rPr>
        <w:t xml:space="preserve">, no implica una </w:t>
      </w:r>
      <w:r w:rsidRPr="00322448">
        <w:rPr>
          <w:rFonts w:ascii="Verdana" w:eastAsia="Calibri" w:hAnsi="Verdana" w:cs="Arial"/>
          <w:bCs/>
          <w:lang w:val="es-ES" w:eastAsia="es-ES_tradnl"/>
        </w:rPr>
        <w:t>modificación del contrato</w:t>
      </w:r>
      <w:r w:rsidRPr="00B8272B">
        <w:rPr>
          <w:rFonts w:ascii="Verdana" w:eastAsia="Calibri" w:hAnsi="Verdana" w:cs="Arial"/>
          <w:bCs/>
          <w:lang w:val="es-ES" w:eastAsia="es-ES_tradnl"/>
        </w:rPr>
        <w:t>, pues</w:t>
      </w:r>
      <w:r w:rsidRPr="00322448">
        <w:rPr>
          <w:rFonts w:ascii="Verdana" w:eastAsia="Calibri" w:hAnsi="Verdana" w:cs="Arial"/>
          <w:bCs/>
          <w:lang w:val="es-ES" w:eastAsia="es-ES_tradnl"/>
        </w:rPr>
        <w:t xml:space="preserve"> corresponden a la ejecución de ítems </w:t>
      </w:r>
      <w:r w:rsidRPr="00B8272B">
        <w:rPr>
          <w:rFonts w:ascii="Verdana" w:eastAsia="Calibri" w:hAnsi="Verdana" w:cs="Arial"/>
          <w:bCs/>
          <w:lang w:val="es-ES" w:eastAsia="es-ES_tradnl"/>
        </w:rPr>
        <w:t xml:space="preserve">comprendidos dentro del </w:t>
      </w:r>
      <w:r w:rsidRPr="00322448">
        <w:rPr>
          <w:rFonts w:ascii="Verdana" w:eastAsia="Calibri" w:hAnsi="Verdana" w:cs="Arial"/>
          <w:bCs/>
          <w:lang w:val="es-ES" w:eastAsia="es-ES_tradnl"/>
        </w:rPr>
        <w:t>contrato, mientras que las obras adicionales corresponden a obras o trabajos nuevos no contemplados en el alcance inicial</w:t>
      </w:r>
      <w:r w:rsidRPr="00B8272B">
        <w:rPr>
          <w:rFonts w:ascii="Verdana" w:eastAsia="Calibri" w:hAnsi="Verdana" w:cs="Arial"/>
          <w:bCs/>
          <w:lang w:val="es-ES" w:eastAsia="es-ES_tradnl"/>
        </w:rPr>
        <w:t xml:space="preserve">, que requieren de la suscripción de </w:t>
      </w:r>
      <w:r w:rsidRPr="00322448">
        <w:rPr>
          <w:rFonts w:ascii="Verdana" w:eastAsia="Calibri" w:hAnsi="Verdana" w:cs="Arial"/>
          <w:bCs/>
          <w:lang w:val="es-ES" w:eastAsia="es-ES_tradnl"/>
        </w:rPr>
        <w:t>un acuerdo modificatorio o un nuevo contrato</w:t>
      </w:r>
      <w:r w:rsidRPr="00B8272B">
        <w:rPr>
          <w:rFonts w:ascii="Verdana" w:eastAsia="Calibri" w:hAnsi="Verdana" w:cs="Arial"/>
          <w:bCs/>
          <w:lang w:val="es-ES" w:eastAsia="es-ES_tradnl"/>
        </w:rPr>
        <w:t>. Por otra parte, en los contratos de obra por precio global, en principio, no procede el reconocimiento de obras adicionales o mayores cantidades de obra no previstas inicialmente. Sin embargo, de acuerdo con las circunstancias particulares de cada contrato y las situaciones que puedan alterar la ecuación financiera del contrato, podrá evaluarse la pertinencia de modificar el precio global pactado.</w:t>
      </w:r>
    </w:p>
    <w:p w14:paraId="1BC2ECD5" w14:textId="77777777" w:rsidR="002707E7" w:rsidRPr="00B8272B" w:rsidRDefault="002707E7" w:rsidP="002707E7">
      <w:pPr>
        <w:spacing w:after="120" w:line="276" w:lineRule="auto"/>
        <w:ind w:firstLine="708"/>
        <w:jc w:val="both"/>
        <w:rPr>
          <w:rFonts w:ascii="Verdana" w:hAnsi="Verdana"/>
          <w:lang w:val="es-ES"/>
        </w:rPr>
      </w:pPr>
      <w:r w:rsidRPr="00B8272B">
        <w:rPr>
          <w:rFonts w:ascii="Verdana" w:hAnsi="Verdana"/>
          <w:lang w:val="es-ES"/>
        </w:rPr>
        <w:t>Sobre lo anterior, en el acta de liquidación bilateral pueden consignarse desacuerdos, que se denominan dentro de la contratación estatal como salvedades, que son aquellas objeciones y diferencias frente al acta de liquidación propuesta por la entidad. Al respecto, el Consejo de Estado expresa que toda salvedad debe ser expresa y concreta en el acta de liquidación bilateral, ya que es un presupuesto material para que se dicte una sentencia de fondo y prosperen las pretensiones en un futuro litigio judicial</w:t>
      </w:r>
      <w:r w:rsidRPr="00B8272B">
        <w:rPr>
          <w:rFonts w:ascii="Verdana" w:hAnsi="Verdana"/>
          <w:vertAlign w:val="superscript"/>
          <w:lang w:val="es-ES"/>
        </w:rPr>
        <w:footnoteReference w:id="40"/>
      </w:r>
      <w:r w:rsidRPr="00B8272B">
        <w:rPr>
          <w:rFonts w:ascii="Verdana" w:hAnsi="Verdana"/>
          <w:lang w:val="es-ES"/>
        </w:rPr>
        <w:t xml:space="preserve">. </w:t>
      </w:r>
    </w:p>
    <w:p w14:paraId="2004750B" w14:textId="77777777" w:rsidR="002707E7" w:rsidRPr="00B8272B" w:rsidRDefault="002707E7" w:rsidP="002707E7">
      <w:pPr>
        <w:spacing w:after="120" w:line="276" w:lineRule="auto"/>
        <w:ind w:firstLine="708"/>
        <w:jc w:val="both"/>
        <w:rPr>
          <w:rFonts w:ascii="Verdana" w:hAnsi="Verdana"/>
          <w:lang w:val="es-ES"/>
        </w:rPr>
      </w:pPr>
      <w:r w:rsidRPr="00B8272B">
        <w:rPr>
          <w:rFonts w:ascii="Verdana" w:hAnsi="Verdana"/>
          <w:lang w:val="es-ES"/>
        </w:rPr>
        <w:t xml:space="preserve">Se precisa que, al suscribir el acta de liquidación bilateral con salvedades, el contratista está manifestando dos aspectos: i) acepta el contenido, en la que se salda algunas obligaciones; y </w:t>
      </w:r>
      <w:proofErr w:type="spellStart"/>
      <w:r w:rsidRPr="00B8272B">
        <w:rPr>
          <w:rFonts w:ascii="Verdana" w:hAnsi="Verdana"/>
          <w:lang w:val="es-ES"/>
        </w:rPr>
        <w:t>ii</w:t>
      </w:r>
      <w:proofErr w:type="spellEnd"/>
      <w:r w:rsidRPr="00B8272B">
        <w:rPr>
          <w:rFonts w:ascii="Verdana" w:hAnsi="Verdana"/>
          <w:lang w:val="es-ES"/>
        </w:rPr>
        <w:t xml:space="preserve">) precisa aquellos asuntos respecto de los que </w:t>
      </w:r>
      <w:r w:rsidRPr="00B8272B">
        <w:rPr>
          <w:rFonts w:ascii="Verdana" w:hAnsi="Verdana"/>
          <w:lang w:val="es-ES"/>
        </w:rPr>
        <w:lastRenderedPageBreak/>
        <w:t xml:space="preserve">se estipula la correspondiente salvedad, como manifestación de las diferencias en torno a la liquidación propuesta. De acuerdo </w:t>
      </w:r>
      <w:r>
        <w:rPr>
          <w:rFonts w:ascii="Verdana" w:hAnsi="Verdana"/>
          <w:lang w:val="es-ES"/>
        </w:rPr>
        <w:t>con</w:t>
      </w:r>
      <w:r w:rsidRPr="00B8272B">
        <w:rPr>
          <w:rFonts w:ascii="Verdana" w:hAnsi="Verdana"/>
          <w:lang w:val="es-ES"/>
        </w:rPr>
        <w:t xml:space="preserve"> lo expresado, las salvedades que se consignen en el acta liquidación depende la posibilidad de acudir a la jurisdicción de lo contencioso administrativo para las reclamaciones y reconocimientos económicos, no previstos en el acta de liquidación. Sin embargo, es válido que, ante las salvedades, se posibilite la liquidación unilateral parcial por parte de la Administración, es decir, en aquellos aspectos donde se dejaron los desacuerdos, la entidad debe completar la liquidación del contrato. </w:t>
      </w:r>
      <w:bookmarkStart w:id="16" w:name="_Hlk82570391"/>
    </w:p>
    <w:p w14:paraId="660AF807" w14:textId="77777777" w:rsidR="002707E7" w:rsidRPr="00B8272B" w:rsidRDefault="002707E7" w:rsidP="002707E7">
      <w:pPr>
        <w:spacing w:after="0" w:line="276" w:lineRule="auto"/>
        <w:ind w:firstLine="708"/>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hAnsi="Verdana"/>
          <w:lang w:val="es-ES"/>
        </w:rPr>
        <w:t xml:space="preserve">En torno al contenido que debe contener la liquidación del contrato, </w:t>
      </w:r>
      <w:bookmarkEnd w:id="16"/>
      <w:r w:rsidRPr="00B8272B">
        <w:rPr>
          <w:rFonts w:ascii="Verdana" w:eastAsia="Times New Roman" w:hAnsi="Verdana" w:cs="Arial"/>
          <w:color w:val="000000"/>
          <w:bdr w:val="none" w:sz="0" w:space="0" w:color="auto" w:frame="1"/>
          <w:shd w:val="clear" w:color="auto" w:fill="FFFFFF"/>
          <w:lang w:val="es-ES" w:eastAsia="es-ES_tradnl"/>
        </w:rPr>
        <w:t>es importante tener en cuenta los incisos segundo y tercero del artículo 60 del EGCAP, “[…] las partes acordarán los ajustes, revisiones y reconocimientos a que haya lugar” y en ella “[…] constarán los acuerdos, conciliaciones y transacciones a que llegaren las partes para poner fin a las divergencias presentadas y poder declararse a paz y salvo”. Esto hace que la liquidación no sólo sea un mecanismo alternativo de solución de conflictos, sino también un medio para resolver asuntos relacionados con el desequilibrio económico del contrato. Sobre esta última faceta, la doctrina explica que la norma en comento consagra una posibilidad para que las entidades públicas garanticen el equilibrio económico si éste resultó afectado en la ejecución del negocio jurídico, así que la liquidación es el momento oportuno para resolver las diferencias existentes. En torno al tema, Expósito Vélez expresa que con la liquidación se permite evidenciar el estado de ejecución del objeto pactado y las prestaciones anexas al mismo, en la que debe procederse a que se ajustan las cuentas que se generaron con ocasión del contrato, posibilitando los reconocimientos o indemnizaciones a favor del contratista o de la Administración, o precisando las sanciones al contratista que autorice a la entidad a retener las sumas adeudadas</w:t>
      </w:r>
      <w:r w:rsidRPr="00B8272B">
        <w:rPr>
          <w:rStyle w:val="FootnoteReference"/>
          <w:rFonts w:ascii="Verdana" w:eastAsia="Times New Roman" w:hAnsi="Verdana" w:cs="Arial"/>
          <w:color w:val="000000"/>
          <w:bdr w:val="none" w:sz="0" w:space="0" w:color="auto" w:frame="1"/>
          <w:shd w:val="clear" w:color="auto" w:fill="FFFFFF"/>
          <w:lang w:val="es-ES" w:eastAsia="es-ES_tradnl"/>
        </w:rPr>
        <w:footnoteReference w:id="41"/>
      </w:r>
      <w:r w:rsidRPr="00B8272B">
        <w:rPr>
          <w:rFonts w:ascii="Verdana" w:eastAsia="Times New Roman" w:hAnsi="Verdana" w:cs="Arial"/>
          <w:color w:val="000000"/>
          <w:bdr w:val="none" w:sz="0" w:space="0" w:color="auto" w:frame="1"/>
          <w:shd w:val="clear" w:color="auto" w:fill="FFFFFF"/>
          <w:lang w:val="es-ES" w:eastAsia="es-ES_tradnl"/>
        </w:rPr>
        <w:t>. Al respecto, Aida Patricia</w:t>
      </w:r>
      <w:r>
        <w:rPr>
          <w:rFonts w:ascii="Verdana" w:eastAsia="Times New Roman" w:hAnsi="Verdana" w:cs="Arial"/>
          <w:color w:val="000000"/>
          <w:bdr w:val="none" w:sz="0" w:space="0" w:color="auto" w:frame="1"/>
          <w:shd w:val="clear" w:color="auto" w:fill="FFFFFF"/>
          <w:lang w:val="es-ES" w:eastAsia="es-ES_tradnl"/>
        </w:rPr>
        <w:t xml:space="preserve"> sostuvo</w:t>
      </w: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4DDA229C"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446E98C8" w14:textId="77777777" w:rsidR="002707E7" w:rsidRPr="00B8272B" w:rsidRDefault="002707E7" w:rsidP="002707E7">
      <w:pPr>
        <w:tabs>
          <w:tab w:val="left" w:pos="709"/>
        </w:tabs>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“A través de la liquidación de los contratos se busca en especial establecer el equilibrio final en las relaciones suscitadas entre la entidad estatal y el contratista, con el objeto de dejar niveladas las prestaciones y derechos surgidos del negocio jurídico. En este sentido, el principio de la conmutatividad, entendido como la equivalencia obvia que debe existir entre lo que se da o hace por una parte y lo que se recibe por la otra, se torna en regla vinculante e imperativa, que debe ser restablecida al final </w:t>
      </w:r>
      <w:r w:rsidRPr="00B8272B">
        <w:rPr>
          <w:rFonts w:ascii="Verdana" w:eastAsia="Times New Roman" w:hAnsi="Verdana" w:cs="Arial"/>
          <w:color w:val="000000"/>
          <w:sz w:val="20"/>
          <w:szCs w:val="20"/>
          <w:bdr w:val="none" w:sz="0" w:space="0" w:color="auto" w:frame="1"/>
          <w:shd w:val="clear" w:color="auto" w:fill="FFFFFF"/>
          <w:lang w:val="es-ES" w:eastAsia="es-ES_tradnl"/>
        </w:rPr>
        <w:lastRenderedPageBreak/>
        <w:t>de la relación jurídica, con el propósito de que el negocio finalmente sea equivalente entre las partes”</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42"/>
      </w: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 </w:t>
      </w:r>
    </w:p>
    <w:p w14:paraId="61E80FE3"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1EB67280" w14:textId="77777777" w:rsidR="002707E7" w:rsidRPr="00B8272B" w:rsidRDefault="002707E7" w:rsidP="002707E7">
      <w:pPr>
        <w:tabs>
          <w:tab w:val="left" w:pos="709"/>
        </w:tabs>
        <w:spacing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 xml:space="preserve">No obstante, Aida Patricia Hernández Silva señala que hay 2 posturas en el Consejo de Estado, frente a la reclamación económica en el contrato estatal: i) amplia, que consiste en que las obras adicionales, sobrecostos y demás aspectos relacionados con la ejecución del contrato se le liquidan al contratista; </w:t>
      </w:r>
      <w:proofErr w:type="spellStart"/>
      <w:r w:rsidRPr="00B8272B">
        <w:rPr>
          <w:rFonts w:ascii="Verdana" w:eastAsia="Times New Roman" w:hAnsi="Verdana" w:cs="Arial"/>
          <w:color w:val="000000"/>
          <w:bdr w:val="none" w:sz="0" w:space="0" w:color="auto" w:frame="1"/>
          <w:shd w:val="clear" w:color="auto" w:fill="FFFFFF"/>
          <w:lang w:val="es-ES" w:eastAsia="es-ES_tradnl"/>
        </w:rPr>
        <w:t>ii</w:t>
      </w:r>
      <w:proofErr w:type="spellEnd"/>
      <w:r w:rsidRPr="00B8272B">
        <w:rPr>
          <w:rFonts w:ascii="Verdana" w:eastAsia="Times New Roman" w:hAnsi="Verdana" w:cs="Arial"/>
          <w:color w:val="000000"/>
          <w:bdr w:val="none" w:sz="0" w:space="0" w:color="auto" w:frame="1"/>
          <w:shd w:val="clear" w:color="auto" w:fill="FFFFFF"/>
          <w:lang w:val="es-ES" w:eastAsia="es-ES_tradnl"/>
        </w:rPr>
        <w:t>) estricta, que alude a que se liquida al contratista aquellas prestaciones y contraprestaciones estipuladas en el contrato estatal, es decir, lo que este contenido en el objeto contractual</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3"/>
      </w:r>
      <w:r w:rsidRPr="00B8272B">
        <w:rPr>
          <w:rFonts w:ascii="Verdana" w:eastAsia="Times New Roman" w:hAnsi="Verdana" w:cs="Arial"/>
          <w:color w:val="000000"/>
          <w:bdr w:val="none" w:sz="0" w:space="0" w:color="auto" w:frame="1"/>
          <w:shd w:val="clear" w:color="auto" w:fill="FFFFFF"/>
          <w:lang w:val="es-ES" w:eastAsia="es-ES_tradnl"/>
        </w:rPr>
        <w:t>. Al respecto, Cristian Díaz Díez defiende la posición amplia del Consejo de Estado, aduciendo que la liquidación busca entre otras cosas, el restablecimiento económico contractual</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4"/>
      </w:r>
      <w:r w:rsidRPr="00B8272B">
        <w:rPr>
          <w:rFonts w:ascii="Verdana" w:eastAsia="Times New Roman" w:hAnsi="Verdana" w:cs="Arial"/>
          <w:color w:val="000000"/>
          <w:bdr w:val="none" w:sz="0" w:space="0" w:color="auto" w:frame="1"/>
          <w:shd w:val="clear" w:color="auto" w:fill="FFFFFF"/>
          <w:lang w:val="es-ES" w:eastAsia="es-ES_tradnl"/>
        </w:rPr>
        <w:t>, justificándose en el numeral 8 y 9 del artículo 4, y el numeral 1 del artículo 5 de la Ley 80 de 1993</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5"/>
      </w: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585355B7"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 xml:space="preserve">No obstante, la Sala Plena del Consejo de Estado expidió la Sentencia de Unificación del 19 de noviembre de 2012, </w:t>
      </w:r>
      <w:r w:rsidRPr="00B8272B">
        <w:rPr>
          <w:rFonts w:ascii="Verdana" w:eastAsia="Times New Roman" w:hAnsi="Verdana" w:cs="Arial"/>
          <w:i/>
          <w:iCs/>
          <w:color w:val="000000"/>
          <w:bdr w:val="none" w:sz="0" w:space="0" w:color="auto" w:frame="1"/>
          <w:shd w:val="clear" w:color="auto" w:fill="FFFFFF"/>
          <w:lang w:val="es-ES" w:eastAsia="es-ES_tradnl"/>
        </w:rPr>
        <w:t>por regla general,</w:t>
      </w:r>
      <w:r w:rsidRPr="00B8272B">
        <w:rPr>
          <w:rFonts w:ascii="Verdana" w:eastAsia="Times New Roman" w:hAnsi="Verdana" w:cs="Arial"/>
          <w:color w:val="000000"/>
          <w:bdr w:val="none" w:sz="0" w:space="0" w:color="auto" w:frame="1"/>
          <w:shd w:val="clear" w:color="auto" w:fill="FFFFFF"/>
          <w:lang w:val="es-ES" w:eastAsia="es-ES_tradnl"/>
        </w:rPr>
        <w:t xml:space="preserve"> no es posible solicitar reconocimientos económicos por la ejecución de obras extras o adicionales, sin la previa suscripción de un contrato adicional que las justifique. </w:t>
      </w:r>
      <w:r w:rsidRPr="00B8272B">
        <w:rPr>
          <w:rFonts w:ascii="Verdana" w:eastAsia="Times New Roman" w:hAnsi="Verdana" w:cs="Arial"/>
          <w:color w:val="000000"/>
          <w:bdr w:val="none" w:sz="0" w:space="0" w:color="auto" w:frame="1"/>
          <w:shd w:val="clear" w:color="auto" w:fill="FFFFFF"/>
          <w:lang w:val="es-ES" w:eastAsia="es-ES_tradnl"/>
        </w:rPr>
        <w:lastRenderedPageBreak/>
        <w:t>Esto en la medida que los artículos 39 y 41 del EGCAP disponen que los contratos estatales son solemnes y, por tanto, requieren formalidad escrita, salvo que se presente una situación de urgencia manifiesta.</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6"/>
      </w:r>
      <w:r w:rsidRPr="00B8272B">
        <w:rPr>
          <w:rFonts w:ascii="Verdana" w:eastAsia="Times New Roman" w:hAnsi="Verdana" w:cs="Arial"/>
          <w:color w:val="000000"/>
          <w:bdr w:val="none" w:sz="0" w:space="0" w:color="auto" w:frame="1"/>
          <w:shd w:val="clear" w:color="auto" w:fill="FFFFFF"/>
          <w:lang w:val="es-ES" w:eastAsia="es-ES_tradnl"/>
        </w:rPr>
        <w:t xml:space="preserve"> Dentro de esta línea:</w:t>
      </w:r>
    </w:p>
    <w:p w14:paraId="100C36AF"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3F9A8BF3" w14:textId="77777777" w:rsidR="002707E7" w:rsidRPr="00B8272B" w:rsidRDefault="002707E7" w:rsidP="002707E7">
      <w:pPr>
        <w:tabs>
          <w:tab w:val="left" w:pos="709"/>
        </w:tabs>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“EL E.C. establece que en el acta de liquidación del contrato podrán efectuarse las transacciones a las que hubiere lugar. Se trata de un mecanismo de solucionar eventuales conflictos de orden contractual, por esto, no se podrán incorporar reconocimientos que se han causado y que resulten ajenos a las obligaciones contractuales y legales. Aquellas actividades ejecutadas por el contratista que no se desprendan o se encuentren incorporadas en el contrato, no podrán ser reconocidas en el acta de liquidación. Esto no significa que a la entidad se le cierre la posibilidad de solucionar directamente el conflicto, pero, podrá precaverlo, suscribiendo un contrato de transacción con las formalidades establecidas en nuestro ordenamiento”</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47"/>
      </w: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  </w:t>
      </w:r>
    </w:p>
    <w:p w14:paraId="26F7C1D8" w14:textId="77777777" w:rsidR="002707E7" w:rsidRPr="00B8272B" w:rsidRDefault="002707E7" w:rsidP="002707E7">
      <w:pPr>
        <w:tabs>
          <w:tab w:val="left" w:pos="709"/>
        </w:tabs>
        <w:spacing w:after="0" w:line="240" w:lineRule="auto"/>
        <w:jc w:val="both"/>
        <w:rPr>
          <w:rFonts w:ascii="Verdana" w:eastAsia="Times New Roman" w:hAnsi="Verdana" w:cs="Arial"/>
          <w:color w:val="000000"/>
          <w:bdr w:val="none" w:sz="0" w:space="0" w:color="auto" w:frame="1"/>
          <w:shd w:val="clear" w:color="auto" w:fill="FFFFFF"/>
          <w:lang w:val="es-ES" w:eastAsia="es-ES_tradnl"/>
        </w:rPr>
      </w:pPr>
    </w:p>
    <w:p w14:paraId="09D449C6" w14:textId="77777777" w:rsidR="002707E7" w:rsidRPr="00B8272B" w:rsidRDefault="002707E7" w:rsidP="002707E7">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r>
      <w:r w:rsidRPr="00B8272B">
        <w:rPr>
          <w:rFonts w:ascii="Verdana" w:eastAsia="Times New Roman" w:hAnsi="Verdana" w:cs="Arial"/>
          <w:i/>
          <w:iCs/>
          <w:color w:val="000000"/>
          <w:bdr w:val="none" w:sz="0" w:space="0" w:color="auto" w:frame="1"/>
          <w:shd w:val="clear" w:color="auto" w:fill="FFFFFF"/>
          <w:lang w:val="es-ES" w:eastAsia="es-ES_tradnl"/>
        </w:rPr>
        <w:t>Excepcionalmente</w:t>
      </w:r>
      <w:r w:rsidRPr="00B8272B">
        <w:rPr>
          <w:rFonts w:ascii="Verdana" w:eastAsia="Times New Roman" w:hAnsi="Verdana" w:cs="Arial"/>
          <w:color w:val="000000"/>
          <w:bdr w:val="none" w:sz="0" w:space="0" w:color="auto" w:frame="1"/>
          <w:shd w:val="clear" w:color="auto" w:fill="FFFFFF"/>
          <w:lang w:val="es-ES" w:eastAsia="es-ES_tradnl"/>
        </w:rPr>
        <w:t xml:space="preserve">, la jurisprudencia citada admitió la posibilidad de reconocer al contratista la ejecución de obras extras o adicionales en tres (3) eventos de interpretación restrictiva: i) cuando existe prueba fehaciente de que la ejecución de obras o servicios extras o adicionales o el suministro de bienes, por fuera del objeto contractual, se haya realizado por la imposición de la entidad, en ejercicio de su autoridad; </w:t>
      </w:r>
      <w:proofErr w:type="spellStart"/>
      <w:r w:rsidRPr="00B8272B">
        <w:rPr>
          <w:rFonts w:ascii="Verdana" w:eastAsia="Times New Roman" w:hAnsi="Verdana" w:cs="Arial"/>
          <w:color w:val="000000"/>
          <w:bdr w:val="none" w:sz="0" w:space="0" w:color="auto" w:frame="1"/>
          <w:shd w:val="clear" w:color="auto" w:fill="FFFFFF"/>
          <w:lang w:val="es-ES" w:eastAsia="es-ES_tradnl"/>
        </w:rPr>
        <w:t>ii</w:t>
      </w:r>
      <w:proofErr w:type="spellEnd"/>
      <w:r w:rsidRPr="00B8272B">
        <w:rPr>
          <w:rFonts w:ascii="Verdana" w:eastAsia="Times New Roman" w:hAnsi="Verdana" w:cs="Arial"/>
          <w:color w:val="000000"/>
          <w:bdr w:val="none" w:sz="0" w:space="0" w:color="auto" w:frame="1"/>
          <w:shd w:val="clear" w:color="auto" w:fill="FFFFFF"/>
          <w:lang w:val="es-ES" w:eastAsia="es-ES_tradnl"/>
        </w:rPr>
        <w:t xml:space="preserve">) que fueran urgentes para evitar una lesión inminente e irreversible al derecho a la salud; y </w:t>
      </w:r>
      <w:proofErr w:type="spellStart"/>
      <w:r w:rsidRPr="00B8272B">
        <w:rPr>
          <w:rFonts w:ascii="Verdana" w:eastAsia="Times New Roman" w:hAnsi="Verdana" w:cs="Arial"/>
          <w:color w:val="000000"/>
          <w:bdr w:val="none" w:sz="0" w:space="0" w:color="auto" w:frame="1"/>
          <w:shd w:val="clear" w:color="auto" w:fill="FFFFFF"/>
          <w:lang w:val="es-ES" w:eastAsia="es-ES_tradnl"/>
        </w:rPr>
        <w:t>iii</w:t>
      </w:r>
      <w:proofErr w:type="spellEnd"/>
      <w:r w:rsidRPr="00B8272B">
        <w:rPr>
          <w:rFonts w:ascii="Verdana" w:eastAsia="Times New Roman" w:hAnsi="Verdana" w:cs="Arial"/>
          <w:color w:val="000000"/>
          <w:bdr w:val="none" w:sz="0" w:space="0" w:color="auto" w:frame="1"/>
          <w:shd w:val="clear" w:color="auto" w:fill="FFFFFF"/>
          <w:lang w:val="es-ES" w:eastAsia="es-ES_tradnl"/>
        </w:rPr>
        <w:t>) cuando se omite el decreto de la urgencia manifiesta y concurren las circunstancias para que ésta hubiera sido declarada</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8"/>
      </w: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301EDD4A"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 xml:space="preserve">En todo caso, esta postura jurisprudencial consolidada cambió con la Sentencia de Unificación del 31 de julio de 2025, en la que se expresó la compensación del enriquecimiento sin justa causa no está condicionado a la subsunción de ciertos hechos que se concuerdan con una lista de hipótesis fácticas previa y taxativamente definidas, sino que corresponde al juez, en virtud de los elementos sustantivos y la revisión el comportamiento de las partes, establecer la viabilidad de ordenar que haya una corrección al traslado </w:t>
      </w:r>
      <w:r w:rsidRPr="00B8272B">
        <w:rPr>
          <w:rFonts w:ascii="Verdana" w:eastAsia="Times New Roman" w:hAnsi="Verdana" w:cs="Arial"/>
          <w:color w:val="000000"/>
          <w:bdr w:val="none" w:sz="0" w:space="0" w:color="auto" w:frame="1"/>
          <w:shd w:val="clear" w:color="auto" w:fill="FFFFFF"/>
          <w:lang w:val="es-ES" w:eastAsia="es-ES_tradnl"/>
        </w:rPr>
        <w:lastRenderedPageBreak/>
        <w:t>patrimonial injustificado por bienes y obras no previstos en el contrato</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49"/>
      </w:r>
      <w:r w:rsidRPr="00B8272B">
        <w:rPr>
          <w:rFonts w:ascii="Verdana" w:eastAsia="Times New Roman" w:hAnsi="Verdana" w:cs="Arial"/>
          <w:color w:val="000000"/>
          <w:bdr w:val="none" w:sz="0" w:space="0" w:color="auto" w:frame="1"/>
          <w:shd w:val="clear" w:color="auto" w:fill="FFFFFF"/>
          <w:lang w:val="es-ES" w:eastAsia="es-ES_tradnl"/>
        </w:rPr>
        <w:t xml:space="preserve">. Dicho reconocimiento está supeditado a que la parte interesada demuestre la concurrencia de los siguientes elementos: </w:t>
      </w:r>
    </w:p>
    <w:p w14:paraId="2B1C27BE"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722D5EEA" w14:textId="77777777" w:rsidR="002707E7" w:rsidRPr="00B8272B" w:rsidRDefault="002707E7" w:rsidP="002707E7">
      <w:pPr>
        <w:tabs>
          <w:tab w:val="left" w:pos="709"/>
        </w:tabs>
        <w:spacing w:after="0" w:line="240" w:lineRule="auto"/>
        <w:ind w:left="709" w:right="709"/>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“Ese reconocimiento, además, está supeditado a que se reúnan los siguientes elementos: (i) la existencia de una ventaja patrimonial en beneficio de la entidad;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ii</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un empobrecimiento correlativo sufrido por el demandante, el cual pueda atribuirse al acrecimiento mencionado;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iii</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la ausencia de causa jurídica en el desequilibrio producido, en cuanto a que no haya sido generada por un hecho o un acto jurídico, como tampoco por una disposición expresa de la ley;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iv</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que el demandante carezca de cualquier otro mecanismo para reclamar la compensación, lo que pone en evidencia su subsidiariedad; y (v) la compensación no procede cuando con ella se pretende soslayar una disposición imperativa de la ley”</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50"/>
      </w:r>
      <w:r w:rsidRPr="00B8272B">
        <w:rPr>
          <w:rFonts w:ascii="Verdana" w:eastAsia="Times New Roman" w:hAnsi="Verdana" w:cs="Arial"/>
          <w:color w:val="000000"/>
          <w:sz w:val="20"/>
          <w:szCs w:val="20"/>
          <w:bdr w:val="none" w:sz="0" w:space="0" w:color="auto" w:frame="1"/>
          <w:shd w:val="clear" w:color="auto" w:fill="FFFFFF"/>
          <w:lang w:val="es-ES" w:eastAsia="es-ES_tradnl"/>
        </w:rPr>
        <w:t>.</w:t>
      </w:r>
    </w:p>
    <w:p w14:paraId="519F2E5E"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62C2B39F"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Teniendo en cuenta los elementos, debe tenerse en cuenta la prueba de la actividad, sumado a la circunstancia excepcional que se invoca. El Consejo de Estado estableció que esta regla sobre el reconocimiento económico debe aplicarse a partir de la ejecutoria de la nueva sentencia de unificación, en aquellas pretensiones de compensación por enriquecimiento sin causa, de forma que no podrá dejarse de conceder lo pedido por el solo hecho de que el caso no se enmarque en los eventos indicados en la Sentencia del 19 de noviembre de 2012</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51"/>
      </w:r>
      <w:r w:rsidRPr="00B8272B">
        <w:rPr>
          <w:rFonts w:ascii="Verdana" w:eastAsia="Times New Roman" w:hAnsi="Verdana" w:cs="Arial"/>
          <w:color w:val="000000"/>
          <w:bdr w:val="none" w:sz="0" w:space="0" w:color="auto" w:frame="1"/>
          <w:shd w:val="clear" w:color="auto" w:fill="FFFFFF"/>
          <w:lang w:val="es-ES" w:eastAsia="es-ES_tradnl"/>
        </w:rPr>
        <w:t xml:space="preserve">. De este modo, dicha Sentencia de Unificación expresa: </w:t>
      </w:r>
    </w:p>
    <w:p w14:paraId="6271D50B" w14:textId="77777777" w:rsidR="002707E7" w:rsidRPr="00B8272B" w:rsidRDefault="002707E7" w:rsidP="002707E7">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4406F19E" w14:textId="77777777" w:rsidR="002707E7" w:rsidRPr="00B8272B" w:rsidRDefault="002707E7" w:rsidP="002707E7">
      <w:pPr>
        <w:tabs>
          <w:tab w:val="left" w:pos="709"/>
        </w:tabs>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“Sobre lo primero, en torno a la configuración y procedencia del enriquecimiento sin justa causa cuando se han ejecutado actividades sin el respaldo de un contrato, en favor de entidades que -en su gestión- deben aplicar el Estatuto General de Contratación Pública, se decantó que la respectiva pretensión de compensación, cuando se carezca de otro mecanismo para reclamar, debe cumplir los presupuestos procesales de la reparación directa (incluso cuando se ha celebrado un contrato cuyo objeto se haya agotado para el momento de la extinción del plazo previsto y ante el desarrollo de actividades con posterioridad a la finalización), sin que sea exigible haber provocado una decisión por parte de la administración y, al satisfacerse, debe ser tramitada, pese a que el demandante mencione otro medio o guarde silencio sobre su denominación. Su prosperidad es absolutamente excepcional, depende de </w:t>
      </w:r>
      <w:r w:rsidRPr="00B8272B">
        <w:rPr>
          <w:rFonts w:ascii="Verdana" w:eastAsia="Times New Roman" w:hAnsi="Verdana" w:cs="Arial"/>
          <w:color w:val="000000"/>
          <w:sz w:val="20"/>
          <w:szCs w:val="20"/>
          <w:bdr w:val="none" w:sz="0" w:space="0" w:color="auto" w:frame="1"/>
          <w:shd w:val="clear" w:color="auto" w:fill="FFFFFF"/>
          <w:lang w:val="es-ES" w:eastAsia="es-ES_tradnl"/>
        </w:rPr>
        <w:lastRenderedPageBreak/>
        <w:t>la plena prueba de la actividad desarrollada, sustentada en la demostración de una circunstancia extraordinaria y en razones de interés general, sin que, al respecto, se preestablezcan hipótesis fácticas taxativas; pero, sí se debe supeditar a la existencia de una ventaja patrimonial en beneficio de la demandada, un empobrecimiento correlativo sufrido por el demandante, la ausencia de causa jurídica en el desequilibrio producido y que no se haya soslayado la ley. Cumplido lo anterior, procede corregir el traslado patrimonial injustificado, mas no indemnizar un daño, salvo que el menoscabo emane de una conducta constitutiva de responsabilidad extracontractual del Estado, como una coacción o constreñimiento, que realmente constituyen eventos de falla del servicio”</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52"/>
      </w:r>
      <w:r w:rsidRPr="00B8272B">
        <w:rPr>
          <w:rFonts w:ascii="Verdana" w:eastAsia="Times New Roman" w:hAnsi="Verdana" w:cs="Arial"/>
          <w:color w:val="000000"/>
          <w:sz w:val="20"/>
          <w:szCs w:val="20"/>
          <w:bdr w:val="none" w:sz="0" w:space="0" w:color="auto" w:frame="1"/>
          <w:shd w:val="clear" w:color="auto" w:fill="FFFFFF"/>
          <w:lang w:val="es-ES" w:eastAsia="es-ES_tradnl"/>
        </w:rPr>
        <w:t>.</w:t>
      </w:r>
    </w:p>
    <w:p w14:paraId="59702672" w14:textId="77777777" w:rsidR="002707E7" w:rsidRPr="00B8272B" w:rsidRDefault="002707E7" w:rsidP="002707E7">
      <w:pPr>
        <w:tabs>
          <w:tab w:val="left" w:pos="709"/>
        </w:tabs>
        <w:spacing w:after="0" w:line="240" w:lineRule="auto"/>
        <w:jc w:val="both"/>
        <w:rPr>
          <w:rFonts w:ascii="Verdana" w:eastAsia="Times New Roman" w:hAnsi="Verdana" w:cs="Arial"/>
          <w:color w:val="000000"/>
          <w:bdr w:val="none" w:sz="0" w:space="0" w:color="auto" w:frame="1"/>
          <w:shd w:val="clear" w:color="auto" w:fill="FFFFFF"/>
          <w:lang w:val="es-ES" w:eastAsia="es-ES_tradnl"/>
        </w:rPr>
      </w:pPr>
    </w:p>
    <w:p w14:paraId="3E7FBA68" w14:textId="77777777" w:rsidR="002707E7" w:rsidRPr="00B8272B" w:rsidRDefault="002707E7" w:rsidP="002707E7">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t xml:space="preserve">Conforme al artículo 10 de la Ley 1437 de 2011, “Al resolver los asuntos de su competencia, las autoridades aplicarán las disposiciones constitucionales, legales y reglamentarias de manera uniforme a situaciones que tengan los mismos supuestos fácticos y jurídicos. </w:t>
      </w:r>
      <w:r w:rsidRPr="00B8272B">
        <w:rPr>
          <w:rFonts w:ascii="Verdana" w:eastAsia="Times New Roman" w:hAnsi="Verdana" w:cs="Arial"/>
          <w:i/>
          <w:iCs/>
          <w:color w:val="000000"/>
          <w:bdr w:val="none" w:sz="0" w:space="0" w:color="auto" w:frame="1"/>
          <w:shd w:val="clear" w:color="auto" w:fill="FFFFFF"/>
          <w:lang w:val="es-ES" w:eastAsia="es-ES_tradnl"/>
        </w:rPr>
        <w:t>Con este propósito, al adoptar las decisiones de su competencia, deberán tener en cuenta las sentencias de unificación jurisprudencial del Consejo de Estado en las que se interpreten y apliquen dichas normas</w:t>
      </w:r>
      <w:r w:rsidRPr="00B8272B">
        <w:rPr>
          <w:rFonts w:ascii="Verdana" w:eastAsia="Times New Roman" w:hAnsi="Verdana" w:cs="Arial"/>
          <w:color w:val="000000"/>
          <w:bdr w:val="none" w:sz="0" w:space="0" w:color="auto" w:frame="1"/>
          <w:shd w:val="clear" w:color="auto" w:fill="FFFFFF"/>
          <w:lang w:val="es-ES" w:eastAsia="es-ES_tradnl"/>
        </w:rPr>
        <w:t>” (Énfasis fuera de texto). Por tanto, en la actualidad existe la posibilidad de reconocer en la liquidación actividades no incluidas o ítems no previstos dentro del contrato, pues no se limita a los supuestos planteados de la Sentencia de Unificación del 19 de noviembre de 2012, sino que se configuren los elementos del enriquecimiento sin justa causa, la prueba de la actividad, sumado a la circunstancia excepcional que se invoca.</w:t>
      </w:r>
    </w:p>
    <w:p w14:paraId="451EFD33" w14:textId="77777777" w:rsidR="002707E7" w:rsidRPr="00B8272B" w:rsidRDefault="002707E7" w:rsidP="002707E7">
      <w:pPr>
        <w:tabs>
          <w:tab w:val="left" w:pos="709"/>
        </w:tabs>
        <w:spacing w:after="120" w:line="276" w:lineRule="auto"/>
        <w:jc w:val="both"/>
        <w:rPr>
          <w:rFonts w:ascii="Verdana" w:eastAsia="Calibri" w:hAnsi="Verdana" w:cs="Arial"/>
          <w:bCs/>
          <w:color w:val="000000" w:themeColor="text1"/>
          <w:lang w:val="es-ES"/>
        </w:rPr>
      </w:pPr>
      <w:r w:rsidRPr="00B8272B">
        <w:rPr>
          <w:rFonts w:ascii="Verdana" w:eastAsia="Times New Roman" w:hAnsi="Verdana" w:cs="Arial"/>
          <w:color w:val="000000"/>
          <w:bdr w:val="none" w:sz="0" w:space="0" w:color="auto" w:frame="1"/>
          <w:shd w:val="clear" w:color="auto" w:fill="FFFFFF"/>
          <w:lang w:val="es-ES" w:eastAsia="es-ES_tradnl"/>
        </w:rPr>
        <w:tab/>
        <w:t xml:space="preserve">Ahora bien, teniendo en cuenta que es posible reconocer obras extras o adicionales, así como asuntos derivados de ajustes o revisiones económicas por la entidad contratante, es necesario precisar que la liquidación del contrato, ya sea que se derive de cualquiera de sus manifestaciones -liquidación bilateral, liquidación unilateral o liquidación judicial- debe contar con el Certificado de Disponibilidad Presupuestal –CDP- y el Registro Presupuestal, ya que dichos documentos se constituyen en requisitos para la ejecución y pago de las obligaciones que se estipularon y reconocieron en esta. Para reconocer y pagar las obras extras o las revisiones o ajustes derivadas de las transacciones en la liquidación, primero debe obtenerse un CDP con saldo disponible y luego tramitar </w:t>
      </w:r>
      <w:r w:rsidRPr="00B8272B">
        <w:rPr>
          <w:rFonts w:ascii="Verdana" w:eastAsia="Times New Roman" w:hAnsi="Verdana" w:cs="Arial"/>
          <w:color w:val="000000"/>
          <w:bdr w:val="none" w:sz="0" w:space="0" w:color="auto" w:frame="1"/>
          <w:shd w:val="clear" w:color="auto" w:fill="FFFFFF"/>
          <w:lang w:val="es-ES" w:eastAsia="es-ES_tradnl"/>
        </w:rPr>
        <w:lastRenderedPageBreak/>
        <w:t xml:space="preserve">el RP. </w:t>
      </w:r>
      <w:r w:rsidRPr="00B8272B">
        <w:rPr>
          <w:rFonts w:ascii="Verdana" w:eastAsia="Calibri" w:hAnsi="Verdana" w:cs="Arial"/>
          <w:color w:val="000000" w:themeColor="text1"/>
          <w:lang w:val="es-ES"/>
        </w:rPr>
        <w:t xml:space="preserve">En tal sentido, de conformidad con </w:t>
      </w:r>
      <w:r w:rsidRPr="00B8272B">
        <w:rPr>
          <w:rFonts w:ascii="Verdana" w:eastAsia="Arial MT" w:hAnsi="Verdana" w:cs="Arial"/>
          <w:color w:val="000000" w:themeColor="text1"/>
          <w:sz w:val="21"/>
          <w:szCs w:val="21"/>
          <w:lang w:val="es-ES"/>
        </w:rPr>
        <w:t>la Ley 80 de 1993</w:t>
      </w:r>
      <w:r w:rsidRPr="00B8272B">
        <w:rPr>
          <w:rFonts w:ascii="Verdana" w:eastAsia="Arial MT" w:hAnsi="Verdana" w:cs="Arial"/>
          <w:color w:val="000000" w:themeColor="text1"/>
          <w:sz w:val="21"/>
          <w:szCs w:val="21"/>
          <w:vertAlign w:val="superscript"/>
          <w:lang w:val="es-ES"/>
        </w:rPr>
        <w:footnoteReference w:id="53"/>
      </w:r>
      <w:r w:rsidRPr="00B8272B">
        <w:rPr>
          <w:rFonts w:ascii="Verdana" w:eastAsia="Arial MT" w:hAnsi="Verdana" w:cs="Arial"/>
          <w:color w:val="000000" w:themeColor="text1"/>
          <w:sz w:val="21"/>
          <w:szCs w:val="21"/>
          <w:lang w:val="es-ES"/>
        </w:rPr>
        <w:t xml:space="preserve"> y el Estatuto Orgánico de Presupuesto</w:t>
      </w:r>
      <w:r w:rsidRPr="00B8272B">
        <w:rPr>
          <w:rFonts w:ascii="Verdana" w:eastAsia="Arial MT" w:hAnsi="Verdana" w:cs="Arial"/>
          <w:color w:val="000000" w:themeColor="text1"/>
          <w:sz w:val="21"/>
          <w:szCs w:val="21"/>
          <w:vertAlign w:val="superscript"/>
          <w:lang w:val="es-ES"/>
        </w:rPr>
        <w:footnoteReference w:id="54"/>
      </w:r>
      <w:r w:rsidRPr="00B8272B">
        <w:rPr>
          <w:rFonts w:ascii="Verdana" w:eastAsia="Arial MT" w:hAnsi="Verdana" w:cs="Arial"/>
          <w:color w:val="000000" w:themeColor="text1"/>
          <w:sz w:val="21"/>
          <w:szCs w:val="21"/>
          <w:lang w:val="es-ES"/>
        </w:rPr>
        <w:t>,</w:t>
      </w:r>
      <w:r w:rsidRPr="00B8272B">
        <w:rPr>
          <w:rFonts w:ascii="Verdana" w:eastAsia="Calibri" w:hAnsi="Verdana" w:cs="Arial"/>
          <w:bCs/>
          <w:color w:val="000000" w:themeColor="text1"/>
          <w:lang w:val="es-ES"/>
        </w:rPr>
        <w:t xml:space="preserve"> las entidades estatales tienen el deber de contar con la disponibilidad de recursos para asumir gastos u obligaciones. Esta obligación es una expresión del principio de legalidad del gasto público que se enmarca en el mandato constitucional de la legalidad de las actuaciones públicas y que permea todo el régimen regulado por el</w:t>
      </w:r>
      <w:r w:rsidRPr="00B8272B">
        <w:rPr>
          <w:rFonts w:ascii="Verdana" w:eastAsia="Calibri" w:hAnsi="Verdana" w:cs="Arial"/>
          <w:color w:val="000000" w:themeColor="text1"/>
          <w:lang w:val="es-ES"/>
        </w:rPr>
        <w:t xml:space="preserve"> Estatuto Orgánico del Presupuesto</w:t>
      </w:r>
      <w:r w:rsidRPr="00B8272B">
        <w:rPr>
          <w:rFonts w:ascii="Verdana" w:eastAsia="Calibri" w:hAnsi="Verdana" w:cs="Arial"/>
          <w:bCs/>
          <w:color w:val="000000" w:themeColor="text1"/>
          <w:lang w:val="es-ES"/>
        </w:rPr>
        <w:t xml:space="preserve">. </w:t>
      </w:r>
    </w:p>
    <w:p w14:paraId="50E46A10" w14:textId="77777777" w:rsidR="002707E7" w:rsidRPr="00B8272B" w:rsidRDefault="002707E7" w:rsidP="002707E7">
      <w:pPr>
        <w:spacing w:after="120" w:line="276" w:lineRule="auto"/>
        <w:ind w:firstLine="709"/>
        <w:jc w:val="both"/>
        <w:rPr>
          <w:rFonts w:ascii="Verdana" w:eastAsia="Calibri" w:hAnsi="Verdana" w:cs="Arial"/>
          <w:color w:val="000000" w:themeColor="text1"/>
          <w:lang w:val="es-ES"/>
        </w:rPr>
      </w:pPr>
      <w:r w:rsidRPr="00B8272B">
        <w:rPr>
          <w:rFonts w:ascii="Verdana" w:eastAsia="Calibri" w:hAnsi="Verdana" w:cs="Arial"/>
          <w:bCs/>
          <w:color w:val="000000" w:themeColor="text1"/>
          <w:lang w:val="es-ES"/>
        </w:rPr>
        <w:t xml:space="preserve">En este tipo de situaciones de reconocimientos y revisiones en la liquidación del contrato, su cumplimiento se refleja necesariamente mediante la expedición del </w:t>
      </w:r>
      <w:r w:rsidRPr="00B8272B">
        <w:rPr>
          <w:rFonts w:ascii="Verdana" w:eastAsia="Calibri" w:hAnsi="Verdana" w:cs="Arial"/>
          <w:color w:val="000000" w:themeColor="text1"/>
          <w:lang w:val="es-ES"/>
        </w:rPr>
        <w:t xml:space="preserve">Certificado de Disponibilidad Presupuestal </w:t>
      </w:r>
      <w:r w:rsidRPr="00B8272B">
        <w:rPr>
          <w:rFonts w:ascii="Verdana" w:eastAsia="Times New Roman" w:hAnsi="Verdana" w:cs="Arial"/>
          <w:color w:val="000000" w:themeColor="text1"/>
          <w:lang w:val="es-ES" w:eastAsia="es-ES_tradnl"/>
        </w:rPr>
        <w:t>–CDP-</w:t>
      </w:r>
      <w:r w:rsidRPr="00B8272B">
        <w:rPr>
          <w:rFonts w:ascii="Verdana" w:eastAsia="Calibri" w:hAnsi="Verdana" w:cs="Arial"/>
          <w:color w:val="000000" w:themeColor="text1"/>
          <w:lang w:val="es-ES"/>
        </w:rPr>
        <w:t xml:space="preserve"> de forma previa a que la entidad asuma obligaciones o compromisos de este tipo, como una garantía de la existencia de recursos suficientes para atender los gastos que serán asumidos por el Estado. Para el reconocimiento efectivo de las revisiones y ajustes en la liquidación del contrato se exige a la entidad estatal contar con un Registro Presupuestal –RP– que consiste en la certificación de apropiación de presupuesto con destino al cumplimiento de las obligaciones pecuniarias estipuladas, ya sea en el acta de liquidación bilateral, el acto administrativo que liquida unilateralmente el contrato, o el acto administrativo de ejecución que se limita a cumplir la decisión judicial que liquida el contrato. </w:t>
      </w:r>
    </w:p>
    <w:p w14:paraId="65C5CE2A" w14:textId="77777777" w:rsidR="002707E7" w:rsidRPr="00B8272B" w:rsidRDefault="002707E7" w:rsidP="002707E7">
      <w:pPr>
        <w:spacing w:after="120" w:line="276" w:lineRule="auto"/>
        <w:ind w:firstLine="709"/>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Con respecto a lo expuesto, es preciso recordar que las entidades sometidas a un régimen especial de contratación no están obligadas a la liquidación y, en efecto, no deben aplicar el artículo 60 de la Ley 80 de 1993 ni el artículo 11 de la Ley 1150 de 2007. Sin embargo, como se mencionó antes, podrán liquidar sus contratos bilateralmente cuando así lo pacten en el respectivo contrato en ejercicio de la autonomía de la voluntad. En estos supuestos, la jurisprudencia ha concluido que las reglas de decisión de la unificación de la Sección Tercera del 19 de noviembre de 2012 sobre la procedencia de la acción </w:t>
      </w:r>
      <w:r w:rsidRPr="00FC0260">
        <w:rPr>
          <w:rFonts w:ascii="Verdana" w:eastAsia="Calibri" w:hAnsi="Verdana" w:cs="Arial"/>
          <w:i/>
          <w:iCs/>
          <w:color w:val="000000" w:themeColor="text1"/>
          <w:lang w:val="es-ES"/>
        </w:rPr>
        <w:t>in rem verso</w:t>
      </w:r>
      <w:r w:rsidRPr="00B8272B">
        <w:rPr>
          <w:rFonts w:ascii="Verdana" w:eastAsia="Calibri" w:hAnsi="Verdana" w:cs="Arial"/>
          <w:color w:val="000000" w:themeColor="text1"/>
          <w:lang w:val="es-ES"/>
        </w:rPr>
        <w:t xml:space="preserve"> en materia contractual no son aplicables </w:t>
      </w:r>
      <w:r w:rsidRPr="00B8272B">
        <w:rPr>
          <w:rFonts w:ascii="Verdana" w:eastAsia="Calibri" w:hAnsi="Verdana" w:cs="Arial"/>
          <w:color w:val="000000" w:themeColor="text1"/>
          <w:lang w:val="es-ES"/>
        </w:rPr>
        <w:lastRenderedPageBreak/>
        <w:t>cuando el contrato se somete al derecho privado</w:t>
      </w:r>
      <w:r>
        <w:rPr>
          <w:rStyle w:val="FootnoteReference"/>
          <w:rFonts w:ascii="Verdana" w:eastAsia="Calibri" w:hAnsi="Verdana" w:cs="Arial"/>
          <w:color w:val="000000" w:themeColor="text1"/>
          <w:lang w:val="es-ES"/>
        </w:rPr>
        <w:footnoteReference w:id="55"/>
      </w:r>
      <w:r w:rsidRPr="00B8272B">
        <w:rPr>
          <w:rFonts w:ascii="Verdana" w:eastAsia="Calibri" w:hAnsi="Verdana" w:cs="Arial"/>
          <w:color w:val="000000" w:themeColor="text1"/>
          <w:lang w:val="es-ES"/>
        </w:rPr>
        <w:t>. Por otra parte, se advierte que con la precitada Sentencia de Unificación del 31 de julio de 2025,</w:t>
      </w:r>
      <w:r w:rsidRPr="00B8272B">
        <w:rPr>
          <w:lang w:val="es-ES"/>
        </w:rPr>
        <w:t xml:space="preserve"> </w:t>
      </w:r>
      <w:r w:rsidRPr="00B8272B">
        <w:rPr>
          <w:rFonts w:ascii="Verdana" w:eastAsia="Calibri" w:hAnsi="Verdana" w:cs="Arial"/>
          <w:color w:val="000000" w:themeColor="text1"/>
          <w:lang w:val="es-ES"/>
        </w:rPr>
        <w:t>la compensación del enriquecimiento sin justa causa ya no está condicionada a la subsunción en una lista de hipótesis fácticas previa y taxativamente definidas, sino que corresponde al juez, revisando los elementos sustantivos y el comportamiento de las partes, establecer la viabilidad de corregir el traslado patrimonial injustificado, con aplicación desde la ejecutoria de esa sentencia.</w:t>
      </w:r>
    </w:p>
    <w:p w14:paraId="7082FFBD" w14:textId="77777777" w:rsidR="002707E7" w:rsidRPr="00B8272B" w:rsidRDefault="002707E7" w:rsidP="002707E7">
      <w:pPr>
        <w:spacing w:after="120" w:line="276" w:lineRule="auto"/>
        <w:ind w:firstLine="709"/>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Sobre este punto, también se resalta que la competencia asignada a la jurisdicción contenciosa administrativa está determinada por el factor orgánico y no material, es decir, por la naturaleza pública o estatal de la entidad involucrada en el conflicto o litigio y no por el régimen legal aplicable a la actividad contractual. Lo anterior es concordante con el artículo 104 del Código de Procedimiento Administrativo y de lo Contencioso Administrativo, según el cual “se entiende por entidad pública todo órgano, organismo o entidad estatal, con independencia de su denominación; las sociedades o empresas en las que el Estado tenga una participación igual o superior al 50% de su capital; y los entes con aportes o participación estatal igual o superior al 50%”</w:t>
      </w:r>
    </w:p>
    <w:p w14:paraId="6C99F7BC" w14:textId="77777777" w:rsidR="002707E7" w:rsidRPr="00B8272B" w:rsidRDefault="002707E7" w:rsidP="002707E7">
      <w:pPr>
        <w:spacing w:after="120" w:line="276" w:lineRule="auto"/>
        <w:ind w:firstLine="709"/>
        <w:jc w:val="both"/>
        <w:rPr>
          <w:rFonts w:ascii="Verdana" w:eastAsia="Calibri" w:hAnsi="Verdana" w:cs="Arial"/>
          <w:bCs/>
          <w:lang w:val="es-ES" w:eastAsia="es-ES_tradnl"/>
        </w:rPr>
      </w:pPr>
      <w:r w:rsidRPr="00B8272B">
        <w:rPr>
          <w:rFonts w:ascii="Verdana" w:eastAsia="Calibri" w:hAnsi="Verdana" w:cs="Arial"/>
          <w:color w:val="000000" w:themeColor="text1"/>
          <w:lang w:val="es-ES"/>
        </w:rPr>
        <w:t xml:space="preserve">En virtud de lo expuesto, cuando se trate de una entidad sometida a un régimen especial, la liquidación no se rige por el artículo 60 de la Ley 80 ni por el artículo 11 de la Ley 1150, sino por lo que hayan dispuesto las partes en el contrato y lo que al respecto señale el manual de contratación. En este sentido,  la ejecución de mayores cantidades de ítems pactados se reconocen conforme a estas reglas y con los soportes que resulten procedentes para su acreditación y recibo a satisfacción. La forma en que la entidad proceda frente a estos supuestos se encuentra en todo caso sujeta al cumplimiento de los principios </w:t>
      </w:r>
      <w:r w:rsidRPr="00F23172">
        <w:rPr>
          <w:rFonts w:ascii="Verdana" w:eastAsia="Calibri" w:hAnsi="Verdana" w:cs="Arial"/>
          <w:bCs/>
          <w:lang w:val="es-ES" w:eastAsia="es-ES_tradnl"/>
        </w:rPr>
        <w:t>de la función administrativa y de la gestión fiscal (arts. 209 y 267 de la Constitución)</w:t>
      </w:r>
    </w:p>
    <w:p w14:paraId="69C1CDB9" w14:textId="77777777" w:rsidR="002707E7" w:rsidRPr="00B8272B" w:rsidRDefault="002707E7" w:rsidP="002707E7">
      <w:pPr>
        <w:spacing w:after="120" w:line="276" w:lineRule="auto"/>
        <w:ind w:firstLine="709"/>
        <w:jc w:val="both"/>
        <w:rPr>
          <w:rFonts w:ascii="Verdana" w:eastAsia="Calibri" w:hAnsi="Verdana" w:cs="Arial"/>
          <w:bCs/>
          <w:lang w:val="es-ES" w:eastAsia="es-ES_tradnl"/>
        </w:rPr>
      </w:pPr>
      <w:r w:rsidRPr="00B8272B">
        <w:rPr>
          <w:rFonts w:ascii="Verdana" w:eastAsia="Calibri" w:hAnsi="Verdana" w:cs="Arial"/>
          <w:bCs/>
          <w:lang w:val="es-ES" w:eastAsia="es-ES_tradnl"/>
        </w:rPr>
        <w:t xml:space="preserve">Lo expuesto anteriormente supone en el caso de su consulta que las circunstancias o mecanismos disponibles para “sanear” este tipo de situaciones dependen en gran medida del régimen contractual aplicable a la entidad. En el caso de las entidades exceptuadas del EGCAP se recuerda que no se encuentran obligadas a la liquidación y que </w:t>
      </w:r>
      <w:r w:rsidRPr="00B8272B">
        <w:rPr>
          <w:rFonts w:ascii="Verdana" w:hAnsi="Verdana"/>
          <w:lang w:val="es-ES"/>
        </w:rPr>
        <w:t>no resulta viable incorporar las cláusulas exorbitantes o excepcionales</w:t>
      </w:r>
      <w:r w:rsidRPr="00B8272B">
        <w:rPr>
          <w:rFonts w:ascii="Verdana" w:hAnsi="Verdana"/>
          <w:iCs/>
          <w:lang w:val="es-ES"/>
        </w:rPr>
        <w:t xml:space="preserve">, como la liquidación unilateral.  Sobre estas, tienen </w:t>
      </w:r>
      <w:r w:rsidRPr="00B8272B">
        <w:rPr>
          <w:rFonts w:ascii="Verdana" w:hAnsi="Verdana"/>
          <w:iCs/>
          <w:lang w:val="es-ES"/>
        </w:rPr>
        <w:lastRenderedPageBreak/>
        <w:t>la posibilidad de acudir a la autonomía de la voluntad para pactar su ejercicio, pero los actos a través de los cuales se materialice, derivado del ejercicio de la autonomía de la voluntad, no pueden ser equiparados a actos administrativos, sino que tendrán la naturaleza de actos contractuales. En este caso, la entidad no dispone de la liquidación unilateral o bilateral, salvo que se haya pactado y, e</w:t>
      </w:r>
      <w:r>
        <w:rPr>
          <w:rFonts w:ascii="Verdana" w:hAnsi="Verdana"/>
          <w:iCs/>
          <w:lang w:val="es-ES"/>
        </w:rPr>
        <w:t>n</w:t>
      </w:r>
      <w:r w:rsidRPr="00B8272B">
        <w:rPr>
          <w:rFonts w:ascii="Verdana" w:hAnsi="Verdana"/>
          <w:iCs/>
          <w:lang w:val="es-ES"/>
        </w:rPr>
        <w:t xml:space="preserve"> todo caso, en los términos que fije su manual y el contrato.</w:t>
      </w:r>
    </w:p>
    <w:p w14:paraId="4AFE17BC" w14:textId="77777777" w:rsidR="002707E7" w:rsidRPr="00B8272B" w:rsidRDefault="002707E7" w:rsidP="002707E7">
      <w:pPr>
        <w:spacing w:after="120" w:line="276" w:lineRule="auto"/>
        <w:ind w:firstLine="709"/>
        <w:jc w:val="both"/>
        <w:rPr>
          <w:rFonts w:ascii="Verdana" w:hAnsi="Verdana"/>
          <w:lang w:val="es-ES"/>
        </w:rPr>
      </w:pPr>
      <w:r w:rsidRPr="00B8272B">
        <w:rPr>
          <w:rFonts w:ascii="Verdana" w:hAnsi="Verdana"/>
          <w:i/>
          <w:iCs/>
          <w:lang w:val="es-ES"/>
        </w:rPr>
        <w:t>Tratándose de entidades sometidas al EGCAP</w:t>
      </w:r>
      <w:r w:rsidRPr="00B8272B">
        <w:rPr>
          <w:rFonts w:ascii="Verdana" w:hAnsi="Verdana"/>
          <w:lang w:val="es-ES"/>
        </w:rPr>
        <w:t xml:space="preserve">, de acuerdo con el artículo 46 de la Ley 80 de 1993, únicamente pueden sanearse por ratificación expresa los vicios de nulidad de relativa. Esto significa que, </w:t>
      </w:r>
      <w:r w:rsidRPr="00B8272B">
        <w:rPr>
          <w:rFonts w:ascii="Verdana" w:hAnsi="Verdana"/>
          <w:i/>
          <w:iCs/>
          <w:lang w:val="es-ES"/>
        </w:rPr>
        <w:t>contrario sensu</w:t>
      </w:r>
      <w:r w:rsidRPr="00B8272B">
        <w:rPr>
          <w:rFonts w:ascii="Verdana" w:hAnsi="Verdana"/>
          <w:lang w:val="es-ES"/>
        </w:rPr>
        <w:t xml:space="preserve">, las causales de nulidad absoluta son insaneables y, por tanto, no pueden ratificarse. Como las </w:t>
      </w:r>
      <w:r w:rsidRPr="00B8272B">
        <w:rPr>
          <w:rFonts w:ascii="Verdana" w:hAnsi="Verdana"/>
          <w:i/>
          <w:iCs/>
          <w:lang w:val="es-ES"/>
        </w:rPr>
        <w:t>entidades de régimen exceptuado</w:t>
      </w:r>
      <w:r w:rsidRPr="00B8272B">
        <w:rPr>
          <w:rFonts w:ascii="Verdana" w:hAnsi="Verdana"/>
          <w:lang w:val="es-ES"/>
        </w:rPr>
        <w:t xml:space="preserve"> no son destinatarias del Estatuto General de Contratación, para el saneamiento deben tenerse en cuenta los artículos 1742 y 1743 del Código Civil: estas normas permiten la ratificación de las nulidades absolutas no generadas por objeto y causa ilícitos, así como de las causales de nulidad relativa</w:t>
      </w:r>
      <w:r w:rsidRPr="00B8272B">
        <w:rPr>
          <w:rStyle w:val="FootnoteReference"/>
          <w:rFonts w:ascii="Verdana" w:hAnsi="Verdana"/>
          <w:lang w:val="es-ES"/>
        </w:rPr>
        <w:footnoteReference w:id="56"/>
      </w:r>
      <w:r w:rsidRPr="00B8272B">
        <w:rPr>
          <w:rFonts w:ascii="Verdana" w:hAnsi="Verdana"/>
          <w:lang w:val="es-ES"/>
        </w:rPr>
        <w:t xml:space="preserve">.   </w:t>
      </w:r>
    </w:p>
    <w:p w14:paraId="10E165DC" w14:textId="77777777" w:rsidR="002707E7" w:rsidRPr="00B8272B" w:rsidRDefault="002707E7" w:rsidP="002707E7">
      <w:pPr>
        <w:spacing w:after="120" w:line="276" w:lineRule="auto"/>
        <w:ind w:firstLine="709"/>
        <w:jc w:val="both"/>
        <w:rPr>
          <w:rFonts w:ascii="Verdana" w:eastAsia="Calibri" w:hAnsi="Verdana" w:cs="Arial"/>
          <w:bCs/>
          <w:lang w:val="es-ES" w:eastAsia="es-ES_tradnl"/>
        </w:rPr>
      </w:pPr>
      <w:r w:rsidRPr="00B8272B">
        <w:rPr>
          <w:rFonts w:ascii="Verdana" w:hAnsi="Verdana"/>
          <w:lang w:val="es-ES"/>
        </w:rPr>
        <w:t xml:space="preserve">Para efectos de ambos regímenes, la ratificación expresa se realiza conforme al artículo 1753 del Código Civil y, en consecuencia, deberá hacerse con las solemnidades a que están sujetos los actos o contratos que se ratifican para que sea válida. Dicha norma aplica por remisión de los artículos 13, 32 y 40 de la Ley 80 de 1993 a las </w:t>
      </w:r>
      <w:r w:rsidRPr="00B8272B">
        <w:rPr>
          <w:rFonts w:ascii="Verdana" w:hAnsi="Verdana"/>
          <w:i/>
          <w:iCs/>
          <w:lang w:val="es-ES"/>
        </w:rPr>
        <w:t>entidades sometidas</w:t>
      </w:r>
      <w:r w:rsidRPr="00B8272B">
        <w:rPr>
          <w:rFonts w:ascii="Verdana" w:hAnsi="Verdana"/>
          <w:lang w:val="es-ES"/>
        </w:rPr>
        <w:t xml:space="preserve">, pues el artículo 42 del EGCAP no establece en qué condiciones se ratifica expresamente el acto viciado de nulidad relativa. Asimismo, aplica de manera directa a los contratos civiles de las </w:t>
      </w:r>
      <w:r w:rsidRPr="00B8272B">
        <w:rPr>
          <w:rFonts w:ascii="Verdana" w:hAnsi="Verdana"/>
          <w:i/>
          <w:iCs/>
          <w:lang w:val="es-ES"/>
        </w:rPr>
        <w:t>entidades exceptuadas</w:t>
      </w:r>
      <w:r w:rsidRPr="00B8272B">
        <w:rPr>
          <w:rFonts w:ascii="Verdana" w:hAnsi="Verdana"/>
          <w:lang w:val="es-ES"/>
        </w:rPr>
        <w:t xml:space="preserve">. Ello sin perjuicio de que, por remisión del artículo 822 del Código de Comercio, se extienda también a los contratos mercantiles. En este último caso, la Agencia considera inaplicable la ratificación expresa </w:t>
      </w:r>
      <w:r w:rsidRPr="00B8272B">
        <w:rPr>
          <w:rFonts w:ascii="Verdana" w:hAnsi="Verdana"/>
          <w:lang w:val="es-ES"/>
        </w:rPr>
        <w:lastRenderedPageBreak/>
        <w:t xml:space="preserve">prevista en el artículo 898 </w:t>
      </w:r>
      <w:r w:rsidRPr="00B8272B">
        <w:rPr>
          <w:rFonts w:ascii="Verdana" w:hAnsi="Verdana"/>
          <w:i/>
          <w:iCs/>
          <w:lang w:val="es-ES"/>
        </w:rPr>
        <w:t>ibidem</w:t>
      </w:r>
      <w:r w:rsidRPr="00B8272B">
        <w:rPr>
          <w:rFonts w:ascii="Verdana" w:hAnsi="Verdana"/>
          <w:lang w:val="es-ES"/>
        </w:rPr>
        <w:t>, pues se refiere al fenómeno de la inexistencia, no al de la nulidad</w:t>
      </w:r>
      <w:r w:rsidRPr="00B8272B">
        <w:rPr>
          <w:rStyle w:val="FootnoteReference"/>
          <w:rFonts w:ascii="Verdana" w:hAnsi="Verdana"/>
          <w:lang w:val="es-ES"/>
        </w:rPr>
        <w:footnoteReference w:id="57"/>
      </w:r>
      <w:r w:rsidRPr="00B8272B">
        <w:rPr>
          <w:rFonts w:ascii="Verdana" w:hAnsi="Verdana"/>
          <w:lang w:val="es-ES"/>
        </w:rPr>
        <w:t xml:space="preserve">.    </w:t>
      </w:r>
    </w:p>
    <w:p w14:paraId="320D653E" w14:textId="77777777" w:rsidR="002707E7" w:rsidRPr="00B8272B" w:rsidRDefault="002707E7" w:rsidP="002707E7">
      <w:pPr>
        <w:spacing w:after="120" w:line="276" w:lineRule="auto"/>
        <w:ind w:firstLine="709"/>
        <w:jc w:val="both"/>
        <w:rPr>
          <w:rFonts w:ascii="Verdana" w:eastAsia="Calibri" w:hAnsi="Verdana" w:cs="Arial"/>
          <w:bCs/>
          <w:lang w:val="es-ES" w:eastAsia="es-ES_tradnl"/>
        </w:rPr>
      </w:pPr>
      <w:r w:rsidRPr="00B8272B">
        <w:rPr>
          <w:rFonts w:ascii="Verdana" w:eastAsia="Calibri" w:hAnsi="Verdana" w:cs="Times New Roman"/>
          <w:lang w:val="es-ES"/>
        </w:rPr>
        <w:t xml:space="preserve">Respecto a la adición de los contratos por parte de las entidades de régimen especial, se resalta que son sus manuales de contratación los que eventualmente podrían establecer las formas y límites de la adición de los contratos, en caso de que se establezca alguna regulación al respecto, pues a ellas no le resultan aplicables las disposiciones establecidas en esta materia en el Estatuto General de Contratación de la Administración Pública. De esta manera, ante los supuestos objeto de consulta corresponde </w:t>
      </w:r>
      <w:r w:rsidRPr="00B8272B">
        <w:rPr>
          <w:rFonts w:ascii="Verdana" w:eastAsia="Calibri" w:hAnsi="Verdana" w:cs="Arial"/>
          <w:bCs/>
          <w:lang w:val="es-ES" w:eastAsia="es-ES_tradnl"/>
        </w:rPr>
        <w:t>verificar en el manual si lo ejecutado se encontraba dentro del alcance del contrato o si requería de una modificación contractual, o la suscripción de un nuevo negocio jurídico; si requería modificación previa y no la hubo, es necesario considerar la validez del acto conforme a los artículos 1742, 1743 y 1753 del Código Civil, con la advertencia de que las nulidades por objeto o causa ilícitos son insaneables.</w:t>
      </w:r>
    </w:p>
    <w:p w14:paraId="46F1B777" w14:textId="77777777" w:rsidR="002707E7" w:rsidRPr="00B8272B" w:rsidRDefault="002707E7" w:rsidP="002707E7">
      <w:pPr>
        <w:spacing w:after="0" w:line="276" w:lineRule="auto"/>
        <w:ind w:firstLine="709"/>
        <w:jc w:val="both"/>
        <w:rPr>
          <w:rFonts w:ascii="Verdana" w:eastAsia="Calibri" w:hAnsi="Verdana" w:cs="Arial"/>
          <w:bCs/>
          <w:lang w:val="es-ES" w:eastAsia="es-ES_tradnl"/>
        </w:rPr>
      </w:pPr>
      <w:r w:rsidRPr="00B8272B">
        <w:rPr>
          <w:rFonts w:ascii="Verdana" w:eastAsia="Calibri" w:hAnsi="Verdana" w:cs="Arial"/>
          <w:bCs/>
          <w:lang w:val="es-ES" w:eastAsia="es-ES_tradnl"/>
        </w:rPr>
        <w:t>La especialidad del régimen contractual también incidirá en los soportes que puede exigir la entidad en la validación de las “ejecuciones adicionales” a las cuales se refiere en su consulta. Será necesario establecer conforme a la normativa aplicable a la entidad, su manual de contratación y lo pactado en el contrato cuáles son los soportes que debía presentar el contratista y validar la entidad, así como los requisitos particulares que deben satisfacer los documentos. Lo anterior, sin perjuicio de las reglas mínimas que deben incorporar dichos manuales con el fin de garantizar el cumplimiento de los principios de la función administrativa y el control fiscal, lo cual se traduce en trazabilidad documental de lo ejecutado</w:t>
      </w:r>
      <w:r w:rsidRPr="00B8272B">
        <w:rPr>
          <w:rStyle w:val="FootnoteReference"/>
          <w:rFonts w:ascii="Verdana" w:eastAsia="Calibri" w:hAnsi="Verdana" w:cs="Arial"/>
          <w:bCs/>
          <w:lang w:val="es-ES" w:eastAsia="es-ES_tradnl"/>
        </w:rPr>
        <w:footnoteReference w:id="58"/>
      </w:r>
      <w:r w:rsidRPr="00B8272B">
        <w:rPr>
          <w:rFonts w:ascii="Verdana" w:eastAsia="Calibri" w:hAnsi="Verdana" w:cs="Arial"/>
          <w:bCs/>
          <w:lang w:val="es-ES" w:eastAsia="es-ES_tradnl"/>
        </w:rPr>
        <w:t>.</w:t>
      </w:r>
    </w:p>
    <w:p w14:paraId="4218360F" w14:textId="77777777" w:rsidR="002707E7" w:rsidRPr="00B8272B" w:rsidRDefault="002707E7" w:rsidP="002707E7">
      <w:pPr>
        <w:spacing w:after="0" w:line="276" w:lineRule="auto"/>
        <w:ind w:firstLine="709"/>
        <w:jc w:val="both"/>
        <w:rPr>
          <w:rFonts w:ascii="Verdana" w:eastAsia="Calibri" w:hAnsi="Verdana" w:cs="Arial"/>
          <w:bCs/>
          <w:lang w:val="es-ES" w:eastAsia="es-ES_tradnl"/>
        </w:rPr>
      </w:pPr>
    </w:p>
    <w:p w14:paraId="35DEB185" w14:textId="5D35FB39" w:rsidR="002707E7" w:rsidRPr="00B8272B" w:rsidRDefault="002707E7" w:rsidP="002707E7">
      <w:pPr>
        <w:spacing w:after="120" w:line="276" w:lineRule="auto"/>
        <w:jc w:val="both"/>
        <w:rPr>
          <w:rFonts w:ascii="Verdana" w:eastAsia="Calibri" w:hAnsi="Verdana" w:cs="Arial"/>
          <w:color w:val="000000"/>
          <w:lang w:val="es-ES"/>
        </w:rPr>
      </w:pPr>
      <w:r w:rsidRPr="00DD6D95">
        <w:rPr>
          <w:rFonts w:ascii="Verdana" w:eastAsia="Calibri" w:hAnsi="Verdana" w:cs="Arial"/>
          <w:color w:val="000000" w:themeColor="text1"/>
          <w:lang w:val="es-ES"/>
        </w:rPr>
        <w:t>vi</w:t>
      </w:r>
      <w:r w:rsidR="0052363C" w:rsidRPr="00DD6D95">
        <w:rPr>
          <w:rFonts w:ascii="Verdana" w:eastAsia="Calibri" w:hAnsi="Verdana" w:cs="Arial"/>
          <w:color w:val="000000" w:themeColor="text1"/>
          <w:lang w:val="es-ES"/>
        </w:rPr>
        <w:t>.</w:t>
      </w:r>
      <w:r w:rsidRPr="00B8272B">
        <w:rPr>
          <w:rFonts w:ascii="Verdana" w:eastAsia="Calibri" w:hAnsi="Verdana" w:cs="Arial"/>
          <w:color w:val="000000" w:themeColor="text1"/>
          <w:lang w:val="es-ES"/>
        </w:rPr>
        <w:t xml:space="preserve"> Con respecto a la responsabilidad de los distintos agentes que intervienen en los procesos de contratación, es preciso aclarar que esta se determina en cada caso concreto con arreglo al régimen disciplinario, de responsabilidad fiscal o </w:t>
      </w:r>
      <w:r w:rsidRPr="00B8272B">
        <w:rPr>
          <w:rFonts w:ascii="Verdana" w:eastAsia="Calibri" w:hAnsi="Verdana" w:cs="Arial"/>
          <w:color w:val="000000" w:themeColor="text1"/>
          <w:lang w:val="es-ES"/>
        </w:rPr>
        <w:lastRenderedPageBreak/>
        <w:t>penal correspondiente. Sobre el principio de responsabilidad, el artículo 26 de la Ley 80 de 1993 dispone que:</w:t>
      </w:r>
    </w:p>
    <w:p w14:paraId="3B4D0D83" w14:textId="77777777" w:rsidR="002707E7" w:rsidRPr="00B8272B" w:rsidRDefault="002707E7" w:rsidP="002707E7">
      <w:pPr>
        <w:spacing w:after="0" w:line="240" w:lineRule="auto"/>
        <w:ind w:left="709" w:right="709"/>
        <w:jc w:val="both"/>
        <w:rPr>
          <w:rFonts w:ascii="Verdana" w:eastAsia="Verdana" w:hAnsi="Verdana" w:cs="Verdana"/>
          <w:b/>
          <w:bCs/>
          <w:sz w:val="20"/>
          <w:szCs w:val="20"/>
          <w:lang w:val="es-ES"/>
        </w:rPr>
      </w:pPr>
    </w:p>
    <w:p w14:paraId="160C3E66"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“Artículo 26. Del principio de responsabilidad.</w:t>
      </w:r>
      <w:r w:rsidRPr="00B8272B">
        <w:rPr>
          <w:rFonts w:ascii="Verdana" w:eastAsia="Verdana" w:hAnsi="Verdana" w:cs="Verdana"/>
          <w:b/>
          <w:bCs/>
          <w:sz w:val="20"/>
          <w:szCs w:val="20"/>
          <w:lang w:val="es-ES"/>
        </w:rPr>
        <w:t> </w:t>
      </w:r>
      <w:r w:rsidRPr="00B8272B">
        <w:rPr>
          <w:rFonts w:ascii="Verdana" w:eastAsia="Verdana" w:hAnsi="Verdana" w:cs="Verdana"/>
          <w:sz w:val="20"/>
          <w:szCs w:val="20"/>
          <w:lang w:val="es-ES"/>
        </w:rPr>
        <w:t>En virtud de este principio: </w:t>
      </w:r>
    </w:p>
    <w:p w14:paraId="6EC2806E"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1o. Los servidores públicos están obligados a buscar el cumplimiento de los fines de la contratación, a vigilar la correcta ejecución del objeto contratado y a proteger los derechos de la entidad, del contratista y de los terceros que puedan verse afectados por la ejecución del contrato. </w:t>
      </w:r>
    </w:p>
    <w:p w14:paraId="36C5F0B3"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2o. Los servidores públicos responderán por sus actuaciones y omisiones antijurídicas y deberán indemnizar los daños que se causen por razón de ellas. </w:t>
      </w:r>
    </w:p>
    <w:p w14:paraId="62AFDCDD"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3o. Las entidades y los servidores públicos, responderán cuando hubieren abierto licitaciones o concursos sin haber elaborado previamente los correspondientes pliegos de condiciones, términos de referencia, diseños, estudios, planos y evaluaciones que fueren necesarios, o cuando los pliegos de condiciones o términos de referencia hayan sido elaborados en forma incompleta, ambigua o confusa que conduzcan a interpretaciones o decisiones de carácter subjetivo por parte de aquellos. </w:t>
      </w:r>
    </w:p>
    <w:p w14:paraId="0FB90253"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4o. Las actuaciones de los servidores públicos estarán presididas por las reglas sobre administración de bienes ajenos y por los mandatos y postulados que gobiernan una conducta ajustada a la ética y a la justicia. </w:t>
      </w:r>
    </w:p>
    <w:p w14:paraId="479ADD2E"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5o. La responsabilidad de la dirección y manejo de la actividad contractual y la de los procesos de selección será del jefe o representante de la entidad estatal quien no podrá trasladarla a las juntas o consejos directivos de la entidad, ni a las corporaciones de elección popular, a los comités asesores, ni a los organismos de control y vigilancia de la misma. </w:t>
      </w:r>
    </w:p>
    <w:p w14:paraId="1B23FBF0"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6o. Los contratistas responderán cuando formulen propuestas en las que se fijen condiciones económicas y de contratación artificialmente bajas con el propósito de obtener la adjudicación del contrato. </w:t>
      </w:r>
    </w:p>
    <w:p w14:paraId="4E84F1F0"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7o. Los contratistas responderán por haber ocultado al contratar, inhabilidades, incompatibilidades o prohibiciones, o por haber suministrado información falsa. </w:t>
      </w:r>
    </w:p>
    <w:p w14:paraId="5D427687" w14:textId="77777777" w:rsidR="002707E7" w:rsidRPr="00B8272B" w:rsidRDefault="002707E7" w:rsidP="002707E7">
      <w:pPr>
        <w:spacing w:after="0" w:line="240" w:lineRule="auto"/>
        <w:ind w:left="709" w:right="709"/>
        <w:jc w:val="both"/>
        <w:rPr>
          <w:rFonts w:ascii="Verdana" w:eastAsia="Verdana" w:hAnsi="Verdana" w:cs="Verdana"/>
          <w:sz w:val="20"/>
          <w:szCs w:val="20"/>
          <w:lang w:val="es-ES"/>
        </w:rPr>
      </w:pPr>
      <w:r w:rsidRPr="00B8272B">
        <w:rPr>
          <w:rFonts w:ascii="Verdana" w:eastAsia="Verdana" w:hAnsi="Verdana" w:cs="Verdana"/>
          <w:sz w:val="20"/>
          <w:szCs w:val="20"/>
          <w:lang w:val="es-ES"/>
        </w:rPr>
        <w:t>8o. Los contratistas responderán y la entidad velará por la buena calidad del objeto contratado”. </w:t>
      </w:r>
    </w:p>
    <w:p w14:paraId="59C9F9ED" w14:textId="77777777" w:rsidR="002707E7" w:rsidRPr="00B8272B" w:rsidRDefault="002707E7" w:rsidP="002707E7">
      <w:pPr>
        <w:spacing w:after="0"/>
        <w:jc w:val="both"/>
        <w:rPr>
          <w:rFonts w:ascii="Verdana" w:eastAsia="Verdana" w:hAnsi="Verdana" w:cs="Verdana"/>
          <w:lang w:val="es-ES"/>
        </w:rPr>
      </w:pPr>
    </w:p>
    <w:p w14:paraId="3485CD9E" w14:textId="77777777" w:rsidR="002707E7" w:rsidRPr="00B8272B" w:rsidRDefault="002707E7" w:rsidP="002707E7">
      <w:pPr>
        <w:spacing w:after="0"/>
        <w:ind w:firstLine="709"/>
        <w:jc w:val="both"/>
        <w:rPr>
          <w:rFonts w:ascii="Verdana" w:eastAsia="Verdana" w:hAnsi="Verdana" w:cs="Verdana"/>
          <w:lang w:val="es-ES"/>
        </w:rPr>
      </w:pPr>
      <w:r w:rsidRPr="00B8272B">
        <w:rPr>
          <w:rFonts w:ascii="Verdana" w:eastAsia="Verdana" w:hAnsi="Verdana" w:cs="Verdana"/>
          <w:lang w:val="es-ES"/>
        </w:rPr>
        <w:t>Adicionalmente, los artículos 50 al 59 de la Ley 80 de 1993 establecen los parámetros que rigen la responsabilidad en materia de contratación estatal así:</w:t>
      </w:r>
    </w:p>
    <w:p w14:paraId="0C2DFC0C" w14:textId="77777777" w:rsidR="002707E7" w:rsidRPr="00B8272B" w:rsidRDefault="002707E7" w:rsidP="002707E7">
      <w:pPr>
        <w:spacing w:after="0"/>
        <w:jc w:val="both"/>
        <w:rPr>
          <w:rFonts w:ascii="Verdana" w:eastAsia="Verdana" w:hAnsi="Verdana" w:cs="Verdana"/>
          <w:lang w:val="es-ES"/>
        </w:rPr>
      </w:pPr>
    </w:p>
    <w:p w14:paraId="5B2AFD13" w14:textId="77777777" w:rsidR="002707E7" w:rsidRPr="00B8272B" w:rsidRDefault="002707E7" w:rsidP="002707E7">
      <w:pPr>
        <w:spacing w:after="0" w:line="276" w:lineRule="auto"/>
        <w:ind w:firstLine="709"/>
        <w:jc w:val="both"/>
        <w:rPr>
          <w:rFonts w:ascii="Verdana" w:eastAsia="Verdana" w:hAnsi="Verdana" w:cs="Verdana"/>
          <w:lang w:val="es-ES"/>
        </w:rPr>
      </w:pPr>
      <w:r w:rsidRPr="00B8272B">
        <w:rPr>
          <w:rFonts w:ascii="Verdana" w:eastAsia="Verdana" w:hAnsi="Verdana" w:cs="Verdana"/>
          <w:lang w:val="es-ES"/>
        </w:rPr>
        <w:t>1) Las entidades contratantes: responderán por las actuaciones, abstenciones, hechos y omisiones antijurídicos que les sean imputables y que causen perjuicios a sus contratistas. Lo anterior dará lugar a su indemnización (artículo 50).</w:t>
      </w:r>
    </w:p>
    <w:p w14:paraId="1B3B9BE5" w14:textId="77777777" w:rsidR="002707E7" w:rsidRPr="00B8272B" w:rsidRDefault="002707E7" w:rsidP="002707E7">
      <w:pPr>
        <w:spacing w:before="120" w:after="0" w:line="276" w:lineRule="auto"/>
        <w:ind w:firstLine="709"/>
        <w:jc w:val="both"/>
        <w:rPr>
          <w:rFonts w:ascii="Verdana" w:eastAsia="Verdana" w:hAnsi="Verdana" w:cs="Verdana"/>
          <w:lang w:val="es-ES"/>
        </w:rPr>
      </w:pPr>
      <w:r w:rsidRPr="00B8272B">
        <w:rPr>
          <w:rFonts w:ascii="Verdana" w:eastAsia="Verdana" w:hAnsi="Verdana" w:cs="Verdana"/>
          <w:lang w:val="es-ES"/>
        </w:rPr>
        <w:lastRenderedPageBreak/>
        <w:t>2) Los servidores públicos:  responderán disciplinaria, civil y penalmente por sus acciones y omisiones en la actuación contractual en los términos de la Constitución y de la ley (artículo 51).</w:t>
      </w:r>
    </w:p>
    <w:p w14:paraId="58D8596F" w14:textId="77777777" w:rsidR="002707E7" w:rsidRPr="00B8272B" w:rsidRDefault="002707E7" w:rsidP="002707E7">
      <w:pPr>
        <w:spacing w:before="120" w:after="0" w:line="276" w:lineRule="auto"/>
        <w:ind w:firstLine="709"/>
        <w:jc w:val="both"/>
        <w:rPr>
          <w:rFonts w:ascii="Verdana" w:eastAsia="Verdana" w:hAnsi="Verdana" w:cs="Verdana"/>
          <w:lang w:val="es-ES"/>
        </w:rPr>
      </w:pPr>
      <w:r w:rsidRPr="00B8272B">
        <w:rPr>
          <w:rFonts w:ascii="Verdana" w:eastAsia="Verdana" w:hAnsi="Verdana" w:cs="Verdana"/>
          <w:lang w:val="es-ES"/>
        </w:rPr>
        <w:t xml:space="preserve">3) Los contratistas del Estado: </w:t>
      </w:r>
      <w:r w:rsidRPr="00B8272B">
        <w:rPr>
          <w:rFonts w:ascii="Verdana" w:hAnsi="Verdana" w:cs="Arial"/>
          <w:color w:val="000000"/>
          <w:lang w:val="es-ES"/>
        </w:rPr>
        <w:t xml:space="preserve">responderán civil y penalmente por sus acciones y omisiones en la actuación contractual en los términos de la ley </w:t>
      </w:r>
      <w:r w:rsidRPr="00B8272B">
        <w:rPr>
          <w:rFonts w:ascii="Verdana" w:eastAsia="Verdana" w:hAnsi="Verdana" w:cs="Verdana"/>
          <w:lang w:val="es-ES"/>
        </w:rPr>
        <w:t>(artículo 52).</w:t>
      </w:r>
    </w:p>
    <w:p w14:paraId="7EEBEED5" w14:textId="77777777" w:rsidR="002707E7" w:rsidRPr="00B8272B" w:rsidRDefault="002707E7" w:rsidP="002707E7">
      <w:pPr>
        <w:spacing w:before="120" w:after="0" w:line="276" w:lineRule="auto"/>
        <w:ind w:firstLine="709"/>
        <w:jc w:val="both"/>
        <w:rPr>
          <w:rFonts w:ascii="Verdana" w:hAnsi="Verdana" w:cs="Arial"/>
          <w:color w:val="000000"/>
          <w:lang w:val="es-ES"/>
        </w:rPr>
      </w:pPr>
      <w:r w:rsidRPr="00B8272B">
        <w:rPr>
          <w:rFonts w:ascii="Verdana" w:eastAsia="Verdana" w:hAnsi="Verdana" w:cs="Verdana"/>
          <w:lang w:val="es-ES"/>
        </w:rPr>
        <w:t>4)</w:t>
      </w:r>
      <w:r w:rsidRPr="00B8272B">
        <w:rPr>
          <w:rFonts w:ascii="Verdana" w:hAnsi="Verdana" w:cs="Arial"/>
          <w:color w:val="000000"/>
          <w:lang w:val="es-ES"/>
        </w:rPr>
        <w:t> Los</w:t>
      </w:r>
      <w:r w:rsidRPr="00B8272B">
        <w:rPr>
          <w:rFonts w:ascii="Verdana" w:hAnsi="Verdana" w:cs="Arial"/>
          <w:b/>
          <w:bCs/>
          <w:color w:val="000000"/>
          <w:lang w:val="es-ES"/>
        </w:rPr>
        <w:t xml:space="preserve"> </w:t>
      </w:r>
      <w:r w:rsidRPr="00B8272B">
        <w:rPr>
          <w:rFonts w:ascii="Verdana" w:hAnsi="Verdana" w:cs="Arial"/>
          <w:color w:val="000000"/>
          <w:lang w:val="es-ES"/>
        </w:rPr>
        <w:t>consultores y asesores externos: responderán civil, fiscal, penal y disciplinariamente tanto por el cumplimiento de las obligaciones derivadas del contrato de consultoría o asesoría, como por los hechos u omisiones que les fueren imputables constitutivos de incumplimiento de las obligaciones correspondientes a tales contratos y que causen daño o perjuicio a las entidades, derivados de la celebración y ejecución de contratos respecto de los cuales hayan ejercido o ejerzan las actividades de consultoría o asesoría incluyendo la etapa de liquidación de los mismos. </w:t>
      </w:r>
    </w:p>
    <w:p w14:paraId="3C3656B8" w14:textId="77777777" w:rsidR="002707E7" w:rsidRPr="00B8272B" w:rsidRDefault="002707E7" w:rsidP="002707E7">
      <w:pPr>
        <w:spacing w:before="120" w:after="0" w:line="276" w:lineRule="auto"/>
        <w:ind w:firstLine="709"/>
        <w:jc w:val="both"/>
        <w:rPr>
          <w:rFonts w:ascii="Verdana" w:hAnsi="Verdana" w:cs="Arial"/>
          <w:color w:val="000000"/>
          <w:lang w:val="es-ES"/>
        </w:rPr>
      </w:pPr>
      <w:r w:rsidRPr="00B8272B">
        <w:rPr>
          <w:rFonts w:ascii="Verdana" w:eastAsia="Times New Roman" w:hAnsi="Verdana" w:cs="Arial"/>
          <w:color w:val="000000"/>
          <w:lang w:val="es-ES" w:eastAsia="es-CO"/>
        </w:rPr>
        <w:t>Por su parte, los interventores, responderán civil, fiscal, penal y disciplinariamente, tanto por el cumplimiento de las obligaciones derivadas del contrato de interventoría, como por los hechos u omisiones que le sean imputables y causen daño o perjuicio a las entidades, derivados de la celebración y ejecución de los contratos respecto de los cuales hayan ejercido o ejerzan las funciones de interventoría, incluyendo la etapa de liquidación de los mismos</w:t>
      </w:r>
      <w:r w:rsidRPr="00B8272B">
        <w:rPr>
          <w:rFonts w:ascii="Verdana" w:hAnsi="Verdana" w:cs="Arial"/>
          <w:color w:val="000000"/>
          <w:lang w:val="es-ES"/>
        </w:rPr>
        <w:t>. (Artículo 53)</w:t>
      </w:r>
    </w:p>
    <w:p w14:paraId="0BA995B5" w14:textId="77777777" w:rsidR="002707E7" w:rsidRPr="00B8272B" w:rsidRDefault="002707E7" w:rsidP="002707E7">
      <w:pPr>
        <w:spacing w:before="120" w:after="0" w:line="276" w:lineRule="auto"/>
        <w:ind w:firstLine="709"/>
        <w:jc w:val="both"/>
        <w:rPr>
          <w:rFonts w:ascii="Verdana" w:eastAsia="Verdana" w:hAnsi="Verdana" w:cs="Verdana"/>
          <w:lang w:val="es-ES"/>
        </w:rPr>
      </w:pPr>
      <w:r w:rsidRPr="00B8272B">
        <w:rPr>
          <w:rFonts w:ascii="Verdana" w:hAnsi="Verdana" w:cs="Arial"/>
          <w:color w:val="000000"/>
          <w:lang w:val="es-ES"/>
        </w:rPr>
        <w:t>5) El artículo 56 aclara que para efectos penales, el contratista, el interventor, el consultor y el asesor se consideran particulares que cumplen funciones públicas en todo lo concerniente a la celebración, ejecución y liquidación de los contratos que celebren con las entidades estatales y, por lo tanto, estarán sujetos a la responsabilidad que en esa materia señala la ley para los servidores públicos. </w:t>
      </w:r>
    </w:p>
    <w:p w14:paraId="03E0F176" w14:textId="77777777" w:rsidR="002707E7" w:rsidRPr="00B8272B" w:rsidRDefault="002707E7" w:rsidP="002707E7">
      <w:pPr>
        <w:spacing w:before="120" w:after="0" w:line="276" w:lineRule="auto"/>
        <w:ind w:firstLine="709"/>
        <w:jc w:val="both"/>
        <w:rPr>
          <w:rFonts w:ascii="Verdana" w:eastAsia="Verdana" w:hAnsi="Verdana" w:cs="Verdana"/>
          <w:lang w:val="es-ES"/>
        </w:rPr>
      </w:pPr>
      <w:r w:rsidRPr="00B8272B">
        <w:rPr>
          <w:rFonts w:ascii="Verdana" w:eastAsia="Calibri" w:hAnsi="Verdana" w:cs="Arial"/>
          <w:color w:val="000000" w:themeColor="text1"/>
          <w:lang w:val="es-ES"/>
        </w:rPr>
        <w:t xml:space="preserve">En relación con la responsabilidad que tienen los contratistas por posibles incumplimientos, es necesario aclarar que los contratos estatales son acuerdos de voluntades que crean relaciones obligacionales. En estos, el contratista </w:t>
      </w:r>
      <w:r>
        <w:rPr>
          <w:rFonts w:ascii="Verdana" w:eastAsia="Calibri" w:hAnsi="Verdana" w:cs="Arial"/>
          <w:color w:val="000000" w:themeColor="text1"/>
          <w:lang w:val="es-ES"/>
        </w:rPr>
        <w:t>s</w:t>
      </w:r>
      <w:r w:rsidRPr="00B8272B">
        <w:rPr>
          <w:rFonts w:ascii="Verdana" w:eastAsia="Calibri" w:hAnsi="Verdana" w:cs="Arial"/>
          <w:color w:val="000000" w:themeColor="text1"/>
          <w:lang w:val="es-ES"/>
        </w:rPr>
        <w:t xml:space="preserve">e obliga a cumplir con una prestación en favor de la Entidad contratante, y el comportamiento que despliegue el contratista, como deudor de la prestación, deberá ajustarse plenamente a lo convenido. Como se señaló antes, el artículo 52 de la Ley 80 de 1993 establece que, en materia de contratación estatal, los </w:t>
      </w:r>
      <w:r w:rsidRPr="00B8272B">
        <w:rPr>
          <w:rFonts w:ascii="Verdana" w:eastAsia="Calibri" w:hAnsi="Verdana" w:cs="Arial"/>
          <w:color w:val="000000" w:themeColor="text1"/>
          <w:lang w:val="es-ES"/>
        </w:rPr>
        <w:lastRenderedPageBreak/>
        <w:t xml:space="preserve">contratistas “responderán civil y penalmente por sus acciones y omisiones en la actuación contractual en los términos de la ley” y “los consorcios y uniones temporales responderán por las acciones y omisiones de sus integrantes, en los términos del artículo 7º […]”. </w:t>
      </w:r>
    </w:p>
    <w:p w14:paraId="679BF1E3" w14:textId="77777777" w:rsidR="002707E7" w:rsidRPr="00B8272B" w:rsidRDefault="002707E7" w:rsidP="002707E7">
      <w:pPr>
        <w:spacing w:before="120" w:after="120" w:line="276" w:lineRule="auto"/>
        <w:ind w:firstLine="708"/>
        <w:jc w:val="both"/>
        <w:rPr>
          <w:rFonts w:ascii="Verdana" w:eastAsia="Arial" w:hAnsi="Verdana" w:cs="Arial"/>
          <w:color w:val="000000" w:themeColor="text1"/>
          <w:sz w:val="21"/>
          <w:szCs w:val="21"/>
          <w:lang w:val="es-ES"/>
        </w:rPr>
      </w:pPr>
      <w:r w:rsidRPr="00B8272B">
        <w:rPr>
          <w:rFonts w:ascii="Verdana" w:eastAsia="Calibri" w:hAnsi="Verdana" w:cs="Arial"/>
          <w:color w:val="000000" w:themeColor="text1"/>
          <w:lang w:val="es-ES"/>
        </w:rPr>
        <w:t>En materia de responsabilidad civil, los artículos 1626, 1627 y 1649 del Código Civil, aplicables por remisión de la Ley 80 de 1993, disponen que “el pago efectivo es la prestación de lo que se debe”, y que “se hará́ bajo todos los respectos en conformidad al tenor de la obligación (…)”.</w:t>
      </w:r>
      <w:r w:rsidRPr="00B8272B">
        <w:rPr>
          <w:rFonts w:ascii="Verdana" w:eastAsia="Calibri" w:hAnsi="Verdana" w:cs="Arial"/>
          <w:i/>
          <w:color w:val="000000" w:themeColor="text1"/>
          <w:lang w:val="es-ES"/>
        </w:rPr>
        <w:t xml:space="preserve"> </w:t>
      </w:r>
      <w:r w:rsidRPr="00B8272B">
        <w:rPr>
          <w:rFonts w:ascii="Verdana" w:eastAsia="Calibri" w:hAnsi="Verdana" w:cs="Arial"/>
          <w:color w:val="000000" w:themeColor="text1"/>
          <w:lang w:val="es-ES"/>
        </w:rPr>
        <w:t>En consecuencia, el contratista incumplirá si, por conductas que le son atribuibles, no satisface la prestación a la cual se ha obligado en la forma y oportunidad acordada. Adicional a lo anterior, será aplicable lo dispuesto en el artículo 53 de la Ley 80 de 1993, modificado por el artículo 82 de la Ley 1474 de 2011 y el artículo 2 de la Ley 1882 de 2018, sobre el alcance de la responsabilidad los consultores, interventores y asesores.</w:t>
      </w:r>
      <w:r w:rsidRPr="00B8272B">
        <w:rPr>
          <w:rFonts w:ascii="Verdana" w:eastAsia="Arial" w:hAnsi="Verdana" w:cs="Arial"/>
          <w:color w:val="000000" w:themeColor="text1"/>
          <w:sz w:val="21"/>
          <w:szCs w:val="21"/>
          <w:lang w:val="es-ES"/>
        </w:rPr>
        <w:t xml:space="preserve"> </w:t>
      </w:r>
      <w:r w:rsidRPr="00B8272B">
        <w:rPr>
          <w:rFonts w:ascii="Verdana" w:eastAsia="Calibri" w:hAnsi="Verdana" w:cs="Arial"/>
          <w:color w:val="000000" w:themeColor="text1"/>
          <w:lang w:val="es-ES"/>
        </w:rPr>
        <w:t>Adicionalmente es importante resaltar que dichos sujetos de considerarán particulares que cumplen funciones públicas en lo relacionado con los contratos que celebren con las entidades estatales “y, por lo tanto, estarán sujetos a la responsabilidad que en esa materia señala la ley para los servidores públicos”</w:t>
      </w:r>
      <w:r w:rsidRPr="00B8272B">
        <w:rPr>
          <w:rStyle w:val="FootnoteReference"/>
          <w:rFonts w:ascii="Verdana" w:eastAsia="Calibri" w:hAnsi="Verdana" w:cs="Arial"/>
          <w:color w:val="000000" w:themeColor="text1"/>
          <w:lang w:val="es-ES"/>
        </w:rPr>
        <w:footnoteReference w:id="59"/>
      </w:r>
      <w:r w:rsidRPr="00B8272B">
        <w:rPr>
          <w:rFonts w:ascii="Verdana" w:eastAsia="Calibri" w:hAnsi="Verdana" w:cs="Arial"/>
          <w:color w:val="000000" w:themeColor="text1"/>
          <w:lang w:val="es-ES"/>
        </w:rPr>
        <w:t>.</w:t>
      </w:r>
    </w:p>
    <w:p w14:paraId="649B903E" w14:textId="77777777" w:rsidR="002707E7" w:rsidRPr="00B8272B" w:rsidRDefault="002707E7" w:rsidP="002707E7">
      <w:pPr>
        <w:spacing w:before="120" w:after="120" w:line="276" w:lineRule="auto"/>
        <w:ind w:firstLine="709"/>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En este sentido, como consecuencia de las acciones u omisiones que se les impute en relación con su actuación, el incumplimiento contractual podrá dar lugar a la declaratoria de responsabilidad civil que determine la autoridad judicial competente, y la declaratoria de responsabilidad disciplinaria y penal, cuando proceda. De cualquier modo, corresponde a las autoridades competentes determinar la responsabilidad derivada del incumplimiento, mediante decisión motivada</w:t>
      </w:r>
      <w:r w:rsidRPr="00B8272B">
        <w:rPr>
          <w:rStyle w:val="FootnoteReference"/>
          <w:rFonts w:ascii="Verdana" w:eastAsia="Calibri" w:hAnsi="Verdana" w:cs="Arial"/>
          <w:color w:val="000000" w:themeColor="text1"/>
          <w:lang w:val="es-ES"/>
        </w:rPr>
        <w:footnoteReference w:id="60"/>
      </w:r>
      <w:r w:rsidRPr="00B8272B">
        <w:rPr>
          <w:rFonts w:ascii="Verdana" w:eastAsia="Calibri" w:hAnsi="Verdana" w:cs="Arial"/>
          <w:color w:val="000000" w:themeColor="text1"/>
          <w:lang w:val="es-ES"/>
        </w:rPr>
        <w:t>.</w:t>
      </w:r>
    </w:p>
    <w:p w14:paraId="3EF98140" w14:textId="77777777" w:rsidR="002707E7" w:rsidRPr="00B8272B" w:rsidRDefault="002707E7" w:rsidP="002707E7">
      <w:pPr>
        <w:spacing w:before="120" w:after="120" w:line="276" w:lineRule="auto"/>
        <w:ind w:firstLine="709"/>
        <w:jc w:val="both"/>
        <w:rPr>
          <w:rFonts w:ascii="Verdana" w:eastAsia="Verdana" w:hAnsi="Verdana" w:cs="Verdana"/>
          <w:lang w:val="es-ES"/>
        </w:rPr>
      </w:pPr>
      <w:r w:rsidRPr="00B8272B">
        <w:rPr>
          <w:rFonts w:ascii="Verdana" w:eastAsia="Verdana" w:hAnsi="Verdana" w:cs="Verdana"/>
          <w:lang w:val="es-ES"/>
        </w:rPr>
        <w:t>De esta manera, la entidad contratante, el contratista, las personas naturales que actúan en representación de las dos partes, los supervisores, interventores, consultores, asesores y servidores públicos que intervienen en los procesos de contratación estatal responderán de diversas maneras en cada caso, según lo establecido en el régimen de contratación aplicable, así como en la normativa correspondiente en materia disciplinaria, fiscal o penal. De cualquier modo, quienes incurran en acciones u omisiones que comprometan su responsabilidad en materia contractual podrán ser acreedor</w:t>
      </w:r>
      <w:r>
        <w:rPr>
          <w:rFonts w:ascii="Verdana" w:eastAsia="Verdana" w:hAnsi="Verdana" w:cs="Verdana"/>
          <w:lang w:val="es-ES"/>
        </w:rPr>
        <w:t>e</w:t>
      </w:r>
      <w:r w:rsidRPr="00B8272B">
        <w:rPr>
          <w:rFonts w:ascii="Verdana" w:eastAsia="Verdana" w:hAnsi="Verdana" w:cs="Verdana"/>
          <w:lang w:val="es-ES"/>
        </w:rPr>
        <w:t xml:space="preserve">s del pago de </w:t>
      </w:r>
      <w:r w:rsidRPr="00B8272B">
        <w:rPr>
          <w:rFonts w:ascii="Verdana" w:eastAsia="Verdana" w:hAnsi="Verdana" w:cs="Verdana"/>
          <w:lang w:val="es-ES"/>
        </w:rPr>
        <w:lastRenderedPageBreak/>
        <w:t>indemnizaciones ante la declaratoria de responsabilidad civil; podrán ser objeto de destitución en materia disciplinaria; y ser inhábiles para contratar como resultado de condenas en materia penal o de sanciones en sede administrativa.</w:t>
      </w:r>
    </w:p>
    <w:p w14:paraId="04E04F38" w14:textId="77777777" w:rsidR="002707E7" w:rsidRPr="00B8272B" w:rsidRDefault="002707E7" w:rsidP="002707E7">
      <w:pPr>
        <w:spacing w:before="120" w:after="120" w:line="276" w:lineRule="auto"/>
        <w:ind w:firstLine="709"/>
        <w:jc w:val="both"/>
        <w:rPr>
          <w:rFonts w:ascii="Verdana" w:eastAsia="Verdana" w:hAnsi="Verdana" w:cs="Verdana"/>
          <w:lang w:val="es-ES"/>
        </w:rPr>
      </w:pPr>
      <w:r w:rsidRPr="00B8272B">
        <w:rPr>
          <w:rFonts w:ascii="Verdana" w:eastAsia="Calibri" w:hAnsi="Verdana" w:cs="Arial"/>
          <w:color w:val="000000" w:themeColor="text1"/>
          <w:lang w:val="es-ES"/>
        </w:rPr>
        <w:t>Sobre lo anterior, se resalta que, en todo caso, la sujeción al control fiscal no depende del régimen contractual aplicable la entidad, pues, al administrar recursos públicos, las entidades exceptuadas deberán ceñirse a unas reglas mínimas que garanticen el cumplimiento de los principios de la función pública, el control fiscal y los principios rectores de la contratación estatal, como la transparencia, la publicidad y la moralidad, que exceden el marco puramente privado.</w:t>
      </w:r>
    </w:p>
    <w:p w14:paraId="2C4BB817" w14:textId="77777777" w:rsidR="002707E7" w:rsidRPr="00B8272B" w:rsidRDefault="002707E7" w:rsidP="002707E7">
      <w:pPr>
        <w:spacing w:before="120" w:after="0" w:line="276" w:lineRule="auto"/>
        <w:ind w:firstLine="708"/>
        <w:jc w:val="both"/>
        <w:rPr>
          <w:rFonts w:ascii="Verdana" w:eastAsia="Calibri" w:hAnsi="Verdana" w:cs="Arial"/>
          <w:bCs/>
          <w:color w:val="000000"/>
          <w:lang w:val="es-ES"/>
        </w:rPr>
      </w:pPr>
      <w:r w:rsidRPr="00B8272B">
        <w:rPr>
          <w:rFonts w:ascii="Verdana" w:hAnsi="Verdana" w:cs="Arial"/>
          <w:bCs/>
          <w:lang w:val="es-ES" w:eastAsia="es-ES"/>
        </w:rPr>
        <w:t>Al margen de la explicación precedente debe advertirse que el análisis requerido para resolver problemas específicos en torno a la gestión contractual debe ser realizado por quienes tengan interés en ello, de acuerdo con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y, en caso de conflicto, a las autoridades judiciales, fiscales y disciplinarias.</w:t>
      </w:r>
      <w:r w:rsidRPr="00B8272B">
        <w:rPr>
          <w:rFonts w:ascii="Verdana" w:eastAsia="Arial" w:hAnsi="Verdana" w:cs="Arial"/>
          <w:bCs/>
          <w:lang w:val="es-ES"/>
        </w:rPr>
        <w:t xml:space="preserve"> Por otra parte, se resalta que excede la competencia de esta entidad, la cual está claramente definida en materia contractual, referirse sobre los lineamientos específicos de la Superintendencia Nacional de Salud u otros lineamientos sectoriales en materia del régimen de intervención o la toma de posesión.</w:t>
      </w:r>
    </w:p>
    <w:p w14:paraId="6FE20C4A" w14:textId="77777777" w:rsidR="002707E7" w:rsidRPr="00B8272B" w:rsidRDefault="002707E7" w:rsidP="002707E7">
      <w:pPr>
        <w:spacing w:before="120" w:after="0" w:line="276" w:lineRule="auto"/>
        <w:ind w:firstLine="709"/>
        <w:jc w:val="both"/>
        <w:rPr>
          <w:rFonts w:ascii="Verdana" w:hAnsi="Verdana" w:cs="Arial"/>
          <w:lang w:val="es-ES" w:eastAsia="es-ES"/>
        </w:rPr>
      </w:pPr>
      <w:r w:rsidRPr="00B8272B">
        <w:rPr>
          <w:rFonts w:ascii="Verdana" w:hAnsi="Verdana" w:cs="Arial"/>
          <w:bCs/>
          <w:lang w:val="es-ES" w:eastAsia="es-ES"/>
        </w:rPr>
        <w:t>Dentro de este marco, la entidad contratante definirá en cada caso concreto lo relacionado con el tema objeto de consulta. Al</w:t>
      </w:r>
      <w:r w:rsidRPr="00B8272B">
        <w:rPr>
          <w:rFonts w:ascii="Verdana" w:hAnsi="Verdana" w:cs="Arial"/>
          <w:lang w:val="es-ES" w:eastAsia="es-ES"/>
        </w:rPr>
        <w:t xml:space="preserve">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4DFE6D17" w14:textId="77777777" w:rsidR="002707E7" w:rsidRPr="00B8272B" w:rsidRDefault="002707E7" w:rsidP="002707E7">
      <w:pPr>
        <w:spacing w:after="0" w:line="276" w:lineRule="auto"/>
        <w:ind w:firstLine="708"/>
        <w:jc w:val="both"/>
        <w:rPr>
          <w:rFonts w:ascii="Verdana" w:hAnsi="Verdana" w:cs="Arial"/>
          <w:lang w:val="es-ES"/>
        </w:rPr>
      </w:pPr>
    </w:p>
    <w:p w14:paraId="34ABEF16" w14:textId="77777777" w:rsidR="002707E7" w:rsidRPr="00B8272B" w:rsidRDefault="002707E7" w:rsidP="002707E7">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8272B">
        <w:rPr>
          <w:rFonts w:ascii="Verdana" w:eastAsia="Century Gothic" w:hAnsi="Verdana" w:cs="Century Gothic"/>
          <w:b/>
          <w:bCs/>
          <w:color w:val="000000" w:themeColor="text1"/>
        </w:rPr>
        <w:t>Referencias normativas, jurisprudenciales y otras fuentes:</w:t>
      </w:r>
    </w:p>
    <w:p w14:paraId="42FFEFC4" w14:textId="77777777" w:rsidR="002707E7" w:rsidRPr="00B8272B" w:rsidRDefault="002707E7" w:rsidP="002707E7">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707E7" w:rsidRPr="00B8272B" w14:paraId="7ED6FF72" w14:textId="77777777" w:rsidTr="00E21D2F">
        <w:trPr>
          <w:trHeight w:val="870"/>
        </w:trPr>
        <w:tc>
          <w:tcPr>
            <w:tcW w:w="8647" w:type="dxa"/>
          </w:tcPr>
          <w:p w14:paraId="6F9E04B2"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lastRenderedPageBreak/>
              <w:t xml:space="preserve">Constitución Política, artículos 209 y 267. </w:t>
            </w:r>
          </w:p>
          <w:p w14:paraId="1C272058"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Código Civil, artículos 1626, 1627, 1649, 1742, 1743 y 1753. </w:t>
            </w:r>
          </w:p>
          <w:p w14:paraId="2410973A"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Código de Comercio, artículos 822 y 898. </w:t>
            </w:r>
          </w:p>
          <w:p w14:paraId="2B865BF2"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153 de 1887, artículo 38. </w:t>
            </w:r>
          </w:p>
          <w:p w14:paraId="5C821E84"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80 de 1993, artículos 2, 4, 5, 13, 25, 26, 32, 39, 40, 41, 46, 50, 51, 52, 53, 56, 59, 60 y 78. </w:t>
            </w:r>
          </w:p>
          <w:p w14:paraId="06D9925C"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100 de 1993, artículos 180, 181, 194, 195, 214 y 216. </w:t>
            </w:r>
          </w:p>
          <w:p w14:paraId="63D0962E"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Decreto 111 de 1996, artículo 71. </w:t>
            </w:r>
          </w:p>
          <w:p w14:paraId="541E5CD8"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489 de 1998, artículos 38, 68, 69, 85 y 97. </w:t>
            </w:r>
          </w:p>
          <w:p w14:paraId="2BDCA728"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1122 de 2007, artículos 11 y 45. </w:t>
            </w:r>
          </w:p>
          <w:p w14:paraId="4B057775"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1150 de 2007, artículos 11, 13 y 14. </w:t>
            </w:r>
          </w:p>
          <w:p w14:paraId="2BC499BF"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1437 de 2011, artículos 10, 141 y 164. </w:t>
            </w:r>
          </w:p>
          <w:p w14:paraId="304B10D9"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1474 de 2011, artículos 82, 83, 84, 85 y 93. </w:t>
            </w:r>
          </w:p>
          <w:p w14:paraId="4AD23437"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Decreto 019 de 2012, artículo 217. </w:t>
            </w:r>
          </w:p>
          <w:p w14:paraId="7D2A0495"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 xml:space="preserve">Ley 1882 de 2018, artículo 2. </w:t>
            </w:r>
          </w:p>
          <w:p w14:paraId="4FFEC9D4"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B8272B">
              <w:rPr>
                <w:rFonts w:ascii="Verdana" w:eastAsia="Calibri" w:hAnsi="Verdana" w:cs="Arial"/>
                <w:color w:val="000000" w:themeColor="text1"/>
                <w:lang w:val="es-ES"/>
              </w:rPr>
              <w:t>Ley 2195 de 2022, artículo 53.</w:t>
            </w:r>
          </w:p>
          <w:p w14:paraId="7C91B409"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lo Contencioso Administrativo. Sección Tercera. Sala Plena. Sentencia de Unificación del 19 de noviembre de 2012. C.P. Jaime Orlando Santofimio Gamboa. Exp. 24897.</w:t>
            </w:r>
          </w:p>
          <w:p w14:paraId="7CB4BE4B"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 xml:space="preserve">CONSEJO DE ESTADO. Sala de lo Contencioso Administrativo. Sección Tercera. Sala Plena. Sentencia de Unificación del 31 de julio de 2025. C.P. Fernando </w:t>
            </w:r>
            <w:proofErr w:type="spellStart"/>
            <w:r w:rsidRPr="00593FAB">
              <w:rPr>
                <w:rFonts w:ascii="Verdana" w:eastAsia="Calibri" w:hAnsi="Verdana" w:cs="Arial"/>
                <w:color w:val="000000" w:themeColor="text1"/>
                <w:lang w:val="es-ES"/>
              </w:rPr>
              <w:t>Alexei</w:t>
            </w:r>
            <w:proofErr w:type="spellEnd"/>
            <w:r w:rsidRPr="00593FAB">
              <w:rPr>
                <w:rFonts w:ascii="Verdana" w:eastAsia="Calibri" w:hAnsi="Verdana" w:cs="Arial"/>
                <w:color w:val="000000" w:themeColor="text1"/>
                <w:lang w:val="es-ES"/>
              </w:rPr>
              <w:t xml:space="preserve"> Pardo Flórez. Exp. 57464.</w:t>
            </w:r>
          </w:p>
          <w:p w14:paraId="3CF53B5B"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lo Contencioso Administrativo. Sección Tercera. Sentencia de unificación del 1 de agosto de 2019.</w:t>
            </w:r>
          </w:p>
          <w:p w14:paraId="26F2F27E"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lo Contencioso Administrativo. Sección Tercera. Sentencia del 20 de octubre de 2014.</w:t>
            </w:r>
          </w:p>
          <w:p w14:paraId="514D9CD8"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 xml:space="preserve">CONSEJO DE ESTADO. Sala de lo Contencioso Administrativo. Sección Tercera. Subsección B. Sentencia del 27 de marzo de 2014. C.P. Danilo Rojas </w:t>
            </w:r>
            <w:proofErr w:type="spellStart"/>
            <w:r w:rsidRPr="00593FAB">
              <w:rPr>
                <w:rFonts w:ascii="Verdana" w:eastAsia="Calibri" w:hAnsi="Verdana" w:cs="Arial"/>
                <w:color w:val="000000" w:themeColor="text1"/>
                <w:lang w:val="es-ES"/>
              </w:rPr>
              <w:t>Betancourth</w:t>
            </w:r>
            <w:proofErr w:type="spellEnd"/>
            <w:r w:rsidRPr="00593FAB">
              <w:rPr>
                <w:rFonts w:ascii="Verdana" w:eastAsia="Calibri" w:hAnsi="Verdana" w:cs="Arial"/>
                <w:color w:val="000000" w:themeColor="text1"/>
                <w:lang w:val="es-ES"/>
              </w:rPr>
              <w:t>. Exp. 20912.</w:t>
            </w:r>
          </w:p>
          <w:p w14:paraId="2986F8D7"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lo Contencioso Administrativo. Sección Tercera. Sentencia del 12 de diciembre de 2022.</w:t>
            </w:r>
          </w:p>
          <w:p w14:paraId="3A0518F0"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 xml:space="preserve">CONSEJO DE ESTADO. Sala de lo Contencioso Administrativo. Sección </w:t>
            </w:r>
            <w:r w:rsidRPr="00593FAB">
              <w:rPr>
                <w:rFonts w:ascii="Verdana" w:eastAsia="Calibri" w:hAnsi="Verdana" w:cs="Arial"/>
                <w:color w:val="000000" w:themeColor="text1"/>
                <w:lang w:val="es-ES"/>
              </w:rPr>
              <w:lastRenderedPageBreak/>
              <w:t>Tercera. Subsección A. Sentencia del 20 de mayo de 2024. C.P. María Adriana Marín. Exp. 58879.</w:t>
            </w:r>
          </w:p>
          <w:p w14:paraId="709A77F1" w14:textId="77777777" w:rsidR="002707E7" w:rsidRPr="00593FA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lo Contencioso Administrativo. Sección Tercera. Subsección B. Sentencia del 7 de febrero de 2025. C.P. Fredy Ibarra Martínez. Exp. 71036.</w:t>
            </w:r>
          </w:p>
          <w:p w14:paraId="70F840B3" w14:textId="77777777" w:rsidR="002707E7" w:rsidRPr="00B8272B" w:rsidRDefault="002707E7" w:rsidP="002707E7">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593FAB">
              <w:rPr>
                <w:rFonts w:ascii="Verdana" w:eastAsia="Calibri" w:hAnsi="Verdana" w:cs="Arial"/>
                <w:color w:val="000000" w:themeColor="text1"/>
                <w:lang w:val="es-ES"/>
              </w:rPr>
              <w:t>CONSEJO DE ESTADO. Sala de Consulta y Servicio Civil. Concepto del 28 de junio de 2016. C.P. Álvaro Namén Vargas. Rad. 2253.</w:t>
            </w:r>
          </w:p>
        </w:tc>
      </w:tr>
    </w:tbl>
    <w:p w14:paraId="1912B253" w14:textId="77777777" w:rsidR="002707E7" w:rsidRPr="00B8272B" w:rsidRDefault="002707E7" w:rsidP="002707E7">
      <w:pPr>
        <w:widowControl w:val="0"/>
        <w:autoSpaceDE w:val="0"/>
        <w:autoSpaceDN w:val="0"/>
        <w:spacing w:after="0" w:line="276" w:lineRule="auto"/>
        <w:jc w:val="both"/>
        <w:rPr>
          <w:rFonts w:ascii="Verdana" w:hAnsi="Verdana" w:cs="Arial"/>
          <w:color w:val="000000" w:themeColor="text1"/>
          <w:lang w:val="es-ES"/>
        </w:rPr>
      </w:pPr>
    </w:p>
    <w:p w14:paraId="7D4FE201" w14:textId="77777777" w:rsidR="002707E7" w:rsidRPr="00B8272B" w:rsidRDefault="002707E7" w:rsidP="002707E7">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B8272B">
        <w:rPr>
          <w:rFonts w:ascii="Verdana" w:eastAsia="Century Gothic" w:hAnsi="Verdana" w:cs="Century Gothic"/>
          <w:b/>
          <w:bCs/>
          <w:color w:val="000000" w:themeColor="text1"/>
        </w:rPr>
        <w:t>Doctrina de la Agencia Nacional de Contratación Pública:</w:t>
      </w:r>
    </w:p>
    <w:p w14:paraId="7C9E47FB" w14:textId="77777777" w:rsidR="002707E7" w:rsidRPr="00B8272B" w:rsidRDefault="002707E7" w:rsidP="002707E7">
      <w:pPr>
        <w:spacing w:before="100" w:beforeAutospacing="1" w:after="100" w:afterAutospacing="1"/>
        <w:jc w:val="both"/>
        <w:rPr>
          <w:rStyle w:val="normaltextrun"/>
          <w:rFonts w:ascii="Verdana" w:eastAsia="Calibri" w:hAnsi="Verdana" w:cs="Arial"/>
          <w:b/>
          <w:bCs/>
          <w:sz w:val="24"/>
          <w:szCs w:val="24"/>
          <w:lang w:val="es-ES" w:eastAsia="es-ES"/>
        </w:rPr>
      </w:pPr>
      <w:r w:rsidRPr="00B8272B">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B8272B">
        <w:rPr>
          <w:rStyle w:val="normaltextrun"/>
          <w:rFonts w:ascii="Verdana" w:hAnsi="Verdana"/>
          <w:color w:val="000000" w:themeColor="text1"/>
          <w:shd w:val="clear" w:color="auto" w:fill="FFFFFF"/>
          <w:lang w:val="es-ES"/>
        </w:rPr>
        <w:t xml:space="preserve">sobre </w:t>
      </w:r>
      <w:r w:rsidRPr="00B8272B">
        <w:rPr>
          <w:rFonts w:ascii="Verdana" w:hAnsi="Verdana" w:cs="Arial"/>
          <w:shd w:val="clear" w:color="auto" w:fill="FFFFFF"/>
          <w:lang w:val="es-ES"/>
        </w:rPr>
        <w:t xml:space="preserve">la liquidación en los conceptos 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 C-568 del 18 de octubre de 2024 y C-774 del 20 de noviembre de 2024, C-510 del 4 de junio de 2025, C-605 del 27 de junio de 2025, C-889 del 15 de agosto de 2025, C-903 del 19 de agosto de 2025, C-913 del 19 de agosto de 2025, </w:t>
      </w:r>
      <w:r w:rsidRPr="00B8272B">
        <w:rPr>
          <w:rFonts w:ascii="Verdana" w:eastAsia="Calibri" w:hAnsi="Verdana" w:cs="Arial"/>
          <w:lang w:val="es-ES" w:eastAsia="es-ES"/>
        </w:rPr>
        <w:t xml:space="preserve">C–1205 del 09 de septiembre de  2025, </w:t>
      </w:r>
      <w:r w:rsidRPr="00B8272B">
        <w:rPr>
          <w:rFonts w:ascii="Verdana" w:eastAsia="Calibri" w:hAnsi="Verdana" w:cs="Times New Roman"/>
          <w:lang w:val="es-ES"/>
        </w:rPr>
        <w:t>C–1254 del 07 de octubre de 2025,</w:t>
      </w:r>
      <w:r w:rsidRPr="00B8272B">
        <w:rPr>
          <w:rFonts w:ascii="Verdana" w:eastAsia="Calibri" w:hAnsi="Verdana" w:cs="Times New Roman"/>
          <w:b/>
          <w:bCs/>
          <w:lang w:val="es-ES"/>
        </w:rPr>
        <w:t xml:space="preserve"> </w:t>
      </w:r>
      <w:r w:rsidRPr="00B8272B">
        <w:rPr>
          <w:rFonts w:ascii="Verdana" w:hAnsi="Verdana" w:cs="Arial"/>
          <w:shd w:val="clear" w:color="auto" w:fill="FFFFFF"/>
          <w:lang w:val="es-ES"/>
        </w:rPr>
        <w:t>entre otros</w:t>
      </w:r>
      <w:r w:rsidRPr="00B8272B">
        <w:rPr>
          <w:rFonts w:ascii="Verdana" w:hAnsi="Verdana"/>
          <w:lang w:val="es-ES"/>
        </w:rPr>
        <w:t>. Estos y otros conceptos se encuentran disponibles para consulta en</w:t>
      </w:r>
      <w:r w:rsidRPr="00B8272B">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1" w:history="1">
        <w:r w:rsidRPr="00B8272B">
          <w:rPr>
            <w:rStyle w:val="Hyperlink"/>
            <w:rFonts w:ascii="Verdana" w:hAnsi="Verdana" w:cs="Arial"/>
            <w:shd w:val="clear" w:color="auto" w:fill="FFFFFF"/>
            <w:lang w:val="es-ES"/>
          </w:rPr>
          <w:t>https://relatoria.colombiacompra.gov.co/busqueda/conceptos</w:t>
        </w:r>
      </w:hyperlink>
      <w:r w:rsidRPr="00B8272B">
        <w:rPr>
          <w:rStyle w:val="normaltextrun"/>
          <w:rFonts w:ascii="Verdana" w:hAnsi="Verdana" w:cs="Arial"/>
          <w:shd w:val="clear" w:color="auto" w:fill="FFFFFF"/>
          <w:lang w:val="es-ES"/>
        </w:rPr>
        <w:t>.</w:t>
      </w:r>
      <w:r w:rsidRPr="00B8272B">
        <w:rPr>
          <w:rStyle w:val="normaltextrun"/>
          <w:rFonts w:ascii="Verdana" w:hAnsi="Verdana" w:cs="Arial"/>
          <w:color w:val="FF0000"/>
          <w:shd w:val="clear" w:color="auto" w:fill="FFFFFF"/>
          <w:lang w:val="es-ES"/>
        </w:rPr>
        <w:t xml:space="preserve"> </w:t>
      </w:r>
    </w:p>
    <w:p w14:paraId="5F3C5FB1" w14:textId="77777777" w:rsidR="002707E7" w:rsidRPr="00B8272B" w:rsidRDefault="002707E7" w:rsidP="002707E7">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2A2FFEB7" w14:textId="77777777" w:rsidR="002707E7" w:rsidRPr="00B8272B" w:rsidRDefault="002707E7" w:rsidP="002707E7">
      <w:pPr>
        <w:spacing w:after="0" w:line="276" w:lineRule="auto"/>
        <w:jc w:val="both"/>
        <w:rPr>
          <w:rFonts w:ascii="Verdana" w:hAnsi="Verdana"/>
          <w:lang w:val="es-ES"/>
        </w:rPr>
      </w:pPr>
      <w:r w:rsidRPr="00B8272B">
        <w:rPr>
          <w:rFonts w:ascii="Verdana" w:hAnsi="Verdana"/>
          <w:lang w:val="es-ES"/>
        </w:rPr>
        <w:t xml:space="preserve">Por último, lo invitamos a seguirnos en las redes sociales en las cuales se difunde información institucional: </w:t>
      </w:r>
    </w:p>
    <w:p w14:paraId="0E4B7E29" w14:textId="77777777" w:rsidR="002707E7" w:rsidRPr="00B8272B" w:rsidRDefault="002707E7" w:rsidP="002707E7">
      <w:pPr>
        <w:spacing w:after="0" w:line="276" w:lineRule="auto"/>
        <w:jc w:val="both"/>
        <w:rPr>
          <w:rFonts w:ascii="Verdana" w:hAnsi="Verdana"/>
          <w:lang w:val="es-ES"/>
        </w:rPr>
      </w:pPr>
    </w:p>
    <w:p w14:paraId="0133AFE8" w14:textId="77777777" w:rsidR="002707E7" w:rsidRPr="00B8272B" w:rsidRDefault="002707E7" w:rsidP="002707E7">
      <w:pPr>
        <w:spacing w:after="0" w:line="276" w:lineRule="auto"/>
        <w:jc w:val="both"/>
        <w:rPr>
          <w:rFonts w:ascii="Verdana" w:hAnsi="Verdana"/>
          <w:lang w:val="es-ES"/>
        </w:rPr>
      </w:pPr>
      <w:r w:rsidRPr="00B8272B">
        <w:rPr>
          <w:rFonts w:ascii="Verdana" w:hAnsi="Verdana"/>
          <w:lang w:val="es-ES"/>
        </w:rPr>
        <w:t xml:space="preserve">Twitter: </w:t>
      </w:r>
      <w:r w:rsidRPr="00B8272B">
        <w:rPr>
          <w:rStyle w:val="Hyperlink"/>
          <w:rFonts w:ascii="Verdana" w:hAnsi="Verdana" w:cs="Arial"/>
          <w:shd w:val="clear" w:color="auto" w:fill="FFFFFF"/>
          <w:lang w:val="es-ES"/>
        </w:rPr>
        <w:t>@colombiacompra</w:t>
      </w:r>
      <w:r w:rsidRPr="00B8272B">
        <w:rPr>
          <w:rFonts w:ascii="Verdana" w:hAnsi="Verdana"/>
          <w:color w:val="4472C4" w:themeColor="accent1"/>
          <w:lang w:val="es-ES"/>
        </w:rPr>
        <w:t xml:space="preserve"> </w:t>
      </w:r>
    </w:p>
    <w:p w14:paraId="36F015EC" w14:textId="77777777" w:rsidR="002707E7" w:rsidRPr="00B8272B" w:rsidRDefault="002707E7" w:rsidP="002707E7">
      <w:pPr>
        <w:spacing w:after="0" w:line="276" w:lineRule="auto"/>
        <w:jc w:val="both"/>
        <w:rPr>
          <w:rFonts w:ascii="Verdana" w:hAnsi="Verdana"/>
          <w:lang w:val="es-ES"/>
        </w:rPr>
      </w:pPr>
      <w:r w:rsidRPr="00B8272B">
        <w:rPr>
          <w:rFonts w:ascii="Verdana" w:hAnsi="Verdana"/>
          <w:lang w:val="es-ES"/>
        </w:rPr>
        <w:t xml:space="preserve">Facebook: </w:t>
      </w:r>
      <w:proofErr w:type="spellStart"/>
      <w:r w:rsidRPr="00B8272B">
        <w:rPr>
          <w:rStyle w:val="Hyperlink"/>
          <w:rFonts w:ascii="Verdana" w:hAnsi="Verdana" w:cs="Arial"/>
          <w:shd w:val="clear" w:color="auto" w:fill="FFFFFF"/>
          <w:lang w:val="es-ES"/>
        </w:rPr>
        <w:t>ColombiaCompraEficiente</w:t>
      </w:r>
      <w:proofErr w:type="spellEnd"/>
    </w:p>
    <w:p w14:paraId="3385D2E2" w14:textId="77777777" w:rsidR="002707E7" w:rsidRPr="00B8272B" w:rsidRDefault="002707E7" w:rsidP="002707E7">
      <w:pPr>
        <w:spacing w:after="0" w:line="276" w:lineRule="auto"/>
        <w:jc w:val="both"/>
        <w:rPr>
          <w:rFonts w:ascii="Verdana" w:hAnsi="Verdana"/>
          <w:lang w:val="es-ES"/>
        </w:rPr>
      </w:pPr>
      <w:r w:rsidRPr="00B8272B">
        <w:rPr>
          <w:rFonts w:ascii="Verdana" w:hAnsi="Verdana"/>
          <w:lang w:val="es-ES"/>
        </w:rPr>
        <w:t xml:space="preserve">LinkedIn: </w:t>
      </w:r>
      <w:r w:rsidRPr="00B8272B">
        <w:rPr>
          <w:rStyle w:val="Hyperlink"/>
          <w:rFonts w:ascii="Verdana" w:hAnsi="Verdana" w:cs="Arial"/>
          <w:shd w:val="clear" w:color="auto" w:fill="FFFFFF"/>
          <w:lang w:val="es-ES"/>
        </w:rPr>
        <w:t xml:space="preserve">Agencia Nacional de Contratación Pública - Colombia Compra Eficiente </w:t>
      </w:r>
      <w:r w:rsidRPr="00B8272B">
        <w:rPr>
          <w:rFonts w:ascii="Verdana" w:hAnsi="Verdana"/>
          <w:lang w:val="es-ES"/>
        </w:rPr>
        <w:t xml:space="preserve">Instagram: </w:t>
      </w:r>
      <w:r w:rsidRPr="00B8272B">
        <w:rPr>
          <w:rStyle w:val="Hyperlink"/>
          <w:rFonts w:ascii="Verdana" w:hAnsi="Verdana" w:cs="Arial"/>
          <w:shd w:val="clear" w:color="auto" w:fill="FFFFFF"/>
          <w:lang w:val="es-ES"/>
        </w:rPr>
        <w:t>@colombiacompraeficiente_cce</w:t>
      </w:r>
    </w:p>
    <w:p w14:paraId="2FF7E65E" w14:textId="77777777" w:rsidR="002707E7" w:rsidRPr="00B8272B" w:rsidRDefault="002707E7" w:rsidP="002707E7">
      <w:pPr>
        <w:widowControl w:val="0"/>
        <w:autoSpaceDE w:val="0"/>
        <w:autoSpaceDN w:val="0"/>
        <w:spacing w:after="0" w:line="276" w:lineRule="auto"/>
        <w:jc w:val="both"/>
        <w:rPr>
          <w:rFonts w:ascii="Verdana" w:hAnsi="Verdana" w:cs="Arial"/>
          <w:color w:val="000000" w:themeColor="text1"/>
          <w:lang w:val="es-ES"/>
        </w:rPr>
      </w:pPr>
    </w:p>
    <w:p w14:paraId="544D7BD0" w14:textId="77777777" w:rsidR="002707E7" w:rsidRPr="00B8272B" w:rsidRDefault="002707E7" w:rsidP="002707E7">
      <w:pPr>
        <w:widowControl w:val="0"/>
        <w:autoSpaceDE w:val="0"/>
        <w:autoSpaceDN w:val="0"/>
        <w:spacing w:after="0" w:line="276" w:lineRule="auto"/>
        <w:jc w:val="both"/>
        <w:rPr>
          <w:rFonts w:ascii="Verdana" w:hAnsi="Verdana" w:cs="Arial"/>
          <w:color w:val="000000" w:themeColor="text1"/>
          <w:lang w:val="es-ES"/>
        </w:rPr>
      </w:pPr>
      <w:r w:rsidRPr="00B8272B">
        <w:rPr>
          <w:rFonts w:ascii="Verdana" w:hAnsi="Verdana" w:cs="Arial"/>
          <w:color w:val="000000" w:themeColor="text1"/>
          <w:lang w:val="es-ES"/>
        </w:rPr>
        <w:t xml:space="preserve">Este concepto tiene el alcance previsto en el artículo 28 del Código de Procedimiento Administrativo y de lo Contencioso Administrativo y las expresiones aquí utilizadas con mayúscula inicial deben ser entendidas con el </w:t>
      </w:r>
      <w:r w:rsidRPr="00B8272B">
        <w:rPr>
          <w:rFonts w:ascii="Verdana" w:hAnsi="Verdana" w:cs="Arial"/>
          <w:color w:val="000000" w:themeColor="text1"/>
          <w:lang w:val="es-ES"/>
        </w:rPr>
        <w:lastRenderedPageBreak/>
        <w:t>significado que les otorga el artículo 2.2.1.1.1.3.1. del Decreto 1082 de 2015.</w:t>
      </w:r>
    </w:p>
    <w:p w14:paraId="3B93C855" w14:textId="77777777" w:rsidR="002707E7" w:rsidRPr="00B8272B" w:rsidRDefault="002707E7" w:rsidP="002707E7">
      <w:pPr>
        <w:widowControl w:val="0"/>
        <w:autoSpaceDE w:val="0"/>
        <w:autoSpaceDN w:val="0"/>
        <w:spacing w:after="0" w:line="276" w:lineRule="auto"/>
        <w:jc w:val="both"/>
        <w:rPr>
          <w:rFonts w:ascii="Verdana" w:hAnsi="Verdana" w:cs="Arial"/>
          <w:color w:val="000000" w:themeColor="text1"/>
          <w:lang w:val="es-ES"/>
        </w:rPr>
      </w:pPr>
    </w:p>
    <w:p w14:paraId="2F7942B1" w14:textId="79CAB312" w:rsidR="002707E7" w:rsidRPr="00B8272B" w:rsidRDefault="002707E7" w:rsidP="002707E7">
      <w:pPr>
        <w:spacing w:after="0" w:line="276" w:lineRule="auto"/>
        <w:rPr>
          <w:rFonts w:ascii="Verdana" w:hAnsi="Verdana" w:cs="Arial"/>
          <w:color w:val="000000" w:themeColor="text1"/>
          <w:lang w:val="es-ES" w:eastAsia="es-CO"/>
        </w:rPr>
      </w:pPr>
      <w:r w:rsidRPr="00B8272B">
        <w:rPr>
          <w:rFonts w:ascii="Verdana" w:eastAsia="Times New Roman" w:hAnsi="Verdana" w:cs="Arial"/>
          <w:color w:val="000000" w:themeColor="text1"/>
          <w:lang w:val="es-ES" w:eastAsia="es-CO"/>
        </w:rPr>
        <w:t>Atentamente,</w:t>
      </w:r>
      <w:r w:rsidRPr="00B8272B">
        <w:rPr>
          <w:rFonts w:ascii="Verdana" w:hAnsi="Verdana" w:cs="Arial"/>
          <w:color w:val="000000" w:themeColor="text1"/>
          <w:lang w:val="es-ES" w:eastAsia="es-CO"/>
        </w:rPr>
        <w:t xml:space="preserve"> </w:t>
      </w:r>
    </w:p>
    <w:p w14:paraId="5A0043A9" w14:textId="3EBB324A" w:rsidR="002707E7" w:rsidRDefault="000E2A11" w:rsidP="002707E7">
      <w:pPr>
        <w:spacing w:line="276" w:lineRule="auto"/>
        <w:rPr>
          <w:lang w:val="es-ES"/>
        </w:rPr>
      </w:pPr>
      <w:r w:rsidRPr="002C3AD6">
        <w:rPr>
          <w:rFonts w:ascii="Century Gothic" w:hAnsi="Century Gothic"/>
          <w:noProof/>
        </w:rPr>
        <w:drawing>
          <wp:anchor distT="0" distB="0" distL="114300" distR="114300" simplePos="0" relativeHeight="251659264" behindDoc="0" locked="0" layoutInCell="1" allowOverlap="1" wp14:anchorId="74B4E957" wp14:editId="68A3DCEC">
            <wp:simplePos x="0" y="0"/>
            <wp:positionH relativeFrom="column">
              <wp:posOffset>1022466</wp:posOffset>
            </wp:positionH>
            <wp:positionV relativeFrom="page">
              <wp:posOffset>2117552</wp:posOffset>
            </wp:positionV>
            <wp:extent cx="3771900" cy="1400175"/>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14:sizeRelH relativeFrom="page">
              <wp14:pctWidth>0</wp14:pctWidth>
            </wp14:sizeRelH>
            <wp14:sizeRelV relativeFrom="page">
              <wp14:pctHeight>0</wp14:pctHeight>
            </wp14:sizeRelV>
          </wp:anchor>
        </w:drawing>
      </w:r>
    </w:p>
    <w:p w14:paraId="1EDE269D" w14:textId="139E65FC" w:rsidR="000E2A11" w:rsidRPr="00B8272B" w:rsidRDefault="000E2A11" w:rsidP="002707E7">
      <w:pPr>
        <w:spacing w:line="276" w:lineRule="auto"/>
        <w:rPr>
          <w:lang w:val="es-ES"/>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707E7" w:rsidRPr="00B8272B" w14:paraId="30E5FF64" w14:textId="77777777" w:rsidTr="00E21D2F">
        <w:trPr>
          <w:trHeight w:val="315"/>
        </w:trPr>
        <w:tc>
          <w:tcPr>
            <w:tcW w:w="893" w:type="dxa"/>
            <w:vAlign w:val="center"/>
            <w:hideMark/>
          </w:tcPr>
          <w:p w14:paraId="57308F8C" w14:textId="77777777" w:rsidR="002707E7" w:rsidRPr="000E2A11" w:rsidRDefault="002707E7" w:rsidP="00E21D2F">
            <w:pPr>
              <w:contextualSpacing/>
              <w:rPr>
                <w:rFonts w:ascii="Verdana" w:hAnsi="Verdana" w:cs="Arial"/>
                <w:sz w:val="16"/>
                <w:szCs w:val="16"/>
                <w:lang w:val="es-ES" w:eastAsia="es-ES"/>
              </w:rPr>
            </w:pPr>
            <w:r w:rsidRPr="000E2A1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CFFCFF0" w14:textId="77777777" w:rsidR="002707E7" w:rsidRPr="000E2A11" w:rsidRDefault="002707E7" w:rsidP="00E21D2F">
            <w:pPr>
              <w:contextualSpacing/>
              <w:rPr>
                <w:rFonts w:ascii="Verdana" w:eastAsia="Arial" w:hAnsi="Verdana" w:cs="Arial"/>
                <w:color w:val="000000" w:themeColor="text1"/>
                <w:sz w:val="16"/>
                <w:szCs w:val="16"/>
                <w:lang w:val="es-ES"/>
              </w:rPr>
            </w:pPr>
            <w:r w:rsidRPr="000E2A11">
              <w:rPr>
                <w:rFonts w:ascii="Verdana" w:eastAsia="Arial" w:hAnsi="Verdana" w:cs="Arial"/>
                <w:color w:val="000000" w:themeColor="text1"/>
                <w:sz w:val="16"/>
                <w:szCs w:val="16"/>
                <w:lang w:val="es-ES"/>
              </w:rPr>
              <w:t>Anamaría Bonilla Prieto</w:t>
            </w:r>
          </w:p>
          <w:p w14:paraId="7CD92178" w14:textId="77777777" w:rsidR="002707E7" w:rsidRPr="000E2A11" w:rsidRDefault="002707E7" w:rsidP="00E21D2F">
            <w:pPr>
              <w:contextualSpacing/>
              <w:rPr>
                <w:rFonts w:ascii="Verdana" w:eastAsia="Arial" w:hAnsi="Verdana" w:cs="Arial"/>
                <w:sz w:val="16"/>
                <w:szCs w:val="16"/>
                <w:lang w:val="es-ES"/>
              </w:rPr>
            </w:pPr>
            <w:r w:rsidRPr="000E2A11">
              <w:rPr>
                <w:rStyle w:val="normaltextrun"/>
                <w:rFonts w:ascii="Verdana" w:eastAsia="Arial" w:hAnsi="Verdana" w:cs="Arial"/>
                <w:color w:val="000000" w:themeColor="text1"/>
                <w:sz w:val="16"/>
                <w:szCs w:val="16"/>
                <w:lang w:val="es-ES"/>
              </w:rPr>
              <w:t xml:space="preserve">Contratista de la Subdirección </w:t>
            </w:r>
            <w:r w:rsidRPr="000E2A11">
              <w:rPr>
                <w:rStyle w:val="normaltextrun"/>
                <w:rFonts w:ascii="Verdana" w:eastAsia="Arial" w:hAnsi="Verdana" w:cs="Arial"/>
                <w:sz w:val="16"/>
                <w:szCs w:val="16"/>
                <w:lang w:val="es-ES"/>
              </w:rPr>
              <w:t>de Gestión Contractual</w:t>
            </w:r>
          </w:p>
        </w:tc>
      </w:tr>
      <w:tr w:rsidR="002707E7" w:rsidRPr="00B8272B" w14:paraId="58DB0D52" w14:textId="77777777" w:rsidTr="00E21D2F">
        <w:trPr>
          <w:trHeight w:val="330"/>
        </w:trPr>
        <w:tc>
          <w:tcPr>
            <w:tcW w:w="893" w:type="dxa"/>
            <w:vAlign w:val="center"/>
            <w:hideMark/>
          </w:tcPr>
          <w:p w14:paraId="0283707B" w14:textId="77777777" w:rsidR="002707E7" w:rsidRPr="000E2A11" w:rsidRDefault="002707E7" w:rsidP="00E21D2F">
            <w:pPr>
              <w:contextualSpacing/>
              <w:rPr>
                <w:rFonts w:ascii="Verdana" w:hAnsi="Verdana" w:cs="Arial"/>
                <w:sz w:val="16"/>
                <w:szCs w:val="16"/>
                <w:lang w:val="es-ES" w:eastAsia="es-ES"/>
              </w:rPr>
            </w:pPr>
            <w:r w:rsidRPr="000E2A11">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77EC74C" w14:textId="77777777" w:rsidR="002707E7" w:rsidRPr="000E2A11" w:rsidRDefault="002707E7" w:rsidP="00E21D2F">
            <w:pPr>
              <w:contextualSpacing/>
              <w:rPr>
                <w:rFonts w:ascii="Verdana" w:eastAsia="Arial" w:hAnsi="Verdana" w:cs="Arial"/>
                <w:color w:val="000000" w:themeColor="text1"/>
                <w:sz w:val="16"/>
                <w:szCs w:val="16"/>
                <w:lang w:val="es-ES"/>
              </w:rPr>
            </w:pPr>
            <w:r w:rsidRPr="000E2A11">
              <w:rPr>
                <w:rFonts w:ascii="Verdana" w:eastAsia="Arial" w:hAnsi="Verdana" w:cs="Arial"/>
                <w:color w:val="000000" w:themeColor="text1"/>
                <w:sz w:val="16"/>
                <w:szCs w:val="16"/>
                <w:lang w:val="es-ES"/>
              </w:rPr>
              <w:t>Alejandro Sarmiento Cantillo</w:t>
            </w:r>
          </w:p>
          <w:p w14:paraId="25B07353" w14:textId="77777777" w:rsidR="002707E7" w:rsidRPr="000E2A11" w:rsidRDefault="002707E7" w:rsidP="00E21D2F">
            <w:pPr>
              <w:pStyle w:val="paragraph"/>
              <w:spacing w:before="0" w:beforeAutospacing="0" w:after="0" w:afterAutospacing="0"/>
              <w:contextualSpacing/>
              <w:textAlignment w:val="baseline"/>
              <w:rPr>
                <w:rFonts w:ascii="Verdana" w:hAnsi="Verdana" w:cs="Segoe UI"/>
                <w:sz w:val="16"/>
                <w:szCs w:val="16"/>
                <w:lang w:val="es-ES"/>
              </w:rPr>
            </w:pPr>
            <w:r w:rsidRPr="000E2A11">
              <w:rPr>
                <w:rFonts w:ascii="Verdana" w:eastAsia="Arial" w:hAnsi="Verdana" w:cs="Arial"/>
                <w:color w:val="000000" w:themeColor="text1"/>
                <w:sz w:val="16"/>
                <w:szCs w:val="16"/>
                <w:lang w:val="es-ES"/>
              </w:rPr>
              <w:t>Gestor T1 – 15 de la Subdirección de Gestión Contractual</w:t>
            </w:r>
            <w:r w:rsidRPr="000E2A11">
              <w:rPr>
                <w:rFonts w:ascii="Verdana" w:hAnsi="Verdana" w:cs="Segoe UI"/>
                <w:sz w:val="16"/>
                <w:szCs w:val="16"/>
                <w:lang w:val="es-ES"/>
              </w:rPr>
              <w:t> </w:t>
            </w:r>
          </w:p>
          <w:p w14:paraId="7D44F0E9" w14:textId="77777777" w:rsidR="002707E7" w:rsidRPr="000E2A11" w:rsidRDefault="002707E7" w:rsidP="00E21D2F">
            <w:pPr>
              <w:pStyle w:val="paragraph"/>
              <w:spacing w:before="0" w:beforeAutospacing="0" w:after="0" w:afterAutospacing="0"/>
              <w:contextualSpacing/>
              <w:textAlignment w:val="baseline"/>
              <w:rPr>
                <w:rFonts w:ascii="Verdana" w:hAnsi="Verdana" w:cs="Segoe UI"/>
                <w:sz w:val="16"/>
                <w:szCs w:val="16"/>
                <w:lang w:val="es-ES"/>
              </w:rPr>
            </w:pPr>
          </w:p>
        </w:tc>
      </w:tr>
      <w:tr w:rsidR="002707E7" w:rsidRPr="00B8272B" w14:paraId="0B2D2710" w14:textId="77777777" w:rsidTr="00E21D2F">
        <w:trPr>
          <w:trHeight w:val="300"/>
        </w:trPr>
        <w:tc>
          <w:tcPr>
            <w:tcW w:w="893" w:type="dxa"/>
            <w:vAlign w:val="center"/>
          </w:tcPr>
          <w:p w14:paraId="669AEFF5" w14:textId="77777777" w:rsidR="002707E7" w:rsidRPr="000E2A11" w:rsidRDefault="002707E7" w:rsidP="00E21D2F">
            <w:pPr>
              <w:contextualSpacing/>
              <w:rPr>
                <w:rFonts w:ascii="Verdana" w:hAnsi="Verdana" w:cs="Arial"/>
                <w:sz w:val="16"/>
                <w:szCs w:val="16"/>
                <w:lang w:val="es-ES" w:eastAsia="es-ES"/>
              </w:rPr>
            </w:pPr>
            <w:r w:rsidRPr="000E2A1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0F47CCB" w14:textId="77777777" w:rsidR="002707E7" w:rsidRPr="000E2A11" w:rsidRDefault="002707E7" w:rsidP="00E21D2F">
            <w:pPr>
              <w:contextualSpacing/>
              <w:rPr>
                <w:rFonts w:ascii="Verdana" w:eastAsia="Calibri" w:hAnsi="Verdana" w:cs="Arial"/>
                <w:sz w:val="16"/>
                <w:szCs w:val="16"/>
                <w:lang w:val="es-ES" w:eastAsia="es-ES"/>
              </w:rPr>
            </w:pPr>
            <w:r w:rsidRPr="000E2A11">
              <w:rPr>
                <w:rFonts w:ascii="Verdana" w:eastAsia="Calibri" w:hAnsi="Verdana" w:cs="Arial"/>
                <w:sz w:val="16"/>
                <w:szCs w:val="16"/>
                <w:lang w:val="es-ES" w:eastAsia="es-ES"/>
              </w:rPr>
              <w:t>Carolina Quintero Gacharná</w:t>
            </w:r>
          </w:p>
          <w:p w14:paraId="1E645C14" w14:textId="77777777" w:rsidR="002707E7" w:rsidRPr="000E2A11" w:rsidRDefault="002707E7" w:rsidP="00E21D2F">
            <w:pPr>
              <w:contextualSpacing/>
              <w:rPr>
                <w:rFonts w:ascii="Verdana" w:eastAsia="Calibri" w:hAnsi="Verdana" w:cs="Arial"/>
                <w:sz w:val="16"/>
                <w:szCs w:val="16"/>
                <w:lang w:val="es-ES" w:eastAsia="es-ES"/>
              </w:rPr>
            </w:pPr>
            <w:r w:rsidRPr="000E2A11">
              <w:rPr>
                <w:rFonts w:ascii="Verdana" w:eastAsia="Calibri" w:hAnsi="Verdana" w:cs="Arial"/>
                <w:sz w:val="16"/>
                <w:szCs w:val="16"/>
                <w:lang w:val="es-ES" w:eastAsia="es-ES"/>
              </w:rPr>
              <w:t>Subdirectora de Gestión Contractual ANCP – CCE</w:t>
            </w:r>
          </w:p>
        </w:tc>
      </w:tr>
      <w:bookmarkEnd w:id="0"/>
    </w:tbl>
    <w:p w14:paraId="5E404257" w14:textId="701D09A2" w:rsidR="002707E7" w:rsidRPr="00B8272B" w:rsidRDefault="002707E7" w:rsidP="002707E7">
      <w:pPr>
        <w:rPr>
          <w:lang w:val="es-ES"/>
        </w:rPr>
      </w:pPr>
    </w:p>
    <w:p w14:paraId="623DDFEA" w14:textId="77777777" w:rsidR="002707E7" w:rsidRPr="00B8272B" w:rsidRDefault="002707E7" w:rsidP="002707E7">
      <w:pPr>
        <w:rPr>
          <w:lang w:val="es-ES"/>
        </w:rPr>
      </w:pPr>
    </w:p>
    <w:p w14:paraId="7AC40BD1" w14:textId="77777777" w:rsidR="002707E7" w:rsidRPr="00B8272B" w:rsidRDefault="002707E7" w:rsidP="002707E7">
      <w:pPr>
        <w:rPr>
          <w:lang w:val="es-ES"/>
        </w:rPr>
      </w:pPr>
    </w:p>
    <w:p w14:paraId="4E063BC6" w14:textId="77777777" w:rsidR="002707E7" w:rsidRPr="00B8272B" w:rsidRDefault="002707E7" w:rsidP="002707E7">
      <w:pPr>
        <w:rPr>
          <w:lang w:val="es-ES"/>
        </w:rPr>
      </w:pPr>
    </w:p>
    <w:p w14:paraId="602FF5AB" w14:textId="77777777" w:rsidR="002707E7" w:rsidRPr="00B8272B" w:rsidRDefault="002707E7" w:rsidP="002707E7">
      <w:pPr>
        <w:rPr>
          <w:lang w:val="es-ES"/>
        </w:rPr>
      </w:pPr>
    </w:p>
    <w:p w14:paraId="0F293BF4" w14:textId="28EFCB91" w:rsidR="00127233" w:rsidRPr="00544B17" w:rsidRDefault="00127233" w:rsidP="00544B17"/>
    <w:sectPr w:rsidR="00127233" w:rsidRPr="00544B17" w:rsidSect="007C0C0F">
      <w:headerReference w:type="default" r:id="rId13"/>
      <w:footerReference w:type="defaul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96785" w14:textId="77777777" w:rsidR="008F0417" w:rsidRDefault="008F0417" w:rsidP="004A1847">
      <w:pPr>
        <w:spacing w:after="0" w:line="240" w:lineRule="auto"/>
      </w:pPr>
      <w:r>
        <w:separator/>
      </w:r>
    </w:p>
  </w:endnote>
  <w:endnote w:type="continuationSeparator" w:id="0">
    <w:p w14:paraId="664F5C9E" w14:textId="77777777" w:rsidR="008F0417" w:rsidRDefault="008F0417" w:rsidP="004A1847">
      <w:pPr>
        <w:spacing w:after="0" w:line="240" w:lineRule="auto"/>
      </w:pPr>
      <w:r>
        <w:continuationSeparator/>
      </w:r>
    </w:p>
  </w:endnote>
  <w:endnote w:type="continuationNotice" w:id="1">
    <w:p w14:paraId="73721363" w14:textId="77777777" w:rsidR="008F0417" w:rsidRDefault="008F04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4020202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5236B" w14:textId="77777777" w:rsidR="008F0417" w:rsidRDefault="008F0417" w:rsidP="004A1847">
      <w:pPr>
        <w:spacing w:after="0" w:line="240" w:lineRule="auto"/>
      </w:pPr>
      <w:r>
        <w:separator/>
      </w:r>
    </w:p>
  </w:footnote>
  <w:footnote w:type="continuationSeparator" w:id="0">
    <w:p w14:paraId="3B4CC699" w14:textId="77777777" w:rsidR="008F0417" w:rsidRDefault="008F0417" w:rsidP="004A1847">
      <w:pPr>
        <w:spacing w:after="0" w:line="240" w:lineRule="auto"/>
      </w:pPr>
      <w:r>
        <w:continuationSeparator/>
      </w:r>
    </w:p>
  </w:footnote>
  <w:footnote w:type="continuationNotice" w:id="1">
    <w:p w14:paraId="3E274164" w14:textId="77777777" w:rsidR="008F0417" w:rsidRDefault="008F0417">
      <w:pPr>
        <w:spacing w:after="0" w:line="240" w:lineRule="auto"/>
      </w:pPr>
    </w:p>
  </w:footnote>
  <w:footnote w:id="2">
    <w:p w14:paraId="69335E42"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1474 de 2011 «</w:t>
      </w:r>
      <w:r w:rsidRPr="00DD6D95">
        <w:rPr>
          <w:rStyle w:val="Strong"/>
          <w:rFonts w:ascii="Verdana" w:eastAsia="Arial" w:hAnsi="Verdana"/>
          <w:b w:val="0"/>
          <w:color w:val="000000"/>
          <w:sz w:val="16"/>
          <w:szCs w:val="16"/>
        </w:rPr>
        <w:t>Artículo 93.</w:t>
      </w:r>
      <w:r w:rsidRPr="00BE1340">
        <w:rPr>
          <w:rStyle w:val="Emphasis"/>
          <w:rFonts w:ascii="Verdana" w:eastAsia="Arial" w:hAnsi="Verdana" w:cs="Arial"/>
          <w:color w:val="000000"/>
          <w:sz w:val="16"/>
          <w:szCs w:val="16"/>
        </w:rPr>
        <w:t> Del régimen contractual de las Empresas Industriales y Comerciales del Estado, las Sociedades de Economía Mixta, sus filiales y empresas con participación mayoritaria del Estado.</w:t>
      </w:r>
      <w:r w:rsidRPr="00BE1340">
        <w:rPr>
          <w:rFonts w:ascii="Verdana" w:hAnsi="Verdana" w:cs="Arial"/>
          <w:color w:val="000000"/>
          <w:sz w:val="16"/>
          <w:szCs w:val="16"/>
        </w:rPr>
        <w:t> Modifíquese el artículo 14 de la Ley 1150 de 2007, el cual quedará así:   </w:t>
      </w:r>
      <w:r w:rsidRPr="00BE1340">
        <w:rPr>
          <w:rFonts w:ascii="Verdana" w:hAnsi="Verdana" w:cs="Arial"/>
          <w:color w:val="000000"/>
          <w:sz w:val="16"/>
          <w:szCs w:val="16"/>
        </w:rPr>
        <w:tab/>
        <w:t>»Las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 </w:t>
      </w:r>
    </w:p>
    <w:p w14:paraId="72B40156" w14:textId="77777777" w:rsidR="002707E7" w:rsidRPr="00BE1340" w:rsidRDefault="002707E7" w:rsidP="002707E7">
      <w:pPr>
        <w:pStyle w:val="FootnoteText"/>
        <w:snapToGrid w:val="0"/>
        <w:contextualSpacing/>
        <w:jc w:val="both"/>
        <w:rPr>
          <w:rFonts w:ascii="Verdana" w:hAnsi="Verdana" w:cs="Arial"/>
          <w:sz w:val="16"/>
          <w:szCs w:val="16"/>
        </w:rPr>
      </w:pPr>
    </w:p>
  </w:footnote>
  <w:footnote w:id="3">
    <w:p w14:paraId="7EA427A4"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489 de 1998 «</w:t>
      </w:r>
      <w:r w:rsidRPr="00DD6D95">
        <w:rPr>
          <w:rStyle w:val="Strong"/>
          <w:rFonts w:ascii="Verdana" w:eastAsia="Arial" w:hAnsi="Verdana"/>
          <w:b w:val="0"/>
          <w:color w:val="000000"/>
          <w:sz w:val="16"/>
          <w:szCs w:val="16"/>
        </w:rPr>
        <w:t xml:space="preserve">Artículo 85. </w:t>
      </w:r>
      <w:r w:rsidRPr="00BE1340">
        <w:rPr>
          <w:rStyle w:val="Emphasis"/>
          <w:rFonts w:ascii="Verdana" w:eastAsia="Arial" w:hAnsi="Verdana" w:cs="Arial"/>
          <w:color w:val="000000"/>
          <w:sz w:val="16"/>
          <w:szCs w:val="16"/>
        </w:rPr>
        <w:t>Empresas industriales y comerciales del Estado. </w:t>
      </w:r>
      <w:r w:rsidRPr="00BE1340">
        <w:rPr>
          <w:rFonts w:ascii="Verdana" w:hAnsi="Verdana" w:cs="Arial"/>
          <w:color w:val="000000"/>
          <w:sz w:val="16"/>
          <w:szCs w:val="16"/>
        </w:rPr>
        <w:t>Las empresas industriales y comerciales del Estado son organismos creados por la ley o autorizados por ésta, que desarrollan actividades de naturaleza industrial o comercial y de gestión económica conforme a las reglas del Derecho Privado, salvo las excepciones que consagra la ley, y que reúnen las siguientes características: </w:t>
      </w:r>
    </w:p>
    <w:p w14:paraId="7A91B1E4"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»a) Personería jurídica; </w:t>
      </w:r>
    </w:p>
    <w:p w14:paraId="426266A6"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»b) Autonomía administrativa y financiera; </w:t>
      </w:r>
    </w:p>
    <w:p w14:paraId="5408BAA8"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»c) Capital independiente, constituido totalmente con bienes o fondos públicos comunes, los productos de ellos, o el rendimiento de tasas que perciban por las funciones o servicios, y contribuciones de destinación especial en los casos autorizados por la Constitución. </w:t>
      </w:r>
    </w:p>
    <w:p w14:paraId="6DED9C64"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El capital de las empresas industriales y comerciales del Estado podrá estar representado en cuotas o acciones de igual valor nominal. </w:t>
      </w:r>
    </w:p>
    <w:p w14:paraId="4F958E9B"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A las empresas industriales y comerciales del Estado y a las sociedades de economía mixta se les aplicará en lo pertinente los artículos 19, numerales 2°, 4°, 5°, 6°, 12, 13, 17, 27, numerales 2°, 3°, 4°, 5°, y 7°, y 183 de la Ley 142 de 1994. </w:t>
      </w:r>
    </w:p>
    <w:p w14:paraId="378CA7E7"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DD6D95">
        <w:rPr>
          <w:rStyle w:val="Strong"/>
          <w:rFonts w:ascii="Verdana" w:eastAsia="Arial" w:hAnsi="Verdana"/>
          <w:b w:val="0"/>
          <w:color w:val="000000"/>
          <w:sz w:val="16"/>
          <w:szCs w:val="16"/>
        </w:rPr>
        <w:t>Parágrafo.</w:t>
      </w:r>
      <w:r w:rsidRPr="00BE1340">
        <w:rPr>
          <w:rFonts w:ascii="Verdana" w:hAnsi="Verdana" w:cs="Arial"/>
          <w:color w:val="000000"/>
          <w:sz w:val="16"/>
          <w:szCs w:val="16"/>
        </w:rPr>
        <w:t> Las disposiciones legales que protegen el secreto industrial y la información comercial se aplicarán a aquellos secretos e informaciones de esa naturaleza que desarrollen y posean las empresas industriales y comerciales del Estado». </w:t>
      </w:r>
    </w:p>
  </w:footnote>
  <w:footnote w:id="4">
    <w:p w14:paraId="2A12095C"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489 de 1998 «</w:t>
      </w:r>
      <w:r w:rsidRPr="00DD6D95">
        <w:rPr>
          <w:rStyle w:val="Strong"/>
          <w:rFonts w:ascii="Verdana" w:eastAsia="Arial" w:hAnsi="Verdana"/>
          <w:b w:val="0"/>
          <w:color w:val="000000"/>
          <w:sz w:val="16"/>
          <w:szCs w:val="16"/>
        </w:rPr>
        <w:t xml:space="preserve">Artículo 68. </w:t>
      </w:r>
      <w:r w:rsidRPr="00BE1340">
        <w:rPr>
          <w:rStyle w:val="Emphasis"/>
          <w:rFonts w:ascii="Verdana" w:eastAsia="Arial" w:hAnsi="Verdana" w:cs="Arial"/>
          <w:color w:val="000000"/>
          <w:sz w:val="16"/>
          <w:szCs w:val="16"/>
        </w:rPr>
        <w:t>Entidades descentralizadas. </w:t>
      </w:r>
      <w:r w:rsidRPr="00BE1340">
        <w:rPr>
          <w:rFonts w:ascii="Verdana" w:hAnsi="Verdana" w:cs="Arial"/>
          <w:color w:val="000000"/>
          <w:sz w:val="16"/>
          <w:szCs w:val="16"/>
        </w:rPr>
        <w:t>Son entidades descentralizadas del orden nacional, los establecimientos públicos, las empresas industriales y comerciales del Estado, las sociedades públicas y las sociedades de economía mixta, las superintendencias y las unidades 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w:t>
      </w:r>
    </w:p>
    <w:p w14:paraId="10FDC9FE"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Como órganos del Estado aun cuando gozan de autonomía administrativa están sujetas al control político y a la suprema dirección del órgano de la administración al cual están adscritas. </w:t>
      </w:r>
    </w:p>
    <w:p w14:paraId="733AD842"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Las entidades descentralizadas se sujetan a las reglas señaladas en la Constitución Política, en la presente ley, en las leyes que las creen y determinen su estructura orgánica y a sus estatutos internos. </w:t>
      </w:r>
    </w:p>
    <w:p w14:paraId="338744A7"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Los organismos y entidades descentralizados, sujetos a regímenes especiales por mandato de la Constitución Política, se someterán a las disposiciones que para ellos establezca la respectiva ley. </w:t>
      </w:r>
    </w:p>
    <w:p w14:paraId="67618B10"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r>
      <w:r w:rsidRPr="00DD6D95">
        <w:rPr>
          <w:rStyle w:val="Strong"/>
          <w:rFonts w:ascii="Verdana" w:eastAsia="Arial" w:hAnsi="Verdana"/>
          <w:b w:val="0"/>
          <w:color w:val="000000"/>
          <w:sz w:val="16"/>
          <w:szCs w:val="16"/>
        </w:rPr>
        <w:t>Parágrafo 1°.</w:t>
      </w:r>
      <w:r w:rsidRPr="00BE1340">
        <w:rPr>
          <w:rFonts w:ascii="Verdana" w:hAnsi="Verdana" w:cs="Arial"/>
          <w:color w:val="000000"/>
          <w:sz w:val="16"/>
          <w:szCs w:val="16"/>
        </w:rPr>
        <w:t> De conformidad con el inciso segundo del artículo 210 de la Constitución Política, el régimen jurídico aquí previsto para las entidades descentralizadas es aplicable a las de las entidades territoriales sin perjuicio de las competencias asignadas por la Constitución y la ley a las autoridades del orden territorial. </w:t>
      </w:r>
    </w:p>
    <w:p w14:paraId="2420E132"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r>
      <w:r w:rsidRPr="00DD6D95">
        <w:rPr>
          <w:rStyle w:val="Strong"/>
          <w:rFonts w:ascii="Verdana" w:eastAsia="Arial" w:hAnsi="Verdana"/>
          <w:b w:val="0"/>
          <w:color w:val="000000"/>
          <w:sz w:val="16"/>
          <w:szCs w:val="16"/>
        </w:rPr>
        <w:t>Parágrafo 2°.</w:t>
      </w:r>
      <w:r w:rsidRPr="00BE1340">
        <w:rPr>
          <w:rFonts w:ascii="Verdana" w:hAnsi="Verdana" w:cs="Arial"/>
          <w:color w:val="000000"/>
          <w:sz w:val="16"/>
          <w:szCs w:val="16"/>
        </w:rPr>
        <w:t> Los organismos o entidades del Sector Descentralizado que tengan como objetivo desarrollar actividades científicas y tecnológicas, se sujetarán a la Legislación de Ciencia y Tecnología y su organización será determinada por el Gobierno Nacional. </w:t>
      </w:r>
    </w:p>
    <w:p w14:paraId="1C6C02B9"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DD6D95">
        <w:rPr>
          <w:rStyle w:val="Strong"/>
          <w:rFonts w:ascii="Verdana" w:eastAsia="Arial" w:hAnsi="Verdana"/>
          <w:b w:val="0"/>
          <w:color w:val="000000"/>
          <w:sz w:val="16"/>
          <w:szCs w:val="16"/>
        </w:rPr>
        <w:t>Parágrafo 3°.</w:t>
      </w:r>
      <w:r w:rsidRPr="00BE1340">
        <w:rPr>
          <w:rFonts w:ascii="Verdana" w:hAnsi="Verdana" w:cs="Arial"/>
          <w:color w:val="000000"/>
          <w:sz w:val="16"/>
          <w:szCs w:val="16"/>
        </w:rPr>
        <w:t> Lo dispuesto en el presente artículo no se aplica a las corporaciones civiles sin ánimo de lucro de derecho privado, vinculadas al Ministerio del Medio Ambiente, creadas por la Ley 99 de 1993. </w:t>
      </w:r>
    </w:p>
    <w:p w14:paraId="76B13896"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bookmarkStart w:id="2" w:name="ver_1833064"/>
      <w:bookmarkEnd w:id="2"/>
      <w:r w:rsidRPr="00DD6D95">
        <w:rPr>
          <w:rStyle w:val="Strong"/>
          <w:rFonts w:ascii="Verdana" w:eastAsia="Arial" w:hAnsi="Verdana"/>
          <w:b w:val="0"/>
          <w:color w:val="000000"/>
          <w:sz w:val="16"/>
          <w:szCs w:val="16"/>
        </w:rPr>
        <w:t>Artículo 69.</w:t>
      </w:r>
      <w:r w:rsidRPr="00BE1340">
        <w:rPr>
          <w:rStyle w:val="Emphasis"/>
          <w:rFonts w:ascii="Verdana" w:eastAsia="Arial" w:hAnsi="Verdana" w:cs="Arial"/>
          <w:color w:val="000000"/>
          <w:sz w:val="16"/>
          <w:szCs w:val="16"/>
        </w:rPr>
        <w:t xml:space="preserve"> Creación de las entidades descentralizadas. </w:t>
      </w:r>
      <w:r w:rsidRPr="00BE1340">
        <w:rPr>
          <w:rFonts w:ascii="Verdana" w:hAnsi="Verdana" w:cs="Arial"/>
          <w:color w:val="000000"/>
          <w:sz w:val="16"/>
          <w:szCs w:val="16"/>
        </w:rPr>
        <w:t>Las entidades descentralizadas, en el orden nacional, se crean por la ley, en el orden departamental, distrital y municipal, por la ordenanza o el acuerdo, o con su autorización, de conformidad con las disposiciones de la presente ley. El proyecto respectivo deberá acompañarse del estudio demostrativo que justifique la iniciativa, con la observancia de los principios señalados en el artículo 209 de la Constitución Política». </w:t>
      </w:r>
    </w:p>
  </w:footnote>
  <w:footnote w:id="5">
    <w:p w14:paraId="07D4DA57"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1122 de 2007. «</w:t>
      </w:r>
      <w:r w:rsidRPr="00DD6D95">
        <w:rPr>
          <w:rStyle w:val="Strong"/>
          <w:rFonts w:ascii="Verdana" w:eastAsia="Arial" w:hAnsi="Verdana"/>
          <w:b w:val="0"/>
          <w:color w:val="000000"/>
          <w:sz w:val="16"/>
          <w:szCs w:val="16"/>
        </w:rPr>
        <w:t xml:space="preserve">Artículo 45. </w:t>
      </w:r>
      <w:r w:rsidRPr="00BE1340">
        <w:rPr>
          <w:rStyle w:val="Emphasis"/>
          <w:rFonts w:ascii="Verdana" w:eastAsia="Arial" w:hAnsi="Verdana" w:cs="Arial"/>
          <w:color w:val="000000"/>
          <w:sz w:val="16"/>
          <w:szCs w:val="16"/>
        </w:rPr>
        <w:t>Régimen de contratación de EPS públicas. </w:t>
      </w:r>
      <w:r w:rsidRPr="00BE1340">
        <w:rPr>
          <w:rFonts w:ascii="Verdana" w:hAnsi="Verdana" w:cs="Arial"/>
          <w:color w:val="000000"/>
          <w:sz w:val="16"/>
          <w:szCs w:val="16"/>
        </w:rPr>
        <w:t>Las Empresas promotoras de Salud del Régimen Subsidiado y Contributivo Públicas tendrán el mismo régimen de contratación que las Empresas Sociales del Estado». </w:t>
      </w:r>
    </w:p>
  </w:footnote>
  <w:footnote w:id="6">
    <w:p w14:paraId="0BC8FB39"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100 de 1993 «Artículo 195. Régimen jurídico. Las Empresas Sociales de Salud se someterán al siguiente régimen jurídico: </w:t>
      </w:r>
    </w:p>
    <w:p w14:paraId="385A755A"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Fonts w:ascii="Verdana" w:hAnsi="Verdana" w:cs="Arial"/>
          <w:sz w:val="16"/>
          <w:szCs w:val="16"/>
        </w:rPr>
        <w:t>[…]</w:t>
      </w:r>
    </w:p>
    <w:p w14:paraId="0154C7A7"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Fonts w:ascii="Verdana" w:hAnsi="Verdana" w:cs="Arial"/>
          <w:sz w:val="16"/>
          <w:szCs w:val="16"/>
        </w:rPr>
        <w:t>6. En materia contractual se regirá por el derecho privado, pero podrá discrecionalmente utilizar las cláusulas exorbitantes previstas en el Estatuto General de Contratación de la Administración Pública».</w:t>
      </w:r>
    </w:p>
  </w:footnote>
  <w:footnote w:id="7">
    <w:p w14:paraId="2C7C0FDC"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489 de 1998 «</w:t>
      </w:r>
      <w:r w:rsidRPr="00DD6D95">
        <w:rPr>
          <w:rStyle w:val="Strong"/>
          <w:rFonts w:ascii="Verdana" w:eastAsia="Arial" w:hAnsi="Verdana"/>
          <w:b w:val="0"/>
          <w:color w:val="000000"/>
          <w:sz w:val="16"/>
          <w:szCs w:val="16"/>
        </w:rPr>
        <w:t>Artículo 97.</w:t>
      </w:r>
      <w:r w:rsidRPr="00BE1340">
        <w:rPr>
          <w:rStyle w:val="Emphasis"/>
          <w:rFonts w:ascii="Verdana" w:eastAsia="Arial" w:hAnsi="Verdana" w:cs="Arial"/>
          <w:color w:val="000000"/>
          <w:sz w:val="16"/>
          <w:szCs w:val="16"/>
        </w:rPr>
        <w:t xml:space="preserve"> Sociedades de economía mixta. </w:t>
      </w:r>
      <w:r w:rsidRPr="00BE1340">
        <w:rPr>
          <w:rFonts w:ascii="Verdana" w:hAnsi="Verdana" w:cs="Arial"/>
          <w:color w:val="000000"/>
          <w:sz w:val="16"/>
          <w:szCs w:val="16"/>
        </w:rPr>
        <w:t>Las sociedades de economía mixta son organismos autorizados por la ley, constituidos bajo la forma de sociedades comerciales con aportes estatales y de capital privado, que desarrollan actividades de naturaleza industrial o comercial conforme a las reglas de Derecho Privado, salvo las excepciones que consagra la ley. </w:t>
      </w:r>
    </w:p>
    <w:p w14:paraId="2E793B9F"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Fonts w:ascii="Verdana" w:hAnsi="Verdana" w:cs="Arial"/>
          <w:color w:val="000000"/>
          <w:sz w:val="16"/>
          <w:szCs w:val="16"/>
        </w:rPr>
        <w:t>Las inversiones temporales de carácter financiero no afectan su naturaleza jurídica ni su régimen. </w:t>
      </w:r>
    </w:p>
    <w:p w14:paraId="7BF119CA"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r>
      <w:r w:rsidRPr="00DD6D95">
        <w:rPr>
          <w:rStyle w:val="Strong"/>
          <w:rFonts w:ascii="Verdana" w:eastAsia="Arial" w:hAnsi="Verdana"/>
          <w:b w:val="0"/>
          <w:color w:val="000000"/>
          <w:sz w:val="16"/>
          <w:szCs w:val="16"/>
        </w:rPr>
        <w:t>Parágrafo.</w:t>
      </w:r>
      <w:r w:rsidRPr="00BE1340">
        <w:rPr>
          <w:rFonts w:ascii="Verdana" w:hAnsi="Verdana" w:cs="Arial"/>
          <w:color w:val="000000"/>
          <w:sz w:val="16"/>
          <w:szCs w:val="16"/>
        </w:rPr>
        <w:t> Los regímenes de las actividades y de los servidores de las sociedades de economía mixta en las cuales el aporte de la Nación, de entidades territoriales y de entidades descentralizadas, sea igual o superior al noventa (90%) del capital social es el de las empresas industriales y comerciales del Estado». </w:t>
      </w:r>
    </w:p>
  </w:footnote>
  <w:footnote w:id="8">
    <w:p w14:paraId="6B774677"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21 de 1982 «</w:t>
      </w:r>
      <w:r w:rsidRPr="00BE1340">
        <w:rPr>
          <w:rFonts w:ascii="Verdana" w:hAnsi="Verdana" w:cs="Arial"/>
          <w:color w:val="000000"/>
          <w:sz w:val="16"/>
          <w:szCs w:val="16"/>
        </w:rPr>
        <w:t>Artículo 39. Las Cajas de Compensación Familiar son personas jurídicas de derecho privado sin ánimo de lucro, organizadas como corporaciones en la forma prevista en el Código Civil, cumplen funciones de seguridad social y se hallan sometidas al control y vigilancia del Estado en la forma establecida por la ley». </w:t>
      </w:r>
    </w:p>
  </w:footnote>
  <w:footnote w:id="9">
    <w:p w14:paraId="59D73100"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454 de 1998 «</w:t>
      </w:r>
      <w:r w:rsidRPr="00DD6D95">
        <w:rPr>
          <w:rStyle w:val="Strong"/>
          <w:rFonts w:ascii="Verdana" w:eastAsia="Arial" w:hAnsi="Verdana"/>
          <w:b w:val="0"/>
          <w:color w:val="000000"/>
          <w:sz w:val="16"/>
          <w:szCs w:val="16"/>
        </w:rPr>
        <w:t xml:space="preserve">Artículo 6°. </w:t>
      </w:r>
      <w:r w:rsidRPr="00BE1340">
        <w:rPr>
          <w:rStyle w:val="Emphasis"/>
          <w:rFonts w:ascii="Verdana" w:eastAsia="Arial" w:hAnsi="Verdana" w:cs="Arial"/>
          <w:color w:val="000000"/>
          <w:sz w:val="16"/>
          <w:szCs w:val="16"/>
        </w:rPr>
        <w:t>Características de las organizaciones de Economía Solidaria. </w:t>
      </w:r>
      <w:r w:rsidRPr="00BE1340">
        <w:rPr>
          <w:rFonts w:ascii="Verdana" w:hAnsi="Verdana" w:cs="Arial"/>
          <w:color w:val="000000"/>
          <w:sz w:val="16"/>
          <w:szCs w:val="16"/>
        </w:rPr>
        <w:t>Son sujetos de la presente ley las personas jurídicas organizadas para realizar actividades sin ánimo de lucro, en las cuales los trabajadores o los usuarios según el caso, son simultáneamente sus aportantes y gestores, creadas con el objeto de producir, distribuir y consumir conjunta y eficientemente, bienes y servicios para satisfacer las necesidades de sus miembros y al desarrollo de obras de servicio a la comunidad en general, observando en su funcionamiento las siguientes características: </w:t>
      </w:r>
    </w:p>
    <w:p w14:paraId="2F7FAAE3"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1. Estar organizada como empresa que contemple en su objeto social, el ejercicio de una actividad socioeconómica, tendiente a satisfacer necesidades de sus asociados y el desarrollo de obras de servicio comunitario. </w:t>
      </w:r>
    </w:p>
    <w:p w14:paraId="4FCB90CB"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2. Tener establecido un vínculo asociativo, fundado en los principios y fines contemplados en la presente ley. </w:t>
      </w:r>
    </w:p>
    <w:p w14:paraId="4F7E9CC7"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3. Tener incluido en sus estatutos o reglas básicas de funcionamiento la ausencia de ánimo de lucro, movida por la solidaridad, el servicio social o comunitario. </w:t>
      </w:r>
    </w:p>
    <w:p w14:paraId="475160C0"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Fonts w:ascii="Verdana" w:hAnsi="Verdana" w:cs="Arial"/>
          <w:color w:val="000000"/>
          <w:sz w:val="16"/>
          <w:szCs w:val="16"/>
        </w:rPr>
        <w:t>4. Garantizar la igualdad de derechos y obligaciones de sus miembros sin consideración a sus aportes. </w:t>
      </w:r>
    </w:p>
    <w:p w14:paraId="17F97327"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BE1340">
        <w:rPr>
          <w:rFonts w:ascii="Verdana" w:hAnsi="Verdana" w:cs="Arial"/>
          <w:color w:val="000000"/>
          <w:sz w:val="16"/>
          <w:szCs w:val="16"/>
        </w:rPr>
        <w:t>5. Establecer en sus estatutos un monto mínimo de aportes sociales no reducibles, debidamente pagados, durante su existencia. </w:t>
      </w:r>
    </w:p>
    <w:p w14:paraId="57C36AFF"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6. Integrarse social y económicamente, sin perjuicio de sus vínculos con otras entidades sin ánimo de lucro que tengan por fin promover el desarrollo integral del ser humano. </w:t>
      </w:r>
    </w:p>
    <w:p w14:paraId="7EEC8B94"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r>
      <w:r w:rsidRPr="00DD6D95">
        <w:rPr>
          <w:rStyle w:val="Strong"/>
          <w:rFonts w:ascii="Verdana" w:eastAsia="Arial" w:hAnsi="Verdana"/>
          <w:b w:val="0"/>
          <w:color w:val="000000"/>
          <w:sz w:val="16"/>
          <w:szCs w:val="16"/>
        </w:rPr>
        <w:t>Parágrafo 1°.</w:t>
      </w:r>
      <w:r w:rsidRPr="00BE1340">
        <w:rPr>
          <w:rFonts w:ascii="Verdana" w:hAnsi="Verdana" w:cs="Arial"/>
          <w:color w:val="000000"/>
          <w:sz w:val="16"/>
          <w:szCs w:val="16"/>
        </w:rPr>
        <w:t> En todo caso, las organizaciones de la economía solidaria deberán cumplir con los siguientes principios económicos: </w:t>
      </w:r>
    </w:p>
    <w:p w14:paraId="53B3AFE4"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1. Establecer la irrepartibilidad de las reservas sociales y, en caso de liquidación, la del remanente patrimonial. </w:t>
      </w:r>
    </w:p>
    <w:p w14:paraId="2F6F92E0"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2. Destinar sus excedentes a la prestación de servicios de carácter social, al crecimiento de sus reservas y fondos, y a reintegrar a sus asociados parte de los mismos en proporción al uso de los servicios o a la participación en el trabajo de la empresa, sin perjuicio de amortizar los aportes y conservarlos en su valor real. </w:t>
      </w:r>
    </w:p>
    <w:p w14:paraId="66625511" w14:textId="77777777" w:rsidR="002707E7" w:rsidRPr="00BE1340" w:rsidRDefault="002707E7" w:rsidP="002707E7">
      <w:pPr>
        <w:pStyle w:val="NormalWeb"/>
        <w:snapToGrid w:val="0"/>
        <w:spacing w:before="0" w:beforeAutospacing="0" w:after="0" w:afterAutospacing="0"/>
        <w:ind w:firstLine="708"/>
        <w:contextualSpacing/>
        <w:jc w:val="both"/>
        <w:rPr>
          <w:rFonts w:ascii="Verdana" w:hAnsi="Verdana" w:cs="Arial"/>
          <w:color w:val="000000"/>
          <w:sz w:val="16"/>
          <w:szCs w:val="16"/>
        </w:rPr>
      </w:pPr>
      <w:r w:rsidRPr="00DD6D95">
        <w:rPr>
          <w:rStyle w:val="Strong"/>
          <w:rFonts w:ascii="Verdana" w:eastAsia="Arial" w:hAnsi="Verdana"/>
          <w:b w:val="0"/>
          <w:color w:val="000000"/>
          <w:sz w:val="16"/>
          <w:szCs w:val="16"/>
        </w:rPr>
        <w:t>Parágrafo 2°.</w:t>
      </w:r>
      <w:r w:rsidRPr="00BE1340">
        <w:rPr>
          <w:rFonts w:ascii="Verdana" w:hAnsi="Verdana" w:cs="Arial"/>
          <w:color w:val="000000"/>
          <w:sz w:val="16"/>
          <w:szCs w:val="16"/>
        </w:rPr>
        <w:t> Tienen el carácter de organizaciones solidarias entre otras: cooperativas, los organismos de segundo y tercer grado que agrupen cooperativas u otras formas asociativas y solidarias de propiedad, las instituciones auxiliares de la Economía solidaria, las empresas comunitarias, las empresas solidarias de salud, las precooperativas, los fondos de empleados, las asociaciones mutualistas, las empresas de servicios en las formas de administraciones públicas cooperativas, las empresas asociativas de trabajo y todas aquellas formas asociativas solidarias que cumplan con las características mencionadas en el presente capítulo». </w:t>
      </w:r>
    </w:p>
  </w:footnote>
  <w:footnote w:id="10">
    <w:p w14:paraId="65666822" w14:textId="77777777" w:rsidR="002707E7" w:rsidRPr="00BE1340" w:rsidRDefault="002707E7" w:rsidP="002707E7">
      <w:pPr>
        <w:pStyle w:val="FootnoteText"/>
        <w:snapToGrid w:val="0"/>
        <w:ind w:firstLine="708"/>
        <w:contextualSpacing/>
        <w:jc w:val="both"/>
        <w:rPr>
          <w:rFonts w:ascii="Verdana" w:hAnsi="Verdana" w:cs="Arial"/>
          <w:sz w:val="16"/>
          <w:szCs w:val="16"/>
          <w:lang w:val="es-ES"/>
        </w:rPr>
      </w:pPr>
      <w:r w:rsidRPr="00BE1340">
        <w:rPr>
          <w:rStyle w:val="FootnoteReference"/>
          <w:rFonts w:ascii="Verdana" w:hAnsi="Verdana" w:cs="Arial"/>
          <w:sz w:val="16"/>
          <w:szCs w:val="16"/>
        </w:rPr>
        <w:footnoteRef/>
      </w:r>
      <w:r w:rsidRPr="00BE1340">
        <w:rPr>
          <w:rFonts w:ascii="Verdana" w:hAnsi="Verdana" w:cs="Arial"/>
          <w:sz w:val="16"/>
          <w:szCs w:val="16"/>
        </w:rPr>
        <w:t xml:space="preserve"> </w:t>
      </w:r>
      <w:bookmarkStart w:id="3" w:name="8"/>
      <w:bookmarkEnd w:id="3"/>
      <w:r w:rsidRPr="00BE1340">
        <w:rPr>
          <w:rFonts w:ascii="Verdana" w:eastAsia="Times New Roman" w:hAnsi="Verdana" w:cs="Arial"/>
          <w:color w:val="000000"/>
          <w:sz w:val="16"/>
          <w:szCs w:val="16"/>
          <w:lang w:val="es-CO" w:eastAsia="es-CO"/>
        </w:rPr>
        <w:t xml:space="preserve">Ley 100 de 1993, </w:t>
      </w:r>
      <w:r w:rsidRPr="00BE1340">
        <w:rPr>
          <w:rFonts w:ascii="Verdana" w:hAnsi="Verdana" w:cs="Arial"/>
          <w:sz w:val="16"/>
          <w:szCs w:val="16"/>
        </w:rPr>
        <w:t>«A</w:t>
      </w:r>
      <w:r w:rsidRPr="00BE1340">
        <w:rPr>
          <w:rFonts w:ascii="Verdana" w:eastAsia="Times New Roman" w:hAnsi="Verdana" w:cs="Arial"/>
          <w:color w:val="000000"/>
          <w:sz w:val="16"/>
          <w:szCs w:val="16"/>
          <w:lang w:val="es-CO" w:eastAsia="es-CO"/>
        </w:rPr>
        <w:t>rtículo 8. Conformación del Sistema de Seguridad Social Integral. El Sistema de Seguridad Social Integral es el conjunto armónico de entidades públicas y privadas, normas y procedimientos y está conformado por los regímenes generales establecidos para pensiones, salud, riesgos profesionales y los servicios sociales complementarios que se definen en la presente</w:t>
      </w:r>
      <w:bookmarkStart w:id="4" w:name="LPHit20"/>
      <w:bookmarkEnd w:id="4"/>
      <w:r w:rsidRPr="00BE1340">
        <w:rPr>
          <w:rFonts w:ascii="Verdana" w:eastAsia="Times New Roman" w:hAnsi="Verdana" w:cs="Arial"/>
          <w:color w:val="000000"/>
          <w:sz w:val="16"/>
          <w:szCs w:val="16"/>
          <w:lang w:val="es-CO" w:eastAsia="es-CO"/>
        </w:rPr>
        <w:t> Ley</w:t>
      </w:r>
      <w:r w:rsidRPr="00BE1340">
        <w:rPr>
          <w:rFonts w:ascii="Verdana" w:hAnsi="Verdana" w:cs="Arial"/>
          <w:color w:val="000000"/>
          <w:sz w:val="16"/>
          <w:szCs w:val="16"/>
        </w:rPr>
        <w:t>»</w:t>
      </w:r>
    </w:p>
  </w:footnote>
  <w:footnote w:id="11">
    <w:p w14:paraId="24B5BCF7" w14:textId="77777777" w:rsidR="002707E7" w:rsidRPr="00BE1340" w:rsidRDefault="002707E7" w:rsidP="002707E7">
      <w:pPr>
        <w:pStyle w:val="paragraph"/>
        <w:snapToGrid w:val="0"/>
        <w:spacing w:before="0" w:beforeAutospacing="0" w:after="0" w:afterAutospacing="0"/>
        <w:ind w:firstLine="709"/>
        <w:contextualSpacing/>
        <w:jc w:val="both"/>
        <w:textAlignment w:val="baseline"/>
        <w:rPr>
          <w:rFonts w:ascii="Verdana" w:hAnsi="Verdana" w:cs="Arial"/>
          <w:color w:val="000000"/>
          <w:sz w:val="16"/>
          <w:szCs w:val="16"/>
        </w:rPr>
      </w:pPr>
      <w:r w:rsidRPr="00BE1340">
        <w:rPr>
          <w:rStyle w:val="FootnoteReference"/>
          <w:rFonts w:ascii="Verdana" w:eastAsia="Yu Gothic Light" w:hAnsi="Verdana" w:cs="Arial"/>
          <w:color w:val="000000"/>
          <w:sz w:val="16"/>
          <w:szCs w:val="16"/>
        </w:rPr>
        <w:footnoteRef/>
      </w:r>
      <w:r w:rsidRPr="00BE1340">
        <w:rPr>
          <w:rFonts w:ascii="Verdana" w:hAnsi="Verdana" w:cs="Arial"/>
          <w:color w:val="000000"/>
          <w:sz w:val="16"/>
          <w:szCs w:val="16"/>
        </w:rPr>
        <w:t xml:space="preserve"> </w:t>
      </w:r>
      <w:r w:rsidRPr="00BE1340">
        <w:rPr>
          <w:rFonts w:ascii="Verdana" w:hAnsi="Verdana" w:cs="Arial"/>
          <w:color w:val="000000"/>
          <w:sz w:val="16"/>
          <w:szCs w:val="16"/>
          <w:lang w:val="es-ES"/>
        </w:rPr>
        <w:t>Ley 489 de 1998, artículo 38, numeral 2, literal f, y artículo 68, numeral 2: “Son entidades descentralizadas del orden nacional, los establecimientos públicos, las empresas industriales y comerciales del Estado, las sociedades públicas y las sociedades de economía mixta, las superintendencias y las unidades 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Como órganos del Estado aun cuando gozan de autonomía administrativa están sujetas al control político y a la suprema dirección del órgano de la administración al cual están adscritas”.</w:t>
      </w:r>
      <w:r w:rsidRPr="00BE1340">
        <w:rPr>
          <w:rFonts w:ascii="Verdana" w:hAnsi="Verdana" w:cs="Arial"/>
          <w:color w:val="000000"/>
          <w:sz w:val="16"/>
          <w:szCs w:val="16"/>
        </w:rPr>
        <w:t>  </w:t>
      </w:r>
    </w:p>
  </w:footnote>
  <w:footnote w:id="12">
    <w:p w14:paraId="6B1F16AF" w14:textId="77777777" w:rsidR="002707E7" w:rsidRPr="00BE1340" w:rsidRDefault="002707E7" w:rsidP="002707E7">
      <w:pPr>
        <w:snapToGrid w:val="0"/>
        <w:spacing w:after="0" w:line="240" w:lineRule="auto"/>
        <w:ind w:firstLine="709"/>
        <w:contextualSpacing/>
        <w:jc w:val="both"/>
        <w:rPr>
          <w:rFonts w:ascii="Verdana" w:hAnsi="Verdana" w:cs="Arial"/>
          <w:sz w:val="16"/>
          <w:szCs w:val="16"/>
          <w:lang w:val="es-ES"/>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lang w:val="es-ES" w:eastAsia="es-MX"/>
        </w:rPr>
        <w:t xml:space="preserve"> Así lo establece la Constitución Política, en el artículo 150, numeral 7, así como en el artículo 300, numeral 7 y en el artículo 313, numeral 6.</w:t>
      </w:r>
    </w:p>
  </w:footnote>
  <w:footnote w:id="13">
    <w:p w14:paraId="22B6384E"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80 de 1993, artículo 2, literal a):</w:t>
      </w:r>
      <w:bookmarkStart w:id="5" w:name="2"/>
      <w:r w:rsidRPr="00BE1340">
        <w:rPr>
          <w:rFonts w:ascii="Verdana" w:hAnsi="Verdana" w:cs="Arial"/>
          <w:sz w:val="16"/>
          <w:szCs w:val="16"/>
        </w:rPr>
        <w:t xml:space="preserve"> “Artículo 2o. de la definición de entidades, servidores y servicios públicos. </w:t>
      </w:r>
      <w:bookmarkEnd w:id="5"/>
      <w:r w:rsidRPr="00BE1340">
        <w:rPr>
          <w:rFonts w:ascii="Verdana" w:hAnsi="Verdana" w:cs="Arial"/>
          <w:sz w:val="16"/>
          <w:szCs w:val="16"/>
        </w:rPr>
        <w:t>Para los solos efectos de esta ley:</w:t>
      </w:r>
    </w:p>
    <w:p w14:paraId="439ABE36"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Fonts w:ascii="Verdana" w:hAnsi="Verdana" w:cs="Arial"/>
          <w:sz w:val="16"/>
          <w:szCs w:val="16"/>
        </w:rPr>
        <w:t>1o. Se denominan entidades estatales:</w:t>
      </w:r>
    </w:p>
    <w:p w14:paraId="227FE819"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Fonts w:ascii="Verdana" w:hAnsi="Verdana" w:cs="Arial"/>
          <w:sz w:val="16"/>
          <w:szCs w:val="16"/>
        </w:rPr>
        <w:t>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p>
    <w:p w14:paraId="1FF7CFB1"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Fonts w:ascii="Verdana" w:hAnsi="Verdana" w:cs="Arial"/>
          <w:sz w:val="16"/>
          <w:szCs w:val="16"/>
        </w:rPr>
        <w:t>[…]”.</w:t>
      </w:r>
    </w:p>
  </w:footnote>
  <w:footnote w:id="14">
    <w:p w14:paraId="00E76D28" w14:textId="77777777" w:rsidR="002707E7" w:rsidRPr="00BE1340" w:rsidRDefault="002707E7" w:rsidP="002707E7">
      <w:pPr>
        <w:pStyle w:val="FootnoteText"/>
        <w:snapToGrid w:val="0"/>
        <w:ind w:firstLine="708"/>
        <w:contextualSpacing/>
        <w:jc w:val="both"/>
        <w:rPr>
          <w:rFonts w:ascii="Verdana" w:hAnsi="Verdana" w:cs="Arial"/>
          <w:sz w:val="16"/>
          <w:szCs w:val="16"/>
        </w:rPr>
      </w:pPr>
    </w:p>
    <w:p w14:paraId="49533F51" w14:textId="77777777" w:rsidR="002707E7" w:rsidRPr="00BE1340" w:rsidRDefault="002707E7" w:rsidP="002707E7">
      <w:pPr>
        <w:pStyle w:val="FootnoteText"/>
        <w:snapToGrid w:val="0"/>
        <w:ind w:firstLine="708"/>
        <w:contextualSpacing/>
        <w:jc w:val="both"/>
        <w:rPr>
          <w:rFonts w:ascii="Verdana" w:hAnsi="Verdana" w:cs="Arial"/>
          <w:sz w:val="16"/>
          <w:szCs w:val="16"/>
        </w:rPr>
      </w:pPr>
      <w:r w:rsidRPr="00BE1340">
        <w:rPr>
          <w:rStyle w:val="FootnoteReference"/>
          <w:rFonts w:ascii="Verdana" w:hAnsi="Verdana" w:cs="Arial"/>
          <w:sz w:val="16"/>
          <w:szCs w:val="16"/>
        </w:rPr>
        <w:footnoteRef/>
      </w:r>
      <w:r w:rsidRPr="00BE1340">
        <w:rPr>
          <w:rFonts w:ascii="Verdana" w:hAnsi="Verdana" w:cs="Arial"/>
          <w:sz w:val="16"/>
          <w:szCs w:val="16"/>
        </w:rPr>
        <w:t xml:space="preserve"> Ley 1150 de 2007, artículo 14: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w:t>
      </w:r>
    </w:p>
  </w:footnote>
  <w:footnote w:id="15">
    <w:p w14:paraId="19B0F194"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BE1340">
        <w:rPr>
          <w:rFonts w:ascii="Verdana" w:hAnsi="Verdana" w:cs="Arial"/>
          <w:color w:val="000000"/>
          <w:sz w:val="16"/>
          <w:szCs w:val="16"/>
          <w:shd w:val="clear" w:color="auto" w:fill="FFFFFF"/>
        </w:rPr>
        <w:t>” (</w:t>
      </w:r>
      <w:r w:rsidRPr="00BE1340">
        <w:rPr>
          <w:rFonts w:ascii="Verdana" w:hAnsi="Verdana" w:cs="Arial"/>
          <w:color w:val="000000"/>
          <w:sz w:val="16"/>
          <w:szCs w:val="16"/>
        </w:rPr>
        <w:t>EXPOSITO, Juan Carlos. Forma y contenido del contrato estatal. Bogotá: Universidad Externado de Colombia, p. 89 y 90).</w:t>
      </w:r>
    </w:p>
  </w:footnote>
  <w:footnote w:id="16">
    <w:p w14:paraId="34306FF7"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lang w:val="es-CO"/>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17">
    <w:p w14:paraId="41442F39" w14:textId="77777777" w:rsidR="002707E7" w:rsidRPr="00BE1340" w:rsidRDefault="002707E7" w:rsidP="002707E7">
      <w:pPr>
        <w:snapToGrid w:val="0"/>
        <w:spacing w:after="0" w:line="240" w:lineRule="auto"/>
        <w:ind w:firstLine="708"/>
        <w:contextualSpacing/>
        <w:jc w:val="both"/>
        <w:rPr>
          <w:rFonts w:ascii="Verdana" w:hAnsi="Verdana" w:cs="Arial"/>
          <w:color w:val="000000"/>
          <w:sz w:val="16"/>
          <w:szCs w:val="16"/>
          <w:lang w:val="es-ES"/>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18">
    <w:p w14:paraId="6FD46509"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EXPÓSITO VÉLEZ, Juan Carlos. Forma y contenido del contrato estatal, p. 90.</w:t>
      </w:r>
    </w:p>
  </w:footnote>
  <w:footnote w:id="19">
    <w:p w14:paraId="4235077A"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CONSEJO DE ESTADO, Sala de Consulta y Servicio Civil. Radicado No. 1453. Concepto de 6 de agosto de 2003. MP. Augusto Trejos.</w:t>
      </w:r>
    </w:p>
  </w:footnote>
  <w:footnote w:id="20">
    <w:p w14:paraId="076C9AE1" w14:textId="77777777" w:rsidR="002707E7" w:rsidRPr="00BE1340" w:rsidRDefault="002707E7" w:rsidP="002707E7">
      <w:pPr>
        <w:pStyle w:val="FootnoteText"/>
        <w:snapToGrid w:val="0"/>
        <w:ind w:firstLine="709"/>
        <w:contextualSpacing/>
        <w:jc w:val="both"/>
        <w:rPr>
          <w:rFonts w:ascii="Verdana" w:hAnsi="Verdana" w:cs="Arial"/>
          <w:color w:val="000000"/>
          <w:sz w:val="16"/>
          <w:szCs w:val="16"/>
          <w:lang w:val="es-CO"/>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CONSEJO DE ESTADO, Sección Tercera, Subsección C, Sentencia del 24 de julio de 2013, radicado No. 25.642, Consejero Ponente Enrique Gil Botero.</w:t>
      </w:r>
    </w:p>
  </w:footnote>
  <w:footnote w:id="21">
    <w:p w14:paraId="6C7E6F1F" w14:textId="77777777" w:rsidR="002707E7" w:rsidRPr="00BE1340" w:rsidRDefault="002707E7" w:rsidP="002707E7">
      <w:pPr>
        <w:pStyle w:val="NormalWeb"/>
        <w:snapToGrid w:val="0"/>
        <w:spacing w:before="0" w:beforeAutospacing="0" w:after="0" w:afterAutospacing="0"/>
        <w:ind w:firstLine="709"/>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Decreto 1082 de 2015 “</w:t>
      </w:r>
      <w:r w:rsidRPr="00DD6D95">
        <w:rPr>
          <w:rStyle w:val="Strong"/>
          <w:rFonts w:ascii="Verdana" w:hAnsi="Verdana" w:cs="Arial"/>
          <w:b w:val="0"/>
          <w:color w:val="000000"/>
          <w:sz w:val="16"/>
          <w:szCs w:val="16"/>
        </w:rPr>
        <w:t>Artículo 2.2.1.2.1.5.2. </w:t>
      </w:r>
      <w:r w:rsidRPr="00BE1340">
        <w:rPr>
          <w:rStyle w:val="Emphasis"/>
          <w:rFonts w:ascii="Verdana" w:eastAsia="MS Mincho" w:hAnsi="Verdana" w:cs="Arial"/>
          <w:color w:val="000000"/>
          <w:sz w:val="16"/>
          <w:szCs w:val="16"/>
        </w:rPr>
        <w:t>Procedimiento para la contratación de mínima cuantía. </w:t>
      </w:r>
      <w:r w:rsidRPr="00BE1340">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4979D9BE"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p w14:paraId="62A33400" w14:textId="77777777" w:rsidR="002707E7" w:rsidRPr="00BE1340" w:rsidRDefault="002707E7" w:rsidP="002707E7">
      <w:pPr>
        <w:pStyle w:val="FootnoteText"/>
        <w:snapToGrid w:val="0"/>
        <w:ind w:firstLine="709"/>
        <w:contextualSpacing/>
        <w:jc w:val="both"/>
        <w:rPr>
          <w:rFonts w:ascii="Verdana" w:hAnsi="Verdana" w:cs="Arial"/>
          <w:color w:val="000000"/>
          <w:sz w:val="16"/>
          <w:szCs w:val="16"/>
          <w:lang w:val="es-CO"/>
        </w:rPr>
      </w:pPr>
      <w:r w:rsidRPr="00BE1340">
        <w:rPr>
          <w:rFonts w:ascii="Verdana" w:hAnsi="Verdana" w:cs="Arial"/>
          <w:color w:val="000000"/>
          <w:sz w:val="16"/>
          <w:szCs w:val="16"/>
        </w:rPr>
        <w:t xml:space="preserve"> </w:t>
      </w:r>
    </w:p>
  </w:footnote>
  <w:footnote w:id="22">
    <w:p w14:paraId="2A0EC602" w14:textId="77777777" w:rsidR="002707E7" w:rsidRPr="00BE1340" w:rsidRDefault="002707E7" w:rsidP="002707E7">
      <w:pPr>
        <w:pStyle w:val="NormalWeb"/>
        <w:snapToGrid w:val="0"/>
        <w:spacing w:before="0" w:beforeAutospacing="0" w:after="0" w:afterAutospacing="0"/>
        <w:ind w:firstLine="720"/>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Ley 80 de 1993 “</w:t>
      </w:r>
      <w:r w:rsidRPr="00DD6D95">
        <w:rPr>
          <w:rStyle w:val="Strong"/>
          <w:rFonts w:ascii="Verdana" w:hAnsi="Verdana" w:cs="Arial"/>
          <w:b w:val="0"/>
          <w:color w:val="000000"/>
          <w:sz w:val="16"/>
          <w:szCs w:val="16"/>
        </w:rPr>
        <w:t>Articulo 39. De la forma del contrato estatal. </w:t>
      </w:r>
      <w:r w:rsidRPr="00BE1340">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13CF04AF"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w:t>
      </w:r>
      <w:bookmarkStart w:id="6" w:name="ver_1790147"/>
      <w:bookmarkStart w:id="7" w:name="ver_30220791"/>
      <w:bookmarkStart w:id="8" w:name="ver_1790148"/>
      <w:bookmarkEnd w:id="6"/>
      <w:bookmarkEnd w:id="7"/>
    </w:p>
    <w:p w14:paraId="07F36BC5" w14:textId="77777777" w:rsidR="002707E7" w:rsidRPr="00BE1340" w:rsidRDefault="002707E7" w:rsidP="002707E7">
      <w:pPr>
        <w:pStyle w:val="NormalWeb"/>
        <w:snapToGrid w:val="0"/>
        <w:spacing w:before="0" w:beforeAutospacing="0" w:after="0" w:afterAutospacing="0"/>
        <w:ind w:firstLine="720"/>
        <w:contextualSpacing/>
        <w:jc w:val="both"/>
        <w:rPr>
          <w:rFonts w:ascii="Verdana" w:hAnsi="Verdana" w:cs="Arial"/>
          <w:color w:val="000000"/>
          <w:sz w:val="16"/>
          <w:szCs w:val="16"/>
        </w:rPr>
      </w:pPr>
      <w:r w:rsidRPr="00DD6D95">
        <w:rPr>
          <w:rStyle w:val="Strong"/>
          <w:rFonts w:ascii="Verdana" w:hAnsi="Verdana" w:cs="Arial"/>
          <w:b w:val="0"/>
          <w:color w:val="000000"/>
          <w:sz w:val="16"/>
          <w:szCs w:val="16"/>
        </w:rPr>
        <w:t>Artículo 40. Del contenido del contrato estatal.</w:t>
      </w:r>
      <w:r w:rsidRPr="00BE1340">
        <w:rPr>
          <w:rFonts w:ascii="Verdana" w:hAnsi="Verdana" w:cs="Arial"/>
          <w:color w:val="000000"/>
          <w:sz w:val="16"/>
          <w:szCs w:val="16"/>
        </w:rPr>
        <w:t> Las estipulaciones de los contratos serán las que de acuerdo con las normas civiles, comerciales y las previstas en esta ley, correspondan a su esencia y naturaleza. </w:t>
      </w:r>
    </w:p>
    <w:p w14:paraId="207A0EE7" w14:textId="77777777" w:rsidR="002707E7" w:rsidRPr="00BE1340" w:rsidRDefault="002707E7" w:rsidP="002707E7">
      <w:pPr>
        <w:pStyle w:val="NormalWeb"/>
        <w:snapToGrid w:val="0"/>
        <w:spacing w:before="0" w:beforeAutospacing="0" w:after="0" w:afterAutospacing="0"/>
        <w:ind w:firstLine="720"/>
        <w:contextualSpacing/>
        <w:jc w:val="both"/>
        <w:rPr>
          <w:rFonts w:ascii="Verdana" w:hAnsi="Verdana" w:cs="Arial"/>
          <w:color w:val="000000"/>
          <w:sz w:val="16"/>
          <w:szCs w:val="16"/>
        </w:rPr>
      </w:pPr>
      <w:r w:rsidRPr="00BE1340">
        <w:rPr>
          <w:rFonts w:ascii="Verdana" w:hAnsi="Verdana" w:cs="Arial"/>
          <w:color w:val="000000"/>
          <w:sz w:val="16"/>
          <w:szCs w:val="16"/>
        </w:rPr>
        <w:t>Las entidades podrán celebrar los contratos y acuerdos que permitan la autonomía de la voluntad y requieran el cumplimiento de los fines estatales. </w:t>
      </w:r>
    </w:p>
    <w:p w14:paraId="059A7F73"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  </w:t>
      </w:r>
    </w:p>
    <w:p w14:paraId="131815DA" w14:textId="77777777" w:rsidR="002707E7" w:rsidRPr="00BE1340" w:rsidRDefault="002707E7" w:rsidP="002707E7">
      <w:pPr>
        <w:pStyle w:val="NormalWeb"/>
        <w:snapToGrid w:val="0"/>
        <w:spacing w:before="0" w:beforeAutospacing="0" w:after="0" w:afterAutospacing="0"/>
        <w:ind w:firstLine="720"/>
        <w:contextualSpacing/>
        <w:jc w:val="both"/>
        <w:rPr>
          <w:rFonts w:ascii="Verdana" w:hAnsi="Verdana" w:cs="Arial"/>
          <w:color w:val="000000"/>
          <w:sz w:val="16"/>
          <w:szCs w:val="16"/>
        </w:rPr>
      </w:pPr>
      <w:bookmarkStart w:id="9" w:name="ver_30161420"/>
      <w:bookmarkStart w:id="10" w:name="ver_1790149"/>
      <w:bookmarkStart w:id="11" w:name="ver_30161408"/>
      <w:bookmarkStart w:id="12" w:name="ver_30161443"/>
      <w:bookmarkEnd w:id="8"/>
      <w:bookmarkEnd w:id="9"/>
      <w:bookmarkEnd w:id="10"/>
      <w:bookmarkEnd w:id="11"/>
      <w:bookmarkEnd w:id="12"/>
      <w:r w:rsidRPr="00DD6D95">
        <w:rPr>
          <w:rStyle w:val="Strong"/>
          <w:rFonts w:ascii="Verdana" w:hAnsi="Verdana" w:cs="Arial"/>
          <w:b w:val="0"/>
          <w:color w:val="000000"/>
          <w:sz w:val="16"/>
          <w:szCs w:val="16"/>
        </w:rPr>
        <w:t>Artículo 41. Del perfeccionamiento del contrato.</w:t>
      </w:r>
      <w:r w:rsidRPr="00BE1340">
        <w:rPr>
          <w:rFonts w:ascii="Verdana" w:hAnsi="Verdana" w:cs="Arial"/>
          <w:color w:val="000000"/>
          <w:sz w:val="16"/>
          <w:szCs w:val="16"/>
        </w:rPr>
        <w:t> Los contratos del Estado se perfeccionan cuando se logre acuerdo sobre el objeto y la contraprestación y éste se eleve a escrito […]”.</w:t>
      </w:r>
    </w:p>
  </w:footnote>
  <w:footnote w:id="23">
    <w:p w14:paraId="1E0B1314" w14:textId="77777777" w:rsidR="002707E7" w:rsidRPr="00BE1340" w:rsidRDefault="002707E7" w:rsidP="002707E7">
      <w:pPr>
        <w:pStyle w:val="FootnoteText"/>
        <w:snapToGrid w:val="0"/>
        <w:ind w:firstLine="709"/>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Ley 80 de 1993 “</w:t>
      </w:r>
      <w:r w:rsidRPr="00DD6D95">
        <w:rPr>
          <w:rStyle w:val="Strong"/>
          <w:rFonts w:ascii="Verdana" w:hAnsi="Verdana" w:cs="Arial"/>
          <w:b w:val="0"/>
          <w:color w:val="000000"/>
          <w:sz w:val="16"/>
          <w:szCs w:val="16"/>
        </w:rPr>
        <w:t>Artículo 77. De la normatividad aplicable en las actuaciones administrativas.</w:t>
      </w:r>
      <w:r w:rsidRPr="00BE1340">
        <w:rPr>
          <w:rFonts w:ascii="Verdana" w:hAnsi="Verdana" w:cs="Arial"/>
          <w:color w:val="000000"/>
          <w:sz w:val="16"/>
          <w:szCs w:val="16"/>
        </w:rPr>
        <w:t> En cuanto sean compatibles con la finalidad y los principios de esta ley, las normas que rigen los procedimientos y actuaciones en la función administrativa, serán aplicables en las actuaciones contractuales. A falta de estas, regirán las disposiciones del Código de Procedimiento Civil […]”. </w:t>
      </w:r>
    </w:p>
  </w:footnote>
  <w:footnote w:id="24">
    <w:p w14:paraId="29E7B9AA" w14:textId="77777777" w:rsidR="002707E7" w:rsidRPr="00BE1340" w:rsidRDefault="002707E7" w:rsidP="002707E7">
      <w:pPr>
        <w:pStyle w:val="NormalWeb"/>
        <w:snapToGrid w:val="0"/>
        <w:spacing w:before="0" w:beforeAutospacing="0" w:after="0" w:afterAutospacing="0"/>
        <w:ind w:firstLine="709"/>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Ley 80 de 1993 “</w:t>
      </w:r>
      <w:r w:rsidRPr="00DD6D95">
        <w:rPr>
          <w:rStyle w:val="Strong"/>
          <w:rFonts w:ascii="Verdana" w:hAnsi="Verdana" w:cs="Arial"/>
          <w:b w:val="0"/>
          <w:color w:val="000000"/>
          <w:sz w:val="16"/>
          <w:szCs w:val="16"/>
        </w:rPr>
        <w:t>Artículo 25. Del principio de economía.</w:t>
      </w:r>
      <w:r w:rsidRPr="00BE1340">
        <w:rPr>
          <w:rFonts w:ascii="Verdana" w:hAnsi="Verdana" w:cs="Arial"/>
          <w:color w:val="000000"/>
          <w:sz w:val="16"/>
          <w:szCs w:val="16"/>
        </w:rPr>
        <w:t> En virtud de este principio: </w:t>
      </w:r>
    </w:p>
    <w:p w14:paraId="39CA689A" w14:textId="77777777" w:rsidR="002707E7" w:rsidRPr="00BE1340" w:rsidRDefault="002707E7" w:rsidP="002707E7">
      <w:pPr>
        <w:pStyle w:val="NormalWeb"/>
        <w:snapToGrid w:val="0"/>
        <w:spacing w:before="0" w:beforeAutospacing="0" w:after="0" w:afterAutospacing="0"/>
        <w:ind w:firstLine="709"/>
        <w:contextualSpacing/>
        <w:jc w:val="both"/>
        <w:rPr>
          <w:rFonts w:ascii="Verdana" w:hAnsi="Verdana" w:cs="Arial"/>
          <w:color w:val="000000"/>
          <w:sz w:val="16"/>
          <w:szCs w:val="16"/>
        </w:rPr>
      </w:pPr>
      <w:r w:rsidRPr="00BE1340">
        <w:rPr>
          <w:rFonts w:ascii="Verdana" w:hAnsi="Verdana" w:cs="Arial"/>
          <w:color w:val="000000"/>
          <w:sz w:val="16"/>
          <w:szCs w:val="16"/>
        </w:rPr>
        <w:t>[…]</w:t>
      </w:r>
    </w:p>
    <w:p w14:paraId="251BBE7A" w14:textId="77777777" w:rsidR="002707E7" w:rsidRPr="00BE1340" w:rsidRDefault="002707E7" w:rsidP="002707E7">
      <w:pPr>
        <w:pStyle w:val="NormalWeb"/>
        <w:snapToGrid w:val="0"/>
        <w:spacing w:before="0" w:beforeAutospacing="0" w:after="0" w:afterAutospacing="0"/>
        <w:ind w:firstLine="709"/>
        <w:contextualSpacing/>
        <w:jc w:val="both"/>
        <w:rPr>
          <w:rFonts w:ascii="Verdana" w:hAnsi="Verdana" w:cs="Arial"/>
          <w:color w:val="000000"/>
          <w:sz w:val="16"/>
          <w:szCs w:val="16"/>
        </w:rPr>
      </w:pPr>
      <w:r w:rsidRPr="00BE1340">
        <w:rPr>
          <w:rFonts w:ascii="Verdana" w:hAnsi="Verdana" w:cs="Arial"/>
          <w:color w:val="000000"/>
          <w:sz w:val="16"/>
          <w:szCs w:val="16"/>
        </w:rPr>
        <w:t>4o. Los trámites se adelantarán con austeridad de tiempo, medios y gastos y se impedirán las dilaciones y los retardos en la ejecución del contrato. </w:t>
      </w:r>
    </w:p>
    <w:p w14:paraId="346722B1" w14:textId="77777777" w:rsidR="002707E7" w:rsidRPr="00BE1340" w:rsidRDefault="002707E7" w:rsidP="002707E7">
      <w:pPr>
        <w:pStyle w:val="NormalWeb"/>
        <w:snapToGrid w:val="0"/>
        <w:spacing w:before="0" w:beforeAutospacing="0" w:after="0" w:afterAutospacing="0"/>
        <w:contextualSpacing/>
        <w:jc w:val="both"/>
        <w:rPr>
          <w:rFonts w:ascii="Verdana" w:hAnsi="Verdana" w:cs="Arial"/>
          <w:color w:val="000000"/>
          <w:sz w:val="16"/>
          <w:szCs w:val="16"/>
        </w:rPr>
      </w:pPr>
      <w:r w:rsidRPr="00BE1340">
        <w:rPr>
          <w:rFonts w:ascii="Verdana" w:hAnsi="Verdana" w:cs="Arial"/>
          <w:color w:val="000000"/>
          <w:sz w:val="16"/>
          <w:szCs w:val="16"/>
        </w:rPr>
        <w:t>  </w:t>
      </w:r>
      <w:r w:rsidRPr="00BE1340">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25">
    <w:p w14:paraId="73AAA801"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lang w:val="es-ES"/>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COLOMBIA COMPRA EFICIENTE. Guía para la Liquidación de los Procesos de Contratación. página 5, disponible en: </w:t>
      </w:r>
      <w:hyperlink r:id="rId1" w:history="1">
        <w:r w:rsidRPr="00BE1340">
          <w:rPr>
            <w:rStyle w:val="Hyperlink"/>
            <w:rFonts w:ascii="Verdana" w:hAnsi="Verdana" w:cs="Arial"/>
            <w:sz w:val="16"/>
            <w:szCs w:val="16"/>
          </w:rPr>
          <w:t xml:space="preserve">https://www.colombiacompra.gov.co/sites/cce_public/files/cce_documents/cce_guia_liquidacion_procesos.pdf  </w:t>
        </w:r>
      </w:hyperlink>
    </w:p>
  </w:footnote>
  <w:footnote w:id="26">
    <w:p w14:paraId="74FC280B"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27">
    <w:p w14:paraId="08992D9A"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CONSEJO DE ESTADO. Sala de Consulta y Servicio Civil. Concepto de 28 de Junio de 2016. Radicación: 2253. C.P. Álvaro Namén Vargas. </w:t>
      </w:r>
    </w:p>
  </w:footnote>
  <w:footnote w:id="28">
    <w:p w14:paraId="77772D4E" w14:textId="77777777" w:rsidR="002707E7" w:rsidRPr="00BE1340" w:rsidRDefault="002707E7" w:rsidP="002707E7">
      <w:pPr>
        <w:pStyle w:val="FootnoteText"/>
        <w:snapToGrid w:val="0"/>
        <w:ind w:firstLine="708"/>
        <w:contextualSpacing/>
        <w:jc w:val="both"/>
        <w:rPr>
          <w:rFonts w:ascii="Verdana" w:hAnsi="Verdana"/>
          <w:color w:val="000000"/>
          <w:sz w:val="16"/>
          <w:szCs w:val="16"/>
          <w:lang w:val="es-ES"/>
        </w:rPr>
      </w:pPr>
      <w:r w:rsidRPr="00BE1340">
        <w:rPr>
          <w:rStyle w:val="FootnoteReference"/>
          <w:rFonts w:ascii="Verdana" w:hAnsi="Verdana" w:cs="Arial"/>
          <w:color w:val="000000"/>
          <w:sz w:val="16"/>
          <w:szCs w:val="16"/>
        </w:rPr>
        <w:footnoteRef/>
      </w:r>
      <w:r w:rsidRPr="00BE1340">
        <w:rPr>
          <w:rFonts w:ascii="Verdana" w:hAnsi="Verdana" w:cs="Arial"/>
          <w:color w:val="000000"/>
          <w:sz w:val="16"/>
          <w:szCs w:val="16"/>
        </w:rPr>
        <w:t xml:space="preserve"> CONSEJO DE ESTADO. Sección Tercera. </w:t>
      </w:r>
      <w:r w:rsidRPr="00BE1340">
        <w:rPr>
          <w:rFonts w:ascii="Verdana" w:hAnsi="Verdana" w:cs="Arial"/>
          <w:color w:val="000000"/>
          <w:sz w:val="16"/>
          <w:szCs w:val="16"/>
          <w:lang w:val="es-CO"/>
        </w:rPr>
        <w:t xml:space="preserve">Sala Plena. Auto del 1 de agosto de 2019. </w:t>
      </w:r>
      <w:r w:rsidRPr="00BE1340">
        <w:rPr>
          <w:rFonts w:ascii="Verdana" w:hAnsi="Verdana" w:cs="Arial"/>
          <w:color w:val="000000"/>
          <w:sz w:val="16"/>
          <w:szCs w:val="16"/>
        </w:rPr>
        <w:t xml:space="preserve">Exp. 62009. C.P. Jaime Enrique Rodríguez Navas. </w:t>
      </w:r>
      <w:r w:rsidRPr="00BE1340">
        <w:rPr>
          <w:rFonts w:ascii="Verdana" w:hAnsi="Verdana"/>
          <w:color w:val="000000"/>
          <w:sz w:val="16"/>
          <w:szCs w:val="16"/>
          <w:lang w:val="es-ES"/>
        </w:rPr>
        <w:t xml:space="preserve"> </w:t>
      </w:r>
    </w:p>
  </w:footnote>
  <w:footnote w:id="29">
    <w:p w14:paraId="32120AAA" w14:textId="77777777" w:rsidR="002707E7" w:rsidRPr="00BE1340" w:rsidRDefault="002707E7" w:rsidP="002707E7">
      <w:pPr>
        <w:pStyle w:val="FootnoteText"/>
        <w:snapToGrid w:val="0"/>
        <w:ind w:firstLine="708"/>
        <w:contextualSpacing/>
        <w:jc w:val="both"/>
        <w:rPr>
          <w:rFonts w:ascii="Verdana" w:hAnsi="Verdana"/>
          <w:sz w:val="16"/>
          <w:szCs w:val="16"/>
          <w:lang w:val="es-ES"/>
        </w:rPr>
      </w:pPr>
      <w:r w:rsidRPr="00BE1340">
        <w:rPr>
          <w:rStyle w:val="FootnoteReference"/>
          <w:rFonts w:ascii="Verdana" w:hAnsi="Verdana"/>
          <w:sz w:val="16"/>
          <w:szCs w:val="16"/>
        </w:rPr>
        <w:footnoteRef/>
      </w:r>
      <w:r w:rsidRPr="00BE1340">
        <w:rPr>
          <w:rFonts w:ascii="Verdana" w:hAnsi="Verdana"/>
          <w:sz w:val="16"/>
          <w:szCs w:val="16"/>
        </w:rPr>
        <w:t xml:space="preserve"> Consejo de Estado, </w:t>
      </w:r>
      <w:r w:rsidRPr="00BE1340">
        <w:rPr>
          <w:rFonts w:ascii="Verdana" w:hAnsi="Verdana" w:cs="Arial"/>
          <w:color w:val="000000"/>
          <w:sz w:val="16"/>
          <w:szCs w:val="16"/>
        </w:rPr>
        <w:t>Sección Tercera, Subsección A, Sentencia del 12 de diciembre de 2022, radicado No. 66.729, Consejera Ponente: MARTA NUBIA VELÁSQUEZ RICO</w:t>
      </w:r>
    </w:p>
  </w:footnote>
  <w:footnote w:id="30">
    <w:p w14:paraId="792FE303"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DÍAZ DÍEZ, Cristian Andrés. La liquidación. Serie: Las Cláusulas del Contrato Estatal. Medellín: Librería Jurídica Sánchez y Centro de Estudios de Derecho Administrativo –CEDA–, 2013. pp. 107-108.</w:t>
      </w:r>
    </w:p>
  </w:footnote>
  <w:footnote w:id="31">
    <w:p w14:paraId="3D24E054" w14:textId="77777777" w:rsidR="002707E7" w:rsidRPr="00BE1340" w:rsidRDefault="002707E7" w:rsidP="002707E7">
      <w:pPr>
        <w:pStyle w:val="FootnoteText"/>
        <w:snapToGrid w:val="0"/>
        <w:ind w:firstLine="709"/>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Conceptos C-494 del 17 de septiembre de 2021, C-759 del 11 de noviembre de 2022.</w:t>
      </w:r>
    </w:p>
  </w:footnote>
  <w:footnote w:id="32">
    <w:p w14:paraId="4ABEC245" w14:textId="77777777" w:rsidR="002707E7" w:rsidRPr="00BE1340" w:rsidRDefault="002707E7" w:rsidP="002707E7">
      <w:pPr>
        <w:pStyle w:val="FootnoteText"/>
        <w:snapToGrid w:val="0"/>
        <w:ind w:firstLine="709"/>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cs="Arial"/>
          <w:color w:val="000000"/>
          <w:sz w:val="16"/>
          <w:szCs w:val="16"/>
        </w:rPr>
        <w:t>Sección Tercera, Subsección A, Sentencia del 20 de mayo de 2024, radicado No. 58.879, Consejera Ponente: María Adriana Marín.</w:t>
      </w:r>
    </w:p>
  </w:footnote>
  <w:footnote w:id="33">
    <w:p w14:paraId="132F9D0C" w14:textId="77777777" w:rsidR="002707E7" w:rsidRPr="00BE1340" w:rsidRDefault="002707E7" w:rsidP="002707E7">
      <w:pPr>
        <w:snapToGrid w:val="0"/>
        <w:spacing w:after="0" w:line="240" w:lineRule="auto"/>
        <w:ind w:firstLine="709"/>
        <w:contextualSpacing/>
        <w:jc w:val="both"/>
        <w:rPr>
          <w:rFonts w:ascii="Verdana" w:hAnsi="Verdana" w:cs="Arial"/>
          <w:color w:val="201F1E"/>
          <w:sz w:val="16"/>
          <w:szCs w:val="16"/>
          <w:bdr w:val="none" w:sz="0" w:space="0" w:color="auto" w:frame="1"/>
          <w:lang w:val="es-ES" w:eastAsia="es-CO"/>
        </w:rPr>
      </w:pPr>
      <w:r w:rsidRPr="00BE1340">
        <w:rPr>
          <w:rStyle w:val="FootnoteReference"/>
          <w:rFonts w:ascii="Verdana" w:hAnsi="Verdana" w:cs="Arial"/>
          <w:sz w:val="16"/>
          <w:szCs w:val="16"/>
        </w:rPr>
        <w:footnoteRef/>
      </w:r>
      <w:r w:rsidRPr="00BE1340">
        <w:rPr>
          <w:rFonts w:ascii="Verdana" w:hAnsi="Verdana" w:cs="Arial"/>
          <w:sz w:val="16"/>
          <w:szCs w:val="16"/>
        </w:rPr>
        <w:t xml:space="preserve"> L</w:t>
      </w:r>
      <w:r w:rsidRPr="00BE1340">
        <w:rPr>
          <w:rFonts w:ascii="Verdana" w:hAnsi="Verdana" w:cs="Arial"/>
          <w:sz w:val="16"/>
          <w:szCs w:val="16"/>
          <w:lang w:val="es-ES"/>
        </w:rPr>
        <w:t xml:space="preserve">a liquidación del contrato también ha sido considerada por la doctrina como un procedimiento y un mecanismo de solución de controversias. En este sentido, véase: Samuel Yong Serrano, </w:t>
      </w:r>
      <w:r w:rsidRPr="00BE1340">
        <w:rPr>
          <w:rFonts w:ascii="Verdana" w:hAnsi="Verdana" w:cs="Arial"/>
          <w:i/>
          <w:iCs/>
          <w:sz w:val="16"/>
          <w:szCs w:val="16"/>
          <w:lang w:val="es-ES"/>
        </w:rPr>
        <w:t>El contrato estatal en el contexto de la nueva legislación</w:t>
      </w:r>
      <w:r w:rsidRPr="00BE1340">
        <w:rPr>
          <w:rFonts w:ascii="Verdana" w:hAnsi="Verdana" w:cs="Arial"/>
          <w:sz w:val="16"/>
          <w:szCs w:val="16"/>
          <w:lang w:val="es-ES"/>
        </w:rPr>
        <w:t xml:space="preserve">, 4ª ed., Grupo editorial Ibáñez, Bogotá, 2015, p. 298; </w:t>
      </w:r>
      <w:r w:rsidRPr="00BE1340">
        <w:rPr>
          <w:rFonts w:ascii="Verdana" w:hAnsi="Verdana" w:cs="Arial"/>
          <w:sz w:val="16"/>
          <w:szCs w:val="16"/>
          <w:lang w:val="es-ES_tradnl"/>
        </w:rPr>
        <w:t xml:space="preserve">Francisco Cuello Duarte, </w:t>
      </w:r>
      <w:r w:rsidRPr="00BE1340">
        <w:rPr>
          <w:rFonts w:ascii="Verdana" w:hAnsi="Verdana" w:cs="Arial"/>
          <w:i/>
          <w:iCs/>
          <w:sz w:val="16"/>
          <w:szCs w:val="16"/>
          <w:lang w:val="es-ES_tradnl"/>
        </w:rPr>
        <w:t xml:space="preserve">Contratos de la administración Pública, </w:t>
      </w:r>
      <w:r w:rsidRPr="00BE1340">
        <w:rPr>
          <w:rFonts w:ascii="Verdana" w:hAnsi="Verdana" w:cs="Arial"/>
          <w:sz w:val="16"/>
          <w:szCs w:val="16"/>
          <w:lang w:val="es-ES_tradnl"/>
        </w:rPr>
        <w:t xml:space="preserve">Tercera edición. </w:t>
      </w:r>
      <w:r w:rsidRPr="00BE1340">
        <w:rPr>
          <w:rFonts w:ascii="Verdana" w:hAnsi="Verdana" w:cs="Arial"/>
          <w:sz w:val="16"/>
          <w:szCs w:val="16"/>
          <w:lang w:val="es-ES_tradnl"/>
        </w:rPr>
        <w:t xml:space="preserve">Ecoe Ediciones, Bogotá, 2009, p. 270; Aída Patricia Hernández Silva, «La liquidación del contrato estatal», </w:t>
      </w:r>
      <w:r w:rsidRPr="00BE1340">
        <w:rPr>
          <w:rFonts w:ascii="Verdana" w:hAnsi="Verdana" w:cs="Arial"/>
          <w:i/>
          <w:iCs/>
          <w:sz w:val="16"/>
          <w:szCs w:val="16"/>
          <w:lang w:val="es-ES_tradnl"/>
        </w:rPr>
        <w:t>en Revista digital de Derecho administrativo</w:t>
      </w:r>
      <w:r w:rsidRPr="00BE1340">
        <w:rPr>
          <w:rFonts w:ascii="Verdana" w:hAnsi="Verdana" w:cs="Arial"/>
          <w:sz w:val="16"/>
          <w:szCs w:val="16"/>
          <w:lang w:val="es-ES_tradnl"/>
        </w:rPr>
        <w:t xml:space="preserve">, Universidad Externado, número 1. 2009, p. 1; Juan Ángel Palacio Hincapié, </w:t>
      </w:r>
      <w:r w:rsidRPr="00BE1340">
        <w:rPr>
          <w:rFonts w:ascii="Verdana" w:hAnsi="Verdana" w:cs="Arial"/>
          <w:i/>
          <w:iCs/>
          <w:sz w:val="16"/>
          <w:szCs w:val="16"/>
          <w:lang w:val="es-ES_tradnl"/>
        </w:rPr>
        <w:t>La contratación de las entidades estatales</w:t>
      </w:r>
      <w:r w:rsidRPr="00BE1340">
        <w:rPr>
          <w:rFonts w:ascii="Verdana" w:hAnsi="Verdana" w:cs="Arial"/>
          <w:sz w:val="16"/>
          <w:szCs w:val="16"/>
          <w:lang w:val="es-ES_tradnl"/>
        </w:rPr>
        <w:t xml:space="preserve">, 5ª ed., Medellín, Librería Jurídica Sánchez, 2005, pp. 335, 338 y 339, y Juan Carlos Expósito Vélez, «La liquidación bilateral de los contratos estatales: un mecanismo alternativo de solución de conflictos», </w:t>
      </w:r>
      <w:r w:rsidRPr="00BE1340">
        <w:rPr>
          <w:rFonts w:ascii="Verdana" w:hAnsi="Verdana" w:cs="Arial"/>
          <w:i/>
          <w:iCs/>
          <w:sz w:val="16"/>
          <w:szCs w:val="16"/>
          <w:lang w:val="es-ES_tradnl"/>
        </w:rPr>
        <w:t xml:space="preserve">en Revista digital de Derecho administrativo, </w:t>
      </w:r>
      <w:r w:rsidRPr="00BE1340">
        <w:rPr>
          <w:rFonts w:ascii="Verdana" w:hAnsi="Verdana" w:cs="Arial"/>
          <w:sz w:val="16"/>
          <w:szCs w:val="16"/>
          <w:lang w:val="es-ES_tradnl"/>
        </w:rPr>
        <w:t>Universidad Externado, número 1. 2009.</w:t>
      </w:r>
    </w:p>
  </w:footnote>
  <w:footnote w:id="34">
    <w:p w14:paraId="24A88FE1" w14:textId="77777777" w:rsidR="002707E7" w:rsidRPr="00BE1340" w:rsidRDefault="002707E7" w:rsidP="002707E7">
      <w:pPr>
        <w:pStyle w:val="FootnoteText"/>
        <w:snapToGrid w:val="0"/>
        <w:ind w:firstLine="709"/>
        <w:contextualSpacing/>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Consejo de Estado, </w:t>
      </w:r>
      <w:r w:rsidRPr="00BE1340">
        <w:rPr>
          <w:rFonts w:ascii="Verdana" w:hAnsi="Verdana" w:cs="Arial"/>
          <w:color w:val="000000"/>
          <w:sz w:val="16"/>
          <w:szCs w:val="16"/>
        </w:rPr>
        <w:t>Sección Tercera, Subsección B, Sentencia del 7 de febrero de 2025, radicado No. 71.036 Consejera Ponente: Fredy Ibarra Martínez.</w:t>
      </w:r>
    </w:p>
  </w:footnote>
  <w:footnote w:id="35">
    <w:p w14:paraId="71A47F41" w14:textId="77777777" w:rsidR="002707E7" w:rsidRPr="00BE1340" w:rsidRDefault="002707E7" w:rsidP="002707E7">
      <w:pPr>
        <w:pStyle w:val="FootnoteText"/>
        <w:snapToGrid w:val="0"/>
        <w:ind w:firstLine="709"/>
        <w:contextualSpacing/>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Consejo de Estado, </w:t>
      </w:r>
      <w:r w:rsidRPr="00BE1340">
        <w:rPr>
          <w:rFonts w:ascii="Verdana" w:hAnsi="Verdana" w:cs="Arial"/>
          <w:color w:val="000000"/>
          <w:sz w:val="16"/>
          <w:szCs w:val="16"/>
        </w:rPr>
        <w:t>Sección Tercera, Subsección A, Sentencia del 20 de mayo de 2024, radicado No. 58.879, Consejera Ponente: María Adriana Marín.</w:t>
      </w:r>
    </w:p>
  </w:footnote>
  <w:footnote w:id="36">
    <w:p w14:paraId="4EB2DC9E" w14:textId="77777777" w:rsidR="002707E7" w:rsidRPr="00BE1340" w:rsidRDefault="002707E7" w:rsidP="002707E7">
      <w:pPr>
        <w:pStyle w:val="FootnoteText"/>
        <w:snapToGrid w:val="0"/>
        <w:ind w:firstLine="709"/>
        <w:contextualSpacing/>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Consejo de Estado, Sala de Consulta </w:t>
      </w:r>
      <w:r>
        <w:rPr>
          <w:rFonts w:ascii="Verdana" w:hAnsi="Verdana"/>
          <w:sz w:val="16"/>
          <w:szCs w:val="16"/>
        </w:rPr>
        <w:t>y</w:t>
      </w:r>
      <w:r w:rsidRPr="00BE1340">
        <w:rPr>
          <w:rFonts w:ascii="Verdana" w:hAnsi="Verdana"/>
          <w:sz w:val="16"/>
          <w:szCs w:val="16"/>
        </w:rPr>
        <w:t xml:space="preserve"> </w:t>
      </w:r>
      <w:r>
        <w:rPr>
          <w:rFonts w:ascii="Verdana" w:hAnsi="Verdana"/>
          <w:sz w:val="16"/>
          <w:szCs w:val="16"/>
        </w:rPr>
        <w:t>S</w:t>
      </w:r>
      <w:r w:rsidRPr="00BE1340">
        <w:rPr>
          <w:rFonts w:ascii="Verdana" w:hAnsi="Verdana"/>
          <w:sz w:val="16"/>
          <w:szCs w:val="16"/>
        </w:rPr>
        <w:t xml:space="preserve">ervicio Civil, </w:t>
      </w:r>
      <w:r w:rsidRPr="00BE1340">
        <w:rPr>
          <w:rFonts w:ascii="Verdana" w:hAnsi="Verdana" w:cs="Arial"/>
          <w:color w:val="000000"/>
          <w:sz w:val="16"/>
          <w:szCs w:val="16"/>
        </w:rPr>
        <w:t>Concepto del 18 de junio de 2016, radicado No. 2253, Consejero Ponente: Álvaro Namén Vargas</w:t>
      </w:r>
    </w:p>
  </w:footnote>
  <w:footnote w:id="37">
    <w:p w14:paraId="3EC68AEA" w14:textId="77777777" w:rsidR="002707E7" w:rsidRPr="00BE1340" w:rsidRDefault="002707E7" w:rsidP="002707E7">
      <w:pPr>
        <w:pStyle w:val="FootnoteText"/>
        <w:snapToGrid w:val="0"/>
        <w:ind w:firstLine="709"/>
        <w:contextualSpacing/>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Consejo de Estado, </w:t>
      </w:r>
      <w:r w:rsidRPr="00BE1340">
        <w:rPr>
          <w:rFonts w:ascii="Verdana" w:hAnsi="Verdana" w:cs="Arial"/>
          <w:color w:val="000000"/>
          <w:sz w:val="16"/>
          <w:szCs w:val="16"/>
        </w:rPr>
        <w:t>Sección Tercera, Subsección A, Sentencia del 20 de mayo de 2024, radicado No. 58.879, Consejera Ponente: María Adriana Marín</w:t>
      </w:r>
    </w:p>
  </w:footnote>
  <w:footnote w:id="38">
    <w:p w14:paraId="61CC13F7"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Style w:val="FootnoteReference"/>
          <w:rFonts w:ascii="Verdana" w:hAnsi="Verdana"/>
          <w:sz w:val="16"/>
          <w:szCs w:val="16"/>
        </w:rPr>
        <w:footnoteRef/>
      </w:r>
      <w:r w:rsidRPr="00BE1340">
        <w:rPr>
          <w:rFonts w:ascii="Verdana" w:hAnsi="Verdana"/>
          <w:sz w:val="16"/>
          <w:szCs w:val="16"/>
        </w:rPr>
        <w:t xml:space="preserve"> Conforme al literal j) del artículo 164.2 de la Ley 1437 de 2011, “En las relativas a contratos el término para demandar será de dos (2) años que se contarán a partir del día siguiente a la ocurrencia de los motivos de hecho o de derecho que les sirvan de fundamento.</w:t>
      </w:r>
    </w:p>
    <w:p w14:paraId="6D26C637"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Cuando se pretenda la nulidad absoluta o relativa del contrato, el término para demandar será de dos (2) años que se empezarán a contar desde el día siguiente al de su perfeccionamiento. En todo caso, podrá demandarse la nulidad absoluta del contrato mientras este se encuentre vigente.</w:t>
      </w:r>
    </w:p>
    <w:p w14:paraId="038F23DF"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En los siguientes contratos, el término de dos (2) años se contará así:</w:t>
      </w:r>
    </w:p>
    <w:p w14:paraId="255FC71A"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i) En los de ejecución instantánea desde el día siguiente a cuando se cumplió o debió cumplirse el objeto del contrato;</w:t>
      </w:r>
    </w:p>
    <w:p w14:paraId="666606E9"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ii) En los que no requieran de liquidación, desde el día siguiente al de la terminación del contrato por cualquier causa;</w:t>
      </w:r>
    </w:p>
    <w:p w14:paraId="73240A02"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iii) En los que requieran de liquidación y esta sea efectuada de común acuerdo por las partes, desde el día siguiente al de la firma del acta;</w:t>
      </w:r>
    </w:p>
    <w:p w14:paraId="48A0E81C"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Fonts w:ascii="Verdana" w:hAnsi="Verdana"/>
          <w:sz w:val="16"/>
          <w:szCs w:val="16"/>
        </w:rPr>
        <w:t>iv) En los que requieran de liquidación y esta sea efectuada unilateralmente por la administración, desde el día siguiente al de la ejecutoria del acto administrativo que la apruebe;</w:t>
      </w:r>
    </w:p>
    <w:p w14:paraId="5FF55DE6"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Fonts w:ascii="Verdana" w:hAnsi="Verdana"/>
          <w:sz w:val="16"/>
          <w:szCs w:val="16"/>
        </w:rPr>
        <w:t>v) En los que requieran de liquidación y esta no se logre por mutuo acuerdo o no se practique por la administración unilateralmente, una vez cumplido el término de dos (2) meses contados a partir del vencimiento del plazo convenido para hacerlo bilateralmente o, en su defecto, del término de los cuatro (4) meses siguientes a la terminación del contrato o la expedición del acto que lo ordene o del acuerdo que la disponga”.</w:t>
      </w:r>
    </w:p>
  </w:footnote>
  <w:footnote w:id="39">
    <w:p w14:paraId="632037B0"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DÍAZ DÍEZ, Cristian Andrés. La liquidación. Serie: Las Cláusulas del Contrato Estatal. Medellín: Librería Jurídica Sánchez y Centro de Estudios de Derecho Administrativo –CEDA–, 2013. pp. 107-108.</w:t>
      </w:r>
    </w:p>
  </w:footnote>
  <w:footnote w:id="40">
    <w:p w14:paraId="660553CB" w14:textId="77777777" w:rsidR="002707E7" w:rsidRPr="00BE1340" w:rsidRDefault="002707E7" w:rsidP="002707E7">
      <w:pPr>
        <w:pStyle w:val="FootnoteText"/>
        <w:snapToGrid w:val="0"/>
        <w:ind w:firstLine="709"/>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sz w:val="16"/>
          <w:szCs w:val="16"/>
          <w:lang w:val="es-CO"/>
        </w:rPr>
        <w:t xml:space="preserve">CONSEJO DE ESTADO. Sección Tercera. Subsección B. C.P. Sentencia del 27 de marzo de 2014. C.P. Danilo Rojas </w:t>
      </w:r>
      <w:r w:rsidRPr="00BE1340">
        <w:rPr>
          <w:rFonts w:ascii="Verdana" w:hAnsi="Verdana"/>
          <w:sz w:val="16"/>
          <w:szCs w:val="16"/>
          <w:lang w:val="es-CO"/>
        </w:rPr>
        <w:t>Betancourth. Exp. 20.912.</w:t>
      </w:r>
    </w:p>
    <w:p w14:paraId="756C926C" w14:textId="77777777" w:rsidR="002707E7" w:rsidRPr="00BE1340" w:rsidRDefault="002707E7" w:rsidP="002707E7">
      <w:pPr>
        <w:pStyle w:val="FootnoteText"/>
        <w:snapToGrid w:val="0"/>
        <w:ind w:firstLine="709"/>
        <w:contextualSpacing/>
        <w:jc w:val="both"/>
        <w:rPr>
          <w:rFonts w:ascii="Verdana" w:hAnsi="Verdana"/>
          <w:sz w:val="16"/>
          <w:szCs w:val="16"/>
          <w:lang w:val="es-CO"/>
        </w:rPr>
      </w:pPr>
    </w:p>
  </w:footnote>
  <w:footnote w:id="41">
    <w:p w14:paraId="613A26DA" w14:textId="77777777" w:rsidR="002707E7" w:rsidRPr="00BE1340" w:rsidRDefault="002707E7" w:rsidP="002707E7">
      <w:pPr>
        <w:pStyle w:val="FootnoteText"/>
        <w:snapToGrid w:val="0"/>
        <w:ind w:firstLine="708"/>
        <w:contextualSpacing/>
        <w:rPr>
          <w:rFonts w:ascii="Verdana" w:hAnsi="Verdana"/>
          <w:sz w:val="16"/>
          <w:szCs w:val="16"/>
          <w:lang w:val="es-ES"/>
        </w:rPr>
      </w:pPr>
      <w:r w:rsidRPr="00BE1340">
        <w:rPr>
          <w:rStyle w:val="FootnoteReference"/>
          <w:rFonts w:ascii="Verdana" w:hAnsi="Verdana"/>
          <w:sz w:val="16"/>
          <w:szCs w:val="16"/>
        </w:rPr>
        <w:footnoteRef/>
      </w:r>
      <w:r w:rsidRPr="00BE1340">
        <w:rPr>
          <w:rFonts w:ascii="Verdana" w:hAnsi="Verdana"/>
          <w:sz w:val="16"/>
          <w:szCs w:val="16"/>
        </w:rPr>
        <w:t xml:space="preserve"> EXPOSITO, Juan Carlos. Op.cit., p. 91. </w:t>
      </w:r>
    </w:p>
  </w:footnote>
  <w:footnote w:id="42">
    <w:p w14:paraId="0EF16F83" w14:textId="77777777" w:rsidR="002707E7" w:rsidRPr="00FE285F" w:rsidRDefault="002707E7" w:rsidP="002707E7">
      <w:pPr>
        <w:pStyle w:val="FootnoteText"/>
        <w:snapToGrid w:val="0"/>
        <w:ind w:firstLine="708"/>
        <w:contextualSpacing/>
        <w:jc w:val="both"/>
        <w:rPr>
          <w:rFonts w:ascii="Verdana" w:hAnsi="Verdana"/>
          <w:sz w:val="16"/>
          <w:szCs w:val="16"/>
        </w:rPr>
      </w:pPr>
      <w:r w:rsidRPr="00BE1340">
        <w:rPr>
          <w:rStyle w:val="FootnoteReference"/>
          <w:rFonts w:ascii="Verdana" w:hAnsi="Verdana"/>
          <w:sz w:val="16"/>
          <w:szCs w:val="16"/>
        </w:rPr>
        <w:footnoteRef/>
      </w:r>
      <w:r w:rsidRPr="00BE1340">
        <w:rPr>
          <w:rFonts w:ascii="Verdana" w:hAnsi="Verdana"/>
          <w:sz w:val="16"/>
          <w:szCs w:val="16"/>
          <w:lang w:val="es-CO"/>
        </w:rPr>
        <w:t xml:space="preserve"> SANTOFIMIO GAMBOA, Jaime Orlando. </w:t>
      </w:r>
      <w:r w:rsidRPr="00BE1340">
        <w:rPr>
          <w:rFonts w:ascii="Verdana" w:hAnsi="Verdana"/>
          <w:sz w:val="16"/>
          <w:szCs w:val="16"/>
        </w:rPr>
        <w:t>Tratado de derecho administrativo: contratación indebida. Tomo IV. Bogotá: Universidad Externado de Colombia, 2004. pp. 388-389.</w:t>
      </w:r>
    </w:p>
  </w:footnote>
  <w:footnote w:id="43">
    <w:p w14:paraId="5F4FA0CC"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sz w:val="16"/>
          <w:szCs w:val="16"/>
          <w:lang w:val="es-CO"/>
        </w:rPr>
        <w:t xml:space="preserve">HERNÁNDEZ SILVA, Aida Patricia. La liquidación del contrato estatal. En: Revista Digital de Derecho Administrativo. Universidad Externado de Colombia, </w:t>
      </w:r>
      <w:r w:rsidRPr="00BE1340">
        <w:rPr>
          <w:rFonts w:ascii="Verdana" w:hAnsi="Verdana"/>
          <w:sz w:val="16"/>
          <w:szCs w:val="16"/>
          <w:lang w:val="es-CO"/>
        </w:rPr>
        <w:t xml:space="preserve">N° 1, 2009. Disponible en línea: </w:t>
      </w:r>
      <w:hyperlink r:id="rId2" w:history="1">
        <w:r w:rsidRPr="00BE1340">
          <w:rPr>
            <w:rStyle w:val="Hyperlink"/>
            <w:rFonts w:ascii="Verdana" w:hAnsi="Verdana"/>
            <w:sz w:val="16"/>
            <w:szCs w:val="16"/>
            <w:lang w:val="es-CO"/>
          </w:rPr>
          <w:t>http://revistas.uexternado.edu.co/index.php/Deradm/article/view/2597 p. 1</w:t>
        </w:r>
      </w:hyperlink>
    </w:p>
    <w:p w14:paraId="0CD89265" w14:textId="77777777" w:rsidR="002707E7" w:rsidRPr="00BE1340" w:rsidRDefault="002707E7" w:rsidP="002707E7">
      <w:pPr>
        <w:pStyle w:val="FootnoteText"/>
        <w:snapToGrid w:val="0"/>
        <w:ind w:firstLine="708"/>
        <w:contextualSpacing/>
        <w:jc w:val="both"/>
        <w:rPr>
          <w:rFonts w:ascii="Verdana" w:hAnsi="Verdana"/>
          <w:sz w:val="16"/>
          <w:szCs w:val="16"/>
          <w:lang w:val="es-CO"/>
        </w:rPr>
      </w:pPr>
    </w:p>
  </w:footnote>
  <w:footnote w:id="44">
    <w:p w14:paraId="6B74EFD3"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sz w:val="16"/>
          <w:szCs w:val="16"/>
          <w:lang w:val="es-CO"/>
        </w:rPr>
        <w:t xml:space="preserve">DÍAZ DÍEZ, Cristián Andrés, </w:t>
      </w:r>
      <w:r w:rsidRPr="00BE1340">
        <w:rPr>
          <w:rFonts w:ascii="Verdana" w:hAnsi="Verdana"/>
          <w:sz w:val="16"/>
          <w:szCs w:val="16"/>
          <w:lang w:val="es-CO"/>
        </w:rPr>
        <w:t>Op.cit. p. 150-152.</w:t>
      </w:r>
    </w:p>
  </w:footnote>
  <w:footnote w:id="45">
    <w:p w14:paraId="00216845"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Style w:val="FootnoteReference"/>
          <w:rFonts w:ascii="Verdana" w:hAnsi="Verdana"/>
          <w:sz w:val="16"/>
          <w:szCs w:val="16"/>
        </w:rPr>
        <w:footnoteRef/>
      </w:r>
      <w:r w:rsidRPr="00BE1340">
        <w:rPr>
          <w:rFonts w:ascii="Verdana" w:hAnsi="Verdana"/>
          <w:sz w:val="16"/>
          <w:szCs w:val="16"/>
        </w:rPr>
        <w:t xml:space="preserve"> “</w:t>
      </w:r>
      <w:r w:rsidRPr="00DD6D95">
        <w:rPr>
          <w:rStyle w:val="Strong"/>
          <w:rFonts w:ascii="Verdana" w:hAnsi="Verdana"/>
          <w:b w:val="0"/>
          <w:color w:val="000000"/>
          <w:sz w:val="16"/>
          <w:szCs w:val="16"/>
          <w:shd w:val="clear" w:color="auto" w:fill="FFFFFF"/>
        </w:rPr>
        <w:t>Artículo</w:t>
      </w:r>
      <w:r w:rsidRPr="00DD6D95">
        <w:rPr>
          <w:rStyle w:val="Strong"/>
          <w:rFonts w:ascii="Verdana" w:hAnsi="Verdana"/>
          <w:b w:val="0"/>
          <w:color w:val="000000"/>
          <w:sz w:val="16"/>
          <w:szCs w:val="16"/>
          <w:shd w:val="clear" w:color="auto" w:fill="FFFFFF"/>
          <w:lang w:val="es-CO"/>
        </w:rPr>
        <w:t xml:space="preserve"> </w:t>
      </w:r>
      <w:r w:rsidRPr="00DD6D95">
        <w:rPr>
          <w:rStyle w:val="Strong"/>
          <w:rFonts w:ascii="Verdana" w:hAnsi="Verdana"/>
          <w:b w:val="0"/>
          <w:color w:val="000000"/>
          <w:sz w:val="16"/>
          <w:szCs w:val="16"/>
          <w:shd w:val="clear" w:color="auto" w:fill="FFFFFF"/>
        </w:rPr>
        <w:t>4.-</w:t>
      </w:r>
      <w:r w:rsidRPr="00BE1340">
        <w:rPr>
          <w:rFonts w:ascii="Verdana" w:hAnsi="Verdana" w:cs="Arial"/>
          <w:i/>
          <w:iCs/>
          <w:color w:val="000000"/>
          <w:sz w:val="16"/>
          <w:szCs w:val="16"/>
          <w:shd w:val="clear" w:color="auto" w:fill="FFFFFF"/>
        </w:rPr>
        <w:t>De los Derechos y Deberes de las Entidades Estatales</w:t>
      </w:r>
      <w:r w:rsidRPr="00BE1340">
        <w:rPr>
          <w:rFonts w:ascii="Verdana" w:hAnsi="Verdana" w:cs="Arial"/>
          <w:color w:val="000000"/>
          <w:sz w:val="16"/>
          <w:szCs w:val="16"/>
          <w:shd w:val="clear" w:color="auto" w:fill="FFFFFF"/>
        </w:rPr>
        <w:t>.</w:t>
      </w:r>
      <w:r w:rsidRPr="00BE1340">
        <w:rPr>
          <w:rFonts w:ascii="Verdana" w:hAnsi="Verdana" w:cs="Arial"/>
          <w:color w:val="000000"/>
          <w:sz w:val="16"/>
          <w:szCs w:val="16"/>
          <w:shd w:val="clear" w:color="auto" w:fill="FFFFFF"/>
          <w:lang w:val="es-CO"/>
        </w:rPr>
        <w:t xml:space="preserve"> </w:t>
      </w:r>
      <w:r w:rsidRPr="00BE1340">
        <w:rPr>
          <w:rFonts w:ascii="Verdana" w:hAnsi="Verdana" w:cs="Arial"/>
          <w:color w:val="000000"/>
          <w:sz w:val="16"/>
          <w:szCs w:val="16"/>
          <w:shd w:val="clear" w:color="auto" w:fill="FFFFFF"/>
        </w:rPr>
        <w:t>Para la consecución de los fines de que trata el artículo anterior, las entidades estatales: […]</w:t>
      </w:r>
    </w:p>
    <w:p w14:paraId="1CA9C0DD"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Fonts w:ascii="Verdana" w:hAnsi="Verdana"/>
          <w:sz w:val="16"/>
          <w:szCs w:val="16"/>
          <w:lang w:val="es-CO"/>
        </w:rPr>
        <w:t>“</w:t>
      </w:r>
      <w:r w:rsidRPr="00BE1340">
        <w:rPr>
          <w:rFonts w:ascii="Verdana" w:hAnsi="Verdana" w:cs="Arial"/>
          <w:color w:val="000000"/>
          <w:sz w:val="16"/>
          <w:szCs w:val="16"/>
          <w:shd w:val="clear" w:color="auto" w:fill="FFFFFF"/>
        </w:rPr>
        <w:t>8o.</w:t>
      </w:r>
      <w:r w:rsidRPr="00BE1340">
        <w:rPr>
          <w:rFonts w:ascii="Verdana" w:hAnsi="Verdana" w:cs="Arial"/>
          <w:color w:val="000000"/>
          <w:sz w:val="16"/>
          <w:szCs w:val="16"/>
          <w:shd w:val="clear" w:color="auto" w:fill="FFFFFF"/>
          <w:lang w:val="es-CO"/>
        </w:rPr>
        <w:t xml:space="preserve"> </w:t>
      </w:r>
      <w:r w:rsidRPr="00BE1340">
        <w:rPr>
          <w:rFonts w:ascii="Verdana" w:hAnsi="Verdana" w:cs="Arial"/>
          <w:color w:val="000000"/>
          <w:sz w:val="16"/>
          <w:szCs w:val="16"/>
          <w:shd w:val="clear" w:color="auto" w:fill="FFFFFF"/>
        </w:rPr>
        <w:t>Adoptarán las medidas necesarias para mantener durante el desarrollo y ejecución del contrato las condiciones técnicas, económicas y financieras existentes al momento de proponer en los casos en que se hubiere realizado licitación o </w:t>
      </w:r>
      <w:r w:rsidRPr="00BE1340">
        <w:rPr>
          <w:rFonts w:ascii="Verdana" w:hAnsi="Verdana" w:cs="Arial"/>
          <w:color w:val="000000"/>
          <w:sz w:val="16"/>
          <w:szCs w:val="16"/>
          <w:u w:val="single"/>
          <w:shd w:val="clear" w:color="auto" w:fill="FFFFFF"/>
        </w:rPr>
        <w:t>concurs</w:t>
      </w:r>
      <w:r w:rsidRPr="00BE1340">
        <w:rPr>
          <w:rFonts w:ascii="Verdana" w:hAnsi="Verdana" w:cs="Arial"/>
          <w:color w:val="000000"/>
          <w:sz w:val="16"/>
          <w:szCs w:val="16"/>
          <w:shd w:val="clear" w:color="auto" w:fill="FFFFFF"/>
        </w:rPr>
        <w:t>o, o de contratar en los casos de contratación directa. Para ello utilizarán los mecanismos de ajuste y revisión de precios, acudirán a los procedimientos de revisión y corrección de tales mecanismos si fracasan los supuestos o hipótesis para la ejecución y pactarán intereses moratorios.</w:t>
      </w:r>
    </w:p>
    <w:p w14:paraId="37588EB1"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Fonts w:ascii="Verdana" w:hAnsi="Verdana" w:cs="Arial"/>
          <w:color w:val="000000"/>
          <w:sz w:val="16"/>
          <w:szCs w:val="16"/>
          <w:shd w:val="clear" w:color="auto" w:fill="FFFFFF"/>
        </w:rPr>
        <w:t>Sin perjuicio de la actualización o revisión de precios, en caso de no haberse pactado intereses moratorios, se aplicará la tasa equivalente al doble del interés legal civil sobre el valor histórico actualizado.</w:t>
      </w:r>
    </w:p>
    <w:p w14:paraId="5B66EB33"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Fonts w:ascii="Verdana" w:hAnsi="Verdana" w:cs="Arial"/>
          <w:color w:val="000000"/>
          <w:sz w:val="16"/>
          <w:szCs w:val="16"/>
          <w:shd w:val="clear" w:color="auto" w:fill="FFFFFF"/>
        </w:rPr>
        <w:t>9o. Actuarán de tal modo que por causas a ellas imputables, no sobrevenga una mayor onerosidad en el cumplimiento de las obligaciones a cargo del contratista. Con este fin, en el menor tiempo posible, corregirán los desajustes que pudieren presentarse y acordarán los mecanismos y procedimientos pertinentes para precaver o solucionar rápida y eficazmente las diferencias o situaciones litigiosas que llegaren a presentarse</w:t>
      </w:r>
      <w:r w:rsidRPr="00BE1340">
        <w:rPr>
          <w:rFonts w:ascii="Verdana" w:hAnsi="Verdana"/>
          <w:color w:val="000000"/>
          <w:sz w:val="16"/>
          <w:szCs w:val="16"/>
        </w:rPr>
        <w:t>”</w:t>
      </w:r>
      <w:r w:rsidRPr="00BE1340">
        <w:rPr>
          <w:rFonts w:ascii="Verdana" w:hAnsi="Verdana" w:cs="Arial"/>
          <w:color w:val="000000"/>
          <w:sz w:val="16"/>
          <w:szCs w:val="16"/>
          <w:shd w:val="clear" w:color="auto" w:fill="FFFFFF"/>
        </w:rPr>
        <w:t>.</w:t>
      </w:r>
    </w:p>
    <w:p w14:paraId="1659E7A2"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Fonts w:ascii="Verdana" w:hAnsi="Verdana"/>
          <w:sz w:val="16"/>
          <w:szCs w:val="16"/>
        </w:rPr>
        <w:t>“</w:t>
      </w:r>
      <w:r w:rsidRPr="00BE1340">
        <w:rPr>
          <w:rFonts w:ascii="Verdana" w:hAnsi="Verdana" w:cs="Arial"/>
          <w:color w:val="000000"/>
          <w:sz w:val="16"/>
          <w:szCs w:val="16"/>
          <w:shd w:val="clear" w:color="auto" w:fill="FFFFFF"/>
        </w:rPr>
        <w:t>Artículo</w:t>
      </w:r>
      <w:r w:rsidRPr="00BE1340">
        <w:rPr>
          <w:rFonts w:ascii="Verdana" w:hAnsi="Verdana" w:cs="Arial"/>
          <w:color w:val="000000"/>
          <w:sz w:val="16"/>
          <w:szCs w:val="16"/>
          <w:shd w:val="clear" w:color="auto" w:fill="FFFFFF"/>
          <w:lang w:val="es-CO"/>
        </w:rPr>
        <w:t xml:space="preserve"> </w:t>
      </w:r>
      <w:r w:rsidRPr="00BE1340">
        <w:rPr>
          <w:rFonts w:ascii="Verdana" w:hAnsi="Verdana" w:cs="Arial"/>
          <w:color w:val="000000"/>
          <w:sz w:val="16"/>
          <w:szCs w:val="16"/>
          <w:shd w:val="clear" w:color="auto" w:fill="FFFFFF"/>
        </w:rPr>
        <w:t>5.-</w:t>
      </w:r>
      <w:r w:rsidRPr="00BE1340">
        <w:rPr>
          <w:rFonts w:ascii="Verdana" w:hAnsi="Verdana" w:cs="Arial"/>
          <w:i/>
          <w:iCs/>
          <w:color w:val="000000"/>
          <w:sz w:val="16"/>
          <w:szCs w:val="16"/>
          <w:shd w:val="clear" w:color="auto" w:fill="FFFFFF"/>
        </w:rPr>
        <w:t>De los Derechos y Deberes de los Contratistas</w:t>
      </w:r>
      <w:r w:rsidRPr="00BE1340">
        <w:rPr>
          <w:rFonts w:ascii="Verdana" w:hAnsi="Verdana" w:cs="Arial"/>
          <w:color w:val="000000"/>
          <w:sz w:val="16"/>
          <w:szCs w:val="16"/>
          <w:shd w:val="clear" w:color="auto" w:fill="FFFFFF"/>
        </w:rPr>
        <w:t>. Para la realización de los fines de que trata el artículo 3o. de esta Ley, los contratistas:</w:t>
      </w:r>
    </w:p>
    <w:p w14:paraId="1217FF1B" w14:textId="77777777" w:rsidR="002707E7" w:rsidRPr="00BE1340" w:rsidRDefault="002707E7" w:rsidP="002707E7">
      <w:pPr>
        <w:pStyle w:val="FootnoteText"/>
        <w:snapToGrid w:val="0"/>
        <w:ind w:firstLine="708"/>
        <w:contextualSpacing/>
        <w:jc w:val="both"/>
        <w:rPr>
          <w:rFonts w:ascii="Verdana" w:hAnsi="Verdana" w:cs="Arial"/>
          <w:color w:val="000000"/>
          <w:sz w:val="16"/>
          <w:szCs w:val="16"/>
          <w:shd w:val="clear" w:color="auto" w:fill="FFFFFF"/>
          <w:lang w:val="es-CO"/>
        </w:rPr>
      </w:pPr>
      <w:r w:rsidRPr="00BE1340">
        <w:rPr>
          <w:rFonts w:ascii="Verdana" w:hAnsi="Verdana" w:cs="Arial"/>
          <w:color w:val="000000"/>
          <w:sz w:val="16"/>
          <w:szCs w:val="16"/>
          <w:shd w:val="clear" w:color="auto" w:fill="FFFFFF"/>
        </w:rPr>
        <w:t>1o. Tendrán derecho a recibir oportunamente la remuneración pactada y a que el valor intrínseco de la misma no se altere o modifique durante la vigencia del contrato.</w:t>
      </w:r>
    </w:p>
    <w:p w14:paraId="3DA26CB3"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Fonts w:ascii="Verdana" w:hAnsi="Verdana" w:cs="Arial"/>
          <w:color w:val="000000"/>
          <w:sz w:val="16"/>
          <w:szCs w:val="16"/>
          <w:shd w:val="clear" w:color="auto" w:fill="FFFFFF"/>
        </w:rPr>
        <w:t>En consecuencia tendrán derecho, previa solicitud, a que la administración les restablezca el equilibrio de la ecuación económica del contrato a un punto de no pérdida por la ocurrencia de situaciones imprevistas que no sean imputables a los contratistas. Si dicho equilibrio se rompe por incumplimiento de la entidad estatal contratante, tendrá que restablecerse la ecuación surgida al momento del nacimiento del contrato</w:t>
      </w:r>
      <w:r w:rsidRPr="00BE1340">
        <w:rPr>
          <w:rFonts w:ascii="Verdana" w:hAnsi="Verdana"/>
          <w:color w:val="000000"/>
          <w:sz w:val="16"/>
          <w:szCs w:val="16"/>
        </w:rPr>
        <w:t>”</w:t>
      </w:r>
      <w:r w:rsidRPr="00BE1340">
        <w:rPr>
          <w:rFonts w:ascii="Verdana" w:hAnsi="Verdana" w:cs="Arial"/>
          <w:color w:val="000000"/>
          <w:sz w:val="16"/>
          <w:szCs w:val="16"/>
          <w:shd w:val="clear" w:color="auto" w:fill="FFFFFF"/>
        </w:rPr>
        <w:t>.</w:t>
      </w:r>
    </w:p>
  </w:footnote>
  <w:footnote w:id="46">
    <w:p w14:paraId="1B30EA38" w14:textId="77777777" w:rsidR="002707E7" w:rsidRPr="00BE1340" w:rsidRDefault="002707E7" w:rsidP="002707E7">
      <w:pPr>
        <w:pStyle w:val="FootnoteText"/>
        <w:snapToGrid w:val="0"/>
        <w:ind w:firstLine="708"/>
        <w:contextualSpacing/>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rPr>
        <w:t xml:space="preserve"> CONSEJO DE ESTADO. Sala Plena. Sección Tercera. Sentencia de Unificación del 19 de noviembre de 2012. </w:t>
      </w:r>
      <w:r w:rsidRPr="00BE1340">
        <w:rPr>
          <w:rFonts w:ascii="Verdana" w:hAnsi="Verdana"/>
          <w:sz w:val="16"/>
          <w:szCs w:val="16"/>
          <w:lang w:val="pt-BR"/>
        </w:rPr>
        <w:t>C.P. Jaime Orlando Santofimio Gamboa. Exp. 249</w:t>
      </w:r>
      <w:r>
        <w:rPr>
          <w:rFonts w:ascii="Verdana" w:hAnsi="Verdana"/>
          <w:sz w:val="16"/>
          <w:szCs w:val="16"/>
          <w:lang w:val="pt-BR"/>
        </w:rPr>
        <w:t>9</w:t>
      </w:r>
      <w:r w:rsidRPr="00BE1340">
        <w:rPr>
          <w:rFonts w:ascii="Verdana" w:hAnsi="Verdana"/>
          <w:sz w:val="16"/>
          <w:szCs w:val="16"/>
          <w:lang w:val="pt-BR"/>
        </w:rPr>
        <w:t>7.</w:t>
      </w:r>
    </w:p>
  </w:footnote>
  <w:footnote w:id="47">
    <w:p w14:paraId="3E961BFE"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lang w:val="pt-BR"/>
        </w:rPr>
        <w:t xml:space="preserve"> PINO RICCI, Jorge. </w:t>
      </w:r>
      <w:r w:rsidRPr="00BE1340">
        <w:rPr>
          <w:rFonts w:ascii="Verdana" w:hAnsi="Verdana"/>
          <w:sz w:val="16"/>
          <w:szCs w:val="16"/>
        </w:rPr>
        <w:t>El régimen jurídico de los contratos estatales. Bogotá: Universidad Externado de Colombia, 2005. pp. 376-377.</w:t>
      </w:r>
    </w:p>
  </w:footnote>
  <w:footnote w:id="48">
    <w:p w14:paraId="1FBCBB36" w14:textId="77777777" w:rsidR="002707E7" w:rsidRPr="00BE1340" w:rsidRDefault="002707E7" w:rsidP="002707E7">
      <w:pPr>
        <w:pStyle w:val="FootnoteText"/>
        <w:snapToGrid w:val="0"/>
        <w:ind w:firstLine="708"/>
        <w:contextualSpacing/>
        <w:jc w:val="both"/>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sz w:val="16"/>
          <w:szCs w:val="16"/>
          <w:lang w:val="es-CO"/>
        </w:rPr>
        <w:t xml:space="preserve">CONSEJO DE ESTADO. Sala Plena. Sección Tercera. Sentencia de Unificación del 19 de noviembre de 2012. </w:t>
      </w:r>
      <w:r w:rsidRPr="00BE1340">
        <w:rPr>
          <w:rFonts w:ascii="Verdana" w:hAnsi="Verdana"/>
          <w:sz w:val="16"/>
          <w:szCs w:val="16"/>
          <w:lang w:val="pt-BR"/>
        </w:rPr>
        <w:t>C.P. Jaime Orlando Santofimio Gamboa. Exp. 249</w:t>
      </w:r>
      <w:r>
        <w:rPr>
          <w:rFonts w:ascii="Verdana" w:hAnsi="Verdana"/>
          <w:sz w:val="16"/>
          <w:szCs w:val="16"/>
          <w:lang w:val="pt-BR"/>
        </w:rPr>
        <w:t>9</w:t>
      </w:r>
      <w:r w:rsidRPr="00BE1340">
        <w:rPr>
          <w:rFonts w:ascii="Verdana" w:hAnsi="Verdana"/>
          <w:sz w:val="16"/>
          <w:szCs w:val="16"/>
          <w:lang w:val="pt-BR"/>
        </w:rPr>
        <w:t>7.</w:t>
      </w:r>
    </w:p>
  </w:footnote>
  <w:footnote w:id="49">
    <w:p w14:paraId="2666DB96" w14:textId="77777777" w:rsidR="002707E7" w:rsidRPr="00BE1340" w:rsidRDefault="002707E7" w:rsidP="002707E7">
      <w:pPr>
        <w:pStyle w:val="FootnoteText"/>
        <w:snapToGrid w:val="0"/>
        <w:ind w:firstLine="708"/>
        <w:contextualSpacing/>
        <w:jc w:val="both"/>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lang w:val="pt-BR"/>
        </w:rPr>
        <w:t xml:space="preserve"> CONSEJO DE ESTADO. </w:t>
      </w:r>
      <w:r w:rsidRPr="00BE1340">
        <w:rPr>
          <w:rFonts w:ascii="Verdana" w:hAnsi="Verdana"/>
          <w:sz w:val="16"/>
          <w:szCs w:val="16"/>
        </w:rPr>
        <w:t xml:space="preserve">Sala Plena. Sección Tercera. Sentencia de Unificación del 31 de julio de 2025. </w:t>
      </w:r>
      <w:r w:rsidRPr="00BE1340">
        <w:rPr>
          <w:rFonts w:ascii="Verdana" w:hAnsi="Verdana"/>
          <w:sz w:val="16"/>
          <w:szCs w:val="16"/>
          <w:lang w:val="pt-BR"/>
        </w:rPr>
        <w:t xml:space="preserve">C.P. Fernando Alexei Pardo </w:t>
      </w:r>
      <w:r w:rsidRPr="00BE1340">
        <w:rPr>
          <w:rFonts w:ascii="Verdana" w:hAnsi="Verdana"/>
          <w:sz w:val="16"/>
          <w:szCs w:val="16"/>
          <w:lang w:val="pt-BR"/>
        </w:rPr>
        <w:t xml:space="preserve">Flórez. Exp. 57464. </w:t>
      </w:r>
    </w:p>
    <w:p w14:paraId="5302E295" w14:textId="77777777" w:rsidR="002707E7" w:rsidRPr="00BE1340" w:rsidRDefault="002707E7" w:rsidP="002707E7">
      <w:pPr>
        <w:pStyle w:val="FootnoteText"/>
        <w:snapToGrid w:val="0"/>
        <w:ind w:firstLine="708"/>
        <w:contextualSpacing/>
        <w:jc w:val="both"/>
        <w:rPr>
          <w:rFonts w:ascii="Verdana" w:hAnsi="Verdana"/>
          <w:sz w:val="16"/>
          <w:szCs w:val="16"/>
          <w:lang w:val="pt-BR"/>
        </w:rPr>
      </w:pPr>
    </w:p>
  </w:footnote>
  <w:footnote w:id="50">
    <w:p w14:paraId="30BB46D8" w14:textId="77777777" w:rsidR="002707E7" w:rsidRPr="00BE1340" w:rsidRDefault="002707E7" w:rsidP="002707E7">
      <w:pPr>
        <w:pStyle w:val="FootnoteText"/>
        <w:snapToGrid w:val="0"/>
        <w:ind w:firstLine="708"/>
        <w:contextualSpacing/>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lang w:val="pt-BR"/>
        </w:rPr>
        <w:t xml:space="preserve"> Ibídem. </w:t>
      </w:r>
    </w:p>
  </w:footnote>
  <w:footnote w:id="51">
    <w:p w14:paraId="1B99A8B5" w14:textId="77777777" w:rsidR="002707E7" w:rsidRPr="00BE1340" w:rsidRDefault="002707E7" w:rsidP="002707E7">
      <w:pPr>
        <w:pStyle w:val="FootnoteText"/>
        <w:snapToGrid w:val="0"/>
        <w:ind w:firstLine="708"/>
        <w:contextualSpacing/>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lang w:val="pt-BR"/>
        </w:rPr>
        <w:t xml:space="preserve"> Ibídem.  </w:t>
      </w:r>
    </w:p>
  </w:footnote>
  <w:footnote w:id="52">
    <w:p w14:paraId="70E9F23B" w14:textId="77777777" w:rsidR="002707E7" w:rsidRPr="00BE1340" w:rsidRDefault="002707E7" w:rsidP="002707E7">
      <w:pPr>
        <w:pStyle w:val="FootnoteText"/>
        <w:snapToGrid w:val="0"/>
        <w:ind w:firstLine="708"/>
        <w:contextualSpacing/>
        <w:rPr>
          <w:rFonts w:ascii="Verdana" w:hAnsi="Verdana"/>
          <w:sz w:val="16"/>
          <w:szCs w:val="16"/>
          <w:lang w:val="pt-BR"/>
        </w:rPr>
      </w:pPr>
      <w:r w:rsidRPr="00BE1340">
        <w:rPr>
          <w:rStyle w:val="FootnoteReference"/>
          <w:rFonts w:ascii="Verdana" w:hAnsi="Verdana"/>
          <w:sz w:val="16"/>
          <w:szCs w:val="16"/>
        </w:rPr>
        <w:footnoteRef/>
      </w:r>
      <w:r w:rsidRPr="00BE1340">
        <w:rPr>
          <w:rFonts w:ascii="Verdana" w:hAnsi="Verdana"/>
          <w:sz w:val="16"/>
          <w:szCs w:val="16"/>
          <w:lang w:val="pt-BR"/>
        </w:rPr>
        <w:t xml:space="preserve"> Ibídem. </w:t>
      </w:r>
    </w:p>
  </w:footnote>
  <w:footnote w:id="53">
    <w:p w14:paraId="59FEB067" w14:textId="77777777" w:rsidR="002707E7" w:rsidRPr="00BE1340" w:rsidRDefault="002707E7" w:rsidP="002707E7">
      <w:pPr>
        <w:pStyle w:val="FootnoteText"/>
        <w:snapToGrid w:val="0"/>
        <w:ind w:firstLine="709"/>
        <w:contextualSpacing/>
        <w:jc w:val="both"/>
        <w:rPr>
          <w:rFonts w:ascii="Verdana" w:hAnsi="Verdana" w:cs="Open Sans"/>
          <w:color w:val="000000" w:themeColor="text1"/>
          <w:sz w:val="16"/>
          <w:szCs w:val="16"/>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color w:val="000000" w:themeColor="text1"/>
          <w:sz w:val="16"/>
          <w:szCs w:val="16"/>
        </w:rPr>
        <w:t xml:space="preserve">El </w:t>
      </w:r>
      <w:r w:rsidRPr="00BE1340">
        <w:rPr>
          <w:rFonts w:ascii="Verdana" w:eastAsia="Times New Roman" w:hAnsi="Verdana" w:cs="Arial"/>
          <w:color w:val="000000" w:themeColor="text1"/>
          <w:sz w:val="16"/>
          <w:szCs w:val="16"/>
          <w:lang w:val="es-ES" w:eastAsia="es-ES_tradnl"/>
        </w:rPr>
        <w:t xml:space="preserve">numeral 6° del artículo 25 de la Ley 80 de 1993 dispone que: </w:t>
      </w:r>
      <w:r w:rsidRPr="00BE1340">
        <w:rPr>
          <w:rFonts w:ascii="Verdana" w:hAnsi="Verdana" w:cs="Open Sans"/>
          <w:color w:val="000000" w:themeColor="text1"/>
          <w:sz w:val="16"/>
          <w:szCs w:val="16"/>
        </w:rPr>
        <w:t>Las entidades estatales abrirán licitaciones e iniciarán procesos de suscripción de contratos, cuando existan las respectivas partidas o disponibilidades presupuestales.</w:t>
      </w:r>
    </w:p>
    <w:p w14:paraId="1AC239B6" w14:textId="77777777" w:rsidR="002707E7" w:rsidRPr="00BE1340" w:rsidRDefault="002707E7" w:rsidP="002707E7">
      <w:pPr>
        <w:pStyle w:val="FootnoteText"/>
        <w:snapToGrid w:val="0"/>
        <w:ind w:firstLine="709"/>
        <w:contextualSpacing/>
        <w:jc w:val="both"/>
        <w:rPr>
          <w:rFonts w:ascii="Verdana" w:hAnsi="Verdana"/>
          <w:color w:val="000000" w:themeColor="text1"/>
          <w:sz w:val="16"/>
          <w:szCs w:val="16"/>
          <w:lang w:val="es-CO"/>
        </w:rPr>
      </w:pPr>
    </w:p>
  </w:footnote>
  <w:footnote w:id="54">
    <w:p w14:paraId="282CA9E0" w14:textId="77777777" w:rsidR="002707E7" w:rsidRPr="00BE1340" w:rsidRDefault="002707E7" w:rsidP="002707E7">
      <w:pPr>
        <w:pStyle w:val="FootnoteText"/>
        <w:snapToGrid w:val="0"/>
        <w:ind w:firstLine="709"/>
        <w:contextualSpacing/>
        <w:jc w:val="both"/>
        <w:rPr>
          <w:rFonts w:ascii="Verdana" w:hAnsi="Verdana" w:cs="Arial"/>
          <w:color w:val="000000" w:themeColor="text1"/>
          <w:sz w:val="16"/>
          <w:szCs w:val="16"/>
          <w:lang w:val="es-CO" w:eastAsia="es-ES_tradnl"/>
        </w:rPr>
      </w:pPr>
      <w:r w:rsidRPr="00BE1340">
        <w:rPr>
          <w:rStyle w:val="FootnoteReference"/>
          <w:rFonts w:ascii="Verdana" w:hAnsi="Verdana"/>
          <w:color w:val="000000" w:themeColor="text1"/>
          <w:sz w:val="16"/>
          <w:szCs w:val="16"/>
        </w:rPr>
        <w:footnoteRef/>
      </w:r>
      <w:r w:rsidRPr="00BE1340">
        <w:rPr>
          <w:rFonts w:ascii="Verdana" w:hAnsi="Verdana"/>
          <w:color w:val="000000" w:themeColor="text1"/>
          <w:sz w:val="16"/>
          <w:szCs w:val="16"/>
        </w:rPr>
        <w:t xml:space="preserve"> El </w:t>
      </w:r>
      <w:r w:rsidRPr="00BE1340">
        <w:rPr>
          <w:rFonts w:ascii="Verdana" w:eastAsia="Times New Roman" w:hAnsi="Verdana" w:cs="Arial"/>
          <w:color w:val="000000" w:themeColor="text1"/>
          <w:sz w:val="16"/>
          <w:szCs w:val="16"/>
          <w:lang w:val="es-ES" w:eastAsia="es-ES_tradnl"/>
        </w:rPr>
        <w:t>artículo 71 del Decreto 111 de 1996 –Estatuto Orgánico del Presupuesto- establece que: “</w:t>
      </w:r>
      <w:r w:rsidRPr="00BE1340">
        <w:rPr>
          <w:rFonts w:ascii="Verdana" w:hAnsi="Verdana" w:cs="Arial"/>
          <w:color w:val="000000" w:themeColor="text1"/>
          <w:sz w:val="16"/>
          <w:szCs w:val="16"/>
          <w:lang w:val="es-CO" w:eastAsia="es-ES_tradnl"/>
        </w:rPr>
        <w:t>Todos los actos administrativos que afecten las apropiaciones presupuestales deberán contar con certificados de disponibilidad previos que garanticen la existencia de apropiación suficiente para atender estos gastos.</w:t>
      </w:r>
    </w:p>
    <w:p w14:paraId="547DB70A" w14:textId="77777777" w:rsidR="002707E7" w:rsidRPr="00BE1340" w:rsidRDefault="002707E7" w:rsidP="002707E7">
      <w:pPr>
        <w:pStyle w:val="FootnoteText"/>
        <w:snapToGrid w:val="0"/>
        <w:ind w:firstLine="709"/>
        <w:contextualSpacing/>
        <w:jc w:val="both"/>
        <w:rPr>
          <w:rFonts w:ascii="Verdana" w:eastAsia="Times New Roman" w:hAnsi="Verdana" w:cs="Arial"/>
          <w:color w:val="1A1A1A" w:themeColor="background1" w:themeShade="1A"/>
          <w:sz w:val="16"/>
          <w:szCs w:val="16"/>
          <w:lang w:val="es-CO" w:eastAsia="es-ES_tradnl"/>
        </w:rPr>
      </w:pPr>
      <w:r w:rsidRPr="00BE1340">
        <w:rPr>
          <w:rFonts w:ascii="Verdana" w:eastAsia="Times New Roman" w:hAnsi="Verdana" w:cs="Arial"/>
          <w:color w:val="000000" w:themeColor="text1"/>
          <w:sz w:val="16"/>
          <w:szCs w:val="16"/>
          <w:lang w:val="es-CO" w:eastAsia="es-ES_tradnl"/>
        </w:rPr>
        <w:t xml:space="preserve">Igualmente, estos compromisos deberán contar con registro presupuestal para que los recursos con él financiados no sean desviados a ningún otro fin </w:t>
      </w:r>
      <w:r w:rsidRPr="00BE1340">
        <w:rPr>
          <w:rFonts w:ascii="Verdana" w:eastAsia="Times New Roman" w:hAnsi="Verdana" w:cs="Arial"/>
          <w:color w:val="000000" w:themeColor="text1"/>
          <w:sz w:val="16"/>
          <w:szCs w:val="16"/>
          <w:lang w:val="es-ES" w:eastAsia="es-ES_tradnl"/>
        </w:rPr>
        <w:t>[…]</w:t>
      </w:r>
      <w:r w:rsidRPr="00BE1340">
        <w:rPr>
          <w:rFonts w:ascii="Verdana" w:eastAsia="Times New Roman" w:hAnsi="Verdana" w:cs="Arial"/>
          <w:color w:val="000000" w:themeColor="text1"/>
          <w:sz w:val="16"/>
          <w:szCs w:val="16"/>
          <w:lang w:val="es-CO" w:eastAsia="es-ES_tradnl"/>
        </w:rPr>
        <w:t>”</w:t>
      </w:r>
      <w:r w:rsidRPr="00BE1340">
        <w:rPr>
          <w:rFonts w:ascii="Verdana" w:eastAsia="Times New Roman" w:hAnsi="Verdana" w:cs="Arial"/>
          <w:color w:val="1A1A1A" w:themeColor="background1" w:themeShade="1A"/>
          <w:sz w:val="16"/>
          <w:szCs w:val="16"/>
          <w:lang w:val="es-CO" w:eastAsia="es-ES_tradnl"/>
        </w:rPr>
        <w:t>.</w:t>
      </w:r>
    </w:p>
  </w:footnote>
  <w:footnote w:id="55">
    <w:p w14:paraId="75E3CB1A" w14:textId="77777777" w:rsidR="002707E7" w:rsidRPr="00FC0260" w:rsidRDefault="002707E7" w:rsidP="002707E7">
      <w:pPr>
        <w:pStyle w:val="FootnoteText"/>
        <w:ind w:firstLine="708"/>
        <w:rPr>
          <w:lang w:val="es-ES"/>
        </w:rPr>
      </w:pPr>
      <w:r>
        <w:rPr>
          <w:rStyle w:val="FootnoteReference"/>
        </w:rPr>
        <w:footnoteRef/>
      </w:r>
      <w:r>
        <w:t xml:space="preserve"> </w:t>
      </w:r>
      <w:r w:rsidRPr="00490EBC">
        <w:rPr>
          <w:lang w:val="es-CO"/>
        </w:rPr>
        <w:t>CONSEJO DE ESTADO. Sala de lo Contencioso Administrativo. Sección Quinta. Sentencia de tutela del 6 de agosto de 2020. C.P. Carlos Enrique Moreno Rubio. Rad. 11001-03-15-000-2020-02724-00 (AC).</w:t>
      </w:r>
    </w:p>
  </w:footnote>
  <w:footnote w:id="56">
    <w:p w14:paraId="3EF3A7CC"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Style w:val="FootnoteReference"/>
          <w:rFonts w:ascii="Verdana" w:hAnsi="Verdana"/>
          <w:sz w:val="16"/>
          <w:szCs w:val="16"/>
        </w:rPr>
        <w:footnoteRef/>
      </w:r>
      <w:r w:rsidRPr="00BE1340">
        <w:rPr>
          <w:rFonts w:ascii="Verdana" w:hAnsi="Verdana"/>
          <w:sz w:val="16"/>
          <w:szCs w:val="16"/>
        </w:rPr>
        <w:t xml:space="preserve"> El artículo 1742 del Código Civil dispone que “La nulidad absoluta puede y debe ser declarada por el juez, aun sin petición de parte, cuando aparezca de manifiesto en el acto o contrato; puede alegarse por todo el que tenga interés en ello; puede así mismo pedirse su declaración por el Ministerio Público en el interés de la moral o de la ley. Cuando no es generada por objeto o causa ilícitos, puede sanearse por la ratificación de las partes y en todo caso por prescripción extraordinaria”. Por su parte, el artículo 1743 </w:t>
      </w:r>
      <w:r w:rsidRPr="00BE1340">
        <w:rPr>
          <w:rFonts w:ascii="Verdana" w:hAnsi="Verdana"/>
          <w:i/>
          <w:iCs/>
          <w:sz w:val="16"/>
          <w:szCs w:val="16"/>
        </w:rPr>
        <w:t>ibidem</w:t>
      </w:r>
      <w:r w:rsidRPr="00BE1340">
        <w:rPr>
          <w:rFonts w:ascii="Verdana" w:hAnsi="Verdana"/>
          <w:sz w:val="16"/>
          <w:szCs w:val="16"/>
        </w:rPr>
        <w:t xml:space="preserve"> indica lo siguiente: “La nulidad relativa no puede ser declarada por el juez o prefecto sino a pedimento de parte; ni puede pedirse su declaración por el Ministerio Público en el solo interés de la ley; ni puede alegarse sino por aquellos en cuyo beneficio la han establecido las leyes, o por sus herederos o cesionarios; y puede sanearse por el lapso de tiempo o por ratificación de las partes”. </w:t>
      </w:r>
    </w:p>
  </w:footnote>
  <w:footnote w:id="57">
    <w:p w14:paraId="2479009F" w14:textId="77777777" w:rsidR="002707E7" w:rsidRPr="00BE1340" w:rsidRDefault="002707E7" w:rsidP="002707E7">
      <w:pPr>
        <w:pStyle w:val="FootnoteText"/>
        <w:snapToGrid w:val="0"/>
        <w:ind w:firstLine="708"/>
        <w:contextualSpacing/>
        <w:jc w:val="both"/>
        <w:rPr>
          <w:rFonts w:ascii="Verdana" w:hAnsi="Verdana"/>
          <w:sz w:val="16"/>
          <w:szCs w:val="16"/>
        </w:rPr>
      </w:pPr>
      <w:r w:rsidRPr="00BE1340">
        <w:rPr>
          <w:rStyle w:val="FootnoteReference"/>
          <w:rFonts w:ascii="Verdana" w:hAnsi="Verdana"/>
          <w:sz w:val="16"/>
          <w:szCs w:val="16"/>
        </w:rPr>
        <w:footnoteRef/>
      </w:r>
      <w:r w:rsidRPr="00BE1340">
        <w:rPr>
          <w:rFonts w:ascii="Verdana" w:hAnsi="Verdana"/>
          <w:sz w:val="16"/>
          <w:szCs w:val="16"/>
        </w:rPr>
        <w:t xml:space="preserve"> El artículo 898 del Código de Comercio indica que “La ratificación expresa de las partes dando cumplimiento a las solemnidades pertinentes perfeccionará el </w:t>
      </w:r>
      <w:r w:rsidRPr="00BE1340">
        <w:rPr>
          <w:rFonts w:ascii="Verdana" w:hAnsi="Verdana"/>
          <w:i/>
          <w:iCs/>
          <w:sz w:val="16"/>
          <w:szCs w:val="16"/>
        </w:rPr>
        <w:t>acto inexistente</w:t>
      </w:r>
      <w:r w:rsidRPr="00BE1340">
        <w:rPr>
          <w:rFonts w:ascii="Verdana" w:hAnsi="Verdana"/>
          <w:sz w:val="16"/>
          <w:szCs w:val="16"/>
        </w:rPr>
        <w:t xml:space="preserve"> en la fecha de tal ratificación, sin perjuicio de terceros de buena fe exenta de culpa.</w:t>
      </w:r>
    </w:p>
    <w:p w14:paraId="5119A07D" w14:textId="77777777" w:rsidR="002707E7" w:rsidRPr="00BE1340" w:rsidRDefault="002707E7" w:rsidP="002707E7">
      <w:pPr>
        <w:pStyle w:val="FootnoteText"/>
        <w:snapToGrid w:val="0"/>
        <w:ind w:firstLine="708"/>
        <w:contextualSpacing/>
        <w:jc w:val="both"/>
        <w:rPr>
          <w:rFonts w:ascii="Verdana" w:hAnsi="Verdana"/>
          <w:sz w:val="16"/>
          <w:szCs w:val="16"/>
          <w:lang w:val="es-CO"/>
        </w:rPr>
      </w:pPr>
      <w:r w:rsidRPr="00BE1340">
        <w:rPr>
          <w:rFonts w:ascii="Verdana" w:hAnsi="Verdana"/>
          <w:i/>
          <w:iCs/>
          <w:sz w:val="16"/>
          <w:szCs w:val="16"/>
        </w:rPr>
        <w:t>Será inexistente el negocio jurídico cuando se haya celebrado sin las solemnidades sustanciales que la ley exija para su formación, en razón del acto o contrato y cuando falte alguno de sus elementos esenciales</w:t>
      </w:r>
      <w:r w:rsidRPr="00BE1340">
        <w:rPr>
          <w:rFonts w:ascii="Verdana" w:hAnsi="Verdana"/>
          <w:sz w:val="16"/>
          <w:szCs w:val="16"/>
        </w:rPr>
        <w:t>” (Énfasis fuera de texto).</w:t>
      </w:r>
    </w:p>
  </w:footnote>
  <w:footnote w:id="58">
    <w:p w14:paraId="5F2EB53F" w14:textId="77777777" w:rsidR="002707E7" w:rsidRPr="00BE1340" w:rsidRDefault="002707E7" w:rsidP="002707E7">
      <w:pPr>
        <w:snapToGrid w:val="0"/>
        <w:spacing w:after="0" w:line="240" w:lineRule="auto"/>
        <w:ind w:firstLine="708"/>
        <w:contextualSpacing/>
        <w:rPr>
          <w:rFonts w:ascii="Verdana" w:eastAsia="Calibri" w:hAnsi="Verdana" w:cs="Arial"/>
          <w:sz w:val="16"/>
          <w:szCs w:val="16"/>
          <w:lang w:eastAsia="es-ES"/>
        </w:rPr>
      </w:pPr>
      <w:r w:rsidRPr="00BE1340">
        <w:rPr>
          <w:rStyle w:val="FootnoteReference"/>
          <w:rFonts w:ascii="Verdana" w:hAnsi="Verdana"/>
          <w:sz w:val="16"/>
          <w:szCs w:val="16"/>
        </w:rPr>
        <w:footnoteRef/>
      </w:r>
      <w:r w:rsidRPr="00BE1340">
        <w:rPr>
          <w:rFonts w:ascii="Verdana" w:hAnsi="Verdana"/>
          <w:sz w:val="16"/>
          <w:szCs w:val="16"/>
        </w:rPr>
        <w:t xml:space="preserve"> </w:t>
      </w:r>
      <w:r w:rsidRPr="00BE1340">
        <w:rPr>
          <w:rFonts w:ascii="Verdana" w:hAnsi="Verdana"/>
          <w:sz w:val="16"/>
          <w:szCs w:val="16"/>
          <w:lang w:val="es-ES"/>
        </w:rPr>
        <w:t xml:space="preserve">Al respecto ver: Colombia Compra Eficiente, Concepto No. </w:t>
      </w:r>
      <w:r w:rsidRPr="00BE1340">
        <w:rPr>
          <w:rFonts w:ascii="Verdana" w:eastAsia="Calibri" w:hAnsi="Verdana" w:cs="Arial"/>
          <w:sz w:val="16"/>
          <w:szCs w:val="16"/>
          <w:lang w:eastAsia="es-ES"/>
        </w:rPr>
        <w:t>C- 775 del 25 de julio</w:t>
      </w:r>
      <w:r>
        <w:rPr>
          <w:rFonts w:ascii="Verdana" w:eastAsia="Calibri" w:hAnsi="Verdana" w:cs="Arial"/>
          <w:sz w:val="16"/>
          <w:szCs w:val="16"/>
          <w:lang w:eastAsia="es-ES"/>
        </w:rPr>
        <w:t xml:space="preserve"> </w:t>
      </w:r>
      <w:r w:rsidRPr="00BE1340">
        <w:rPr>
          <w:rFonts w:ascii="Verdana" w:eastAsia="Calibri" w:hAnsi="Verdana" w:cs="Arial"/>
          <w:sz w:val="16"/>
          <w:szCs w:val="16"/>
          <w:lang w:eastAsia="es-ES"/>
        </w:rPr>
        <w:t>de 2025.</w:t>
      </w:r>
    </w:p>
    <w:p w14:paraId="1DEC29ED" w14:textId="77777777" w:rsidR="002707E7" w:rsidRPr="00BE1340" w:rsidRDefault="002707E7" w:rsidP="002707E7">
      <w:pPr>
        <w:pStyle w:val="FootnoteText"/>
        <w:snapToGrid w:val="0"/>
        <w:contextualSpacing/>
        <w:rPr>
          <w:rFonts w:ascii="Verdana" w:hAnsi="Verdana"/>
          <w:sz w:val="16"/>
          <w:szCs w:val="16"/>
          <w:lang w:val="es-ES"/>
        </w:rPr>
      </w:pPr>
    </w:p>
  </w:footnote>
  <w:footnote w:id="59">
    <w:p w14:paraId="08111C21" w14:textId="77777777" w:rsidR="002707E7" w:rsidRPr="00BE1340" w:rsidRDefault="002707E7" w:rsidP="002707E7">
      <w:pPr>
        <w:pStyle w:val="FootnoteText"/>
        <w:snapToGrid w:val="0"/>
        <w:ind w:firstLine="708"/>
        <w:contextualSpacing/>
        <w:rPr>
          <w:rFonts w:ascii="Verdana" w:hAnsi="Verdana"/>
          <w:sz w:val="16"/>
          <w:szCs w:val="16"/>
          <w:lang w:val="es-ES"/>
        </w:rPr>
      </w:pPr>
      <w:r w:rsidRPr="00BE1340">
        <w:rPr>
          <w:rStyle w:val="FootnoteReference"/>
          <w:rFonts w:ascii="Verdana" w:hAnsi="Verdana"/>
          <w:sz w:val="16"/>
          <w:szCs w:val="16"/>
        </w:rPr>
        <w:footnoteRef/>
      </w:r>
      <w:r w:rsidRPr="00BE1340">
        <w:rPr>
          <w:rFonts w:ascii="Verdana" w:hAnsi="Verdana"/>
          <w:sz w:val="16"/>
          <w:szCs w:val="16"/>
        </w:rPr>
        <w:t xml:space="preserve"> Ley 80 de 1993, Art. 56.</w:t>
      </w:r>
    </w:p>
  </w:footnote>
  <w:footnote w:id="60">
    <w:p w14:paraId="1370C5DA" w14:textId="77777777" w:rsidR="002707E7" w:rsidRPr="00BE1340" w:rsidRDefault="002707E7" w:rsidP="002707E7">
      <w:pPr>
        <w:pStyle w:val="FootnoteText"/>
        <w:snapToGrid w:val="0"/>
        <w:ind w:firstLine="708"/>
        <w:contextualSpacing/>
        <w:rPr>
          <w:rFonts w:ascii="Verdana" w:hAnsi="Verdana"/>
          <w:sz w:val="16"/>
          <w:szCs w:val="16"/>
          <w:lang w:val="es-ES"/>
        </w:rPr>
      </w:pPr>
      <w:r w:rsidRPr="00BE1340">
        <w:rPr>
          <w:rStyle w:val="FootnoteReference"/>
          <w:rFonts w:ascii="Verdana" w:hAnsi="Verdana"/>
          <w:sz w:val="16"/>
          <w:szCs w:val="16"/>
        </w:rPr>
        <w:footnoteRef/>
      </w:r>
      <w:r w:rsidRPr="00BE1340">
        <w:rPr>
          <w:rFonts w:ascii="Verdana" w:hAnsi="Verdana"/>
          <w:sz w:val="16"/>
          <w:szCs w:val="16"/>
        </w:rPr>
        <w:t xml:space="preserve"> Ley 80 de 1993, Art.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6"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27C99"/>
    <w:multiLevelType w:val="multilevel"/>
    <w:tmpl w:val="AA7A9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1291131537">
    <w:abstractNumId w:val="3"/>
  </w:num>
  <w:num w:numId="18" w16cid:durableId="1808084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00E9"/>
    <w:rsid w:val="00061B2A"/>
    <w:rsid w:val="00082362"/>
    <w:rsid w:val="000A683E"/>
    <w:rsid w:val="000B19B9"/>
    <w:rsid w:val="000D0334"/>
    <w:rsid w:val="000D5DA7"/>
    <w:rsid w:val="000E2A11"/>
    <w:rsid w:val="000F6486"/>
    <w:rsid w:val="00116940"/>
    <w:rsid w:val="00125105"/>
    <w:rsid w:val="00127233"/>
    <w:rsid w:val="0015699B"/>
    <w:rsid w:val="00180F73"/>
    <w:rsid w:val="001A33BF"/>
    <w:rsid w:val="001E002D"/>
    <w:rsid w:val="001E4177"/>
    <w:rsid w:val="001F0B24"/>
    <w:rsid w:val="001F7DC6"/>
    <w:rsid w:val="002021F3"/>
    <w:rsid w:val="0022400B"/>
    <w:rsid w:val="002421BB"/>
    <w:rsid w:val="0025796E"/>
    <w:rsid w:val="002707A2"/>
    <w:rsid w:val="002707E7"/>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3F40"/>
    <w:rsid w:val="003C47DD"/>
    <w:rsid w:val="003D0F4D"/>
    <w:rsid w:val="003D5B0D"/>
    <w:rsid w:val="003D67F1"/>
    <w:rsid w:val="003E0499"/>
    <w:rsid w:val="003E4F80"/>
    <w:rsid w:val="003E6439"/>
    <w:rsid w:val="003F3941"/>
    <w:rsid w:val="003F5CE9"/>
    <w:rsid w:val="00406575"/>
    <w:rsid w:val="00414C74"/>
    <w:rsid w:val="0042722E"/>
    <w:rsid w:val="0044528D"/>
    <w:rsid w:val="00466E39"/>
    <w:rsid w:val="004A1847"/>
    <w:rsid w:val="004A305D"/>
    <w:rsid w:val="004F21C4"/>
    <w:rsid w:val="004F685F"/>
    <w:rsid w:val="0052363C"/>
    <w:rsid w:val="00544B17"/>
    <w:rsid w:val="005566E8"/>
    <w:rsid w:val="00562262"/>
    <w:rsid w:val="00574867"/>
    <w:rsid w:val="00591460"/>
    <w:rsid w:val="005A65E0"/>
    <w:rsid w:val="005C3777"/>
    <w:rsid w:val="005C5CDC"/>
    <w:rsid w:val="005D476C"/>
    <w:rsid w:val="006200BF"/>
    <w:rsid w:val="006219F8"/>
    <w:rsid w:val="006247FF"/>
    <w:rsid w:val="006302F7"/>
    <w:rsid w:val="00646B9F"/>
    <w:rsid w:val="006506B4"/>
    <w:rsid w:val="00664AD9"/>
    <w:rsid w:val="00665D70"/>
    <w:rsid w:val="006900D9"/>
    <w:rsid w:val="006B723B"/>
    <w:rsid w:val="006F539D"/>
    <w:rsid w:val="00706C16"/>
    <w:rsid w:val="007340C3"/>
    <w:rsid w:val="0075235A"/>
    <w:rsid w:val="00756841"/>
    <w:rsid w:val="007649AB"/>
    <w:rsid w:val="00771D0C"/>
    <w:rsid w:val="007833AC"/>
    <w:rsid w:val="007B268C"/>
    <w:rsid w:val="007B4109"/>
    <w:rsid w:val="007B7171"/>
    <w:rsid w:val="007C0C0F"/>
    <w:rsid w:val="007C3809"/>
    <w:rsid w:val="007C3DC2"/>
    <w:rsid w:val="007E5497"/>
    <w:rsid w:val="00806F5F"/>
    <w:rsid w:val="00820278"/>
    <w:rsid w:val="008258C9"/>
    <w:rsid w:val="00844AE9"/>
    <w:rsid w:val="00867F95"/>
    <w:rsid w:val="008843B6"/>
    <w:rsid w:val="00891928"/>
    <w:rsid w:val="008A446D"/>
    <w:rsid w:val="008B25F1"/>
    <w:rsid w:val="008D180B"/>
    <w:rsid w:val="008F0417"/>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53D3"/>
    <w:rsid w:val="00A508EB"/>
    <w:rsid w:val="00AB0ADB"/>
    <w:rsid w:val="00AB7FA8"/>
    <w:rsid w:val="00B00C0E"/>
    <w:rsid w:val="00B01B1A"/>
    <w:rsid w:val="00B0381D"/>
    <w:rsid w:val="00B3501D"/>
    <w:rsid w:val="00B44A47"/>
    <w:rsid w:val="00B72CD3"/>
    <w:rsid w:val="00B72FFF"/>
    <w:rsid w:val="00BB62BA"/>
    <w:rsid w:val="00BC3D36"/>
    <w:rsid w:val="00BD54A6"/>
    <w:rsid w:val="00BD7F72"/>
    <w:rsid w:val="00BF7425"/>
    <w:rsid w:val="00C04FB3"/>
    <w:rsid w:val="00C11D8B"/>
    <w:rsid w:val="00C15139"/>
    <w:rsid w:val="00C330EB"/>
    <w:rsid w:val="00C50D69"/>
    <w:rsid w:val="00C5365C"/>
    <w:rsid w:val="00C666C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D6D95"/>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E76BF"/>
    <w:rsid w:val="00F23FEA"/>
    <w:rsid w:val="00F31EDC"/>
    <w:rsid w:val="00F462B3"/>
    <w:rsid w:val="00F5664F"/>
    <w:rsid w:val="00F666C4"/>
    <w:rsid w:val="00F74926"/>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rsid w:val="002707E7"/>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2707E7"/>
    <w:rPr>
      <w:rFonts w:ascii="Geomanist Light" w:hAnsi="Geomanist Light"/>
      <w:lang w:val="es-ES"/>
    </w:rPr>
  </w:style>
  <w:style w:type="character" w:styleId="Emphasis">
    <w:name w:val="Emphasis"/>
    <w:basedOn w:val="DefaultParagraphFont"/>
    <w:uiPriority w:val="20"/>
    <w:qFormat/>
    <w:rsid w:val="002707E7"/>
    <w:rPr>
      <w:i/>
      <w:iCs/>
    </w:rPr>
  </w:style>
  <w:style w:type="character" w:customStyle="1" w:styleId="NormalWebChar">
    <w:name w:val="Normal (Web) Char"/>
    <w:link w:val="NormalWeb"/>
    <w:uiPriority w:val="99"/>
    <w:rsid w:val="002707E7"/>
    <w:rPr>
      <w:rFonts w:ascii="Times New Roman" w:eastAsia="Times New Roman" w:hAnsi="Times New Roman" w:cs="Times New Roman"/>
      <w:sz w:val="24"/>
      <w:szCs w:val="24"/>
      <w:lang w:eastAsia="es-CO"/>
    </w:rPr>
  </w:style>
  <w:style w:type="character" w:styleId="Strong">
    <w:name w:val="Strong"/>
    <w:basedOn w:val="DefaultParagraphFont"/>
    <w:uiPriority w:val="22"/>
    <w:qFormat/>
    <w:rsid w:val="002707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2389">
      <w:bodyDiv w:val="1"/>
      <w:marLeft w:val="0"/>
      <w:marRight w:val="0"/>
      <w:marTop w:val="0"/>
      <w:marBottom w:val="0"/>
      <w:divBdr>
        <w:top w:val="none" w:sz="0" w:space="0" w:color="auto"/>
        <w:left w:val="none" w:sz="0" w:space="0" w:color="auto"/>
        <w:bottom w:val="none" w:sz="0" w:space="0" w:color="auto"/>
        <w:right w:val="none" w:sz="0" w:space="0" w:color="auto"/>
      </w:divBdr>
    </w:div>
    <w:div w:id="376396969">
      <w:bodyDiv w:val="1"/>
      <w:marLeft w:val="0"/>
      <w:marRight w:val="0"/>
      <w:marTop w:val="0"/>
      <w:marBottom w:val="0"/>
      <w:divBdr>
        <w:top w:val="none" w:sz="0" w:space="0" w:color="auto"/>
        <w:left w:val="none" w:sz="0" w:space="0" w:color="auto"/>
        <w:bottom w:val="none" w:sz="0" w:space="0" w:color="auto"/>
        <w:right w:val="none" w:sz="0" w:space="0" w:color="auto"/>
      </w:divBdr>
    </w:div>
    <w:div w:id="513886569">
      <w:bodyDiv w:val="1"/>
      <w:marLeft w:val="0"/>
      <w:marRight w:val="0"/>
      <w:marTop w:val="0"/>
      <w:marBottom w:val="0"/>
      <w:divBdr>
        <w:top w:val="none" w:sz="0" w:space="0" w:color="auto"/>
        <w:left w:val="none" w:sz="0" w:space="0" w:color="auto"/>
        <w:bottom w:val="none" w:sz="0" w:space="0" w:color="auto"/>
        <w:right w:val="none" w:sz="0" w:space="0" w:color="auto"/>
      </w:divBdr>
    </w:div>
    <w:div w:id="616110127">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2041577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38903241">
      <w:bodyDiv w:val="1"/>
      <w:marLeft w:val="0"/>
      <w:marRight w:val="0"/>
      <w:marTop w:val="0"/>
      <w:marBottom w:val="0"/>
      <w:divBdr>
        <w:top w:val="none" w:sz="0" w:space="0" w:color="auto"/>
        <w:left w:val="none" w:sz="0" w:space="0" w:color="auto"/>
        <w:bottom w:val="none" w:sz="0" w:space="0" w:color="auto"/>
        <w:right w:val="none" w:sz="0" w:space="0" w:color="auto"/>
      </w:divBdr>
    </w:div>
    <w:div w:id="1259410620">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92911648">
      <w:bodyDiv w:val="1"/>
      <w:marLeft w:val="0"/>
      <w:marRight w:val="0"/>
      <w:marTop w:val="0"/>
      <w:marBottom w:val="0"/>
      <w:divBdr>
        <w:top w:val="none" w:sz="0" w:space="0" w:color="auto"/>
        <w:left w:val="none" w:sz="0" w:space="0" w:color="auto"/>
        <w:bottom w:val="none" w:sz="0" w:space="0" w:color="auto"/>
        <w:right w:val="none" w:sz="0" w:space="0" w:color="auto"/>
      </w:divBdr>
    </w:div>
    <w:div w:id="1628196142">
      <w:bodyDiv w:val="1"/>
      <w:marLeft w:val="0"/>
      <w:marRight w:val="0"/>
      <w:marTop w:val="0"/>
      <w:marBottom w:val="0"/>
      <w:divBdr>
        <w:top w:val="none" w:sz="0" w:space="0" w:color="auto"/>
        <w:left w:val="none" w:sz="0" w:space="0" w:color="auto"/>
        <w:bottom w:val="none" w:sz="0" w:space="0" w:color="auto"/>
        <w:right w:val="none" w:sz="0" w:space="0" w:color="auto"/>
      </w:divBdr>
    </w:div>
    <w:div w:id="1634016829">
      <w:bodyDiv w:val="1"/>
      <w:marLeft w:val="0"/>
      <w:marRight w:val="0"/>
      <w:marTop w:val="0"/>
      <w:marBottom w:val="0"/>
      <w:divBdr>
        <w:top w:val="none" w:sz="0" w:space="0" w:color="auto"/>
        <w:left w:val="none" w:sz="0" w:space="0" w:color="auto"/>
        <w:bottom w:val="none" w:sz="0" w:space="0" w:color="auto"/>
        <w:right w:val="none" w:sz="0" w:space="0" w:color="auto"/>
      </w:divBdr>
    </w:div>
    <w:div w:id="1825470122">
      <w:bodyDiv w:val="1"/>
      <w:marLeft w:val="0"/>
      <w:marRight w:val="0"/>
      <w:marTop w:val="0"/>
      <w:marBottom w:val="0"/>
      <w:divBdr>
        <w:top w:val="none" w:sz="0" w:space="0" w:color="auto"/>
        <w:left w:val="none" w:sz="0" w:space="0" w:color="auto"/>
        <w:bottom w:val="none" w:sz="0" w:space="0" w:color="auto"/>
        <w:right w:val="none" w:sz="0" w:space="0" w:color="auto"/>
      </w:divBdr>
    </w:div>
    <w:div w:id="1918782110">
      <w:bodyDiv w:val="1"/>
      <w:marLeft w:val="0"/>
      <w:marRight w:val="0"/>
      <w:marTop w:val="0"/>
      <w:marBottom w:val="0"/>
      <w:divBdr>
        <w:top w:val="none" w:sz="0" w:space="0" w:color="auto"/>
        <w:left w:val="none" w:sz="0" w:space="0" w:color="auto"/>
        <w:bottom w:val="none" w:sz="0" w:space="0" w:color="auto"/>
        <w:right w:val="none" w:sz="0" w:space="0" w:color="auto"/>
      </w:divBdr>
    </w:div>
    <w:div w:id="2017147669">
      <w:bodyDiv w:val="1"/>
      <w:marLeft w:val="0"/>
      <w:marRight w:val="0"/>
      <w:marTop w:val="0"/>
      <w:marBottom w:val="0"/>
      <w:divBdr>
        <w:top w:val="none" w:sz="0" w:space="0" w:color="auto"/>
        <w:left w:val="none" w:sz="0" w:space="0" w:color="auto"/>
        <w:bottom w:val="none" w:sz="0" w:space="0" w:color="auto"/>
        <w:right w:val="none" w:sz="0" w:space="0" w:color="auto"/>
      </w:divBdr>
    </w:div>
    <w:div w:id="2085108816">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revistas.uexternado.edu.co/index.php/Deradm/article/view/2597%20p.%201" TargetMode="External"/><Relationship Id="rId1" Type="http://schemas.openxmlformats.org/officeDocument/2006/relationships/hyperlink" Target="https://cceficiente.sharepoint.com/sites/SGDEA/TRD_254/EXPEDIENTE_1668/DOCUMENTO_407171/DOCUMENTO_40717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F4C42-C7E2-40DE-9009-411D250AAF0D}"/>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50</Pages>
  <Words>15926</Words>
  <Characters>90783</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106497</CharactersWithSpaces>
  <SharedDoc>false</SharedDoc>
  <HLinks>
    <vt:vector size="18" baseType="variant">
      <vt:variant>
        <vt:i4>7471218</vt:i4>
      </vt:variant>
      <vt:variant>
        <vt:i4>0</vt:i4>
      </vt:variant>
      <vt:variant>
        <vt:i4>0</vt:i4>
      </vt:variant>
      <vt:variant>
        <vt:i4>5</vt:i4>
      </vt:variant>
      <vt:variant>
        <vt:lpwstr>https://relatoria.colombiacompra.gov.co/busqueda/conceptos</vt:lpwstr>
      </vt:variant>
      <vt:variant>
        <vt:lpwstr/>
      </vt:variant>
      <vt:variant>
        <vt:i4>5505024</vt:i4>
      </vt:variant>
      <vt:variant>
        <vt:i4>3</vt:i4>
      </vt:variant>
      <vt:variant>
        <vt:i4>0</vt:i4>
      </vt:variant>
      <vt:variant>
        <vt:i4>5</vt:i4>
      </vt:variant>
      <vt:variant>
        <vt:lpwstr>http://revistas.uexternado.edu.co/index.php/Deradm/article/view/2597 p. 1</vt:lpwstr>
      </vt:variant>
      <vt:variant>
        <vt:lpwstr/>
      </vt:variant>
      <vt:variant>
        <vt:i4>458817</vt:i4>
      </vt:variant>
      <vt:variant>
        <vt:i4>0</vt:i4>
      </vt:variant>
      <vt:variant>
        <vt:i4>0</vt:i4>
      </vt:variant>
      <vt:variant>
        <vt:i4>5</vt:i4>
      </vt:variant>
      <vt:variant>
        <vt:lpwstr>https://cceficiente.sharepoint.com/sites/SGDEA/TRD_254/EXPEDIENTE_1668/DOCUMENTO_407171/DOCUMENTO_407171.docx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3</cp:revision>
  <cp:lastPrinted>2023-01-10T21:18:00Z</cp:lastPrinted>
  <dcterms:created xsi:type="dcterms:W3CDTF">2026-07-30T14:11:00Z</dcterms:created>
  <dcterms:modified xsi:type="dcterms:W3CDTF">2026-07-30T14:48:00Z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