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869674" w14:textId="77777777" w:rsidR="00FF3569" w:rsidRPr="00FF3569" w:rsidRDefault="00FF3569" w:rsidP="00FF3569">
      <w:pPr>
        <w:spacing w:after="0"/>
        <w:jc w:val="both"/>
        <w:rPr>
          <w:rFonts w:ascii="Verdana" w:eastAsia="Verdana" w:hAnsi="Verdana" w:cs="Verdana"/>
          <w:b/>
          <w:bCs/>
          <w:lang w:val="es-ES"/>
        </w:rPr>
      </w:pPr>
      <w:bookmarkStart w:id="0" w:name="_Hlk143780582"/>
      <w:r w:rsidRPr="00FF3569">
        <w:rPr>
          <w:rFonts w:ascii="Verdana" w:eastAsia="Verdana" w:hAnsi="Verdana" w:cs="Verdana"/>
          <w:b/>
          <w:bCs/>
          <w:lang w:val="es-ES"/>
        </w:rPr>
        <w:t xml:space="preserve">CONTRATO ESTATAL – Concepto </w:t>
      </w:r>
    </w:p>
    <w:p w14:paraId="7061CF65" w14:textId="77777777" w:rsidR="00FF3569" w:rsidRPr="00FF3569" w:rsidRDefault="00FF3569" w:rsidP="00FF3569">
      <w:pPr>
        <w:spacing w:after="0"/>
        <w:jc w:val="both"/>
        <w:rPr>
          <w:rFonts w:ascii="Verdana" w:eastAsia="Verdana" w:hAnsi="Verdana" w:cs="Verdana"/>
          <w:b/>
          <w:bCs/>
          <w:lang w:val="es-ES"/>
        </w:rPr>
      </w:pPr>
    </w:p>
    <w:p w14:paraId="2FA44A83" w14:textId="77777777" w:rsidR="00F9037F" w:rsidRDefault="00F9037F" w:rsidP="00F9037F">
      <w:pPr>
        <w:spacing w:after="0" w:line="240" w:lineRule="auto"/>
        <w:jc w:val="both"/>
        <w:rPr>
          <w:rFonts w:ascii="Verdana" w:eastAsia="Verdana" w:hAnsi="Verdana" w:cs="Verdana"/>
          <w:sz w:val="20"/>
          <w:szCs w:val="20"/>
        </w:rPr>
      </w:pPr>
      <w:r w:rsidRPr="00F9037F">
        <w:rPr>
          <w:rFonts w:ascii="Verdana" w:eastAsia="Verdana" w:hAnsi="Verdana" w:cs="Verdana"/>
          <w:sz w:val="20"/>
          <w:szCs w:val="20"/>
          <w:lang w:val="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F9037F">
        <w:rPr>
          <w:rFonts w:ascii="Verdana" w:eastAsia="Verdana" w:hAnsi="Verdana" w:cs="Verdana"/>
          <w:sz w:val="20"/>
          <w:szCs w:val="20"/>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3092D463" w14:textId="77777777" w:rsidR="00F9037F" w:rsidRPr="00F9037F" w:rsidRDefault="00F9037F" w:rsidP="00F9037F">
      <w:pPr>
        <w:spacing w:after="0" w:line="240" w:lineRule="auto"/>
        <w:jc w:val="both"/>
        <w:rPr>
          <w:rFonts w:ascii="Verdana" w:eastAsia="Verdana" w:hAnsi="Verdana" w:cs="Verdana"/>
          <w:sz w:val="20"/>
          <w:szCs w:val="20"/>
        </w:rPr>
      </w:pPr>
    </w:p>
    <w:p w14:paraId="054E6127" w14:textId="50A9A61C" w:rsidR="00FF3569" w:rsidRDefault="00F9037F" w:rsidP="00F9037F">
      <w:pPr>
        <w:spacing w:after="0" w:line="240" w:lineRule="auto"/>
        <w:jc w:val="both"/>
        <w:rPr>
          <w:rFonts w:ascii="Verdana" w:eastAsia="Verdana" w:hAnsi="Verdana" w:cs="Verdana"/>
          <w:sz w:val="20"/>
          <w:szCs w:val="20"/>
        </w:rPr>
      </w:pPr>
      <w:r w:rsidRPr="00F9037F">
        <w:rPr>
          <w:rFonts w:ascii="Verdana" w:eastAsia="Verdana" w:hAnsi="Verdana" w:cs="Verdana"/>
          <w:sz w:val="20"/>
          <w:szCs w:val="20"/>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7AAAFD17" w14:textId="77777777" w:rsidR="00F9037F" w:rsidRPr="00F9037F" w:rsidRDefault="00F9037F" w:rsidP="00F9037F">
      <w:pPr>
        <w:spacing w:after="0" w:line="240" w:lineRule="auto"/>
        <w:jc w:val="both"/>
        <w:rPr>
          <w:rFonts w:ascii="Verdana" w:eastAsia="Verdana" w:hAnsi="Verdana" w:cs="Verdana"/>
          <w:sz w:val="20"/>
          <w:szCs w:val="20"/>
          <w:lang w:val="es-ES"/>
        </w:rPr>
      </w:pPr>
    </w:p>
    <w:p w14:paraId="6D1B733E" w14:textId="77777777" w:rsidR="00FF3569" w:rsidRPr="00FF3569" w:rsidRDefault="00FF3569" w:rsidP="00FF3569">
      <w:pPr>
        <w:spacing w:after="0"/>
        <w:jc w:val="both"/>
        <w:rPr>
          <w:rFonts w:ascii="Verdana" w:eastAsia="Verdana" w:hAnsi="Verdana" w:cs="Verdana"/>
          <w:b/>
          <w:bCs/>
          <w:lang w:val="es-ES"/>
        </w:rPr>
      </w:pPr>
      <w:r w:rsidRPr="00FF3569">
        <w:rPr>
          <w:rFonts w:ascii="Verdana" w:eastAsia="Verdana" w:hAnsi="Verdana" w:cs="Verdana"/>
          <w:b/>
          <w:bCs/>
          <w:lang w:val="es-ES"/>
        </w:rPr>
        <w:t xml:space="preserve">OPERACIÓN LOGÍSTICA ‒ Contrato atípico mixto ‒ Actividades </w:t>
      </w:r>
    </w:p>
    <w:p w14:paraId="7D5E568E" w14:textId="77777777" w:rsidR="00FF3569" w:rsidRPr="00240420" w:rsidRDefault="00FF3569" w:rsidP="00240420">
      <w:pPr>
        <w:spacing w:after="0" w:line="240" w:lineRule="auto"/>
        <w:jc w:val="both"/>
        <w:rPr>
          <w:rFonts w:ascii="Verdana" w:eastAsia="Verdana" w:hAnsi="Verdana" w:cs="Verdana"/>
          <w:sz w:val="20"/>
          <w:szCs w:val="20"/>
          <w:lang w:val="es-ES"/>
        </w:rPr>
      </w:pPr>
    </w:p>
    <w:p w14:paraId="7CBDE458" w14:textId="1CF454A1" w:rsidR="00240420" w:rsidRPr="00240420" w:rsidRDefault="00240420" w:rsidP="00240420">
      <w:pPr>
        <w:spacing w:after="0" w:line="240" w:lineRule="auto"/>
        <w:jc w:val="both"/>
        <w:rPr>
          <w:rFonts w:ascii="Verdana" w:eastAsia="Verdana" w:hAnsi="Verdana" w:cs="Verdana"/>
          <w:sz w:val="20"/>
          <w:szCs w:val="20"/>
          <w:lang w:val="es-ES_tradnl"/>
        </w:rPr>
      </w:pPr>
      <w:r w:rsidRPr="00240420">
        <w:rPr>
          <w:rFonts w:ascii="Verdana" w:eastAsia="Verdana" w:hAnsi="Verdana" w:cs="Verdana"/>
          <w:sz w:val="20"/>
          <w:szCs w:val="20"/>
          <w:lang w:val="es-ES_tradnl"/>
        </w:rPr>
        <w:t xml:space="preserve">Respecto a los contratos de operación logística, estos corresponden a </w:t>
      </w:r>
      <w:r w:rsidRPr="00240420">
        <w:rPr>
          <w:rFonts w:ascii="Verdana" w:eastAsia="Verdana" w:hAnsi="Verdana" w:cs="Verdana"/>
          <w:i/>
          <w:iCs/>
          <w:sz w:val="20"/>
          <w:szCs w:val="20"/>
          <w:lang w:val="es-ES_tradnl"/>
        </w:rPr>
        <w:t>contratos mixtos</w:t>
      </w:r>
      <w:r w:rsidRPr="00240420">
        <w:rPr>
          <w:rFonts w:ascii="Verdana" w:eastAsia="Verdana" w:hAnsi="Verdana" w:cs="Verdana"/>
          <w:sz w:val="20"/>
          <w:szCs w:val="20"/>
          <w:lang w:val="es-ES_tradnl"/>
        </w:rPr>
        <w:t xml:space="preserve">. De hecho, sin perjuicio de las demás obligaciones que pacten las partes, es frecuente que en la práctica tengan componentes de compraventa, suministro, arrendamiento de bienes muebles o inmuebles, transporte, entre otros, de donde se infiere la existencia de prestaciones de una o más tipologías contractuales. Por ello, como contrato atípico, la doctrina sugiere integrar su contenido teniendo en cuenta los siguientes criterios: “[…] 1°) las leyes imperativas; 2°) las cláusulas libremente redactadas o estipuladas por los agentes; 3°) las reglas generales de los actos jurídicos y de los contratos, según el caso; 4°) las reglas propias del contrato típico más próximo o semejante, y 5°) la doctrina constitucional y los principios generales de derecho”. </w:t>
      </w:r>
    </w:p>
    <w:p w14:paraId="775307B1" w14:textId="77777777" w:rsidR="00240420" w:rsidRPr="00240420" w:rsidRDefault="00240420" w:rsidP="00240420">
      <w:pPr>
        <w:spacing w:after="0" w:line="240" w:lineRule="auto"/>
        <w:jc w:val="both"/>
        <w:rPr>
          <w:rFonts w:ascii="Verdana" w:eastAsia="Verdana" w:hAnsi="Verdana" w:cs="Verdana"/>
          <w:sz w:val="20"/>
          <w:szCs w:val="20"/>
          <w:lang w:val="es-ES_tradnl"/>
        </w:rPr>
      </w:pPr>
    </w:p>
    <w:p w14:paraId="4A231A70" w14:textId="1BEE0F90" w:rsidR="00FF3569" w:rsidRDefault="00240420" w:rsidP="00240420">
      <w:pPr>
        <w:spacing w:after="0" w:line="240" w:lineRule="auto"/>
        <w:jc w:val="both"/>
        <w:rPr>
          <w:rFonts w:ascii="Verdana" w:eastAsia="Verdana" w:hAnsi="Verdana" w:cs="Verdana"/>
          <w:sz w:val="20"/>
          <w:szCs w:val="20"/>
          <w:lang w:val="es-ES"/>
        </w:rPr>
      </w:pPr>
      <w:r w:rsidRPr="00240420">
        <w:rPr>
          <w:rFonts w:ascii="Verdana" w:eastAsia="Verdana" w:hAnsi="Verdana" w:cs="Verdana"/>
          <w:sz w:val="20"/>
          <w:szCs w:val="20"/>
        </w:rPr>
        <w:t>Bajo la cobertura jurídica de los contratos de operación logística, las entidades públicas suelen organizar y ejecutar ferias, fiestas y diversos eventos institucionales que requieren una coordinación integral de actividades</w:t>
      </w:r>
      <w:r w:rsidRPr="00240420">
        <w:rPr>
          <w:rFonts w:ascii="Verdana" w:eastAsia="Verdana" w:hAnsi="Verdana" w:cs="Verdana"/>
          <w:iCs/>
          <w:sz w:val="20"/>
          <w:szCs w:val="20"/>
        </w:rPr>
        <w:t xml:space="preserve"> —como organización de eventos, suministro de alimentos, arrendamiento de espacios y transporte—</w:t>
      </w:r>
      <w:r w:rsidRPr="00240420">
        <w:rPr>
          <w:rFonts w:ascii="Verdana" w:eastAsia="Verdana" w:hAnsi="Verdana" w:cs="Verdana"/>
          <w:sz w:val="20"/>
          <w:szCs w:val="20"/>
        </w:rPr>
        <w:t xml:space="preserve">. Es decir, este tipo de contratos permiten articular, en un solo esquema operativo, componentes como la producción técnica, la logística general, la gestión de proveedores de alimentos, servicios de transporte, entre otros. </w:t>
      </w:r>
      <w:r w:rsidRPr="00240420">
        <w:rPr>
          <w:rFonts w:ascii="Verdana" w:eastAsia="Verdana" w:hAnsi="Verdana" w:cs="Verdana"/>
          <w:sz w:val="20"/>
          <w:szCs w:val="20"/>
          <w:lang w:val="es-ES"/>
        </w:rPr>
        <w:t>Más allá de la tipicidad o no del negocio, es necesario tener en cuenta que la capacidad contractual para celebrar contratos estatales está regulada en el artículo 6 de la Ley 80 de 1993.</w:t>
      </w:r>
    </w:p>
    <w:p w14:paraId="0F01D491" w14:textId="77777777" w:rsidR="00240420" w:rsidRPr="00240420" w:rsidRDefault="00240420" w:rsidP="00240420">
      <w:pPr>
        <w:spacing w:after="0" w:line="240" w:lineRule="auto"/>
        <w:jc w:val="both"/>
        <w:rPr>
          <w:rFonts w:ascii="Verdana" w:eastAsia="Verdana" w:hAnsi="Verdana" w:cs="Verdana"/>
          <w:sz w:val="20"/>
          <w:szCs w:val="20"/>
          <w:lang w:val="es-ES"/>
        </w:rPr>
      </w:pPr>
    </w:p>
    <w:p w14:paraId="0BF2CFFE" w14:textId="77777777" w:rsidR="00FF3569" w:rsidRPr="00FF3569" w:rsidRDefault="00FF3569" w:rsidP="00FF3569">
      <w:pPr>
        <w:spacing w:after="0"/>
        <w:jc w:val="both"/>
        <w:rPr>
          <w:rFonts w:ascii="Verdana" w:eastAsia="Verdana" w:hAnsi="Verdana" w:cs="Verdana"/>
          <w:b/>
          <w:bCs/>
          <w:lang w:val="es-ES"/>
        </w:rPr>
      </w:pPr>
      <w:r w:rsidRPr="00FF3569">
        <w:rPr>
          <w:rFonts w:ascii="Verdana" w:eastAsia="Verdana" w:hAnsi="Verdana" w:cs="Verdana"/>
          <w:b/>
          <w:bCs/>
          <w:lang w:val="es-ES"/>
        </w:rPr>
        <w:t xml:space="preserve">CONTRATOS ESTATALES – Capacidad jurídica – Requisitos esenciales </w:t>
      </w:r>
    </w:p>
    <w:p w14:paraId="1C17E902" w14:textId="77777777" w:rsidR="00FF3569" w:rsidRPr="00FF3569" w:rsidRDefault="00FF3569" w:rsidP="00FF3569">
      <w:pPr>
        <w:spacing w:after="0"/>
        <w:jc w:val="both"/>
        <w:rPr>
          <w:rFonts w:ascii="Verdana" w:eastAsia="Verdana" w:hAnsi="Verdana" w:cs="Verdana"/>
          <w:b/>
          <w:bCs/>
          <w:lang w:val="es-ES"/>
        </w:rPr>
      </w:pPr>
    </w:p>
    <w:p w14:paraId="52591FD3" w14:textId="28AC9693" w:rsidR="00826DFE" w:rsidRDefault="00826DFE" w:rsidP="00826DFE">
      <w:pPr>
        <w:spacing w:after="0" w:line="240" w:lineRule="auto"/>
        <w:jc w:val="both"/>
        <w:rPr>
          <w:rFonts w:ascii="Verdana" w:eastAsia="Verdana" w:hAnsi="Verdana" w:cs="Verdana"/>
          <w:sz w:val="20"/>
          <w:szCs w:val="20"/>
        </w:rPr>
      </w:pPr>
      <w:r w:rsidRPr="00826DFE">
        <w:rPr>
          <w:rFonts w:ascii="Verdana" w:eastAsia="Verdana" w:hAnsi="Verdana" w:cs="Verdana"/>
          <w:sz w:val="20"/>
          <w:szCs w:val="20"/>
        </w:rPr>
        <w:lastRenderedPageBreak/>
        <w:t xml:space="preserve">Asimismo, para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logística es una amalgama de prestaciones de otras tipologías, éste no pierde su calificación por la ausencia de una o varias de ellas.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 </w:t>
      </w:r>
    </w:p>
    <w:p w14:paraId="67AFA778" w14:textId="77777777" w:rsidR="00826DFE" w:rsidRPr="00826DFE" w:rsidRDefault="00826DFE" w:rsidP="00826DFE">
      <w:pPr>
        <w:spacing w:after="0" w:line="240" w:lineRule="auto"/>
        <w:jc w:val="both"/>
        <w:rPr>
          <w:rFonts w:ascii="Verdana" w:eastAsia="Verdana" w:hAnsi="Verdana" w:cs="Verdana"/>
          <w:sz w:val="20"/>
          <w:szCs w:val="20"/>
        </w:rPr>
      </w:pPr>
    </w:p>
    <w:p w14:paraId="4026D1F8" w14:textId="77777777" w:rsidR="00826DFE" w:rsidRPr="00826DFE" w:rsidRDefault="00826DFE" w:rsidP="00826DFE">
      <w:pPr>
        <w:spacing w:after="0" w:line="240" w:lineRule="auto"/>
        <w:jc w:val="both"/>
        <w:rPr>
          <w:rFonts w:ascii="Verdana" w:eastAsia="Verdana" w:hAnsi="Verdana" w:cs="Verdana"/>
          <w:sz w:val="20"/>
          <w:szCs w:val="20"/>
          <w:lang w:val="es-ES"/>
        </w:rPr>
      </w:pPr>
      <w:r w:rsidRPr="00826DFE">
        <w:rPr>
          <w:rFonts w:ascii="Verdana" w:eastAsia="Verdana" w:hAnsi="Verdana" w:cs="Verdana"/>
          <w:sz w:val="20"/>
          <w:szCs w:val="20"/>
          <w:lang w:val="es-ES"/>
        </w:rPr>
        <w:t xml:space="preserve">Independiente de su tipicidad, la existencia de los contratos estatales, es decir, la producción de efectos jurídicos en los términos del artículo 1501 </w:t>
      </w:r>
      <w:proofErr w:type="spellStart"/>
      <w:r w:rsidRPr="00826DFE">
        <w:rPr>
          <w:rFonts w:ascii="Verdana" w:eastAsia="Verdana" w:hAnsi="Verdana" w:cs="Verdana"/>
          <w:i/>
          <w:sz w:val="20"/>
          <w:szCs w:val="20"/>
          <w:lang w:val="es-ES"/>
        </w:rPr>
        <w:t>ibídem</w:t>
      </w:r>
      <w:proofErr w:type="spellEnd"/>
      <w:r w:rsidRPr="00826DFE">
        <w:rPr>
          <w:rFonts w:ascii="Verdana" w:eastAsia="Verdana" w:hAnsi="Verdana" w:cs="Verdana"/>
          <w:sz w:val="20"/>
          <w:szCs w:val="20"/>
          <w:lang w:val="es-ES"/>
        </w:rPr>
        <w:t xml:space="preserve">, depende de la regulación del inciso primero de los artículos 39 y 41 del Estatuto General de Contratación de la Administración Pública.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D80E08E" w14:textId="77777777" w:rsidR="00FF3569" w:rsidRPr="00FF3569" w:rsidRDefault="00FF3569" w:rsidP="00FF3569">
      <w:pPr>
        <w:spacing w:after="0"/>
        <w:jc w:val="both"/>
        <w:rPr>
          <w:rFonts w:ascii="Verdana" w:eastAsia="Verdana" w:hAnsi="Verdana" w:cs="Verdana"/>
          <w:b/>
          <w:bCs/>
          <w:lang w:val="es-ES"/>
        </w:rPr>
      </w:pPr>
    </w:p>
    <w:p w14:paraId="5DD2737A" w14:textId="77777777" w:rsidR="00FF3569" w:rsidRPr="00FF3569" w:rsidRDefault="00FF3569" w:rsidP="00FF3569">
      <w:pPr>
        <w:spacing w:after="0"/>
        <w:jc w:val="both"/>
        <w:rPr>
          <w:rFonts w:ascii="Verdana" w:eastAsia="Verdana" w:hAnsi="Verdana" w:cs="Verdana"/>
          <w:b/>
          <w:bCs/>
          <w:lang w:val="es-ES"/>
        </w:rPr>
      </w:pPr>
      <w:r w:rsidRPr="00FF3569">
        <w:rPr>
          <w:rFonts w:ascii="Verdana" w:eastAsia="Verdana" w:hAnsi="Verdana" w:cs="Verdana"/>
          <w:b/>
          <w:bCs/>
          <w:lang w:val="es-ES"/>
        </w:rPr>
        <w:t xml:space="preserve">PRINCIPIO DE PLANEACIÓN – Alcance – Condiciones </w:t>
      </w:r>
    </w:p>
    <w:p w14:paraId="6BA2AF47" w14:textId="77777777" w:rsidR="00FF3569" w:rsidRPr="00FF3569" w:rsidRDefault="00FF3569" w:rsidP="00FF3569">
      <w:pPr>
        <w:spacing w:after="0"/>
        <w:jc w:val="both"/>
        <w:rPr>
          <w:rFonts w:ascii="Verdana" w:eastAsia="Verdana" w:hAnsi="Verdana" w:cs="Verdana"/>
          <w:b/>
          <w:bCs/>
          <w:lang w:val="es-ES"/>
        </w:rPr>
      </w:pPr>
    </w:p>
    <w:p w14:paraId="22AD749D" w14:textId="0C4D68C1" w:rsidR="00FF3569" w:rsidRDefault="00455A1E" w:rsidP="00455A1E">
      <w:pPr>
        <w:spacing w:after="0" w:line="240" w:lineRule="auto"/>
        <w:jc w:val="both"/>
        <w:rPr>
          <w:rFonts w:ascii="Verdana" w:eastAsia="Verdana" w:hAnsi="Verdana" w:cs="Verdana"/>
          <w:sz w:val="20"/>
          <w:szCs w:val="20"/>
          <w:lang w:val="es-ES"/>
        </w:rPr>
      </w:pPr>
      <w:r w:rsidRPr="00455A1E">
        <w:rPr>
          <w:rFonts w:ascii="Verdana" w:eastAsia="Verdana" w:hAnsi="Verdana" w:cs="Verdana"/>
          <w:sz w:val="20"/>
          <w:szCs w:val="20"/>
        </w:rPr>
        <w:t>Conforme</w:t>
      </w:r>
      <w:r w:rsidRPr="00455A1E">
        <w:rPr>
          <w:rFonts w:ascii="Verdana" w:eastAsia="Verdana" w:hAnsi="Verdana" w:cs="Verdana"/>
          <w:sz w:val="20"/>
          <w:szCs w:val="20"/>
          <w:lang w:val="es-MX"/>
        </w:rPr>
        <w:t xml:space="preserve"> al principio de planeación la entidad debe determinar la forma en la que se contratará las actividades de operación logística durante la vigencia fiscal, atendiendo a la necesidad a satisfacer,</w:t>
      </w:r>
      <w:r w:rsidRPr="00455A1E">
        <w:rPr>
          <w:rFonts w:ascii="Verdana" w:eastAsia="Verdana" w:hAnsi="Verdana" w:cs="Verdana"/>
          <w:sz w:val="20"/>
          <w:szCs w:val="20"/>
        </w:rPr>
        <w:t xml:space="preserve"> a la conveniencia o inconveniencia del objeto a contratar, a los costos que podrían demandar la celebración y ejecución del contrato, la disponibilidad de recursos o la capacidad financiera de la entidad contratante para asumir las obligaciones de pago producto y demás condiciones. Al respecto, el</w:t>
      </w:r>
      <w:r w:rsidRPr="00455A1E">
        <w:rPr>
          <w:rFonts w:ascii="Verdana" w:eastAsia="Verdana" w:hAnsi="Verdana" w:cs="Verdana"/>
          <w:sz w:val="20"/>
          <w:szCs w:val="20"/>
          <w:lang w:val="es-ES"/>
        </w:rPr>
        <w:t xml:space="preserve"> Estatuto General de Contratación de la Administración Pública, en adelante EGCAP,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w:t>
      </w:r>
    </w:p>
    <w:p w14:paraId="28F426B4" w14:textId="77777777" w:rsidR="00455A1E" w:rsidRPr="00455A1E" w:rsidRDefault="00455A1E" w:rsidP="00455A1E">
      <w:pPr>
        <w:spacing w:after="0" w:line="240" w:lineRule="auto"/>
        <w:jc w:val="both"/>
        <w:rPr>
          <w:rFonts w:ascii="Verdana" w:eastAsia="Verdana" w:hAnsi="Verdana" w:cs="Verdana"/>
          <w:sz w:val="20"/>
          <w:szCs w:val="20"/>
          <w:lang w:val="es-ES"/>
        </w:rPr>
      </w:pPr>
    </w:p>
    <w:p w14:paraId="49F7B2F4" w14:textId="77777777" w:rsidR="00FF3569" w:rsidRPr="00FF3569" w:rsidRDefault="00FF3569" w:rsidP="00FF3569">
      <w:pPr>
        <w:spacing w:after="0"/>
        <w:jc w:val="both"/>
        <w:rPr>
          <w:rFonts w:ascii="Verdana" w:eastAsia="Verdana" w:hAnsi="Verdana" w:cs="Verdana"/>
          <w:b/>
          <w:bCs/>
          <w:lang w:val="es-ES"/>
        </w:rPr>
      </w:pPr>
      <w:r w:rsidRPr="00FF3569">
        <w:rPr>
          <w:rFonts w:ascii="Verdana" w:eastAsia="Verdana" w:hAnsi="Verdana" w:cs="Verdana"/>
          <w:b/>
          <w:bCs/>
          <w:lang w:val="es-ES"/>
        </w:rPr>
        <w:t xml:space="preserve">MODALIDADES DE SELECCIÓN – Regla General – Licitación Pública – Excepciones </w:t>
      </w:r>
    </w:p>
    <w:p w14:paraId="140C4954" w14:textId="77777777" w:rsidR="00FF3569" w:rsidRPr="00DC1AE5" w:rsidRDefault="00FF3569" w:rsidP="00DC1AE5">
      <w:pPr>
        <w:spacing w:after="0" w:line="240" w:lineRule="auto"/>
        <w:jc w:val="both"/>
        <w:rPr>
          <w:rFonts w:ascii="Verdana" w:eastAsia="Verdana" w:hAnsi="Verdana" w:cs="Verdana"/>
          <w:sz w:val="20"/>
          <w:szCs w:val="20"/>
          <w:lang w:val="es-ES"/>
        </w:rPr>
      </w:pPr>
    </w:p>
    <w:p w14:paraId="516F3B3F" w14:textId="77777777" w:rsidR="00DC1AE5" w:rsidRDefault="00DC1AE5" w:rsidP="00DC1AE5">
      <w:pPr>
        <w:spacing w:after="0" w:line="240" w:lineRule="auto"/>
        <w:jc w:val="both"/>
        <w:rPr>
          <w:rFonts w:ascii="Verdana" w:eastAsia="Verdana" w:hAnsi="Verdana" w:cs="Verdana"/>
          <w:sz w:val="20"/>
          <w:szCs w:val="20"/>
        </w:rPr>
      </w:pPr>
      <w:r w:rsidRPr="00DC1AE5">
        <w:rPr>
          <w:rFonts w:ascii="Verdana" w:eastAsia="Verdana" w:hAnsi="Verdana" w:cs="Verdana"/>
          <w:sz w:val="20"/>
          <w:szCs w:val="20"/>
        </w:rPr>
        <w:t xml:space="preserve">Ahora bien, para determinar la modalidad de selección, la entidad debe tener en cuenta el artículo 2 de la Ley 1150 de 2007, el cual establece que </w:t>
      </w:r>
      <w:r w:rsidRPr="00DC1AE5">
        <w:rPr>
          <w:rFonts w:ascii="Verdana" w:eastAsia="Verdana" w:hAnsi="Verdana" w:cs="Verdana"/>
          <w:i/>
          <w:iCs/>
          <w:sz w:val="20"/>
          <w:szCs w:val="20"/>
        </w:rPr>
        <w:t xml:space="preserve">la escogencia del contratista se efectuará con arreglo a las modalidades de selección de licitación pública, selección abreviada, concurso de méritos y contratación directa […]La escogencia del contratista se efectuará por regla general a través de licitación pública, con las excepciones que se </w:t>
      </w:r>
      <w:r w:rsidRPr="00DC1AE5">
        <w:rPr>
          <w:rFonts w:ascii="Verdana" w:eastAsia="Verdana" w:hAnsi="Verdana" w:cs="Verdana"/>
          <w:i/>
          <w:iCs/>
          <w:sz w:val="20"/>
          <w:szCs w:val="20"/>
        </w:rPr>
        <w:lastRenderedPageBreak/>
        <w:t>señalan en los numerales 2, 3 y 4 del citado artículo.</w:t>
      </w:r>
      <w:r w:rsidRPr="00DC1AE5">
        <w:rPr>
          <w:rFonts w:ascii="Verdana" w:eastAsia="Verdana" w:hAnsi="Verdana" w:cs="Verdana"/>
          <w:sz w:val="20"/>
          <w:szCs w:val="20"/>
        </w:rPr>
        <w:t xml:space="preserve"> Por tanto, es importante que las entidades estatales a atender debidamente el principio de planeación y selección objetiva asegurando que las decisiones sean oportunas, bien fundamentadas y que contribuyan a la optimización de los recursos disponibles.</w:t>
      </w:r>
    </w:p>
    <w:p w14:paraId="4D12FA0A" w14:textId="77777777" w:rsidR="00DC1AE5" w:rsidRPr="00DC1AE5" w:rsidRDefault="00DC1AE5" w:rsidP="00DC1AE5">
      <w:pPr>
        <w:spacing w:after="0" w:line="240" w:lineRule="auto"/>
        <w:jc w:val="both"/>
        <w:rPr>
          <w:rFonts w:ascii="Verdana" w:eastAsia="Verdana" w:hAnsi="Verdana" w:cs="Verdana"/>
          <w:sz w:val="20"/>
          <w:szCs w:val="20"/>
        </w:rPr>
      </w:pPr>
    </w:p>
    <w:p w14:paraId="3340B096" w14:textId="77777777" w:rsidR="00DC1AE5" w:rsidRPr="00DC1AE5" w:rsidRDefault="00DC1AE5" w:rsidP="00DC1AE5">
      <w:pPr>
        <w:spacing w:after="0" w:line="240" w:lineRule="auto"/>
        <w:jc w:val="both"/>
        <w:rPr>
          <w:rFonts w:ascii="Verdana" w:eastAsia="Verdana" w:hAnsi="Verdana" w:cs="Verdana"/>
          <w:sz w:val="20"/>
          <w:szCs w:val="20"/>
        </w:rPr>
      </w:pPr>
      <w:r w:rsidRPr="00DC1AE5">
        <w:rPr>
          <w:rFonts w:ascii="Verdana" w:eastAsia="Verdana" w:hAnsi="Verdana" w:cs="Verdana"/>
          <w:sz w:val="20"/>
          <w:szCs w:val="20"/>
        </w:rPr>
        <w:t>En relación con los contratos de operación logística, es fundamental reiterar que su naturaleza de contratos mixtos —al integrar prestaciones propias de varios contratos nominados para satisfacer una necesidad común— impide la existencia de un procedimiento de selección exclusivo o predeterminado. Por ello, no es procedente establecer un criterio uniforme que obligue a utilizar siempre la misma modalidad de selección. La entidad, en ejercicio del principio de planeación, debe analizar el objeto, la cuantía, las condiciones del mercado, la urgencia y la disponibilidad presupuestal para determinar si procede la licitación pública, la selección abreviada por menor cuantía, la mínima cuantía, o incluso la contratación directa cuando se configure una causal legal, como ocurre con los contratos interadministrativos, conforme al artículo 2.4. literal c de la Ley 1150 de 2007. Lo determinante es que la modalidad elegida sea coherente con las características del servicio requerido y con los principios rectores de la contratación estatal.</w:t>
      </w:r>
    </w:p>
    <w:p w14:paraId="7DD93461" w14:textId="77777777" w:rsidR="00FF3569" w:rsidRPr="00DC1AE5" w:rsidRDefault="00FF3569" w:rsidP="00FF3569">
      <w:pPr>
        <w:spacing w:after="0"/>
        <w:jc w:val="both"/>
        <w:rPr>
          <w:rFonts w:ascii="Verdana" w:eastAsia="Verdana" w:hAnsi="Verdana" w:cs="Verdana"/>
          <w:b/>
          <w:bCs/>
        </w:rPr>
      </w:pPr>
    </w:p>
    <w:p w14:paraId="721CFD92" w14:textId="77777777" w:rsidR="00FF3569" w:rsidRPr="00FF3569" w:rsidRDefault="00FF3569" w:rsidP="00FF3569">
      <w:pPr>
        <w:spacing w:after="0"/>
        <w:jc w:val="both"/>
        <w:rPr>
          <w:rFonts w:ascii="Verdana" w:eastAsia="Verdana" w:hAnsi="Verdana" w:cs="Verdana"/>
          <w:b/>
          <w:bCs/>
          <w:lang w:val="es-ES"/>
        </w:rPr>
      </w:pPr>
      <w:r w:rsidRPr="00FF3569">
        <w:rPr>
          <w:rFonts w:ascii="Verdana" w:eastAsia="Verdana" w:hAnsi="Verdana" w:cs="Verdana"/>
          <w:b/>
          <w:bCs/>
          <w:lang w:val="es-ES"/>
        </w:rPr>
        <w:t xml:space="preserve">CONTRATO DE PRESTACIÓN DE SERVICIOS PROFESIONALES Y DE APOYO A LA GESTIÓN – Actividades logísticas – Asistenciales </w:t>
      </w:r>
    </w:p>
    <w:p w14:paraId="668E2006" w14:textId="77777777" w:rsidR="00FF3569" w:rsidRPr="00AC4E4D" w:rsidRDefault="00FF3569" w:rsidP="00AC4E4D">
      <w:pPr>
        <w:spacing w:after="0" w:line="240" w:lineRule="auto"/>
        <w:jc w:val="both"/>
        <w:rPr>
          <w:rFonts w:ascii="Verdana" w:eastAsia="Verdana" w:hAnsi="Verdana" w:cs="Verdana"/>
          <w:sz w:val="20"/>
          <w:szCs w:val="20"/>
          <w:lang w:val="es-ES"/>
        </w:rPr>
      </w:pPr>
    </w:p>
    <w:p w14:paraId="6F894FE7" w14:textId="4AA5526E" w:rsidR="00AC4E4D" w:rsidRPr="00AC4E4D" w:rsidRDefault="00AC4E4D" w:rsidP="00AC4E4D">
      <w:pPr>
        <w:spacing w:after="0" w:line="240" w:lineRule="auto"/>
        <w:jc w:val="both"/>
        <w:rPr>
          <w:rFonts w:ascii="Verdana" w:eastAsia="Verdana" w:hAnsi="Verdana" w:cs="Verdana"/>
          <w:sz w:val="20"/>
          <w:szCs w:val="20"/>
          <w:lang w:val="es-MX"/>
        </w:rPr>
      </w:pPr>
      <w:r w:rsidRPr="00AC4E4D">
        <w:rPr>
          <w:rFonts w:ascii="Verdana" w:eastAsia="Verdana" w:hAnsi="Verdana" w:cs="Verdana"/>
          <w:sz w:val="20"/>
          <w:szCs w:val="20"/>
          <w:lang w:val="es-MX"/>
        </w:rPr>
        <w:t xml:space="preserve">Dentro del objeto contractual de los contratos de prestación de servicios profesionales y de los de simple apoyo a la gestión, pueden tener lugar las actividades operativas, logísticas o asistenciales, siempre que en cada caso se cumplan los requisitos del tipo de contrato y exista correspondencia con las necesidades de la administración y el principio de planeación. De cualquier forma, si se desarrollan estas actividades en el contexto de las especies de contratos de prestación de servicios ya citadas, debe tenerse en cuenta que el objeto siempre debe estar relacionado con la necesidad de satisfacer la gestión administrativa o funcionamiento de la entidad, para suplir las falencias de esta. </w:t>
      </w:r>
    </w:p>
    <w:p w14:paraId="0AED44AC" w14:textId="75988953" w:rsidR="00AC4E4D" w:rsidRPr="00AC4E4D" w:rsidRDefault="00AC4E4D" w:rsidP="00AC4E4D">
      <w:pPr>
        <w:spacing w:after="0" w:line="240" w:lineRule="auto"/>
        <w:jc w:val="both"/>
        <w:rPr>
          <w:rFonts w:ascii="Verdana" w:eastAsia="Verdana" w:hAnsi="Verdana" w:cs="Verdana"/>
          <w:sz w:val="20"/>
          <w:szCs w:val="20"/>
          <w:lang w:val="es-MX"/>
        </w:rPr>
      </w:pPr>
      <w:r w:rsidRPr="00AC4E4D">
        <w:rPr>
          <w:rFonts w:ascii="Verdana" w:eastAsia="Verdana" w:hAnsi="Verdana" w:cs="Verdana"/>
          <w:sz w:val="20"/>
          <w:szCs w:val="20"/>
          <w:lang w:val="es-MX"/>
        </w:rPr>
        <w:t>[…]</w:t>
      </w:r>
    </w:p>
    <w:p w14:paraId="4B7020C6" w14:textId="77777777" w:rsidR="00AC4E4D" w:rsidRPr="00AC4E4D" w:rsidRDefault="00AC4E4D" w:rsidP="00AC4E4D">
      <w:pPr>
        <w:spacing w:after="0" w:line="240" w:lineRule="auto"/>
        <w:jc w:val="both"/>
        <w:rPr>
          <w:rFonts w:ascii="Verdana" w:eastAsia="Verdana" w:hAnsi="Verdana" w:cs="Verdana"/>
          <w:sz w:val="20"/>
          <w:szCs w:val="20"/>
          <w:lang w:val="es-MX"/>
        </w:rPr>
      </w:pPr>
      <w:r w:rsidRPr="00AC4E4D">
        <w:rPr>
          <w:rFonts w:ascii="Verdana" w:eastAsia="Verdana" w:hAnsi="Verdana" w:cs="Verdana"/>
          <w:sz w:val="20"/>
          <w:szCs w:val="20"/>
          <w:lang w:val="es-MX"/>
        </w:rPr>
        <w:t xml:space="preserve">De esta manera, si bien las actividades operativas, logísticas o asistenciales de las que trata el artículo 2.2.1.2.1.4.9 del Decreto 1082 de 2015 pueden contratarse por la vía de los contratos de prestación de servicios profesionales o de apoyo a la gestión, esta no es una causal exclusiva para las actividades de logística. Además, se hace énfasis en que estas actividades, en el marco de los contratos de prestación de servicios, serán destinadas al apoyo, acompañamiento y soporte relacionadas con la administración o funcionamiento de la entidad, es decir, que hagan parte de su giro ordinario o quehacer cotidiano. De este modo, corresponde a cada entidad estatal determinar si las actividades a contratar se enmarcan en esta causal de contratación, de acuerdo con sus necesidades, el objeto contractual particular, las obligaciones a desarrollar, las normas del sistema de compras públicas y el marco jurisprudencial desarrollado en torno a los contratos de prestación de servicios. </w:t>
      </w:r>
    </w:p>
    <w:p w14:paraId="51105FF5" w14:textId="77777777" w:rsidR="00FF3569" w:rsidRPr="00AC4E4D" w:rsidRDefault="00FF3569" w:rsidP="00FF3569">
      <w:pPr>
        <w:spacing w:after="0"/>
        <w:jc w:val="both"/>
        <w:rPr>
          <w:rFonts w:ascii="Verdana" w:eastAsia="Verdana" w:hAnsi="Verdana" w:cs="Verdana"/>
          <w:b/>
          <w:bCs/>
          <w:lang w:val="es-MX"/>
        </w:rPr>
      </w:pPr>
    </w:p>
    <w:p w14:paraId="736D29F0" w14:textId="756F7CB7" w:rsidR="00FF3569" w:rsidRPr="00FF3569" w:rsidRDefault="00FF3569" w:rsidP="00FF3569">
      <w:pPr>
        <w:spacing w:after="0"/>
        <w:jc w:val="both"/>
        <w:rPr>
          <w:rFonts w:ascii="Verdana" w:eastAsia="Verdana" w:hAnsi="Verdana" w:cs="Verdana"/>
          <w:b/>
          <w:bCs/>
          <w:lang w:val="es-ES"/>
        </w:rPr>
      </w:pPr>
      <w:r w:rsidRPr="00FF3569">
        <w:rPr>
          <w:rFonts w:ascii="Verdana" w:eastAsia="Verdana" w:hAnsi="Verdana" w:cs="Verdana"/>
          <w:b/>
          <w:bCs/>
          <w:lang w:val="es-ES"/>
        </w:rPr>
        <w:lastRenderedPageBreak/>
        <w:t>PROGRAMAS DE BIENESTAR LABORAL – Alcance – Artículo 25 – Literal c.</w:t>
      </w:r>
    </w:p>
    <w:p w14:paraId="38C607FD" w14:textId="77777777" w:rsidR="00FF3569" w:rsidRPr="00EC0CE4" w:rsidRDefault="00FF3569" w:rsidP="00EC0CE4">
      <w:pPr>
        <w:spacing w:after="0" w:line="240" w:lineRule="auto"/>
        <w:jc w:val="both"/>
        <w:rPr>
          <w:rFonts w:ascii="Verdana" w:eastAsia="Verdana" w:hAnsi="Verdana" w:cs="Verdana"/>
          <w:sz w:val="20"/>
          <w:szCs w:val="20"/>
          <w:lang w:val="es-ES"/>
        </w:rPr>
      </w:pPr>
    </w:p>
    <w:p w14:paraId="09C18DA8" w14:textId="77777777" w:rsidR="00EC0CE4" w:rsidRDefault="00EC0CE4" w:rsidP="00EC0CE4">
      <w:pPr>
        <w:spacing w:after="0" w:line="240" w:lineRule="auto"/>
        <w:jc w:val="both"/>
        <w:rPr>
          <w:rFonts w:ascii="Verdana" w:eastAsia="Verdana" w:hAnsi="Verdana" w:cs="Verdana"/>
          <w:sz w:val="20"/>
          <w:szCs w:val="20"/>
        </w:rPr>
      </w:pPr>
      <w:r w:rsidRPr="00EC0CE4">
        <w:rPr>
          <w:rFonts w:ascii="Verdana" w:eastAsia="Verdana" w:hAnsi="Verdana" w:cs="Verdana"/>
          <w:sz w:val="20"/>
          <w:szCs w:val="20"/>
        </w:rPr>
        <w:t>Ahora bien, con respecto al alcance del literal c) del artículo 25 que es motivo de su consulta, se regula que la ejecución de los programas de bienestar social de las entidades estatales puede realizarse de tres maneras: directamente por la entidad, mediante contratación con personas naturales o jurídicas, o mediante organismos encargados de la protección y seguridad social. Este literal del artículo precitado no crea una modalidad contractual especial, sino que simplemente reconoce que las entidades pueden acudir a terceros para ejecutar las actividades de bienestar cuando no cuenten con capacidad interna. En otras palabras, habilita la externalización de estas actividades, pero no define cómo debe contratarse, ni deroga las reglas generales del sistema de compras públicas.</w:t>
      </w:r>
    </w:p>
    <w:p w14:paraId="10A27EF4" w14:textId="77777777" w:rsidR="00EC0CE4" w:rsidRPr="00EC0CE4" w:rsidRDefault="00EC0CE4" w:rsidP="00EC0CE4">
      <w:pPr>
        <w:spacing w:after="0" w:line="240" w:lineRule="auto"/>
        <w:jc w:val="both"/>
        <w:rPr>
          <w:rFonts w:ascii="Verdana" w:eastAsia="Verdana" w:hAnsi="Verdana" w:cs="Verdana"/>
          <w:sz w:val="20"/>
          <w:szCs w:val="20"/>
        </w:rPr>
      </w:pPr>
    </w:p>
    <w:p w14:paraId="6164165C" w14:textId="77777777" w:rsidR="00EC0CE4" w:rsidRPr="00EC0CE4" w:rsidRDefault="00EC0CE4" w:rsidP="00EC0CE4">
      <w:pPr>
        <w:spacing w:after="0" w:line="240" w:lineRule="auto"/>
        <w:jc w:val="both"/>
        <w:rPr>
          <w:rFonts w:ascii="Verdana" w:eastAsia="Verdana" w:hAnsi="Verdana" w:cs="Verdana"/>
          <w:sz w:val="20"/>
          <w:szCs w:val="20"/>
        </w:rPr>
      </w:pPr>
      <w:r w:rsidRPr="00EC0CE4">
        <w:rPr>
          <w:rFonts w:ascii="Verdana" w:eastAsia="Verdana" w:hAnsi="Verdana" w:cs="Verdana"/>
          <w:sz w:val="20"/>
          <w:szCs w:val="20"/>
        </w:rPr>
        <w:t xml:space="preserve">Este literal ni tiene una función programática: describe las alternativas de ejecución dentro del proceso de gestión del bienestar, pero no modifica el régimen de selección de contratistas previsto en la Ley 80 de 1993, la Ley 1150 de 2007 y el Decreto 1082 de 2015. Por ello, cuando una entidad decide contratar a un operador logístico para suministrar alimentos, arrendar locaciones, proveer transporte o ejecutar eventos de bienestar laboral, debe aplicar las modalidades de selección ya expuestas en consideraciones precedentes. </w:t>
      </w:r>
    </w:p>
    <w:p w14:paraId="0116B3A1" w14:textId="77777777" w:rsidR="00EC0CE4" w:rsidRPr="00EC0CE4" w:rsidRDefault="00EC0CE4" w:rsidP="00661D26">
      <w:pPr>
        <w:spacing w:after="0"/>
        <w:rPr>
          <w:rFonts w:ascii="Verdana" w:eastAsia="Verdana" w:hAnsi="Verdana" w:cs="Verdana"/>
        </w:rPr>
      </w:pPr>
    </w:p>
    <w:p w14:paraId="03F99B86" w14:textId="77777777" w:rsidR="00FF3569" w:rsidRDefault="00FF3569" w:rsidP="00661D26">
      <w:pPr>
        <w:spacing w:after="0"/>
        <w:rPr>
          <w:rFonts w:ascii="Verdana" w:eastAsia="Verdana" w:hAnsi="Verdana" w:cs="Verdana"/>
        </w:rPr>
      </w:pPr>
    </w:p>
    <w:p w14:paraId="583649B4" w14:textId="77777777" w:rsidR="00EC0CE4" w:rsidRDefault="00EC0CE4" w:rsidP="00661D26">
      <w:pPr>
        <w:spacing w:after="0"/>
        <w:rPr>
          <w:rFonts w:ascii="Verdana" w:eastAsia="Verdana" w:hAnsi="Verdana" w:cs="Verdana"/>
        </w:rPr>
      </w:pPr>
    </w:p>
    <w:p w14:paraId="2FA2DE43" w14:textId="77777777" w:rsidR="00EC0CE4" w:rsidRDefault="00EC0CE4" w:rsidP="00661D26">
      <w:pPr>
        <w:spacing w:after="0"/>
        <w:rPr>
          <w:rFonts w:ascii="Verdana" w:eastAsia="Verdana" w:hAnsi="Verdana" w:cs="Verdana"/>
        </w:rPr>
      </w:pPr>
    </w:p>
    <w:p w14:paraId="1CDAF137" w14:textId="77777777" w:rsidR="00EC0CE4" w:rsidRDefault="00EC0CE4" w:rsidP="00661D26">
      <w:pPr>
        <w:spacing w:after="0"/>
        <w:rPr>
          <w:rFonts w:ascii="Verdana" w:eastAsia="Verdana" w:hAnsi="Verdana" w:cs="Verdana"/>
        </w:rPr>
      </w:pPr>
    </w:p>
    <w:p w14:paraId="2BDAB792" w14:textId="77777777" w:rsidR="00EC0CE4" w:rsidRDefault="00EC0CE4" w:rsidP="00661D26">
      <w:pPr>
        <w:spacing w:after="0"/>
        <w:rPr>
          <w:rFonts w:ascii="Verdana" w:eastAsia="Verdana" w:hAnsi="Verdana" w:cs="Verdana"/>
        </w:rPr>
      </w:pPr>
    </w:p>
    <w:p w14:paraId="0AF87B8F" w14:textId="77777777" w:rsidR="00EC0CE4" w:rsidRDefault="00EC0CE4" w:rsidP="00661D26">
      <w:pPr>
        <w:spacing w:after="0"/>
        <w:rPr>
          <w:rFonts w:ascii="Verdana" w:eastAsia="Verdana" w:hAnsi="Verdana" w:cs="Verdana"/>
        </w:rPr>
      </w:pPr>
    </w:p>
    <w:p w14:paraId="5B370F72" w14:textId="77777777" w:rsidR="00EC0CE4" w:rsidRDefault="00EC0CE4" w:rsidP="00661D26">
      <w:pPr>
        <w:spacing w:after="0"/>
        <w:rPr>
          <w:rFonts w:ascii="Verdana" w:eastAsia="Verdana" w:hAnsi="Verdana" w:cs="Verdana"/>
        </w:rPr>
      </w:pPr>
    </w:p>
    <w:p w14:paraId="5B28B002" w14:textId="77777777" w:rsidR="00EC0CE4" w:rsidRDefault="00EC0CE4" w:rsidP="00661D26">
      <w:pPr>
        <w:spacing w:after="0"/>
        <w:rPr>
          <w:rFonts w:ascii="Verdana" w:eastAsia="Verdana" w:hAnsi="Verdana" w:cs="Verdana"/>
        </w:rPr>
      </w:pPr>
    </w:p>
    <w:p w14:paraId="52BCA453" w14:textId="77777777" w:rsidR="00EC0CE4" w:rsidRDefault="00EC0CE4" w:rsidP="00661D26">
      <w:pPr>
        <w:spacing w:after="0"/>
        <w:rPr>
          <w:rFonts w:ascii="Verdana" w:eastAsia="Verdana" w:hAnsi="Verdana" w:cs="Verdana"/>
        </w:rPr>
      </w:pPr>
    </w:p>
    <w:p w14:paraId="4DBF100C" w14:textId="77777777" w:rsidR="00EC0CE4" w:rsidRDefault="00EC0CE4" w:rsidP="00661D26">
      <w:pPr>
        <w:spacing w:after="0"/>
        <w:rPr>
          <w:rFonts w:ascii="Verdana" w:eastAsia="Verdana" w:hAnsi="Verdana" w:cs="Verdana"/>
        </w:rPr>
      </w:pPr>
    </w:p>
    <w:p w14:paraId="23D32BBD" w14:textId="77777777" w:rsidR="00EC0CE4" w:rsidRDefault="00EC0CE4" w:rsidP="00661D26">
      <w:pPr>
        <w:spacing w:after="0"/>
        <w:rPr>
          <w:rFonts w:ascii="Verdana" w:eastAsia="Verdana" w:hAnsi="Verdana" w:cs="Verdana"/>
        </w:rPr>
      </w:pPr>
    </w:p>
    <w:p w14:paraId="2F825DB2" w14:textId="77777777" w:rsidR="00EC0CE4" w:rsidRDefault="00EC0CE4" w:rsidP="00661D26">
      <w:pPr>
        <w:spacing w:after="0"/>
        <w:rPr>
          <w:rFonts w:ascii="Verdana" w:eastAsia="Verdana" w:hAnsi="Verdana" w:cs="Verdana"/>
        </w:rPr>
      </w:pPr>
    </w:p>
    <w:p w14:paraId="419E04FD" w14:textId="77777777" w:rsidR="00EC0CE4" w:rsidRDefault="00EC0CE4" w:rsidP="00661D26">
      <w:pPr>
        <w:spacing w:after="0"/>
        <w:rPr>
          <w:rFonts w:ascii="Verdana" w:eastAsia="Verdana" w:hAnsi="Verdana" w:cs="Verdana"/>
        </w:rPr>
      </w:pPr>
    </w:p>
    <w:p w14:paraId="300A4CFE" w14:textId="77777777" w:rsidR="00EC0CE4" w:rsidRDefault="00EC0CE4" w:rsidP="00661D26">
      <w:pPr>
        <w:spacing w:after="0"/>
        <w:rPr>
          <w:rFonts w:ascii="Verdana" w:eastAsia="Verdana" w:hAnsi="Verdana" w:cs="Verdana"/>
        </w:rPr>
      </w:pPr>
    </w:p>
    <w:p w14:paraId="0E7B7ADF" w14:textId="77777777" w:rsidR="00EC0CE4" w:rsidRDefault="00EC0CE4" w:rsidP="00661D26">
      <w:pPr>
        <w:spacing w:after="0"/>
        <w:rPr>
          <w:rFonts w:ascii="Verdana" w:eastAsia="Verdana" w:hAnsi="Verdana" w:cs="Verdana"/>
        </w:rPr>
      </w:pPr>
    </w:p>
    <w:p w14:paraId="60118BD3" w14:textId="77777777" w:rsidR="00EC0CE4" w:rsidRDefault="00EC0CE4" w:rsidP="00661D26">
      <w:pPr>
        <w:spacing w:after="0"/>
        <w:rPr>
          <w:rFonts w:ascii="Verdana" w:eastAsia="Verdana" w:hAnsi="Verdana" w:cs="Verdana"/>
        </w:rPr>
      </w:pPr>
    </w:p>
    <w:p w14:paraId="2BD55EED" w14:textId="77777777" w:rsidR="00EC0CE4" w:rsidRDefault="00EC0CE4" w:rsidP="00661D26">
      <w:pPr>
        <w:spacing w:after="0"/>
        <w:rPr>
          <w:rFonts w:ascii="Verdana" w:eastAsia="Verdana" w:hAnsi="Verdana" w:cs="Verdana"/>
        </w:rPr>
      </w:pPr>
    </w:p>
    <w:p w14:paraId="3D0D1965" w14:textId="77777777" w:rsidR="00EC0CE4" w:rsidRDefault="00EC0CE4" w:rsidP="00661D26">
      <w:pPr>
        <w:spacing w:after="0"/>
        <w:rPr>
          <w:rFonts w:ascii="Verdana" w:eastAsia="Verdana" w:hAnsi="Verdana" w:cs="Verdana"/>
        </w:rPr>
      </w:pPr>
    </w:p>
    <w:p w14:paraId="756E6B83" w14:textId="77777777" w:rsidR="00EC0CE4" w:rsidRDefault="00EC0CE4" w:rsidP="00661D26">
      <w:pPr>
        <w:spacing w:after="0"/>
        <w:rPr>
          <w:rFonts w:ascii="Verdana" w:eastAsia="Verdana" w:hAnsi="Verdana" w:cs="Verdana"/>
        </w:rPr>
      </w:pPr>
    </w:p>
    <w:p w14:paraId="4F0632FD" w14:textId="38308656" w:rsidR="00661D26" w:rsidRPr="003B0D22" w:rsidRDefault="00661D26" w:rsidP="00661D26">
      <w:pPr>
        <w:spacing w:after="0"/>
        <w:rPr>
          <w:rFonts w:ascii="Verdana" w:hAnsi="Verdana"/>
        </w:rPr>
      </w:pPr>
      <w:r w:rsidRPr="30821638">
        <w:rPr>
          <w:rFonts w:ascii="Verdana" w:eastAsia="Verdana" w:hAnsi="Verdana" w:cs="Verdana"/>
        </w:rPr>
        <w:lastRenderedPageBreak/>
        <w:t>Bogotá D.C.,</w:t>
      </w:r>
      <w:r w:rsidR="00FB5F6A">
        <w:rPr>
          <w:rFonts w:ascii="Verdana" w:eastAsia="Verdana" w:hAnsi="Verdana" w:cs="Verdana"/>
        </w:rPr>
        <w:t xml:space="preserve"> 1 de julio de 2026</w:t>
      </w:r>
      <w:r>
        <w:tab/>
      </w:r>
      <w:r>
        <w:br/>
      </w:r>
    </w:p>
    <w:p w14:paraId="3BDEE429" w14:textId="46258BA3" w:rsidR="00661D26" w:rsidRPr="003B0D22" w:rsidRDefault="00661D26" w:rsidP="00661D26">
      <w:pPr>
        <w:spacing w:after="0" w:line="240" w:lineRule="auto"/>
        <w:rPr>
          <w:rFonts w:ascii="Verdana" w:hAnsi="Verdana"/>
        </w:rPr>
      </w:pPr>
    </w:p>
    <w:p w14:paraId="70E3C0F9" w14:textId="389E5055" w:rsidR="00661D26" w:rsidRPr="003B0D22" w:rsidRDefault="00106C49" w:rsidP="00661D26">
      <w:pPr>
        <w:spacing w:after="0" w:line="240" w:lineRule="auto"/>
        <w:rPr>
          <w:rFonts w:ascii="Verdana" w:eastAsia="Calibri" w:hAnsi="Verdana" w:cs="Times New Roman"/>
          <w:lang w:val="es-MX"/>
        </w:rPr>
      </w:pPr>
      <w:r w:rsidRPr="00664A45">
        <w:rPr>
          <w:noProof/>
        </w:rPr>
        <w:drawing>
          <wp:anchor distT="0" distB="0" distL="114300" distR="114300" simplePos="0" relativeHeight="251658240" behindDoc="0" locked="0" layoutInCell="1" allowOverlap="1" wp14:anchorId="1E2BF782" wp14:editId="2C7CA479">
            <wp:simplePos x="0" y="0"/>
            <wp:positionH relativeFrom="margin">
              <wp:align>right</wp:align>
            </wp:positionH>
            <wp:positionV relativeFrom="paragraph">
              <wp:posOffset>3589</wp:posOffset>
            </wp:positionV>
            <wp:extent cx="2321560" cy="659130"/>
            <wp:effectExtent l="0" t="0" r="2540" b="7620"/>
            <wp:wrapSquare wrapText="bothSides"/>
            <wp:docPr id="555872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1560" cy="6591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1D26" w:rsidRPr="003B0D22">
        <w:rPr>
          <w:rFonts w:ascii="Verdana" w:eastAsia="Calibri" w:hAnsi="Verdana" w:cs="Times New Roman"/>
          <w:lang w:val="es-MX"/>
        </w:rPr>
        <w:t>Señor</w:t>
      </w:r>
    </w:p>
    <w:p w14:paraId="6C6F069E" w14:textId="77777777" w:rsidR="00661D26" w:rsidRPr="003B0D22" w:rsidRDefault="00661D26" w:rsidP="00661D26">
      <w:pPr>
        <w:spacing w:after="0" w:line="240" w:lineRule="auto"/>
        <w:rPr>
          <w:rFonts w:ascii="Verdana" w:eastAsia="Calibri" w:hAnsi="Verdana" w:cs="Times New Roman"/>
          <w:b/>
        </w:rPr>
      </w:pPr>
      <w:r w:rsidRPr="003B0D22">
        <w:rPr>
          <w:rFonts w:ascii="Verdana" w:eastAsia="Calibri" w:hAnsi="Verdana" w:cs="Times New Roman"/>
          <w:b/>
        </w:rPr>
        <w:t>Fredy Rodríguez Naranjo</w:t>
      </w:r>
    </w:p>
    <w:p w14:paraId="7A5DC678" w14:textId="77777777" w:rsidR="00661D26" w:rsidRPr="003B0D22" w:rsidRDefault="00661D26" w:rsidP="00661D26">
      <w:pPr>
        <w:spacing w:after="0" w:line="240" w:lineRule="auto"/>
        <w:rPr>
          <w:rFonts w:ascii="Verdana" w:hAnsi="Verdana"/>
        </w:rPr>
      </w:pPr>
      <w:hyperlink r:id="rId12" w:history="1">
        <w:r w:rsidRPr="00904A99">
          <w:rPr>
            <w:rStyle w:val="Hipervnculo"/>
            <w:rFonts w:ascii="Verdana" w:hAnsi="Verdana"/>
          </w:rPr>
          <w:t>fredy.rodriguez.naranjo@gmail.com</w:t>
        </w:r>
      </w:hyperlink>
      <w:r>
        <w:rPr>
          <w:rFonts w:ascii="Verdana" w:hAnsi="Verdana"/>
        </w:rPr>
        <w:t xml:space="preserve"> </w:t>
      </w:r>
    </w:p>
    <w:p w14:paraId="7A93D929" w14:textId="77777777" w:rsidR="00661D26" w:rsidRPr="003B0D22" w:rsidRDefault="00661D26" w:rsidP="00661D26">
      <w:pPr>
        <w:spacing w:after="0" w:line="240" w:lineRule="auto"/>
        <w:rPr>
          <w:rFonts w:ascii="Verdana" w:eastAsia="Calibri" w:hAnsi="Verdana" w:cs="Times New Roman"/>
        </w:rPr>
      </w:pPr>
      <w:r w:rsidRPr="003B0D22">
        <w:rPr>
          <w:rFonts w:ascii="Verdana" w:eastAsia="Calibri" w:hAnsi="Verdana" w:cs="Times New Roman"/>
        </w:rPr>
        <w:t>Tunja, Boyacá</w:t>
      </w:r>
    </w:p>
    <w:p w14:paraId="14FEE592" w14:textId="77777777" w:rsidR="00661D26" w:rsidRPr="00B57A1B" w:rsidRDefault="00661D26" w:rsidP="00661D26">
      <w:pPr>
        <w:spacing w:after="0" w:line="240" w:lineRule="auto"/>
        <w:rPr>
          <w:rFonts w:ascii="Verdana" w:eastAsia="Calibri" w:hAnsi="Verdana" w:cs="Times New Roman"/>
        </w:rPr>
      </w:pPr>
    </w:p>
    <w:p w14:paraId="11B9C644" w14:textId="77777777" w:rsidR="00661D26" w:rsidRPr="00B57A1B" w:rsidRDefault="00661D26" w:rsidP="00661D26">
      <w:pPr>
        <w:spacing w:after="0" w:line="240" w:lineRule="auto"/>
        <w:rPr>
          <w:rFonts w:ascii="Verdana" w:eastAsia="Calibri" w:hAnsi="Verdana" w:cs="Times New Roman"/>
        </w:rPr>
      </w:pPr>
    </w:p>
    <w:p w14:paraId="1EF7E956" w14:textId="77777777" w:rsidR="00661D26" w:rsidRPr="00B57A1B" w:rsidRDefault="00661D26" w:rsidP="00661D26">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C–957 de 2026</w:t>
      </w:r>
    </w:p>
    <w:p w14:paraId="27BF386C" w14:textId="77777777" w:rsidR="00661D26" w:rsidRPr="00B57A1B" w:rsidRDefault="00661D26" w:rsidP="00661D26">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61D26" w:rsidRPr="00B57A1B" w14:paraId="5E9F1083" w14:textId="77777777" w:rsidTr="00B12B0F">
        <w:trPr>
          <w:trHeight w:val="645"/>
        </w:trPr>
        <w:tc>
          <w:tcPr>
            <w:tcW w:w="2685" w:type="dxa"/>
            <w:hideMark/>
          </w:tcPr>
          <w:p w14:paraId="6DE45934" w14:textId="77777777" w:rsidR="00661D26" w:rsidRPr="00B57A1B" w:rsidRDefault="00661D26" w:rsidP="00B12B0F">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6C3F1527" w14:textId="77777777" w:rsidR="00661D26" w:rsidRDefault="00661D26" w:rsidP="00B12B0F">
            <w:pPr>
              <w:spacing w:line="276" w:lineRule="auto"/>
              <w:jc w:val="both"/>
              <w:rPr>
                <w:rFonts w:ascii="Verdana" w:hAnsi="Verdana" w:cs="Arial"/>
                <w:b/>
                <w:bCs/>
                <w:lang w:val="es-ES" w:eastAsia="es-ES"/>
              </w:rPr>
            </w:pPr>
            <w:r>
              <w:rPr>
                <w:rFonts w:ascii="Verdana" w:hAnsi="Verdana" w:cs="Arial"/>
                <w:lang w:val="es-ES" w:eastAsia="es-ES"/>
              </w:rPr>
              <w:t xml:space="preserve">CONTRATO ESTATAL – Concepto / </w:t>
            </w:r>
            <w:r w:rsidRPr="000D3A65">
              <w:rPr>
                <w:rFonts w:ascii="Verdana" w:hAnsi="Verdana" w:cs="Arial"/>
                <w:lang w:val="es-ES" w:eastAsia="es-ES"/>
              </w:rPr>
              <w:t>OPERACIÓN LOGÍSTICA ‒ Contrato atípico mixto ‒ Actividades / CONTRATOS ESTATALES – Capacidad jurídica – Requisitos esenciales /</w:t>
            </w:r>
            <w:r>
              <w:rPr>
                <w:rFonts w:ascii="Verdana" w:hAnsi="Verdana" w:cs="Arial"/>
                <w:lang w:val="es-ES" w:eastAsia="es-ES"/>
              </w:rPr>
              <w:t xml:space="preserve"> PRINCIPIO DE PLANEACIÓN – Alcance – Condiciones /</w:t>
            </w:r>
            <w:r w:rsidRPr="000D3A65">
              <w:rPr>
                <w:rFonts w:ascii="Verdana" w:hAnsi="Verdana" w:cs="Arial"/>
                <w:lang w:val="es-ES" w:eastAsia="es-ES"/>
              </w:rPr>
              <w:t xml:space="preserve"> </w:t>
            </w:r>
            <w:r w:rsidRPr="000242D6">
              <w:rPr>
                <w:rFonts w:ascii="Verdana" w:hAnsi="Verdana" w:cs="Arial"/>
                <w:lang w:val="es-ES" w:eastAsia="es-ES"/>
              </w:rPr>
              <w:t xml:space="preserve">MODALIDADES DE SELECCIÓN – Regla General – </w:t>
            </w:r>
            <w:r>
              <w:rPr>
                <w:rFonts w:ascii="Verdana" w:hAnsi="Verdana" w:cs="Arial"/>
                <w:lang w:val="es-ES" w:eastAsia="es-ES"/>
              </w:rPr>
              <w:t xml:space="preserve">Licitación Pública – </w:t>
            </w:r>
            <w:r w:rsidRPr="000242D6">
              <w:rPr>
                <w:rFonts w:ascii="Verdana" w:hAnsi="Verdana" w:cs="Arial"/>
                <w:lang w:val="es-ES" w:eastAsia="es-ES"/>
              </w:rPr>
              <w:t>Excepciones</w:t>
            </w:r>
            <w:r>
              <w:rPr>
                <w:rFonts w:ascii="Verdana" w:hAnsi="Verdana" w:cs="Arial"/>
                <w:lang w:val="es-ES" w:eastAsia="es-ES"/>
              </w:rPr>
              <w:t xml:space="preserve"> / CONTRATO DE PRESTACIÓN DE SERVICIOS PROFESIONALES Y DE APOYO A LA GESTIÓN – Actividades logísticas – Asistenciales / PROGRAMAS DE BIENESTAR LABORAL – Alcance – Artículo 25 – Literal c.</w:t>
            </w:r>
          </w:p>
          <w:p w14:paraId="4B1B5D59" w14:textId="77777777" w:rsidR="00661D26" w:rsidRPr="00C74C2D" w:rsidRDefault="00661D26" w:rsidP="00B12B0F">
            <w:pPr>
              <w:spacing w:line="276" w:lineRule="auto"/>
              <w:jc w:val="both"/>
              <w:rPr>
                <w:rFonts w:ascii="Verdana" w:hAnsi="Verdana" w:cs="Arial"/>
                <w:b/>
                <w:lang w:val="es-ES" w:eastAsia="es-ES"/>
              </w:rPr>
            </w:pPr>
          </w:p>
          <w:p w14:paraId="73D8F3A0" w14:textId="77777777" w:rsidR="00661D26" w:rsidRPr="00441434" w:rsidRDefault="00661D26" w:rsidP="00B12B0F">
            <w:pPr>
              <w:spacing w:line="276" w:lineRule="auto"/>
              <w:jc w:val="both"/>
              <w:rPr>
                <w:rFonts w:ascii="Verdana" w:hAnsi="Verdana" w:cs="Arial"/>
                <w:lang w:eastAsia="es-ES"/>
              </w:rPr>
            </w:pPr>
          </w:p>
        </w:tc>
        <w:tc>
          <w:tcPr>
            <w:tcW w:w="6237" w:type="dxa"/>
          </w:tcPr>
          <w:p w14:paraId="65072839" w14:textId="77777777" w:rsidR="00661D26" w:rsidRPr="00B57A1B" w:rsidRDefault="00661D26" w:rsidP="00B12B0F">
            <w:pPr>
              <w:spacing w:line="256" w:lineRule="auto"/>
              <w:rPr>
                <w:rFonts w:ascii="Verdana" w:hAnsi="Verdana"/>
              </w:rPr>
            </w:pPr>
          </w:p>
        </w:tc>
      </w:tr>
      <w:tr w:rsidR="00661D26" w:rsidRPr="00B57A1B" w14:paraId="452E2C0F" w14:textId="77777777" w:rsidTr="00B12B0F">
        <w:tc>
          <w:tcPr>
            <w:tcW w:w="2685" w:type="dxa"/>
          </w:tcPr>
          <w:p w14:paraId="17494A75" w14:textId="77777777" w:rsidR="00661D26" w:rsidRPr="00B57A1B" w:rsidRDefault="00661D26" w:rsidP="00B12B0F">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1BA2E50" w14:textId="59D0E29F" w:rsidR="00661D26" w:rsidRPr="002F4390" w:rsidRDefault="00661D26" w:rsidP="00B12B0F">
            <w:pPr>
              <w:spacing w:line="257" w:lineRule="auto"/>
              <w:jc w:val="both"/>
            </w:pPr>
            <w:r w:rsidRPr="56120EAB">
              <w:rPr>
                <w:rFonts w:ascii="Verdana" w:hAnsi="Verdana"/>
                <w:lang w:val="es-ES"/>
              </w:rPr>
              <w:t xml:space="preserve">Respuesta a consulta con radicados No. </w:t>
            </w:r>
            <w:r w:rsidRPr="56120EAB">
              <w:rPr>
                <w:rFonts w:ascii="Verdana" w:hAnsi="Verdana"/>
              </w:rPr>
              <w:t>1_2026_06_10_007889 y 1_2026_06_11_007951 (acumulados)</w:t>
            </w:r>
          </w:p>
          <w:p w14:paraId="0E8F9BAA" w14:textId="77777777" w:rsidR="00661D26" w:rsidRPr="00B57A1B" w:rsidRDefault="00661D26" w:rsidP="00B12B0F">
            <w:pPr>
              <w:spacing w:line="257" w:lineRule="auto"/>
              <w:jc w:val="both"/>
              <w:rPr>
                <w:rFonts w:ascii="Verdana" w:hAnsi="Verdana"/>
              </w:rPr>
            </w:pPr>
          </w:p>
          <w:p w14:paraId="3653921D" w14:textId="77777777" w:rsidR="00661D26" w:rsidRPr="00B57A1B" w:rsidRDefault="00661D26" w:rsidP="00B12B0F">
            <w:pPr>
              <w:spacing w:line="257" w:lineRule="auto"/>
              <w:jc w:val="both"/>
              <w:rPr>
                <w:rFonts w:ascii="Verdana" w:hAnsi="Verdana"/>
              </w:rPr>
            </w:pPr>
          </w:p>
        </w:tc>
        <w:tc>
          <w:tcPr>
            <w:tcW w:w="6237" w:type="dxa"/>
          </w:tcPr>
          <w:p w14:paraId="3F1935B5" w14:textId="77777777" w:rsidR="00661D26" w:rsidRPr="00B57A1B" w:rsidRDefault="00661D26" w:rsidP="00B12B0F">
            <w:pPr>
              <w:spacing w:line="256" w:lineRule="auto"/>
              <w:rPr>
                <w:rFonts w:ascii="Verdana" w:hAnsi="Verdana"/>
                <w:lang w:val="es-ES_tradnl"/>
              </w:rPr>
            </w:pPr>
          </w:p>
        </w:tc>
      </w:tr>
    </w:tbl>
    <w:p w14:paraId="175D03FC" w14:textId="77777777" w:rsidR="00661D26" w:rsidRPr="00B57A1B" w:rsidRDefault="00661D26" w:rsidP="00661D26">
      <w:pPr>
        <w:spacing w:after="0" w:line="256" w:lineRule="auto"/>
        <w:rPr>
          <w:rFonts w:ascii="Verdana" w:eastAsia="Calibri" w:hAnsi="Verdana" w:cs="Times New Roman"/>
          <w:lang w:val="es-ES"/>
        </w:rPr>
      </w:pPr>
      <w:r w:rsidRPr="00B57A1B">
        <w:rPr>
          <w:rFonts w:ascii="Verdana" w:eastAsia="Calibri" w:hAnsi="Verdana" w:cs="Times New Roman"/>
          <w:lang w:val="es-ES"/>
        </w:rPr>
        <w:t>Estimad</w:t>
      </w:r>
      <w:r>
        <w:rPr>
          <w:rFonts w:ascii="Verdana" w:eastAsia="Calibri" w:hAnsi="Verdana" w:cs="Times New Roman"/>
          <w:lang w:val="es-ES"/>
        </w:rPr>
        <w:t>o Señor Rodríguez</w:t>
      </w:r>
      <w:r w:rsidRPr="00B57A1B">
        <w:rPr>
          <w:rFonts w:ascii="Verdana" w:eastAsia="Calibri" w:hAnsi="Verdana" w:cs="Times New Roman"/>
          <w:lang w:val="es-ES"/>
        </w:rPr>
        <w:t xml:space="preserve">: </w:t>
      </w:r>
    </w:p>
    <w:p w14:paraId="666E876D" w14:textId="77777777" w:rsidR="00661D26" w:rsidRPr="00B57A1B" w:rsidRDefault="00661D26" w:rsidP="00661D26">
      <w:pPr>
        <w:spacing w:after="0" w:line="256" w:lineRule="auto"/>
        <w:rPr>
          <w:rFonts w:ascii="Verdana" w:eastAsia="Calibri" w:hAnsi="Verdana" w:cs="Times New Roman"/>
          <w:lang w:val="es-ES"/>
        </w:rPr>
      </w:pPr>
    </w:p>
    <w:p w14:paraId="394E593C" w14:textId="77777777" w:rsidR="00661D26" w:rsidRDefault="00661D26" w:rsidP="00661D26">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que fue remitida parcialmente por competencia el 10 de junio de 2026</w:t>
      </w:r>
      <w:r w:rsidRPr="00B57A1B">
        <w:rPr>
          <w:rFonts w:ascii="Verdana" w:eastAsia="Calibri" w:hAnsi="Verdana" w:cs="Times New Roman"/>
          <w:bCs/>
          <w:lang w:val="es-ES" w:bidi="es-ES"/>
        </w:rPr>
        <w:t xml:space="preserve">, en la cual manifiesta: </w:t>
      </w:r>
    </w:p>
    <w:p w14:paraId="0DC21736" w14:textId="77777777" w:rsidR="00661D26" w:rsidRPr="0076175D" w:rsidRDefault="00661D26" w:rsidP="00661D26">
      <w:pPr>
        <w:spacing w:after="0" w:line="240" w:lineRule="auto"/>
        <w:ind w:right="709"/>
        <w:jc w:val="both"/>
        <w:rPr>
          <w:rFonts w:ascii="Verdana" w:eastAsia="Calibri" w:hAnsi="Verdana" w:cs="Times New Roman"/>
          <w:bCs/>
          <w:sz w:val="20"/>
          <w:szCs w:val="20"/>
          <w:lang w:bidi="es-ES"/>
        </w:rPr>
      </w:pPr>
    </w:p>
    <w:p w14:paraId="6A011FDF" w14:textId="77777777" w:rsidR="00661D26" w:rsidRDefault="00661D26" w:rsidP="00661D26">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“1. </w:t>
      </w:r>
      <w:r w:rsidRPr="003502F6">
        <w:rPr>
          <w:rFonts w:ascii="Verdana" w:eastAsia="Calibri" w:hAnsi="Verdana" w:cs="Times New Roman"/>
          <w:bCs/>
          <w:sz w:val="20"/>
          <w:szCs w:val="20"/>
          <w:lang w:bidi="es-ES"/>
        </w:rPr>
        <w:t xml:space="preserve">¿Conforme al artículo 2.2.1.2.1.4.9 del decreto 1082 de 2015 la modalidad de contratación directa también es aplicable para contratos de prestación de servicios profesionales y de apoyo a la gestión que dentro </w:t>
      </w:r>
      <w:r w:rsidRPr="003502F6">
        <w:rPr>
          <w:rFonts w:ascii="Verdana" w:eastAsia="Calibri" w:hAnsi="Verdana" w:cs="Times New Roman"/>
          <w:bCs/>
          <w:sz w:val="20"/>
          <w:szCs w:val="20"/>
          <w:lang w:bidi="es-ES"/>
        </w:rPr>
        <w:lastRenderedPageBreak/>
        <w:t xml:space="preserve">de su alcance incluyen actividades operativas, logísticas, o asistenciales como la realización de eventos (ferias, planes de bienestar, olimpiadas deportivas), que además incluyen alimentos, arrendamiento de espacios, salones, locaciones y transporte? </w:t>
      </w:r>
      <w:proofErr w:type="gramStart"/>
      <w:r w:rsidRPr="003502F6">
        <w:rPr>
          <w:rFonts w:ascii="Verdana" w:eastAsia="Calibri" w:hAnsi="Verdana" w:cs="Times New Roman"/>
          <w:bCs/>
          <w:sz w:val="20"/>
          <w:szCs w:val="20"/>
          <w:lang w:bidi="es-ES"/>
        </w:rPr>
        <w:t>O al no tratarse únicamente de servicios de personal si no de servicios de un operador logístico necesariamente debe realizarse mediante convocatoria pública?</w:t>
      </w:r>
      <w:proofErr w:type="gramEnd"/>
      <w:r w:rsidRPr="003502F6">
        <w:rPr>
          <w:rFonts w:ascii="Verdana" w:eastAsia="Calibri" w:hAnsi="Verdana" w:cs="Times New Roman"/>
          <w:bCs/>
          <w:sz w:val="20"/>
          <w:szCs w:val="20"/>
          <w:lang w:bidi="es-ES"/>
        </w:rPr>
        <w:t xml:space="preserve"> </w:t>
      </w:r>
    </w:p>
    <w:p w14:paraId="4830A320" w14:textId="77777777" w:rsidR="00661D26" w:rsidRDefault="00661D26" w:rsidP="00661D26">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2. </w:t>
      </w:r>
      <w:r w:rsidRPr="003502F6">
        <w:rPr>
          <w:rFonts w:ascii="Verdana" w:eastAsia="Calibri" w:hAnsi="Verdana" w:cs="Times New Roman"/>
          <w:bCs/>
          <w:sz w:val="20"/>
          <w:szCs w:val="20"/>
          <w:lang w:bidi="es-ES"/>
        </w:rPr>
        <w:t xml:space="preserve">Dentro del objeto y/o alcance del contrato de prestación de servicios profesionales y de apoyo a la gestión se incluyen actividades de operador logístico integral como suministrar y entregar alimentos, arrendamiento de espacios, salones, locaciones y transporte? </w:t>
      </w:r>
    </w:p>
    <w:p w14:paraId="0CEED8CC" w14:textId="77777777" w:rsidR="00661D26" w:rsidRPr="004B5D8E" w:rsidRDefault="00661D26" w:rsidP="00661D26">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 xml:space="preserve">3. </w:t>
      </w:r>
      <w:proofErr w:type="gramStart"/>
      <w:r w:rsidRPr="003502F6">
        <w:rPr>
          <w:rFonts w:ascii="Verdana" w:eastAsia="Calibri" w:hAnsi="Verdana" w:cs="Times New Roman"/>
          <w:bCs/>
          <w:sz w:val="20"/>
          <w:szCs w:val="20"/>
          <w:lang w:bidi="es-ES"/>
        </w:rPr>
        <w:t>En lo que respecta a la contratación de los servicios de logística para programas de bienestar integral para los servidores públicos, este tipo de objetos contractuales obedecen a algún régimen especial contemplado en el artículo 25, literal c) del Decreto Ley 1567 de 1998?</w:t>
      </w:r>
      <w:proofErr w:type="gramEnd"/>
      <w:r w:rsidRPr="003502F6">
        <w:rPr>
          <w:rFonts w:ascii="Verdana" w:eastAsia="Calibri" w:hAnsi="Verdana" w:cs="Times New Roman"/>
          <w:bCs/>
          <w:sz w:val="20"/>
          <w:szCs w:val="20"/>
          <w:lang w:bidi="es-ES"/>
        </w:rPr>
        <w:t xml:space="preserve"> Lo anterior dado que dicha norma señala tres posibilidades para que las entidades del Estado adelanten las actividades de bienestar así: 1) Ejecución de programas de bienestar en forma directa por parte de las entidades estatales. 2) Ejecución de programas de bienestar mediante la contratación con personas naturales o jurídicas. 3) Ejecución de programas de bienestar a través de los organismos encargados de la protección, la seguridad y los servicios sociales. Debido a esta norma al realizar estudios de demanda sobre este tipo de servicios se observa que muchas Entidades Estatales acuden a la modalidad </w:t>
      </w:r>
      <w:r>
        <w:rPr>
          <w:rFonts w:ascii="Verdana" w:eastAsia="Calibri" w:hAnsi="Verdana" w:cs="Times New Roman"/>
          <w:bCs/>
          <w:sz w:val="20"/>
          <w:szCs w:val="20"/>
          <w:lang w:bidi="es-ES"/>
        </w:rPr>
        <w:t xml:space="preserve">de contratación </w:t>
      </w:r>
      <w:r w:rsidRPr="004B5D8E">
        <w:rPr>
          <w:rFonts w:ascii="Verdana" w:eastAsia="Calibri" w:hAnsi="Verdana" w:cs="Times New Roman"/>
          <w:bCs/>
          <w:sz w:val="20"/>
          <w:szCs w:val="20"/>
          <w:lang w:bidi="es-ES"/>
        </w:rPr>
        <w:t xml:space="preserve">directa invocando como causal el artículo 2.2.1.2.1.4.9 del decreto 1082 de 2015 y el artículo 25, literal c) del Decreto Ley 1567 de 1998. </w:t>
      </w:r>
    </w:p>
    <w:p w14:paraId="41FFB93D" w14:textId="77777777" w:rsidR="00661D26" w:rsidRPr="00812F2C" w:rsidRDefault="00661D26" w:rsidP="00661D26">
      <w:pPr>
        <w:spacing w:after="0" w:line="240" w:lineRule="auto"/>
        <w:ind w:left="709" w:right="709"/>
        <w:jc w:val="both"/>
        <w:rPr>
          <w:rFonts w:ascii="Verdana" w:eastAsia="Calibri" w:hAnsi="Verdana" w:cs="Times New Roman"/>
          <w:bCs/>
          <w:sz w:val="21"/>
          <w:szCs w:val="21"/>
          <w:lang w:bidi="es-ES"/>
        </w:rPr>
      </w:pPr>
    </w:p>
    <w:p w14:paraId="0A723CAB" w14:textId="77777777" w:rsidR="00661D26" w:rsidRPr="00B57A1B" w:rsidRDefault="00661D26" w:rsidP="00661D26">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B8E27FD" w14:textId="77777777" w:rsidR="00661D26" w:rsidRPr="00B57A1B" w:rsidRDefault="00661D26" w:rsidP="00661D26">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objeto de su consulta. </w:t>
      </w:r>
    </w:p>
    <w:p w14:paraId="77A0F3C4" w14:textId="77777777" w:rsidR="00661D26" w:rsidRPr="00B57A1B" w:rsidRDefault="00661D26" w:rsidP="00661D26">
      <w:pPr>
        <w:spacing w:after="0" w:line="256" w:lineRule="auto"/>
        <w:rPr>
          <w:rFonts w:ascii="Verdana" w:eastAsia="Calibri" w:hAnsi="Verdana" w:cs="Times New Roman"/>
          <w:lang w:val="es-ES"/>
        </w:rPr>
      </w:pPr>
    </w:p>
    <w:p w14:paraId="74B4A4C1" w14:textId="77777777" w:rsidR="00661D26" w:rsidRPr="00B57A1B" w:rsidRDefault="00661D26" w:rsidP="00661D26">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5121785F" w14:textId="77777777" w:rsidR="00661D26" w:rsidRPr="00B57A1B" w:rsidRDefault="00661D26" w:rsidP="00661D26">
      <w:pPr>
        <w:spacing w:after="0" w:line="256" w:lineRule="auto"/>
        <w:rPr>
          <w:rFonts w:ascii="Verdana" w:eastAsia="Calibri" w:hAnsi="Verdana" w:cs="Times New Roman"/>
        </w:rPr>
      </w:pPr>
    </w:p>
    <w:p w14:paraId="0C13C2E2" w14:textId="77777777" w:rsidR="00661D26" w:rsidRPr="00E27FDD" w:rsidRDefault="00661D26" w:rsidP="00661D26">
      <w:pPr>
        <w:spacing w:after="0" w:line="276" w:lineRule="auto"/>
        <w:jc w:val="both"/>
        <w:rPr>
          <w:rFonts w:ascii="Verdana" w:eastAsia="Calibri" w:hAnsi="Verdana"/>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sidRPr="00362FC7">
        <w:rPr>
          <w:rFonts w:ascii="Verdana" w:eastAsia="Calibri" w:hAnsi="Verdana" w:cs="Times New Roman"/>
          <w:iCs/>
          <w:lang w:val="es-ES"/>
        </w:rPr>
        <w:t xml:space="preserve"> </w:t>
      </w:r>
      <w:r>
        <w:rPr>
          <w:rFonts w:ascii="Verdana" w:eastAsia="Calibri" w:hAnsi="Verdana"/>
          <w:iCs/>
        </w:rPr>
        <w:t xml:space="preserve">i) </w:t>
      </w:r>
      <w:r w:rsidRPr="00E27FDD">
        <w:rPr>
          <w:rFonts w:ascii="Verdana" w:eastAsia="Calibri" w:hAnsi="Verdana"/>
          <w:iCs/>
        </w:rPr>
        <w:t xml:space="preserve">¿La causal de contratación directa del artículo 2.2.1.2.1.4.9 del Decreto 1082 de 2015 permite celebrar contratos de prestación de servicios profesionales y de apoyo a la gestión cuando el objeto incluye actividades operativas, logísticas o asistenciales —como organización de eventos, suministro de alimentos, arrendamiento de espacios y transporte—, o en estos casos, por tratarse de un operador logístico integral, debe acudirse a </w:t>
      </w:r>
      <w:r>
        <w:rPr>
          <w:rFonts w:ascii="Verdana" w:eastAsia="Calibri" w:hAnsi="Verdana"/>
          <w:iCs/>
        </w:rPr>
        <w:t>modalidades de selección competitivas</w:t>
      </w:r>
      <w:r w:rsidRPr="00E27FDD">
        <w:rPr>
          <w:rFonts w:ascii="Verdana" w:eastAsia="Calibri" w:hAnsi="Verdana"/>
          <w:iCs/>
        </w:rPr>
        <w:t>?</w:t>
      </w:r>
      <w:r>
        <w:rPr>
          <w:rFonts w:ascii="Verdana" w:eastAsia="Calibri" w:hAnsi="Verdana"/>
          <w:iCs/>
        </w:rPr>
        <w:t xml:space="preserve">; </w:t>
      </w:r>
      <w:proofErr w:type="spellStart"/>
      <w:r>
        <w:rPr>
          <w:rFonts w:ascii="Verdana" w:eastAsia="Calibri" w:hAnsi="Verdana"/>
          <w:iCs/>
        </w:rPr>
        <w:t>ii</w:t>
      </w:r>
      <w:proofErr w:type="spellEnd"/>
      <w:r>
        <w:rPr>
          <w:rFonts w:ascii="Verdana" w:eastAsia="Calibri" w:hAnsi="Verdana"/>
          <w:iCs/>
        </w:rPr>
        <w:t xml:space="preserve">) </w:t>
      </w:r>
      <w:r w:rsidRPr="00E27FDD">
        <w:rPr>
          <w:rFonts w:ascii="Verdana" w:eastAsia="Calibri" w:hAnsi="Verdana" w:cs="Times New Roman"/>
          <w:iCs/>
        </w:rPr>
        <w:t xml:space="preserve">¿Las actividades de logística para programas de bienestar social de los servidores públicos pueden considerarse </w:t>
      </w:r>
      <w:r>
        <w:rPr>
          <w:rFonts w:ascii="Verdana" w:eastAsia="Calibri" w:hAnsi="Verdana" w:cs="Times New Roman"/>
          <w:iCs/>
        </w:rPr>
        <w:t xml:space="preserve">la aplicación del </w:t>
      </w:r>
      <w:r w:rsidRPr="00E27FDD">
        <w:rPr>
          <w:rFonts w:ascii="Verdana" w:eastAsia="Calibri" w:hAnsi="Verdana" w:cs="Times New Roman"/>
          <w:iCs/>
        </w:rPr>
        <w:t>artículo 25 literal c) del Decreto Ley 1567 de 1998, de manera que habiliten la contratación directa, o estas actividades deben contratarse mediante las reglas generales</w:t>
      </w:r>
      <w:r>
        <w:rPr>
          <w:rFonts w:ascii="Verdana" w:eastAsia="Calibri" w:hAnsi="Verdana" w:cs="Times New Roman"/>
          <w:iCs/>
        </w:rPr>
        <w:t xml:space="preserve"> del Sistema de Compras Públicas</w:t>
      </w:r>
      <w:r w:rsidRPr="00E27FDD">
        <w:rPr>
          <w:rFonts w:ascii="Verdana" w:eastAsia="Calibri" w:hAnsi="Verdana" w:cs="Times New Roman"/>
          <w:iCs/>
        </w:rPr>
        <w:t>?</w:t>
      </w:r>
    </w:p>
    <w:p w14:paraId="6D2820EE" w14:textId="77777777" w:rsidR="00661D26" w:rsidRPr="00B57A1B" w:rsidRDefault="00661D26" w:rsidP="00661D26">
      <w:pPr>
        <w:spacing w:after="0" w:line="276" w:lineRule="auto"/>
        <w:jc w:val="both"/>
        <w:rPr>
          <w:rFonts w:ascii="Verdana" w:eastAsia="Calibri" w:hAnsi="Verdana" w:cs="Times New Roman"/>
          <w:i/>
          <w:iCs/>
          <w:lang w:val="es-ES"/>
        </w:rPr>
      </w:pPr>
    </w:p>
    <w:p w14:paraId="37843995" w14:textId="77777777" w:rsidR="00661D26" w:rsidRPr="00B57A1B" w:rsidRDefault="00661D26" w:rsidP="00661D26">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66A1CAFD" w14:textId="77777777" w:rsidR="00661D26" w:rsidRPr="00B57A1B" w:rsidRDefault="00661D26" w:rsidP="00661D26">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661D26" w:rsidRPr="00B57A1B" w14:paraId="1B03857C" w14:textId="77777777" w:rsidTr="00B12B0F">
        <w:trPr>
          <w:trHeight w:val="345"/>
          <w:jc w:val="center"/>
        </w:trPr>
        <w:tc>
          <w:tcPr>
            <w:tcW w:w="8784" w:type="dxa"/>
            <w:tcBorders>
              <w:bottom w:val="single" w:sz="4" w:space="0" w:color="auto"/>
            </w:tcBorders>
          </w:tcPr>
          <w:p w14:paraId="67F53F26" w14:textId="77777777" w:rsidR="00661D26" w:rsidRDefault="00661D26" w:rsidP="00B12B0F">
            <w:pPr>
              <w:spacing w:after="120" w:line="276" w:lineRule="auto"/>
              <w:jc w:val="both"/>
              <w:rPr>
                <w:rFonts w:ascii="Verdana" w:eastAsia="Calibri" w:hAnsi="Verdana"/>
                <w:lang w:val="es-ES"/>
              </w:rPr>
            </w:pPr>
            <w:r>
              <w:rPr>
                <w:rFonts w:ascii="Verdana" w:eastAsia="Calibri" w:hAnsi="Verdana"/>
                <w:lang w:val="es-ES"/>
              </w:rPr>
              <w:t>Para la solución de los problemas jurídicos se consulta se expresa:</w:t>
            </w:r>
          </w:p>
          <w:p w14:paraId="46847C95" w14:textId="77777777" w:rsidR="00661D26" w:rsidRDefault="00661D26" w:rsidP="00B12B0F">
            <w:pPr>
              <w:spacing w:after="120" w:line="276" w:lineRule="auto"/>
              <w:jc w:val="both"/>
              <w:rPr>
                <w:rFonts w:ascii="Verdana" w:eastAsia="Calibri" w:hAnsi="Verdana"/>
                <w:color w:val="000000" w:themeColor="text1"/>
                <w:lang w:val="es-ES_tradnl"/>
              </w:rPr>
            </w:pPr>
            <w:r>
              <w:rPr>
                <w:rFonts w:ascii="Verdana" w:eastAsia="Calibri" w:hAnsi="Verdana"/>
                <w:lang w:val="es-ES"/>
              </w:rPr>
              <w:t xml:space="preserve">i. En relación con su primer problema jurídico se detalla que el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Como una forma de contratación atípica, estos se caracterizan por acumular prestaciones de varios contratos nominados para satisfacer una necesidad común</w:t>
            </w:r>
            <w:r w:rsidRPr="00D239E3">
              <w:rPr>
                <w:rFonts w:ascii="Verdana" w:eastAsia="Calibri" w:hAnsi="Verdana"/>
                <w:color w:val="000000" w:themeColor="text1"/>
                <w:lang w:val="es-ES_tradnl"/>
              </w:rPr>
              <w:t xml:space="preserve">. </w:t>
            </w:r>
            <w:r>
              <w:rPr>
                <w:rFonts w:ascii="Verdana" w:eastAsia="Calibri" w:hAnsi="Verdana"/>
                <w:color w:val="000000" w:themeColor="text1"/>
                <w:lang w:val="es-ES_tradnl"/>
              </w:rPr>
              <w:t xml:space="preserve">Precisamente, </w:t>
            </w:r>
            <w:r w:rsidRPr="00B03EF6">
              <w:rPr>
                <w:rFonts w:ascii="Verdana" w:eastAsia="Calibri" w:hAnsi="Verdana"/>
                <w:color w:val="000000" w:themeColor="text1"/>
                <w:lang w:val="es-ES_tradnl"/>
              </w:rPr>
              <w:t>Respecto a los contratos de operación logística</w:t>
            </w:r>
            <w:r>
              <w:rPr>
                <w:rFonts w:ascii="Verdana" w:eastAsia="Calibri" w:hAnsi="Verdana"/>
                <w:color w:val="000000" w:themeColor="text1"/>
                <w:lang w:val="es-ES_tradnl"/>
              </w:rPr>
              <w:t xml:space="preserve">, estos corresponden a </w:t>
            </w:r>
            <w:r w:rsidRPr="00B03EF6">
              <w:rPr>
                <w:rFonts w:ascii="Verdana" w:eastAsia="Calibri" w:hAnsi="Verdana"/>
                <w:i/>
                <w:iCs/>
                <w:color w:val="000000" w:themeColor="text1"/>
                <w:lang w:val="es-ES_tradnl"/>
              </w:rPr>
              <w:t>contratos mixtos</w:t>
            </w:r>
            <w:r>
              <w:rPr>
                <w:rFonts w:ascii="Verdana" w:eastAsia="Calibri" w:hAnsi="Verdana"/>
                <w:color w:val="000000" w:themeColor="text1"/>
                <w:lang w:val="es-ES_tradnl"/>
              </w:rPr>
              <w:t xml:space="preserve">. De hecho, sin perjuicio de las demás obligaciones que pacten las partes, es frecuente que en la práctica tengan componentes de compraventa, suministro, </w:t>
            </w:r>
            <w:r>
              <w:rPr>
                <w:rFonts w:ascii="Verdana" w:eastAsia="Calibri" w:hAnsi="Verdana"/>
                <w:color w:val="000000" w:themeColor="text1"/>
                <w:lang w:val="es-ES_tradnl"/>
              </w:rPr>
              <w:lastRenderedPageBreak/>
              <w:t xml:space="preserve">arrendamiento de bienes muebles o inmuebles, transporte, prestación de servicios, entre otros, de donde se infiere la existencia de una o más tipologías contractuales. Por ello, como contrato atípico, la doctrina sugiere integrar su contenido teniendo en cuenta los siguientes criterios: “[…] </w:t>
            </w:r>
            <w:r w:rsidRPr="00DE4EF6">
              <w:rPr>
                <w:rFonts w:ascii="Verdana" w:eastAsia="Calibri" w:hAnsi="Verdana"/>
                <w:color w:val="000000" w:themeColor="text1"/>
                <w:lang w:val="es-ES_tradnl"/>
              </w:rPr>
              <w:t>1°) las leyes imperativas; 2°) las cláusulas libremente redactadas o estipuladas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por los agentes; 3°) las reglas generales de los actos jurídicos y de los contratos,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según el caso; 4°) las reglas propias del contrato típico más próximo o semejante,</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y 5°) la doctrina constitucional y los principios generales de derecho</w:t>
            </w:r>
            <w:r>
              <w:rPr>
                <w:rFonts w:ascii="Verdana" w:eastAsia="Calibri" w:hAnsi="Verdana"/>
                <w:color w:val="000000" w:themeColor="text1"/>
                <w:lang w:val="es-ES_tradnl"/>
              </w:rPr>
              <w:t>”</w:t>
            </w:r>
            <w:r w:rsidRPr="00DE4EF6">
              <w:rPr>
                <w:rFonts w:ascii="Verdana" w:eastAsia="Calibri" w:hAnsi="Verdana"/>
                <w:color w:val="000000" w:themeColor="text1"/>
                <w:lang w:val="es-ES_tradnl"/>
              </w:rPr>
              <w:t>.</w:t>
            </w:r>
            <w:r>
              <w:rPr>
                <w:rFonts w:ascii="Verdana" w:eastAsia="Calibri" w:hAnsi="Verdana"/>
                <w:color w:val="000000" w:themeColor="text1"/>
                <w:lang w:val="es-ES_tradnl"/>
              </w:rPr>
              <w:t xml:space="preserve"> </w:t>
            </w:r>
          </w:p>
          <w:p w14:paraId="63AC298F" w14:textId="77777777" w:rsidR="00661D26" w:rsidRPr="00CC1AA1" w:rsidRDefault="00661D26" w:rsidP="00B12B0F">
            <w:pPr>
              <w:spacing w:before="120" w:after="120" w:line="276" w:lineRule="auto"/>
              <w:ind w:firstLine="709"/>
              <w:jc w:val="both"/>
              <w:rPr>
                <w:rFonts w:ascii="Verdana" w:hAnsi="Verdana" w:cs="Arial"/>
              </w:rPr>
            </w:pPr>
            <w:r>
              <w:rPr>
                <w:rFonts w:ascii="Verdana" w:eastAsia="Aptos" w:hAnsi="Verdana" w:cs="Arial"/>
              </w:rPr>
              <w:t>Ahora bien, para determinar la modalidad de selección</w:t>
            </w:r>
            <w:r>
              <w:rPr>
                <w:rFonts w:ascii="Verdana" w:hAnsi="Verdana" w:cs="Arial"/>
              </w:rPr>
              <w:t>,</w:t>
            </w:r>
            <w:r w:rsidRPr="00F30A39">
              <w:rPr>
                <w:rFonts w:ascii="Verdana" w:hAnsi="Verdana" w:cs="Arial"/>
              </w:rPr>
              <w:t xml:space="preserve"> la </w:t>
            </w:r>
            <w:r>
              <w:rPr>
                <w:rFonts w:ascii="Verdana" w:hAnsi="Verdana" w:cs="Arial"/>
              </w:rPr>
              <w:t xml:space="preserve">entidad debe tener en cuenta el artículo 2 de la Ley 1150 de 2007, el cual establece que </w:t>
            </w:r>
            <w:r w:rsidRPr="00112A00">
              <w:rPr>
                <w:rFonts w:ascii="Verdana" w:hAnsi="Verdana" w:cs="Arial"/>
                <w:i/>
                <w:iCs/>
              </w:rPr>
              <w:t>la escogencia del contratista se efectuará con arreglo a las modalidades de selección de licitación pública, selección abreviada, concurso de méritos y contratación directa</w:t>
            </w:r>
            <w:r>
              <w:rPr>
                <w:rFonts w:ascii="Verdana" w:hAnsi="Verdana" w:cs="Arial"/>
                <w:i/>
                <w:iCs/>
              </w:rPr>
              <w:t xml:space="preserve"> […]</w:t>
            </w:r>
            <w:r w:rsidRPr="00112A00">
              <w:rPr>
                <w:rFonts w:ascii="Verdana" w:hAnsi="Verdana" w:cs="Arial"/>
                <w:i/>
                <w:iCs/>
              </w:rPr>
              <w:t xml:space="preserve">La escogencia del contratista se efectuará por regla general a través de licitación pública, con las excepciones que se señalan en los numerales 2, 3 y 4 del </w:t>
            </w:r>
            <w:r>
              <w:rPr>
                <w:rFonts w:ascii="Verdana" w:hAnsi="Verdana" w:cs="Arial"/>
                <w:i/>
                <w:iCs/>
              </w:rPr>
              <w:t>citado artículo</w:t>
            </w:r>
            <w:r w:rsidRPr="00112A00">
              <w:rPr>
                <w:rFonts w:ascii="Verdana" w:hAnsi="Verdana" w:cs="Arial"/>
                <w:i/>
                <w:iCs/>
              </w:rPr>
              <w:t>.</w:t>
            </w:r>
            <w:r>
              <w:rPr>
                <w:rFonts w:ascii="Verdana" w:hAnsi="Verdana" w:cs="Arial"/>
              </w:rPr>
              <w:t xml:space="preserve"> </w:t>
            </w:r>
            <w:r w:rsidRPr="00F30A39">
              <w:rPr>
                <w:rFonts w:ascii="Verdana" w:hAnsi="Verdana" w:cs="Arial"/>
              </w:rPr>
              <w:t xml:space="preserve">Por tanto, </w:t>
            </w:r>
            <w:r>
              <w:rPr>
                <w:rFonts w:ascii="Verdana" w:hAnsi="Verdana" w:cs="Arial"/>
              </w:rPr>
              <w:t xml:space="preserve">es importante que </w:t>
            </w:r>
            <w:r w:rsidRPr="00F30A39">
              <w:rPr>
                <w:rFonts w:ascii="Verdana" w:hAnsi="Verdana" w:cs="Arial"/>
              </w:rPr>
              <w:t xml:space="preserve">las entidades estatales a atender debidamente el principio de </w:t>
            </w:r>
            <w:r w:rsidRPr="00C11A68">
              <w:rPr>
                <w:rFonts w:ascii="Verdana" w:hAnsi="Verdana" w:cs="Arial"/>
              </w:rPr>
              <w:t>planeación y selección objetiva</w:t>
            </w:r>
            <w:r w:rsidRPr="00F30A39">
              <w:rPr>
                <w:rFonts w:ascii="Verdana" w:hAnsi="Verdana" w:cs="Arial"/>
              </w:rPr>
              <w:t xml:space="preserve"> asegurando que las decisiones sean oportunas, bien fundamentadas y que contribuyan a la optimización de los recursos disponibles</w:t>
            </w:r>
            <w:r>
              <w:rPr>
                <w:rFonts w:ascii="Verdana" w:hAnsi="Verdana" w:cs="Arial"/>
              </w:rPr>
              <w:t>.</w:t>
            </w:r>
          </w:p>
          <w:p w14:paraId="5EC32D16" w14:textId="77777777" w:rsidR="00661D26" w:rsidRPr="0074202C" w:rsidRDefault="00661D26" w:rsidP="00B12B0F">
            <w:pPr>
              <w:spacing w:before="120" w:after="120" w:line="276" w:lineRule="auto"/>
              <w:ind w:firstLine="709"/>
              <w:jc w:val="both"/>
              <w:rPr>
                <w:rFonts w:ascii="Verdana" w:eastAsia="Aptos" w:hAnsi="Verdana" w:cs="Arial"/>
              </w:rPr>
            </w:pPr>
            <w:r w:rsidRPr="00AE38A7">
              <w:rPr>
                <w:rFonts w:ascii="Verdana" w:eastAsia="Aptos" w:hAnsi="Verdana" w:cs="Arial"/>
              </w:rPr>
              <w:t xml:space="preserve">En relación con los contratos de operación logística, es fundamental reiterar que su naturaleza de contratos mixtos —al integrar prestaciones propias de varios contratos nominados para satisfacer una necesidad común— impide la existencia de un procedimiento de selección exclusivo o predeterminado. Por ello, no es </w:t>
            </w:r>
            <w:r>
              <w:rPr>
                <w:rFonts w:ascii="Verdana" w:eastAsia="Aptos" w:hAnsi="Verdana" w:cs="Arial"/>
              </w:rPr>
              <w:t xml:space="preserve">procedente </w:t>
            </w:r>
            <w:r w:rsidRPr="00AE38A7">
              <w:rPr>
                <w:rFonts w:ascii="Verdana" w:eastAsia="Aptos" w:hAnsi="Verdana" w:cs="Arial"/>
              </w:rPr>
              <w:t>establecer un criterio uniforme que obligue a utilizar siempre la misma modalidad de selección. La entidad, en ejercicio del principio de planeación, debe analizar el objeto, la cuantía, las condiciones del mercado, la urgencia y la disponibilidad presupuestal para determinar si procede la licitación pública, la selección abreviada por menor cuantía, la mínima cuantía, o incluso la contratación directa cuando se configure una causal legal, como ocurre con los contratos interadministrativos</w:t>
            </w:r>
            <w:r>
              <w:rPr>
                <w:rFonts w:ascii="Verdana" w:eastAsia="Aptos" w:hAnsi="Verdana" w:cs="Arial"/>
              </w:rPr>
              <w:t>, conforme al artículo 2.4. literal c de la Ley 1150 de 2007</w:t>
            </w:r>
            <w:r w:rsidRPr="00AE38A7">
              <w:rPr>
                <w:rFonts w:ascii="Verdana" w:eastAsia="Aptos" w:hAnsi="Verdana" w:cs="Arial"/>
              </w:rPr>
              <w:t>. Lo determinante es que la modalidad elegida sea coherente con las características del servicio requerido y con los principios rectores de la contratación estatal.</w:t>
            </w:r>
            <w:r>
              <w:rPr>
                <w:rFonts w:ascii="Verdana" w:eastAsia="Aptos" w:hAnsi="Verdana" w:cs="Arial"/>
              </w:rPr>
              <w:t xml:space="preserve"> En tal sentido, l</w:t>
            </w:r>
            <w:r w:rsidRPr="00C97DA4">
              <w:rPr>
                <w:rFonts w:ascii="Verdana" w:eastAsia="Arial" w:hAnsi="Verdana" w:cs="Arial"/>
                <w:bCs/>
              </w:rPr>
              <w:t xml:space="preserve">a ausencia de un objeto contractual </w:t>
            </w:r>
            <w:r w:rsidRPr="00C97DA4">
              <w:rPr>
                <w:rFonts w:ascii="Verdana" w:eastAsia="Arial" w:hAnsi="Verdana" w:cs="Arial"/>
                <w:bCs/>
              </w:rPr>
              <w:lastRenderedPageBreak/>
              <w:t xml:space="preserve">específico asociado a estos procedimientos —pues su configuración depende primordialmente de la cuantía y no de la naturaleza intrínseca de la prestación— implica que no existe impedimento jurídico para emplear las modalidades de selección previamente expuestas en la celebración de contratos de operación logística. </w:t>
            </w:r>
          </w:p>
          <w:p w14:paraId="00A5928B" w14:textId="77777777" w:rsidR="00661D26" w:rsidRDefault="00661D26" w:rsidP="00B12B0F">
            <w:pPr>
              <w:spacing w:after="120" w:line="276" w:lineRule="auto"/>
              <w:ind w:right="79" w:firstLine="743"/>
              <w:jc w:val="both"/>
              <w:rPr>
                <w:rFonts w:ascii="Verdana" w:eastAsia="Arial" w:hAnsi="Verdana" w:cs="Arial"/>
                <w:bCs/>
              </w:rPr>
            </w:pPr>
            <w:r>
              <w:rPr>
                <w:rFonts w:ascii="Verdana" w:eastAsia="Arial" w:hAnsi="Verdana" w:cs="Arial"/>
                <w:bCs/>
              </w:rPr>
              <w:t>Sin embargo, en referencia con la modalidad de contratación directa, es pertinente señalar que conforme</w:t>
            </w:r>
            <w:r w:rsidRPr="00FC6761">
              <w:rPr>
                <w:rFonts w:ascii="Verdana" w:eastAsia="Arial" w:hAnsi="Verdana" w:cs="Arial"/>
                <w:bCs/>
                <w:lang w:val="es-MX"/>
              </w:rPr>
              <w:t xml:space="preserve"> lo dispone el artículo 2, numeral 4º, literal h), de la Ley 1150 de 2007, la prestación de servicios profesionales y de apoyo a la </w:t>
            </w:r>
            <w:r w:rsidRPr="00A940B1">
              <w:rPr>
                <w:rFonts w:ascii="Verdana" w:eastAsia="Arial" w:hAnsi="Verdana" w:cs="Arial"/>
                <w:bCs/>
                <w:lang w:val="es-MX"/>
              </w:rPr>
              <w:t>gestión o la ejecución de trabajos artísticos que solo puedan encomendarse a determinadas personas naturales</w:t>
            </w:r>
            <w:r>
              <w:rPr>
                <w:rFonts w:ascii="Verdana" w:eastAsia="Arial" w:hAnsi="Verdana" w:cs="Arial"/>
                <w:bCs/>
                <w:lang w:val="es-MX"/>
              </w:rPr>
              <w:t xml:space="preserve"> se efectúa mediante esta modalidad de selección</w:t>
            </w:r>
            <w:r w:rsidRPr="00A940B1">
              <w:rPr>
                <w:rFonts w:ascii="Verdana" w:eastAsia="Arial" w:hAnsi="Verdana" w:cs="Arial"/>
                <w:bCs/>
                <w:lang w:val="es-MX"/>
              </w:rPr>
              <w:t xml:space="preserve">. El </w:t>
            </w:r>
            <w:r>
              <w:rPr>
                <w:rFonts w:ascii="Verdana" w:eastAsia="Arial" w:hAnsi="Verdana" w:cs="Arial"/>
                <w:bCs/>
                <w:lang w:val="es-MX"/>
              </w:rPr>
              <w:t xml:space="preserve">artículo </w:t>
            </w:r>
            <w:r w:rsidRPr="00A940B1">
              <w:rPr>
                <w:rFonts w:ascii="Verdana" w:eastAsia="Arial" w:hAnsi="Verdana" w:cs="Arial"/>
                <w:bCs/>
                <w:lang w:val="es-MX"/>
              </w:rPr>
              <w:t xml:space="preserve">2.2.1.2.1.4.9 del Decreto 1082 de 2015 regula esta causal y </w:t>
            </w:r>
            <w:r w:rsidRPr="00A940B1">
              <w:rPr>
                <w:rFonts w:ascii="Verdana" w:hAnsi="Verdana" w:cs="Arial"/>
                <w:color w:val="000000" w:themeColor="text1"/>
              </w:rPr>
              <w:t xml:space="preserve">desarrolla los conceptos de prestación de servicios profesionales y de apoyo a la gestión. </w:t>
            </w:r>
            <w:r>
              <w:rPr>
                <w:rFonts w:ascii="Verdana" w:eastAsia="Arial" w:hAnsi="Verdana" w:cs="Arial"/>
                <w:bCs/>
              </w:rPr>
              <w:t>En este sentido, es importante precisar que c</w:t>
            </w:r>
            <w:r w:rsidRPr="00500958">
              <w:rPr>
                <w:rFonts w:ascii="Verdana" w:eastAsia="Arial" w:hAnsi="Verdana" w:cs="Arial"/>
                <w:bCs/>
              </w:rPr>
              <w:t xml:space="preserve">omo especies del género prestación de servicios, la jurisprudencia se ha encargado de definir los contratos de prestación de servicios profesionales y los de apoyo a la gestión. El primero, denominado contrato propiamente dicho de prestación de servicios profesionales se caracteriza por desarrollar actividades identificables e intangibles que demandan competencias y habilidades profesionales y especializadas, tendientes a satisfacer las necesidades relacionadas con la gestión administrativa o funcionamiento de la entidad. Por su parte, el contrato de prestación de servicios de simple apoyo a la gestión es aquel tendiente a desarrollar actividades en las cuales no se requiere personal profesional. Se involucra un saber técnico e implica el desempeño de un esfuerzo o actividad de apoyo, acompañamiento o soporte de carácter, entre otros, técnico, operacional, logístico, </w:t>
            </w:r>
            <w:r>
              <w:rPr>
                <w:rFonts w:ascii="Verdana" w:eastAsia="Arial" w:hAnsi="Verdana" w:cs="Arial"/>
                <w:bCs/>
              </w:rPr>
              <w:t>entre otros</w:t>
            </w:r>
            <w:r w:rsidRPr="00500958">
              <w:rPr>
                <w:rFonts w:ascii="Verdana" w:eastAsia="Arial" w:hAnsi="Verdana" w:cs="Arial"/>
                <w:bCs/>
              </w:rPr>
              <w:t>.</w:t>
            </w:r>
          </w:p>
          <w:p w14:paraId="6AF38109" w14:textId="77777777" w:rsidR="00661D26" w:rsidRPr="00500958" w:rsidRDefault="00661D26" w:rsidP="00B12B0F">
            <w:pPr>
              <w:spacing w:after="120" w:line="276" w:lineRule="auto"/>
              <w:ind w:right="79" w:firstLine="743"/>
              <w:jc w:val="both"/>
              <w:rPr>
                <w:rFonts w:ascii="Verdana" w:eastAsia="Arial" w:hAnsi="Verdana" w:cs="Arial"/>
                <w:bCs/>
                <w:lang w:val="es-MX"/>
              </w:rPr>
            </w:pPr>
            <w:r w:rsidRPr="00500958">
              <w:rPr>
                <w:rFonts w:ascii="Verdana" w:eastAsia="Arial" w:hAnsi="Verdana" w:cs="Arial"/>
                <w:bCs/>
                <w:lang w:val="es-MX"/>
              </w:rPr>
              <w:t>Dentro del objeto contractual de los contratos de prestación de servicios profesionales y de los de simple apoyo a la gestión, pueden tener lugar las actividades operativas, logísticas o asistenciales, siempre que en cada caso se cumplan los requisitos del tipo de contrato y exista correspondencia con las necesidades de la administración y el principio de planeación. De cualquier forma, si se desarrollan estas actividades en el contexto de las especies de contratos de prestación de servicios ya citadas, debe tenerse en cuenta que el objeto siempre debe estar relacionado con la necesidad de satisfacer la gestión administrativa o funcionamiento de la entidad, para suplir las falencias de esta.</w:t>
            </w:r>
          </w:p>
          <w:p w14:paraId="1AAA2C5C" w14:textId="77777777" w:rsidR="00661D26" w:rsidRPr="00816F51" w:rsidRDefault="00661D26" w:rsidP="00B12B0F">
            <w:pPr>
              <w:spacing w:before="120" w:after="120" w:line="276" w:lineRule="auto"/>
              <w:ind w:firstLine="709"/>
              <w:jc w:val="both"/>
              <w:rPr>
                <w:rFonts w:ascii="Verdana" w:eastAsia="Aptos" w:hAnsi="Verdana" w:cs="Arial"/>
              </w:rPr>
            </w:pPr>
            <w:r>
              <w:rPr>
                <w:rFonts w:ascii="Verdana" w:eastAsia="Arial" w:hAnsi="Verdana" w:cs="Arial"/>
                <w:bCs/>
                <w:lang w:val="es-MX"/>
              </w:rPr>
              <w:lastRenderedPageBreak/>
              <w:t>De esta manera,</w:t>
            </w:r>
            <w:r w:rsidRPr="00500958">
              <w:rPr>
                <w:rFonts w:ascii="Verdana" w:eastAsia="Arial" w:hAnsi="Verdana" w:cs="Arial"/>
                <w:bCs/>
                <w:lang w:val="es-MX"/>
              </w:rPr>
              <w:t xml:space="preserve"> </w:t>
            </w:r>
            <w:r>
              <w:rPr>
                <w:rFonts w:ascii="Verdana" w:eastAsia="Arial" w:hAnsi="Verdana" w:cs="Arial"/>
                <w:bCs/>
                <w:lang w:val="es-MX"/>
              </w:rPr>
              <w:t xml:space="preserve">si bien </w:t>
            </w:r>
            <w:r w:rsidRPr="00500958">
              <w:rPr>
                <w:rFonts w:ascii="Verdana" w:eastAsia="Arial" w:hAnsi="Verdana" w:cs="Arial"/>
                <w:bCs/>
                <w:lang w:val="es-MX"/>
              </w:rPr>
              <w:t>las actividades operativas, logísticas o asistenciales de las que trata el artículo 2.2.1.2.1.4.9 del Decreto 1082 de 2015</w:t>
            </w:r>
            <w:r>
              <w:rPr>
                <w:rFonts w:ascii="Verdana" w:eastAsia="Arial" w:hAnsi="Verdana" w:cs="Arial"/>
                <w:bCs/>
                <w:lang w:val="es-MX"/>
              </w:rPr>
              <w:t xml:space="preserve"> pueden contratarse por la vía de </w:t>
            </w:r>
            <w:r w:rsidRPr="00500958">
              <w:rPr>
                <w:rFonts w:ascii="Verdana" w:eastAsia="Arial" w:hAnsi="Verdana" w:cs="Arial"/>
                <w:bCs/>
                <w:lang w:val="es-MX"/>
              </w:rPr>
              <w:t>los contratos de prestación de servicios profesionales o de apoyo a la gestió</w:t>
            </w:r>
            <w:r>
              <w:rPr>
                <w:rFonts w:ascii="Verdana" w:eastAsia="Arial" w:hAnsi="Verdana" w:cs="Arial"/>
                <w:bCs/>
                <w:lang w:val="es-MX"/>
              </w:rPr>
              <w:t>n, esta no es una causal exclusiva para las actividades de logística. Además, s</w:t>
            </w:r>
            <w:r w:rsidRPr="00731224">
              <w:rPr>
                <w:rFonts w:ascii="Verdana" w:eastAsia="Arial" w:hAnsi="Verdana" w:cs="Arial"/>
                <w:bCs/>
                <w:lang w:val="es-MX"/>
              </w:rPr>
              <w:t>e hace énfasis en que estas actividades, en el marco de los contratos de prestación de servicios, serán destinadas al apoyo, acompañamiento y soporte relacionadas con la administración o funcionamiento de la entidad, es decir, que hagan parte de su giro ordinario o quehacer cotidiano.</w:t>
            </w:r>
            <w:r>
              <w:rPr>
                <w:rFonts w:ascii="Verdana" w:eastAsia="Arial" w:hAnsi="Verdana" w:cs="Arial"/>
                <w:bCs/>
                <w:lang w:val="es-MX"/>
              </w:rPr>
              <w:t xml:space="preserve"> De este modo, c</w:t>
            </w:r>
            <w:r w:rsidRPr="006E0B61">
              <w:rPr>
                <w:rFonts w:ascii="Verdana" w:eastAsia="Arial" w:hAnsi="Verdana" w:cs="Arial"/>
                <w:bCs/>
                <w:lang w:val="es-MX"/>
              </w:rPr>
              <w:t>orresponde a cada entidad estatal determinar</w:t>
            </w:r>
            <w:r>
              <w:rPr>
                <w:rFonts w:ascii="Verdana" w:eastAsia="Arial" w:hAnsi="Verdana" w:cs="Arial"/>
                <w:bCs/>
                <w:lang w:val="es-MX"/>
              </w:rPr>
              <w:t xml:space="preserve"> si</w:t>
            </w:r>
            <w:r w:rsidRPr="006E0B61">
              <w:rPr>
                <w:rFonts w:ascii="Verdana" w:eastAsia="Arial" w:hAnsi="Verdana" w:cs="Arial"/>
                <w:bCs/>
                <w:lang w:val="es-MX"/>
              </w:rPr>
              <w:t xml:space="preserve"> </w:t>
            </w:r>
            <w:r>
              <w:rPr>
                <w:rFonts w:ascii="Verdana" w:eastAsia="Arial" w:hAnsi="Verdana" w:cs="Arial"/>
                <w:bCs/>
                <w:lang w:val="es-MX"/>
              </w:rPr>
              <w:t xml:space="preserve">las </w:t>
            </w:r>
            <w:r w:rsidRPr="006E0B61">
              <w:rPr>
                <w:rFonts w:ascii="Verdana" w:eastAsia="Arial" w:hAnsi="Verdana" w:cs="Arial"/>
                <w:bCs/>
                <w:lang w:val="es-MX"/>
              </w:rPr>
              <w:t>actividades</w:t>
            </w:r>
            <w:r>
              <w:rPr>
                <w:rFonts w:ascii="Verdana" w:eastAsia="Arial" w:hAnsi="Verdana" w:cs="Arial"/>
                <w:bCs/>
                <w:lang w:val="es-MX"/>
              </w:rPr>
              <w:t xml:space="preserve"> a contratar se enmarcan en esta causal de contratación, </w:t>
            </w:r>
            <w:r w:rsidRPr="006E0B61">
              <w:rPr>
                <w:rFonts w:ascii="Verdana" w:eastAsia="Arial" w:hAnsi="Verdana" w:cs="Arial"/>
                <w:bCs/>
                <w:lang w:val="es-MX"/>
              </w:rPr>
              <w:t>de acuerdo con sus necesidades, el objeto contractual particular, las obligaciones a desarrollar, las normas del sistema de compras públicas y el marco jurisprudencial desarrollado en torno a los contratos de prestación de servicios</w:t>
            </w:r>
            <w:r>
              <w:rPr>
                <w:rFonts w:ascii="Verdana" w:eastAsia="Arial" w:hAnsi="Verdana" w:cs="Arial"/>
                <w:bCs/>
                <w:lang w:val="es-MX"/>
              </w:rPr>
              <w:t>.</w:t>
            </w:r>
          </w:p>
          <w:p w14:paraId="0D748EA1" w14:textId="77777777" w:rsidR="00661D26" w:rsidRPr="005961A5" w:rsidRDefault="00661D26" w:rsidP="00B12B0F">
            <w:pPr>
              <w:spacing w:after="120" w:line="276" w:lineRule="auto"/>
              <w:ind w:right="102"/>
              <w:jc w:val="both"/>
              <w:rPr>
                <w:rFonts w:ascii="Verdana" w:eastAsia="MS Mincho" w:hAnsi="Verdana" w:cs="Arial"/>
              </w:rPr>
            </w:pPr>
            <w:proofErr w:type="spellStart"/>
            <w:r>
              <w:rPr>
                <w:rFonts w:ascii="Verdana" w:eastAsia="Calibri" w:hAnsi="Verdana" w:cs="Arial"/>
                <w:lang w:eastAsia="es-ES_tradnl"/>
              </w:rPr>
              <w:t>ii</w:t>
            </w:r>
            <w:proofErr w:type="spellEnd"/>
            <w:r>
              <w:rPr>
                <w:rFonts w:ascii="Verdana" w:eastAsia="Calibri" w:hAnsi="Verdana" w:cs="Arial"/>
                <w:lang w:eastAsia="es-ES_tradnl"/>
              </w:rPr>
              <w:t xml:space="preserve">. </w:t>
            </w:r>
            <w:r>
              <w:rPr>
                <w:rFonts w:ascii="Verdana" w:eastAsia="MS Mincho" w:hAnsi="Verdana" w:cs="Arial"/>
              </w:rPr>
              <w:t xml:space="preserve">En relación con el segundo problema jurídico de su consulta se precisa que, el alcance del literal </w:t>
            </w:r>
            <w:r w:rsidRPr="005961A5">
              <w:rPr>
                <w:rFonts w:ascii="Verdana" w:eastAsia="MS Mincho" w:hAnsi="Verdana" w:cs="Arial"/>
              </w:rPr>
              <w:t>c) del artículo 25</w:t>
            </w:r>
            <w:r>
              <w:rPr>
                <w:rFonts w:ascii="Verdana" w:eastAsia="MS Mincho" w:hAnsi="Verdana" w:cs="Arial"/>
              </w:rPr>
              <w:t xml:space="preserve"> establece que </w:t>
            </w:r>
            <w:r w:rsidRPr="005961A5">
              <w:rPr>
                <w:rFonts w:ascii="Verdana" w:eastAsia="MS Mincho" w:hAnsi="Verdana" w:cs="Arial"/>
              </w:rPr>
              <w:t>la ejecución de los programas de bienestar social</w:t>
            </w:r>
            <w:r>
              <w:rPr>
                <w:rFonts w:ascii="Verdana" w:eastAsia="MS Mincho" w:hAnsi="Verdana" w:cs="Arial"/>
              </w:rPr>
              <w:t xml:space="preserve"> de las entidades estatales</w:t>
            </w:r>
            <w:r w:rsidRPr="005961A5">
              <w:rPr>
                <w:rFonts w:ascii="Verdana" w:eastAsia="MS Mincho" w:hAnsi="Verdana" w:cs="Arial"/>
              </w:rPr>
              <w:t xml:space="preserve"> puede realizarse de tres maneras: directamente por la entidad, mediante contratación con personas naturales o jurídicas, o </w:t>
            </w:r>
            <w:r>
              <w:rPr>
                <w:rFonts w:ascii="Verdana" w:eastAsia="MS Mincho" w:hAnsi="Verdana" w:cs="Arial"/>
              </w:rPr>
              <w:t xml:space="preserve">mediante </w:t>
            </w:r>
            <w:r w:rsidRPr="005961A5">
              <w:rPr>
                <w:rFonts w:ascii="Verdana" w:eastAsia="MS Mincho" w:hAnsi="Verdana" w:cs="Arial"/>
              </w:rPr>
              <w:t>organismos encargados de la protección y seguridad social. Est</w:t>
            </w:r>
            <w:r>
              <w:rPr>
                <w:rFonts w:ascii="Verdana" w:eastAsia="MS Mincho" w:hAnsi="Verdana" w:cs="Arial"/>
              </w:rPr>
              <w:t>e</w:t>
            </w:r>
            <w:r w:rsidRPr="005961A5">
              <w:rPr>
                <w:rFonts w:ascii="Verdana" w:eastAsia="MS Mincho" w:hAnsi="Verdana" w:cs="Arial"/>
              </w:rPr>
              <w:t xml:space="preserve"> </w:t>
            </w:r>
            <w:r>
              <w:rPr>
                <w:rFonts w:ascii="Verdana" w:eastAsia="MS Mincho" w:hAnsi="Verdana" w:cs="Arial"/>
              </w:rPr>
              <w:t xml:space="preserve">literal del artículo precitado </w:t>
            </w:r>
            <w:r w:rsidRPr="005961A5">
              <w:rPr>
                <w:rFonts w:ascii="Verdana" w:eastAsia="MS Mincho" w:hAnsi="Verdana" w:cs="Arial"/>
              </w:rPr>
              <w:t>no crea una modalidad contractual especial, sino que simplemente reconoce que las entidades pue</w:t>
            </w:r>
            <w:r>
              <w:rPr>
                <w:rFonts w:ascii="Verdana" w:eastAsia="MS Mincho" w:hAnsi="Verdana" w:cs="Arial"/>
              </w:rPr>
              <w:t>d</w:t>
            </w:r>
            <w:r w:rsidRPr="005961A5">
              <w:rPr>
                <w:rFonts w:ascii="Verdana" w:eastAsia="MS Mincho" w:hAnsi="Verdana" w:cs="Arial"/>
              </w:rPr>
              <w:t>en acudir a terceros para ejecutar las actividades de bienestar cuando no cuenten con capacidad interna. En otras palabras, habilita la externalización de estas actividades, pero no define cómo debe contratarse, ni deroga las reglas generales del sistema de compras públicas.</w:t>
            </w:r>
          </w:p>
          <w:p w14:paraId="4B907BB9" w14:textId="77777777" w:rsidR="00661D26" w:rsidRPr="005961A5" w:rsidRDefault="00661D26" w:rsidP="00B12B0F">
            <w:pPr>
              <w:spacing w:after="120" w:line="276" w:lineRule="auto"/>
              <w:ind w:right="102" w:firstLine="709"/>
              <w:jc w:val="both"/>
              <w:rPr>
                <w:rFonts w:ascii="Verdana" w:eastAsia="MS Mincho" w:hAnsi="Verdana" w:cs="Arial"/>
              </w:rPr>
            </w:pPr>
            <w:r>
              <w:rPr>
                <w:rFonts w:ascii="Verdana" w:eastAsia="MS Mincho" w:hAnsi="Verdana" w:cs="Arial"/>
              </w:rPr>
              <w:t xml:space="preserve">Este literal ni tiene una </w:t>
            </w:r>
            <w:r w:rsidRPr="005961A5">
              <w:rPr>
                <w:rFonts w:ascii="Verdana" w:eastAsia="MS Mincho" w:hAnsi="Verdana" w:cs="Arial"/>
              </w:rPr>
              <w:t>función programática: describe las alternativas de ejecución dentro del proceso de gestión del bienestar, pero no modifica el régimen de selección de contratistas previsto en la Ley 80 de 1993, la Ley 1150 de 2007 y el Decreto 1082 de 2015. Por ello, cuando una entidad decide contratar a un operador logístico para suministrar alimentos, arrendar locaciones, proveer transporte o ejecutar eventos de bienestar</w:t>
            </w:r>
            <w:r>
              <w:rPr>
                <w:rFonts w:ascii="Verdana" w:eastAsia="MS Mincho" w:hAnsi="Verdana" w:cs="Arial"/>
              </w:rPr>
              <w:t xml:space="preserve"> laboral</w:t>
            </w:r>
            <w:r w:rsidRPr="005961A5">
              <w:rPr>
                <w:rFonts w:ascii="Verdana" w:eastAsia="MS Mincho" w:hAnsi="Verdana" w:cs="Arial"/>
              </w:rPr>
              <w:t>, debe aplicar las modalidades de selección</w:t>
            </w:r>
            <w:r>
              <w:rPr>
                <w:rFonts w:ascii="Verdana" w:eastAsia="MS Mincho" w:hAnsi="Verdana" w:cs="Arial"/>
              </w:rPr>
              <w:t xml:space="preserve"> ya expuestas en consideraciones precedentes. </w:t>
            </w:r>
          </w:p>
          <w:p w14:paraId="00E73BC2" w14:textId="77777777" w:rsidR="00661D26" w:rsidRPr="005961A5" w:rsidRDefault="00661D26" w:rsidP="00B12B0F">
            <w:pPr>
              <w:spacing w:after="120" w:line="276" w:lineRule="auto"/>
              <w:ind w:right="102" w:firstLine="709"/>
              <w:jc w:val="both"/>
              <w:rPr>
                <w:rFonts w:ascii="Verdana" w:eastAsia="MS Mincho" w:hAnsi="Verdana" w:cs="Arial"/>
              </w:rPr>
            </w:pPr>
            <w:r w:rsidRPr="00A44A1B">
              <w:rPr>
                <w:rFonts w:ascii="Verdana" w:eastAsia="MS Mincho" w:hAnsi="Verdana" w:cs="Arial"/>
              </w:rPr>
              <w:t xml:space="preserve">Por tanto, el literal c) no constituye una autorización autónoma para acudir a la contratación directa de servicios logísticos. La entidad debe </w:t>
            </w:r>
            <w:r w:rsidRPr="00A44A1B">
              <w:rPr>
                <w:rFonts w:ascii="Verdana" w:eastAsia="MS Mincho" w:hAnsi="Verdana" w:cs="Arial"/>
              </w:rPr>
              <w:lastRenderedPageBreak/>
              <w:t xml:space="preserve">analizar la complejidad del objeto contractual y, tratándose de contratos con componentes diversos —como los contratos mixtos—, verificar cuidadosamente cuál es la modalidad de selección aplicable conforme al régimen general de compras públicas. </w:t>
            </w:r>
            <w:r>
              <w:rPr>
                <w:rFonts w:ascii="Verdana" w:eastAsia="MS Mincho" w:hAnsi="Verdana" w:cs="Arial"/>
              </w:rPr>
              <w:t>De tal modo, e</w:t>
            </w:r>
            <w:r w:rsidRPr="005961A5">
              <w:rPr>
                <w:rFonts w:ascii="Verdana" w:eastAsia="MS Mincho" w:hAnsi="Verdana" w:cs="Arial"/>
              </w:rPr>
              <w:t>l artículo 25</w:t>
            </w:r>
            <w:r>
              <w:rPr>
                <w:rFonts w:ascii="Verdana" w:eastAsia="MS Mincho" w:hAnsi="Verdana" w:cs="Arial"/>
              </w:rPr>
              <w:t xml:space="preserve"> en su literal c</w:t>
            </w:r>
            <w:r w:rsidRPr="005961A5">
              <w:rPr>
                <w:rFonts w:ascii="Verdana" w:eastAsia="MS Mincho" w:hAnsi="Verdana" w:cs="Arial"/>
              </w:rPr>
              <w:t xml:space="preserve"> </w:t>
            </w:r>
            <w:r>
              <w:rPr>
                <w:rFonts w:ascii="Verdana" w:eastAsia="MS Mincho" w:hAnsi="Verdana" w:cs="Arial"/>
              </w:rPr>
              <w:t>solo prescribe</w:t>
            </w:r>
            <w:r w:rsidRPr="005961A5">
              <w:rPr>
                <w:rFonts w:ascii="Verdana" w:eastAsia="MS Mincho" w:hAnsi="Verdana" w:cs="Arial"/>
              </w:rPr>
              <w:t xml:space="preserve"> que la ejecución de los programas de bienestar puede hacerse mediante contratación, pero no exime a la entidad del cumplimiento del sistema general de compras públicas</w:t>
            </w:r>
            <w:r>
              <w:rPr>
                <w:rFonts w:ascii="Verdana" w:eastAsia="MS Mincho" w:hAnsi="Verdana" w:cs="Arial"/>
              </w:rPr>
              <w:t xml:space="preserve">. </w:t>
            </w:r>
          </w:p>
          <w:p w14:paraId="41EC22E5" w14:textId="77777777" w:rsidR="00661D26" w:rsidRPr="00816F51" w:rsidRDefault="00661D26" w:rsidP="00B12B0F">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124A043" w14:textId="77777777" w:rsidR="00661D26" w:rsidRPr="00B57A1B" w:rsidRDefault="00661D26" w:rsidP="00661D26">
      <w:pPr>
        <w:spacing w:after="0" w:line="240" w:lineRule="auto"/>
        <w:jc w:val="both"/>
        <w:rPr>
          <w:rFonts w:ascii="Verdana" w:eastAsia="Calibri" w:hAnsi="Verdana" w:cs="Arial"/>
          <w:bCs/>
          <w:color w:val="000000" w:themeColor="text1"/>
        </w:rPr>
      </w:pPr>
    </w:p>
    <w:p w14:paraId="25252FB7" w14:textId="77777777" w:rsidR="00661D26" w:rsidRPr="00B57A1B" w:rsidRDefault="00661D26" w:rsidP="00661D26">
      <w:pPr>
        <w:numPr>
          <w:ilvl w:val="0"/>
          <w:numId w:val="16"/>
        </w:numPr>
        <w:tabs>
          <w:tab w:val="left" w:pos="2268"/>
        </w:tabs>
        <w:spacing w:after="0" w:line="240"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1EA43F3F" w14:textId="77777777" w:rsidR="00661D26" w:rsidRPr="00B57A1B" w:rsidRDefault="00661D26" w:rsidP="00661D26">
      <w:pPr>
        <w:spacing w:after="0" w:line="240" w:lineRule="auto"/>
        <w:rPr>
          <w:rFonts w:ascii="Verdana" w:eastAsia="Calibri" w:hAnsi="Verdana" w:cs="Times New Roman"/>
          <w:b/>
          <w:bCs/>
          <w:lang w:val="es-ES"/>
        </w:rPr>
      </w:pPr>
    </w:p>
    <w:p w14:paraId="1E1B1D78" w14:textId="77777777" w:rsidR="00661D26" w:rsidRPr="00B57A1B" w:rsidRDefault="00661D26" w:rsidP="00661D26">
      <w:pPr>
        <w:spacing w:after="0" w:line="240"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146464F" w14:textId="77777777" w:rsidR="00661D26" w:rsidRDefault="00661D26" w:rsidP="00661D26">
      <w:pPr>
        <w:spacing w:after="0" w:line="240" w:lineRule="auto"/>
        <w:jc w:val="both"/>
        <w:rPr>
          <w:rFonts w:ascii="Verdana" w:eastAsia="Times New Roman" w:hAnsi="Verdana" w:cs="Arial"/>
          <w:color w:val="000000" w:themeColor="text1"/>
          <w:lang w:eastAsia="es-CO"/>
        </w:rPr>
      </w:pPr>
    </w:p>
    <w:p w14:paraId="500403A3" w14:textId="77777777" w:rsidR="00661D26" w:rsidRPr="00CB68C5" w:rsidRDefault="00661D26" w:rsidP="00661D26">
      <w:pPr>
        <w:spacing w:after="120" w:line="276" w:lineRule="auto"/>
        <w:jc w:val="both"/>
        <w:rPr>
          <w:rFonts w:ascii="Verdana" w:hAnsi="Verdana" w:cs="Arial"/>
        </w:rPr>
      </w:pPr>
      <w:r>
        <w:rPr>
          <w:rFonts w:ascii="Verdana" w:eastAsia="Calibri" w:hAnsi="Verdana" w:cs="Arial"/>
          <w:lang w:val="es-ES"/>
        </w:rPr>
        <w:t xml:space="preserve">i. </w:t>
      </w:r>
      <w:r w:rsidRPr="00CB68C5">
        <w:rPr>
          <w:rFonts w:ascii="Verdana" w:eastAsia="Calibri" w:hAnsi="Verdana" w:cs="Arial"/>
          <w:lang w:val="es-ES"/>
        </w:rPr>
        <w:t>El Estatuto General de Contratación de la Administración Pública</w:t>
      </w:r>
      <w:r>
        <w:rPr>
          <w:rFonts w:ascii="Verdana" w:eastAsia="Calibri" w:hAnsi="Verdana" w:cs="Arial"/>
          <w:lang w:val="es-ES"/>
        </w:rPr>
        <w:t xml:space="preserve"> –EGCAP-</w:t>
      </w:r>
      <w:r w:rsidRPr="00CB68C5">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Pr>
          <w:rFonts w:ascii="Verdana" w:hAnsi="Verdana" w:cs="Arial"/>
        </w:rPr>
        <w:t xml:space="preserve">ero del artículo 13 dispone: </w:t>
      </w:r>
      <w:r w:rsidRPr="00CB68C5">
        <w:rPr>
          <w:rFonts w:ascii="Verdana" w:hAnsi="Verdana" w:cs="Arial"/>
        </w:rPr>
        <w:t xml:space="preserve">“Los contratos que celebren las entidades a que se refiere el artículo 2o. del presente estatuto se regirán por las disposiciones comerciales y civiles pertinentes, salvo en las materias particularmente reguladas en esta ley”. </w:t>
      </w:r>
    </w:p>
    <w:p w14:paraId="450C743C" w14:textId="77777777" w:rsidR="00661D26" w:rsidRPr="00CB68C5" w:rsidRDefault="00661D26" w:rsidP="00661D26">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w:t>
      </w:r>
      <w:r w:rsidRPr="00CB68C5">
        <w:rPr>
          <w:rFonts w:ascii="Verdana" w:hAnsi="Verdana" w:cs="Arial"/>
        </w:rPr>
        <w:lastRenderedPageBreak/>
        <w:t>comerciales y las previstas en esta ley, correspondan a su esencia y naturaleza” –art. 40, inciso primero–.</w:t>
      </w:r>
    </w:p>
    <w:p w14:paraId="09D3EA7B" w14:textId="77777777" w:rsidR="00661D26" w:rsidRPr="00CB68C5" w:rsidRDefault="00661D26" w:rsidP="00661D26">
      <w:pPr>
        <w:spacing w:after="0" w:line="276" w:lineRule="auto"/>
        <w:ind w:firstLine="708"/>
        <w:jc w:val="both"/>
        <w:rPr>
          <w:rFonts w:ascii="Verdana" w:hAnsi="Verdana" w:cs="Arial"/>
        </w:rPr>
      </w:pPr>
      <w:r w:rsidRPr="00CB68C5">
        <w:rPr>
          <w:rFonts w:ascii="Verdana" w:hAnsi="Verdana" w:cs="Arial"/>
        </w:rPr>
        <w:t>De esta manera, los contratos de las entidades sometidas al Estatuto General de Contratación se rigen generalmente por el derecho privado y excepcionalmente</w:t>
      </w:r>
      <w:r>
        <w:rPr>
          <w:rFonts w:ascii="Verdana" w:hAnsi="Verdana" w:cs="Arial"/>
        </w:rPr>
        <w:t>,</w:t>
      </w:r>
      <w:r w:rsidRPr="00CB68C5">
        <w:rPr>
          <w:rFonts w:ascii="Verdana" w:hAnsi="Verdana" w:cs="Arial"/>
        </w:rPr>
        <w:t xml:space="preserve"> por el derecho público, pues las normas civiles y comerciales son el derecho común de los contratos estatales</w:t>
      </w:r>
      <w:r w:rsidRPr="00CB68C5">
        <w:rPr>
          <w:rStyle w:val="Refdenotaalpie"/>
          <w:rFonts w:ascii="Verdana" w:hAnsi="Verdana" w:cs="Arial"/>
        </w:rPr>
        <w:footnoteReference w:id="1"/>
      </w:r>
      <w:r w:rsidRPr="00CB68C5">
        <w:rPr>
          <w:rFonts w:ascii="Verdana" w:hAnsi="Verdana" w:cs="Arial"/>
        </w:rPr>
        <w:t>. Para la doctrina, la mixtura del régimen contractual:</w:t>
      </w:r>
    </w:p>
    <w:p w14:paraId="21D72B81" w14:textId="77777777" w:rsidR="00661D26" w:rsidRPr="00CB68C5" w:rsidRDefault="00661D26" w:rsidP="00661D26">
      <w:pPr>
        <w:spacing w:after="0" w:line="276" w:lineRule="auto"/>
        <w:ind w:firstLine="709"/>
        <w:jc w:val="both"/>
        <w:rPr>
          <w:rFonts w:ascii="Verdana" w:hAnsi="Verdana" w:cs="Arial"/>
        </w:rPr>
      </w:pPr>
    </w:p>
    <w:p w14:paraId="56ACBDE4" w14:textId="77777777" w:rsidR="00661D26" w:rsidRPr="00B11281" w:rsidRDefault="00661D26" w:rsidP="00661D26">
      <w:pPr>
        <w:spacing w:after="0" w:line="240" w:lineRule="auto"/>
        <w:ind w:left="709" w:right="709"/>
        <w:jc w:val="both"/>
        <w:rPr>
          <w:rFonts w:ascii="Verdana" w:hAnsi="Verdana" w:cs="Arial"/>
          <w:sz w:val="20"/>
          <w:szCs w:val="20"/>
        </w:rPr>
      </w:pPr>
      <w:r w:rsidRPr="00B11281">
        <w:rPr>
          <w:rFonts w:ascii="Verdana" w:hAnsi="Verdana" w:cs="Arial"/>
          <w:sz w:val="20"/>
          <w:szCs w:val="20"/>
        </w:rPr>
        <w:t xml:space="preserve">“[…] no hace otra cosa que aprovechar ciertos principios rectores de la contratación general </w:t>
      </w:r>
      <w:proofErr w:type="gramStart"/>
      <w:r w:rsidRPr="00B11281">
        <w:rPr>
          <w:rFonts w:ascii="Verdana" w:hAnsi="Verdana" w:cs="Arial"/>
          <w:sz w:val="20"/>
          <w:szCs w:val="20"/>
        </w:rPr>
        <w:t>que</w:t>
      </w:r>
      <w:proofErr w:type="gramEnd"/>
      <w:r w:rsidRPr="00B11281">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3BFDBF5A" w14:textId="77777777" w:rsidR="00661D26" w:rsidRPr="00B11281" w:rsidRDefault="00661D26" w:rsidP="00661D26">
      <w:pPr>
        <w:spacing w:after="0" w:line="240" w:lineRule="auto"/>
        <w:ind w:right="709"/>
        <w:jc w:val="both"/>
        <w:rPr>
          <w:rFonts w:ascii="Verdana" w:hAnsi="Verdana" w:cs="Arial"/>
          <w:sz w:val="20"/>
          <w:szCs w:val="20"/>
        </w:rPr>
      </w:pPr>
      <w:r w:rsidRPr="00B11281">
        <w:rPr>
          <w:rFonts w:ascii="Verdana" w:hAnsi="Verdana" w:cs="Arial"/>
          <w:sz w:val="20"/>
          <w:szCs w:val="20"/>
        </w:rPr>
        <w:tab/>
      </w:r>
    </w:p>
    <w:p w14:paraId="10A2AC46" w14:textId="77777777" w:rsidR="00661D26" w:rsidRPr="00B11281" w:rsidRDefault="00661D26" w:rsidP="00661D26">
      <w:pPr>
        <w:spacing w:after="0" w:line="240" w:lineRule="auto"/>
        <w:ind w:left="709" w:right="709"/>
        <w:jc w:val="both"/>
        <w:rPr>
          <w:rFonts w:ascii="Verdana" w:hAnsi="Verdana" w:cs="Arial"/>
          <w:sz w:val="20"/>
          <w:szCs w:val="20"/>
        </w:rPr>
      </w:pPr>
      <w:r w:rsidRPr="00B11281">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B11281">
        <w:rPr>
          <w:rStyle w:val="Refdenotaalpie"/>
          <w:rFonts w:ascii="Verdana" w:hAnsi="Verdana" w:cs="Arial"/>
          <w:sz w:val="20"/>
          <w:szCs w:val="20"/>
        </w:rPr>
        <w:footnoteReference w:id="2"/>
      </w:r>
      <w:r w:rsidRPr="00B11281">
        <w:rPr>
          <w:rFonts w:ascii="Verdana" w:hAnsi="Verdana" w:cs="Arial"/>
          <w:sz w:val="20"/>
          <w:szCs w:val="20"/>
        </w:rPr>
        <w:t xml:space="preserve">. </w:t>
      </w:r>
    </w:p>
    <w:p w14:paraId="4BB7C555" w14:textId="77777777" w:rsidR="00661D26" w:rsidRPr="00B11281" w:rsidRDefault="00661D26" w:rsidP="00661D26">
      <w:pPr>
        <w:spacing w:after="0" w:line="276" w:lineRule="auto"/>
        <w:ind w:left="709" w:right="709"/>
        <w:jc w:val="both"/>
        <w:rPr>
          <w:rFonts w:ascii="Verdana" w:hAnsi="Verdana" w:cs="Arial"/>
          <w:sz w:val="20"/>
          <w:szCs w:val="20"/>
        </w:rPr>
      </w:pPr>
      <w:r w:rsidRPr="00B11281">
        <w:rPr>
          <w:rFonts w:ascii="Verdana" w:hAnsi="Verdana" w:cs="Arial"/>
          <w:sz w:val="20"/>
          <w:szCs w:val="20"/>
        </w:rPr>
        <w:t xml:space="preserve"> </w:t>
      </w:r>
    </w:p>
    <w:p w14:paraId="641A27CA" w14:textId="77777777" w:rsidR="00661D26" w:rsidRDefault="00661D26" w:rsidP="00661D26">
      <w:pPr>
        <w:spacing w:after="0" w:line="276" w:lineRule="auto"/>
        <w:jc w:val="both"/>
        <w:rPr>
          <w:rFonts w:ascii="Verdana" w:hAnsi="Verdana" w:cs="Arial"/>
        </w:rPr>
      </w:pPr>
      <w:r w:rsidRPr="00CB68C5">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r>
        <w:rPr>
          <w:rFonts w:ascii="Verdana" w:hAnsi="Verdana" w:cs="Arial"/>
        </w:rPr>
        <w:t xml:space="preserve"> </w:t>
      </w:r>
    </w:p>
    <w:p w14:paraId="5A756F63" w14:textId="77777777" w:rsidR="00661D26" w:rsidRDefault="00661D26" w:rsidP="00661D26">
      <w:pPr>
        <w:spacing w:after="0" w:line="276" w:lineRule="auto"/>
        <w:jc w:val="both"/>
        <w:rPr>
          <w:rFonts w:ascii="Verdana" w:hAnsi="Verdana" w:cs="Arial"/>
        </w:rPr>
      </w:pPr>
    </w:p>
    <w:p w14:paraId="663EFE3B" w14:textId="77777777" w:rsidR="00661D26" w:rsidRDefault="00661D26" w:rsidP="00661D26">
      <w:pPr>
        <w:spacing w:after="0" w:line="276" w:lineRule="auto"/>
        <w:jc w:val="both"/>
        <w:rPr>
          <w:rFonts w:ascii="Verdana" w:hAnsi="Verdana" w:cs="Arial"/>
        </w:rPr>
      </w:pPr>
      <w:proofErr w:type="spellStart"/>
      <w:r>
        <w:rPr>
          <w:rFonts w:ascii="Verdana" w:hAnsi="Verdana" w:cs="Arial"/>
        </w:rPr>
        <w:lastRenderedPageBreak/>
        <w:t>ii</w:t>
      </w:r>
      <w:proofErr w:type="spellEnd"/>
      <w:r>
        <w:rPr>
          <w:rFonts w:ascii="Verdana" w:hAnsi="Verdana" w:cs="Arial"/>
        </w:rPr>
        <w:t xml:space="preserve">. </w:t>
      </w:r>
      <w:r w:rsidRPr="00CB68C5">
        <w:rPr>
          <w:rFonts w:ascii="Verdana" w:hAnsi="Verdana" w:cs="Arial"/>
        </w:rPr>
        <w:t xml:space="preserve">Esta precisión es importante, porque </w:t>
      </w:r>
      <w:r>
        <w:rPr>
          <w:rFonts w:ascii="Verdana" w:hAnsi="Verdana" w:cs="Arial"/>
        </w:rPr>
        <w:t xml:space="preserve">el grueso de los </w:t>
      </w:r>
      <w:r w:rsidRPr="00082689">
        <w:rPr>
          <w:rFonts w:ascii="Verdana" w:hAnsi="Verdana" w:cs="Arial"/>
          <w:i/>
          <w:iCs/>
        </w:rPr>
        <w:t>contratos típicos</w:t>
      </w:r>
      <w:r>
        <w:rPr>
          <w:rFonts w:ascii="Verdana" w:hAnsi="Verdana" w:cs="Arial"/>
        </w:rPr>
        <w:t xml:space="preserve"> –v. gr. compraventa, arrendamiento, mutuo, comodato, depósito, suministro, transporte, etc.–</w:t>
      </w:r>
      <w:r w:rsidRPr="00CB68C5">
        <w:rPr>
          <w:rFonts w:ascii="Verdana" w:hAnsi="Verdana" w:cs="Arial"/>
        </w:rPr>
        <w:t xml:space="preserve"> se encuentra</w:t>
      </w:r>
      <w:r>
        <w:rPr>
          <w:rFonts w:ascii="Verdana" w:hAnsi="Verdana" w:cs="Arial"/>
        </w:rPr>
        <w:t>n</w:t>
      </w:r>
      <w:r w:rsidRPr="00CB68C5">
        <w:rPr>
          <w:rFonts w:ascii="Verdana" w:hAnsi="Verdana" w:cs="Arial"/>
        </w:rPr>
        <w:t xml:space="preserve"> en el Código Civil y</w:t>
      </w:r>
      <w:r>
        <w:rPr>
          <w:rFonts w:ascii="Verdana" w:hAnsi="Verdana" w:cs="Arial"/>
        </w:rPr>
        <w:t xml:space="preserve"> en el Código de Comercio, por lo que</w:t>
      </w:r>
      <w:r w:rsidRPr="00CB68C5">
        <w:rPr>
          <w:rFonts w:ascii="Verdana" w:hAnsi="Verdana" w:cs="Arial"/>
        </w:rPr>
        <w:t xml:space="preserve"> encuentra</w:t>
      </w:r>
      <w:r>
        <w:rPr>
          <w:rFonts w:ascii="Verdana" w:hAnsi="Verdana" w:cs="Arial"/>
        </w:rPr>
        <w:t>n</w:t>
      </w:r>
      <w:r w:rsidRPr="00CB68C5">
        <w:rPr>
          <w:rFonts w:ascii="Verdana" w:hAnsi="Verdana" w:cs="Arial"/>
        </w:rPr>
        <w:t xml:space="preserve"> gran parte de su régimen jurídico</w:t>
      </w:r>
      <w:r>
        <w:rPr>
          <w:rFonts w:ascii="Verdana" w:hAnsi="Verdana" w:cs="Arial"/>
        </w:rPr>
        <w:t xml:space="preserve">. Sin embargo, no obsta para la existencia de </w:t>
      </w:r>
      <w:r w:rsidRPr="009D4B09">
        <w:rPr>
          <w:rFonts w:ascii="Verdana" w:hAnsi="Verdana" w:cs="Arial"/>
          <w:i/>
          <w:iCs/>
        </w:rPr>
        <w:t>contratos atípicos</w:t>
      </w:r>
      <w:r>
        <w:rPr>
          <w:rFonts w:ascii="Verdana" w:hAnsi="Verdana" w:cs="Arial"/>
        </w:rPr>
        <w:t>, pues –aunque no corresponden a un marco legal predefinido– en ellos obra con mayor alcance la libertad contractual. Como explica la doctrina:</w:t>
      </w:r>
    </w:p>
    <w:p w14:paraId="19AC1266" w14:textId="77777777" w:rsidR="00661D26" w:rsidRPr="00B11281" w:rsidRDefault="00661D26" w:rsidP="00661D26">
      <w:pPr>
        <w:spacing w:after="0" w:line="276" w:lineRule="auto"/>
        <w:jc w:val="both"/>
        <w:rPr>
          <w:rFonts w:ascii="Verdana" w:hAnsi="Verdana" w:cs="Arial"/>
          <w:sz w:val="20"/>
          <w:szCs w:val="20"/>
        </w:rPr>
      </w:pPr>
    </w:p>
    <w:p w14:paraId="794A9B48" w14:textId="77777777" w:rsidR="00661D26" w:rsidRPr="00B11281" w:rsidRDefault="00661D26" w:rsidP="00661D26">
      <w:pPr>
        <w:spacing w:after="0" w:line="240" w:lineRule="auto"/>
        <w:ind w:left="709" w:right="709"/>
        <w:jc w:val="both"/>
        <w:rPr>
          <w:rFonts w:ascii="Verdana" w:hAnsi="Verdana" w:cs="Arial"/>
          <w:sz w:val="20"/>
          <w:szCs w:val="20"/>
        </w:rPr>
      </w:pPr>
      <w:r w:rsidRPr="00B11281">
        <w:rPr>
          <w:rFonts w:ascii="Verdana" w:hAnsi="Verdana" w:cs="Arial"/>
          <w:sz w:val="20"/>
          <w:szCs w:val="20"/>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B11281">
        <w:rPr>
          <w:rStyle w:val="Refdenotaalpie"/>
          <w:rFonts w:ascii="Verdana" w:hAnsi="Verdana" w:cs="Arial"/>
          <w:sz w:val="20"/>
          <w:szCs w:val="20"/>
        </w:rPr>
        <w:footnoteReference w:id="3"/>
      </w:r>
      <w:r w:rsidRPr="00B11281">
        <w:rPr>
          <w:rFonts w:ascii="Verdana" w:hAnsi="Verdana" w:cs="Arial"/>
          <w:sz w:val="20"/>
          <w:szCs w:val="20"/>
        </w:rPr>
        <w:t>.</w:t>
      </w:r>
    </w:p>
    <w:p w14:paraId="3E341D41" w14:textId="77777777" w:rsidR="00661D26" w:rsidRDefault="00661D26" w:rsidP="00661D26">
      <w:pPr>
        <w:spacing w:after="0" w:line="276" w:lineRule="auto"/>
        <w:jc w:val="both"/>
        <w:rPr>
          <w:rFonts w:ascii="Verdana" w:hAnsi="Verdana" w:cs="Arial"/>
        </w:rPr>
      </w:pPr>
    </w:p>
    <w:p w14:paraId="70532971" w14:textId="77777777" w:rsidR="00661D26" w:rsidRPr="00D239E3" w:rsidRDefault="00661D26" w:rsidP="00661D26">
      <w:pPr>
        <w:spacing w:line="276" w:lineRule="auto"/>
        <w:ind w:firstLine="567"/>
        <w:jc w:val="both"/>
        <w:rPr>
          <w:rFonts w:ascii="Verdana" w:eastAsia="Calibri" w:hAnsi="Verdana"/>
          <w:color w:val="000000" w:themeColor="text1"/>
          <w:lang w:val="es-ES_tradnl"/>
        </w:rPr>
      </w:pPr>
      <w:r w:rsidRPr="005F70F5">
        <w:rPr>
          <w:rFonts w:ascii="Verdana" w:eastAsia="Calibri" w:hAnsi="Verdana"/>
          <w:color w:val="000000" w:themeColor="text1"/>
          <w:lang w:val="es-ES_tradnl"/>
        </w:rPr>
        <w:t xml:space="preserve">El inciso primero del </w:t>
      </w:r>
      <w:r>
        <w:rPr>
          <w:rFonts w:ascii="Verdana" w:eastAsia="Calibri" w:hAnsi="Verdana"/>
          <w:color w:val="000000" w:themeColor="text1"/>
          <w:lang w:val="es-ES_tradnl"/>
        </w:rPr>
        <w:t xml:space="preserve">precitado </w:t>
      </w:r>
      <w:r w:rsidRPr="005F70F5">
        <w:rPr>
          <w:rFonts w:ascii="Verdana" w:eastAsia="Calibri" w:hAnsi="Verdana"/>
          <w:color w:val="000000" w:themeColor="text1"/>
          <w:lang w:val="es-ES_tradnl"/>
        </w:rPr>
        <w:t xml:space="preserve">artículo 32 de la Ley 80 de 1993 define los contratos estatales como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todos los actos jurídicos generadores de obligaciones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derivados del ejercicio de la autonomía de la voluntad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 por lo que </w:t>
      </w:r>
      <w:bookmarkStart w:id="1" w:name="_Hlk81430928"/>
      <w:r w:rsidRPr="005F70F5">
        <w:rPr>
          <w:rFonts w:ascii="Verdana" w:eastAsia="Calibri" w:hAnsi="Verdana"/>
          <w:color w:val="000000" w:themeColor="text1"/>
          <w:lang w:val="es-ES_tradnl"/>
        </w:rPr>
        <w:t xml:space="preserve">las partes están facultadas para suscribir </w:t>
      </w:r>
      <w:r w:rsidRPr="005F70F5">
        <w:rPr>
          <w:rFonts w:ascii="Verdana" w:eastAsia="Calibri" w:hAnsi="Verdana"/>
          <w:i/>
          <w:iCs/>
          <w:color w:val="000000" w:themeColor="text1"/>
          <w:lang w:val="es-ES_tradnl"/>
        </w:rPr>
        <w:t>contratos mixtos</w:t>
      </w:r>
      <w:r w:rsidRPr="005F70F5">
        <w:rPr>
          <w:rFonts w:ascii="Verdana" w:eastAsia="Calibri" w:hAnsi="Verdana"/>
          <w:color w:val="000000" w:themeColor="text1"/>
          <w:lang w:val="es-ES_tradnl"/>
        </w:rPr>
        <w:t xml:space="preserve">. Como una forma de contratación atípica, estos se caracterizan por acumular prestaciones de varios contratos nominados para satisfacer una necesidad común, es decir, </w:t>
      </w:r>
      <w:r>
        <w:rPr>
          <w:rFonts w:ascii="Verdana" w:eastAsia="Calibri" w:hAnsi="Verdana"/>
          <w:color w:val="000000" w:themeColor="text1"/>
          <w:lang w:val="es-ES_tradnl"/>
        </w:rPr>
        <w:t>“</w:t>
      </w:r>
      <w:r w:rsidRPr="005F70F5">
        <w:rPr>
          <w:rFonts w:ascii="Verdana" w:eastAsia="Calibri" w:hAnsi="Verdana"/>
          <w:color w:val="000000" w:themeColor="text1"/>
          <w:lang w:val="es-ES_tradnl"/>
        </w:rPr>
        <w:t xml:space="preserve">Su finalidad económica es única y condensa el propósito perseguido por los contratantes. Las diversas </w:t>
      </w:r>
      <w:r w:rsidRPr="00D239E3">
        <w:rPr>
          <w:rFonts w:ascii="Verdana" w:eastAsia="Calibri" w:hAnsi="Verdana"/>
          <w:color w:val="000000" w:themeColor="text1"/>
          <w:lang w:val="es-ES_tradnl"/>
        </w:rPr>
        <w:t>prestaciones, aunque corresponden a diversos contratos típicos, se subordinan a esa finalidad e intención de las partes</w:t>
      </w:r>
      <w:bookmarkEnd w:id="1"/>
      <w:r w:rsidRPr="00D239E3">
        <w:rPr>
          <w:rFonts w:ascii="Verdana" w:eastAsia="Calibri" w:hAnsi="Verdana"/>
          <w:color w:val="000000" w:themeColor="text1"/>
          <w:lang w:val="es-ES_tradnl"/>
        </w:rPr>
        <w:t>”</w:t>
      </w:r>
      <w:r w:rsidRPr="00D239E3">
        <w:rPr>
          <w:rStyle w:val="Refdenotaalpie"/>
          <w:rFonts w:ascii="Verdana" w:eastAsia="Calibri" w:hAnsi="Verdana"/>
          <w:color w:val="000000" w:themeColor="text1"/>
          <w:lang w:val="es-ES_tradnl"/>
        </w:rPr>
        <w:footnoteReference w:id="4"/>
      </w:r>
      <w:r w:rsidRPr="00D239E3">
        <w:rPr>
          <w:rFonts w:ascii="Verdana" w:eastAsia="Calibri" w:hAnsi="Verdana"/>
          <w:color w:val="000000" w:themeColor="text1"/>
          <w:lang w:val="es-ES_tradnl"/>
        </w:rPr>
        <w:t xml:space="preserve">. </w:t>
      </w:r>
    </w:p>
    <w:p w14:paraId="4169C44B" w14:textId="77777777" w:rsidR="00661D26" w:rsidRDefault="00661D26" w:rsidP="00661D26">
      <w:pPr>
        <w:spacing w:before="120" w:line="276" w:lineRule="auto"/>
        <w:ind w:firstLine="708"/>
        <w:jc w:val="both"/>
        <w:rPr>
          <w:rFonts w:ascii="Verdana" w:eastAsia="Calibri" w:hAnsi="Verdana"/>
          <w:color w:val="000000" w:themeColor="text1"/>
          <w:lang w:val="es-ES_tradnl"/>
        </w:rPr>
      </w:pPr>
      <w:r w:rsidRPr="00D239E3">
        <w:rPr>
          <w:rFonts w:ascii="Verdana" w:eastAsia="Calibri" w:hAnsi="Verdana"/>
          <w:color w:val="000000" w:themeColor="text1"/>
        </w:rPr>
        <w:t xml:space="preserve">En este contexto, es importante diferenciar los </w:t>
      </w:r>
      <w:r>
        <w:rPr>
          <w:rFonts w:ascii="Verdana" w:eastAsia="Calibri" w:hAnsi="Verdana"/>
          <w:color w:val="000000" w:themeColor="text1"/>
          <w:sz w:val="20"/>
          <w:szCs w:val="20"/>
        </w:rPr>
        <w:t>“</w:t>
      </w:r>
      <w:r w:rsidRPr="00D239E3">
        <w:rPr>
          <w:rFonts w:ascii="Verdana" w:eastAsia="Calibri" w:hAnsi="Verdana"/>
          <w:color w:val="000000" w:themeColor="text1"/>
        </w:rPr>
        <w:t>contratos mixtos</w:t>
      </w:r>
      <w:r>
        <w:rPr>
          <w:rFonts w:ascii="Verdana" w:eastAsia="Calibri" w:hAnsi="Verdana"/>
          <w:color w:val="000000" w:themeColor="text1"/>
        </w:rPr>
        <w:t>”</w:t>
      </w:r>
      <w:r w:rsidRPr="00D239E3">
        <w:rPr>
          <w:rFonts w:ascii="Verdana" w:eastAsia="Calibri" w:hAnsi="Verdana"/>
          <w:color w:val="000000" w:themeColor="text1"/>
        </w:rPr>
        <w:t xml:space="preserve"> de las </w:t>
      </w:r>
      <w:r>
        <w:rPr>
          <w:rFonts w:ascii="Verdana" w:eastAsia="Calibri" w:hAnsi="Verdana"/>
          <w:color w:val="000000" w:themeColor="text1"/>
        </w:rPr>
        <w:t>“</w:t>
      </w:r>
      <w:r w:rsidRPr="00D239E3">
        <w:rPr>
          <w:rFonts w:ascii="Verdana" w:eastAsia="Calibri" w:hAnsi="Verdana"/>
          <w:color w:val="000000" w:themeColor="text1"/>
        </w:rPr>
        <w:t>uniones de contratos</w:t>
      </w:r>
      <w:r>
        <w:rPr>
          <w:rFonts w:ascii="Verdana" w:eastAsia="Calibri" w:hAnsi="Verdana"/>
          <w:color w:val="000000" w:themeColor="text1"/>
        </w:rPr>
        <w:t>”</w:t>
      </w:r>
      <w:r w:rsidRPr="00D239E3">
        <w:rPr>
          <w:rFonts w:ascii="Verdana" w:eastAsia="Calibri" w:hAnsi="Verdana"/>
          <w:color w:val="000000" w:themeColor="text1"/>
        </w:rPr>
        <w:t xml:space="preserve">. En el </w:t>
      </w:r>
      <w:r w:rsidRPr="00D239E3">
        <w:rPr>
          <w:rFonts w:ascii="Verdana" w:eastAsia="Calibri" w:hAnsi="Verdana"/>
          <w:i/>
          <w:iCs/>
          <w:color w:val="000000" w:themeColor="text1"/>
        </w:rPr>
        <w:t>contrato mixto</w:t>
      </w:r>
      <w:r w:rsidRPr="00D239E3">
        <w:rPr>
          <w:rFonts w:ascii="Verdana" w:eastAsia="Calibri" w:hAnsi="Verdana"/>
          <w:color w:val="000000" w:themeColor="text1"/>
        </w:rPr>
        <w:t xml:space="preserve"> existe un solo acuerdo con </w:t>
      </w:r>
      <w:r w:rsidRPr="00D239E3">
        <w:rPr>
          <w:rFonts w:ascii="Verdana" w:eastAsia="Calibri" w:hAnsi="Verdana"/>
          <w:color w:val="000000" w:themeColor="text1"/>
        </w:rPr>
        <w:lastRenderedPageBreak/>
        <w:t xml:space="preserve">elementos de diversos tipos de contrato, mientras que en las </w:t>
      </w:r>
      <w:r w:rsidRPr="00D239E3">
        <w:rPr>
          <w:rFonts w:ascii="Verdana" w:eastAsia="Calibri" w:hAnsi="Verdana"/>
          <w:i/>
          <w:iCs/>
          <w:color w:val="000000" w:themeColor="text1"/>
        </w:rPr>
        <w:t>uniones de contrato</w:t>
      </w:r>
      <w:r w:rsidRPr="00D239E3">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Pr>
          <w:rFonts w:ascii="Verdana" w:eastAsia="Calibri" w:hAnsi="Verdana"/>
          <w:color w:val="000000" w:themeColor="text1"/>
          <w:sz w:val="20"/>
          <w:szCs w:val="20"/>
        </w:rPr>
        <w:t>“</w:t>
      </w:r>
      <w:r w:rsidRPr="00D239E3">
        <w:rPr>
          <w:rFonts w:ascii="Verdana" w:eastAsia="Calibri" w:hAnsi="Verdana"/>
          <w:color w:val="000000" w:themeColor="text1"/>
        </w:rPr>
        <w:t>contrato mixto</w:t>
      </w:r>
      <w:r>
        <w:rPr>
          <w:rFonts w:ascii="Verdana" w:eastAsia="Calibri" w:hAnsi="Verdana"/>
          <w:color w:val="000000" w:themeColor="text1"/>
        </w:rPr>
        <w:t>”</w:t>
      </w:r>
      <w:r w:rsidRPr="00D239E3">
        <w:rPr>
          <w:rFonts w:ascii="Verdana" w:eastAsia="Calibri" w:hAnsi="Verdana"/>
          <w:color w:val="000000" w:themeColor="text1"/>
        </w:rPr>
        <w:t xml:space="preserve">; de lo contrario, es una </w:t>
      </w:r>
      <w:r>
        <w:rPr>
          <w:rFonts w:ascii="Verdana" w:eastAsia="Calibri" w:hAnsi="Verdana"/>
          <w:color w:val="000000" w:themeColor="text1"/>
        </w:rPr>
        <w:t>“</w:t>
      </w:r>
      <w:r w:rsidRPr="00D239E3">
        <w:rPr>
          <w:rFonts w:ascii="Verdana" w:eastAsia="Calibri" w:hAnsi="Verdana"/>
          <w:color w:val="000000" w:themeColor="text1"/>
        </w:rPr>
        <w:t>unión de contratos</w:t>
      </w:r>
      <w:r>
        <w:rPr>
          <w:rFonts w:ascii="Verdana" w:eastAsia="Calibri" w:hAnsi="Verdana"/>
          <w:color w:val="000000" w:themeColor="text1"/>
        </w:rPr>
        <w:t>”</w:t>
      </w:r>
      <w:r w:rsidRPr="00D239E3">
        <w:rPr>
          <w:rStyle w:val="Refdenotaalpie"/>
          <w:rFonts w:ascii="Verdana" w:eastAsia="Calibri" w:hAnsi="Verdana"/>
          <w:color w:val="000000" w:themeColor="text1"/>
        </w:rPr>
        <w:footnoteReference w:id="5"/>
      </w:r>
      <w:r w:rsidRPr="00D239E3">
        <w:rPr>
          <w:rFonts w:ascii="Verdana" w:eastAsia="Calibri" w:hAnsi="Verdana"/>
          <w:color w:val="000000" w:themeColor="text1"/>
        </w:rPr>
        <w:t>.</w:t>
      </w:r>
      <w:r w:rsidRPr="00D239E3">
        <w:rPr>
          <w:rFonts w:ascii="Verdana" w:eastAsia="Calibri" w:hAnsi="Verdana"/>
          <w:color w:val="000000" w:themeColor="text1"/>
          <w:lang w:val="es-ES_tradnl"/>
        </w:rPr>
        <w:t xml:space="preserve"> </w:t>
      </w:r>
    </w:p>
    <w:p w14:paraId="119C4EFC" w14:textId="77777777" w:rsidR="00661D26" w:rsidRDefault="00661D26" w:rsidP="00661D26">
      <w:pPr>
        <w:spacing w:before="120" w:line="276" w:lineRule="auto"/>
        <w:ind w:firstLine="708"/>
        <w:jc w:val="both"/>
        <w:rPr>
          <w:rFonts w:ascii="Verdana" w:eastAsia="Calibri" w:hAnsi="Verdana"/>
          <w:color w:val="000000" w:themeColor="text1"/>
          <w:lang w:val="es-ES_tradnl"/>
        </w:rPr>
      </w:pPr>
      <w:r w:rsidRPr="00B03EF6">
        <w:rPr>
          <w:rFonts w:ascii="Verdana" w:eastAsia="Calibri" w:hAnsi="Verdana"/>
          <w:color w:val="000000" w:themeColor="text1"/>
          <w:lang w:val="es-ES_tradnl"/>
        </w:rPr>
        <w:t>Respecto a los contratos de operación logística</w:t>
      </w:r>
      <w:r>
        <w:rPr>
          <w:rFonts w:ascii="Verdana" w:eastAsia="Calibri" w:hAnsi="Verdana"/>
          <w:color w:val="000000" w:themeColor="text1"/>
          <w:lang w:val="es-ES_tradnl"/>
        </w:rPr>
        <w:t xml:space="preserve">, estos corresponden a </w:t>
      </w:r>
      <w:r w:rsidRPr="00B03EF6">
        <w:rPr>
          <w:rFonts w:ascii="Verdana" w:eastAsia="Calibri" w:hAnsi="Verdana"/>
          <w:i/>
          <w:iCs/>
          <w:color w:val="000000" w:themeColor="text1"/>
          <w:lang w:val="es-ES_tradnl"/>
        </w:rPr>
        <w:t>contratos mixtos</w:t>
      </w:r>
      <w:r>
        <w:rPr>
          <w:rFonts w:ascii="Verdana" w:eastAsia="Calibri" w:hAnsi="Verdana"/>
          <w:color w:val="000000" w:themeColor="text1"/>
          <w:lang w:val="es-ES_tradnl"/>
        </w:rPr>
        <w:t>. De hecho, sin perjuicio de las demás obligaciones que pacten las partes, es frecuente que en la práctica tengan componentes de compraventa, suministro, arrendamiento de bienes muebles o inmuebles, transporte, entre otros, de donde se infiere la existencia de prestaciones de una o más tipologías contractuales</w:t>
      </w:r>
      <w:r>
        <w:rPr>
          <w:rStyle w:val="Refdenotaalpie"/>
          <w:rFonts w:ascii="Verdana" w:eastAsia="Calibri" w:hAnsi="Verdana"/>
          <w:color w:val="000000" w:themeColor="text1"/>
          <w:lang w:val="es-ES_tradnl"/>
        </w:rPr>
        <w:footnoteReference w:id="6"/>
      </w:r>
      <w:r>
        <w:rPr>
          <w:rFonts w:ascii="Verdana" w:eastAsia="Calibri" w:hAnsi="Verdana"/>
          <w:color w:val="000000" w:themeColor="text1"/>
          <w:lang w:val="es-ES_tradnl"/>
        </w:rPr>
        <w:t xml:space="preserve">. Por ello, como contrato atípico, la doctrina sugiere integrar su contenido teniendo en cuenta los siguientes criterios: “[…] </w:t>
      </w:r>
      <w:r w:rsidRPr="00DE4EF6">
        <w:rPr>
          <w:rFonts w:ascii="Verdana" w:eastAsia="Calibri" w:hAnsi="Verdana"/>
          <w:color w:val="000000" w:themeColor="text1"/>
          <w:lang w:val="es-ES_tradnl"/>
        </w:rPr>
        <w:t>1°) las leyes imperativas; 2°) las cláusulas libremente redactadas o estipuladas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por los agentes; 3°) las reglas generales de los actos jurídicos y de los contratos,</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según el caso; 4°) las reglas propias del contrato típico más próximo o semejante,</w:t>
      </w:r>
      <w:r>
        <w:rPr>
          <w:rFonts w:ascii="Verdana" w:eastAsia="Calibri" w:hAnsi="Verdana"/>
          <w:color w:val="000000" w:themeColor="text1"/>
          <w:lang w:val="es-ES_tradnl"/>
        </w:rPr>
        <w:t xml:space="preserve"> </w:t>
      </w:r>
      <w:r w:rsidRPr="00DE4EF6">
        <w:rPr>
          <w:rFonts w:ascii="Verdana" w:eastAsia="Calibri" w:hAnsi="Verdana"/>
          <w:color w:val="000000" w:themeColor="text1"/>
          <w:lang w:val="es-ES_tradnl"/>
        </w:rPr>
        <w:t>y 5°) la doctrina constitucional y los principios generales de derecho</w:t>
      </w:r>
      <w:r>
        <w:rPr>
          <w:rFonts w:ascii="Verdana" w:eastAsia="Calibri" w:hAnsi="Verdana"/>
          <w:color w:val="000000" w:themeColor="text1"/>
          <w:lang w:val="es-ES_tradnl"/>
        </w:rPr>
        <w:t>”</w:t>
      </w:r>
      <w:r>
        <w:rPr>
          <w:rStyle w:val="Refdenotaalpie"/>
          <w:rFonts w:ascii="Verdana" w:eastAsia="Calibri" w:hAnsi="Verdana"/>
          <w:color w:val="000000" w:themeColor="text1"/>
          <w:lang w:val="es-ES_tradnl"/>
        </w:rPr>
        <w:footnoteReference w:id="7"/>
      </w:r>
      <w:r w:rsidRPr="00DE4EF6">
        <w:rPr>
          <w:rFonts w:ascii="Verdana" w:eastAsia="Calibri" w:hAnsi="Verdana"/>
          <w:color w:val="000000" w:themeColor="text1"/>
          <w:lang w:val="es-ES_tradnl"/>
        </w:rPr>
        <w:t>.</w:t>
      </w:r>
      <w:r>
        <w:rPr>
          <w:rFonts w:ascii="Verdana" w:eastAsia="Calibri" w:hAnsi="Verdana"/>
          <w:color w:val="000000" w:themeColor="text1"/>
          <w:lang w:val="es-ES_tradnl"/>
        </w:rPr>
        <w:t xml:space="preserve"> </w:t>
      </w:r>
    </w:p>
    <w:p w14:paraId="348ED5F1" w14:textId="77777777" w:rsidR="00661D26" w:rsidRDefault="00661D26" w:rsidP="00661D26">
      <w:pPr>
        <w:spacing w:before="120" w:line="276" w:lineRule="auto"/>
        <w:ind w:firstLine="708"/>
        <w:jc w:val="both"/>
        <w:rPr>
          <w:rFonts w:ascii="Verdana" w:eastAsia="Calibri" w:hAnsi="Verdana"/>
          <w:color w:val="000000" w:themeColor="text1"/>
          <w:lang w:val="es-ES"/>
        </w:rPr>
      </w:pPr>
      <w:r w:rsidRPr="009227CE">
        <w:rPr>
          <w:rFonts w:ascii="Verdana" w:eastAsia="Calibri" w:hAnsi="Verdana"/>
          <w:color w:val="000000" w:themeColor="text1"/>
        </w:rPr>
        <w:t xml:space="preserve">Bajo la cobertura jurídica de los contratos de operación logística, las entidades públicas suelen </w:t>
      </w:r>
      <w:r w:rsidRPr="00C753D8">
        <w:rPr>
          <w:rFonts w:ascii="Verdana" w:eastAsia="Calibri" w:hAnsi="Verdana"/>
          <w:color w:val="000000" w:themeColor="text1"/>
        </w:rPr>
        <w:t>organizar y ejecutar ferias, fiestas y diversos eventos institucionales que requieren una coordinación integral de actividades</w:t>
      </w:r>
      <w:r w:rsidRPr="00C753D8">
        <w:rPr>
          <w:rFonts w:ascii="Verdana" w:eastAsia="Calibri" w:hAnsi="Verdana"/>
          <w:iCs/>
          <w:color w:val="000000" w:themeColor="text1"/>
        </w:rPr>
        <w:t xml:space="preserve"> </w:t>
      </w:r>
      <w:r w:rsidRPr="005B7C27">
        <w:rPr>
          <w:rFonts w:ascii="Verdana" w:eastAsia="Calibri" w:hAnsi="Verdana"/>
          <w:iCs/>
          <w:color w:val="000000" w:themeColor="text1"/>
        </w:rPr>
        <w:t>—como organización de eventos, suministro de alimentos, arrendamiento de espacios y transporte—</w:t>
      </w:r>
      <w:r w:rsidRPr="009227CE">
        <w:rPr>
          <w:rFonts w:ascii="Verdana" w:eastAsia="Calibri" w:hAnsi="Verdana"/>
          <w:color w:val="000000" w:themeColor="text1"/>
        </w:rPr>
        <w:t>. Es</w:t>
      </w:r>
      <w:r>
        <w:rPr>
          <w:rFonts w:ascii="Verdana" w:eastAsia="Calibri" w:hAnsi="Verdana"/>
          <w:color w:val="000000" w:themeColor="text1"/>
        </w:rPr>
        <w:t xml:space="preserve"> decir, este tipo de</w:t>
      </w:r>
      <w:r w:rsidRPr="009227CE">
        <w:rPr>
          <w:rFonts w:ascii="Verdana" w:eastAsia="Calibri" w:hAnsi="Verdana"/>
          <w:color w:val="000000" w:themeColor="text1"/>
        </w:rPr>
        <w:t xml:space="preserve"> contratos permiten articular, en un solo esquema operativo, componentes como la producción técnica, la logística general, la gestión de proveedores</w:t>
      </w:r>
      <w:r>
        <w:rPr>
          <w:rFonts w:ascii="Verdana" w:eastAsia="Calibri" w:hAnsi="Verdana"/>
          <w:color w:val="000000" w:themeColor="text1"/>
        </w:rPr>
        <w:t xml:space="preserve"> de alimentos, servicios de transporte, entre otros. </w:t>
      </w:r>
      <w:r w:rsidRPr="21328DCE">
        <w:rPr>
          <w:rFonts w:ascii="Verdana" w:eastAsia="Calibri" w:hAnsi="Verdana"/>
          <w:color w:val="000000" w:themeColor="text1"/>
          <w:lang w:val="es-ES"/>
        </w:rPr>
        <w:t>Más allá de la tipicidad o no del negocio, es necesario tener en cuenta que la capacidad contractual para</w:t>
      </w:r>
      <w:r>
        <w:rPr>
          <w:rFonts w:ascii="Verdana" w:eastAsia="Calibri" w:hAnsi="Verdana"/>
          <w:color w:val="000000" w:themeColor="text1"/>
          <w:lang w:val="es-ES"/>
        </w:rPr>
        <w:t xml:space="preserve"> celebrar contratos estatales está</w:t>
      </w:r>
      <w:r w:rsidRPr="21328DCE">
        <w:rPr>
          <w:rFonts w:ascii="Verdana" w:eastAsia="Calibri" w:hAnsi="Verdana"/>
          <w:color w:val="000000" w:themeColor="text1"/>
          <w:lang w:val="es-ES"/>
        </w:rPr>
        <w:t xml:space="preserve"> regulada en el artículo 6 de la Ley 80 de 1993. De conformidad con la norma citada, “Pueden celebrar contratos con las entidades estatales las personas consideradas legalmente capaces en las disposiciones vigentes […]”. De acuerdo con la modificación de la Ley 2160 de 2021, la norma agrega lo siguiente: “[…] También </w:t>
      </w:r>
      <w:r w:rsidRPr="21328DCE">
        <w:rPr>
          <w:rFonts w:ascii="Verdana" w:eastAsia="Calibri" w:hAnsi="Verdana"/>
          <w:color w:val="000000" w:themeColor="text1"/>
          <w:lang w:val="es-ES"/>
        </w:rPr>
        <w:lastRenderedPageBreak/>
        <w:t>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De esta manera, los contratos de operación logística pueden celebrarse con cualquier persona que tenga dentro de su misionalidad u objeto la ejecución de esta actividad</w:t>
      </w:r>
      <w:r w:rsidRPr="21328DCE">
        <w:rPr>
          <w:rStyle w:val="Refdenotaalpie"/>
          <w:rFonts w:ascii="Verdana" w:eastAsia="Calibri" w:hAnsi="Verdana"/>
          <w:color w:val="000000" w:themeColor="text1"/>
          <w:lang w:val="es-ES"/>
        </w:rPr>
        <w:footnoteReference w:id="8"/>
      </w:r>
      <w:r w:rsidRPr="21328DCE">
        <w:rPr>
          <w:rFonts w:ascii="Verdana" w:eastAsia="Calibri" w:hAnsi="Verdana"/>
          <w:color w:val="000000" w:themeColor="text1"/>
          <w:lang w:val="es-ES"/>
        </w:rPr>
        <w:t>.</w:t>
      </w:r>
    </w:p>
    <w:p w14:paraId="66B24176" w14:textId="77777777" w:rsidR="00661D26" w:rsidRDefault="00661D26" w:rsidP="00661D26">
      <w:pPr>
        <w:spacing w:before="120" w:after="120" w:line="276" w:lineRule="auto"/>
        <w:ind w:firstLine="709"/>
        <w:jc w:val="both"/>
        <w:rPr>
          <w:rFonts w:ascii="Verdana" w:eastAsia="Calibri" w:hAnsi="Verdana"/>
          <w:color w:val="000000" w:themeColor="text1"/>
        </w:rPr>
      </w:pPr>
      <w:r w:rsidRPr="21328DCE">
        <w:rPr>
          <w:rFonts w:ascii="Verdana" w:eastAsia="Calibri" w:hAnsi="Verdana"/>
          <w:color w:val="000000" w:themeColor="text1"/>
        </w:rPr>
        <w:t>Asimismo, para efectos de individualizar sus requisitos esenciales, el artículo 1501 del Código Civil dispone que corresponden a “[…] aquellas cosas sin las cuales, o no produce efecto alguno, o degeneran en otro contrato diferente […]”. Sobre este último elemento de la norma citada, en la medida que el contrato de operación logística es una amalgama de prestaciones de otras tipologías, éste no pierde su calificación por la ausencia de una o varias de ellas.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21328DCE">
        <w:rPr>
          <w:rStyle w:val="Refdenotaalpie"/>
          <w:rFonts w:ascii="Verdana" w:eastAsia="Calibri" w:hAnsi="Verdana"/>
          <w:color w:val="000000" w:themeColor="text1"/>
        </w:rPr>
        <w:footnoteReference w:id="9"/>
      </w:r>
      <w:r w:rsidRPr="21328DCE">
        <w:rPr>
          <w:rFonts w:ascii="Verdana" w:eastAsia="Calibri" w:hAnsi="Verdana"/>
          <w:color w:val="000000" w:themeColor="text1"/>
        </w:rPr>
        <w:t xml:space="preserve">. </w:t>
      </w:r>
    </w:p>
    <w:p w14:paraId="5F862D92" w14:textId="77777777" w:rsidR="00661D26" w:rsidRDefault="00661D26" w:rsidP="00661D26">
      <w:pPr>
        <w:spacing w:before="120" w:after="0" w:line="276" w:lineRule="auto"/>
        <w:ind w:firstLine="708"/>
        <w:jc w:val="both"/>
        <w:rPr>
          <w:rFonts w:ascii="Verdana" w:eastAsia="Calibri" w:hAnsi="Verdana"/>
          <w:color w:val="000000" w:themeColor="text1"/>
          <w:lang w:val="es-ES"/>
        </w:rPr>
      </w:pPr>
      <w:r>
        <w:rPr>
          <w:rFonts w:ascii="Verdana" w:eastAsia="Calibri" w:hAnsi="Verdana"/>
          <w:color w:val="000000" w:themeColor="text1"/>
          <w:lang w:val="es-ES"/>
        </w:rPr>
        <w:t xml:space="preserve">Independiente de su tipicidad, </w:t>
      </w:r>
      <w:r w:rsidRPr="21328DCE">
        <w:rPr>
          <w:rFonts w:ascii="Verdana" w:eastAsia="Calibri" w:hAnsi="Verdana"/>
          <w:color w:val="000000" w:themeColor="text1"/>
          <w:lang w:val="es-ES"/>
        </w:rPr>
        <w:t xml:space="preserve">la existencia de los contratos estatales, es decir, la producción de efectos jurídicos en los términos del artículo 1501 </w:t>
      </w:r>
      <w:proofErr w:type="spellStart"/>
      <w:r w:rsidRPr="21328DCE">
        <w:rPr>
          <w:rFonts w:ascii="Verdana" w:eastAsia="Calibri" w:hAnsi="Verdana"/>
          <w:i/>
          <w:color w:val="000000" w:themeColor="text1"/>
          <w:lang w:val="es-ES"/>
        </w:rPr>
        <w:t>ibídem</w:t>
      </w:r>
      <w:proofErr w:type="spellEnd"/>
      <w:r w:rsidRPr="21328DCE">
        <w:rPr>
          <w:rFonts w:ascii="Verdana" w:eastAsia="Calibri" w:hAnsi="Verdana"/>
          <w:color w:val="000000" w:themeColor="text1"/>
          <w:lang w:val="es-ES"/>
        </w:rPr>
        <w:t xml:space="preserve">, depende de la regulación del inciso primero de los artículos 39 y 41 del Estatuto General de Contratación de la Administración Pública. Por un lado, “Los contratos que celebren las entidades estatales constarán por escrito y no requerirán ser </w:t>
      </w:r>
      <w:r w:rsidRPr="21328DCE">
        <w:rPr>
          <w:rFonts w:ascii="Verdana" w:eastAsia="Calibri" w:hAnsi="Verdana"/>
          <w:color w:val="000000" w:themeColor="text1"/>
          <w:lang w:val="es-ES"/>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98F34D9" w14:textId="77777777" w:rsidR="00661D26" w:rsidRDefault="00661D26" w:rsidP="00661D26">
      <w:pPr>
        <w:spacing w:after="0" w:line="276" w:lineRule="auto"/>
        <w:jc w:val="both"/>
        <w:rPr>
          <w:rFonts w:ascii="Verdana" w:eastAsia="Calibri" w:hAnsi="Verdana" w:cs="Arial"/>
        </w:rPr>
      </w:pPr>
    </w:p>
    <w:p w14:paraId="45EB3782" w14:textId="77777777" w:rsidR="00661D26" w:rsidRPr="00330C3F" w:rsidRDefault="00661D26" w:rsidP="00661D26">
      <w:pPr>
        <w:spacing w:after="0" w:line="276" w:lineRule="auto"/>
        <w:jc w:val="both"/>
        <w:rPr>
          <w:rFonts w:ascii="Verdana" w:eastAsia="Calibri" w:hAnsi="Verdana" w:cs="Arial"/>
          <w:lang w:val="es-ES"/>
        </w:rPr>
      </w:pPr>
      <w:proofErr w:type="spellStart"/>
      <w:r>
        <w:rPr>
          <w:rFonts w:ascii="Verdana" w:eastAsia="Calibri" w:hAnsi="Verdana" w:cs="Arial"/>
        </w:rPr>
        <w:t>iii</w:t>
      </w:r>
      <w:proofErr w:type="spellEnd"/>
      <w:r>
        <w:rPr>
          <w:rFonts w:ascii="Verdana" w:eastAsia="Calibri" w:hAnsi="Verdana" w:cs="Arial"/>
        </w:rPr>
        <w:t xml:space="preserve">. </w:t>
      </w:r>
      <w:r>
        <w:rPr>
          <w:rFonts w:ascii="Verdana" w:eastAsia="Arial" w:hAnsi="Verdana" w:cs="Arial"/>
          <w:bCs/>
        </w:rPr>
        <w:t>Conforme</w:t>
      </w:r>
      <w:r>
        <w:rPr>
          <w:rFonts w:ascii="Verdana" w:eastAsia="Arial" w:hAnsi="Verdana" w:cs="Arial"/>
          <w:bCs/>
          <w:lang w:val="es-MX"/>
        </w:rPr>
        <w:t xml:space="preserve"> al principio de planeación la entidad debe determinar la forma en la que se contratará las actividades de operación logística durante la vigencia fiscal, atendiendo a la necesidad a satisfacer,</w:t>
      </w:r>
      <w:r w:rsidRPr="00C24533">
        <w:rPr>
          <w:rFonts w:ascii="Verdana" w:hAnsi="Verdana" w:cs="Arial"/>
        </w:rPr>
        <w:t xml:space="preserve"> </w:t>
      </w:r>
      <w:r>
        <w:rPr>
          <w:rFonts w:ascii="Verdana" w:hAnsi="Verdana" w:cs="Arial"/>
        </w:rPr>
        <w:t xml:space="preserve">a la conveniencia o inconveniencia del objeto a contratar, a </w:t>
      </w:r>
      <w:r w:rsidRPr="00087B05">
        <w:rPr>
          <w:rFonts w:ascii="Verdana" w:hAnsi="Verdana" w:cs="Arial"/>
        </w:rPr>
        <w:t xml:space="preserve">los costos </w:t>
      </w:r>
      <w:r>
        <w:rPr>
          <w:rFonts w:ascii="Verdana" w:hAnsi="Verdana" w:cs="Arial"/>
        </w:rPr>
        <w:t xml:space="preserve">que </w:t>
      </w:r>
      <w:r w:rsidRPr="00087B05">
        <w:rPr>
          <w:rFonts w:ascii="Verdana" w:hAnsi="Verdana" w:cs="Arial"/>
        </w:rPr>
        <w:t>podría</w:t>
      </w:r>
      <w:r>
        <w:rPr>
          <w:rFonts w:ascii="Verdana" w:hAnsi="Verdana" w:cs="Arial"/>
        </w:rPr>
        <w:t>n</w:t>
      </w:r>
      <w:r w:rsidRPr="00087B05">
        <w:rPr>
          <w:rFonts w:ascii="Verdana" w:hAnsi="Verdana" w:cs="Arial"/>
        </w:rPr>
        <w:t xml:space="preserve"> demandar la celebración y ejecución del contrato,</w:t>
      </w:r>
      <w:r w:rsidRPr="00C24533">
        <w:rPr>
          <w:rFonts w:ascii="Verdana" w:hAnsi="Verdana" w:cs="Arial"/>
        </w:rPr>
        <w:t xml:space="preserve"> </w:t>
      </w:r>
      <w:r w:rsidRPr="00087B05">
        <w:rPr>
          <w:rFonts w:ascii="Verdana" w:hAnsi="Verdana" w:cs="Arial"/>
        </w:rPr>
        <w:t>la disponibilidad de recursos o la capacidad financiera de la entidad contratante</w:t>
      </w:r>
      <w:r>
        <w:rPr>
          <w:rFonts w:ascii="Verdana" w:hAnsi="Verdana" w:cs="Arial"/>
        </w:rPr>
        <w:t xml:space="preserve"> </w:t>
      </w:r>
      <w:r w:rsidRPr="00087B05">
        <w:rPr>
          <w:rFonts w:ascii="Verdana" w:hAnsi="Verdana" w:cs="Arial"/>
        </w:rPr>
        <w:t xml:space="preserve">para asumir las obligaciones de pago producto </w:t>
      </w:r>
      <w:r>
        <w:rPr>
          <w:rFonts w:ascii="Verdana" w:hAnsi="Verdana" w:cs="Arial"/>
        </w:rPr>
        <w:t>y demás condiciones. Al respecto, el</w:t>
      </w:r>
      <w:r w:rsidRPr="00330C3F">
        <w:rPr>
          <w:rFonts w:ascii="Verdana" w:eastAsia="Calibri" w:hAnsi="Verdana" w:cs="Arial"/>
          <w:lang w:val="es-ES"/>
        </w:rPr>
        <w:t xml:space="preserve"> Estatuto General de Contratación de la Administración Pública, en adelante EGCAP,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6BBD456C" w14:textId="77777777" w:rsidR="00661D26" w:rsidRPr="00330C3F" w:rsidRDefault="00661D26" w:rsidP="00661D26">
      <w:pPr>
        <w:spacing w:after="0" w:line="276" w:lineRule="auto"/>
        <w:jc w:val="both"/>
        <w:rPr>
          <w:rFonts w:ascii="Arial" w:eastAsia="Times New Roman" w:hAnsi="Arial" w:cs="Arial"/>
          <w:color w:val="000000"/>
          <w:szCs w:val="24"/>
          <w:lang w:val="es-ES_tradnl" w:eastAsia="es-ES_tradnl"/>
        </w:rPr>
      </w:pPr>
    </w:p>
    <w:p w14:paraId="571D4036" w14:textId="77777777" w:rsidR="00661D26" w:rsidRPr="00330C3F" w:rsidRDefault="00661D26" w:rsidP="00661D26">
      <w:pPr>
        <w:spacing w:after="0" w:line="240" w:lineRule="auto"/>
        <w:ind w:left="709" w:right="709"/>
        <w:jc w:val="both"/>
        <w:rPr>
          <w:rFonts w:ascii="Arial" w:eastAsia="Times New Roman" w:hAnsi="Arial" w:cs="Arial"/>
          <w:color w:val="000000"/>
          <w:sz w:val="21"/>
          <w:szCs w:val="21"/>
          <w:lang w:val="es-ES_tradnl" w:eastAsia="es-ES_tradnl"/>
        </w:rPr>
      </w:pPr>
      <w:r w:rsidRPr="00330C3F">
        <w:rPr>
          <w:rFonts w:ascii="Arial" w:eastAsia="Times New Roman" w:hAnsi="Arial" w:cs="Arial"/>
          <w:color w:val="000000"/>
          <w:sz w:val="21"/>
          <w:szCs w:val="21"/>
          <w:lang w:val="es-ES_tradnl" w:eastAsia="es-ES_tradnl"/>
        </w:rPr>
        <w:t>“7. La conveniencia o inconveniencia del objeto a contratar y las autorizaciones y aprobaciones para ello, se analizarán o impartirán con antelación al inicio del proceso de selección del contratista o al de la firma del contrato, según el caso.</w:t>
      </w:r>
    </w:p>
    <w:p w14:paraId="18353AC0" w14:textId="77777777" w:rsidR="00661D26" w:rsidRPr="00330C3F" w:rsidRDefault="00661D26" w:rsidP="00661D26">
      <w:pPr>
        <w:spacing w:after="0" w:line="240" w:lineRule="auto"/>
        <w:ind w:left="709" w:right="709"/>
        <w:jc w:val="both"/>
        <w:rPr>
          <w:rFonts w:ascii="Arial" w:eastAsia="Times New Roman" w:hAnsi="Arial" w:cs="Arial"/>
          <w:color w:val="000000"/>
          <w:sz w:val="21"/>
          <w:szCs w:val="21"/>
          <w:lang w:val="es-ES_tradnl" w:eastAsia="es-ES_tradnl"/>
        </w:rPr>
      </w:pPr>
      <w:r w:rsidRPr="00330C3F">
        <w:rPr>
          <w:rFonts w:ascii="Arial" w:eastAsia="Times New Roman" w:hAnsi="Arial" w:cs="Arial"/>
          <w:color w:val="000000"/>
          <w:sz w:val="21"/>
          <w:szCs w:val="21"/>
          <w:lang w:val="es-ES_tradnl" w:eastAsia="es-ES_tradnl"/>
        </w:rPr>
        <w:t>[…]</w:t>
      </w:r>
    </w:p>
    <w:p w14:paraId="4D1B9724" w14:textId="77777777" w:rsidR="00661D26" w:rsidRPr="00330C3F" w:rsidRDefault="00661D26" w:rsidP="00661D26">
      <w:pPr>
        <w:spacing w:after="0" w:line="240" w:lineRule="auto"/>
        <w:ind w:left="709" w:right="709"/>
        <w:jc w:val="both"/>
        <w:rPr>
          <w:rFonts w:ascii="Arial" w:eastAsia="Times New Roman" w:hAnsi="Arial" w:cs="Arial"/>
          <w:color w:val="000000"/>
          <w:sz w:val="21"/>
          <w:szCs w:val="21"/>
          <w:lang w:val="es-ES_tradnl" w:eastAsia="es-ES_tradnl"/>
        </w:rPr>
      </w:pPr>
      <w:r w:rsidRPr="00330C3F">
        <w:rPr>
          <w:rFonts w:ascii="Arial" w:eastAsia="Times New Roman" w:hAnsi="Arial" w:cs="Arial"/>
          <w:color w:val="000000"/>
          <w:sz w:val="21"/>
          <w:szCs w:val="21"/>
          <w:lang w:val="es-ES_tradnl" w:eastAsia="es-ES_tradnl"/>
        </w:rPr>
        <w:t xml:space="preserve">12. Previo a la apertura de un proceso de selección, </w:t>
      </w:r>
      <w:r w:rsidRPr="00330C3F">
        <w:rPr>
          <w:rFonts w:ascii="Arial" w:eastAsia="Times New Roman" w:hAnsi="Arial" w:cs="Arial"/>
          <w:i/>
          <w:iCs/>
          <w:color w:val="000000"/>
          <w:sz w:val="21"/>
          <w:szCs w:val="21"/>
          <w:u w:val="single"/>
          <w:lang w:val="es-ES_tradnl" w:eastAsia="es-ES_tradnl"/>
        </w:rPr>
        <w:t>o a la firma del contrato en el caso en que la modalidad de selección sea contratación directa,</w:t>
      </w:r>
      <w:r w:rsidRPr="00330C3F">
        <w:rPr>
          <w:rFonts w:ascii="Arial" w:eastAsia="Times New Roman" w:hAnsi="Arial" w:cs="Arial"/>
          <w:color w:val="000000"/>
          <w:sz w:val="21"/>
          <w:szCs w:val="21"/>
          <w:lang w:val="es-ES_tradnl" w:eastAsia="es-ES_tradnl"/>
        </w:rPr>
        <w:t xml:space="preserve"> deberán elaborarse los estudios, diseños y proyectos requeridos, y los pliegos de condiciones, según corresponda. […]” [Énfasis fuera de texto]</w:t>
      </w:r>
    </w:p>
    <w:p w14:paraId="36820D2E" w14:textId="77777777" w:rsidR="00661D26" w:rsidRPr="00330C3F" w:rsidRDefault="00661D26" w:rsidP="00661D26">
      <w:pPr>
        <w:spacing w:after="0" w:line="276" w:lineRule="auto"/>
        <w:ind w:firstLine="709"/>
        <w:jc w:val="both"/>
        <w:rPr>
          <w:rFonts w:ascii="Arial" w:eastAsia="Times New Roman" w:hAnsi="Arial" w:cs="Arial"/>
          <w:color w:val="000000"/>
          <w:szCs w:val="24"/>
          <w:lang w:val="es-ES_tradnl" w:eastAsia="es-ES_tradnl"/>
        </w:rPr>
      </w:pPr>
    </w:p>
    <w:p w14:paraId="36407407" w14:textId="77777777" w:rsidR="00661D26" w:rsidRPr="00330C3F" w:rsidRDefault="00661D26" w:rsidP="00661D26">
      <w:pPr>
        <w:spacing w:after="120" w:line="276" w:lineRule="auto"/>
        <w:ind w:firstLine="709"/>
        <w:jc w:val="both"/>
        <w:rPr>
          <w:rFonts w:ascii="Verdana" w:eastAsia="Times New Roman" w:hAnsi="Verdana" w:cs="Arial"/>
          <w:szCs w:val="24"/>
          <w:lang w:eastAsia="es-ES_tradnl"/>
        </w:rPr>
      </w:pPr>
      <w:r w:rsidRPr="00330C3F">
        <w:rPr>
          <w:rFonts w:ascii="Verdana" w:eastAsia="Calibri" w:hAnsi="Verdana" w:cs="Arial"/>
          <w:lang w:val="es-ES"/>
        </w:rPr>
        <w:t xml:space="preserve">De lo anterior se desprende que, </w:t>
      </w:r>
      <w:r w:rsidRPr="00330C3F">
        <w:rPr>
          <w:rFonts w:ascii="Verdana" w:eastAsia="Times New Roman" w:hAnsi="Verdana" w:cs="Arial"/>
          <w:szCs w:val="24"/>
          <w:lang w:eastAsia="es-ES_tradnl"/>
        </w:rPr>
        <w:t xml:space="preserve">las entidades tienen el deber de realizar estudios previos en dos momentos específicos: i) previo a la apertura de un proceso de selección y </w:t>
      </w:r>
      <w:proofErr w:type="spellStart"/>
      <w:r w:rsidRPr="00330C3F">
        <w:rPr>
          <w:rFonts w:ascii="Verdana" w:eastAsia="Times New Roman" w:hAnsi="Verdana" w:cs="Arial"/>
          <w:szCs w:val="24"/>
          <w:lang w:eastAsia="es-ES_tradnl"/>
        </w:rPr>
        <w:t>ii</w:t>
      </w:r>
      <w:proofErr w:type="spellEnd"/>
      <w:r w:rsidRPr="00330C3F">
        <w:rPr>
          <w:rFonts w:ascii="Verdana" w:eastAsia="Times New Roman" w:hAnsi="Verdana" w:cs="Arial"/>
          <w:szCs w:val="24"/>
          <w:lang w:eastAsia="es-ES_tradnl"/>
        </w:rPr>
        <w:t xml:space="preserve">) previo a la firma del contrato en el caso en que la modalidad de selección sea contratación directa. Por su parte, el reglamento, es decir los artículos 2.2.1.1.1.6.1 y 2.2.1.1.2.1.1 del Decreto 1082 de 2015, no </w:t>
      </w:r>
      <w:r w:rsidRPr="00330C3F">
        <w:rPr>
          <w:rFonts w:ascii="Verdana" w:eastAsia="Times New Roman" w:hAnsi="Verdana" w:cs="Arial"/>
          <w:szCs w:val="24"/>
          <w:lang w:eastAsia="es-ES_tradnl"/>
        </w:rPr>
        <w:lastRenderedPageBreak/>
        <w:t xml:space="preserve">imponen la obligación de realizar estudios y documentos previos en etapas diferentes a la de planeación del contrato. </w:t>
      </w:r>
      <w:r w:rsidRPr="00330C3F">
        <w:rPr>
          <w:rFonts w:ascii="Verdana" w:eastAsia="Calibri" w:hAnsi="Verdana" w:cs="Arial"/>
          <w:lang w:val="es-ES"/>
        </w:rPr>
        <w:t>Esto,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en la obra y, en general, el fracaso en la ejecución de contratos estatales”</w:t>
      </w:r>
      <w:r w:rsidRPr="00330C3F">
        <w:rPr>
          <w:rFonts w:ascii="Verdana" w:eastAsia="Aptos" w:hAnsi="Verdana" w:cs="Arial"/>
          <w:vertAlign w:val="superscript"/>
        </w:rPr>
        <w:footnoteReference w:id="10"/>
      </w:r>
      <w:r w:rsidRPr="00330C3F">
        <w:rPr>
          <w:rFonts w:ascii="Verdana" w:eastAsia="Times New Roman" w:hAnsi="Verdana" w:cs="Arial"/>
          <w:color w:val="000000"/>
          <w:szCs w:val="24"/>
          <w:lang w:val="es-ES_tradnl" w:eastAsia="es-ES_tradnl"/>
        </w:rPr>
        <w:t xml:space="preserve">. </w:t>
      </w:r>
    </w:p>
    <w:p w14:paraId="61B013F9" w14:textId="77777777" w:rsidR="00661D26" w:rsidRDefault="00661D26" w:rsidP="00661D26">
      <w:pPr>
        <w:spacing w:before="120" w:after="0" w:line="276" w:lineRule="auto"/>
        <w:ind w:firstLine="709"/>
        <w:jc w:val="both"/>
        <w:rPr>
          <w:rFonts w:ascii="Verdana" w:eastAsia="Aptos" w:hAnsi="Verdana" w:cs="Arial"/>
        </w:rPr>
      </w:pPr>
      <w:r w:rsidRPr="00330C3F">
        <w:rPr>
          <w:rFonts w:ascii="Verdana" w:eastAsia="Calibri" w:hAnsi="Verdana" w:cs="Arial"/>
        </w:rPr>
        <w:t xml:space="preserve">De esta forma, antes de iniciar un proceso de selección, la Entidad Estatal podrá determinar con los estudios previos: i) la verdadera necesidad de la celebración del contrato; </w:t>
      </w:r>
      <w:proofErr w:type="spellStart"/>
      <w:r w:rsidRPr="00330C3F">
        <w:rPr>
          <w:rFonts w:ascii="Verdana" w:eastAsia="Calibri" w:hAnsi="Verdana" w:cs="Arial"/>
        </w:rPr>
        <w:t>ii</w:t>
      </w:r>
      <w:proofErr w:type="spellEnd"/>
      <w:r w:rsidRPr="00330C3F">
        <w:rPr>
          <w:rFonts w:ascii="Verdana" w:eastAsia="Calibri" w:hAnsi="Verdana" w:cs="Arial"/>
        </w:rPr>
        <w:t xml:space="preserve">) las modalidades existentes para satisfacer esa necesidad y las razones que justifiquen la modalidad o tipo contractual que se escoja; </w:t>
      </w:r>
      <w:proofErr w:type="spellStart"/>
      <w:r w:rsidRPr="00330C3F">
        <w:rPr>
          <w:rFonts w:ascii="Verdana" w:eastAsia="Calibri" w:hAnsi="Verdana" w:cs="Arial"/>
        </w:rPr>
        <w:t>iii</w:t>
      </w:r>
      <w:proofErr w:type="spellEnd"/>
      <w:r w:rsidRPr="00330C3F">
        <w:rPr>
          <w:rFonts w:ascii="Verdana" w:eastAsia="Calibri" w:hAnsi="Verdana" w:cs="Arial"/>
        </w:rPr>
        <w:t xml:space="preserve">) las calidades, especificaciones, cantidades y demás características que puedan o deban reunir los bienes, las obras, los servicios, etcétera, cuya contratación, se haya determinado necesaria, </w:t>
      </w:r>
      <w:proofErr w:type="spellStart"/>
      <w:r w:rsidRPr="00330C3F">
        <w:rPr>
          <w:rFonts w:ascii="Verdana" w:eastAsia="Calibri" w:hAnsi="Verdana" w:cs="Arial"/>
        </w:rPr>
        <w:t>iv</w:t>
      </w:r>
      <w:proofErr w:type="spellEnd"/>
      <w:r w:rsidRPr="00330C3F">
        <w:rPr>
          <w:rFonts w:ascii="Verdana" w:eastAsia="Calibri" w:hAnsi="Verdana" w:cs="Arial"/>
        </w:rPr>
        <w:t xml:space="preserve">)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w:t>
      </w:r>
      <w:proofErr w:type="spellStart"/>
      <w:r w:rsidRPr="00330C3F">
        <w:rPr>
          <w:rFonts w:ascii="Verdana" w:eastAsia="Calibri" w:hAnsi="Verdana" w:cs="Arial"/>
        </w:rPr>
        <w:t>vii</w:t>
      </w:r>
      <w:proofErr w:type="spellEnd"/>
      <w:r w:rsidRPr="00330C3F">
        <w:rPr>
          <w:rFonts w:ascii="Verdana" w:eastAsia="Calibri" w:hAnsi="Verdana" w:cs="Arial"/>
        </w:rPr>
        <w:t>) los procedimientos, trámites y requisitos que deban satisfacerse, reunirse u obtenerse para llevar a cabo la selección del respectivo contratista y la celebración del contrato</w:t>
      </w:r>
      <w:r w:rsidRPr="00330C3F">
        <w:rPr>
          <w:rFonts w:ascii="Verdana" w:eastAsia="Aptos" w:hAnsi="Verdana" w:cs="Arial"/>
          <w:vertAlign w:val="superscript"/>
        </w:rPr>
        <w:footnoteReference w:id="11"/>
      </w:r>
      <w:r w:rsidRPr="00330C3F">
        <w:rPr>
          <w:rFonts w:ascii="Verdana" w:eastAsia="Aptos" w:hAnsi="Verdana" w:cs="Arial"/>
        </w:rPr>
        <w:t>.</w:t>
      </w:r>
    </w:p>
    <w:p w14:paraId="3AFB12B8" w14:textId="77777777" w:rsidR="00661D26" w:rsidRPr="00284868" w:rsidRDefault="00661D26" w:rsidP="00661D26">
      <w:pPr>
        <w:spacing w:before="120" w:after="120" w:line="276" w:lineRule="auto"/>
        <w:ind w:firstLine="709"/>
        <w:jc w:val="both"/>
        <w:rPr>
          <w:rFonts w:ascii="Verdana" w:eastAsia="Aptos" w:hAnsi="Verdana" w:cs="Arial"/>
        </w:rPr>
      </w:pPr>
      <w:r>
        <w:rPr>
          <w:rFonts w:ascii="Verdana" w:eastAsia="Aptos" w:hAnsi="Verdana" w:cs="Arial"/>
        </w:rPr>
        <w:t>Ahora bien, para determinar la modalidad de selección</w:t>
      </w:r>
      <w:r>
        <w:rPr>
          <w:rFonts w:ascii="Verdana" w:hAnsi="Verdana" w:cs="Arial"/>
        </w:rPr>
        <w:t>,</w:t>
      </w:r>
      <w:r w:rsidRPr="00F30A39">
        <w:rPr>
          <w:rFonts w:ascii="Verdana" w:hAnsi="Verdana" w:cs="Arial"/>
        </w:rPr>
        <w:t xml:space="preserve"> la </w:t>
      </w:r>
      <w:r>
        <w:rPr>
          <w:rFonts w:ascii="Verdana" w:hAnsi="Verdana" w:cs="Arial"/>
        </w:rPr>
        <w:t xml:space="preserve">entidad debe tener en cuenta el artículo 2 de la Ley 1150 de 2007, el cual establece que </w:t>
      </w:r>
      <w:r w:rsidRPr="00112A00">
        <w:rPr>
          <w:rFonts w:ascii="Verdana" w:hAnsi="Verdana" w:cs="Arial"/>
          <w:i/>
          <w:iCs/>
        </w:rPr>
        <w:t xml:space="preserve">la escogencia del contratista se efectuará con arreglo a las modalidades de </w:t>
      </w:r>
      <w:r w:rsidRPr="00112A00">
        <w:rPr>
          <w:rFonts w:ascii="Verdana" w:hAnsi="Verdana" w:cs="Arial"/>
          <w:i/>
          <w:iCs/>
        </w:rPr>
        <w:lastRenderedPageBreak/>
        <w:t>selección de licitación pública, selección abreviada, concurso de méritos y contratación directa</w:t>
      </w:r>
      <w:r>
        <w:rPr>
          <w:rFonts w:ascii="Verdana" w:hAnsi="Verdana" w:cs="Arial"/>
          <w:i/>
          <w:iCs/>
        </w:rPr>
        <w:t xml:space="preserve"> […]</w:t>
      </w:r>
      <w:r w:rsidRPr="00112A00">
        <w:rPr>
          <w:rFonts w:ascii="Verdana" w:hAnsi="Verdana" w:cs="Arial"/>
          <w:i/>
          <w:iCs/>
        </w:rPr>
        <w:t xml:space="preserve">La escogencia del contratista se efectuará por regla general a través de licitación pública, con las excepciones que se señalan en los numerales 2, 3 y 4 del </w:t>
      </w:r>
      <w:r>
        <w:rPr>
          <w:rFonts w:ascii="Verdana" w:hAnsi="Verdana" w:cs="Arial"/>
          <w:i/>
          <w:iCs/>
        </w:rPr>
        <w:t>citado artículo</w:t>
      </w:r>
      <w:r w:rsidRPr="00112A00">
        <w:rPr>
          <w:rFonts w:ascii="Verdana" w:hAnsi="Verdana" w:cs="Arial"/>
          <w:i/>
          <w:iCs/>
        </w:rPr>
        <w:t>.</w:t>
      </w:r>
      <w:r>
        <w:rPr>
          <w:rFonts w:ascii="Verdana" w:hAnsi="Verdana" w:cs="Arial"/>
        </w:rPr>
        <w:t xml:space="preserve"> </w:t>
      </w:r>
      <w:r w:rsidRPr="00F30A39">
        <w:rPr>
          <w:rFonts w:ascii="Verdana" w:hAnsi="Verdana" w:cs="Arial"/>
        </w:rPr>
        <w:t xml:space="preserve">Por tanto, </w:t>
      </w:r>
      <w:r>
        <w:rPr>
          <w:rFonts w:ascii="Verdana" w:hAnsi="Verdana" w:cs="Arial"/>
        </w:rPr>
        <w:t xml:space="preserve">es importante que </w:t>
      </w:r>
      <w:r w:rsidRPr="00F30A39">
        <w:rPr>
          <w:rFonts w:ascii="Verdana" w:hAnsi="Verdana" w:cs="Arial"/>
        </w:rPr>
        <w:t xml:space="preserve">las entidades estatales a atender debidamente el principio de </w:t>
      </w:r>
      <w:r w:rsidRPr="00C11A68">
        <w:rPr>
          <w:rFonts w:ascii="Verdana" w:hAnsi="Verdana" w:cs="Arial"/>
        </w:rPr>
        <w:t>planeación y selección objetiva</w:t>
      </w:r>
      <w:r w:rsidRPr="00F30A39">
        <w:rPr>
          <w:rFonts w:ascii="Verdana" w:hAnsi="Verdana" w:cs="Arial"/>
        </w:rPr>
        <w:t xml:space="preserve"> asegurando que las decisiones sean oportunas, bien fundamentadas y que contribuyan a la optimización de los recursos disponibles</w:t>
      </w:r>
      <w:r>
        <w:rPr>
          <w:rFonts w:ascii="Verdana" w:hAnsi="Verdana" w:cs="Arial"/>
        </w:rPr>
        <w:t>.</w:t>
      </w:r>
    </w:p>
    <w:p w14:paraId="4D09FFD3" w14:textId="77777777" w:rsidR="00661D26" w:rsidRPr="00AE38A7" w:rsidRDefault="00661D26" w:rsidP="00661D26">
      <w:pPr>
        <w:spacing w:before="120" w:after="120" w:line="276" w:lineRule="auto"/>
        <w:ind w:firstLine="709"/>
        <w:jc w:val="both"/>
        <w:rPr>
          <w:rFonts w:ascii="Verdana" w:eastAsia="Aptos" w:hAnsi="Verdana" w:cs="Arial"/>
        </w:rPr>
      </w:pPr>
      <w:r w:rsidRPr="00AE38A7">
        <w:rPr>
          <w:rFonts w:ascii="Verdana" w:eastAsia="Aptos" w:hAnsi="Verdana" w:cs="Arial"/>
        </w:rPr>
        <w:t xml:space="preserve">En relación con los contratos de operación logística, es fundamental reiterar que su naturaleza de contratos mixtos —al integrar prestaciones propias de varios contratos nominados para satisfacer una necesidad común— impide la existencia de un procedimiento de selección exclusivo o predeterminado. Por ello, no es </w:t>
      </w:r>
      <w:r>
        <w:rPr>
          <w:rFonts w:ascii="Verdana" w:eastAsia="Aptos" w:hAnsi="Verdana" w:cs="Arial"/>
        </w:rPr>
        <w:t xml:space="preserve">procedente </w:t>
      </w:r>
      <w:r w:rsidRPr="00AE38A7">
        <w:rPr>
          <w:rFonts w:ascii="Verdana" w:eastAsia="Aptos" w:hAnsi="Verdana" w:cs="Arial"/>
        </w:rPr>
        <w:t>establecer un criterio uniforme que obligue a utilizar siempre la misma modalidad de selección. La entidad, en ejercicio del principio de planeación, debe analizar el objeto, la cuantía, las condiciones del mercado, la urgencia y la disponibilidad presupuestal para determinar si procede la licitación pública, la selección abreviada por menor cuantía, la mínima cuantía, o incluso la contratación directa cuando se configure una causal legal, como ocurre con los contratos interadministrativos</w:t>
      </w:r>
      <w:r>
        <w:rPr>
          <w:rFonts w:ascii="Verdana" w:eastAsia="Aptos" w:hAnsi="Verdana" w:cs="Arial"/>
        </w:rPr>
        <w:t>, conforme al artículo 2.4. literal c de la Ley 1150 de 2007</w:t>
      </w:r>
      <w:r w:rsidRPr="00AE38A7">
        <w:rPr>
          <w:rFonts w:ascii="Verdana" w:eastAsia="Aptos" w:hAnsi="Verdana" w:cs="Arial"/>
        </w:rPr>
        <w:t>. Lo determinante es que la modalidad elegida sea coherente con las características del servicio requerido y con los principios rectores de la contratación estatal.</w:t>
      </w:r>
    </w:p>
    <w:p w14:paraId="13A81979" w14:textId="77777777" w:rsidR="00661D26" w:rsidRPr="009D6094" w:rsidRDefault="00661D26" w:rsidP="00661D26">
      <w:pPr>
        <w:spacing w:after="120" w:line="276" w:lineRule="auto"/>
        <w:ind w:right="103" w:firstLine="708"/>
        <w:jc w:val="both"/>
        <w:rPr>
          <w:rFonts w:ascii="Verdana" w:eastAsia="MS Mincho" w:hAnsi="Verdana" w:cs="Arial"/>
          <w:lang w:eastAsia="es-CO"/>
        </w:rPr>
      </w:pPr>
      <w:bookmarkStart w:id="2" w:name="_Hlk78820654"/>
      <w:r w:rsidRPr="005B7A49">
        <w:rPr>
          <w:rFonts w:ascii="Verdana" w:eastAsia="Calibri" w:hAnsi="Verdana" w:cs="Arial"/>
          <w:lang w:val="es-ES_tradnl" w:eastAsia="es-ES_tradnl"/>
        </w:rPr>
        <w:t>Es decir, para suscribir</w:t>
      </w:r>
      <w:r>
        <w:rPr>
          <w:rFonts w:ascii="Verdana" w:eastAsia="Calibri" w:hAnsi="Verdana" w:cs="Arial"/>
          <w:lang w:val="es-ES_tradnl" w:eastAsia="es-ES_tradnl"/>
        </w:rPr>
        <w:t xml:space="preserve"> este tipo de contrato</w:t>
      </w:r>
      <w:r w:rsidRPr="005B7A49">
        <w:rPr>
          <w:rFonts w:ascii="Verdana" w:eastAsia="Calibri" w:hAnsi="Verdana" w:cs="Arial"/>
          <w:lang w:val="es-ES_tradnl" w:eastAsia="es-ES_tradnl"/>
        </w:rPr>
        <w:t xml:space="preserve">, en principio, no interesa el objeto del contrato, pudiendo ser de obra pública, de </w:t>
      </w:r>
      <w:r w:rsidRPr="005B7A49">
        <w:rPr>
          <w:rFonts w:ascii="Verdana" w:eastAsia="Calibri" w:hAnsi="Verdana" w:cs="Arial"/>
          <w:i/>
          <w:iCs/>
          <w:lang w:val="es-ES_tradnl" w:eastAsia="es-ES_tradnl"/>
        </w:rPr>
        <w:t>consultoría</w:t>
      </w:r>
      <w:r w:rsidRPr="005B7A49">
        <w:rPr>
          <w:rFonts w:ascii="Verdana" w:eastAsia="Calibri" w:hAnsi="Verdana" w:cs="Arial"/>
          <w:lang w:val="es-ES_tradnl" w:eastAsia="es-ES_tradnl"/>
        </w:rPr>
        <w:t>, de suministro, de prestación de servicios, de arrendamiento, entre otros. Se establece que, en principio, no es relevante el objeto del contrato, porque el artículo 2º, numeral 4º, literal c), en su segundo inciso, establece una excepción a dicha regla, al prohibir que determinados contratos interadministrativos se celebren con ciertas entidades si no se ha adelantado antes el correspondiente proceso de licitación pública o selección abreviada. E</w:t>
      </w:r>
      <w:r>
        <w:rPr>
          <w:rFonts w:ascii="Verdana" w:eastAsia="Calibri" w:hAnsi="Verdana" w:cs="Arial"/>
          <w:lang w:val="es-ES_tradnl" w:eastAsia="es-ES_tradnl"/>
        </w:rPr>
        <w:t>stos objetos, se recuerda, son “</w:t>
      </w:r>
      <w:r w:rsidRPr="005B7A49">
        <w:rPr>
          <w:rFonts w:ascii="Verdana" w:eastAsia="Calibri" w:hAnsi="Verdana" w:cs="Arial"/>
          <w:lang w:val="es-ES_tradnl" w:eastAsia="es-ES_tradnl"/>
        </w:rPr>
        <w:t>los contratos de obra, suministro, prestación de servicios de evaluación de conformidad respecto de las normas o reglamentos técnicos, encargo</w:t>
      </w:r>
      <w:r>
        <w:rPr>
          <w:rFonts w:ascii="Verdana" w:eastAsia="Calibri" w:hAnsi="Verdana" w:cs="Arial"/>
          <w:lang w:val="es-ES_tradnl" w:eastAsia="es-ES_tradnl"/>
        </w:rPr>
        <w:t>s fiduciarios y fiducia pública”</w:t>
      </w:r>
      <w:r>
        <w:rPr>
          <w:rStyle w:val="Refdenotaalpie"/>
          <w:rFonts w:ascii="Verdana" w:eastAsia="Calibri" w:hAnsi="Verdana" w:cs="Arial"/>
          <w:lang w:val="es-ES_tradnl" w:eastAsia="es-ES_tradnl"/>
        </w:rPr>
        <w:footnoteReference w:id="12"/>
      </w:r>
      <w:r w:rsidRPr="005B7A49">
        <w:rPr>
          <w:rFonts w:ascii="Verdana" w:eastAsia="Calibri" w:hAnsi="Verdana" w:cs="Arial"/>
          <w:lang w:val="es-ES_tradnl" w:eastAsia="es-ES_tradnl"/>
        </w:rPr>
        <w:t xml:space="preserve">. De este modo, podrán adelantarse mediante </w:t>
      </w:r>
      <w:r w:rsidRPr="00400B1B">
        <w:rPr>
          <w:rFonts w:ascii="Verdana" w:eastAsia="Calibri" w:hAnsi="Verdana" w:cs="Arial"/>
          <w:lang w:val="es-ES_tradnl" w:eastAsia="es-ES_tradnl"/>
        </w:rPr>
        <w:lastRenderedPageBreak/>
        <w:t>contratos interadministrativos, pues no se encuentra</w:t>
      </w:r>
      <w:r w:rsidRPr="005B7A49">
        <w:rPr>
          <w:rFonts w:ascii="Verdana" w:eastAsia="Calibri" w:hAnsi="Verdana" w:cs="Arial"/>
          <w:lang w:val="es-ES_tradnl" w:eastAsia="es-ES_tradnl"/>
        </w:rPr>
        <w:t xml:space="preserve"> dentro de la restricción del artículo 2º, numeral 4º, literal c), en el segundo inciso de la Ley 1150 de 2007. </w:t>
      </w:r>
    </w:p>
    <w:p w14:paraId="32E5E5F0" w14:textId="77777777" w:rsidR="00661D26" w:rsidRPr="00D052C0" w:rsidRDefault="00661D26" w:rsidP="00661D26">
      <w:pPr>
        <w:spacing w:before="120" w:after="0" w:line="276" w:lineRule="auto"/>
        <w:ind w:firstLine="709"/>
        <w:jc w:val="both"/>
        <w:rPr>
          <w:rFonts w:ascii="Verdana" w:eastAsia="Times New Roman" w:hAnsi="Verdana" w:cs="Arial"/>
          <w:lang w:eastAsia="es-ES_tradnl"/>
        </w:rPr>
      </w:pPr>
      <w:r w:rsidRPr="009E105D">
        <w:rPr>
          <w:rFonts w:ascii="Verdana" w:eastAsia="Arial" w:hAnsi="Verdana" w:cs="Arial"/>
          <w:lang w:val="es-ES" w:eastAsia="es-ES" w:bidi="es-ES"/>
        </w:rPr>
        <w:t xml:space="preserve">Si bien están previstos en la Ley 80 de 1993, en la Ley 1150 de 2007 y en el Decreto en el 1082 de 2015, no quiere decir que solo puedan celebrarse entre entidades estatales que apliquen el régimen de contratación allí </w:t>
      </w:r>
      <w:r>
        <w:rPr>
          <w:rFonts w:ascii="Verdana" w:eastAsia="Arial" w:hAnsi="Verdana" w:cs="Arial"/>
          <w:lang w:val="es-ES" w:eastAsia="es-ES" w:bidi="es-ES"/>
        </w:rPr>
        <w:t>regulado</w:t>
      </w:r>
      <w:r w:rsidRPr="009E105D">
        <w:rPr>
          <w:rFonts w:ascii="Verdana" w:eastAsia="Arial" w:hAnsi="Verdana" w:cs="Arial"/>
          <w:lang w:val="es-ES" w:eastAsia="es-ES" w:bidi="es-ES"/>
        </w:rPr>
        <w:t xml:space="preserve">, pues bien puede una entidad estatal sometida a la Ley 80 de 1993 celebrar esta clase de </w:t>
      </w:r>
      <w:r>
        <w:rPr>
          <w:rFonts w:ascii="Verdana" w:eastAsia="Arial" w:hAnsi="Verdana" w:cs="Arial"/>
          <w:lang w:val="es-ES" w:eastAsia="es-ES" w:bidi="es-ES"/>
        </w:rPr>
        <w:t>negocios</w:t>
      </w:r>
      <w:r w:rsidRPr="009E105D">
        <w:rPr>
          <w:rFonts w:ascii="Verdana" w:eastAsia="Arial" w:hAnsi="Verdana" w:cs="Arial"/>
          <w:lang w:val="es-ES" w:eastAsia="es-ES" w:bidi="es-ES"/>
        </w:rPr>
        <w:t xml:space="preserve"> con una entidad estatal de régimen especial y no por ello dejará de ser </w:t>
      </w:r>
      <w:r>
        <w:rPr>
          <w:rFonts w:ascii="Verdana" w:eastAsia="Arial" w:hAnsi="Verdana" w:cs="Arial"/>
          <w:lang w:val="es-ES" w:eastAsia="es-ES" w:bidi="es-ES"/>
        </w:rPr>
        <w:t>tal</w:t>
      </w:r>
      <w:r w:rsidRPr="009E105D">
        <w:rPr>
          <w:rFonts w:ascii="Verdana" w:eastAsia="Arial" w:hAnsi="Verdana" w:cs="Arial"/>
          <w:lang w:val="es-ES" w:eastAsia="es-ES" w:bidi="es-ES"/>
        </w:rPr>
        <w:t>. De esta manera, sin perjuicio de lo dispuesto en el artículo 56 de la Ley 2195 de 2022, el literal c) del artículo 2.4 de la Ley 1150 de 2007 dispone que “</w:t>
      </w:r>
      <w:r w:rsidRPr="009E105D">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38B2FDC2" w14:textId="77777777" w:rsidR="00661D26" w:rsidRPr="002618A0" w:rsidRDefault="00661D26" w:rsidP="00661D26">
      <w:pPr>
        <w:widowControl w:val="0"/>
        <w:autoSpaceDE w:val="0"/>
        <w:autoSpaceDN w:val="0"/>
        <w:spacing w:before="119" w:after="120" w:line="276" w:lineRule="auto"/>
        <w:ind w:firstLine="709"/>
        <w:jc w:val="both"/>
        <w:rPr>
          <w:rFonts w:ascii="Verdana" w:eastAsia="Arial" w:hAnsi="Verdana" w:cs="Arial"/>
          <w:lang w:val="es-ES" w:eastAsia="es-ES" w:bidi="es-ES"/>
        </w:rPr>
      </w:pPr>
      <w:bookmarkStart w:id="3" w:name="_Hlk99578261"/>
      <w:r w:rsidRPr="009E105D">
        <w:rPr>
          <w:rFonts w:ascii="Verdana" w:eastAsia="Arial" w:hAnsi="Verdana" w:cs="Arial"/>
          <w:lang w:val="es-ES" w:eastAsia="es-ES" w:bidi="es-ES"/>
        </w:rPr>
        <w:t>Un contrato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Pr>
          <w:rStyle w:val="Refdenotaalpie"/>
          <w:rFonts w:ascii="Verdana" w:eastAsia="Arial" w:hAnsi="Verdana" w:cs="Arial"/>
          <w:lang w:val="es-ES" w:eastAsia="es-ES" w:bidi="es-ES"/>
        </w:rPr>
        <w:footnoteReference w:id="13"/>
      </w:r>
      <w:r w:rsidRPr="009E105D">
        <w:rPr>
          <w:rFonts w:ascii="Verdana" w:eastAsia="Arial" w:hAnsi="Verdana" w:cs="Arial"/>
          <w:lang w:val="es-ES" w:eastAsia="es-ES" w:bidi="es-ES"/>
        </w:rPr>
        <w:t>. Nótese que, en este caso, lo que cambia es la modalidad de selección y no la naturaleza de contrato</w:t>
      </w:r>
      <w:r w:rsidRPr="009E105D">
        <w:rPr>
          <w:rFonts w:ascii="Verdana" w:eastAsia="Arial" w:hAnsi="Verdana" w:cs="Arial"/>
          <w:spacing w:val="-18"/>
          <w:lang w:val="es-ES" w:eastAsia="es-ES" w:bidi="es-ES"/>
        </w:rPr>
        <w:t xml:space="preserve"> </w:t>
      </w:r>
      <w:r w:rsidRPr="009E105D">
        <w:rPr>
          <w:rFonts w:ascii="Verdana" w:eastAsia="Arial" w:hAnsi="Verdana" w:cs="Arial"/>
          <w:lang w:val="es-ES" w:eastAsia="es-ES" w:bidi="es-ES"/>
        </w:rPr>
        <w:t>interadministrativo.</w:t>
      </w:r>
      <w:r>
        <w:rPr>
          <w:rFonts w:ascii="Verdana" w:eastAsia="Arial" w:hAnsi="Verdana" w:cs="Arial"/>
          <w:lang w:val="es-ES" w:eastAsia="es-ES" w:bidi="es-ES"/>
        </w:rPr>
        <w:t xml:space="preserve"> </w:t>
      </w:r>
      <w:bookmarkEnd w:id="2"/>
      <w:bookmarkEnd w:id="3"/>
    </w:p>
    <w:p w14:paraId="45BDBF96" w14:textId="77777777" w:rsidR="00661D26" w:rsidRDefault="00661D26" w:rsidP="00661D26">
      <w:pPr>
        <w:spacing w:after="120" w:line="276" w:lineRule="auto"/>
        <w:ind w:right="79" w:firstLine="743"/>
        <w:jc w:val="both"/>
        <w:rPr>
          <w:rFonts w:ascii="Verdana" w:eastAsia="Arial" w:hAnsi="Verdana" w:cs="Arial"/>
          <w:bCs/>
        </w:rPr>
      </w:pPr>
      <w:r w:rsidRPr="00C97DA4">
        <w:rPr>
          <w:rFonts w:ascii="Verdana" w:eastAsia="Arial" w:hAnsi="Verdana" w:cs="Arial"/>
          <w:bCs/>
        </w:rPr>
        <w:lastRenderedPageBreak/>
        <w:t xml:space="preserve">La ausencia de un objeto contractual específico asociado a estos procedimientos —pues su configuración depende primordialmente de la cuantía y no de la naturaleza intrínseca de la prestación— implica que no existe impedimento jurídico para emplear las modalidades de selección previamente expuestas en la celebración de contratos de operación logística. En efecto, al tratarse de procesos cuyo parámetro definitorio es el monto y no un tipo contractual predeterminado, la entidad conserva la facultad de escoger la modalidad procedente dentro del marco normativo aplicable, siempre que se respeten los principios de transparencia, economía y selección objetiva. Bajo esta lógica, la operación logística puede tramitarse válidamente </w:t>
      </w:r>
      <w:r>
        <w:rPr>
          <w:rFonts w:ascii="Verdana" w:eastAsia="Arial" w:hAnsi="Verdana" w:cs="Arial"/>
          <w:bCs/>
        </w:rPr>
        <w:t xml:space="preserve">mediante </w:t>
      </w:r>
      <w:r w:rsidRPr="00C97DA4">
        <w:rPr>
          <w:rFonts w:ascii="Verdana" w:eastAsia="Arial" w:hAnsi="Verdana" w:cs="Arial"/>
          <w:bCs/>
        </w:rPr>
        <w:t>dichas modalidades, en la medida en que su ejecución se adecúe a los requisitos habilitantes, etapas y reglas propias del procedimiento de selección elegido.</w:t>
      </w:r>
      <w:r>
        <w:rPr>
          <w:rFonts w:ascii="Verdana" w:eastAsia="Arial" w:hAnsi="Verdana" w:cs="Arial"/>
          <w:bCs/>
        </w:rPr>
        <w:t xml:space="preserve"> </w:t>
      </w:r>
    </w:p>
    <w:p w14:paraId="1B6BBB9B" w14:textId="77777777" w:rsidR="00661D26" w:rsidRPr="00341F49" w:rsidRDefault="00661D26" w:rsidP="00661D26">
      <w:pPr>
        <w:spacing w:after="0" w:line="276" w:lineRule="auto"/>
        <w:ind w:right="79" w:firstLine="743"/>
        <w:jc w:val="both"/>
        <w:rPr>
          <w:rFonts w:ascii="Verdana" w:eastAsia="Arial" w:hAnsi="Verdana" w:cs="Arial"/>
          <w:bCs/>
        </w:rPr>
      </w:pPr>
      <w:r>
        <w:rPr>
          <w:rFonts w:ascii="Verdana" w:eastAsia="Arial" w:hAnsi="Verdana" w:cs="Arial"/>
          <w:bCs/>
        </w:rPr>
        <w:t>Ahora bien, en relación con la modalidad de contratación directa, es pertinente señalar que conforme</w:t>
      </w:r>
      <w:r w:rsidRPr="00FC6761">
        <w:rPr>
          <w:rFonts w:ascii="Verdana" w:eastAsia="Arial" w:hAnsi="Verdana" w:cs="Arial"/>
          <w:bCs/>
          <w:lang w:val="es-MX"/>
        </w:rPr>
        <w:t xml:space="preserve"> lo dispone el artículo 2, numeral 4º, literal h), de la Ley 1150 de 2007, la prestación de servicios profesionales y de apoyo a la </w:t>
      </w:r>
      <w:r w:rsidRPr="00A940B1">
        <w:rPr>
          <w:rFonts w:ascii="Verdana" w:eastAsia="Arial" w:hAnsi="Verdana" w:cs="Arial"/>
          <w:bCs/>
          <w:lang w:val="es-MX"/>
        </w:rPr>
        <w:t>gestión o la ejecución de trabajos artísticos que solo puedan encomendarse a determinadas personas naturales</w:t>
      </w:r>
      <w:r>
        <w:rPr>
          <w:rFonts w:ascii="Verdana" w:eastAsia="Arial" w:hAnsi="Verdana" w:cs="Arial"/>
          <w:bCs/>
          <w:lang w:val="es-MX"/>
        </w:rPr>
        <w:t xml:space="preserve"> se efectúa mediante esta modalidad de selección</w:t>
      </w:r>
      <w:r w:rsidRPr="00A940B1">
        <w:rPr>
          <w:rFonts w:ascii="Verdana" w:eastAsia="Arial" w:hAnsi="Verdana" w:cs="Arial"/>
          <w:bCs/>
          <w:lang w:val="es-MX"/>
        </w:rPr>
        <w:t xml:space="preserve">. El </w:t>
      </w:r>
      <w:r>
        <w:rPr>
          <w:rFonts w:ascii="Verdana" w:eastAsia="Arial" w:hAnsi="Verdana" w:cs="Arial"/>
          <w:bCs/>
          <w:lang w:val="es-MX"/>
        </w:rPr>
        <w:t xml:space="preserve">artículo </w:t>
      </w:r>
      <w:r w:rsidRPr="00A940B1">
        <w:rPr>
          <w:rFonts w:ascii="Verdana" w:eastAsia="Arial" w:hAnsi="Verdana" w:cs="Arial"/>
          <w:bCs/>
          <w:lang w:val="es-MX"/>
        </w:rPr>
        <w:t xml:space="preserve">2.2.1.2.1.4.9 del Decreto 1082 de 2015 regula esta causal y </w:t>
      </w:r>
      <w:r w:rsidRPr="00A940B1">
        <w:rPr>
          <w:rFonts w:ascii="Verdana" w:hAnsi="Verdana" w:cs="Arial"/>
          <w:color w:val="000000" w:themeColor="text1"/>
        </w:rPr>
        <w:t xml:space="preserve">desarrolla los conceptos de prestación de servicios profesionales y de apoyo a la gestión. Esta norma </w:t>
      </w:r>
      <w:r>
        <w:rPr>
          <w:rFonts w:ascii="Verdana" w:hAnsi="Verdana" w:cs="Arial"/>
          <w:color w:val="000000" w:themeColor="text1"/>
        </w:rPr>
        <w:t>prescribe</w:t>
      </w:r>
      <w:r w:rsidRPr="00A940B1">
        <w:rPr>
          <w:rFonts w:ascii="Verdana" w:hAnsi="Verdana" w:cs="Arial"/>
          <w:color w:val="000000" w:themeColor="text1"/>
        </w:rPr>
        <w:t>:</w:t>
      </w:r>
    </w:p>
    <w:p w14:paraId="0F08E22F" w14:textId="77777777" w:rsidR="00661D26" w:rsidRPr="00A940B1" w:rsidRDefault="00661D26" w:rsidP="00661D26">
      <w:pPr>
        <w:tabs>
          <w:tab w:val="left" w:pos="0"/>
        </w:tabs>
        <w:spacing w:after="0" w:line="276" w:lineRule="auto"/>
        <w:ind w:firstLine="709"/>
        <w:jc w:val="both"/>
        <w:rPr>
          <w:rFonts w:ascii="Verdana" w:hAnsi="Verdana" w:cs="Arial"/>
          <w:color w:val="000000" w:themeColor="text1"/>
        </w:rPr>
      </w:pPr>
      <w:r w:rsidRPr="00A940B1">
        <w:rPr>
          <w:rFonts w:ascii="Verdana" w:hAnsi="Verdana" w:cs="Arial"/>
          <w:color w:val="000000" w:themeColor="text1"/>
        </w:rPr>
        <w:t xml:space="preserve"> </w:t>
      </w:r>
    </w:p>
    <w:p w14:paraId="62D9D361" w14:textId="77777777" w:rsidR="00661D26" w:rsidRDefault="00661D26" w:rsidP="00661D26">
      <w:pPr>
        <w:spacing w:after="0"/>
        <w:ind w:left="709" w:right="709"/>
        <w:jc w:val="both"/>
        <w:rPr>
          <w:rFonts w:ascii="Verdana" w:hAnsi="Verdana" w:cs="Arial"/>
          <w:color w:val="000000" w:themeColor="text1"/>
          <w:sz w:val="20"/>
          <w:szCs w:val="20"/>
        </w:rPr>
      </w:pPr>
      <w:r w:rsidRPr="00B11281">
        <w:rPr>
          <w:rFonts w:ascii="Verdana" w:hAnsi="Verdana" w:cs="Arial"/>
          <w:color w:val="000000" w:themeColor="text1"/>
          <w:sz w:val="20"/>
          <w:szCs w:val="20"/>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98F13D1" w14:textId="77777777" w:rsidR="00661D26" w:rsidRPr="00B11281" w:rsidRDefault="00661D26" w:rsidP="00661D26">
      <w:pPr>
        <w:spacing w:after="0"/>
        <w:ind w:left="709" w:right="709"/>
        <w:jc w:val="both"/>
        <w:rPr>
          <w:rFonts w:ascii="Verdana" w:hAnsi="Verdana" w:cs="Arial"/>
          <w:color w:val="000000" w:themeColor="text1"/>
          <w:sz w:val="20"/>
          <w:szCs w:val="20"/>
        </w:rPr>
      </w:pPr>
    </w:p>
    <w:p w14:paraId="60F82220" w14:textId="77777777" w:rsidR="00661D26" w:rsidRDefault="00661D26" w:rsidP="00661D26">
      <w:pPr>
        <w:spacing w:after="0"/>
        <w:ind w:left="709" w:right="709"/>
        <w:jc w:val="both"/>
        <w:rPr>
          <w:rFonts w:ascii="Verdana" w:hAnsi="Verdana" w:cs="Arial"/>
          <w:i/>
          <w:iCs/>
          <w:color w:val="000000" w:themeColor="text1"/>
          <w:sz w:val="20"/>
          <w:szCs w:val="20"/>
        </w:rPr>
      </w:pPr>
      <w:r w:rsidRPr="00B11281">
        <w:rPr>
          <w:rFonts w:ascii="Verdana" w:hAnsi="Verdana" w:cs="Arial"/>
          <w:color w:val="000000" w:themeColor="text1"/>
          <w:sz w:val="20"/>
          <w:szCs w:val="20"/>
        </w:rPr>
        <w:t xml:space="preserve">Los servicios profesionales y de apoyo a la gestión corresponden a aquellos de naturaleza intelectual diferentes a los de consultoría que se derivan del cumplimiento de las funciones de la Entidad Estatal, </w:t>
      </w:r>
      <w:r w:rsidRPr="00B11281">
        <w:rPr>
          <w:rFonts w:ascii="Verdana" w:hAnsi="Verdana" w:cs="Arial"/>
          <w:i/>
          <w:iCs/>
          <w:color w:val="000000" w:themeColor="text1"/>
          <w:sz w:val="20"/>
          <w:szCs w:val="20"/>
        </w:rPr>
        <w:t>así como los relacionados con actividades operativas, logísticas, o asistenciales.</w:t>
      </w:r>
    </w:p>
    <w:p w14:paraId="2A42005D" w14:textId="77777777" w:rsidR="00661D26" w:rsidRPr="00B11281" w:rsidRDefault="00661D26" w:rsidP="00661D26">
      <w:pPr>
        <w:spacing w:after="0"/>
        <w:ind w:left="709" w:right="709"/>
        <w:jc w:val="both"/>
        <w:rPr>
          <w:rFonts w:ascii="Verdana" w:hAnsi="Verdana" w:cs="Arial"/>
          <w:i/>
          <w:iCs/>
          <w:color w:val="000000" w:themeColor="text1"/>
          <w:sz w:val="20"/>
          <w:szCs w:val="20"/>
        </w:rPr>
      </w:pPr>
    </w:p>
    <w:p w14:paraId="4114C85A" w14:textId="77777777" w:rsidR="00661D26" w:rsidRDefault="00661D26" w:rsidP="00661D26">
      <w:pPr>
        <w:spacing w:after="0"/>
        <w:ind w:left="709" w:right="709"/>
        <w:jc w:val="both"/>
        <w:rPr>
          <w:rFonts w:ascii="Verdana" w:hAnsi="Verdana" w:cs="Arial"/>
          <w:color w:val="000000" w:themeColor="text1"/>
          <w:sz w:val="20"/>
          <w:szCs w:val="20"/>
        </w:rPr>
      </w:pPr>
      <w:r w:rsidRPr="00B11281">
        <w:rPr>
          <w:rFonts w:ascii="Verdana" w:hAnsi="Verdana" w:cs="Arial"/>
          <w:color w:val="000000" w:themeColor="text1"/>
          <w:sz w:val="20"/>
          <w:szCs w:val="20"/>
        </w:rPr>
        <w:t>La Entidad Estatal, para la contratación de trabajos artísticos que solamente puedan en</w:t>
      </w:r>
      <w:r w:rsidRPr="00B11281">
        <w:rPr>
          <w:rFonts w:ascii="Verdana" w:hAnsi="Verdana" w:cs="Arial"/>
          <w:color w:val="000000" w:themeColor="text1"/>
          <w:sz w:val="20"/>
          <w:szCs w:val="20"/>
        </w:rPr>
        <w:softHyphen/>
        <w:t xml:space="preserve">comendarse a determinadas personas naturales, </w:t>
      </w:r>
      <w:r w:rsidRPr="00B11281">
        <w:rPr>
          <w:rFonts w:ascii="Verdana" w:hAnsi="Verdana" w:cs="Arial"/>
          <w:color w:val="000000" w:themeColor="text1"/>
          <w:sz w:val="20"/>
          <w:szCs w:val="20"/>
        </w:rPr>
        <w:lastRenderedPageBreak/>
        <w:t>debe justificar esta situación en los estudios y documentos previos”. (Énfasis por fuera de texto)</w:t>
      </w:r>
    </w:p>
    <w:p w14:paraId="5556F2FF" w14:textId="77777777" w:rsidR="00661D26" w:rsidRPr="00B11281" w:rsidRDefault="00661D26" w:rsidP="00661D26">
      <w:pPr>
        <w:spacing w:after="0"/>
        <w:ind w:left="709" w:right="709"/>
        <w:jc w:val="both"/>
        <w:rPr>
          <w:rFonts w:ascii="Verdana" w:hAnsi="Verdana" w:cs="Arial"/>
          <w:color w:val="000000" w:themeColor="text1"/>
          <w:sz w:val="20"/>
          <w:szCs w:val="20"/>
        </w:rPr>
      </w:pPr>
    </w:p>
    <w:p w14:paraId="03B4F35D" w14:textId="77777777" w:rsidR="00661D26" w:rsidRDefault="00661D26" w:rsidP="00661D26">
      <w:pPr>
        <w:spacing w:after="120" w:line="276" w:lineRule="auto"/>
        <w:ind w:right="79" w:firstLine="743"/>
        <w:jc w:val="both"/>
        <w:rPr>
          <w:rFonts w:ascii="Verdana" w:eastAsia="Arial" w:hAnsi="Verdana" w:cs="Arial"/>
          <w:bCs/>
        </w:rPr>
      </w:pPr>
      <w:r>
        <w:rPr>
          <w:rFonts w:ascii="Verdana" w:eastAsia="Arial" w:hAnsi="Verdana" w:cs="Arial"/>
          <w:bCs/>
        </w:rPr>
        <w:t>En este sentido, es importante precisar que c</w:t>
      </w:r>
      <w:r w:rsidRPr="00500958">
        <w:rPr>
          <w:rFonts w:ascii="Verdana" w:eastAsia="Arial" w:hAnsi="Verdana" w:cs="Arial"/>
          <w:bCs/>
        </w:rPr>
        <w:t xml:space="preserve">omo especies del género prestación de servicios, la jurisprudencia se ha encargado de definir los contratos de prestación de servicios profesionales y los de apoyo a la gestión. El primero, denominado contrato propiamente dicho de prestación de servicios profesionales se caracteriza por desarrollar actividades identificables e intangibles que demandan competencias y habilidades profesionales y especializadas, tendientes a satisfacer las necesidades relacionadas con la gestión administrativa o funcionamiento de la entidad. Por su parte, el contrato de prestación de servicios de simple apoyo a la gestión es aquel tendiente a desarrollar actividades en las cuales no se requiere personal profesional. Se involucra un saber técnico e implica el desempeño de un esfuerzo o actividad de apoyo, acompañamiento o soporte de carácter, entre otros, técnico, operacional, logístico, </w:t>
      </w:r>
      <w:r>
        <w:rPr>
          <w:rFonts w:ascii="Verdana" w:eastAsia="Arial" w:hAnsi="Verdana" w:cs="Arial"/>
          <w:bCs/>
        </w:rPr>
        <w:t>entre otros</w:t>
      </w:r>
      <w:r w:rsidRPr="00500958">
        <w:rPr>
          <w:rFonts w:ascii="Verdana" w:eastAsia="Arial" w:hAnsi="Verdana" w:cs="Arial"/>
          <w:bCs/>
        </w:rPr>
        <w:t>.</w:t>
      </w:r>
    </w:p>
    <w:p w14:paraId="4FE8D847" w14:textId="77777777" w:rsidR="00661D26" w:rsidRDefault="00661D26" w:rsidP="00661D26">
      <w:pPr>
        <w:spacing w:after="0" w:line="276" w:lineRule="auto"/>
        <w:ind w:right="79" w:firstLine="743"/>
        <w:jc w:val="both"/>
        <w:rPr>
          <w:rFonts w:ascii="Verdana" w:eastAsia="Arial" w:hAnsi="Verdana" w:cs="Arial"/>
          <w:bCs/>
          <w:lang w:val="es-MX"/>
        </w:rPr>
      </w:pPr>
      <w:r w:rsidRPr="00500958">
        <w:rPr>
          <w:rFonts w:ascii="Verdana" w:eastAsia="Arial" w:hAnsi="Verdana" w:cs="Arial"/>
          <w:bCs/>
          <w:lang w:val="es-MX"/>
        </w:rPr>
        <w:t>Dentro del objeto contractual de los contratos de prestación de servicios profesionales y de los de simple apoyo a la gestión, pueden tener lugar las actividades operativas, logísticas o asistenciales, siempre que en cada caso se cumplan los requisitos del tipo de contrato y exista correspondencia con las necesidades de la administración y el principio de planeación. De cualquier forma, si se desarrollan estas actividades en el contexto de las especies de contratos de prestación de servicios ya citadas, debe tenerse en cuenta que el objeto siempre debe estar relacionado con la necesidad de satisfacer la gestión administrativa o funcionamiento de la entidad, para suplir las falencias de esta.</w:t>
      </w:r>
      <w:r>
        <w:rPr>
          <w:rFonts w:ascii="Verdana" w:eastAsia="Arial" w:hAnsi="Verdana" w:cs="Arial"/>
          <w:bCs/>
          <w:lang w:val="es-MX"/>
        </w:rPr>
        <w:t xml:space="preserve"> Al respecto, la Sentencia de Unificación del Consejo de Estado del 2 de diciembre de 2013 expresó:</w:t>
      </w:r>
    </w:p>
    <w:p w14:paraId="32BDFD0D" w14:textId="77777777" w:rsidR="00661D26" w:rsidRDefault="00661D26" w:rsidP="00661D26">
      <w:pPr>
        <w:spacing w:after="0" w:line="276" w:lineRule="auto"/>
        <w:ind w:right="79" w:firstLine="743"/>
        <w:jc w:val="both"/>
        <w:rPr>
          <w:rFonts w:ascii="Verdana" w:eastAsia="Arial" w:hAnsi="Verdana" w:cs="Arial"/>
          <w:bCs/>
          <w:lang w:val="es-MX"/>
        </w:rPr>
      </w:pPr>
    </w:p>
    <w:p w14:paraId="3DA1ACB8" w14:textId="378D76BB" w:rsidR="00661D26" w:rsidRDefault="00661D26" w:rsidP="00661D26">
      <w:pPr>
        <w:spacing w:after="0" w:line="240" w:lineRule="auto"/>
        <w:ind w:left="709" w:right="709"/>
        <w:jc w:val="both"/>
        <w:rPr>
          <w:rFonts w:ascii="Verdana" w:eastAsia="Arial" w:hAnsi="Verdana" w:cs="Arial"/>
          <w:bCs/>
          <w:sz w:val="20"/>
          <w:szCs w:val="20"/>
        </w:rPr>
      </w:pPr>
      <w:r w:rsidRPr="00B731C7">
        <w:rPr>
          <w:rFonts w:ascii="Verdana" w:eastAsia="Arial" w:hAnsi="Verdana" w:cs="Arial"/>
          <w:bCs/>
          <w:sz w:val="20"/>
          <w:szCs w:val="20"/>
        </w:rPr>
        <w:t>En este sentido, el aparte demandado al incluir los términos “así como los relacionados con actividades operativas, logísticas o asistenciales” no constituye más que una mera ejemplificación eminentemente enunciativa del tipo de actividades que pueden ser acometidas por vía de este categoría, advirtiendo que además de éstas allí se encuentran inmersas todas las demás que satisfagan este mismo referente material y que sean necesarias para que la administración pública pueda satisfacer sus cometidos constitucionales y legales, siempre que guarden relación con la administración y funcionamiento de la entidad estatal, conforme a la preceptiva del numeral 3° del artículo 32 de la Ley 80 de 1993.</w:t>
      </w:r>
    </w:p>
    <w:p w14:paraId="7E6BF63E" w14:textId="77777777" w:rsidR="00661D26" w:rsidRPr="00B731C7" w:rsidRDefault="00661D26" w:rsidP="00661D26">
      <w:pPr>
        <w:spacing w:after="0" w:line="240" w:lineRule="auto"/>
        <w:ind w:left="709" w:right="709"/>
        <w:jc w:val="both"/>
        <w:rPr>
          <w:rFonts w:ascii="Verdana" w:eastAsia="Arial" w:hAnsi="Verdana" w:cs="Arial"/>
          <w:bCs/>
          <w:sz w:val="20"/>
          <w:szCs w:val="20"/>
          <w:lang w:val="es-MX"/>
        </w:rPr>
      </w:pPr>
    </w:p>
    <w:p w14:paraId="0ED29BD7" w14:textId="77777777" w:rsidR="00661D26" w:rsidRDefault="00661D26" w:rsidP="00661D26">
      <w:pPr>
        <w:spacing w:after="0" w:line="276" w:lineRule="auto"/>
        <w:ind w:right="79" w:firstLine="743"/>
        <w:jc w:val="both"/>
        <w:rPr>
          <w:rFonts w:ascii="Verdana" w:eastAsia="Arial" w:hAnsi="Verdana" w:cs="Arial"/>
          <w:bCs/>
          <w:lang w:val="es-MX"/>
        </w:rPr>
      </w:pPr>
      <w:r>
        <w:rPr>
          <w:rFonts w:ascii="Verdana" w:eastAsia="Arial" w:hAnsi="Verdana" w:cs="Arial"/>
          <w:bCs/>
          <w:lang w:val="es-MX"/>
        </w:rPr>
        <w:t>De esta manera,</w:t>
      </w:r>
      <w:r w:rsidRPr="00500958">
        <w:rPr>
          <w:rFonts w:ascii="Verdana" w:eastAsia="Arial" w:hAnsi="Verdana" w:cs="Arial"/>
          <w:bCs/>
          <w:lang w:val="es-MX"/>
        </w:rPr>
        <w:t xml:space="preserve"> </w:t>
      </w:r>
      <w:r>
        <w:rPr>
          <w:rFonts w:ascii="Verdana" w:eastAsia="Arial" w:hAnsi="Verdana" w:cs="Arial"/>
          <w:bCs/>
          <w:lang w:val="es-MX"/>
        </w:rPr>
        <w:t xml:space="preserve">si bien </w:t>
      </w:r>
      <w:r w:rsidRPr="00500958">
        <w:rPr>
          <w:rFonts w:ascii="Verdana" w:eastAsia="Arial" w:hAnsi="Verdana" w:cs="Arial"/>
          <w:bCs/>
          <w:lang w:val="es-MX"/>
        </w:rPr>
        <w:t>las actividades operativas, logísticas o asistenciales de las que trata el artículo 2.2.1.2.1.4.9 del Decreto 1082 de 2015</w:t>
      </w:r>
      <w:r>
        <w:rPr>
          <w:rFonts w:ascii="Verdana" w:eastAsia="Arial" w:hAnsi="Verdana" w:cs="Arial"/>
          <w:bCs/>
          <w:lang w:val="es-MX"/>
        </w:rPr>
        <w:t xml:space="preserve"> pueden contratarse por la vía de </w:t>
      </w:r>
      <w:r w:rsidRPr="00500958">
        <w:rPr>
          <w:rFonts w:ascii="Verdana" w:eastAsia="Arial" w:hAnsi="Verdana" w:cs="Arial"/>
          <w:bCs/>
          <w:lang w:val="es-MX"/>
        </w:rPr>
        <w:t>los contratos de prestación de servicios profesionales o de apoyo a la gestió</w:t>
      </w:r>
      <w:r>
        <w:rPr>
          <w:rFonts w:ascii="Verdana" w:eastAsia="Arial" w:hAnsi="Verdana" w:cs="Arial"/>
          <w:bCs/>
          <w:lang w:val="es-MX"/>
        </w:rPr>
        <w:t>n, esta no es una causal exclusiva para las actividades de logística. Además, s</w:t>
      </w:r>
      <w:r w:rsidRPr="00731224">
        <w:rPr>
          <w:rFonts w:ascii="Verdana" w:eastAsia="Arial" w:hAnsi="Verdana" w:cs="Arial"/>
          <w:bCs/>
          <w:lang w:val="es-MX"/>
        </w:rPr>
        <w:t>e hace énfasis en que estas actividades, en el marco de los contratos de prestación de servicios, serán destinadas al apoyo, acompañamiento y soporte relacionadas con la administración o funcionamiento de la entidad, es decir, que hagan parte de su giro ordinario o quehacer cotidiano.</w:t>
      </w:r>
      <w:r>
        <w:rPr>
          <w:rFonts w:ascii="Verdana" w:eastAsia="Arial" w:hAnsi="Verdana" w:cs="Arial"/>
          <w:bCs/>
          <w:lang w:val="es-MX"/>
        </w:rPr>
        <w:t xml:space="preserve"> De este modo, c</w:t>
      </w:r>
      <w:r w:rsidRPr="006E0B61">
        <w:rPr>
          <w:rFonts w:ascii="Verdana" w:eastAsia="Arial" w:hAnsi="Verdana" w:cs="Arial"/>
          <w:bCs/>
          <w:lang w:val="es-MX"/>
        </w:rPr>
        <w:t>orresponde a cada entidad estatal determinar</w:t>
      </w:r>
      <w:r>
        <w:rPr>
          <w:rFonts w:ascii="Verdana" w:eastAsia="Arial" w:hAnsi="Verdana" w:cs="Arial"/>
          <w:bCs/>
          <w:lang w:val="es-MX"/>
        </w:rPr>
        <w:t xml:space="preserve"> si</w:t>
      </w:r>
      <w:r w:rsidRPr="006E0B61">
        <w:rPr>
          <w:rFonts w:ascii="Verdana" w:eastAsia="Arial" w:hAnsi="Verdana" w:cs="Arial"/>
          <w:bCs/>
          <w:lang w:val="es-MX"/>
        </w:rPr>
        <w:t xml:space="preserve"> </w:t>
      </w:r>
      <w:r>
        <w:rPr>
          <w:rFonts w:ascii="Verdana" w:eastAsia="Arial" w:hAnsi="Verdana" w:cs="Arial"/>
          <w:bCs/>
          <w:lang w:val="es-MX"/>
        </w:rPr>
        <w:t xml:space="preserve">las </w:t>
      </w:r>
      <w:r w:rsidRPr="006E0B61">
        <w:rPr>
          <w:rFonts w:ascii="Verdana" w:eastAsia="Arial" w:hAnsi="Verdana" w:cs="Arial"/>
          <w:bCs/>
          <w:lang w:val="es-MX"/>
        </w:rPr>
        <w:t>actividades</w:t>
      </w:r>
      <w:r>
        <w:rPr>
          <w:rFonts w:ascii="Verdana" w:eastAsia="Arial" w:hAnsi="Verdana" w:cs="Arial"/>
          <w:bCs/>
          <w:lang w:val="es-MX"/>
        </w:rPr>
        <w:t xml:space="preserve"> a contratar se enmarcan en esta causal de contratación, </w:t>
      </w:r>
      <w:r w:rsidRPr="006E0B61">
        <w:rPr>
          <w:rFonts w:ascii="Verdana" w:eastAsia="Arial" w:hAnsi="Verdana" w:cs="Arial"/>
          <w:bCs/>
          <w:lang w:val="es-MX"/>
        </w:rPr>
        <w:t xml:space="preserve">de acuerdo con sus necesidades, el objeto contractual particular, las obligaciones a desarrollar, las normas del sistema de compras públicas y el marco jurisprudencial desarrollado en torno a los contratos de prestación de servicios. </w:t>
      </w:r>
    </w:p>
    <w:p w14:paraId="40B14F90" w14:textId="77777777" w:rsidR="00661D26" w:rsidRPr="007647AA" w:rsidRDefault="00661D26" w:rsidP="00661D26">
      <w:pPr>
        <w:spacing w:after="0" w:line="276" w:lineRule="auto"/>
        <w:jc w:val="both"/>
        <w:rPr>
          <w:rFonts w:ascii="Verdana" w:eastAsia="Calibri" w:hAnsi="Verdana" w:cs="Arial"/>
          <w:lang w:val="es-ES" w:eastAsia="es-ES_tradnl"/>
        </w:rPr>
      </w:pPr>
    </w:p>
    <w:p w14:paraId="6D461396" w14:textId="77777777" w:rsidR="00661D26" w:rsidRDefault="00661D26" w:rsidP="00661D26">
      <w:pPr>
        <w:spacing w:after="120" w:line="276" w:lineRule="auto"/>
        <w:ind w:right="103"/>
        <w:jc w:val="both"/>
        <w:rPr>
          <w:rFonts w:ascii="Verdana" w:eastAsia="MS Mincho" w:hAnsi="Verdana" w:cs="Arial"/>
          <w:lang w:eastAsia="es-CO"/>
        </w:rPr>
      </w:pPr>
      <w:proofErr w:type="spellStart"/>
      <w:r>
        <w:rPr>
          <w:rFonts w:ascii="Verdana" w:eastAsia="Arial" w:hAnsi="Verdana" w:cs="Arial"/>
          <w:bCs/>
          <w:lang w:val="es-ES"/>
        </w:rPr>
        <w:t>iv</w:t>
      </w:r>
      <w:proofErr w:type="spellEnd"/>
      <w:r>
        <w:rPr>
          <w:rFonts w:ascii="Verdana" w:eastAsia="Arial" w:hAnsi="Verdana" w:cs="Arial"/>
          <w:bCs/>
          <w:lang w:val="es-ES"/>
        </w:rPr>
        <w:t xml:space="preserve">. </w:t>
      </w:r>
      <w:r>
        <w:rPr>
          <w:rFonts w:ascii="Verdana" w:eastAsia="MS Mincho" w:hAnsi="Verdana" w:cs="Arial"/>
          <w:lang w:eastAsia="es-CO"/>
        </w:rPr>
        <w:t xml:space="preserve">La entidad le corresponde </w:t>
      </w:r>
      <w:r w:rsidRPr="00491A5F">
        <w:rPr>
          <w:rFonts w:ascii="Verdana" w:eastAsia="MS Mincho" w:hAnsi="Verdana" w:cs="Arial"/>
          <w:lang w:eastAsia="es-CO"/>
        </w:rPr>
        <w:t>determinar la modalidad mediante la cual contratará las actividades de operación logística durante la vigencia fiscal, decisión que debe adoptarse a partir de un análisis integral de la necesidad a satisfacer, la conveniencia o inconveniencia del objeto contractual, los costos asociados a su celebración y ejecución, los requisitos habilitantes y criterios de evaluación aplicables, así como la disponibilidad presupuestal y la capacidad financiera para asumir las obligaciones derivadas del contrato</w:t>
      </w:r>
      <w:r>
        <w:rPr>
          <w:rFonts w:ascii="Verdana" w:eastAsia="MS Mincho" w:hAnsi="Verdana" w:cs="Arial"/>
          <w:lang w:eastAsia="es-CO"/>
        </w:rPr>
        <w:t xml:space="preserve">. </w:t>
      </w:r>
      <w:r w:rsidRPr="003501F2">
        <w:rPr>
          <w:rFonts w:ascii="Verdana" w:eastAsia="MS Mincho" w:hAnsi="Verdana" w:cs="Arial"/>
          <w:lang w:eastAsia="es-CO"/>
        </w:rPr>
        <w:t xml:space="preserve">En este punto, la entidad debe </w:t>
      </w:r>
      <w:r>
        <w:rPr>
          <w:rFonts w:ascii="Verdana" w:eastAsia="MS Mincho" w:hAnsi="Verdana" w:cs="Arial"/>
          <w:lang w:eastAsia="es-CO"/>
        </w:rPr>
        <w:t xml:space="preserve">definir </w:t>
      </w:r>
      <w:r w:rsidRPr="003501F2">
        <w:rPr>
          <w:rFonts w:ascii="Verdana" w:eastAsia="MS Mincho" w:hAnsi="Verdana" w:cs="Arial"/>
          <w:lang w:eastAsia="es-CO"/>
        </w:rPr>
        <w:t>con claridad las fuentes de financiación que respaldarán el compromiso.</w:t>
      </w:r>
      <w:r w:rsidRPr="00491A5F">
        <w:rPr>
          <w:rFonts w:ascii="Verdana" w:eastAsia="MS Mincho" w:hAnsi="Verdana" w:cs="Arial"/>
          <w:lang w:eastAsia="es-CO"/>
        </w:rPr>
        <w:t xml:space="preserve"> </w:t>
      </w:r>
    </w:p>
    <w:p w14:paraId="346A5E40" w14:textId="77777777" w:rsidR="00661D26" w:rsidRDefault="00661D26" w:rsidP="00661D26">
      <w:pPr>
        <w:spacing w:after="120" w:line="276" w:lineRule="auto"/>
        <w:ind w:right="102" w:firstLine="709"/>
        <w:jc w:val="both"/>
        <w:rPr>
          <w:rFonts w:ascii="Verdana" w:eastAsia="MS Mincho" w:hAnsi="Verdana" w:cs="Arial"/>
          <w:lang w:eastAsia="es-CO"/>
        </w:rPr>
      </w:pPr>
      <w:r w:rsidRPr="00491A5F">
        <w:rPr>
          <w:rFonts w:ascii="Verdana" w:eastAsia="MS Mincho" w:hAnsi="Verdana" w:cs="Arial"/>
          <w:lang w:eastAsia="es-CO"/>
        </w:rPr>
        <w:t>Este ejercicio implica valorar de manera objetiva las alternativas de selección de proveedores y las condiciones que permitan garantizar la adecuada ejecución del servicio requerido.</w:t>
      </w:r>
      <w:r>
        <w:rPr>
          <w:rFonts w:ascii="Verdana" w:eastAsia="MS Mincho" w:hAnsi="Verdana" w:cs="Arial"/>
          <w:lang w:eastAsia="es-CO"/>
        </w:rPr>
        <w:t xml:space="preserve"> La </w:t>
      </w:r>
      <w:r w:rsidRPr="00491A5F">
        <w:rPr>
          <w:rFonts w:ascii="Verdana" w:eastAsia="MS Mincho" w:hAnsi="Verdana" w:cs="Arial"/>
          <w:lang w:eastAsia="es-CO"/>
        </w:rPr>
        <w:t>elección de la modalidad de contratación constituye una facultad de la administración, cuyo ejercicio debe estar sometido a los principios que rigen la contratación pública —transparencia, economía, responsabilidad, selección objetiva—</w:t>
      </w:r>
      <w:r w:rsidRPr="00755C1C">
        <w:rPr>
          <w:rFonts w:ascii="Times New Roman" w:eastAsia="Times New Roman" w:hAnsi="Times New Roman" w:cs="Times New Roman"/>
          <w:sz w:val="24"/>
          <w:szCs w:val="24"/>
          <w:lang w:eastAsia="es-CO"/>
        </w:rPr>
        <w:t xml:space="preserve"> </w:t>
      </w:r>
      <w:r w:rsidRPr="00755C1C">
        <w:rPr>
          <w:rFonts w:ascii="Verdana" w:eastAsia="MS Mincho" w:hAnsi="Verdana" w:cs="Arial"/>
        </w:rPr>
        <w:t>evitando decisiones arbitrarias y asegurando que la modalidad escogida sea coherente con las características del objeto contractual y con el interés público comprometido.</w:t>
      </w:r>
      <w:r>
        <w:rPr>
          <w:rFonts w:ascii="Verdana" w:eastAsia="MS Mincho" w:hAnsi="Verdana" w:cs="Arial"/>
        </w:rPr>
        <w:t xml:space="preserve"> </w:t>
      </w:r>
      <w:r w:rsidRPr="00755C1C">
        <w:rPr>
          <w:rFonts w:ascii="Verdana" w:eastAsia="MS Mincho" w:hAnsi="Verdana" w:cs="Arial"/>
          <w:lang w:eastAsia="es-CO"/>
        </w:rPr>
        <w:t xml:space="preserve">Adicionalmente, la entidad debe observar las reglas y principios del derecho presupuestal, en particular el </w:t>
      </w:r>
      <w:r w:rsidRPr="00C35B5A">
        <w:rPr>
          <w:rFonts w:ascii="Verdana" w:eastAsia="MS Mincho" w:hAnsi="Verdana" w:cs="Arial"/>
          <w:lang w:eastAsia="es-CO"/>
        </w:rPr>
        <w:t>principio de anualidad del gasto público,</w:t>
      </w:r>
      <w:r w:rsidRPr="00755C1C">
        <w:rPr>
          <w:rFonts w:ascii="Verdana" w:eastAsia="MS Mincho" w:hAnsi="Verdana" w:cs="Arial"/>
          <w:lang w:eastAsia="es-CO"/>
        </w:rPr>
        <w:t xml:space="preserve"> que impone que los compromisos se ajusten estrictamente a la vigencia fiscal correspondiente. Ello implica que la planeación contractual y la determinación de la modalidad de </w:t>
      </w:r>
      <w:r w:rsidRPr="00755C1C">
        <w:rPr>
          <w:rFonts w:ascii="Verdana" w:eastAsia="MS Mincho" w:hAnsi="Verdana" w:cs="Arial"/>
          <w:lang w:eastAsia="es-CO"/>
        </w:rPr>
        <w:lastRenderedPageBreak/>
        <w:t>selección deben armonizarse con la disponibilidad de recursos en cada vigencia, garantizando que las obligaciones derivadas del contrato puedan ser atendidas sin comprometer la sostenibilidad financiera ni vulnerar el marco fiscal aplicable.</w:t>
      </w:r>
    </w:p>
    <w:p w14:paraId="6FAE815B" w14:textId="77777777" w:rsidR="00661D26" w:rsidRDefault="00661D26" w:rsidP="00661D26">
      <w:pPr>
        <w:spacing w:after="120" w:line="276" w:lineRule="auto"/>
        <w:ind w:right="102" w:firstLine="709"/>
        <w:jc w:val="both"/>
        <w:rPr>
          <w:rFonts w:ascii="Verdana" w:eastAsia="MS Mincho" w:hAnsi="Verdana" w:cs="Arial"/>
        </w:rPr>
      </w:pPr>
      <w:r>
        <w:rPr>
          <w:rFonts w:ascii="Verdana" w:eastAsia="MS Mincho" w:hAnsi="Verdana" w:cs="Arial"/>
        </w:rPr>
        <w:t>Teniendo en cuentas estas precisiones y en atención a uno de los problemas jurídicos de su consulta, es importante señalar que el artículo 25 del Decreto Ley 1567 de 1998</w:t>
      </w:r>
      <w:r>
        <w:rPr>
          <w:rStyle w:val="Refdenotaalpie"/>
          <w:rFonts w:ascii="Verdana" w:eastAsia="MS Mincho" w:hAnsi="Verdana" w:cs="Arial"/>
        </w:rPr>
        <w:footnoteReference w:id="14"/>
      </w:r>
      <w:r w:rsidRPr="00D72ADD">
        <w:rPr>
          <w:rFonts w:ascii="Verdana" w:eastAsia="MS Mincho" w:hAnsi="Verdana" w:cs="Arial"/>
        </w:rPr>
        <w:t xml:space="preserve"> “por el cual se crean el sistema nacional de capacitación y el sistema de estímulos para los empleados del Estado”</w:t>
      </w:r>
      <w:r>
        <w:rPr>
          <w:rFonts w:ascii="Verdana" w:eastAsia="MS Mincho" w:hAnsi="Verdana" w:cs="Arial"/>
        </w:rPr>
        <w:t xml:space="preserve">, dispone </w:t>
      </w:r>
      <w:r w:rsidRPr="00161470">
        <w:rPr>
          <w:rFonts w:ascii="Verdana" w:eastAsia="MS Mincho" w:hAnsi="Verdana" w:cs="Arial"/>
        </w:rPr>
        <w:t>que las entidades públicas deben gestionar los programas de bienestar social siguiendo un proceso ordenado que inicia con la identificación rigurosa de las necesidades de los empleados y sus familias. Este diagnóstico debe alinearse con las estrategias institucionales y las políticas del Gobierno Nacional, para luego diseñar programas con amplia cobertura y que aprovechen los recursos disponibles dentro de la entidad y en otras instituciones. Posteriormente, dichos programas pueden ejecutarse directamente o mediante contratación con terceros especializados, según la naturaleza de la necesidad que se busca atender.</w:t>
      </w:r>
      <w:r>
        <w:rPr>
          <w:rFonts w:ascii="Verdana" w:eastAsia="MS Mincho" w:hAnsi="Verdana" w:cs="Arial"/>
        </w:rPr>
        <w:t xml:space="preserve"> El precitado </w:t>
      </w:r>
      <w:r w:rsidRPr="00161470">
        <w:rPr>
          <w:rFonts w:ascii="Verdana" w:eastAsia="MS Mincho" w:hAnsi="Verdana" w:cs="Arial"/>
        </w:rPr>
        <w:t xml:space="preserve">artículo </w:t>
      </w:r>
      <w:r>
        <w:rPr>
          <w:rFonts w:ascii="Verdana" w:eastAsia="MS Mincho" w:hAnsi="Verdana" w:cs="Arial"/>
        </w:rPr>
        <w:t xml:space="preserve">también </w:t>
      </w:r>
      <w:r w:rsidRPr="00161470">
        <w:rPr>
          <w:rFonts w:ascii="Verdana" w:eastAsia="MS Mincho" w:hAnsi="Verdana" w:cs="Arial"/>
        </w:rPr>
        <w:t>exige evaluar y hacer seguimiento a los programas implementados, con el fin de verificar su eficacia y decidir si deben mantenerse, ajustarse o eliminarse. Además, el parágrafo resalta que todo el proceso debe promover la participación de los empleados, no solo en la identificación de necesidades, sino también en la planeación, ejecución y evaluación de los programas, garantizando así que las acciones de bienestar respondan realmente a las expectativas y realidades del talento humano.</w:t>
      </w:r>
    </w:p>
    <w:p w14:paraId="14A58489" w14:textId="77777777" w:rsidR="00661D26" w:rsidRPr="005961A5" w:rsidRDefault="00661D26" w:rsidP="00661D26">
      <w:pPr>
        <w:spacing w:after="120" w:line="276" w:lineRule="auto"/>
        <w:ind w:right="102" w:firstLine="709"/>
        <w:jc w:val="both"/>
        <w:rPr>
          <w:rFonts w:ascii="Verdana" w:eastAsia="MS Mincho" w:hAnsi="Verdana" w:cs="Arial"/>
        </w:rPr>
      </w:pPr>
      <w:r>
        <w:rPr>
          <w:rFonts w:ascii="Verdana" w:eastAsia="MS Mincho" w:hAnsi="Verdana" w:cs="Arial"/>
        </w:rPr>
        <w:lastRenderedPageBreak/>
        <w:t xml:space="preserve">Ahora bien, con respecto al alcance del literal </w:t>
      </w:r>
      <w:r w:rsidRPr="005961A5">
        <w:rPr>
          <w:rFonts w:ascii="Verdana" w:eastAsia="MS Mincho" w:hAnsi="Verdana" w:cs="Arial"/>
        </w:rPr>
        <w:t>c) del artículo 25</w:t>
      </w:r>
      <w:r>
        <w:rPr>
          <w:rFonts w:ascii="Verdana" w:eastAsia="MS Mincho" w:hAnsi="Verdana" w:cs="Arial"/>
        </w:rPr>
        <w:t xml:space="preserve"> que es motivo de su consulta, se regula </w:t>
      </w:r>
      <w:r w:rsidRPr="005961A5">
        <w:rPr>
          <w:rFonts w:ascii="Verdana" w:eastAsia="MS Mincho" w:hAnsi="Verdana" w:cs="Arial"/>
        </w:rPr>
        <w:t>que la ejecución de los programas de bienestar social</w:t>
      </w:r>
      <w:r>
        <w:rPr>
          <w:rFonts w:ascii="Verdana" w:eastAsia="MS Mincho" w:hAnsi="Verdana" w:cs="Arial"/>
        </w:rPr>
        <w:t xml:space="preserve"> de las entidades estatales</w:t>
      </w:r>
      <w:r w:rsidRPr="005961A5">
        <w:rPr>
          <w:rFonts w:ascii="Verdana" w:eastAsia="MS Mincho" w:hAnsi="Verdana" w:cs="Arial"/>
        </w:rPr>
        <w:t xml:space="preserve"> puede realizarse de tres maneras: directamente por la entidad, mediante contratación con personas naturales o jurídicas, o </w:t>
      </w:r>
      <w:r>
        <w:rPr>
          <w:rFonts w:ascii="Verdana" w:eastAsia="MS Mincho" w:hAnsi="Verdana" w:cs="Arial"/>
        </w:rPr>
        <w:t xml:space="preserve">mediante </w:t>
      </w:r>
      <w:r w:rsidRPr="005961A5">
        <w:rPr>
          <w:rFonts w:ascii="Verdana" w:eastAsia="MS Mincho" w:hAnsi="Verdana" w:cs="Arial"/>
        </w:rPr>
        <w:t>organismos encargados de la protección y seguridad social. Est</w:t>
      </w:r>
      <w:r>
        <w:rPr>
          <w:rFonts w:ascii="Verdana" w:eastAsia="MS Mincho" w:hAnsi="Verdana" w:cs="Arial"/>
        </w:rPr>
        <w:t>e</w:t>
      </w:r>
      <w:r w:rsidRPr="005961A5">
        <w:rPr>
          <w:rFonts w:ascii="Verdana" w:eastAsia="MS Mincho" w:hAnsi="Verdana" w:cs="Arial"/>
        </w:rPr>
        <w:t xml:space="preserve"> </w:t>
      </w:r>
      <w:r>
        <w:rPr>
          <w:rFonts w:ascii="Verdana" w:eastAsia="MS Mincho" w:hAnsi="Verdana" w:cs="Arial"/>
        </w:rPr>
        <w:t xml:space="preserve">literal del artículo precitado </w:t>
      </w:r>
      <w:r w:rsidRPr="005961A5">
        <w:rPr>
          <w:rFonts w:ascii="Verdana" w:eastAsia="MS Mincho" w:hAnsi="Verdana" w:cs="Arial"/>
        </w:rPr>
        <w:t>no crea una modalidad contractual especial, sino que simplemente reconoce que las entidades pue</w:t>
      </w:r>
      <w:r>
        <w:rPr>
          <w:rFonts w:ascii="Verdana" w:eastAsia="MS Mincho" w:hAnsi="Verdana" w:cs="Arial"/>
        </w:rPr>
        <w:t>d</w:t>
      </w:r>
      <w:r w:rsidRPr="005961A5">
        <w:rPr>
          <w:rFonts w:ascii="Verdana" w:eastAsia="MS Mincho" w:hAnsi="Verdana" w:cs="Arial"/>
        </w:rPr>
        <w:t>en acudir a terceros para ejecutar las actividades de bienestar cuando no cuenten con capacidad interna. En otras palabras, habilita la externalización de estas actividades, pero no define cómo debe contratarse, ni deroga las reglas generales del sistema de compras públicas.</w:t>
      </w:r>
    </w:p>
    <w:p w14:paraId="2CDA34A4" w14:textId="77777777" w:rsidR="00661D26" w:rsidRDefault="00661D26" w:rsidP="00661D26">
      <w:pPr>
        <w:spacing w:after="120" w:line="276" w:lineRule="auto"/>
        <w:ind w:right="102" w:firstLine="709"/>
        <w:jc w:val="both"/>
        <w:rPr>
          <w:rFonts w:ascii="Verdana" w:eastAsia="MS Mincho" w:hAnsi="Verdana" w:cs="Arial"/>
        </w:rPr>
      </w:pPr>
      <w:r>
        <w:rPr>
          <w:rFonts w:ascii="Verdana" w:eastAsia="MS Mincho" w:hAnsi="Verdana" w:cs="Arial"/>
        </w:rPr>
        <w:t xml:space="preserve">Este literal ni tiene una </w:t>
      </w:r>
      <w:r w:rsidRPr="005961A5">
        <w:rPr>
          <w:rFonts w:ascii="Verdana" w:eastAsia="MS Mincho" w:hAnsi="Verdana" w:cs="Arial"/>
        </w:rPr>
        <w:t>función programática: describe las alternativas de ejecución dentro del proceso de gestión del bienestar, pero no modifica el régimen de selección de contratistas previsto en la Ley 80 de 1993, la Ley 1150 de 2007 y el Decreto 1082 de 2015. Por ello, cuando una entidad decide contratar a un operador logístico para suministrar alimentos, arrendar locaciones, proveer transporte o ejecutar eventos de bienestar</w:t>
      </w:r>
      <w:r>
        <w:rPr>
          <w:rFonts w:ascii="Verdana" w:eastAsia="MS Mincho" w:hAnsi="Verdana" w:cs="Arial"/>
        </w:rPr>
        <w:t xml:space="preserve"> laboral</w:t>
      </w:r>
      <w:r w:rsidRPr="005961A5">
        <w:rPr>
          <w:rFonts w:ascii="Verdana" w:eastAsia="MS Mincho" w:hAnsi="Verdana" w:cs="Arial"/>
        </w:rPr>
        <w:t>, debe aplicar las modalidades de selección</w:t>
      </w:r>
      <w:r>
        <w:rPr>
          <w:rFonts w:ascii="Verdana" w:eastAsia="MS Mincho" w:hAnsi="Verdana" w:cs="Arial"/>
        </w:rPr>
        <w:t xml:space="preserve"> ya expuestas en consideraciones precedentes. </w:t>
      </w:r>
    </w:p>
    <w:p w14:paraId="4A224C3F" w14:textId="77777777" w:rsidR="00661D26" w:rsidRPr="005961A5" w:rsidRDefault="00661D26" w:rsidP="00661D26">
      <w:pPr>
        <w:spacing w:after="0" w:line="276" w:lineRule="auto"/>
        <w:ind w:right="102" w:firstLine="709"/>
        <w:jc w:val="both"/>
        <w:rPr>
          <w:rFonts w:ascii="Verdana" w:eastAsia="MS Mincho" w:hAnsi="Verdana" w:cs="Arial"/>
        </w:rPr>
      </w:pPr>
      <w:r w:rsidRPr="00A44A1B">
        <w:rPr>
          <w:rFonts w:ascii="Verdana" w:eastAsia="MS Mincho" w:hAnsi="Verdana" w:cs="Arial"/>
        </w:rPr>
        <w:t xml:space="preserve">Por tanto, el literal c) no constituye una autorización autónoma para acudir a la contratación directa de servicios logísticos. La entidad debe analizar la complejidad del objeto contractual y, tratándose de contratos con componentes diversos —como los contratos mixtos—, verificar cuidadosamente cuál es la modalidad de selección aplicable conforme al régimen general de compras públicas. </w:t>
      </w:r>
      <w:r>
        <w:rPr>
          <w:rFonts w:ascii="Verdana" w:eastAsia="MS Mincho" w:hAnsi="Verdana" w:cs="Arial"/>
        </w:rPr>
        <w:t>De tal modo, e</w:t>
      </w:r>
      <w:r w:rsidRPr="005961A5">
        <w:rPr>
          <w:rFonts w:ascii="Verdana" w:eastAsia="MS Mincho" w:hAnsi="Verdana" w:cs="Arial"/>
        </w:rPr>
        <w:t>l artículo 25</w:t>
      </w:r>
      <w:r>
        <w:rPr>
          <w:rFonts w:ascii="Verdana" w:eastAsia="MS Mincho" w:hAnsi="Verdana" w:cs="Arial"/>
        </w:rPr>
        <w:t xml:space="preserve"> en su literal c</w:t>
      </w:r>
      <w:r w:rsidRPr="005961A5">
        <w:rPr>
          <w:rFonts w:ascii="Verdana" w:eastAsia="MS Mincho" w:hAnsi="Verdana" w:cs="Arial"/>
        </w:rPr>
        <w:t xml:space="preserve"> </w:t>
      </w:r>
      <w:r>
        <w:rPr>
          <w:rFonts w:ascii="Verdana" w:eastAsia="MS Mincho" w:hAnsi="Verdana" w:cs="Arial"/>
        </w:rPr>
        <w:t>solo prescribe</w:t>
      </w:r>
      <w:r w:rsidRPr="005961A5">
        <w:rPr>
          <w:rFonts w:ascii="Verdana" w:eastAsia="MS Mincho" w:hAnsi="Verdana" w:cs="Arial"/>
        </w:rPr>
        <w:t xml:space="preserve"> que la ejecución de los programas de bienestar puede hacerse mediante contratación, pero no exime a la entidad del cumplimiento de</w:t>
      </w:r>
      <w:r>
        <w:rPr>
          <w:rFonts w:ascii="Verdana" w:eastAsia="MS Mincho" w:hAnsi="Verdana" w:cs="Arial"/>
        </w:rPr>
        <w:t xml:space="preserve"> las reglas definidas en el</w:t>
      </w:r>
      <w:r w:rsidRPr="005961A5">
        <w:rPr>
          <w:rFonts w:ascii="Verdana" w:eastAsia="MS Mincho" w:hAnsi="Verdana" w:cs="Arial"/>
        </w:rPr>
        <w:t xml:space="preserve"> sistema general de compras públicas</w:t>
      </w:r>
      <w:r>
        <w:rPr>
          <w:rFonts w:ascii="Verdana" w:eastAsia="MS Mincho" w:hAnsi="Verdana" w:cs="Arial"/>
        </w:rPr>
        <w:t xml:space="preserve">. </w:t>
      </w:r>
    </w:p>
    <w:p w14:paraId="20D3F078" w14:textId="77777777" w:rsidR="00661D26" w:rsidRPr="00A120BF" w:rsidRDefault="00661D26" w:rsidP="00661D26">
      <w:pPr>
        <w:spacing w:after="0" w:line="276" w:lineRule="auto"/>
        <w:ind w:right="79"/>
        <w:jc w:val="both"/>
        <w:rPr>
          <w:rFonts w:ascii="Verdana" w:eastAsia="Arial" w:hAnsi="Verdana" w:cs="Arial"/>
          <w:bCs/>
        </w:rPr>
      </w:pPr>
    </w:p>
    <w:p w14:paraId="7DBCEE6D" w14:textId="77777777" w:rsidR="00661D26" w:rsidRPr="00B16AC6" w:rsidRDefault="00661D26" w:rsidP="00661D26">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enajenación de bienes muebles de entidades públicas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w:t>
      </w:r>
      <w:r w:rsidRPr="00B17041">
        <w:rPr>
          <w:rFonts w:ascii="Verdana" w:hAnsi="Verdana" w:cs="Arial"/>
          <w:lang w:val="es-ES_tradnl" w:eastAsia="es-ES"/>
        </w:rPr>
        <w:lastRenderedPageBreak/>
        <w:t>que motivan la consulta. Por lo anterior, previo concepto de sus asesores, la solución de situaciones particulares corresponde a los interesados adoptar la decisión correspondiente y, en caso de conflicto, a las autoridades judiciales, fiscales y disciplinarias.</w:t>
      </w:r>
    </w:p>
    <w:p w14:paraId="5413CCB3" w14:textId="77777777" w:rsidR="00661D26" w:rsidRPr="00B17041" w:rsidRDefault="00661D26" w:rsidP="00661D26">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6A0C7AC" w14:textId="77777777" w:rsidR="00661D26" w:rsidRPr="00CD0DCD" w:rsidRDefault="00661D26" w:rsidP="00661D26">
      <w:pPr>
        <w:spacing w:after="0" w:line="276" w:lineRule="auto"/>
        <w:jc w:val="both"/>
        <w:rPr>
          <w:rFonts w:ascii="Verdana" w:eastAsia="Calibri" w:hAnsi="Verdana" w:cs="Arial"/>
          <w:lang w:val="es-ES" w:eastAsia="es-MX"/>
        </w:rPr>
      </w:pPr>
    </w:p>
    <w:p w14:paraId="3118C064" w14:textId="77777777" w:rsidR="00661D26" w:rsidRPr="00B57A1B" w:rsidRDefault="00661D26" w:rsidP="00661D2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Referencias normativas</w:t>
      </w:r>
      <w:r>
        <w:rPr>
          <w:rFonts w:ascii="Verdana" w:eastAsia="Century Gothic" w:hAnsi="Verdana" w:cs="Century Gothic"/>
          <w:b/>
          <w:bCs/>
          <w:lang w:val="es-ES"/>
        </w:rPr>
        <w:t>:</w:t>
      </w:r>
    </w:p>
    <w:p w14:paraId="1D998AEE" w14:textId="77777777" w:rsidR="00661D26" w:rsidRPr="00B57A1B" w:rsidRDefault="00661D26" w:rsidP="00661D2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1D26" w:rsidRPr="00B57A1B" w14:paraId="04040B48" w14:textId="77777777" w:rsidTr="00B12B0F">
        <w:trPr>
          <w:trHeight w:val="487"/>
          <w:jc w:val="center"/>
        </w:trPr>
        <w:tc>
          <w:tcPr>
            <w:tcW w:w="8647" w:type="dxa"/>
          </w:tcPr>
          <w:p w14:paraId="267394B2" w14:textId="77777777" w:rsidR="00661D26" w:rsidRPr="00974C01" w:rsidRDefault="00661D26" w:rsidP="00661D26">
            <w:pPr>
              <w:pStyle w:val="Prrafodelista"/>
              <w:numPr>
                <w:ilvl w:val="0"/>
                <w:numId w:val="19"/>
              </w:numPr>
              <w:spacing w:before="120" w:after="120" w:line="276" w:lineRule="auto"/>
              <w:ind w:left="714" w:hanging="357"/>
              <w:contextualSpacing w:val="0"/>
              <w:rPr>
                <w:rFonts w:ascii="Verdana" w:eastAsia="Arial MT" w:hAnsi="Verdana" w:cs="Arial"/>
                <w:lang w:eastAsia="es-ES" w:bidi="es-ES"/>
              </w:rPr>
            </w:pPr>
            <w:r w:rsidRPr="00974C01">
              <w:rPr>
                <w:rFonts w:ascii="Verdana" w:eastAsia="Arial MT" w:hAnsi="Verdana" w:cs="Arial"/>
                <w:lang w:eastAsia="es-ES" w:bidi="es-ES"/>
              </w:rPr>
              <w:t xml:space="preserve">Código Civil, artículo 1501. </w:t>
            </w:r>
          </w:p>
          <w:p w14:paraId="3B1C2809" w14:textId="77777777" w:rsidR="00661D26" w:rsidRDefault="00661D26" w:rsidP="00661D26">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974C01">
              <w:rPr>
                <w:rFonts w:ascii="Verdana" w:eastAsia="Arial MT" w:hAnsi="Verdana" w:cs="Arial"/>
                <w:lang w:eastAsia="es-ES" w:bidi="es-ES"/>
              </w:rPr>
              <w:t xml:space="preserve">Ley 80 de 1993, artículos 6, 13, 32, 39, 40 y 41. </w:t>
            </w:r>
          </w:p>
          <w:p w14:paraId="4238C406" w14:textId="77777777" w:rsidR="00661D26" w:rsidRPr="00974C01" w:rsidRDefault="00661D26" w:rsidP="00661D26">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Decreto Ley 1567 de 1998, artículo 25.</w:t>
            </w:r>
          </w:p>
          <w:p w14:paraId="16C50375" w14:textId="77777777" w:rsidR="00661D26" w:rsidRPr="00974C01" w:rsidRDefault="00661D26" w:rsidP="00661D26">
            <w:pPr>
              <w:pStyle w:val="Prrafodelista"/>
              <w:numPr>
                <w:ilvl w:val="0"/>
                <w:numId w:val="19"/>
              </w:numPr>
              <w:spacing w:before="120" w:after="120" w:line="276" w:lineRule="auto"/>
              <w:ind w:left="714" w:hanging="357"/>
              <w:contextualSpacing w:val="0"/>
              <w:rPr>
                <w:rFonts w:ascii="Verdana" w:eastAsia="Arial MT" w:hAnsi="Verdana" w:cs="Arial"/>
                <w:lang w:eastAsia="es-ES" w:bidi="es-ES"/>
              </w:rPr>
            </w:pPr>
            <w:r w:rsidRPr="00974C01">
              <w:rPr>
                <w:rFonts w:ascii="Verdana" w:eastAsia="Arial MT" w:hAnsi="Verdana" w:cs="Arial"/>
                <w:lang w:eastAsia="es-ES" w:bidi="es-ES"/>
              </w:rPr>
              <w:t>Ley 1150 de 2007, artículo 2°.</w:t>
            </w:r>
          </w:p>
          <w:p w14:paraId="1F225AD9" w14:textId="77777777" w:rsidR="00661D26" w:rsidRPr="00974C01" w:rsidRDefault="00661D26" w:rsidP="00661D26">
            <w:pPr>
              <w:pStyle w:val="Prrafodelista"/>
              <w:numPr>
                <w:ilvl w:val="0"/>
                <w:numId w:val="19"/>
              </w:numPr>
              <w:spacing w:before="120" w:after="120" w:line="276" w:lineRule="auto"/>
              <w:ind w:left="714" w:hanging="357"/>
              <w:contextualSpacing w:val="0"/>
              <w:rPr>
                <w:rFonts w:ascii="Verdana" w:eastAsia="Arial MT" w:hAnsi="Verdana" w:cs="Arial"/>
                <w:lang w:eastAsia="es-ES" w:bidi="es-ES"/>
              </w:rPr>
            </w:pPr>
            <w:r w:rsidRPr="00974C01">
              <w:rPr>
                <w:rFonts w:ascii="Verdana" w:eastAsia="Arial MT" w:hAnsi="Verdana" w:cs="Arial"/>
                <w:lang w:val="es-CO" w:eastAsia="es-ES" w:bidi="es-ES"/>
              </w:rPr>
              <w:t>Decreto 1082 de 2015</w:t>
            </w:r>
            <w:r w:rsidRPr="00974C01">
              <w:rPr>
                <w:rFonts w:ascii="Verdana" w:eastAsia="Arial MT" w:hAnsi="Verdana" w:cs="Arial"/>
                <w:lang w:eastAsia="es-ES" w:bidi="es-ES"/>
              </w:rPr>
              <w:t xml:space="preserve">, artículo </w:t>
            </w:r>
            <w:r w:rsidRPr="00974C01">
              <w:rPr>
                <w:rFonts w:ascii="Verdana" w:eastAsia="Arial MT" w:hAnsi="Verdana" w:cs="Arial"/>
                <w:lang w:val="es-CO" w:eastAsia="es-ES" w:bidi="es-ES"/>
              </w:rPr>
              <w:t>2.2.1.2.1.4.4 y 2.2.1.2.3.1.5</w:t>
            </w:r>
            <w:r w:rsidRPr="00974C01">
              <w:rPr>
                <w:rFonts w:ascii="Verdana" w:eastAsia="Arial MT" w:hAnsi="Verdana" w:cs="Arial"/>
                <w:lang w:eastAsia="es-ES" w:bidi="es-ES"/>
              </w:rPr>
              <w:t>.</w:t>
            </w:r>
          </w:p>
        </w:tc>
      </w:tr>
    </w:tbl>
    <w:p w14:paraId="2A317178" w14:textId="77777777" w:rsidR="00661D26" w:rsidRPr="00B57A1B" w:rsidRDefault="00661D26" w:rsidP="00661D26">
      <w:pPr>
        <w:widowControl w:val="0"/>
        <w:autoSpaceDE w:val="0"/>
        <w:autoSpaceDN w:val="0"/>
        <w:spacing w:after="0" w:line="276" w:lineRule="auto"/>
        <w:jc w:val="both"/>
        <w:rPr>
          <w:rFonts w:ascii="Verdana" w:hAnsi="Verdana" w:cs="Arial"/>
        </w:rPr>
      </w:pPr>
    </w:p>
    <w:p w14:paraId="45DAD7CB" w14:textId="77777777" w:rsidR="00661D26" w:rsidRPr="00B57A1B" w:rsidRDefault="00661D26" w:rsidP="00661D26">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7795605B" w14:textId="77777777" w:rsidR="00661D26" w:rsidRPr="00B57A1B" w:rsidRDefault="00661D26" w:rsidP="00661D26">
      <w:pPr>
        <w:widowControl w:val="0"/>
        <w:autoSpaceDE w:val="0"/>
        <w:autoSpaceDN w:val="0"/>
        <w:spacing w:after="0" w:line="276" w:lineRule="auto"/>
        <w:jc w:val="both"/>
        <w:rPr>
          <w:rFonts w:ascii="Verdana" w:hAnsi="Verdana" w:cs="Arial"/>
        </w:rPr>
      </w:pPr>
    </w:p>
    <w:p w14:paraId="389E8C8E" w14:textId="77777777" w:rsidR="00661D26" w:rsidRPr="00530A1F" w:rsidRDefault="00661D26" w:rsidP="00661D26">
      <w:pPr>
        <w:widowControl w:val="0"/>
        <w:autoSpaceDE w:val="0"/>
        <w:autoSpaceDN w:val="0"/>
        <w:spacing w:after="0" w:line="276" w:lineRule="auto"/>
        <w:jc w:val="both"/>
        <w:rPr>
          <w:rFonts w:ascii="Verdana" w:hAnsi="Verdana" w:cs="Arial"/>
          <w:bCs/>
          <w:shd w:val="clear" w:color="auto" w:fill="FFFFFF"/>
        </w:rPr>
      </w:pPr>
      <w:r w:rsidRPr="00A12CB6">
        <w:rPr>
          <w:rFonts w:ascii="Verdana" w:hAnsi="Verdana" w:cs="Arial"/>
          <w:shd w:val="clear" w:color="auto" w:fill="FFFFFF"/>
          <w:lang w:val="es-ES"/>
        </w:rPr>
        <w:t>Esta Subdirección se ha pronunciado sobre varios de los temas objeto de la solicitud</w:t>
      </w:r>
      <w:r>
        <w:rPr>
          <w:rFonts w:ascii="Verdana" w:hAnsi="Verdana" w:cs="Arial"/>
          <w:shd w:val="clear" w:color="auto" w:fill="FFFFFF"/>
          <w:lang w:val="es-ES"/>
        </w:rPr>
        <w:t xml:space="preserve">, en especial, en los Conceptos </w:t>
      </w:r>
      <w:r w:rsidRPr="00AF6F7D">
        <w:rPr>
          <w:rFonts w:ascii="Verdana" w:hAnsi="Verdana" w:cs="Arial"/>
          <w:shd w:val="clear" w:color="auto" w:fill="FFFFFF"/>
          <w:lang w:val="es-ES"/>
        </w:rPr>
        <w:t>C-803 del 19 de noviembre de 2024 y C-855 de 2024</w:t>
      </w:r>
      <w:r>
        <w:rPr>
          <w:rFonts w:ascii="Verdana" w:hAnsi="Verdana" w:cs="Arial"/>
          <w:shd w:val="clear" w:color="auto" w:fill="FFFFFF"/>
          <w:lang w:val="es-ES"/>
        </w:rPr>
        <w:t>, C-221 del 28 de marzo de 2025, C-260 del 4 de abril de 2026, entre otros</w:t>
      </w:r>
      <w:r w:rsidRPr="007231C5">
        <w:rPr>
          <w:rFonts w:ascii="Verdana" w:hAnsi="Verdana" w:cs="Arial"/>
          <w:shd w:val="clear" w:color="auto" w:fill="FFFFFF"/>
          <w:lang w:val="es-ES"/>
        </w:rPr>
        <w:t>.</w:t>
      </w:r>
      <w:r w:rsidRPr="00A12CB6">
        <w:rPr>
          <w:rFonts w:ascii="Verdana" w:hAnsi="Verdana" w:cs="Arial"/>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582E30D" w14:textId="77777777" w:rsidR="00661D26" w:rsidRPr="00185EE9" w:rsidRDefault="00661D26" w:rsidP="00661D26">
      <w:pPr>
        <w:spacing w:after="0" w:line="256" w:lineRule="auto"/>
        <w:jc w:val="both"/>
        <w:rPr>
          <w:rFonts w:ascii="Verdana" w:eastAsia="Calibri" w:hAnsi="Verdana" w:cs="Times New Roman"/>
        </w:rPr>
      </w:pPr>
      <w:hyperlink r:id="rId13"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794D3DCA" w14:textId="77777777" w:rsidR="00661D26" w:rsidRPr="00096788" w:rsidRDefault="00661D26" w:rsidP="00661D26">
      <w:pPr>
        <w:widowControl w:val="0"/>
        <w:autoSpaceDE w:val="0"/>
        <w:autoSpaceDN w:val="0"/>
        <w:spacing w:after="0" w:line="276" w:lineRule="auto"/>
        <w:jc w:val="both"/>
        <w:rPr>
          <w:rFonts w:ascii="Verdana" w:hAnsi="Verdana" w:cs="Arial"/>
          <w:color w:val="000000" w:themeColor="text1"/>
          <w:shd w:val="clear" w:color="auto" w:fill="FFFFFF"/>
        </w:rPr>
      </w:pPr>
    </w:p>
    <w:p w14:paraId="234866F2" w14:textId="77777777" w:rsidR="00661D26" w:rsidRDefault="00661D26" w:rsidP="00661D26">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2BA20F6F" w14:textId="77777777" w:rsidR="00661D26" w:rsidRPr="009A385A" w:rsidRDefault="00661D26" w:rsidP="00661D26">
      <w:pPr>
        <w:spacing w:after="0"/>
        <w:jc w:val="both"/>
        <w:rPr>
          <w:rFonts w:ascii="Verdana" w:hAnsi="Verdana"/>
        </w:rPr>
      </w:pPr>
    </w:p>
    <w:p w14:paraId="0336CDAD" w14:textId="77777777" w:rsidR="00661D26" w:rsidRDefault="00661D26" w:rsidP="00661D26">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687D09BC" w14:textId="77777777" w:rsidR="00661D26" w:rsidRDefault="00661D26" w:rsidP="00661D26">
      <w:pPr>
        <w:spacing w:after="0"/>
        <w:jc w:val="both"/>
        <w:rPr>
          <w:rFonts w:ascii="Verdana" w:hAnsi="Verdana"/>
        </w:rPr>
      </w:pPr>
    </w:p>
    <w:p w14:paraId="1FEB71BB" w14:textId="77777777" w:rsidR="00661D26" w:rsidRPr="008E1CD7" w:rsidRDefault="00661D26" w:rsidP="00661D26">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676C3CA" w14:textId="77777777" w:rsidR="00661D26" w:rsidRDefault="00661D26" w:rsidP="00661D26">
      <w:pPr>
        <w:shd w:val="clear" w:color="auto" w:fill="FFFFFF"/>
        <w:spacing w:after="0" w:line="276" w:lineRule="auto"/>
        <w:jc w:val="both"/>
        <w:rPr>
          <w:rFonts w:ascii="Verdana" w:hAnsi="Verdana"/>
          <w:color w:val="000000"/>
          <w:u w:val="single"/>
        </w:rPr>
      </w:pPr>
    </w:p>
    <w:p w14:paraId="3541E058" w14:textId="77777777" w:rsidR="00661D26" w:rsidRPr="00116940" w:rsidRDefault="00661D26" w:rsidP="00661D26">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atención: </w:t>
      </w:r>
    </w:p>
    <w:p w14:paraId="3B486025" w14:textId="77777777" w:rsidR="00661D26" w:rsidRPr="00116940" w:rsidRDefault="00661D26" w:rsidP="00661D26">
      <w:pPr>
        <w:spacing w:after="0"/>
        <w:jc w:val="both"/>
        <w:rPr>
          <w:rFonts w:ascii="Verdana" w:hAnsi="Verdana"/>
        </w:rPr>
      </w:pPr>
    </w:p>
    <w:p w14:paraId="629D2C8D" w14:textId="77777777" w:rsidR="00661D26" w:rsidRPr="00116940" w:rsidRDefault="00661D26" w:rsidP="00661D26">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2C31781" w14:textId="77777777" w:rsidR="00661D26" w:rsidRPr="00116940" w:rsidRDefault="00661D26" w:rsidP="00661D26">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1699A7C" w14:textId="77777777" w:rsidR="00661D26" w:rsidRPr="00116940" w:rsidRDefault="00661D26" w:rsidP="00661D2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5B587318" w14:textId="77777777" w:rsidR="00661D26" w:rsidRPr="00116940" w:rsidRDefault="00661D26" w:rsidP="00661D26">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6B4436B5" w14:textId="77777777" w:rsidR="00661D26" w:rsidRPr="00116940" w:rsidRDefault="00661D26" w:rsidP="00661D26">
      <w:pPr>
        <w:spacing w:after="0" w:line="240" w:lineRule="auto"/>
        <w:ind w:left="720"/>
        <w:jc w:val="both"/>
        <w:rPr>
          <w:rFonts w:ascii="Verdana" w:hAnsi="Verdana"/>
        </w:rPr>
      </w:pPr>
    </w:p>
    <w:p w14:paraId="32F3B989" w14:textId="77777777" w:rsidR="00661D26" w:rsidRPr="00116940" w:rsidRDefault="00661D26" w:rsidP="00661D26">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B21994E" w14:textId="77777777" w:rsidR="00661D26" w:rsidRPr="00116940" w:rsidRDefault="00661D26" w:rsidP="00661D26">
      <w:pPr>
        <w:spacing w:after="0" w:line="240" w:lineRule="auto"/>
        <w:rPr>
          <w:rFonts w:ascii="Verdana" w:hAnsi="Verdana"/>
        </w:rPr>
      </w:pPr>
    </w:p>
    <w:p w14:paraId="63032BB0" w14:textId="77777777" w:rsidR="00661D26" w:rsidRPr="00116940" w:rsidRDefault="00661D26" w:rsidP="00661D26">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BAFDD6D" w14:textId="77777777" w:rsidR="00661D26" w:rsidRPr="00116940" w:rsidRDefault="00661D26" w:rsidP="00661D26">
      <w:pPr>
        <w:spacing w:after="0" w:line="240" w:lineRule="auto"/>
        <w:jc w:val="both"/>
        <w:rPr>
          <w:rFonts w:ascii="Verdana" w:hAnsi="Verdana"/>
        </w:rPr>
      </w:pPr>
    </w:p>
    <w:p w14:paraId="74CE53F2" w14:textId="77777777" w:rsidR="00661D26" w:rsidRPr="00116940" w:rsidRDefault="00661D26" w:rsidP="00661D26">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A775158" w14:textId="77777777" w:rsidR="00661D26" w:rsidRPr="00116940" w:rsidRDefault="00661D26" w:rsidP="00661D26">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E785C22" w14:textId="77777777" w:rsidR="00661D26" w:rsidRPr="00116940" w:rsidRDefault="00661D26" w:rsidP="00661D26">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A7362EA" w14:textId="77777777" w:rsidR="00661D26" w:rsidRPr="009C4035" w:rsidRDefault="00661D26" w:rsidP="00661D26">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27A66754" w14:textId="77777777" w:rsidR="00661D26" w:rsidRPr="00593A5F" w:rsidRDefault="00661D26" w:rsidP="00661D26">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5D6BD76" w14:textId="77777777" w:rsidR="00661D26" w:rsidRPr="00B57A1B" w:rsidRDefault="00661D26" w:rsidP="00661D26">
      <w:pPr>
        <w:spacing w:after="0" w:line="256" w:lineRule="auto"/>
        <w:jc w:val="both"/>
        <w:rPr>
          <w:rFonts w:ascii="Verdana" w:eastAsia="Calibri" w:hAnsi="Verdana" w:cs="Times New Roman"/>
        </w:rPr>
      </w:pPr>
    </w:p>
    <w:p w14:paraId="0A2F1756" w14:textId="77777777" w:rsidR="00661D26" w:rsidRDefault="00661D26" w:rsidP="00661D26">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4B9EEBF3" w14:textId="77777777" w:rsidR="00661D26" w:rsidRPr="00B57A1B" w:rsidRDefault="00661D26" w:rsidP="00661D26">
      <w:pPr>
        <w:spacing w:after="0" w:line="256" w:lineRule="auto"/>
        <w:jc w:val="both"/>
        <w:rPr>
          <w:rFonts w:ascii="Verdana" w:eastAsia="Calibri" w:hAnsi="Verdana" w:cs="Times New Roman"/>
        </w:rPr>
      </w:pPr>
    </w:p>
    <w:p w14:paraId="2ACE9B7A" w14:textId="49B52A13" w:rsidR="00661D26" w:rsidRDefault="00F9037F" w:rsidP="00661D26">
      <w:pPr>
        <w:spacing w:after="0" w:line="256" w:lineRule="auto"/>
        <w:jc w:val="center"/>
        <w:rPr>
          <w:noProof/>
          <w:lang w:val="en-US"/>
        </w:rPr>
      </w:pPr>
      <w:r w:rsidRPr="002C3AD6">
        <w:rPr>
          <w:rFonts w:ascii="Century Gothic" w:hAnsi="Century Gothic"/>
          <w:noProof/>
          <w:lang w:val="en-US"/>
        </w:rPr>
        <w:drawing>
          <wp:inline distT="0" distB="0" distL="0" distR="0" wp14:anchorId="461BF32B" wp14:editId="2ADA48C3">
            <wp:extent cx="3113963" cy="1138136"/>
            <wp:effectExtent l="0" t="0" r="0" b="5080"/>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222270" cy="1177722"/>
                    </a:xfrm>
                    <a:prstGeom prst="rect">
                      <a:avLst/>
                    </a:prstGeom>
                  </pic:spPr>
                </pic:pic>
              </a:graphicData>
            </a:graphic>
          </wp:inline>
        </w:drawing>
      </w:r>
    </w:p>
    <w:p w14:paraId="532F54C3" w14:textId="77777777" w:rsidR="00661D26" w:rsidRPr="008B7171" w:rsidRDefault="00661D26" w:rsidP="00661D26">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61D26" w:rsidRPr="00B57A1B" w14:paraId="62185752" w14:textId="77777777" w:rsidTr="00B12B0F">
        <w:trPr>
          <w:trHeight w:val="409"/>
        </w:trPr>
        <w:tc>
          <w:tcPr>
            <w:tcW w:w="817" w:type="dxa"/>
            <w:tcBorders>
              <w:top w:val="nil"/>
              <w:left w:val="nil"/>
              <w:bottom w:val="nil"/>
              <w:right w:val="nil"/>
            </w:tcBorders>
            <w:vAlign w:val="center"/>
            <w:hideMark/>
          </w:tcPr>
          <w:p w14:paraId="59D39494"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lastRenderedPageBreak/>
              <w:t>Elaboró: </w:t>
            </w:r>
          </w:p>
        </w:tc>
        <w:tc>
          <w:tcPr>
            <w:tcW w:w="4937" w:type="dxa"/>
            <w:tcBorders>
              <w:top w:val="nil"/>
              <w:left w:val="nil"/>
              <w:bottom w:val="dotted" w:sz="6" w:space="0" w:color="7F7F7F" w:themeColor="text1" w:themeTint="80"/>
              <w:right w:val="nil"/>
            </w:tcBorders>
            <w:vAlign w:val="center"/>
            <w:hideMark/>
          </w:tcPr>
          <w:p w14:paraId="24F7E682"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5552BC8D"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661D26" w:rsidRPr="00B57A1B" w14:paraId="031451D6" w14:textId="77777777" w:rsidTr="00B12B0F">
        <w:trPr>
          <w:trHeight w:val="409"/>
        </w:trPr>
        <w:tc>
          <w:tcPr>
            <w:tcW w:w="817" w:type="dxa"/>
            <w:tcBorders>
              <w:top w:val="nil"/>
              <w:left w:val="nil"/>
              <w:bottom w:val="nil"/>
              <w:right w:val="nil"/>
            </w:tcBorders>
            <w:vAlign w:val="center"/>
            <w:hideMark/>
          </w:tcPr>
          <w:p w14:paraId="5ADAC66B"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5FAEAB7"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560B1AE9"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661D26" w:rsidRPr="00B57A1B" w14:paraId="6A0637E9" w14:textId="77777777" w:rsidTr="00B12B0F">
        <w:trPr>
          <w:trHeight w:val="389"/>
        </w:trPr>
        <w:tc>
          <w:tcPr>
            <w:tcW w:w="817" w:type="dxa"/>
            <w:tcBorders>
              <w:top w:val="nil"/>
              <w:left w:val="nil"/>
              <w:bottom w:val="nil"/>
              <w:right w:val="nil"/>
            </w:tcBorders>
            <w:vAlign w:val="center"/>
            <w:hideMark/>
          </w:tcPr>
          <w:p w14:paraId="3D943584"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9D5DA53"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1C259D0A" w14:textId="77777777" w:rsidR="00661D26" w:rsidRPr="00B57A1B" w:rsidRDefault="00661D26" w:rsidP="00B12B0F">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0B9BD717" w14:textId="77777777" w:rsidR="00661D26" w:rsidRPr="000E2B93" w:rsidRDefault="00661D26" w:rsidP="00661D26">
      <w:pPr>
        <w:spacing w:after="0" w:line="240" w:lineRule="auto"/>
        <w:jc w:val="both"/>
        <w:textAlignment w:val="baseline"/>
        <w:rPr>
          <w:rFonts w:ascii="Verdana" w:eastAsia="Verdana" w:hAnsi="Verdana" w:cs="Verdana"/>
          <w:lang w:eastAsia="es-CO"/>
        </w:rPr>
      </w:pPr>
    </w:p>
    <w:p w14:paraId="749740FA" w14:textId="4F982327" w:rsidR="00661D26" w:rsidRPr="000E2B93" w:rsidRDefault="00661D26" w:rsidP="00661D26">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010BE5DC" w:rsidR="00127233" w:rsidRPr="00661D26" w:rsidRDefault="00127233" w:rsidP="00661D26"/>
    <w:sectPr w:rsidR="00127233" w:rsidRPr="00661D2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934ED" w14:textId="77777777" w:rsidR="0027130C" w:rsidRDefault="0027130C" w:rsidP="004A1847">
      <w:pPr>
        <w:spacing w:after="0" w:line="240" w:lineRule="auto"/>
      </w:pPr>
      <w:r>
        <w:separator/>
      </w:r>
    </w:p>
  </w:endnote>
  <w:endnote w:type="continuationSeparator" w:id="0">
    <w:p w14:paraId="2EF65955" w14:textId="77777777" w:rsidR="0027130C" w:rsidRDefault="0027130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C78D9" w:rsidRDefault="00AC78D9">
    <w:pPr>
      <w:pStyle w:val="Piedepgina"/>
    </w:pPr>
  </w:p>
  <w:p w14:paraId="594D6D9F" w14:textId="7B4CC248" w:rsidR="00AC78D9" w:rsidRPr="00174B77" w:rsidRDefault="00AC78D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37881" w:rsidRPr="00037881">
      <w:rPr>
        <w:rFonts w:ascii="Verdana" w:eastAsiaTheme="minorEastAsia" w:hAnsi="Verdana"/>
        <w:b/>
        <w:bCs/>
        <w:noProof/>
        <w:sz w:val="16"/>
        <w:szCs w:val="16"/>
      </w:rPr>
      <w:t>11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78D9" w:rsidRDefault="00AC78D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78D9" w:rsidRPr="00E41027" w:rsidRDefault="00AC78D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C78D9" w:rsidRDefault="00AC78D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7A89D2" w14:textId="77777777" w:rsidR="0027130C" w:rsidRDefault="0027130C" w:rsidP="004A1847">
      <w:pPr>
        <w:spacing w:after="0" w:line="240" w:lineRule="auto"/>
      </w:pPr>
      <w:r>
        <w:separator/>
      </w:r>
    </w:p>
  </w:footnote>
  <w:footnote w:type="continuationSeparator" w:id="0">
    <w:p w14:paraId="4AE222E9" w14:textId="77777777" w:rsidR="0027130C" w:rsidRDefault="0027130C" w:rsidP="004A1847">
      <w:pPr>
        <w:spacing w:after="0" w:line="240" w:lineRule="auto"/>
      </w:pPr>
      <w:r>
        <w:continuationSeparator/>
      </w:r>
    </w:p>
  </w:footnote>
  <w:footnote w:id="1">
    <w:p w14:paraId="1797ABC1" w14:textId="77777777" w:rsidR="00661D26" w:rsidRPr="005F70F5" w:rsidRDefault="00661D26" w:rsidP="00661D26">
      <w:pPr>
        <w:pStyle w:val="Textonotapie"/>
        <w:ind w:firstLine="708"/>
        <w:jc w:val="both"/>
        <w:rPr>
          <w:rFonts w:ascii="Verdana" w:hAnsi="Verdana" w:cs="Arial"/>
          <w:sz w:val="16"/>
          <w:szCs w:val="16"/>
          <w:lang w:val="es-ES"/>
        </w:rPr>
      </w:pPr>
      <w:r w:rsidRPr="005F70F5">
        <w:rPr>
          <w:rStyle w:val="Refdenotaalpie"/>
          <w:rFonts w:ascii="Verdana" w:hAnsi="Verdana" w:cs="Arial"/>
          <w:sz w:val="16"/>
          <w:szCs w:val="16"/>
        </w:rPr>
        <w:footnoteRef/>
      </w:r>
      <w:r w:rsidRPr="005F70F5">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30A4C123" w14:textId="77777777" w:rsidR="00661D26" w:rsidRPr="005F70F5" w:rsidRDefault="00661D26" w:rsidP="00661D26">
      <w:pPr>
        <w:pStyle w:val="Textonotapie"/>
        <w:ind w:firstLine="708"/>
        <w:jc w:val="both"/>
        <w:rPr>
          <w:rFonts w:ascii="Verdana" w:hAnsi="Verdana" w:cs="Arial"/>
          <w:sz w:val="16"/>
          <w:szCs w:val="16"/>
          <w:lang w:val="es-ES"/>
        </w:rPr>
      </w:pPr>
      <w:r w:rsidRPr="005F70F5">
        <w:rPr>
          <w:rStyle w:val="Refdenotaalpie"/>
          <w:rFonts w:ascii="Verdana" w:hAnsi="Verdana" w:cs="Arial"/>
          <w:sz w:val="16"/>
          <w:szCs w:val="16"/>
        </w:rPr>
        <w:footnoteRef/>
      </w:r>
      <w:r w:rsidRPr="005F70F5">
        <w:rPr>
          <w:rFonts w:ascii="Verdana" w:hAnsi="Verdana" w:cs="Arial"/>
          <w:sz w:val="16"/>
          <w:szCs w:val="16"/>
        </w:rPr>
        <w:t xml:space="preserve"> BETANCUR JARAMILLO, Carlos. Derecho procesal administrativo. Octava edición. Medellín: Señal Editora, 2013. p. 627. </w:t>
      </w:r>
    </w:p>
  </w:footnote>
  <w:footnote w:id="3">
    <w:p w14:paraId="3B923421" w14:textId="77777777" w:rsidR="00661D26" w:rsidRPr="00803692" w:rsidRDefault="00661D26" w:rsidP="00661D26">
      <w:pPr>
        <w:pStyle w:val="Textonotapie"/>
        <w:ind w:firstLine="708"/>
        <w:jc w:val="both"/>
        <w:rPr>
          <w:rFonts w:ascii="Verdana" w:hAnsi="Verdana"/>
          <w:sz w:val="16"/>
          <w:szCs w:val="16"/>
        </w:rPr>
      </w:pPr>
      <w:r w:rsidRPr="00E57ED8">
        <w:rPr>
          <w:rStyle w:val="Refdenotaalpie"/>
          <w:rFonts w:ascii="Verdana" w:hAnsi="Verdana"/>
          <w:sz w:val="16"/>
          <w:szCs w:val="16"/>
        </w:rPr>
        <w:footnoteRef/>
      </w:r>
      <w:r w:rsidRPr="00E57ED8">
        <w:rPr>
          <w:rFonts w:ascii="Verdana" w:hAnsi="Verdana"/>
          <w:sz w:val="16"/>
          <w:szCs w:val="16"/>
        </w:rPr>
        <w:t xml:space="preserve"> </w:t>
      </w:r>
      <w:r>
        <w:rPr>
          <w:rFonts w:ascii="Verdana" w:hAnsi="Verdana"/>
          <w:sz w:val="16"/>
          <w:szCs w:val="16"/>
        </w:rPr>
        <w:t>OSPINA FERNÁNDEZ, Guillermo &amp; OSPINA ACOSTA, Eduardo. Teoría General del Contrato y del Negocio Jurídico. Séptima edición. Bogotá: Temis, 2021. p. 50.</w:t>
      </w:r>
    </w:p>
  </w:footnote>
  <w:footnote w:id="4">
    <w:p w14:paraId="72E6BCB6" w14:textId="77777777" w:rsidR="00661D26" w:rsidRPr="00D239E3" w:rsidRDefault="00661D26" w:rsidP="00661D26">
      <w:pPr>
        <w:pStyle w:val="Textonotapie"/>
        <w:ind w:firstLine="708"/>
        <w:jc w:val="both"/>
        <w:rPr>
          <w:rFonts w:ascii="Verdana" w:hAnsi="Verdana"/>
          <w:sz w:val="16"/>
          <w:szCs w:val="16"/>
        </w:rPr>
      </w:pPr>
      <w:r w:rsidRPr="005F70F5">
        <w:rPr>
          <w:rStyle w:val="Refdenotaalpie"/>
          <w:rFonts w:ascii="Verdana" w:hAnsi="Verdana"/>
          <w:sz w:val="16"/>
          <w:szCs w:val="16"/>
        </w:rPr>
        <w:footnoteRef/>
      </w:r>
      <w:r w:rsidRPr="005F70F5">
        <w:rPr>
          <w:rFonts w:ascii="Verdana" w:hAnsi="Verdana"/>
          <w:sz w:val="16"/>
          <w:szCs w:val="16"/>
        </w:rPr>
        <w:t xml:space="preserve"> SUÁREZ BELTRÁN, Gonzalo. Estudios de derecho público contractual: Bogotá: Legis, 2014. p. 238. Al respecto, la doctrina </w:t>
      </w:r>
      <w:r w:rsidRPr="00D239E3">
        <w:rPr>
          <w:rFonts w:ascii="Verdana" w:hAnsi="Verdana"/>
          <w:sz w:val="16"/>
          <w:szCs w:val="16"/>
        </w:rPr>
        <w:t xml:space="preserve">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5">
    <w:p w14:paraId="18E29372" w14:textId="77777777" w:rsidR="00661D26" w:rsidRPr="00D239E3" w:rsidRDefault="00661D26" w:rsidP="00661D26">
      <w:pPr>
        <w:pStyle w:val="Textonotapie"/>
        <w:ind w:firstLine="708"/>
        <w:jc w:val="both"/>
        <w:rPr>
          <w:rFonts w:ascii="Verdana" w:hAnsi="Verdana"/>
          <w:color w:val="000000" w:themeColor="text1"/>
          <w:sz w:val="16"/>
          <w:szCs w:val="16"/>
        </w:rPr>
      </w:pPr>
      <w:r w:rsidRPr="00D239E3">
        <w:rPr>
          <w:rStyle w:val="Refdenotaalpie"/>
          <w:rFonts w:ascii="Verdana" w:hAnsi="Verdana"/>
          <w:sz w:val="16"/>
          <w:szCs w:val="16"/>
        </w:rPr>
        <w:footnoteRef/>
      </w:r>
      <w:r w:rsidRPr="00D239E3">
        <w:rPr>
          <w:rFonts w:ascii="Verdana" w:hAnsi="Verdana"/>
          <w:sz w:val="16"/>
          <w:szCs w:val="16"/>
        </w:rPr>
        <w:t xml:space="preserve"> </w:t>
      </w:r>
      <w:r w:rsidRPr="00D239E3">
        <w:rPr>
          <w:rFonts w:ascii="Verdana" w:hAnsi="Verdana"/>
          <w:color w:val="000000" w:themeColor="text1"/>
          <w:sz w:val="16"/>
          <w:szCs w:val="16"/>
        </w:rPr>
        <w:t>CONSEJO DE ESTADO. Sala de Consulta y Servicio Civil. Concepto del 5 de septiembre de 2018. Rad. 2.386. C.P. Edgar González López.</w:t>
      </w:r>
    </w:p>
  </w:footnote>
  <w:footnote w:id="6">
    <w:p w14:paraId="473F43AC" w14:textId="77777777" w:rsidR="00661D26" w:rsidRPr="00E57ED8" w:rsidRDefault="00661D26" w:rsidP="00661D26">
      <w:pPr>
        <w:pStyle w:val="Textonotapie"/>
        <w:ind w:firstLine="708"/>
        <w:jc w:val="both"/>
        <w:rPr>
          <w:rFonts w:ascii="Verdana" w:hAnsi="Verdana"/>
          <w:sz w:val="16"/>
          <w:szCs w:val="16"/>
        </w:rPr>
      </w:pPr>
      <w:r w:rsidRPr="00E57ED8">
        <w:rPr>
          <w:rStyle w:val="Refdenotaalpie"/>
          <w:rFonts w:ascii="Verdana" w:hAnsi="Verdana"/>
          <w:sz w:val="16"/>
          <w:szCs w:val="16"/>
        </w:rPr>
        <w:footnoteRef/>
      </w:r>
      <w:r w:rsidRPr="00E57ED8">
        <w:rPr>
          <w:rFonts w:ascii="Verdana" w:hAnsi="Verdana"/>
          <w:sz w:val="16"/>
          <w:szCs w:val="16"/>
        </w:rPr>
        <w:t xml:space="preserve"> REYES GARCÉS</w:t>
      </w:r>
      <w:r>
        <w:rPr>
          <w:rFonts w:ascii="Verdana" w:hAnsi="Verdana"/>
          <w:sz w:val="16"/>
          <w:szCs w:val="16"/>
        </w:rPr>
        <w:t xml:space="preserve">, </w:t>
      </w:r>
      <w:r w:rsidRPr="00E57ED8">
        <w:rPr>
          <w:rFonts w:ascii="Verdana" w:hAnsi="Verdana"/>
          <w:sz w:val="16"/>
          <w:szCs w:val="16"/>
        </w:rPr>
        <w:t xml:space="preserve">Henry Mauricio </w:t>
      </w:r>
      <w:r>
        <w:rPr>
          <w:rFonts w:ascii="Verdana" w:hAnsi="Verdana"/>
          <w:sz w:val="16"/>
          <w:szCs w:val="16"/>
        </w:rPr>
        <w:t xml:space="preserve">&amp; </w:t>
      </w:r>
      <w:r w:rsidRPr="00E57ED8">
        <w:rPr>
          <w:rFonts w:ascii="Verdana" w:hAnsi="Verdana"/>
          <w:sz w:val="16"/>
          <w:szCs w:val="16"/>
        </w:rPr>
        <w:t>RODRÍGUEZ BURBANO</w:t>
      </w:r>
      <w:r>
        <w:rPr>
          <w:rFonts w:ascii="Verdana" w:hAnsi="Verdana"/>
          <w:sz w:val="16"/>
          <w:szCs w:val="16"/>
        </w:rPr>
        <w:t>,</w:t>
      </w:r>
      <w:r w:rsidRPr="00E57ED8">
        <w:rPr>
          <w:rFonts w:ascii="Verdana" w:hAnsi="Verdana"/>
          <w:sz w:val="16"/>
          <w:szCs w:val="16"/>
        </w:rPr>
        <w:t xml:space="preserve"> Aura Yolima</w:t>
      </w:r>
      <w:r>
        <w:rPr>
          <w:rFonts w:ascii="Verdana" w:hAnsi="Verdana"/>
          <w:sz w:val="16"/>
          <w:szCs w:val="16"/>
        </w:rPr>
        <w:t xml:space="preserve">. </w:t>
      </w:r>
      <w:r w:rsidRPr="00D4038C">
        <w:rPr>
          <w:rFonts w:ascii="Verdana" w:hAnsi="Verdana"/>
          <w:sz w:val="16"/>
          <w:szCs w:val="16"/>
        </w:rPr>
        <w:t>Una apuesta por el concepto de persona razonable: análisis a partir del contrato atípico de servicios logísticos</w:t>
      </w:r>
      <w:r>
        <w:rPr>
          <w:rFonts w:ascii="Verdana" w:hAnsi="Verdana"/>
          <w:sz w:val="16"/>
          <w:szCs w:val="16"/>
        </w:rPr>
        <w:t xml:space="preserve">. Consultado el 11 de noviembre en la página web </w:t>
      </w:r>
      <w:hyperlink r:id="rId1" w:anchor="toc" w:history="1">
        <w:r w:rsidRPr="00880444">
          <w:rPr>
            <w:rStyle w:val="Hipervnculo"/>
            <w:rFonts w:ascii="Verdana" w:hAnsi="Verdana"/>
            <w:sz w:val="16"/>
            <w:szCs w:val="16"/>
          </w:rPr>
          <w:t>https://revistas.uexternado.edu.co/index.php/derpri/article/view/7201/10297#toc</w:t>
        </w:r>
      </w:hyperlink>
      <w:r>
        <w:rPr>
          <w:rFonts w:ascii="Verdana" w:hAnsi="Verdana"/>
          <w:sz w:val="16"/>
          <w:szCs w:val="16"/>
        </w:rPr>
        <w:t xml:space="preserve">. </w:t>
      </w:r>
    </w:p>
  </w:footnote>
  <w:footnote w:id="7">
    <w:p w14:paraId="6113ED5B" w14:textId="77777777" w:rsidR="00661D26" w:rsidRPr="0005266C" w:rsidRDefault="00661D26" w:rsidP="00661D26">
      <w:pPr>
        <w:pStyle w:val="Textonotapie"/>
        <w:ind w:firstLine="708"/>
        <w:jc w:val="both"/>
        <w:rPr>
          <w:lang w:val="pt-BR"/>
        </w:rPr>
      </w:pPr>
      <w:r>
        <w:rPr>
          <w:rStyle w:val="Refdenotaalpie"/>
        </w:rPr>
        <w:footnoteRef/>
      </w:r>
      <w:r w:rsidRPr="0005266C">
        <w:rPr>
          <w:lang w:val="pt-BR"/>
        </w:rPr>
        <w:t xml:space="preserve"> </w:t>
      </w:r>
      <w:r w:rsidRPr="0005266C">
        <w:rPr>
          <w:rFonts w:ascii="Verdana" w:hAnsi="Verdana"/>
          <w:sz w:val="16"/>
          <w:szCs w:val="16"/>
          <w:lang w:val="pt-BR"/>
        </w:rPr>
        <w:t>OSPINA FERNÁNDEZ &amp; OSPINA ACOSTA, Op. cit., p. 51.</w:t>
      </w:r>
    </w:p>
  </w:footnote>
  <w:footnote w:id="8">
    <w:p w14:paraId="5485AE06" w14:textId="77777777" w:rsidR="00661D26" w:rsidRPr="00803692" w:rsidRDefault="00661D26" w:rsidP="00661D26">
      <w:pPr>
        <w:pStyle w:val="Textonotapie"/>
        <w:ind w:firstLine="708"/>
        <w:jc w:val="both"/>
        <w:rPr>
          <w:rFonts w:ascii="Verdana" w:hAnsi="Verdana"/>
          <w:sz w:val="16"/>
          <w:szCs w:val="16"/>
        </w:rPr>
      </w:pPr>
      <w:r w:rsidRPr="00E36125">
        <w:rPr>
          <w:rStyle w:val="Refdenotaalpie"/>
          <w:rFonts w:ascii="Verdana" w:hAnsi="Verdana"/>
          <w:sz w:val="16"/>
          <w:szCs w:val="16"/>
        </w:rPr>
        <w:footnoteRef/>
      </w:r>
      <w:r w:rsidRPr="00E36125">
        <w:rPr>
          <w:rFonts w:ascii="Verdana" w:hAnsi="Verdana"/>
          <w:sz w:val="16"/>
          <w:szCs w:val="16"/>
        </w:rPr>
        <w:t xml:space="preserve"> </w:t>
      </w:r>
      <w:r>
        <w:rPr>
          <w:rFonts w:ascii="Verdana" w:hAnsi="Verdana"/>
          <w:sz w:val="16"/>
          <w:szCs w:val="16"/>
        </w:rPr>
        <w:t>Como señala la doctrina, “</w:t>
      </w:r>
      <w:r w:rsidRPr="00E36125">
        <w:rPr>
          <w:rFonts w:ascii="Verdana" w:hAnsi="Verdana"/>
          <w:sz w:val="16"/>
          <w:szCs w:val="16"/>
        </w:rPr>
        <w:t xml:space="preserve">Las partes del contrato de servicios logísticos serán, de un lado, el empresario, sea este una persona natural o jurídica, que en todo caso requiere la prestación de los servicios de valor agregado ofrecidos por el operador. </w:t>
      </w:r>
      <w:r w:rsidRPr="00E36125">
        <w:rPr>
          <w:rFonts w:ascii="Verdana" w:hAnsi="Verdana"/>
          <w:i/>
          <w:iCs/>
          <w:sz w:val="16"/>
          <w:szCs w:val="16"/>
        </w:rPr>
        <w:t xml:space="preserve">De otro, se encuentra el operador logístico, esto es, la persona natural o jurídica que dispone de infraestructura y capacidad operacional adecuadas para ofrecer en el mercado servicios que suponen dotar de </w:t>
      </w:r>
      <w:r w:rsidRPr="00E36125">
        <w:rPr>
          <w:rFonts w:ascii="Verdana" w:hAnsi="Verdana"/>
          <w:i/>
          <w:iCs/>
          <w:sz w:val="18"/>
          <w:szCs w:val="18"/>
        </w:rPr>
        <w:t>‘</w:t>
      </w:r>
      <w:r w:rsidRPr="00E36125">
        <w:rPr>
          <w:rFonts w:ascii="Verdana" w:hAnsi="Verdana"/>
          <w:i/>
          <w:iCs/>
          <w:sz w:val="16"/>
          <w:szCs w:val="16"/>
        </w:rPr>
        <w:t>valor agregado’ la cadena de abastecimiento, producción o distribución del bien respectivo, mediante la prestación de servicios logísticos durante las fases que van desde la consecución de las materias primas hasta la entrega del producto elaborado al consumidor final</w:t>
      </w:r>
      <w:r>
        <w:rPr>
          <w:rFonts w:ascii="Verdana" w:hAnsi="Verdana"/>
          <w:sz w:val="16"/>
          <w:szCs w:val="16"/>
        </w:rPr>
        <w:t xml:space="preserve">” (Cfr. </w:t>
      </w:r>
      <w:r w:rsidRPr="00E36125">
        <w:rPr>
          <w:rFonts w:ascii="Verdana" w:hAnsi="Verdana"/>
          <w:sz w:val="16"/>
          <w:szCs w:val="16"/>
        </w:rPr>
        <w:t>FRANCO ZÁRATE</w:t>
      </w:r>
      <w:r>
        <w:rPr>
          <w:rFonts w:ascii="Verdana" w:hAnsi="Verdana"/>
          <w:sz w:val="16"/>
          <w:szCs w:val="16"/>
        </w:rPr>
        <w:t>,</w:t>
      </w:r>
      <w:r w:rsidRPr="00E36125">
        <w:rPr>
          <w:rFonts w:ascii="Verdana" w:hAnsi="Verdana"/>
          <w:sz w:val="16"/>
          <w:szCs w:val="16"/>
        </w:rPr>
        <w:t xml:space="preserve"> Javier Andrés</w:t>
      </w:r>
      <w:r>
        <w:rPr>
          <w:rFonts w:ascii="Verdana" w:hAnsi="Verdana"/>
          <w:sz w:val="16"/>
          <w:szCs w:val="16"/>
        </w:rPr>
        <w:t xml:space="preserve">. </w:t>
      </w:r>
      <w:r w:rsidRPr="00E36125">
        <w:rPr>
          <w:rFonts w:ascii="Verdana" w:hAnsi="Verdana"/>
          <w:sz w:val="16"/>
          <w:szCs w:val="16"/>
        </w:rPr>
        <w:t>Aspectos legales de la logística comercial y los contratos de servicios logísticos</w:t>
      </w:r>
      <w:r>
        <w:rPr>
          <w:rFonts w:ascii="Verdana" w:hAnsi="Verdana"/>
          <w:sz w:val="16"/>
          <w:szCs w:val="16"/>
        </w:rPr>
        <w:t>. Bogotá: Universidad Externado de Colombia, 2014. p. 159).</w:t>
      </w:r>
    </w:p>
  </w:footnote>
  <w:footnote w:id="9">
    <w:p w14:paraId="27720096" w14:textId="77777777" w:rsidR="00661D26" w:rsidRDefault="00661D26" w:rsidP="00661D26">
      <w:pPr>
        <w:pStyle w:val="Textonotapie"/>
        <w:ind w:firstLine="709"/>
        <w:jc w:val="both"/>
        <w:rPr>
          <w:rFonts w:ascii="Verdana" w:hAnsi="Verdana"/>
          <w:sz w:val="16"/>
          <w:szCs w:val="16"/>
        </w:rPr>
      </w:pPr>
      <w:r w:rsidRPr="00E721F8">
        <w:rPr>
          <w:rStyle w:val="Refdenotaalpie"/>
          <w:rFonts w:ascii="Verdana" w:hAnsi="Verdana"/>
          <w:sz w:val="16"/>
          <w:szCs w:val="16"/>
        </w:rPr>
        <w:footnoteRef/>
      </w:r>
      <w:r w:rsidRPr="00E721F8">
        <w:rPr>
          <w:rFonts w:ascii="Verdana" w:hAnsi="Verdana"/>
          <w:sz w:val="16"/>
          <w:szCs w:val="16"/>
        </w:rPr>
        <w:t xml:space="preserve"> SÁNCHEZ TRUJILLO</w:t>
      </w:r>
      <w:r>
        <w:rPr>
          <w:rFonts w:ascii="Verdana" w:hAnsi="Verdana"/>
          <w:sz w:val="16"/>
          <w:szCs w:val="16"/>
        </w:rPr>
        <w:t>,</w:t>
      </w:r>
      <w:r w:rsidRPr="00E721F8">
        <w:rPr>
          <w:rFonts w:ascii="Verdana" w:hAnsi="Verdana"/>
          <w:sz w:val="16"/>
          <w:szCs w:val="16"/>
        </w:rPr>
        <w:t xml:space="preserve"> Juan Pablo</w:t>
      </w:r>
      <w:r>
        <w:rPr>
          <w:rFonts w:ascii="Verdana" w:hAnsi="Verdana"/>
          <w:sz w:val="16"/>
          <w:szCs w:val="16"/>
        </w:rPr>
        <w:t xml:space="preserve">. </w:t>
      </w:r>
      <w:r w:rsidRPr="00E721F8">
        <w:rPr>
          <w:rFonts w:ascii="Verdana" w:hAnsi="Verdana"/>
          <w:sz w:val="16"/>
          <w:szCs w:val="16"/>
        </w:rPr>
        <w:t>Completitud de la oferta del contrato atípico: elementos esenciales del contrato atípico como requisito de delimitación del objeto de la oferta mercantil</w:t>
      </w:r>
      <w:r>
        <w:rPr>
          <w:rFonts w:ascii="Verdana" w:hAnsi="Verdana"/>
          <w:sz w:val="16"/>
          <w:szCs w:val="16"/>
        </w:rPr>
        <w:t xml:space="preserve">. Consultado el 11 de noviembre de 2024 en la página web </w:t>
      </w:r>
      <w:hyperlink r:id="rId2" w:history="1">
        <w:r w:rsidRPr="00880444">
          <w:rPr>
            <w:rStyle w:val="Hipervnculo"/>
            <w:rFonts w:ascii="Verdana" w:hAnsi="Verdana"/>
            <w:sz w:val="16"/>
            <w:szCs w:val="16"/>
          </w:rPr>
          <w:t>https://revistas.udea.edu.co/index.php/derypol/article/view/331285/20790715</w:t>
        </w:r>
      </w:hyperlink>
      <w:r>
        <w:rPr>
          <w:rFonts w:ascii="Verdana" w:hAnsi="Verdana"/>
          <w:sz w:val="16"/>
          <w:szCs w:val="16"/>
        </w:rPr>
        <w:t xml:space="preserve">. </w:t>
      </w:r>
    </w:p>
    <w:p w14:paraId="5B8D3D40" w14:textId="77777777" w:rsidR="00661D26" w:rsidRPr="00E721F8" w:rsidRDefault="00661D26" w:rsidP="00661D26">
      <w:pPr>
        <w:pStyle w:val="Textonotapie"/>
        <w:ind w:firstLine="709"/>
        <w:jc w:val="both"/>
        <w:rPr>
          <w:rFonts w:ascii="Verdana" w:hAnsi="Verdana"/>
          <w:sz w:val="16"/>
          <w:szCs w:val="16"/>
          <w:lang w:val="es-CO"/>
        </w:rPr>
      </w:pPr>
    </w:p>
  </w:footnote>
  <w:footnote w:id="10">
    <w:p w14:paraId="5473BA62" w14:textId="77777777" w:rsidR="00661D26" w:rsidRPr="004E605A" w:rsidRDefault="00661D26" w:rsidP="00661D26">
      <w:pPr>
        <w:spacing w:after="0" w:line="244" w:lineRule="auto"/>
        <w:ind w:left="120" w:firstLine="707"/>
        <w:jc w:val="both"/>
        <w:rPr>
          <w:rFonts w:ascii="Verdana" w:hAnsi="Verdana" w:cs="Arial"/>
          <w:sz w:val="18"/>
          <w:szCs w:val="18"/>
        </w:rPr>
      </w:pPr>
      <w:r w:rsidRPr="004E605A">
        <w:rPr>
          <w:rStyle w:val="Refdenotaalpie"/>
          <w:rFonts w:ascii="Verdana" w:hAnsi="Verdana" w:cs="Arial"/>
          <w:sz w:val="18"/>
          <w:szCs w:val="18"/>
        </w:rPr>
        <w:footnoteRef/>
      </w:r>
      <w:r w:rsidRPr="004E605A">
        <w:rPr>
          <w:rFonts w:ascii="Verdana" w:hAnsi="Verdana" w:cs="Arial"/>
          <w:position w:val="6"/>
          <w:sz w:val="18"/>
          <w:szCs w:val="18"/>
        </w:rPr>
        <w:t xml:space="preserve"> </w:t>
      </w:r>
      <w:r w:rsidRPr="004E605A">
        <w:rPr>
          <w:rFonts w:ascii="Verdana" w:hAnsi="Verdana" w:cs="Arial"/>
          <w:sz w:val="18"/>
          <w:szCs w:val="18"/>
        </w:rPr>
        <w:t>DEIK ACOSTAMADIEDO, Carolina, Guía de Contratación Estatal: Deber de planeación y modalidades de selección, Buenos Aires, 2015, p. 59.</w:t>
      </w:r>
    </w:p>
  </w:footnote>
  <w:footnote w:id="11">
    <w:p w14:paraId="76C21E49" w14:textId="77777777" w:rsidR="00661D26" w:rsidRPr="004E605A" w:rsidRDefault="00661D26" w:rsidP="00661D26">
      <w:pPr>
        <w:pStyle w:val="Textonotapie"/>
        <w:ind w:firstLine="709"/>
        <w:jc w:val="both"/>
        <w:rPr>
          <w:rFonts w:ascii="Verdana" w:hAnsi="Verdana" w:cs="Arial"/>
          <w:sz w:val="18"/>
          <w:szCs w:val="18"/>
          <w:lang w:val="pt-BR"/>
        </w:rPr>
      </w:pPr>
      <w:r w:rsidRPr="004E605A">
        <w:rPr>
          <w:rStyle w:val="Refdenotaalpie"/>
          <w:rFonts w:ascii="Verdana" w:hAnsi="Verdana" w:cs="Arial"/>
          <w:sz w:val="18"/>
          <w:szCs w:val="18"/>
        </w:rPr>
        <w:footnoteRef/>
      </w:r>
      <w:r w:rsidRPr="004E605A">
        <w:rPr>
          <w:rFonts w:ascii="Verdana" w:hAnsi="Verdana" w:cs="Arial"/>
          <w:sz w:val="18"/>
          <w:szCs w:val="18"/>
          <w:lang w:val="pt-BR"/>
        </w:rPr>
        <w:t xml:space="preserve"> Tomado de </w:t>
      </w:r>
      <w:hyperlink r:id="rId3" w:history="1">
        <w:r w:rsidRPr="0030751E">
          <w:rPr>
            <w:rStyle w:val="Hipervnculo"/>
            <w:rFonts w:ascii="Verdana" w:hAnsi="Verdana" w:cs="Arial"/>
            <w:color w:val="0E2841"/>
            <w:sz w:val="18"/>
            <w:szCs w:val="18"/>
            <w:lang w:val="pt-BR"/>
          </w:rPr>
          <w:t>https://sintesis.colombiacompra.gov.co/sintesis/9-etapa-precontractual-estudios-previos</w:t>
        </w:r>
      </w:hyperlink>
      <w:r w:rsidRPr="004E605A">
        <w:rPr>
          <w:rFonts w:ascii="Verdana" w:hAnsi="Verdana" w:cs="Arial"/>
          <w:sz w:val="18"/>
          <w:szCs w:val="18"/>
          <w:lang w:val="pt-BR"/>
        </w:rPr>
        <w:t>.</w:t>
      </w:r>
    </w:p>
    <w:p w14:paraId="1010CAD0" w14:textId="77777777" w:rsidR="00661D26" w:rsidRPr="004E605A" w:rsidRDefault="00661D26" w:rsidP="00661D26">
      <w:pPr>
        <w:pStyle w:val="Textonotapie"/>
        <w:ind w:left="142" w:firstLine="709"/>
        <w:jc w:val="both"/>
        <w:rPr>
          <w:rFonts w:ascii="Verdana" w:hAnsi="Verdana" w:cs="Arial"/>
          <w:sz w:val="18"/>
          <w:szCs w:val="18"/>
          <w:lang w:val="pt-BR"/>
        </w:rPr>
      </w:pPr>
    </w:p>
  </w:footnote>
  <w:footnote w:id="12">
    <w:p w14:paraId="6F413D70" w14:textId="77777777" w:rsidR="00661D26" w:rsidRPr="004272A2" w:rsidRDefault="00661D26" w:rsidP="00661D26">
      <w:pPr>
        <w:pStyle w:val="Textonotapie"/>
        <w:ind w:firstLine="707"/>
        <w:jc w:val="both"/>
        <w:rPr>
          <w:rFonts w:ascii="Verdana" w:hAnsi="Verdana"/>
          <w:sz w:val="16"/>
          <w:szCs w:val="16"/>
          <w:lang w:val="es-ES"/>
        </w:rPr>
      </w:pPr>
      <w:r w:rsidRPr="00AE2D73">
        <w:rPr>
          <w:rStyle w:val="Refdenotaalpie"/>
          <w:rFonts w:ascii="Verdana" w:hAnsi="Verdana"/>
          <w:sz w:val="16"/>
          <w:szCs w:val="16"/>
        </w:rPr>
        <w:footnoteRef/>
      </w:r>
      <w:r w:rsidRPr="00AE2D73">
        <w:rPr>
          <w:rFonts w:ascii="Verdana" w:hAnsi="Verdana"/>
          <w:sz w:val="16"/>
          <w:szCs w:val="16"/>
        </w:rPr>
        <w:t xml:space="preserve"> </w:t>
      </w:r>
      <w:r>
        <w:rPr>
          <w:rFonts w:ascii="Verdana" w:hAnsi="Verdana"/>
          <w:sz w:val="16"/>
          <w:szCs w:val="16"/>
          <w:lang w:val="es-ES"/>
        </w:rPr>
        <w:t>“</w:t>
      </w:r>
      <w:r w:rsidRPr="004272A2">
        <w:rPr>
          <w:rFonts w:ascii="Verdana" w:hAnsi="Verdana"/>
          <w:sz w:val="16"/>
          <w:szCs w:val="16"/>
          <w:lang w:val="es-CO"/>
        </w:rPr>
        <w:t xml:space="preserve">El literal c, del numeral 4, del artículo 2 de la Ley 1150 de 2007, prescribe: </w:t>
      </w:r>
      <w:r w:rsidRPr="004272A2">
        <w:rPr>
          <w:rFonts w:ascii="Verdana" w:hAnsi="Verdana"/>
          <w:sz w:val="16"/>
          <w:szCs w:val="16"/>
          <w:lang w:val="es-ES"/>
        </w:rPr>
        <w:t>c) &lt;Inciso 1o. modificado por el artículo </w:t>
      </w:r>
      <w:hyperlink r:id="rId4" w:anchor="92" w:history="1">
        <w:r w:rsidRPr="004272A2">
          <w:rPr>
            <w:rStyle w:val="Hipervnculo"/>
            <w:rFonts w:ascii="Verdana" w:hAnsi="Verdana"/>
            <w:color w:val="auto"/>
            <w:sz w:val="16"/>
            <w:szCs w:val="16"/>
            <w:lang w:val="es-ES"/>
          </w:rPr>
          <w:t>92</w:t>
        </w:r>
      </w:hyperlink>
      <w:r w:rsidRPr="004272A2">
        <w:rPr>
          <w:rFonts w:ascii="Verdana" w:hAnsi="Verdana"/>
          <w:sz w:val="16"/>
          <w:szCs w:val="16"/>
          <w:lang w:val="es-ES"/>
        </w:rPr>
        <w:t> de la Ley 1474 de 2011. El nuevo texto es el siguiente:&gt; Contratos interadministrativos, siempre que las obligaciones derivadas del mismo tengan relación directa con el objeto de la entidad ejecutora señalado en la ley o en sus reglamentos».</w:t>
      </w:r>
    </w:p>
    <w:p w14:paraId="34DEF483" w14:textId="77777777" w:rsidR="00661D26" w:rsidRPr="00803692" w:rsidRDefault="00661D26" w:rsidP="00661D26">
      <w:pPr>
        <w:pStyle w:val="Textonotapie"/>
        <w:ind w:firstLine="707"/>
        <w:jc w:val="both"/>
        <w:rPr>
          <w:rFonts w:ascii="Verdana" w:hAnsi="Verdana"/>
          <w:sz w:val="16"/>
          <w:szCs w:val="16"/>
          <w:lang w:val="es-ES"/>
        </w:rPr>
      </w:pPr>
      <w:r w:rsidRPr="004272A2">
        <w:rPr>
          <w:rFonts w:ascii="Verdana" w:hAnsi="Verdana"/>
          <w:sz w:val="16"/>
          <w:szCs w:val="16"/>
          <w:lang w:val="es-ES"/>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13">
    <w:p w14:paraId="6857251F" w14:textId="77777777" w:rsidR="00661D26" w:rsidRPr="00AE2D73" w:rsidRDefault="00661D26" w:rsidP="00661D26">
      <w:pPr>
        <w:pStyle w:val="Textonotapie"/>
        <w:ind w:firstLine="707"/>
        <w:jc w:val="both"/>
        <w:rPr>
          <w:rFonts w:ascii="Verdana" w:hAnsi="Verdana"/>
          <w:sz w:val="16"/>
          <w:szCs w:val="16"/>
          <w:lang w:val="es-ES"/>
        </w:rPr>
      </w:pPr>
      <w:r w:rsidRPr="00AE2D73">
        <w:rPr>
          <w:rStyle w:val="Refdenotaalpie"/>
          <w:rFonts w:ascii="Verdana" w:hAnsi="Verdana"/>
          <w:sz w:val="16"/>
          <w:szCs w:val="16"/>
        </w:rPr>
        <w:footnoteRef/>
      </w:r>
      <w:r w:rsidRPr="00AE2D73">
        <w:rPr>
          <w:rFonts w:ascii="Verdana" w:hAnsi="Verdana"/>
          <w:sz w:val="16"/>
          <w:szCs w:val="16"/>
        </w:rPr>
        <w:t xml:space="preserve"> </w:t>
      </w:r>
      <w:r w:rsidRPr="00AE2D73">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AE2D73">
        <w:rPr>
          <w:rFonts w:ascii="Verdana" w:hAnsi="Verdana" w:cs="Arial"/>
          <w:spacing w:val="-6"/>
          <w:sz w:val="16"/>
          <w:szCs w:val="16"/>
        </w:rPr>
        <w:t xml:space="preserve"> </w:t>
      </w:r>
      <w:r w:rsidRPr="00AE2D73">
        <w:rPr>
          <w:rFonts w:ascii="Verdana" w:hAnsi="Verdana" w:cs="Arial"/>
          <w:sz w:val="16"/>
          <w:szCs w:val="16"/>
        </w:rPr>
        <w:t>artículo”.</w:t>
      </w:r>
    </w:p>
  </w:footnote>
  <w:footnote w:id="14">
    <w:p w14:paraId="6A69DFEE" w14:textId="77777777" w:rsidR="00661D26" w:rsidRPr="00985F9A" w:rsidRDefault="00661D26" w:rsidP="00661D26">
      <w:pPr>
        <w:pStyle w:val="Textonotapie"/>
        <w:ind w:firstLine="707"/>
        <w:jc w:val="both"/>
        <w:rPr>
          <w:rFonts w:ascii="Verdana" w:hAnsi="Verdana"/>
          <w:sz w:val="16"/>
          <w:szCs w:val="16"/>
          <w:lang w:val="es-CO"/>
        </w:rPr>
      </w:pPr>
      <w:r w:rsidRPr="00985F9A">
        <w:rPr>
          <w:rStyle w:val="Refdenotaalpie"/>
          <w:rFonts w:ascii="Verdana" w:hAnsi="Verdana"/>
          <w:sz w:val="16"/>
          <w:szCs w:val="16"/>
        </w:rPr>
        <w:footnoteRef/>
      </w:r>
      <w:r w:rsidRPr="00985F9A">
        <w:rPr>
          <w:rFonts w:ascii="Verdana" w:hAnsi="Verdana"/>
          <w:sz w:val="16"/>
          <w:szCs w:val="16"/>
        </w:rPr>
        <w:t xml:space="preserve"> </w:t>
      </w:r>
      <w:r w:rsidRPr="00985F9A">
        <w:rPr>
          <w:rFonts w:ascii="Verdana" w:hAnsi="Verdana"/>
          <w:sz w:val="16"/>
          <w:szCs w:val="16"/>
          <w:lang w:val="es-CO"/>
        </w:rPr>
        <w:t>Artículo 25.</w:t>
      </w:r>
      <w:r>
        <w:rPr>
          <w:rFonts w:ascii="Verdana" w:hAnsi="Verdana"/>
          <w:sz w:val="16"/>
          <w:szCs w:val="16"/>
          <w:lang w:val="es-CO"/>
        </w:rPr>
        <w:t xml:space="preserve"> </w:t>
      </w:r>
      <w:r w:rsidRPr="00985F9A">
        <w:rPr>
          <w:rFonts w:ascii="Verdana" w:hAnsi="Verdana"/>
          <w:i/>
          <w:iCs/>
          <w:sz w:val="16"/>
          <w:szCs w:val="16"/>
          <w:lang w:val="es-CO"/>
        </w:rPr>
        <w:t>Proceso de gestión de los programas de bienestar. </w:t>
      </w:r>
      <w:r w:rsidRPr="00985F9A">
        <w:rPr>
          <w:rFonts w:ascii="Verdana" w:hAnsi="Verdana"/>
          <w:sz w:val="16"/>
          <w:szCs w:val="16"/>
          <w:lang w:val="es-CO"/>
        </w:rPr>
        <w:t>Para el diseño y la ejecución de los programas de bienestar social las entidades deberán seguir el proceso de gestión que se describe a continuación: </w:t>
      </w:r>
    </w:p>
    <w:p w14:paraId="7AC0983B" w14:textId="77777777" w:rsidR="00661D26" w:rsidRPr="00985F9A" w:rsidRDefault="00661D26" w:rsidP="00661D26">
      <w:pPr>
        <w:pStyle w:val="Textonotapie"/>
        <w:ind w:firstLine="707"/>
        <w:jc w:val="both"/>
        <w:rPr>
          <w:rFonts w:ascii="Verdana" w:hAnsi="Verdana"/>
          <w:sz w:val="16"/>
          <w:szCs w:val="16"/>
          <w:lang w:val="es-CO"/>
        </w:rPr>
      </w:pPr>
      <w:r w:rsidRPr="00985F9A">
        <w:rPr>
          <w:rFonts w:ascii="Verdana" w:hAnsi="Verdana"/>
          <w:sz w:val="16"/>
          <w:szCs w:val="16"/>
          <w:lang w:val="es-CO"/>
        </w:rPr>
        <w:t>a) Estudio de las necesidades de los empleados y de sus familias, con el fin de establecer prioridades y seleccionar alternativas, de acuerdo con los lineamientos señalados en las estrategias de desarrollo institucional y en las políticas del Gobierno Nacional; </w:t>
      </w:r>
    </w:p>
    <w:p w14:paraId="499D096B" w14:textId="77777777" w:rsidR="00661D26" w:rsidRPr="00985F9A" w:rsidRDefault="00661D26" w:rsidP="00661D26">
      <w:pPr>
        <w:pStyle w:val="Textonotapie"/>
        <w:ind w:firstLine="707"/>
        <w:jc w:val="both"/>
        <w:rPr>
          <w:rFonts w:ascii="Verdana" w:hAnsi="Verdana"/>
          <w:sz w:val="16"/>
          <w:szCs w:val="16"/>
          <w:lang w:val="es-CO"/>
        </w:rPr>
      </w:pPr>
      <w:r w:rsidRPr="00985F9A">
        <w:rPr>
          <w:rFonts w:ascii="Verdana" w:hAnsi="Verdana"/>
          <w:sz w:val="16"/>
          <w:szCs w:val="16"/>
          <w:lang w:val="es-CO"/>
        </w:rPr>
        <w:t>b) Diseño de programas y proyectos para atender las necesidades detectadas, que tengan amplia cobertura institucional y que incluyan recursos internos e interinstitucionales disponibles; </w:t>
      </w:r>
    </w:p>
    <w:p w14:paraId="287F1C9F" w14:textId="77777777" w:rsidR="00661D26" w:rsidRPr="00985F9A" w:rsidRDefault="00661D26" w:rsidP="00661D26">
      <w:pPr>
        <w:pStyle w:val="Textonotapie"/>
        <w:ind w:firstLine="707"/>
        <w:jc w:val="both"/>
        <w:rPr>
          <w:rFonts w:ascii="Verdana" w:hAnsi="Verdana"/>
          <w:sz w:val="16"/>
          <w:szCs w:val="16"/>
          <w:lang w:val="es-CO"/>
        </w:rPr>
      </w:pPr>
      <w:r w:rsidRPr="00985F9A">
        <w:rPr>
          <w:rFonts w:ascii="Verdana" w:hAnsi="Verdana"/>
          <w:sz w:val="16"/>
          <w:szCs w:val="16"/>
          <w:lang w:val="es-CO"/>
        </w:rPr>
        <w:t xml:space="preserve">c) Ejecución de programas en forma directa o mediante contratación con personas naturales o jurídicas, o a través de los organismos encargados de la protección, la </w:t>
      </w:r>
      <w:r w:rsidRPr="00985F9A">
        <w:rPr>
          <w:rFonts w:ascii="Verdana" w:hAnsi="Verdana"/>
          <w:sz w:val="16"/>
          <w:szCs w:val="16"/>
          <w:lang w:val="es-CO"/>
        </w:rPr>
        <w:t>seguridad social y los servicios sociales, según sea la necesidad o la problemática a resolver; </w:t>
      </w:r>
    </w:p>
    <w:p w14:paraId="2F79D5EE" w14:textId="77777777" w:rsidR="00661D26" w:rsidRPr="00985F9A" w:rsidRDefault="00661D26" w:rsidP="00661D26">
      <w:pPr>
        <w:pStyle w:val="Textonotapie"/>
        <w:ind w:firstLine="707"/>
        <w:jc w:val="both"/>
        <w:rPr>
          <w:rFonts w:ascii="Verdana" w:hAnsi="Verdana"/>
          <w:sz w:val="16"/>
          <w:szCs w:val="16"/>
          <w:lang w:val="es-CO"/>
        </w:rPr>
      </w:pPr>
      <w:r w:rsidRPr="00985F9A">
        <w:rPr>
          <w:rFonts w:ascii="Verdana" w:hAnsi="Verdana"/>
          <w:sz w:val="16"/>
          <w:szCs w:val="16"/>
          <w:lang w:val="es-CO"/>
        </w:rPr>
        <w:t>d) Evaluación y seguimiento a los programas adelantados, para verificar la eficacia de los mismos y decidir sobre su modificación o continuidad. </w:t>
      </w:r>
    </w:p>
    <w:p w14:paraId="7010E0F4" w14:textId="77777777" w:rsidR="00661D26" w:rsidRPr="00985F9A" w:rsidRDefault="00661D26" w:rsidP="00661D26">
      <w:pPr>
        <w:pStyle w:val="Textonotapie"/>
        <w:ind w:firstLine="707"/>
        <w:jc w:val="both"/>
        <w:rPr>
          <w:rFonts w:ascii="Verdana" w:hAnsi="Verdana"/>
          <w:sz w:val="16"/>
          <w:szCs w:val="16"/>
          <w:lang w:val="es-CO"/>
        </w:rPr>
      </w:pPr>
      <w:r w:rsidRPr="00985F9A">
        <w:rPr>
          <w:rFonts w:ascii="Verdana" w:hAnsi="Verdana"/>
          <w:sz w:val="16"/>
          <w:szCs w:val="16"/>
          <w:lang w:val="es-CO"/>
        </w:rPr>
        <w:t>Parágrafo. En el proceso de gestión debe promoverse la participación activa de los empleados en la identificación de necesidades, en la planeación, en la ejecución y en la evaluación de los programas de bienestar social.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C78D9" w:rsidRDefault="00AC78D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78D9" w:rsidRDefault="00AC78D9">
    <w:pPr>
      <w:pStyle w:val="Encabezado"/>
    </w:pPr>
  </w:p>
  <w:p w14:paraId="5E18350A" w14:textId="705F7B76" w:rsidR="00AC78D9" w:rsidRPr="004A305D" w:rsidRDefault="00AC78D9" w:rsidP="00B01B1A">
    <w:pPr>
      <w:spacing w:after="0" w:line="120" w:lineRule="auto"/>
      <w:rPr>
        <w:rFonts w:ascii="Century Gothic" w:eastAsia="Geo" w:hAnsi="Century Gothic" w:cs="Geo"/>
        <w:sz w:val="16"/>
        <w:szCs w:val="16"/>
        <w:lang w:eastAsia="es-CO"/>
      </w:rPr>
    </w:pPr>
  </w:p>
  <w:p w14:paraId="211B7F5D" w14:textId="77777777" w:rsidR="00AC78D9" w:rsidRDefault="00AC78D9" w:rsidP="00844AE9">
    <w:pPr>
      <w:spacing w:after="0" w:line="240" w:lineRule="auto"/>
      <w:rPr>
        <w:rFonts w:ascii="Verdana" w:hAnsi="Verdana"/>
        <w:sz w:val="24"/>
        <w:szCs w:val="24"/>
      </w:rPr>
    </w:pPr>
  </w:p>
  <w:p w14:paraId="5A0054B1" w14:textId="77777777" w:rsidR="00AC78D9" w:rsidRPr="00C925AC" w:rsidRDefault="00AC78D9" w:rsidP="00844AE9">
    <w:pPr>
      <w:spacing w:after="0" w:line="240" w:lineRule="auto"/>
      <w:rPr>
        <w:rFonts w:ascii="Verdana" w:hAnsi="Verdana"/>
        <w:sz w:val="24"/>
        <w:szCs w:val="24"/>
      </w:rPr>
    </w:pPr>
  </w:p>
  <w:p w14:paraId="1FD1C243" w14:textId="37C5500A" w:rsidR="00AC78D9" w:rsidRPr="00C925AC" w:rsidRDefault="00AC78D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9131495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003A10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3110008"/>
    <w:multiLevelType w:val="hybridMultilevel"/>
    <w:tmpl w:val="A6B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9543D3"/>
    <w:multiLevelType w:val="multilevel"/>
    <w:tmpl w:val="77B25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2D3058"/>
    <w:multiLevelType w:val="multilevel"/>
    <w:tmpl w:val="96F47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5B752E8"/>
    <w:multiLevelType w:val="multilevel"/>
    <w:tmpl w:val="C638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B897A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7394A80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5210755">
    <w:abstractNumId w:val="10"/>
  </w:num>
  <w:num w:numId="2" w16cid:durableId="25956374">
    <w:abstractNumId w:val="3"/>
  </w:num>
  <w:num w:numId="3" w16cid:durableId="1289318625">
    <w:abstractNumId w:val="7"/>
  </w:num>
  <w:num w:numId="4" w16cid:durableId="12594888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46663789">
    <w:abstractNumId w:val="3"/>
  </w:num>
  <w:num w:numId="6" w16cid:durableId="459346595">
    <w:abstractNumId w:val="20"/>
  </w:num>
  <w:num w:numId="7" w16cid:durableId="1071582235">
    <w:abstractNumId w:val="8"/>
  </w:num>
  <w:num w:numId="8" w16cid:durableId="1658345080">
    <w:abstractNumId w:val="19"/>
  </w:num>
  <w:num w:numId="9" w16cid:durableId="2006743987">
    <w:abstractNumId w:val="12"/>
  </w:num>
  <w:num w:numId="10" w16cid:durableId="988291764">
    <w:abstractNumId w:val="18"/>
  </w:num>
  <w:num w:numId="11" w16cid:durableId="268859016">
    <w:abstractNumId w:val="13"/>
  </w:num>
  <w:num w:numId="12" w16cid:durableId="1244031670">
    <w:abstractNumId w:val="2"/>
  </w:num>
  <w:num w:numId="13" w16cid:durableId="1736968406">
    <w:abstractNumId w:val="5"/>
  </w:num>
  <w:num w:numId="14" w16cid:durableId="553348553">
    <w:abstractNumId w:val="21"/>
  </w:num>
  <w:num w:numId="15" w16cid:durableId="1256745277">
    <w:abstractNumId w:val="17"/>
  </w:num>
  <w:num w:numId="16" w16cid:durableId="1829401630">
    <w:abstractNumId w:val="6"/>
  </w:num>
  <w:num w:numId="17" w16cid:durableId="1136022586">
    <w:abstractNumId w:val="14"/>
  </w:num>
  <w:num w:numId="18" w16cid:durableId="224222630">
    <w:abstractNumId w:val="22"/>
  </w:num>
  <w:num w:numId="19" w16cid:durableId="1478953943">
    <w:abstractNumId w:val="24"/>
  </w:num>
  <w:num w:numId="20" w16cid:durableId="432358919">
    <w:abstractNumId w:val="15"/>
  </w:num>
  <w:num w:numId="21" w16cid:durableId="185214892">
    <w:abstractNumId w:val="11"/>
  </w:num>
  <w:num w:numId="22" w16cid:durableId="412314625">
    <w:abstractNumId w:val="9"/>
  </w:num>
  <w:num w:numId="23" w16cid:durableId="905147211">
    <w:abstractNumId w:val="4"/>
  </w:num>
  <w:num w:numId="24" w16cid:durableId="1901163627">
    <w:abstractNumId w:val="23"/>
  </w:num>
  <w:num w:numId="25" w16cid:durableId="2040079075">
    <w:abstractNumId w:val="16"/>
  </w:num>
  <w:num w:numId="26" w16cid:durableId="344670258">
    <w:abstractNumId w:val="0"/>
  </w:num>
  <w:num w:numId="27" w16cid:durableId="1407067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830"/>
    <w:rsid w:val="00003AE5"/>
    <w:rsid w:val="0000617B"/>
    <w:rsid w:val="00006D2B"/>
    <w:rsid w:val="00006E40"/>
    <w:rsid w:val="00007A17"/>
    <w:rsid w:val="00016F78"/>
    <w:rsid w:val="000219F8"/>
    <w:rsid w:val="00021D6E"/>
    <w:rsid w:val="000222A0"/>
    <w:rsid w:val="000242D6"/>
    <w:rsid w:val="00035DF5"/>
    <w:rsid w:val="00037881"/>
    <w:rsid w:val="00037924"/>
    <w:rsid w:val="00042B3F"/>
    <w:rsid w:val="000435D6"/>
    <w:rsid w:val="00044AE3"/>
    <w:rsid w:val="00046945"/>
    <w:rsid w:val="00047AFC"/>
    <w:rsid w:val="00057892"/>
    <w:rsid w:val="0006175D"/>
    <w:rsid w:val="00061B2A"/>
    <w:rsid w:val="00064620"/>
    <w:rsid w:val="00064894"/>
    <w:rsid w:val="00067A7E"/>
    <w:rsid w:val="00073CC6"/>
    <w:rsid w:val="000769CD"/>
    <w:rsid w:val="00082362"/>
    <w:rsid w:val="00086493"/>
    <w:rsid w:val="000970F4"/>
    <w:rsid w:val="00097627"/>
    <w:rsid w:val="000A683E"/>
    <w:rsid w:val="000A6D75"/>
    <w:rsid w:val="000A7361"/>
    <w:rsid w:val="000B19B9"/>
    <w:rsid w:val="000B2F1D"/>
    <w:rsid w:val="000B57F5"/>
    <w:rsid w:val="000C58CD"/>
    <w:rsid w:val="000D0334"/>
    <w:rsid w:val="000D180F"/>
    <w:rsid w:val="000D3A65"/>
    <w:rsid w:val="000D5DA7"/>
    <w:rsid w:val="000E2C67"/>
    <w:rsid w:val="000E7E87"/>
    <w:rsid w:val="000F6486"/>
    <w:rsid w:val="000F6F18"/>
    <w:rsid w:val="00100912"/>
    <w:rsid w:val="00106C49"/>
    <w:rsid w:val="00110767"/>
    <w:rsid w:val="0011424E"/>
    <w:rsid w:val="00116940"/>
    <w:rsid w:val="00125105"/>
    <w:rsid w:val="00126B92"/>
    <w:rsid w:val="00127233"/>
    <w:rsid w:val="001308AF"/>
    <w:rsid w:val="00133EDB"/>
    <w:rsid w:val="001357B2"/>
    <w:rsid w:val="00136941"/>
    <w:rsid w:val="00143629"/>
    <w:rsid w:val="001465A1"/>
    <w:rsid w:val="00153073"/>
    <w:rsid w:val="0015699B"/>
    <w:rsid w:val="00161470"/>
    <w:rsid w:val="00167520"/>
    <w:rsid w:val="00176619"/>
    <w:rsid w:val="00177A37"/>
    <w:rsid w:val="00177FFA"/>
    <w:rsid w:val="00190C21"/>
    <w:rsid w:val="001947DA"/>
    <w:rsid w:val="001A1137"/>
    <w:rsid w:val="001A33BF"/>
    <w:rsid w:val="001A5624"/>
    <w:rsid w:val="001B31E2"/>
    <w:rsid w:val="001B3639"/>
    <w:rsid w:val="001C0E89"/>
    <w:rsid w:val="001C17E7"/>
    <w:rsid w:val="001C38A0"/>
    <w:rsid w:val="001D0B34"/>
    <w:rsid w:val="001D17BD"/>
    <w:rsid w:val="001D2619"/>
    <w:rsid w:val="001D42D0"/>
    <w:rsid w:val="001D5DC3"/>
    <w:rsid w:val="001E1465"/>
    <w:rsid w:val="001E4177"/>
    <w:rsid w:val="001E660C"/>
    <w:rsid w:val="001F0B24"/>
    <w:rsid w:val="001F2E9B"/>
    <w:rsid w:val="001F7DC6"/>
    <w:rsid w:val="00201961"/>
    <w:rsid w:val="00205596"/>
    <w:rsid w:val="002231F4"/>
    <w:rsid w:val="0022400B"/>
    <w:rsid w:val="002273F6"/>
    <w:rsid w:val="00230B92"/>
    <w:rsid w:val="00231042"/>
    <w:rsid w:val="00240420"/>
    <w:rsid w:val="002411CD"/>
    <w:rsid w:val="002421BB"/>
    <w:rsid w:val="00242EB4"/>
    <w:rsid w:val="00247501"/>
    <w:rsid w:val="00254872"/>
    <w:rsid w:val="00256D35"/>
    <w:rsid w:val="0025796E"/>
    <w:rsid w:val="00260079"/>
    <w:rsid w:val="002618A0"/>
    <w:rsid w:val="002701A2"/>
    <w:rsid w:val="002707A2"/>
    <w:rsid w:val="0027130C"/>
    <w:rsid w:val="00277B6B"/>
    <w:rsid w:val="00280D75"/>
    <w:rsid w:val="00284868"/>
    <w:rsid w:val="00293DD6"/>
    <w:rsid w:val="002951A0"/>
    <w:rsid w:val="002962BC"/>
    <w:rsid w:val="002A093D"/>
    <w:rsid w:val="002A0DD0"/>
    <w:rsid w:val="002A352B"/>
    <w:rsid w:val="002A49AC"/>
    <w:rsid w:val="002A64FD"/>
    <w:rsid w:val="002B1EF4"/>
    <w:rsid w:val="002B72B5"/>
    <w:rsid w:val="002B730F"/>
    <w:rsid w:val="002C5409"/>
    <w:rsid w:val="002C7A84"/>
    <w:rsid w:val="002D099A"/>
    <w:rsid w:val="002D40BA"/>
    <w:rsid w:val="002D53B2"/>
    <w:rsid w:val="002E2BF8"/>
    <w:rsid w:val="002E4FD9"/>
    <w:rsid w:val="002E6104"/>
    <w:rsid w:val="002E6223"/>
    <w:rsid w:val="002F1E79"/>
    <w:rsid w:val="002F4107"/>
    <w:rsid w:val="002F4390"/>
    <w:rsid w:val="002F4750"/>
    <w:rsid w:val="00303771"/>
    <w:rsid w:val="0030657A"/>
    <w:rsid w:val="003111DE"/>
    <w:rsid w:val="00316E2E"/>
    <w:rsid w:val="00317EDC"/>
    <w:rsid w:val="00322A85"/>
    <w:rsid w:val="00324168"/>
    <w:rsid w:val="00330834"/>
    <w:rsid w:val="00330C3F"/>
    <w:rsid w:val="00331E14"/>
    <w:rsid w:val="00333E3E"/>
    <w:rsid w:val="00341F49"/>
    <w:rsid w:val="00344313"/>
    <w:rsid w:val="003448F4"/>
    <w:rsid w:val="00345791"/>
    <w:rsid w:val="003501F2"/>
    <w:rsid w:val="003502F6"/>
    <w:rsid w:val="003504CF"/>
    <w:rsid w:val="0035189C"/>
    <w:rsid w:val="003525F4"/>
    <w:rsid w:val="0035452E"/>
    <w:rsid w:val="003561D8"/>
    <w:rsid w:val="00362FC7"/>
    <w:rsid w:val="003649F5"/>
    <w:rsid w:val="00367CBB"/>
    <w:rsid w:val="0037015E"/>
    <w:rsid w:val="0037065D"/>
    <w:rsid w:val="00374F5E"/>
    <w:rsid w:val="00377E3E"/>
    <w:rsid w:val="00381DA0"/>
    <w:rsid w:val="003829C1"/>
    <w:rsid w:val="00394D5B"/>
    <w:rsid w:val="00397E8F"/>
    <w:rsid w:val="003A779E"/>
    <w:rsid w:val="003B0D22"/>
    <w:rsid w:val="003B1377"/>
    <w:rsid w:val="003B7B1C"/>
    <w:rsid w:val="003D0F4D"/>
    <w:rsid w:val="003D5B0D"/>
    <w:rsid w:val="003D6FB6"/>
    <w:rsid w:val="003E0192"/>
    <w:rsid w:val="003E0499"/>
    <w:rsid w:val="003E1AFE"/>
    <w:rsid w:val="003E348A"/>
    <w:rsid w:val="003E4F80"/>
    <w:rsid w:val="003E6439"/>
    <w:rsid w:val="003E7C68"/>
    <w:rsid w:val="003F3941"/>
    <w:rsid w:val="003F4CC0"/>
    <w:rsid w:val="003F7780"/>
    <w:rsid w:val="00406575"/>
    <w:rsid w:val="00411F9E"/>
    <w:rsid w:val="0041346C"/>
    <w:rsid w:val="00414C74"/>
    <w:rsid w:val="0042722E"/>
    <w:rsid w:val="0043529D"/>
    <w:rsid w:val="00441434"/>
    <w:rsid w:val="00441C17"/>
    <w:rsid w:val="004427A2"/>
    <w:rsid w:val="0044528D"/>
    <w:rsid w:val="00451217"/>
    <w:rsid w:val="00455A1E"/>
    <w:rsid w:val="0045753A"/>
    <w:rsid w:val="004577CF"/>
    <w:rsid w:val="00466E39"/>
    <w:rsid w:val="00477689"/>
    <w:rsid w:val="004801AD"/>
    <w:rsid w:val="00480F82"/>
    <w:rsid w:val="00482475"/>
    <w:rsid w:val="00482B83"/>
    <w:rsid w:val="004874F3"/>
    <w:rsid w:val="0049135E"/>
    <w:rsid w:val="00491A5F"/>
    <w:rsid w:val="004976CB"/>
    <w:rsid w:val="004A1847"/>
    <w:rsid w:val="004A305D"/>
    <w:rsid w:val="004A5BA3"/>
    <w:rsid w:val="004B38F0"/>
    <w:rsid w:val="004B4E88"/>
    <w:rsid w:val="004B5D8E"/>
    <w:rsid w:val="004C15F5"/>
    <w:rsid w:val="004C27A1"/>
    <w:rsid w:val="004C33E4"/>
    <w:rsid w:val="004D2033"/>
    <w:rsid w:val="004D2AC7"/>
    <w:rsid w:val="004D3CF2"/>
    <w:rsid w:val="004D4C41"/>
    <w:rsid w:val="004D62C6"/>
    <w:rsid w:val="004D6653"/>
    <w:rsid w:val="004F0941"/>
    <w:rsid w:val="004F21C4"/>
    <w:rsid w:val="004F685F"/>
    <w:rsid w:val="00500525"/>
    <w:rsid w:val="005019EB"/>
    <w:rsid w:val="00503FCD"/>
    <w:rsid w:val="00525F8B"/>
    <w:rsid w:val="00530A1F"/>
    <w:rsid w:val="005311C2"/>
    <w:rsid w:val="00551FDB"/>
    <w:rsid w:val="005566E8"/>
    <w:rsid w:val="0057106A"/>
    <w:rsid w:val="0057135C"/>
    <w:rsid w:val="00574867"/>
    <w:rsid w:val="00591460"/>
    <w:rsid w:val="005961A5"/>
    <w:rsid w:val="00596A2B"/>
    <w:rsid w:val="005A361E"/>
    <w:rsid w:val="005A65E0"/>
    <w:rsid w:val="005A6DE8"/>
    <w:rsid w:val="005B7638"/>
    <w:rsid w:val="005B7C27"/>
    <w:rsid w:val="005C0ECF"/>
    <w:rsid w:val="005C3777"/>
    <w:rsid w:val="005C5CDC"/>
    <w:rsid w:val="005D476C"/>
    <w:rsid w:val="005D6A8E"/>
    <w:rsid w:val="005E2A02"/>
    <w:rsid w:val="005F0096"/>
    <w:rsid w:val="00611DDF"/>
    <w:rsid w:val="00612CCA"/>
    <w:rsid w:val="00615B67"/>
    <w:rsid w:val="006200BF"/>
    <w:rsid w:val="00621466"/>
    <w:rsid w:val="006219F8"/>
    <w:rsid w:val="006302F7"/>
    <w:rsid w:val="006302FB"/>
    <w:rsid w:val="0063475B"/>
    <w:rsid w:val="00636E50"/>
    <w:rsid w:val="00641E24"/>
    <w:rsid w:val="006420BD"/>
    <w:rsid w:val="00646B9F"/>
    <w:rsid w:val="00650895"/>
    <w:rsid w:val="006511C1"/>
    <w:rsid w:val="006552F9"/>
    <w:rsid w:val="00661D26"/>
    <w:rsid w:val="00664A45"/>
    <w:rsid w:val="00665D70"/>
    <w:rsid w:val="00666376"/>
    <w:rsid w:val="00671107"/>
    <w:rsid w:val="006745D3"/>
    <w:rsid w:val="00674FF0"/>
    <w:rsid w:val="006827DE"/>
    <w:rsid w:val="00683CB6"/>
    <w:rsid w:val="006858B3"/>
    <w:rsid w:val="00687684"/>
    <w:rsid w:val="006900D9"/>
    <w:rsid w:val="0069331C"/>
    <w:rsid w:val="006943B5"/>
    <w:rsid w:val="00694B36"/>
    <w:rsid w:val="006B6F27"/>
    <w:rsid w:val="006B7D20"/>
    <w:rsid w:val="006C5741"/>
    <w:rsid w:val="006D0F08"/>
    <w:rsid w:val="006D73AA"/>
    <w:rsid w:val="006F0056"/>
    <w:rsid w:val="006F3515"/>
    <w:rsid w:val="00701874"/>
    <w:rsid w:val="007052BF"/>
    <w:rsid w:val="00706C16"/>
    <w:rsid w:val="007210EC"/>
    <w:rsid w:val="007262E5"/>
    <w:rsid w:val="00730AC4"/>
    <w:rsid w:val="007340C3"/>
    <w:rsid w:val="00736F2A"/>
    <w:rsid w:val="0074202C"/>
    <w:rsid w:val="00745363"/>
    <w:rsid w:val="0075235A"/>
    <w:rsid w:val="00753EB8"/>
    <w:rsid w:val="0075420C"/>
    <w:rsid w:val="00755C1C"/>
    <w:rsid w:val="00756841"/>
    <w:rsid w:val="00757BEE"/>
    <w:rsid w:val="0076175D"/>
    <w:rsid w:val="007647AA"/>
    <w:rsid w:val="007649AB"/>
    <w:rsid w:val="00771D0C"/>
    <w:rsid w:val="007756C8"/>
    <w:rsid w:val="007833AC"/>
    <w:rsid w:val="007A0030"/>
    <w:rsid w:val="007A1830"/>
    <w:rsid w:val="007B268C"/>
    <w:rsid w:val="007B7171"/>
    <w:rsid w:val="007C0C0F"/>
    <w:rsid w:val="007C3DC2"/>
    <w:rsid w:val="007C42DA"/>
    <w:rsid w:val="007D5B3F"/>
    <w:rsid w:val="007E43EA"/>
    <w:rsid w:val="007E5497"/>
    <w:rsid w:val="007E62A4"/>
    <w:rsid w:val="00803692"/>
    <w:rsid w:val="00806F5F"/>
    <w:rsid w:val="00816F51"/>
    <w:rsid w:val="00820278"/>
    <w:rsid w:val="00824FE6"/>
    <w:rsid w:val="008258C9"/>
    <w:rsid w:val="00826DFE"/>
    <w:rsid w:val="0083378B"/>
    <w:rsid w:val="00835504"/>
    <w:rsid w:val="00844924"/>
    <w:rsid w:val="00844AE9"/>
    <w:rsid w:val="00867F95"/>
    <w:rsid w:val="008750DC"/>
    <w:rsid w:val="00881F1B"/>
    <w:rsid w:val="008843B6"/>
    <w:rsid w:val="00884521"/>
    <w:rsid w:val="00891928"/>
    <w:rsid w:val="008A0720"/>
    <w:rsid w:val="008A446D"/>
    <w:rsid w:val="008A548D"/>
    <w:rsid w:val="008A61B3"/>
    <w:rsid w:val="008A659C"/>
    <w:rsid w:val="008A7C4A"/>
    <w:rsid w:val="008B06F4"/>
    <w:rsid w:val="008B1BD7"/>
    <w:rsid w:val="008B25F1"/>
    <w:rsid w:val="008B432B"/>
    <w:rsid w:val="008B4FAD"/>
    <w:rsid w:val="008B7171"/>
    <w:rsid w:val="008B76C7"/>
    <w:rsid w:val="008C3909"/>
    <w:rsid w:val="008D180B"/>
    <w:rsid w:val="008D6CC2"/>
    <w:rsid w:val="008E2968"/>
    <w:rsid w:val="008E4521"/>
    <w:rsid w:val="008E7101"/>
    <w:rsid w:val="008F0EA7"/>
    <w:rsid w:val="008F1A09"/>
    <w:rsid w:val="008F3DCB"/>
    <w:rsid w:val="0091166C"/>
    <w:rsid w:val="009132B1"/>
    <w:rsid w:val="009227CE"/>
    <w:rsid w:val="00923EEF"/>
    <w:rsid w:val="00930032"/>
    <w:rsid w:val="00930322"/>
    <w:rsid w:val="009410CA"/>
    <w:rsid w:val="009419F9"/>
    <w:rsid w:val="00952029"/>
    <w:rsid w:val="00954359"/>
    <w:rsid w:val="0095685E"/>
    <w:rsid w:val="00957C34"/>
    <w:rsid w:val="00960423"/>
    <w:rsid w:val="00961597"/>
    <w:rsid w:val="00961802"/>
    <w:rsid w:val="00961B09"/>
    <w:rsid w:val="00961E00"/>
    <w:rsid w:val="00964C68"/>
    <w:rsid w:val="00965130"/>
    <w:rsid w:val="00965334"/>
    <w:rsid w:val="0097093E"/>
    <w:rsid w:val="009721AA"/>
    <w:rsid w:val="00974C01"/>
    <w:rsid w:val="0098174A"/>
    <w:rsid w:val="009817A0"/>
    <w:rsid w:val="00984144"/>
    <w:rsid w:val="00985F9A"/>
    <w:rsid w:val="009877B5"/>
    <w:rsid w:val="00990E41"/>
    <w:rsid w:val="00991138"/>
    <w:rsid w:val="00994B81"/>
    <w:rsid w:val="0099558B"/>
    <w:rsid w:val="00996C4E"/>
    <w:rsid w:val="009A0DFA"/>
    <w:rsid w:val="009A3571"/>
    <w:rsid w:val="009A74B4"/>
    <w:rsid w:val="009B2906"/>
    <w:rsid w:val="009B2D26"/>
    <w:rsid w:val="009B4089"/>
    <w:rsid w:val="009B5F84"/>
    <w:rsid w:val="009C5598"/>
    <w:rsid w:val="009C71FA"/>
    <w:rsid w:val="009C72E7"/>
    <w:rsid w:val="009C7F7E"/>
    <w:rsid w:val="009D3058"/>
    <w:rsid w:val="009E28BD"/>
    <w:rsid w:val="009E3670"/>
    <w:rsid w:val="009F3A13"/>
    <w:rsid w:val="009F63B2"/>
    <w:rsid w:val="009F64DD"/>
    <w:rsid w:val="00A02303"/>
    <w:rsid w:val="00A0254B"/>
    <w:rsid w:val="00A120BF"/>
    <w:rsid w:val="00A122D3"/>
    <w:rsid w:val="00A14468"/>
    <w:rsid w:val="00A17F13"/>
    <w:rsid w:val="00A20739"/>
    <w:rsid w:val="00A22FC4"/>
    <w:rsid w:val="00A23AF9"/>
    <w:rsid w:val="00A33C78"/>
    <w:rsid w:val="00A34504"/>
    <w:rsid w:val="00A34F17"/>
    <w:rsid w:val="00A41AD1"/>
    <w:rsid w:val="00A41E67"/>
    <w:rsid w:val="00A43F2E"/>
    <w:rsid w:val="00A44A1B"/>
    <w:rsid w:val="00A515E1"/>
    <w:rsid w:val="00A520F0"/>
    <w:rsid w:val="00A52366"/>
    <w:rsid w:val="00A52377"/>
    <w:rsid w:val="00A53AD5"/>
    <w:rsid w:val="00A71F85"/>
    <w:rsid w:val="00A76545"/>
    <w:rsid w:val="00A77865"/>
    <w:rsid w:val="00A84311"/>
    <w:rsid w:val="00A84D82"/>
    <w:rsid w:val="00A957CA"/>
    <w:rsid w:val="00A9584F"/>
    <w:rsid w:val="00AA54B2"/>
    <w:rsid w:val="00AB0ADB"/>
    <w:rsid w:val="00AC37DA"/>
    <w:rsid w:val="00AC4E4D"/>
    <w:rsid w:val="00AC78D9"/>
    <w:rsid w:val="00AD07C5"/>
    <w:rsid w:val="00AE3A82"/>
    <w:rsid w:val="00AF51F8"/>
    <w:rsid w:val="00AF6EA1"/>
    <w:rsid w:val="00AF6F7D"/>
    <w:rsid w:val="00B0027A"/>
    <w:rsid w:val="00B00C0E"/>
    <w:rsid w:val="00B01B1A"/>
    <w:rsid w:val="00B11281"/>
    <w:rsid w:val="00B14EE9"/>
    <w:rsid w:val="00B16B6B"/>
    <w:rsid w:val="00B24032"/>
    <w:rsid w:val="00B25927"/>
    <w:rsid w:val="00B30744"/>
    <w:rsid w:val="00B30819"/>
    <w:rsid w:val="00B43CB7"/>
    <w:rsid w:val="00B44A47"/>
    <w:rsid w:val="00B50CF7"/>
    <w:rsid w:val="00B62E96"/>
    <w:rsid w:val="00B63408"/>
    <w:rsid w:val="00B66EBC"/>
    <w:rsid w:val="00B713CF"/>
    <w:rsid w:val="00B72609"/>
    <w:rsid w:val="00B72CD3"/>
    <w:rsid w:val="00B72EBA"/>
    <w:rsid w:val="00B72FFF"/>
    <w:rsid w:val="00B731C7"/>
    <w:rsid w:val="00B80985"/>
    <w:rsid w:val="00B82DB0"/>
    <w:rsid w:val="00B84385"/>
    <w:rsid w:val="00B8696B"/>
    <w:rsid w:val="00B875F4"/>
    <w:rsid w:val="00BB1741"/>
    <w:rsid w:val="00BB18EE"/>
    <w:rsid w:val="00BC205A"/>
    <w:rsid w:val="00BC396D"/>
    <w:rsid w:val="00BC3D36"/>
    <w:rsid w:val="00BD394D"/>
    <w:rsid w:val="00BD4FD7"/>
    <w:rsid w:val="00BD54A6"/>
    <w:rsid w:val="00BD7F72"/>
    <w:rsid w:val="00BF501D"/>
    <w:rsid w:val="00BF7425"/>
    <w:rsid w:val="00C04FB3"/>
    <w:rsid w:val="00C11D8B"/>
    <w:rsid w:val="00C11F4A"/>
    <w:rsid w:val="00C120B0"/>
    <w:rsid w:val="00C12AB6"/>
    <w:rsid w:val="00C330EB"/>
    <w:rsid w:val="00C33F59"/>
    <w:rsid w:val="00C35B5A"/>
    <w:rsid w:val="00C44263"/>
    <w:rsid w:val="00C50D69"/>
    <w:rsid w:val="00C5365C"/>
    <w:rsid w:val="00C67948"/>
    <w:rsid w:val="00C7039F"/>
    <w:rsid w:val="00C71E23"/>
    <w:rsid w:val="00C74C2D"/>
    <w:rsid w:val="00C753D8"/>
    <w:rsid w:val="00C754BE"/>
    <w:rsid w:val="00C76B1C"/>
    <w:rsid w:val="00C863EF"/>
    <w:rsid w:val="00C9258D"/>
    <w:rsid w:val="00C925AC"/>
    <w:rsid w:val="00C97DA4"/>
    <w:rsid w:val="00CA77E0"/>
    <w:rsid w:val="00CB2116"/>
    <w:rsid w:val="00CB6357"/>
    <w:rsid w:val="00CC0DE1"/>
    <w:rsid w:val="00CC1AA1"/>
    <w:rsid w:val="00CC1B26"/>
    <w:rsid w:val="00CC69A1"/>
    <w:rsid w:val="00CE5539"/>
    <w:rsid w:val="00CF2F93"/>
    <w:rsid w:val="00CF525F"/>
    <w:rsid w:val="00CF766D"/>
    <w:rsid w:val="00D05D9B"/>
    <w:rsid w:val="00D165F1"/>
    <w:rsid w:val="00D2021B"/>
    <w:rsid w:val="00D25374"/>
    <w:rsid w:val="00D30E31"/>
    <w:rsid w:val="00D3261B"/>
    <w:rsid w:val="00D361FD"/>
    <w:rsid w:val="00D423A2"/>
    <w:rsid w:val="00D44E26"/>
    <w:rsid w:val="00D50DDB"/>
    <w:rsid w:val="00D520D8"/>
    <w:rsid w:val="00D532F2"/>
    <w:rsid w:val="00D60251"/>
    <w:rsid w:val="00D62B39"/>
    <w:rsid w:val="00D63AC2"/>
    <w:rsid w:val="00D65500"/>
    <w:rsid w:val="00D72ADD"/>
    <w:rsid w:val="00D72F7D"/>
    <w:rsid w:val="00D7383B"/>
    <w:rsid w:val="00D74B86"/>
    <w:rsid w:val="00D7788A"/>
    <w:rsid w:val="00D77ED5"/>
    <w:rsid w:val="00D80B28"/>
    <w:rsid w:val="00D85536"/>
    <w:rsid w:val="00D85BC1"/>
    <w:rsid w:val="00D85FA5"/>
    <w:rsid w:val="00D90873"/>
    <w:rsid w:val="00DA231B"/>
    <w:rsid w:val="00DA39D1"/>
    <w:rsid w:val="00DB08F6"/>
    <w:rsid w:val="00DB0EE9"/>
    <w:rsid w:val="00DB442D"/>
    <w:rsid w:val="00DC1AE5"/>
    <w:rsid w:val="00DC39FC"/>
    <w:rsid w:val="00DC41A5"/>
    <w:rsid w:val="00DC4E14"/>
    <w:rsid w:val="00DE02B8"/>
    <w:rsid w:val="00DE2AD8"/>
    <w:rsid w:val="00DE2BFD"/>
    <w:rsid w:val="00DF0D80"/>
    <w:rsid w:val="00DF2A39"/>
    <w:rsid w:val="00DF3960"/>
    <w:rsid w:val="00DF4037"/>
    <w:rsid w:val="00DF5254"/>
    <w:rsid w:val="00DF7ADF"/>
    <w:rsid w:val="00E02524"/>
    <w:rsid w:val="00E066C6"/>
    <w:rsid w:val="00E1311D"/>
    <w:rsid w:val="00E14211"/>
    <w:rsid w:val="00E16408"/>
    <w:rsid w:val="00E20111"/>
    <w:rsid w:val="00E20894"/>
    <w:rsid w:val="00E23620"/>
    <w:rsid w:val="00E245AB"/>
    <w:rsid w:val="00E2764C"/>
    <w:rsid w:val="00E27F2E"/>
    <w:rsid w:val="00E27FDD"/>
    <w:rsid w:val="00E4305B"/>
    <w:rsid w:val="00E50AFE"/>
    <w:rsid w:val="00E575FA"/>
    <w:rsid w:val="00E62FF5"/>
    <w:rsid w:val="00E63642"/>
    <w:rsid w:val="00E709B5"/>
    <w:rsid w:val="00E71F7E"/>
    <w:rsid w:val="00E75C92"/>
    <w:rsid w:val="00E771DC"/>
    <w:rsid w:val="00E81A32"/>
    <w:rsid w:val="00E825E0"/>
    <w:rsid w:val="00E8772A"/>
    <w:rsid w:val="00E906BC"/>
    <w:rsid w:val="00E90F6B"/>
    <w:rsid w:val="00E92924"/>
    <w:rsid w:val="00E92C27"/>
    <w:rsid w:val="00EA0E3D"/>
    <w:rsid w:val="00EA2550"/>
    <w:rsid w:val="00EA4556"/>
    <w:rsid w:val="00EB5954"/>
    <w:rsid w:val="00EB6E91"/>
    <w:rsid w:val="00EC0CE4"/>
    <w:rsid w:val="00EC38A7"/>
    <w:rsid w:val="00EE1AA8"/>
    <w:rsid w:val="00EF46BF"/>
    <w:rsid w:val="00F03ABE"/>
    <w:rsid w:val="00F05FAC"/>
    <w:rsid w:val="00F07C03"/>
    <w:rsid w:val="00F07D57"/>
    <w:rsid w:val="00F11799"/>
    <w:rsid w:val="00F2080B"/>
    <w:rsid w:val="00F22075"/>
    <w:rsid w:val="00F223F4"/>
    <w:rsid w:val="00F23FEA"/>
    <w:rsid w:val="00F268D5"/>
    <w:rsid w:val="00F27984"/>
    <w:rsid w:val="00F27B7B"/>
    <w:rsid w:val="00F309E3"/>
    <w:rsid w:val="00F31EDC"/>
    <w:rsid w:val="00F334DE"/>
    <w:rsid w:val="00F456B5"/>
    <w:rsid w:val="00F462B3"/>
    <w:rsid w:val="00F54E0C"/>
    <w:rsid w:val="00F5664F"/>
    <w:rsid w:val="00F62A93"/>
    <w:rsid w:val="00F666C4"/>
    <w:rsid w:val="00F66EA1"/>
    <w:rsid w:val="00F76AFC"/>
    <w:rsid w:val="00F810E6"/>
    <w:rsid w:val="00F838A3"/>
    <w:rsid w:val="00F8569A"/>
    <w:rsid w:val="00F9037F"/>
    <w:rsid w:val="00F9130E"/>
    <w:rsid w:val="00F93BFD"/>
    <w:rsid w:val="00F94804"/>
    <w:rsid w:val="00F94B69"/>
    <w:rsid w:val="00FA47C0"/>
    <w:rsid w:val="00FA7612"/>
    <w:rsid w:val="00FA782A"/>
    <w:rsid w:val="00FB5DD1"/>
    <w:rsid w:val="00FB5F6A"/>
    <w:rsid w:val="00FC1066"/>
    <w:rsid w:val="00FC2B5D"/>
    <w:rsid w:val="00FD0452"/>
    <w:rsid w:val="00FD6628"/>
    <w:rsid w:val="00FD7323"/>
    <w:rsid w:val="00FE638A"/>
    <w:rsid w:val="00FE70D5"/>
    <w:rsid w:val="00FF008D"/>
    <w:rsid w:val="00FF0E61"/>
    <w:rsid w:val="00FF1449"/>
    <w:rsid w:val="00FF3569"/>
    <w:rsid w:val="00FF5897"/>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6093D12-AA21-47C6-95C4-238370BB1C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1F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Fuerte">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character" w:styleId="Mencinsinresolver">
    <w:name w:val="Unresolved Mention"/>
    <w:basedOn w:val="Fuentedeprrafopredeter"/>
    <w:uiPriority w:val="99"/>
    <w:semiHidden/>
    <w:unhideWhenUsed/>
    <w:rsid w:val="00362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fredy.rodriguez.naranjo@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sintesis.colombiacompra.gov.co/sintesis/9-etapa-precontractual-estudios-previos" TargetMode="External"/><Relationship Id="rId2" Type="http://schemas.openxmlformats.org/officeDocument/2006/relationships/hyperlink" Target="https://revistas.udea.edu.co/index.php/derypol/article/view/331285/20790715" TargetMode="External"/><Relationship Id="rId1" Type="http://schemas.openxmlformats.org/officeDocument/2006/relationships/hyperlink" Target="https://revistas.uexternado.edu.co/index.php/derpri/article/view/7201/10297" TargetMode="External"/><Relationship Id="rId4" Type="http://schemas.openxmlformats.org/officeDocument/2006/relationships/hyperlink" Target="http://www.secretariasenado.gov.co/senado/basedoc/ley_1474_2011_pr001.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57F20C-2B8B-4EF3-9CE6-177D17CAA4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66182A7-6CD5-409D-A1D3-A9C9309E627F}">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28</Pages>
  <Words>9579</Words>
  <Characters>52688</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16</cp:revision>
  <cp:lastPrinted>2023-01-10T21:18:00Z</cp:lastPrinted>
  <dcterms:created xsi:type="dcterms:W3CDTF">2026-07-01T19:43:00Z</dcterms:created>
  <dcterms:modified xsi:type="dcterms:W3CDTF">2026-07-02T14:57:00Z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