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D0E39" w14:textId="77777777" w:rsidR="00780368" w:rsidRPr="00D0312A" w:rsidRDefault="00780368" w:rsidP="00780368">
      <w:pPr>
        <w:spacing w:after="0"/>
        <w:jc w:val="both"/>
        <w:rPr>
          <w:rFonts w:ascii="Verdana" w:eastAsia="Verdana" w:hAnsi="Verdana" w:cs="Verdana"/>
          <w:b/>
          <w:bCs/>
          <w:lang w:val="es-ES"/>
        </w:rPr>
      </w:pPr>
      <w:bookmarkStart w:id="0" w:name="_Hlk143780582"/>
      <w:r w:rsidRPr="00D0312A">
        <w:rPr>
          <w:rFonts w:ascii="Verdana" w:eastAsia="Verdana" w:hAnsi="Verdana" w:cs="Verdana"/>
          <w:b/>
          <w:bCs/>
          <w:lang w:val="es-ES"/>
        </w:rPr>
        <w:t xml:space="preserve">PRINCIPIO DE PLANEACIÓN – Alcance – Condiciones </w:t>
      </w:r>
    </w:p>
    <w:p w14:paraId="3E5772D3" w14:textId="77777777" w:rsidR="00780368" w:rsidRPr="00D0312A" w:rsidRDefault="00780368" w:rsidP="00780368">
      <w:pPr>
        <w:spacing w:after="0"/>
        <w:jc w:val="both"/>
        <w:rPr>
          <w:rFonts w:ascii="Verdana" w:eastAsia="Verdana" w:hAnsi="Verdana" w:cs="Verdana"/>
          <w:b/>
          <w:bCs/>
          <w:lang w:val="es-ES"/>
        </w:rPr>
      </w:pPr>
    </w:p>
    <w:p w14:paraId="3BDCD258" w14:textId="77777777" w:rsidR="00780368" w:rsidRPr="00D0312A" w:rsidRDefault="00780368" w:rsidP="00780368">
      <w:pPr>
        <w:spacing w:after="0" w:line="240" w:lineRule="auto"/>
        <w:jc w:val="both"/>
        <w:rPr>
          <w:rFonts w:ascii="Verdana" w:eastAsia="Verdana" w:hAnsi="Verdana" w:cs="Verdana"/>
          <w:sz w:val="20"/>
          <w:szCs w:val="20"/>
          <w:lang w:val="es-ES"/>
        </w:rPr>
      </w:pPr>
      <w:r w:rsidRPr="00D0312A">
        <w:rPr>
          <w:rFonts w:ascii="Verdana" w:eastAsia="Verdana" w:hAnsi="Verdana" w:cs="Verdana"/>
          <w:sz w:val="20"/>
          <w:szCs w:val="20"/>
        </w:rPr>
        <w:t>Conforme</w:t>
      </w:r>
      <w:r w:rsidRPr="00D0312A">
        <w:rPr>
          <w:rFonts w:ascii="Verdana" w:eastAsia="Verdana" w:hAnsi="Verdana" w:cs="Verdana"/>
          <w:sz w:val="20"/>
          <w:szCs w:val="20"/>
          <w:lang w:val="es-MX"/>
        </w:rPr>
        <w:t xml:space="preserve"> al principio de planeación la entidad debe determinar la forma en la que se contratará las actividades de operación logística durante la vigencia fiscal, atendiendo a la necesidad a satisfacer,</w:t>
      </w:r>
      <w:r w:rsidRPr="00D0312A">
        <w:rPr>
          <w:rFonts w:ascii="Verdana" w:eastAsia="Verdana" w:hAnsi="Verdana" w:cs="Verdana"/>
          <w:sz w:val="20"/>
          <w:szCs w:val="20"/>
        </w:rPr>
        <w:t xml:space="preserve"> a la conveniencia o inconveniencia del objeto a contratar, a los costos que podrían demandar la celebración y ejecución del contrato, la disponibilidad de recursos o la capacidad financiera de la entidad contratante para asumir las obligaciones de pago producto y demás condiciones. Al respecto, el</w:t>
      </w:r>
      <w:r w:rsidRPr="00D0312A">
        <w:rPr>
          <w:rFonts w:ascii="Verdana" w:eastAsia="Verdana" w:hAnsi="Verdana" w:cs="Verdana"/>
          <w:sz w:val="20"/>
          <w:szCs w:val="20"/>
          <w:lang w:val="es-ES"/>
        </w:rPr>
        <w:t xml:space="preserve"> Estatuto General de Contratación de la Administración Pública, en adelante EGCAP, contiene disposiciones que exigen a las Entidades Estatales el deber de realizar actividades de planeación en la etapa precontractual, para que los procesos de contratación satisfagan las necesidades de la administración, cumplan sus fines, logren la continua y eficiente prestación de los servicios públicos y permitan la efectividad de los derechos e intereses de los administrados que colaboran en la consecución.</w:t>
      </w:r>
    </w:p>
    <w:p w14:paraId="29031B8A" w14:textId="77777777" w:rsidR="00B82DAF" w:rsidRPr="00D0312A" w:rsidRDefault="00B82DAF" w:rsidP="00780368">
      <w:pPr>
        <w:spacing w:after="0" w:line="240" w:lineRule="auto"/>
        <w:jc w:val="both"/>
        <w:rPr>
          <w:rFonts w:ascii="Verdana" w:eastAsia="Verdana" w:hAnsi="Verdana" w:cs="Verdana"/>
          <w:sz w:val="20"/>
          <w:szCs w:val="20"/>
          <w:lang w:val="es-ES"/>
        </w:rPr>
      </w:pPr>
    </w:p>
    <w:p w14:paraId="74674313" w14:textId="77777777" w:rsidR="003511F9" w:rsidRPr="00D0312A" w:rsidRDefault="003511F9" w:rsidP="003511F9">
      <w:pPr>
        <w:spacing w:after="0" w:line="240" w:lineRule="auto"/>
        <w:jc w:val="both"/>
        <w:rPr>
          <w:rFonts w:ascii="Verdana" w:eastAsia="Times New Roman" w:hAnsi="Verdana" w:cs="Arial"/>
          <w:b/>
          <w:bCs/>
          <w:lang w:eastAsia="es-ES_tradnl"/>
        </w:rPr>
      </w:pPr>
      <w:r w:rsidRPr="00D0312A">
        <w:rPr>
          <w:rFonts w:ascii="Verdana" w:eastAsia="Times New Roman" w:hAnsi="Verdana" w:cs="Arial"/>
          <w:b/>
          <w:bCs/>
          <w:lang w:eastAsia="es-ES_tradnl"/>
        </w:rPr>
        <w:t>ESTUDIOS PREVIOS – Planeación – Deber de las entidades</w:t>
      </w:r>
    </w:p>
    <w:p w14:paraId="258854E4" w14:textId="77777777" w:rsidR="003511F9" w:rsidRPr="00D0312A" w:rsidRDefault="003511F9" w:rsidP="003511F9">
      <w:pPr>
        <w:spacing w:after="0" w:line="240" w:lineRule="auto"/>
        <w:jc w:val="both"/>
        <w:rPr>
          <w:rFonts w:ascii="Verdana" w:eastAsia="Times New Roman" w:hAnsi="Verdana" w:cs="Arial"/>
          <w:b/>
          <w:lang w:eastAsia="es-ES_tradnl"/>
        </w:rPr>
      </w:pPr>
    </w:p>
    <w:p w14:paraId="38852996" w14:textId="77777777" w:rsidR="003511F9" w:rsidRPr="00D0312A" w:rsidRDefault="003511F9" w:rsidP="00362804">
      <w:pPr>
        <w:spacing w:after="120" w:line="240" w:lineRule="auto"/>
        <w:jc w:val="both"/>
        <w:rPr>
          <w:rFonts w:ascii="Verdana" w:eastAsia="Times New Roman" w:hAnsi="Verdana" w:cs="Arial"/>
          <w:bCs/>
          <w:sz w:val="20"/>
          <w:szCs w:val="20"/>
          <w:lang w:eastAsia="es-ES_tradnl"/>
        </w:rPr>
      </w:pPr>
      <w:r w:rsidRPr="00D0312A">
        <w:rPr>
          <w:rFonts w:ascii="Verdana" w:eastAsia="Times New Roman" w:hAnsi="Verdana" w:cs="Arial"/>
          <w:bCs/>
          <w:sz w:val="20"/>
          <w:szCs w:val="20"/>
          <w:lang w:eastAsia="es-ES_tradnl"/>
        </w:rPr>
        <w:t>En todo proceso de contratación, independiente de la modalidad de selección resulta aplicable la planeación contractual como una herramienta de gerencia pública, que exige estructurar el proceso contractual dedicando tiempo y esfuerzos para elaborar estudios previos, los cuales deberán ser adecuados a su alcance y complejidad. Lo anterior, con la finalidad de determinar la necesidad que pretende satisfacer la entidad estatal, consultando el tipo de bienes y servicios que ofrece el mercado y sus características, especificaciones, precios, costos, riesgos, garantías, disponibilidad, oferentes, entre otros. Así, una debida planeación debe conducir a una escogencia diligente de la mejor oferta, para beneficiar los intereses y fines públicos inmersos en la contratación de las entidades estatales, buscando siempre la correcta ejecución del contrato.</w:t>
      </w:r>
    </w:p>
    <w:p w14:paraId="679938BB" w14:textId="77777777" w:rsidR="003511F9" w:rsidRPr="00D0312A" w:rsidRDefault="003511F9" w:rsidP="003511F9">
      <w:pPr>
        <w:spacing w:after="0" w:line="240" w:lineRule="auto"/>
        <w:jc w:val="both"/>
        <w:rPr>
          <w:rFonts w:ascii="Verdana" w:eastAsia="Times New Roman" w:hAnsi="Verdana" w:cs="Arial"/>
          <w:bCs/>
          <w:sz w:val="20"/>
          <w:szCs w:val="20"/>
          <w:lang w:eastAsia="es-ES_tradnl"/>
        </w:rPr>
      </w:pPr>
      <w:r w:rsidRPr="00D0312A">
        <w:rPr>
          <w:rFonts w:ascii="Verdana" w:eastAsia="Times New Roman" w:hAnsi="Verdana" w:cs="Arial"/>
          <w:bCs/>
          <w:sz w:val="20"/>
          <w:szCs w:val="20"/>
          <w:lang w:eastAsia="es-ES_tradnl"/>
        </w:rPr>
        <w:t>En armonía con lo anterior, el Estatuto General de Contratación de la Administración Pública contiene disposiciones que demandan de las entidades estatales el deber de planeación en la etapa precontractual. Esto con la finalidad de que los procesos de contratación satisfagan las necesidades de la Administración, cumplan sus fines, logren la continua y eficiente prestación de los servicios públicos y permitan la efectividad de los derechos e intereses de los administrados que colaboran en su consecución. En relación con el principio de economía, se tienen las siguientes reglas derivadas de su aplicación, lo cual está previsto en el artículo 25 de la Ley 80 de 1993 […].</w:t>
      </w:r>
    </w:p>
    <w:p w14:paraId="6695FDFE" w14:textId="77777777" w:rsidR="00382834" w:rsidRPr="00D0312A" w:rsidRDefault="00382834" w:rsidP="008B33E7">
      <w:pPr>
        <w:spacing w:after="0" w:line="240" w:lineRule="auto"/>
        <w:jc w:val="both"/>
        <w:rPr>
          <w:rFonts w:ascii="Verdana" w:eastAsia="Calibri" w:hAnsi="Verdana" w:cs="Arial"/>
          <w:sz w:val="20"/>
          <w:szCs w:val="20"/>
          <w:lang w:val="es-ES"/>
        </w:rPr>
      </w:pPr>
    </w:p>
    <w:p w14:paraId="61ACAC87" w14:textId="69B7A8EE" w:rsidR="00382834" w:rsidRPr="00D0312A" w:rsidRDefault="00F051AB" w:rsidP="00382834">
      <w:pPr>
        <w:spacing w:after="0" w:line="240" w:lineRule="auto"/>
        <w:jc w:val="both"/>
        <w:rPr>
          <w:rFonts w:ascii="Verdana" w:eastAsia="Calibri" w:hAnsi="Verdana" w:cs="Arial"/>
          <w:b/>
          <w:bCs/>
          <w:sz w:val="20"/>
          <w:szCs w:val="20"/>
          <w:lang w:val="es-ES" w:eastAsia="es-ES"/>
        </w:rPr>
      </w:pPr>
      <w:r w:rsidRPr="00D0312A">
        <w:rPr>
          <w:rFonts w:ascii="Verdana" w:eastAsia="Times New Roman" w:hAnsi="Verdana" w:cs="Arial"/>
          <w:b/>
          <w:bCs/>
          <w:lang w:eastAsia="es-ES_tradnl"/>
        </w:rPr>
        <w:t xml:space="preserve">ESTUDIOS PREVIOS </w:t>
      </w:r>
      <w:r w:rsidR="00382834" w:rsidRPr="00D0312A">
        <w:rPr>
          <w:rFonts w:ascii="Verdana" w:eastAsia="Arial" w:hAnsi="Verdana" w:cs="Arial"/>
          <w:b/>
          <w:bCs/>
          <w:lang w:val="es-MX" w:eastAsia="es-ES"/>
        </w:rPr>
        <w:t xml:space="preserve">– </w:t>
      </w:r>
      <w:r w:rsidRPr="00D0312A">
        <w:rPr>
          <w:rFonts w:ascii="Verdana" w:eastAsia="Arial" w:hAnsi="Verdana" w:cs="Arial"/>
          <w:b/>
          <w:bCs/>
          <w:lang w:val="es-MX" w:eastAsia="es-ES"/>
        </w:rPr>
        <w:t xml:space="preserve">Perfil requerido </w:t>
      </w:r>
      <w:r w:rsidR="00382834" w:rsidRPr="00D0312A">
        <w:rPr>
          <w:rFonts w:ascii="Verdana" w:eastAsia="Arial" w:hAnsi="Verdana" w:cs="Arial"/>
          <w:b/>
          <w:bCs/>
          <w:lang w:val="es-MX" w:eastAsia="es-ES"/>
        </w:rPr>
        <w:t xml:space="preserve">– </w:t>
      </w:r>
      <w:r w:rsidRPr="00D0312A">
        <w:rPr>
          <w:rFonts w:ascii="Verdana" w:eastAsia="Arial" w:hAnsi="Verdana" w:cs="Arial"/>
          <w:b/>
          <w:bCs/>
          <w:lang w:val="es-MX" w:eastAsia="es-ES"/>
        </w:rPr>
        <w:t>Áreas del conocimiento afines</w:t>
      </w:r>
      <w:r w:rsidR="00914AB7" w:rsidRPr="00D0312A">
        <w:rPr>
          <w:rFonts w:ascii="Verdana" w:eastAsia="Arial" w:hAnsi="Verdana" w:cs="Arial"/>
          <w:b/>
          <w:bCs/>
          <w:lang w:val="es-MX" w:eastAsia="es-ES"/>
        </w:rPr>
        <w:t xml:space="preserve"> - Idoneidad</w:t>
      </w:r>
      <w:r w:rsidR="001436C5" w:rsidRPr="00D0312A">
        <w:rPr>
          <w:rFonts w:ascii="Verdana" w:eastAsia="Arial" w:hAnsi="Verdana" w:cs="Arial"/>
          <w:b/>
          <w:bCs/>
          <w:lang w:val="es-MX" w:eastAsia="es-ES"/>
        </w:rPr>
        <w:t xml:space="preserve"> del contratista </w:t>
      </w:r>
      <w:r w:rsidR="00656757" w:rsidRPr="00D0312A">
        <w:rPr>
          <w:rFonts w:ascii="Verdana" w:eastAsia="Arial" w:hAnsi="Verdana" w:cs="Arial"/>
          <w:b/>
          <w:bCs/>
          <w:lang w:val="es-MX" w:eastAsia="es-ES"/>
        </w:rPr>
        <w:t xml:space="preserve">– Principio de Planeación </w:t>
      </w:r>
    </w:p>
    <w:p w14:paraId="0107E521" w14:textId="77777777" w:rsidR="008B33E7" w:rsidRPr="00D0312A" w:rsidRDefault="008B33E7" w:rsidP="008B33E7">
      <w:pPr>
        <w:spacing w:after="0" w:line="240" w:lineRule="auto"/>
        <w:jc w:val="both"/>
        <w:rPr>
          <w:rFonts w:ascii="Verdana" w:eastAsia="Calibri" w:hAnsi="Verdana" w:cs="Arial"/>
          <w:bCs/>
          <w:sz w:val="20"/>
          <w:szCs w:val="20"/>
          <w:lang w:val="es-ES_tradnl"/>
        </w:rPr>
      </w:pPr>
    </w:p>
    <w:p w14:paraId="698DA680" w14:textId="77777777" w:rsidR="00F051AB" w:rsidRPr="00D0312A" w:rsidRDefault="000F70C6" w:rsidP="00362804">
      <w:pPr>
        <w:spacing w:after="120" w:line="240" w:lineRule="auto"/>
        <w:jc w:val="both"/>
        <w:rPr>
          <w:rFonts w:ascii="Verdana" w:eastAsia="Times New Roman" w:hAnsi="Verdana" w:cs="Segoe UI"/>
          <w:sz w:val="20"/>
          <w:szCs w:val="20"/>
          <w:lang w:eastAsia="es-ES_tradnl"/>
        </w:rPr>
      </w:pPr>
      <w:r w:rsidRPr="00D0312A">
        <w:rPr>
          <w:rFonts w:ascii="Verdana" w:eastAsia="Century Gothic" w:hAnsi="Verdana" w:cs="Arial"/>
          <w:sz w:val="20"/>
          <w:szCs w:val="20"/>
          <w:lang w:val="es-ES"/>
        </w:rPr>
        <w:t xml:space="preserve">[…] </w:t>
      </w:r>
      <w:r w:rsidRPr="00D0312A">
        <w:rPr>
          <w:rFonts w:ascii="Verdana" w:eastAsia="Times New Roman" w:hAnsi="Verdana" w:cs="Segoe UI"/>
          <w:sz w:val="20"/>
          <w:szCs w:val="20"/>
          <w:lang w:eastAsia="es-ES_tradnl"/>
        </w:rPr>
        <w:t>L</w:t>
      </w:r>
      <w:r w:rsidR="00382834" w:rsidRPr="00D0312A">
        <w:rPr>
          <w:rFonts w:ascii="Verdana" w:eastAsia="Times New Roman" w:hAnsi="Verdana" w:cs="Segoe UI"/>
          <w:sz w:val="20"/>
          <w:szCs w:val="20"/>
          <w:lang w:eastAsia="es-ES_tradnl"/>
        </w:rPr>
        <w:t>a eventual admisión de disciplinas o áreas del conocimiento afines estará condicionada a la forma en que el perfil requerido haya sido estructurado en los estudios previos y en los documentos del proceso de contratación. Dicho de otro modo, la posibilidad de reconocer afinidad entre disciplinas dependerá de si la Entidad Estatal, desde la etapa de planeación, previó un perfil abierto o flexible, o, por el contrario, uno específico y restrictivo.</w:t>
      </w:r>
    </w:p>
    <w:p w14:paraId="22021D8B" w14:textId="6A940558" w:rsidR="00F051AB" w:rsidRPr="00D0312A" w:rsidRDefault="00382834" w:rsidP="00362804">
      <w:pPr>
        <w:spacing w:after="120" w:line="240" w:lineRule="auto"/>
        <w:jc w:val="both"/>
        <w:rPr>
          <w:rFonts w:ascii="Verdana" w:eastAsia="Calibri" w:hAnsi="Verdana" w:cs="Arial"/>
          <w:sz w:val="20"/>
          <w:szCs w:val="20"/>
        </w:rPr>
      </w:pPr>
      <w:r w:rsidRPr="00D0312A">
        <w:rPr>
          <w:rFonts w:ascii="Verdana" w:eastAsia="Calibri" w:hAnsi="Verdana" w:cs="Arial"/>
          <w:sz w:val="20"/>
          <w:szCs w:val="20"/>
        </w:rPr>
        <w:lastRenderedPageBreak/>
        <w:t xml:space="preserve">En ese contexto, a manera ilustrativa, </w:t>
      </w:r>
      <w:r w:rsidR="006D1C63" w:rsidRPr="00D0312A">
        <w:rPr>
          <w:rFonts w:ascii="Verdana" w:eastAsia="Calibri" w:hAnsi="Verdana" w:cs="Arial"/>
          <w:sz w:val="20"/>
          <w:szCs w:val="20"/>
        </w:rPr>
        <w:t xml:space="preserve">cuando los estudios previos definen un </w:t>
      </w:r>
      <w:r w:rsidR="006D1C63" w:rsidRPr="00D0312A">
        <w:rPr>
          <w:rFonts w:ascii="Verdana" w:eastAsia="Calibri" w:hAnsi="Verdana" w:cs="Arial"/>
          <w:i/>
          <w:iCs/>
          <w:sz w:val="20"/>
          <w:szCs w:val="20"/>
        </w:rPr>
        <w:t>perfil abierto o amplio</w:t>
      </w:r>
      <w:r w:rsidR="006D1C63" w:rsidRPr="00D0312A">
        <w:rPr>
          <w:rFonts w:ascii="Verdana" w:eastAsia="Calibri" w:hAnsi="Verdana" w:cs="Arial"/>
          <w:sz w:val="20"/>
          <w:szCs w:val="20"/>
        </w:rPr>
        <w:t xml:space="preserve"> -por ejemplo, referido a un área del conocimiento o a un conjunto de disciplinas afines-, es procedente reconocer la afinidad entre distintas formaciones profesionales, siempre que el proponente o el integrante del equipo de trabajo acredite las competencias necesarias para cumplir el objeto contractual, en los términos previstos en dichos estudios. Este reconocimiento debe garantizar de manera suficiente la idoneidad del contratista, sin desconocer los criterios técnicos fijados por las autoridades competentes en materia educativa. </w:t>
      </w:r>
    </w:p>
    <w:p w14:paraId="07550A06" w14:textId="646E3343" w:rsidR="00CA6702" w:rsidRPr="00D0312A" w:rsidRDefault="00CA6702" w:rsidP="00362804">
      <w:pPr>
        <w:spacing w:after="120" w:line="240" w:lineRule="auto"/>
        <w:jc w:val="both"/>
        <w:rPr>
          <w:rFonts w:ascii="Verdana" w:eastAsia="Times New Roman" w:hAnsi="Verdana" w:cs="Segoe UI"/>
          <w:sz w:val="20"/>
          <w:szCs w:val="20"/>
          <w:lang w:eastAsia="es-ES_tradnl"/>
        </w:rPr>
      </w:pPr>
      <w:r w:rsidRPr="00D0312A">
        <w:rPr>
          <w:rFonts w:ascii="Verdana" w:eastAsia="Century Gothic" w:hAnsi="Verdana" w:cs="Arial"/>
          <w:sz w:val="20"/>
          <w:szCs w:val="20"/>
          <w:lang w:val="es-ES"/>
        </w:rPr>
        <w:t>[…]</w:t>
      </w:r>
    </w:p>
    <w:p w14:paraId="47C857DB" w14:textId="692A974C" w:rsidR="00382834" w:rsidRPr="00D0312A" w:rsidRDefault="00382834" w:rsidP="00362804">
      <w:pPr>
        <w:spacing w:after="0" w:line="240" w:lineRule="auto"/>
        <w:jc w:val="both"/>
        <w:rPr>
          <w:rFonts w:ascii="Verdana" w:eastAsia="Times New Roman" w:hAnsi="Verdana" w:cs="Segoe UI"/>
          <w:sz w:val="20"/>
          <w:szCs w:val="20"/>
          <w:lang w:eastAsia="es-ES_tradnl"/>
        </w:rPr>
      </w:pPr>
      <w:r w:rsidRPr="00D0312A">
        <w:rPr>
          <w:rFonts w:ascii="Verdana" w:eastAsia="Calibri" w:hAnsi="Verdana" w:cs="Arial"/>
          <w:sz w:val="20"/>
          <w:szCs w:val="20"/>
        </w:rPr>
        <w:t xml:space="preserve">Por el contrario, </w:t>
      </w:r>
      <w:r w:rsidR="00F839CF" w:rsidRPr="00D0312A">
        <w:rPr>
          <w:rFonts w:ascii="Verdana" w:eastAsia="Calibri" w:hAnsi="Verdana" w:cs="Arial"/>
          <w:sz w:val="20"/>
          <w:szCs w:val="20"/>
        </w:rPr>
        <w:t xml:space="preserve">cuando los estudios previos definen un </w:t>
      </w:r>
      <w:r w:rsidR="00F839CF" w:rsidRPr="00D0312A">
        <w:rPr>
          <w:rFonts w:ascii="Verdana" w:eastAsia="Calibri" w:hAnsi="Verdana" w:cs="Arial"/>
          <w:i/>
          <w:iCs/>
          <w:sz w:val="20"/>
          <w:szCs w:val="20"/>
        </w:rPr>
        <w:t>perfil específico y restrictivo</w:t>
      </w:r>
      <w:r w:rsidR="00F839CF" w:rsidRPr="00D0312A">
        <w:rPr>
          <w:rFonts w:ascii="Verdana" w:eastAsia="Calibri" w:hAnsi="Verdana" w:cs="Arial"/>
          <w:sz w:val="20"/>
          <w:szCs w:val="20"/>
        </w:rPr>
        <w:t xml:space="preserve"> -mediante la exigencia expresa de una profesión determinada-, la entidad debe ceñirse estrictamente a lo previsto, sin que resulte viable ampliar su alcance mediante interpretaciones flexibles o analógicas en las etapas de evaluación o ejecución. Admitir una lectura extensiva en este supuesto no solo desconocería el perfil definido desde la planeación, sino que además vulneraría las condiciones de igualdad entre quienes concurrieron al proceso confiando en la exigencia tal como fue publicada.</w:t>
      </w:r>
    </w:p>
    <w:p w14:paraId="477A51E5" w14:textId="77777777" w:rsidR="008B33E7" w:rsidRPr="00D0312A" w:rsidRDefault="008B33E7" w:rsidP="00B82DAF">
      <w:pPr>
        <w:spacing w:after="0" w:line="240" w:lineRule="auto"/>
        <w:jc w:val="both"/>
        <w:rPr>
          <w:rFonts w:ascii="Verdana" w:eastAsia="Calibri" w:hAnsi="Verdana" w:cs="Arial"/>
          <w:bCs/>
          <w:sz w:val="20"/>
          <w:szCs w:val="20"/>
          <w:lang w:val="es-ES_tradnl"/>
        </w:rPr>
      </w:pPr>
    </w:p>
    <w:p w14:paraId="157CB0E7" w14:textId="77777777" w:rsidR="00B82DAF" w:rsidRPr="00D0312A" w:rsidRDefault="00B82DAF" w:rsidP="00780368">
      <w:pPr>
        <w:spacing w:after="0" w:line="240" w:lineRule="auto"/>
        <w:jc w:val="both"/>
        <w:rPr>
          <w:rFonts w:ascii="Verdana" w:eastAsia="Verdana" w:hAnsi="Verdana" w:cs="Verdana"/>
          <w:sz w:val="20"/>
          <w:szCs w:val="20"/>
          <w:lang w:val="es-MX"/>
        </w:rPr>
      </w:pPr>
    </w:p>
    <w:p w14:paraId="3D28BCE0" w14:textId="77777777" w:rsidR="00B82DAF" w:rsidRPr="00D0312A" w:rsidRDefault="00B82DAF" w:rsidP="00780368">
      <w:pPr>
        <w:spacing w:after="0" w:line="240" w:lineRule="auto"/>
        <w:jc w:val="both"/>
        <w:rPr>
          <w:rFonts w:ascii="Verdana" w:eastAsia="Verdana" w:hAnsi="Verdana" w:cs="Verdana"/>
          <w:sz w:val="20"/>
          <w:szCs w:val="20"/>
          <w:lang w:val="es-MX"/>
        </w:rPr>
      </w:pPr>
    </w:p>
    <w:p w14:paraId="38066866" w14:textId="77777777" w:rsidR="00B82DAF" w:rsidRPr="00D0312A" w:rsidRDefault="00B82DAF" w:rsidP="00780368">
      <w:pPr>
        <w:spacing w:after="0" w:line="240" w:lineRule="auto"/>
        <w:jc w:val="both"/>
        <w:rPr>
          <w:rFonts w:ascii="Verdana" w:eastAsia="Verdana" w:hAnsi="Verdana" w:cs="Verdana"/>
          <w:sz w:val="20"/>
          <w:szCs w:val="20"/>
          <w:lang w:val="es-MX"/>
        </w:rPr>
      </w:pPr>
    </w:p>
    <w:p w14:paraId="6F82B909" w14:textId="77777777" w:rsidR="00B82DAF" w:rsidRPr="00D0312A" w:rsidRDefault="00B82DAF" w:rsidP="00780368">
      <w:pPr>
        <w:spacing w:after="0" w:line="240" w:lineRule="auto"/>
        <w:jc w:val="both"/>
        <w:rPr>
          <w:rFonts w:ascii="Verdana" w:eastAsia="Verdana" w:hAnsi="Verdana" w:cs="Verdana"/>
          <w:sz w:val="20"/>
          <w:szCs w:val="20"/>
          <w:lang w:val="es-MX"/>
        </w:rPr>
      </w:pPr>
    </w:p>
    <w:p w14:paraId="264DDA85" w14:textId="77777777" w:rsidR="00B82DAF" w:rsidRPr="00D0312A" w:rsidRDefault="00B82DAF" w:rsidP="00780368">
      <w:pPr>
        <w:spacing w:after="0" w:line="240" w:lineRule="auto"/>
        <w:jc w:val="both"/>
        <w:rPr>
          <w:rFonts w:ascii="Verdana" w:eastAsia="Verdana" w:hAnsi="Verdana" w:cs="Verdana"/>
          <w:sz w:val="20"/>
          <w:szCs w:val="20"/>
          <w:lang w:val="es-MX"/>
        </w:rPr>
      </w:pPr>
    </w:p>
    <w:p w14:paraId="01C43B80" w14:textId="77777777" w:rsidR="00B82DAF" w:rsidRPr="00D0312A" w:rsidRDefault="00B82DAF" w:rsidP="00780368">
      <w:pPr>
        <w:spacing w:after="0" w:line="240" w:lineRule="auto"/>
        <w:jc w:val="both"/>
        <w:rPr>
          <w:rFonts w:ascii="Verdana" w:eastAsia="Verdana" w:hAnsi="Verdana" w:cs="Verdana"/>
          <w:sz w:val="20"/>
          <w:szCs w:val="20"/>
          <w:lang w:val="es-MX"/>
        </w:rPr>
      </w:pPr>
    </w:p>
    <w:p w14:paraId="49810B80" w14:textId="77777777" w:rsidR="005D09DB" w:rsidRPr="00D0312A" w:rsidRDefault="005D09DB" w:rsidP="30821638">
      <w:pPr>
        <w:spacing w:after="0"/>
        <w:rPr>
          <w:rFonts w:ascii="Verdana" w:eastAsia="Verdana" w:hAnsi="Verdana" w:cs="Verdana"/>
          <w:lang w:val="es-ES"/>
        </w:rPr>
      </w:pPr>
    </w:p>
    <w:p w14:paraId="50B4D5F7" w14:textId="77777777" w:rsidR="0082337A" w:rsidRPr="00D0312A" w:rsidRDefault="0082337A" w:rsidP="30821638">
      <w:pPr>
        <w:spacing w:after="0"/>
        <w:rPr>
          <w:rFonts w:ascii="Verdana" w:eastAsia="Verdana" w:hAnsi="Verdana" w:cs="Verdana"/>
          <w:lang w:val="es-ES"/>
        </w:rPr>
      </w:pPr>
    </w:p>
    <w:p w14:paraId="2F949E54" w14:textId="77777777" w:rsidR="0082337A" w:rsidRPr="00D0312A" w:rsidRDefault="0082337A" w:rsidP="30821638">
      <w:pPr>
        <w:spacing w:after="0"/>
        <w:rPr>
          <w:rFonts w:ascii="Verdana" w:eastAsia="Verdana" w:hAnsi="Verdana" w:cs="Verdana"/>
          <w:lang w:val="es-ES"/>
        </w:rPr>
      </w:pPr>
    </w:p>
    <w:p w14:paraId="30BB6DD1" w14:textId="77777777" w:rsidR="0082337A" w:rsidRPr="00D0312A" w:rsidRDefault="0082337A" w:rsidP="30821638">
      <w:pPr>
        <w:spacing w:after="0"/>
        <w:rPr>
          <w:rFonts w:ascii="Verdana" w:eastAsia="Verdana" w:hAnsi="Verdana" w:cs="Verdana"/>
          <w:lang w:val="es-ES"/>
        </w:rPr>
      </w:pPr>
    </w:p>
    <w:p w14:paraId="58E1E9E2" w14:textId="77777777" w:rsidR="00362804" w:rsidRPr="00D0312A" w:rsidRDefault="00362804" w:rsidP="30821638">
      <w:pPr>
        <w:spacing w:after="0"/>
        <w:rPr>
          <w:rFonts w:ascii="Verdana" w:eastAsia="Verdana" w:hAnsi="Verdana" w:cs="Verdana"/>
          <w:lang w:val="es-ES"/>
        </w:rPr>
      </w:pPr>
    </w:p>
    <w:p w14:paraId="54FA4CBD" w14:textId="77777777" w:rsidR="00362804" w:rsidRPr="00D0312A" w:rsidRDefault="00362804" w:rsidP="30821638">
      <w:pPr>
        <w:spacing w:after="0"/>
        <w:rPr>
          <w:rFonts w:ascii="Verdana" w:eastAsia="Verdana" w:hAnsi="Verdana" w:cs="Verdana"/>
          <w:lang w:val="es-ES"/>
        </w:rPr>
      </w:pPr>
    </w:p>
    <w:p w14:paraId="4C052AC2" w14:textId="77777777" w:rsidR="00362804" w:rsidRPr="00D0312A" w:rsidRDefault="00362804" w:rsidP="30821638">
      <w:pPr>
        <w:spacing w:after="0"/>
        <w:rPr>
          <w:rFonts w:ascii="Verdana" w:eastAsia="Verdana" w:hAnsi="Verdana" w:cs="Verdana"/>
          <w:lang w:val="es-ES"/>
        </w:rPr>
      </w:pPr>
    </w:p>
    <w:p w14:paraId="7DAF6B14" w14:textId="77777777" w:rsidR="0082337A" w:rsidRPr="00D0312A" w:rsidRDefault="0082337A" w:rsidP="30821638">
      <w:pPr>
        <w:spacing w:after="0"/>
        <w:rPr>
          <w:rFonts w:ascii="Verdana" w:eastAsia="Verdana" w:hAnsi="Verdana" w:cs="Verdana"/>
          <w:lang w:val="es-ES"/>
        </w:rPr>
      </w:pPr>
    </w:p>
    <w:p w14:paraId="565729C5" w14:textId="77777777" w:rsidR="0082337A" w:rsidRPr="00D0312A" w:rsidRDefault="0082337A" w:rsidP="30821638">
      <w:pPr>
        <w:spacing w:after="0"/>
        <w:rPr>
          <w:rFonts w:ascii="Verdana" w:eastAsia="Verdana" w:hAnsi="Verdana" w:cs="Verdana"/>
          <w:lang w:val="es-ES"/>
        </w:rPr>
      </w:pPr>
    </w:p>
    <w:p w14:paraId="7F93ECD6" w14:textId="77777777" w:rsidR="0082337A" w:rsidRPr="00D0312A" w:rsidRDefault="0082337A" w:rsidP="30821638">
      <w:pPr>
        <w:spacing w:after="0"/>
        <w:rPr>
          <w:rFonts w:ascii="Verdana" w:eastAsia="Verdana" w:hAnsi="Verdana" w:cs="Verdana"/>
          <w:lang w:val="es-ES"/>
        </w:rPr>
      </w:pPr>
    </w:p>
    <w:p w14:paraId="1E9938B2" w14:textId="77777777" w:rsidR="0082337A" w:rsidRPr="00D0312A" w:rsidRDefault="0082337A" w:rsidP="30821638">
      <w:pPr>
        <w:spacing w:after="0"/>
        <w:rPr>
          <w:rFonts w:ascii="Verdana" w:eastAsia="Verdana" w:hAnsi="Verdana" w:cs="Verdana"/>
          <w:lang w:val="es-ES"/>
        </w:rPr>
      </w:pPr>
    </w:p>
    <w:p w14:paraId="40DA057F" w14:textId="77777777" w:rsidR="0082337A" w:rsidRPr="00D0312A" w:rsidRDefault="0082337A" w:rsidP="30821638">
      <w:pPr>
        <w:spacing w:after="0"/>
        <w:rPr>
          <w:rFonts w:ascii="Verdana" w:eastAsia="Verdana" w:hAnsi="Verdana" w:cs="Verdana"/>
          <w:lang w:val="es-ES"/>
        </w:rPr>
      </w:pPr>
    </w:p>
    <w:p w14:paraId="4B73C4DB" w14:textId="77777777" w:rsidR="0082337A" w:rsidRPr="00D0312A" w:rsidRDefault="0082337A" w:rsidP="30821638">
      <w:pPr>
        <w:spacing w:after="0"/>
        <w:rPr>
          <w:rFonts w:ascii="Verdana" w:eastAsia="Verdana" w:hAnsi="Verdana" w:cs="Verdana"/>
          <w:lang w:val="es-ES"/>
        </w:rPr>
      </w:pPr>
    </w:p>
    <w:p w14:paraId="35128DB1" w14:textId="77777777" w:rsidR="0082337A" w:rsidRPr="00D0312A" w:rsidRDefault="0082337A" w:rsidP="30821638">
      <w:pPr>
        <w:spacing w:after="0"/>
        <w:rPr>
          <w:rFonts w:ascii="Verdana" w:eastAsia="Verdana" w:hAnsi="Verdana" w:cs="Verdana"/>
          <w:lang w:val="es-ES"/>
        </w:rPr>
      </w:pPr>
    </w:p>
    <w:p w14:paraId="7F5B5904" w14:textId="77777777" w:rsidR="0082337A" w:rsidRPr="00D0312A" w:rsidRDefault="0082337A" w:rsidP="30821638">
      <w:pPr>
        <w:spacing w:after="0"/>
        <w:rPr>
          <w:rFonts w:ascii="Verdana" w:eastAsia="Verdana" w:hAnsi="Verdana" w:cs="Verdana"/>
          <w:lang w:val="es-ES"/>
        </w:rPr>
      </w:pPr>
    </w:p>
    <w:p w14:paraId="0F439CCD" w14:textId="77777777" w:rsidR="00CB0312" w:rsidRDefault="00CB0312" w:rsidP="30821638">
      <w:pPr>
        <w:spacing w:after="0"/>
        <w:rPr>
          <w:rFonts w:ascii="Verdana" w:eastAsia="Verdana" w:hAnsi="Verdana" w:cs="Verdana"/>
          <w:lang w:val="es-ES"/>
        </w:rPr>
      </w:pPr>
    </w:p>
    <w:p w14:paraId="460E6BB7" w14:textId="77777777" w:rsidR="007A57F2" w:rsidRPr="00D0312A" w:rsidRDefault="007A57F2" w:rsidP="30821638">
      <w:pPr>
        <w:spacing w:after="0"/>
        <w:rPr>
          <w:rFonts w:ascii="Verdana" w:eastAsia="Verdana" w:hAnsi="Verdana" w:cs="Verdana"/>
          <w:lang w:val="es-ES"/>
        </w:rPr>
      </w:pPr>
    </w:p>
    <w:p w14:paraId="51F450CD" w14:textId="77777777" w:rsidR="0082337A" w:rsidRPr="00D0312A" w:rsidRDefault="0082337A" w:rsidP="30821638">
      <w:pPr>
        <w:spacing w:after="0"/>
        <w:rPr>
          <w:rFonts w:ascii="Verdana" w:eastAsia="Verdana" w:hAnsi="Verdana" w:cs="Verdana"/>
          <w:lang w:val="es-ES"/>
        </w:rPr>
      </w:pPr>
    </w:p>
    <w:p w14:paraId="3664AC30" w14:textId="77777777" w:rsidR="007A57F2" w:rsidRDefault="00C15139" w:rsidP="30821638">
      <w:pPr>
        <w:spacing w:after="0"/>
        <w:rPr>
          <w:rFonts w:ascii="Verdana" w:eastAsia="Verdana" w:hAnsi="Verdana" w:cs="Verdana"/>
        </w:rPr>
      </w:pPr>
      <w:r w:rsidRPr="00D0312A">
        <w:rPr>
          <w:rFonts w:ascii="Verdana" w:eastAsia="Verdana" w:hAnsi="Verdana" w:cs="Verdana"/>
        </w:rPr>
        <w:lastRenderedPageBreak/>
        <w:t xml:space="preserve">Bogotá D.C., </w:t>
      </w:r>
      <w:r w:rsidR="007A57F2">
        <w:rPr>
          <w:rFonts w:ascii="Verdana" w:eastAsia="Verdana" w:hAnsi="Verdana" w:cs="Verdana"/>
        </w:rPr>
        <w:t>24 de julio del 2026</w:t>
      </w:r>
    </w:p>
    <w:p w14:paraId="0E17D9AB" w14:textId="77777777" w:rsidR="0034629C" w:rsidRDefault="0034629C" w:rsidP="30821638">
      <w:pPr>
        <w:spacing w:after="0"/>
        <w:rPr>
          <w:rFonts w:ascii="Verdana" w:eastAsia="Verdana" w:hAnsi="Verdana" w:cs="Verdana"/>
        </w:rPr>
      </w:pPr>
    </w:p>
    <w:p w14:paraId="1468C46D" w14:textId="5D41641F" w:rsidR="00C15139" w:rsidRDefault="00C47274" w:rsidP="00C47274">
      <w:pPr>
        <w:spacing w:after="0"/>
        <w:jc w:val="right"/>
        <w:rPr>
          <w:rFonts w:ascii="Verdana" w:hAnsi="Verdana"/>
        </w:rPr>
      </w:pPr>
      <w:r w:rsidRPr="00C47274">
        <w:rPr>
          <w:rFonts w:ascii="Verdana" w:hAnsi="Verdana"/>
        </w:rPr>
        <w:drawing>
          <wp:inline distT="0" distB="0" distL="0" distR="0" wp14:anchorId="30AAE635" wp14:editId="02C1BBEA">
            <wp:extent cx="2838450" cy="800100"/>
            <wp:effectExtent l="0" t="0" r="0" b="0"/>
            <wp:docPr id="6603570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357035" name=""/>
                    <pic:cNvPicPr/>
                  </pic:nvPicPr>
                  <pic:blipFill>
                    <a:blip r:embed="rId10"/>
                    <a:stretch>
                      <a:fillRect/>
                    </a:stretch>
                  </pic:blipFill>
                  <pic:spPr>
                    <a:xfrm>
                      <a:off x="0" y="0"/>
                      <a:ext cx="2838848" cy="800212"/>
                    </a:xfrm>
                    <a:prstGeom prst="rect">
                      <a:avLst/>
                    </a:prstGeom>
                  </pic:spPr>
                </pic:pic>
              </a:graphicData>
            </a:graphic>
          </wp:inline>
        </w:drawing>
      </w:r>
      <w:r w:rsidR="00C15139" w:rsidRPr="00D0312A">
        <w:rPr>
          <w:rFonts w:ascii="Verdana" w:hAnsi="Verdana"/>
        </w:rPr>
        <w:br/>
      </w:r>
    </w:p>
    <w:p w14:paraId="3CEFE201" w14:textId="30D9C036" w:rsidR="005D09DB" w:rsidRPr="00D0312A" w:rsidRDefault="005D09DB" w:rsidP="005D09DB">
      <w:pPr>
        <w:spacing w:after="0" w:line="240" w:lineRule="auto"/>
        <w:rPr>
          <w:rFonts w:ascii="Verdana" w:hAnsi="Verdana"/>
        </w:rPr>
      </w:pPr>
      <w:r w:rsidRPr="00D0312A">
        <w:rPr>
          <w:rFonts w:ascii="Verdana" w:eastAsia="Calibri" w:hAnsi="Verdana" w:cs="Arial"/>
          <w:color w:val="000000" w:themeColor="text1"/>
          <w:lang w:val="es-ES" w:eastAsia="es-ES"/>
        </w:rPr>
        <w:t>Señor</w:t>
      </w:r>
      <w:r w:rsidR="00140E58" w:rsidRPr="00D0312A">
        <w:rPr>
          <w:rFonts w:ascii="Verdana" w:eastAsia="Calibri" w:hAnsi="Verdana" w:cs="Arial"/>
          <w:color w:val="000000" w:themeColor="text1"/>
          <w:lang w:val="es-ES" w:eastAsia="es-ES"/>
        </w:rPr>
        <w:t>a</w:t>
      </w:r>
      <w:r w:rsidRPr="00D0312A">
        <w:rPr>
          <w:rFonts w:ascii="Verdana" w:eastAsia="Calibri" w:hAnsi="Verdana" w:cs="Arial"/>
          <w:color w:val="000000" w:themeColor="text1"/>
          <w:lang w:val="es-ES" w:eastAsia="es-ES"/>
        </w:rPr>
        <w:t>:</w:t>
      </w:r>
    </w:p>
    <w:p w14:paraId="59BE0525" w14:textId="7A7D51C5" w:rsidR="005D09DB" w:rsidRPr="00D0312A" w:rsidRDefault="00140E58" w:rsidP="005D09DB">
      <w:pPr>
        <w:spacing w:after="0" w:line="240" w:lineRule="auto"/>
        <w:jc w:val="both"/>
        <w:rPr>
          <w:rFonts w:ascii="Verdana" w:eastAsia="Calibri" w:hAnsi="Verdana" w:cs="Arial"/>
          <w:b/>
          <w:bCs/>
          <w:color w:val="000000" w:themeColor="text1"/>
          <w:lang w:eastAsia="es-ES"/>
        </w:rPr>
      </w:pPr>
      <w:r w:rsidRPr="00D0312A">
        <w:rPr>
          <w:rFonts w:ascii="Verdana" w:eastAsia="Calibri" w:hAnsi="Verdana" w:cs="Arial"/>
          <w:b/>
          <w:bCs/>
          <w:color w:val="000000" w:themeColor="text1"/>
          <w:lang w:eastAsia="es-ES"/>
        </w:rPr>
        <w:t>Diana Patricia Perdomo Parra</w:t>
      </w:r>
    </w:p>
    <w:p w14:paraId="0144B3D0" w14:textId="648C6238" w:rsidR="00281981" w:rsidRPr="00D0312A" w:rsidRDefault="00281981" w:rsidP="005D09DB">
      <w:pPr>
        <w:spacing w:after="0" w:line="240" w:lineRule="auto"/>
        <w:rPr>
          <w:rFonts w:ascii="Verdana" w:hAnsi="Verdana"/>
        </w:rPr>
      </w:pPr>
      <w:hyperlink r:id="rId11" w:history="1">
        <w:r w:rsidRPr="00D0312A">
          <w:rPr>
            <w:rStyle w:val="Hipervnculo"/>
            <w:rFonts w:ascii="Verdana" w:hAnsi="Verdana"/>
          </w:rPr>
          <w:t>dianapepa@gmail.com</w:t>
        </w:r>
      </w:hyperlink>
      <w:r w:rsidRPr="00D0312A">
        <w:rPr>
          <w:rFonts w:ascii="Verdana" w:hAnsi="Verdana"/>
        </w:rPr>
        <w:t xml:space="preserve"> </w:t>
      </w:r>
    </w:p>
    <w:p w14:paraId="2AF1486D" w14:textId="32D5A703" w:rsidR="005D09DB" w:rsidRPr="00D0312A" w:rsidRDefault="00281981" w:rsidP="005D09DB">
      <w:pPr>
        <w:spacing w:after="0" w:line="240" w:lineRule="auto"/>
        <w:rPr>
          <w:rFonts w:ascii="Verdana" w:eastAsia="Calibri" w:hAnsi="Verdana" w:cs="Arial"/>
          <w:color w:val="000000" w:themeColor="text1"/>
          <w:lang w:val="es-ES_tradnl" w:eastAsia="es-ES"/>
        </w:rPr>
      </w:pPr>
      <w:r w:rsidRPr="00D0312A">
        <w:rPr>
          <w:rFonts w:ascii="Verdana" w:eastAsia="Calibri" w:hAnsi="Verdana" w:cs="Arial"/>
          <w:color w:val="000000" w:themeColor="text1"/>
          <w:lang w:val="es-ES_tradnl" w:eastAsia="es-ES"/>
        </w:rPr>
        <w:t>Chía, Cundinamarca</w:t>
      </w:r>
    </w:p>
    <w:p w14:paraId="057455A4" w14:textId="77777777" w:rsidR="005D09DB" w:rsidRPr="00D0312A" w:rsidRDefault="005D09DB" w:rsidP="005D09DB">
      <w:pPr>
        <w:spacing w:after="0" w:line="240" w:lineRule="auto"/>
        <w:rPr>
          <w:rFonts w:ascii="Verdana" w:eastAsia="Calibri" w:hAnsi="Verdana" w:cs="Arial"/>
          <w:b/>
          <w:bCs/>
          <w:color w:val="000000" w:themeColor="text1"/>
          <w:highlight w:val="cyan"/>
          <w:lang w:val="es-ES_tradnl" w:eastAsia="es-ES_tradnl"/>
        </w:rPr>
      </w:pPr>
    </w:p>
    <w:p w14:paraId="5B063876" w14:textId="3C20050B" w:rsidR="005D09DB" w:rsidRPr="00D0312A" w:rsidRDefault="005D09DB" w:rsidP="005D09DB">
      <w:pPr>
        <w:spacing w:after="0" w:line="240" w:lineRule="auto"/>
        <w:rPr>
          <w:rFonts w:ascii="Verdana" w:eastAsia="Calibri" w:hAnsi="Verdana" w:cs="Arial"/>
          <w:b/>
          <w:bCs/>
          <w:color w:val="000000" w:themeColor="text1"/>
          <w:lang w:val="es-ES_tradnl" w:eastAsia="es-ES_tradnl"/>
        </w:rPr>
      </w:pPr>
      <w:r w:rsidRPr="00D0312A">
        <w:rPr>
          <w:rFonts w:ascii="Verdana" w:eastAsia="Calibri" w:hAnsi="Verdana" w:cs="Arial"/>
          <w:b/>
          <w:bCs/>
          <w:color w:val="000000" w:themeColor="text1"/>
          <w:lang w:val="es-ES_tradnl" w:eastAsia="es-ES_tradnl"/>
        </w:rPr>
        <w:t xml:space="preserve">                                   Concepto C-</w:t>
      </w:r>
      <w:r w:rsidR="003F4CAF" w:rsidRPr="00D0312A">
        <w:rPr>
          <w:rFonts w:ascii="Verdana" w:eastAsia="Calibri" w:hAnsi="Verdana" w:cs="Arial"/>
          <w:b/>
          <w:bCs/>
          <w:color w:val="000000" w:themeColor="text1"/>
          <w:lang w:val="es-ES_tradnl" w:eastAsia="es-ES_tradnl"/>
        </w:rPr>
        <w:t>958</w:t>
      </w:r>
      <w:r w:rsidRPr="00D0312A">
        <w:rPr>
          <w:rFonts w:ascii="Verdana" w:eastAsia="Calibri" w:hAnsi="Verdana" w:cs="Arial"/>
          <w:b/>
          <w:bCs/>
          <w:color w:val="000000" w:themeColor="text1"/>
          <w:lang w:val="es-ES_tradnl" w:eastAsia="es-ES_tradnl"/>
        </w:rPr>
        <w:t xml:space="preserve"> del 2026</w:t>
      </w:r>
    </w:p>
    <w:p w14:paraId="18B0F670" w14:textId="77777777" w:rsidR="005D09DB" w:rsidRPr="00D0312A" w:rsidRDefault="005D09DB" w:rsidP="005D09DB">
      <w:pPr>
        <w:spacing w:after="0" w:line="240" w:lineRule="auto"/>
        <w:rPr>
          <w:rFonts w:ascii="Verdana" w:eastAsia="Calibri" w:hAnsi="Verdana" w:cs="Arial"/>
          <w:b/>
          <w:bCs/>
          <w:color w:val="000000" w:themeColor="text1"/>
          <w:highlight w:val="cyan"/>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5D09DB" w:rsidRPr="00D0312A" w14:paraId="5E788E79" w14:textId="77777777">
        <w:trPr>
          <w:trHeight w:val="884"/>
        </w:trPr>
        <w:tc>
          <w:tcPr>
            <w:tcW w:w="2689" w:type="dxa"/>
          </w:tcPr>
          <w:p w14:paraId="57EAEBEC" w14:textId="77777777" w:rsidR="005D09DB" w:rsidRPr="00D0312A" w:rsidRDefault="005D09DB">
            <w:pPr>
              <w:jc w:val="both"/>
              <w:rPr>
                <w:rFonts w:ascii="Verdana" w:eastAsia="Calibri" w:hAnsi="Verdana" w:cs="Arial"/>
                <w:color w:val="000000" w:themeColor="text1"/>
                <w:highlight w:val="cyan"/>
                <w:lang w:val="es-ES_tradnl" w:eastAsia="es-ES_tradnl"/>
              </w:rPr>
            </w:pPr>
            <w:r w:rsidRPr="00D0312A">
              <w:rPr>
                <w:rFonts w:ascii="Verdana" w:eastAsia="Calibri" w:hAnsi="Verdana" w:cs="Arial"/>
                <w:b/>
                <w:color w:val="000000" w:themeColor="text1"/>
                <w:lang w:val="es-ES_tradnl" w:eastAsia="es-ES_tradnl"/>
              </w:rPr>
              <w:t>Temas:</w:t>
            </w:r>
            <w:r w:rsidRPr="00D0312A">
              <w:rPr>
                <w:rFonts w:ascii="Verdana" w:eastAsia="Calibri" w:hAnsi="Verdana" w:cs="Arial"/>
                <w:color w:val="000000" w:themeColor="text1"/>
                <w:lang w:val="es-ES_tradnl" w:eastAsia="es-ES_tradnl"/>
              </w:rPr>
              <w:t xml:space="preserve">                   </w:t>
            </w:r>
          </w:p>
        </w:tc>
        <w:tc>
          <w:tcPr>
            <w:tcW w:w="6100" w:type="dxa"/>
          </w:tcPr>
          <w:p w14:paraId="238D7F40" w14:textId="5CB94F30" w:rsidR="0082337A" w:rsidRPr="00D0312A" w:rsidRDefault="0082337A" w:rsidP="0082337A">
            <w:pPr>
              <w:jc w:val="both"/>
              <w:rPr>
                <w:rFonts w:ascii="Verdana" w:eastAsia="Calibri" w:hAnsi="Verdana" w:cs="Arial"/>
                <w:sz w:val="20"/>
                <w:szCs w:val="20"/>
                <w:lang w:val="es-ES" w:eastAsia="es-ES"/>
              </w:rPr>
            </w:pPr>
            <w:r w:rsidRPr="00D0312A">
              <w:rPr>
                <w:rFonts w:ascii="Verdana" w:eastAsia="Aptos" w:hAnsi="Verdana" w:cs="Times New Roman"/>
              </w:rPr>
              <w:t xml:space="preserve">PRINCIPIO DE PLANEACIÓN – Alcance – Condiciones / ESTUDIOS PREVIOS – Planeación </w:t>
            </w:r>
            <w:r w:rsidR="00AC08F6" w:rsidRPr="00D0312A">
              <w:rPr>
                <w:rFonts w:ascii="Verdana" w:eastAsia="Arial" w:hAnsi="Verdana" w:cs="Arial"/>
                <w:lang w:val="es-MX" w:eastAsia="es-ES"/>
              </w:rPr>
              <w:t>–</w:t>
            </w:r>
            <w:r w:rsidRPr="00D0312A">
              <w:rPr>
                <w:rFonts w:ascii="Verdana" w:eastAsia="Aptos" w:hAnsi="Verdana" w:cs="Times New Roman"/>
              </w:rPr>
              <w:t xml:space="preserve"> Deber de las entidades / </w:t>
            </w:r>
            <w:r w:rsidRPr="00D0312A">
              <w:rPr>
                <w:rFonts w:ascii="Verdana" w:eastAsia="Times New Roman" w:hAnsi="Verdana" w:cs="Arial"/>
                <w:lang w:eastAsia="es-ES_tradnl"/>
              </w:rPr>
              <w:t xml:space="preserve">ESTUDIOS PREVIOS </w:t>
            </w:r>
            <w:r w:rsidRPr="00D0312A">
              <w:rPr>
                <w:rFonts w:ascii="Verdana" w:eastAsia="Arial" w:hAnsi="Verdana" w:cs="Arial"/>
                <w:lang w:val="es-MX" w:eastAsia="es-ES"/>
              </w:rPr>
              <w:t xml:space="preserve">– Perfil requerido – Áreas del conocimiento afines </w:t>
            </w:r>
            <w:r w:rsidR="00AC08F6" w:rsidRPr="00D0312A">
              <w:rPr>
                <w:rFonts w:ascii="Verdana" w:eastAsia="Arial" w:hAnsi="Verdana" w:cs="Arial"/>
                <w:lang w:val="es-MX" w:eastAsia="es-ES"/>
              </w:rPr>
              <w:t xml:space="preserve">– </w:t>
            </w:r>
            <w:r w:rsidRPr="00D0312A">
              <w:rPr>
                <w:rFonts w:ascii="Verdana" w:eastAsia="Arial" w:hAnsi="Verdana" w:cs="Arial"/>
                <w:lang w:val="es-MX" w:eastAsia="es-ES"/>
              </w:rPr>
              <w:t xml:space="preserve">Idoneidad del contratista – Principio de Planeación  </w:t>
            </w:r>
          </w:p>
          <w:p w14:paraId="6ED0E1EF" w14:textId="06576D35" w:rsidR="000C15FF" w:rsidRPr="00D0312A" w:rsidRDefault="000C15FF">
            <w:pPr>
              <w:spacing w:line="276" w:lineRule="auto"/>
              <w:jc w:val="both"/>
              <w:rPr>
                <w:rFonts w:ascii="Verdana" w:eastAsia="Aptos" w:hAnsi="Verdana" w:cs="Times New Roman"/>
                <w:highlight w:val="cyan"/>
                <w:lang w:val="es-ES"/>
              </w:rPr>
            </w:pPr>
          </w:p>
        </w:tc>
      </w:tr>
      <w:tr w:rsidR="005D09DB" w:rsidRPr="00D0312A" w14:paraId="4352C4D8" w14:textId="77777777">
        <w:tc>
          <w:tcPr>
            <w:tcW w:w="2689" w:type="dxa"/>
          </w:tcPr>
          <w:p w14:paraId="51FEB383" w14:textId="77777777" w:rsidR="005D09DB" w:rsidRPr="00D0312A" w:rsidRDefault="005D09DB">
            <w:pPr>
              <w:jc w:val="both"/>
              <w:rPr>
                <w:rFonts w:ascii="Verdana" w:eastAsia="Calibri" w:hAnsi="Verdana" w:cs="Arial"/>
                <w:b/>
                <w:color w:val="000000" w:themeColor="text1"/>
                <w:lang w:val="es-ES_tradnl" w:eastAsia="es-ES_tradnl"/>
              </w:rPr>
            </w:pPr>
            <w:r w:rsidRPr="00D0312A">
              <w:rPr>
                <w:rFonts w:ascii="Verdana" w:eastAsia="Calibri" w:hAnsi="Verdana" w:cs="Arial"/>
                <w:b/>
                <w:color w:val="000000" w:themeColor="text1"/>
                <w:lang w:val="es-ES_tradnl" w:eastAsia="es-ES_tradnl"/>
              </w:rPr>
              <w:t>Radicación:</w:t>
            </w:r>
            <w:r w:rsidRPr="00D0312A">
              <w:rPr>
                <w:rFonts w:ascii="Verdana" w:eastAsia="Calibri" w:hAnsi="Verdana" w:cs="Arial"/>
                <w:color w:val="000000" w:themeColor="text1"/>
                <w:lang w:val="es-ES_tradnl" w:eastAsia="es-ES_tradnl"/>
              </w:rPr>
              <w:t xml:space="preserve">               </w:t>
            </w:r>
          </w:p>
        </w:tc>
        <w:tc>
          <w:tcPr>
            <w:tcW w:w="6100" w:type="dxa"/>
          </w:tcPr>
          <w:p w14:paraId="33399696" w14:textId="32D4BD76" w:rsidR="005D09DB" w:rsidRPr="00D0312A" w:rsidRDefault="005D09DB">
            <w:pPr>
              <w:spacing w:line="276" w:lineRule="auto"/>
              <w:jc w:val="both"/>
              <w:rPr>
                <w:rFonts w:ascii="Verdana" w:eastAsia="Calibri" w:hAnsi="Verdana" w:cs="Arial"/>
                <w:color w:val="000000" w:themeColor="text1"/>
                <w:lang w:eastAsia="es-ES_tradnl"/>
              </w:rPr>
            </w:pPr>
            <w:r w:rsidRPr="00D0312A">
              <w:rPr>
                <w:rFonts w:ascii="Verdana" w:eastAsia="Calibri" w:hAnsi="Verdana" w:cs="Arial"/>
                <w:color w:val="000000" w:themeColor="text1"/>
                <w:lang w:val="es-ES_tradnl" w:eastAsia="es-ES_tradnl"/>
              </w:rPr>
              <w:t>Respuesta a consulta con radicado No.</w:t>
            </w:r>
            <w:r w:rsidRPr="00D0312A">
              <w:rPr>
                <w:rFonts w:ascii="Verdana" w:hAnsi="Verdana"/>
              </w:rPr>
              <w:t xml:space="preserve"> </w:t>
            </w:r>
            <w:r w:rsidR="006E4F34" w:rsidRPr="00D0312A">
              <w:rPr>
                <w:rFonts w:ascii="Verdana" w:hAnsi="Verdana"/>
              </w:rPr>
              <w:t>1_2026_06_11_007941</w:t>
            </w:r>
          </w:p>
        </w:tc>
      </w:tr>
    </w:tbl>
    <w:p w14:paraId="59566FD4" w14:textId="77777777" w:rsidR="005D09DB" w:rsidRPr="00D0312A" w:rsidRDefault="005D09DB" w:rsidP="005D09DB">
      <w:pPr>
        <w:spacing w:after="0" w:line="276" w:lineRule="auto"/>
        <w:jc w:val="both"/>
        <w:rPr>
          <w:rFonts w:ascii="Verdana" w:eastAsia="Calibri" w:hAnsi="Verdana" w:cs="Arial"/>
          <w:color w:val="000000" w:themeColor="text1"/>
          <w:highlight w:val="cyan"/>
          <w:lang w:val="es-ES" w:eastAsia="es-ES"/>
        </w:rPr>
      </w:pPr>
    </w:p>
    <w:p w14:paraId="640CFE4A" w14:textId="7BC3A1BF" w:rsidR="005D09DB" w:rsidRPr="00D0312A" w:rsidRDefault="005D09DB" w:rsidP="005D09DB">
      <w:pPr>
        <w:spacing w:after="0" w:line="276" w:lineRule="auto"/>
        <w:jc w:val="both"/>
        <w:rPr>
          <w:rFonts w:ascii="Verdana" w:eastAsia="Calibri" w:hAnsi="Verdana" w:cs="Arial"/>
          <w:color w:val="000000" w:themeColor="text1"/>
          <w:lang w:val="es-ES" w:eastAsia="es-ES"/>
        </w:rPr>
      </w:pPr>
      <w:r w:rsidRPr="00D0312A">
        <w:rPr>
          <w:rFonts w:ascii="Verdana" w:eastAsia="Calibri" w:hAnsi="Verdana" w:cs="Arial"/>
          <w:color w:val="000000" w:themeColor="text1"/>
          <w:lang w:val="es-ES" w:eastAsia="es-ES"/>
        </w:rPr>
        <w:t>Estimad</w:t>
      </w:r>
      <w:r w:rsidR="00140E58" w:rsidRPr="00D0312A">
        <w:rPr>
          <w:rFonts w:ascii="Verdana" w:eastAsia="Calibri" w:hAnsi="Verdana" w:cs="Arial"/>
          <w:color w:val="000000" w:themeColor="text1"/>
          <w:lang w:val="es-ES" w:eastAsia="es-ES"/>
        </w:rPr>
        <w:t>a</w:t>
      </w:r>
      <w:r w:rsidRPr="00D0312A">
        <w:rPr>
          <w:rFonts w:ascii="Verdana" w:eastAsia="Calibri" w:hAnsi="Verdana" w:cs="Arial"/>
          <w:color w:val="000000" w:themeColor="text1"/>
          <w:lang w:val="es-ES" w:eastAsia="es-ES"/>
        </w:rPr>
        <w:t xml:space="preserve"> señor</w:t>
      </w:r>
      <w:r w:rsidR="00140E58" w:rsidRPr="00D0312A">
        <w:rPr>
          <w:rFonts w:ascii="Verdana" w:eastAsia="Calibri" w:hAnsi="Verdana" w:cs="Arial"/>
          <w:color w:val="000000" w:themeColor="text1"/>
          <w:lang w:val="es-ES" w:eastAsia="es-ES"/>
        </w:rPr>
        <w:t>a</w:t>
      </w:r>
      <w:r w:rsidRPr="00D0312A">
        <w:rPr>
          <w:rFonts w:ascii="Verdana" w:eastAsia="Calibri" w:hAnsi="Verdana" w:cs="Arial"/>
          <w:color w:val="000000" w:themeColor="text1"/>
          <w:lang w:val="es-ES" w:eastAsia="es-ES"/>
        </w:rPr>
        <w:t xml:space="preserve"> </w:t>
      </w:r>
      <w:r w:rsidR="00140E58" w:rsidRPr="00D0312A">
        <w:rPr>
          <w:rFonts w:ascii="Verdana" w:eastAsia="Calibri" w:hAnsi="Verdana" w:cs="Arial"/>
          <w:color w:val="000000" w:themeColor="text1"/>
          <w:lang w:val="es-ES" w:eastAsia="es-ES"/>
        </w:rPr>
        <w:t>Perdomo Parra</w:t>
      </w:r>
      <w:r w:rsidRPr="00D0312A">
        <w:rPr>
          <w:rFonts w:ascii="Verdana" w:eastAsia="Calibri" w:hAnsi="Verdana" w:cs="Arial"/>
          <w:color w:val="000000" w:themeColor="text1"/>
          <w:lang w:val="es-ES" w:eastAsia="es-ES"/>
        </w:rPr>
        <w:t xml:space="preserve">: </w:t>
      </w:r>
    </w:p>
    <w:p w14:paraId="61845AC3" w14:textId="77777777" w:rsidR="005D09DB" w:rsidRPr="00D0312A" w:rsidRDefault="005D09DB" w:rsidP="005D09DB">
      <w:pPr>
        <w:spacing w:after="0" w:line="276" w:lineRule="auto"/>
        <w:rPr>
          <w:rFonts w:ascii="Verdana" w:eastAsia="Times New Roman" w:hAnsi="Verdana" w:cs="Segoe UI"/>
          <w:highlight w:val="cyan"/>
          <w:lang w:eastAsia="es-CO"/>
        </w:rPr>
      </w:pPr>
    </w:p>
    <w:p w14:paraId="2D9ACAAD" w14:textId="63503590" w:rsidR="005D09DB" w:rsidRPr="00D0312A" w:rsidRDefault="005D09DB" w:rsidP="005D09DB">
      <w:pPr>
        <w:spacing w:after="0" w:line="276" w:lineRule="auto"/>
        <w:jc w:val="both"/>
        <w:rPr>
          <w:rFonts w:ascii="Verdana" w:eastAsia="Calibri" w:hAnsi="Verdana" w:cs="Arial"/>
          <w:lang w:val="es-ES" w:eastAsia="es-ES"/>
        </w:rPr>
      </w:pPr>
      <w:r w:rsidRPr="00D0312A">
        <w:rPr>
          <w:rFonts w:ascii="Verdana" w:eastAsia="Calibri" w:hAnsi="Verdana" w:cs="Arial"/>
          <w:lang w:val="es-ES" w:eastAsia="es-ES"/>
        </w:rPr>
        <w:t>En ejercicio de la competencia otorgada por los artículos 3, numeral 5º, y 11, numeral 8º, del Decreto Ley 4170 de 2011,</w:t>
      </w:r>
      <w:r w:rsidRPr="00D0312A">
        <w:rPr>
          <w:rFonts w:ascii="Verdana" w:eastAsia="Arial MT" w:hAnsi="Verdana" w:cs="Arial"/>
          <w:lang w:val="es-ES" w:eastAsia="es-ES"/>
        </w:rPr>
        <w:t xml:space="preserve"> </w:t>
      </w:r>
      <w:r w:rsidRPr="00D0312A">
        <w:rPr>
          <w:rFonts w:ascii="Verdana" w:hAnsi="Verdana" w:cs="Arial"/>
        </w:rPr>
        <w:t xml:space="preserve">así como lo establecido en el artículo 4 de la Resolución 1707 de 2018 expedida por esta Entidad, </w:t>
      </w:r>
      <w:r w:rsidRPr="00D0312A">
        <w:rPr>
          <w:rFonts w:ascii="Verdana" w:eastAsia="Calibri" w:hAnsi="Verdana" w:cs="Arial"/>
          <w:lang w:val="es-ES" w:eastAsia="es-ES"/>
        </w:rPr>
        <w:t xml:space="preserve">la Agencia Nacional de Contratación Pública – Colombia Compra Eficiente– responde su solicitud radicada </w:t>
      </w:r>
      <w:r w:rsidR="0015161D" w:rsidRPr="00D0312A">
        <w:rPr>
          <w:rFonts w:ascii="Verdana" w:eastAsia="Calibri" w:hAnsi="Verdana" w:cs="Arial"/>
          <w:lang w:val="es-ES" w:eastAsia="es-ES"/>
        </w:rPr>
        <w:t>el 11 de junio del 2026</w:t>
      </w:r>
      <w:r w:rsidRPr="00D0312A">
        <w:rPr>
          <w:rFonts w:ascii="Verdana" w:eastAsia="Calibri" w:hAnsi="Verdana" w:cs="Arial"/>
          <w:lang w:val="es-ES" w:eastAsia="es-ES"/>
        </w:rPr>
        <w:t xml:space="preserve">, en la cual manifiesta lo siguiente: </w:t>
      </w:r>
    </w:p>
    <w:p w14:paraId="265E0E8A" w14:textId="77777777" w:rsidR="005D09DB" w:rsidRPr="00D0312A" w:rsidRDefault="005D09DB" w:rsidP="005D09DB">
      <w:pPr>
        <w:spacing w:after="0" w:line="276" w:lineRule="auto"/>
        <w:jc w:val="both"/>
        <w:rPr>
          <w:rFonts w:ascii="Verdana" w:eastAsia="Calibri" w:hAnsi="Verdana" w:cs="Arial"/>
          <w:highlight w:val="cyan"/>
          <w:lang w:val="es-ES" w:eastAsia="es-ES"/>
        </w:rPr>
      </w:pPr>
    </w:p>
    <w:p w14:paraId="3EFB5082" w14:textId="39D64098" w:rsidR="005D09DB" w:rsidRPr="00D0312A" w:rsidRDefault="005D09DB" w:rsidP="00AC3713">
      <w:pPr>
        <w:spacing w:after="0" w:line="240" w:lineRule="auto"/>
        <w:ind w:left="709" w:right="709"/>
        <w:jc w:val="both"/>
        <w:rPr>
          <w:rFonts w:ascii="Verdana" w:eastAsia="Century Gothic" w:hAnsi="Verdana" w:cs="Arial"/>
          <w:sz w:val="20"/>
          <w:szCs w:val="20"/>
          <w:lang w:val="es-ES"/>
        </w:rPr>
      </w:pPr>
      <w:r w:rsidRPr="00D0312A">
        <w:rPr>
          <w:rFonts w:ascii="Verdana" w:eastAsia="Century Gothic" w:hAnsi="Verdana" w:cs="Arial"/>
          <w:sz w:val="20"/>
          <w:szCs w:val="20"/>
          <w:lang w:val="es-ES"/>
        </w:rPr>
        <w:t>“[…]</w:t>
      </w:r>
      <w:r w:rsidR="00AC3713" w:rsidRPr="00D0312A">
        <w:rPr>
          <w:rFonts w:ascii="Verdana" w:eastAsia="Century Gothic" w:hAnsi="Verdana" w:cs="Arial"/>
          <w:sz w:val="20"/>
          <w:szCs w:val="20"/>
          <w:lang w:val="es-ES"/>
        </w:rPr>
        <w:t xml:space="preserve"> Solicitud de concepto técnico y jurídico en ejercicio del derecho de petición (Art. 23 C.P.), con el fin de que la Agencia Nacional de Contratación Pública - Colombia Compra Eficiente fije línea e interprete el alcance de la exigencia de perfiles profesionales y de posgrado en los procesos de contratación de las alcaldías y entidades territoriales. Específicamente, se solicita determinar si vulnera los principios de selección objetiva, economía y libre concurrencia el hecho de restringir la participación exigiendo un título de pregrado o posgrado de denominación exacta y específica (ej. Administración de Empresas o Especialista en </w:t>
      </w:r>
      <w:r w:rsidR="00AC3713" w:rsidRPr="00D0312A">
        <w:rPr>
          <w:rFonts w:ascii="Verdana" w:eastAsia="Century Gothic" w:hAnsi="Verdana" w:cs="Arial"/>
          <w:sz w:val="20"/>
          <w:szCs w:val="20"/>
          <w:lang w:val="es-ES"/>
        </w:rPr>
        <w:lastRenderedPageBreak/>
        <w:t xml:space="preserve">Gerencia Estratégica), excluyendo de forma taxativa a proponentes con títulos que pertenecen al mismo Núcleo Básico del Conocimiento - NBC (ej. Administración de Servicios o Gerencia de Proyectos), desconociendo así la equivalencia técnica y las directrices fijadas por el DAFP y el SNIES. </w:t>
      </w:r>
      <w:r w:rsidRPr="00D0312A">
        <w:rPr>
          <w:rFonts w:ascii="Verdana" w:eastAsia="Century Gothic" w:hAnsi="Verdana" w:cs="Arial"/>
          <w:sz w:val="20"/>
          <w:szCs w:val="20"/>
        </w:rPr>
        <w:t>[…]”</w:t>
      </w:r>
    </w:p>
    <w:p w14:paraId="4A4C739A" w14:textId="77777777" w:rsidR="005D09DB" w:rsidRPr="00D0312A" w:rsidRDefault="005D09DB" w:rsidP="005D09DB">
      <w:pPr>
        <w:spacing w:after="0"/>
        <w:jc w:val="both"/>
        <w:rPr>
          <w:rFonts w:ascii="Verdana" w:hAnsi="Verdana" w:cs="Arial"/>
          <w:highlight w:val="cyan"/>
          <w:lang w:val="es-ES"/>
        </w:rPr>
      </w:pPr>
    </w:p>
    <w:p w14:paraId="71FBB5C1" w14:textId="77777777" w:rsidR="005D09DB" w:rsidRPr="00D0312A" w:rsidRDefault="005D09DB" w:rsidP="005D09DB">
      <w:pPr>
        <w:spacing w:after="120" w:line="276" w:lineRule="auto"/>
        <w:ind w:firstLine="709"/>
        <w:jc w:val="both"/>
        <w:rPr>
          <w:rFonts w:ascii="Verdana" w:eastAsia="Calibri" w:hAnsi="Verdana" w:cs="Arial"/>
          <w:color w:val="000000"/>
          <w:lang w:val="es-ES_tradnl" w:eastAsia="es-ES_tradnl"/>
        </w:rPr>
      </w:pPr>
      <w:r w:rsidRPr="00D0312A">
        <w:rPr>
          <w:rFonts w:ascii="Verdana" w:eastAsia="Calibri" w:hAnsi="Verdana" w:cs="Arial"/>
          <w:color w:val="000000"/>
          <w:lang w:val="es-ES" w:eastAsia="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w:t>
      </w:r>
    </w:p>
    <w:p w14:paraId="6078B302" w14:textId="77777777" w:rsidR="005D09DB" w:rsidRPr="00D0312A" w:rsidRDefault="005D09DB" w:rsidP="005D09DB">
      <w:pPr>
        <w:spacing w:after="0" w:line="276" w:lineRule="auto"/>
        <w:ind w:firstLine="709"/>
        <w:jc w:val="both"/>
        <w:rPr>
          <w:rFonts w:ascii="Verdana" w:eastAsia="Calibri" w:hAnsi="Verdana" w:cs="Arial"/>
          <w:color w:val="000000"/>
          <w:lang w:val="es-ES" w:eastAsia="es-ES"/>
        </w:rPr>
      </w:pPr>
      <w:r w:rsidRPr="00D0312A">
        <w:rPr>
          <w:rFonts w:ascii="Verdana" w:eastAsia="Calibri" w:hAnsi="Verdana" w:cs="Arial"/>
          <w:color w:val="000000"/>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11784459" w14:textId="77777777" w:rsidR="005D09DB" w:rsidRPr="00D0312A" w:rsidRDefault="005D09DB" w:rsidP="005D09DB">
      <w:pPr>
        <w:spacing w:after="0" w:line="276" w:lineRule="auto"/>
        <w:jc w:val="both"/>
        <w:rPr>
          <w:rStyle w:val="Hipervnculo"/>
          <w:rFonts w:ascii="Verdana" w:hAnsi="Verdana"/>
          <w:highlight w:val="cyan"/>
          <w:u w:val="none"/>
          <w:lang w:val="es-ES"/>
        </w:rPr>
      </w:pPr>
    </w:p>
    <w:p w14:paraId="4DE2BE08" w14:textId="7EA06268" w:rsidR="005D09DB" w:rsidRPr="00D0312A" w:rsidRDefault="005D09DB" w:rsidP="005D09D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Arial"/>
          <w:b/>
          <w:bCs/>
        </w:rPr>
      </w:pPr>
      <w:r w:rsidRPr="00D0312A">
        <w:rPr>
          <w:rFonts w:ascii="Verdana" w:eastAsia="Century Gothic" w:hAnsi="Verdana" w:cs="Arial"/>
          <w:b/>
          <w:bCs/>
        </w:rPr>
        <w:t>Problema planteado:</w:t>
      </w:r>
    </w:p>
    <w:p w14:paraId="0EA11F7D" w14:textId="77777777" w:rsidR="005D09DB" w:rsidRPr="00D0312A" w:rsidRDefault="005D09DB" w:rsidP="005D09DB">
      <w:pPr>
        <w:spacing w:after="0" w:line="276" w:lineRule="auto"/>
        <w:jc w:val="both"/>
        <w:rPr>
          <w:rStyle w:val="Hipervnculo"/>
          <w:rFonts w:ascii="Verdana" w:hAnsi="Verdana" w:cs="Arial"/>
          <w:highlight w:val="cyan"/>
        </w:rPr>
      </w:pPr>
    </w:p>
    <w:p w14:paraId="066A9887" w14:textId="2DCF1C41" w:rsidR="00FA27A3" w:rsidRPr="00D0312A" w:rsidRDefault="005D09DB" w:rsidP="00FA27A3">
      <w:pPr>
        <w:spacing w:after="0" w:line="276" w:lineRule="auto"/>
        <w:jc w:val="both"/>
        <w:rPr>
          <w:rFonts w:ascii="Verdana" w:eastAsia="Century Gothic" w:hAnsi="Verdana" w:cs="Arial"/>
        </w:rPr>
      </w:pPr>
      <w:r w:rsidRPr="00D0312A">
        <w:rPr>
          <w:rFonts w:ascii="Verdana" w:eastAsia="Century Gothic" w:hAnsi="Verdana" w:cs="Arial"/>
        </w:rPr>
        <w:t xml:space="preserve">De acuerdo con el contenido de su solicitud, esta Agencia resolverá </w:t>
      </w:r>
      <w:r w:rsidR="00CD4D1C" w:rsidRPr="00D0312A">
        <w:rPr>
          <w:rFonts w:ascii="Verdana" w:eastAsia="Century Gothic" w:hAnsi="Verdana" w:cs="Arial"/>
        </w:rPr>
        <w:t>el</w:t>
      </w:r>
      <w:r w:rsidRPr="00D0312A">
        <w:rPr>
          <w:rFonts w:ascii="Verdana" w:eastAsia="Century Gothic" w:hAnsi="Verdana" w:cs="Arial"/>
        </w:rPr>
        <w:t xml:space="preserve"> siguiente problema jurídico: </w:t>
      </w:r>
      <w:r w:rsidR="008B066D" w:rsidRPr="00D0312A">
        <w:rPr>
          <w:rFonts w:ascii="Verdana" w:eastAsia="Century Gothic" w:hAnsi="Verdana" w:cs="Arial"/>
        </w:rPr>
        <w:t xml:space="preserve">¿En qué medida las Entidades Estatales, al ejercer su autonomía para </w:t>
      </w:r>
      <w:r w:rsidR="00CE0FB2" w:rsidRPr="00D0312A">
        <w:rPr>
          <w:rFonts w:ascii="Verdana" w:eastAsia="Century Gothic" w:hAnsi="Verdana" w:cs="Arial"/>
        </w:rPr>
        <w:t>estructurar sus</w:t>
      </w:r>
      <w:r w:rsidR="008B066D" w:rsidRPr="00D0312A">
        <w:rPr>
          <w:rFonts w:ascii="Verdana" w:eastAsia="Century Gothic" w:hAnsi="Verdana" w:cs="Arial"/>
        </w:rPr>
        <w:t xml:space="preserve"> procesos de contratación, pueden establecer exigencias relativas a perfiles profesionales específicos y títulos de posgrado?</w:t>
      </w:r>
    </w:p>
    <w:p w14:paraId="2F669941" w14:textId="77777777" w:rsidR="005D09DB" w:rsidRPr="00D0312A" w:rsidRDefault="005D09DB" w:rsidP="005D09DB">
      <w:pPr>
        <w:spacing w:after="0" w:line="276" w:lineRule="auto"/>
        <w:jc w:val="both"/>
        <w:rPr>
          <w:rStyle w:val="Hipervnculo"/>
          <w:rFonts w:ascii="Verdana" w:hAnsi="Verdana" w:cs="Arial"/>
          <w:highlight w:val="cyan"/>
        </w:rPr>
      </w:pPr>
    </w:p>
    <w:p w14:paraId="0E1213CE" w14:textId="77777777" w:rsidR="005D09DB" w:rsidRPr="00D0312A" w:rsidRDefault="005D09DB" w:rsidP="005D09DB">
      <w:pPr>
        <w:pStyle w:val="Prrafodelista"/>
        <w:widowControl w:val="0"/>
        <w:numPr>
          <w:ilvl w:val="0"/>
          <w:numId w:val="16"/>
        </w:numPr>
        <w:autoSpaceDE w:val="0"/>
        <w:autoSpaceDN w:val="0"/>
        <w:spacing w:after="0" w:line="276" w:lineRule="auto"/>
        <w:ind w:left="360"/>
        <w:contextualSpacing w:val="0"/>
        <w:jc w:val="both"/>
        <w:outlineLvl w:val="0"/>
        <w:rPr>
          <w:rFonts w:ascii="Verdana" w:eastAsia="Arial" w:hAnsi="Verdana" w:cs="Arial"/>
          <w:b/>
          <w:bCs/>
        </w:rPr>
      </w:pPr>
      <w:r w:rsidRPr="00D0312A">
        <w:rPr>
          <w:rFonts w:ascii="Verdana" w:eastAsia="Arial" w:hAnsi="Verdana" w:cs="Arial"/>
          <w:b/>
          <w:bCs/>
        </w:rPr>
        <w:t>Respuesta:</w:t>
      </w:r>
    </w:p>
    <w:p w14:paraId="668E7A5C" w14:textId="77777777" w:rsidR="005D09DB" w:rsidRPr="00D0312A" w:rsidRDefault="005D09DB" w:rsidP="005D09DB">
      <w:pPr>
        <w:spacing w:after="0" w:line="276" w:lineRule="auto"/>
        <w:rPr>
          <w:rFonts w:ascii="Verdana" w:eastAsia="Aptos" w:hAnsi="Verdana" w:cs="Arial"/>
          <w:highlight w:val="cyan"/>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5D09DB" w:rsidRPr="00D0312A" w14:paraId="24CE7BAC" w14:textId="77777777">
        <w:tc>
          <w:tcPr>
            <w:tcW w:w="8828" w:type="dxa"/>
          </w:tcPr>
          <w:p w14:paraId="02F901EE" w14:textId="5CC70C9D" w:rsidR="005D09DB" w:rsidRPr="00D0312A" w:rsidRDefault="005D09DB">
            <w:pPr>
              <w:spacing w:after="120" w:line="276" w:lineRule="auto"/>
              <w:jc w:val="both"/>
              <w:rPr>
                <w:rFonts w:ascii="Verdana" w:hAnsi="Verdana" w:cs="Arial"/>
              </w:rPr>
            </w:pPr>
            <w:bookmarkStart w:id="1" w:name="_Hlk171067516"/>
            <w:r w:rsidRPr="00D0312A">
              <w:rPr>
                <w:rFonts w:ascii="Verdana" w:hAnsi="Verdana" w:cs="Arial"/>
              </w:rPr>
              <w:lastRenderedPageBreak/>
              <w:t>En respuesta a</w:t>
            </w:r>
            <w:r w:rsidR="00B47BA5" w:rsidRPr="00D0312A">
              <w:rPr>
                <w:rFonts w:ascii="Verdana" w:hAnsi="Verdana" w:cs="Arial"/>
              </w:rPr>
              <w:t>l</w:t>
            </w:r>
            <w:r w:rsidRPr="00D0312A">
              <w:rPr>
                <w:rFonts w:ascii="Verdana" w:hAnsi="Verdana" w:cs="Arial"/>
              </w:rPr>
              <w:t xml:space="preserve"> problema ante planteado esta Subdirección manifiesta lo siguiente:</w:t>
            </w:r>
          </w:p>
          <w:p w14:paraId="1DBC712A" w14:textId="7D7E13F2" w:rsidR="00C77CBC" w:rsidRPr="00D0312A" w:rsidRDefault="005D09DB" w:rsidP="00C77CBC">
            <w:pPr>
              <w:spacing w:after="120" w:line="276" w:lineRule="auto"/>
              <w:ind w:firstLine="737"/>
              <w:jc w:val="both"/>
              <w:rPr>
                <w:rFonts w:ascii="Verdana" w:hAnsi="Verdana"/>
              </w:rPr>
            </w:pPr>
            <w:r w:rsidRPr="00D0312A">
              <w:rPr>
                <w:rFonts w:ascii="Verdana" w:hAnsi="Verdana"/>
              </w:rPr>
              <w:t xml:space="preserve">En </w:t>
            </w:r>
            <w:r w:rsidRPr="00D0312A">
              <w:rPr>
                <w:rFonts w:ascii="Verdana" w:hAnsi="Verdana"/>
                <w:i/>
                <w:iCs/>
              </w:rPr>
              <w:t>primer lugar</w:t>
            </w:r>
            <w:r w:rsidRPr="00D0312A">
              <w:rPr>
                <w:rFonts w:ascii="Verdana" w:hAnsi="Verdana"/>
              </w:rPr>
              <w:t xml:space="preserve">, debe señalarse que </w:t>
            </w:r>
            <w:r w:rsidR="00501620" w:rsidRPr="00D0312A">
              <w:rPr>
                <w:rFonts w:ascii="Verdana" w:hAnsi="Verdana"/>
              </w:rPr>
              <w:t>l</w:t>
            </w:r>
            <w:r w:rsidR="00370228" w:rsidRPr="00D0312A">
              <w:rPr>
                <w:rFonts w:ascii="Verdana" w:hAnsi="Verdana"/>
              </w:rPr>
              <w:t>as Entidades Estatales cuentan con autonomía para definir los perfiles profesionales y las exigencias de posgrado dentro de sus procesos de contratación, en tanto dicha facultad se deriva de su potestad de configuración de los requisitos habilitantes y de los criterios de calificación, conforme al artículo 5 de la Ley 1150 de 2007 y al artículo 2.2.1.1.1.6.2 del Decreto 1082 de 2015. No obstante, esta autonomía no es absoluta: se encuentra limitada por los principios de selección objetiva, proporcionalidad, libre concurrencia e igualdad que rigen el Estatuto General de Contratación de la Administración Pública</w:t>
            </w:r>
            <w:r w:rsidR="00A06A02">
              <w:rPr>
                <w:rFonts w:ascii="Verdana" w:hAnsi="Verdana"/>
              </w:rPr>
              <w:t xml:space="preserve"> – en adelante EGCAP</w:t>
            </w:r>
            <w:r w:rsidR="00370228" w:rsidRPr="00D0312A">
              <w:rPr>
                <w:rFonts w:ascii="Verdana" w:hAnsi="Verdana"/>
              </w:rPr>
              <w:t>, de manera que la exigencia de un perfil determinado debe corresponder a las necesidades reales del objeto contractual y no a restricciones arbitrarias o desproporcionadas de la participación.</w:t>
            </w:r>
          </w:p>
          <w:p w14:paraId="6A9A2C54" w14:textId="77777777" w:rsidR="001512B2" w:rsidRPr="00D0312A" w:rsidRDefault="001512B2" w:rsidP="001512B2">
            <w:pPr>
              <w:spacing w:after="120" w:line="276" w:lineRule="auto"/>
              <w:ind w:firstLine="737"/>
              <w:jc w:val="both"/>
              <w:rPr>
                <w:rFonts w:ascii="Verdana" w:hAnsi="Verdana"/>
              </w:rPr>
            </w:pPr>
            <w:r w:rsidRPr="00D0312A">
              <w:rPr>
                <w:rFonts w:ascii="Verdana" w:hAnsi="Verdana"/>
              </w:rPr>
              <w:t>De este modo, el alcance con el que puede reconocerse la afinidad entre disciplinas académicas no se encuentra sujeto a una regla general y uniforme, sino a la configuración específica del perfil requerido que la Entidad Estatal establezca en la etapa de planeación.</w:t>
            </w:r>
          </w:p>
          <w:p w14:paraId="1A79D1CB" w14:textId="3CD72F0C" w:rsidR="00D47583" w:rsidRPr="00D0312A" w:rsidRDefault="00370228" w:rsidP="00D47583">
            <w:pPr>
              <w:spacing w:after="120" w:line="276" w:lineRule="auto"/>
              <w:ind w:firstLine="737"/>
              <w:jc w:val="both"/>
              <w:rPr>
                <w:rFonts w:ascii="Verdana" w:hAnsi="Verdana"/>
              </w:rPr>
            </w:pPr>
            <w:r w:rsidRPr="00D0312A">
              <w:rPr>
                <w:rFonts w:ascii="Verdana" w:hAnsi="Verdana"/>
              </w:rPr>
              <w:t>En consecuencia cuando los estudios previos definen un perfil abierto o amplio -por ejemplo, referido a un área del conocimiento o a un conjunto de disciplinas afines-, es procedente reconocer la afinidad entre distintas formaciones profesionales, siempre que el proponente o el integrante del equipo de trabajo acredite las competencias necesarias para cumplir el objeto contractual, en los términos previstos en dichos estudios. Este reconocimiento debe garantizar de manera suficiente la idoneidad del contratista, sin desconocer los criterios técnicos fijados por las autoridades competentes en materia educativa. En este escenario, el Núcleo Básico del Conocimiento -concebido para el régimen de empleo público- puede operar como referente técnico razonable para valorar la afinidad entre disciplinas, sin que ello implique su aplicación directa o vinculante al ámbito contractual, dado que no existe una norma que extienda dicha figura a la contratación estatal.</w:t>
            </w:r>
          </w:p>
          <w:p w14:paraId="42645961" w14:textId="77777777" w:rsidR="00D47583" w:rsidRPr="00D0312A" w:rsidRDefault="00370228" w:rsidP="00D47583">
            <w:pPr>
              <w:spacing w:after="120" w:line="276" w:lineRule="auto"/>
              <w:ind w:firstLine="737"/>
              <w:jc w:val="both"/>
              <w:rPr>
                <w:rFonts w:ascii="Verdana" w:hAnsi="Verdana"/>
              </w:rPr>
            </w:pPr>
            <w:r w:rsidRPr="00D0312A">
              <w:rPr>
                <w:rFonts w:ascii="Verdana" w:hAnsi="Verdana"/>
              </w:rPr>
              <w:t xml:space="preserve">Ahora, cuando los estudios previos definen un perfil específico y restrictivo -mediante la exigencia expresa de una profesión determinada-, la entidad debe ceñirse estrictamente a lo previsto, sin que resulte viable ampliar su alcance mediante interpretaciones flexibles o analógicas en las etapas de </w:t>
            </w:r>
            <w:r w:rsidRPr="00D0312A">
              <w:rPr>
                <w:rFonts w:ascii="Verdana" w:hAnsi="Verdana"/>
              </w:rPr>
              <w:lastRenderedPageBreak/>
              <w:t>evaluación o ejecución. Admitir una lectura extensiva en este supuesto no solo desconocería el perfil definido desde la planeación, sino que además vulneraría las condiciones de igualdad entre quienes concurrieron al proceso confiando en la exigencia tal como fue publicada.</w:t>
            </w:r>
          </w:p>
          <w:p w14:paraId="36F355AA" w14:textId="77777777" w:rsidR="00B57AE3" w:rsidRPr="00D0312A" w:rsidRDefault="00B57AE3" w:rsidP="00B57AE3">
            <w:pPr>
              <w:spacing w:after="120" w:line="276" w:lineRule="auto"/>
              <w:ind w:firstLine="737"/>
              <w:jc w:val="both"/>
              <w:rPr>
                <w:rFonts w:ascii="Verdana" w:hAnsi="Verdana"/>
              </w:rPr>
            </w:pPr>
            <w:r w:rsidRPr="00D0312A">
              <w:rPr>
                <w:rFonts w:ascii="Verdana" w:hAnsi="Verdana"/>
              </w:rPr>
              <w:t xml:space="preserve">De lo anterior se desprende que la proporcionalidad de una exigencia relativa a un perfil profesional o de posgrado no se evalúa en abstracto, sino en función de la coherencia entre el perfil definido en los estudios previos y las necesidades reales del objeto contractual. La rigidez o flexibilidad de dicho perfil constituye una decisión de planeación que vincula a la entidad durante todo el proceso, desde la estructuración hasta la ejecución del contrato, conforme al principio de planeación y a las reglas que rigen la </w:t>
            </w:r>
            <w:proofErr w:type="spellStart"/>
            <w:r w:rsidRPr="00D0312A">
              <w:rPr>
                <w:rFonts w:ascii="Verdana" w:hAnsi="Verdana"/>
              </w:rPr>
              <w:t>inmodificabilidad</w:t>
            </w:r>
            <w:proofErr w:type="spellEnd"/>
            <w:r w:rsidRPr="00D0312A">
              <w:rPr>
                <w:rFonts w:ascii="Verdana" w:hAnsi="Verdana"/>
              </w:rPr>
              <w:t xml:space="preserve"> de las condiciones esenciales del proceso de selección.</w:t>
            </w:r>
          </w:p>
          <w:p w14:paraId="48C76730" w14:textId="2869A53E" w:rsidR="00370228" w:rsidRPr="00D0312A" w:rsidRDefault="00370228" w:rsidP="00D47583">
            <w:pPr>
              <w:spacing w:after="120" w:line="276" w:lineRule="auto"/>
              <w:ind w:firstLine="737"/>
              <w:jc w:val="both"/>
              <w:rPr>
                <w:rFonts w:ascii="Verdana" w:hAnsi="Verdana" w:cs="Arial"/>
                <w:color w:val="000000" w:themeColor="text1"/>
              </w:rPr>
            </w:pPr>
            <w:r w:rsidRPr="00D0312A">
              <w:rPr>
                <w:rFonts w:ascii="Verdana" w:hAnsi="Verdana"/>
              </w:rPr>
              <w:t>Finalmente,</w:t>
            </w:r>
            <w:r w:rsidR="00AE795E" w:rsidRPr="00D0312A">
              <w:rPr>
                <w:rFonts w:ascii="Verdana" w:hAnsi="Verdana"/>
              </w:rPr>
              <w:t xml:space="preserve"> resulta a bien precisar que</w:t>
            </w:r>
            <w:r w:rsidRPr="00D0312A">
              <w:rPr>
                <w:rFonts w:ascii="Verdana" w:hAnsi="Verdana"/>
              </w:rPr>
              <w:t xml:space="preserve"> la Agencia puede fijar criterios orientadores de alcance general sobre la forma adecuada de estructurar estos perfiles -como los aquí expuestos-, pero dicho pronunciamiento no sustituye la autonomía de cada Entidad Estatal para definir, en cada proceso de contratación en particular, el perfil profesional o de posgrado que corresponda a sus necesidades específicas, ni exime a la entidad de la responsabilidad de justificar técnicamente esa decisión desde la etapa de planeación.</w:t>
            </w:r>
          </w:p>
        </w:tc>
      </w:tr>
      <w:bookmarkEnd w:id="1"/>
    </w:tbl>
    <w:p w14:paraId="206B4A28" w14:textId="77777777" w:rsidR="005D09DB" w:rsidRPr="00D0312A" w:rsidRDefault="005D09DB" w:rsidP="005D09DB">
      <w:pPr>
        <w:widowControl w:val="0"/>
        <w:autoSpaceDE w:val="0"/>
        <w:autoSpaceDN w:val="0"/>
        <w:spacing w:after="0" w:line="276" w:lineRule="auto"/>
        <w:ind w:left="360" w:hanging="360"/>
        <w:outlineLvl w:val="0"/>
        <w:rPr>
          <w:rFonts w:ascii="Verdana" w:eastAsia="Arial" w:hAnsi="Verdana" w:cs="Arial"/>
          <w:b/>
          <w:bCs/>
        </w:rPr>
      </w:pPr>
    </w:p>
    <w:p w14:paraId="4F089DBF" w14:textId="77777777" w:rsidR="005D09DB" w:rsidRPr="00D0312A" w:rsidRDefault="005D09DB" w:rsidP="005D09DB">
      <w:pPr>
        <w:widowControl w:val="0"/>
        <w:autoSpaceDE w:val="0"/>
        <w:autoSpaceDN w:val="0"/>
        <w:spacing w:after="0" w:line="276" w:lineRule="auto"/>
        <w:ind w:left="360" w:hanging="360"/>
        <w:outlineLvl w:val="0"/>
        <w:rPr>
          <w:rFonts w:ascii="Verdana" w:eastAsia="Arial" w:hAnsi="Verdana" w:cs="Arial"/>
          <w:b/>
          <w:bCs/>
          <w:lang w:val="es-ES"/>
        </w:rPr>
      </w:pPr>
      <w:r w:rsidRPr="00D0312A">
        <w:rPr>
          <w:rFonts w:ascii="Verdana" w:eastAsia="Arial" w:hAnsi="Verdana" w:cs="Arial"/>
          <w:b/>
          <w:bCs/>
          <w:lang w:val="es-ES"/>
        </w:rPr>
        <w:t>3. Razones de la respuesta:</w:t>
      </w:r>
    </w:p>
    <w:p w14:paraId="18989197" w14:textId="77777777" w:rsidR="005D09DB" w:rsidRPr="00D0312A" w:rsidRDefault="005D09DB" w:rsidP="005D09DB">
      <w:pPr>
        <w:spacing w:after="0" w:line="276" w:lineRule="auto"/>
        <w:jc w:val="both"/>
        <w:rPr>
          <w:rFonts w:ascii="Verdana" w:eastAsia="Calibri" w:hAnsi="Verdana" w:cs="Arial"/>
          <w:lang w:val="es-ES"/>
        </w:rPr>
      </w:pPr>
    </w:p>
    <w:p w14:paraId="3016023B" w14:textId="77777777" w:rsidR="005D09DB" w:rsidRPr="00D0312A" w:rsidRDefault="005D09DB" w:rsidP="005D09DB">
      <w:pPr>
        <w:spacing w:after="0" w:line="276" w:lineRule="auto"/>
        <w:jc w:val="both"/>
        <w:rPr>
          <w:rFonts w:ascii="Verdana" w:eastAsia="Calibri" w:hAnsi="Verdana" w:cs="Arial"/>
          <w:lang w:val="es-ES"/>
        </w:rPr>
      </w:pPr>
      <w:r w:rsidRPr="00D0312A">
        <w:rPr>
          <w:rFonts w:ascii="Verdana" w:eastAsia="Calibri" w:hAnsi="Verdana" w:cs="Arial"/>
          <w:lang w:val="es-ES"/>
        </w:rPr>
        <w:t xml:space="preserve">La respuesta anterior se sustenta en las siguientes consideraciones: </w:t>
      </w:r>
    </w:p>
    <w:p w14:paraId="12443EE0" w14:textId="77777777" w:rsidR="00C15139" w:rsidRPr="00D0312A" w:rsidRDefault="00C15139" w:rsidP="00300E1A">
      <w:pPr>
        <w:spacing w:after="0" w:line="276" w:lineRule="auto"/>
        <w:rPr>
          <w:rFonts w:ascii="Verdana" w:eastAsia="Verdana" w:hAnsi="Verdana" w:cs="Verdana"/>
          <w:lang w:val="es-ES"/>
        </w:rPr>
      </w:pPr>
    </w:p>
    <w:p w14:paraId="3EB7C8A7" w14:textId="77777777" w:rsidR="006D7B6F" w:rsidRPr="00D0312A" w:rsidRDefault="006D7B6F" w:rsidP="00300E1A">
      <w:pPr>
        <w:spacing w:after="120" w:line="276" w:lineRule="auto"/>
        <w:jc w:val="both"/>
        <w:rPr>
          <w:rFonts w:ascii="Verdana" w:hAnsi="Verdana"/>
          <w:sz w:val="24"/>
          <w:lang w:val="es-MX"/>
        </w:rPr>
      </w:pPr>
      <w:bookmarkStart w:id="2" w:name="_Hlk54011258"/>
      <w:r w:rsidRPr="00D0312A">
        <w:rPr>
          <w:rFonts w:ascii="Verdana" w:eastAsia="Calibri" w:hAnsi="Verdana" w:cs="Arial"/>
          <w:bCs/>
          <w:lang w:val="es-ES_tradnl"/>
        </w:rPr>
        <w:t>La planeación contractual es una herramienta de gerencia pública, que 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precios, costos, riesgos, garantías, disponibilidad, oferentes, etc. Lo anterior con la finalidad de realizar la escogencia diligente de la mejor oferta, para beneficiar los intereses y fines públicos inmersos en la contratación de las entidades estatales</w:t>
      </w:r>
      <w:bookmarkEnd w:id="2"/>
      <w:r w:rsidRPr="00D0312A">
        <w:rPr>
          <w:rFonts w:ascii="Verdana" w:eastAsia="Calibri" w:hAnsi="Verdana" w:cs="Arial"/>
          <w:bCs/>
          <w:sz w:val="21"/>
          <w:szCs w:val="21"/>
          <w:lang w:val="es-ES_tradnl"/>
        </w:rPr>
        <w:t>.</w:t>
      </w:r>
    </w:p>
    <w:p w14:paraId="2B998596" w14:textId="0E20CFF2" w:rsidR="006D7B6F" w:rsidRPr="00D0312A" w:rsidRDefault="006D7B6F" w:rsidP="00300E1A">
      <w:pPr>
        <w:spacing w:after="0" w:line="276" w:lineRule="auto"/>
        <w:ind w:firstLine="708"/>
        <w:jc w:val="both"/>
        <w:rPr>
          <w:rFonts w:ascii="Verdana" w:hAnsi="Verdana" w:cs="Arial"/>
          <w:bCs/>
          <w:lang w:val="es-ES"/>
        </w:rPr>
      </w:pPr>
      <w:r w:rsidRPr="00D0312A">
        <w:rPr>
          <w:rFonts w:ascii="Verdana" w:hAnsi="Verdana" w:cs="Arial"/>
          <w:bCs/>
          <w:lang w:val="es-MX"/>
        </w:rPr>
        <w:t xml:space="preserve">El </w:t>
      </w:r>
      <w:r w:rsidR="00D85936">
        <w:rPr>
          <w:rFonts w:ascii="Verdana" w:hAnsi="Verdana" w:cs="Arial"/>
          <w:bCs/>
          <w:lang w:val="es-MX"/>
        </w:rPr>
        <w:t>EGCAP</w:t>
      </w:r>
      <w:r w:rsidRPr="00D0312A">
        <w:rPr>
          <w:rFonts w:ascii="Verdana" w:hAnsi="Verdana" w:cs="Arial"/>
          <w:bCs/>
          <w:lang w:val="es-MX"/>
        </w:rPr>
        <w:t xml:space="preserve"> contiene disposiciones que exigen a las </w:t>
      </w:r>
      <w:r w:rsidR="00707F98" w:rsidRPr="00D0312A">
        <w:rPr>
          <w:rFonts w:ascii="Verdana" w:hAnsi="Verdana" w:cs="Arial"/>
          <w:bCs/>
          <w:lang w:val="es-MX"/>
        </w:rPr>
        <w:t>Entidades Estatales</w:t>
      </w:r>
      <w:r w:rsidRPr="00D0312A">
        <w:rPr>
          <w:rFonts w:ascii="Verdana" w:hAnsi="Verdana" w:cs="Arial"/>
          <w:bCs/>
          <w:lang w:val="es-MX"/>
        </w:rPr>
        <w:t xml:space="preserve"> el deber de realizar planeación en la etapa precontractual, para que los procesos </w:t>
      </w:r>
      <w:r w:rsidRPr="00D0312A">
        <w:rPr>
          <w:rFonts w:ascii="Verdana" w:hAnsi="Verdana" w:cs="Arial"/>
          <w:bCs/>
          <w:lang w:val="es-MX"/>
        </w:rPr>
        <w:lastRenderedPageBreak/>
        <w:t xml:space="preserve">de contratación satisfagan las necesidades de la Administración, cumplan sus fines, logren la continua y eficiente prestación de los servicios públicos y permitan la efectividad de los derechos e intereses de los administrados que colaboran en la consecución. En relación con el valor del futuro contrato y su correlativo respaldo presupuestal, se tienen, por ejemplo, las siguientes reglas derivadas de la aplicación del principio de economía previsto en el artículo 25 de la Ley 80 de 1993: </w:t>
      </w:r>
    </w:p>
    <w:p w14:paraId="3BA699F1" w14:textId="77777777" w:rsidR="006D7B6F" w:rsidRPr="00D0312A" w:rsidRDefault="006D7B6F" w:rsidP="006D7B6F">
      <w:pPr>
        <w:spacing w:after="0" w:line="276" w:lineRule="auto"/>
        <w:ind w:firstLine="708"/>
        <w:jc w:val="both"/>
        <w:rPr>
          <w:rFonts w:ascii="Verdana" w:hAnsi="Verdana" w:cs="Arial"/>
          <w:bCs/>
          <w:lang w:val="es-ES"/>
        </w:rPr>
      </w:pPr>
    </w:p>
    <w:p w14:paraId="016C9336" w14:textId="77777777" w:rsidR="006D7B6F" w:rsidRPr="00D0312A" w:rsidRDefault="006D7B6F" w:rsidP="00E64728">
      <w:pPr>
        <w:spacing w:after="0" w:line="240" w:lineRule="auto"/>
        <w:ind w:left="709" w:right="709"/>
        <w:jc w:val="both"/>
        <w:rPr>
          <w:rFonts w:ascii="Verdana" w:hAnsi="Verdana" w:cs="Arial"/>
          <w:sz w:val="20"/>
          <w:szCs w:val="20"/>
          <w:lang w:val="es-MX"/>
        </w:rPr>
      </w:pPr>
      <w:r w:rsidRPr="00D0312A">
        <w:rPr>
          <w:rFonts w:ascii="Verdana" w:hAnsi="Verdana" w:cs="Arial"/>
          <w:sz w:val="20"/>
          <w:szCs w:val="20"/>
          <w:lang w:val="es-MX"/>
        </w:rPr>
        <w:t>“7o. La conveniencia o inconveniencia del objeto a contratar y las autorizaciones y aprobaciones para ello, se analizarán o impartirán con antelación al inicio del proceso de selección del contratista o al de la firma del contrato, según el caso.</w:t>
      </w:r>
    </w:p>
    <w:p w14:paraId="3D583E3B" w14:textId="77777777" w:rsidR="006D7B6F" w:rsidRPr="00D0312A" w:rsidRDefault="006D7B6F" w:rsidP="00707F98">
      <w:pPr>
        <w:spacing w:after="0" w:line="240" w:lineRule="auto"/>
        <w:ind w:left="709" w:right="709"/>
        <w:jc w:val="both"/>
        <w:rPr>
          <w:rFonts w:ascii="Verdana" w:hAnsi="Verdana" w:cs="Arial"/>
          <w:sz w:val="20"/>
          <w:szCs w:val="20"/>
          <w:lang w:val="es-MX"/>
        </w:rPr>
      </w:pPr>
      <w:r w:rsidRPr="00D0312A">
        <w:rPr>
          <w:rFonts w:ascii="Verdana" w:hAnsi="Verdana" w:cs="Arial"/>
          <w:sz w:val="20"/>
          <w:szCs w:val="20"/>
          <w:lang w:val="es-MX"/>
        </w:rPr>
        <w:t>[…]</w:t>
      </w:r>
    </w:p>
    <w:p w14:paraId="4E7C7AD6" w14:textId="77777777" w:rsidR="00707F98" w:rsidRPr="00D0312A" w:rsidRDefault="00707F98" w:rsidP="00300E1A">
      <w:pPr>
        <w:spacing w:after="0" w:line="240" w:lineRule="auto"/>
        <w:ind w:left="709" w:right="709"/>
        <w:jc w:val="both"/>
        <w:rPr>
          <w:rFonts w:ascii="Verdana" w:hAnsi="Verdana" w:cs="Arial"/>
          <w:sz w:val="20"/>
          <w:szCs w:val="20"/>
          <w:lang w:val="es-MX"/>
        </w:rPr>
      </w:pPr>
    </w:p>
    <w:p w14:paraId="7D583F70" w14:textId="77777777" w:rsidR="006D7B6F" w:rsidRPr="00D0312A" w:rsidRDefault="006D7B6F" w:rsidP="00300E1A">
      <w:pPr>
        <w:spacing w:after="0" w:line="240" w:lineRule="auto"/>
        <w:ind w:left="709" w:right="709"/>
        <w:jc w:val="both"/>
        <w:rPr>
          <w:rFonts w:ascii="Verdana" w:hAnsi="Verdana" w:cs="Arial"/>
          <w:sz w:val="20"/>
          <w:szCs w:val="20"/>
          <w:lang w:val="es-MX"/>
        </w:rPr>
      </w:pPr>
      <w:r w:rsidRPr="00D0312A">
        <w:rPr>
          <w:rFonts w:ascii="Verdana" w:hAnsi="Verdana" w:cs="Arial"/>
          <w:sz w:val="20"/>
          <w:szCs w:val="20"/>
          <w:lang w:val="es-MX"/>
        </w:rPr>
        <w:t>12. Previo a la apertura de un proceso de selección, o a la firma del contrato en el caso en que la modalidad de selección sea contratación directa, deberán elaborarse los estudios, diseños y proyectos requeridos, y los pliegos de condiciones, según corresponda.</w:t>
      </w:r>
    </w:p>
    <w:p w14:paraId="260FD645" w14:textId="77777777" w:rsidR="00707F98" w:rsidRDefault="00707F98" w:rsidP="00707F98">
      <w:pPr>
        <w:spacing w:after="0" w:line="240" w:lineRule="auto"/>
        <w:ind w:left="709" w:right="709"/>
        <w:jc w:val="both"/>
        <w:rPr>
          <w:rFonts w:ascii="Verdana" w:hAnsi="Verdana" w:cs="Arial"/>
          <w:sz w:val="20"/>
          <w:szCs w:val="20"/>
          <w:lang w:val="es-MX"/>
        </w:rPr>
      </w:pPr>
    </w:p>
    <w:p w14:paraId="3D86A778" w14:textId="66B76E50" w:rsidR="006D7B6F" w:rsidRPr="00D0312A" w:rsidRDefault="006D7B6F" w:rsidP="00300E1A">
      <w:pPr>
        <w:spacing w:after="0" w:line="240" w:lineRule="auto"/>
        <w:ind w:left="709" w:right="709"/>
        <w:jc w:val="both"/>
        <w:rPr>
          <w:rFonts w:ascii="Verdana" w:hAnsi="Verdana" w:cs="Arial"/>
          <w:sz w:val="20"/>
          <w:szCs w:val="20"/>
          <w:lang w:val="es-MX"/>
        </w:rPr>
      </w:pPr>
      <w:r w:rsidRPr="00D0312A">
        <w:rPr>
          <w:rFonts w:ascii="Verdana" w:hAnsi="Verdana" w:cs="Arial"/>
          <w:sz w:val="20"/>
          <w:szCs w:val="20"/>
          <w:lang w:val="es-MX"/>
        </w:rPr>
        <w:t>Cuando el objeto de la contratación incluya la realización de una obra, en la misma oportunidad señalada en el inciso primero, la entidad contratante deberá contar con los estudios y diseños que permitan establecer la viabilidad del proyecto y su impacto social, económico y ambiental. Esta condición será aplicable incluso para los contratos que incluyan dentro del objeto el diseño.</w:t>
      </w:r>
    </w:p>
    <w:p w14:paraId="7D962F17" w14:textId="77777777" w:rsidR="00707F98" w:rsidRDefault="00707F98" w:rsidP="00707F98">
      <w:pPr>
        <w:spacing w:after="0" w:line="240" w:lineRule="auto"/>
        <w:ind w:left="709" w:right="709"/>
        <w:jc w:val="both"/>
        <w:rPr>
          <w:rFonts w:ascii="Verdana" w:hAnsi="Verdana" w:cs="Arial"/>
          <w:sz w:val="20"/>
          <w:szCs w:val="20"/>
          <w:lang w:val="es-MX"/>
        </w:rPr>
      </w:pPr>
    </w:p>
    <w:p w14:paraId="71D38321" w14:textId="46D53D1C" w:rsidR="006D7B6F" w:rsidRPr="00D0312A" w:rsidRDefault="006D7B6F" w:rsidP="00300E1A">
      <w:pPr>
        <w:spacing w:after="0" w:line="240" w:lineRule="auto"/>
        <w:ind w:left="709" w:right="709"/>
        <w:jc w:val="both"/>
        <w:rPr>
          <w:rFonts w:ascii="Verdana" w:hAnsi="Verdana" w:cs="Arial"/>
          <w:sz w:val="20"/>
          <w:szCs w:val="20"/>
          <w:lang w:val="es-MX"/>
        </w:rPr>
      </w:pPr>
      <w:r w:rsidRPr="00D0312A">
        <w:rPr>
          <w:rFonts w:ascii="Verdana" w:hAnsi="Verdana" w:cs="Arial"/>
          <w:sz w:val="20"/>
          <w:szCs w:val="20"/>
          <w:lang w:val="es-MX"/>
        </w:rPr>
        <w:t>13. Las autoridades constituirán las reservas y compromisos presupuestales necesarios, tomando como base el valor de las prestaciones al momento de celebrar el contrato y el estimativo de los ajustes resultantes de la aplicación de la cláusula de actualización de precios.</w:t>
      </w:r>
    </w:p>
    <w:p w14:paraId="4B384AC1" w14:textId="77777777" w:rsidR="00707F98" w:rsidRDefault="00707F98" w:rsidP="00707F98">
      <w:pPr>
        <w:spacing w:after="0" w:line="240" w:lineRule="auto"/>
        <w:ind w:left="709" w:right="709"/>
        <w:jc w:val="both"/>
        <w:rPr>
          <w:rFonts w:ascii="Verdana" w:hAnsi="Verdana" w:cs="Arial"/>
          <w:sz w:val="20"/>
          <w:szCs w:val="20"/>
          <w:lang w:val="es-MX"/>
        </w:rPr>
      </w:pPr>
    </w:p>
    <w:p w14:paraId="5A5A6F57" w14:textId="2BC54D6E" w:rsidR="006D7B6F" w:rsidRPr="00D0312A" w:rsidRDefault="006D7B6F" w:rsidP="00E64728">
      <w:pPr>
        <w:spacing w:after="0" w:line="240" w:lineRule="auto"/>
        <w:ind w:left="709" w:right="709"/>
        <w:jc w:val="both"/>
        <w:rPr>
          <w:rFonts w:ascii="Verdana" w:hAnsi="Verdana" w:cs="Arial"/>
          <w:sz w:val="20"/>
          <w:szCs w:val="20"/>
          <w:lang w:val="es-MX"/>
        </w:rPr>
      </w:pPr>
      <w:r w:rsidRPr="00D0312A">
        <w:rPr>
          <w:rFonts w:ascii="Verdana" w:hAnsi="Verdana" w:cs="Arial"/>
          <w:sz w:val="20"/>
          <w:szCs w:val="20"/>
          <w:lang w:val="es-MX"/>
        </w:rPr>
        <w:t>14. Las entidades incluirán en sus presupuestos anuales una apropiación global destinada a cubrir los costos imprevistos ocasionados por los retardos en los pagos, así como los que se originen en la revisión de los precios pactados por razón de los cambios o alteraciones en las condiciones iniciales de los contratos por ellas celebrados […]”.</w:t>
      </w:r>
    </w:p>
    <w:p w14:paraId="5A6E3B3D" w14:textId="77777777" w:rsidR="006D7B6F" w:rsidRPr="00D0312A" w:rsidRDefault="006D7B6F" w:rsidP="006D7B6F">
      <w:pPr>
        <w:spacing w:after="0" w:line="276" w:lineRule="auto"/>
        <w:ind w:left="709" w:right="709"/>
        <w:jc w:val="both"/>
        <w:rPr>
          <w:rFonts w:ascii="Verdana" w:hAnsi="Verdana" w:cs="Arial"/>
          <w:lang w:val="es-MX"/>
        </w:rPr>
      </w:pPr>
    </w:p>
    <w:p w14:paraId="51E37CCF" w14:textId="1BD64118" w:rsidR="006D7B6F" w:rsidRPr="00D0312A" w:rsidRDefault="006D7B6F" w:rsidP="006D7B6F">
      <w:pPr>
        <w:spacing w:after="120" w:line="276" w:lineRule="auto"/>
        <w:ind w:firstLine="709"/>
        <w:jc w:val="both"/>
        <w:rPr>
          <w:rFonts w:ascii="Verdana" w:hAnsi="Verdana" w:cs="Arial"/>
          <w:lang w:val="es-MX"/>
        </w:rPr>
      </w:pPr>
      <w:r w:rsidRPr="00D0312A">
        <w:rPr>
          <w:rFonts w:ascii="Verdana" w:hAnsi="Verdana" w:cs="Arial"/>
          <w:lang w:val="es-MX"/>
        </w:rPr>
        <w:t xml:space="preserve">Lo anterior le permitirá a la </w:t>
      </w:r>
      <w:r w:rsidR="00472C2E" w:rsidRPr="00D0312A">
        <w:rPr>
          <w:rFonts w:ascii="Verdana" w:hAnsi="Verdana" w:cs="Arial"/>
          <w:lang w:val="es-MX"/>
        </w:rPr>
        <w:t>E</w:t>
      </w:r>
      <w:r w:rsidRPr="00D0312A">
        <w:rPr>
          <w:rFonts w:ascii="Verdana" w:hAnsi="Verdana" w:cs="Arial"/>
          <w:lang w:val="es-MX"/>
        </w:rPr>
        <w:t xml:space="preserve">ntidad </w:t>
      </w:r>
      <w:r w:rsidR="00472C2E" w:rsidRPr="00D0312A">
        <w:rPr>
          <w:rFonts w:ascii="Verdana" w:hAnsi="Verdana" w:cs="Arial"/>
          <w:lang w:val="es-MX"/>
        </w:rPr>
        <w:t>E</w:t>
      </w:r>
      <w:r w:rsidRPr="00D0312A">
        <w:rPr>
          <w:rFonts w:ascii="Verdana" w:hAnsi="Verdana" w:cs="Arial"/>
          <w:lang w:val="es-MX"/>
        </w:rPr>
        <w:t xml:space="preserve">statal identificar desde el punto de vista técnico y financiero el objeto del contrato, las particularidades de su ejecución, los potenciales proponentes, requisitos mínimos para evaluar la idoneidad del contratista, así como analizar todas las variables que puedan </w:t>
      </w:r>
      <w:r w:rsidRPr="00D0312A">
        <w:rPr>
          <w:rFonts w:ascii="Verdana" w:hAnsi="Verdana" w:cs="Arial"/>
          <w:lang w:val="es-MX"/>
        </w:rPr>
        <w:lastRenderedPageBreak/>
        <w:t>afectar el procedimiento de selección, celebración y ejecución del contrato. Tal es la importancia de los estudios y documentos previos que su deficiencia o ausencia, “[</w:t>
      </w:r>
      <w:r w:rsidR="00907AEC">
        <w:rPr>
          <w:rFonts w:ascii="Verdana" w:hAnsi="Verdana" w:cs="Arial"/>
          <w:lang w:val="es-MX"/>
        </w:rPr>
        <w:t>…</w:t>
      </w:r>
      <w:r w:rsidRPr="00D0312A">
        <w:rPr>
          <w:rFonts w:ascii="Verdana" w:hAnsi="Verdana" w:cs="Arial"/>
          <w:lang w:val="es-MX"/>
        </w:rPr>
        <w:t>] genera prácticas indebidas, revocatoria de actos administrativos de apertura, declaratorias de desierta de procesos de selección, comisión de faltas disciplinarias, mayores costos o mayor permanencia de la obra y, en general, el fracaso en la ejecución de contratos estatales”</w:t>
      </w:r>
      <w:r w:rsidRPr="00D0312A">
        <w:rPr>
          <w:rFonts w:ascii="Verdana" w:hAnsi="Verdana"/>
          <w:vertAlign w:val="superscript"/>
          <w:lang w:val="es-MX"/>
        </w:rPr>
        <w:footnoteReference w:id="1"/>
      </w:r>
      <w:r w:rsidRPr="00D0312A">
        <w:rPr>
          <w:rFonts w:ascii="Verdana" w:hAnsi="Verdana" w:cs="Arial"/>
          <w:lang w:val="es-MX"/>
        </w:rPr>
        <w:t>.</w:t>
      </w:r>
    </w:p>
    <w:p w14:paraId="1F37EF63" w14:textId="77777777" w:rsidR="006D7B6F" w:rsidRPr="00D0312A" w:rsidRDefault="006D7B6F" w:rsidP="006D7B6F">
      <w:pPr>
        <w:spacing w:after="0" w:line="276" w:lineRule="auto"/>
        <w:ind w:firstLine="709"/>
        <w:jc w:val="both"/>
        <w:rPr>
          <w:rFonts w:ascii="Verdana" w:hAnsi="Verdana" w:cs="Arial"/>
          <w:lang w:val="es-MX"/>
        </w:rPr>
      </w:pPr>
      <w:r w:rsidRPr="00D0312A">
        <w:rPr>
          <w:rFonts w:ascii="Verdana" w:hAnsi="Verdana" w:cs="Arial"/>
          <w:lang w:val="es-MX"/>
        </w:rPr>
        <w:t>Con base en la norma enunciada de la Ley 80 de 1993, el Decreto Único Reglamentario del Sector Administrativo de Planeación Nacional –Decreto 1082 de 2015–, establece en el artículo 2.2.1.1.2.1.1. el contenido mínimo de los estudios y documentos previos:</w:t>
      </w:r>
    </w:p>
    <w:p w14:paraId="3FE768CE" w14:textId="77777777" w:rsidR="006D7B6F" w:rsidRPr="00D0312A" w:rsidRDefault="006D7B6F" w:rsidP="006D7B6F">
      <w:pPr>
        <w:widowControl w:val="0"/>
        <w:autoSpaceDE w:val="0"/>
        <w:autoSpaceDN w:val="0"/>
        <w:spacing w:before="3" w:after="0" w:line="240" w:lineRule="auto"/>
        <w:ind w:left="709" w:right="709"/>
        <w:rPr>
          <w:rFonts w:ascii="Verdana" w:eastAsia="Arial" w:hAnsi="Verdana" w:cs="Arial"/>
          <w:lang w:val="es-ES"/>
        </w:rPr>
      </w:pPr>
    </w:p>
    <w:p w14:paraId="2BAC7763" w14:textId="77777777" w:rsidR="006D7B6F" w:rsidRPr="00D0312A" w:rsidRDefault="006D7B6F" w:rsidP="006D7B6F">
      <w:pPr>
        <w:spacing w:after="120" w:line="240" w:lineRule="auto"/>
        <w:ind w:left="709" w:right="709"/>
        <w:jc w:val="both"/>
        <w:rPr>
          <w:rFonts w:ascii="Verdana" w:hAnsi="Verdana" w:cs="Arial"/>
          <w:sz w:val="20"/>
          <w:szCs w:val="20"/>
          <w:lang w:val="es-MX"/>
        </w:rPr>
      </w:pPr>
      <w:r w:rsidRPr="00D0312A">
        <w:rPr>
          <w:rFonts w:ascii="Verdana" w:hAnsi="Verdana" w:cs="Arial"/>
          <w:sz w:val="20"/>
          <w:szCs w:val="20"/>
          <w:lang w:val="es-MX"/>
        </w:rPr>
        <w:t>“Artículo 2.2.1.1.2.1.1. Estudios y documentos previos. Los estudios y documentos previos son el soporte para elaborar el proyecto de pliegos, los pliegos de condiciones, y el contrato. Deben permanecer a disposición del público durante el desarrollo del Proceso de Contratación y contener los siguientes elementos, además de los indicados para cada modalidad de</w:t>
      </w:r>
      <w:r w:rsidRPr="00D0312A">
        <w:rPr>
          <w:rFonts w:ascii="Verdana" w:hAnsi="Verdana" w:cs="Arial"/>
          <w:spacing w:val="-15"/>
          <w:sz w:val="20"/>
          <w:szCs w:val="20"/>
          <w:lang w:val="es-MX"/>
        </w:rPr>
        <w:t xml:space="preserve"> </w:t>
      </w:r>
      <w:r w:rsidRPr="00D0312A">
        <w:rPr>
          <w:rFonts w:ascii="Verdana" w:hAnsi="Verdana" w:cs="Arial"/>
          <w:sz w:val="20"/>
          <w:szCs w:val="20"/>
          <w:lang w:val="es-MX"/>
        </w:rPr>
        <w:t>selección:</w:t>
      </w:r>
    </w:p>
    <w:p w14:paraId="126CCE8F" w14:textId="77777777" w:rsidR="006D7B6F" w:rsidRPr="00D0312A" w:rsidRDefault="006D7B6F" w:rsidP="006D7B6F">
      <w:pPr>
        <w:widowControl w:val="0"/>
        <w:tabs>
          <w:tab w:val="left" w:pos="1223"/>
        </w:tabs>
        <w:autoSpaceDE w:val="0"/>
        <w:autoSpaceDN w:val="0"/>
        <w:spacing w:after="120" w:line="240" w:lineRule="auto"/>
        <w:ind w:left="709" w:right="709"/>
        <w:jc w:val="both"/>
        <w:rPr>
          <w:rFonts w:ascii="Verdana" w:hAnsi="Verdana" w:cs="Arial"/>
          <w:sz w:val="20"/>
          <w:szCs w:val="20"/>
          <w:lang w:val="es-MX"/>
        </w:rPr>
      </w:pPr>
      <w:r w:rsidRPr="00D0312A">
        <w:rPr>
          <w:rFonts w:ascii="Verdana" w:hAnsi="Verdana" w:cs="Arial"/>
          <w:sz w:val="20"/>
          <w:szCs w:val="20"/>
          <w:lang w:val="es-MX"/>
        </w:rPr>
        <w:t>1. La descripción de la necesidad que la Entidad Estatal pretende satisfacer con el Proceso de</w:t>
      </w:r>
      <w:r w:rsidRPr="00D0312A">
        <w:rPr>
          <w:rFonts w:ascii="Verdana" w:hAnsi="Verdana" w:cs="Arial"/>
          <w:spacing w:val="-2"/>
          <w:sz w:val="20"/>
          <w:szCs w:val="20"/>
          <w:lang w:val="es-MX"/>
        </w:rPr>
        <w:t xml:space="preserve"> </w:t>
      </w:r>
      <w:r w:rsidRPr="00D0312A">
        <w:rPr>
          <w:rFonts w:ascii="Verdana" w:hAnsi="Verdana" w:cs="Arial"/>
          <w:sz w:val="20"/>
          <w:szCs w:val="20"/>
          <w:lang w:val="es-MX"/>
        </w:rPr>
        <w:t>Contratación.</w:t>
      </w:r>
    </w:p>
    <w:p w14:paraId="733D0343" w14:textId="77777777" w:rsidR="006D7B6F" w:rsidRPr="00D0312A" w:rsidRDefault="006D7B6F" w:rsidP="006D7B6F">
      <w:pPr>
        <w:widowControl w:val="0"/>
        <w:tabs>
          <w:tab w:val="left" w:pos="1283"/>
        </w:tabs>
        <w:autoSpaceDE w:val="0"/>
        <w:autoSpaceDN w:val="0"/>
        <w:spacing w:after="120" w:line="240" w:lineRule="auto"/>
        <w:ind w:left="709" w:right="709"/>
        <w:jc w:val="both"/>
        <w:rPr>
          <w:rFonts w:ascii="Verdana" w:hAnsi="Verdana" w:cs="Arial"/>
          <w:sz w:val="20"/>
          <w:szCs w:val="20"/>
          <w:lang w:val="es-MX"/>
        </w:rPr>
      </w:pPr>
      <w:r w:rsidRPr="00D0312A">
        <w:rPr>
          <w:rFonts w:ascii="Verdana" w:hAnsi="Verdana" w:cs="Arial"/>
          <w:sz w:val="20"/>
          <w:szCs w:val="20"/>
          <w:lang w:val="es-MX"/>
        </w:rPr>
        <w:t>2. El objeto a contratar, con sus especificaciones, las autorizaciones, permisos y licencias requeridos para su ejecución, y cuando el contrato incluye diseño y construcción, los documentos técnicos para el desarrollo del</w:t>
      </w:r>
      <w:r w:rsidRPr="00D0312A">
        <w:rPr>
          <w:rFonts w:ascii="Verdana" w:hAnsi="Verdana" w:cs="Arial"/>
          <w:spacing w:val="-12"/>
          <w:sz w:val="20"/>
          <w:szCs w:val="20"/>
          <w:lang w:val="es-MX"/>
        </w:rPr>
        <w:t xml:space="preserve"> </w:t>
      </w:r>
      <w:r w:rsidRPr="00D0312A">
        <w:rPr>
          <w:rFonts w:ascii="Verdana" w:hAnsi="Verdana" w:cs="Arial"/>
          <w:sz w:val="20"/>
          <w:szCs w:val="20"/>
          <w:lang w:val="es-MX"/>
        </w:rPr>
        <w:t>proyecto.</w:t>
      </w:r>
    </w:p>
    <w:p w14:paraId="06B30DD7" w14:textId="77777777" w:rsidR="006D7B6F" w:rsidRPr="00D0312A" w:rsidRDefault="006D7B6F" w:rsidP="006D7B6F">
      <w:pPr>
        <w:widowControl w:val="0"/>
        <w:tabs>
          <w:tab w:val="left" w:pos="1378"/>
        </w:tabs>
        <w:autoSpaceDE w:val="0"/>
        <w:autoSpaceDN w:val="0"/>
        <w:spacing w:after="120" w:line="240" w:lineRule="auto"/>
        <w:ind w:left="709" w:right="709"/>
        <w:jc w:val="both"/>
        <w:rPr>
          <w:rFonts w:ascii="Verdana" w:hAnsi="Verdana" w:cs="Arial"/>
          <w:sz w:val="20"/>
          <w:szCs w:val="20"/>
          <w:lang w:val="es-MX"/>
        </w:rPr>
      </w:pPr>
      <w:r w:rsidRPr="00D0312A">
        <w:rPr>
          <w:rFonts w:ascii="Verdana" w:hAnsi="Verdana"/>
          <w:sz w:val="20"/>
          <w:szCs w:val="20"/>
          <w:lang w:val="es-MX"/>
        </w:rPr>
        <w:t xml:space="preserve">3. </w:t>
      </w:r>
      <w:r w:rsidRPr="00D0312A">
        <w:rPr>
          <w:rFonts w:ascii="Verdana" w:hAnsi="Verdana" w:cs="Arial"/>
          <w:sz w:val="20"/>
          <w:szCs w:val="20"/>
          <w:lang w:val="es-MX"/>
        </w:rPr>
        <w:t>La modalidad de selección del contratista y su justificación, incluyendo los fundamentos jurídicos.</w:t>
      </w:r>
    </w:p>
    <w:p w14:paraId="1E26A52F" w14:textId="77777777" w:rsidR="006D7B6F" w:rsidRPr="00D0312A" w:rsidRDefault="006D7B6F" w:rsidP="006D7B6F">
      <w:pPr>
        <w:widowControl w:val="0"/>
        <w:tabs>
          <w:tab w:val="left" w:pos="1273"/>
        </w:tabs>
        <w:autoSpaceDE w:val="0"/>
        <w:autoSpaceDN w:val="0"/>
        <w:spacing w:after="120" w:line="240" w:lineRule="auto"/>
        <w:ind w:left="709" w:right="709"/>
        <w:jc w:val="both"/>
        <w:rPr>
          <w:rFonts w:ascii="Verdana" w:hAnsi="Verdana" w:cs="Arial"/>
          <w:sz w:val="20"/>
          <w:szCs w:val="20"/>
          <w:lang w:val="es-MX"/>
        </w:rPr>
      </w:pPr>
      <w:r w:rsidRPr="00D0312A">
        <w:rPr>
          <w:rFonts w:ascii="Verdana" w:hAnsi="Verdana" w:cs="Arial"/>
          <w:sz w:val="20"/>
          <w:szCs w:val="20"/>
          <w:lang w:val="es-MX"/>
        </w:rPr>
        <w:t xml:space="preserve">4. El valor estimado del contrato y la justificación </w:t>
      </w:r>
      <w:proofErr w:type="gramStart"/>
      <w:r w:rsidRPr="00D0312A">
        <w:rPr>
          <w:rFonts w:ascii="Verdana" w:hAnsi="Verdana" w:cs="Arial"/>
          <w:sz w:val="20"/>
          <w:szCs w:val="20"/>
          <w:lang w:val="es-MX"/>
        </w:rPr>
        <w:t>del mismo</w:t>
      </w:r>
      <w:proofErr w:type="gramEnd"/>
      <w:r w:rsidRPr="00D0312A">
        <w:rPr>
          <w:rFonts w:ascii="Verdana" w:hAnsi="Verdana" w:cs="Arial"/>
          <w:sz w:val="20"/>
          <w:szCs w:val="20"/>
          <w:lang w:val="es-MX"/>
        </w:rPr>
        <w:t>. Cuando el valor del contrato esté determinado por precios unitarios, la Entidad Estatal debe incluir la forma</w:t>
      </w:r>
      <w:r w:rsidRPr="00D0312A">
        <w:rPr>
          <w:rFonts w:ascii="Verdana" w:hAnsi="Verdana" w:cs="Arial"/>
          <w:spacing w:val="8"/>
          <w:sz w:val="20"/>
          <w:szCs w:val="20"/>
          <w:lang w:val="es-MX"/>
        </w:rPr>
        <w:t xml:space="preserve"> </w:t>
      </w:r>
      <w:r w:rsidRPr="00D0312A">
        <w:rPr>
          <w:rFonts w:ascii="Verdana" w:hAnsi="Verdana" w:cs="Arial"/>
          <w:sz w:val="20"/>
          <w:szCs w:val="20"/>
          <w:lang w:val="es-MX"/>
        </w:rPr>
        <w:t>como</w:t>
      </w:r>
      <w:r w:rsidRPr="00D0312A">
        <w:rPr>
          <w:rFonts w:ascii="Verdana" w:hAnsi="Verdana" w:cs="Arial"/>
          <w:spacing w:val="7"/>
          <w:sz w:val="20"/>
          <w:szCs w:val="20"/>
          <w:lang w:val="es-MX"/>
        </w:rPr>
        <w:t xml:space="preserve"> </w:t>
      </w:r>
      <w:r w:rsidRPr="00D0312A">
        <w:rPr>
          <w:rFonts w:ascii="Verdana" w:hAnsi="Verdana" w:cs="Arial"/>
          <w:sz w:val="20"/>
          <w:szCs w:val="20"/>
          <w:lang w:val="es-MX"/>
        </w:rPr>
        <w:t>los</w:t>
      </w:r>
      <w:r w:rsidRPr="00D0312A">
        <w:rPr>
          <w:rFonts w:ascii="Verdana" w:hAnsi="Verdana" w:cs="Arial"/>
          <w:spacing w:val="9"/>
          <w:sz w:val="20"/>
          <w:szCs w:val="20"/>
          <w:lang w:val="es-MX"/>
        </w:rPr>
        <w:t xml:space="preserve"> </w:t>
      </w:r>
      <w:r w:rsidRPr="00D0312A">
        <w:rPr>
          <w:rFonts w:ascii="Verdana" w:hAnsi="Verdana" w:cs="Arial"/>
          <w:sz w:val="20"/>
          <w:szCs w:val="20"/>
          <w:lang w:val="es-MX"/>
        </w:rPr>
        <w:t>calculó</w:t>
      </w:r>
      <w:r w:rsidRPr="00D0312A">
        <w:rPr>
          <w:rFonts w:ascii="Verdana" w:hAnsi="Verdana" w:cs="Arial"/>
          <w:spacing w:val="14"/>
          <w:sz w:val="20"/>
          <w:szCs w:val="20"/>
          <w:lang w:val="es-MX"/>
        </w:rPr>
        <w:t xml:space="preserve"> </w:t>
      </w:r>
      <w:r w:rsidRPr="00D0312A">
        <w:rPr>
          <w:rFonts w:ascii="Verdana" w:hAnsi="Verdana" w:cs="Arial"/>
          <w:sz w:val="20"/>
          <w:szCs w:val="20"/>
          <w:lang w:val="es-MX"/>
        </w:rPr>
        <w:t>y</w:t>
      </w:r>
      <w:r w:rsidRPr="00D0312A">
        <w:rPr>
          <w:rFonts w:ascii="Verdana" w:hAnsi="Verdana" w:cs="Arial"/>
          <w:spacing w:val="7"/>
          <w:sz w:val="20"/>
          <w:szCs w:val="20"/>
          <w:lang w:val="es-MX"/>
        </w:rPr>
        <w:t xml:space="preserve"> </w:t>
      </w:r>
      <w:r w:rsidRPr="00D0312A">
        <w:rPr>
          <w:rFonts w:ascii="Verdana" w:hAnsi="Verdana" w:cs="Arial"/>
          <w:sz w:val="20"/>
          <w:szCs w:val="20"/>
          <w:lang w:val="es-MX"/>
        </w:rPr>
        <w:t>soportar</w:t>
      </w:r>
      <w:r w:rsidRPr="00D0312A">
        <w:rPr>
          <w:rFonts w:ascii="Verdana" w:hAnsi="Verdana" w:cs="Arial"/>
          <w:spacing w:val="10"/>
          <w:sz w:val="20"/>
          <w:szCs w:val="20"/>
          <w:lang w:val="es-MX"/>
        </w:rPr>
        <w:t xml:space="preserve"> </w:t>
      </w:r>
      <w:r w:rsidRPr="00D0312A">
        <w:rPr>
          <w:rFonts w:ascii="Verdana" w:hAnsi="Verdana" w:cs="Arial"/>
          <w:sz w:val="20"/>
          <w:szCs w:val="20"/>
          <w:lang w:val="es-MX"/>
        </w:rPr>
        <w:t>sus</w:t>
      </w:r>
      <w:r w:rsidRPr="00D0312A">
        <w:rPr>
          <w:rFonts w:ascii="Verdana" w:hAnsi="Verdana" w:cs="Arial"/>
          <w:spacing w:val="9"/>
          <w:sz w:val="20"/>
          <w:szCs w:val="20"/>
          <w:lang w:val="es-MX"/>
        </w:rPr>
        <w:t xml:space="preserve"> </w:t>
      </w:r>
      <w:r w:rsidRPr="00D0312A">
        <w:rPr>
          <w:rFonts w:ascii="Verdana" w:hAnsi="Verdana" w:cs="Arial"/>
          <w:sz w:val="20"/>
          <w:szCs w:val="20"/>
          <w:lang w:val="es-MX"/>
        </w:rPr>
        <w:t>cálculos</w:t>
      </w:r>
      <w:r w:rsidRPr="00D0312A">
        <w:rPr>
          <w:rFonts w:ascii="Verdana" w:hAnsi="Verdana" w:cs="Arial"/>
          <w:spacing w:val="12"/>
          <w:sz w:val="20"/>
          <w:szCs w:val="20"/>
          <w:lang w:val="es-MX"/>
        </w:rPr>
        <w:t xml:space="preserve"> </w:t>
      </w:r>
      <w:r w:rsidRPr="00D0312A">
        <w:rPr>
          <w:rFonts w:ascii="Verdana" w:hAnsi="Verdana" w:cs="Arial"/>
          <w:sz w:val="20"/>
          <w:szCs w:val="20"/>
          <w:lang w:val="es-MX"/>
        </w:rPr>
        <w:t>de</w:t>
      </w:r>
      <w:r w:rsidRPr="00D0312A">
        <w:rPr>
          <w:rFonts w:ascii="Verdana" w:hAnsi="Verdana" w:cs="Arial"/>
          <w:spacing w:val="11"/>
          <w:sz w:val="20"/>
          <w:szCs w:val="20"/>
          <w:lang w:val="es-MX"/>
        </w:rPr>
        <w:t xml:space="preserve"> </w:t>
      </w:r>
      <w:r w:rsidRPr="00D0312A">
        <w:rPr>
          <w:rFonts w:ascii="Verdana" w:hAnsi="Verdana" w:cs="Arial"/>
          <w:sz w:val="20"/>
          <w:szCs w:val="20"/>
          <w:lang w:val="es-MX"/>
        </w:rPr>
        <w:t>presupuesto</w:t>
      </w:r>
      <w:r w:rsidRPr="00D0312A">
        <w:rPr>
          <w:rFonts w:ascii="Verdana" w:hAnsi="Verdana" w:cs="Arial"/>
          <w:spacing w:val="10"/>
          <w:sz w:val="20"/>
          <w:szCs w:val="20"/>
          <w:lang w:val="es-MX"/>
        </w:rPr>
        <w:t xml:space="preserve"> </w:t>
      </w:r>
      <w:r w:rsidRPr="00D0312A">
        <w:rPr>
          <w:rFonts w:ascii="Verdana" w:hAnsi="Verdana" w:cs="Arial"/>
          <w:sz w:val="20"/>
          <w:szCs w:val="20"/>
          <w:lang w:val="es-MX"/>
        </w:rPr>
        <w:t>en</w:t>
      </w:r>
      <w:r w:rsidRPr="00D0312A">
        <w:rPr>
          <w:rFonts w:ascii="Verdana" w:hAnsi="Verdana" w:cs="Arial"/>
          <w:spacing w:val="8"/>
          <w:sz w:val="20"/>
          <w:szCs w:val="20"/>
          <w:lang w:val="es-MX"/>
        </w:rPr>
        <w:t xml:space="preserve"> </w:t>
      </w:r>
      <w:r w:rsidRPr="00D0312A">
        <w:rPr>
          <w:rFonts w:ascii="Verdana" w:hAnsi="Verdana" w:cs="Arial"/>
          <w:sz w:val="20"/>
          <w:szCs w:val="20"/>
          <w:lang w:val="es-MX"/>
        </w:rPr>
        <w:t>la</w:t>
      </w:r>
      <w:r w:rsidRPr="00D0312A">
        <w:rPr>
          <w:rFonts w:ascii="Verdana" w:hAnsi="Verdana" w:cs="Arial"/>
          <w:spacing w:val="11"/>
          <w:sz w:val="20"/>
          <w:szCs w:val="20"/>
          <w:lang w:val="es-MX"/>
        </w:rPr>
        <w:t xml:space="preserve"> </w:t>
      </w:r>
      <w:r w:rsidRPr="00D0312A">
        <w:rPr>
          <w:rFonts w:ascii="Verdana" w:hAnsi="Verdana" w:cs="Arial"/>
          <w:sz w:val="20"/>
          <w:szCs w:val="20"/>
          <w:lang w:val="es-MX"/>
        </w:rPr>
        <w:t>estimación</w:t>
      </w:r>
      <w:r w:rsidRPr="00D0312A">
        <w:rPr>
          <w:rFonts w:ascii="Verdana" w:hAnsi="Verdana" w:cs="Arial"/>
          <w:spacing w:val="11"/>
          <w:sz w:val="20"/>
          <w:szCs w:val="20"/>
          <w:lang w:val="es-MX"/>
        </w:rPr>
        <w:t xml:space="preserve"> </w:t>
      </w:r>
      <w:r w:rsidRPr="00D0312A">
        <w:rPr>
          <w:rFonts w:ascii="Verdana" w:hAnsi="Verdana" w:cs="Arial"/>
          <w:sz w:val="20"/>
          <w:szCs w:val="20"/>
          <w:lang w:val="es-MX"/>
        </w:rPr>
        <w:t>de aquellos. La Entidad Estatal no debe publicar las variables utilizadas para calcular el valor estimado del contrato cuando la modalidad de selección del contratista sea en concurso de méritos. Si el contrato es de concesión, la Entidad Estatal no debe publicar el modelo financiero utilizado en su estructuración.</w:t>
      </w:r>
    </w:p>
    <w:p w14:paraId="4B9BB8C4" w14:textId="77777777" w:rsidR="006D7B6F" w:rsidRPr="00D0312A" w:rsidRDefault="006D7B6F" w:rsidP="006D7B6F">
      <w:pPr>
        <w:widowControl w:val="0"/>
        <w:tabs>
          <w:tab w:val="left" w:pos="1217"/>
        </w:tabs>
        <w:autoSpaceDE w:val="0"/>
        <w:autoSpaceDN w:val="0"/>
        <w:spacing w:after="120" w:line="240" w:lineRule="auto"/>
        <w:ind w:left="709" w:right="709"/>
        <w:rPr>
          <w:rFonts w:ascii="Verdana" w:hAnsi="Verdana" w:cs="Arial"/>
          <w:sz w:val="20"/>
          <w:szCs w:val="20"/>
          <w:lang w:val="es-MX"/>
        </w:rPr>
      </w:pPr>
      <w:r w:rsidRPr="00D0312A">
        <w:rPr>
          <w:rFonts w:ascii="Verdana" w:hAnsi="Verdana" w:cs="Arial"/>
          <w:sz w:val="20"/>
          <w:szCs w:val="20"/>
          <w:lang w:val="es-MX"/>
        </w:rPr>
        <w:t>5. Los criterios para seleccionar la oferta más</w:t>
      </w:r>
      <w:r w:rsidRPr="00D0312A">
        <w:rPr>
          <w:rFonts w:ascii="Verdana" w:hAnsi="Verdana" w:cs="Arial"/>
          <w:spacing w:val="-7"/>
          <w:sz w:val="20"/>
          <w:szCs w:val="20"/>
          <w:lang w:val="es-MX"/>
        </w:rPr>
        <w:t xml:space="preserve"> </w:t>
      </w:r>
      <w:r w:rsidRPr="00D0312A">
        <w:rPr>
          <w:rFonts w:ascii="Verdana" w:hAnsi="Verdana" w:cs="Arial"/>
          <w:sz w:val="20"/>
          <w:szCs w:val="20"/>
          <w:lang w:val="es-MX"/>
        </w:rPr>
        <w:t>favorable.</w:t>
      </w:r>
    </w:p>
    <w:p w14:paraId="300C15FD" w14:textId="77777777" w:rsidR="006D7B6F" w:rsidRPr="00D0312A" w:rsidRDefault="006D7B6F" w:rsidP="006D7B6F">
      <w:pPr>
        <w:widowControl w:val="0"/>
        <w:tabs>
          <w:tab w:val="left" w:pos="1217"/>
        </w:tabs>
        <w:autoSpaceDE w:val="0"/>
        <w:autoSpaceDN w:val="0"/>
        <w:spacing w:after="120" w:line="240" w:lineRule="auto"/>
        <w:ind w:left="709" w:right="709"/>
        <w:rPr>
          <w:rFonts w:ascii="Verdana" w:hAnsi="Verdana" w:cs="Arial"/>
          <w:sz w:val="20"/>
          <w:szCs w:val="20"/>
          <w:lang w:val="es-MX"/>
        </w:rPr>
      </w:pPr>
      <w:r w:rsidRPr="00D0312A">
        <w:rPr>
          <w:rFonts w:ascii="Verdana" w:hAnsi="Verdana" w:cs="Arial"/>
          <w:sz w:val="20"/>
          <w:szCs w:val="20"/>
          <w:lang w:val="es-MX"/>
        </w:rPr>
        <w:t>6. El análisis de Riesgo y la forma de</w:t>
      </w:r>
      <w:r w:rsidRPr="00D0312A">
        <w:rPr>
          <w:rFonts w:ascii="Verdana" w:hAnsi="Verdana" w:cs="Arial"/>
          <w:spacing w:val="-8"/>
          <w:sz w:val="20"/>
          <w:szCs w:val="20"/>
          <w:lang w:val="es-MX"/>
        </w:rPr>
        <w:t xml:space="preserve"> </w:t>
      </w:r>
      <w:r w:rsidRPr="00D0312A">
        <w:rPr>
          <w:rFonts w:ascii="Verdana" w:hAnsi="Verdana" w:cs="Arial"/>
          <w:sz w:val="20"/>
          <w:szCs w:val="20"/>
          <w:lang w:val="es-MX"/>
        </w:rPr>
        <w:t>mitigarlo.</w:t>
      </w:r>
    </w:p>
    <w:p w14:paraId="5AB45C22" w14:textId="77777777" w:rsidR="006D7B6F" w:rsidRPr="00D0312A" w:rsidRDefault="006D7B6F" w:rsidP="006D7B6F">
      <w:pPr>
        <w:widowControl w:val="0"/>
        <w:tabs>
          <w:tab w:val="left" w:pos="1443"/>
        </w:tabs>
        <w:autoSpaceDE w:val="0"/>
        <w:autoSpaceDN w:val="0"/>
        <w:spacing w:after="120" w:line="240" w:lineRule="auto"/>
        <w:ind w:left="709" w:right="709"/>
        <w:rPr>
          <w:rFonts w:ascii="Verdana" w:hAnsi="Verdana" w:cs="Arial"/>
          <w:sz w:val="20"/>
          <w:szCs w:val="20"/>
          <w:lang w:val="es-MX"/>
        </w:rPr>
      </w:pPr>
      <w:r w:rsidRPr="00D0312A">
        <w:rPr>
          <w:rFonts w:ascii="Verdana" w:hAnsi="Verdana" w:cs="Arial"/>
          <w:sz w:val="20"/>
          <w:szCs w:val="20"/>
          <w:lang w:val="es-MX"/>
        </w:rPr>
        <w:t xml:space="preserve">7. Las garantías que la Entidad Estatal contempla exigir en el Proceso de </w:t>
      </w:r>
      <w:r w:rsidRPr="00D0312A">
        <w:rPr>
          <w:rFonts w:ascii="Verdana" w:hAnsi="Verdana" w:cs="Arial"/>
          <w:sz w:val="20"/>
          <w:szCs w:val="20"/>
          <w:lang w:val="es-MX"/>
        </w:rPr>
        <w:lastRenderedPageBreak/>
        <w:t>Contratación.</w:t>
      </w:r>
    </w:p>
    <w:p w14:paraId="543F5A4B" w14:textId="77777777" w:rsidR="006D7B6F" w:rsidRPr="00D0312A" w:rsidRDefault="006D7B6F" w:rsidP="006D7B6F">
      <w:pPr>
        <w:widowControl w:val="0"/>
        <w:tabs>
          <w:tab w:val="left" w:pos="1305"/>
        </w:tabs>
        <w:autoSpaceDE w:val="0"/>
        <w:autoSpaceDN w:val="0"/>
        <w:spacing w:after="120" w:line="240" w:lineRule="auto"/>
        <w:ind w:left="709" w:right="709"/>
        <w:rPr>
          <w:rFonts w:ascii="Verdana" w:hAnsi="Verdana" w:cs="Arial"/>
          <w:sz w:val="20"/>
          <w:szCs w:val="20"/>
          <w:lang w:val="es-MX"/>
        </w:rPr>
      </w:pPr>
      <w:r w:rsidRPr="00D0312A">
        <w:rPr>
          <w:rFonts w:ascii="Verdana" w:hAnsi="Verdana" w:cs="Arial"/>
          <w:sz w:val="20"/>
          <w:szCs w:val="20"/>
          <w:lang w:val="es-MX"/>
        </w:rPr>
        <w:t>8. La indicación de si el Proceso de Contratación está cobijado por un Acuerdo Comercial”.</w:t>
      </w:r>
    </w:p>
    <w:p w14:paraId="1D77D633" w14:textId="77777777" w:rsidR="006D7B6F" w:rsidRPr="00D0312A" w:rsidRDefault="006D7B6F" w:rsidP="006D7B6F">
      <w:pPr>
        <w:widowControl w:val="0"/>
        <w:tabs>
          <w:tab w:val="left" w:pos="1305"/>
        </w:tabs>
        <w:autoSpaceDE w:val="0"/>
        <w:autoSpaceDN w:val="0"/>
        <w:spacing w:after="0" w:line="240" w:lineRule="auto"/>
        <w:ind w:left="828" w:right="822"/>
        <w:rPr>
          <w:rFonts w:ascii="Verdana" w:hAnsi="Verdana" w:cs="Arial"/>
          <w:sz w:val="21"/>
          <w:szCs w:val="21"/>
          <w:lang w:val="es-MX"/>
        </w:rPr>
      </w:pPr>
    </w:p>
    <w:p w14:paraId="19612C09" w14:textId="5846CCDA" w:rsidR="006D7B6F" w:rsidRPr="00D0312A" w:rsidRDefault="006D7B6F" w:rsidP="006D7B6F">
      <w:pPr>
        <w:spacing w:after="120" w:line="276" w:lineRule="auto"/>
        <w:ind w:firstLine="709"/>
        <w:jc w:val="both"/>
        <w:rPr>
          <w:rFonts w:ascii="Verdana" w:hAnsi="Verdana"/>
          <w:lang w:val="es-MX"/>
        </w:rPr>
      </w:pPr>
      <w:bookmarkStart w:id="3" w:name="_Hlk54011351"/>
      <w:r w:rsidRPr="00D0312A">
        <w:rPr>
          <w:rFonts w:ascii="Verdana" w:hAnsi="Verdana"/>
          <w:lang w:val="es-MX"/>
        </w:rPr>
        <w:t xml:space="preserve">De esta manera, antes de iniciar un procedimiento de selección, la </w:t>
      </w:r>
      <w:r w:rsidR="00707F98" w:rsidRPr="00D0312A">
        <w:rPr>
          <w:rFonts w:ascii="Verdana" w:hAnsi="Verdana"/>
          <w:lang w:val="es-MX"/>
        </w:rPr>
        <w:t>Entidad Estatal</w:t>
      </w:r>
      <w:r w:rsidRPr="00D0312A">
        <w:rPr>
          <w:rFonts w:ascii="Verdana" w:hAnsi="Verdana"/>
          <w:lang w:val="es-MX"/>
        </w:rPr>
        <w:t xml:space="preserve"> podrá determinar con los estudios previos: i) la verdadera necesidad de la celebración del contrato; </w:t>
      </w:r>
      <w:proofErr w:type="spellStart"/>
      <w:r w:rsidRPr="00D0312A">
        <w:rPr>
          <w:rFonts w:ascii="Verdana" w:hAnsi="Verdana"/>
          <w:lang w:val="es-MX"/>
        </w:rPr>
        <w:t>ii</w:t>
      </w:r>
      <w:proofErr w:type="spellEnd"/>
      <w:r w:rsidRPr="00D0312A">
        <w:rPr>
          <w:rFonts w:ascii="Verdana" w:hAnsi="Verdana"/>
          <w:lang w:val="es-MX"/>
        </w:rPr>
        <w:t xml:space="preserve">) las modalidades existentes para satisfacer esa necesidad y las razones que justifiquen la modalidad o tipo contractual que se escoja; </w:t>
      </w:r>
      <w:proofErr w:type="spellStart"/>
      <w:r w:rsidRPr="00D0312A">
        <w:rPr>
          <w:rFonts w:ascii="Verdana" w:hAnsi="Verdana"/>
          <w:lang w:val="es-MX"/>
        </w:rPr>
        <w:t>iii</w:t>
      </w:r>
      <w:proofErr w:type="spellEnd"/>
      <w:r w:rsidRPr="00D0312A">
        <w:rPr>
          <w:rFonts w:ascii="Verdana" w:hAnsi="Verdana"/>
          <w:lang w:val="es-MX"/>
        </w:rPr>
        <w:t xml:space="preserve">) las calidades, especificaciones, cantidades y demás características que puedan o deban reunir los bienes, las obras, los servicios, etcétera, cuya contratación, se haya determinado necesaria, </w:t>
      </w:r>
      <w:proofErr w:type="spellStart"/>
      <w:r w:rsidRPr="00D0312A">
        <w:rPr>
          <w:rFonts w:ascii="Verdana" w:hAnsi="Verdana"/>
          <w:lang w:val="es-MX"/>
        </w:rPr>
        <w:t>iv</w:t>
      </w:r>
      <w:proofErr w:type="spellEnd"/>
      <w:r w:rsidRPr="00D0312A">
        <w:rPr>
          <w:rFonts w:ascii="Verdana" w:hAnsi="Verdana"/>
          <w:lang w:val="es-MX"/>
        </w:rPr>
        <w:t xml:space="preserve">) los costos, valores y alternativas que, a precios de mercado reales, podría demandar la celebración y ejecución del contrato, v) la disponibilidad de recursos o la capacidad financiera de la entidad contratante, para asumir las obligaciones de pago producto de la celebración de ese pretendido contrato; vi) la existencia y disponibilidad, en el mercado nacional o internacional, de proveedores, constructores, profesionales, etc., en condiciones de atender los requerimientos y satisfacer las necesidades y </w:t>
      </w:r>
      <w:proofErr w:type="spellStart"/>
      <w:r w:rsidRPr="00D0312A">
        <w:rPr>
          <w:rFonts w:ascii="Verdana" w:hAnsi="Verdana"/>
          <w:lang w:val="es-MX"/>
        </w:rPr>
        <w:t>vii</w:t>
      </w:r>
      <w:proofErr w:type="spellEnd"/>
      <w:r w:rsidRPr="00D0312A">
        <w:rPr>
          <w:rFonts w:ascii="Verdana" w:hAnsi="Verdana"/>
          <w:lang w:val="es-MX"/>
        </w:rPr>
        <w:t>) los procedimientos, trámites y requisitos que deban satisfacerse, reunirse u obtenerse para llevar a cabo la selección del respectivo contratista y la celebración del contrato que se pretenda celebrar.</w:t>
      </w:r>
    </w:p>
    <w:bookmarkEnd w:id="3"/>
    <w:p w14:paraId="3FE31003" w14:textId="77777777" w:rsidR="006D7B6F" w:rsidRPr="00D0312A" w:rsidRDefault="006D7B6F" w:rsidP="006D7B6F">
      <w:pPr>
        <w:spacing w:after="120" w:line="276" w:lineRule="auto"/>
        <w:ind w:firstLine="709"/>
        <w:jc w:val="both"/>
        <w:rPr>
          <w:rFonts w:ascii="Verdana" w:hAnsi="Verdana"/>
          <w:lang w:val="es-MX"/>
        </w:rPr>
      </w:pPr>
      <w:r w:rsidRPr="00D0312A">
        <w:rPr>
          <w:rFonts w:ascii="Verdana" w:hAnsi="Verdana"/>
          <w:lang w:val="es-MX"/>
        </w:rPr>
        <w:t xml:space="preserve">Cuando las entidades cumplen con los elementos mínimos establecidos en la norma y aquellos adicionales que identifiquen en la etapa de planeación de los </w:t>
      </w:r>
      <w:r w:rsidRPr="00D0312A">
        <w:rPr>
          <w:rFonts w:ascii="Verdana" w:eastAsia="Calibri" w:hAnsi="Verdana"/>
          <w:bCs/>
          <w:lang w:val="es-ES_tradnl"/>
        </w:rPr>
        <w:t xml:space="preserve">procedimientos de contratación, permiten que los contratos resultantes cuenten con el sustento técnico, económico y jurídico que incidirá </w:t>
      </w:r>
      <w:r w:rsidRPr="00D0312A">
        <w:rPr>
          <w:rFonts w:ascii="Verdana" w:hAnsi="Verdana"/>
          <w:lang w:val="es-MX"/>
        </w:rPr>
        <w:t>en una adecuada ejecución.</w:t>
      </w:r>
    </w:p>
    <w:p w14:paraId="04EA2C85" w14:textId="77777777" w:rsidR="006D7B6F" w:rsidRPr="00D0312A" w:rsidRDefault="006D7B6F" w:rsidP="006D7B6F">
      <w:pPr>
        <w:spacing w:after="120" w:line="276" w:lineRule="auto"/>
        <w:ind w:firstLine="709"/>
        <w:jc w:val="both"/>
        <w:rPr>
          <w:rFonts w:ascii="Verdana" w:hAnsi="Verdana"/>
          <w:lang w:val="es-MX"/>
        </w:rPr>
      </w:pPr>
      <w:r w:rsidRPr="00D0312A">
        <w:rPr>
          <w:rFonts w:ascii="Verdana" w:hAnsi="Verdana"/>
          <w:lang w:val="es-MX"/>
        </w:rPr>
        <w:t xml:space="preserve">Mas allá del cumplimiento de la normativa, </w:t>
      </w:r>
      <w:r w:rsidRPr="00D0312A">
        <w:rPr>
          <w:rFonts w:ascii="Verdana" w:hAnsi="Verdana"/>
          <w:i/>
          <w:iCs/>
          <w:lang w:val="es-MX"/>
        </w:rPr>
        <w:t>“los estudios y documentos previos son el soporte para elaborar el proyecto de pliegos, los pliegos de condiciones, y el contrato”</w:t>
      </w:r>
      <w:r w:rsidRPr="00D0312A">
        <w:rPr>
          <w:rFonts w:ascii="Verdana" w:hAnsi="Verdana"/>
          <w:i/>
          <w:iCs/>
          <w:vertAlign w:val="superscript"/>
          <w:lang w:val="es-MX"/>
        </w:rPr>
        <w:footnoteReference w:id="2"/>
      </w:r>
      <w:r w:rsidRPr="00D0312A">
        <w:rPr>
          <w:rFonts w:ascii="Verdana" w:hAnsi="Verdana"/>
          <w:i/>
          <w:iCs/>
          <w:lang w:val="es-MX"/>
        </w:rPr>
        <w:t>,</w:t>
      </w:r>
      <w:r w:rsidRPr="00D0312A">
        <w:rPr>
          <w:rFonts w:ascii="Verdana" w:hAnsi="Verdana"/>
          <w:lang w:val="es-MX"/>
        </w:rPr>
        <w:t xml:space="preserve"> por lo que deben publicarse en la etapa precontractual y sirven de motivación para los documentos expedidos unilateralmente por la entidad estatal tales como el acto administrativo de apertura, los pliegos de condiciones y el acto de adjudicación, entre otros.</w:t>
      </w:r>
    </w:p>
    <w:p w14:paraId="26BA8D3C" w14:textId="00FAF671" w:rsidR="006D7B6F" w:rsidRPr="00D0312A" w:rsidRDefault="006D7B6F" w:rsidP="00300E1A">
      <w:pPr>
        <w:spacing w:after="120" w:line="276" w:lineRule="auto"/>
        <w:ind w:firstLine="709"/>
        <w:jc w:val="both"/>
        <w:rPr>
          <w:rFonts w:ascii="Verdana" w:hAnsi="Verdana"/>
          <w:lang w:val="es-MX"/>
        </w:rPr>
      </w:pPr>
      <w:bookmarkStart w:id="5" w:name="_Hlk54011438"/>
      <w:r w:rsidRPr="00D0312A">
        <w:rPr>
          <w:rFonts w:ascii="Verdana" w:hAnsi="Verdana"/>
          <w:lang w:val="es-MX"/>
        </w:rPr>
        <w:lastRenderedPageBreak/>
        <w:t xml:space="preserve">De lo explicado se desprende que los estudios y documentos previos son necesarios antes de la celebración del contrato, pues fundamentan las condiciones que la </w:t>
      </w:r>
      <w:r w:rsidR="004F4FC4" w:rsidRPr="00D0312A">
        <w:rPr>
          <w:rFonts w:ascii="Verdana" w:hAnsi="Verdana"/>
          <w:lang w:val="es-MX"/>
        </w:rPr>
        <w:t>E</w:t>
      </w:r>
      <w:r w:rsidRPr="00D0312A">
        <w:rPr>
          <w:rFonts w:ascii="Verdana" w:hAnsi="Verdana"/>
          <w:lang w:val="es-MX"/>
        </w:rPr>
        <w:t xml:space="preserve">ntidad </w:t>
      </w:r>
      <w:r w:rsidR="004F4FC4" w:rsidRPr="00D0312A">
        <w:rPr>
          <w:rFonts w:ascii="Verdana" w:hAnsi="Verdana"/>
          <w:lang w:val="es-MX"/>
        </w:rPr>
        <w:t>E</w:t>
      </w:r>
      <w:r w:rsidRPr="00D0312A">
        <w:rPr>
          <w:rFonts w:ascii="Verdana" w:hAnsi="Verdana"/>
          <w:lang w:val="es-MX"/>
        </w:rPr>
        <w:t>statal exige en su proceso de contratación. Sin embargo, luego de la suscripción del contrato la entidad no debe actuar unilateralmente, sino que debe respetar la buena fe contractual y proceder de acuerdo con lo pactado</w:t>
      </w:r>
      <w:bookmarkEnd w:id="5"/>
      <w:r w:rsidRPr="00D0312A">
        <w:rPr>
          <w:rFonts w:ascii="Verdana" w:hAnsi="Verdana"/>
          <w:vertAlign w:val="superscript"/>
          <w:lang w:val="es-MX"/>
        </w:rPr>
        <w:footnoteReference w:id="3"/>
      </w:r>
      <w:r w:rsidRPr="00D0312A">
        <w:rPr>
          <w:rFonts w:ascii="Verdana" w:hAnsi="Verdana"/>
          <w:lang w:val="es-MX"/>
        </w:rPr>
        <w:t>.</w:t>
      </w:r>
    </w:p>
    <w:p w14:paraId="5DC902FF" w14:textId="77777777" w:rsidR="006D7B6F" w:rsidRPr="00D0312A" w:rsidRDefault="006D7B6F" w:rsidP="00300E1A">
      <w:pPr>
        <w:pStyle w:val="Textoindependiente"/>
        <w:ind w:firstLine="708"/>
        <w:jc w:val="both"/>
        <w:rPr>
          <w:rFonts w:ascii="Verdana" w:hAnsi="Verdana"/>
        </w:rPr>
      </w:pPr>
      <w:r w:rsidRPr="00D0312A">
        <w:rPr>
          <w:rFonts w:ascii="Verdana" w:hAnsi="Verdana"/>
        </w:rPr>
        <w:t>De otra parte, es necesario explicar que, el pliego de condiciones es la hoja de ruta o plan</w:t>
      </w:r>
      <w:r w:rsidRPr="00D0312A">
        <w:rPr>
          <w:rStyle w:val="Refdenotaalpie"/>
          <w:rFonts w:ascii="Verdana" w:hAnsi="Verdana"/>
        </w:rPr>
        <w:footnoteReference w:id="4"/>
      </w:r>
      <w:r w:rsidRPr="00D0312A">
        <w:rPr>
          <w:rFonts w:ascii="Verdana" w:hAnsi="Verdana"/>
        </w:rPr>
        <w:t xml:space="preserve"> sobre el cual se diseña, estructura y concreta el proceso de selección de contratistas. El mismo ha sido definido como un “acto jurídico mixto, que nace como un acto administrativo de contenido general y que, con la adjudicación y suscripción del contrato estatal, algunos de sus contenidos se transforman para incorporarse al texto del negocio jurídico y, por consiguiente, se convierten en cláusulas vinculantes del mismo”</w:t>
      </w:r>
      <w:r w:rsidRPr="00D0312A">
        <w:rPr>
          <w:rStyle w:val="Refdenotaalpie"/>
          <w:rFonts w:ascii="Verdana" w:hAnsi="Verdana"/>
        </w:rPr>
        <w:footnoteReference w:id="5"/>
      </w:r>
      <w:r w:rsidRPr="00D0312A">
        <w:rPr>
          <w:rFonts w:ascii="Verdana" w:hAnsi="Verdana"/>
        </w:rPr>
        <w:t>.</w:t>
      </w:r>
    </w:p>
    <w:p w14:paraId="0384E66E" w14:textId="77777777" w:rsidR="006D7B6F" w:rsidRPr="00D0312A" w:rsidRDefault="006D7B6F" w:rsidP="00300E1A">
      <w:pPr>
        <w:pStyle w:val="Textoindependiente"/>
        <w:spacing w:after="0"/>
        <w:ind w:firstLine="708"/>
        <w:jc w:val="both"/>
        <w:rPr>
          <w:rFonts w:ascii="Verdana" w:hAnsi="Verdana"/>
        </w:rPr>
      </w:pPr>
      <w:r w:rsidRPr="00D0312A">
        <w:rPr>
          <w:rFonts w:ascii="Verdana" w:hAnsi="Verdana"/>
        </w:rPr>
        <w:t xml:space="preserve">De este modo, el pliego es un instrumento en el cual se materializa el principio de transparencia, pues en ese documento se fijan las reglas de escogencia del contratista del Estado, para la selección objetiva de la mejor oferta, la adjudicación y la posterior celebración y ejecución del contrato, lo cual lo convierte en una reglamentación de todo el </w:t>
      </w:r>
      <w:proofErr w:type="spellStart"/>
      <w:r w:rsidRPr="00D0312A">
        <w:rPr>
          <w:rFonts w:ascii="Verdana" w:hAnsi="Verdana"/>
          <w:i/>
          <w:iCs/>
        </w:rPr>
        <w:t>iter</w:t>
      </w:r>
      <w:proofErr w:type="spellEnd"/>
      <w:r w:rsidRPr="00D0312A">
        <w:rPr>
          <w:rFonts w:ascii="Verdana" w:hAnsi="Verdana"/>
        </w:rPr>
        <w:t xml:space="preserve"> contractual. Su contenido</w:t>
      </w:r>
      <w:r w:rsidRPr="00D0312A">
        <w:rPr>
          <w:rStyle w:val="Refdenotaalpie"/>
          <w:rFonts w:ascii="Verdana" w:hAnsi="Verdana"/>
        </w:rPr>
        <w:footnoteReference w:id="6"/>
      </w:r>
      <w:r w:rsidRPr="00D0312A">
        <w:rPr>
          <w:rFonts w:ascii="Verdana" w:hAnsi="Verdana"/>
        </w:rPr>
        <w:t xml:space="preserve"> está previsto en el numeral 5 del artículo 24 de la Ley 80 de 1993, que establece algunas directrices que deben tenerse en cuenta en su elaboración:</w:t>
      </w:r>
    </w:p>
    <w:p w14:paraId="7F82DCCF" w14:textId="77777777" w:rsidR="00907AEC" w:rsidRPr="00D0312A" w:rsidRDefault="00907AEC" w:rsidP="00300E1A">
      <w:pPr>
        <w:pStyle w:val="Textoindependiente"/>
        <w:spacing w:after="0"/>
        <w:ind w:right="108" w:firstLine="708"/>
        <w:jc w:val="both"/>
        <w:rPr>
          <w:rFonts w:ascii="Verdana" w:hAnsi="Verdana"/>
        </w:rPr>
      </w:pPr>
    </w:p>
    <w:p w14:paraId="1C88ABC2" w14:textId="77777777" w:rsidR="006D7B6F" w:rsidRPr="00D0312A" w:rsidRDefault="006D7B6F" w:rsidP="00300E1A">
      <w:pPr>
        <w:pStyle w:val="Textoindependiente"/>
        <w:spacing w:after="0"/>
        <w:ind w:left="709" w:right="709"/>
        <w:rPr>
          <w:rFonts w:ascii="Verdana" w:hAnsi="Verdana"/>
          <w:sz w:val="20"/>
          <w:szCs w:val="20"/>
        </w:rPr>
      </w:pPr>
      <w:r w:rsidRPr="00D0312A">
        <w:rPr>
          <w:rFonts w:ascii="Verdana" w:hAnsi="Verdana"/>
          <w:sz w:val="20"/>
          <w:szCs w:val="20"/>
        </w:rPr>
        <w:t>“[…] 5o. En los pliegos de condiciones:</w:t>
      </w:r>
    </w:p>
    <w:p w14:paraId="4231E1E1" w14:textId="77777777" w:rsidR="006D7B6F" w:rsidRPr="00D0312A" w:rsidRDefault="006D7B6F" w:rsidP="00300E1A">
      <w:pPr>
        <w:pStyle w:val="Prrafodelista"/>
        <w:widowControl w:val="0"/>
        <w:numPr>
          <w:ilvl w:val="2"/>
          <w:numId w:val="17"/>
        </w:numPr>
        <w:tabs>
          <w:tab w:val="left" w:pos="1126"/>
        </w:tabs>
        <w:autoSpaceDE w:val="0"/>
        <w:autoSpaceDN w:val="0"/>
        <w:spacing w:after="0" w:line="240" w:lineRule="auto"/>
        <w:ind w:left="709" w:right="709" w:firstLine="0"/>
        <w:contextualSpacing w:val="0"/>
        <w:jc w:val="both"/>
        <w:rPr>
          <w:rFonts w:ascii="Verdana" w:hAnsi="Verdana" w:cs="Arial"/>
          <w:sz w:val="20"/>
          <w:szCs w:val="20"/>
        </w:rPr>
      </w:pPr>
      <w:r w:rsidRPr="00D0312A">
        <w:rPr>
          <w:rFonts w:ascii="Verdana" w:hAnsi="Verdana" w:cs="Arial"/>
          <w:sz w:val="20"/>
          <w:szCs w:val="20"/>
        </w:rPr>
        <w:t>Se indicarán los requisitos objetivos necesarios para participar en el correspondiente proceso de</w:t>
      </w:r>
      <w:r w:rsidRPr="00D0312A">
        <w:rPr>
          <w:rFonts w:ascii="Verdana" w:hAnsi="Verdana" w:cs="Arial"/>
          <w:spacing w:val="-2"/>
          <w:sz w:val="20"/>
          <w:szCs w:val="20"/>
        </w:rPr>
        <w:t xml:space="preserve"> </w:t>
      </w:r>
      <w:r w:rsidRPr="00D0312A">
        <w:rPr>
          <w:rFonts w:ascii="Verdana" w:hAnsi="Verdana" w:cs="Arial"/>
          <w:sz w:val="20"/>
          <w:szCs w:val="20"/>
        </w:rPr>
        <w:t>selección.</w:t>
      </w:r>
    </w:p>
    <w:p w14:paraId="0EB35B9E" w14:textId="77777777" w:rsidR="006D7B6F" w:rsidRPr="00D0312A" w:rsidRDefault="006D7B6F" w:rsidP="00300E1A">
      <w:pPr>
        <w:pStyle w:val="Prrafodelista"/>
        <w:widowControl w:val="0"/>
        <w:numPr>
          <w:ilvl w:val="2"/>
          <w:numId w:val="17"/>
        </w:numPr>
        <w:tabs>
          <w:tab w:val="left" w:pos="1088"/>
        </w:tabs>
        <w:autoSpaceDE w:val="0"/>
        <w:autoSpaceDN w:val="0"/>
        <w:spacing w:after="0" w:line="240" w:lineRule="auto"/>
        <w:ind w:left="709" w:right="709" w:firstLine="0"/>
        <w:contextualSpacing w:val="0"/>
        <w:jc w:val="both"/>
        <w:rPr>
          <w:rFonts w:ascii="Verdana" w:hAnsi="Verdana" w:cs="Arial"/>
          <w:sz w:val="20"/>
          <w:szCs w:val="20"/>
        </w:rPr>
      </w:pPr>
      <w:r w:rsidRPr="00D0312A">
        <w:rPr>
          <w:rFonts w:ascii="Verdana" w:hAnsi="Verdana" w:cs="Arial"/>
          <w:sz w:val="20"/>
          <w:szCs w:val="20"/>
        </w:rPr>
        <w:t xml:space="preserve">Se definirán reglas objetivas, justas, claras y completas que permitan </w:t>
      </w:r>
      <w:r w:rsidRPr="00D0312A">
        <w:rPr>
          <w:rFonts w:ascii="Verdana" w:hAnsi="Verdana" w:cs="Arial"/>
          <w:sz w:val="20"/>
          <w:szCs w:val="20"/>
        </w:rPr>
        <w:lastRenderedPageBreak/>
        <w:t>la confección de ofrecimientos de la misma índole, aseguren una escogencia objetiva y eviten las declaratorias de desierta de la</w:t>
      </w:r>
      <w:r w:rsidRPr="00D0312A">
        <w:rPr>
          <w:rFonts w:ascii="Verdana" w:hAnsi="Verdana" w:cs="Arial"/>
          <w:spacing w:val="-16"/>
          <w:sz w:val="20"/>
          <w:szCs w:val="20"/>
        </w:rPr>
        <w:t xml:space="preserve"> </w:t>
      </w:r>
      <w:r w:rsidRPr="00D0312A">
        <w:rPr>
          <w:rFonts w:ascii="Verdana" w:hAnsi="Verdana" w:cs="Arial"/>
          <w:sz w:val="20"/>
          <w:szCs w:val="20"/>
        </w:rPr>
        <w:t>licitación.</w:t>
      </w:r>
    </w:p>
    <w:p w14:paraId="11CE7EF0" w14:textId="77777777" w:rsidR="006D7B6F" w:rsidRPr="00D0312A" w:rsidRDefault="006D7B6F" w:rsidP="00300E1A">
      <w:pPr>
        <w:pStyle w:val="Prrafodelista"/>
        <w:widowControl w:val="0"/>
        <w:numPr>
          <w:ilvl w:val="2"/>
          <w:numId w:val="17"/>
        </w:numPr>
        <w:tabs>
          <w:tab w:val="left" w:pos="1108"/>
        </w:tabs>
        <w:autoSpaceDE w:val="0"/>
        <w:autoSpaceDN w:val="0"/>
        <w:spacing w:after="0" w:line="240" w:lineRule="auto"/>
        <w:ind w:left="709" w:right="709" w:firstLine="0"/>
        <w:contextualSpacing w:val="0"/>
        <w:jc w:val="both"/>
        <w:rPr>
          <w:rFonts w:ascii="Verdana" w:hAnsi="Verdana" w:cs="Arial"/>
          <w:sz w:val="20"/>
          <w:szCs w:val="20"/>
        </w:rPr>
      </w:pPr>
      <w:r w:rsidRPr="00D0312A">
        <w:rPr>
          <w:rFonts w:ascii="Verdana" w:hAnsi="Verdana" w:cs="Arial"/>
          <w:sz w:val="20"/>
          <w:szCs w:val="20"/>
        </w:rPr>
        <w:t>Se definirán con precisión las condiciones de costo y calidad de los bienes, obras o servicios necesarios para la ejecución del objeto del</w:t>
      </w:r>
      <w:r w:rsidRPr="00D0312A">
        <w:rPr>
          <w:rFonts w:ascii="Verdana" w:hAnsi="Verdana" w:cs="Arial"/>
          <w:spacing w:val="-43"/>
          <w:sz w:val="20"/>
          <w:szCs w:val="20"/>
        </w:rPr>
        <w:t xml:space="preserve"> </w:t>
      </w:r>
      <w:r w:rsidRPr="00D0312A">
        <w:rPr>
          <w:rFonts w:ascii="Verdana" w:hAnsi="Verdana" w:cs="Arial"/>
          <w:sz w:val="20"/>
          <w:szCs w:val="20"/>
        </w:rPr>
        <w:t>contrato.</w:t>
      </w:r>
    </w:p>
    <w:p w14:paraId="39E87C0E" w14:textId="77777777" w:rsidR="006D7B6F" w:rsidRPr="00D0312A" w:rsidRDefault="006D7B6F" w:rsidP="00300E1A">
      <w:pPr>
        <w:pStyle w:val="Prrafodelista"/>
        <w:widowControl w:val="0"/>
        <w:numPr>
          <w:ilvl w:val="2"/>
          <w:numId w:val="17"/>
        </w:numPr>
        <w:tabs>
          <w:tab w:val="left" w:pos="1108"/>
        </w:tabs>
        <w:autoSpaceDE w:val="0"/>
        <w:autoSpaceDN w:val="0"/>
        <w:spacing w:after="0" w:line="240" w:lineRule="auto"/>
        <w:ind w:left="709" w:right="709" w:firstLine="0"/>
        <w:contextualSpacing w:val="0"/>
        <w:jc w:val="both"/>
        <w:rPr>
          <w:rFonts w:ascii="Verdana" w:hAnsi="Verdana" w:cs="Arial"/>
          <w:sz w:val="20"/>
          <w:szCs w:val="20"/>
        </w:rPr>
      </w:pPr>
      <w:r w:rsidRPr="00D0312A">
        <w:rPr>
          <w:rFonts w:ascii="Verdana" w:hAnsi="Verdana" w:cs="Arial"/>
          <w:sz w:val="20"/>
          <w:szCs w:val="20"/>
        </w:rPr>
        <w:t>No se incluirán condiciones y exigencias de imposible cumplimiento, ni exenciones de la responsabilidad derivada de los datos, informes y documentos que se suministren.</w:t>
      </w:r>
    </w:p>
    <w:p w14:paraId="26EBE7C6" w14:textId="77777777" w:rsidR="006D7B6F" w:rsidRPr="00D0312A" w:rsidRDefault="006D7B6F" w:rsidP="00300E1A">
      <w:pPr>
        <w:pStyle w:val="Prrafodelista"/>
        <w:widowControl w:val="0"/>
        <w:numPr>
          <w:ilvl w:val="2"/>
          <w:numId w:val="17"/>
        </w:numPr>
        <w:tabs>
          <w:tab w:val="left" w:pos="1151"/>
        </w:tabs>
        <w:autoSpaceDE w:val="0"/>
        <w:autoSpaceDN w:val="0"/>
        <w:spacing w:after="0" w:line="240" w:lineRule="auto"/>
        <w:ind w:left="709" w:right="709" w:firstLine="0"/>
        <w:contextualSpacing w:val="0"/>
        <w:jc w:val="both"/>
        <w:rPr>
          <w:rFonts w:ascii="Verdana" w:hAnsi="Verdana" w:cs="Arial"/>
          <w:sz w:val="20"/>
          <w:szCs w:val="20"/>
        </w:rPr>
      </w:pPr>
      <w:r w:rsidRPr="00D0312A">
        <w:rPr>
          <w:rFonts w:ascii="Verdana" w:hAnsi="Verdana" w:cs="Arial"/>
          <w:sz w:val="20"/>
          <w:szCs w:val="20"/>
        </w:rPr>
        <w:t>Se definirán reglas que no induzcan a error a los proponentes y contratistas y que impidan la Formulación de ofrecimientos de extensión ilimitada o que dependan de la voluntad exclusiva de la</w:t>
      </w:r>
      <w:r w:rsidRPr="00D0312A">
        <w:rPr>
          <w:rFonts w:ascii="Verdana" w:hAnsi="Verdana" w:cs="Arial"/>
          <w:spacing w:val="-20"/>
          <w:sz w:val="20"/>
          <w:szCs w:val="20"/>
        </w:rPr>
        <w:t xml:space="preserve"> </w:t>
      </w:r>
      <w:r w:rsidRPr="00D0312A">
        <w:rPr>
          <w:rFonts w:ascii="Verdana" w:hAnsi="Verdana" w:cs="Arial"/>
          <w:sz w:val="20"/>
          <w:szCs w:val="20"/>
        </w:rPr>
        <w:t>entidad.</w:t>
      </w:r>
    </w:p>
    <w:p w14:paraId="432763BB" w14:textId="77777777" w:rsidR="006D7B6F" w:rsidRPr="00D0312A" w:rsidRDefault="006D7B6F" w:rsidP="00300E1A">
      <w:pPr>
        <w:pStyle w:val="Prrafodelista"/>
        <w:widowControl w:val="0"/>
        <w:numPr>
          <w:ilvl w:val="2"/>
          <w:numId w:val="17"/>
        </w:numPr>
        <w:tabs>
          <w:tab w:val="left" w:pos="1016"/>
        </w:tabs>
        <w:autoSpaceDE w:val="0"/>
        <w:autoSpaceDN w:val="0"/>
        <w:spacing w:after="0" w:line="240" w:lineRule="auto"/>
        <w:ind w:left="709" w:right="709" w:firstLine="0"/>
        <w:contextualSpacing w:val="0"/>
        <w:jc w:val="both"/>
        <w:rPr>
          <w:rFonts w:ascii="Verdana" w:hAnsi="Verdana" w:cs="Arial"/>
          <w:sz w:val="20"/>
          <w:szCs w:val="20"/>
        </w:rPr>
      </w:pPr>
      <w:r w:rsidRPr="00D0312A">
        <w:rPr>
          <w:rFonts w:ascii="Verdana" w:hAnsi="Verdana" w:cs="Arial"/>
          <w:sz w:val="20"/>
          <w:szCs w:val="20"/>
        </w:rPr>
        <w:t>Se definirá el plazo para la liquidación del contrato, cuando a ello hubiere lugar, teniendo en cuenta su objeto, naturaleza y</w:t>
      </w:r>
      <w:r w:rsidRPr="00D0312A">
        <w:rPr>
          <w:rFonts w:ascii="Verdana" w:hAnsi="Verdana" w:cs="Arial"/>
          <w:spacing w:val="-13"/>
          <w:sz w:val="20"/>
          <w:szCs w:val="20"/>
        </w:rPr>
        <w:t xml:space="preserve"> </w:t>
      </w:r>
      <w:r w:rsidRPr="00D0312A">
        <w:rPr>
          <w:rFonts w:ascii="Verdana" w:hAnsi="Verdana" w:cs="Arial"/>
          <w:sz w:val="20"/>
          <w:szCs w:val="20"/>
        </w:rPr>
        <w:t>cuantía.</w:t>
      </w:r>
    </w:p>
    <w:p w14:paraId="5929DDBD" w14:textId="77777777" w:rsidR="006D7B6F" w:rsidRPr="00D0312A" w:rsidRDefault="006D7B6F" w:rsidP="006F78C2">
      <w:pPr>
        <w:pStyle w:val="Textoindependiente"/>
        <w:spacing w:after="0"/>
        <w:ind w:left="709" w:right="709"/>
        <w:jc w:val="both"/>
        <w:rPr>
          <w:rFonts w:ascii="Verdana" w:hAnsi="Verdana"/>
          <w:sz w:val="20"/>
          <w:szCs w:val="20"/>
        </w:rPr>
      </w:pPr>
      <w:r w:rsidRPr="00D0312A">
        <w:rPr>
          <w:rFonts w:ascii="Verdana" w:hAnsi="Verdana"/>
          <w:sz w:val="20"/>
          <w:szCs w:val="20"/>
        </w:rPr>
        <w:t>Serán ineficaces de pleno derecho las estipulaciones de los pliegos y de los contratos que contravengan lo dispuesto en este numeral, o dispongan renuncias a reclamaciones por la ocurrencia de los hechos aquí enunciados”.</w:t>
      </w:r>
    </w:p>
    <w:p w14:paraId="13E923E6" w14:textId="77777777" w:rsidR="006F78C2" w:rsidRPr="00D0312A" w:rsidRDefault="006F78C2" w:rsidP="00300E1A">
      <w:pPr>
        <w:pStyle w:val="Textoindependiente"/>
        <w:spacing w:after="0"/>
        <w:jc w:val="both"/>
        <w:rPr>
          <w:rFonts w:ascii="Verdana" w:hAnsi="Verdana"/>
          <w:sz w:val="20"/>
          <w:szCs w:val="20"/>
        </w:rPr>
      </w:pPr>
    </w:p>
    <w:p w14:paraId="362C8F93" w14:textId="77777777" w:rsidR="006D7B6F" w:rsidRPr="00D0312A" w:rsidRDefault="006D7B6F" w:rsidP="006F78C2">
      <w:pPr>
        <w:spacing w:after="0" w:line="276" w:lineRule="auto"/>
        <w:ind w:firstLine="708"/>
        <w:jc w:val="both"/>
        <w:rPr>
          <w:rFonts w:ascii="Verdana" w:hAnsi="Verdana" w:cs="Arial"/>
          <w:color w:val="000000" w:themeColor="text1"/>
          <w:sz w:val="20"/>
          <w:szCs w:val="20"/>
        </w:rPr>
      </w:pPr>
      <w:r w:rsidRPr="00D0312A">
        <w:rPr>
          <w:rFonts w:ascii="Verdana" w:eastAsia="Calibri" w:hAnsi="Verdana" w:cs="Arial"/>
          <w:color w:val="000000" w:themeColor="text1"/>
        </w:rPr>
        <w:t>Sumado a lo anterior, la Corte Constitucional ha señalado, frente a la selección objetiva, que la entidad no puede establecer reglas subjetivas, sino que deben ser razonables, de acuerdo con las normas que rigen la actividad contractual</w:t>
      </w:r>
      <w:r w:rsidRPr="00D0312A">
        <w:rPr>
          <w:rStyle w:val="Refdenotaalpie"/>
          <w:rFonts w:ascii="Verdana" w:eastAsia="Calibri" w:hAnsi="Verdana" w:cs="Arial"/>
          <w:color w:val="000000" w:themeColor="text1"/>
        </w:rPr>
        <w:footnoteReference w:id="7"/>
      </w:r>
      <w:r w:rsidRPr="00D0312A">
        <w:rPr>
          <w:rFonts w:ascii="Verdana" w:eastAsia="Calibri" w:hAnsi="Verdana" w:cs="Arial"/>
          <w:color w:val="000000" w:themeColor="text1"/>
        </w:rPr>
        <w:t>; y en otro pronunciamiento, el Consejo de Estado consideró que la autonomía que tienen las entidades frente a la configuración de los pliegos de condiciones y los criterios de selección de los procedimientos de contratación no es absoluta, y debe tener relación con los fines de la contratación estatal:</w:t>
      </w:r>
      <w:r w:rsidRPr="00D0312A">
        <w:rPr>
          <w:rFonts w:ascii="Verdana" w:hAnsi="Verdana" w:cs="Arial"/>
          <w:color w:val="000000" w:themeColor="text1"/>
          <w:sz w:val="20"/>
          <w:szCs w:val="20"/>
        </w:rPr>
        <w:t xml:space="preserve"> </w:t>
      </w:r>
    </w:p>
    <w:p w14:paraId="1EBAD639" w14:textId="77777777" w:rsidR="006F78C2" w:rsidRPr="00D0312A" w:rsidRDefault="006F78C2" w:rsidP="00300E1A">
      <w:pPr>
        <w:spacing w:after="0" w:line="276" w:lineRule="auto"/>
        <w:ind w:firstLine="708"/>
        <w:jc w:val="both"/>
        <w:rPr>
          <w:rFonts w:ascii="Verdana" w:hAnsi="Verdana" w:cs="Arial"/>
          <w:color w:val="000000" w:themeColor="text1"/>
          <w:sz w:val="20"/>
          <w:szCs w:val="20"/>
        </w:rPr>
      </w:pPr>
    </w:p>
    <w:p w14:paraId="668CD42A" w14:textId="77777777" w:rsidR="006D7B6F" w:rsidRPr="00D0312A" w:rsidRDefault="006D7B6F" w:rsidP="00E64728">
      <w:pPr>
        <w:spacing w:after="0" w:line="240" w:lineRule="auto"/>
        <w:ind w:left="709" w:right="709"/>
        <w:jc w:val="both"/>
        <w:rPr>
          <w:rFonts w:ascii="Verdana" w:hAnsi="Verdana" w:cs="Arial"/>
          <w:color w:val="000000" w:themeColor="text1"/>
          <w:sz w:val="20"/>
          <w:szCs w:val="20"/>
        </w:rPr>
      </w:pPr>
      <w:r w:rsidRPr="00D0312A">
        <w:rPr>
          <w:rFonts w:ascii="Verdana" w:hAnsi="Verdana" w:cs="Arial"/>
          <w:color w:val="000000" w:themeColor="text1"/>
          <w:sz w:val="20"/>
          <w:szCs w:val="20"/>
        </w:rPr>
        <w:t xml:space="preserve">“Si bien la Administración goza de una amplia facultad de configuración en relación con los requisitos, las exigencias y, en general, con las reglas que se adopten mediante los pliegos de condiciones, de acuerdo con sus particulares necesidades, no es menos cierto que esa facultad de configuración está enmarcada por y para los fines de la contratación estatal y, por consiguiente, los criterios de selección susceptibles de calificación deben ser congruentes con ellos y comprender los elementos </w:t>
      </w:r>
      <w:r w:rsidRPr="00D0312A">
        <w:rPr>
          <w:rFonts w:ascii="Verdana" w:hAnsi="Verdana" w:cs="Arial"/>
          <w:color w:val="000000" w:themeColor="text1"/>
          <w:sz w:val="20"/>
          <w:szCs w:val="20"/>
        </w:rPr>
        <w:lastRenderedPageBreak/>
        <w:t>necesarios para llevar a cabo el contrato en las condiciones de modo, tiempo y lugar requeridas por ella. La objetividad que impone y reclama la Ley 80 en la contratación estatal, en varias de sus disposiciones, sólo se cumple a condición de que existan en los pliegos de condiciones o términos de referencia reglas necesarias, claras, objetivas y precisas de cara a la finalidad del contrato”</w:t>
      </w:r>
      <w:r w:rsidRPr="00D0312A">
        <w:rPr>
          <w:rStyle w:val="Refdenotaalpie"/>
          <w:rFonts w:ascii="Verdana" w:hAnsi="Verdana" w:cs="Arial"/>
          <w:color w:val="000000" w:themeColor="text1"/>
          <w:sz w:val="20"/>
          <w:szCs w:val="20"/>
        </w:rPr>
        <w:footnoteReference w:id="8"/>
      </w:r>
      <w:r w:rsidRPr="00D0312A">
        <w:rPr>
          <w:rFonts w:ascii="Verdana" w:hAnsi="Verdana" w:cs="Arial"/>
          <w:color w:val="000000" w:themeColor="text1"/>
          <w:sz w:val="20"/>
          <w:szCs w:val="20"/>
        </w:rPr>
        <w:t>.</w:t>
      </w:r>
    </w:p>
    <w:p w14:paraId="43B44053" w14:textId="77777777" w:rsidR="006D7B6F" w:rsidRPr="00D0312A" w:rsidRDefault="006D7B6F" w:rsidP="006D7B6F">
      <w:pPr>
        <w:spacing w:after="0" w:line="276" w:lineRule="auto"/>
        <w:ind w:firstLine="708"/>
        <w:jc w:val="both"/>
        <w:rPr>
          <w:rFonts w:ascii="Verdana" w:eastAsia="Calibri" w:hAnsi="Verdana" w:cs="Arial"/>
          <w:color w:val="000000" w:themeColor="text1"/>
        </w:rPr>
      </w:pPr>
    </w:p>
    <w:p w14:paraId="75148DA9" w14:textId="77777777" w:rsidR="006D7B6F" w:rsidRPr="00D0312A" w:rsidRDefault="006D7B6F" w:rsidP="006D7B6F">
      <w:pPr>
        <w:spacing w:after="120" w:line="276" w:lineRule="auto"/>
        <w:ind w:firstLine="708"/>
        <w:jc w:val="both"/>
        <w:rPr>
          <w:rFonts w:ascii="Verdana" w:eastAsia="Calibri" w:hAnsi="Verdana" w:cs="Arial"/>
          <w:color w:val="000000" w:themeColor="text1"/>
        </w:rPr>
      </w:pPr>
      <w:r w:rsidRPr="00D0312A">
        <w:rPr>
          <w:rFonts w:ascii="Verdana" w:eastAsia="Calibri" w:hAnsi="Verdana" w:cs="Arial"/>
          <w:color w:val="000000" w:themeColor="text1"/>
        </w:rPr>
        <w:t>También, el Consejo de Estado ha determinado que el pliego de condiciones es ley para las partes, y en él se debe establecer la regulación del procedimiento de contratación, conforme a la ley, garantizando la selección objetiva del contratista</w:t>
      </w:r>
      <w:r w:rsidRPr="00D0312A">
        <w:rPr>
          <w:rStyle w:val="Refdenotaalpie"/>
          <w:rFonts w:ascii="Verdana" w:eastAsia="Calibri" w:hAnsi="Verdana" w:cs="Arial"/>
          <w:color w:val="000000" w:themeColor="text1"/>
        </w:rPr>
        <w:footnoteReference w:id="9"/>
      </w:r>
      <w:r w:rsidRPr="00D0312A">
        <w:rPr>
          <w:rFonts w:ascii="Verdana" w:eastAsia="Calibri" w:hAnsi="Verdana" w:cs="Arial"/>
          <w:color w:val="000000" w:themeColor="text1"/>
        </w:rPr>
        <w:t xml:space="preserve">. El artículo 2.2.1.1.2.1.3. del Decreto 1082 de 2015 establece el contenido mínimo del pliego de condiciones, de acuerdo con lo que la entidad adquirirá para satisfacer sus necesidades de bienes, obras o servicios, el cual debe tener la información desagregada, principalmente en los siguientes ítems: i) identificación detallada del objeto contractual y con el clasificador de bienes y servicios, </w:t>
      </w:r>
      <w:proofErr w:type="spellStart"/>
      <w:r w:rsidRPr="00D0312A">
        <w:rPr>
          <w:rFonts w:ascii="Verdana" w:eastAsia="Calibri" w:hAnsi="Verdana" w:cs="Arial"/>
          <w:color w:val="000000" w:themeColor="text1"/>
        </w:rPr>
        <w:t>ii</w:t>
      </w:r>
      <w:proofErr w:type="spellEnd"/>
      <w:r w:rsidRPr="00D0312A">
        <w:rPr>
          <w:rFonts w:ascii="Verdana" w:eastAsia="Calibri" w:hAnsi="Verdana" w:cs="Arial"/>
          <w:color w:val="000000" w:themeColor="text1"/>
        </w:rPr>
        <w:t xml:space="preserve">) modalidad y criterios de selección, </w:t>
      </w:r>
      <w:proofErr w:type="spellStart"/>
      <w:r w:rsidRPr="00D0312A">
        <w:rPr>
          <w:rFonts w:ascii="Verdana" w:eastAsia="Calibri" w:hAnsi="Verdana" w:cs="Arial"/>
          <w:color w:val="000000" w:themeColor="text1"/>
        </w:rPr>
        <w:t>iii</w:t>
      </w:r>
      <w:proofErr w:type="spellEnd"/>
      <w:r w:rsidRPr="00D0312A">
        <w:rPr>
          <w:rFonts w:ascii="Verdana" w:eastAsia="Calibri" w:hAnsi="Verdana" w:cs="Arial"/>
          <w:color w:val="000000" w:themeColor="text1"/>
        </w:rPr>
        <w:t xml:space="preserve">) valoración económica del bien, obra o servicio, </w:t>
      </w:r>
      <w:proofErr w:type="spellStart"/>
      <w:r w:rsidRPr="00D0312A">
        <w:rPr>
          <w:rFonts w:ascii="Verdana" w:eastAsia="Calibri" w:hAnsi="Verdana" w:cs="Arial"/>
          <w:color w:val="000000" w:themeColor="text1"/>
        </w:rPr>
        <w:t>iv</w:t>
      </w:r>
      <w:proofErr w:type="spellEnd"/>
      <w:r w:rsidRPr="00D0312A">
        <w:rPr>
          <w:rFonts w:ascii="Verdana" w:eastAsia="Calibri" w:hAnsi="Verdana" w:cs="Arial"/>
          <w:color w:val="000000" w:themeColor="text1"/>
        </w:rPr>
        <w:t>) reglas de la presentación y manejo de las ofertas, v) riesgos y garantías, entre otros aspectos del contrato</w:t>
      </w:r>
      <w:r w:rsidRPr="00D0312A">
        <w:rPr>
          <w:rStyle w:val="Refdenotaalpie"/>
          <w:rFonts w:ascii="Verdana" w:eastAsia="Calibri" w:hAnsi="Verdana" w:cs="Arial"/>
          <w:color w:val="000000" w:themeColor="text1"/>
        </w:rPr>
        <w:footnoteReference w:id="10"/>
      </w:r>
      <w:r w:rsidRPr="00D0312A">
        <w:rPr>
          <w:rFonts w:ascii="Verdana" w:eastAsia="Calibri" w:hAnsi="Verdana" w:cs="Arial"/>
          <w:color w:val="000000" w:themeColor="text1"/>
        </w:rPr>
        <w:t>.</w:t>
      </w:r>
    </w:p>
    <w:p w14:paraId="308B809C" w14:textId="77777777" w:rsidR="006D7B6F" w:rsidRPr="00D0312A" w:rsidRDefault="006D7B6F" w:rsidP="00300E1A">
      <w:pPr>
        <w:spacing w:after="120" w:line="276" w:lineRule="auto"/>
        <w:ind w:firstLine="709"/>
        <w:jc w:val="both"/>
        <w:rPr>
          <w:rFonts w:ascii="Verdana" w:hAnsi="Verdana"/>
        </w:rPr>
      </w:pPr>
      <w:r w:rsidRPr="00D0312A">
        <w:rPr>
          <w:rFonts w:ascii="Verdana" w:hAnsi="Verdana"/>
        </w:rPr>
        <w:lastRenderedPageBreak/>
        <w:t xml:space="preserve">En todo caso, sin perjuicio de la discrecionalidad de las Entidades Estatales para determinar las reglas de participación y escogencia que resulten más razonables para el objeto a contratar, estas deben configurar el pliego de condiciones garantizando la selección objetiva, de acuerdo con el </w:t>
      </w:r>
      <w:r w:rsidRPr="00D0312A">
        <w:rPr>
          <w:rFonts w:ascii="Verdana" w:hAnsi="Verdana"/>
          <w:i/>
          <w:iCs/>
        </w:rPr>
        <w:t>artículo 5 de la Ley 1150 de 2007</w:t>
      </w:r>
      <w:r w:rsidRPr="00D0312A">
        <w:rPr>
          <w:rFonts w:ascii="Verdana" w:hAnsi="Verdana"/>
        </w:rPr>
        <w:t xml:space="preserve">. Esto supone establecer requisitos habilitantes y ponderables, adecuados y proporcionales para el objeto del contrato, así como la aplicación de la normativa que resulte relevante para los procesos de contratación, como, por ejemplo, la referente a criterios diferenciales adoptados por la Ley 2069 de 2020 –arts. 31 y 32– o el Decreto 392 de 2018, cuestiones que son temas de los estudios previos y el análisis del sector, razón por la cual el pliego de condiciones debe reflejar el contenido de dichos documentos precontractuales. </w:t>
      </w:r>
    </w:p>
    <w:p w14:paraId="72D1B005" w14:textId="77777777" w:rsidR="006D7B6F" w:rsidRPr="00D0312A" w:rsidRDefault="006D7B6F" w:rsidP="006D7B6F">
      <w:pPr>
        <w:spacing w:after="120" w:line="276" w:lineRule="auto"/>
        <w:jc w:val="both"/>
        <w:rPr>
          <w:rFonts w:ascii="Verdana" w:eastAsia="Arial" w:hAnsi="Verdana" w:cs="Arial"/>
        </w:rPr>
      </w:pPr>
      <w:r w:rsidRPr="00D0312A">
        <w:rPr>
          <w:rFonts w:ascii="Verdana" w:eastAsia="Calibri" w:hAnsi="Verdana" w:cs="Arial"/>
        </w:rPr>
        <w:t xml:space="preserve">           </w:t>
      </w:r>
      <w:r w:rsidRPr="00D0312A">
        <w:rPr>
          <w:rFonts w:ascii="Verdana" w:eastAsia="Arial" w:hAnsi="Verdana" w:cs="Arial"/>
        </w:rPr>
        <w:t>En este sentido, el Concepto C-842 del 19 de diciembre de 2024 proferido por esta Subdirección Contractual, precisó que las entidades pueden decidir si para atender una necesidad determinada resulta necesaria una formación académica formal o si la experiencia y las competencias prácticas son suficientes para acreditar la capacidad requerida. No obstante, el mismo concepto señaló que no existe una equivalencia formalmente regulada entre experiencia y estudios en la contratación pública, especialmente cuando se trata de profesiones reguladas o de requisitos académicos específicos. Por ello, la determinación acerca de si la experiencia puede considerarse suficiente o si resulta necesaria una formación académica determinada corresponde a una decisión que debe adoptarse durante la etapa de planeación y quedar reflejada en los documentos del proceso.</w:t>
      </w:r>
    </w:p>
    <w:p w14:paraId="715A975D" w14:textId="77777777" w:rsidR="006D7B6F" w:rsidRPr="00D0312A" w:rsidRDefault="006D7B6F" w:rsidP="006D7B6F">
      <w:pPr>
        <w:spacing w:after="120" w:line="276" w:lineRule="auto"/>
        <w:jc w:val="both"/>
        <w:rPr>
          <w:rFonts w:ascii="Verdana" w:eastAsia="Arial" w:hAnsi="Verdana" w:cs="Arial"/>
        </w:rPr>
      </w:pPr>
      <w:r w:rsidRPr="00D0312A">
        <w:rPr>
          <w:rFonts w:ascii="Verdana" w:eastAsia="Arial" w:hAnsi="Verdana" w:cs="Arial"/>
        </w:rPr>
        <w:lastRenderedPageBreak/>
        <w:t xml:space="preserve">             Ahora bien, de acuerdo con el Concepto C-716 del 15 de julio de 2025 de esta Subdirección Contractual, el pliego de condiciones constituye la “hoja de ruta o plan sobre el cual se diseña, estructura y concreta el procedimiento de selección de contratistas”. Asimismo, constituye el instrumento mediante el cual se materializa el principio de transparencia, pues en él se fijan las reglas de escogencia del contratista, la selección objetiva de la mejor oferta, la adjudicación y la posterior celebración y ejecución del contrato, convirtiéndose en una reglamentación de todo el </w:t>
      </w:r>
      <w:proofErr w:type="spellStart"/>
      <w:r w:rsidRPr="00D0312A">
        <w:rPr>
          <w:rFonts w:ascii="Verdana" w:eastAsia="Arial" w:hAnsi="Verdana" w:cs="Arial"/>
        </w:rPr>
        <w:t>iter</w:t>
      </w:r>
      <w:proofErr w:type="spellEnd"/>
      <w:r w:rsidRPr="00D0312A">
        <w:rPr>
          <w:rFonts w:ascii="Verdana" w:eastAsia="Arial" w:hAnsi="Verdana" w:cs="Arial"/>
        </w:rPr>
        <w:t xml:space="preserve"> contractual.</w:t>
      </w:r>
    </w:p>
    <w:p w14:paraId="3B6DCC30" w14:textId="77777777" w:rsidR="006D7B6F" w:rsidRPr="00D0312A" w:rsidRDefault="006D7B6F" w:rsidP="006D7B6F">
      <w:pPr>
        <w:spacing w:after="120" w:line="276" w:lineRule="auto"/>
        <w:jc w:val="both"/>
        <w:rPr>
          <w:rFonts w:ascii="Verdana" w:eastAsia="Arial" w:hAnsi="Verdana" w:cs="Arial"/>
        </w:rPr>
      </w:pPr>
      <w:r w:rsidRPr="00D0312A">
        <w:rPr>
          <w:rFonts w:ascii="Verdana" w:eastAsia="Arial" w:hAnsi="Verdana" w:cs="Arial"/>
        </w:rPr>
        <w:t xml:space="preserve">             En concordancia con lo anterior, el Concepto C-943 del 25 de agosto de 2025 señaló que el pliego de condiciones adquiere la connotación de ser la “ley del procedimiento de selección y del contrato”, en cuanto fija reglas obligatorias tanto para la administración como para los oferentes. Para la Entidad Estatal ello implica el deber de ajustar su actuación a los parámetros que ella misma definió en ejercicio de su potestad de configuración, mientras que para los proponentes constituye la garantía de participar en un proceso desarrollado con igualdad de condiciones, transparencia y seguridad jurídica.</w:t>
      </w:r>
    </w:p>
    <w:p w14:paraId="6AADD365" w14:textId="77777777" w:rsidR="00821CD1" w:rsidRPr="00D0312A" w:rsidRDefault="006D7B6F" w:rsidP="00821CD1">
      <w:pPr>
        <w:spacing w:after="120" w:line="276" w:lineRule="auto"/>
        <w:jc w:val="both"/>
        <w:rPr>
          <w:rFonts w:ascii="Verdana" w:eastAsia="Arial" w:hAnsi="Verdana" w:cs="Arial"/>
        </w:rPr>
      </w:pPr>
      <w:r w:rsidRPr="00D0312A">
        <w:rPr>
          <w:rFonts w:ascii="Verdana" w:eastAsia="Arial" w:hAnsi="Verdana" w:cs="Arial"/>
        </w:rPr>
        <w:t xml:space="preserve">         Por esta razón, cualquier actuación mediante la cual la Entidad desconozca lo previsto en el pliego de condiciones, ya sea durante la selección o durante la ejecución contractual, puede comprometer la validez del procedimiento y del contrato derivado, al afectar principios estructurales de la contratación pública como la planeación, la transparencia, la selección objetiva y la igualdad de oportunidades. En el mismo sentido, el Concepto C-943 de 2025 proferido por esta Subdirección Contractual, indicó que el carácter prevalente del pliego impide desconocer las características del negocio jurídico determinadas durante la etapa de planeación o los requisitos que resulten de obligatoria aplicación.</w:t>
      </w:r>
    </w:p>
    <w:p w14:paraId="5D437475" w14:textId="1143A216" w:rsidR="00821CD1" w:rsidRPr="00D0312A" w:rsidRDefault="006D7B6F" w:rsidP="00821CD1">
      <w:pPr>
        <w:spacing w:after="120" w:line="276" w:lineRule="auto"/>
        <w:ind w:firstLine="708"/>
        <w:jc w:val="both"/>
        <w:rPr>
          <w:rFonts w:ascii="Verdana" w:eastAsia="Arial" w:hAnsi="Verdana" w:cs="Arial"/>
        </w:rPr>
      </w:pPr>
      <w:r w:rsidRPr="00D0312A">
        <w:rPr>
          <w:rFonts w:ascii="Verdana" w:eastAsia="Arial" w:hAnsi="Verdana" w:cs="Arial"/>
        </w:rPr>
        <w:t xml:space="preserve">En consecuencia, </w:t>
      </w:r>
      <w:r w:rsidR="00821CD1" w:rsidRPr="00D0312A">
        <w:rPr>
          <w:rFonts w:ascii="Verdana" w:hAnsi="Verdana"/>
        </w:rPr>
        <w:t xml:space="preserve">las Entidades Estatales cuentan con autonomía para definir los perfiles profesionales y las exigencias de posgrado dentro de sus procesos de contratación, en tanto dicha facultad se deriva de su potestad de configuración de los requisitos habilitantes y de los criterios de calificación, conforme al artículo 5 de la Ley 1150 de 2007 y al artículo 2.2.1.1.1.6.2 del Decreto 1082 de 2015. No obstante, esta autonomía no es absoluta: se encuentra limitada por los principios de selección objetiva, proporcionalidad, libre concurrencia e igualdad que rigen el Estatuto General de Contratación de la Administración Pública, de manera que la exigencia de un perfil determinado </w:t>
      </w:r>
      <w:r w:rsidR="00821CD1" w:rsidRPr="00D0312A">
        <w:rPr>
          <w:rFonts w:ascii="Verdana" w:hAnsi="Verdana"/>
        </w:rPr>
        <w:lastRenderedPageBreak/>
        <w:t>debe corresponder a las necesidades reales del objeto contractual y no a restricciones arbitrarias o desproporcionadas de la participación.</w:t>
      </w:r>
    </w:p>
    <w:p w14:paraId="7FD78657" w14:textId="77777777" w:rsidR="00821CD1" w:rsidRPr="00D0312A" w:rsidRDefault="00821CD1" w:rsidP="00821CD1">
      <w:pPr>
        <w:spacing w:after="120" w:line="276" w:lineRule="auto"/>
        <w:ind w:firstLine="737"/>
        <w:jc w:val="both"/>
        <w:rPr>
          <w:rFonts w:ascii="Verdana" w:hAnsi="Verdana"/>
        </w:rPr>
      </w:pPr>
      <w:r w:rsidRPr="00D0312A">
        <w:rPr>
          <w:rFonts w:ascii="Verdana" w:hAnsi="Verdana"/>
        </w:rPr>
        <w:t>De este modo, el alcance con el que puede reconocerse la afinidad entre disciplinas académicas no se encuentra sujeto a una regla general y uniforme, sino a la configuración específica del perfil requerido que la Entidad Estatal establezca en la etapa de planeación.</w:t>
      </w:r>
    </w:p>
    <w:p w14:paraId="0A49AFA5" w14:textId="484DC1DC" w:rsidR="00821CD1" w:rsidRPr="00D0312A" w:rsidRDefault="006D1C63" w:rsidP="00821CD1">
      <w:pPr>
        <w:spacing w:after="120" w:line="276" w:lineRule="auto"/>
        <w:ind w:firstLine="737"/>
        <w:jc w:val="both"/>
        <w:rPr>
          <w:rFonts w:ascii="Verdana" w:hAnsi="Verdana"/>
        </w:rPr>
      </w:pPr>
      <w:r w:rsidRPr="00D0312A">
        <w:rPr>
          <w:rFonts w:ascii="Verdana" w:hAnsi="Verdana"/>
        </w:rPr>
        <w:t>Así las cosas,</w:t>
      </w:r>
      <w:r w:rsidR="00821CD1" w:rsidRPr="00D0312A">
        <w:rPr>
          <w:rFonts w:ascii="Verdana" w:hAnsi="Verdana"/>
        </w:rPr>
        <w:t xml:space="preserve"> cuando los estudios previos definen un perfil abierto o amplio -por ejemplo, referido a un área del conocimiento o a un conjunto de disciplinas afines-, es procedente reconocer la afinidad entre distintas formaciones profesionales, siempre que el proponente o el integrante del equipo de trabajo acredite las competencias necesarias para cumplir el objeto contractual, en los términos previstos en dichos estudios. Este reconocimiento debe garantizar de manera suficiente la idoneidad del contratista, sin desconocer los criterios técnicos fijados por las autoridades competentes en materia educativa. En este escenario, el Núcleo Básico del Conocimiento -concebido para el régimen de empleo público- puede operar como referente técnico razonable para valorar la afinidad entre disciplinas, sin que ello implique su aplicación directa o vinculante al ámbito contractual, dado que no existe una norma que extienda dicha figura a la contratación estatal.</w:t>
      </w:r>
    </w:p>
    <w:p w14:paraId="47E4001E" w14:textId="77777777" w:rsidR="00821CD1" w:rsidRPr="00D0312A" w:rsidRDefault="00821CD1" w:rsidP="00821CD1">
      <w:pPr>
        <w:spacing w:after="120" w:line="276" w:lineRule="auto"/>
        <w:ind w:firstLine="737"/>
        <w:jc w:val="both"/>
        <w:rPr>
          <w:rFonts w:ascii="Verdana" w:hAnsi="Verdana"/>
        </w:rPr>
      </w:pPr>
      <w:r w:rsidRPr="00D0312A">
        <w:rPr>
          <w:rFonts w:ascii="Verdana" w:hAnsi="Verdana"/>
        </w:rPr>
        <w:t>Ahora, cuando los estudios previos definen un perfil específico y restrictivo -mediante la exigencia expresa de una profesión determinada-, la entidad debe ceñirse estrictamente a lo previsto, sin que resulte viable ampliar su alcance mediante interpretaciones flexibles o analógicas en las etapas de evaluación o ejecución. Admitir una lectura extensiva en este supuesto no solo desconocería el perfil definido desde la planeación, sino que además vulneraría las condiciones de igualdad entre quienes concurrieron al proceso confiando en la exigencia tal como fue publicada.</w:t>
      </w:r>
    </w:p>
    <w:p w14:paraId="10E55B10" w14:textId="675DC988" w:rsidR="00821CD1" w:rsidRPr="00D0312A" w:rsidRDefault="00821CD1" w:rsidP="00821CD1">
      <w:pPr>
        <w:spacing w:after="120" w:line="276" w:lineRule="auto"/>
        <w:ind w:firstLine="737"/>
        <w:jc w:val="both"/>
        <w:rPr>
          <w:rFonts w:ascii="Verdana" w:hAnsi="Verdana"/>
        </w:rPr>
      </w:pPr>
      <w:r w:rsidRPr="00D0312A">
        <w:rPr>
          <w:rFonts w:ascii="Verdana" w:hAnsi="Verdana"/>
        </w:rPr>
        <w:t>De lo anterior</w:t>
      </w:r>
      <w:r w:rsidR="0088185A" w:rsidRPr="00D0312A">
        <w:rPr>
          <w:rFonts w:ascii="Verdana" w:hAnsi="Verdana"/>
        </w:rPr>
        <w:t xml:space="preserve">, </w:t>
      </w:r>
      <w:r w:rsidRPr="00D0312A">
        <w:rPr>
          <w:rFonts w:ascii="Verdana" w:hAnsi="Verdana"/>
        </w:rPr>
        <w:t xml:space="preserve">se desprende que la proporcionalidad de una exigencia relativa a un perfil profesional o de posgrado no se evalúa en abstracto, sino en función de la coherencia entre el perfil definido en los estudios previos y las necesidades reales del objeto contractual. La rigidez o flexibilidad de dicho perfil constituye una decisión de planeación que vincula a la entidad durante todo el proceso, desde la estructuración hasta la ejecución del contrato, conforme al principio de planeación y a las reglas que rigen la </w:t>
      </w:r>
      <w:proofErr w:type="spellStart"/>
      <w:r w:rsidRPr="00D0312A">
        <w:rPr>
          <w:rFonts w:ascii="Verdana" w:hAnsi="Verdana"/>
        </w:rPr>
        <w:t>inmodificabilidad</w:t>
      </w:r>
      <w:proofErr w:type="spellEnd"/>
      <w:r w:rsidRPr="00D0312A">
        <w:rPr>
          <w:rFonts w:ascii="Verdana" w:hAnsi="Verdana"/>
        </w:rPr>
        <w:t xml:space="preserve"> de las condiciones esenciales del proceso de selección.</w:t>
      </w:r>
    </w:p>
    <w:p w14:paraId="561234A3" w14:textId="361C22F5" w:rsidR="006D7B6F" w:rsidRPr="00D0312A" w:rsidRDefault="008A36CD" w:rsidP="006D1C63">
      <w:pPr>
        <w:spacing w:after="120" w:line="276" w:lineRule="auto"/>
        <w:ind w:firstLine="708"/>
        <w:jc w:val="both"/>
        <w:rPr>
          <w:rFonts w:ascii="Verdana" w:hAnsi="Verdana"/>
        </w:rPr>
      </w:pPr>
      <w:r w:rsidRPr="00D0312A">
        <w:rPr>
          <w:rFonts w:ascii="Verdana" w:hAnsi="Verdana"/>
        </w:rPr>
        <w:lastRenderedPageBreak/>
        <w:t>Con todo</w:t>
      </w:r>
      <w:r w:rsidR="00821CD1" w:rsidRPr="00D0312A">
        <w:rPr>
          <w:rFonts w:ascii="Verdana" w:hAnsi="Verdana"/>
        </w:rPr>
        <w:t>, resulta a bien precisar que la Agencia puede fijar criterios orientadores de alcance general sobre la forma adecuada de estructurar estos perfiles -como los aquí expuestos-, pero dicho pronunciamiento no sustituye la autonomía de cada Entidad Estatal para definir, en cada proceso de contratación en particular, el perfil profesional o de posgrado que corresponda a sus necesidades específicas, ni exime a la entidad de la responsabilidad de justificar técnicamente esa decisión desde la etapa de planeación.</w:t>
      </w:r>
    </w:p>
    <w:p w14:paraId="67755283" w14:textId="77777777" w:rsidR="008A36CD" w:rsidRPr="00D0312A" w:rsidRDefault="008A36CD" w:rsidP="008A36CD">
      <w:pPr>
        <w:spacing w:after="120" w:line="276" w:lineRule="auto"/>
        <w:ind w:firstLine="709"/>
        <w:jc w:val="both"/>
        <w:rPr>
          <w:rFonts w:ascii="Verdana" w:eastAsia="Calibri" w:hAnsi="Verdana" w:cs="Times New Roman"/>
          <w:color w:val="000000" w:themeColor="text1"/>
        </w:rPr>
      </w:pPr>
      <w:r w:rsidRPr="00D0312A">
        <w:rPr>
          <w:rFonts w:ascii="Verdana" w:eastAsia="Calibri" w:hAnsi="Verdana" w:cs="Times New Roman"/>
          <w:color w:val="000000" w:themeColor="text1"/>
        </w:rPr>
        <w:t xml:space="preserve">Finalmente, es preciso resaltar que cada entidad deberá realizar el análisis correspondiente </w:t>
      </w:r>
      <w:proofErr w:type="gramStart"/>
      <w:r w:rsidRPr="00D0312A">
        <w:rPr>
          <w:rFonts w:ascii="Verdana" w:eastAsia="Calibri" w:hAnsi="Verdana" w:cs="Times New Roman"/>
          <w:color w:val="000000" w:themeColor="text1"/>
        </w:rPr>
        <w:t>de acuerdo a</w:t>
      </w:r>
      <w:proofErr w:type="gramEnd"/>
      <w:r w:rsidRPr="00D0312A">
        <w:rPr>
          <w:rFonts w:ascii="Verdana" w:eastAsia="Calibri" w:hAnsi="Verdana" w:cs="Times New Roman"/>
          <w:color w:val="000000" w:themeColor="text1"/>
        </w:rPr>
        <w:t xml:space="preserve"> las circunstancias propias de cada caso concreto, así como valorar la incidencia que puedan tener la aplicación del artículo 9 del Decreto 019 de 2012 durante el desarrollo del proceso de contratación. </w:t>
      </w:r>
      <w:r w:rsidRPr="00D0312A">
        <w:rPr>
          <w:rFonts w:ascii="Verdana" w:hAnsi="Verdana" w:cs="Arial"/>
          <w:bCs/>
          <w:color w:val="000000" w:themeColor="text1"/>
        </w:rPr>
        <w:t>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730D7CB0" w14:textId="75684B7D" w:rsidR="008A36CD" w:rsidRPr="00D0312A" w:rsidRDefault="008A36CD" w:rsidP="00B438B6">
      <w:pPr>
        <w:snapToGrid w:val="0"/>
        <w:spacing w:after="0" w:line="276" w:lineRule="auto"/>
        <w:ind w:firstLine="708"/>
        <w:jc w:val="both"/>
        <w:rPr>
          <w:rFonts w:ascii="Verdana" w:eastAsia="Calibri" w:hAnsi="Verdana" w:cs="Arial"/>
          <w:kern w:val="2"/>
          <w14:ligatures w14:val="standardContextual"/>
        </w:rPr>
      </w:pPr>
      <w:r w:rsidRPr="00D0312A">
        <w:rPr>
          <w:rFonts w:ascii="Verdana" w:hAnsi="Verdana"/>
        </w:rPr>
        <w:t>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4981223F" w14:textId="77777777" w:rsidR="00B438B6" w:rsidRPr="00D0312A" w:rsidRDefault="00B438B6" w:rsidP="00B438B6">
      <w:pPr>
        <w:widowControl w:val="0"/>
        <w:autoSpaceDE w:val="0"/>
        <w:autoSpaceDN w:val="0"/>
        <w:spacing w:after="0" w:line="276" w:lineRule="auto"/>
        <w:jc w:val="both"/>
        <w:rPr>
          <w:rFonts w:ascii="Verdana" w:hAnsi="Verdana" w:cs="Arial"/>
          <w:lang w:eastAsia="es-ES"/>
        </w:rPr>
      </w:pPr>
    </w:p>
    <w:p w14:paraId="7A0B98BC" w14:textId="77777777" w:rsidR="00B438B6" w:rsidRPr="00D0312A" w:rsidRDefault="00B438B6" w:rsidP="00300E1A">
      <w:pPr>
        <w:pStyle w:val="Prrafodelista"/>
        <w:numPr>
          <w:ilvl w:val="0"/>
          <w:numId w:val="19"/>
        </w:numPr>
        <w:tabs>
          <w:tab w:val="left" w:pos="142"/>
          <w:tab w:val="left" w:pos="284"/>
        </w:tabs>
        <w:spacing w:after="0" w:line="276" w:lineRule="auto"/>
        <w:ind w:left="0"/>
        <w:contextualSpacing w:val="0"/>
        <w:jc w:val="both"/>
        <w:rPr>
          <w:rFonts w:ascii="Verdana" w:eastAsia="Century Gothic" w:hAnsi="Verdana" w:cs="Century Gothic"/>
          <w:b/>
          <w:bCs/>
        </w:rPr>
      </w:pPr>
      <w:r w:rsidRPr="00D0312A">
        <w:rPr>
          <w:rFonts w:ascii="Verdana" w:eastAsia="Century Gothic" w:hAnsi="Verdana" w:cs="Century Gothic"/>
          <w:b/>
          <w:bCs/>
        </w:rPr>
        <w:t>Referencias normativas, jurisprudenciales y otras fuentes:</w:t>
      </w:r>
    </w:p>
    <w:p w14:paraId="2431AC27" w14:textId="77777777" w:rsidR="00007B66" w:rsidRPr="00D0312A" w:rsidRDefault="00007B66" w:rsidP="00B438B6">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438B6" w:rsidRPr="00D0312A" w14:paraId="40575F87" w14:textId="77777777" w:rsidTr="0082278C">
        <w:trPr>
          <w:trHeight w:val="870"/>
        </w:trPr>
        <w:tc>
          <w:tcPr>
            <w:tcW w:w="8647" w:type="dxa"/>
          </w:tcPr>
          <w:p w14:paraId="5E5A068E" w14:textId="5FDEABC8" w:rsidR="00B438B6" w:rsidRPr="00D0312A" w:rsidRDefault="004E6C03" w:rsidP="00300E1A">
            <w:pPr>
              <w:pStyle w:val="Prrafodelista"/>
              <w:numPr>
                <w:ilvl w:val="0"/>
                <w:numId w:val="18"/>
              </w:numPr>
              <w:spacing w:line="276" w:lineRule="auto"/>
              <w:ind w:left="0"/>
              <w:contextualSpacing w:val="0"/>
              <w:jc w:val="both"/>
              <w:rPr>
                <w:rFonts w:ascii="Verdana" w:hAnsi="Verdana" w:cs="Arial"/>
              </w:rPr>
            </w:pPr>
            <w:r w:rsidRPr="00D0312A">
              <w:rPr>
                <w:rFonts w:ascii="Verdana" w:hAnsi="Verdana" w:cs="Arial"/>
              </w:rPr>
              <w:t>Ley 80 de 1993. Artículos 24 y 25</w:t>
            </w:r>
          </w:p>
          <w:p w14:paraId="3EBA6288" w14:textId="0D85A710" w:rsidR="00B438B6" w:rsidRPr="00D0312A" w:rsidRDefault="0088528B" w:rsidP="00300E1A">
            <w:pPr>
              <w:pStyle w:val="Prrafodelista"/>
              <w:numPr>
                <w:ilvl w:val="0"/>
                <w:numId w:val="18"/>
              </w:numPr>
              <w:spacing w:line="276" w:lineRule="auto"/>
              <w:ind w:left="0"/>
              <w:contextualSpacing w:val="0"/>
              <w:jc w:val="both"/>
              <w:rPr>
                <w:rFonts w:ascii="Verdana" w:hAnsi="Verdana" w:cs="Arial"/>
              </w:rPr>
            </w:pPr>
            <w:r w:rsidRPr="00D0312A">
              <w:rPr>
                <w:rFonts w:ascii="Verdana" w:hAnsi="Verdana" w:cs="Arial"/>
              </w:rPr>
              <w:t>Ley 1150 de 2007. Artículo 5</w:t>
            </w:r>
          </w:p>
          <w:p w14:paraId="3B119FA2" w14:textId="7B34A455" w:rsidR="00AA07C0" w:rsidRPr="00D0312A" w:rsidRDefault="00AA07C0" w:rsidP="00300E1A">
            <w:pPr>
              <w:pStyle w:val="Prrafodelista"/>
              <w:numPr>
                <w:ilvl w:val="0"/>
                <w:numId w:val="18"/>
              </w:numPr>
              <w:spacing w:line="276" w:lineRule="auto"/>
              <w:ind w:left="0"/>
              <w:contextualSpacing w:val="0"/>
              <w:jc w:val="both"/>
              <w:rPr>
                <w:rFonts w:ascii="Verdana" w:hAnsi="Verdana" w:cs="Arial"/>
              </w:rPr>
            </w:pPr>
            <w:r w:rsidRPr="00D0312A">
              <w:rPr>
                <w:rFonts w:ascii="Verdana" w:hAnsi="Verdana" w:cs="Arial"/>
              </w:rPr>
              <w:t xml:space="preserve">Decreto 1082 de 2015. Artículos </w:t>
            </w:r>
            <w:r w:rsidR="00CC7C10" w:rsidRPr="00D0312A">
              <w:rPr>
                <w:rFonts w:ascii="Verdana" w:hAnsi="Verdana" w:cs="Arial"/>
              </w:rPr>
              <w:t>2.2.1.1.2.1.1,</w:t>
            </w:r>
            <w:r w:rsidR="00B02D4D" w:rsidRPr="00D0312A">
              <w:rPr>
                <w:rFonts w:ascii="Verdana" w:hAnsi="Verdana" w:cs="Arial"/>
              </w:rPr>
              <w:t xml:space="preserve"> </w:t>
            </w:r>
            <w:r w:rsidR="00AC22A7" w:rsidRPr="00D0312A">
              <w:rPr>
                <w:rFonts w:ascii="Verdana" w:hAnsi="Verdana" w:cs="Arial"/>
              </w:rPr>
              <w:t>2.2.1.1.1.6.2 2.2.1.1.2.1.3</w:t>
            </w:r>
          </w:p>
          <w:p w14:paraId="7C37D6DF" w14:textId="42DD6362" w:rsidR="00966498" w:rsidRPr="00D0312A" w:rsidRDefault="00966498" w:rsidP="00300E1A">
            <w:pPr>
              <w:pStyle w:val="Prrafodelista"/>
              <w:numPr>
                <w:ilvl w:val="0"/>
                <w:numId w:val="18"/>
              </w:numPr>
              <w:spacing w:line="276" w:lineRule="auto"/>
              <w:ind w:left="0"/>
              <w:contextualSpacing w:val="0"/>
              <w:jc w:val="both"/>
              <w:rPr>
                <w:rFonts w:ascii="Verdana" w:hAnsi="Verdana" w:cs="Arial"/>
              </w:rPr>
            </w:pPr>
            <w:r w:rsidRPr="00D0312A">
              <w:rPr>
                <w:rFonts w:ascii="Verdana" w:hAnsi="Verdana" w:cs="Arial"/>
              </w:rPr>
              <w:t xml:space="preserve">Consejo de Estado. Sección Tercera. Subsección B. Sentencia del 31 de agosto de 2011, </w:t>
            </w:r>
            <w:proofErr w:type="spellStart"/>
            <w:r w:rsidRPr="00D0312A">
              <w:rPr>
                <w:rFonts w:ascii="Verdana" w:hAnsi="Verdana" w:cs="Arial"/>
              </w:rPr>
              <w:t>Exp</w:t>
            </w:r>
            <w:proofErr w:type="spellEnd"/>
            <w:r w:rsidRPr="00D0312A">
              <w:rPr>
                <w:rFonts w:ascii="Verdana" w:hAnsi="Verdana" w:cs="Arial"/>
              </w:rPr>
              <w:t xml:space="preserve">. No. 18080, C.P. Ruth Stella Correa Palacio </w:t>
            </w:r>
          </w:p>
          <w:p w14:paraId="79B8D46E" w14:textId="1217A83F" w:rsidR="00903C1D" w:rsidRPr="00D0312A" w:rsidRDefault="00903C1D" w:rsidP="00300E1A">
            <w:pPr>
              <w:pStyle w:val="Prrafodelista"/>
              <w:numPr>
                <w:ilvl w:val="0"/>
                <w:numId w:val="18"/>
              </w:numPr>
              <w:spacing w:line="276" w:lineRule="auto"/>
              <w:ind w:left="0"/>
              <w:contextualSpacing w:val="0"/>
              <w:jc w:val="both"/>
              <w:rPr>
                <w:rFonts w:ascii="Verdana" w:hAnsi="Verdana" w:cs="Arial"/>
              </w:rPr>
            </w:pPr>
            <w:r w:rsidRPr="00D0312A">
              <w:rPr>
                <w:rFonts w:ascii="Verdana" w:hAnsi="Verdana" w:cs="Arial"/>
              </w:rPr>
              <w:t xml:space="preserve">Consejo de Estado. Sección Tercera. Sentencia de 30 de noviembre de 2006. </w:t>
            </w:r>
            <w:proofErr w:type="spellStart"/>
            <w:r w:rsidRPr="00D0312A">
              <w:rPr>
                <w:rFonts w:ascii="Verdana" w:hAnsi="Verdana" w:cs="Arial"/>
              </w:rPr>
              <w:t>Exp</w:t>
            </w:r>
            <w:proofErr w:type="spellEnd"/>
            <w:r w:rsidRPr="00D0312A">
              <w:rPr>
                <w:rFonts w:ascii="Verdana" w:hAnsi="Verdana" w:cs="Arial"/>
              </w:rPr>
              <w:t xml:space="preserve">. 18.059. </w:t>
            </w:r>
            <w:r w:rsidR="002A3043" w:rsidRPr="00D0312A">
              <w:rPr>
                <w:rFonts w:ascii="Verdana" w:hAnsi="Verdana" w:cs="Arial"/>
              </w:rPr>
              <w:t>C</w:t>
            </w:r>
            <w:r w:rsidRPr="00D0312A">
              <w:rPr>
                <w:rFonts w:ascii="Verdana" w:hAnsi="Verdana" w:cs="Arial"/>
              </w:rPr>
              <w:t>.P. Alier Hernández Enríquez.</w:t>
            </w:r>
          </w:p>
          <w:p w14:paraId="4411B1B8" w14:textId="276E61EE" w:rsidR="00496976" w:rsidRPr="00D0312A" w:rsidRDefault="00496976" w:rsidP="00300E1A">
            <w:pPr>
              <w:pStyle w:val="Prrafodelista"/>
              <w:numPr>
                <w:ilvl w:val="0"/>
                <w:numId w:val="18"/>
              </w:numPr>
              <w:spacing w:line="276" w:lineRule="auto"/>
              <w:ind w:left="0"/>
              <w:contextualSpacing w:val="0"/>
              <w:jc w:val="both"/>
              <w:rPr>
                <w:rFonts w:ascii="Verdana" w:hAnsi="Verdana" w:cs="Arial"/>
              </w:rPr>
            </w:pPr>
            <w:r w:rsidRPr="00D0312A">
              <w:rPr>
                <w:rFonts w:ascii="Verdana" w:hAnsi="Verdana" w:cs="Arial"/>
              </w:rPr>
              <w:lastRenderedPageBreak/>
              <w:t>Consejo de Estado</w:t>
            </w:r>
            <w:r w:rsidR="00475C50" w:rsidRPr="00D0312A">
              <w:rPr>
                <w:rFonts w:ascii="Verdana" w:hAnsi="Verdana" w:cs="Arial"/>
              </w:rPr>
              <w:t>.</w:t>
            </w:r>
            <w:r w:rsidRPr="00D0312A">
              <w:rPr>
                <w:rFonts w:ascii="Verdana" w:hAnsi="Verdana" w:cs="Arial"/>
              </w:rPr>
              <w:t xml:space="preserve"> Sección Tercera. Sentencia del 11 de noviembre de 2009. </w:t>
            </w:r>
            <w:proofErr w:type="spellStart"/>
            <w:r w:rsidRPr="00D0312A">
              <w:rPr>
                <w:rFonts w:ascii="Verdana" w:hAnsi="Verdana" w:cs="Arial"/>
              </w:rPr>
              <w:t>Exp</w:t>
            </w:r>
            <w:proofErr w:type="spellEnd"/>
            <w:r w:rsidRPr="00D0312A">
              <w:rPr>
                <w:rFonts w:ascii="Verdana" w:hAnsi="Verdana" w:cs="Arial"/>
              </w:rPr>
              <w:t>. 17.366. C.P. Mauricio Fajardo Gómez.</w:t>
            </w:r>
          </w:p>
          <w:p w14:paraId="59E8E257" w14:textId="0D4D37C1" w:rsidR="00475C50" w:rsidRPr="00D0312A" w:rsidRDefault="00475C50" w:rsidP="00300E1A">
            <w:pPr>
              <w:pStyle w:val="Prrafodelista"/>
              <w:numPr>
                <w:ilvl w:val="0"/>
                <w:numId w:val="18"/>
              </w:numPr>
              <w:spacing w:line="276" w:lineRule="auto"/>
              <w:ind w:left="0"/>
              <w:contextualSpacing w:val="0"/>
              <w:jc w:val="both"/>
              <w:rPr>
                <w:rFonts w:ascii="Verdana" w:hAnsi="Verdana" w:cs="Arial"/>
              </w:rPr>
            </w:pPr>
            <w:r w:rsidRPr="00D0312A">
              <w:rPr>
                <w:rFonts w:ascii="Verdana" w:hAnsi="Verdana" w:cs="Arial"/>
              </w:rPr>
              <w:t xml:space="preserve">Consejo de Estado. Sección Tercera. Sentencia del 24 de julio de 2013. </w:t>
            </w:r>
            <w:proofErr w:type="spellStart"/>
            <w:r w:rsidRPr="00D0312A">
              <w:rPr>
                <w:rFonts w:ascii="Verdana" w:hAnsi="Verdana" w:cs="Arial"/>
              </w:rPr>
              <w:t>Exp</w:t>
            </w:r>
            <w:proofErr w:type="spellEnd"/>
            <w:r w:rsidRPr="00D0312A">
              <w:rPr>
                <w:rFonts w:ascii="Verdana" w:hAnsi="Verdana" w:cs="Arial"/>
              </w:rPr>
              <w:t>. 25.642. C.P. Enrique Gil Botero</w:t>
            </w:r>
          </w:p>
          <w:p w14:paraId="4C1AEF33" w14:textId="6E0DEC06" w:rsidR="00B438B6" w:rsidRPr="00D0312A" w:rsidRDefault="00007B66" w:rsidP="00300E1A">
            <w:pPr>
              <w:pStyle w:val="Prrafodelista"/>
              <w:numPr>
                <w:ilvl w:val="0"/>
                <w:numId w:val="18"/>
              </w:numPr>
              <w:spacing w:line="276" w:lineRule="auto"/>
              <w:ind w:left="0"/>
              <w:contextualSpacing w:val="0"/>
              <w:jc w:val="both"/>
              <w:rPr>
                <w:rFonts w:ascii="Verdana" w:hAnsi="Verdana" w:cs="Arial"/>
              </w:rPr>
            </w:pPr>
            <w:r w:rsidRPr="00D0312A">
              <w:rPr>
                <w:rFonts w:ascii="Verdana" w:hAnsi="Verdana" w:cs="Arial"/>
              </w:rPr>
              <w:t>Corte Constitucional. Sentencia C-128 de 2003. M.P. Álvaro Tafur Galvis</w:t>
            </w:r>
          </w:p>
        </w:tc>
      </w:tr>
    </w:tbl>
    <w:p w14:paraId="72F89C60" w14:textId="77777777" w:rsidR="00B438B6" w:rsidRPr="00D0312A" w:rsidRDefault="00B438B6" w:rsidP="00B438B6">
      <w:pPr>
        <w:widowControl w:val="0"/>
        <w:autoSpaceDE w:val="0"/>
        <w:autoSpaceDN w:val="0"/>
        <w:spacing w:after="0" w:line="276" w:lineRule="auto"/>
        <w:jc w:val="both"/>
        <w:rPr>
          <w:rFonts w:ascii="Verdana" w:hAnsi="Verdana" w:cs="Arial"/>
        </w:rPr>
      </w:pPr>
    </w:p>
    <w:p w14:paraId="46940304" w14:textId="77777777" w:rsidR="00B438B6" w:rsidRPr="00D0312A" w:rsidRDefault="00B438B6" w:rsidP="00B438B6">
      <w:pPr>
        <w:pStyle w:val="Prrafodelista"/>
        <w:numPr>
          <w:ilvl w:val="0"/>
          <w:numId w:val="19"/>
        </w:numPr>
        <w:tabs>
          <w:tab w:val="left" w:pos="142"/>
          <w:tab w:val="left" w:pos="284"/>
        </w:tabs>
        <w:spacing w:after="0" w:line="276" w:lineRule="auto"/>
        <w:ind w:left="0" w:firstLine="0"/>
        <w:contextualSpacing w:val="0"/>
        <w:jc w:val="both"/>
        <w:rPr>
          <w:rFonts w:ascii="Verdana" w:eastAsia="Century Gothic" w:hAnsi="Verdana" w:cs="Arial"/>
          <w:b/>
          <w:bCs/>
        </w:rPr>
      </w:pPr>
      <w:r w:rsidRPr="00D0312A">
        <w:rPr>
          <w:rFonts w:ascii="Verdana" w:eastAsia="Century Gothic" w:hAnsi="Verdana" w:cs="Arial"/>
          <w:b/>
          <w:bCs/>
        </w:rPr>
        <w:t>Doctrina de la Agencia Nacional de Contratación Pública:</w:t>
      </w:r>
    </w:p>
    <w:p w14:paraId="374478E9" w14:textId="77777777" w:rsidR="00B438B6" w:rsidRPr="00D0312A" w:rsidRDefault="00B438B6" w:rsidP="00B438B6">
      <w:pPr>
        <w:widowControl w:val="0"/>
        <w:autoSpaceDE w:val="0"/>
        <w:autoSpaceDN w:val="0"/>
        <w:spacing w:after="0" w:line="276" w:lineRule="auto"/>
        <w:jc w:val="both"/>
        <w:rPr>
          <w:rFonts w:ascii="Verdana" w:hAnsi="Verdana" w:cs="Arial"/>
          <w:highlight w:val="cyan"/>
        </w:rPr>
      </w:pPr>
    </w:p>
    <w:p w14:paraId="75E00999" w14:textId="6884D6B7" w:rsidR="00C83982" w:rsidRPr="00D0312A" w:rsidRDefault="00C83982" w:rsidP="00C83982">
      <w:pPr>
        <w:widowControl w:val="0"/>
        <w:autoSpaceDE w:val="0"/>
        <w:autoSpaceDN w:val="0"/>
        <w:spacing w:after="0" w:line="276" w:lineRule="auto"/>
        <w:jc w:val="both"/>
        <w:rPr>
          <w:rStyle w:val="normaltextrun"/>
          <w:rFonts w:ascii="Verdana" w:hAnsi="Verdana" w:cs="Arial"/>
          <w:shd w:val="clear" w:color="auto" w:fill="FFFFFF"/>
        </w:rPr>
      </w:pPr>
      <w:r w:rsidRPr="00D0312A">
        <w:rPr>
          <w:rFonts w:ascii="Verdana" w:hAnsi="Verdana" w:cs="Arial"/>
          <w:shd w:val="clear" w:color="auto" w:fill="FFFFFF"/>
        </w:rPr>
        <w:t>Sobre los estudios previos</w:t>
      </w:r>
      <w:r w:rsidR="007E73DF" w:rsidRPr="00D0312A">
        <w:rPr>
          <w:rFonts w:ascii="Verdana" w:hAnsi="Verdana" w:cs="Arial"/>
          <w:shd w:val="clear" w:color="auto" w:fill="FFFFFF"/>
        </w:rPr>
        <w:t xml:space="preserve"> y el deber de</w:t>
      </w:r>
      <w:r w:rsidRPr="00D0312A">
        <w:rPr>
          <w:rFonts w:ascii="Verdana" w:hAnsi="Verdana" w:cs="Arial"/>
          <w:shd w:val="clear" w:color="auto" w:fill="FFFFFF"/>
        </w:rPr>
        <w:t xml:space="preserve"> planeación en los procesos de contratación pública</w:t>
      </w:r>
      <w:r w:rsidR="007E73DF" w:rsidRPr="00D0312A">
        <w:rPr>
          <w:rFonts w:ascii="Verdana" w:hAnsi="Verdana" w:cs="Arial"/>
          <w:shd w:val="clear" w:color="auto" w:fill="FFFFFF"/>
        </w:rPr>
        <w:t xml:space="preserve"> se </w:t>
      </w:r>
      <w:r w:rsidRPr="00D0312A">
        <w:rPr>
          <w:rFonts w:ascii="Verdana" w:hAnsi="Verdana" w:cs="Arial"/>
          <w:shd w:val="clear" w:color="auto" w:fill="FFFFFF"/>
        </w:rPr>
        <w:t>ha pronunciado esta Subdirección en los conceptos C-218 del 13 de julio de 2023, C-274 del 14 de julio de 2023, C-309 del 28 de julio de 2023, C-344 del 18 de agosto de 2023, C-346 del 25 de agosto de 2023, C-297 del 3 de octubre de 2023, C-201 del 26 de octubre de 2023, C-144 del 6 de diciembre de 2023, C-440 del 12 de diciembre de 2023, C-001 del 25 de enero de 2024, C-030 del 9 de abril de 2024, C-053 del 7 de mayo de 2024, C-842 del 19 de diciembre de 2024, C-716 del 15 de julio de 2025, C-943 del 25 de agosto de 2025 y C-</w:t>
      </w:r>
      <w:r w:rsidR="00F67812" w:rsidRPr="00D0312A">
        <w:rPr>
          <w:rFonts w:ascii="Verdana" w:eastAsia="Calibri" w:hAnsi="Verdana" w:cs="Arial"/>
          <w:color w:val="000000" w:themeColor="text1"/>
          <w:lang w:val="es-ES" w:eastAsia="es-ES"/>
        </w:rPr>
        <w:t xml:space="preserve">743 del 16 de junio del 2026 </w:t>
      </w:r>
      <w:r w:rsidR="00F67812" w:rsidRPr="00D0312A">
        <w:rPr>
          <w:rFonts w:ascii="Verdana" w:hAnsi="Verdana" w:cs="Arial"/>
          <w:shd w:val="clear" w:color="auto" w:fill="FFFFFF"/>
          <w:lang w:val="es-ES"/>
        </w:rPr>
        <w:t xml:space="preserve">, </w:t>
      </w:r>
      <w:r w:rsidRPr="00D0312A">
        <w:rPr>
          <w:rFonts w:ascii="Verdana" w:hAnsi="Verdana" w:cs="Arial"/>
          <w:shd w:val="clear" w:color="auto" w:fill="FFFFFF"/>
          <w:lang w:val="es-ES"/>
        </w:rPr>
        <w:t>entre otros</w:t>
      </w:r>
      <w:r w:rsidRPr="00D0312A">
        <w:rPr>
          <w:rFonts w:ascii="Verdana" w:eastAsia="Calibri" w:hAnsi="Verdana" w:cs="Arial"/>
          <w:shd w:val="clear" w:color="auto" w:fill="FFFFFF"/>
        </w:rPr>
        <w:t>.</w:t>
      </w:r>
      <w:r w:rsidRPr="00D0312A">
        <w:rPr>
          <w:rStyle w:val="normaltextrun"/>
          <w:rFonts w:ascii="Verdana" w:hAnsi="Verdana" w:cs="Arial"/>
          <w:shd w:val="clear" w:color="auto" w:fill="FFFFFF"/>
        </w:rPr>
        <w:t xml:space="preserve"> Estos y otros conceptos se encuentran disponibles para consulta en el Sistema de relatoría de la Agencia</w:t>
      </w:r>
      <w:r w:rsidRPr="00D0312A">
        <w:rPr>
          <w:rFonts w:ascii="Verdana" w:hAnsi="Verdana"/>
        </w:rPr>
        <w:t>, al cual puede accederse a través del siguiente enlace:</w:t>
      </w:r>
      <w:r w:rsidRPr="00D0312A">
        <w:rPr>
          <w:rFonts w:ascii="Verdana" w:hAnsi="Verdana" w:cs="Arial"/>
          <w:shd w:val="clear" w:color="auto" w:fill="FFFFFF"/>
        </w:rPr>
        <w:t xml:space="preserve"> </w:t>
      </w:r>
      <w:hyperlink r:id="rId12" w:history="1">
        <w:r w:rsidRPr="00D0312A">
          <w:rPr>
            <w:rStyle w:val="Hipervnculo"/>
            <w:rFonts w:ascii="Verdana" w:hAnsi="Verdana" w:cs="Arial"/>
            <w:shd w:val="clear" w:color="auto" w:fill="FFFFFF"/>
          </w:rPr>
          <w:t>https://relatoria.colombiacompra.gov.co/busqueda/conceptos</w:t>
        </w:r>
      </w:hyperlink>
      <w:r w:rsidRPr="00D0312A">
        <w:rPr>
          <w:rStyle w:val="normaltextrun"/>
          <w:rFonts w:ascii="Verdana" w:hAnsi="Verdana" w:cs="Arial"/>
          <w:shd w:val="clear" w:color="auto" w:fill="FFFFFF"/>
        </w:rPr>
        <w:t xml:space="preserve">. </w:t>
      </w:r>
      <w:r w:rsidRPr="00D0312A">
        <w:rPr>
          <w:rStyle w:val="normaltextrun"/>
          <w:rFonts w:ascii="Verdana" w:hAnsi="Verdana" w:cs="Arial"/>
          <w:color w:val="FF0000"/>
          <w:shd w:val="clear" w:color="auto" w:fill="FFFFFF"/>
          <w:lang w:val="es-ES"/>
        </w:rPr>
        <w:t xml:space="preserve"> </w:t>
      </w:r>
    </w:p>
    <w:p w14:paraId="09E38A21" w14:textId="77777777" w:rsidR="00B438B6" w:rsidRPr="00D0312A" w:rsidRDefault="00B438B6" w:rsidP="00B438B6">
      <w:pPr>
        <w:widowControl w:val="0"/>
        <w:autoSpaceDE w:val="0"/>
        <w:autoSpaceDN w:val="0"/>
        <w:spacing w:after="0" w:line="276" w:lineRule="auto"/>
        <w:jc w:val="both"/>
        <w:rPr>
          <w:rStyle w:val="normaltextrun"/>
          <w:rFonts w:ascii="Verdana" w:hAnsi="Verdana" w:cs="Arial"/>
          <w:shd w:val="clear" w:color="auto" w:fill="FFFFFF"/>
        </w:rPr>
      </w:pPr>
    </w:p>
    <w:p w14:paraId="7936D805" w14:textId="77777777" w:rsidR="00B438B6" w:rsidRPr="00D0312A" w:rsidRDefault="00B438B6" w:rsidP="00B438B6">
      <w:pPr>
        <w:widowControl w:val="0"/>
        <w:autoSpaceDE w:val="0"/>
        <w:autoSpaceDN w:val="0"/>
        <w:spacing w:after="0" w:line="276" w:lineRule="auto"/>
        <w:jc w:val="both"/>
        <w:rPr>
          <w:rFonts w:ascii="Verdana" w:hAnsi="Verdana"/>
        </w:rPr>
      </w:pPr>
      <w:r w:rsidRPr="00D0312A">
        <w:rPr>
          <w:rFonts w:ascii="Verdana" w:hAnsi="Verdana" w:cs="Arial"/>
        </w:rPr>
        <w:t xml:space="preserve">La sostenibilidad no es una opción, es una obligación. Por ello, la Agencia Nacional de Contratación Pública –Colombia Compra Eficiente– te invita a realizar el </w:t>
      </w:r>
      <w:r w:rsidRPr="00D0312A">
        <w:rPr>
          <w:rFonts w:ascii="Verdana" w:hAnsi="Verdana" w:cs="Arial"/>
          <w:b/>
          <w:bCs/>
        </w:rPr>
        <w:t>Curso de Contratación Pública Sostenible y Socialmente Responsable</w:t>
      </w:r>
      <w:r w:rsidRPr="00D0312A">
        <w:rPr>
          <w:rFonts w:ascii="Verdana" w:hAnsi="Verdana" w:cs="Arial"/>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D0312A">
        <w:rPr>
          <w:rFonts w:ascii="Verdana" w:hAnsi="Verdana" w:cs="Arial"/>
        </w:rPr>
        <w:br/>
      </w:r>
      <w:hyperlink r:id="rId13" w:tgtFrame="_new" w:history="1">
        <w:r w:rsidRPr="00D0312A">
          <w:rPr>
            <w:rStyle w:val="Hipervnculo"/>
            <w:rFonts w:ascii="Verdana" w:hAnsi="Verdana" w:cs="Arial"/>
          </w:rPr>
          <w:t>https://formacionvirtual.colombiacompra.gov.co/mod/page/view.php?id=3718</w:t>
        </w:r>
      </w:hyperlink>
    </w:p>
    <w:p w14:paraId="480A3552" w14:textId="77777777" w:rsidR="00B438B6" w:rsidRPr="00D0312A" w:rsidRDefault="00B438B6" w:rsidP="00B438B6">
      <w:pPr>
        <w:widowControl w:val="0"/>
        <w:autoSpaceDE w:val="0"/>
        <w:autoSpaceDN w:val="0"/>
        <w:spacing w:after="0" w:line="276" w:lineRule="auto"/>
        <w:jc w:val="both"/>
        <w:rPr>
          <w:rFonts w:ascii="Verdana" w:hAnsi="Verdana"/>
        </w:rPr>
      </w:pPr>
    </w:p>
    <w:p w14:paraId="4AAC6E38" w14:textId="77777777" w:rsidR="00B438B6" w:rsidRPr="00D0312A" w:rsidRDefault="00B438B6" w:rsidP="00B438B6">
      <w:pPr>
        <w:widowControl w:val="0"/>
        <w:autoSpaceDE w:val="0"/>
        <w:autoSpaceDN w:val="0"/>
        <w:spacing w:after="0" w:line="276" w:lineRule="auto"/>
        <w:jc w:val="both"/>
        <w:rPr>
          <w:rFonts w:ascii="Verdana" w:hAnsi="Verdana"/>
        </w:rPr>
      </w:pPr>
      <w:r w:rsidRPr="00D0312A">
        <w:rPr>
          <w:rFonts w:ascii="Verdana" w:hAnsi="Verdana" w:cs="Arial"/>
        </w:rPr>
        <w:t xml:space="preserve">De otro lado, te contamos que esta Agencia ha da un paso decisivo en la estandarización y modernización del </w:t>
      </w:r>
      <w:r w:rsidRPr="00D0312A">
        <w:rPr>
          <w:rFonts w:ascii="Verdana" w:hAnsi="Verdana" w:cs="Arial"/>
          <w:b/>
          <w:bCs/>
        </w:rPr>
        <w:t>sector  social</w:t>
      </w:r>
      <w:r w:rsidRPr="00D0312A">
        <w:rPr>
          <w:rFonts w:ascii="Verdana" w:hAnsi="Verdana" w:cs="Arial"/>
        </w:rPr>
        <w:t xml:space="preserve"> con la expedición de las </w:t>
      </w:r>
      <w:r w:rsidRPr="00D0312A">
        <w:rPr>
          <w:rFonts w:ascii="Verdana" w:hAnsi="Verdana" w:cs="Arial"/>
          <w:b/>
          <w:bCs/>
        </w:rPr>
        <w:t>Resoluciones 539, 540, 541, 952 y 953 de 2025</w:t>
      </w:r>
      <w:r w:rsidRPr="00D0312A">
        <w:rPr>
          <w:rFonts w:ascii="Verdana" w:hAnsi="Verdana" w:cs="Arial"/>
        </w:rPr>
        <w:t xml:space="preserve">, </w:t>
      </w:r>
      <w:r w:rsidRPr="00D0312A">
        <w:rPr>
          <w:rFonts w:ascii="Verdana" w:hAnsi="Verdana" w:cs="Arial"/>
          <w:b/>
          <w:bCs/>
        </w:rPr>
        <w:t>mediante las cuales adoptó Documentos Tipo</w:t>
      </w:r>
      <w:r w:rsidRPr="00D0312A">
        <w:rPr>
          <w:rFonts w:ascii="Verdana" w:hAnsi="Verdana" w:cs="Arial"/>
        </w:rPr>
        <w:t xml:space="preserve"> para las modalidades de selección de</w:t>
      </w:r>
      <w:r w:rsidRPr="00D0312A">
        <w:rPr>
          <w:rFonts w:ascii="Verdana" w:hAnsi="Verdana" w:cs="Arial"/>
          <w:b/>
          <w:bCs/>
        </w:rPr>
        <w:t xml:space="preserve"> licitación pública (versión 2), selección abreviada de menor cuantía, mínima cuantía, consultoría e interventoría</w:t>
      </w:r>
      <w:r w:rsidRPr="00D0312A">
        <w:rPr>
          <w:rFonts w:ascii="Verdana" w:hAnsi="Verdana" w:cs="Arial"/>
        </w:rPr>
        <w:t xml:space="preserve">, promoviendo procesos más </w:t>
      </w:r>
      <w:r w:rsidRPr="00D0312A">
        <w:rPr>
          <w:rFonts w:ascii="Verdana" w:hAnsi="Verdana" w:cs="Arial"/>
        </w:rPr>
        <w:lastRenderedPageBreak/>
        <w:t xml:space="preserve">transparentes, eficientes  competitivos y sostenibles en sectores estratégicos como educación, salud, cultura, recreación, deporte, institucional y vivienda. Consulta y descarga los documentos aquí: </w:t>
      </w:r>
      <w:hyperlink r:id="rId14" w:tgtFrame="_new" w:history="1">
        <w:r w:rsidRPr="00D0312A">
          <w:rPr>
            <w:rStyle w:val="Hipervnculo"/>
            <w:rFonts w:ascii="Verdana" w:hAnsi="Verdana" w:cs="Arial"/>
          </w:rPr>
          <w:t>https://www.colombiacompra.gov.co/normativa-y-relatoria/documentos-tipo</w:t>
        </w:r>
      </w:hyperlink>
    </w:p>
    <w:p w14:paraId="540D359B" w14:textId="77777777" w:rsidR="00B438B6" w:rsidRPr="00D0312A" w:rsidRDefault="00B438B6" w:rsidP="00B438B6">
      <w:pPr>
        <w:widowControl w:val="0"/>
        <w:autoSpaceDE w:val="0"/>
        <w:autoSpaceDN w:val="0"/>
        <w:spacing w:after="0" w:line="276" w:lineRule="auto"/>
        <w:jc w:val="both"/>
        <w:rPr>
          <w:rFonts w:ascii="Verdana" w:hAnsi="Verdana" w:cs="Arial"/>
          <w:shd w:val="clear" w:color="auto" w:fill="FFFFFF"/>
        </w:rPr>
      </w:pPr>
    </w:p>
    <w:p w14:paraId="19CE5E4B" w14:textId="77777777" w:rsidR="00B438B6" w:rsidRPr="00D0312A" w:rsidRDefault="00B438B6" w:rsidP="00B438B6">
      <w:pPr>
        <w:spacing w:after="0" w:line="276" w:lineRule="auto"/>
        <w:jc w:val="both"/>
        <w:rPr>
          <w:rFonts w:ascii="Verdana" w:hAnsi="Verdana"/>
        </w:rPr>
      </w:pPr>
      <w:r w:rsidRPr="00D0312A">
        <w:rPr>
          <w:rFonts w:ascii="Verdana" w:hAnsi="Verdana" w:cs="Arial"/>
        </w:rPr>
        <w:t xml:space="preserve">Si quieres conocer más sobre la aplicación de Documentos Tipo puedes consultar la última versión de la </w:t>
      </w:r>
      <w:r w:rsidRPr="00D0312A">
        <w:rPr>
          <w:rFonts w:ascii="Verdana" w:hAnsi="Verdana" w:cs="Arial"/>
          <w:b/>
          <w:bCs/>
        </w:rPr>
        <w:t>Guía para la comprensión e implementación de los Documentos Tipo de obra pública de infraestructura de transporte</w:t>
      </w:r>
      <w:r w:rsidRPr="00D0312A">
        <w:rPr>
          <w:rFonts w:ascii="Verdana" w:hAnsi="Verdana" w:cs="Arial"/>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D0312A">
        <w:rPr>
          <w:rFonts w:ascii="Verdana" w:hAnsi="Verdana" w:cs="Arial"/>
        </w:rPr>
        <w:br/>
      </w:r>
      <w:hyperlink r:id="rId15" w:tgtFrame="_new" w:history="1">
        <w:r w:rsidRPr="00D0312A">
          <w:rPr>
            <w:rStyle w:val="Hipervnculo"/>
            <w:rFonts w:ascii="Verdana" w:hAnsi="Verdana" w:cs="Arial"/>
          </w:rPr>
          <w:t>https://www.colombiacompra.gov.co/archivos/manual/guia-para-la-comprension-e-implementacion-de-los-documentos-tipo-de-obra-publica-de-infraestructura-de-transporte-bajo-las-diferentes-modalidades-de-contratacion-vigentes</w:t>
        </w:r>
      </w:hyperlink>
    </w:p>
    <w:p w14:paraId="1D0414B4" w14:textId="77777777" w:rsidR="00B438B6" w:rsidRPr="00D0312A" w:rsidRDefault="00B438B6" w:rsidP="00B438B6">
      <w:pPr>
        <w:spacing w:after="0" w:line="276" w:lineRule="auto"/>
        <w:jc w:val="both"/>
        <w:rPr>
          <w:rFonts w:ascii="Verdana" w:hAnsi="Verdana" w:cs="Arial"/>
        </w:rPr>
      </w:pPr>
    </w:p>
    <w:p w14:paraId="409AEC5F" w14:textId="77777777" w:rsidR="00B438B6" w:rsidRPr="00D0312A" w:rsidRDefault="00B438B6" w:rsidP="00B438B6">
      <w:pPr>
        <w:spacing w:after="0" w:line="276" w:lineRule="auto"/>
        <w:jc w:val="both"/>
        <w:rPr>
          <w:rFonts w:ascii="Verdana" w:hAnsi="Verdana" w:cs="Arial"/>
        </w:rPr>
      </w:pPr>
      <w:r w:rsidRPr="00D0312A">
        <w:rPr>
          <w:rFonts w:ascii="Verdana" w:hAnsi="Verdana" w:cs="Arial"/>
        </w:rPr>
        <w:t xml:space="preserve">Por último, lo invitamos a seguirnos en las redes sociales en las cuales se difunde información institucional: </w:t>
      </w:r>
    </w:p>
    <w:p w14:paraId="126ACE15" w14:textId="77777777" w:rsidR="00B438B6" w:rsidRPr="00D0312A" w:rsidRDefault="00B438B6" w:rsidP="00B438B6">
      <w:pPr>
        <w:spacing w:after="0" w:line="276" w:lineRule="auto"/>
        <w:jc w:val="both"/>
        <w:rPr>
          <w:rFonts w:ascii="Verdana" w:hAnsi="Verdana" w:cs="Arial"/>
        </w:rPr>
      </w:pPr>
    </w:p>
    <w:p w14:paraId="2670BFBE" w14:textId="77777777" w:rsidR="00B438B6" w:rsidRPr="00D0312A" w:rsidRDefault="00B438B6" w:rsidP="00B438B6">
      <w:pPr>
        <w:spacing w:after="0" w:line="276" w:lineRule="auto"/>
        <w:jc w:val="both"/>
        <w:rPr>
          <w:rFonts w:ascii="Verdana" w:hAnsi="Verdana" w:cs="Arial"/>
        </w:rPr>
      </w:pPr>
      <w:r w:rsidRPr="00D0312A">
        <w:rPr>
          <w:rFonts w:ascii="Verdana" w:hAnsi="Verdana" w:cs="Arial"/>
        </w:rPr>
        <w:t xml:space="preserve">Twitter: </w:t>
      </w:r>
      <w:r w:rsidRPr="00D0312A">
        <w:rPr>
          <w:rStyle w:val="Hipervnculo"/>
          <w:rFonts w:ascii="Verdana" w:hAnsi="Verdana" w:cs="Arial"/>
          <w:color w:val="4472C4" w:themeColor="accent1"/>
        </w:rPr>
        <w:t>@colombiacompra</w:t>
      </w:r>
      <w:r w:rsidRPr="00D0312A">
        <w:rPr>
          <w:rFonts w:ascii="Verdana" w:hAnsi="Verdana" w:cs="Arial"/>
          <w:color w:val="4472C4" w:themeColor="accent1"/>
        </w:rPr>
        <w:t xml:space="preserve"> </w:t>
      </w:r>
    </w:p>
    <w:p w14:paraId="4E7893C5" w14:textId="77777777" w:rsidR="00B438B6" w:rsidRPr="00D0312A" w:rsidRDefault="00B438B6" w:rsidP="00B438B6">
      <w:pPr>
        <w:spacing w:after="0" w:line="276" w:lineRule="auto"/>
        <w:jc w:val="both"/>
        <w:rPr>
          <w:rFonts w:ascii="Verdana" w:hAnsi="Verdana" w:cs="Arial"/>
        </w:rPr>
      </w:pPr>
      <w:r w:rsidRPr="00D0312A">
        <w:rPr>
          <w:rFonts w:ascii="Verdana" w:hAnsi="Verdana" w:cs="Arial"/>
        </w:rPr>
        <w:t xml:space="preserve">Facebook: </w:t>
      </w:r>
      <w:proofErr w:type="spellStart"/>
      <w:r w:rsidRPr="00D0312A">
        <w:rPr>
          <w:rStyle w:val="Hipervnculo"/>
          <w:rFonts w:ascii="Verdana" w:hAnsi="Verdana" w:cs="Arial"/>
          <w:color w:val="4472C4" w:themeColor="accent1"/>
        </w:rPr>
        <w:t>ColombiaCompraEficiente</w:t>
      </w:r>
      <w:proofErr w:type="spellEnd"/>
    </w:p>
    <w:p w14:paraId="02C9CBCE" w14:textId="77777777" w:rsidR="00B438B6" w:rsidRPr="00D0312A" w:rsidRDefault="00B438B6" w:rsidP="00B438B6">
      <w:pPr>
        <w:spacing w:after="0" w:line="276" w:lineRule="auto"/>
        <w:jc w:val="both"/>
        <w:rPr>
          <w:rStyle w:val="Hipervnculo"/>
          <w:rFonts w:ascii="Verdana" w:hAnsi="Verdana" w:cs="Arial"/>
          <w:color w:val="4472C4" w:themeColor="accent1"/>
        </w:rPr>
      </w:pPr>
      <w:r w:rsidRPr="00D0312A">
        <w:rPr>
          <w:rFonts w:ascii="Verdana" w:hAnsi="Verdana" w:cs="Arial"/>
        </w:rPr>
        <w:t xml:space="preserve">LinkedIn: </w:t>
      </w:r>
      <w:r w:rsidRPr="00D0312A">
        <w:rPr>
          <w:rStyle w:val="Hipervnculo"/>
          <w:rFonts w:ascii="Verdana" w:hAnsi="Verdana" w:cs="Arial"/>
          <w:color w:val="4472C4" w:themeColor="accent1"/>
        </w:rPr>
        <w:t>Agencia Nacional de Contratación Pública - Colombia Compra Eficiente</w:t>
      </w:r>
      <w:r w:rsidRPr="00D0312A">
        <w:rPr>
          <w:rFonts w:ascii="Verdana" w:hAnsi="Verdana" w:cs="Arial"/>
          <w:color w:val="4472C4" w:themeColor="accent1"/>
        </w:rPr>
        <w:t xml:space="preserve"> </w:t>
      </w:r>
      <w:r w:rsidRPr="00D0312A">
        <w:rPr>
          <w:rFonts w:ascii="Verdana" w:hAnsi="Verdana" w:cs="Arial"/>
        </w:rPr>
        <w:t xml:space="preserve">Instagram: </w:t>
      </w:r>
      <w:r w:rsidRPr="00D0312A">
        <w:rPr>
          <w:rStyle w:val="Hipervnculo"/>
          <w:rFonts w:ascii="Verdana" w:hAnsi="Verdana" w:cs="Arial"/>
          <w:color w:val="4472C4" w:themeColor="accent1"/>
        </w:rPr>
        <w:t>@colombiacompraeficiente_cce</w:t>
      </w:r>
    </w:p>
    <w:p w14:paraId="129C4C25" w14:textId="77777777" w:rsidR="00B438B6" w:rsidRPr="00D0312A" w:rsidRDefault="00B438B6" w:rsidP="00B438B6">
      <w:pPr>
        <w:spacing w:after="0" w:line="276" w:lineRule="auto"/>
        <w:jc w:val="both"/>
        <w:rPr>
          <w:rStyle w:val="Hipervnculo"/>
          <w:rFonts w:ascii="Verdana" w:hAnsi="Verdana" w:cs="Arial"/>
          <w:color w:val="4472C4" w:themeColor="accent1"/>
        </w:rPr>
      </w:pPr>
    </w:p>
    <w:p w14:paraId="1121E4AA" w14:textId="77777777" w:rsidR="00B438B6" w:rsidRPr="00D0312A" w:rsidRDefault="00B438B6" w:rsidP="00B438B6">
      <w:pPr>
        <w:widowControl w:val="0"/>
        <w:autoSpaceDE w:val="0"/>
        <w:autoSpaceDN w:val="0"/>
        <w:spacing w:after="0" w:line="276" w:lineRule="auto"/>
        <w:jc w:val="both"/>
        <w:rPr>
          <w:rFonts w:ascii="Verdana" w:hAnsi="Verdana" w:cs="Arial"/>
          <w:lang w:val="es-ES_tradnl"/>
        </w:rPr>
      </w:pPr>
      <w:r w:rsidRPr="00D0312A">
        <w:rPr>
          <w:rFonts w:ascii="Verdana" w:hAnsi="Verdana" w:cs="Arial"/>
        </w:rPr>
        <w:t xml:space="preserve">Este concepto tiene el alcance previsto en el artículo 28 del Código de Procedimiento Administrativo y de lo Contencioso Administrativo </w:t>
      </w:r>
      <w:r w:rsidRPr="00D0312A">
        <w:rPr>
          <w:rFonts w:ascii="Verdana" w:hAnsi="Verdana" w:cs="Arial"/>
          <w:lang w:val="es-ES_tradnl"/>
        </w:rPr>
        <w:t>y las expresiones aquí utilizadas con mayúscula inicial deben ser entendidas con el significado que les otorga el artículo 2.2.1.1.1.3.1. del Decreto 1082 de 2015.</w:t>
      </w:r>
    </w:p>
    <w:p w14:paraId="5C4E013B" w14:textId="77777777" w:rsidR="00B438B6" w:rsidRPr="00D0312A" w:rsidRDefault="00B438B6" w:rsidP="00B438B6">
      <w:pPr>
        <w:widowControl w:val="0"/>
        <w:autoSpaceDE w:val="0"/>
        <w:autoSpaceDN w:val="0"/>
        <w:spacing w:after="0" w:line="276" w:lineRule="auto"/>
        <w:jc w:val="both"/>
        <w:rPr>
          <w:rFonts w:ascii="Verdana" w:hAnsi="Verdana" w:cs="Arial"/>
        </w:rPr>
      </w:pPr>
    </w:p>
    <w:p w14:paraId="37922C78" w14:textId="77777777" w:rsidR="00B438B6" w:rsidRPr="00D0312A" w:rsidRDefault="00B438B6" w:rsidP="00B438B6">
      <w:pPr>
        <w:spacing w:after="0" w:line="276" w:lineRule="auto"/>
        <w:jc w:val="both"/>
        <w:rPr>
          <w:rFonts w:ascii="Verdana" w:hAnsi="Verdana" w:cs="Arial"/>
          <w:lang w:eastAsia="es-CO"/>
        </w:rPr>
      </w:pPr>
      <w:r w:rsidRPr="00D0312A">
        <w:rPr>
          <w:rFonts w:ascii="Verdana" w:eastAsia="Times New Roman" w:hAnsi="Verdana" w:cs="Arial"/>
          <w:lang w:eastAsia="es-CO"/>
        </w:rPr>
        <w:t>Atentamente,</w:t>
      </w:r>
      <w:r w:rsidRPr="00D0312A">
        <w:rPr>
          <w:rFonts w:ascii="Verdana" w:hAnsi="Verdana" w:cs="Arial"/>
          <w:lang w:eastAsia="es-CO"/>
        </w:rPr>
        <w:t xml:space="preserve"> </w:t>
      </w:r>
    </w:p>
    <w:p w14:paraId="7DC0D0FB" w14:textId="6B9B3600" w:rsidR="00B438B6" w:rsidRPr="00D0312A" w:rsidRDefault="00C27545" w:rsidP="00B438B6">
      <w:pPr>
        <w:spacing w:line="276" w:lineRule="auto"/>
        <w:jc w:val="center"/>
        <w:rPr>
          <w:rFonts w:ascii="Verdana" w:hAnsi="Verdana" w:cs="Arial"/>
          <w:color w:val="000000"/>
          <w:sz w:val="16"/>
          <w:szCs w:val="16"/>
          <w:lang w:val="es-ES_tradnl" w:eastAsia="es-CO"/>
        </w:rPr>
      </w:pPr>
      <w:r w:rsidRPr="004D5C25">
        <w:rPr>
          <w:rFonts w:ascii="Century Gothic" w:hAnsi="Century Gothic"/>
          <w:noProof/>
        </w:rPr>
        <w:lastRenderedPageBreak/>
        <w:drawing>
          <wp:inline distT="0" distB="0" distL="0" distR="0" wp14:anchorId="3C739F54" wp14:editId="3AB420C6">
            <wp:extent cx="3705742" cy="1590897"/>
            <wp:effectExtent l="0" t="0" r="9525" b="9525"/>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6"/>
                    <a:stretch>
                      <a:fillRect/>
                    </a:stretch>
                  </pic:blipFill>
                  <pic:spPr>
                    <a:xfrm>
                      <a:off x="0" y="0"/>
                      <a:ext cx="3705742" cy="1590897"/>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B438B6" w:rsidRPr="00D0312A" w14:paraId="049DE71C" w14:textId="77777777" w:rsidTr="0082278C">
        <w:trPr>
          <w:trHeight w:val="315"/>
        </w:trPr>
        <w:tc>
          <w:tcPr>
            <w:tcW w:w="893" w:type="dxa"/>
            <w:vAlign w:val="center"/>
            <w:hideMark/>
          </w:tcPr>
          <w:p w14:paraId="691E21C5" w14:textId="77777777" w:rsidR="00B438B6" w:rsidRPr="00D0312A" w:rsidRDefault="00B438B6" w:rsidP="0082278C">
            <w:pPr>
              <w:contextualSpacing/>
              <w:rPr>
                <w:rFonts w:ascii="Verdana" w:hAnsi="Verdana" w:cs="Arial"/>
                <w:sz w:val="16"/>
                <w:szCs w:val="16"/>
                <w:lang w:val="es-ES" w:eastAsia="es-ES"/>
              </w:rPr>
            </w:pPr>
            <w:r w:rsidRPr="00D0312A">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440274AF" w14:textId="77777777" w:rsidR="00B438B6" w:rsidRPr="00D0312A" w:rsidRDefault="00B438B6" w:rsidP="0082278C">
            <w:pPr>
              <w:contextualSpacing/>
              <w:rPr>
                <w:rFonts w:ascii="Verdana" w:eastAsia="Arial" w:hAnsi="Verdana" w:cs="Arial"/>
                <w:sz w:val="16"/>
                <w:szCs w:val="16"/>
              </w:rPr>
            </w:pPr>
            <w:r w:rsidRPr="00D0312A">
              <w:rPr>
                <w:rFonts w:ascii="Verdana" w:eastAsia="Arial" w:hAnsi="Verdana" w:cs="Arial"/>
                <w:sz w:val="16"/>
                <w:szCs w:val="16"/>
              </w:rPr>
              <w:t>Ana María Ortiz Ballesteros</w:t>
            </w:r>
          </w:p>
          <w:p w14:paraId="2D43298E" w14:textId="77777777" w:rsidR="00B438B6" w:rsidRPr="00D0312A" w:rsidRDefault="00B438B6" w:rsidP="0082278C">
            <w:pPr>
              <w:contextualSpacing/>
              <w:rPr>
                <w:rFonts w:ascii="Verdana" w:eastAsia="Arial" w:hAnsi="Verdana" w:cs="Arial"/>
                <w:sz w:val="16"/>
                <w:szCs w:val="16"/>
              </w:rPr>
            </w:pPr>
            <w:r w:rsidRPr="00D0312A">
              <w:rPr>
                <w:rStyle w:val="normaltextrun"/>
                <w:rFonts w:ascii="Verdana" w:eastAsia="Arial" w:hAnsi="Verdana" w:cs="Arial"/>
                <w:sz w:val="16"/>
                <w:szCs w:val="16"/>
              </w:rPr>
              <w:t>C</w:t>
            </w:r>
            <w:r w:rsidRPr="00D0312A">
              <w:rPr>
                <w:rStyle w:val="normaltextrun"/>
                <w:rFonts w:ascii="Verdana" w:hAnsi="Verdana"/>
                <w:sz w:val="16"/>
                <w:szCs w:val="16"/>
              </w:rPr>
              <w:t>ontratista</w:t>
            </w:r>
            <w:r w:rsidRPr="00D0312A">
              <w:rPr>
                <w:rStyle w:val="normaltextrun"/>
                <w:rFonts w:ascii="Verdana" w:eastAsia="Arial" w:hAnsi="Verdana" w:cs="Arial"/>
                <w:sz w:val="16"/>
                <w:szCs w:val="16"/>
              </w:rPr>
              <w:t xml:space="preserve"> de la Subdirección de Gestión Contractual</w:t>
            </w:r>
          </w:p>
        </w:tc>
      </w:tr>
      <w:tr w:rsidR="00B438B6" w:rsidRPr="00D0312A" w14:paraId="636DC098" w14:textId="77777777" w:rsidTr="0082278C">
        <w:trPr>
          <w:trHeight w:val="330"/>
        </w:trPr>
        <w:tc>
          <w:tcPr>
            <w:tcW w:w="893" w:type="dxa"/>
            <w:vAlign w:val="center"/>
            <w:hideMark/>
          </w:tcPr>
          <w:p w14:paraId="38B7CB54" w14:textId="77777777" w:rsidR="00B438B6" w:rsidRPr="00D0312A" w:rsidRDefault="00B438B6" w:rsidP="0082278C">
            <w:pPr>
              <w:contextualSpacing/>
              <w:rPr>
                <w:rFonts w:ascii="Verdana" w:hAnsi="Verdana" w:cs="Arial"/>
                <w:sz w:val="16"/>
                <w:szCs w:val="16"/>
                <w:lang w:val="es-ES" w:eastAsia="es-ES"/>
              </w:rPr>
            </w:pPr>
            <w:r w:rsidRPr="00D0312A">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7E002B28" w14:textId="77777777" w:rsidR="00B438B6" w:rsidRPr="00D0312A" w:rsidRDefault="00B438B6" w:rsidP="0082278C">
            <w:pPr>
              <w:pStyle w:val="paragraph"/>
              <w:spacing w:before="0" w:beforeAutospacing="0" w:after="0" w:afterAutospacing="0"/>
              <w:contextualSpacing/>
              <w:textAlignment w:val="baseline"/>
              <w:rPr>
                <w:rFonts w:ascii="Verdana" w:hAnsi="Verdana" w:cs="Arial"/>
                <w:sz w:val="16"/>
                <w:szCs w:val="16"/>
              </w:rPr>
            </w:pPr>
            <w:r w:rsidRPr="00D0312A">
              <w:rPr>
                <w:rFonts w:ascii="Verdana" w:hAnsi="Verdana" w:cs="Arial"/>
                <w:sz w:val="16"/>
                <w:szCs w:val="16"/>
              </w:rPr>
              <w:t>Diana Lucia Saavedra Castañeda</w:t>
            </w:r>
          </w:p>
          <w:p w14:paraId="67848EF8" w14:textId="77777777" w:rsidR="00B438B6" w:rsidRPr="00D0312A" w:rsidRDefault="00B438B6" w:rsidP="0082278C">
            <w:pPr>
              <w:pStyle w:val="paragraph"/>
              <w:spacing w:before="0" w:beforeAutospacing="0" w:after="0" w:afterAutospacing="0"/>
              <w:contextualSpacing/>
              <w:textAlignment w:val="baseline"/>
              <w:rPr>
                <w:rFonts w:ascii="Verdana" w:hAnsi="Verdana" w:cs="Arial"/>
                <w:sz w:val="16"/>
                <w:szCs w:val="16"/>
              </w:rPr>
            </w:pPr>
            <w:r w:rsidRPr="00D0312A">
              <w:rPr>
                <w:rStyle w:val="normaltextrun"/>
                <w:rFonts w:ascii="Verdana" w:eastAsia="Arial" w:hAnsi="Verdana" w:cs="Arial"/>
                <w:sz w:val="16"/>
                <w:szCs w:val="16"/>
              </w:rPr>
              <w:t>C</w:t>
            </w:r>
            <w:r w:rsidRPr="00D0312A">
              <w:rPr>
                <w:rStyle w:val="normaltextrun"/>
                <w:rFonts w:ascii="Verdana" w:hAnsi="Verdana"/>
                <w:sz w:val="16"/>
                <w:szCs w:val="16"/>
              </w:rPr>
              <w:t>ontratista</w:t>
            </w:r>
            <w:r w:rsidRPr="00D0312A">
              <w:rPr>
                <w:rStyle w:val="normaltextrun"/>
                <w:rFonts w:ascii="Verdana" w:eastAsia="Arial" w:hAnsi="Verdana" w:cs="Arial"/>
                <w:sz w:val="16"/>
                <w:szCs w:val="16"/>
              </w:rPr>
              <w:t xml:space="preserve"> de la Subdirección de Gestión Contractual</w:t>
            </w:r>
          </w:p>
        </w:tc>
      </w:tr>
      <w:tr w:rsidR="00B438B6" w:rsidRPr="00D0312A" w14:paraId="5F503E38" w14:textId="77777777" w:rsidTr="0082278C">
        <w:trPr>
          <w:trHeight w:val="300"/>
        </w:trPr>
        <w:tc>
          <w:tcPr>
            <w:tcW w:w="893" w:type="dxa"/>
            <w:vAlign w:val="center"/>
          </w:tcPr>
          <w:p w14:paraId="048274C5" w14:textId="77777777" w:rsidR="00B438B6" w:rsidRPr="00D0312A" w:rsidRDefault="00B438B6" w:rsidP="0082278C">
            <w:pPr>
              <w:contextualSpacing/>
              <w:rPr>
                <w:rFonts w:ascii="Verdana" w:hAnsi="Verdana" w:cs="Arial"/>
                <w:sz w:val="16"/>
                <w:szCs w:val="16"/>
                <w:lang w:val="es-ES" w:eastAsia="es-ES"/>
              </w:rPr>
            </w:pPr>
            <w:r w:rsidRPr="00D0312A">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1BC64C1C" w14:textId="77777777" w:rsidR="00B438B6" w:rsidRPr="00D0312A" w:rsidRDefault="00B438B6" w:rsidP="0082278C">
            <w:pPr>
              <w:contextualSpacing/>
              <w:rPr>
                <w:rFonts w:ascii="Verdana" w:eastAsia="Calibri" w:hAnsi="Verdana" w:cs="Arial"/>
                <w:sz w:val="16"/>
                <w:szCs w:val="16"/>
                <w:lang w:val="pt-BR" w:eastAsia="es-ES"/>
              </w:rPr>
            </w:pPr>
            <w:r w:rsidRPr="00D0312A">
              <w:rPr>
                <w:rFonts w:ascii="Verdana" w:eastAsia="Calibri" w:hAnsi="Verdana" w:cs="Arial"/>
                <w:sz w:val="16"/>
                <w:szCs w:val="16"/>
                <w:lang w:val="pt-BR" w:eastAsia="es-ES"/>
              </w:rPr>
              <w:t xml:space="preserve">Carolina Quintero </w:t>
            </w:r>
            <w:proofErr w:type="spellStart"/>
            <w:r w:rsidRPr="00D0312A">
              <w:rPr>
                <w:rFonts w:ascii="Verdana" w:eastAsia="Calibri" w:hAnsi="Verdana" w:cs="Arial"/>
                <w:sz w:val="16"/>
                <w:szCs w:val="16"/>
                <w:lang w:val="pt-BR" w:eastAsia="es-ES"/>
              </w:rPr>
              <w:t>Gacharná</w:t>
            </w:r>
            <w:proofErr w:type="spellEnd"/>
          </w:p>
          <w:p w14:paraId="21629DE6" w14:textId="77777777" w:rsidR="00B438B6" w:rsidRPr="00D0312A" w:rsidRDefault="00B438B6" w:rsidP="0082278C">
            <w:pPr>
              <w:contextualSpacing/>
              <w:rPr>
                <w:rFonts w:ascii="Verdana" w:eastAsia="Calibri" w:hAnsi="Verdana" w:cs="Arial"/>
                <w:sz w:val="16"/>
                <w:szCs w:val="16"/>
                <w:lang w:val="pt-BR" w:eastAsia="es-ES"/>
              </w:rPr>
            </w:pPr>
            <w:r w:rsidRPr="00D0312A">
              <w:rPr>
                <w:rFonts w:ascii="Verdana" w:eastAsia="Calibri" w:hAnsi="Verdana" w:cs="Arial"/>
                <w:sz w:val="16"/>
                <w:szCs w:val="16"/>
                <w:lang w:eastAsia="es-ES"/>
              </w:rPr>
              <w:t>Subdirectora</w:t>
            </w:r>
            <w:r w:rsidRPr="00D0312A">
              <w:rPr>
                <w:rFonts w:ascii="Verdana" w:eastAsia="Calibri" w:hAnsi="Verdana" w:cs="Arial"/>
                <w:sz w:val="16"/>
                <w:szCs w:val="16"/>
                <w:lang w:val="pt-BR" w:eastAsia="es-ES"/>
              </w:rPr>
              <w:t xml:space="preserve"> de Gestión Contractual ANCP – CCE</w:t>
            </w:r>
          </w:p>
        </w:tc>
      </w:tr>
    </w:tbl>
    <w:p w14:paraId="1006A388" w14:textId="77777777" w:rsidR="00C15139" w:rsidRPr="00D0312A" w:rsidRDefault="00C15139" w:rsidP="30821638">
      <w:pPr>
        <w:spacing w:after="0" w:line="240" w:lineRule="auto"/>
        <w:jc w:val="both"/>
        <w:textAlignment w:val="baseline"/>
        <w:rPr>
          <w:rFonts w:ascii="Verdana" w:eastAsia="Verdana" w:hAnsi="Verdana" w:cs="Verdana"/>
          <w:lang w:eastAsia="es-CO"/>
        </w:rPr>
      </w:pPr>
    </w:p>
    <w:p w14:paraId="69BC4D14" w14:textId="77777777" w:rsidR="00C15139" w:rsidRPr="00D0312A" w:rsidRDefault="00C15139" w:rsidP="30821638">
      <w:pPr>
        <w:spacing w:after="0" w:line="240" w:lineRule="auto"/>
        <w:textAlignment w:val="baseline"/>
        <w:rPr>
          <w:rFonts w:ascii="Verdana" w:eastAsia="Verdana" w:hAnsi="Verdana" w:cs="Verdana"/>
          <w:lang w:eastAsia="es-CO"/>
        </w:rPr>
      </w:pPr>
      <w:r w:rsidRPr="00D0312A">
        <w:rPr>
          <w:rFonts w:ascii="Verdana" w:hAnsi="Verdana"/>
          <w:noProof/>
        </w:rPr>
        <w:drawing>
          <wp:inline distT="0" distB="0" distL="0" distR="0" wp14:anchorId="5A2E4A55" wp14:editId="7AA99379">
            <wp:extent cx="2171700" cy="266700"/>
            <wp:effectExtent l="0" t="0" r="0" b="0"/>
            <wp:docPr id="1694888066" name="Imagen 2" descr="--Gra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f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71700" cy="266700"/>
                    </a:xfrm>
                    <a:prstGeom prst="rect">
                      <a:avLst/>
                    </a:prstGeom>
                    <a:noFill/>
                    <a:ln>
                      <a:noFill/>
                    </a:ln>
                  </pic:spPr>
                </pic:pic>
              </a:graphicData>
            </a:graphic>
          </wp:inline>
        </w:drawing>
      </w:r>
      <w:r w:rsidRPr="00D0312A">
        <w:rPr>
          <w:rFonts w:ascii="Verdana" w:eastAsia="Verdana" w:hAnsi="Verdana" w:cs="Verdana"/>
          <w:lang w:eastAsia="es-CO"/>
        </w:rPr>
        <w:t> </w:t>
      </w:r>
      <w:bookmarkEnd w:id="0"/>
    </w:p>
    <w:sectPr w:rsidR="00C15139" w:rsidRPr="00D0312A"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F0EC9" w14:textId="77777777" w:rsidR="004D5C64" w:rsidRDefault="004D5C64" w:rsidP="004A1847">
      <w:pPr>
        <w:spacing w:after="0" w:line="240" w:lineRule="auto"/>
      </w:pPr>
      <w:r>
        <w:separator/>
      </w:r>
    </w:p>
  </w:endnote>
  <w:endnote w:type="continuationSeparator" w:id="0">
    <w:p w14:paraId="128EEAEC" w14:textId="77777777" w:rsidR="004D5C64" w:rsidRDefault="004D5C64"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orbel"/>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BC16D" w14:textId="77777777" w:rsidR="004D5C64" w:rsidRDefault="004D5C64" w:rsidP="004A1847">
      <w:pPr>
        <w:spacing w:after="0" w:line="240" w:lineRule="auto"/>
      </w:pPr>
      <w:r>
        <w:separator/>
      </w:r>
    </w:p>
  </w:footnote>
  <w:footnote w:type="continuationSeparator" w:id="0">
    <w:p w14:paraId="5BA4BBFE" w14:textId="77777777" w:rsidR="004D5C64" w:rsidRDefault="004D5C64" w:rsidP="004A1847">
      <w:pPr>
        <w:spacing w:after="0" w:line="240" w:lineRule="auto"/>
      </w:pPr>
      <w:r>
        <w:continuationSeparator/>
      </w:r>
    </w:p>
  </w:footnote>
  <w:footnote w:id="1">
    <w:p w14:paraId="403550BC" w14:textId="5789A5EB" w:rsidR="006D7B6F" w:rsidRPr="00035DC9" w:rsidRDefault="006D7B6F" w:rsidP="00035DC9">
      <w:pPr>
        <w:spacing w:after="0" w:line="240" w:lineRule="auto"/>
        <w:ind w:left="120" w:firstLine="707"/>
        <w:jc w:val="both"/>
        <w:rPr>
          <w:rFonts w:ascii="Verdana" w:hAnsi="Verdana" w:cs="Arial"/>
          <w:sz w:val="18"/>
          <w:szCs w:val="18"/>
        </w:rPr>
      </w:pPr>
      <w:r w:rsidRPr="004F4FC4">
        <w:rPr>
          <w:rStyle w:val="Refdenotaalpie"/>
          <w:rFonts w:ascii="Verdana" w:hAnsi="Verdana" w:cs="Arial"/>
          <w:sz w:val="18"/>
          <w:szCs w:val="18"/>
        </w:rPr>
        <w:footnoteRef/>
      </w:r>
      <w:r w:rsidRPr="004F4FC4">
        <w:rPr>
          <w:rFonts w:ascii="Verdana" w:hAnsi="Verdana" w:cs="Arial"/>
          <w:position w:val="6"/>
          <w:sz w:val="18"/>
          <w:szCs w:val="18"/>
        </w:rPr>
        <w:t xml:space="preserve"> </w:t>
      </w:r>
      <w:r w:rsidRPr="004F4FC4">
        <w:rPr>
          <w:rFonts w:ascii="Verdana" w:hAnsi="Verdana" w:cs="Arial"/>
          <w:sz w:val="18"/>
          <w:szCs w:val="18"/>
        </w:rPr>
        <w:t>DEIK ACOSTAMADIEDO, Carolina, Guía de Contratación Estatal: Deber de planeación y modalidades de selección, Buenos Aires, 2015, p. 59.</w:t>
      </w:r>
    </w:p>
  </w:footnote>
  <w:footnote w:id="2">
    <w:p w14:paraId="07FC750B" w14:textId="55845527" w:rsidR="006D7B6F" w:rsidRPr="003D76D0" w:rsidRDefault="006D7B6F" w:rsidP="003D76D0">
      <w:pPr>
        <w:pStyle w:val="Textoindependiente"/>
        <w:spacing w:after="0" w:line="240" w:lineRule="auto"/>
        <w:ind w:right="103" w:firstLine="709"/>
        <w:jc w:val="both"/>
        <w:rPr>
          <w:rFonts w:ascii="Verdana" w:hAnsi="Verdana"/>
          <w:sz w:val="18"/>
          <w:szCs w:val="18"/>
        </w:rPr>
      </w:pPr>
      <w:r w:rsidRPr="004F4FC4">
        <w:rPr>
          <w:rStyle w:val="Refdenotaalpie"/>
          <w:rFonts w:ascii="Verdana" w:hAnsi="Verdana"/>
          <w:sz w:val="18"/>
          <w:szCs w:val="18"/>
        </w:rPr>
        <w:footnoteRef/>
      </w:r>
      <w:r w:rsidRPr="004F4FC4">
        <w:rPr>
          <w:rFonts w:ascii="Verdana" w:hAnsi="Verdana"/>
          <w:sz w:val="18"/>
          <w:szCs w:val="18"/>
        </w:rPr>
        <w:t xml:space="preserve"> </w:t>
      </w:r>
      <w:r w:rsidRPr="004F4FC4">
        <w:rPr>
          <w:rFonts w:ascii="Verdana" w:hAnsi="Verdana"/>
          <w:position w:val="6"/>
          <w:sz w:val="18"/>
          <w:szCs w:val="18"/>
        </w:rPr>
        <w:t xml:space="preserve"> </w:t>
      </w:r>
      <w:r w:rsidRPr="004F4FC4">
        <w:rPr>
          <w:rFonts w:ascii="Verdana" w:hAnsi="Verdana"/>
          <w:sz w:val="18"/>
          <w:szCs w:val="18"/>
        </w:rPr>
        <w:t xml:space="preserve">“Artículo </w:t>
      </w:r>
      <w:bookmarkStart w:id="4" w:name="_Hlk54173885"/>
      <w:r w:rsidRPr="004F4FC4">
        <w:rPr>
          <w:rFonts w:ascii="Verdana" w:hAnsi="Verdana"/>
          <w:sz w:val="18"/>
          <w:szCs w:val="18"/>
        </w:rPr>
        <w:t>2.2.1.1.2.1.1</w:t>
      </w:r>
      <w:bookmarkEnd w:id="4"/>
      <w:r w:rsidRPr="004F4FC4">
        <w:rPr>
          <w:rFonts w:ascii="Verdana" w:hAnsi="Verdana"/>
          <w:sz w:val="18"/>
          <w:szCs w:val="18"/>
        </w:rPr>
        <w:t>. Estudios y documentos previos. Los estudios y documentos previos son el soporte para elaborar el proyecto de pliegos, los pliegos de condiciones, y el contrato. Deben permanecer a disposición del público durante el desarrollo del Proceso de Contratación y contener los siguientes elementos, además de los indicados para cada modalidad de selección: (…)”.</w:t>
      </w:r>
    </w:p>
  </w:footnote>
  <w:footnote w:id="3">
    <w:p w14:paraId="7B22D7EC" w14:textId="77777777" w:rsidR="006D7B6F" w:rsidRPr="004F4FC4" w:rsidRDefault="006D7B6F" w:rsidP="00035DC9">
      <w:pPr>
        <w:pStyle w:val="Textoindependiente"/>
        <w:spacing w:before="1" w:after="0" w:line="240" w:lineRule="auto"/>
        <w:ind w:right="108" w:firstLine="709"/>
        <w:jc w:val="both"/>
        <w:rPr>
          <w:rFonts w:ascii="Verdana" w:hAnsi="Verdana"/>
          <w:sz w:val="18"/>
          <w:szCs w:val="18"/>
        </w:rPr>
      </w:pPr>
      <w:r w:rsidRPr="004F4FC4">
        <w:rPr>
          <w:rStyle w:val="Refdenotaalpie"/>
          <w:rFonts w:ascii="Verdana" w:hAnsi="Verdana"/>
          <w:sz w:val="18"/>
          <w:szCs w:val="18"/>
        </w:rPr>
        <w:footnoteRef/>
      </w:r>
      <w:r w:rsidRPr="004F4FC4">
        <w:rPr>
          <w:rFonts w:ascii="Verdana" w:hAnsi="Verdana"/>
          <w:sz w:val="18"/>
          <w:szCs w:val="18"/>
        </w:rPr>
        <w:t xml:space="preserve"> Consejo de Estado, Sección Tercera, Subsección B, 31 de agosto de 2011, Exp. No. 18080, C.P. Ruth Stella Correa Palacio: “(…) recuérdese que la aplicación de la buena fe en materia negocial implica para las partes la observancia la observancia de una conducta enmarcada dentro del contexto de los deberes de corrección, claridad y recíproca lealtad que se deben los contratantes, para remitir la realización de los efectos finales buscados en el contrato”.</w:t>
      </w:r>
    </w:p>
    <w:p w14:paraId="02C26A08" w14:textId="77777777" w:rsidR="006D7B6F" w:rsidRPr="004F4FC4" w:rsidRDefault="006D7B6F" w:rsidP="00035DC9">
      <w:pPr>
        <w:pStyle w:val="Textonotapie"/>
        <w:jc w:val="both"/>
        <w:rPr>
          <w:rFonts w:ascii="Verdana" w:hAnsi="Verdana"/>
          <w:sz w:val="18"/>
          <w:szCs w:val="18"/>
          <w:lang w:val="es-CO"/>
        </w:rPr>
      </w:pPr>
    </w:p>
  </w:footnote>
  <w:footnote w:id="4">
    <w:p w14:paraId="776A5A98" w14:textId="77777777" w:rsidR="006D7B6F" w:rsidRPr="004F4FC4" w:rsidRDefault="006D7B6F" w:rsidP="00035DC9">
      <w:pPr>
        <w:pStyle w:val="Textonotapie"/>
        <w:ind w:firstLine="708"/>
        <w:jc w:val="both"/>
        <w:rPr>
          <w:rFonts w:ascii="Verdana" w:hAnsi="Verdana" w:cs="Arial"/>
          <w:sz w:val="18"/>
          <w:szCs w:val="18"/>
        </w:rPr>
      </w:pPr>
      <w:r w:rsidRPr="004F4FC4">
        <w:rPr>
          <w:rStyle w:val="Refdenotaalpie"/>
          <w:rFonts w:ascii="Verdana" w:hAnsi="Verdana" w:cs="Arial"/>
          <w:sz w:val="18"/>
          <w:szCs w:val="18"/>
        </w:rPr>
        <w:footnoteRef/>
      </w:r>
      <w:r w:rsidRPr="004F4FC4">
        <w:rPr>
          <w:rFonts w:ascii="Verdana" w:hAnsi="Verdana" w:cs="Arial"/>
          <w:sz w:val="18"/>
          <w:szCs w:val="18"/>
        </w:rPr>
        <w:t xml:space="preserve"> OSPINA MENA, Jesús Marino. Régimen de la Contratación Estatal. Un salto a la contratación líquida. Bogotá: Ed. 1ª. Diké, 2020. p. 383.</w:t>
      </w:r>
    </w:p>
    <w:p w14:paraId="46226112" w14:textId="77777777" w:rsidR="006D7B6F" w:rsidRPr="004F4FC4" w:rsidRDefault="006D7B6F" w:rsidP="00035DC9">
      <w:pPr>
        <w:pStyle w:val="Textonotapie"/>
        <w:ind w:firstLine="708"/>
        <w:jc w:val="both"/>
        <w:rPr>
          <w:rFonts w:ascii="Verdana" w:hAnsi="Verdana" w:cs="Arial"/>
          <w:sz w:val="18"/>
          <w:szCs w:val="18"/>
        </w:rPr>
      </w:pPr>
    </w:p>
  </w:footnote>
  <w:footnote w:id="5">
    <w:p w14:paraId="2FF2D704" w14:textId="77777777" w:rsidR="006D7B6F" w:rsidRPr="004F4FC4" w:rsidRDefault="006D7B6F" w:rsidP="00035DC9">
      <w:pPr>
        <w:pStyle w:val="Textonotapie"/>
        <w:ind w:firstLine="708"/>
        <w:jc w:val="both"/>
        <w:rPr>
          <w:rFonts w:ascii="Verdana" w:hAnsi="Verdana" w:cs="Arial"/>
          <w:sz w:val="18"/>
          <w:szCs w:val="18"/>
        </w:rPr>
      </w:pPr>
      <w:r w:rsidRPr="004F4FC4">
        <w:rPr>
          <w:rStyle w:val="Refdenotaalpie"/>
          <w:rFonts w:ascii="Verdana" w:hAnsi="Verdana" w:cs="Arial"/>
          <w:sz w:val="18"/>
          <w:szCs w:val="18"/>
        </w:rPr>
        <w:footnoteRef/>
      </w:r>
      <w:r w:rsidRPr="004F4FC4">
        <w:rPr>
          <w:rFonts w:ascii="Verdana" w:hAnsi="Verdana" w:cs="Arial"/>
          <w:sz w:val="18"/>
          <w:szCs w:val="18"/>
        </w:rPr>
        <w:t xml:space="preserve"> CONSEJO DE ESTADO. Sección Tercera. Sentencia de 30 de noviembre de 2006. Exp. 18.059. M.P. Alier Hernández Enríquez.</w:t>
      </w:r>
    </w:p>
    <w:p w14:paraId="122F8860" w14:textId="77777777" w:rsidR="006D7B6F" w:rsidRPr="004F4FC4" w:rsidRDefault="006D7B6F" w:rsidP="00035DC9">
      <w:pPr>
        <w:pStyle w:val="Textonotapie"/>
        <w:jc w:val="both"/>
        <w:rPr>
          <w:rFonts w:ascii="Verdana" w:hAnsi="Verdana" w:cs="Arial"/>
          <w:sz w:val="18"/>
          <w:szCs w:val="18"/>
        </w:rPr>
      </w:pPr>
    </w:p>
  </w:footnote>
  <w:footnote w:id="6">
    <w:p w14:paraId="448F8F22" w14:textId="77777777" w:rsidR="006D7B6F" w:rsidRPr="004F4FC4" w:rsidRDefault="006D7B6F" w:rsidP="00035DC9">
      <w:pPr>
        <w:pStyle w:val="Textonotapie"/>
        <w:ind w:firstLine="708"/>
        <w:jc w:val="both"/>
        <w:rPr>
          <w:rFonts w:ascii="Verdana" w:hAnsi="Verdana"/>
          <w:sz w:val="18"/>
          <w:szCs w:val="18"/>
        </w:rPr>
      </w:pPr>
      <w:r w:rsidRPr="004F4FC4">
        <w:rPr>
          <w:rStyle w:val="Refdenotaalpie"/>
          <w:rFonts w:ascii="Verdana" w:hAnsi="Verdana" w:cs="Arial"/>
          <w:sz w:val="18"/>
          <w:szCs w:val="18"/>
        </w:rPr>
        <w:footnoteRef/>
      </w:r>
      <w:r w:rsidRPr="004F4FC4">
        <w:rPr>
          <w:rFonts w:ascii="Verdana" w:hAnsi="Verdana" w:cs="Arial"/>
          <w:sz w:val="18"/>
          <w:szCs w:val="18"/>
        </w:rPr>
        <w:t xml:space="preserve"> Sin perjuicio de los dispuesto en el artículo 2.2.1.1.2.1.3. del Decreto 1082 de 2015 sobre el contenido del pliego de condiciones, donde se desarrolla de forma más exhaustiva cada uno de sus componentes mínimos.</w:t>
      </w:r>
    </w:p>
  </w:footnote>
  <w:footnote w:id="7">
    <w:p w14:paraId="1F89DB0C" w14:textId="364B1D14" w:rsidR="006D7B6F" w:rsidRPr="004F4FC4" w:rsidRDefault="006D7B6F" w:rsidP="00035DC9">
      <w:pPr>
        <w:pStyle w:val="Textonotapie"/>
        <w:ind w:firstLine="708"/>
        <w:jc w:val="both"/>
        <w:rPr>
          <w:rFonts w:ascii="Verdana" w:hAnsi="Verdana" w:cs="Arial"/>
          <w:color w:val="000000" w:themeColor="text1"/>
          <w:sz w:val="18"/>
          <w:szCs w:val="18"/>
        </w:rPr>
      </w:pPr>
      <w:r w:rsidRPr="004F4FC4">
        <w:rPr>
          <w:rStyle w:val="Refdenotaalpie"/>
          <w:rFonts w:ascii="Verdana" w:hAnsi="Verdana" w:cs="Arial"/>
          <w:color w:val="000000" w:themeColor="text1"/>
          <w:sz w:val="18"/>
          <w:szCs w:val="18"/>
        </w:rPr>
        <w:footnoteRef/>
      </w:r>
      <w:r w:rsidRPr="004F4FC4">
        <w:rPr>
          <w:rFonts w:ascii="Verdana" w:hAnsi="Verdana" w:cs="Arial"/>
          <w:color w:val="000000" w:themeColor="text1"/>
          <w:sz w:val="18"/>
          <w:szCs w:val="18"/>
          <w:lang w:val="pt-BR"/>
        </w:rPr>
        <w:t xml:space="preserve"> CORTE CONSTITUCIONAL. Sentencia C-128 de 2003. </w:t>
      </w:r>
      <w:r w:rsidRPr="004F4FC4">
        <w:rPr>
          <w:rFonts w:ascii="Verdana" w:hAnsi="Verdana" w:cs="Arial"/>
          <w:color w:val="000000" w:themeColor="text1"/>
          <w:sz w:val="18"/>
          <w:szCs w:val="18"/>
        </w:rPr>
        <w:t>M.P. Álvaro Tafur Galvis: “De dichos textos (artículos 24 y 29 derogado de la Ley 80 de 1993) se desprende claramente, en consecuencia, la voluntad del legislador de que el proceso de selección del contratista sea ajeno a cualquier consideración subjetiva o discriminatoria. Dicha voluntad, atendiendo los principios constitucionales y en particular los señalados en el artículo 209 superior, se extiende a todas las fases del contrato, desde su preparación hasta su liquidación, de manera que en todo su desarrollo se observen rigurosamente los parámetros establecidos por la ley y por los pliegos de condiciones en las diferentes etapas y actuaciones y se adopte una conducta leal, diáfana y veraz conforme al postulado de la buena fe y la mutua confianza entre quienes intervienen en la actividad contractual”.</w:t>
      </w:r>
    </w:p>
  </w:footnote>
  <w:footnote w:id="8">
    <w:p w14:paraId="06A530C8" w14:textId="77777777" w:rsidR="006D7B6F" w:rsidRPr="004F4FC4" w:rsidRDefault="006D7B6F" w:rsidP="00035DC9">
      <w:pPr>
        <w:pStyle w:val="Textonotapie"/>
        <w:ind w:firstLine="709"/>
        <w:jc w:val="both"/>
        <w:rPr>
          <w:rFonts w:ascii="Verdana" w:hAnsi="Verdana" w:cs="Arial"/>
          <w:color w:val="000000" w:themeColor="text1"/>
          <w:sz w:val="18"/>
          <w:szCs w:val="18"/>
          <w:lang w:val="es-ES"/>
        </w:rPr>
      </w:pPr>
      <w:r w:rsidRPr="004F4FC4">
        <w:rPr>
          <w:rStyle w:val="Refdenotaalpie"/>
          <w:rFonts w:ascii="Verdana" w:hAnsi="Verdana" w:cs="Arial"/>
          <w:color w:val="000000" w:themeColor="text1"/>
          <w:sz w:val="18"/>
          <w:szCs w:val="18"/>
        </w:rPr>
        <w:footnoteRef/>
      </w:r>
      <w:r w:rsidRPr="004F4FC4">
        <w:rPr>
          <w:rFonts w:ascii="Verdana" w:hAnsi="Verdana" w:cs="Arial"/>
          <w:color w:val="000000" w:themeColor="text1"/>
          <w:sz w:val="18"/>
          <w:szCs w:val="18"/>
        </w:rPr>
        <w:t xml:space="preserve"> CONSEJO DE ESTADO, Sección Tercera. Sentencia del 11 de noviembre de 2009. Exp. 17.366. C.P. Mauricio Fajardo Gómez.</w:t>
      </w:r>
    </w:p>
  </w:footnote>
  <w:footnote w:id="9">
    <w:p w14:paraId="0A4D1ED5" w14:textId="77777777" w:rsidR="006D7B6F" w:rsidRPr="004F4FC4" w:rsidRDefault="006D7B6F" w:rsidP="00035DC9">
      <w:pPr>
        <w:pStyle w:val="Textonotapie"/>
        <w:ind w:firstLine="709"/>
        <w:jc w:val="both"/>
        <w:rPr>
          <w:rFonts w:ascii="Verdana" w:hAnsi="Verdana" w:cs="Arial"/>
          <w:color w:val="000000" w:themeColor="text1"/>
          <w:sz w:val="18"/>
          <w:szCs w:val="18"/>
        </w:rPr>
      </w:pPr>
    </w:p>
    <w:p w14:paraId="4BA4915E" w14:textId="77777777" w:rsidR="006D7B6F" w:rsidRPr="004F4FC4" w:rsidRDefault="006D7B6F" w:rsidP="00035DC9">
      <w:pPr>
        <w:pStyle w:val="Textonotapie"/>
        <w:ind w:firstLine="709"/>
        <w:jc w:val="both"/>
        <w:rPr>
          <w:rFonts w:ascii="Verdana" w:hAnsi="Verdana" w:cs="Arial"/>
          <w:color w:val="000000" w:themeColor="text1"/>
          <w:sz w:val="18"/>
          <w:szCs w:val="18"/>
        </w:rPr>
      </w:pPr>
      <w:r w:rsidRPr="004F4FC4">
        <w:rPr>
          <w:rStyle w:val="Refdenotaalpie"/>
          <w:rFonts w:ascii="Verdana" w:hAnsi="Verdana" w:cs="Arial"/>
          <w:color w:val="000000" w:themeColor="text1"/>
          <w:sz w:val="18"/>
          <w:szCs w:val="18"/>
        </w:rPr>
        <w:footnoteRef/>
      </w:r>
      <w:r w:rsidRPr="004F4FC4">
        <w:rPr>
          <w:rFonts w:ascii="Verdana" w:hAnsi="Verdana" w:cs="Arial"/>
          <w:color w:val="000000" w:themeColor="text1"/>
          <w:sz w:val="18"/>
          <w:szCs w:val="18"/>
        </w:rPr>
        <w:t xml:space="preserve"> CONSEJO DE ESTADO. Sección Tercera, Sentencia del 24 de julio de 2013. Exp. 25.642. C.P. Enrique Gil Botero: “Concreta o materializa los principios de planeación contractual y de trasparencia, comoquiera que su adecuada formulación permite o garantiza la selección objetiva del contratista de acuerdo con los parámetros de calificación correspondientes para cada tipo de procedimiento (v.gr. licitación pública, selección abreviada, concurso de méritos, etc.), de acuerdo con el marco establecido en la ley (art. 29 de la ley 80 de 1993, derogado por el artículo 32 de la ley 1150 de 2007, y este último, modificado por el artículo 88 de la ley 1474 de 2011 (Estatuto Anticorrupción). En esa perspectiva, el pliego de condiciones constituye la ley tanto del procedimiento administrativo de selección del contratista, como del contrato a celebrar”.</w:t>
      </w:r>
    </w:p>
    <w:p w14:paraId="0369A1A3" w14:textId="77777777" w:rsidR="006D7B6F" w:rsidRPr="004F4FC4" w:rsidRDefault="006D7B6F" w:rsidP="00035DC9">
      <w:pPr>
        <w:pStyle w:val="Textonotapie"/>
        <w:ind w:firstLine="709"/>
        <w:jc w:val="both"/>
        <w:rPr>
          <w:rFonts w:ascii="Verdana" w:hAnsi="Verdana" w:cs="Arial"/>
          <w:color w:val="000000" w:themeColor="text1"/>
          <w:sz w:val="18"/>
          <w:szCs w:val="18"/>
          <w:lang w:val="es-ES"/>
        </w:rPr>
      </w:pPr>
    </w:p>
  </w:footnote>
  <w:footnote w:id="10">
    <w:p w14:paraId="066A9F91" w14:textId="77777777" w:rsidR="006D7B6F" w:rsidRPr="004F4FC4" w:rsidRDefault="006D7B6F" w:rsidP="00035DC9">
      <w:pPr>
        <w:pStyle w:val="Textonotapie"/>
        <w:ind w:firstLine="709"/>
        <w:jc w:val="both"/>
        <w:rPr>
          <w:rFonts w:ascii="Verdana" w:hAnsi="Verdana" w:cs="Arial"/>
          <w:color w:val="000000" w:themeColor="text1"/>
          <w:sz w:val="18"/>
          <w:szCs w:val="18"/>
        </w:rPr>
      </w:pPr>
      <w:r w:rsidRPr="004F4FC4">
        <w:rPr>
          <w:rStyle w:val="Refdenotaalpie"/>
          <w:rFonts w:ascii="Verdana" w:hAnsi="Verdana" w:cs="Arial"/>
          <w:color w:val="000000" w:themeColor="text1"/>
          <w:sz w:val="18"/>
          <w:szCs w:val="18"/>
        </w:rPr>
        <w:footnoteRef/>
      </w:r>
      <w:r w:rsidRPr="004F4FC4">
        <w:rPr>
          <w:rFonts w:ascii="Verdana" w:hAnsi="Verdana" w:cs="Arial"/>
          <w:color w:val="000000" w:themeColor="text1"/>
          <w:sz w:val="18"/>
          <w:szCs w:val="18"/>
        </w:rPr>
        <w:t xml:space="preserve"> Decreto 1082 de 2015: “Artículo 2.2.1.1.2.1.3. Pliegos de condiciones. Los pliegos de condiciones deben contener por lo menos la siguiente información:</w:t>
      </w:r>
    </w:p>
    <w:p w14:paraId="43783DBD" w14:textId="77777777" w:rsidR="006D7B6F" w:rsidRPr="004F4FC4" w:rsidRDefault="006D7B6F" w:rsidP="00035DC9">
      <w:pPr>
        <w:pStyle w:val="Textonotapie"/>
        <w:ind w:firstLine="709"/>
        <w:jc w:val="both"/>
        <w:rPr>
          <w:rFonts w:ascii="Verdana" w:hAnsi="Verdana" w:cs="Arial"/>
          <w:color w:val="000000" w:themeColor="text1"/>
          <w:sz w:val="18"/>
          <w:szCs w:val="18"/>
        </w:rPr>
      </w:pPr>
      <w:r w:rsidRPr="004F4FC4">
        <w:rPr>
          <w:rFonts w:ascii="Verdana" w:hAnsi="Verdana" w:cs="Arial"/>
          <w:color w:val="000000" w:themeColor="text1"/>
          <w:sz w:val="18"/>
          <w:szCs w:val="18"/>
        </w:rPr>
        <w:t>1. La descripción técnica, detallada y completa del bien o servicio objeto del contrato, identificado con el cuarto nivel del Clasificador de Bienes y Servicios, de ser posible o de lo contrario con el tercer nivel del mismo.</w:t>
      </w:r>
    </w:p>
    <w:p w14:paraId="76E5611C" w14:textId="77777777" w:rsidR="006D7B6F" w:rsidRPr="004F4FC4" w:rsidRDefault="006D7B6F" w:rsidP="00035DC9">
      <w:pPr>
        <w:pStyle w:val="Textonotapie"/>
        <w:ind w:firstLine="709"/>
        <w:jc w:val="both"/>
        <w:rPr>
          <w:rFonts w:ascii="Verdana" w:hAnsi="Verdana" w:cs="Arial"/>
          <w:color w:val="000000" w:themeColor="text1"/>
          <w:sz w:val="18"/>
          <w:szCs w:val="18"/>
        </w:rPr>
      </w:pPr>
      <w:r w:rsidRPr="004F4FC4">
        <w:rPr>
          <w:rFonts w:ascii="Verdana" w:hAnsi="Verdana" w:cs="Arial"/>
          <w:color w:val="000000" w:themeColor="text1"/>
          <w:sz w:val="18"/>
          <w:szCs w:val="18"/>
        </w:rPr>
        <w:t>2. La modalidad del proceso de selección y su justificación.</w:t>
      </w:r>
    </w:p>
    <w:p w14:paraId="58CB6D20" w14:textId="77777777" w:rsidR="006D7B6F" w:rsidRPr="004F4FC4" w:rsidRDefault="006D7B6F" w:rsidP="006D7B6F">
      <w:pPr>
        <w:pStyle w:val="Textonotapie"/>
        <w:ind w:firstLine="709"/>
        <w:jc w:val="both"/>
        <w:rPr>
          <w:rFonts w:ascii="Verdana" w:hAnsi="Verdana" w:cs="Arial"/>
          <w:color w:val="000000" w:themeColor="text1"/>
          <w:sz w:val="18"/>
          <w:szCs w:val="18"/>
        </w:rPr>
      </w:pPr>
      <w:r w:rsidRPr="004F4FC4">
        <w:rPr>
          <w:rFonts w:ascii="Verdana" w:hAnsi="Verdana" w:cs="Arial"/>
          <w:color w:val="000000" w:themeColor="text1"/>
          <w:sz w:val="18"/>
          <w:szCs w:val="18"/>
        </w:rPr>
        <w:t>3. Los criterios de selección, incluyendo los factores de desempate y los incentivos cuando a ello haya lugar.</w:t>
      </w:r>
    </w:p>
    <w:p w14:paraId="0F264B81" w14:textId="77777777" w:rsidR="006D7B6F" w:rsidRPr="004F4FC4" w:rsidRDefault="006D7B6F" w:rsidP="006D7B6F">
      <w:pPr>
        <w:pStyle w:val="Textonotapie"/>
        <w:ind w:firstLine="708"/>
        <w:jc w:val="both"/>
        <w:rPr>
          <w:rFonts w:ascii="Verdana" w:hAnsi="Verdana" w:cs="Arial"/>
          <w:color w:val="000000" w:themeColor="text1"/>
          <w:sz w:val="18"/>
          <w:szCs w:val="18"/>
        </w:rPr>
      </w:pPr>
      <w:r w:rsidRPr="004F4FC4">
        <w:rPr>
          <w:rFonts w:ascii="Verdana" w:hAnsi="Verdana" w:cs="Arial"/>
          <w:color w:val="000000" w:themeColor="text1"/>
          <w:sz w:val="18"/>
          <w:szCs w:val="18"/>
        </w:rPr>
        <w:t>4. Las condiciones de costo y/o calidad que la Entidad Estatal debe tener en cuenta para la selección objetiva, de acuerdo con la modalidad de selección del contratista.</w:t>
      </w:r>
    </w:p>
    <w:p w14:paraId="4B2B5666" w14:textId="77777777" w:rsidR="006D7B6F" w:rsidRPr="004F4FC4" w:rsidRDefault="006D7B6F" w:rsidP="006D7B6F">
      <w:pPr>
        <w:pStyle w:val="Textonotapie"/>
        <w:ind w:firstLine="708"/>
        <w:jc w:val="both"/>
        <w:rPr>
          <w:rFonts w:ascii="Verdana" w:hAnsi="Verdana" w:cs="Arial"/>
          <w:color w:val="000000" w:themeColor="text1"/>
          <w:sz w:val="18"/>
          <w:szCs w:val="18"/>
        </w:rPr>
      </w:pPr>
      <w:r w:rsidRPr="004F4FC4">
        <w:rPr>
          <w:rFonts w:ascii="Verdana" w:hAnsi="Verdana" w:cs="Arial"/>
          <w:color w:val="000000" w:themeColor="text1"/>
          <w:sz w:val="18"/>
          <w:szCs w:val="18"/>
        </w:rPr>
        <w:t>5.    Las reglas aplicables a la presentación de las ofertas, su evaluación y a la adjudicación del contrato.</w:t>
      </w:r>
    </w:p>
    <w:p w14:paraId="589E6C48" w14:textId="77777777" w:rsidR="006D7B6F" w:rsidRPr="004F4FC4" w:rsidRDefault="006D7B6F" w:rsidP="006D7B6F">
      <w:pPr>
        <w:pStyle w:val="Textonotapie"/>
        <w:ind w:firstLine="708"/>
        <w:jc w:val="both"/>
        <w:rPr>
          <w:rFonts w:ascii="Verdana" w:hAnsi="Verdana" w:cs="Arial"/>
          <w:color w:val="000000" w:themeColor="text1"/>
          <w:sz w:val="18"/>
          <w:szCs w:val="18"/>
        </w:rPr>
      </w:pPr>
      <w:r w:rsidRPr="004F4FC4">
        <w:rPr>
          <w:rFonts w:ascii="Verdana" w:hAnsi="Verdana" w:cs="Arial"/>
          <w:color w:val="000000" w:themeColor="text1"/>
          <w:sz w:val="18"/>
          <w:szCs w:val="18"/>
        </w:rPr>
        <w:t>6. Las causas que dan lugar a rechazar una oferta.</w:t>
      </w:r>
    </w:p>
    <w:p w14:paraId="50ACEF34" w14:textId="77777777" w:rsidR="006D7B6F" w:rsidRPr="004F4FC4" w:rsidRDefault="006D7B6F" w:rsidP="006D7B6F">
      <w:pPr>
        <w:pStyle w:val="Textonotapie"/>
        <w:ind w:firstLine="708"/>
        <w:jc w:val="both"/>
        <w:rPr>
          <w:rFonts w:ascii="Verdana" w:hAnsi="Verdana" w:cs="Arial"/>
          <w:color w:val="000000" w:themeColor="text1"/>
          <w:sz w:val="18"/>
          <w:szCs w:val="18"/>
        </w:rPr>
      </w:pPr>
      <w:r w:rsidRPr="004F4FC4">
        <w:rPr>
          <w:rFonts w:ascii="Verdana" w:hAnsi="Verdana" w:cs="Arial"/>
          <w:color w:val="000000" w:themeColor="text1"/>
          <w:sz w:val="18"/>
          <w:szCs w:val="18"/>
        </w:rPr>
        <w:t>7. El valor del contrato, el plazo, el cronograma de pagos y la determinación de si debe haber lugar a la entrega de anticipo, y si hubiere, indicar su valor, el cual debe tener en cuenta los rendimientos que este pueda generar.</w:t>
      </w:r>
    </w:p>
    <w:p w14:paraId="1561910F" w14:textId="77777777" w:rsidR="006D7B6F" w:rsidRPr="004F4FC4" w:rsidRDefault="006D7B6F" w:rsidP="006D7B6F">
      <w:pPr>
        <w:pStyle w:val="Textonotapie"/>
        <w:ind w:firstLine="708"/>
        <w:jc w:val="both"/>
        <w:rPr>
          <w:rFonts w:ascii="Verdana" w:hAnsi="Verdana" w:cs="Arial"/>
          <w:color w:val="000000" w:themeColor="text1"/>
          <w:sz w:val="18"/>
          <w:szCs w:val="18"/>
        </w:rPr>
      </w:pPr>
      <w:r w:rsidRPr="004F4FC4">
        <w:rPr>
          <w:rFonts w:ascii="Verdana" w:hAnsi="Verdana" w:cs="Arial"/>
          <w:color w:val="000000" w:themeColor="text1"/>
          <w:sz w:val="18"/>
          <w:szCs w:val="18"/>
        </w:rPr>
        <w:t>8. Los Riesgos asociados al contrato, la forma de mitigarlos y la asignación del Riesgo entre las partes contratantes.</w:t>
      </w:r>
    </w:p>
    <w:p w14:paraId="5B06A6E4" w14:textId="77777777" w:rsidR="006D7B6F" w:rsidRPr="004F4FC4" w:rsidRDefault="006D7B6F" w:rsidP="006D7B6F">
      <w:pPr>
        <w:pStyle w:val="Textonotapie"/>
        <w:ind w:firstLine="708"/>
        <w:jc w:val="both"/>
        <w:rPr>
          <w:rFonts w:ascii="Verdana" w:hAnsi="Verdana" w:cs="Arial"/>
          <w:color w:val="000000" w:themeColor="text1"/>
          <w:sz w:val="18"/>
          <w:szCs w:val="18"/>
        </w:rPr>
      </w:pPr>
      <w:r w:rsidRPr="004F4FC4">
        <w:rPr>
          <w:rFonts w:ascii="Verdana" w:hAnsi="Verdana" w:cs="Arial"/>
          <w:color w:val="000000" w:themeColor="text1"/>
          <w:sz w:val="18"/>
          <w:szCs w:val="18"/>
        </w:rPr>
        <w:t>9. Las garantías exigidas en el Proceso de Contratación y sus condiciones.</w:t>
      </w:r>
    </w:p>
    <w:p w14:paraId="293D6CBE" w14:textId="77777777" w:rsidR="006D7B6F" w:rsidRPr="004F4FC4" w:rsidRDefault="006D7B6F" w:rsidP="006D7B6F">
      <w:pPr>
        <w:pStyle w:val="Textonotapie"/>
        <w:ind w:firstLine="708"/>
        <w:jc w:val="both"/>
        <w:rPr>
          <w:rFonts w:ascii="Verdana" w:hAnsi="Verdana" w:cs="Arial"/>
          <w:color w:val="000000" w:themeColor="text1"/>
          <w:sz w:val="18"/>
          <w:szCs w:val="18"/>
        </w:rPr>
      </w:pPr>
      <w:r w:rsidRPr="004F4FC4">
        <w:rPr>
          <w:rFonts w:ascii="Verdana" w:hAnsi="Verdana" w:cs="Arial"/>
          <w:color w:val="000000" w:themeColor="text1"/>
          <w:sz w:val="18"/>
          <w:szCs w:val="18"/>
        </w:rPr>
        <w:t>10. La mención de si la Entidad Estatal y el contrato objeto de los pliegos de condiciones están cubiertos por un Acuerdo Comercial.</w:t>
      </w:r>
    </w:p>
    <w:p w14:paraId="34818ECA" w14:textId="77777777" w:rsidR="006D7B6F" w:rsidRPr="004F4FC4" w:rsidRDefault="006D7B6F" w:rsidP="006D7B6F">
      <w:pPr>
        <w:pStyle w:val="Textonotapie"/>
        <w:ind w:firstLine="708"/>
        <w:jc w:val="both"/>
        <w:rPr>
          <w:rFonts w:ascii="Verdana" w:hAnsi="Verdana" w:cs="Arial"/>
          <w:color w:val="000000" w:themeColor="text1"/>
          <w:sz w:val="18"/>
          <w:szCs w:val="18"/>
        </w:rPr>
      </w:pPr>
      <w:r w:rsidRPr="004F4FC4">
        <w:rPr>
          <w:rFonts w:ascii="Verdana" w:hAnsi="Verdana" w:cs="Arial"/>
          <w:color w:val="000000" w:themeColor="text1"/>
          <w:sz w:val="18"/>
          <w:szCs w:val="18"/>
        </w:rPr>
        <w:t>11. Los términos, condiciones y minuta del contrato.</w:t>
      </w:r>
    </w:p>
    <w:p w14:paraId="694FA616" w14:textId="77777777" w:rsidR="006D7B6F" w:rsidRPr="004F4FC4" w:rsidRDefault="006D7B6F" w:rsidP="006D7B6F">
      <w:pPr>
        <w:pStyle w:val="Textonotapie"/>
        <w:ind w:firstLine="708"/>
        <w:jc w:val="both"/>
        <w:rPr>
          <w:rFonts w:ascii="Verdana" w:hAnsi="Verdana" w:cs="Arial"/>
          <w:color w:val="000000" w:themeColor="text1"/>
          <w:sz w:val="18"/>
          <w:szCs w:val="18"/>
        </w:rPr>
      </w:pPr>
      <w:r w:rsidRPr="004F4FC4">
        <w:rPr>
          <w:rFonts w:ascii="Verdana" w:hAnsi="Verdana" w:cs="Arial"/>
          <w:color w:val="000000" w:themeColor="text1"/>
          <w:sz w:val="18"/>
          <w:szCs w:val="18"/>
        </w:rPr>
        <w:t>12. Los términos de la supervisión y/o de la interventoría del contrato.</w:t>
      </w:r>
    </w:p>
    <w:p w14:paraId="2FA37781" w14:textId="77777777" w:rsidR="006D7B6F" w:rsidRPr="004F4FC4" w:rsidRDefault="006D7B6F" w:rsidP="006D7B6F">
      <w:pPr>
        <w:pStyle w:val="Textonotapie"/>
        <w:ind w:firstLine="708"/>
        <w:jc w:val="both"/>
        <w:rPr>
          <w:rFonts w:ascii="Verdana" w:hAnsi="Verdana" w:cs="Arial"/>
          <w:color w:val="000000" w:themeColor="text1"/>
          <w:sz w:val="18"/>
          <w:szCs w:val="18"/>
        </w:rPr>
      </w:pPr>
      <w:r w:rsidRPr="004F4FC4">
        <w:rPr>
          <w:rFonts w:ascii="Verdana" w:hAnsi="Verdana" w:cs="Arial"/>
          <w:color w:val="000000" w:themeColor="text1"/>
          <w:sz w:val="18"/>
          <w:szCs w:val="18"/>
        </w:rPr>
        <w:t>13. El plazo dentro del cual la Entidad Estatal puede expedir Adendas.</w:t>
      </w:r>
    </w:p>
    <w:p w14:paraId="2D2C5DB7" w14:textId="77777777" w:rsidR="006D7B6F" w:rsidRPr="004F4FC4" w:rsidRDefault="006D7B6F" w:rsidP="006D7B6F">
      <w:pPr>
        <w:pStyle w:val="Textonotapie"/>
        <w:ind w:firstLine="708"/>
        <w:jc w:val="both"/>
        <w:rPr>
          <w:rFonts w:ascii="Verdana" w:hAnsi="Verdana" w:cs="Arial"/>
          <w:color w:val="000000" w:themeColor="text1"/>
          <w:sz w:val="18"/>
          <w:szCs w:val="18"/>
        </w:rPr>
      </w:pPr>
      <w:r w:rsidRPr="004F4FC4">
        <w:rPr>
          <w:rFonts w:ascii="Verdana" w:hAnsi="Verdana" w:cs="Arial"/>
          <w:color w:val="000000" w:themeColor="text1"/>
          <w:sz w:val="18"/>
          <w:szCs w:val="18"/>
        </w:rPr>
        <w:t>14. El Cronograma”.</w:t>
      </w:r>
    </w:p>
    <w:p w14:paraId="1A1404C2" w14:textId="77777777" w:rsidR="006D7B6F" w:rsidRPr="004F4FC4" w:rsidRDefault="006D7B6F" w:rsidP="006D7B6F">
      <w:pPr>
        <w:pStyle w:val="Textonotapie"/>
        <w:jc w:val="both"/>
        <w:rPr>
          <w:rFonts w:ascii="Verdana" w:hAnsi="Verdana" w:cs="Arial"/>
          <w:color w:val="000000" w:themeColor="text1"/>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2061" w:hanging="360"/>
      </w:pPr>
      <w:rPr>
        <w:b/>
        <w:color w:val="000000" w:themeColor="text1"/>
      </w:rPr>
    </w:lvl>
    <w:lvl w:ilvl="1">
      <w:start w:val="2"/>
      <w:numFmt w:val="decimal"/>
      <w:isLgl/>
      <w:lvlText w:val="%1.%2"/>
      <w:lvlJc w:val="left"/>
      <w:pPr>
        <w:ind w:left="1701" w:hanging="360"/>
      </w:pPr>
    </w:lvl>
    <w:lvl w:ilvl="2">
      <w:start w:val="1"/>
      <w:numFmt w:val="decimal"/>
      <w:isLgl/>
      <w:lvlText w:val="%1.%2.%3"/>
      <w:lvlJc w:val="left"/>
      <w:pPr>
        <w:ind w:left="2421" w:hanging="720"/>
      </w:pPr>
    </w:lvl>
    <w:lvl w:ilvl="3">
      <w:start w:val="1"/>
      <w:numFmt w:val="decimal"/>
      <w:isLgl/>
      <w:lvlText w:val="%1.%2.%3.%4"/>
      <w:lvlJc w:val="left"/>
      <w:pPr>
        <w:ind w:left="2421" w:hanging="720"/>
      </w:pPr>
    </w:lvl>
    <w:lvl w:ilvl="4">
      <w:start w:val="1"/>
      <w:numFmt w:val="decimal"/>
      <w:isLgl/>
      <w:lvlText w:val="%1.%2.%3.%4.%5"/>
      <w:lvlJc w:val="left"/>
      <w:pPr>
        <w:ind w:left="2781" w:hanging="1080"/>
      </w:pPr>
    </w:lvl>
    <w:lvl w:ilvl="5">
      <w:start w:val="1"/>
      <w:numFmt w:val="decimal"/>
      <w:isLgl/>
      <w:lvlText w:val="%1.%2.%3.%4.%5.%6"/>
      <w:lvlJc w:val="left"/>
      <w:pPr>
        <w:ind w:left="2781" w:hanging="1080"/>
      </w:pPr>
    </w:lvl>
    <w:lvl w:ilvl="6">
      <w:start w:val="1"/>
      <w:numFmt w:val="decimal"/>
      <w:isLgl/>
      <w:lvlText w:val="%1.%2.%3.%4.%5.%6.%7"/>
      <w:lvlJc w:val="left"/>
      <w:pPr>
        <w:ind w:left="3141" w:hanging="1440"/>
      </w:pPr>
    </w:lvl>
    <w:lvl w:ilvl="7">
      <w:start w:val="1"/>
      <w:numFmt w:val="decimal"/>
      <w:isLgl/>
      <w:lvlText w:val="%1.%2.%3.%4.%5.%6.%7.%8"/>
      <w:lvlJc w:val="left"/>
      <w:pPr>
        <w:ind w:left="3141" w:hanging="1440"/>
      </w:pPr>
    </w:lvl>
    <w:lvl w:ilvl="8">
      <w:start w:val="1"/>
      <w:numFmt w:val="decimal"/>
      <w:isLgl/>
      <w:lvlText w:val="%1.%2.%3.%4.%5.%6.%7.%8.%9"/>
      <w:lvlJc w:val="left"/>
      <w:pPr>
        <w:ind w:left="350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AA7326E"/>
    <w:multiLevelType w:val="multilevel"/>
    <w:tmpl w:val="5CE2D418"/>
    <w:lvl w:ilvl="0">
      <w:start w:val="1"/>
      <w:numFmt w:val="decimal"/>
      <w:lvlText w:val="%1."/>
      <w:lvlJc w:val="left"/>
      <w:pPr>
        <w:ind w:left="480" w:hanging="360"/>
      </w:pPr>
      <w:rPr>
        <w:rFonts w:ascii="Arial" w:eastAsia="Arial" w:hAnsi="Arial" w:cs="Arial" w:hint="default"/>
        <w:b/>
        <w:bCs/>
        <w:color w:val="4E4D4D"/>
        <w:spacing w:val="-8"/>
        <w:w w:val="100"/>
        <w:sz w:val="22"/>
        <w:szCs w:val="22"/>
        <w:lang w:val="es-ES" w:eastAsia="en-US" w:bidi="ar-SA"/>
      </w:rPr>
    </w:lvl>
    <w:lvl w:ilvl="1">
      <w:start w:val="1"/>
      <w:numFmt w:val="decimal"/>
      <w:lvlText w:val="%1.%2"/>
      <w:lvlJc w:val="left"/>
      <w:pPr>
        <w:ind w:left="688" w:hanging="578"/>
      </w:pPr>
      <w:rPr>
        <w:rFonts w:ascii="Arial" w:eastAsia="Arial" w:hAnsi="Arial" w:cs="Arial" w:hint="default"/>
        <w:b/>
        <w:bCs/>
        <w:color w:val="4E4D4D"/>
        <w:spacing w:val="-3"/>
        <w:w w:val="100"/>
        <w:sz w:val="22"/>
        <w:szCs w:val="22"/>
        <w:lang w:val="es-ES" w:eastAsia="en-US" w:bidi="ar-SA"/>
      </w:rPr>
    </w:lvl>
    <w:lvl w:ilvl="2">
      <w:start w:val="1"/>
      <w:numFmt w:val="lowerLetter"/>
      <w:lvlText w:val="%3)"/>
      <w:lvlJc w:val="left"/>
      <w:pPr>
        <w:ind w:left="800" w:hanging="325"/>
      </w:pPr>
      <w:rPr>
        <w:rFonts w:ascii="Arial" w:eastAsia="Arial" w:hAnsi="Arial" w:cs="Arial" w:hint="default"/>
        <w:color w:val="000000" w:themeColor="text1"/>
        <w:spacing w:val="-3"/>
        <w:w w:val="100"/>
        <w:sz w:val="22"/>
        <w:szCs w:val="22"/>
        <w:lang w:val="es-ES" w:eastAsia="en-US" w:bidi="ar-SA"/>
      </w:rPr>
    </w:lvl>
    <w:lvl w:ilvl="3">
      <w:numFmt w:val="bullet"/>
      <w:lvlText w:val="•"/>
      <w:lvlJc w:val="left"/>
      <w:pPr>
        <w:ind w:left="1845" w:hanging="325"/>
      </w:pPr>
      <w:rPr>
        <w:rFonts w:hint="default"/>
        <w:lang w:val="es-ES" w:eastAsia="en-US" w:bidi="ar-SA"/>
      </w:rPr>
    </w:lvl>
    <w:lvl w:ilvl="4">
      <w:numFmt w:val="bullet"/>
      <w:lvlText w:val="•"/>
      <w:lvlJc w:val="left"/>
      <w:pPr>
        <w:ind w:left="2890" w:hanging="325"/>
      </w:pPr>
      <w:rPr>
        <w:rFonts w:hint="default"/>
        <w:lang w:val="es-ES" w:eastAsia="en-US" w:bidi="ar-SA"/>
      </w:rPr>
    </w:lvl>
    <w:lvl w:ilvl="5">
      <w:numFmt w:val="bullet"/>
      <w:lvlText w:val="•"/>
      <w:lvlJc w:val="left"/>
      <w:pPr>
        <w:ind w:left="3935" w:hanging="325"/>
      </w:pPr>
      <w:rPr>
        <w:rFonts w:hint="default"/>
        <w:lang w:val="es-ES" w:eastAsia="en-US" w:bidi="ar-SA"/>
      </w:rPr>
    </w:lvl>
    <w:lvl w:ilvl="6">
      <w:numFmt w:val="bullet"/>
      <w:lvlText w:val="•"/>
      <w:lvlJc w:val="left"/>
      <w:pPr>
        <w:ind w:left="4980" w:hanging="325"/>
      </w:pPr>
      <w:rPr>
        <w:rFonts w:hint="default"/>
        <w:lang w:val="es-ES" w:eastAsia="en-US" w:bidi="ar-SA"/>
      </w:rPr>
    </w:lvl>
    <w:lvl w:ilvl="7">
      <w:numFmt w:val="bullet"/>
      <w:lvlText w:val="•"/>
      <w:lvlJc w:val="left"/>
      <w:pPr>
        <w:ind w:left="6025" w:hanging="325"/>
      </w:pPr>
      <w:rPr>
        <w:rFonts w:hint="default"/>
        <w:lang w:val="es-ES" w:eastAsia="en-US" w:bidi="ar-SA"/>
      </w:rPr>
    </w:lvl>
    <w:lvl w:ilvl="8">
      <w:numFmt w:val="bullet"/>
      <w:lvlText w:val="•"/>
      <w:lvlJc w:val="left"/>
      <w:pPr>
        <w:ind w:left="7070" w:hanging="325"/>
      </w:pPr>
      <w:rPr>
        <w:rFonts w:hint="default"/>
        <w:lang w:val="es-ES" w:eastAsia="en-US" w:bidi="ar-SA"/>
      </w:rPr>
    </w:lvl>
  </w:abstractNum>
  <w:abstractNum w:abstractNumId="11" w15:restartNumberingAfterBreak="0">
    <w:nsid w:val="53244075"/>
    <w:multiLevelType w:val="hybridMultilevel"/>
    <w:tmpl w:val="8440F34C"/>
    <w:lvl w:ilvl="0" w:tplc="40685C34">
      <w:start w:val="4"/>
      <w:numFmt w:val="decimal"/>
      <w:lvlText w:val="%1."/>
      <w:lvlJc w:val="left"/>
      <w:pPr>
        <w:ind w:left="502" w:hanging="360"/>
      </w:pPr>
      <w:rPr>
        <w:rFonts w:hint="default"/>
        <w:lang w:val="es-CO"/>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5"/>
  </w:num>
  <w:num w:numId="7" w16cid:durableId="1946422806">
    <w:abstractNumId w:val="5"/>
  </w:num>
  <w:num w:numId="8" w16cid:durableId="152644682">
    <w:abstractNumId w:val="14"/>
  </w:num>
  <w:num w:numId="9" w16cid:durableId="1317221377">
    <w:abstractNumId w:val="7"/>
  </w:num>
  <w:num w:numId="10" w16cid:durableId="1471245386">
    <w:abstractNumId w:val="13"/>
  </w:num>
  <w:num w:numId="11" w16cid:durableId="289172385">
    <w:abstractNumId w:val="8"/>
  </w:num>
  <w:num w:numId="12" w16cid:durableId="1470781324">
    <w:abstractNumId w:val="1"/>
  </w:num>
  <w:num w:numId="13" w16cid:durableId="1512908409">
    <w:abstractNumId w:val="3"/>
  </w:num>
  <w:num w:numId="14" w16cid:durableId="895897244">
    <w:abstractNumId w:val="16"/>
  </w:num>
  <w:num w:numId="15" w16cid:durableId="390349800">
    <w:abstractNumId w:val="12"/>
  </w:num>
  <w:num w:numId="16" w16cid:durableId="1489201040">
    <w:abstractNumId w:val="0"/>
  </w:num>
  <w:num w:numId="17" w16cid:durableId="1355153779">
    <w:abstractNumId w:val="10"/>
  </w:num>
  <w:num w:numId="18" w16cid:durableId="1542086715">
    <w:abstractNumId w:val="9"/>
  </w:num>
  <w:num w:numId="19" w16cid:durableId="17234823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7B66"/>
    <w:rsid w:val="00016F78"/>
    <w:rsid w:val="00035DC9"/>
    <w:rsid w:val="00046945"/>
    <w:rsid w:val="00061B2A"/>
    <w:rsid w:val="00082362"/>
    <w:rsid w:val="00093913"/>
    <w:rsid w:val="000A683E"/>
    <w:rsid w:val="000B19B9"/>
    <w:rsid w:val="000C15FF"/>
    <w:rsid w:val="000D0334"/>
    <w:rsid w:val="000D5DA7"/>
    <w:rsid w:val="000F6486"/>
    <w:rsid w:val="000F70C6"/>
    <w:rsid w:val="0011062D"/>
    <w:rsid w:val="00116940"/>
    <w:rsid w:val="00117B0C"/>
    <w:rsid w:val="00125105"/>
    <w:rsid w:val="00127233"/>
    <w:rsid w:val="00140E58"/>
    <w:rsid w:val="001436C5"/>
    <w:rsid w:val="001512B2"/>
    <w:rsid w:val="0015161D"/>
    <w:rsid w:val="0015699B"/>
    <w:rsid w:val="00186914"/>
    <w:rsid w:val="00191BAE"/>
    <w:rsid w:val="001A33BF"/>
    <w:rsid w:val="001B0991"/>
    <w:rsid w:val="001E20B9"/>
    <w:rsid w:val="001E4177"/>
    <w:rsid w:val="001F0B24"/>
    <w:rsid w:val="001F7DC6"/>
    <w:rsid w:val="00212FB6"/>
    <w:rsid w:val="0022400B"/>
    <w:rsid w:val="002421BB"/>
    <w:rsid w:val="0025796E"/>
    <w:rsid w:val="002707A2"/>
    <w:rsid w:val="00281981"/>
    <w:rsid w:val="00285E4D"/>
    <w:rsid w:val="002951A0"/>
    <w:rsid w:val="002962BC"/>
    <w:rsid w:val="002A093D"/>
    <w:rsid w:val="002A0DD0"/>
    <w:rsid w:val="002A3043"/>
    <w:rsid w:val="002A49AC"/>
    <w:rsid w:val="002A64FD"/>
    <w:rsid w:val="002B4A00"/>
    <w:rsid w:val="002C7A84"/>
    <w:rsid w:val="002E2BF8"/>
    <w:rsid w:val="002E4FD9"/>
    <w:rsid w:val="002E7BC7"/>
    <w:rsid w:val="002F520F"/>
    <w:rsid w:val="00300E1A"/>
    <w:rsid w:val="0030657A"/>
    <w:rsid w:val="00322A85"/>
    <w:rsid w:val="00324168"/>
    <w:rsid w:val="003265A9"/>
    <w:rsid w:val="00330834"/>
    <w:rsid w:val="003448F4"/>
    <w:rsid w:val="0034629C"/>
    <w:rsid w:val="003511F9"/>
    <w:rsid w:val="00352728"/>
    <w:rsid w:val="00362804"/>
    <w:rsid w:val="00370228"/>
    <w:rsid w:val="00374F5E"/>
    <w:rsid w:val="00377E3E"/>
    <w:rsid w:val="00382834"/>
    <w:rsid w:val="003A779E"/>
    <w:rsid w:val="003D0F4D"/>
    <w:rsid w:val="003D50BE"/>
    <w:rsid w:val="003D5B0D"/>
    <w:rsid w:val="003D76D0"/>
    <w:rsid w:val="003E0499"/>
    <w:rsid w:val="003E4F80"/>
    <w:rsid w:val="003E568C"/>
    <w:rsid w:val="003E6439"/>
    <w:rsid w:val="003F3941"/>
    <w:rsid w:val="003F4CAF"/>
    <w:rsid w:val="00404039"/>
    <w:rsid w:val="00406575"/>
    <w:rsid w:val="00414C74"/>
    <w:rsid w:val="0042722E"/>
    <w:rsid w:val="00427C15"/>
    <w:rsid w:val="0044528D"/>
    <w:rsid w:val="00466E39"/>
    <w:rsid w:val="00472C2E"/>
    <w:rsid w:val="00475C50"/>
    <w:rsid w:val="00490EE6"/>
    <w:rsid w:val="00493979"/>
    <w:rsid w:val="00496976"/>
    <w:rsid w:val="004A1847"/>
    <w:rsid w:val="004A305D"/>
    <w:rsid w:val="004D0D7B"/>
    <w:rsid w:val="004D32C3"/>
    <w:rsid w:val="004D5C64"/>
    <w:rsid w:val="004E6C03"/>
    <w:rsid w:val="004F21C4"/>
    <w:rsid w:val="004F4FC4"/>
    <w:rsid w:val="004F685F"/>
    <w:rsid w:val="00501620"/>
    <w:rsid w:val="005566E8"/>
    <w:rsid w:val="00574867"/>
    <w:rsid w:val="00591460"/>
    <w:rsid w:val="005A65E0"/>
    <w:rsid w:val="005C3777"/>
    <w:rsid w:val="005C5CDC"/>
    <w:rsid w:val="005D09DB"/>
    <w:rsid w:val="005D476C"/>
    <w:rsid w:val="006200BF"/>
    <w:rsid w:val="006219F8"/>
    <w:rsid w:val="006302F7"/>
    <w:rsid w:val="006320B9"/>
    <w:rsid w:val="00646B9F"/>
    <w:rsid w:val="00656757"/>
    <w:rsid w:val="00665D70"/>
    <w:rsid w:val="006900D9"/>
    <w:rsid w:val="0069084E"/>
    <w:rsid w:val="006D1C63"/>
    <w:rsid w:val="006D7B6F"/>
    <w:rsid w:val="006E4F34"/>
    <w:rsid w:val="006F78C2"/>
    <w:rsid w:val="00706C16"/>
    <w:rsid w:val="00707F98"/>
    <w:rsid w:val="007340C3"/>
    <w:rsid w:val="0075235A"/>
    <w:rsid w:val="00756841"/>
    <w:rsid w:val="007649AB"/>
    <w:rsid w:val="00771D0C"/>
    <w:rsid w:val="00775140"/>
    <w:rsid w:val="00780368"/>
    <w:rsid w:val="007833AC"/>
    <w:rsid w:val="007A57F2"/>
    <w:rsid w:val="007B268C"/>
    <w:rsid w:val="007B7171"/>
    <w:rsid w:val="007C0C0F"/>
    <w:rsid w:val="007C3DC2"/>
    <w:rsid w:val="007E5497"/>
    <w:rsid w:val="007E73DF"/>
    <w:rsid w:val="007F585F"/>
    <w:rsid w:val="00806F5F"/>
    <w:rsid w:val="0081320B"/>
    <w:rsid w:val="00820278"/>
    <w:rsid w:val="00821CD1"/>
    <w:rsid w:val="0082337A"/>
    <w:rsid w:val="008258C9"/>
    <w:rsid w:val="00844AE9"/>
    <w:rsid w:val="00867F95"/>
    <w:rsid w:val="0088185A"/>
    <w:rsid w:val="008843B6"/>
    <w:rsid w:val="0088528B"/>
    <w:rsid w:val="00891928"/>
    <w:rsid w:val="008A36CD"/>
    <w:rsid w:val="008A446D"/>
    <w:rsid w:val="008B066D"/>
    <w:rsid w:val="008B25F1"/>
    <w:rsid w:val="008B33E7"/>
    <w:rsid w:val="008D128C"/>
    <w:rsid w:val="008D180B"/>
    <w:rsid w:val="008E3E02"/>
    <w:rsid w:val="008F0EA7"/>
    <w:rsid w:val="008F63DF"/>
    <w:rsid w:val="00903C1D"/>
    <w:rsid w:val="00907AEC"/>
    <w:rsid w:val="00914AB7"/>
    <w:rsid w:val="00921894"/>
    <w:rsid w:val="00923EEF"/>
    <w:rsid w:val="00940AEB"/>
    <w:rsid w:val="009419F9"/>
    <w:rsid w:val="009510E4"/>
    <w:rsid w:val="0095685E"/>
    <w:rsid w:val="00961B09"/>
    <w:rsid w:val="00965334"/>
    <w:rsid w:val="00966498"/>
    <w:rsid w:val="0096774C"/>
    <w:rsid w:val="0097093E"/>
    <w:rsid w:val="009769AD"/>
    <w:rsid w:val="009A0DFA"/>
    <w:rsid w:val="009A1C6F"/>
    <w:rsid w:val="009A3986"/>
    <w:rsid w:val="009B2D26"/>
    <w:rsid w:val="009C71FA"/>
    <w:rsid w:val="009C72E7"/>
    <w:rsid w:val="009C7AEE"/>
    <w:rsid w:val="009C7F7E"/>
    <w:rsid w:val="009D3058"/>
    <w:rsid w:val="009D5DEF"/>
    <w:rsid w:val="009F3A13"/>
    <w:rsid w:val="00A06A02"/>
    <w:rsid w:val="00A122D3"/>
    <w:rsid w:val="00A14468"/>
    <w:rsid w:val="00A17F13"/>
    <w:rsid w:val="00A20739"/>
    <w:rsid w:val="00A23AF9"/>
    <w:rsid w:val="00A33C78"/>
    <w:rsid w:val="00A4537F"/>
    <w:rsid w:val="00A6447C"/>
    <w:rsid w:val="00AA07C0"/>
    <w:rsid w:val="00AB0ADB"/>
    <w:rsid w:val="00AB67AE"/>
    <w:rsid w:val="00AC08F6"/>
    <w:rsid w:val="00AC22A7"/>
    <w:rsid w:val="00AC3713"/>
    <w:rsid w:val="00AE00BE"/>
    <w:rsid w:val="00AE795E"/>
    <w:rsid w:val="00B00C0E"/>
    <w:rsid w:val="00B01B1A"/>
    <w:rsid w:val="00B02D4D"/>
    <w:rsid w:val="00B0381D"/>
    <w:rsid w:val="00B042E9"/>
    <w:rsid w:val="00B34758"/>
    <w:rsid w:val="00B34B23"/>
    <w:rsid w:val="00B438B6"/>
    <w:rsid w:val="00B44A47"/>
    <w:rsid w:val="00B47BA5"/>
    <w:rsid w:val="00B57AE3"/>
    <w:rsid w:val="00B676F2"/>
    <w:rsid w:val="00B72CD3"/>
    <w:rsid w:val="00B72FFF"/>
    <w:rsid w:val="00B82DAF"/>
    <w:rsid w:val="00BA4B9A"/>
    <w:rsid w:val="00BA500D"/>
    <w:rsid w:val="00BA7535"/>
    <w:rsid w:val="00BB4FB8"/>
    <w:rsid w:val="00BC3D36"/>
    <w:rsid w:val="00BD54A6"/>
    <w:rsid w:val="00BD7F72"/>
    <w:rsid w:val="00BF7425"/>
    <w:rsid w:val="00C04FB3"/>
    <w:rsid w:val="00C06F4C"/>
    <w:rsid w:val="00C11D8B"/>
    <w:rsid w:val="00C15139"/>
    <w:rsid w:val="00C24916"/>
    <w:rsid w:val="00C27545"/>
    <w:rsid w:val="00C330EB"/>
    <w:rsid w:val="00C40B1F"/>
    <w:rsid w:val="00C47274"/>
    <w:rsid w:val="00C50D69"/>
    <w:rsid w:val="00C5365C"/>
    <w:rsid w:val="00C6210F"/>
    <w:rsid w:val="00C677CB"/>
    <w:rsid w:val="00C720C8"/>
    <w:rsid w:val="00C754BE"/>
    <w:rsid w:val="00C76B1C"/>
    <w:rsid w:val="00C77CBC"/>
    <w:rsid w:val="00C83982"/>
    <w:rsid w:val="00C925AC"/>
    <w:rsid w:val="00C9533C"/>
    <w:rsid w:val="00CA6702"/>
    <w:rsid w:val="00CB0312"/>
    <w:rsid w:val="00CB6357"/>
    <w:rsid w:val="00CC1B26"/>
    <w:rsid w:val="00CC7C10"/>
    <w:rsid w:val="00CD4D1C"/>
    <w:rsid w:val="00CE0FB2"/>
    <w:rsid w:val="00D0312A"/>
    <w:rsid w:val="00D361FD"/>
    <w:rsid w:val="00D423A2"/>
    <w:rsid w:val="00D44E26"/>
    <w:rsid w:val="00D47583"/>
    <w:rsid w:val="00D520D8"/>
    <w:rsid w:val="00D63AC2"/>
    <w:rsid w:val="00D7383B"/>
    <w:rsid w:val="00D76230"/>
    <w:rsid w:val="00D7788A"/>
    <w:rsid w:val="00D85936"/>
    <w:rsid w:val="00DA0568"/>
    <w:rsid w:val="00DA231B"/>
    <w:rsid w:val="00DC39FC"/>
    <w:rsid w:val="00DF5254"/>
    <w:rsid w:val="00E02524"/>
    <w:rsid w:val="00E16408"/>
    <w:rsid w:val="00E20894"/>
    <w:rsid w:val="00E245AB"/>
    <w:rsid w:val="00E2764C"/>
    <w:rsid w:val="00E27F2E"/>
    <w:rsid w:val="00E50AFE"/>
    <w:rsid w:val="00E64728"/>
    <w:rsid w:val="00E75C92"/>
    <w:rsid w:val="00E771DC"/>
    <w:rsid w:val="00E8772A"/>
    <w:rsid w:val="00E90F6B"/>
    <w:rsid w:val="00E92C27"/>
    <w:rsid w:val="00EA0E3D"/>
    <w:rsid w:val="00EB095B"/>
    <w:rsid w:val="00EC38A7"/>
    <w:rsid w:val="00EE1AA8"/>
    <w:rsid w:val="00EE6FAA"/>
    <w:rsid w:val="00EF2AFA"/>
    <w:rsid w:val="00F051AB"/>
    <w:rsid w:val="00F05F61"/>
    <w:rsid w:val="00F23FEA"/>
    <w:rsid w:val="00F31EDC"/>
    <w:rsid w:val="00F462B3"/>
    <w:rsid w:val="00F5664F"/>
    <w:rsid w:val="00F666C4"/>
    <w:rsid w:val="00F67812"/>
    <w:rsid w:val="00F76AFC"/>
    <w:rsid w:val="00F839CF"/>
    <w:rsid w:val="00FA27A3"/>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696994FC-7E30-42DD-A55B-8BFD81749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5D09DB"/>
    <w:rPr>
      <w:rFonts w:ascii="Geomanist Light" w:hAnsi="Geomanist Light"/>
      <w:lang w:val="es-ES"/>
    </w:rPr>
  </w:style>
  <w:style w:type="paragraph" w:customStyle="1" w:styleId="Appelnotedebasde">
    <w:name w:val="Appel note de bas de..."/>
    <w:basedOn w:val="Normal"/>
    <w:link w:val="Refdenotaalpie"/>
    <w:rsid w:val="006D7B6F"/>
    <w:pPr>
      <w:spacing w:line="240" w:lineRule="exact"/>
    </w:pPr>
    <w:rPr>
      <w:vertAlign w:val="superscript"/>
    </w:rPr>
  </w:style>
  <w:style w:type="paragraph" w:styleId="Textoindependiente">
    <w:name w:val="Body Text"/>
    <w:basedOn w:val="Normal"/>
    <w:link w:val="TextoindependienteCar"/>
    <w:uiPriority w:val="99"/>
    <w:unhideWhenUsed/>
    <w:rsid w:val="006D7B6F"/>
    <w:pPr>
      <w:spacing w:after="120" w:line="276" w:lineRule="auto"/>
    </w:pPr>
    <w:rPr>
      <w:rFonts w:eastAsiaTheme="minorEastAsia"/>
      <w:lang w:eastAsia="es-CO"/>
    </w:rPr>
  </w:style>
  <w:style w:type="character" w:customStyle="1" w:styleId="TextoindependienteCar">
    <w:name w:val="Texto independiente Car"/>
    <w:basedOn w:val="Fuentedeprrafopredeter"/>
    <w:link w:val="Textoindependiente"/>
    <w:uiPriority w:val="99"/>
    <w:rsid w:val="006D7B6F"/>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anapepa@g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2C1046-FE1F-4944-B882-B360C9A3043F}"/>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4</TotalTime>
  <Pages>19</Pages>
  <Words>5921</Words>
  <Characters>32567</Characters>
  <Application>Microsoft Office Word</Application>
  <DocSecurity>0</DocSecurity>
  <Lines>271</Lines>
  <Paragraphs>76</Paragraphs>
  <ScaleCrop>false</ScaleCrop>
  <Company/>
  <LinksUpToDate>false</LinksUpToDate>
  <CharactersWithSpaces>38412</CharactersWithSpaces>
  <SharedDoc>false</SharedDoc>
  <HLinks>
    <vt:vector size="6" baseType="variant">
      <vt:variant>
        <vt:i4>6684744</vt:i4>
      </vt:variant>
      <vt:variant>
        <vt:i4>0</vt:i4>
      </vt:variant>
      <vt:variant>
        <vt:i4>0</vt:i4>
      </vt:variant>
      <vt:variant>
        <vt:i4>5</vt:i4>
      </vt:variant>
      <vt:variant>
        <vt:lpwstr>mailto:dianapepa@gmail.com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Ana María Ortiz Ballesteros</cp:lastModifiedBy>
  <cp:revision>14</cp:revision>
  <cp:lastPrinted>2023-01-10T21:18:00Z</cp:lastPrinted>
  <dcterms:created xsi:type="dcterms:W3CDTF">2026-07-24T22:37:00Z</dcterms:created>
  <dcterms:modified xsi:type="dcterms:W3CDTF">2026-07-24T23:16:00Z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