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EFE31" w14:textId="77777777" w:rsidR="00EF5376" w:rsidRDefault="00EF5376" w:rsidP="00EF5376">
      <w:pPr>
        <w:jc w:val="both"/>
        <w:rPr>
          <w:rFonts w:ascii="Verdana" w:hAnsi="Verdana" w:cs="Arial"/>
          <w:b/>
          <w:lang w:eastAsia="es-ES" w:bidi="es-ES"/>
        </w:rPr>
      </w:pPr>
      <w:bookmarkStart w:id="0" w:name="_Hlk143780582"/>
      <w:r w:rsidRPr="00EF5376">
        <w:rPr>
          <w:rFonts w:ascii="Verdana" w:hAnsi="Verdana" w:cs="Arial"/>
          <w:b/>
          <w:lang w:eastAsia="es-ES" w:bidi="es-ES"/>
        </w:rPr>
        <w:t xml:space="preserve">VEEDURÍAS CIUDADANAS – Fundamento constitucional y legal </w:t>
      </w:r>
    </w:p>
    <w:p w14:paraId="7143CE53" w14:textId="77777777" w:rsidR="00EF5376" w:rsidRPr="00EF5376" w:rsidRDefault="00EF5376" w:rsidP="00EF5376">
      <w:pPr>
        <w:tabs>
          <w:tab w:val="left" w:pos="426"/>
        </w:tabs>
        <w:spacing w:after="0" w:line="240" w:lineRule="auto"/>
        <w:jc w:val="both"/>
        <w:rPr>
          <w:rFonts w:ascii="Verdana" w:eastAsia="Times New Roman" w:hAnsi="Verdana" w:cs="Arial"/>
          <w:color w:val="000000" w:themeColor="text1"/>
          <w:sz w:val="20"/>
          <w:szCs w:val="20"/>
          <w:lang w:val="es-ES" w:eastAsia="es-ES_tradnl"/>
        </w:rPr>
      </w:pPr>
      <w:r w:rsidRPr="00EF5376">
        <w:rPr>
          <w:rFonts w:ascii="Verdana" w:eastAsia="Times New Roman" w:hAnsi="Verdana" w:cs="Arial"/>
          <w:color w:val="000000" w:themeColor="text1"/>
          <w:sz w:val="20"/>
          <w:szCs w:val="20"/>
          <w:lang w:val="es-ES" w:eastAsia="es-ES_tradnl"/>
        </w:rPr>
        <w:t xml:space="preserve">La participación ciudadana en las decisiones del Estado tiene fundamento en la Constitución Política. En efecto, el artículo 2 de la Constitución dispone cuáles son los fines esenciales del Estado, entre ellos, “(…) </w:t>
      </w:r>
      <w:r w:rsidRPr="00EF5376">
        <w:rPr>
          <w:rFonts w:ascii="Verdana" w:eastAsia="Calibri" w:hAnsi="Verdana" w:cs="Arial"/>
          <w:color w:val="000000" w:themeColor="text1"/>
          <w:sz w:val="20"/>
          <w:szCs w:val="20"/>
          <w:lang w:val="es-ES"/>
        </w:rPr>
        <w:t>facilitar la participación de todos en las decisiones que los afectan y en la vida económica, política, administrativa y cultural de la Nación (…)</w:t>
      </w:r>
      <w:r w:rsidRPr="00EF5376">
        <w:rPr>
          <w:rFonts w:ascii="Verdana" w:eastAsia="Times New Roman" w:hAnsi="Verdana" w:cs="Arial"/>
          <w:color w:val="000000" w:themeColor="text1"/>
          <w:sz w:val="20"/>
          <w:szCs w:val="20"/>
          <w:lang w:val="es-ES" w:eastAsia="es-ES_tradnl"/>
        </w:rPr>
        <w:t xml:space="preserve">”. </w:t>
      </w:r>
    </w:p>
    <w:p w14:paraId="35CF1312" w14:textId="77777777" w:rsidR="00EF5376" w:rsidRDefault="00EF5376" w:rsidP="00EF5376">
      <w:pPr>
        <w:tabs>
          <w:tab w:val="left" w:pos="426"/>
        </w:tabs>
        <w:spacing w:after="0" w:line="240" w:lineRule="auto"/>
        <w:jc w:val="both"/>
        <w:rPr>
          <w:rFonts w:ascii="Verdana" w:eastAsia="Times New Roman" w:hAnsi="Verdana" w:cs="Arial"/>
          <w:color w:val="000000" w:themeColor="text1"/>
          <w:sz w:val="20"/>
          <w:szCs w:val="20"/>
          <w:lang w:val="es-ES" w:eastAsia="es-ES_tradnl"/>
        </w:rPr>
      </w:pPr>
    </w:p>
    <w:p w14:paraId="76FB37BF" w14:textId="77777777" w:rsidR="00EF5376" w:rsidRDefault="00EF5376" w:rsidP="00EF5376">
      <w:pPr>
        <w:tabs>
          <w:tab w:val="left" w:pos="426"/>
        </w:tabs>
        <w:spacing w:after="0" w:line="240" w:lineRule="auto"/>
        <w:jc w:val="both"/>
        <w:rPr>
          <w:rFonts w:ascii="Verdana" w:eastAsia="Calibri" w:hAnsi="Verdana" w:cs="Arial"/>
          <w:color w:val="000000" w:themeColor="text1"/>
          <w:sz w:val="20"/>
          <w:szCs w:val="20"/>
          <w:lang w:val="es-ES"/>
        </w:rPr>
      </w:pPr>
      <w:r w:rsidRPr="00EF5376">
        <w:rPr>
          <w:rFonts w:ascii="Verdana" w:eastAsia="Times New Roman" w:hAnsi="Verdana" w:cs="Arial"/>
          <w:color w:val="000000" w:themeColor="text1"/>
          <w:sz w:val="20"/>
          <w:szCs w:val="20"/>
          <w:lang w:val="es-ES" w:eastAsia="es-ES_tradnl"/>
        </w:rPr>
        <w:t xml:space="preserve">Por su parte, el artículo 270 de la Constitución atribuye a la Ley la organización de “(…) las formas y los sistemas de participación ciudadana que permitan vigilar la gestión pública que se cumpla en los diversos niveles administrativos y sus resultados». Por tanto, </w:t>
      </w:r>
      <w:r w:rsidRPr="00EF5376">
        <w:rPr>
          <w:rFonts w:ascii="Verdana" w:eastAsia="Calibri" w:hAnsi="Verdana" w:cs="Arial"/>
          <w:color w:val="000000" w:themeColor="text1"/>
          <w:sz w:val="20"/>
          <w:szCs w:val="20"/>
          <w:lang w:val="es-ES"/>
        </w:rPr>
        <w:t xml:space="preserve">la participación ciudadana es un elemento fundante del pacto social sobre el que se erige el Estado colombiano. </w:t>
      </w:r>
    </w:p>
    <w:p w14:paraId="113715E1" w14:textId="77777777" w:rsidR="00EF5376" w:rsidRDefault="00EF5376" w:rsidP="00EF5376">
      <w:pPr>
        <w:tabs>
          <w:tab w:val="left" w:pos="426"/>
        </w:tabs>
        <w:spacing w:after="0" w:line="240" w:lineRule="auto"/>
        <w:jc w:val="both"/>
        <w:rPr>
          <w:rFonts w:ascii="Verdana" w:eastAsia="Calibri" w:hAnsi="Verdana" w:cs="Arial"/>
          <w:color w:val="000000" w:themeColor="text1"/>
          <w:sz w:val="20"/>
          <w:szCs w:val="20"/>
          <w:lang w:val="es-ES"/>
        </w:rPr>
      </w:pPr>
    </w:p>
    <w:p w14:paraId="6158A4A2" w14:textId="094F24B8" w:rsidR="00EF5376" w:rsidRDefault="00EF5376" w:rsidP="00EF5376">
      <w:pPr>
        <w:tabs>
          <w:tab w:val="left" w:pos="426"/>
        </w:tabs>
        <w:spacing w:after="0" w:line="240" w:lineRule="auto"/>
        <w:jc w:val="both"/>
        <w:rPr>
          <w:rFonts w:ascii="Verdana" w:eastAsia="Times New Roman" w:hAnsi="Verdana" w:cs="Arial"/>
          <w:color w:val="000000" w:themeColor="text1"/>
          <w:sz w:val="20"/>
          <w:szCs w:val="20"/>
          <w:lang w:val="es-ES" w:eastAsia="es-ES_tradnl"/>
        </w:rPr>
      </w:pPr>
      <w:r w:rsidRPr="00EF5376">
        <w:rPr>
          <w:rFonts w:ascii="Verdana" w:eastAsia="Times New Roman" w:hAnsi="Verdana" w:cs="Arial"/>
          <w:color w:val="000000" w:themeColor="text1"/>
          <w:sz w:val="20"/>
          <w:szCs w:val="20"/>
          <w:lang w:val="es-ES" w:eastAsia="es-ES_tradnl"/>
        </w:rPr>
        <w:t>Desde el punto de vista legal, las reglas sobre la participación comunitaria en materia de contratación estatal fueron fijadas por el artículo 66 de la Ley 80 de 1993</w:t>
      </w:r>
      <w:r>
        <w:rPr>
          <w:rFonts w:ascii="Verdana" w:eastAsia="Times New Roman" w:hAnsi="Verdana" w:cs="Arial"/>
          <w:color w:val="000000" w:themeColor="text1"/>
          <w:sz w:val="20"/>
          <w:szCs w:val="20"/>
          <w:lang w:val="es-ES" w:eastAsia="es-ES_tradnl"/>
        </w:rPr>
        <w:t>.</w:t>
      </w:r>
    </w:p>
    <w:p w14:paraId="60C15762" w14:textId="77777777" w:rsidR="00EF5376" w:rsidRDefault="00EF5376" w:rsidP="00EF5376">
      <w:pPr>
        <w:tabs>
          <w:tab w:val="left" w:pos="426"/>
        </w:tabs>
        <w:spacing w:after="0" w:line="240" w:lineRule="auto"/>
        <w:jc w:val="both"/>
        <w:rPr>
          <w:rFonts w:ascii="Verdana" w:eastAsia="Times New Roman" w:hAnsi="Verdana" w:cs="Arial"/>
          <w:color w:val="000000" w:themeColor="text1"/>
          <w:sz w:val="20"/>
          <w:szCs w:val="20"/>
          <w:lang w:val="es-ES" w:eastAsia="es-ES_tradnl"/>
        </w:rPr>
      </w:pPr>
    </w:p>
    <w:p w14:paraId="1E42C325" w14:textId="77777777" w:rsidR="00EF5376" w:rsidRDefault="00EF5376" w:rsidP="00EF5376">
      <w:pPr>
        <w:tabs>
          <w:tab w:val="left" w:pos="426"/>
        </w:tabs>
        <w:spacing w:after="0" w:line="240" w:lineRule="auto"/>
        <w:jc w:val="both"/>
        <w:rPr>
          <w:rFonts w:ascii="Verdana" w:eastAsia="Calibri" w:hAnsi="Verdana" w:cs="Arial"/>
          <w:color w:val="000000" w:themeColor="text1"/>
          <w:sz w:val="20"/>
          <w:szCs w:val="20"/>
          <w:lang w:val="es-ES"/>
        </w:rPr>
      </w:pPr>
      <w:r>
        <w:rPr>
          <w:rFonts w:ascii="Verdana" w:eastAsia="Times New Roman" w:hAnsi="Verdana" w:cs="Arial"/>
          <w:color w:val="000000" w:themeColor="text1"/>
          <w:sz w:val="20"/>
          <w:szCs w:val="20"/>
          <w:lang w:val="es-ES" w:eastAsia="es-ES_tradnl"/>
        </w:rPr>
        <w:t>[…]</w:t>
      </w:r>
    </w:p>
    <w:p w14:paraId="2F9A67B7" w14:textId="77777777" w:rsidR="00EF5376" w:rsidRDefault="00EF5376" w:rsidP="00EF5376">
      <w:pPr>
        <w:tabs>
          <w:tab w:val="left" w:pos="426"/>
        </w:tabs>
        <w:spacing w:after="0" w:line="240" w:lineRule="auto"/>
        <w:jc w:val="both"/>
        <w:rPr>
          <w:rFonts w:ascii="Verdana" w:eastAsia="Calibri" w:hAnsi="Verdana" w:cs="Arial"/>
          <w:color w:val="000000" w:themeColor="text1"/>
          <w:sz w:val="20"/>
          <w:szCs w:val="20"/>
          <w:lang w:val="es-ES"/>
        </w:rPr>
      </w:pPr>
    </w:p>
    <w:p w14:paraId="4971CD4D" w14:textId="77777777" w:rsidR="00EF5376" w:rsidRDefault="00EF5376" w:rsidP="00EF5376">
      <w:pPr>
        <w:tabs>
          <w:tab w:val="left" w:pos="426"/>
        </w:tabs>
        <w:spacing w:after="0" w:line="240" w:lineRule="auto"/>
        <w:jc w:val="both"/>
        <w:rPr>
          <w:rFonts w:ascii="Verdana" w:eastAsia="Calibri" w:hAnsi="Verdana" w:cs="Arial"/>
          <w:color w:val="000000" w:themeColor="text1"/>
          <w:sz w:val="20"/>
          <w:szCs w:val="20"/>
          <w:lang w:val="es-ES"/>
        </w:rPr>
      </w:pPr>
      <w:r w:rsidRPr="00EF5376">
        <w:rPr>
          <w:rFonts w:ascii="Verdana" w:hAnsi="Verdana" w:cs="Arial"/>
          <w:bCs/>
          <w:sz w:val="20"/>
          <w:szCs w:val="20"/>
          <w:lang w:val="es-ES" w:eastAsia="es-ES" w:bidi="es-ES"/>
        </w:rPr>
        <w:t>En adición a la Ley 80 de 1993, existen otras normas que regulan la participación de la ciudadanía en el control social de la gestión pública, tales como las leyes 134 de 1994, 393 de 1997, 472 de 1998 y 489 de 1998, entre otras.</w:t>
      </w:r>
    </w:p>
    <w:p w14:paraId="311FA3BF" w14:textId="77777777" w:rsidR="00EF5376" w:rsidRDefault="00EF5376" w:rsidP="00EF5376">
      <w:pPr>
        <w:tabs>
          <w:tab w:val="left" w:pos="426"/>
        </w:tabs>
        <w:spacing w:after="0" w:line="240" w:lineRule="auto"/>
        <w:jc w:val="both"/>
        <w:rPr>
          <w:rFonts w:ascii="Verdana" w:eastAsia="Calibri" w:hAnsi="Verdana" w:cs="Arial"/>
          <w:color w:val="000000" w:themeColor="text1"/>
          <w:sz w:val="20"/>
          <w:szCs w:val="20"/>
          <w:lang w:val="es-ES"/>
        </w:rPr>
      </w:pPr>
    </w:p>
    <w:p w14:paraId="31D8AB3E" w14:textId="2DDDCD74" w:rsidR="00EF5376" w:rsidRDefault="00EF5376" w:rsidP="00EF5376">
      <w:pPr>
        <w:tabs>
          <w:tab w:val="left" w:pos="426"/>
        </w:tabs>
        <w:spacing w:after="0" w:line="240" w:lineRule="auto"/>
        <w:jc w:val="both"/>
        <w:rPr>
          <w:rFonts w:ascii="Verdana" w:hAnsi="Verdana" w:cs="Arial"/>
          <w:b/>
          <w:lang w:eastAsia="es-ES" w:bidi="es-ES"/>
        </w:rPr>
      </w:pPr>
      <w:r w:rsidRPr="00EF5376">
        <w:rPr>
          <w:rFonts w:ascii="Verdana" w:hAnsi="Verdana" w:cs="Arial"/>
          <w:b/>
          <w:lang w:eastAsia="es-ES" w:bidi="es-ES"/>
        </w:rPr>
        <w:t xml:space="preserve">VEEDURÍAS CIUDADANAS – Alcance – Ley 850 de 2013 – Ley 1757 de 2015 </w:t>
      </w:r>
    </w:p>
    <w:p w14:paraId="30BA013C" w14:textId="77777777" w:rsidR="00EF5376" w:rsidRDefault="00EF5376" w:rsidP="00EF5376">
      <w:pPr>
        <w:tabs>
          <w:tab w:val="left" w:pos="426"/>
        </w:tabs>
        <w:spacing w:after="0" w:line="240" w:lineRule="auto"/>
        <w:jc w:val="both"/>
        <w:rPr>
          <w:rFonts w:ascii="Verdana" w:hAnsi="Verdana" w:cs="Arial"/>
          <w:b/>
          <w:lang w:eastAsia="es-ES" w:bidi="es-ES"/>
        </w:rPr>
      </w:pPr>
    </w:p>
    <w:p w14:paraId="40183654" w14:textId="77777777" w:rsidR="00EF5376" w:rsidRDefault="00EF5376" w:rsidP="00EF5376">
      <w:pPr>
        <w:tabs>
          <w:tab w:val="left" w:pos="426"/>
        </w:tabs>
        <w:spacing w:after="0" w:line="240" w:lineRule="auto"/>
        <w:jc w:val="both"/>
        <w:rPr>
          <w:rFonts w:ascii="Verdana" w:eastAsia="Calibri" w:hAnsi="Verdana" w:cs="Arial"/>
          <w:bCs/>
          <w:color w:val="000000" w:themeColor="text1"/>
          <w:sz w:val="20"/>
          <w:szCs w:val="20"/>
          <w:lang w:val="es-ES"/>
        </w:rPr>
      </w:pPr>
      <w:r>
        <w:rPr>
          <w:rFonts w:ascii="Verdana" w:eastAsia="Calibri" w:hAnsi="Verdana" w:cs="Arial"/>
          <w:bCs/>
          <w:color w:val="000000" w:themeColor="text1"/>
          <w:sz w:val="20"/>
          <w:szCs w:val="20"/>
          <w:lang w:val="es-ES"/>
        </w:rPr>
        <w:t xml:space="preserve">[…] </w:t>
      </w:r>
      <w:r w:rsidRPr="00EF5376">
        <w:rPr>
          <w:rFonts w:ascii="Verdana" w:eastAsia="Calibri" w:hAnsi="Verdana" w:cs="Arial"/>
          <w:bCs/>
          <w:color w:val="000000" w:themeColor="text1"/>
          <w:sz w:val="20"/>
          <w:szCs w:val="20"/>
          <w:lang w:val="es-ES"/>
        </w:rPr>
        <w:t>la Ley 850 del 2003 reguló las veedurías ciudadanas como un mecanismo democrático de representación que le permite a la ciudadanía y a las diferentes formas de organización comunitaria ejercer vigilancia sobre la gestión pública.</w:t>
      </w:r>
    </w:p>
    <w:p w14:paraId="34E4613C" w14:textId="77777777" w:rsidR="00EF5376" w:rsidRDefault="00EF5376" w:rsidP="00EF5376">
      <w:pPr>
        <w:tabs>
          <w:tab w:val="left" w:pos="426"/>
        </w:tabs>
        <w:spacing w:after="0" w:line="240" w:lineRule="auto"/>
        <w:jc w:val="both"/>
        <w:rPr>
          <w:rFonts w:ascii="Verdana" w:eastAsia="Calibri" w:hAnsi="Verdana" w:cs="Arial"/>
          <w:bCs/>
          <w:color w:val="000000" w:themeColor="text1"/>
          <w:sz w:val="20"/>
          <w:szCs w:val="20"/>
          <w:lang w:val="es-ES"/>
        </w:rPr>
      </w:pPr>
    </w:p>
    <w:p w14:paraId="32D4573A" w14:textId="7BE90150" w:rsidR="00EF5376" w:rsidRPr="00EF5376" w:rsidRDefault="00EF5376" w:rsidP="00EF5376">
      <w:pPr>
        <w:tabs>
          <w:tab w:val="left" w:pos="426"/>
        </w:tabs>
        <w:spacing w:after="0" w:line="240" w:lineRule="auto"/>
        <w:jc w:val="both"/>
        <w:rPr>
          <w:rFonts w:ascii="Verdana" w:eastAsia="Calibri" w:hAnsi="Verdana" w:cs="Arial"/>
          <w:bCs/>
          <w:color w:val="000000" w:themeColor="text1"/>
          <w:sz w:val="20"/>
          <w:szCs w:val="20"/>
          <w:lang w:val="es-ES"/>
        </w:rPr>
      </w:pPr>
      <w:r w:rsidRPr="00EF5376">
        <w:rPr>
          <w:rFonts w:ascii="Verdana" w:eastAsia="Times New Roman" w:hAnsi="Verdana" w:cs="Arial"/>
          <w:color w:val="000000" w:themeColor="text1"/>
          <w:sz w:val="20"/>
          <w:szCs w:val="20"/>
          <w:lang w:val="es-ES" w:eastAsia="es-ES_tradnl"/>
        </w:rPr>
        <w:t xml:space="preserve">Finalmente, la Ley 1757 de 2015 “Por la cual se dictan disposiciones en materia de promoción y protección del derecho a la participación democrática” regula el Control Social a lo Público e introduce algunos </w:t>
      </w:r>
      <w:r w:rsidRPr="00EF5376">
        <w:rPr>
          <w:rFonts w:ascii="Verdana" w:eastAsia="Calibri" w:hAnsi="Verdana" w:cs="Arial"/>
          <w:bCs/>
          <w:color w:val="000000" w:themeColor="text1"/>
          <w:sz w:val="20"/>
          <w:szCs w:val="20"/>
          <w:lang w:val="es-ES"/>
        </w:rPr>
        <w:t xml:space="preserve">ajustes a ciertas disposiciones de la Ley 850 de </w:t>
      </w:r>
      <w:r w:rsidRPr="00EF5376">
        <w:rPr>
          <w:rFonts w:ascii="Verdana" w:eastAsia="Times New Roman" w:hAnsi="Verdana" w:cs="Arial"/>
          <w:color w:val="000000" w:themeColor="text1"/>
          <w:sz w:val="20"/>
          <w:szCs w:val="20"/>
          <w:lang w:val="es-ES" w:eastAsia="es-ES_tradnl"/>
        </w:rPr>
        <w:t>2003. Para tales efectos, define el control social como el derecho y el deber de los ciudadanos a participar, de manera individual o colectiva, en la vigilancia de la gestión pública y sus resultados, estableciendo un espectro más amplio de control y vigilancia, puesto que puede ser ejercido por todos los ciudadanos, siendo las veedurías uno de los múltiples actores que pueden adelantar el control social.</w:t>
      </w:r>
    </w:p>
    <w:p w14:paraId="4B98752F" w14:textId="77777777" w:rsidR="00EF5376" w:rsidRDefault="00EF5376" w:rsidP="00EF5376">
      <w:pPr>
        <w:tabs>
          <w:tab w:val="left" w:pos="426"/>
        </w:tabs>
        <w:spacing w:after="0" w:line="240" w:lineRule="auto"/>
        <w:jc w:val="both"/>
        <w:rPr>
          <w:rFonts w:ascii="Verdana" w:eastAsia="Calibri" w:hAnsi="Verdana" w:cs="Arial"/>
          <w:bCs/>
          <w:color w:val="000000" w:themeColor="text1"/>
          <w:sz w:val="20"/>
          <w:szCs w:val="20"/>
          <w:lang w:val="es-ES"/>
        </w:rPr>
      </w:pPr>
    </w:p>
    <w:p w14:paraId="59626968" w14:textId="77777777" w:rsidR="00EF5376" w:rsidRDefault="00EF5376" w:rsidP="00EF5376">
      <w:pPr>
        <w:spacing w:after="0" w:line="240" w:lineRule="auto"/>
        <w:jc w:val="both"/>
        <w:rPr>
          <w:rFonts w:ascii="Verdana" w:hAnsi="Verdana" w:cs="Arial"/>
          <w:b/>
          <w:lang w:eastAsia="es-ES" w:bidi="es-ES"/>
        </w:rPr>
      </w:pPr>
      <w:r w:rsidRPr="00EF5376">
        <w:rPr>
          <w:rFonts w:ascii="Verdana" w:hAnsi="Verdana" w:cs="Arial"/>
          <w:b/>
          <w:lang w:eastAsia="es-ES" w:bidi="es-ES"/>
        </w:rPr>
        <w:t xml:space="preserve">VEEDURÍA CIUDADANA – Participación contratos estatales - Ámbito temporal del control social </w:t>
      </w:r>
    </w:p>
    <w:p w14:paraId="06524076" w14:textId="77777777" w:rsidR="00EF5376" w:rsidRDefault="00EF5376" w:rsidP="00EF5376">
      <w:pPr>
        <w:spacing w:after="0" w:line="240" w:lineRule="auto"/>
        <w:jc w:val="both"/>
        <w:rPr>
          <w:rFonts w:ascii="Verdana" w:hAnsi="Verdana" w:cs="Arial"/>
          <w:bCs/>
          <w:sz w:val="20"/>
          <w:szCs w:val="20"/>
          <w:lang w:eastAsia="es-ES" w:bidi="es-ES"/>
        </w:rPr>
      </w:pPr>
    </w:p>
    <w:p w14:paraId="2B2D64EE" w14:textId="07A2A9A1" w:rsidR="00EF5376" w:rsidRPr="00EF5376" w:rsidRDefault="00EF5376" w:rsidP="00EF5376">
      <w:pPr>
        <w:spacing w:after="0" w:line="240" w:lineRule="auto"/>
        <w:jc w:val="both"/>
        <w:rPr>
          <w:rFonts w:ascii="Verdana" w:hAnsi="Verdana" w:cs="Arial"/>
          <w:b/>
          <w:lang w:eastAsia="es-ES" w:bidi="es-ES"/>
        </w:rPr>
      </w:pPr>
      <w:r w:rsidRPr="00EF5376">
        <w:rPr>
          <w:rFonts w:ascii="Verdana" w:hAnsi="Verdana" w:cs="Arial"/>
          <w:bCs/>
          <w:sz w:val="20"/>
          <w:szCs w:val="20"/>
          <w:lang w:eastAsia="es-ES" w:bidi="es-ES"/>
        </w:rPr>
        <w:t xml:space="preserve">Así, es preciso señalar que el control social que ejerza la ciudadanía puede adelantarse en relación con todos los contratos estatales, cualquiera que sea su modalidad de contratación. Lo anterior, toda vez que, de esa manera, se garantiza una verdadera </w:t>
      </w:r>
      <w:r w:rsidRPr="00EF5376">
        <w:rPr>
          <w:rFonts w:ascii="Verdana" w:hAnsi="Verdana" w:cs="Arial"/>
          <w:bCs/>
          <w:sz w:val="20"/>
          <w:szCs w:val="20"/>
          <w:lang w:eastAsia="es-ES" w:bidi="es-ES"/>
        </w:rPr>
        <w:lastRenderedPageBreak/>
        <w:t>gestión de vigilancia y control de los recursos públicos y se cumplen con los objetivos establecidos en artículo 64 de la Ley 1757 de 2015</w:t>
      </w:r>
      <w:r>
        <w:rPr>
          <w:rFonts w:ascii="Verdana" w:hAnsi="Verdana" w:cs="Arial"/>
          <w:bCs/>
          <w:sz w:val="20"/>
          <w:szCs w:val="20"/>
          <w:lang w:eastAsia="es-ES" w:bidi="es-ES"/>
        </w:rPr>
        <w:t>.</w:t>
      </w:r>
    </w:p>
    <w:p w14:paraId="32B4F7AC" w14:textId="77777777" w:rsidR="00EF5376" w:rsidRDefault="00EF5376" w:rsidP="00EF5376">
      <w:pPr>
        <w:spacing w:after="0" w:line="240" w:lineRule="auto"/>
        <w:jc w:val="both"/>
        <w:rPr>
          <w:rFonts w:ascii="Verdana" w:hAnsi="Verdana" w:cs="Arial"/>
          <w:bCs/>
          <w:sz w:val="20"/>
          <w:szCs w:val="20"/>
          <w:lang w:eastAsia="es-ES" w:bidi="es-ES"/>
        </w:rPr>
      </w:pPr>
    </w:p>
    <w:p w14:paraId="4C12815E" w14:textId="24B79AA8" w:rsidR="00EF5376" w:rsidRDefault="00EF5376" w:rsidP="00EF5376">
      <w:pPr>
        <w:spacing w:after="0" w:line="240" w:lineRule="auto"/>
        <w:jc w:val="both"/>
        <w:rPr>
          <w:rFonts w:ascii="Verdana" w:hAnsi="Verdana" w:cs="Arial"/>
          <w:bCs/>
          <w:sz w:val="20"/>
          <w:szCs w:val="20"/>
          <w:lang w:eastAsia="es-ES" w:bidi="es-ES"/>
        </w:rPr>
      </w:pPr>
      <w:r>
        <w:rPr>
          <w:rFonts w:ascii="Verdana" w:hAnsi="Verdana" w:cs="Arial"/>
          <w:bCs/>
          <w:sz w:val="20"/>
          <w:szCs w:val="20"/>
          <w:lang w:eastAsia="es-ES" w:bidi="es-ES"/>
        </w:rPr>
        <w:t>[…]</w:t>
      </w:r>
    </w:p>
    <w:p w14:paraId="66A2F8B6" w14:textId="77777777" w:rsidR="00EF5376" w:rsidRDefault="00EF5376" w:rsidP="00EF5376">
      <w:pPr>
        <w:spacing w:after="0" w:line="240" w:lineRule="auto"/>
        <w:jc w:val="both"/>
        <w:rPr>
          <w:rFonts w:ascii="Verdana" w:hAnsi="Verdana" w:cs="Arial"/>
          <w:bCs/>
          <w:sz w:val="20"/>
          <w:szCs w:val="20"/>
          <w:lang w:val="es-ES" w:eastAsia="es-ES" w:bidi="es-ES"/>
        </w:rPr>
      </w:pPr>
    </w:p>
    <w:p w14:paraId="65C50AEA" w14:textId="77777777" w:rsidR="00EF5376" w:rsidRDefault="00EF5376" w:rsidP="00EF5376">
      <w:pPr>
        <w:jc w:val="both"/>
        <w:rPr>
          <w:rFonts w:ascii="Verdana" w:hAnsi="Verdana" w:cs="Arial"/>
          <w:bCs/>
          <w:sz w:val="20"/>
          <w:szCs w:val="20"/>
          <w:lang w:val="es-ES" w:eastAsia="es-ES" w:bidi="es-ES"/>
        </w:rPr>
      </w:pPr>
      <w:r w:rsidRPr="00EF5376">
        <w:rPr>
          <w:rFonts w:ascii="Verdana" w:hAnsi="Verdana" w:cs="Arial"/>
          <w:bCs/>
          <w:sz w:val="20"/>
          <w:szCs w:val="20"/>
          <w:lang w:val="es-ES" w:eastAsia="es-ES" w:bidi="es-ES"/>
        </w:rPr>
        <w:t xml:space="preserve">En lo que atañe a la oportunidad para hacer control social a la contratación pública, se resalta que las normas sobre el control social no establecen un ámbito temporal de aplicación para el ejercicio </w:t>
      </w:r>
      <w:proofErr w:type="gramStart"/>
      <w:r w:rsidRPr="00EF5376">
        <w:rPr>
          <w:rFonts w:ascii="Verdana" w:hAnsi="Verdana" w:cs="Arial"/>
          <w:bCs/>
          <w:sz w:val="20"/>
          <w:szCs w:val="20"/>
          <w:lang w:val="es-ES" w:eastAsia="es-ES" w:bidi="es-ES"/>
        </w:rPr>
        <w:t>del mismo</w:t>
      </w:r>
      <w:proofErr w:type="gramEnd"/>
      <w:r w:rsidRPr="00EF5376">
        <w:rPr>
          <w:rFonts w:ascii="Verdana" w:hAnsi="Verdana" w:cs="Arial"/>
          <w:bCs/>
          <w:sz w:val="20"/>
          <w:szCs w:val="20"/>
          <w:lang w:val="es-ES" w:eastAsia="es-ES" w:bidi="es-ES"/>
        </w:rPr>
        <w:t>. En consecuencia, el control social puede ejercerse desde la etapa de planeación contractual, pasando por su adjudicación y ejecución, e incluso hasta después de finalizada la ejecución del contrato estatal.</w:t>
      </w:r>
    </w:p>
    <w:p w14:paraId="0A2EB6CF" w14:textId="77777777" w:rsidR="00EF5376" w:rsidRDefault="00EF5376" w:rsidP="00EF5376">
      <w:pPr>
        <w:spacing w:after="0" w:line="240" w:lineRule="auto"/>
        <w:jc w:val="both"/>
        <w:rPr>
          <w:rFonts w:ascii="Verdana" w:hAnsi="Verdana" w:cs="Arial"/>
          <w:b/>
          <w:lang w:eastAsia="es-ES" w:bidi="es-ES"/>
        </w:rPr>
      </w:pPr>
      <w:r w:rsidRPr="00EF5376">
        <w:rPr>
          <w:rFonts w:ascii="Verdana" w:hAnsi="Verdana" w:cs="Arial"/>
          <w:b/>
          <w:lang w:eastAsia="es-ES" w:bidi="es-ES"/>
        </w:rPr>
        <w:t>PRINCIPIO DE PUBLICIDAD Y TRANSPARENCIA – Ley 80 de 1993 artículo 23</w:t>
      </w:r>
    </w:p>
    <w:p w14:paraId="3BA2E52F" w14:textId="77777777" w:rsidR="00EF5376" w:rsidRDefault="00EF5376" w:rsidP="00EF5376">
      <w:pPr>
        <w:spacing w:after="0" w:line="240" w:lineRule="auto"/>
        <w:jc w:val="both"/>
        <w:rPr>
          <w:rFonts w:ascii="Verdana" w:hAnsi="Verdana" w:cs="Arial"/>
          <w:b/>
          <w:lang w:eastAsia="es-ES" w:bidi="es-ES"/>
        </w:rPr>
      </w:pPr>
    </w:p>
    <w:p w14:paraId="1718A758" w14:textId="52E10BDB" w:rsidR="00EF5376" w:rsidRPr="00EF5376" w:rsidRDefault="00EF5376" w:rsidP="00EF5376">
      <w:pPr>
        <w:spacing w:after="0" w:line="240" w:lineRule="auto"/>
        <w:jc w:val="both"/>
        <w:rPr>
          <w:rFonts w:ascii="Verdana" w:hAnsi="Verdana" w:cs="Arial"/>
          <w:bCs/>
          <w:sz w:val="20"/>
          <w:szCs w:val="20"/>
          <w:lang w:eastAsia="es-ES" w:bidi="es-ES"/>
        </w:rPr>
      </w:pPr>
      <w:r w:rsidRPr="00EF5376">
        <w:rPr>
          <w:rFonts w:ascii="Verdana" w:eastAsia="Calibri" w:hAnsi="Verdana" w:cs="Arial"/>
          <w:color w:val="000000"/>
          <w:sz w:val="20"/>
          <w:szCs w:val="20"/>
          <w:lang w:val="es-MX"/>
        </w:rPr>
        <w:t>Por su parte, el artículo 23 de la Ley 80 de 1993 regula los principios aplicables a las actuaciones contractuales adelantadas por las entidades estatales. Entre otros, allí se estableció el principio de transparencia de la actividad contractual, objeto de regulación expresa en el artículo 24 del citado cuerpo normativo. Este principio guarda estrecha relación con el de publicidad, que rige el ejercicio de la función administrativa, según el artículo 209 constitucional. Por eso en los numerales 2º y 3º del citado artículo 24 se estableció la facultad de los interesados, entre ellos las veedurías ciudadanas para realizar y/o presentar observaciones, como un mecanismo para controvertir algunas de las decisiones adoptadas por las entidades estatales en el marco de sus actuaciones públicas</w:t>
      </w:r>
      <w:r w:rsidRPr="00EF5376">
        <w:rPr>
          <w:rFonts w:ascii="Verdana" w:eastAsia="Calibri" w:hAnsi="Verdana" w:cs="Arial"/>
          <w:color w:val="000000"/>
          <w:sz w:val="20"/>
          <w:szCs w:val="20"/>
          <w:lang w:val="es-MX"/>
        </w:rPr>
        <w:t>.</w:t>
      </w:r>
    </w:p>
    <w:p w14:paraId="5EF3C403" w14:textId="3D27D1A8" w:rsidR="00EF5376" w:rsidRDefault="00EF5376" w:rsidP="00EF5376">
      <w:pPr>
        <w:spacing w:after="0" w:line="240" w:lineRule="auto"/>
        <w:jc w:val="both"/>
        <w:rPr>
          <w:rFonts w:ascii="Verdana" w:hAnsi="Verdana" w:cs="Arial"/>
          <w:bCs/>
          <w:sz w:val="20"/>
          <w:szCs w:val="20"/>
          <w:lang w:eastAsia="es-ES" w:bidi="es-ES"/>
        </w:rPr>
      </w:pPr>
      <w:r w:rsidRPr="00EF5376">
        <w:rPr>
          <w:rFonts w:ascii="Verdana" w:hAnsi="Verdana" w:cs="Arial"/>
          <w:b/>
          <w:lang w:eastAsia="es-ES" w:bidi="es-ES"/>
        </w:rPr>
        <w:t xml:space="preserve"> </w:t>
      </w:r>
    </w:p>
    <w:p w14:paraId="15389C27" w14:textId="77777777" w:rsidR="00EF5376" w:rsidRDefault="00EF5376" w:rsidP="00AD75DA">
      <w:pPr>
        <w:spacing w:after="0" w:line="240" w:lineRule="auto"/>
        <w:jc w:val="both"/>
        <w:rPr>
          <w:rFonts w:ascii="Verdana" w:hAnsi="Verdana" w:cs="Arial"/>
          <w:bCs/>
          <w:sz w:val="20"/>
          <w:szCs w:val="20"/>
          <w:lang w:eastAsia="es-ES" w:bidi="es-ES"/>
        </w:rPr>
      </w:pPr>
      <w:r w:rsidRPr="00EF5376">
        <w:rPr>
          <w:rFonts w:ascii="Verdana" w:hAnsi="Verdana" w:cs="Arial"/>
          <w:b/>
          <w:lang w:eastAsia="es-ES" w:bidi="es-ES"/>
        </w:rPr>
        <w:t xml:space="preserve">CONTROL SOCIAL – Etapas del proceso de selección – Presentación de observaciones – Deber de la entidad estatal en dar respuesta </w:t>
      </w:r>
    </w:p>
    <w:p w14:paraId="2FADF48E" w14:textId="77777777" w:rsidR="00AD75DA" w:rsidRDefault="00AD75DA" w:rsidP="00AD75DA">
      <w:pPr>
        <w:spacing w:after="0" w:line="240" w:lineRule="auto"/>
        <w:jc w:val="both"/>
        <w:rPr>
          <w:rFonts w:ascii="Verdana" w:hAnsi="Verdana" w:cs="Arial"/>
          <w:bCs/>
          <w:sz w:val="20"/>
          <w:szCs w:val="20"/>
          <w:lang w:val="es-MX" w:eastAsia="es-ES" w:bidi="es-ES"/>
        </w:rPr>
      </w:pPr>
    </w:p>
    <w:p w14:paraId="7BE39619" w14:textId="673D247E" w:rsidR="00EF5376" w:rsidRDefault="00EF5376" w:rsidP="00EF5376">
      <w:pPr>
        <w:spacing w:after="0" w:line="240" w:lineRule="auto"/>
        <w:jc w:val="both"/>
        <w:rPr>
          <w:rFonts w:ascii="Verdana" w:hAnsi="Verdana" w:cs="Arial"/>
          <w:bCs/>
          <w:sz w:val="20"/>
          <w:szCs w:val="20"/>
          <w:lang w:eastAsia="es-ES" w:bidi="es-ES"/>
        </w:rPr>
      </w:pPr>
      <w:r w:rsidRPr="00EF5376">
        <w:rPr>
          <w:rFonts w:ascii="Verdana" w:hAnsi="Verdana" w:cs="Arial"/>
          <w:bCs/>
          <w:sz w:val="20"/>
          <w:szCs w:val="20"/>
          <w:lang w:val="es-MX" w:eastAsia="es-ES" w:bidi="es-ES"/>
        </w:rPr>
        <w:t>Conforme a lo expuesto, en virtud del principio de transparencia se garantiza la participación tanto de los interesados como de la ciudadanía en general, en las actuaciones contractuales adelantadas por las entidades estatales, participación que se materializa en la oportunidad que se concede a aquellos para presentar observaciones en las distintas etapas o fases del proceso que culmina con la celebración del contrato estatal.</w:t>
      </w:r>
    </w:p>
    <w:p w14:paraId="31FA15CB" w14:textId="77777777" w:rsidR="00EF5376" w:rsidRDefault="00EF5376" w:rsidP="00EF5376">
      <w:pPr>
        <w:spacing w:after="0" w:line="240" w:lineRule="auto"/>
        <w:jc w:val="both"/>
        <w:rPr>
          <w:rFonts w:ascii="Verdana" w:hAnsi="Verdana" w:cs="Arial"/>
          <w:bCs/>
          <w:sz w:val="20"/>
          <w:szCs w:val="20"/>
          <w:lang w:val="es-MX" w:eastAsia="es-ES" w:bidi="es-ES"/>
        </w:rPr>
      </w:pPr>
    </w:p>
    <w:p w14:paraId="06B96341" w14:textId="3C9B6EE5" w:rsidR="00EF5376" w:rsidRDefault="00EF5376" w:rsidP="00AD75DA">
      <w:pPr>
        <w:jc w:val="both"/>
        <w:rPr>
          <w:rFonts w:ascii="Verdana" w:hAnsi="Verdana" w:cs="Arial"/>
          <w:bCs/>
          <w:sz w:val="20"/>
          <w:szCs w:val="20"/>
          <w:lang w:val="es-MX" w:eastAsia="es-ES" w:bidi="es-ES"/>
        </w:rPr>
      </w:pPr>
      <w:r w:rsidRPr="00EF5376">
        <w:rPr>
          <w:rFonts w:ascii="Verdana" w:hAnsi="Verdana" w:cs="Arial"/>
          <w:bCs/>
          <w:sz w:val="20"/>
          <w:szCs w:val="20"/>
          <w:lang w:val="es-MX" w:eastAsia="es-ES" w:bidi="es-ES"/>
        </w:rPr>
        <w:t>En este orden de ideas, se deben distinguir las etapas o fases del proceso contractual, a efectos de establecer el término o plazo para presentar observaciones por parte de los interesados y el plazo para responderlas por parte de las entidades estatales.</w:t>
      </w:r>
    </w:p>
    <w:p w14:paraId="4A4EB167" w14:textId="1D47B924" w:rsidR="00FE432E" w:rsidRDefault="00FE432E" w:rsidP="00AD75DA">
      <w:pPr>
        <w:spacing w:after="0" w:line="240" w:lineRule="auto"/>
        <w:jc w:val="both"/>
        <w:rPr>
          <w:rFonts w:ascii="Verdana" w:hAnsi="Verdana" w:cs="Arial"/>
          <w:bCs/>
          <w:sz w:val="20"/>
          <w:szCs w:val="20"/>
          <w:lang w:val="es-MX" w:eastAsia="es-ES" w:bidi="es-ES"/>
        </w:rPr>
      </w:pPr>
      <w:r w:rsidRPr="00FE432E">
        <w:rPr>
          <w:rFonts w:ascii="Verdana" w:hAnsi="Verdana" w:cs="Arial"/>
          <w:bCs/>
          <w:sz w:val="20"/>
          <w:szCs w:val="20"/>
          <w:lang w:val="es-MX" w:eastAsia="es-ES" w:bidi="es-ES"/>
        </w:rPr>
        <w:t>i) Publicación del proyecto de pliego de condiciones. La Ley 1150 de 2007 estableció en el artículo 8 la obligación de las entidades estatales de publicar el proyecto de pliego de condiciones o su documento equivalente, con el único propósito de que el público en general pueda presentar las observaciones que estime pertinentes. Esa misma disposición también consagra la obligación de las entidades estatales de pronunciarse sobre las observaciones presentadas, pronunciamiento que deberá ser motivado ya sea para acogerlas o para rechazarlas.</w:t>
      </w:r>
    </w:p>
    <w:p w14:paraId="4A21D398" w14:textId="77777777" w:rsidR="00AD75DA" w:rsidRDefault="00FE432E" w:rsidP="00AD75DA">
      <w:pPr>
        <w:jc w:val="both"/>
        <w:rPr>
          <w:rFonts w:ascii="Verdana" w:hAnsi="Verdana" w:cs="Arial"/>
          <w:bCs/>
          <w:sz w:val="20"/>
          <w:szCs w:val="20"/>
          <w:lang w:val="es-MX" w:eastAsia="es-ES" w:bidi="es-ES"/>
        </w:rPr>
      </w:pPr>
      <w:r w:rsidRPr="00FE432E">
        <w:rPr>
          <w:rFonts w:ascii="Verdana" w:hAnsi="Verdana" w:cs="Arial"/>
          <w:bCs/>
          <w:sz w:val="20"/>
          <w:szCs w:val="20"/>
          <w:lang w:val="es-MX" w:eastAsia="es-ES" w:bidi="es-ES"/>
        </w:rPr>
        <w:t xml:space="preserve">En cuanto al plazo o término para presentar observaciones al proyecto de pliego de condiciones, en el artículo 2.2.1.1.2.1.4. del mencionado cuerpo normativo se afirma que “Los interesados pueden hacer comentarios al proyecto de pliegos de condiciones a partir de la fecha de publicación de </w:t>
      </w:r>
      <w:proofErr w:type="gramStart"/>
      <w:r w:rsidRPr="00FE432E">
        <w:rPr>
          <w:rFonts w:ascii="Verdana" w:hAnsi="Verdana" w:cs="Arial"/>
          <w:bCs/>
          <w:sz w:val="20"/>
          <w:szCs w:val="20"/>
          <w:lang w:val="es-MX" w:eastAsia="es-ES" w:bidi="es-ES"/>
        </w:rPr>
        <w:t>los mismos</w:t>
      </w:r>
      <w:proofErr w:type="gramEnd"/>
      <w:r w:rsidRPr="00FE432E">
        <w:rPr>
          <w:rFonts w:ascii="Verdana" w:hAnsi="Verdana" w:cs="Arial"/>
          <w:bCs/>
          <w:sz w:val="20"/>
          <w:szCs w:val="20"/>
          <w:lang w:val="es-MX" w:eastAsia="es-ES" w:bidi="es-ES"/>
        </w:rPr>
        <w:t>: (a) durante un término de diez (10) días hábiles en la licitación pública; y (b) durante un término de cinco (5) días hábiles en la selección abreviada y el concurso de méritos”.</w:t>
      </w:r>
      <w:r>
        <w:rPr>
          <w:rFonts w:ascii="Verdana" w:hAnsi="Verdana" w:cs="Arial"/>
          <w:bCs/>
          <w:sz w:val="20"/>
          <w:szCs w:val="20"/>
          <w:lang w:val="es-MX" w:eastAsia="es-ES" w:bidi="es-ES"/>
        </w:rPr>
        <w:t xml:space="preserve"> […] </w:t>
      </w:r>
      <w:r w:rsidRPr="00FE432E">
        <w:rPr>
          <w:rFonts w:ascii="Verdana" w:hAnsi="Verdana" w:cs="Arial"/>
          <w:bCs/>
          <w:sz w:val="20"/>
          <w:szCs w:val="20"/>
          <w:lang w:val="es-MX" w:eastAsia="es-ES" w:bidi="es-ES"/>
        </w:rPr>
        <w:t>antes que la Entidad Estatal profiera dicho acto administrativo y publique el pliego de condiciones definitivo, deberá responder las observaciones presentadas al proyecto de pliego de condiciones.</w:t>
      </w:r>
    </w:p>
    <w:p w14:paraId="075D4EDB" w14:textId="77777777" w:rsidR="00AD75DA" w:rsidRDefault="00FE432E" w:rsidP="00AD75DA">
      <w:pPr>
        <w:jc w:val="both"/>
        <w:rPr>
          <w:rFonts w:ascii="Verdana" w:hAnsi="Verdana" w:cs="Arial"/>
          <w:bCs/>
          <w:sz w:val="20"/>
          <w:szCs w:val="20"/>
          <w:lang w:val="es-MX" w:eastAsia="es-ES" w:bidi="es-ES"/>
        </w:rPr>
      </w:pPr>
      <w:proofErr w:type="spellStart"/>
      <w:r w:rsidRPr="00FE432E">
        <w:rPr>
          <w:rFonts w:ascii="Verdana" w:hAnsi="Verdana" w:cs="Arial"/>
          <w:bCs/>
          <w:sz w:val="20"/>
          <w:szCs w:val="20"/>
          <w:lang w:val="es-MX" w:eastAsia="es-ES" w:bidi="es-ES"/>
        </w:rPr>
        <w:t>ii</w:t>
      </w:r>
      <w:proofErr w:type="spellEnd"/>
      <w:r w:rsidRPr="00FE432E">
        <w:rPr>
          <w:rFonts w:ascii="Verdana" w:hAnsi="Verdana" w:cs="Arial"/>
          <w:bCs/>
          <w:sz w:val="20"/>
          <w:szCs w:val="20"/>
          <w:lang w:val="es-MX" w:eastAsia="es-ES" w:bidi="es-ES"/>
        </w:rPr>
        <w:t>) Apertura del proceso de selección. Esta fase o etapa inicia con la expedición del acto administrativo de apertura del proceso de selección, momento en el cual se publica el pliego de condiciones de definitivo; documento este último respecto del cual también se pueden presentar observaciones y/o solicitudes de aclaraciones.</w:t>
      </w:r>
    </w:p>
    <w:p w14:paraId="4CFE64EE" w14:textId="77777777" w:rsidR="00AD75DA" w:rsidRDefault="00FE432E" w:rsidP="00AD75DA">
      <w:pPr>
        <w:jc w:val="both"/>
        <w:rPr>
          <w:rFonts w:ascii="Verdana" w:hAnsi="Verdana" w:cs="Arial"/>
          <w:bCs/>
          <w:sz w:val="20"/>
          <w:szCs w:val="20"/>
          <w:lang w:val="es-MX" w:eastAsia="es-ES" w:bidi="es-ES"/>
        </w:rPr>
      </w:pPr>
      <w:r>
        <w:rPr>
          <w:rFonts w:ascii="Verdana" w:hAnsi="Verdana" w:cs="Arial"/>
          <w:bCs/>
          <w:sz w:val="20"/>
          <w:szCs w:val="20"/>
          <w:lang w:val="es-MX" w:eastAsia="es-ES" w:bidi="es-ES"/>
        </w:rPr>
        <w:t>[…]</w:t>
      </w:r>
    </w:p>
    <w:p w14:paraId="7745EF2C" w14:textId="1A83CA8E" w:rsidR="00FE432E" w:rsidRDefault="00FE432E" w:rsidP="00AD75DA">
      <w:pPr>
        <w:spacing w:after="0" w:line="240" w:lineRule="auto"/>
        <w:jc w:val="both"/>
        <w:rPr>
          <w:rFonts w:ascii="Verdana" w:hAnsi="Verdana" w:cs="Arial"/>
          <w:bCs/>
          <w:sz w:val="20"/>
          <w:szCs w:val="20"/>
          <w:lang w:val="es-MX" w:eastAsia="es-ES" w:bidi="es-ES"/>
        </w:rPr>
      </w:pPr>
      <w:r>
        <w:rPr>
          <w:rFonts w:ascii="Verdana" w:hAnsi="Verdana" w:cs="Arial"/>
          <w:bCs/>
          <w:sz w:val="20"/>
          <w:szCs w:val="20"/>
          <w:lang w:val="es-MX" w:eastAsia="es-ES" w:bidi="es-ES"/>
        </w:rPr>
        <w:t xml:space="preserve">[…] </w:t>
      </w:r>
      <w:r w:rsidRPr="00FE432E">
        <w:rPr>
          <w:rFonts w:ascii="Verdana" w:hAnsi="Verdana" w:cs="Arial"/>
          <w:bCs/>
          <w:sz w:val="20"/>
          <w:szCs w:val="20"/>
          <w:lang w:val="es-MX" w:eastAsia="es-ES" w:bidi="es-ES"/>
        </w:rPr>
        <w:t xml:space="preserve">las entidades estatales con la apertura del proceso de Contratación están en la obligación de publicar el cronograma </w:t>
      </w:r>
      <w:proofErr w:type="gramStart"/>
      <w:r w:rsidRPr="00FE432E">
        <w:rPr>
          <w:rFonts w:ascii="Verdana" w:hAnsi="Verdana" w:cs="Arial"/>
          <w:bCs/>
          <w:sz w:val="20"/>
          <w:szCs w:val="20"/>
          <w:lang w:val="es-MX" w:eastAsia="es-ES" w:bidi="es-ES"/>
        </w:rPr>
        <w:t>del mismo</w:t>
      </w:r>
      <w:proofErr w:type="gramEnd"/>
      <w:r w:rsidRPr="00FE432E">
        <w:rPr>
          <w:rFonts w:ascii="Verdana" w:hAnsi="Verdana" w:cs="Arial"/>
          <w:bCs/>
          <w:sz w:val="20"/>
          <w:szCs w:val="20"/>
          <w:lang w:val="es-MX" w:eastAsia="es-ES" w:bidi="es-ES"/>
        </w:rPr>
        <w:t>, el cual es definido como el “Documento en el cual la Entidad Estatal establece las fechas, horas y plazos para las actividades propias del Proceso de Contratación y el lugar en el que estas deben llevarse a cabo”. En el cronograma, la Entidad Estatal debe contemplar un término o plazo para la presentación de observaciones y/o aclaraciones al pliego de condiciones definitivo, al igual que un plazo para responder esas solicitudes, inclusive en el proceso de licitación.</w:t>
      </w:r>
    </w:p>
    <w:p w14:paraId="5E567234" w14:textId="77777777" w:rsidR="00AD75DA" w:rsidRDefault="00FE432E" w:rsidP="00AD75DA">
      <w:pPr>
        <w:jc w:val="both"/>
        <w:rPr>
          <w:rFonts w:ascii="Verdana" w:hAnsi="Verdana" w:cs="Arial"/>
          <w:bCs/>
          <w:sz w:val="20"/>
          <w:szCs w:val="20"/>
          <w:lang w:val="es-MX" w:eastAsia="es-ES" w:bidi="es-ES"/>
        </w:rPr>
      </w:pPr>
      <w:r w:rsidRPr="00FE432E">
        <w:rPr>
          <w:rFonts w:ascii="Verdana" w:hAnsi="Verdana" w:cs="Arial"/>
          <w:bCs/>
          <w:sz w:val="20"/>
          <w:szCs w:val="20"/>
          <w:lang w:val="es-MX" w:eastAsia="es-ES" w:bidi="es-ES"/>
        </w:rPr>
        <w:t>Ahora bien, en esta fase o etapa del proceso de contratación el ordenamiento jurídico tampoco contempló un término para responder las observaciones y/o solicitudes de aclaraciones; sin embargo, también existe un límite para que la Entidad Estatal se pueda pronunciar sobre esas solicitudes. Así las cosas, se tiene que el pronunciamiento realizado por la Entidad Estatal, a las observaciones y/o solicitudes de aclaraciones al pliego de condiciones definitivo, debe efectuarse antes del vencimiento del plazo establecido en el cronograma para la presentación de las propuestas u ofertas por parte de los interesados.</w:t>
      </w:r>
    </w:p>
    <w:p w14:paraId="285929CF" w14:textId="0E11DCF6" w:rsidR="00FE432E" w:rsidRDefault="00FE432E" w:rsidP="00AD75DA">
      <w:pPr>
        <w:spacing w:after="0" w:line="240" w:lineRule="auto"/>
        <w:jc w:val="both"/>
        <w:rPr>
          <w:rFonts w:ascii="Verdana" w:hAnsi="Verdana" w:cs="Arial"/>
          <w:bCs/>
          <w:sz w:val="20"/>
          <w:szCs w:val="20"/>
          <w:lang w:val="es-MX" w:eastAsia="es-ES" w:bidi="es-ES"/>
        </w:rPr>
      </w:pPr>
      <w:r>
        <w:rPr>
          <w:rFonts w:ascii="Verdana" w:hAnsi="Verdana" w:cs="Arial"/>
          <w:bCs/>
          <w:sz w:val="20"/>
          <w:szCs w:val="20"/>
          <w:lang w:val="es-MX" w:eastAsia="es-ES" w:bidi="es-ES"/>
        </w:rPr>
        <w:t>[…]</w:t>
      </w:r>
    </w:p>
    <w:p w14:paraId="74014DFE" w14:textId="77777777" w:rsidR="00AD75DA" w:rsidRDefault="00AD75DA" w:rsidP="00AD75DA">
      <w:pPr>
        <w:spacing w:after="0" w:line="240" w:lineRule="auto"/>
        <w:jc w:val="both"/>
        <w:rPr>
          <w:rFonts w:ascii="Verdana" w:eastAsia="Batang" w:hAnsi="Verdana" w:cs="Arial"/>
          <w:i/>
          <w:iCs/>
          <w:color w:val="000000"/>
          <w:sz w:val="20"/>
          <w:szCs w:val="20"/>
          <w:lang w:val="es-MX"/>
        </w:rPr>
      </w:pPr>
    </w:p>
    <w:p w14:paraId="6CF6DEE4" w14:textId="35680E81" w:rsidR="00FE432E" w:rsidRDefault="00FE432E" w:rsidP="00AD75DA">
      <w:pPr>
        <w:spacing w:after="0" w:line="240" w:lineRule="auto"/>
        <w:jc w:val="both"/>
        <w:rPr>
          <w:rFonts w:ascii="Verdana" w:eastAsia="Batang" w:hAnsi="Verdana" w:cs="Arial"/>
          <w:color w:val="000000"/>
          <w:sz w:val="20"/>
          <w:szCs w:val="20"/>
          <w:lang w:val="es-MX"/>
        </w:rPr>
      </w:pPr>
      <w:proofErr w:type="spellStart"/>
      <w:r w:rsidRPr="00FE432E">
        <w:rPr>
          <w:rFonts w:ascii="Verdana" w:eastAsia="Batang" w:hAnsi="Verdana" w:cs="Arial"/>
          <w:i/>
          <w:iCs/>
          <w:color w:val="000000"/>
          <w:sz w:val="20"/>
          <w:szCs w:val="20"/>
          <w:lang w:val="es-MX"/>
        </w:rPr>
        <w:t>iii</w:t>
      </w:r>
      <w:proofErr w:type="spellEnd"/>
      <w:r w:rsidRPr="00FE432E">
        <w:rPr>
          <w:rFonts w:ascii="Verdana" w:eastAsia="Batang" w:hAnsi="Verdana" w:cs="Arial"/>
          <w:i/>
          <w:iCs/>
          <w:color w:val="000000"/>
          <w:sz w:val="20"/>
          <w:szCs w:val="20"/>
          <w:lang w:val="es-MX"/>
        </w:rPr>
        <w:t>) Informes de evaluación</w:t>
      </w:r>
      <w:r w:rsidRPr="00FE432E">
        <w:rPr>
          <w:rFonts w:ascii="Verdana" w:eastAsia="Batang" w:hAnsi="Verdana" w:cs="Arial"/>
          <w:color w:val="000000"/>
          <w:sz w:val="20"/>
          <w:szCs w:val="20"/>
          <w:lang w:val="es-MX"/>
        </w:rPr>
        <w:t>. En los procesos de licitación pública se tiene que el informe de evaluación de las propuestas debe permanecer en la Secretaría General de la Entidad Estatal contratante, por el un término de cinco (5) días hábiles. En los procesos de selección de concurso de méritos y de selección abreviada de menor cuantía, las entidades estatales están en la obligación de publicar el informe de evaluación por un término de tres (3) días hábiles, mientras que en los procesos de selección de mínima cuantía ese informe de evaluación deberá publicarse al menos por el término de un (1) día hábil</w:t>
      </w:r>
      <w:r w:rsidRPr="00FE432E">
        <w:rPr>
          <w:rFonts w:ascii="Verdana" w:eastAsia="Batang" w:hAnsi="Verdana" w:cs="Arial"/>
          <w:color w:val="000000"/>
          <w:sz w:val="20"/>
          <w:szCs w:val="20"/>
          <w:lang w:val="es-MX"/>
        </w:rPr>
        <w:t>.</w:t>
      </w:r>
    </w:p>
    <w:p w14:paraId="0AF3ACCC" w14:textId="77777777" w:rsidR="00AD75DA" w:rsidRDefault="00AD75DA" w:rsidP="00AD75DA">
      <w:pPr>
        <w:spacing w:after="0" w:line="240" w:lineRule="auto"/>
        <w:jc w:val="both"/>
        <w:rPr>
          <w:rFonts w:ascii="Verdana" w:hAnsi="Verdana" w:cs="Arial"/>
          <w:bCs/>
          <w:sz w:val="20"/>
          <w:szCs w:val="20"/>
          <w:lang w:val="es-MX" w:eastAsia="es-ES" w:bidi="es-ES"/>
        </w:rPr>
      </w:pPr>
    </w:p>
    <w:p w14:paraId="5115DD84" w14:textId="7119EF06" w:rsidR="009F0373" w:rsidRPr="00FE432E" w:rsidRDefault="009F0373" w:rsidP="00AD75DA">
      <w:pPr>
        <w:spacing w:after="0" w:line="240" w:lineRule="auto"/>
        <w:jc w:val="both"/>
        <w:rPr>
          <w:rFonts w:ascii="Verdana" w:hAnsi="Verdana" w:cs="Arial"/>
          <w:bCs/>
          <w:sz w:val="20"/>
          <w:szCs w:val="20"/>
          <w:lang w:val="es-MX" w:eastAsia="es-ES" w:bidi="es-ES"/>
        </w:rPr>
      </w:pPr>
      <w:r w:rsidRPr="009F0373">
        <w:rPr>
          <w:rFonts w:ascii="Verdana" w:hAnsi="Verdana" w:cs="Arial"/>
          <w:bCs/>
          <w:sz w:val="20"/>
          <w:szCs w:val="20"/>
          <w:lang w:val="es-MX" w:eastAsia="es-ES" w:bidi="es-ES"/>
        </w:rPr>
        <w:t>El propósito de la publicidad del informe de evaluación de las propuestas en cada uno de los procesos de selección citados es que los oferentes, interesados y cualquier persona en general puedan realizar las observaciones que a su juicio consideren pertinentes. No obstante, el ordenamiento jurídico no contempló de manera expresa un término para que las entidades estatales se pronuncien sobre las observaciones presentadas al informe de evaluación. Sin embargo, sí existe un momento límite para responder esas observaciones, el cual está determinado por el acto de adjudicación del respectivo contrato, es decir, la Entidad Estatal contratante antes de proferir su decisión de adjudicación del contrato, está en la obligación de responder las observaciones presentadas al informe de evaluación de las propuestas, como condición previa para la expedición del acto de adjudicación.</w:t>
      </w:r>
    </w:p>
    <w:p w14:paraId="2B6F3029" w14:textId="77777777" w:rsidR="00FE432E" w:rsidRPr="00FE432E" w:rsidRDefault="00FE432E" w:rsidP="00FE432E">
      <w:pPr>
        <w:spacing w:after="0" w:line="240" w:lineRule="auto"/>
        <w:jc w:val="both"/>
        <w:rPr>
          <w:rFonts w:ascii="Verdana" w:hAnsi="Verdana" w:cs="Arial"/>
          <w:bCs/>
          <w:sz w:val="20"/>
          <w:szCs w:val="20"/>
          <w:lang w:val="es-MX" w:eastAsia="es-ES" w:bidi="es-ES"/>
        </w:rPr>
      </w:pPr>
    </w:p>
    <w:p w14:paraId="4D266E7C" w14:textId="65023EEE" w:rsidR="00EF5376" w:rsidRDefault="00EF5376" w:rsidP="00EF5376">
      <w:pPr>
        <w:jc w:val="both"/>
        <w:rPr>
          <w:rFonts w:ascii="Verdana" w:hAnsi="Verdana" w:cs="Arial"/>
          <w:b/>
          <w:lang w:eastAsia="es-ES" w:bidi="es-ES"/>
        </w:rPr>
      </w:pPr>
      <w:r w:rsidRPr="00EF5376">
        <w:rPr>
          <w:rFonts w:ascii="Verdana" w:hAnsi="Verdana" w:cs="Arial"/>
          <w:b/>
          <w:lang w:eastAsia="es-ES" w:bidi="es-ES"/>
        </w:rPr>
        <w:t xml:space="preserve">CONTROL SOCIAL – Ley 1757 de 2015 artículo 62 – Instrumentos </w:t>
      </w:r>
    </w:p>
    <w:p w14:paraId="1366F950" w14:textId="77777777" w:rsidR="009F0373" w:rsidRDefault="009F0373" w:rsidP="009F0373">
      <w:pPr>
        <w:shd w:val="clear" w:color="auto" w:fill="FFFFFF"/>
        <w:spacing w:after="0" w:line="240" w:lineRule="auto"/>
        <w:jc w:val="both"/>
        <w:rPr>
          <w:rFonts w:ascii="Verdana" w:hAnsi="Verdana" w:cs="Arial"/>
          <w:color w:val="000000" w:themeColor="text1"/>
          <w:sz w:val="20"/>
          <w:szCs w:val="20"/>
          <w:lang w:val="es-ES" w:eastAsia="es-ES_tradnl"/>
        </w:rPr>
      </w:pPr>
      <w:r w:rsidRPr="009F0373">
        <w:rPr>
          <w:rFonts w:ascii="Verdana" w:hAnsi="Verdana" w:cs="Arial"/>
          <w:color w:val="000000" w:themeColor="text1"/>
          <w:sz w:val="20"/>
          <w:szCs w:val="20"/>
          <w:lang w:val="es-ES" w:eastAsia="es-ES_tradnl"/>
        </w:rPr>
        <w:t>El control social se sustenta en las acciones que puede ejercer la veeduría ciudadana de conformidad con lo dispuesto en el artículo 62 de la Ley 1757 de 2015, concretamente:</w:t>
      </w:r>
    </w:p>
    <w:p w14:paraId="2E6E04C6" w14:textId="77777777" w:rsidR="00AD75DA" w:rsidRDefault="00AD75DA" w:rsidP="00AD75DA">
      <w:pPr>
        <w:shd w:val="clear" w:color="auto" w:fill="FFFFFF"/>
        <w:spacing w:after="0" w:line="240" w:lineRule="auto"/>
        <w:jc w:val="both"/>
        <w:rPr>
          <w:rFonts w:ascii="Verdana" w:eastAsia="Times New Roman" w:hAnsi="Verdana" w:cs="Arial"/>
          <w:color w:val="000000" w:themeColor="text1"/>
          <w:sz w:val="20"/>
          <w:szCs w:val="20"/>
          <w:lang w:eastAsia="es-ES_tradnl"/>
        </w:rPr>
      </w:pPr>
    </w:p>
    <w:p w14:paraId="70771E0B" w14:textId="2CB81E45" w:rsidR="009F0373" w:rsidRPr="009F0373" w:rsidRDefault="009F0373" w:rsidP="00AD75DA">
      <w:pPr>
        <w:shd w:val="clear" w:color="auto" w:fill="FFFFFF"/>
        <w:spacing w:after="0" w:line="240" w:lineRule="auto"/>
        <w:jc w:val="both"/>
        <w:rPr>
          <w:rFonts w:ascii="Verdana" w:hAnsi="Verdana" w:cs="Arial"/>
          <w:color w:val="000000" w:themeColor="text1"/>
          <w:sz w:val="20"/>
          <w:szCs w:val="20"/>
          <w:lang w:val="es-ES" w:eastAsia="es-ES_tradnl"/>
        </w:rPr>
      </w:pPr>
      <w:r w:rsidRPr="009F0373">
        <w:rPr>
          <w:rFonts w:ascii="Verdana" w:eastAsia="Times New Roman" w:hAnsi="Verdana" w:cs="Arial"/>
          <w:color w:val="000000" w:themeColor="text1"/>
          <w:sz w:val="20"/>
          <w:szCs w:val="20"/>
          <w:lang w:eastAsia="es-ES_tradnl"/>
        </w:rPr>
        <w:t>a) Solicitar la información pública que se requiera para el desarrollo de su labor, en los términos del Código de Procedimiento Administrativo y de lo Contencioso Administrativo;</w:t>
      </w:r>
    </w:p>
    <w:p w14:paraId="24C87DBD" w14:textId="77777777" w:rsidR="009F0373" w:rsidRPr="009F0373" w:rsidRDefault="009F0373" w:rsidP="00AD75DA">
      <w:pPr>
        <w:shd w:val="clear" w:color="auto" w:fill="FFFFFF"/>
        <w:spacing w:after="0" w:line="240" w:lineRule="auto"/>
        <w:jc w:val="both"/>
        <w:rPr>
          <w:rFonts w:ascii="Verdana" w:eastAsia="Times New Roman" w:hAnsi="Verdana" w:cs="Arial"/>
          <w:color w:val="000000" w:themeColor="text1"/>
          <w:sz w:val="20"/>
          <w:szCs w:val="20"/>
          <w:lang w:eastAsia="es-ES_tradnl"/>
        </w:rPr>
      </w:pPr>
      <w:r w:rsidRPr="009F0373">
        <w:rPr>
          <w:rFonts w:ascii="Verdana" w:eastAsia="Times New Roman" w:hAnsi="Verdana" w:cs="Arial"/>
          <w:color w:val="000000" w:themeColor="text1"/>
          <w:sz w:val="20"/>
          <w:szCs w:val="20"/>
          <w:lang w:eastAsia="es-ES_tradnl"/>
        </w:rPr>
        <w:t>b) Presentar observaciones de la labor desarrollada al ente encargado de la política pública;</w:t>
      </w:r>
    </w:p>
    <w:p w14:paraId="3A8C8B4F" w14:textId="77777777" w:rsidR="009F0373" w:rsidRPr="009F0373" w:rsidRDefault="009F0373" w:rsidP="00AD75DA">
      <w:pPr>
        <w:shd w:val="clear" w:color="auto" w:fill="FFFFFF"/>
        <w:spacing w:after="0" w:line="240" w:lineRule="auto"/>
        <w:jc w:val="both"/>
        <w:rPr>
          <w:rFonts w:ascii="Verdana" w:eastAsia="Times New Roman" w:hAnsi="Verdana" w:cs="Arial"/>
          <w:color w:val="000000" w:themeColor="text1"/>
          <w:sz w:val="20"/>
          <w:szCs w:val="20"/>
          <w:lang w:eastAsia="es-ES_tradnl"/>
        </w:rPr>
      </w:pPr>
      <w:r w:rsidRPr="009F0373">
        <w:rPr>
          <w:rFonts w:ascii="Verdana" w:eastAsia="Times New Roman" w:hAnsi="Verdana" w:cs="Arial"/>
          <w:color w:val="000000" w:themeColor="text1"/>
          <w:sz w:val="20"/>
          <w:szCs w:val="20"/>
          <w:lang w:eastAsia="es-ES_tradnl"/>
        </w:rPr>
        <w:t>c) Presentar peticiones, denuncias, quejas y reclamos ante las autoridades competentes.</w:t>
      </w:r>
    </w:p>
    <w:p w14:paraId="3CC932C3" w14:textId="77777777" w:rsidR="009F0373" w:rsidRPr="009F0373" w:rsidRDefault="009F0373" w:rsidP="00AD75DA">
      <w:pPr>
        <w:shd w:val="clear" w:color="auto" w:fill="FFFFFF"/>
        <w:spacing w:after="0" w:line="240" w:lineRule="auto"/>
        <w:jc w:val="both"/>
        <w:rPr>
          <w:rFonts w:ascii="Verdana" w:eastAsia="Times New Roman" w:hAnsi="Verdana" w:cs="Arial"/>
          <w:color w:val="000000" w:themeColor="text1"/>
          <w:sz w:val="20"/>
          <w:szCs w:val="20"/>
          <w:lang w:eastAsia="es-ES_tradnl"/>
        </w:rPr>
      </w:pPr>
      <w:r w:rsidRPr="009F0373">
        <w:rPr>
          <w:rFonts w:ascii="Verdana" w:eastAsia="Times New Roman" w:hAnsi="Verdana" w:cs="Arial"/>
          <w:color w:val="000000" w:themeColor="text1"/>
          <w:sz w:val="20"/>
          <w:szCs w:val="20"/>
          <w:lang w:eastAsia="es-ES_tradnl"/>
        </w:rPr>
        <w:t>d) Presentar acciones populares en los términos de la Ley 472 de 1998;</w:t>
      </w:r>
    </w:p>
    <w:p w14:paraId="0DAD2D3F" w14:textId="77777777" w:rsidR="009F0373" w:rsidRPr="009F0373" w:rsidRDefault="009F0373" w:rsidP="00AD75DA">
      <w:pPr>
        <w:shd w:val="clear" w:color="auto" w:fill="FFFFFF"/>
        <w:spacing w:after="0" w:line="240" w:lineRule="auto"/>
        <w:jc w:val="both"/>
        <w:rPr>
          <w:rFonts w:ascii="Verdana" w:eastAsia="Times New Roman" w:hAnsi="Verdana" w:cs="Arial"/>
          <w:color w:val="000000" w:themeColor="text1"/>
          <w:sz w:val="20"/>
          <w:szCs w:val="20"/>
          <w:lang w:eastAsia="es-ES_tradnl"/>
        </w:rPr>
      </w:pPr>
      <w:r w:rsidRPr="009F0373">
        <w:rPr>
          <w:rFonts w:ascii="Verdana" w:eastAsia="Times New Roman" w:hAnsi="Verdana" w:cs="Arial"/>
          <w:color w:val="000000" w:themeColor="text1"/>
          <w:sz w:val="20"/>
          <w:szCs w:val="20"/>
          <w:lang w:eastAsia="es-ES_tradnl"/>
        </w:rPr>
        <w:t>e) Presentar acciones de cumplimiento en los términos de la Ley 393 de 1997;</w:t>
      </w:r>
    </w:p>
    <w:p w14:paraId="47AD8B86" w14:textId="77777777" w:rsidR="009F0373" w:rsidRPr="009F0373" w:rsidRDefault="009F0373" w:rsidP="00AD75DA">
      <w:pPr>
        <w:shd w:val="clear" w:color="auto" w:fill="FFFFFF"/>
        <w:spacing w:after="0" w:line="240" w:lineRule="auto"/>
        <w:jc w:val="both"/>
        <w:rPr>
          <w:rFonts w:ascii="Verdana" w:eastAsia="Times New Roman" w:hAnsi="Verdana" w:cs="Arial"/>
          <w:color w:val="000000" w:themeColor="text1"/>
          <w:sz w:val="20"/>
          <w:szCs w:val="20"/>
          <w:lang w:eastAsia="es-ES_tradnl"/>
        </w:rPr>
      </w:pPr>
      <w:r w:rsidRPr="009F0373">
        <w:rPr>
          <w:rFonts w:ascii="Verdana" w:eastAsia="Times New Roman" w:hAnsi="Verdana" w:cs="Arial"/>
          <w:color w:val="000000" w:themeColor="text1"/>
          <w:sz w:val="20"/>
          <w:szCs w:val="20"/>
          <w:lang w:eastAsia="es-ES_tradnl"/>
        </w:rPr>
        <w:t>f) Presentar Acciones de Tutela en los términos del Decreto número 2591 de 1991;</w:t>
      </w:r>
    </w:p>
    <w:p w14:paraId="67CE7203" w14:textId="77777777" w:rsidR="009F0373" w:rsidRPr="009F0373" w:rsidRDefault="009F0373" w:rsidP="00AD75DA">
      <w:pPr>
        <w:shd w:val="clear" w:color="auto" w:fill="FFFFFF"/>
        <w:spacing w:after="0" w:line="240" w:lineRule="auto"/>
        <w:jc w:val="both"/>
        <w:rPr>
          <w:rFonts w:ascii="Verdana" w:eastAsia="Times New Roman" w:hAnsi="Verdana" w:cs="Arial"/>
          <w:color w:val="000000" w:themeColor="text1"/>
          <w:sz w:val="20"/>
          <w:szCs w:val="20"/>
          <w:lang w:eastAsia="es-ES_tradnl"/>
        </w:rPr>
      </w:pPr>
      <w:r w:rsidRPr="009F0373">
        <w:rPr>
          <w:rFonts w:ascii="Verdana" w:eastAsia="Times New Roman" w:hAnsi="Verdana" w:cs="Arial"/>
          <w:color w:val="000000" w:themeColor="text1"/>
          <w:sz w:val="20"/>
          <w:szCs w:val="20"/>
          <w:lang w:eastAsia="es-ES_tradnl"/>
        </w:rPr>
        <w:t>g) Participar en Audiencias Públicas ante los entes que las convoquen;</w:t>
      </w:r>
    </w:p>
    <w:p w14:paraId="0C6AC3C0" w14:textId="77777777" w:rsidR="00AD75DA" w:rsidRDefault="009F0373" w:rsidP="00AD75DA">
      <w:pPr>
        <w:shd w:val="clear" w:color="auto" w:fill="FFFFFF"/>
        <w:spacing w:after="0" w:line="240" w:lineRule="auto"/>
        <w:jc w:val="both"/>
        <w:rPr>
          <w:rFonts w:ascii="Verdana" w:eastAsia="Times New Roman" w:hAnsi="Verdana" w:cs="Arial"/>
          <w:color w:val="000000" w:themeColor="text1"/>
          <w:sz w:val="20"/>
          <w:szCs w:val="20"/>
          <w:lang w:eastAsia="es-ES_tradnl"/>
        </w:rPr>
      </w:pPr>
      <w:r w:rsidRPr="009F0373">
        <w:rPr>
          <w:rFonts w:ascii="Verdana" w:eastAsia="Times New Roman" w:hAnsi="Verdana" w:cs="Arial"/>
          <w:color w:val="000000" w:themeColor="text1"/>
          <w:sz w:val="20"/>
          <w:szCs w:val="20"/>
          <w:lang w:eastAsia="es-ES_tradnl"/>
        </w:rPr>
        <w:t>h) Hacer uso de los recursos y acciones legales que se requieran para el desarrollo del control social.</w:t>
      </w:r>
    </w:p>
    <w:p w14:paraId="32731563" w14:textId="77777777" w:rsidR="00AD75DA" w:rsidRDefault="00AD75DA" w:rsidP="00AD75DA">
      <w:pPr>
        <w:shd w:val="clear" w:color="auto" w:fill="FFFFFF"/>
        <w:spacing w:after="0" w:line="240" w:lineRule="auto"/>
        <w:jc w:val="both"/>
        <w:rPr>
          <w:rFonts w:ascii="Verdana" w:eastAsia="Times New Roman" w:hAnsi="Verdana" w:cs="Arial"/>
          <w:color w:val="000000" w:themeColor="text1"/>
          <w:sz w:val="20"/>
          <w:szCs w:val="20"/>
          <w:lang w:eastAsia="es-ES_tradnl"/>
        </w:rPr>
      </w:pPr>
    </w:p>
    <w:p w14:paraId="485C2E3F" w14:textId="76E4613B" w:rsidR="009F0373" w:rsidRPr="00AD75DA" w:rsidRDefault="009F0373" w:rsidP="00AD75DA">
      <w:pPr>
        <w:shd w:val="clear" w:color="auto" w:fill="FFFFFF"/>
        <w:spacing w:after="0" w:line="240" w:lineRule="auto"/>
        <w:jc w:val="both"/>
        <w:rPr>
          <w:rFonts w:ascii="Verdana" w:eastAsia="Times New Roman" w:hAnsi="Verdana" w:cs="Arial"/>
          <w:color w:val="000000" w:themeColor="text1"/>
          <w:sz w:val="20"/>
          <w:szCs w:val="20"/>
          <w:lang w:eastAsia="es-ES_tradnl"/>
        </w:rPr>
      </w:pPr>
      <w:r w:rsidRPr="009F0373">
        <w:rPr>
          <w:rFonts w:ascii="Verdana" w:hAnsi="Verdana" w:cs="Arial"/>
          <w:bCs/>
          <w:sz w:val="20"/>
          <w:szCs w:val="20"/>
          <w:lang w:eastAsia="es-ES" w:bidi="es-ES"/>
        </w:rPr>
        <w:t xml:space="preserve">[…] </w:t>
      </w:r>
    </w:p>
    <w:p w14:paraId="10449DBD" w14:textId="77777777" w:rsidR="009F0373" w:rsidRDefault="009F0373" w:rsidP="009F0373">
      <w:pPr>
        <w:shd w:val="clear" w:color="auto" w:fill="FFFFFF"/>
        <w:spacing w:after="0" w:line="240" w:lineRule="auto"/>
        <w:jc w:val="both"/>
        <w:rPr>
          <w:rFonts w:ascii="Verdana" w:hAnsi="Verdana" w:cs="Arial"/>
          <w:color w:val="000000" w:themeColor="text1"/>
          <w:sz w:val="20"/>
          <w:szCs w:val="20"/>
          <w:lang w:val="es-ES" w:eastAsia="es-ES_tradnl"/>
        </w:rPr>
      </w:pPr>
    </w:p>
    <w:p w14:paraId="517C87E3" w14:textId="77777777" w:rsidR="009F0373" w:rsidRDefault="009F0373" w:rsidP="009F0373">
      <w:pPr>
        <w:shd w:val="clear" w:color="auto" w:fill="FFFFFF"/>
        <w:spacing w:after="0" w:line="240" w:lineRule="auto"/>
        <w:jc w:val="both"/>
        <w:rPr>
          <w:rFonts w:ascii="Verdana" w:hAnsi="Verdana" w:cs="Arial"/>
          <w:color w:val="000000" w:themeColor="text1"/>
          <w:sz w:val="20"/>
          <w:szCs w:val="20"/>
          <w:lang w:val="es-ES" w:eastAsia="es-ES_tradnl"/>
        </w:rPr>
      </w:pPr>
      <w:r>
        <w:rPr>
          <w:rFonts w:ascii="Verdana" w:hAnsi="Verdana" w:cs="Arial"/>
          <w:color w:val="000000" w:themeColor="text1"/>
          <w:sz w:val="20"/>
          <w:szCs w:val="20"/>
          <w:lang w:val="es-ES" w:eastAsia="es-ES_tradnl"/>
        </w:rPr>
        <w:t xml:space="preserve">[…] </w:t>
      </w:r>
      <w:r w:rsidRPr="009F0373">
        <w:rPr>
          <w:rFonts w:ascii="Verdana" w:hAnsi="Verdana" w:cs="Arial"/>
          <w:color w:val="000000" w:themeColor="text1"/>
          <w:sz w:val="20"/>
          <w:szCs w:val="20"/>
          <w:lang w:val="es-ES" w:eastAsia="es-ES_tradnl"/>
        </w:rPr>
        <w:t>teniendo en cuenta que el control social es un derecho y un deber ciudadano que autoriza y exige de estos participar de manera individual o colectiva en la vigilancia de la gestión pública y sus resultados, es preciso señalar que su ejercicio opera por ministerio de la Ley. Esto significa que no es necesaria su inclusión en el contrato estatal para que pueda realizarse. Basta con que la ciudadanía tenga acceso a la información respectiva, contemplada en las herramientas dispuestas para tal fin, para que puedan ejercer las funciones establecidas en las leyes que lo regulan. La participación podrá realizarse mediante el uso de los instrumentos de acción, tales como la intervención en audiencias públicas, observaciones, requerimientos, peticiones, quejas, denuncias ante autoridades competentes, acciones de tutela y las demás acciones reglamentadas en la Ley.</w:t>
      </w:r>
    </w:p>
    <w:p w14:paraId="4BCC1AA2" w14:textId="77777777" w:rsidR="00AD75DA" w:rsidRDefault="00AD75DA" w:rsidP="009F0373">
      <w:pPr>
        <w:shd w:val="clear" w:color="auto" w:fill="FFFFFF"/>
        <w:spacing w:after="0" w:line="240" w:lineRule="auto"/>
        <w:jc w:val="both"/>
        <w:rPr>
          <w:rFonts w:ascii="Verdana" w:eastAsia="Verdana" w:hAnsi="Verdana" w:cs="Verdana"/>
        </w:rPr>
      </w:pPr>
    </w:p>
    <w:p w14:paraId="110A76AB" w14:textId="77777777" w:rsidR="00AD75DA" w:rsidRDefault="00AD75DA" w:rsidP="009F0373">
      <w:pPr>
        <w:shd w:val="clear" w:color="auto" w:fill="FFFFFF"/>
        <w:spacing w:after="0" w:line="240" w:lineRule="auto"/>
        <w:jc w:val="both"/>
        <w:rPr>
          <w:rFonts w:ascii="Verdana" w:eastAsia="Verdana" w:hAnsi="Verdana" w:cs="Verdana"/>
        </w:rPr>
      </w:pPr>
    </w:p>
    <w:p w14:paraId="4DBF005B" w14:textId="77777777" w:rsidR="00AD75DA" w:rsidRDefault="00AD75DA" w:rsidP="009F0373">
      <w:pPr>
        <w:shd w:val="clear" w:color="auto" w:fill="FFFFFF"/>
        <w:spacing w:after="0" w:line="240" w:lineRule="auto"/>
        <w:jc w:val="both"/>
        <w:rPr>
          <w:rFonts w:ascii="Verdana" w:eastAsia="Verdana" w:hAnsi="Verdana" w:cs="Verdana"/>
        </w:rPr>
      </w:pPr>
    </w:p>
    <w:p w14:paraId="70C88E3E" w14:textId="77777777" w:rsidR="00AD75DA" w:rsidRDefault="00AD75DA" w:rsidP="009F0373">
      <w:pPr>
        <w:shd w:val="clear" w:color="auto" w:fill="FFFFFF"/>
        <w:spacing w:after="0" w:line="240" w:lineRule="auto"/>
        <w:jc w:val="both"/>
        <w:rPr>
          <w:rFonts w:ascii="Verdana" w:eastAsia="Verdana" w:hAnsi="Verdana" w:cs="Verdana"/>
        </w:rPr>
      </w:pPr>
    </w:p>
    <w:p w14:paraId="71B5B77D" w14:textId="77777777" w:rsidR="00AD75DA" w:rsidRDefault="00AD75DA" w:rsidP="009F0373">
      <w:pPr>
        <w:shd w:val="clear" w:color="auto" w:fill="FFFFFF"/>
        <w:spacing w:after="0" w:line="240" w:lineRule="auto"/>
        <w:jc w:val="both"/>
        <w:rPr>
          <w:rFonts w:ascii="Verdana" w:eastAsia="Verdana" w:hAnsi="Verdana" w:cs="Verdana"/>
        </w:rPr>
      </w:pPr>
    </w:p>
    <w:p w14:paraId="2060C2F6" w14:textId="77777777" w:rsidR="00AD75DA" w:rsidRDefault="00AD75DA" w:rsidP="009F0373">
      <w:pPr>
        <w:shd w:val="clear" w:color="auto" w:fill="FFFFFF"/>
        <w:spacing w:after="0" w:line="240" w:lineRule="auto"/>
        <w:jc w:val="both"/>
        <w:rPr>
          <w:rFonts w:ascii="Verdana" w:eastAsia="Verdana" w:hAnsi="Verdana" w:cs="Verdana"/>
        </w:rPr>
      </w:pPr>
    </w:p>
    <w:p w14:paraId="4CDF471E" w14:textId="77777777" w:rsidR="00AD75DA" w:rsidRDefault="00AD75DA" w:rsidP="009F0373">
      <w:pPr>
        <w:shd w:val="clear" w:color="auto" w:fill="FFFFFF"/>
        <w:spacing w:after="0" w:line="240" w:lineRule="auto"/>
        <w:jc w:val="both"/>
        <w:rPr>
          <w:rFonts w:ascii="Verdana" w:eastAsia="Verdana" w:hAnsi="Verdana" w:cs="Verdana"/>
        </w:rPr>
      </w:pPr>
    </w:p>
    <w:p w14:paraId="6DFC92B2" w14:textId="5905C18E" w:rsidR="000718C2" w:rsidRPr="009F0373" w:rsidRDefault="00C249D5" w:rsidP="009F0373">
      <w:pPr>
        <w:shd w:val="clear" w:color="auto" w:fill="FFFFFF"/>
        <w:spacing w:after="0" w:line="240" w:lineRule="auto"/>
        <w:jc w:val="both"/>
        <w:rPr>
          <w:rFonts w:ascii="Verdana" w:hAnsi="Verdana" w:cs="Arial"/>
          <w:color w:val="000000" w:themeColor="text1"/>
          <w:sz w:val="20"/>
          <w:szCs w:val="20"/>
          <w:lang w:val="es-ES" w:eastAsia="es-ES_tradnl"/>
        </w:rPr>
      </w:pPr>
      <w:r w:rsidRPr="30821638">
        <w:rPr>
          <w:rFonts w:ascii="Verdana" w:eastAsia="Verdana" w:hAnsi="Verdana" w:cs="Verdana"/>
        </w:rPr>
        <w:t xml:space="preserve">Bogotá D.C., </w:t>
      </w:r>
      <w:r w:rsidR="000718C2">
        <w:rPr>
          <w:rFonts w:ascii="Verdana" w:eastAsia="Verdana" w:hAnsi="Verdana" w:cs="Verdana"/>
        </w:rPr>
        <w:t>24 Julio 2026</w:t>
      </w:r>
    </w:p>
    <w:p w14:paraId="365A4195" w14:textId="4E589F6E" w:rsidR="00C249D5" w:rsidRPr="00F9720B" w:rsidRDefault="000718C2" w:rsidP="000718C2">
      <w:pPr>
        <w:spacing w:after="0" w:line="240" w:lineRule="auto"/>
        <w:jc w:val="right"/>
        <w:rPr>
          <w:rFonts w:ascii="Verdana" w:hAnsi="Verdana"/>
        </w:rPr>
      </w:pPr>
      <w:r w:rsidRPr="000718C2">
        <w:rPr>
          <w:rFonts w:ascii="Verdana" w:hAnsi="Verdana"/>
        </w:rPr>
        <w:drawing>
          <wp:inline distT="0" distB="0" distL="0" distR="0" wp14:anchorId="38E9241D" wp14:editId="3C6C73D7">
            <wp:extent cx="2104931" cy="469953"/>
            <wp:effectExtent l="0" t="0" r="0" b="6350"/>
            <wp:docPr id="18975260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26097" name=""/>
                    <pic:cNvPicPr/>
                  </pic:nvPicPr>
                  <pic:blipFill>
                    <a:blip r:embed="rId10"/>
                    <a:stretch>
                      <a:fillRect/>
                    </a:stretch>
                  </pic:blipFill>
                  <pic:spPr>
                    <a:xfrm>
                      <a:off x="0" y="0"/>
                      <a:ext cx="2121899" cy="473741"/>
                    </a:xfrm>
                    <a:prstGeom prst="rect">
                      <a:avLst/>
                    </a:prstGeom>
                  </pic:spPr>
                </pic:pic>
              </a:graphicData>
            </a:graphic>
          </wp:inline>
        </w:drawing>
      </w:r>
      <w:r w:rsidR="00C249D5" w:rsidRPr="00F9720B">
        <w:rPr>
          <w:rFonts w:ascii="Verdana" w:hAnsi="Verdana"/>
        </w:rPr>
        <w:tab/>
      </w:r>
      <w:r w:rsidR="00C249D5" w:rsidRPr="00F9720B">
        <w:rPr>
          <w:rFonts w:ascii="Verdana" w:hAnsi="Verdana"/>
        </w:rPr>
        <w:br/>
      </w:r>
      <w:bookmarkEnd w:id="0"/>
      <w:r w:rsidR="00C249D5" w:rsidRPr="00F9720B">
        <w:rPr>
          <w:rFonts w:ascii="Verdana" w:hAnsi="Verdana"/>
        </w:rPr>
        <w:tab/>
      </w:r>
    </w:p>
    <w:p w14:paraId="3F92B829" w14:textId="77777777" w:rsidR="00C249D5" w:rsidRPr="00F9720B" w:rsidRDefault="00C249D5" w:rsidP="00C249D5">
      <w:pPr>
        <w:spacing w:after="0" w:line="240" w:lineRule="auto"/>
        <w:jc w:val="both"/>
        <w:rPr>
          <w:rFonts w:ascii="Verdana" w:eastAsia="Calibri" w:hAnsi="Verdana" w:cs="Arial"/>
          <w:lang w:eastAsia="es-ES"/>
        </w:rPr>
      </w:pPr>
      <w:bookmarkStart w:id="1" w:name="_Hlk214366482"/>
      <w:r w:rsidRPr="00F9720B">
        <w:rPr>
          <w:rFonts w:ascii="Verdana" w:eastAsia="Calibri" w:hAnsi="Verdana" w:cs="Arial"/>
          <w:lang w:eastAsia="es-ES"/>
        </w:rPr>
        <w:t xml:space="preserve">Entidad </w:t>
      </w:r>
    </w:p>
    <w:p w14:paraId="7AAFDE39" w14:textId="77777777" w:rsidR="00C249D5" w:rsidRDefault="00C249D5" w:rsidP="00C249D5">
      <w:pPr>
        <w:spacing w:after="0" w:line="240" w:lineRule="auto"/>
        <w:jc w:val="both"/>
        <w:rPr>
          <w:rFonts w:ascii="Verdana" w:eastAsia="Calibri" w:hAnsi="Verdana" w:cs="Arial"/>
          <w:b/>
          <w:bCs/>
          <w:lang w:eastAsia="es-ES"/>
        </w:rPr>
      </w:pPr>
      <w:r>
        <w:rPr>
          <w:rFonts w:ascii="Verdana" w:eastAsia="Calibri" w:hAnsi="Verdana" w:cs="Arial"/>
          <w:b/>
          <w:bCs/>
          <w:lang w:eastAsia="es-ES"/>
        </w:rPr>
        <w:t xml:space="preserve">Secretaría de Educación de Funza </w:t>
      </w:r>
    </w:p>
    <w:p w14:paraId="47ED2F09" w14:textId="77777777" w:rsidR="00C249D5" w:rsidRPr="0088350B" w:rsidRDefault="00C249D5" w:rsidP="00C249D5">
      <w:pPr>
        <w:spacing w:after="0" w:line="240" w:lineRule="auto"/>
        <w:jc w:val="both"/>
        <w:rPr>
          <w:rFonts w:ascii="Verdana" w:hAnsi="Verdana"/>
          <w:b/>
          <w:bCs/>
        </w:rPr>
      </w:pPr>
      <w:hyperlink r:id="rId11" w:history="1">
        <w:r w:rsidRPr="0088350B">
          <w:rPr>
            <w:rStyle w:val="Hipervnculo"/>
            <w:rFonts w:ascii="Verdana" w:hAnsi="Verdana"/>
            <w:b/>
            <w:bCs/>
          </w:rPr>
          <w:t>educacion@funza-cundinamarca.gov.co</w:t>
        </w:r>
      </w:hyperlink>
    </w:p>
    <w:p w14:paraId="71324FB2" w14:textId="77777777" w:rsidR="00C249D5" w:rsidRDefault="00C249D5" w:rsidP="00C249D5">
      <w:pPr>
        <w:spacing w:after="0" w:line="240" w:lineRule="auto"/>
        <w:jc w:val="both"/>
        <w:rPr>
          <w:rFonts w:ascii="Verdana" w:hAnsi="Verdana"/>
        </w:rPr>
      </w:pPr>
      <w:r>
        <w:rPr>
          <w:rFonts w:ascii="Verdana" w:hAnsi="Verdana"/>
        </w:rPr>
        <w:t>Ciudad</w:t>
      </w:r>
    </w:p>
    <w:p w14:paraId="3228614B" w14:textId="77777777" w:rsidR="00C249D5" w:rsidRPr="007F2AEC" w:rsidRDefault="00C249D5" w:rsidP="00C249D5">
      <w:pPr>
        <w:spacing w:after="0" w:line="240" w:lineRule="auto"/>
        <w:jc w:val="both"/>
        <w:rPr>
          <w:rFonts w:ascii="Verdana" w:hAnsi="Verdana"/>
        </w:rPr>
      </w:pPr>
    </w:p>
    <w:p w14:paraId="52293703" w14:textId="77777777" w:rsidR="00C249D5" w:rsidRPr="007F2AEC" w:rsidRDefault="00C249D5" w:rsidP="00C249D5">
      <w:pPr>
        <w:spacing w:after="0" w:line="240" w:lineRule="auto"/>
        <w:jc w:val="both"/>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C249D5" w:rsidRPr="005644FE" w14:paraId="66E0637D" w14:textId="77777777" w:rsidTr="007D4245">
        <w:trPr>
          <w:trHeight w:val="162"/>
        </w:trPr>
        <w:tc>
          <w:tcPr>
            <w:tcW w:w="3119" w:type="dxa"/>
          </w:tcPr>
          <w:p w14:paraId="123053D8" w14:textId="77777777" w:rsidR="00C249D5" w:rsidRPr="007F2AEC" w:rsidRDefault="00C249D5" w:rsidP="007D4245">
            <w:pPr>
              <w:jc w:val="both"/>
              <w:rPr>
                <w:rFonts w:ascii="Verdana" w:eastAsia="Calibri" w:hAnsi="Verdana" w:cs="Arial"/>
                <w:b/>
                <w:bCs/>
                <w:color w:val="7030A0"/>
                <w:lang w:eastAsia="es-ES_tradnl"/>
              </w:rPr>
            </w:pPr>
          </w:p>
        </w:tc>
        <w:tc>
          <w:tcPr>
            <w:tcW w:w="5670" w:type="dxa"/>
          </w:tcPr>
          <w:p w14:paraId="630D5291" w14:textId="77777777" w:rsidR="00C249D5" w:rsidRPr="005644FE" w:rsidRDefault="00C249D5" w:rsidP="007D4245">
            <w:pPr>
              <w:jc w:val="both"/>
              <w:rPr>
                <w:rFonts w:ascii="Verdana" w:eastAsia="Calibri" w:hAnsi="Verdana" w:cs="Arial"/>
                <w:b/>
                <w:bCs/>
                <w:lang w:eastAsia="es-ES"/>
              </w:rPr>
            </w:pPr>
            <w:r w:rsidRPr="005644FE">
              <w:rPr>
                <w:rFonts w:ascii="Verdana" w:eastAsia="Calibri" w:hAnsi="Verdana" w:cs="Arial"/>
                <w:b/>
                <w:bCs/>
                <w:lang w:eastAsia="es-ES"/>
              </w:rPr>
              <w:t>Concepto C</w:t>
            </w:r>
            <w:r w:rsidRPr="00D260F1">
              <w:rPr>
                <w:rFonts w:ascii="Verdana" w:eastAsia="Calibri" w:hAnsi="Verdana" w:cs="Arial"/>
                <w:b/>
                <w:bCs/>
                <w:lang w:eastAsia="es-ES"/>
              </w:rPr>
              <w:t>-</w:t>
            </w:r>
            <w:r>
              <w:rPr>
                <w:rFonts w:ascii="Verdana" w:eastAsia="Calibri" w:hAnsi="Verdana" w:cs="Arial"/>
                <w:b/>
                <w:bCs/>
                <w:lang w:eastAsia="es-ES"/>
              </w:rPr>
              <w:t>960 de 2026</w:t>
            </w:r>
          </w:p>
          <w:p w14:paraId="1125815C" w14:textId="77777777" w:rsidR="00C249D5" w:rsidRPr="005644FE" w:rsidRDefault="00C249D5" w:rsidP="007D4245">
            <w:pPr>
              <w:jc w:val="both"/>
              <w:rPr>
                <w:rFonts w:ascii="Verdana" w:eastAsia="Calibri" w:hAnsi="Verdana" w:cs="Arial"/>
                <w:b/>
                <w:bCs/>
                <w:color w:val="7030A0"/>
                <w:lang w:eastAsia="es-ES"/>
              </w:rPr>
            </w:pPr>
          </w:p>
        </w:tc>
      </w:tr>
      <w:tr w:rsidR="00C249D5" w:rsidRPr="005644FE" w14:paraId="71D4ECB3" w14:textId="77777777" w:rsidTr="007D4245">
        <w:trPr>
          <w:trHeight w:val="884"/>
        </w:trPr>
        <w:tc>
          <w:tcPr>
            <w:tcW w:w="3119" w:type="dxa"/>
          </w:tcPr>
          <w:p w14:paraId="49558DAC" w14:textId="77777777" w:rsidR="00C249D5" w:rsidRPr="005644FE" w:rsidRDefault="00C249D5" w:rsidP="007D4245">
            <w:pPr>
              <w:jc w:val="both"/>
              <w:rPr>
                <w:rFonts w:ascii="Verdana" w:eastAsia="Calibri" w:hAnsi="Verdana" w:cs="Arial"/>
                <w:color w:val="000000"/>
                <w:lang w:eastAsia="es-ES_tradnl"/>
              </w:rPr>
            </w:pPr>
            <w:r w:rsidRPr="005644FE">
              <w:rPr>
                <w:rFonts w:ascii="Verdana" w:eastAsia="Calibri" w:hAnsi="Verdana" w:cs="Arial"/>
                <w:b/>
                <w:color w:val="000000"/>
                <w:lang w:eastAsia="es-ES_tradnl"/>
              </w:rPr>
              <w:t>Temas:</w:t>
            </w:r>
            <w:r w:rsidRPr="005644FE">
              <w:rPr>
                <w:rFonts w:ascii="Verdana" w:eastAsia="Calibri" w:hAnsi="Verdana" w:cs="Arial"/>
                <w:color w:val="000000"/>
                <w:lang w:eastAsia="es-ES_tradnl"/>
              </w:rPr>
              <w:t xml:space="preserve">                   </w:t>
            </w:r>
          </w:p>
        </w:tc>
        <w:tc>
          <w:tcPr>
            <w:tcW w:w="5670" w:type="dxa"/>
          </w:tcPr>
          <w:p w14:paraId="7228E276" w14:textId="77777777" w:rsidR="00C249D5" w:rsidRDefault="00C249D5" w:rsidP="00C86D40">
            <w:pPr>
              <w:spacing w:line="276" w:lineRule="auto"/>
              <w:jc w:val="both"/>
              <w:rPr>
                <w:rFonts w:ascii="Verdana" w:hAnsi="Verdana" w:cs="Arial"/>
                <w:bCs/>
                <w:lang w:eastAsia="es-ES" w:bidi="es-ES"/>
              </w:rPr>
            </w:pPr>
            <w:r>
              <w:rPr>
                <w:rFonts w:ascii="Verdana" w:hAnsi="Verdana" w:cs="Arial"/>
                <w:bCs/>
                <w:lang w:eastAsia="es-ES" w:bidi="es-ES"/>
              </w:rPr>
              <w:t xml:space="preserve">VEEDURÍAS CIUDADANAS – Fundamento constitucional y legal / VEEDURÍAS CIUDADANAS – Alcance – Ley 850 de 2013 – Ley 1757 de 2015 / VEEDURÍA CIUDADANA – Participación contratos estatales - Ámbito temporal del control social / PRINCIPIO DE PUBLICIDAD Y TRANSPARENCIA – Ley 80 de 1993 artículo 23 / CONTROL SOCIAL – Etapas del proceso de selección – Presentación de observaciones – Deber de la entidad estatal en dar respuesta / CONTROL SOCIAL – Ley 1757 de 2015 artículo 62 – Instrumentos </w:t>
            </w:r>
          </w:p>
          <w:p w14:paraId="2584C70C" w14:textId="77777777" w:rsidR="00C249D5" w:rsidRPr="00205703" w:rsidRDefault="00C249D5" w:rsidP="00F9720B">
            <w:pPr>
              <w:jc w:val="both"/>
              <w:rPr>
                <w:rFonts w:ascii="Verdana" w:hAnsi="Verdana" w:cs="Arial"/>
                <w:bCs/>
                <w:lang w:eastAsia="es-ES" w:bidi="es-ES"/>
              </w:rPr>
            </w:pPr>
            <w:r>
              <w:rPr>
                <w:rFonts w:ascii="Verdana" w:hAnsi="Verdana" w:cs="Arial"/>
                <w:bCs/>
                <w:lang w:eastAsia="es-ES" w:bidi="es-ES"/>
              </w:rPr>
              <w:t xml:space="preserve">  </w:t>
            </w:r>
          </w:p>
        </w:tc>
      </w:tr>
      <w:tr w:rsidR="00C249D5" w:rsidRPr="005644FE" w14:paraId="56F1BD2C" w14:textId="77777777" w:rsidTr="007D4245">
        <w:tc>
          <w:tcPr>
            <w:tcW w:w="3119" w:type="dxa"/>
          </w:tcPr>
          <w:p w14:paraId="10898AF6" w14:textId="77777777" w:rsidR="00C249D5" w:rsidRPr="005644FE" w:rsidRDefault="00C249D5" w:rsidP="007D4245">
            <w:pPr>
              <w:jc w:val="both"/>
              <w:rPr>
                <w:rFonts w:ascii="Verdana" w:eastAsia="Calibri" w:hAnsi="Verdana" w:cs="Arial"/>
                <w:b/>
                <w:lang w:eastAsia="es-ES_tradnl"/>
              </w:rPr>
            </w:pPr>
            <w:r w:rsidRPr="005644FE">
              <w:rPr>
                <w:rFonts w:ascii="Verdana" w:eastAsia="Calibri" w:hAnsi="Verdana" w:cs="Arial"/>
                <w:b/>
                <w:lang w:eastAsia="es-ES_tradnl"/>
              </w:rPr>
              <w:t>Radicación:</w:t>
            </w:r>
            <w:r w:rsidRPr="005644FE">
              <w:rPr>
                <w:rFonts w:ascii="Verdana" w:eastAsia="Calibri" w:hAnsi="Verdana" w:cs="Arial"/>
                <w:lang w:eastAsia="es-ES_tradnl"/>
              </w:rPr>
              <w:t xml:space="preserve">               </w:t>
            </w:r>
          </w:p>
        </w:tc>
        <w:tc>
          <w:tcPr>
            <w:tcW w:w="5670" w:type="dxa"/>
          </w:tcPr>
          <w:p w14:paraId="07A4C3A1" w14:textId="19EB6855" w:rsidR="00C249D5" w:rsidRPr="00F04657" w:rsidRDefault="00C249D5" w:rsidP="00F9720B">
            <w:pPr>
              <w:spacing w:after="120"/>
              <w:jc w:val="both"/>
              <w:rPr>
                <w:rFonts w:ascii="Verdana" w:eastAsia="Calibri" w:hAnsi="Verdana" w:cs="Arial"/>
                <w:lang w:eastAsia="es-ES"/>
              </w:rPr>
            </w:pPr>
            <w:r w:rsidRPr="74C89D8F">
              <w:rPr>
                <w:rFonts w:ascii="Verdana" w:eastAsia="Calibri" w:hAnsi="Verdana" w:cs="Arial"/>
                <w:lang w:eastAsia="es-ES"/>
              </w:rPr>
              <w:t xml:space="preserve">Respuesta a consulta con </w:t>
            </w:r>
            <w:r w:rsidRPr="001119EF">
              <w:rPr>
                <w:rFonts w:ascii="Verdana" w:eastAsia="Calibri" w:hAnsi="Verdana" w:cs="Arial"/>
                <w:lang w:eastAsia="es-ES"/>
              </w:rPr>
              <w:t>radicado</w:t>
            </w:r>
            <w:r w:rsidR="00077F5E">
              <w:rPr>
                <w:rFonts w:ascii="Verdana" w:eastAsia="Calibri" w:hAnsi="Verdana" w:cs="Arial"/>
                <w:lang w:eastAsia="es-ES"/>
              </w:rPr>
              <w:t xml:space="preserve"> </w:t>
            </w:r>
            <w:r w:rsidRPr="001119EF">
              <w:rPr>
                <w:rFonts w:ascii="Verdana" w:eastAsia="Calibri" w:hAnsi="Verdana" w:cs="Arial"/>
                <w:lang w:eastAsia="es-ES"/>
              </w:rPr>
              <w:t>1</w:t>
            </w:r>
            <w:r w:rsidRPr="0088350B">
              <w:rPr>
                <w:rFonts w:ascii="Verdana" w:eastAsia="Calibri" w:hAnsi="Verdana" w:cs="Arial"/>
                <w:lang w:eastAsia="es-ES"/>
              </w:rPr>
              <w:t>_2026_06_11_007964</w:t>
            </w:r>
            <w:r>
              <w:rPr>
                <w:rFonts w:ascii="Verdana" w:eastAsia="Calibri" w:hAnsi="Verdana" w:cs="Arial"/>
                <w:lang w:eastAsia="es-ES"/>
              </w:rPr>
              <w:t xml:space="preserve"> </w:t>
            </w:r>
          </w:p>
        </w:tc>
      </w:tr>
    </w:tbl>
    <w:p w14:paraId="12F317FB" w14:textId="77777777" w:rsidR="00C249D5" w:rsidRPr="005644FE" w:rsidRDefault="00C249D5" w:rsidP="00F9720B">
      <w:pPr>
        <w:spacing w:after="0" w:line="240" w:lineRule="auto"/>
        <w:jc w:val="both"/>
        <w:rPr>
          <w:rFonts w:ascii="Verdana" w:eastAsia="Calibri" w:hAnsi="Verdana" w:cs="Arial"/>
          <w:lang w:eastAsia="es-ES_tradnl"/>
        </w:rPr>
      </w:pPr>
      <w:r>
        <w:rPr>
          <w:rFonts w:ascii="Verdana" w:eastAsia="Calibri" w:hAnsi="Verdana" w:cs="Arial"/>
          <w:lang w:eastAsia="es-ES_tradnl"/>
        </w:rPr>
        <w:t xml:space="preserve"> </w:t>
      </w:r>
    </w:p>
    <w:p w14:paraId="12EBA73E" w14:textId="77777777" w:rsidR="00C249D5" w:rsidRPr="005644FE" w:rsidRDefault="00C249D5" w:rsidP="00C249D5">
      <w:pPr>
        <w:spacing w:after="0" w:line="276" w:lineRule="auto"/>
        <w:jc w:val="both"/>
        <w:rPr>
          <w:rFonts w:ascii="Verdana" w:eastAsia="Calibri" w:hAnsi="Verdana" w:cs="Arial"/>
          <w:lang w:eastAsia="es-ES"/>
        </w:rPr>
      </w:pPr>
      <w:r>
        <w:rPr>
          <w:rFonts w:ascii="Verdana" w:eastAsia="Calibri" w:hAnsi="Verdana" w:cs="Arial"/>
          <w:lang w:eastAsia="es-ES"/>
        </w:rPr>
        <w:t>Estimada entidad:</w:t>
      </w:r>
    </w:p>
    <w:p w14:paraId="757BABB2" w14:textId="77777777" w:rsidR="00C249D5" w:rsidRPr="00E02524" w:rsidRDefault="00C249D5" w:rsidP="00F9720B">
      <w:pPr>
        <w:spacing w:after="0" w:line="276" w:lineRule="auto"/>
        <w:jc w:val="both"/>
        <w:rPr>
          <w:rFonts w:ascii="Verdana" w:hAnsi="Verdana"/>
          <w:lang w:val="es-MX"/>
        </w:rPr>
      </w:pPr>
    </w:p>
    <w:p w14:paraId="2476B205" w14:textId="77777777" w:rsidR="00C249D5" w:rsidRPr="0084712D" w:rsidRDefault="00C249D5" w:rsidP="00077F5E">
      <w:pPr>
        <w:spacing w:after="0" w:line="276" w:lineRule="auto"/>
        <w:jc w:val="both"/>
        <w:rPr>
          <w:rFonts w:ascii="Verdana" w:hAnsi="Verdana"/>
        </w:rPr>
      </w:pPr>
      <w:r w:rsidRPr="0084712D">
        <w:rPr>
          <w:rFonts w:ascii="Verdana" w:hAnsi="Verdana"/>
        </w:rPr>
        <w:t xml:space="preserve">La Agencia Nacional de Contratación Pública – Colombia Compra Eficiente –, en ejercicio de las competencias otorgadas por los artículos 3, numeral 5º, y 11, numeral 8º, del Decreto Ley 4170 de 2011 y de conformidad con las modalidades del derecho de petición contempladas en la Ley 1755 de 2015 y en la resolución </w:t>
      </w:r>
      <w:proofErr w:type="spellStart"/>
      <w:r w:rsidRPr="0084712D">
        <w:rPr>
          <w:rFonts w:ascii="Verdana" w:hAnsi="Verdana"/>
        </w:rPr>
        <w:t>N°</w:t>
      </w:r>
      <w:proofErr w:type="spellEnd"/>
      <w:r w:rsidRPr="0084712D">
        <w:rPr>
          <w:rFonts w:ascii="Verdana" w:hAnsi="Verdana"/>
        </w:rPr>
        <w:t xml:space="preserve"> 469 del 2025 expedida por esta Agencia, responde </w:t>
      </w:r>
      <w:r>
        <w:rPr>
          <w:rFonts w:ascii="Verdana" w:hAnsi="Verdana"/>
        </w:rPr>
        <w:t xml:space="preserve">su </w:t>
      </w:r>
      <w:r w:rsidRPr="0084712D">
        <w:rPr>
          <w:rFonts w:ascii="Verdana" w:hAnsi="Verdana"/>
        </w:rPr>
        <w:t>solicitud de consulta</w:t>
      </w:r>
      <w:r>
        <w:rPr>
          <w:rFonts w:ascii="Verdana" w:hAnsi="Verdana"/>
        </w:rPr>
        <w:t xml:space="preserve"> del 11 de junio de 2026 </w:t>
      </w:r>
      <w:r w:rsidRPr="0084712D">
        <w:rPr>
          <w:rFonts w:ascii="Verdana" w:hAnsi="Verdana"/>
        </w:rPr>
        <w:t>en la cual manifiesta lo siguiente:</w:t>
      </w:r>
    </w:p>
    <w:p w14:paraId="3ED8BC75" w14:textId="77777777" w:rsidR="00077F5E" w:rsidRPr="0084712D" w:rsidRDefault="00077F5E" w:rsidP="00F9720B">
      <w:pPr>
        <w:spacing w:after="0" w:line="276" w:lineRule="auto"/>
        <w:jc w:val="both"/>
        <w:rPr>
          <w:rFonts w:ascii="Verdana" w:hAnsi="Verdana"/>
        </w:rPr>
      </w:pPr>
    </w:p>
    <w:p w14:paraId="3173D124" w14:textId="53B9A307" w:rsidR="00077F5E" w:rsidRPr="00D96CD3" w:rsidRDefault="00C249D5" w:rsidP="00D96CD3">
      <w:pPr>
        <w:spacing w:after="0" w:line="276" w:lineRule="auto"/>
        <w:jc w:val="both"/>
        <w:rPr>
          <w:rFonts w:ascii="Verdana" w:hAnsi="Verdana"/>
        </w:rPr>
      </w:pPr>
      <w:r w:rsidRPr="00E02524">
        <w:rPr>
          <w:rFonts w:ascii="Verdana" w:hAnsi="Verdana"/>
        </w:rPr>
        <w:t xml:space="preserve">PETICIÓN REALIZADA </w:t>
      </w:r>
    </w:p>
    <w:p w14:paraId="7F608FA3" w14:textId="77777777" w:rsidR="00C249D5" w:rsidRDefault="00C249D5" w:rsidP="00F9720B">
      <w:pPr>
        <w:spacing w:after="0" w:line="240" w:lineRule="auto"/>
        <w:ind w:left="709" w:right="709"/>
        <w:jc w:val="both"/>
        <w:rPr>
          <w:rFonts w:ascii="Verdana" w:hAnsi="Verdana"/>
          <w:sz w:val="20"/>
          <w:szCs w:val="20"/>
        </w:rPr>
      </w:pPr>
      <w:r>
        <w:rPr>
          <w:rFonts w:ascii="Verdana" w:hAnsi="Verdana"/>
          <w:sz w:val="20"/>
          <w:szCs w:val="20"/>
        </w:rPr>
        <w:t xml:space="preserve">“(…) </w:t>
      </w:r>
      <w:r w:rsidRPr="0088350B">
        <w:rPr>
          <w:rFonts w:ascii="Verdana" w:hAnsi="Verdana"/>
          <w:sz w:val="20"/>
          <w:szCs w:val="20"/>
        </w:rPr>
        <w:t xml:space="preserve">Solicito se emita concepto respecto del alcance de la participación de las veedurías ciudadanas durante la etapa de planeación y estructuración de los procesos de contratación del Programa de Alimentación Escolar (PAE), precisando si la función de vigilancia y control social que les atribuye el ordenamiento jurídico les otorga facultades para participar directamente en la elaboración, construcción o definición de los estudios previos, documentos previos, análisis del sector, estudios de mercado, matrices de riesgo, pliegos de condiciones o demás documentos que integran la estructuración de un proceso de contratación. </w:t>
      </w:r>
    </w:p>
    <w:p w14:paraId="367364EA" w14:textId="77777777" w:rsidR="00C249D5" w:rsidRDefault="00C249D5" w:rsidP="00F9720B">
      <w:pPr>
        <w:spacing w:after="0" w:line="240" w:lineRule="auto"/>
        <w:ind w:left="709" w:right="709"/>
        <w:jc w:val="both"/>
        <w:rPr>
          <w:rFonts w:ascii="Verdana" w:hAnsi="Verdana"/>
          <w:sz w:val="20"/>
          <w:szCs w:val="20"/>
        </w:rPr>
      </w:pPr>
    </w:p>
    <w:p w14:paraId="03F332DD" w14:textId="77777777" w:rsidR="00C249D5" w:rsidRDefault="00C249D5" w:rsidP="00F9720B">
      <w:pPr>
        <w:spacing w:after="0" w:line="240" w:lineRule="auto"/>
        <w:ind w:left="709" w:right="709"/>
        <w:jc w:val="both"/>
        <w:rPr>
          <w:rFonts w:ascii="Verdana" w:hAnsi="Verdana"/>
          <w:sz w:val="20"/>
          <w:szCs w:val="20"/>
        </w:rPr>
      </w:pPr>
      <w:r w:rsidRPr="0088350B">
        <w:rPr>
          <w:rFonts w:ascii="Verdana" w:hAnsi="Verdana"/>
          <w:sz w:val="20"/>
          <w:szCs w:val="20"/>
        </w:rPr>
        <w:t>De igual manera, se solicita indicar si existe alguna disposición normativa que faculte a las veedurías ciudadanas para intervenir en la toma de decisiones relacionadas con la definición de las condiciones técnicas, jurídicas, financieras o económicas de un proceso de selección, así como establecer si la entidad estatal tiene la obligación de acoger o incorporar las recomendaciones formuladas por dichas veedurías durante la etapa precontractual o si su deber se limita a analizarlas y emitir una respuesta debidamente motivada.</w:t>
      </w:r>
    </w:p>
    <w:p w14:paraId="23F2F133" w14:textId="77777777" w:rsidR="00C249D5" w:rsidRDefault="00C249D5" w:rsidP="00F9720B">
      <w:pPr>
        <w:spacing w:after="0" w:line="240" w:lineRule="auto"/>
        <w:ind w:left="709" w:right="709"/>
        <w:jc w:val="both"/>
        <w:rPr>
          <w:rFonts w:ascii="Verdana" w:hAnsi="Verdana"/>
          <w:sz w:val="20"/>
          <w:szCs w:val="20"/>
        </w:rPr>
      </w:pPr>
    </w:p>
    <w:p w14:paraId="3A1BEBBF" w14:textId="77777777" w:rsidR="00C249D5" w:rsidRPr="0088350B" w:rsidRDefault="00C249D5" w:rsidP="00F9720B">
      <w:pPr>
        <w:spacing w:after="0" w:line="240" w:lineRule="auto"/>
        <w:ind w:left="709" w:right="709"/>
        <w:jc w:val="both"/>
        <w:rPr>
          <w:rFonts w:ascii="Verdana" w:hAnsi="Verdana"/>
          <w:sz w:val="20"/>
          <w:szCs w:val="20"/>
        </w:rPr>
      </w:pPr>
      <w:r w:rsidRPr="0088350B">
        <w:rPr>
          <w:rFonts w:ascii="Verdana" w:hAnsi="Verdana"/>
          <w:sz w:val="20"/>
          <w:szCs w:val="20"/>
        </w:rPr>
        <w:t xml:space="preserve">Asimismo, se requiere precisar si la participación de las veedurías ciudadanas puede extenderse a la construcción conjunta de los documentos que conforman el proceso de contratación o si, por el contrario, dicha actividad corresponde exclusivamente a la entidad contratante en ejercicio de sus competencias legales y de su autonomía administrativa. </w:t>
      </w:r>
    </w:p>
    <w:p w14:paraId="5C2FDD65" w14:textId="77777777" w:rsidR="00C249D5" w:rsidRDefault="00C249D5" w:rsidP="00F9720B">
      <w:pPr>
        <w:spacing w:after="0" w:line="240" w:lineRule="auto"/>
        <w:ind w:left="709" w:right="709"/>
        <w:jc w:val="both"/>
        <w:rPr>
          <w:rFonts w:ascii="Verdana" w:hAnsi="Verdana"/>
          <w:sz w:val="20"/>
          <w:szCs w:val="20"/>
        </w:rPr>
      </w:pPr>
    </w:p>
    <w:p w14:paraId="334D51D2" w14:textId="77777777" w:rsidR="00C249D5" w:rsidRPr="0088350B" w:rsidRDefault="00C249D5" w:rsidP="00F9720B">
      <w:pPr>
        <w:spacing w:after="0" w:line="240" w:lineRule="auto"/>
        <w:ind w:left="709" w:right="709"/>
        <w:jc w:val="both"/>
        <w:rPr>
          <w:rFonts w:ascii="Verdana" w:hAnsi="Verdana"/>
          <w:sz w:val="20"/>
          <w:szCs w:val="20"/>
        </w:rPr>
      </w:pPr>
      <w:r w:rsidRPr="0088350B">
        <w:rPr>
          <w:rFonts w:ascii="Verdana" w:hAnsi="Verdana"/>
          <w:sz w:val="20"/>
          <w:szCs w:val="20"/>
        </w:rPr>
        <w:t xml:space="preserve">Igualmente, se solicita determinar cuáles son los límites entre el ejercicio legítimo del control social por parte de las veedurías ciudadanas y las competencias propias de la entidad estatal en la planeación y estructuración de los procesos de contratación, así como establecer si la negativa de una entidad estatal a permitir que una veeduría ciudadana participe directamente en la elaboración o definición de los documentos precontractuales puede considerarse una vulneración al derecho de participación o al ejercicio del control social. </w:t>
      </w:r>
    </w:p>
    <w:p w14:paraId="3848AEDF" w14:textId="77777777" w:rsidR="00C249D5" w:rsidRDefault="00C249D5" w:rsidP="00F9720B">
      <w:pPr>
        <w:spacing w:after="0" w:line="240" w:lineRule="auto"/>
        <w:ind w:left="709" w:right="709"/>
        <w:jc w:val="both"/>
        <w:rPr>
          <w:rFonts w:ascii="Verdana" w:hAnsi="Verdana"/>
          <w:sz w:val="20"/>
          <w:szCs w:val="20"/>
        </w:rPr>
      </w:pPr>
    </w:p>
    <w:p w14:paraId="576962B9" w14:textId="77777777" w:rsidR="00C249D5" w:rsidRPr="00837DB7" w:rsidRDefault="00C249D5" w:rsidP="00F9720B">
      <w:pPr>
        <w:spacing w:after="0" w:line="240" w:lineRule="auto"/>
        <w:ind w:left="709" w:right="709"/>
        <w:jc w:val="both"/>
        <w:rPr>
          <w:rFonts w:ascii="Verdana" w:hAnsi="Verdana"/>
          <w:sz w:val="20"/>
          <w:szCs w:val="20"/>
        </w:rPr>
      </w:pPr>
      <w:r w:rsidRPr="0088350B">
        <w:rPr>
          <w:rFonts w:ascii="Verdana" w:hAnsi="Verdana"/>
          <w:sz w:val="20"/>
          <w:szCs w:val="20"/>
        </w:rPr>
        <w:t>Finalmente, se solicita informar cuáles son los mecanismos recomendados por Colombia Compra Eficiente para garantizar el ejercicio efectivo del control social por parte de las veedurías ciudadanas, sin afectar las competencias exclusivas que corresponden a la entidad estatal en la estructuración y conducción de los procesos de contratación</w:t>
      </w:r>
      <w:r>
        <w:rPr>
          <w:rFonts w:ascii="Verdana" w:hAnsi="Verdana"/>
          <w:sz w:val="20"/>
          <w:szCs w:val="20"/>
        </w:rPr>
        <w:t xml:space="preserve"> (…)”. </w:t>
      </w:r>
    </w:p>
    <w:p w14:paraId="00FD3884" w14:textId="77777777" w:rsidR="00C249D5" w:rsidRPr="00647D77" w:rsidRDefault="00C249D5" w:rsidP="00C249D5">
      <w:pPr>
        <w:spacing w:after="0" w:line="240" w:lineRule="auto"/>
        <w:ind w:right="709"/>
        <w:jc w:val="both"/>
        <w:rPr>
          <w:rFonts w:ascii="Verdana" w:hAnsi="Verdana"/>
        </w:rPr>
      </w:pPr>
    </w:p>
    <w:p w14:paraId="0D6DC33F" w14:textId="77777777" w:rsidR="00C249D5" w:rsidRPr="00F64722" w:rsidRDefault="00C249D5" w:rsidP="00C249D5">
      <w:pPr>
        <w:spacing w:after="120" w:line="276" w:lineRule="auto"/>
        <w:ind w:firstLine="709"/>
        <w:jc w:val="both"/>
        <w:rPr>
          <w:rFonts w:ascii="Verdana" w:eastAsia="Calibri" w:hAnsi="Verdana" w:cs="Arial"/>
          <w:color w:val="000000"/>
          <w:szCs w:val="24"/>
          <w:lang w:eastAsia="es-ES_tradnl"/>
        </w:rPr>
      </w:pPr>
      <w:r w:rsidRPr="005644FE">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eastAsia="es-ES"/>
        </w:rPr>
        <w:t xml:space="preserve">la Agencia Nacional de Contratación Pública - </w:t>
      </w:r>
      <w:r w:rsidRPr="005644FE">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w:t>
      </w:r>
      <w:r w:rsidRPr="00F64722">
        <w:rPr>
          <w:rFonts w:ascii="Verdana" w:eastAsia="Calibri" w:hAnsi="Verdana" w:cs="Arial"/>
          <w:color w:val="000000"/>
          <w:lang w:eastAsia="es-ES"/>
        </w:rPr>
        <w:t xml:space="preserve">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46E81091" w14:textId="77777777" w:rsidR="00C249D5" w:rsidRPr="004311C8" w:rsidRDefault="00C249D5" w:rsidP="009820E2">
      <w:pPr>
        <w:spacing w:after="0" w:line="276" w:lineRule="auto"/>
        <w:ind w:firstLine="709"/>
        <w:jc w:val="both"/>
        <w:rPr>
          <w:rFonts w:ascii="Verdana" w:eastAsia="Calibri" w:hAnsi="Verdana" w:cs="Arial"/>
          <w:lang w:eastAsia="es-ES"/>
        </w:rPr>
      </w:pPr>
      <w:r w:rsidRPr="00487186">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w:t>
      </w:r>
      <w:r w:rsidRPr="00C761DE">
        <w:rPr>
          <w:rFonts w:ascii="Verdana" w:eastAsia="Calibri" w:hAnsi="Verdana" w:cs="Arial"/>
          <w:color w:val="000000"/>
          <w:lang w:eastAsia="es-ES"/>
        </w:rPr>
        <w:t xml:space="preserve">es, </w:t>
      </w:r>
      <w:r w:rsidRPr="00B207E1">
        <w:rPr>
          <w:rFonts w:ascii="Verdana" w:eastAsia="Calibri" w:hAnsi="Verdana" w:cs="Arial"/>
          <w:color w:val="000000"/>
          <w:lang w:eastAsia="es-ES"/>
        </w:rPr>
        <w:t xml:space="preserve">haciendo abstracción del caso particular y concreto señalado en su petición, pero señalando algunas consideraciones sobre las normas </w:t>
      </w:r>
      <w:r w:rsidRPr="004311C8">
        <w:rPr>
          <w:rFonts w:ascii="Verdana" w:eastAsia="Calibri" w:hAnsi="Verdana" w:cs="Arial"/>
          <w:color w:val="000000"/>
          <w:lang w:eastAsia="es-ES"/>
        </w:rPr>
        <w:t>generales relacionadas a</w:t>
      </w:r>
      <w:r>
        <w:rPr>
          <w:rFonts w:ascii="Verdana" w:eastAsia="Calibri" w:hAnsi="Verdana" w:cs="Arial"/>
          <w:color w:val="000000"/>
          <w:lang w:eastAsia="es-ES"/>
        </w:rPr>
        <w:t xml:space="preserve"> </w:t>
      </w:r>
      <w:r w:rsidRPr="004311C8">
        <w:rPr>
          <w:rFonts w:ascii="Verdana" w:eastAsia="Calibri" w:hAnsi="Verdana" w:cs="Arial"/>
          <w:color w:val="000000"/>
          <w:lang w:eastAsia="es-ES"/>
        </w:rPr>
        <w:t>l</w:t>
      </w:r>
      <w:r>
        <w:rPr>
          <w:rFonts w:ascii="Verdana" w:eastAsia="Calibri" w:hAnsi="Verdana" w:cs="Arial"/>
          <w:color w:val="000000"/>
          <w:lang w:eastAsia="es-ES"/>
        </w:rPr>
        <w:t>os</w:t>
      </w:r>
      <w:r w:rsidRPr="004311C8">
        <w:rPr>
          <w:rFonts w:ascii="Verdana" w:eastAsia="Calibri" w:hAnsi="Verdana" w:cs="Arial"/>
          <w:color w:val="000000"/>
          <w:lang w:eastAsia="es-ES"/>
        </w:rPr>
        <w:t xml:space="preserve"> problema</w:t>
      </w:r>
      <w:r>
        <w:rPr>
          <w:rFonts w:ascii="Verdana" w:eastAsia="Calibri" w:hAnsi="Verdana" w:cs="Arial"/>
          <w:color w:val="000000"/>
          <w:lang w:eastAsia="es-ES"/>
        </w:rPr>
        <w:t>s</w:t>
      </w:r>
      <w:r w:rsidRPr="004311C8">
        <w:rPr>
          <w:rFonts w:ascii="Verdana" w:eastAsia="Calibri" w:hAnsi="Verdana" w:cs="Arial"/>
          <w:color w:val="000000"/>
          <w:lang w:eastAsia="es-ES"/>
        </w:rPr>
        <w:t xml:space="preserve"> jurídico</w:t>
      </w:r>
      <w:r>
        <w:rPr>
          <w:rFonts w:ascii="Verdana" w:eastAsia="Calibri" w:hAnsi="Verdana" w:cs="Arial"/>
          <w:color w:val="000000"/>
          <w:lang w:eastAsia="es-ES"/>
        </w:rPr>
        <w:t>s</w:t>
      </w:r>
      <w:r w:rsidRPr="004311C8">
        <w:rPr>
          <w:rFonts w:ascii="Verdana" w:eastAsia="Calibri" w:hAnsi="Verdana" w:cs="Arial"/>
          <w:color w:val="000000"/>
          <w:lang w:eastAsia="es-ES"/>
        </w:rPr>
        <w:t xml:space="preserve"> de su consulta.</w:t>
      </w:r>
      <w:r w:rsidRPr="004311C8">
        <w:rPr>
          <w:rFonts w:ascii="Verdana" w:eastAsia="Calibri" w:hAnsi="Verdana" w:cs="Arial"/>
          <w:lang w:eastAsia="es-ES"/>
        </w:rPr>
        <w:t xml:space="preserve"> </w:t>
      </w:r>
    </w:p>
    <w:p w14:paraId="65AE961A" w14:textId="77777777" w:rsidR="009820E2" w:rsidRPr="004311C8" w:rsidRDefault="009820E2" w:rsidP="00F9720B">
      <w:pPr>
        <w:spacing w:after="0" w:line="276" w:lineRule="auto"/>
        <w:ind w:firstLine="709"/>
        <w:jc w:val="both"/>
        <w:rPr>
          <w:rFonts w:ascii="Verdana" w:eastAsia="Calibri" w:hAnsi="Verdana" w:cs="Arial"/>
          <w:lang w:eastAsia="es-ES"/>
        </w:rPr>
      </w:pPr>
    </w:p>
    <w:p w14:paraId="4FD0775C" w14:textId="77777777" w:rsidR="00C249D5" w:rsidRPr="004311C8" w:rsidRDefault="00C249D5" w:rsidP="00C249D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4311C8">
        <w:rPr>
          <w:rFonts w:ascii="Verdana" w:eastAsia="Century Gothic" w:hAnsi="Verdana" w:cs="Century Gothic"/>
          <w:b/>
          <w:bCs/>
        </w:rPr>
        <w:t>Problema planteado:</w:t>
      </w:r>
    </w:p>
    <w:p w14:paraId="0B7FDD24" w14:textId="77777777" w:rsidR="00C249D5" w:rsidRPr="004311C8" w:rsidRDefault="00C249D5" w:rsidP="00C249D5">
      <w:pPr>
        <w:spacing w:after="0" w:line="240" w:lineRule="auto"/>
        <w:jc w:val="both"/>
        <w:rPr>
          <w:rFonts w:ascii="Verdana" w:eastAsia="Calibri" w:hAnsi="Verdana" w:cs="Arial"/>
          <w:color w:val="000000"/>
          <w:lang w:eastAsia="es-ES"/>
        </w:rPr>
      </w:pPr>
    </w:p>
    <w:p w14:paraId="435363F4" w14:textId="77777777" w:rsidR="00C249D5" w:rsidRPr="00FD13B3" w:rsidRDefault="00C249D5" w:rsidP="009820E2">
      <w:pPr>
        <w:spacing w:after="0" w:line="276" w:lineRule="auto"/>
        <w:jc w:val="both"/>
        <w:rPr>
          <w:rFonts w:ascii="Verdana" w:eastAsia="Calibri" w:hAnsi="Verdana" w:cs="Times New Roman"/>
          <w:iCs/>
          <w:lang w:val="es-ES"/>
        </w:rPr>
      </w:pPr>
      <w:r w:rsidRPr="004311C8">
        <w:rPr>
          <w:rFonts w:ascii="Verdana" w:eastAsia="Calibri" w:hAnsi="Verdana" w:cs="Arial"/>
          <w:color w:val="000000"/>
          <w:lang w:eastAsia="es-ES"/>
        </w:rPr>
        <w:t>De acuerdo con el contenido de su solicitud, esta Agencia resolverá l</w:t>
      </w:r>
      <w:r>
        <w:rPr>
          <w:rFonts w:ascii="Verdana" w:eastAsia="Calibri" w:hAnsi="Verdana" w:cs="Arial"/>
          <w:color w:val="000000"/>
          <w:lang w:eastAsia="es-ES"/>
        </w:rPr>
        <w:t>os</w:t>
      </w:r>
      <w:r w:rsidRPr="004311C8">
        <w:rPr>
          <w:rFonts w:ascii="Verdana" w:eastAsia="Calibri" w:hAnsi="Verdana" w:cs="Arial"/>
          <w:color w:val="000000"/>
          <w:lang w:eastAsia="es-ES"/>
        </w:rPr>
        <w:t xml:space="preserve"> siguiente</w:t>
      </w:r>
      <w:r>
        <w:rPr>
          <w:rFonts w:ascii="Verdana" w:eastAsia="Calibri" w:hAnsi="Verdana" w:cs="Arial"/>
          <w:color w:val="000000"/>
          <w:lang w:eastAsia="es-ES"/>
        </w:rPr>
        <w:t>s</w:t>
      </w:r>
      <w:r w:rsidRPr="004311C8">
        <w:rPr>
          <w:rFonts w:ascii="Verdana" w:eastAsia="Calibri" w:hAnsi="Verdana" w:cs="Arial"/>
          <w:color w:val="000000"/>
          <w:lang w:eastAsia="es-ES"/>
        </w:rPr>
        <w:t xml:space="preserve"> problema</w:t>
      </w:r>
      <w:r>
        <w:rPr>
          <w:rFonts w:ascii="Verdana" w:eastAsia="Calibri" w:hAnsi="Verdana" w:cs="Arial"/>
          <w:color w:val="000000"/>
          <w:lang w:eastAsia="es-ES"/>
        </w:rPr>
        <w:t>s</w:t>
      </w:r>
      <w:r w:rsidRPr="004311C8">
        <w:rPr>
          <w:rFonts w:ascii="Verdana" w:eastAsia="Calibri" w:hAnsi="Verdana" w:cs="Arial"/>
          <w:color w:val="000000"/>
          <w:lang w:eastAsia="es-ES"/>
        </w:rPr>
        <w:t xml:space="preserve"> jurídico</w:t>
      </w:r>
      <w:r>
        <w:rPr>
          <w:rFonts w:ascii="Verdana" w:eastAsia="Calibri" w:hAnsi="Verdana" w:cs="Arial"/>
          <w:color w:val="000000"/>
          <w:lang w:eastAsia="es-ES"/>
        </w:rPr>
        <w:t>s</w:t>
      </w:r>
      <w:r w:rsidRPr="004311C8">
        <w:rPr>
          <w:rFonts w:ascii="Verdana" w:eastAsia="Calibri" w:hAnsi="Verdana" w:cs="Arial"/>
          <w:color w:val="000000"/>
          <w:lang w:eastAsia="es-ES"/>
        </w:rPr>
        <w:t xml:space="preserve">: </w:t>
      </w:r>
      <w:r>
        <w:rPr>
          <w:rFonts w:ascii="Verdana" w:eastAsia="Calibri" w:hAnsi="Verdana" w:cs="Arial"/>
          <w:color w:val="000000"/>
          <w:lang w:eastAsia="es-ES"/>
        </w:rPr>
        <w:t xml:space="preserve">i) </w:t>
      </w:r>
      <w:r w:rsidRPr="004311C8">
        <w:rPr>
          <w:rFonts w:ascii="Verdana" w:eastAsia="Calibri" w:hAnsi="Verdana" w:cs="Times New Roman"/>
          <w:iCs/>
          <w:lang w:val="es-ES"/>
        </w:rPr>
        <w:t>¿Cuál</w:t>
      </w:r>
      <w:r>
        <w:rPr>
          <w:rFonts w:ascii="Verdana" w:eastAsia="Calibri" w:hAnsi="Verdana" w:cs="Times New Roman"/>
          <w:iCs/>
          <w:lang w:val="es-ES"/>
        </w:rPr>
        <w:t xml:space="preserve"> es el alcance de la participación de </w:t>
      </w:r>
      <w:r w:rsidRPr="004311C8">
        <w:rPr>
          <w:rFonts w:ascii="Verdana" w:eastAsia="Calibri" w:hAnsi="Verdana" w:cs="Times New Roman"/>
          <w:iCs/>
          <w:lang w:val="es-ES"/>
        </w:rPr>
        <w:t>las veedurías ciudadanas en el marco de los procesos de selección de contratista del Estado colombiano</w:t>
      </w:r>
      <w:r>
        <w:rPr>
          <w:rFonts w:ascii="Verdana" w:eastAsia="Calibri" w:hAnsi="Verdana" w:cs="Times New Roman"/>
          <w:iCs/>
          <w:lang w:val="es-ES"/>
        </w:rPr>
        <w:t>, especialmente en la elaboración, construcción o definición de los documentos del proceso contractual</w:t>
      </w:r>
      <w:r w:rsidRPr="004311C8">
        <w:rPr>
          <w:rFonts w:ascii="Verdana" w:eastAsia="Calibri" w:hAnsi="Verdana" w:cs="Times New Roman"/>
          <w:iCs/>
          <w:lang w:val="es-ES"/>
        </w:rPr>
        <w:t xml:space="preserve">? </w:t>
      </w:r>
      <w:proofErr w:type="spellStart"/>
      <w:r>
        <w:rPr>
          <w:rFonts w:ascii="Verdana" w:eastAsia="Calibri" w:hAnsi="Verdana" w:cs="Times New Roman"/>
          <w:iCs/>
          <w:lang w:val="es-ES"/>
        </w:rPr>
        <w:t>ii</w:t>
      </w:r>
      <w:proofErr w:type="spellEnd"/>
      <w:r>
        <w:rPr>
          <w:rFonts w:ascii="Verdana" w:eastAsia="Calibri" w:hAnsi="Verdana" w:cs="Times New Roman"/>
          <w:iCs/>
          <w:lang w:val="es-ES"/>
        </w:rPr>
        <w:t xml:space="preserve">) ¿Las entidades tienen la obligación de acoger las recomendaciones formuladas por las veedurías ciudadanas en los procesos de contratación? </w:t>
      </w:r>
    </w:p>
    <w:p w14:paraId="738F620C" w14:textId="77777777" w:rsidR="009820E2" w:rsidRPr="00FD13B3" w:rsidRDefault="009820E2" w:rsidP="00F9720B">
      <w:pPr>
        <w:spacing w:after="0" w:line="276" w:lineRule="auto"/>
        <w:jc w:val="both"/>
        <w:rPr>
          <w:rFonts w:ascii="Verdana" w:eastAsia="Calibri" w:hAnsi="Verdana" w:cs="Times New Roman"/>
          <w:iCs/>
          <w:lang w:val="es-ES"/>
        </w:rPr>
      </w:pPr>
    </w:p>
    <w:p w14:paraId="712E521E" w14:textId="77777777" w:rsidR="00C249D5" w:rsidRDefault="00C249D5" w:rsidP="00C249D5">
      <w:pPr>
        <w:spacing w:after="0" w:line="276" w:lineRule="auto"/>
        <w:jc w:val="both"/>
        <w:rPr>
          <w:rFonts w:ascii="Verdana" w:eastAsia="Century Gothic" w:hAnsi="Verdana" w:cs="Century Gothic"/>
          <w:b/>
          <w:bCs/>
        </w:rPr>
      </w:pPr>
      <w:r w:rsidRPr="00B33011">
        <w:rPr>
          <w:rFonts w:ascii="Verdana" w:eastAsia="Century Gothic" w:hAnsi="Verdana" w:cs="Century Gothic"/>
          <w:b/>
          <w:bCs/>
        </w:rPr>
        <w:t>2. Respuesta:</w:t>
      </w:r>
    </w:p>
    <w:p w14:paraId="191137DF" w14:textId="77777777" w:rsidR="00C249D5" w:rsidRPr="00185290" w:rsidRDefault="00C249D5" w:rsidP="00C249D5">
      <w:pPr>
        <w:spacing w:after="0" w:line="276" w:lineRule="auto"/>
        <w:jc w:val="both"/>
        <w:rPr>
          <w:rFonts w:ascii="Verdana" w:eastAsia="Century Gothic" w:hAnsi="Verdana" w:cs="Century Gothic"/>
        </w:rPr>
      </w:pPr>
    </w:p>
    <w:tbl>
      <w:tblPr>
        <w:tblStyle w:val="Tablaconcuadrcula"/>
        <w:tblW w:w="0" w:type="auto"/>
        <w:tblLook w:val="04A0" w:firstRow="1" w:lastRow="0" w:firstColumn="1" w:lastColumn="0" w:noHBand="0" w:noVBand="1"/>
      </w:tblPr>
      <w:tblGrid>
        <w:gridCol w:w="8828"/>
      </w:tblGrid>
      <w:tr w:rsidR="00C249D5" w:rsidRPr="005644FE" w14:paraId="3F3AE533" w14:textId="77777777" w:rsidTr="007D4245">
        <w:tc>
          <w:tcPr>
            <w:tcW w:w="8828" w:type="dxa"/>
          </w:tcPr>
          <w:p w14:paraId="449919F0" w14:textId="77777777" w:rsidR="00C249D5" w:rsidRPr="008E4355" w:rsidRDefault="00C249D5" w:rsidP="00F9720B">
            <w:pPr>
              <w:shd w:val="clear" w:color="auto" w:fill="FFFFFF"/>
              <w:spacing w:after="120" w:line="276" w:lineRule="auto"/>
              <w:jc w:val="both"/>
              <w:rPr>
                <w:rFonts w:ascii="Verdana" w:eastAsia="Times New Roman" w:hAnsi="Verdana" w:cs="Arial"/>
                <w:color w:val="000000" w:themeColor="text1"/>
                <w:lang w:val="es-ES" w:eastAsia="es-ES_tradnl"/>
              </w:rPr>
            </w:pPr>
            <w:r>
              <w:rPr>
                <w:rFonts w:ascii="Verdana" w:eastAsia="Times New Roman" w:hAnsi="Verdana" w:cs="Arial"/>
                <w:color w:val="000000" w:themeColor="text1"/>
                <w:lang w:val="es-ES" w:eastAsia="es-ES_tradnl"/>
              </w:rPr>
              <w:t>L</w:t>
            </w:r>
            <w:r w:rsidRPr="007A7CC1">
              <w:rPr>
                <w:rFonts w:ascii="Verdana" w:eastAsia="Times New Roman" w:hAnsi="Verdana" w:cs="Arial"/>
                <w:color w:val="000000" w:themeColor="text1"/>
                <w:lang w:val="es-ES" w:eastAsia="es-ES_tradnl"/>
              </w:rPr>
              <w:t xml:space="preserve">a Ley 850 del 2003 reguló las veedurías ciudadanas como un mecanismo democrático de representación que le permite a la ciudadanía y a las diferentes formas de organización comunitaria ejercer vigilancia sobre la gestión pública. En lo que atañe a la oportunidad para hacer control social a la contratación pública, se resalta que las normas sobre </w:t>
            </w:r>
            <w:r>
              <w:rPr>
                <w:rFonts w:ascii="Verdana" w:eastAsia="Times New Roman" w:hAnsi="Verdana" w:cs="Arial"/>
                <w:color w:val="000000" w:themeColor="text1"/>
                <w:lang w:val="es-ES" w:eastAsia="es-ES_tradnl"/>
              </w:rPr>
              <w:t xml:space="preserve">este control </w:t>
            </w:r>
            <w:r w:rsidRPr="007A7CC1">
              <w:rPr>
                <w:rFonts w:ascii="Verdana" w:eastAsia="Times New Roman" w:hAnsi="Verdana" w:cs="Arial"/>
                <w:color w:val="000000" w:themeColor="text1"/>
                <w:lang w:val="es-ES" w:eastAsia="es-ES_tradnl"/>
              </w:rPr>
              <w:t xml:space="preserve">no establecen un ámbito temporal de aplicación para el ejercicio </w:t>
            </w:r>
            <w:proofErr w:type="gramStart"/>
            <w:r w:rsidRPr="007A7CC1">
              <w:rPr>
                <w:rFonts w:ascii="Verdana" w:eastAsia="Times New Roman" w:hAnsi="Verdana" w:cs="Arial"/>
                <w:color w:val="000000" w:themeColor="text1"/>
                <w:lang w:val="es-ES" w:eastAsia="es-ES_tradnl"/>
              </w:rPr>
              <w:t>del mismo</w:t>
            </w:r>
            <w:proofErr w:type="gramEnd"/>
            <w:r w:rsidRPr="007A7CC1">
              <w:rPr>
                <w:rFonts w:ascii="Verdana" w:eastAsia="Times New Roman" w:hAnsi="Verdana" w:cs="Arial"/>
                <w:color w:val="000000" w:themeColor="text1"/>
                <w:lang w:val="es-ES" w:eastAsia="es-ES_tradnl"/>
              </w:rPr>
              <w:t>. En consecuencia, el control social puede ejercerse desde la etapa de planeación contractual, pasando por su adjudicación y ejecución, e incluso hasta después de finalizada la ejecución del contrato estatal.</w:t>
            </w:r>
            <w:r>
              <w:rPr>
                <w:rFonts w:ascii="Verdana" w:eastAsia="Times New Roman" w:hAnsi="Verdana" w:cs="Arial"/>
                <w:color w:val="000000" w:themeColor="text1"/>
                <w:lang w:val="es-ES" w:eastAsia="es-ES_tradnl"/>
              </w:rPr>
              <w:t xml:space="preserve"> En definitiva, se puede </w:t>
            </w:r>
            <w:r w:rsidRPr="007A7CC1">
              <w:rPr>
                <w:rFonts w:ascii="Verdana" w:eastAsia="Times New Roman" w:hAnsi="Verdana" w:cs="Arial"/>
                <w:color w:val="000000" w:themeColor="text1"/>
                <w:lang w:val="es-ES" w:eastAsia="es-ES_tradnl"/>
              </w:rPr>
              <w:t>adelantar</w:t>
            </w:r>
            <w:r>
              <w:rPr>
                <w:rFonts w:ascii="Verdana" w:eastAsia="Times New Roman" w:hAnsi="Verdana" w:cs="Arial"/>
                <w:color w:val="000000" w:themeColor="text1"/>
                <w:lang w:val="es-ES" w:eastAsia="es-ES_tradnl"/>
              </w:rPr>
              <w:t xml:space="preserve"> en relación con todos los contratos estatales cualquiera sea la modalidad de selección y régimen de contratación. </w:t>
            </w:r>
          </w:p>
          <w:p w14:paraId="44C4545D" w14:textId="5D80A3AB" w:rsidR="00C249D5" w:rsidRDefault="00C249D5" w:rsidP="007D4245">
            <w:pPr>
              <w:spacing w:after="120" w:line="276" w:lineRule="auto"/>
              <w:ind w:firstLine="709"/>
              <w:jc w:val="both"/>
              <w:rPr>
                <w:rFonts w:ascii="Verdana" w:eastAsia="Batang" w:hAnsi="Verdana" w:cs="Arial"/>
                <w:color w:val="000000"/>
                <w:lang w:val="es-MX"/>
              </w:rPr>
            </w:pPr>
            <w:r>
              <w:rPr>
                <w:rFonts w:ascii="Verdana" w:eastAsia="Batang" w:hAnsi="Verdana" w:cs="Arial"/>
                <w:color w:val="000000"/>
                <w:lang w:val="es-MX"/>
              </w:rPr>
              <w:t>E</w:t>
            </w:r>
            <w:r w:rsidRPr="00574318">
              <w:rPr>
                <w:rFonts w:ascii="Verdana" w:eastAsia="Batang" w:hAnsi="Verdana" w:cs="Arial"/>
                <w:color w:val="000000"/>
                <w:lang w:val="es-MX"/>
              </w:rPr>
              <w:t>n virtud del principio de transparencia</w:t>
            </w:r>
            <w:r w:rsidR="00BD070B">
              <w:rPr>
                <w:rFonts w:ascii="Verdana" w:eastAsia="Batang" w:hAnsi="Verdana" w:cs="Arial"/>
                <w:color w:val="000000"/>
                <w:lang w:val="es-MX"/>
              </w:rPr>
              <w:t>,</w:t>
            </w:r>
            <w:r w:rsidRPr="00574318">
              <w:rPr>
                <w:rFonts w:ascii="Verdana" w:eastAsia="Batang" w:hAnsi="Verdana" w:cs="Arial"/>
                <w:color w:val="000000"/>
                <w:lang w:val="es-MX"/>
              </w:rPr>
              <w:t xml:space="preserve"> se garantiza la participación tanto de los interesados como de la ciudadanía en general, en las actuaciones contractuales adelantadas por las entidades estatales, participación que se materializa en la oportunidad que se concede a aquellos para presentar observaciones en las distintas etapas o fases del proceso que culmina con la celebración del contrato estatal.</w:t>
            </w:r>
            <w:r>
              <w:rPr>
                <w:rFonts w:ascii="Verdana" w:eastAsia="Batang" w:hAnsi="Verdana" w:cs="Arial"/>
                <w:color w:val="000000"/>
                <w:lang w:val="es-MX"/>
              </w:rPr>
              <w:t xml:space="preserve"> No </w:t>
            </w:r>
            <w:proofErr w:type="gramStart"/>
            <w:r>
              <w:rPr>
                <w:rFonts w:ascii="Verdana" w:eastAsia="Batang" w:hAnsi="Verdana" w:cs="Arial"/>
                <w:color w:val="000000"/>
                <w:lang w:val="es-MX"/>
              </w:rPr>
              <w:t>obstante</w:t>
            </w:r>
            <w:proofErr w:type="gramEnd"/>
            <w:r>
              <w:rPr>
                <w:rFonts w:ascii="Verdana" w:eastAsia="Batang" w:hAnsi="Verdana" w:cs="Arial"/>
                <w:color w:val="000000"/>
                <w:lang w:val="es-MX"/>
              </w:rPr>
              <w:t xml:space="preserve"> lo anterior, también puede ejercerse en la etapa contractual y </w:t>
            </w:r>
            <w:proofErr w:type="spellStart"/>
            <w:r>
              <w:rPr>
                <w:rFonts w:ascii="Verdana" w:eastAsia="Batang" w:hAnsi="Verdana" w:cs="Arial"/>
                <w:color w:val="000000"/>
                <w:lang w:val="es-MX"/>
              </w:rPr>
              <w:t>postcontractual</w:t>
            </w:r>
            <w:proofErr w:type="spellEnd"/>
            <w:r>
              <w:rPr>
                <w:rFonts w:ascii="Verdana" w:eastAsia="Batang" w:hAnsi="Verdana" w:cs="Arial"/>
                <w:color w:val="000000"/>
                <w:lang w:val="es-MX"/>
              </w:rPr>
              <w:t xml:space="preserve"> mediante la presentación de observaciones, solicitudes, peticiones, denuncias, quejas, acciones populares, acciones de cumplimiento, acciones de tutela, como lo define el artículo 66 de la Ley 1757 de 2015. </w:t>
            </w:r>
          </w:p>
          <w:p w14:paraId="102BEB2B" w14:textId="00923AD8" w:rsidR="00C249D5" w:rsidRPr="0080031B" w:rsidRDefault="00C249D5" w:rsidP="00F9720B">
            <w:pPr>
              <w:shd w:val="clear" w:color="auto" w:fill="FFFFFF"/>
              <w:spacing w:after="120" w:line="276" w:lineRule="auto"/>
              <w:ind w:firstLine="567"/>
              <w:jc w:val="both"/>
            </w:pPr>
            <w:r w:rsidRPr="006B7553">
              <w:rPr>
                <w:rFonts w:ascii="Verdana" w:hAnsi="Verdana" w:cs="Arial"/>
                <w:color w:val="000000" w:themeColor="text1"/>
                <w:lang w:val="es-ES" w:eastAsia="es-ES_tradnl"/>
              </w:rPr>
              <w:t xml:space="preserve">En relación con este punto, las entidades públicas deberán garantizar el ejercicio del derecho al control social y facilitar el suministro de la información, como lo dispone el párrafo segundo del artículo 65 de la Ley 1757 de 2017, el cual establece: </w:t>
            </w:r>
            <w:r w:rsidR="0080031B" w:rsidRPr="00F9720B">
              <w:rPr>
                <w:rFonts w:ascii="Verdana" w:eastAsia="Calibri" w:hAnsi="Verdana" w:cs="Arial"/>
                <w:color w:val="000000"/>
              </w:rPr>
              <w:t>“</w:t>
            </w:r>
            <w:r w:rsidRPr="00F9720B">
              <w:rPr>
                <w:rFonts w:ascii="Verdana" w:eastAsia="Calibri" w:hAnsi="Verdana" w:cs="Arial"/>
                <w:color w:val="000000"/>
              </w:rPr>
              <w:t>[…] las entidades del Estado y las entidades privadas que presten servicios públicos domiciliarios o realicen proyectos con recursos públicos deberán garantizar el ejercicio del derecho al control social. Para tal efecto, deberán entregar información relacionada con la prestación del servicio público domiciliario, el proyecto o el uso de los recursos públicos y de acuerdo con los objetivos perseguidos por el control social correspondiente, según sea el caso a los agentes de control para el ejercicio de su función y brindar las condiciones y las garantías necesarias a los ciudadanos, las organizaciones y redes para que puedan ejercer ese derecho</w:t>
            </w:r>
            <w:r w:rsidR="0080031B" w:rsidRPr="00F9720B">
              <w:rPr>
                <w:rFonts w:ascii="Verdana" w:eastAsia="Calibri" w:hAnsi="Verdana" w:cs="Arial"/>
                <w:color w:val="000000"/>
              </w:rPr>
              <w:t>”</w:t>
            </w:r>
            <w:r w:rsidRPr="00F9720B">
              <w:rPr>
                <w:rFonts w:ascii="Verdana" w:eastAsia="Calibri" w:hAnsi="Verdana" w:cs="Arial"/>
                <w:color w:val="000000"/>
              </w:rPr>
              <w:t>.</w:t>
            </w:r>
          </w:p>
          <w:p w14:paraId="7FE99660" w14:textId="77777777" w:rsidR="00C249D5" w:rsidRPr="00634E0A" w:rsidRDefault="00C249D5" w:rsidP="007D4245">
            <w:pPr>
              <w:shd w:val="clear" w:color="auto" w:fill="FFFFFF"/>
              <w:spacing w:after="120" w:line="276" w:lineRule="auto"/>
              <w:ind w:firstLine="567"/>
              <w:jc w:val="both"/>
              <w:rPr>
                <w:rFonts w:ascii="Verdana" w:hAnsi="Verdana" w:cs="Arial"/>
                <w:color w:val="000000" w:themeColor="text1"/>
                <w:lang w:val="es-ES" w:eastAsia="es-ES_tradnl"/>
              </w:rPr>
            </w:pPr>
            <w:r>
              <w:rPr>
                <w:rFonts w:ascii="Verdana" w:hAnsi="Verdana" w:cs="Arial"/>
                <w:color w:val="000000" w:themeColor="text1"/>
                <w:lang w:val="es-ES" w:eastAsia="es-ES_tradnl"/>
              </w:rPr>
              <w:t xml:space="preserve">De esta manera, si la veeduría ciudadana presenta observaciones a los documentos del proceso (fase precontractual) la entidad está en la obligación de dar respuesta a sus observaciones para el ejercicio y aplicación irrestricta del principio de transparencia de la contratación estatal. En este escenario, la administración una vez analizada las observaciones, procederá a acogerlas o no, siempre y cuando se otorgue respuesta de manera fundamentada sobre la decisión adoptada. Esta obligatoriedad se extiende en las etapas contractual y </w:t>
            </w:r>
            <w:proofErr w:type="spellStart"/>
            <w:r>
              <w:rPr>
                <w:rFonts w:ascii="Verdana" w:hAnsi="Verdana" w:cs="Arial"/>
                <w:color w:val="000000" w:themeColor="text1"/>
                <w:lang w:val="es-ES" w:eastAsia="es-ES_tradnl"/>
              </w:rPr>
              <w:t>postcontractual</w:t>
            </w:r>
            <w:proofErr w:type="spellEnd"/>
            <w:r>
              <w:rPr>
                <w:rFonts w:ascii="Verdana" w:hAnsi="Verdana" w:cs="Arial"/>
                <w:color w:val="000000" w:themeColor="text1"/>
                <w:lang w:val="es-ES" w:eastAsia="es-ES_tradnl"/>
              </w:rPr>
              <w:t xml:space="preserve">, dado que el ejercicio del control abarca la totalidad del proceso de contratación. </w:t>
            </w:r>
          </w:p>
        </w:tc>
      </w:tr>
    </w:tbl>
    <w:p w14:paraId="764D894D" w14:textId="77777777" w:rsidR="00C249D5" w:rsidRDefault="00C249D5" w:rsidP="00C249D5">
      <w:pPr>
        <w:tabs>
          <w:tab w:val="left" w:pos="142"/>
          <w:tab w:val="left" w:pos="284"/>
        </w:tabs>
        <w:spacing w:after="0" w:line="276" w:lineRule="auto"/>
        <w:jc w:val="both"/>
        <w:rPr>
          <w:rFonts w:ascii="Verdana" w:eastAsia="Century Gothic" w:hAnsi="Verdana" w:cs="Century Gothic"/>
          <w:b/>
          <w:bCs/>
        </w:rPr>
      </w:pPr>
    </w:p>
    <w:p w14:paraId="17994FED" w14:textId="77777777" w:rsidR="00C249D5" w:rsidRDefault="00C249D5" w:rsidP="00C249D5">
      <w:pPr>
        <w:tabs>
          <w:tab w:val="left" w:pos="142"/>
          <w:tab w:val="left" w:pos="284"/>
        </w:tabs>
        <w:spacing w:after="0" w:line="276" w:lineRule="auto"/>
        <w:jc w:val="both"/>
        <w:rPr>
          <w:rFonts w:ascii="Verdana" w:eastAsia="Century Gothic" w:hAnsi="Verdana" w:cs="Century Gothic"/>
          <w:b/>
          <w:bCs/>
        </w:rPr>
      </w:pPr>
      <w:r w:rsidRPr="005644FE">
        <w:rPr>
          <w:rFonts w:ascii="Verdana" w:eastAsia="Century Gothic" w:hAnsi="Verdana" w:cs="Century Gothic"/>
          <w:b/>
          <w:bCs/>
        </w:rPr>
        <w:t>3. Razones de la respuesta:</w:t>
      </w:r>
    </w:p>
    <w:p w14:paraId="4EFDF2FC" w14:textId="77777777" w:rsidR="00C249D5" w:rsidRDefault="00C249D5" w:rsidP="00C249D5">
      <w:pPr>
        <w:tabs>
          <w:tab w:val="left" w:pos="142"/>
          <w:tab w:val="left" w:pos="284"/>
          <w:tab w:val="left" w:pos="6975"/>
        </w:tabs>
        <w:spacing w:after="0" w:line="276" w:lineRule="auto"/>
        <w:jc w:val="both"/>
        <w:rPr>
          <w:rFonts w:ascii="Verdana" w:eastAsia="Calibri" w:hAnsi="Verdana" w:cs="Arial"/>
        </w:rPr>
      </w:pPr>
      <w:r w:rsidRPr="005644FE">
        <w:rPr>
          <w:rFonts w:ascii="Verdana" w:eastAsia="Calibri" w:hAnsi="Verdana" w:cs="Arial"/>
        </w:rPr>
        <w:t>Lo anterior se sustenta en las siguientes consideraciones:</w:t>
      </w:r>
    </w:p>
    <w:p w14:paraId="0B365507" w14:textId="77777777" w:rsidR="00C86D40" w:rsidRDefault="00C86D40" w:rsidP="00C86D40">
      <w:pPr>
        <w:tabs>
          <w:tab w:val="left" w:pos="426"/>
        </w:tabs>
        <w:spacing w:after="0" w:line="240" w:lineRule="auto"/>
        <w:jc w:val="both"/>
        <w:rPr>
          <w:rFonts w:ascii="Verdana" w:eastAsia="Times New Roman" w:hAnsi="Verdana" w:cs="Arial"/>
          <w:color w:val="000000" w:themeColor="text1"/>
          <w:lang w:eastAsia="es-ES_tradnl"/>
        </w:rPr>
      </w:pPr>
    </w:p>
    <w:p w14:paraId="0D0DC755" w14:textId="6912A44F" w:rsidR="00C249D5" w:rsidRPr="007A7CC1" w:rsidRDefault="00C249D5" w:rsidP="00C249D5">
      <w:pPr>
        <w:tabs>
          <w:tab w:val="left" w:pos="426"/>
        </w:tabs>
        <w:spacing w:after="120" w:line="276" w:lineRule="auto"/>
        <w:jc w:val="both"/>
        <w:rPr>
          <w:rFonts w:ascii="Verdana" w:eastAsia="Times New Roman" w:hAnsi="Verdana" w:cs="Arial"/>
          <w:color w:val="000000" w:themeColor="text1"/>
          <w:lang w:val="es-ES" w:eastAsia="es-ES_tradnl"/>
        </w:rPr>
      </w:pPr>
      <w:r>
        <w:rPr>
          <w:rFonts w:ascii="Verdana" w:eastAsia="Times New Roman" w:hAnsi="Verdana" w:cs="Arial"/>
          <w:color w:val="000000" w:themeColor="text1"/>
          <w:lang w:val="es-ES" w:eastAsia="es-ES_tradnl"/>
        </w:rPr>
        <w:t xml:space="preserve">i) </w:t>
      </w:r>
      <w:r w:rsidRPr="007A7CC1">
        <w:rPr>
          <w:rFonts w:ascii="Verdana" w:eastAsia="Times New Roman" w:hAnsi="Verdana" w:cs="Arial"/>
          <w:color w:val="000000" w:themeColor="text1"/>
          <w:lang w:val="es-ES" w:eastAsia="es-ES_tradnl"/>
        </w:rPr>
        <w:t xml:space="preserve">La participación ciudadana en las decisiones del Estado tiene fundamento en la Constitución Política. En efecto, el artículo 2 de la Constitución dispone cuáles son los fines esenciales del Estado, entre ellos, </w:t>
      </w:r>
      <w:r>
        <w:rPr>
          <w:rFonts w:ascii="Verdana" w:eastAsia="Times New Roman" w:hAnsi="Verdana" w:cs="Arial"/>
          <w:color w:val="000000" w:themeColor="text1"/>
          <w:lang w:val="es-ES" w:eastAsia="es-ES_tradnl"/>
        </w:rPr>
        <w:t>“(…)</w:t>
      </w:r>
      <w:r w:rsidRPr="007A7CC1">
        <w:rPr>
          <w:rFonts w:ascii="Verdana" w:eastAsia="Times New Roman" w:hAnsi="Verdana" w:cs="Arial"/>
          <w:color w:val="000000" w:themeColor="text1"/>
          <w:lang w:val="es-ES" w:eastAsia="es-ES_tradnl"/>
        </w:rPr>
        <w:t xml:space="preserve"> </w:t>
      </w:r>
      <w:r w:rsidRPr="007A7CC1">
        <w:rPr>
          <w:rFonts w:ascii="Verdana" w:eastAsia="Calibri" w:hAnsi="Verdana" w:cs="Arial"/>
          <w:bCs/>
          <w:color w:val="000000" w:themeColor="text1"/>
          <w:lang w:val="es-ES"/>
        </w:rPr>
        <w:t>facilitar la participación de todos en las decisiones que los afectan y en la vida económica, política, administrativa y cultural de la Nación</w:t>
      </w:r>
      <w:r>
        <w:rPr>
          <w:rFonts w:ascii="Verdana" w:eastAsia="Calibri" w:hAnsi="Verdana" w:cs="Arial"/>
          <w:bCs/>
          <w:color w:val="000000" w:themeColor="text1"/>
          <w:lang w:val="es-ES"/>
        </w:rPr>
        <w:t xml:space="preserve"> </w:t>
      </w:r>
      <w:r w:rsidRPr="00393871">
        <w:rPr>
          <w:rFonts w:ascii="Verdana" w:eastAsia="Calibri" w:hAnsi="Verdana" w:cs="Arial"/>
          <w:bCs/>
          <w:color w:val="000000" w:themeColor="text1"/>
          <w:lang w:val="es-ES"/>
        </w:rPr>
        <w:t>(…)</w:t>
      </w:r>
      <w:r>
        <w:rPr>
          <w:rFonts w:ascii="Verdana" w:eastAsia="Times New Roman" w:hAnsi="Verdana" w:cs="Arial"/>
          <w:color w:val="000000" w:themeColor="text1"/>
          <w:lang w:val="es-ES" w:eastAsia="es-ES_tradnl"/>
        </w:rPr>
        <w:t>”.</w:t>
      </w:r>
      <w:r w:rsidRPr="007A7CC1">
        <w:rPr>
          <w:rFonts w:ascii="Verdana" w:eastAsia="Times New Roman" w:hAnsi="Verdana" w:cs="Arial"/>
          <w:color w:val="000000" w:themeColor="text1"/>
          <w:lang w:val="es-ES" w:eastAsia="es-ES_tradnl"/>
        </w:rPr>
        <w:t xml:space="preserve"> </w:t>
      </w:r>
    </w:p>
    <w:p w14:paraId="64A4C23F" w14:textId="77777777" w:rsidR="00C249D5" w:rsidRPr="007A7CC1" w:rsidRDefault="00C249D5" w:rsidP="00C249D5">
      <w:pPr>
        <w:tabs>
          <w:tab w:val="left" w:pos="426"/>
        </w:tabs>
        <w:spacing w:after="120" w:line="276" w:lineRule="auto"/>
        <w:ind w:firstLine="709"/>
        <w:jc w:val="both"/>
        <w:rPr>
          <w:rFonts w:ascii="Verdana" w:eastAsia="Calibri" w:hAnsi="Verdana" w:cs="Arial"/>
          <w:bCs/>
          <w:color w:val="000000" w:themeColor="text1"/>
          <w:lang w:val="es-ES"/>
        </w:rPr>
      </w:pPr>
      <w:r w:rsidRPr="007A7CC1">
        <w:rPr>
          <w:rFonts w:ascii="Verdana" w:eastAsia="Times New Roman" w:hAnsi="Verdana" w:cs="Arial"/>
          <w:color w:val="000000" w:themeColor="text1"/>
          <w:lang w:val="es-ES" w:eastAsia="es-ES_tradnl"/>
        </w:rPr>
        <w:t xml:space="preserve">Por su parte, el artículo 270 de la Constitución atribuye a la Ley la organización de </w:t>
      </w:r>
      <w:r>
        <w:rPr>
          <w:rFonts w:ascii="Verdana" w:eastAsia="Times New Roman" w:hAnsi="Verdana" w:cs="Arial"/>
          <w:color w:val="000000" w:themeColor="text1"/>
          <w:lang w:val="es-ES" w:eastAsia="es-ES_tradnl"/>
        </w:rPr>
        <w:t xml:space="preserve">“(…) </w:t>
      </w:r>
      <w:r w:rsidRPr="007A7CC1">
        <w:rPr>
          <w:rFonts w:ascii="Verdana" w:eastAsia="Times New Roman" w:hAnsi="Verdana" w:cs="Arial"/>
          <w:color w:val="000000" w:themeColor="text1"/>
          <w:lang w:val="es-ES" w:eastAsia="es-ES_tradnl"/>
        </w:rPr>
        <w:t xml:space="preserve">las formas y los sistemas de participación ciudadana que permitan vigilar la gestión pública que se cumpla en los diversos niveles administrativos y sus resultados». Por tanto, </w:t>
      </w:r>
      <w:r w:rsidRPr="007A7CC1">
        <w:rPr>
          <w:rFonts w:ascii="Verdana" w:eastAsia="Calibri" w:hAnsi="Verdana" w:cs="Arial"/>
          <w:bCs/>
          <w:color w:val="000000" w:themeColor="text1"/>
          <w:lang w:val="es-ES"/>
        </w:rPr>
        <w:t xml:space="preserve">la participación ciudadana es un elemento fundante del pacto social sobre el que se erige el Estado colombiano. </w:t>
      </w:r>
    </w:p>
    <w:p w14:paraId="1FBCD7D6" w14:textId="77777777" w:rsidR="00C249D5" w:rsidRPr="007A7CC1" w:rsidRDefault="00C249D5" w:rsidP="00397A1F">
      <w:pPr>
        <w:spacing w:after="0" w:line="276" w:lineRule="auto"/>
        <w:ind w:firstLine="709"/>
        <w:jc w:val="both"/>
        <w:rPr>
          <w:rFonts w:ascii="Verdana" w:eastAsia="Times New Roman" w:hAnsi="Verdana" w:cs="Arial"/>
          <w:color w:val="000000" w:themeColor="text1"/>
          <w:lang w:val="es-ES" w:eastAsia="es-ES_tradnl"/>
        </w:rPr>
      </w:pPr>
      <w:r w:rsidRPr="007A7CC1">
        <w:rPr>
          <w:rFonts w:ascii="Verdana" w:eastAsia="Times New Roman" w:hAnsi="Verdana" w:cs="Arial"/>
          <w:color w:val="000000" w:themeColor="text1"/>
          <w:lang w:val="es-ES" w:eastAsia="es-ES_tradnl"/>
        </w:rPr>
        <w:t>Desde el punto de vista legal, las reglas sobre la participación comunitaria en materia de contratación estatal fueron fijadas por el artículo 66 de la Ley 80 de 1993, en el que se estableció lo siguiente:</w:t>
      </w:r>
    </w:p>
    <w:p w14:paraId="17357C1E" w14:textId="77777777" w:rsidR="00397A1F" w:rsidRPr="007A7CC1" w:rsidRDefault="00397A1F" w:rsidP="00F9720B">
      <w:pPr>
        <w:spacing w:after="0" w:line="276" w:lineRule="auto"/>
        <w:ind w:firstLine="709"/>
        <w:jc w:val="both"/>
        <w:rPr>
          <w:rFonts w:ascii="Verdana" w:eastAsia="Times New Roman" w:hAnsi="Verdana" w:cs="Arial"/>
          <w:color w:val="000000" w:themeColor="text1"/>
          <w:lang w:val="es-ES" w:eastAsia="es-ES_tradnl"/>
        </w:rPr>
      </w:pPr>
    </w:p>
    <w:p w14:paraId="2AB0E444" w14:textId="77777777" w:rsidR="00C249D5" w:rsidRPr="008C02D9" w:rsidRDefault="00C249D5" w:rsidP="00F9720B">
      <w:pPr>
        <w:spacing w:after="0" w:line="240" w:lineRule="auto"/>
        <w:ind w:left="709" w:right="709"/>
        <w:jc w:val="both"/>
        <w:rPr>
          <w:rFonts w:ascii="Verdana" w:eastAsia="Calibri" w:hAnsi="Verdana" w:cs="Arial"/>
          <w:color w:val="000000"/>
          <w:sz w:val="20"/>
          <w:szCs w:val="20"/>
          <w:lang w:val="es-ES_tradnl"/>
        </w:rPr>
      </w:pPr>
      <w:r w:rsidRPr="008C02D9">
        <w:rPr>
          <w:rFonts w:ascii="Verdana" w:hAnsi="Verdana" w:cs="Arial"/>
          <w:sz w:val="20"/>
          <w:szCs w:val="20"/>
        </w:rPr>
        <w:t>“</w:t>
      </w:r>
      <w:r w:rsidRPr="008C02D9">
        <w:rPr>
          <w:rFonts w:ascii="Verdana" w:eastAsia="Calibri" w:hAnsi="Verdana" w:cs="Arial"/>
          <w:color w:val="000000"/>
          <w:sz w:val="20"/>
          <w:szCs w:val="20"/>
          <w:lang w:val="es-ES_tradnl"/>
        </w:rPr>
        <w:t>Todo contrato que celebren las entidades estatales, estará sujeto a la vigilancia y control ciudadano.</w:t>
      </w:r>
    </w:p>
    <w:p w14:paraId="5F31CF08" w14:textId="77777777" w:rsidR="00C249D5" w:rsidRPr="008C02D9" w:rsidRDefault="00C249D5" w:rsidP="00F9720B">
      <w:pPr>
        <w:spacing w:after="0" w:line="240" w:lineRule="auto"/>
        <w:ind w:left="709" w:right="709"/>
        <w:jc w:val="both"/>
        <w:rPr>
          <w:rFonts w:ascii="Verdana" w:eastAsia="Calibri" w:hAnsi="Verdana" w:cs="Arial"/>
          <w:color w:val="000000"/>
          <w:sz w:val="20"/>
          <w:szCs w:val="20"/>
          <w:lang w:val="es-ES_tradnl"/>
        </w:rPr>
      </w:pPr>
    </w:p>
    <w:p w14:paraId="14E046F1" w14:textId="77777777" w:rsidR="00C249D5" w:rsidRPr="008C02D9" w:rsidRDefault="00C249D5" w:rsidP="00F9720B">
      <w:pPr>
        <w:spacing w:after="0" w:line="240" w:lineRule="auto"/>
        <w:ind w:left="709" w:right="709"/>
        <w:jc w:val="both"/>
        <w:rPr>
          <w:rFonts w:ascii="Verdana" w:eastAsia="Calibri" w:hAnsi="Verdana" w:cs="Arial"/>
          <w:color w:val="000000"/>
          <w:sz w:val="20"/>
          <w:szCs w:val="20"/>
          <w:lang w:val="es-ES_tradnl"/>
        </w:rPr>
      </w:pPr>
      <w:r w:rsidRPr="008C02D9">
        <w:rPr>
          <w:rFonts w:ascii="Verdana" w:eastAsia="Calibri" w:hAnsi="Verdana" w:cs="Arial"/>
          <w:color w:val="000000"/>
          <w:sz w:val="20"/>
          <w:szCs w:val="20"/>
          <w:lang w:val="es-ES_tradnl"/>
        </w:rPr>
        <w:t>Las asociaciones cívicas, comunitarias, de profesionales, benéficas o de utilidad común, podrán denunciar ante las autoridades competentes las actuaciones, hechos u omisiones de los servidores públicos o de los particulares, que constituyan delitos, contravenciones o faltas en materia de contratación estatal.</w:t>
      </w:r>
    </w:p>
    <w:p w14:paraId="7B0E47A4" w14:textId="77777777" w:rsidR="00C249D5" w:rsidRPr="008C02D9" w:rsidRDefault="00C249D5" w:rsidP="00F9720B">
      <w:pPr>
        <w:spacing w:after="0" w:line="240" w:lineRule="auto"/>
        <w:ind w:left="709" w:right="709"/>
        <w:jc w:val="both"/>
        <w:rPr>
          <w:rFonts w:ascii="Verdana" w:eastAsia="Calibri" w:hAnsi="Verdana" w:cs="Arial"/>
          <w:color w:val="000000"/>
          <w:sz w:val="20"/>
          <w:szCs w:val="20"/>
          <w:lang w:val="es-ES_tradnl"/>
        </w:rPr>
      </w:pPr>
    </w:p>
    <w:p w14:paraId="6DDF5257" w14:textId="77777777" w:rsidR="00C249D5" w:rsidRPr="008C02D9" w:rsidRDefault="00C249D5" w:rsidP="00F9720B">
      <w:pPr>
        <w:spacing w:after="0" w:line="240" w:lineRule="auto"/>
        <w:ind w:left="709" w:right="709"/>
        <w:jc w:val="both"/>
        <w:rPr>
          <w:rFonts w:ascii="Verdana" w:eastAsia="Calibri" w:hAnsi="Verdana" w:cs="Arial"/>
          <w:color w:val="000000"/>
          <w:sz w:val="20"/>
          <w:szCs w:val="20"/>
          <w:lang w:val="es-ES_tradnl"/>
        </w:rPr>
      </w:pPr>
      <w:r w:rsidRPr="008C02D9">
        <w:rPr>
          <w:rFonts w:ascii="Verdana" w:eastAsia="Calibri" w:hAnsi="Verdana" w:cs="Arial"/>
          <w:color w:val="000000"/>
          <w:sz w:val="20"/>
          <w:szCs w:val="20"/>
          <w:lang w:val="es-ES_tradnl"/>
        </w:rPr>
        <w:t>Las autoridades brindarán especial apoyo y colaboración a las personas y asociaciones que emprendan campañas de control y vigilancia de la gestión pública contractual y oportunamente suministrarán la documentación e información que requieran para el cumplimiento de tales tareas.</w:t>
      </w:r>
    </w:p>
    <w:p w14:paraId="2B66C5DF" w14:textId="77777777" w:rsidR="00C249D5" w:rsidRPr="008C02D9" w:rsidRDefault="00C249D5" w:rsidP="00F9720B">
      <w:pPr>
        <w:spacing w:after="0" w:line="240" w:lineRule="auto"/>
        <w:ind w:left="709" w:right="709"/>
        <w:jc w:val="both"/>
        <w:rPr>
          <w:rFonts w:ascii="Verdana" w:eastAsia="Calibri" w:hAnsi="Verdana" w:cs="Arial"/>
          <w:color w:val="000000"/>
          <w:sz w:val="20"/>
          <w:szCs w:val="20"/>
          <w:lang w:val="es-ES_tradnl"/>
        </w:rPr>
      </w:pPr>
    </w:p>
    <w:p w14:paraId="20C1D601" w14:textId="77777777" w:rsidR="00C249D5" w:rsidRPr="008C02D9" w:rsidRDefault="00C249D5" w:rsidP="00F9720B">
      <w:pPr>
        <w:spacing w:after="0" w:line="240" w:lineRule="auto"/>
        <w:ind w:left="709" w:right="709"/>
        <w:jc w:val="both"/>
        <w:rPr>
          <w:rFonts w:ascii="Verdana" w:eastAsia="Calibri" w:hAnsi="Verdana" w:cs="Arial"/>
          <w:color w:val="000000"/>
          <w:sz w:val="20"/>
          <w:szCs w:val="20"/>
          <w:lang w:val="es-ES_tradnl"/>
        </w:rPr>
      </w:pPr>
      <w:r w:rsidRPr="008C02D9">
        <w:rPr>
          <w:rFonts w:ascii="Verdana" w:eastAsia="Calibri" w:hAnsi="Verdana" w:cs="Arial"/>
          <w:color w:val="000000"/>
          <w:sz w:val="20"/>
          <w:szCs w:val="20"/>
          <w:lang w:val="es-ES_tradnl"/>
        </w:rPr>
        <w:t>El Gobierno Nacional y los de las entidades territoriales establecerán sistemas y mecanismos de estímulo de la vigilancia y control comunitario en la actividad contractual orientados a recompensar dichas labores.</w:t>
      </w:r>
    </w:p>
    <w:p w14:paraId="473B9D9C" w14:textId="77777777" w:rsidR="00C249D5" w:rsidRPr="008C02D9" w:rsidRDefault="00C249D5" w:rsidP="00F9720B">
      <w:pPr>
        <w:spacing w:after="0" w:line="240" w:lineRule="auto"/>
        <w:ind w:left="709" w:right="709"/>
        <w:jc w:val="both"/>
        <w:rPr>
          <w:rFonts w:ascii="Verdana" w:eastAsia="Calibri" w:hAnsi="Verdana" w:cs="Arial"/>
          <w:color w:val="000000"/>
          <w:sz w:val="20"/>
          <w:szCs w:val="20"/>
          <w:lang w:val="es-ES_tradnl"/>
        </w:rPr>
      </w:pPr>
    </w:p>
    <w:p w14:paraId="551A3AD1" w14:textId="77777777" w:rsidR="00C249D5" w:rsidRPr="00634E0A" w:rsidRDefault="00C249D5" w:rsidP="00397A1F">
      <w:pPr>
        <w:spacing w:after="0" w:line="240" w:lineRule="auto"/>
        <w:ind w:left="709" w:right="709"/>
        <w:jc w:val="both"/>
        <w:rPr>
          <w:rFonts w:ascii="Verdana" w:eastAsia="Calibri" w:hAnsi="Verdana" w:cs="Arial"/>
          <w:color w:val="000000"/>
          <w:sz w:val="20"/>
          <w:szCs w:val="20"/>
          <w:lang w:val="es-ES_tradnl"/>
        </w:rPr>
      </w:pPr>
      <w:r w:rsidRPr="008C02D9">
        <w:rPr>
          <w:rFonts w:ascii="Verdana" w:eastAsia="Calibri" w:hAnsi="Verdana" w:cs="Arial"/>
          <w:color w:val="000000"/>
          <w:sz w:val="20"/>
          <w:szCs w:val="20"/>
          <w:lang w:val="es-ES_tradnl"/>
        </w:rPr>
        <w:t>Las entidades estatales podrán contratar con las asociaciones de profesionales y gremiales y con las universidades y centros especializados de investigación, el estudio y análisis de las gestiones contractuales realizadas”.</w:t>
      </w:r>
    </w:p>
    <w:p w14:paraId="7AE0F388" w14:textId="77777777" w:rsidR="00397A1F" w:rsidRPr="00F9720B" w:rsidRDefault="00397A1F" w:rsidP="00F9720B">
      <w:pPr>
        <w:spacing w:after="0" w:line="240" w:lineRule="auto"/>
        <w:ind w:left="709" w:right="709"/>
        <w:jc w:val="both"/>
        <w:rPr>
          <w:rFonts w:ascii="Verdana" w:eastAsia="Calibri" w:hAnsi="Verdana" w:cs="Arial"/>
          <w:color w:val="000000"/>
          <w:lang w:val="es-ES_tradnl"/>
        </w:rPr>
      </w:pPr>
    </w:p>
    <w:p w14:paraId="6A4F5943" w14:textId="77777777" w:rsidR="00C249D5" w:rsidRPr="007A7CC1" w:rsidRDefault="00C249D5" w:rsidP="00C249D5">
      <w:pPr>
        <w:spacing w:after="120" w:line="276" w:lineRule="auto"/>
        <w:ind w:firstLine="709"/>
        <w:jc w:val="both"/>
        <w:rPr>
          <w:rFonts w:ascii="Verdana" w:eastAsia="Times New Roman" w:hAnsi="Verdana" w:cs="Arial"/>
          <w:color w:val="000000" w:themeColor="text1"/>
          <w:lang w:val="es-ES" w:eastAsia="es-ES_tradnl"/>
        </w:rPr>
      </w:pPr>
      <w:r w:rsidRPr="007A7CC1">
        <w:rPr>
          <w:rFonts w:ascii="Verdana" w:eastAsia="Times New Roman" w:hAnsi="Verdana" w:cs="Arial"/>
          <w:color w:val="000000" w:themeColor="text1"/>
          <w:lang w:val="es-ES" w:eastAsia="es-ES_tradnl"/>
        </w:rPr>
        <w:t>La norma mencionada dispuso que todo contrato que celebren las entidades estatales estará sujeto a la vigilancia y control ciudadano, prescribiendo así el ámbito de aplicación de la participación ciudadana en la contratación estatal. De igual manera, dicho precepto determina, entre otros aspectos, el deber de las autoridades de brindar especial apoyo y colaboración a las personas y asociaciones que realicen el control y vigilancia de la gestión pública contractual, así como de suministrar oportunamente la documentación e información que requieran para el cumplimiento de tales tareas.</w:t>
      </w:r>
    </w:p>
    <w:p w14:paraId="01204A6B" w14:textId="77777777" w:rsidR="00C249D5" w:rsidRPr="007A7CC1" w:rsidRDefault="00C249D5" w:rsidP="00C249D5">
      <w:pPr>
        <w:spacing w:after="120" w:line="276" w:lineRule="auto"/>
        <w:ind w:firstLine="709"/>
        <w:jc w:val="both"/>
        <w:rPr>
          <w:rFonts w:ascii="Verdana" w:eastAsia="Times New Roman" w:hAnsi="Verdana" w:cs="Arial"/>
          <w:color w:val="000000" w:themeColor="text1"/>
          <w:lang w:val="es-ES" w:eastAsia="es-ES_tradnl"/>
        </w:rPr>
      </w:pPr>
      <w:r w:rsidRPr="007A7CC1">
        <w:rPr>
          <w:rFonts w:ascii="Verdana" w:eastAsia="Times New Roman" w:hAnsi="Verdana" w:cs="Arial"/>
          <w:color w:val="000000" w:themeColor="text1"/>
          <w:lang w:val="es-ES" w:eastAsia="es-ES_tradnl"/>
        </w:rPr>
        <w:t xml:space="preserve"> En adición a la Ley 80 de 1993, existen otras normas que regulan la participación de la ciudadanía en el control social de la gestión pública, tales como las leyes 134 de 1994, 393 de 1997, 472 de 1998 y 489 de 1998, entre otras. </w:t>
      </w:r>
    </w:p>
    <w:p w14:paraId="4ED38DA3" w14:textId="77777777" w:rsidR="00C249D5" w:rsidRPr="007A7CC1" w:rsidRDefault="00C249D5" w:rsidP="008623FE">
      <w:pPr>
        <w:spacing w:after="0" w:line="276" w:lineRule="auto"/>
        <w:ind w:firstLine="709"/>
        <w:jc w:val="both"/>
        <w:rPr>
          <w:rFonts w:ascii="Verdana" w:eastAsia="Times New Roman" w:hAnsi="Verdana" w:cs="Arial"/>
          <w:color w:val="000000" w:themeColor="text1"/>
          <w:lang w:val="es-ES" w:eastAsia="es-ES_tradnl"/>
        </w:rPr>
      </w:pPr>
      <w:r w:rsidRPr="007A7CC1">
        <w:rPr>
          <w:rFonts w:ascii="Verdana" w:eastAsia="Times New Roman" w:hAnsi="Verdana" w:cs="Arial"/>
          <w:color w:val="000000" w:themeColor="text1"/>
          <w:lang w:val="es-ES" w:eastAsia="es-ES_tradnl"/>
        </w:rPr>
        <w:t xml:space="preserve">En particular, la Ley 850 del 2003 reguló las veedurías ciudadanas como un mecanismo democrático de representación que le permite a la ciudadanía y a las diferentes formas de organización comunitaria ejercer vigilancia sobre la gestión pública. El artículo 4 contiene el objeto de la Ley, el cual consagra lo siguiente: </w:t>
      </w:r>
    </w:p>
    <w:p w14:paraId="3144146C" w14:textId="77777777" w:rsidR="008623FE" w:rsidRPr="007A7CC1" w:rsidRDefault="008623FE" w:rsidP="00F9720B">
      <w:pPr>
        <w:spacing w:after="0" w:line="276" w:lineRule="auto"/>
        <w:ind w:firstLine="709"/>
        <w:jc w:val="both"/>
        <w:rPr>
          <w:rFonts w:ascii="Verdana" w:eastAsia="Times New Roman" w:hAnsi="Verdana" w:cs="Arial"/>
          <w:color w:val="000000" w:themeColor="text1"/>
          <w:lang w:val="es-ES" w:eastAsia="es-ES_tradnl"/>
        </w:rPr>
      </w:pPr>
    </w:p>
    <w:p w14:paraId="24ED8AD9" w14:textId="77777777" w:rsidR="00C249D5" w:rsidRPr="008C02D9" w:rsidRDefault="00C249D5" w:rsidP="00C249D5">
      <w:pPr>
        <w:spacing w:after="0" w:line="240" w:lineRule="auto"/>
        <w:ind w:left="709" w:right="851"/>
        <w:jc w:val="both"/>
        <w:rPr>
          <w:rFonts w:ascii="Verdana" w:eastAsia="Calibri" w:hAnsi="Verdana" w:cs="Arial"/>
          <w:color w:val="000000"/>
          <w:sz w:val="20"/>
          <w:szCs w:val="20"/>
          <w:lang w:val="es-ES_tradnl"/>
        </w:rPr>
      </w:pPr>
      <w:r w:rsidRPr="008C02D9">
        <w:rPr>
          <w:rFonts w:ascii="Verdana" w:eastAsia="Calibri" w:hAnsi="Verdana" w:cs="Arial"/>
          <w:color w:val="000000"/>
          <w:sz w:val="20"/>
          <w:szCs w:val="20"/>
          <w:lang w:val="es-ES_tradnl"/>
        </w:rPr>
        <w:t>“La vigilancia de la gestión pública por parte de la Veeduría Ciudadana se podrá ejercer sobre la gestión administrativa, con sujeción al servicio de los intereses generales y la observancia de los principios de igualdad, moralidad, eficacia, economía, celeridad, imparcialidad, y publicidad.</w:t>
      </w:r>
    </w:p>
    <w:p w14:paraId="47F46399" w14:textId="77777777" w:rsidR="00C249D5" w:rsidRPr="008C02D9" w:rsidRDefault="00C249D5" w:rsidP="00C249D5">
      <w:pPr>
        <w:spacing w:after="0" w:line="240" w:lineRule="auto"/>
        <w:ind w:left="709" w:right="851"/>
        <w:jc w:val="both"/>
        <w:rPr>
          <w:rFonts w:ascii="Verdana" w:eastAsia="Calibri" w:hAnsi="Verdana" w:cs="Arial"/>
          <w:color w:val="000000"/>
          <w:sz w:val="20"/>
          <w:szCs w:val="20"/>
          <w:lang w:val="es-ES_tradnl"/>
        </w:rPr>
      </w:pPr>
    </w:p>
    <w:p w14:paraId="059DCA57" w14:textId="77777777" w:rsidR="00C249D5" w:rsidRPr="008C02D9" w:rsidRDefault="00C249D5" w:rsidP="00C249D5">
      <w:pPr>
        <w:spacing w:after="0" w:line="240" w:lineRule="auto"/>
        <w:ind w:left="709" w:right="851"/>
        <w:jc w:val="both"/>
        <w:rPr>
          <w:rFonts w:ascii="Verdana" w:eastAsia="Calibri" w:hAnsi="Verdana" w:cs="Arial"/>
          <w:color w:val="000000"/>
          <w:sz w:val="20"/>
          <w:szCs w:val="20"/>
          <w:lang w:val="es-ES_tradnl"/>
        </w:rPr>
      </w:pPr>
      <w:r w:rsidRPr="008C02D9">
        <w:rPr>
          <w:rFonts w:ascii="Verdana" w:eastAsia="Calibri" w:hAnsi="Verdana" w:cs="Arial"/>
          <w:color w:val="000000"/>
          <w:sz w:val="20"/>
          <w:szCs w:val="20"/>
          <w:lang w:val="es-ES_tradnl"/>
        </w:rPr>
        <w:t>Será materia de especial importancia en la vigilancia ejercida por la Veeduría Ciudadana la correcta aplicación de los recursos públicos, la forma como estos se asignen conforme a las disposiciones legales y a los planes, programas, y proyectos debidamente aprobados, el cumplimiento del cometido, los fines y la cobertura efectiva a los beneficiarios que deben ser atendidos de conformidad con los preceptos antes mencionados, la calidad, oportunidad y efectividad de las intervenciones públicas, la contratación pública y la diligencia de las diversas autoridades en garantizar los objetivos del Estado en las distintas áreas de gestión que se les ha encomendado.</w:t>
      </w:r>
    </w:p>
    <w:p w14:paraId="11681259" w14:textId="77777777" w:rsidR="00C249D5" w:rsidRPr="008C02D9" w:rsidRDefault="00C249D5" w:rsidP="00C249D5">
      <w:pPr>
        <w:spacing w:after="0" w:line="240" w:lineRule="auto"/>
        <w:ind w:left="709" w:right="851"/>
        <w:jc w:val="both"/>
        <w:rPr>
          <w:rFonts w:ascii="Verdana" w:eastAsia="Calibri" w:hAnsi="Verdana" w:cs="Arial"/>
          <w:color w:val="000000"/>
          <w:sz w:val="20"/>
          <w:szCs w:val="20"/>
          <w:lang w:val="es-ES_tradnl"/>
        </w:rPr>
      </w:pPr>
    </w:p>
    <w:p w14:paraId="60949049" w14:textId="77777777" w:rsidR="00C249D5" w:rsidRPr="008C02D9" w:rsidRDefault="00C249D5" w:rsidP="00C249D5">
      <w:pPr>
        <w:spacing w:after="0" w:line="240" w:lineRule="auto"/>
        <w:ind w:left="709" w:right="851"/>
        <w:jc w:val="both"/>
        <w:rPr>
          <w:rFonts w:ascii="Verdana" w:eastAsia="Calibri" w:hAnsi="Verdana" w:cs="Arial"/>
          <w:color w:val="000000"/>
          <w:sz w:val="20"/>
          <w:szCs w:val="20"/>
          <w:lang w:val="es-ES_tradnl"/>
        </w:rPr>
      </w:pPr>
      <w:r w:rsidRPr="008C02D9">
        <w:rPr>
          <w:rFonts w:ascii="Verdana" w:eastAsia="Calibri" w:hAnsi="Verdana" w:cs="Arial"/>
          <w:color w:val="000000"/>
          <w:sz w:val="20"/>
          <w:szCs w:val="20"/>
          <w:lang w:val="es-ES_tradnl"/>
        </w:rPr>
        <w:t>Las veedurías ejercen vigilancia preventiva y posterior del proceso de gestión haciendo recomendaciones escritas y oportunas ante las entidades que ejecutan el programa, proyecto o contrato y ante los organismos de control del Estado para mejorar la eficiencia institucional y la actuación de los funcionarios públicos</w:t>
      </w:r>
      <w:r>
        <w:rPr>
          <w:rFonts w:ascii="Verdana" w:eastAsia="Calibri" w:hAnsi="Verdana" w:cs="Arial"/>
          <w:color w:val="000000"/>
          <w:sz w:val="20"/>
          <w:szCs w:val="20"/>
          <w:lang w:val="es-ES_tradnl"/>
        </w:rPr>
        <w:t>”.</w:t>
      </w:r>
    </w:p>
    <w:p w14:paraId="3E7023F3" w14:textId="77777777" w:rsidR="00C249D5" w:rsidRDefault="00C249D5" w:rsidP="00C249D5">
      <w:pPr>
        <w:spacing w:after="0" w:line="240" w:lineRule="auto"/>
        <w:ind w:firstLine="709"/>
        <w:jc w:val="both"/>
        <w:rPr>
          <w:rFonts w:ascii="Verdana" w:eastAsia="Times New Roman" w:hAnsi="Verdana" w:cs="Arial"/>
          <w:color w:val="000000" w:themeColor="text1"/>
          <w:lang w:val="es-ES" w:eastAsia="es-ES_tradnl"/>
        </w:rPr>
      </w:pPr>
    </w:p>
    <w:p w14:paraId="6F1FFC8A" w14:textId="77777777" w:rsidR="00C249D5" w:rsidRPr="007A7CC1" w:rsidRDefault="00C249D5" w:rsidP="00C249D5">
      <w:pPr>
        <w:spacing w:after="120" w:line="276" w:lineRule="auto"/>
        <w:ind w:firstLine="709"/>
        <w:jc w:val="both"/>
        <w:rPr>
          <w:rFonts w:ascii="Verdana" w:eastAsia="Times New Roman" w:hAnsi="Verdana" w:cs="Arial"/>
          <w:color w:val="000000" w:themeColor="text1"/>
          <w:lang w:val="es-ES" w:eastAsia="es-ES_tradnl"/>
        </w:rPr>
      </w:pPr>
      <w:r w:rsidRPr="007A7CC1">
        <w:rPr>
          <w:rFonts w:ascii="Verdana" w:eastAsia="Times New Roman" w:hAnsi="Verdana" w:cs="Arial"/>
          <w:color w:val="000000" w:themeColor="text1"/>
          <w:lang w:val="es-ES" w:eastAsia="es-ES_tradnl"/>
        </w:rPr>
        <w:t xml:space="preserve">Finalmente, la Ley 1757 de 2015 </w:t>
      </w:r>
      <w:r>
        <w:rPr>
          <w:rFonts w:ascii="Verdana" w:eastAsia="Times New Roman" w:hAnsi="Verdana" w:cs="Arial"/>
          <w:color w:val="000000" w:themeColor="text1"/>
          <w:lang w:val="es-ES" w:eastAsia="es-ES_tradnl"/>
        </w:rPr>
        <w:t>“</w:t>
      </w:r>
      <w:r w:rsidRPr="007A7CC1">
        <w:rPr>
          <w:rFonts w:ascii="Verdana" w:eastAsia="Times New Roman" w:hAnsi="Verdana" w:cs="Arial"/>
          <w:color w:val="000000" w:themeColor="text1"/>
          <w:lang w:val="es-ES" w:eastAsia="es-ES_tradnl"/>
        </w:rPr>
        <w:t>Por la cual se dictan disposiciones en materia de promoción y protección del derecho a la participación democrática</w:t>
      </w:r>
      <w:r>
        <w:rPr>
          <w:rFonts w:ascii="Verdana" w:eastAsia="Times New Roman" w:hAnsi="Verdana" w:cs="Arial"/>
          <w:color w:val="000000" w:themeColor="text1"/>
          <w:lang w:val="es-ES" w:eastAsia="es-ES_tradnl"/>
        </w:rPr>
        <w:t>”</w:t>
      </w:r>
      <w:r w:rsidRPr="007A7CC1">
        <w:rPr>
          <w:rFonts w:ascii="Verdana" w:eastAsia="Times New Roman" w:hAnsi="Verdana" w:cs="Arial"/>
          <w:color w:val="000000" w:themeColor="text1"/>
          <w:lang w:val="es-ES" w:eastAsia="es-ES_tradnl"/>
        </w:rPr>
        <w:t xml:space="preserve"> regula el Control Social a lo Público e introduce algunos </w:t>
      </w:r>
      <w:r w:rsidRPr="007A7CC1">
        <w:rPr>
          <w:rFonts w:ascii="Verdana" w:eastAsia="Calibri" w:hAnsi="Verdana" w:cs="Arial"/>
          <w:bCs/>
          <w:color w:val="000000" w:themeColor="text1"/>
          <w:lang w:val="es-ES"/>
        </w:rPr>
        <w:t xml:space="preserve">ajustes a ciertas disposiciones de la Ley 850 de </w:t>
      </w:r>
      <w:r w:rsidRPr="007A7CC1">
        <w:rPr>
          <w:rFonts w:ascii="Verdana" w:eastAsia="Times New Roman" w:hAnsi="Verdana" w:cs="Arial"/>
          <w:color w:val="000000" w:themeColor="text1"/>
          <w:lang w:val="es-ES" w:eastAsia="es-ES_tradnl"/>
        </w:rPr>
        <w:t>2003. Para tales efectos, define el control social como el derecho y el deber de los ciudadanos a participar, de manera individual o colectiva, en la vigilancia de la gestión pública y sus resultados, estableciendo un espectro más amplio de control y vigilancia, puesto que puede ser ejercido por todos los ciudadanos, siendo las veedurías uno de los múltiples actores que pueden adelantar el control social.</w:t>
      </w:r>
    </w:p>
    <w:p w14:paraId="39281D1D" w14:textId="77777777" w:rsidR="00C249D5" w:rsidRDefault="00C249D5" w:rsidP="00C249D5">
      <w:pPr>
        <w:spacing w:after="120" w:line="276" w:lineRule="auto"/>
        <w:ind w:firstLine="709"/>
        <w:jc w:val="both"/>
        <w:rPr>
          <w:rFonts w:ascii="Verdana" w:eastAsia="Times New Roman" w:hAnsi="Verdana" w:cs="Arial"/>
          <w:color w:val="000000" w:themeColor="text1"/>
          <w:lang w:val="es-ES" w:eastAsia="es-ES_tradnl"/>
        </w:rPr>
      </w:pPr>
      <w:r w:rsidRPr="007A7CC1">
        <w:rPr>
          <w:rFonts w:ascii="Verdana" w:eastAsia="Times New Roman" w:hAnsi="Verdana" w:cs="Arial"/>
          <w:color w:val="000000" w:themeColor="text1"/>
          <w:lang w:val="es-ES" w:eastAsia="es-ES_tradnl"/>
        </w:rPr>
        <w:t xml:space="preserve">En ese sentido, la participación ciudadana encuentra su fundamento en la Constitución y en la Ley, constituyéndose en un pilar fundamental en la vigilancia y control de la gestión pública, en especial de la contratación estatal, con miras a la correcta inversión de los recursos públicos. </w:t>
      </w:r>
    </w:p>
    <w:p w14:paraId="52F1B96D" w14:textId="77777777" w:rsidR="00C249D5" w:rsidRPr="007A7CC1" w:rsidRDefault="00C249D5" w:rsidP="00C249D5">
      <w:pPr>
        <w:spacing w:after="120" w:line="276" w:lineRule="auto"/>
        <w:ind w:firstLine="709"/>
        <w:jc w:val="both"/>
        <w:rPr>
          <w:rFonts w:ascii="Verdana" w:eastAsia="Times New Roman" w:hAnsi="Verdana" w:cs="Arial"/>
          <w:color w:val="000000" w:themeColor="text1"/>
          <w:lang w:val="es-ES" w:eastAsia="es-ES_tradnl"/>
        </w:rPr>
      </w:pPr>
      <w:r>
        <w:rPr>
          <w:rFonts w:ascii="Verdana" w:eastAsia="Times New Roman" w:hAnsi="Verdana" w:cs="Arial"/>
          <w:color w:val="000000" w:themeColor="text1"/>
          <w:lang w:val="es-ES" w:eastAsia="es-ES_tradnl"/>
        </w:rPr>
        <w:t>Ahora bien, d</w:t>
      </w:r>
      <w:r w:rsidRPr="007A7CC1">
        <w:rPr>
          <w:rFonts w:ascii="Verdana" w:eastAsia="Times New Roman" w:hAnsi="Verdana" w:cs="Arial"/>
          <w:color w:val="000000" w:themeColor="text1"/>
          <w:lang w:val="es-ES" w:eastAsia="es-ES_tradnl"/>
        </w:rPr>
        <w:t xml:space="preserve">entro de este análisis, resulta pertinente determinar el marco de aplicación del control social en la actividad contractual, así como las etapas del proceso de contratación en las cuales puede ejercerse la vigilancia y control de la gestión pública por parte de la ciudadanía y, por ende, de las veedurías ciudadanas. </w:t>
      </w:r>
    </w:p>
    <w:p w14:paraId="1E6366E9" w14:textId="77777777" w:rsidR="00C249D5" w:rsidRPr="00634E0A" w:rsidRDefault="00C249D5" w:rsidP="00C249D5">
      <w:pPr>
        <w:spacing w:before="120" w:after="0" w:line="276" w:lineRule="auto"/>
        <w:ind w:firstLine="709"/>
        <w:jc w:val="both"/>
        <w:rPr>
          <w:rFonts w:ascii="Verdana" w:eastAsia="Times New Roman" w:hAnsi="Verdana" w:cs="Arial"/>
          <w:color w:val="000000" w:themeColor="text1"/>
          <w:lang w:val="es-ES" w:eastAsia="es-ES_tradnl"/>
        </w:rPr>
      </w:pPr>
      <w:r w:rsidRPr="007A7CC1">
        <w:rPr>
          <w:rFonts w:ascii="Verdana" w:eastAsia="Times New Roman" w:hAnsi="Verdana" w:cs="Arial"/>
          <w:color w:val="000000" w:themeColor="text1"/>
          <w:lang w:val="es-ES" w:eastAsia="es-ES_tradnl"/>
        </w:rPr>
        <w:t>Así, es preciso señalar que el control social que ejerza la ciudadanía puede adelantarse en relación con todos los contratos estatales, cualquiera que sea su modalidad de contratación. Lo anterior, toda vez que, de esa manera, se garantiza una verdadera gestión de vigilancia y control de los recursos públicos y se cumplen con los objetivos establecidos en artículo 64 de la Ley 1757 de 2015</w:t>
      </w:r>
      <w:r w:rsidRPr="007A7CC1">
        <w:rPr>
          <w:rFonts w:ascii="Verdana" w:eastAsia="Times New Roman" w:hAnsi="Verdana" w:cs="Arial"/>
          <w:color w:val="000000" w:themeColor="text1"/>
          <w:vertAlign w:val="superscript"/>
          <w:lang w:val="es-ES" w:eastAsia="es-ES_tradnl"/>
        </w:rPr>
        <w:footnoteReference w:id="1"/>
      </w:r>
      <w:r w:rsidRPr="007A7CC1">
        <w:rPr>
          <w:rFonts w:ascii="Verdana" w:eastAsia="Times New Roman" w:hAnsi="Verdana" w:cs="Arial"/>
          <w:color w:val="000000" w:themeColor="text1"/>
          <w:lang w:val="es-ES" w:eastAsia="es-ES_tradnl"/>
        </w:rPr>
        <w:t xml:space="preserve">. En relación con este punto, el artículo 65 de la Ley 1757 de 2015 establece lo siguiente: </w:t>
      </w:r>
    </w:p>
    <w:p w14:paraId="666FCA17" w14:textId="77777777" w:rsidR="00C249D5" w:rsidRPr="008C02D9" w:rsidRDefault="00C249D5" w:rsidP="00F9720B">
      <w:pPr>
        <w:tabs>
          <w:tab w:val="left" w:pos="7938"/>
        </w:tabs>
        <w:spacing w:after="0" w:line="240" w:lineRule="auto"/>
        <w:ind w:left="709" w:right="709"/>
        <w:jc w:val="both"/>
        <w:rPr>
          <w:rFonts w:ascii="Verdana" w:eastAsia="Times New Roman" w:hAnsi="Verdana" w:cs="Arial"/>
          <w:bCs/>
          <w:color w:val="000000"/>
          <w:sz w:val="20"/>
          <w:szCs w:val="20"/>
          <w:lang w:val="es-ES_tradnl" w:eastAsia="es-CO"/>
        </w:rPr>
      </w:pPr>
      <w:r>
        <w:rPr>
          <w:rFonts w:ascii="Verdana" w:eastAsia="Times New Roman" w:hAnsi="Verdana" w:cs="Arial"/>
          <w:bCs/>
          <w:color w:val="000000"/>
          <w:sz w:val="20"/>
          <w:szCs w:val="20"/>
          <w:lang w:val="es-ES_tradnl" w:eastAsia="es-CO"/>
        </w:rPr>
        <w:t>“</w:t>
      </w:r>
      <w:r w:rsidRPr="008C02D9">
        <w:rPr>
          <w:rFonts w:ascii="Verdana" w:eastAsia="Times New Roman" w:hAnsi="Verdana" w:cs="Arial"/>
          <w:bCs/>
          <w:color w:val="000000"/>
          <w:sz w:val="20"/>
          <w:szCs w:val="20"/>
          <w:lang w:val="es-ES_tradnl" w:eastAsia="es-CO"/>
        </w:rPr>
        <w:t>Salvo los aspectos que sean reservados, todos los niveles de la administración pública pueden ser objeto de vigilancia ciudadana.</w:t>
      </w:r>
    </w:p>
    <w:p w14:paraId="69A8BF33" w14:textId="77777777" w:rsidR="00C249D5" w:rsidRPr="008C02D9" w:rsidRDefault="00C249D5" w:rsidP="00F9720B">
      <w:pPr>
        <w:tabs>
          <w:tab w:val="left" w:pos="7938"/>
        </w:tabs>
        <w:spacing w:after="0" w:line="240" w:lineRule="auto"/>
        <w:ind w:left="709" w:right="709"/>
        <w:jc w:val="both"/>
        <w:rPr>
          <w:rFonts w:ascii="Verdana" w:eastAsia="Times New Roman" w:hAnsi="Verdana" w:cs="Arial"/>
          <w:bCs/>
          <w:color w:val="000000"/>
          <w:sz w:val="20"/>
          <w:szCs w:val="20"/>
          <w:lang w:val="es-ES_tradnl" w:eastAsia="es-CO"/>
        </w:rPr>
      </w:pPr>
    </w:p>
    <w:p w14:paraId="09BC087C" w14:textId="77777777" w:rsidR="00C249D5" w:rsidRPr="008C02D9" w:rsidRDefault="00C249D5" w:rsidP="00F9720B">
      <w:pPr>
        <w:tabs>
          <w:tab w:val="left" w:pos="7938"/>
        </w:tabs>
        <w:spacing w:after="0" w:line="240" w:lineRule="auto"/>
        <w:ind w:left="709" w:right="709"/>
        <w:jc w:val="both"/>
        <w:rPr>
          <w:rFonts w:ascii="Verdana" w:eastAsia="Times New Roman" w:hAnsi="Verdana" w:cs="Arial"/>
          <w:bCs/>
          <w:color w:val="000000"/>
          <w:sz w:val="20"/>
          <w:szCs w:val="20"/>
          <w:lang w:val="es-ES_tradnl" w:eastAsia="es-CO"/>
        </w:rPr>
      </w:pPr>
      <w:r w:rsidRPr="008C02D9">
        <w:rPr>
          <w:rFonts w:ascii="Verdana" w:eastAsia="Times New Roman" w:hAnsi="Verdana" w:cs="Arial"/>
          <w:bCs/>
          <w:color w:val="000000"/>
          <w:sz w:val="20"/>
          <w:szCs w:val="20"/>
          <w:lang w:val="es-ES_tradnl" w:eastAsia="es-CO"/>
        </w:rPr>
        <w:t>En particular, todo contrato que celebren las instituciones del Estado estará sujeto a la vigilancia por parte de las personas, entidades y organizaciones que quieran hacerlo, de conformidad con la normatividad vigente en la materia. En tal sentido, las entidades del Estado y las entidades privadas que presten servicios públicos domiciliarios o realicen proyectos con recursos públicos deberán garantizar el ejercicio del derecho al control social. Para tal efecto, deberán entregar información relacionada con la prestación del servicio público domiciliario, el proyecto o el uso de los recursos públicos y de acuerdo con los objetivos perseguidos por el control social correspondiente, según sea el caso a los agentes de control para el ejercicio de su función y brindar las condiciones y las garantías necesarias a los ciudadanos, las organizaciones y redes para que puedan ejercer ese derecho</w:t>
      </w:r>
      <w:r>
        <w:rPr>
          <w:rFonts w:ascii="Verdana" w:eastAsia="Times New Roman" w:hAnsi="Verdana" w:cs="Arial"/>
          <w:bCs/>
          <w:color w:val="000000"/>
          <w:sz w:val="20"/>
          <w:szCs w:val="20"/>
          <w:lang w:val="es-ES_tradnl" w:eastAsia="es-CO"/>
        </w:rPr>
        <w:t>”.</w:t>
      </w:r>
    </w:p>
    <w:p w14:paraId="0D9E2151" w14:textId="77777777" w:rsidR="00C249D5" w:rsidRPr="008C02D9" w:rsidRDefault="00C249D5" w:rsidP="00C249D5">
      <w:pPr>
        <w:spacing w:after="0" w:line="276" w:lineRule="auto"/>
        <w:ind w:left="709" w:right="709"/>
        <w:jc w:val="both"/>
        <w:rPr>
          <w:rFonts w:ascii="Verdana" w:eastAsia="Times New Roman" w:hAnsi="Verdana" w:cs="Arial"/>
          <w:bCs/>
          <w:color w:val="000000"/>
          <w:sz w:val="20"/>
          <w:szCs w:val="20"/>
          <w:lang w:val="es-ES_tradnl" w:eastAsia="es-CO"/>
        </w:rPr>
      </w:pPr>
    </w:p>
    <w:p w14:paraId="0670D09C" w14:textId="77777777" w:rsidR="00C249D5" w:rsidRPr="007A7CC1" w:rsidRDefault="00C249D5" w:rsidP="00C249D5">
      <w:pPr>
        <w:shd w:val="clear" w:color="auto" w:fill="FFFFFF"/>
        <w:spacing w:after="0" w:line="276" w:lineRule="auto"/>
        <w:ind w:firstLine="709"/>
        <w:jc w:val="both"/>
        <w:rPr>
          <w:rFonts w:ascii="Verdana" w:eastAsia="Times New Roman" w:hAnsi="Verdana" w:cs="Arial"/>
          <w:color w:val="000000" w:themeColor="text1"/>
          <w:lang w:val="es-ES" w:eastAsia="es-ES_tradnl"/>
        </w:rPr>
      </w:pPr>
      <w:r>
        <w:rPr>
          <w:rFonts w:ascii="Verdana" w:eastAsia="Times New Roman" w:hAnsi="Verdana" w:cs="Arial"/>
          <w:color w:val="000000" w:themeColor="text1"/>
          <w:lang w:val="es-ES" w:eastAsia="es-ES_tradnl"/>
        </w:rPr>
        <w:t>La norma</w:t>
      </w:r>
      <w:r w:rsidRPr="007A7CC1">
        <w:rPr>
          <w:rFonts w:ascii="Verdana" w:eastAsia="Times New Roman" w:hAnsi="Verdana" w:cs="Arial"/>
          <w:color w:val="000000" w:themeColor="text1"/>
          <w:lang w:val="es-ES" w:eastAsia="es-ES_tradnl"/>
        </w:rPr>
        <w:t xml:space="preserve"> se refiere a todo contrato, sin efectuar distinción acerca del régimen jurídico o de la entidad que lo celebra. Por tanto, es claro que el control social puede ejercerse respecto de todos los contratos que celebre cualquier órgano del Estado que maneje recursos públicos, con independencia de la modalidad de selección empleada para la celebración del contrato estatal. </w:t>
      </w:r>
    </w:p>
    <w:p w14:paraId="30FF9C48" w14:textId="77777777" w:rsidR="00C249D5" w:rsidRPr="007A7CC1" w:rsidRDefault="00C249D5" w:rsidP="00C249D5">
      <w:pPr>
        <w:shd w:val="clear" w:color="auto" w:fill="FFFFFF"/>
        <w:spacing w:before="120" w:after="0" w:line="276" w:lineRule="auto"/>
        <w:ind w:firstLine="709"/>
        <w:jc w:val="both"/>
        <w:rPr>
          <w:rFonts w:ascii="Verdana" w:eastAsia="Times New Roman" w:hAnsi="Verdana" w:cs="Arial"/>
          <w:color w:val="000000" w:themeColor="text1"/>
          <w:lang w:val="es-ES" w:eastAsia="es-ES_tradnl"/>
        </w:rPr>
      </w:pPr>
      <w:r w:rsidRPr="007A7CC1">
        <w:rPr>
          <w:rFonts w:ascii="Verdana" w:eastAsia="Times New Roman" w:hAnsi="Verdana" w:cs="Arial"/>
          <w:color w:val="000000" w:themeColor="text1"/>
          <w:lang w:val="es-ES" w:eastAsia="es-ES_tradnl"/>
        </w:rPr>
        <w:t xml:space="preserve">En lo que atañe a la oportunidad para hacer control social a la contratación pública, se resalta que las normas sobre el control social no establecen un ámbito temporal de aplicación para el ejercicio </w:t>
      </w:r>
      <w:proofErr w:type="gramStart"/>
      <w:r w:rsidRPr="007A7CC1">
        <w:rPr>
          <w:rFonts w:ascii="Verdana" w:eastAsia="Times New Roman" w:hAnsi="Verdana" w:cs="Arial"/>
          <w:color w:val="000000" w:themeColor="text1"/>
          <w:lang w:val="es-ES" w:eastAsia="es-ES_tradnl"/>
        </w:rPr>
        <w:t>del mismo</w:t>
      </w:r>
      <w:proofErr w:type="gramEnd"/>
      <w:r w:rsidRPr="007A7CC1">
        <w:rPr>
          <w:rFonts w:ascii="Verdana" w:eastAsia="Times New Roman" w:hAnsi="Verdana" w:cs="Arial"/>
          <w:color w:val="000000" w:themeColor="text1"/>
          <w:lang w:val="es-ES" w:eastAsia="es-ES_tradnl"/>
        </w:rPr>
        <w:t xml:space="preserve">. En consecuencia, el control social puede ejercerse desde la etapa de planeación contractual, pasando por su adjudicación y ejecución, e incluso hasta después de finalizada la ejecución del contrato estatal. </w:t>
      </w:r>
    </w:p>
    <w:p w14:paraId="591B450E" w14:textId="77777777" w:rsidR="00C249D5" w:rsidRPr="007A7CC1" w:rsidRDefault="00C249D5" w:rsidP="00C249D5">
      <w:pPr>
        <w:shd w:val="clear" w:color="auto" w:fill="FFFFFF"/>
        <w:spacing w:before="120" w:after="0" w:line="276" w:lineRule="auto"/>
        <w:ind w:firstLine="709"/>
        <w:jc w:val="both"/>
        <w:rPr>
          <w:rFonts w:ascii="Verdana" w:eastAsia="Times New Roman" w:hAnsi="Verdana" w:cs="Arial"/>
          <w:color w:val="000000" w:themeColor="text1"/>
          <w:lang w:val="es-ES" w:eastAsia="es-ES_tradnl"/>
        </w:rPr>
      </w:pPr>
      <w:r w:rsidRPr="007A7CC1">
        <w:rPr>
          <w:rFonts w:ascii="Verdana" w:eastAsia="Times New Roman" w:hAnsi="Verdana" w:cs="Arial"/>
          <w:color w:val="000000" w:themeColor="text1"/>
          <w:lang w:val="es-ES" w:eastAsia="es-ES_tradnl"/>
        </w:rPr>
        <w:t xml:space="preserve">En relación con lo expresado en precedencia, la Contraloría General de la República señaló que </w:t>
      </w:r>
      <w:r>
        <w:rPr>
          <w:rFonts w:ascii="Verdana" w:eastAsia="Times New Roman" w:hAnsi="Verdana" w:cs="Arial"/>
          <w:color w:val="000000" w:themeColor="text1"/>
          <w:lang w:val="es-ES" w:eastAsia="es-ES_tradnl"/>
        </w:rPr>
        <w:t>"</w:t>
      </w:r>
      <w:r w:rsidRPr="007A7CC1">
        <w:rPr>
          <w:rFonts w:ascii="Verdana" w:eastAsia="Times New Roman" w:hAnsi="Verdana" w:cs="Arial"/>
          <w:color w:val="000000" w:themeColor="text1"/>
          <w:lang w:val="es-ES" w:eastAsia="es-ES_tradnl"/>
        </w:rPr>
        <w:t>El control social a la contratación pública puede ser (i) durante la etapa de planeación; (</w:t>
      </w:r>
      <w:proofErr w:type="spellStart"/>
      <w:r w:rsidRPr="007A7CC1">
        <w:rPr>
          <w:rFonts w:ascii="Verdana" w:eastAsia="Times New Roman" w:hAnsi="Verdana" w:cs="Arial"/>
          <w:color w:val="000000" w:themeColor="text1"/>
          <w:lang w:val="es-ES" w:eastAsia="es-ES_tradnl"/>
        </w:rPr>
        <w:t>ii</w:t>
      </w:r>
      <w:proofErr w:type="spellEnd"/>
      <w:r w:rsidRPr="007A7CC1">
        <w:rPr>
          <w:rFonts w:ascii="Verdana" w:eastAsia="Times New Roman" w:hAnsi="Verdana" w:cs="Arial"/>
          <w:color w:val="000000" w:themeColor="text1"/>
          <w:lang w:val="es-ES" w:eastAsia="es-ES_tradnl"/>
        </w:rPr>
        <w:t>) durante la etapa de selección; (</w:t>
      </w:r>
      <w:proofErr w:type="spellStart"/>
      <w:r w:rsidRPr="007A7CC1">
        <w:rPr>
          <w:rFonts w:ascii="Verdana" w:eastAsia="Times New Roman" w:hAnsi="Verdana" w:cs="Arial"/>
          <w:color w:val="000000" w:themeColor="text1"/>
          <w:lang w:val="es-ES" w:eastAsia="es-ES_tradnl"/>
        </w:rPr>
        <w:t>iii</w:t>
      </w:r>
      <w:proofErr w:type="spellEnd"/>
      <w:r w:rsidRPr="007A7CC1">
        <w:rPr>
          <w:rFonts w:ascii="Verdana" w:eastAsia="Times New Roman" w:hAnsi="Verdana" w:cs="Arial"/>
          <w:color w:val="000000" w:themeColor="text1"/>
          <w:lang w:val="es-ES" w:eastAsia="es-ES_tradnl"/>
        </w:rPr>
        <w:t>) durante la etapa de contratación; (</w:t>
      </w:r>
      <w:proofErr w:type="spellStart"/>
      <w:r w:rsidRPr="007A7CC1">
        <w:rPr>
          <w:rFonts w:ascii="Verdana" w:eastAsia="Times New Roman" w:hAnsi="Verdana" w:cs="Arial"/>
          <w:color w:val="000000" w:themeColor="text1"/>
          <w:lang w:val="es-ES" w:eastAsia="es-ES_tradnl"/>
        </w:rPr>
        <w:t>iv</w:t>
      </w:r>
      <w:proofErr w:type="spellEnd"/>
      <w:r w:rsidRPr="007A7CC1">
        <w:rPr>
          <w:rFonts w:ascii="Verdana" w:eastAsia="Times New Roman" w:hAnsi="Verdana" w:cs="Arial"/>
          <w:color w:val="000000" w:themeColor="text1"/>
          <w:lang w:val="es-ES" w:eastAsia="es-ES_tradnl"/>
        </w:rPr>
        <w:t>) durante la etapa de ejecución; y (v) después de la finalización del proceso de compra y contratación</w:t>
      </w:r>
      <w:r>
        <w:rPr>
          <w:rFonts w:ascii="Verdana" w:eastAsia="Times New Roman" w:hAnsi="Verdana" w:cs="Arial"/>
          <w:color w:val="000000" w:themeColor="text1"/>
          <w:lang w:val="es-ES" w:eastAsia="es-ES_tradnl"/>
        </w:rPr>
        <w:t>”</w:t>
      </w:r>
      <w:r w:rsidRPr="007A7CC1">
        <w:rPr>
          <w:rFonts w:ascii="Verdana" w:eastAsia="Times New Roman" w:hAnsi="Verdana" w:cs="Arial"/>
          <w:color w:val="000000" w:themeColor="text1"/>
          <w:vertAlign w:val="superscript"/>
          <w:lang w:val="es-ES" w:eastAsia="es-ES_tradnl"/>
        </w:rPr>
        <w:footnoteReference w:id="2"/>
      </w:r>
      <w:r w:rsidRPr="007A7CC1">
        <w:rPr>
          <w:rFonts w:ascii="Verdana" w:eastAsia="Times New Roman" w:hAnsi="Verdana" w:cs="Arial"/>
          <w:color w:val="000000" w:themeColor="text1"/>
          <w:lang w:val="es-ES" w:eastAsia="es-ES_tradnl"/>
        </w:rPr>
        <w:t>.</w:t>
      </w:r>
    </w:p>
    <w:p w14:paraId="06350E32" w14:textId="77777777" w:rsidR="00C249D5" w:rsidRDefault="00C249D5" w:rsidP="00C249D5">
      <w:pPr>
        <w:shd w:val="clear" w:color="auto" w:fill="FFFFFF"/>
        <w:spacing w:before="120" w:after="0" w:line="276" w:lineRule="auto"/>
        <w:ind w:firstLine="709"/>
        <w:jc w:val="both"/>
        <w:rPr>
          <w:rFonts w:ascii="Verdana" w:eastAsia="Times New Roman" w:hAnsi="Verdana" w:cs="Arial"/>
          <w:color w:val="000000" w:themeColor="text1"/>
          <w:lang w:val="es-ES" w:eastAsia="es-ES_tradnl"/>
        </w:rPr>
      </w:pPr>
      <w:r w:rsidRPr="007A7CC1">
        <w:rPr>
          <w:rFonts w:ascii="Verdana" w:eastAsia="Times New Roman" w:hAnsi="Verdana" w:cs="Arial"/>
          <w:color w:val="000000" w:themeColor="text1"/>
          <w:lang w:val="es-ES" w:eastAsia="es-ES_tradnl"/>
        </w:rPr>
        <w:t>De lo expuesto, se puede afirmar entonces que, en materia de contratación pública, el control social se ejerce por la ciudadanía de manera individual o colectiva, a través de las diferentes formas de organización comunitaria, entre las que se cuentan, las veedurías ciudadanas. Así mismo, el control social se puede ejercer respecto de todo contrato que celebren las entidades del Estado, las entidades privadas que prestan servicios públicos domiciliarios y las empresas que realizan proyectos con recursos públicos, es decir, el control social cobija a la actividad contractual tanto de las entidades estatales como de aquellas que están sometidas a un régimen jurídico especial. Finalmente, el ejercicio del control social se puede realizar en cualquier etapa del proceso de contratación.</w:t>
      </w:r>
    </w:p>
    <w:p w14:paraId="3C6E3B0D" w14:textId="77777777" w:rsidR="00C249D5" w:rsidRDefault="00C249D5" w:rsidP="00C249D5">
      <w:pPr>
        <w:shd w:val="clear" w:color="auto" w:fill="FFFFFF"/>
        <w:spacing w:before="120" w:after="0" w:line="276" w:lineRule="auto"/>
        <w:ind w:firstLine="709"/>
        <w:jc w:val="both"/>
        <w:rPr>
          <w:rFonts w:ascii="Verdana" w:eastAsia="Calibri" w:hAnsi="Verdana" w:cs="Arial"/>
          <w:color w:val="000000"/>
          <w:lang w:val="es-MX"/>
        </w:rPr>
      </w:pPr>
      <w:r>
        <w:rPr>
          <w:rFonts w:ascii="Verdana" w:eastAsia="Times New Roman" w:hAnsi="Verdana" w:cs="Arial"/>
          <w:color w:val="000000" w:themeColor="text1"/>
          <w:lang w:val="es-ES" w:eastAsia="es-ES_tradnl"/>
        </w:rPr>
        <w:t>Ahora bien, l</w:t>
      </w:r>
      <w:r w:rsidRPr="00574318">
        <w:rPr>
          <w:rFonts w:ascii="Verdana" w:eastAsia="Calibri" w:hAnsi="Verdana" w:cs="Arial"/>
          <w:color w:val="000000"/>
          <w:lang w:val="es-MX"/>
        </w:rPr>
        <w:t>a contratación estatal tiene como propósito el cumplimiento de los fines estatales, la continua y eficiente prestación de los servicios públicos y la efectividad de los derechos e intereses de los administrados que colaboran con ellas en la consecución de dichos fines</w:t>
      </w:r>
      <w:r w:rsidRPr="00574318">
        <w:rPr>
          <w:rFonts w:ascii="Verdana" w:eastAsia="Calibri" w:hAnsi="Verdana" w:cs="Arial"/>
          <w:color w:val="000000"/>
          <w:vertAlign w:val="superscript"/>
          <w:lang w:val="es-MX"/>
        </w:rPr>
        <w:footnoteReference w:id="3"/>
      </w:r>
      <w:r w:rsidRPr="00574318">
        <w:rPr>
          <w:rFonts w:ascii="Verdana" w:eastAsia="Calibri" w:hAnsi="Verdana" w:cs="Arial"/>
          <w:color w:val="000000"/>
          <w:lang w:val="es-MX"/>
        </w:rPr>
        <w:t xml:space="preserve">. En cumplimiento de ese propósito, el legislador determinó que las actuaciones adelantadas por las entidades estatales, en materia contractual, se llevan a cabo, entre otros, en cumplimiento de los principios que gobiernan los procesos de contratación pública. </w:t>
      </w:r>
    </w:p>
    <w:p w14:paraId="6BDC45F9" w14:textId="77777777" w:rsidR="00C249D5" w:rsidRPr="00574318" w:rsidRDefault="00C249D5" w:rsidP="00C249D5">
      <w:pPr>
        <w:shd w:val="clear" w:color="auto" w:fill="FFFFFF"/>
        <w:spacing w:before="120" w:after="0" w:line="276" w:lineRule="auto"/>
        <w:ind w:firstLine="709"/>
        <w:jc w:val="both"/>
        <w:rPr>
          <w:rFonts w:ascii="Verdana" w:eastAsia="Calibri" w:hAnsi="Verdana" w:cs="Arial"/>
          <w:color w:val="000000"/>
          <w:lang w:val="es-MX"/>
        </w:rPr>
      </w:pPr>
      <w:r w:rsidRPr="00574318">
        <w:rPr>
          <w:rFonts w:ascii="Verdana" w:eastAsia="Calibri" w:hAnsi="Verdana" w:cs="Arial"/>
          <w:color w:val="000000"/>
          <w:lang w:val="es-MX"/>
        </w:rPr>
        <w:t>Por su parte, el artículo 23 de la Ley 80 de 1993 regula los principios aplicables a las actuaciones contractuales adelantadas por las entidades estatales</w:t>
      </w:r>
      <w:r w:rsidRPr="00574318">
        <w:rPr>
          <w:rFonts w:ascii="Verdana" w:eastAsia="Calibri" w:hAnsi="Verdana" w:cs="Arial"/>
          <w:color w:val="000000"/>
          <w:vertAlign w:val="superscript"/>
          <w:lang w:val="es-MX"/>
        </w:rPr>
        <w:footnoteReference w:id="4"/>
      </w:r>
      <w:r w:rsidRPr="00574318">
        <w:rPr>
          <w:rFonts w:ascii="Verdana" w:eastAsia="Calibri" w:hAnsi="Verdana" w:cs="Arial"/>
          <w:color w:val="000000"/>
          <w:lang w:val="es-MX"/>
        </w:rPr>
        <w:t>. Entre otros, allí se estableció el principio de transparencia de la actividad contractual, objeto de regulación expresa en el artículo 24 del citado cuerpo normativo. Este principio guarda estrecha relación con el de publicidad, que rige el ejercicio de la función administrativa, según el artículo 209 constitucional. Por eso en los numerales 2º y 3º del citado artículo 24 se estableció la facultad de los interesados</w:t>
      </w:r>
      <w:r>
        <w:rPr>
          <w:rFonts w:ascii="Verdana" w:eastAsia="Calibri" w:hAnsi="Verdana" w:cs="Arial"/>
          <w:color w:val="000000"/>
          <w:lang w:val="es-MX"/>
        </w:rPr>
        <w:t xml:space="preserve">, entre ellos las veedurías ciudadanas </w:t>
      </w:r>
      <w:r w:rsidRPr="00574318">
        <w:rPr>
          <w:rFonts w:ascii="Verdana" w:eastAsia="Calibri" w:hAnsi="Verdana" w:cs="Arial"/>
          <w:color w:val="000000"/>
          <w:lang w:val="es-MX"/>
        </w:rPr>
        <w:t>para realizar y/o presentar observaciones, como un mecanismo para controvertir algunas de las decisiones adoptadas por las entidades estatales en el marco de sus actuaciones públicas, en particular en los procesos contractuales, así:</w:t>
      </w:r>
    </w:p>
    <w:p w14:paraId="7C756301" w14:textId="77777777" w:rsidR="00C249D5" w:rsidRPr="00574318" w:rsidRDefault="00C249D5" w:rsidP="00F9720B">
      <w:pPr>
        <w:spacing w:after="0" w:line="240" w:lineRule="auto"/>
        <w:ind w:left="709" w:right="851"/>
        <w:jc w:val="both"/>
        <w:rPr>
          <w:rFonts w:ascii="Verdana" w:eastAsia="Batang" w:hAnsi="Verdana" w:cs="Arial"/>
          <w:sz w:val="20"/>
          <w:szCs w:val="20"/>
          <w:lang w:val="es-MX"/>
        </w:rPr>
      </w:pPr>
    </w:p>
    <w:p w14:paraId="3E641FD0" w14:textId="7340DC02" w:rsidR="00C249D5" w:rsidRPr="00574318" w:rsidRDefault="009D6AB1" w:rsidP="00F9720B">
      <w:pPr>
        <w:spacing w:after="0" w:line="240" w:lineRule="auto"/>
        <w:ind w:left="709" w:right="709"/>
        <w:jc w:val="both"/>
        <w:rPr>
          <w:rFonts w:ascii="Verdana" w:eastAsia="Calibri" w:hAnsi="Verdana" w:cs="Arial"/>
          <w:sz w:val="20"/>
          <w:szCs w:val="20"/>
          <w:lang w:val="es-MX"/>
        </w:rPr>
      </w:pPr>
      <w:r>
        <w:rPr>
          <w:rFonts w:ascii="Verdana" w:eastAsia="Batang" w:hAnsi="Verdana" w:cs="Arial"/>
          <w:sz w:val="20"/>
          <w:szCs w:val="20"/>
          <w:lang w:val="es-MX"/>
        </w:rPr>
        <w:t>“</w:t>
      </w:r>
      <w:r w:rsidR="00C249D5" w:rsidRPr="00574318">
        <w:rPr>
          <w:rFonts w:ascii="Verdana" w:eastAsia="Calibri" w:hAnsi="Verdana" w:cs="Arial"/>
          <w:sz w:val="20"/>
          <w:szCs w:val="20"/>
          <w:lang w:val="es-MX"/>
        </w:rPr>
        <w:t>Artículo 24. Del principio de transparencia. En virtud de este principio:</w:t>
      </w:r>
    </w:p>
    <w:p w14:paraId="2225518B" w14:textId="77777777" w:rsidR="00C249D5" w:rsidRPr="00574318" w:rsidRDefault="00C249D5" w:rsidP="00F9720B">
      <w:pPr>
        <w:spacing w:after="0" w:line="240" w:lineRule="auto"/>
        <w:ind w:left="709" w:right="709"/>
        <w:jc w:val="both"/>
        <w:rPr>
          <w:rFonts w:ascii="Verdana" w:eastAsia="Calibri" w:hAnsi="Verdana" w:cs="Arial"/>
          <w:sz w:val="20"/>
          <w:szCs w:val="20"/>
          <w:lang w:val="es-MX"/>
        </w:rPr>
      </w:pPr>
      <w:r w:rsidRPr="00574318">
        <w:rPr>
          <w:rFonts w:ascii="Verdana" w:eastAsia="Calibri" w:hAnsi="Verdana" w:cs="Arial"/>
          <w:sz w:val="20"/>
          <w:szCs w:val="20"/>
          <w:lang w:val="es-MX"/>
        </w:rPr>
        <w:t>[…]</w:t>
      </w:r>
    </w:p>
    <w:p w14:paraId="0CB61951" w14:textId="77777777" w:rsidR="00C249D5" w:rsidRPr="00574318" w:rsidRDefault="00C249D5" w:rsidP="00F9720B">
      <w:pPr>
        <w:spacing w:after="0" w:line="240" w:lineRule="auto"/>
        <w:ind w:left="709" w:right="709"/>
        <w:jc w:val="both"/>
        <w:rPr>
          <w:rFonts w:ascii="Verdana" w:eastAsia="Calibri" w:hAnsi="Verdana" w:cs="Arial"/>
          <w:sz w:val="20"/>
          <w:szCs w:val="20"/>
          <w:lang w:val="es-MX"/>
        </w:rPr>
      </w:pPr>
      <w:r w:rsidRPr="00574318">
        <w:rPr>
          <w:rFonts w:ascii="Verdana" w:eastAsia="Calibri" w:hAnsi="Verdana" w:cs="Arial"/>
          <w:sz w:val="20"/>
          <w:szCs w:val="20"/>
          <w:lang w:val="es-MX"/>
        </w:rPr>
        <w:t>2o. En los procesos contractuales los interesados tendrán oportunidad de conocer y controvertir los informes, conceptos y decisiones que se rindan o adopten, para lo cual se establecerán etapas que permitan el conocimiento de dichas actuaciones y otorguen la posibilidad de expresar observaciones.</w:t>
      </w:r>
    </w:p>
    <w:p w14:paraId="40F5E768" w14:textId="5C46CB40" w:rsidR="00C249D5" w:rsidRPr="00574318" w:rsidRDefault="00C249D5" w:rsidP="00F9720B">
      <w:pPr>
        <w:spacing w:after="0" w:line="240" w:lineRule="auto"/>
        <w:ind w:left="709" w:right="709"/>
        <w:jc w:val="both"/>
        <w:rPr>
          <w:rFonts w:ascii="Verdana" w:eastAsia="Calibri" w:hAnsi="Verdana" w:cs="Arial"/>
          <w:sz w:val="20"/>
          <w:szCs w:val="20"/>
          <w:lang w:val="es-MX"/>
        </w:rPr>
      </w:pPr>
      <w:r w:rsidRPr="00574318">
        <w:rPr>
          <w:rFonts w:ascii="Verdana" w:eastAsia="Calibri" w:hAnsi="Verdana" w:cs="Arial"/>
          <w:sz w:val="20"/>
          <w:szCs w:val="20"/>
          <w:lang w:val="es-MX"/>
        </w:rPr>
        <w:t>3o. Las actuaciones de las autoridades serán públicas y los expedientes que las contengan estarán abiertos al público, permitiendo en el caso de licitación el ejercicio del derecho de que trata el artículo 273 de la Constitución Política</w:t>
      </w:r>
      <w:r w:rsidR="009D6AB1">
        <w:rPr>
          <w:rFonts w:ascii="Verdana" w:eastAsia="Calibri" w:hAnsi="Verdana" w:cs="Arial"/>
          <w:sz w:val="20"/>
          <w:szCs w:val="20"/>
          <w:lang w:val="es-MX"/>
        </w:rPr>
        <w:t>”</w:t>
      </w:r>
      <w:r w:rsidRPr="00574318">
        <w:rPr>
          <w:rFonts w:ascii="Verdana" w:eastAsia="Calibri" w:hAnsi="Verdana" w:cs="Arial"/>
          <w:sz w:val="20"/>
          <w:szCs w:val="20"/>
          <w:lang w:val="es-MX"/>
        </w:rPr>
        <w:t>.</w:t>
      </w:r>
    </w:p>
    <w:p w14:paraId="6A2FC52C" w14:textId="77777777" w:rsidR="009D6AB1" w:rsidRPr="00F9720B" w:rsidRDefault="009D6AB1" w:rsidP="00F9720B">
      <w:pPr>
        <w:spacing w:after="0" w:line="276" w:lineRule="auto"/>
        <w:ind w:left="709" w:right="851"/>
        <w:jc w:val="both"/>
        <w:rPr>
          <w:rFonts w:ascii="Verdana" w:eastAsia="Calibri" w:hAnsi="Verdana" w:cs="Arial"/>
          <w:lang w:val="es-MX"/>
        </w:rPr>
      </w:pPr>
    </w:p>
    <w:p w14:paraId="34BB565A" w14:textId="77777777" w:rsidR="00C249D5" w:rsidRPr="00574318" w:rsidRDefault="00C249D5" w:rsidP="00C249D5">
      <w:pPr>
        <w:spacing w:after="120" w:line="276" w:lineRule="auto"/>
        <w:ind w:firstLine="709"/>
        <w:jc w:val="both"/>
        <w:rPr>
          <w:rFonts w:ascii="Verdana" w:eastAsia="Batang" w:hAnsi="Verdana" w:cs="Arial"/>
          <w:color w:val="000000"/>
          <w:lang w:val="es-MX"/>
        </w:rPr>
      </w:pPr>
      <w:r w:rsidRPr="00574318">
        <w:rPr>
          <w:rFonts w:ascii="Verdana" w:eastAsia="Batang" w:hAnsi="Verdana" w:cs="Arial"/>
          <w:color w:val="000000"/>
          <w:lang w:val="es-MX"/>
        </w:rPr>
        <w:t xml:space="preserve">De este modo, en desarrollo del principio de transparencia, el artículo 30 de la Ley 80 de 1993 que regula la estructura de los procedimientos de selección del contratista, estableció ciertas reglas en el inciso final del numeral </w:t>
      </w:r>
      <w:r w:rsidRPr="00574318">
        <w:rPr>
          <w:rFonts w:ascii="Verdana" w:eastAsia="Batang" w:hAnsi="Verdana" w:cs="Arial"/>
          <w:lang w:val="es-MX"/>
        </w:rPr>
        <w:t>4º</w:t>
      </w:r>
      <w:r w:rsidRPr="00574318">
        <w:rPr>
          <w:rFonts w:ascii="Verdana" w:eastAsia="Batang" w:hAnsi="Verdana" w:cs="Arial"/>
          <w:color w:val="000000"/>
          <w:lang w:val="es-MX"/>
        </w:rPr>
        <w:t xml:space="preserve">, relacionadas con la </w:t>
      </w:r>
      <w:r w:rsidRPr="00574318">
        <w:rPr>
          <w:rFonts w:ascii="Verdana" w:eastAsia="Batang" w:hAnsi="Verdana" w:cs="Arial"/>
          <w:lang w:val="es-MX"/>
        </w:rPr>
        <w:t>audiencia para precisar el contenido y alcance de los pliegos de condiciones y asignación de riesgos. De esta manera</w:t>
      </w:r>
      <w:r w:rsidRPr="00574318">
        <w:rPr>
          <w:rFonts w:ascii="Verdana" w:eastAsia="Batang" w:hAnsi="Verdana" w:cs="Arial"/>
          <w:color w:val="000000"/>
          <w:lang w:val="es-MX"/>
        </w:rPr>
        <w:t xml:space="preserve">, se señaló que como resultado de lo debatido en la audiencia se realizarán las modificaciones a que haya lugar frente a los pliegos de condiciones, circunstancia que </w:t>
      </w:r>
      <w:r>
        <w:rPr>
          <w:rFonts w:ascii="Verdana" w:eastAsia="Batang" w:hAnsi="Verdana" w:cs="Arial"/>
          <w:color w:val="000000"/>
          <w:lang w:val="es-MX"/>
        </w:rPr>
        <w:t>“</w:t>
      </w:r>
      <w:r>
        <w:rPr>
          <w:rFonts w:ascii="Verdana" w:eastAsia="Batang" w:hAnsi="Verdana" w:cs="Arial"/>
          <w:lang w:val="es-MX"/>
        </w:rPr>
        <w:t>(…)</w:t>
      </w:r>
      <w:r w:rsidRPr="00574318">
        <w:rPr>
          <w:rFonts w:ascii="Verdana" w:eastAsia="Batang" w:hAnsi="Verdana" w:cs="Arial"/>
          <w:lang w:val="es-MX"/>
        </w:rPr>
        <w:t xml:space="preserve"> no impide </w:t>
      </w:r>
      <w:proofErr w:type="gramStart"/>
      <w:r w:rsidRPr="00574318">
        <w:rPr>
          <w:rFonts w:ascii="Verdana" w:eastAsia="Batang" w:hAnsi="Verdana" w:cs="Arial"/>
          <w:lang w:val="es-MX"/>
        </w:rPr>
        <w:t>que</w:t>
      </w:r>
      <w:proofErr w:type="gramEnd"/>
      <w:r w:rsidRPr="00574318">
        <w:rPr>
          <w:rFonts w:ascii="Verdana" w:eastAsia="Batang" w:hAnsi="Verdana" w:cs="Arial"/>
          <w:lang w:val="es-MX"/>
        </w:rPr>
        <w:t xml:space="preserve"> dentro del plazo de la licitación, cualquier interesado pueda solicitar aclaraciones adicionales que la entidad contratante responderá mediante comunicación escrita, la cual remitirá al interesado y publicará en el SECOP para conocimiento público. De otro lado, el numeral 8º del mismo artículo, respecto de los informes de evaluación de las propuestas, estableció que los mismos </w:t>
      </w:r>
      <w:r>
        <w:rPr>
          <w:rFonts w:ascii="Verdana" w:eastAsia="Batang" w:hAnsi="Verdana" w:cs="Arial"/>
          <w:lang w:val="es-MX"/>
        </w:rPr>
        <w:t xml:space="preserve">“(…) </w:t>
      </w:r>
      <w:r w:rsidRPr="00574318">
        <w:rPr>
          <w:rFonts w:ascii="Verdana" w:eastAsia="Batang" w:hAnsi="Verdana" w:cs="Arial"/>
          <w:lang w:val="es-MX"/>
        </w:rPr>
        <w:t>permanecerán en la secretaría de la entidad por un término de cinco (5) días hábiles para que los oferentes presenten las observaciones que estimen pertinentes</w:t>
      </w:r>
      <w:r>
        <w:rPr>
          <w:rFonts w:ascii="Verdana" w:eastAsia="Batang" w:hAnsi="Verdana" w:cs="Arial"/>
          <w:lang w:val="es-MX"/>
        </w:rPr>
        <w:t xml:space="preserve"> (…)”.</w:t>
      </w:r>
    </w:p>
    <w:p w14:paraId="11EC7ECF" w14:textId="77777777" w:rsidR="00C249D5" w:rsidRPr="00574318" w:rsidRDefault="00C249D5" w:rsidP="00C249D5">
      <w:pPr>
        <w:spacing w:after="120" w:line="276" w:lineRule="auto"/>
        <w:ind w:firstLine="709"/>
        <w:jc w:val="both"/>
        <w:rPr>
          <w:rFonts w:ascii="Verdana" w:eastAsia="Batang" w:hAnsi="Verdana" w:cs="Arial"/>
          <w:color w:val="000000"/>
          <w:lang w:val="es-MX"/>
        </w:rPr>
      </w:pPr>
      <w:r w:rsidRPr="00574318">
        <w:rPr>
          <w:rFonts w:ascii="Verdana" w:eastAsia="Batang" w:hAnsi="Verdana" w:cs="Arial"/>
          <w:color w:val="000000"/>
          <w:lang w:val="es-MX"/>
        </w:rPr>
        <w:t xml:space="preserve">Por su parte, el artículo 8 de la Ley 1150 de 2007, tratándose de la publicidad del pliego de condiciones, dispuso que </w:t>
      </w:r>
      <w:r>
        <w:rPr>
          <w:rFonts w:ascii="Verdana" w:eastAsia="Batang" w:hAnsi="Verdana" w:cs="Arial"/>
          <w:color w:val="000000"/>
          <w:lang w:val="es-MX"/>
        </w:rPr>
        <w:t>“</w:t>
      </w:r>
      <w:r w:rsidRPr="00574318">
        <w:rPr>
          <w:rFonts w:ascii="Verdana" w:eastAsia="Batang" w:hAnsi="Verdana" w:cs="Arial"/>
          <w:color w:val="000000"/>
          <w:lang w:val="es-MX"/>
        </w:rPr>
        <w:t>con el propósito de suministrar al público en general la información que le permita formular observaciones a su contenido, las entidades publicarán los proyectos de pliegos de condiciones o sus equivalentes, en las condiciones que señale el reglamento</w:t>
      </w:r>
      <w:r>
        <w:rPr>
          <w:rFonts w:ascii="Verdana" w:eastAsia="Batang" w:hAnsi="Verdana" w:cs="Arial"/>
          <w:color w:val="000000"/>
          <w:lang w:val="es-MX"/>
        </w:rPr>
        <w:t>”</w:t>
      </w:r>
      <w:r w:rsidRPr="00574318">
        <w:rPr>
          <w:rFonts w:ascii="Verdana" w:eastAsia="Batang" w:hAnsi="Verdana" w:cs="Arial"/>
          <w:color w:val="000000"/>
          <w:lang w:val="es-MX"/>
        </w:rPr>
        <w:t>.</w:t>
      </w:r>
    </w:p>
    <w:p w14:paraId="38C982F2" w14:textId="77777777" w:rsidR="00C249D5" w:rsidRPr="00574318" w:rsidRDefault="00C249D5" w:rsidP="00C249D5">
      <w:pPr>
        <w:spacing w:after="120" w:line="276" w:lineRule="auto"/>
        <w:ind w:firstLine="709"/>
        <w:jc w:val="both"/>
        <w:rPr>
          <w:rFonts w:ascii="Verdana" w:eastAsia="Batang" w:hAnsi="Verdana" w:cs="Arial"/>
          <w:color w:val="000000"/>
          <w:lang w:val="es-MX"/>
        </w:rPr>
      </w:pPr>
      <w:r w:rsidRPr="00574318">
        <w:rPr>
          <w:rFonts w:ascii="Verdana" w:eastAsia="Batang" w:hAnsi="Verdana" w:cs="Arial"/>
          <w:color w:val="000000"/>
          <w:lang w:val="es-MX"/>
        </w:rPr>
        <w:t xml:space="preserve">Las disposiciones del ordenamiento jurídico mencionadas fueron objeto de desarrollo en el Decreto 1082 de 2015; cuerpo normativo de carácter reglamentario en el cual se establecieron, en principio, los plazos dentro de los cuales los interesados podrán realizar observaciones en la actuaciones adelantadas a instancia de las entidades estatales en sus procesos de contratación, plazos que podrán ser ampliados, mas no restringidos por aquellas, dependiendo de la modalidad o mecanismo de selección del contratista usado en el respectivo procedimiento contractual. </w:t>
      </w:r>
    </w:p>
    <w:p w14:paraId="25B15D26" w14:textId="77777777" w:rsidR="00C249D5" w:rsidRPr="00574318" w:rsidRDefault="00C249D5" w:rsidP="00C249D5">
      <w:pPr>
        <w:spacing w:after="120" w:line="276" w:lineRule="auto"/>
        <w:ind w:firstLine="709"/>
        <w:jc w:val="both"/>
        <w:rPr>
          <w:rFonts w:ascii="Verdana" w:eastAsia="Batang" w:hAnsi="Verdana" w:cs="Arial"/>
          <w:color w:val="000000"/>
          <w:lang w:val="es-MX"/>
        </w:rPr>
      </w:pPr>
      <w:r w:rsidRPr="00574318">
        <w:rPr>
          <w:rFonts w:ascii="Verdana" w:eastAsia="Batang" w:hAnsi="Verdana" w:cs="Arial"/>
          <w:color w:val="000000"/>
          <w:lang w:val="es-MX"/>
        </w:rPr>
        <w:t>Conforme a lo expuesto, en virtud del principio de transparencia se garantiza la participación tanto de los interesados como de la ciudadanía en general</w:t>
      </w:r>
      <w:r w:rsidRPr="00574318">
        <w:rPr>
          <w:rFonts w:ascii="Verdana" w:eastAsia="Batang" w:hAnsi="Verdana" w:cs="Arial"/>
          <w:color w:val="000000"/>
          <w:vertAlign w:val="superscript"/>
          <w:lang w:val="es-MX"/>
        </w:rPr>
        <w:footnoteReference w:id="5"/>
      </w:r>
      <w:r w:rsidRPr="00574318">
        <w:rPr>
          <w:rFonts w:ascii="Verdana" w:eastAsia="Batang" w:hAnsi="Verdana" w:cs="Arial"/>
          <w:color w:val="000000"/>
          <w:lang w:val="es-MX"/>
        </w:rPr>
        <w:t>, en las actuaciones contractuales adelantadas por las entidades estatales, participación que se materializa en la oportunidad que se concede a aquellos para presentar observaciones en las distintas etapas o fases del proceso que culmina con la celebración del contrato estatal.</w:t>
      </w:r>
    </w:p>
    <w:p w14:paraId="204F4F7A" w14:textId="77777777" w:rsidR="00C249D5" w:rsidRPr="00574318" w:rsidRDefault="00C249D5" w:rsidP="00C249D5">
      <w:pPr>
        <w:spacing w:after="120" w:line="276" w:lineRule="auto"/>
        <w:ind w:firstLine="851"/>
        <w:jc w:val="both"/>
        <w:rPr>
          <w:rFonts w:ascii="Verdana" w:eastAsia="Batang" w:hAnsi="Verdana" w:cs="Arial"/>
          <w:color w:val="000000"/>
          <w:lang w:val="es-MX"/>
        </w:rPr>
      </w:pPr>
      <w:r w:rsidRPr="00574318">
        <w:rPr>
          <w:rFonts w:ascii="Verdana" w:eastAsia="Batang" w:hAnsi="Verdana" w:cs="Arial"/>
          <w:color w:val="000000"/>
          <w:lang w:val="es-MX"/>
        </w:rPr>
        <w:t>En este orden de ideas, se deben distinguir las etapas o fases del proceso contractual, a efectos de establecer el término o plazo para presentar observaciones por parte de los interesados y el plazo para responderlas por parte de las entidades estatales.</w:t>
      </w:r>
    </w:p>
    <w:p w14:paraId="1DA8B88A" w14:textId="77777777" w:rsidR="00C249D5" w:rsidRPr="00574318" w:rsidRDefault="00C249D5" w:rsidP="00C249D5">
      <w:pPr>
        <w:spacing w:after="120" w:line="276" w:lineRule="auto"/>
        <w:ind w:firstLine="709"/>
        <w:jc w:val="both"/>
        <w:rPr>
          <w:rFonts w:ascii="Verdana" w:eastAsia="Batang" w:hAnsi="Verdana" w:cs="Arial"/>
          <w:color w:val="000000"/>
          <w:lang w:val="es-MX"/>
        </w:rPr>
      </w:pPr>
      <w:r w:rsidRPr="00574318">
        <w:rPr>
          <w:rFonts w:ascii="Verdana" w:eastAsia="Batang" w:hAnsi="Verdana" w:cs="Arial"/>
          <w:i/>
          <w:iCs/>
          <w:color w:val="000000"/>
          <w:lang w:val="es-MX"/>
        </w:rPr>
        <w:t>i) Publicación del proyecto de pliego de condiciones</w:t>
      </w:r>
      <w:r w:rsidRPr="00574318">
        <w:rPr>
          <w:rFonts w:ascii="Verdana" w:eastAsia="Batang" w:hAnsi="Verdana" w:cs="Arial"/>
          <w:color w:val="000000"/>
          <w:lang w:val="es-MX"/>
        </w:rPr>
        <w:t>. La Ley 1150 de 2007</w:t>
      </w:r>
      <w:r w:rsidRPr="00574318">
        <w:rPr>
          <w:rFonts w:ascii="Verdana" w:eastAsia="Batang" w:hAnsi="Verdana" w:cs="Arial"/>
          <w:color w:val="000000"/>
          <w:vertAlign w:val="superscript"/>
          <w:lang w:val="es-MX"/>
        </w:rPr>
        <w:footnoteReference w:id="6"/>
      </w:r>
      <w:r w:rsidRPr="00574318">
        <w:rPr>
          <w:rFonts w:ascii="Verdana" w:eastAsia="Batang" w:hAnsi="Verdana" w:cs="Arial"/>
          <w:color w:val="000000"/>
          <w:lang w:val="es-MX"/>
        </w:rPr>
        <w:t xml:space="preserve"> estableció en el artículo 8 la obligación de las entidades estatales de publicar el proyecto de pliego de condiciones o su documento equivalente, con el único propósito de que el público en general pueda presentar las observaciones que estime pertinentes. Esa misma disposición también consagra la obligación de las entidades estatales de pronunciarse sobre las observaciones presentadas, pronunciamiento que deberá ser motivado ya sea para acogerlas o para rechazarlas.</w:t>
      </w:r>
    </w:p>
    <w:p w14:paraId="6CBC48F7" w14:textId="77777777" w:rsidR="00C249D5" w:rsidRPr="00574318" w:rsidRDefault="00C249D5" w:rsidP="00C249D5">
      <w:pPr>
        <w:spacing w:after="120" w:line="276" w:lineRule="auto"/>
        <w:ind w:firstLine="709"/>
        <w:jc w:val="both"/>
        <w:rPr>
          <w:rFonts w:ascii="Verdana" w:eastAsia="Batang" w:hAnsi="Verdana" w:cs="Arial"/>
          <w:color w:val="000000"/>
          <w:lang w:val="es-MX"/>
        </w:rPr>
      </w:pPr>
      <w:r w:rsidRPr="00574318">
        <w:rPr>
          <w:rFonts w:ascii="Verdana" w:eastAsia="Batang" w:hAnsi="Verdana" w:cs="Arial"/>
          <w:color w:val="000000"/>
          <w:lang w:val="es-MX"/>
        </w:rPr>
        <w:t xml:space="preserve">Por su parte, el Decreto 1082 de 2015, en relación con esta obligación, precisó en el inciso 2 del artículo 2.2.1.1.1.7.1. que </w:t>
      </w:r>
      <w:r>
        <w:rPr>
          <w:rFonts w:ascii="Verdana" w:eastAsia="Batang" w:hAnsi="Verdana" w:cs="Arial"/>
          <w:color w:val="000000"/>
          <w:lang w:val="es-MX"/>
        </w:rPr>
        <w:t xml:space="preserve">“(…) </w:t>
      </w:r>
      <w:r w:rsidRPr="00574318">
        <w:rPr>
          <w:rFonts w:ascii="Verdana" w:eastAsia="Batang" w:hAnsi="Verdana" w:cs="Arial"/>
          <w:color w:val="000000"/>
          <w:lang w:val="es-MX"/>
        </w:rPr>
        <w:t xml:space="preserve">La Entidad Estatal está obligada a publicar oportunamente el aviso de convocatoria o la invitación en los Procesos de Contratación de mínima cuantía y </w:t>
      </w:r>
      <w:r w:rsidRPr="00574318">
        <w:rPr>
          <w:rFonts w:ascii="Verdana" w:eastAsia="Batang" w:hAnsi="Verdana" w:cs="Arial"/>
          <w:i/>
          <w:iCs/>
          <w:color w:val="000000"/>
          <w:lang w:val="es-MX"/>
        </w:rPr>
        <w:t>el proyecto de pliegos de condiciones</w:t>
      </w:r>
      <w:r w:rsidRPr="00574318">
        <w:rPr>
          <w:rFonts w:ascii="Verdana" w:eastAsia="Batang" w:hAnsi="Verdana" w:cs="Arial"/>
          <w:color w:val="000000"/>
          <w:lang w:val="es-MX"/>
        </w:rPr>
        <w:t xml:space="preserve"> en el SECOP para que los interesados en el Proceso de Contratación puedan presentar observaciones o solicitar aclaraciones en el término previsto para el efecto </w:t>
      </w:r>
      <w:r>
        <w:rPr>
          <w:rFonts w:ascii="Verdana" w:eastAsia="Batang" w:hAnsi="Verdana" w:cs="Arial"/>
          <w:color w:val="000000"/>
          <w:lang w:val="es-MX"/>
        </w:rPr>
        <w:t>(…)”.</w:t>
      </w:r>
    </w:p>
    <w:p w14:paraId="0E482CD6" w14:textId="77777777" w:rsidR="00C249D5" w:rsidRPr="00574318" w:rsidRDefault="00C249D5" w:rsidP="00C249D5">
      <w:pPr>
        <w:spacing w:after="120" w:line="276" w:lineRule="auto"/>
        <w:ind w:firstLine="709"/>
        <w:jc w:val="both"/>
        <w:rPr>
          <w:rFonts w:ascii="Verdana" w:eastAsia="Batang" w:hAnsi="Verdana" w:cs="Arial"/>
          <w:color w:val="000000"/>
          <w:lang w:val="es-MX"/>
        </w:rPr>
      </w:pPr>
      <w:r w:rsidRPr="00574318">
        <w:rPr>
          <w:rFonts w:ascii="Verdana" w:eastAsia="Batang" w:hAnsi="Verdana" w:cs="Arial"/>
          <w:color w:val="000000"/>
          <w:lang w:val="es-MX"/>
        </w:rPr>
        <w:t xml:space="preserve">En cuanto al plazo o término para presentar observaciones al proyecto de pliego de condiciones, en el artículo 2.2.1.1.2.1.4. del mencionado cuerpo normativo se afirma que </w:t>
      </w:r>
      <w:r>
        <w:rPr>
          <w:rFonts w:ascii="Verdana" w:eastAsia="Batang" w:hAnsi="Verdana" w:cs="Arial"/>
          <w:color w:val="000000"/>
          <w:lang w:val="es-MX"/>
        </w:rPr>
        <w:t>“</w:t>
      </w:r>
      <w:r w:rsidRPr="00574318">
        <w:rPr>
          <w:rFonts w:ascii="Verdana" w:eastAsia="Batang" w:hAnsi="Verdana" w:cs="Arial"/>
          <w:color w:val="000000"/>
          <w:lang w:val="es-MX"/>
        </w:rPr>
        <w:t xml:space="preserve">Los interesados pueden hacer comentarios al proyecto de pliegos de condiciones a partir de la fecha de publicación de </w:t>
      </w:r>
      <w:proofErr w:type="gramStart"/>
      <w:r w:rsidRPr="00574318">
        <w:rPr>
          <w:rFonts w:ascii="Verdana" w:eastAsia="Batang" w:hAnsi="Verdana" w:cs="Arial"/>
          <w:color w:val="000000"/>
          <w:lang w:val="es-MX"/>
        </w:rPr>
        <w:t>los mismos</w:t>
      </w:r>
      <w:proofErr w:type="gramEnd"/>
      <w:r w:rsidRPr="00574318">
        <w:rPr>
          <w:rFonts w:ascii="Verdana" w:eastAsia="Batang" w:hAnsi="Verdana" w:cs="Arial"/>
          <w:color w:val="000000"/>
          <w:lang w:val="es-MX"/>
        </w:rPr>
        <w:t>: (a) durante un término de diez (10) días hábiles en la licitación pública; y (b) durante un término de cinco (5) días hábiles en la selección abreviada y el concurso de méritos</w:t>
      </w:r>
      <w:r>
        <w:rPr>
          <w:rFonts w:ascii="Verdana" w:eastAsia="Batang" w:hAnsi="Verdana" w:cs="Arial"/>
          <w:color w:val="000000"/>
          <w:lang w:val="es-MX"/>
        </w:rPr>
        <w:t>”</w:t>
      </w:r>
      <w:r w:rsidRPr="00574318">
        <w:rPr>
          <w:rFonts w:ascii="Verdana" w:eastAsia="Batang" w:hAnsi="Verdana" w:cs="Arial"/>
          <w:color w:val="000000"/>
          <w:lang w:val="es-MX"/>
        </w:rPr>
        <w:t>.</w:t>
      </w:r>
    </w:p>
    <w:p w14:paraId="01ECC006" w14:textId="77777777" w:rsidR="00C249D5" w:rsidRPr="00574318" w:rsidRDefault="00C249D5" w:rsidP="00C249D5">
      <w:pPr>
        <w:spacing w:after="120" w:line="276" w:lineRule="auto"/>
        <w:ind w:firstLine="709"/>
        <w:jc w:val="both"/>
        <w:rPr>
          <w:rFonts w:ascii="Verdana" w:eastAsia="Batang" w:hAnsi="Verdana" w:cs="Arial"/>
          <w:color w:val="000000"/>
          <w:lang w:val="es-MX"/>
        </w:rPr>
      </w:pPr>
      <w:r w:rsidRPr="00574318">
        <w:rPr>
          <w:rFonts w:ascii="Verdana" w:eastAsia="Batang" w:hAnsi="Verdana" w:cs="Arial"/>
          <w:color w:val="000000"/>
          <w:lang w:val="es-MX"/>
        </w:rPr>
        <w:t>En relación con la respuesta a las observaciones presentadas al proyecto de pliego de condiciones, se advierte que el ordenamiento jurídico no contempló un término para tal efecto. Sin embargo, esa circunstancia de ninguna manera implica la inexistencia de un límite, ya que de conformidad con lo establecido en las disposiciones que rigen el procedimiento de contratación, este se realiza por fases o etapas. Así las cosas, si bien no existe un término expreso para responder las observaciones al proyecto de pliego de condiciones, no lo es menos que existe un límite para que la Entidad Estatal profiera la respuesta a esas observaciones. Límite que está constituido por la promulgación del acto administrativo de apertura del proceso de selección. Esto significa que antes que la Entidad Estatal profiera dicho acto administrativo y publique el pliego de condiciones definitivo, deberá responder las observaciones presentadas al proyecto de pliego de condiciones.</w:t>
      </w:r>
    </w:p>
    <w:p w14:paraId="728F5515" w14:textId="77777777" w:rsidR="00C249D5" w:rsidRPr="00574318" w:rsidRDefault="00C249D5" w:rsidP="00C249D5">
      <w:pPr>
        <w:spacing w:after="120" w:line="276" w:lineRule="auto"/>
        <w:ind w:firstLine="709"/>
        <w:jc w:val="both"/>
        <w:rPr>
          <w:rFonts w:ascii="Verdana" w:eastAsia="Batang" w:hAnsi="Verdana" w:cs="Arial"/>
          <w:color w:val="000000"/>
          <w:lang w:val="es-MX"/>
        </w:rPr>
      </w:pPr>
      <w:proofErr w:type="spellStart"/>
      <w:r w:rsidRPr="00574318">
        <w:rPr>
          <w:rFonts w:ascii="Verdana" w:eastAsia="Batang" w:hAnsi="Verdana" w:cs="Arial"/>
          <w:i/>
          <w:iCs/>
          <w:color w:val="000000"/>
          <w:lang w:val="es-MX"/>
        </w:rPr>
        <w:t>ii</w:t>
      </w:r>
      <w:proofErr w:type="spellEnd"/>
      <w:r w:rsidRPr="00574318">
        <w:rPr>
          <w:rFonts w:ascii="Verdana" w:eastAsia="Batang" w:hAnsi="Verdana" w:cs="Arial"/>
          <w:i/>
          <w:iCs/>
          <w:color w:val="000000"/>
          <w:lang w:val="es-MX"/>
        </w:rPr>
        <w:t>) Apertura del proceso de selección</w:t>
      </w:r>
      <w:r w:rsidRPr="00574318">
        <w:rPr>
          <w:rFonts w:ascii="Verdana" w:eastAsia="Batang" w:hAnsi="Verdana" w:cs="Arial"/>
          <w:color w:val="000000"/>
          <w:lang w:val="es-MX"/>
        </w:rPr>
        <w:t>. Esta fase o etapa inicia con la expedición del acto administrativo de apertura del proceso de selección, momento en el cual se publica el pliego de condiciones de definitivo; documento este último respecto del cual también se pueden presentar observaciones y/o solicitudes de aclaraciones.</w:t>
      </w:r>
    </w:p>
    <w:p w14:paraId="7FBFFB97" w14:textId="77777777" w:rsidR="00C249D5" w:rsidRPr="00574318" w:rsidRDefault="00C249D5" w:rsidP="00C249D5">
      <w:pPr>
        <w:spacing w:after="120" w:line="276" w:lineRule="auto"/>
        <w:ind w:firstLine="709"/>
        <w:jc w:val="both"/>
        <w:rPr>
          <w:rFonts w:ascii="Verdana" w:eastAsia="Batang" w:hAnsi="Verdana" w:cs="Arial"/>
          <w:color w:val="000000"/>
          <w:lang w:val="es-MX"/>
        </w:rPr>
      </w:pPr>
      <w:r w:rsidRPr="00574318">
        <w:rPr>
          <w:rFonts w:ascii="Verdana" w:eastAsia="Batang" w:hAnsi="Verdana" w:cs="Arial"/>
          <w:color w:val="000000"/>
          <w:lang w:val="es-MX"/>
        </w:rPr>
        <w:t>El ordenamiento jurídico que rige los Procesos de Contratación no estableció un término para la presentación de las observaciones al pliego de condiciones definitivo, salvo en la licitación pública, proceso en el cual a petición o solicitud de parte o de al menos uno de los interesados, dentro de los tres días hábiles siguientes al inicio del término para la presentación de propuestas se realizará una audiencia con el propósito de precisar el contenido y alcance de los pliegos de condiciones</w:t>
      </w:r>
      <w:r w:rsidRPr="00574318">
        <w:rPr>
          <w:rFonts w:ascii="Verdana" w:eastAsia="Batang" w:hAnsi="Verdana" w:cs="Arial"/>
          <w:color w:val="000000"/>
          <w:vertAlign w:val="superscript"/>
          <w:lang w:val="es-MX"/>
        </w:rPr>
        <w:footnoteReference w:id="7"/>
      </w:r>
      <w:r w:rsidRPr="00574318">
        <w:rPr>
          <w:rFonts w:ascii="Verdana" w:eastAsia="Batang" w:hAnsi="Verdana" w:cs="Arial"/>
          <w:color w:val="000000"/>
          <w:lang w:val="es-MX"/>
        </w:rPr>
        <w:t xml:space="preserve">; asunto este que, de conformidad con lo preceptuado en el artículo 2.2.1.2.1.1.2. del Decreto 1082 de 2015, se abordará y resolverá en la audiencia de asignación de riesgos de que trata el artículo 4 de la Ley 1150 de 2007. </w:t>
      </w:r>
    </w:p>
    <w:p w14:paraId="0323D575" w14:textId="77777777" w:rsidR="00C249D5" w:rsidRPr="00574318" w:rsidRDefault="00C249D5" w:rsidP="00C249D5">
      <w:pPr>
        <w:spacing w:after="120" w:line="276" w:lineRule="auto"/>
        <w:ind w:firstLine="709"/>
        <w:jc w:val="both"/>
        <w:rPr>
          <w:rFonts w:ascii="Verdana" w:eastAsia="Batang" w:hAnsi="Verdana" w:cs="Arial"/>
          <w:color w:val="000000"/>
          <w:lang w:val="es-MX"/>
        </w:rPr>
      </w:pPr>
      <w:r w:rsidRPr="00574318">
        <w:rPr>
          <w:rFonts w:ascii="Verdana" w:eastAsia="Batang" w:hAnsi="Verdana" w:cs="Arial"/>
          <w:color w:val="000000"/>
          <w:lang w:val="es-MX"/>
        </w:rPr>
        <w:t xml:space="preserve">Pese a lo anterior es preciso señalar que las entidades estatales con la apertura del proceso de </w:t>
      </w:r>
      <w:r w:rsidRPr="00574318">
        <w:rPr>
          <w:rFonts w:ascii="Verdana" w:eastAsia="Batang" w:hAnsi="Verdana" w:cs="Arial"/>
          <w:color w:val="000000" w:themeColor="text1"/>
          <w:lang w:val="es-MX"/>
        </w:rPr>
        <w:t>Contratación</w:t>
      </w:r>
      <w:r w:rsidRPr="00574318">
        <w:rPr>
          <w:rFonts w:ascii="Verdana" w:eastAsia="Batang" w:hAnsi="Verdana" w:cs="Arial"/>
          <w:color w:val="000000"/>
          <w:lang w:val="es-MX"/>
        </w:rPr>
        <w:t xml:space="preserve"> están en la obligación de publicar el cronograma </w:t>
      </w:r>
      <w:proofErr w:type="gramStart"/>
      <w:r w:rsidRPr="00574318">
        <w:rPr>
          <w:rFonts w:ascii="Verdana" w:eastAsia="Batang" w:hAnsi="Verdana" w:cs="Arial"/>
          <w:color w:val="000000"/>
          <w:lang w:val="es-MX"/>
        </w:rPr>
        <w:t>del mismo</w:t>
      </w:r>
      <w:proofErr w:type="gramEnd"/>
      <w:r w:rsidRPr="00574318">
        <w:rPr>
          <w:rFonts w:ascii="Verdana" w:eastAsia="Batang" w:hAnsi="Verdana" w:cs="Arial"/>
          <w:color w:val="000000"/>
          <w:lang w:val="es-MX"/>
        </w:rPr>
        <w:t xml:space="preserve">, el cual es definido como el </w:t>
      </w:r>
      <w:r>
        <w:rPr>
          <w:rFonts w:ascii="Verdana" w:eastAsia="Batang" w:hAnsi="Verdana" w:cs="Arial"/>
          <w:color w:val="000000"/>
          <w:lang w:val="es-MX"/>
        </w:rPr>
        <w:t>“</w:t>
      </w:r>
      <w:r w:rsidRPr="00574318">
        <w:rPr>
          <w:rFonts w:ascii="Verdana" w:eastAsia="Batang" w:hAnsi="Verdana" w:cs="Arial"/>
          <w:color w:val="000000"/>
          <w:lang w:val="es-MX"/>
        </w:rPr>
        <w:t>Documento en el cual la Entidad Estatal establece las fechas, horas y plazos para las actividades propias del Proceso de Contratación y el lugar en el que estas deben llevarse a cabo</w:t>
      </w:r>
      <w:r>
        <w:rPr>
          <w:rFonts w:ascii="Verdana" w:eastAsia="Batang" w:hAnsi="Verdana" w:cs="Arial"/>
          <w:color w:val="000000"/>
          <w:lang w:val="es-MX"/>
        </w:rPr>
        <w:t>”</w:t>
      </w:r>
      <w:r w:rsidRPr="00574318">
        <w:rPr>
          <w:rFonts w:ascii="Verdana" w:eastAsia="Batang" w:hAnsi="Verdana" w:cs="Arial"/>
          <w:color w:val="000000"/>
          <w:vertAlign w:val="superscript"/>
          <w:lang w:val="es-MX"/>
        </w:rPr>
        <w:footnoteReference w:id="8"/>
      </w:r>
      <w:r w:rsidRPr="00574318">
        <w:rPr>
          <w:rFonts w:ascii="Verdana" w:eastAsia="Batang" w:hAnsi="Verdana" w:cs="Arial"/>
          <w:color w:val="000000"/>
          <w:lang w:val="es-MX"/>
        </w:rPr>
        <w:t xml:space="preserve">. En el cronograma, la </w:t>
      </w:r>
      <w:r w:rsidRPr="00574318">
        <w:rPr>
          <w:rFonts w:ascii="Verdana" w:eastAsia="Batang" w:hAnsi="Verdana" w:cs="Arial"/>
          <w:color w:val="000000" w:themeColor="text1"/>
          <w:lang w:val="es-MX"/>
        </w:rPr>
        <w:t>Entidad Estatal</w:t>
      </w:r>
      <w:r w:rsidRPr="00574318">
        <w:rPr>
          <w:rFonts w:ascii="Verdana" w:eastAsia="Batang" w:hAnsi="Verdana" w:cs="Arial"/>
          <w:color w:val="000000"/>
          <w:lang w:val="es-MX"/>
        </w:rPr>
        <w:t xml:space="preserve"> debe contemplar un término o plazo para la presentación de observaciones y/o aclaraciones al pliego de condiciones definitivo, al igual que un plazo para responder esas solicitudes, inclusive en el proceso de licitación.</w:t>
      </w:r>
    </w:p>
    <w:p w14:paraId="10C097E3" w14:textId="77777777" w:rsidR="00C249D5" w:rsidRPr="00574318" w:rsidRDefault="00C249D5" w:rsidP="00C249D5">
      <w:pPr>
        <w:spacing w:after="120" w:line="276" w:lineRule="auto"/>
        <w:ind w:firstLine="709"/>
        <w:jc w:val="both"/>
        <w:rPr>
          <w:rFonts w:ascii="Verdana" w:eastAsia="Batang" w:hAnsi="Verdana" w:cs="Arial"/>
          <w:color w:val="000000"/>
          <w:lang w:val="es-MX"/>
        </w:rPr>
      </w:pPr>
      <w:r w:rsidRPr="00574318">
        <w:rPr>
          <w:rFonts w:ascii="Verdana" w:eastAsia="Batang" w:hAnsi="Verdana" w:cs="Arial"/>
          <w:color w:val="000000"/>
          <w:lang w:val="es-MX"/>
        </w:rPr>
        <w:t>Ahora bien, en esta fase o etapa del proceso de contratación el ordenamiento jurídico tampoco contempló un término para responder las observaciones y/o solicitudes de aclaraciones; sin embargo, también existe un límite para que la Entidad Estatal se pueda pronunciar sobre esas solicitudes. Así las cosas, se tiene que el pronunciamiento realizado por la Entidad Estatal, a las observaciones y/o solicitudes de aclaraciones al pliego de condiciones definitivo, debe efectuarse antes del vencimiento del plazo establecido en el cronograma para la presentación de las propuestas u ofertas por parte de los interesados. Esto en consideración a que, conforme a lo preceptuado en el numeral 6 del artículo 30 de la Ley 80 de 1993</w:t>
      </w:r>
      <w:r w:rsidRPr="00574318">
        <w:rPr>
          <w:rFonts w:ascii="Verdana" w:eastAsia="Batang" w:hAnsi="Verdana" w:cs="Arial"/>
          <w:color w:val="000000"/>
          <w:vertAlign w:val="superscript"/>
          <w:lang w:val="es-MX"/>
        </w:rPr>
        <w:footnoteReference w:id="9"/>
      </w:r>
      <w:r w:rsidRPr="00574318">
        <w:rPr>
          <w:rFonts w:ascii="Verdana" w:eastAsia="Batang" w:hAnsi="Verdana" w:cs="Arial"/>
          <w:color w:val="000000"/>
          <w:lang w:val="es-MX"/>
        </w:rPr>
        <w:t>, la propuesta se debe ajustar a todos los puntos determinados en el pliego de condiciones.</w:t>
      </w:r>
    </w:p>
    <w:p w14:paraId="478FA3A7" w14:textId="77777777" w:rsidR="00C249D5" w:rsidRPr="00574318" w:rsidRDefault="00C249D5" w:rsidP="00C249D5">
      <w:pPr>
        <w:spacing w:after="120" w:line="276" w:lineRule="auto"/>
        <w:ind w:firstLine="709"/>
        <w:jc w:val="both"/>
        <w:rPr>
          <w:rFonts w:ascii="Verdana" w:eastAsia="Batang" w:hAnsi="Verdana" w:cs="Arial"/>
          <w:color w:val="000000"/>
          <w:lang w:val="es-MX"/>
        </w:rPr>
      </w:pPr>
      <w:r w:rsidRPr="00574318">
        <w:rPr>
          <w:rFonts w:ascii="Verdana" w:eastAsia="Batang" w:hAnsi="Verdana" w:cs="Arial"/>
          <w:i/>
          <w:iCs/>
          <w:color w:val="000000"/>
          <w:lang w:val="es-MX"/>
        </w:rPr>
        <w:t>Contrario sensu,</w:t>
      </w:r>
      <w:r w:rsidRPr="00574318">
        <w:rPr>
          <w:rFonts w:ascii="Verdana" w:eastAsia="Batang" w:hAnsi="Verdana" w:cs="Arial"/>
          <w:color w:val="000000"/>
          <w:lang w:val="es-MX"/>
        </w:rPr>
        <w:t xml:space="preserve"> si la respuesta a las observaciones y/o solicitudes de aclaraciones al pliego de condiciones definitivo se realiza de forma posterior al vencimiento del término para presentar las propuestas, en el evento que se acoja alguna de esas observaciones y/o solicitudes de aclaraciones, se impedirá la presentación de propuestas que se ajusten al pliego de condiciones, circunstancia esta que atenta contra el principio de transparencia que rige la actividad contractual del Estado.</w:t>
      </w:r>
    </w:p>
    <w:p w14:paraId="6C861362" w14:textId="77777777" w:rsidR="00C249D5" w:rsidRPr="00574318" w:rsidRDefault="00C249D5" w:rsidP="00C249D5">
      <w:pPr>
        <w:spacing w:after="120" w:line="276" w:lineRule="auto"/>
        <w:ind w:firstLine="709"/>
        <w:jc w:val="both"/>
        <w:rPr>
          <w:rFonts w:ascii="Verdana" w:eastAsia="Batang" w:hAnsi="Verdana" w:cs="Arial"/>
          <w:lang w:val="es-MX"/>
        </w:rPr>
      </w:pPr>
      <w:r w:rsidRPr="00574318">
        <w:rPr>
          <w:rFonts w:ascii="Verdana" w:eastAsia="Batang" w:hAnsi="Verdana" w:cs="Arial"/>
          <w:lang w:val="es-MX"/>
        </w:rPr>
        <w:t xml:space="preserve">De esta manera, las observaciones o aclaraciones que sean presentadas frente al proyecto de pliego de condiciones deberán ser resueltas por la entidad antes de publicar el pliego de condiciones definitivo, lo cual implica que la entidad no podrá seguir adelante con la siguiente etapa del correspondiente proceso de contratación, si antes no se ha pronunciado sobre las observaciones presentadas, pero también es pertinente aclarar que no todas las observaciones o aclaraciones que se presenten en virtud del control ciudadano conllevarán a una modificación del pliego de condiciones. </w:t>
      </w:r>
    </w:p>
    <w:p w14:paraId="6EA28F02" w14:textId="77777777" w:rsidR="00C249D5" w:rsidRPr="00574318" w:rsidRDefault="00C249D5" w:rsidP="00C249D5">
      <w:pPr>
        <w:spacing w:after="120" w:line="276" w:lineRule="auto"/>
        <w:ind w:firstLine="709"/>
        <w:jc w:val="both"/>
        <w:rPr>
          <w:rFonts w:ascii="Verdana" w:eastAsia="Batang" w:hAnsi="Verdana" w:cs="Arial"/>
          <w:lang w:val="es-MX"/>
        </w:rPr>
      </w:pPr>
      <w:r w:rsidRPr="00574318">
        <w:rPr>
          <w:rFonts w:ascii="Verdana" w:eastAsia="Batang" w:hAnsi="Verdana" w:cs="Arial"/>
          <w:lang w:val="es-MX"/>
        </w:rPr>
        <w:t>De otro lado, incluso frente al pliego de condiciones definitivo es posible que se presenten observaciones adicionales, correspondiéndole a la Entidad Estatal pronunciarse motivadamente frente a cada una de ellas y, de ser el caso, indicar expresamente si con ocasión del análisis de las observaciones es necesario modificar, ajustar o aclarar algún aspecto o condición del pliego; evento en el cual la modificación se debe realizar por acto administrativo –adenda–, sin que necesariamente se deba titular o rotular de esta manera, como requisito para que esta produzca efectos. En todo caso, en cada procedimiento de selección se deberá dilucidar cuál es la intención de la Entidad Estatal al pronunciarse frente a las observaciones recibidas, en el sentido de si mediante su respuesta realizará alguna modificación y en qué consistirá. Lo anterior no obsta para señalar que, en todo caso, para evitar discrepancias lo recomendable frente a las entidades estatales consiste en que el documento se identifique claramente como adenda y se señale de forma precisa qué contenido se modificará del pliego de condiciones.</w:t>
      </w:r>
    </w:p>
    <w:p w14:paraId="6D553C08" w14:textId="77777777" w:rsidR="00C249D5" w:rsidRPr="00574318" w:rsidRDefault="00C249D5" w:rsidP="00C249D5">
      <w:pPr>
        <w:spacing w:after="120" w:line="276" w:lineRule="auto"/>
        <w:ind w:firstLine="709"/>
        <w:jc w:val="both"/>
        <w:rPr>
          <w:rFonts w:ascii="Verdana" w:eastAsia="Batang" w:hAnsi="Verdana" w:cs="Arial"/>
          <w:color w:val="000000"/>
          <w:lang w:val="es-MX"/>
        </w:rPr>
      </w:pPr>
      <w:proofErr w:type="spellStart"/>
      <w:r w:rsidRPr="00574318">
        <w:rPr>
          <w:rFonts w:ascii="Verdana" w:eastAsia="Batang" w:hAnsi="Verdana" w:cs="Arial"/>
          <w:i/>
          <w:iCs/>
          <w:color w:val="000000"/>
          <w:lang w:val="es-MX"/>
        </w:rPr>
        <w:t>iii</w:t>
      </w:r>
      <w:proofErr w:type="spellEnd"/>
      <w:r w:rsidRPr="00574318">
        <w:rPr>
          <w:rFonts w:ascii="Verdana" w:eastAsia="Batang" w:hAnsi="Verdana" w:cs="Arial"/>
          <w:i/>
          <w:iCs/>
          <w:color w:val="000000"/>
          <w:lang w:val="es-MX"/>
        </w:rPr>
        <w:t>) Informes de evaluación</w:t>
      </w:r>
      <w:r w:rsidRPr="00574318">
        <w:rPr>
          <w:rFonts w:ascii="Verdana" w:eastAsia="Batang" w:hAnsi="Verdana" w:cs="Arial"/>
          <w:color w:val="000000"/>
          <w:lang w:val="es-MX"/>
        </w:rPr>
        <w:t>. En los procesos de licitación pública se tiene que el informe de evaluación de las propuestas debe permanecer en la Secretaría General de la Entidad Estatal contratante, por el un término de cinco (5) días hábiles</w:t>
      </w:r>
      <w:r w:rsidRPr="00574318">
        <w:rPr>
          <w:rFonts w:ascii="Verdana" w:eastAsia="Batang" w:hAnsi="Verdana" w:cs="Arial"/>
          <w:color w:val="000000"/>
          <w:vertAlign w:val="superscript"/>
          <w:lang w:val="es-MX"/>
        </w:rPr>
        <w:footnoteReference w:id="10"/>
      </w:r>
      <w:r w:rsidRPr="00574318">
        <w:rPr>
          <w:rFonts w:ascii="Verdana" w:eastAsia="Batang" w:hAnsi="Verdana" w:cs="Arial"/>
          <w:color w:val="000000"/>
          <w:lang w:val="es-MX"/>
        </w:rPr>
        <w:t>. En los procesos de selección de concurso de méritos y de selección abreviada de menor cuantía, las entidades estatales están en la obligación de publicar el informe de evaluación por un término de tres (3) días hábiles, mientras que en los procesos de selección de mínima cuantía ese informe de evaluación deberá publicarse al menos por el término de un (1) día hábil</w:t>
      </w:r>
      <w:r w:rsidRPr="00574318">
        <w:rPr>
          <w:rFonts w:ascii="Verdana" w:eastAsia="Batang" w:hAnsi="Verdana" w:cs="Arial"/>
          <w:color w:val="000000"/>
          <w:vertAlign w:val="superscript"/>
          <w:lang w:val="es-MX"/>
        </w:rPr>
        <w:footnoteReference w:id="11"/>
      </w:r>
      <w:r w:rsidRPr="00574318">
        <w:rPr>
          <w:rFonts w:ascii="Verdana" w:eastAsia="Batang" w:hAnsi="Verdana" w:cs="Arial"/>
          <w:color w:val="000000"/>
          <w:lang w:val="es-MX"/>
        </w:rPr>
        <w:t>.</w:t>
      </w:r>
    </w:p>
    <w:p w14:paraId="79ECE5EE" w14:textId="77777777" w:rsidR="00C249D5" w:rsidRPr="00574318" w:rsidRDefault="00C249D5" w:rsidP="00C249D5">
      <w:pPr>
        <w:spacing w:after="120" w:line="276" w:lineRule="auto"/>
        <w:ind w:firstLine="709"/>
        <w:jc w:val="both"/>
        <w:rPr>
          <w:rFonts w:ascii="Verdana" w:eastAsia="Batang" w:hAnsi="Verdana" w:cs="Arial"/>
          <w:color w:val="000000"/>
          <w:lang w:val="es-MX"/>
        </w:rPr>
      </w:pPr>
      <w:r w:rsidRPr="00574318">
        <w:rPr>
          <w:rFonts w:ascii="Verdana" w:eastAsia="Batang" w:hAnsi="Verdana" w:cs="Arial"/>
          <w:color w:val="000000"/>
          <w:lang w:val="es-MX"/>
        </w:rPr>
        <w:t xml:space="preserve">El propósito de la publicidad del informe de evaluación de las propuestas en cada uno de los procesos de selección citados es que los oferentes, interesados y cualquier persona en general puedan realizar las observaciones que a su juicio consideren pertinentes. No obstante, el ordenamiento jurídico no contempló de manera expresa un término para que las entidades estatales se pronuncien sobre las observaciones presentadas al informe de evaluación. Sin embargo, sí existe un momento límite para responder esas observaciones, el cual está determinado por el acto de adjudicación del respectivo contrato, es decir, la Entidad Estatal contratante antes de proferir su decisión de adjudicación del contrato, está en la obligación de responder las observaciones presentadas al informe de evaluación de las propuestas, como condición previa para la expedición del acto de adjudicación. </w:t>
      </w:r>
    </w:p>
    <w:p w14:paraId="103DD260" w14:textId="77777777" w:rsidR="00C249D5" w:rsidRPr="00574318" w:rsidRDefault="00C249D5" w:rsidP="00C249D5">
      <w:pPr>
        <w:spacing w:after="120" w:line="276" w:lineRule="auto"/>
        <w:ind w:firstLine="709"/>
        <w:jc w:val="both"/>
        <w:rPr>
          <w:rFonts w:ascii="Verdana" w:eastAsia="Batang" w:hAnsi="Verdana" w:cs="Arial"/>
          <w:color w:val="000000"/>
          <w:lang w:val="es-MX"/>
        </w:rPr>
      </w:pPr>
      <w:r w:rsidRPr="00574318">
        <w:rPr>
          <w:rFonts w:ascii="Verdana" w:eastAsia="Batang" w:hAnsi="Verdana" w:cs="Arial"/>
          <w:color w:val="000000"/>
          <w:lang w:val="es-MX"/>
        </w:rPr>
        <w:t xml:space="preserve">Es de resaltar que, en los procesos de licitación, la respuesta a las observaciones presentadas al informe de evaluación deberá efectuarse antes de la realización de la audiencia de adjudicación, puesto que en esa audiencia </w:t>
      </w:r>
      <w:r>
        <w:rPr>
          <w:rFonts w:ascii="Verdana" w:eastAsia="Batang" w:hAnsi="Verdana" w:cs="Arial"/>
          <w:color w:val="000000"/>
          <w:lang w:val="es-MX"/>
        </w:rPr>
        <w:t>“</w:t>
      </w:r>
      <w:r w:rsidRPr="00574318">
        <w:rPr>
          <w:rFonts w:ascii="Verdana" w:eastAsia="Batang" w:hAnsi="Verdana" w:cs="Arial"/>
          <w:color w:val="000000"/>
          <w:lang w:val="es-MX"/>
        </w:rPr>
        <w:t>los oferentes pueden pronunciarse sobre las respuestas dadas por la Entidad Estatal a las observaciones presentadas respecto del informe de evaluación</w:t>
      </w:r>
      <w:r>
        <w:rPr>
          <w:rFonts w:ascii="Verdana" w:eastAsia="Batang" w:hAnsi="Verdana" w:cs="Arial"/>
          <w:color w:val="000000"/>
          <w:lang w:val="es-MX"/>
        </w:rPr>
        <w:t>”</w:t>
      </w:r>
      <w:r w:rsidRPr="00574318">
        <w:rPr>
          <w:rFonts w:ascii="Verdana" w:eastAsia="Batang" w:hAnsi="Verdana" w:cs="Arial"/>
          <w:color w:val="000000"/>
          <w:vertAlign w:val="superscript"/>
          <w:lang w:val="es-MX"/>
        </w:rPr>
        <w:footnoteReference w:id="12"/>
      </w:r>
      <w:r w:rsidRPr="00574318">
        <w:rPr>
          <w:rFonts w:ascii="Verdana" w:eastAsia="Batang" w:hAnsi="Verdana" w:cs="Arial"/>
          <w:color w:val="000000"/>
          <w:lang w:val="es-MX"/>
        </w:rPr>
        <w:t>.</w:t>
      </w:r>
    </w:p>
    <w:p w14:paraId="2EBC6A8B" w14:textId="77777777" w:rsidR="00C249D5" w:rsidRPr="00574318" w:rsidRDefault="00C249D5" w:rsidP="00C249D5">
      <w:pPr>
        <w:spacing w:after="120" w:line="276" w:lineRule="auto"/>
        <w:ind w:firstLine="709"/>
        <w:jc w:val="both"/>
        <w:rPr>
          <w:rFonts w:ascii="Verdana" w:eastAsia="Batang" w:hAnsi="Verdana" w:cs="Arial"/>
          <w:color w:val="000000"/>
          <w:lang w:val="es-MX"/>
        </w:rPr>
      </w:pPr>
      <w:r w:rsidRPr="00574318">
        <w:rPr>
          <w:rFonts w:ascii="Verdana" w:eastAsia="Batang" w:hAnsi="Verdana" w:cs="Arial"/>
          <w:color w:val="000000"/>
          <w:lang w:val="es-MX"/>
        </w:rPr>
        <w:t>De otra parte, puede llegar a suceder, como en efecto ocurre, que los interesados en un proceso de contratación presenten observaciones y/o solicitudes de aclaraciones al proyecto de pliego de condiciones, al pliego de condiciones definitivo o al informe de evaluación de las ofertas, fuera de los plazos establecidos por el ordenamiento jurídico y por el cronograma del respectivo proceso de contratación pública, según el caso. Esta circunstancia de suyo implica que la observación es extemporánea.</w:t>
      </w:r>
    </w:p>
    <w:p w14:paraId="0D501CC8" w14:textId="77777777" w:rsidR="00C249D5" w:rsidRPr="00574318" w:rsidRDefault="00C249D5" w:rsidP="00C249D5">
      <w:pPr>
        <w:spacing w:after="120" w:line="276" w:lineRule="auto"/>
        <w:ind w:firstLine="709"/>
        <w:jc w:val="both"/>
        <w:rPr>
          <w:rFonts w:ascii="Verdana" w:eastAsia="Batang" w:hAnsi="Verdana" w:cs="Arial"/>
          <w:color w:val="000000"/>
          <w:lang w:val="es-MX"/>
        </w:rPr>
      </w:pPr>
      <w:r w:rsidRPr="00574318">
        <w:rPr>
          <w:rFonts w:ascii="Verdana" w:eastAsia="Batang" w:hAnsi="Verdana" w:cs="Arial"/>
          <w:color w:val="000000"/>
          <w:lang w:val="es-MX"/>
        </w:rPr>
        <w:t>Si bien la Entidad Estatal que adelanta un proceso de contratación está en la obligación de responder las observaciones extemporáneas, no lo es menos que esa respuesta debe consistir o limitarse al rechazo de la observación, precisamente, por ser extemporánea. Respuesta por demás, que debe proferirse antes de que inicie la siguiente etapa o fase del proceso contractual. Esto significa que, si la observación extemporánea es sobre el proyecto de pliego de condiciones, el pronunciamiento debe realizarse antes de proferir el acto administrativo de apertura del proceso de selección; si es sobre el pliego de condiciones definitivo, la respuesta debe realizarse antes de efectuar el correspondiente informe de evaluación; y, si es sobre el informe de evaluación la respuesta debe realizarse antes del acto administrativo de adjudicación del proceso de contratación.</w:t>
      </w:r>
    </w:p>
    <w:p w14:paraId="556CE6AB" w14:textId="77777777" w:rsidR="00C249D5" w:rsidRPr="00574318" w:rsidRDefault="00C249D5" w:rsidP="00C249D5">
      <w:pPr>
        <w:spacing w:after="120" w:line="276" w:lineRule="auto"/>
        <w:ind w:firstLine="709"/>
        <w:jc w:val="both"/>
        <w:rPr>
          <w:rFonts w:ascii="Verdana" w:eastAsia="Batang" w:hAnsi="Verdana" w:cs="Arial"/>
          <w:color w:val="000000"/>
          <w:lang w:val="es-MX"/>
        </w:rPr>
      </w:pPr>
      <w:r w:rsidRPr="00574318">
        <w:rPr>
          <w:rFonts w:ascii="Verdana" w:eastAsia="Batang" w:hAnsi="Verdana" w:cs="Arial"/>
          <w:color w:val="000000"/>
          <w:lang w:val="es-MX"/>
        </w:rPr>
        <w:t>Lo afirmado encuentra fundamento en el principio de económica que rige los procesos de contratación, especialmente, en el numeral 1º del artículo 25 de la Ley 80 de 1993</w:t>
      </w:r>
      <w:r w:rsidRPr="00574318">
        <w:rPr>
          <w:rFonts w:ascii="Verdana" w:eastAsia="Batang" w:hAnsi="Verdana" w:cs="Arial"/>
          <w:color w:val="000000"/>
          <w:vertAlign w:val="superscript"/>
          <w:lang w:val="es-MX"/>
        </w:rPr>
        <w:footnoteReference w:id="13"/>
      </w:r>
      <w:r w:rsidRPr="00574318">
        <w:rPr>
          <w:rFonts w:ascii="Verdana" w:eastAsia="Batang" w:hAnsi="Verdana" w:cs="Arial"/>
          <w:color w:val="000000"/>
          <w:lang w:val="es-MX"/>
        </w:rPr>
        <w:t xml:space="preserve"> que dispuso, que los términos o plazos para la etapas o fases del proceso de selección son preclusivos y perentorios. </w:t>
      </w:r>
    </w:p>
    <w:p w14:paraId="4DDA08EF" w14:textId="77777777" w:rsidR="00C249D5" w:rsidRDefault="00C249D5" w:rsidP="00C249D5">
      <w:pPr>
        <w:spacing w:after="120" w:line="276" w:lineRule="auto"/>
        <w:ind w:firstLine="709"/>
        <w:jc w:val="both"/>
        <w:rPr>
          <w:rFonts w:ascii="Verdana" w:eastAsia="Batang" w:hAnsi="Verdana" w:cs="Arial"/>
          <w:color w:val="000000"/>
          <w:lang w:val="es-MX"/>
        </w:rPr>
      </w:pPr>
      <w:r w:rsidRPr="00574318">
        <w:rPr>
          <w:rFonts w:ascii="Verdana" w:eastAsia="Batang" w:hAnsi="Verdana" w:cs="Arial"/>
          <w:color w:val="000000"/>
          <w:lang w:val="es-MX"/>
        </w:rPr>
        <w:t xml:space="preserve">Bajo este contexto y en virtud del principio de economía, si bien tanto a los interesados como a la ciudadanía en general les asiste el derecho a realizar observaciones, este derecho debe ejercerse dentro de los plazos establecidos por el ordenamiento jurídico y por el cronograma del proceso de contratación, so pena de perder tal facultad por la </w:t>
      </w:r>
      <w:proofErr w:type="spellStart"/>
      <w:r w:rsidRPr="00574318">
        <w:rPr>
          <w:rFonts w:ascii="Verdana" w:eastAsia="Batang" w:hAnsi="Verdana" w:cs="Arial"/>
          <w:color w:val="000000"/>
          <w:lang w:val="es-MX"/>
        </w:rPr>
        <w:t>preclusividad</w:t>
      </w:r>
      <w:proofErr w:type="spellEnd"/>
      <w:r w:rsidRPr="00574318">
        <w:rPr>
          <w:rFonts w:ascii="Verdana" w:eastAsia="Batang" w:hAnsi="Verdana" w:cs="Arial"/>
          <w:color w:val="000000"/>
          <w:lang w:val="es-MX"/>
        </w:rPr>
        <w:t xml:space="preserve"> y perentoriedad de los términos que rigen las fases o etapas del proceso de contratación, máxime teniendo en cuenta que una vez agotada una fase del proceso de contratación la Entidad Estatal, en principio, no puede volver sobre esa etapa del proceso de selección.</w:t>
      </w:r>
    </w:p>
    <w:p w14:paraId="4095985C" w14:textId="77777777" w:rsidR="00C249D5" w:rsidRPr="003F2862" w:rsidRDefault="00C249D5" w:rsidP="00C249D5">
      <w:pPr>
        <w:spacing w:after="120" w:line="276" w:lineRule="auto"/>
        <w:jc w:val="both"/>
        <w:rPr>
          <w:rFonts w:ascii="Verdana" w:eastAsia="Batang" w:hAnsi="Verdana" w:cs="Arial"/>
          <w:color w:val="000000"/>
          <w:lang w:val="es-MX"/>
        </w:rPr>
      </w:pPr>
      <w:proofErr w:type="spellStart"/>
      <w:r>
        <w:rPr>
          <w:rFonts w:ascii="Verdana" w:eastAsia="Batang" w:hAnsi="Verdana" w:cs="Arial"/>
          <w:color w:val="000000"/>
          <w:lang w:val="es-MX"/>
        </w:rPr>
        <w:t>ii</w:t>
      </w:r>
      <w:proofErr w:type="spellEnd"/>
      <w:r>
        <w:rPr>
          <w:rFonts w:ascii="Verdana" w:eastAsia="Batang" w:hAnsi="Verdana" w:cs="Arial"/>
          <w:color w:val="000000"/>
          <w:lang w:val="es-MX"/>
        </w:rPr>
        <w:t xml:space="preserve">) </w:t>
      </w:r>
      <w:r w:rsidRPr="006B7553">
        <w:rPr>
          <w:rFonts w:ascii="Verdana" w:hAnsi="Verdana" w:cs="Arial"/>
          <w:color w:val="000000" w:themeColor="text1"/>
          <w:lang w:val="es-ES" w:eastAsia="es-ES_tradnl"/>
        </w:rPr>
        <w:t>Además de las normas que regulan la participación de las veedurías ciudadanas en el marco de la vigilancia de la gestión pública y el control social, el Decreto 1082 de 2015, en su artículo 2.2.1.1.2.1.5., hace referencia a las convocatorias de las veedurías ciudadanas en relación con el acto administrativo de apertura del proceso de selección.</w:t>
      </w:r>
    </w:p>
    <w:p w14:paraId="4602CB9A" w14:textId="77777777" w:rsidR="00C249D5" w:rsidRDefault="00C249D5" w:rsidP="00C249D5">
      <w:pPr>
        <w:shd w:val="clear" w:color="auto" w:fill="FFFFFF"/>
        <w:spacing w:before="120" w:after="0" w:line="276" w:lineRule="auto"/>
        <w:ind w:firstLine="709"/>
        <w:jc w:val="both"/>
        <w:rPr>
          <w:rFonts w:ascii="Verdana" w:hAnsi="Verdana" w:cs="Arial"/>
          <w:color w:val="000000" w:themeColor="text1"/>
          <w:lang w:val="es-ES" w:eastAsia="es-ES_tradnl"/>
        </w:rPr>
      </w:pPr>
      <w:r>
        <w:rPr>
          <w:rFonts w:ascii="Verdana" w:hAnsi="Verdana" w:cs="Arial"/>
          <w:color w:val="000000" w:themeColor="text1"/>
          <w:lang w:val="es-ES" w:eastAsia="es-ES_tradnl"/>
        </w:rPr>
        <w:t>E</w:t>
      </w:r>
      <w:r w:rsidRPr="006B7553">
        <w:rPr>
          <w:rFonts w:ascii="Verdana" w:hAnsi="Verdana" w:cs="Arial"/>
          <w:color w:val="000000" w:themeColor="text1"/>
          <w:lang w:val="es-ES" w:eastAsia="es-ES_tradnl"/>
        </w:rPr>
        <w:t>l citado Decreto específicamente establece que “la Entidad Estatal debe ordenar la apertura del proceso de selección, mediante acto administrativo de carácter general, sin perjuicio de lo dispuesto en las Disposiciones Especiales para las modalidades de selección, previstas en el capítulo 2 del presente título”. Dicho acto deberá señalar, entre otros aspectos, la convocatoria a las veedurías ciudadanas, en virtud de la cual se invita a estas a participar en el proceso de selección que se inicia, con el propósito de que realicen el control social a la actividad contractual.</w:t>
      </w:r>
    </w:p>
    <w:p w14:paraId="7449A60A" w14:textId="77777777" w:rsidR="00C249D5" w:rsidRDefault="00C249D5" w:rsidP="00C249D5">
      <w:pPr>
        <w:shd w:val="clear" w:color="auto" w:fill="FFFFFF"/>
        <w:spacing w:before="120" w:after="0" w:line="276" w:lineRule="auto"/>
        <w:ind w:firstLine="709"/>
        <w:jc w:val="both"/>
        <w:rPr>
          <w:rFonts w:ascii="Verdana" w:hAnsi="Verdana" w:cs="Arial"/>
          <w:color w:val="000000" w:themeColor="text1"/>
          <w:lang w:val="es-ES" w:eastAsia="es-ES_tradnl"/>
        </w:rPr>
      </w:pPr>
      <w:r w:rsidRPr="006B7553">
        <w:rPr>
          <w:rFonts w:ascii="Verdana" w:hAnsi="Verdana" w:cs="Arial"/>
          <w:color w:val="000000" w:themeColor="text1"/>
          <w:lang w:val="es-ES" w:eastAsia="es-ES_tradnl"/>
        </w:rPr>
        <w:t>En lo concerniente a la contratación directa, el Decreto 1082 de 2015 estableció unos procedimientos especiales que no contemplan la expedición de un acto administrativo de apertura, ni el aviso de convocatoria establecido en el artículo 2.2.1.1.2.1.2 del mismo cuerpo normativo. Por ende, en atención al principio de economía en los procesos de contratación, por medio del cual no es posible adelantar procedimientos o etapas que no estén expresamente previstos en las normas</w:t>
      </w:r>
      <w:r w:rsidRPr="006B7553">
        <w:rPr>
          <w:rFonts w:ascii="Verdana" w:hAnsi="Verdana"/>
          <w:vertAlign w:val="superscript"/>
          <w:lang w:val="es-ES"/>
        </w:rPr>
        <w:footnoteReference w:id="14"/>
      </w:r>
      <w:r w:rsidRPr="006B7553">
        <w:rPr>
          <w:rFonts w:ascii="Verdana" w:hAnsi="Verdana" w:cs="Arial"/>
          <w:color w:val="000000" w:themeColor="text1"/>
          <w:lang w:val="es-ES" w:eastAsia="es-ES_tradnl"/>
        </w:rPr>
        <w:t>, en esta modalidad de selección no se expide un acto administrativo de apertura y, en consecuencia, no hay convocatoria a las veedurías ciudadanas en los términos del artículo 2.2.1.1.2.1.5 del Decreto 1082 de 2015.</w:t>
      </w:r>
    </w:p>
    <w:p w14:paraId="4873B855" w14:textId="77777777" w:rsidR="00C249D5" w:rsidRDefault="00C249D5" w:rsidP="00C249D5">
      <w:pPr>
        <w:shd w:val="clear" w:color="auto" w:fill="FFFFFF"/>
        <w:spacing w:before="120" w:after="0" w:line="276" w:lineRule="auto"/>
        <w:ind w:firstLine="709"/>
        <w:jc w:val="both"/>
        <w:rPr>
          <w:rFonts w:ascii="Verdana" w:hAnsi="Verdana" w:cs="Arial"/>
          <w:color w:val="000000" w:themeColor="text1"/>
          <w:lang w:val="es-ES" w:eastAsia="es-ES_tradnl"/>
        </w:rPr>
      </w:pPr>
      <w:r w:rsidRPr="006B7553">
        <w:rPr>
          <w:rFonts w:ascii="Verdana" w:hAnsi="Verdana" w:cs="Arial"/>
          <w:color w:val="000000" w:themeColor="text1"/>
          <w:lang w:val="es-ES" w:eastAsia="es-ES_tradnl"/>
        </w:rPr>
        <w:t xml:space="preserve">Sin embargo, ello no impide que los ciudadanos individualmente considerados, o las organizaciones constituidas para tal fin, por ejemplo, las veedurías ciudadanas, puedan participar y ejercer el control social respecto de los procesos en la modalidad de contratación directa. Ello, se reitera, por cuanto todos los contratos que celebren las entidades del Estado están sujetos a la vigilancia y control ciudadano. </w:t>
      </w:r>
    </w:p>
    <w:p w14:paraId="1A736188" w14:textId="77777777" w:rsidR="00C249D5" w:rsidRDefault="00C249D5" w:rsidP="00C249D5">
      <w:pPr>
        <w:shd w:val="clear" w:color="auto" w:fill="FFFFFF"/>
        <w:spacing w:before="120" w:after="0" w:line="276" w:lineRule="auto"/>
        <w:ind w:firstLine="709"/>
        <w:jc w:val="both"/>
        <w:rPr>
          <w:rFonts w:ascii="Verdana" w:hAnsi="Verdana" w:cs="Arial"/>
          <w:color w:val="000000" w:themeColor="text1"/>
          <w:lang w:val="es-ES" w:eastAsia="es-ES_tradnl"/>
        </w:rPr>
      </w:pPr>
      <w:r w:rsidRPr="006B7553">
        <w:rPr>
          <w:rFonts w:ascii="Verdana" w:hAnsi="Verdana" w:cs="Arial"/>
          <w:color w:val="000000" w:themeColor="text1"/>
          <w:lang w:val="es-ES" w:eastAsia="es-ES_tradnl"/>
        </w:rPr>
        <w:t xml:space="preserve">Esto implica que dichas organizaciones podrán efectuar la revisión de los documentos que reposan en las diferentes plataformas electrónicas como SECOP I y II y en la Tienda Virtual del Estado Colombiano. De igual forma, podrán realizar observaciones, efectuar requerimientos y, en general, adelantar cualquier actuación que materialice su derecho de participación en la revisión de los procesos precontractuales, en la etapa de ejecución de los contratos y etapa </w:t>
      </w:r>
      <w:proofErr w:type="spellStart"/>
      <w:r w:rsidRPr="006B7553">
        <w:rPr>
          <w:rFonts w:ascii="Verdana" w:hAnsi="Verdana" w:cs="Arial"/>
          <w:color w:val="000000" w:themeColor="text1"/>
          <w:lang w:val="es-ES" w:eastAsia="es-ES_tradnl"/>
        </w:rPr>
        <w:t>poscontractual</w:t>
      </w:r>
      <w:proofErr w:type="spellEnd"/>
      <w:r>
        <w:rPr>
          <w:rFonts w:ascii="Verdana" w:hAnsi="Verdana" w:cs="Arial"/>
          <w:color w:val="000000" w:themeColor="text1"/>
          <w:lang w:val="es-ES" w:eastAsia="es-ES_tradnl"/>
        </w:rPr>
        <w:t>.</w:t>
      </w:r>
    </w:p>
    <w:p w14:paraId="57717147" w14:textId="77777777" w:rsidR="00C249D5" w:rsidRDefault="00C249D5" w:rsidP="00C249D5">
      <w:pPr>
        <w:shd w:val="clear" w:color="auto" w:fill="FFFFFF"/>
        <w:spacing w:before="120" w:after="0" w:line="276" w:lineRule="auto"/>
        <w:ind w:firstLine="709"/>
        <w:jc w:val="both"/>
        <w:rPr>
          <w:rFonts w:ascii="Verdana" w:hAnsi="Verdana" w:cs="Arial"/>
          <w:color w:val="000000" w:themeColor="text1"/>
          <w:lang w:val="es-ES" w:eastAsia="es-ES_tradnl"/>
        </w:rPr>
      </w:pPr>
      <w:r>
        <w:rPr>
          <w:rFonts w:ascii="Verdana" w:hAnsi="Verdana" w:cs="Arial"/>
          <w:color w:val="000000" w:themeColor="text1"/>
          <w:lang w:val="es-ES" w:eastAsia="es-ES_tradnl"/>
        </w:rPr>
        <w:t xml:space="preserve">El control social se sustenta en las acciones que puede ejercer la veeduría ciudadana de conformidad con lo dispuesto en el artículo 62 de la Ley </w:t>
      </w:r>
      <w:r w:rsidRPr="003F3D18">
        <w:rPr>
          <w:rFonts w:ascii="Verdana" w:hAnsi="Verdana" w:cs="Arial"/>
          <w:color w:val="000000" w:themeColor="text1"/>
          <w:lang w:val="es-ES" w:eastAsia="es-ES_tradnl"/>
        </w:rPr>
        <w:t>1757 de 2015</w:t>
      </w:r>
      <w:r>
        <w:rPr>
          <w:rFonts w:ascii="Verdana" w:hAnsi="Verdana" w:cs="Arial"/>
          <w:color w:val="000000" w:themeColor="text1"/>
          <w:lang w:val="es-ES" w:eastAsia="es-ES_tradnl"/>
        </w:rPr>
        <w:t>, concretamente:</w:t>
      </w:r>
    </w:p>
    <w:p w14:paraId="36138696" w14:textId="77777777" w:rsidR="00C249D5" w:rsidRPr="00254D11" w:rsidRDefault="00C249D5" w:rsidP="00C249D5">
      <w:pPr>
        <w:shd w:val="clear" w:color="auto" w:fill="FFFFFF"/>
        <w:spacing w:before="120" w:after="0" w:line="276" w:lineRule="auto"/>
        <w:ind w:firstLine="709"/>
        <w:jc w:val="both"/>
        <w:rPr>
          <w:rFonts w:ascii="Verdana" w:hAnsi="Verdana" w:cs="Arial"/>
          <w:color w:val="000000" w:themeColor="text1"/>
          <w:lang w:val="es-ES" w:eastAsia="es-ES_tradnl"/>
        </w:rPr>
      </w:pPr>
      <w:r w:rsidRPr="003F3D18">
        <w:rPr>
          <w:rFonts w:ascii="Verdana" w:eastAsia="Times New Roman" w:hAnsi="Verdana" w:cs="Arial"/>
          <w:color w:val="000000" w:themeColor="text1"/>
          <w:lang w:eastAsia="es-ES_tradnl"/>
        </w:rPr>
        <w:t>a) Solicitar la información pública que se requiera para el desarrollo de su labor, en los términos del Código de Procedimiento Administrativo y de lo Contencioso Administrativo;</w:t>
      </w:r>
    </w:p>
    <w:p w14:paraId="261F0182" w14:textId="77777777" w:rsidR="00C249D5" w:rsidRPr="003F3D18" w:rsidRDefault="00C249D5" w:rsidP="00C249D5">
      <w:pPr>
        <w:shd w:val="clear" w:color="auto" w:fill="FFFFFF"/>
        <w:spacing w:after="120" w:line="276" w:lineRule="auto"/>
        <w:ind w:firstLine="709"/>
        <w:jc w:val="both"/>
        <w:rPr>
          <w:rFonts w:ascii="Verdana" w:eastAsia="Times New Roman" w:hAnsi="Verdana" w:cs="Arial"/>
          <w:color w:val="000000" w:themeColor="text1"/>
          <w:lang w:eastAsia="es-ES_tradnl"/>
        </w:rPr>
      </w:pPr>
      <w:r w:rsidRPr="003F3D18">
        <w:rPr>
          <w:rFonts w:ascii="Verdana" w:eastAsia="Times New Roman" w:hAnsi="Verdana" w:cs="Arial"/>
          <w:color w:val="000000" w:themeColor="text1"/>
          <w:lang w:eastAsia="es-ES_tradnl"/>
        </w:rPr>
        <w:t>b) Presentar observaciones de la labor desarrollada al ente encargado de la política pública;</w:t>
      </w:r>
    </w:p>
    <w:p w14:paraId="0E89A9FA" w14:textId="77777777" w:rsidR="00C249D5" w:rsidRPr="003F3D18" w:rsidRDefault="00C249D5" w:rsidP="00C249D5">
      <w:pPr>
        <w:shd w:val="clear" w:color="auto" w:fill="FFFFFF"/>
        <w:spacing w:after="120" w:line="276" w:lineRule="auto"/>
        <w:ind w:firstLine="709"/>
        <w:jc w:val="both"/>
        <w:rPr>
          <w:rFonts w:ascii="Verdana" w:eastAsia="Times New Roman" w:hAnsi="Verdana" w:cs="Arial"/>
          <w:color w:val="000000" w:themeColor="text1"/>
          <w:lang w:eastAsia="es-ES_tradnl"/>
        </w:rPr>
      </w:pPr>
      <w:r w:rsidRPr="003F3D18">
        <w:rPr>
          <w:rFonts w:ascii="Verdana" w:eastAsia="Times New Roman" w:hAnsi="Verdana" w:cs="Arial"/>
          <w:color w:val="000000" w:themeColor="text1"/>
          <w:lang w:eastAsia="es-ES_tradnl"/>
        </w:rPr>
        <w:t>c) Presentar peticiones, denuncias, quejas y reclamos ante las autoridades competentes.</w:t>
      </w:r>
    </w:p>
    <w:p w14:paraId="524A95D0" w14:textId="77777777" w:rsidR="00C249D5" w:rsidRPr="003F3D18" w:rsidRDefault="00C249D5" w:rsidP="00C249D5">
      <w:pPr>
        <w:shd w:val="clear" w:color="auto" w:fill="FFFFFF"/>
        <w:spacing w:after="120" w:line="276" w:lineRule="auto"/>
        <w:ind w:firstLine="709"/>
        <w:jc w:val="both"/>
        <w:rPr>
          <w:rFonts w:ascii="Verdana" w:eastAsia="Times New Roman" w:hAnsi="Verdana" w:cs="Arial"/>
          <w:color w:val="000000" w:themeColor="text1"/>
          <w:lang w:eastAsia="es-ES_tradnl"/>
        </w:rPr>
      </w:pPr>
      <w:r w:rsidRPr="003F3D18">
        <w:rPr>
          <w:rFonts w:ascii="Verdana" w:eastAsia="Times New Roman" w:hAnsi="Verdana" w:cs="Arial"/>
          <w:color w:val="000000" w:themeColor="text1"/>
          <w:lang w:eastAsia="es-ES_tradnl"/>
        </w:rPr>
        <w:t>d) Presentar acciones populares en los términos de la Ley 472 de 1998;</w:t>
      </w:r>
    </w:p>
    <w:p w14:paraId="12623D08" w14:textId="77777777" w:rsidR="00C249D5" w:rsidRPr="003F3D18" w:rsidRDefault="00C249D5" w:rsidP="00C249D5">
      <w:pPr>
        <w:shd w:val="clear" w:color="auto" w:fill="FFFFFF"/>
        <w:spacing w:after="120" w:line="276" w:lineRule="auto"/>
        <w:ind w:firstLine="709"/>
        <w:jc w:val="both"/>
        <w:rPr>
          <w:rFonts w:ascii="Verdana" w:eastAsia="Times New Roman" w:hAnsi="Verdana" w:cs="Arial"/>
          <w:color w:val="000000" w:themeColor="text1"/>
          <w:lang w:eastAsia="es-ES_tradnl"/>
        </w:rPr>
      </w:pPr>
      <w:r w:rsidRPr="003F3D18">
        <w:rPr>
          <w:rFonts w:ascii="Verdana" w:eastAsia="Times New Roman" w:hAnsi="Verdana" w:cs="Arial"/>
          <w:color w:val="000000" w:themeColor="text1"/>
          <w:lang w:eastAsia="es-ES_tradnl"/>
        </w:rPr>
        <w:t>e) Presentar acciones de cumplimiento en los términos de la Ley 393 de 1997;</w:t>
      </w:r>
    </w:p>
    <w:p w14:paraId="5DCC2808" w14:textId="77777777" w:rsidR="00C249D5" w:rsidRPr="003F3D18" w:rsidRDefault="00C249D5" w:rsidP="00C249D5">
      <w:pPr>
        <w:shd w:val="clear" w:color="auto" w:fill="FFFFFF"/>
        <w:spacing w:after="120" w:line="276" w:lineRule="auto"/>
        <w:ind w:firstLine="709"/>
        <w:jc w:val="both"/>
        <w:rPr>
          <w:rFonts w:ascii="Verdana" w:eastAsia="Times New Roman" w:hAnsi="Verdana" w:cs="Arial"/>
          <w:color w:val="000000" w:themeColor="text1"/>
          <w:lang w:eastAsia="es-ES_tradnl"/>
        </w:rPr>
      </w:pPr>
      <w:r w:rsidRPr="003F3D18">
        <w:rPr>
          <w:rFonts w:ascii="Verdana" w:eastAsia="Times New Roman" w:hAnsi="Verdana" w:cs="Arial"/>
          <w:color w:val="000000" w:themeColor="text1"/>
          <w:lang w:eastAsia="es-ES_tradnl"/>
        </w:rPr>
        <w:t>f) Presentar Acciones de Tutela en los términos del Decreto número 2591 de 1991;</w:t>
      </w:r>
    </w:p>
    <w:p w14:paraId="7C28A9B9" w14:textId="77777777" w:rsidR="00C249D5" w:rsidRPr="003F3D18" w:rsidRDefault="00C249D5" w:rsidP="00C249D5">
      <w:pPr>
        <w:shd w:val="clear" w:color="auto" w:fill="FFFFFF"/>
        <w:spacing w:after="120" w:line="276" w:lineRule="auto"/>
        <w:ind w:firstLine="709"/>
        <w:jc w:val="both"/>
        <w:rPr>
          <w:rFonts w:ascii="Verdana" w:eastAsia="Times New Roman" w:hAnsi="Verdana" w:cs="Arial"/>
          <w:color w:val="000000" w:themeColor="text1"/>
          <w:lang w:eastAsia="es-ES_tradnl"/>
        </w:rPr>
      </w:pPr>
      <w:r w:rsidRPr="003F3D18">
        <w:rPr>
          <w:rFonts w:ascii="Verdana" w:eastAsia="Times New Roman" w:hAnsi="Verdana" w:cs="Arial"/>
          <w:color w:val="000000" w:themeColor="text1"/>
          <w:lang w:eastAsia="es-ES_tradnl"/>
        </w:rPr>
        <w:t>g) Participar en Audiencias Públicas ante los entes que las convoquen;</w:t>
      </w:r>
    </w:p>
    <w:p w14:paraId="3F0410D9" w14:textId="77777777" w:rsidR="00C249D5" w:rsidRPr="003F3D18" w:rsidRDefault="00C249D5" w:rsidP="00C249D5">
      <w:pPr>
        <w:shd w:val="clear" w:color="auto" w:fill="FFFFFF"/>
        <w:spacing w:after="120" w:line="276" w:lineRule="auto"/>
        <w:ind w:firstLine="709"/>
        <w:jc w:val="both"/>
        <w:rPr>
          <w:rFonts w:ascii="Verdana" w:eastAsia="Times New Roman" w:hAnsi="Verdana" w:cs="Arial"/>
          <w:color w:val="000000" w:themeColor="text1"/>
          <w:lang w:eastAsia="es-ES_tradnl"/>
        </w:rPr>
      </w:pPr>
      <w:r w:rsidRPr="003F3D18">
        <w:rPr>
          <w:rFonts w:ascii="Verdana" w:eastAsia="Times New Roman" w:hAnsi="Verdana" w:cs="Arial"/>
          <w:color w:val="000000" w:themeColor="text1"/>
          <w:lang w:eastAsia="es-ES_tradnl"/>
        </w:rPr>
        <w:t>h) Hacer uso de los recursos y acciones legales que se requieran para el desarrollo del control social.</w:t>
      </w:r>
    </w:p>
    <w:p w14:paraId="1A072B60" w14:textId="77777777" w:rsidR="00C249D5" w:rsidRPr="003F3D18" w:rsidRDefault="00C249D5" w:rsidP="009D6AB1">
      <w:pPr>
        <w:shd w:val="clear" w:color="auto" w:fill="FFFFFF"/>
        <w:spacing w:after="0" w:line="276" w:lineRule="auto"/>
        <w:ind w:firstLine="567"/>
        <w:jc w:val="both"/>
        <w:rPr>
          <w:rFonts w:ascii="Verdana" w:hAnsi="Verdana" w:cs="Arial"/>
          <w:color w:val="000000" w:themeColor="text1"/>
          <w:lang w:val="es-ES" w:eastAsia="es-ES_tradnl"/>
        </w:rPr>
      </w:pPr>
      <w:r w:rsidRPr="006B7553">
        <w:rPr>
          <w:rFonts w:ascii="Verdana" w:hAnsi="Verdana" w:cs="Arial"/>
          <w:color w:val="000000" w:themeColor="text1"/>
          <w:lang w:val="es-ES" w:eastAsia="es-ES_tradnl"/>
        </w:rPr>
        <w:t xml:space="preserve">En relación con este punto, las entidades públicas deberán garantizar el ejercicio del derecho al control social y facilitar el suministro de la información, como lo dispone el párrafo segundo del artículo 65 de la Ley 1757 de 2017, el cual establece: </w:t>
      </w:r>
    </w:p>
    <w:p w14:paraId="628ADF69" w14:textId="77777777" w:rsidR="009D6AB1" w:rsidRPr="003F3D18" w:rsidRDefault="009D6AB1" w:rsidP="00F9720B">
      <w:pPr>
        <w:shd w:val="clear" w:color="auto" w:fill="FFFFFF"/>
        <w:spacing w:after="0" w:line="276" w:lineRule="auto"/>
        <w:ind w:firstLine="567"/>
        <w:jc w:val="both"/>
        <w:rPr>
          <w:rFonts w:ascii="Verdana" w:hAnsi="Verdana" w:cs="Arial"/>
          <w:color w:val="000000" w:themeColor="text1"/>
          <w:lang w:val="es-ES" w:eastAsia="es-ES_tradnl"/>
        </w:rPr>
      </w:pPr>
    </w:p>
    <w:p w14:paraId="2017D3D9" w14:textId="77777777" w:rsidR="00C249D5" w:rsidRPr="0094372B" w:rsidRDefault="00C249D5" w:rsidP="00C249D5">
      <w:pPr>
        <w:pStyle w:val="Prrafodelista"/>
        <w:shd w:val="clear" w:color="auto" w:fill="FFFFFF"/>
        <w:spacing w:after="0" w:line="240" w:lineRule="auto"/>
        <w:ind w:left="709" w:right="709"/>
        <w:jc w:val="both"/>
        <w:rPr>
          <w:rFonts w:ascii="Verdana" w:eastAsia="Calibri" w:hAnsi="Verdana" w:cs="Arial"/>
          <w:color w:val="000000"/>
          <w:sz w:val="20"/>
          <w:szCs w:val="20"/>
        </w:rPr>
      </w:pPr>
      <w:r w:rsidRPr="0094372B">
        <w:rPr>
          <w:rFonts w:ascii="Verdana" w:eastAsia="Calibri" w:hAnsi="Verdana" w:cs="Arial"/>
          <w:color w:val="000000"/>
          <w:sz w:val="20"/>
          <w:szCs w:val="20"/>
        </w:rPr>
        <w:t>[…] las entidades del Estado y las entidades privadas que presten servicios públicos domiciliarios o realicen proyectos con recursos públicos deberán garantizar el ejercicio del derecho al control social. Para tal efecto, deberán entregar información relacionada con la prestación del servicio público domiciliario, el proyecto o el uso de los recursos públicos y de acuerdo con los objetivos perseguidos por el control social correspondiente, según sea el caso a los agentes de control para el ejercicio de su función y brindar las condiciones y las garantías necesarias a los ciudadanos, las organizaciones y redes para que puedan ejercer ese derecho.</w:t>
      </w:r>
    </w:p>
    <w:p w14:paraId="4D26FABB" w14:textId="77777777" w:rsidR="00C249D5" w:rsidRPr="006B7553" w:rsidRDefault="00C249D5" w:rsidP="00C249D5">
      <w:pPr>
        <w:pStyle w:val="Prrafodelista"/>
        <w:shd w:val="clear" w:color="auto" w:fill="FFFFFF"/>
        <w:spacing w:after="0" w:line="276" w:lineRule="auto"/>
        <w:ind w:left="0" w:right="709"/>
        <w:jc w:val="both"/>
        <w:rPr>
          <w:rFonts w:ascii="Verdana" w:eastAsia="Calibri" w:hAnsi="Verdana" w:cs="Arial"/>
          <w:color w:val="000000"/>
        </w:rPr>
      </w:pPr>
    </w:p>
    <w:p w14:paraId="6B6DBC09" w14:textId="77777777" w:rsidR="00C249D5" w:rsidRDefault="00C249D5" w:rsidP="00C249D5">
      <w:pPr>
        <w:shd w:val="clear" w:color="auto" w:fill="FFFFFF"/>
        <w:spacing w:after="120" w:line="276" w:lineRule="auto"/>
        <w:ind w:firstLine="567"/>
        <w:jc w:val="both"/>
        <w:rPr>
          <w:rFonts w:ascii="Verdana" w:hAnsi="Verdana" w:cs="Arial"/>
          <w:color w:val="000000" w:themeColor="text1"/>
          <w:lang w:val="es-ES" w:eastAsia="es-ES_tradnl"/>
        </w:rPr>
      </w:pPr>
      <w:r>
        <w:rPr>
          <w:rFonts w:ascii="Verdana" w:hAnsi="Verdana" w:cs="Arial"/>
          <w:color w:val="000000" w:themeColor="text1"/>
          <w:lang w:val="es-ES" w:eastAsia="es-ES_tradnl"/>
        </w:rPr>
        <w:t xml:space="preserve">De esta manera, si la veeduría ciudadana presenta observaciones a los documentos del proceso (fase precontractual) la entidad está en la obligación de dar respuesta a sus observaciones para el ejercicio y aplicación irrestricta del principio de transparencia de la contratación estatal. En este escenario, la administración una vez analizada las observaciones, procederá a acogerlas o no, siempre y cuando se otorgue respuesta de manera fundamentada sobre la decisión adoptada. Esta obligatoriedad se extiende en las etapas contractual y </w:t>
      </w:r>
      <w:proofErr w:type="spellStart"/>
      <w:r>
        <w:rPr>
          <w:rFonts w:ascii="Verdana" w:hAnsi="Verdana" w:cs="Arial"/>
          <w:color w:val="000000" w:themeColor="text1"/>
          <w:lang w:val="es-ES" w:eastAsia="es-ES_tradnl"/>
        </w:rPr>
        <w:t>postcontractual</w:t>
      </w:r>
      <w:proofErr w:type="spellEnd"/>
      <w:r>
        <w:rPr>
          <w:rFonts w:ascii="Verdana" w:hAnsi="Verdana" w:cs="Arial"/>
          <w:color w:val="000000" w:themeColor="text1"/>
          <w:lang w:val="es-ES" w:eastAsia="es-ES_tradnl"/>
        </w:rPr>
        <w:t xml:space="preserve">, dado que el ejercicio del control abarca la totalidad del proceso de contratación. </w:t>
      </w:r>
    </w:p>
    <w:p w14:paraId="6BD398E2" w14:textId="77777777" w:rsidR="00C249D5" w:rsidRDefault="00C249D5" w:rsidP="00C249D5">
      <w:pPr>
        <w:shd w:val="clear" w:color="auto" w:fill="FFFFFF"/>
        <w:spacing w:after="120" w:line="276" w:lineRule="auto"/>
        <w:ind w:firstLine="567"/>
        <w:jc w:val="both"/>
        <w:rPr>
          <w:rFonts w:ascii="Verdana" w:hAnsi="Verdana" w:cs="Arial"/>
          <w:color w:val="000000" w:themeColor="text1"/>
          <w:lang w:val="es-ES" w:eastAsia="es-ES_tradnl"/>
        </w:rPr>
      </w:pPr>
      <w:r w:rsidRPr="006B7553">
        <w:rPr>
          <w:rFonts w:ascii="Verdana" w:hAnsi="Verdana" w:cs="Arial"/>
          <w:color w:val="000000" w:themeColor="text1"/>
          <w:lang w:val="es-ES" w:eastAsia="es-ES_tradnl"/>
        </w:rPr>
        <w:t>Por último, teniendo en cuenta que el control social es un derecho y un deber ciudadano que autoriza y exige de estos participar de manera individual o colectiva en la vigilancia de la gestión pública y sus resultados, es preciso señalar que su ejercicio opera por ministerio de la Ley. Esto significa que no es necesaria su inclusión en el contrato estatal para que pueda realizarse. Basta con que la ciudadanía tenga acceso a la información respectiva, contemplada en las herramientas dispuestas para tal fin, para que puedan ejercer las funciones establecidas en las leyes que lo regulan. La participación podrá realizarse mediante el uso de los instrumentos de acción, tales como la intervención en audiencias públicas,</w:t>
      </w:r>
      <w:r>
        <w:rPr>
          <w:rFonts w:ascii="Verdana" w:hAnsi="Verdana" w:cs="Arial"/>
          <w:color w:val="000000" w:themeColor="text1"/>
          <w:lang w:val="es-ES" w:eastAsia="es-ES_tradnl"/>
        </w:rPr>
        <w:t xml:space="preserve"> observaciones,</w:t>
      </w:r>
      <w:r w:rsidRPr="006B7553">
        <w:rPr>
          <w:rFonts w:ascii="Verdana" w:hAnsi="Verdana" w:cs="Arial"/>
          <w:color w:val="000000" w:themeColor="text1"/>
          <w:lang w:val="es-ES" w:eastAsia="es-ES_tradnl"/>
        </w:rPr>
        <w:t xml:space="preserve"> requerimientos, peticiones, quejas, denuncias ante autoridades competentes, acciones de tutela y las demás acciones reglamentadas en la Ley.</w:t>
      </w:r>
    </w:p>
    <w:p w14:paraId="2F9CFA6F" w14:textId="77777777" w:rsidR="00C249D5" w:rsidRPr="003F3D18" w:rsidRDefault="00C249D5" w:rsidP="00C249D5">
      <w:pPr>
        <w:shd w:val="clear" w:color="auto" w:fill="FFFFFF"/>
        <w:spacing w:after="120" w:line="276" w:lineRule="auto"/>
        <w:ind w:firstLine="567"/>
        <w:jc w:val="both"/>
        <w:rPr>
          <w:rFonts w:ascii="Verdana" w:hAnsi="Verdana" w:cs="Arial"/>
          <w:color w:val="000000" w:themeColor="text1"/>
          <w:lang w:val="es-ES" w:eastAsia="es-ES_tradnl"/>
        </w:rPr>
      </w:pPr>
      <w:r w:rsidRPr="003F3D18">
        <w:rPr>
          <w:rFonts w:ascii="Verdana" w:hAnsi="Verdana" w:cs="Arial"/>
          <w:color w:val="000000" w:themeColor="text1"/>
          <w:lang w:val="es-ES" w:eastAsia="es-ES_tradnl"/>
        </w:rPr>
        <w:t xml:space="preserve">Dentro de este marco, la entidad contratante definirá en cada caso concreto lo relacionado con el tema objeto de consulta.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34403031" w14:textId="77777777" w:rsidR="00C249D5" w:rsidRPr="003F3D18" w:rsidRDefault="00C249D5" w:rsidP="00DF383D">
      <w:pPr>
        <w:shd w:val="clear" w:color="auto" w:fill="FFFFFF"/>
        <w:spacing w:after="0" w:line="276" w:lineRule="auto"/>
        <w:ind w:firstLine="567"/>
        <w:jc w:val="both"/>
        <w:rPr>
          <w:rFonts w:ascii="Verdana" w:hAnsi="Verdana" w:cs="Arial"/>
          <w:color w:val="000000" w:themeColor="text1"/>
          <w:lang w:val="es-ES" w:eastAsia="es-ES_tradnl"/>
        </w:rPr>
      </w:pPr>
      <w:r w:rsidRPr="003F3D18">
        <w:rPr>
          <w:rFonts w:ascii="Verdana" w:hAnsi="Verdana" w:cs="Arial"/>
          <w:color w:val="000000" w:themeColor="text1"/>
          <w:lang w:val="es-ES" w:eastAsia="es-ES_tradnl"/>
        </w:rPr>
        <w:t>Al margen de la explicación precedente debe advertirse que el análisis requerido para resolver problemas específicos en torno al AIU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ED42DAE" w14:textId="77777777" w:rsidR="00DF383D" w:rsidRPr="00DF383D" w:rsidRDefault="00DF383D" w:rsidP="00F9720B">
      <w:pPr>
        <w:shd w:val="clear" w:color="auto" w:fill="FFFFFF"/>
        <w:spacing w:after="0" w:line="276" w:lineRule="auto"/>
        <w:ind w:firstLine="567"/>
        <w:jc w:val="both"/>
        <w:rPr>
          <w:rFonts w:ascii="Verdana" w:hAnsi="Verdana" w:cs="Arial"/>
          <w:color w:val="000000" w:themeColor="text1"/>
          <w:lang w:val="es-ES" w:eastAsia="es-ES_tradnl"/>
        </w:rPr>
      </w:pPr>
    </w:p>
    <w:p w14:paraId="1D85A6AA" w14:textId="77777777" w:rsidR="00C249D5" w:rsidRPr="009E51D7" w:rsidRDefault="00C249D5" w:rsidP="00C249D5">
      <w:pPr>
        <w:tabs>
          <w:tab w:val="left" w:pos="142"/>
          <w:tab w:val="left" w:pos="284"/>
        </w:tabs>
        <w:spacing w:after="0" w:line="276" w:lineRule="auto"/>
        <w:jc w:val="both"/>
        <w:rPr>
          <w:rFonts w:ascii="Verdana" w:eastAsia="Century Gothic" w:hAnsi="Verdana" w:cs="Century Gothic"/>
          <w:b/>
          <w:bCs/>
        </w:rPr>
      </w:pPr>
      <w:r w:rsidRPr="009E51D7">
        <w:rPr>
          <w:rFonts w:ascii="Verdana" w:eastAsia="Calibri" w:hAnsi="Verdana" w:cs="Arial"/>
          <w:b/>
          <w:color w:val="000000" w:themeColor="text1"/>
        </w:rPr>
        <w:t xml:space="preserve">4. </w:t>
      </w:r>
      <w:r w:rsidRPr="009E51D7">
        <w:rPr>
          <w:rFonts w:ascii="Verdana" w:eastAsia="Century Gothic" w:hAnsi="Verdana" w:cs="Century Gothic"/>
          <w:b/>
          <w:bCs/>
        </w:rPr>
        <w:t>Referencias normativas, jurisprudenciales y otras fuentes:</w:t>
      </w:r>
    </w:p>
    <w:p w14:paraId="2B577996" w14:textId="77777777" w:rsidR="00C249D5" w:rsidRPr="00E5656D" w:rsidRDefault="00C249D5" w:rsidP="00C249D5">
      <w:pPr>
        <w:spacing w:after="0" w:line="276" w:lineRule="auto"/>
        <w:jc w:val="both"/>
        <w:rPr>
          <w:rFonts w:ascii="Verdana" w:eastAsia="Century Gothic" w:hAnsi="Verdana" w:cs="Century Gothic"/>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C249D5" w:rsidRPr="002D2C18" w14:paraId="03EA3C9D" w14:textId="77777777" w:rsidTr="007D4245">
        <w:trPr>
          <w:trHeight w:val="56"/>
          <w:jc w:val="center"/>
        </w:trPr>
        <w:tc>
          <w:tcPr>
            <w:tcW w:w="8647" w:type="dxa"/>
          </w:tcPr>
          <w:p w14:paraId="55E04150" w14:textId="77777777" w:rsidR="00C249D5" w:rsidRDefault="00C249D5" w:rsidP="00C249D5">
            <w:pPr>
              <w:pStyle w:val="Prrafodelista"/>
              <w:widowControl w:val="0"/>
              <w:numPr>
                <w:ilvl w:val="0"/>
                <w:numId w:val="17"/>
              </w:numPr>
              <w:autoSpaceDE w:val="0"/>
              <w:autoSpaceDN w:val="0"/>
              <w:spacing w:line="276" w:lineRule="auto"/>
              <w:jc w:val="both"/>
              <w:rPr>
                <w:rFonts w:ascii="Verdana" w:hAnsi="Verdana" w:cs="Arial"/>
                <w:lang w:eastAsia="es-ES"/>
              </w:rPr>
            </w:pPr>
            <w:r>
              <w:rPr>
                <w:rFonts w:ascii="Verdana" w:hAnsi="Verdana" w:cs="Arial"/>
              </w:rPr>
              <w:t>Constitución Política. Artículos 2, 270.</w:t>
            </w:r>
          </w:p>
          <w:p w14:paraId="17368164" w14:textId="77777777" w:rsidR="00C249D5" w:rsidRDefault="00C249D5" w:rsidP="00C249D5">
            <w:pPr>
              <w:pStyle w:val="Prrafodelista"/>
              <w:widowControl w:val="0"/>
              <w:numPr>
                <w:ilvl w:val="0"/>
                <w:numId w:val="17"/>
              </w:numPr>
              <w:autoSpaceDE w:val="0"/>
              <w:autoSpaceDN w:val="0"/>
              <w:spacing w:line="276" w:lineRule="auto"/>
              <w:jc w:val="both"/>
              <w:rPr>
                <w:rFonts w:ascii="Verdana" w:hAnsi="Verdana" w:cs="Arial"/>
                <w:lang w:eastAsia="es-ES"/>
              </w:rPr>
            </w:pPr>
            <w:r>
              <w:rPr>
                <w:rFonts w:ascii="Verdana" w:hAnsi="Verdana" w:cs="Arial"/>
              </w:rPr>
              <w:t>Ley 80 de 1993. Artículos, 23, 24, 25, 30, 66.</w:t>
            </w:r>
          </w:p>
          <w:p w14:paraId="210E9F50" w14:textId="77777777" w:rsidR="00C249D5" w:rsidRPr="00FE7515" w:rsidRDefault="00C249D5" w:rsidP="00C249D5">
            <w:pPr>
              <w:pStyle w:val="Prrafodelista"/>
              <w:widowControl w:val="0"/>
              <w:numPr>
                <w:ilvl w:val="0"/>
                <w:numId w:val="17"/>
              </w:numPr>
              <w:autoSpaceDE w:val="0"/>
              <w:autoSpaceDN w:val="0"/>
              <w:spacing w:line="276" w:lineRule="auto"/>
              <w:jc w:val="both"/>
              <w:rPr>
                <w:rFonts w:ascii="Verdana" w:hAnsi="Verdana" w:cs="Arial"/>
                <w:lang w:eastAsia="es-ES"/>
              </w:rPr>
            </w:pPr>
            <w:r w:rsidRPr="007A7CC1">
              <w:rPr>
                <w:rFonts w:ascii="Verdana" w:eastAsia="Times New Roman" w:hAnsi="Verdana" w:cs="Arial"/>
                <w:color w:val="000000" w:themeColor="text1"/>
                <w:lang w:eastAsia="es-ES_tradnl"/>
              </w:rPr>
              <w:t>Ley 850 del 2003</w:t>
            </w:r>
            <w:r>
              <w:rPr>
                <w:rFonts w:ascii="Verdana" w:eastAsia="Times New Roman" w:hAnsi="Verdana" w:cs="Arial"/>
                <w:color w:val="000000" w:themeColor="text1"/>
                <w:lang w:eastAsia="es-ES_tradnl"/>
              </w:rPr>
              <w:t>. Artículo 4.</w:t>
            </w:r>
          </w:p>
          <w:p w14:paraId="49028C90" w14:textId="77777777" w:rsidR="00C249D5" w:rsidRPr="00604248" w:rsidRDefault="00C249D5" w:rsidP="00C249D5">
            <w:pPr>
              <w:pStyle w:val="Prrafodelista"/>
              <w:widowControl w:val="0"/>
              <w:numPr>
                <w:ilvl w:val="0"/>
                <w:numId w:val="17"/>
              </w:numPr>
              <w:autoSpaceDE w:val="0"/>
              <w:autoSpaceDN w:val="0"/>
              <w:spacing w:line="276" w:lineRule="auto"/>
              <w:jc w:val="both"/>
              <w:rPr>
                <w:rFonts w:ascii="Verdana" w:hAnsi="Verdana" w:cs="Arial"/>
                <w:lang w:eastAsia="es-ES"/>
              </w:rPr>
            </w:pPr>
            <w:r>
              <w:rPr>
                <w:rFonts w:ascii="Verdana" w:eastAsia="Times New Roman" w:hAnsi="Verdana" w:cs="Arial"/>
                <w:color w:val="000000" w:themeColor="text1"/>
                <w:lang w:eastAsia="es-ES_tradnl"/>
              </w:rPr>
              <w:t>Ley 1150 de 2007. Artículo 8.</w:t>
            </w:r>
          </w:p>
          <w:p w14:paraId="01D75B9D" w14:textId="77777777" w:rsidR="00C249D5" w:rsidRPr="00FE7515" w:rsidRDefault="00C249D5" w:rsidP="00C249D5">
            <w:pPr>
              <w:pStyle w:val="Prrafodelista"/>
              <w:widowControl w:val="0"/>
              <w:numPr>
                <w:ilvl w:val="0"/>
                <w:numId w:val="17"/>
              </w:numPr>
              <w:autoSpaceDE w:val="0"/>
              <w:autoSpaceDN w:val="0"/>
              <w:spacing w:line="276" w:lineRule="auto"/>
              <w:jc w:val="both"/>
              <w:rPr>
                <w:rFonts w:ascii="Verdana" w:hAnsi="Verdana" w:cs="Arial"/>
                <w:lang w:eastAsia="es-ES"/>
              </w:rPr>
            </w:pPr>
            <w:r w:rsidRPr="007A7CC1">
              <w:rPr>
                <w:rFonts w:ascii="Verdana" w:eastAsia="Times New Roman" w:hAnsi="Verdana" w:cs="Arial"/>
                <w:color w:val="000000" w:themeColor="text1"/>
                <w:lang w:eastAsia="es-ES_tradnl"/>
              </w:rPr>
              <w:t>Ley 1757 de 2015</w:t>
            </w:r>
            <w:r>
              <w:rPr>
                <w:rFonts w:ascii="Verdana" w:eastAsia="Times New Roman" w:hAnsi="Verdana" w:cs="Arial"/>
                <w:color w:val="000000" w:themeColor="text1"/>
                <w:lang w:eastAsia="es-ES_tradnl"/>
              </w:rPr>
              <w:t>. Artículos 62, 64, 65.</w:t>
            </w:r>
          </w:p>
          <w:p w14:paraId="3DE24DB5" w14:textId="77777777" w:rsidR="00C249D5" w:rsidRPr="00FE7515" w:rsidRDefault="00C249D5" w:rsidP="00C249D5">
            <w:pPr>
              <w:pStyle w:val="Prrafodelista"/>
              <w:widowControl w:val="0"/>
              <w:numPr>
                <w:ilvl w:val="0"/>
                <w:numId w:val="17"/>
              </w:numPr>
              <w:autoSpaceDE w:val="0"/>
              <w:autoSpaceDN w:val="0"/>
              <w:spacing w:line="276" w:lineRule="auto"/>
              <w:jc w:val="both"/>
              <w:rPr>
                <w:rFonts w:ascii="Verdana" w:hAnsi="Verdana" w:cs="Arial"/>
                <w:lang w:eastAsia="es-ES"/>
              </w:rPr>
            </w:pPr>
            <w:r w:rsidRPr="00574318">
              <w:rPr>
                <w:rFonts w:ascii="Verdana" w:eastAsia="Batang" w:hAnsi="Verdana" w:cs="Arial"/>
                <w:color w:val="000000"/>
                <w:lang w:val="es-MX"/>
              </w:rPr>
              <w:t>Decreto 1082 de 2015</w:t>
            </w:r>
            <w:r>
              <w:rPr>
                <w:rFonts w:ascii="Verdana" w:eastAsia="Batang" w:hAnsi="Verdana" w:cs="Arial"/>
                <w:color w:val="000000"/>
                <w:lang w:val="es-MX"/>
              </w:rPr>
              <w:t xml:space="preserve">. Artículos </w:t>
            </w:r>
            <w:r w:rsidRPr="00574318">
              <w:rPr>
                <w:rFonts w:ascii="Verdana" w:eastAsia="Batang" w:hAnsi="Verdana" w:cs="Arial"/>
                <w:color w:val="000000"/>
                <w:lang w:val="es-MX"/>
              </w:rPr>
              <w:t>2.2.1.1.1.7.1</w:t>
            </w:r>
            <w:r>
              <w:rPr>
                <w:rFonts w:ascii="Verdana" w:eastAsia="Batang" w:hAnsi="Verdana" w:cs="Arial"/>
                <w:color w:val="000000"/>
                <w:lang w:val="es-MX"/>
              </w:rPr>
              <w:t xml:space="preserve">., </w:t>
            </w:r>
            <w:r w:rsidRPr="00574318">
              <w:rPr>
                <w:rFonts w:ascii="Verdana" w:eastAsia="Batang" w:hAnsi="Verdana" w:cs="Arial"/>
                <w:color w:val="000000"/>
                <w:lang w:val="es-MX"/>
              </w:rPr>
              <w:t>2.2.1.2.1.1.2</w:t>
            </w:r>
            <w:r>
              <w:rPr>
                <w:rFonts w:ascii="Verdana" w:eastAsia="Batang" w:hAnsi="Verdana" w:cs="Arial"/>
                <w:color w:val="000000"/>
                <w:lang w:val="es-MX"/>
              </w:rPr>
              <w:t xml:space="preserve">, </w:t>
            </w:r>
            <w:r w:rsidRPr="00574318">
              <w:rPr>
                <w:rFonts w:ascii="Verdana" w:eastAsia="Batang" w:hAnsi="Verdana" w:cs="Arial"/>
                <w:color w:val="000000"/>
                <w:lang w:val="es-MX"/>
              </w:rPr>
              <w:t>2.2.1.1.2.1.4</w:t>
            </w:r>
            <w:r>
              <w:rPr>
                <w:rFonts w:ascii="Verdana" w:eastAsia="Batang" w:hAnsi="Verdana" w:cs="Arial"/>
                <w:color w:val="000000"/>
                <w:lang w:val="es-MX"/>
              </w:rPr>
              <w:t xml:space="preserve">, </w:t>
            </w:r>
            <w:r w:rsidRPr="006B7553">
              <w:rPr>
                <w:rFonts w:ascii="Verdana" w:hAnsi="Verdana" w:cs="Arial"/>
                <w:color w:val="000000" w:themeColor="text1"/>
                <w:lang w:eastAsia="es-ES_tradnl"/>
              </w:rPr>
              <w:t>2.2.1.1.2.1.5</w:t>
            </w:r>
            <w:r>
              <w:rPr>
                <w:rFonts w:ascii="Verdana" w:hAnsi="Verdana" w:cs="Arial"/>
                <w:color w:val="000000" w:themeColor="text1"/>
                <w:lang w:eastAsia="es-ES_tradnl"/>
              </w:rPr>
              <w:t>.</w:t>
            </w:r>
          </w:p>
          <w:p w14:paraId="2DCBF106" w14:textId="77777777" w:rsidR="00C249D5" w:rsidRPr="00FE7515" w:rsidRDefault="00C249D5" w:rsidP="00F9720B">
            <w:pPr>
              <w:pStyle w:val="Prrafodelista"/>
              <w:numPr>
                <w:ilvl w:val="0"/>
                <w:numId w:val="17"/>
              </w:numPr>
              <w:spacing w:line="276" w:lineRule="auto"/>
              <w:jc w:val="both"/>
              <w:rPr>
                <w:rFonts w:ascii="Verdana" w:eastAsia="Times New Roman" w:hAnsi="Verdana" w:cs="Arial"/>
                <w:color w:val="000000" w:themeColor="text1"/>
                <w:lang w:eastAsia="es-ES_tradnl"/>
              </w:rPr>
            </w:pPr>
            <w:r w:rsidRPr="00FE7515">
              <w:rPr>
                <w:rFonts w:ascii="Verdana" w:hAnsi="Verdana" w:cs="Arial"/>
                <w:bCs/>
                <w:shd w:val="clear" w:color="auto" w:fill="FFFFFF"/>
                <w:lang w:val="es-CO"/>
              </w:rPr>
              <w:t>GUZMÁN SANTOS, José Camilo. Control social a la compra y la contratación pública. Fase de focalización. Módulo III. Contraloría General de la República, 2018</w:t>
            </w:r>
            <w:r w:rsidRPr="00FE7515">
              <w:rPr>
                <w:rFonts w:ascii="Verdana" w:eastAsia="Times New Roman" w:hAnsi="Verdana" w:cs="Arial"/>
                <w:color w:val="000000" w:themeColor="text1"/>
                <w:lang w:eastAsia="es-ES_tradnl"/>
              </w:rPr>
              <w:t>.</w:t>
            </w:r>
            <w:r w:rsidRPr="00FE7515">
              <w:rPr>
                <w:rFonts w:ascii="Verdana" w:hAnsi="Verdana" w:cs="Arial"/>
              </w:rPr>
              <w:t xml:space="preserve"> </w:t>
            </w:r>
          </w:p>
        </w:tc>
      </w:tr>
    </w:tbl>
    <w:p w14:paraId="4C2406CF" w14:textId="77777777" w:rsidR="00C249D5" w:rsidRDefault="00C249D5" w:rsidP="00C249D5">
      <w:pPr>
        <w:tabs>
          <w:tab w:val="left" w:pos="142"/>
          <w:tab w:val="left" w:pos="284"/>
          <w:tab w:val="left" w:pos="3828"/>
        </w:tabs>
        <w:spacing w:after="0" w:line="276" w:lineRule="auto"/>
        <w:jc w:val="both"/>
        <w:rPr>
          <w:rFonts w:ascii="Verdana" w:eastAsia="Century Gothic" w:hAnsi="Verdana" w:cs="Century Gothic"/>
          <w:b/>
          <w:bCs/>
        </w:rPr>
      </w:pPr>
    </w:p>
    <w:p w14:paraId="1D2620BF" w14:textId="77777777" w:rsidR="00C249D5" w:rsidRPr="0091091D" w:rsidRDefault="00C249D5" w:rsidP="00C249D5">
      <w:pPr>
        <w:tabs>
          <w:tab w:val="left" w:pos="142"/>
          <w:tab w:val="left" w:pos="284"/>
          <w:tab w:val="left" w:pos="3828"/>
        </w:tabs>
        <w:spacing w:after="0" w:line="276" w:lineRule="auto"/>
        <w:jc w:val="both"/>
        <w:rPr>
          <w:rFonts w:ascii="Verdana" w:eastAsia="Century Gothic" w:hAnsi="Verdana" w:cs="Century Gothic"/>
          <w:b/>
          <w:bCs/>
        </w:rPr>
      </w:pPr>
      <w:r w:rsidRPr="0091091D">
        <w:rPr>
          <w:rFonts w:ascii="Verdana" w:eastAsia="Century Gothic" w:hAnsi="Verdana" w:cs="Century Gothic"/>
          <w:b/>
          <w:bCs/>
        </w:rPr>
        <w:t>5. Doctrina de la Agencia Nacional de Contratación Pública:</w:t>
      </w:r>
    </w:p>
    <w:p w14:paraId="5AC3084A" w14:textId="77777777" w:rsidR="00C249D5" w:rsidRPr="007A3DD4" w:rsidRDefault="00C249D5" w:rsidP="00F9720B">
      <w:pPr>
        <w:widowControl w:val="0"/>
        <w:autoSpaceDE w:val="0"/>
        <w:autoSpaceDN w:val="0"/>
        <w:spacing w:after="0" w:line="276" w:lineRule="auto"/>
        <w:jc w:val="both"/>
        <w:rPr>
          <w:rStyle w:val="normaltextrun"/>
          <w:rFonts w:ascii="Verdana" w:hAnsi="Verdana" w:cs="Arial"/>
          <w:shd w:val="clear" w:color="auto" w:fill="FFFFFF"/>
        </w:rPr>
      </w:pPr>
    </w:p>
    <w:p w14:paraId="0721F4F9" w14:textId="77777777" w:rsidR="00C249D5" w:rsidRPr="0097743B" w:rsidRDefault="00C249D5" w:rsidP="00F9720B">
      <w:pPr>
        <w:spacing w:after="0" w:line="276" w:lineRule="auto"/>
        <w:jc w:val="both"/>
        <w:rPr>
          <w:rFonts w:ascii="Verdana" w:hAnsi="Verdana" w:cs="Arial"/>
          <w:highlight w:val="yellow"/>
          <w:shd w:val="clear" w:color="auto" w:fill="FFFFFF"/>
          <w:lang w:val="es-ES_tradnl"/>
        </w:rPr>
      </w:pPr>
      <w:r w:rsidRPr="00254D11">
        <w:rPr>
          <w:rFonts w:ascii="Verdana" w:hAnsi="Verdana" w:cs="Arial"/>
          <w:bCs/>
          <w:shd w:val="clear" w:color="auto" w:fill="FFFFFF"/>
        </w:rPr>
        <w:t xml:space="preserve">La Agencia Nacional de Contratación Pública – Colombia Compra Eficiente se ha pronunciado </w:t>
      </w:r>
      <w:r w:rsidRPr="00254D11">
        <w:rPr>
          <w:rStyle w:val="normaltextrun"/>
          <w:rFonts w:ascii="Verdana" w:hAnsi="Verdana" w:cs="Arial"/>
          <w:shd w:val="clear" w:color="auto" w:fill="FFFFFF"/>
          <w:lang w:val="es-ES_tradnl"/>
        </w:rPr>
        <w:t xml:space="preserve">sobre el control social de las veedurías ciudadanas en los conceptos </w:t>
      </w:r>
      <w:r w:rsidRPr="00254D11">
        <w:rPr>
          <w:rFonts w:ascii="Verdana" w:eastAsia="Times New Roman" w:hAnsi="Verdana" w:cs="Arial"/>
          <w:color w:val="000000" w:themeColor="text1"/>
          <w:lang w:val="es-ES" w:eastAsia="es-ES_tradnl"/>
        </w:rPr>
        <w:t xml:space="preserve">C-445 del 24 de julio de 2020, </w:t>
      </w:r>
      <w:r w:rsidRPr="00254D11">
        <w:rPr>
          <w:rFonts w:ascii="Verdana" w:eastAsia="Calibri" w:hAnsi="Verdana" w:cs="Arial"/>
          <w:color w:val="000000" w:themeColor="text1"/>
          <w:lang w:val="es-ES"/>
        </w:rPr>
        <w:t xml:space="preserve">C–753 del 28 de diciembre de 2020, </w:t>
      </w:r>
      <w:r w:rsidRPr="00254D11">
        <w:rPr>
          <w:rFonts w:ascii="Verdana" w:eastAsia="Calibri" w:hAnsi="Verdana" w:cs="Arial"/>
          <w:bCs/>
          <w:lang w:eastAsia="es-ES_tradnl"/>
        </w:rPr>
        <w:t>C–886 26 de diciembre de 2022</w:t>
      </w:r>
      <w:r w:rsidRPr="00254D11">
        <w:rPr>
          <w:rFonts w:ascii="Verdana" w:eastAsia="Times New Roman" w:hAnsi="Verdana" w:cs="Arial"/>
          <w:color w:val="000000" w:themeColor="text1"/>
          <w:lang w:val="es-ES" w:eastAsia="es-ES_tradnl"/>
        </w:rPr>
        <w:t xml:space="preserve">, C-1046 del 12 de noviembre de 2025, entre otros. </w:t>
      </w:r>
      <w:r w:rsidRPr="00254D11">
        <w:rPr>
          <w:rFonts w:ascii="Verdana" w:hAnsi="Verdana" w:cs="Arial"/>
        </w:rPr>
        <w:t xml:space="preserve">Estos y otros </w:t>
      </w:r>
      <w:r w:rsidRPr="00254D11">
        <w:rPr>
          <w:rFonts w:ascii="Verdana" w:hAnsi="Verdana"/>
        </w:rPr>
        <w:t>conceptos se encuentran disponibles para consulta en el Sistema de</w:t>
      </w:r>
      <w:r w:rsidRPr="00185290">
        <w:rPr>
          <w:rFonts w:ascii="Verdana" w:hAnsi="Verdana"/>
        </w:rPr>
        <w:t xml:space="preserve"> relatoría de la Agencia, al cual se puede acceder a través del siguiente enlace:</w:t>
      </w:r>
      <w:r w:rsidRPr="00185290">
        <w:rPr>
          <w:rFonts w:ascii="Verdana" w:hAnsi="Verdana" w:cs="Arial"/>
          <w:shd w:val="clear" w:color="auto" w:fill="FFFFFF"/>
        </w:rPr>
        <w:t xml:space="preserve"> </w:t>
      </w:r>
      <w:hyperlink r:id="rId12" w:history="1">
        <w:r w:rsidRPr="00185290">
          <w:rPr>
            <w:rFonts w:ascii="Verdana" w:hAnsi="Verdana" w:cs="Arial"/>
            <w:color w:val="0563C1" w:themeColor="hyperlink"/>
            <w:u w:val="single"/>
            <w:shd w:val="clear" w:color="auto" w:fill="FFFFFF"/>
          </w:rPr>
          <w:t>https://relatoria.colombiacompra.gov.co/busqueda/conceptos</w:t>
        </w:r>
      </w:hyperlink>
      <w:r w:rsidRPr="00185290">
        <w:rPr>
          <w:rFonts w:ascii="Verdana" w:hAnsi="Verdana" w:cs="Arial"/>
          <w:shd w:val="clear" w:color="auto" w:fill="FFFFFF"/>
        </w:rPr>
        <w:t>.</w:t>
      </w:r>
      <w:r w:rsidRPr="00185290">
        <w:rPr>
          <w:rFonts w:ascii="Verdana" w:hAnsi="Verdana" w:cs="Arial"/>
          <w:color w:val="FF0000"/>
          <w:shd w:val="clear" w:color="auto" w:fill="FFFFFF"/>
        </w:rPr>
        <w:t xml:space="preserve"> </w:t>
      </w:r>
    </w:p>
    <w:p w14:paraId="3CBFB220" w14:textId="77777777" w:rsidR="00C249D5" w:rsidRPr="00F9720B" w:rsidRDefault="00C249D5" w:rsidP="00F9720B">
      <w:pPr>
        <w:widowControl w:val="0"/>
        <w:autoSpaceDE w:val="0"/>
        <w:autoSpaceDN w:val="0"/>
        <w:spacing w:after="0" w:line="276" w:lineRule="auto"/>
        <w:jc w:val="both"/>
        <w:rPr>
          <w:rFonts w:ascii="Verdana" w:hAnsi="Verdana"/>
        </w:rPr>
      </w:pPr>
      <w:r w:rsidRPr="00185290">
        <w:rPr>
          <w:rFonts w:ascii="Verdana" w:hAnsi="Verdana"/>
        </w:rPr>
        <w:t>La sostenibilidad no es una opción, es una obligación. Por ello, la Agencia Nacional de Contratación Pública –Colombia Compra Eficiente</w:t>
      </w:r>
      <w:r w:rsidRPr="009A385A">
        <w:rPr>
          <w:rFonts w:ascii="Verdana" w:hAnsi="Verdana"/>
        </w:rPr>
        <w:t xml:space="preserv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8746BD">
          <w:rPr>
            <w:rStyle w:val="Hipervnculo"/>
            <w:rFonts w:ascii="Verdana" w:hAnsi="Verdana"/>
          </w:rPr>
          <w:t>https://formacionvirtual.colombiacompra.gov.co/mod/page/view.php?id=3718</w:t>
        </w:r>
      </w:hyperlink>
    </w:p>
    <w:p w14:paraId="21213BE9" w14:textId="77777777" w:rsidR="00C249D5" w:rsidRPr="00F9720B" w:rsidRDefault="00C249D5" w:rsidP="00F9720B">
      <w:pPr>
        <w:widowControl w:val="0"/>
        <w:autoSpaceDE w:val="0"/>
        <w:autoSpaceDN w:val="0"/>
        <w:spacing w:after="0" w:line="276" w:lineRule="auto"/>
        <w:jc w:val="both"/>
        <w:rPr>
          <w:rFonts w:ascii="Verdana" w:hAnsi="Verdana"/>
        </w:rPr>
      </w:pPr>
    </w:p>
    <w:p w14:paraId="13041BA9" w14:textId="77777777" w:rsidR="00C249D5" w:rsidRDefault="00C249D5" w:rsidP="00F9720B">
      <w:pPr>
        <w:widowControl w:val="0"/>
        <w:autoSpaceDE w:val="0"/>
        <w:autoSpaceDN w:val="0"/>
        <w:spacing w:after="0" w:line="276" w:lineRule="auto"/>
        <w:jc w:val="both"/>
        <w:rPr>
          <w:rStyle w:val="Hipervnculo"/>
          <w:rFonts w:ascii="Verdana" w:hAnsi="Verdana" w:cs="Arial"/>
          <w:color w:val="auto"/>
          <w:u w:val="none"/>
          <w:shd w:val="clear" w:color="auto" w:fill="FFFFFF"/>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da</w:t>
      </w:r>
      <w:r>
        <w:rPr>
          <w:rFonts w:ascii="Verdana" w:hAnsi="Verdana"/>
        </w:rPr>
        <w:t>do</w:t>
      </w:r>
      <w:r w:rsidRPr="00635F16">
        <w:rPr>
          <w:rFonts w:ascii="Verdana" w:hAnsi="Verdana"/>
        </w:rPr>
        <w:t xml:space="preserve">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0E1EA7">
        <w:rPr>
          <w:rFonts w:ascii="Verdana" w:hAnsi="Verdana"/>
          <w:b/>
          <w:bCs/>
        </w:rPr>
        <w:t>Resoluciones 539, 540, 541, 952 y 953 de 2025</w:t>
      </w:r>
      <w:r w:rsidRPr="000E1EA7">
        <w:rPr>
          <w:rFonts w:ascii="Verdana" w:hAnsi="Verdana"/>
        </w:rPr>
        <w:t xml:space="preserve">, </w:t>
      </w:r>
      <w:r w:rsidRPr="000E1EA7">
        <w:rPr>
          <w:rFonts w:ascii="Verdana" w:hAnsi="Verdana"/>
          <w:b/>
          <w:bCs/>
        </w:rPr>
        <w:t>mediante las cuales adoptó Documentos Tipo</w:t>
      </w:r>
      <w:r w:rsidRPr="000E1EA7">
        <w:rPr>
          <w:rFonts w:ascii="Verdana" w:hAnsi="Verdana"/>
        </w:rPr>
        <w:t xml:space="preserve"> para las modalidades de selección de</w:t>
      </w:r>
      <w:r w:rsidRPr="000E1EA7">
        <w:rPr>
          <w:rFonts w:ascii="Verdana" w:hAnsi="Verdana"/>
          <w:b/>
          <w:bCs/>
        </w:rPr>
        <w:t xml:space="preserve"> licitación pública (versión 2), selección abreviada de menor cuantía, mínima cuantía, consultoría e interventoría</w:t>
      </w:r>
      <w:r w:rsidRPr="000E1EA7">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0E1EA7">
          <w:rPr>
            <w:rStyle w:val="Hipervnculo"/>
            <w:rFonts w:ascii="Verdana" w:hAnsi="Verdana"/>
          </w:rPr>
          <w:t>https://www.colombiacompra.gov.co/normativa-y-relatoria/documentos-tipo</w:t>
        </w:r>
      </w:hyperlink>
    </w:p>
    <w:p w14:paraId="1FA5D6D9" w14:textId="77777777" w:rsidR="00C249D5" w:rsidRDefault="00C249D5" w:rsidP="00F9720B">
      <w:pPr>
        <w:widowControl w:val="0"/>
        <w:autoSpaceDE w:val="0"/>
        <w:autoSpaceDN w:val="0"/>
        <w:spacing w:after="0" w:line="276" w:lineRule="auto"/>
        <w:jc w:val="both"/>
        <w:rPr>
          <w:rStyle w:val="Hipervnculo"/>
          <w:rFonts w:ascii="Verdana" w:hAnsi="Verdana" w:cs="Arial"/>
          <w:color w:val="auto"/>
          <w:u w:val="none"/>
          <w:shd w:val="clear" w:color="auto" w:fill="FFFFFF"/>
        </w:rPr>
      </w:pPr>
    </w:p>
    <w:p w14:paraId="382FFC01" w14:textId="77777777" w:rsidR="00C249D5" w:rsidRDefault="00C249D5" w:rsidP="00DF383D">
      <w:pPr>
        <w:widowControl w:val="0"/>
        <w:autoSpaceDE w:val="0"/>
        <w:autoSpaceDN w:val="0"/>
        <w:spacing w:after="0" w:line="276" w:lineRule="auto"/>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8746BD">
        <w:rPr>
          <w:rFonts w:ascii="Verdana" w:hAnsi="Verdana"/>
        </w:rPr>
        <w:t>Además se incluyeron lineamientos que orientan la implementación de los criterios ambientales y sociales incluidos en los documentos tipo: Consulta la guía aquí:</w:t>
      </w:r>
      <w:r w:rsidRPr="008746BD">
        <w:rPr>
          <w:rFonts w:ascii="Verdana" w:hAnsi="Verdana"/>
        </w:rPr>
        <w:br/>
      </w:r>
      <w:hyperlink r:id="rId15" w:tgtFrame="_new" w:history="1">
        <w:r w:rsidRPr="008746BD">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2512F79D" w14:textId="77777777" w:rsidR="00DF383D" w:rsidRPr="00DF383D" w:rsidRDefault="00DF383D" w:rsidP="00F9720B">
      <w:pPr>
        <w:widowControl w:val="0"/>
        <w:autoSpaceDE w:val="0"/>
        <w:autoSpaceDN w:val="0"/>
        <w:spacing w:after="0" w:line="276" w:lineRule="auto"/>
        <w:jc w:val="both"/>
        <w:rPr>
          <w:rStyle w:val="Hipervnculo"/>
          <w:rFonts w:ascii="Verdana" w:hAnsi="Verdana" w:cs="Arial"/>
          <w:color w:val="auto"/>
          <w:u w:val="none"/>
          <w:shd w:val="clear" w:color="auto" w:fill="FFFFFF"/>
        </w:rPr>
      </w:pPr>
    </w:p>
    <w:p w14:paraId="23E37C8B" w14:textId="77777777" w:rsidR="00C249D5" w:rsidRDefault="00C249D5" w:rsidP="00DF383D">
      <w:pPr>
        <w:widowControl w:val="0"/>
        <w:autoSpaceDE w:val="0"/>
        <w:autoSpaceDN w:val="0"/>
        <w:spacing w:after="0" w:line="276" w:lineRule="auto"/>
        <w:jc w:val="both"/>
        <w:rPr>
          <w:rFonts w:ascii="Verdana" w:hAnsi="Verdana"/>
        </w:rPr>
      </w:pPr>
      <w:r w:rsidRPr="001A68FB">
        <w:rPr>
          <w:rFonts w:ascii="Verdana" w:hAnsi="Verdana"/>
        </w:rPr>
        <w:t>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w:t>
      </w:r>
      <w:r w:rsidRPr="00116940">
        <w:rPr>
          <w:rFonts w:ascii="Verdana" w:hAnsi="Verdana"/>
        </w:rPr>
        <w:t xml:space="preserve"> </w:t>
      </w:r>
    </w:p>
    <w:p w14:paraId="384C1AA2" w14:textId="77777777" w:rsidR="00DF383D" w:rsidRPr="00DF383D" w:rsidRDefault="00DF383D" w:rsidP="00F9720B">
      <w:pPr>
        <w:widowControl w:val="0"/>
        <w:autoSpaceDE w:val="0"/>
        <w:autoSpaceDN w:val="0"/>
        <w:spacing w:after="0" w:line="276" w:lineRule="auto"/>
        <w:jc w:val="both"/>
        <w:rPr>
          <w:rFonts w:ascii="Verdana" w:hAnsi="Verdana" w:cs="Arial"/>
        </w:rPr>
      </w:pPr>
    </w:p>
    <w:p w14:paraId="692DB397" w14:textId="77777777" w:rsidR="00C249D5" w:rsidRPr="00116940" w:rsidRDefault="00C249D5" w:rsidP="00C249D5">
      <w:pPr>
        <w:pStyle w:val="Prrafodelista"/>
        <w:numPr>
          <w:ilvl w:val="0"/>
          <w:numId w:val="15"/>
        </w:numPr>
        <w:spacing w:after="0" w:line="276" w:lineRule="auto"/>
        <w:contextualSpacing w:val="0"/>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194F928E" w14:textId="77777777" w:rsidR="00C249D5" w:rsidRPr="00116940" w:rsidRDefault="00C249D5" w:rsidP="00C249D5">
      <w:pPr>
        <w:pStyle w:val="Prrafodelista"/>
        <w:numPr>
          <w:ilvl w:val="0"/>
          <w:numId w:val="15"/>
        </w:numPr>
        <w:spacing w:after="0" w:line="276" w:lineRule="auto"/>
        <w:contextualSpacing w:val="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1CB61E3D" w14:textId="77777777" w:rsidR="00C249D5" w:rsidRPr="00116940" w:rsidRDefault="00C249D5" w:rsidP="00C249D5">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6">
        <w:r w:rsidRPr="00116940">
          <w:rPr>
            <w:rStyle w:val="Hipervnculo"/>
            <w:rFonts w:ascii="Verdana" w:eastAsia="Verdana" w:hAnsi="Verdana" w:cs="Verdana"/>
            <w:lang w:val="es-MX"/>
          </w:rPr>
          <w:t>ventanilladeradicacion@colombiacompra.gov.co</w:t>
        </w:r>
      </w:hyperlink>
    </w:p>
    <w:p w14:paraId="11B2DD09" w14:textId="77777777" w:rsidR="00C249D5" w:rsidRPr="00116940" w:rsidRDefault="00C249D5" w:rsidP="00C249D5">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7">
        <w:r w:rsidRPr="00116940">
          <w:rPr>
            <w:rStyle w:val="Hipervnculo"/>
            <w:rFonts w:ascii="Verdana" w:eastAsia="Verdana" w:hAnsi="Verdana" w:cs="Verdana"/>
            <w:lang w:val="es-MX"/>
          </w:rPr>
          <w:t>https://www.colombiacompra.gov.co/pqrsd/informacion-importante-antes-de-formular-una-pqrsd</w:t>
        </w:r>
      </w:hyperlink>
    </w:p>
    <w:p w14:paraId="15D651B4" w14:textId="77777777" w:rsidR="00C249D5" w:rsidRDefault="00C249D5" w:rsidP="00C249D5">
      <w:pPr>
        <w:spacing w:after="0" w:line="276" w:lineRule="auto"/>
        <w:jc w:val="both"/>
        <w:rPr>
          <w:rFonts w:ascii="Verdana" w:hAnsi="Verdana"/>
        </w:rPr>
      </w:pPr>
    </w:p>
    <w:p w14:paraId="5A09190A" w14:textId="77777777" w:rsidR="00C249D5" w:rsidRDefault="00C249D5" w:rsidP="00C249D5">
      <w:pPr>
        <w:spacing w:after="0" w:line="276" w:lineRule="auto"/>
        <w:jc w:val="both"/>
        <w:rPr>
          <w:rFonts w:ascii="Verdana" w:hAnsi="Verdana"/>
        </w:rPr>
      </w:pPr>
      <w:r w:rsidRPr="00116940">
        <w:rPr>
          <w:rFonts w:ascii="Verdana" w:hAnsi="Verdana"/>
        </w:rPr>
        <w:t>Evalúa el servicio que ofrece la Agencia por el canal de atención de PQRSD en el siguiente enlace:</w:t>
      </w:r>
      <w:r>
        <w:rPr>
          <w:rFonts w:ascii="Verdana" w:hAnsi="Verdana"/>
        </w:rPr>
        <w:t xml:space="preserve"> </w:t>
      </w:r>
      <w:hyperlink r:id="rId18" w:history="1">
        <w:r w:rsidRPr="008746BD">
          <w:rPr>
            <w:rStyle w:val="Hipervnculo"/>
            <w:rFonts w:ascii="Verdana" w:eastAsia="Verdana" w:hAnsi="Verdana" w:cs="Verdana"/>
            <w:lang w:val="es-MX"/>
          </w:rPr>
          <w:t>https://forms.office.com/r/pPHyWVs2SZ</w:t>
        </w:r>
      </w:hyperlink>
      <w:r w:rsidRPr="008746BD">
        <w:rPr>
          <w:rStyle w:val="Hipervnculo"/>
          <w:rFonts w:ascii="Verdana" w:eastAsia="Verdana" w:hAnsi="Verdana" w:cs="Verdana"/>
          <w:lang w:val="es-MX"/>
        </w:rPr>
        <w:t>.</w:t>
      </w:r>
      <w:r>
        <w:rPr>
          <w:rFonts w:ascii="Verdana" w:hAnsi="Verdana"/>
        </w:rPr>
        <w:t xml:space="preserve"> </w:t>
      </w:r>
      <w:r w:rsidRPr="00116940">
        <w:rPr>
          <w:rFonts w:ascii="Verdana" w:hAnsi="Verdana"/>
        </w:rPr>
        <w:t>¡Ayúdanos a mejorar porque el compromiso es de todos!</w:t>
      </w:r>
    </w:p>
    <w:p w14:paraId="2A128CBF" w14:textId="77777777" w:rsidR="00C249D5" w:rsidRDefault="00C249D5" w:rsidP="00F9720B">
      <w:pPr>
        <w:spacing w:after="0" w:line="276" w:lineRule="auto"/>
        <w:jc w:val="both"/>
        <w:rPr>
          <w:rFonts w:ascii="Verdana" w:hAnsi="Verdana"/>
        </w:rPr>
      </w:pPr>
    </w:p>
    <w:p w14:paraId="24AE3562" w14:textId="77777777" w:rsidR="00C249D5" w:rsidRPr="00116940" w:rsidRDefault="00C249D5" w:rsidP="00C249D5">
      <w:pPr>
        <w:spacing w:after="0" w:line="276"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4A42BAB5" w14:textId="77777777" w:rsidR="00C249D5" w:rsidRPr="008746BD" w:rsidRDefault="00C249D5" w:rsidP="00F9720B">
      <w:pPr>
        <w:spacing w:after="0" w:line="276" w:lineRule="auto"/>
        <w:jc w:val="both"/>
        <w:rPr>
          <w:rFonts w:ascii="Verdana" w:hAnsi="Verdana"/>
        </w:rPr>
      </w:pPr>
    </w:p>
    <w:p w14:paraId="7D017DE1" w14:textId="77777777" w:rsidR="00C249D5" w:rsidRPr="00116940" w:rsidRDefault="00C249D5" w:rsidP="00C249D5">
      <w:pPr>
        <w:spacing w:after="0" w:line="276"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3D470F8F" w14:textId="77777777" w:rsidR="00C249D5" w:rsidRPr="00116940" w:rsidRDefault="00C249D5" w:rsidP="00C249D5">
      <w:pPr>
        <w:spacing w:after="0" w:line="276"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6A2CAD4D" w14:textId="77777777" w:rsidR="00C249D5" w:rsidRPr="00116940" w:rsidRDefault="00C249D5" w:rsidP="00C249D5">
      <w:pPr>
        <w:spacing w:after="0" w:line="276"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4F014055" w14:textId="77777777" w:rsidR="00C249D5" w:rsidRPr="00F9720B" w:rsidRDefault="00C249D5" w:rsidP="00C249D5">
      <w:pPr>
        <w:spacing w:after="0" w:line="276" w:lineRule="auto"/>
        <w:jc w:val="both"/>
        <w:rPr>
          <w:rFonts w:ascii="Verdana" w:eastAsia="Century Gothic" w:hAnsi="Verdana" w:cs="Century Gothic"/>
          <w:lang w:val="es-ES" w:eastAsia="es-ES_tradnl"/>
        </w:rPr>
      </w:pPr>
    </w:p>
    <w:p w14:paraId="7E0DE327" w14:textId="77777777" w:rsidR="00C249D5" w:rsidRPr="00842775" w:rsidRDefault="00C249D5" w:rsidP="00F9720B">
      <w:pPr>
        <w:spacing w:after="0" w:line="276" w:lineRule="auto"/>
        <w:jc w:val="both"/>
        <w:rPr>
          <w:rFonts w:ascii="Verdana" w:hAnsi="Verdana"/>
          <w:lang w:val="es-MX"/>
        </w:rPr>
      </w:pPr>
      <w:r w:rsidRPr="00842775">
        <w:rPr>
          <w:rFonts w:ascii="Verdana" w:eastAsia="Century Gothic" w:hAnsi="Verdana" w:cs="Century Gothic"/>
          <w:lang w:val="es-ES" w:eastAsia="es-ES_tradn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r>
        <w:rPr>
          <w:rFonts w:ascii="Verdana" w:eastAsia="Century Gothic" w:hAnsi="Verdana" w:cs="Century Gothic"/>
          <w:lang w:val="es-ES" w:eastAsia="es-ES_tradnl"/>
        </w:rPr>
        <w:t>.</w:t>
      </w:r>
    </w:p>
    <w:p w14:paraId="75D04D0B" w14:textId="77777777" w:rsidR="00C249D5" w:rsidRDefault="00C249D5" w:rsidP="00C249D5">
      <w:pPr>
        <w:spacing w:after="0" w:line="276" w:lineRule="auto"/>
        <w:jc w:val="both"/>
        <w:rPr>
          <w:rFonts w:ascii="Verdana" w:hAnsi="Verdana"/>
          <w:lang w:val="es-MX"/>
        </w:rPr>
      </w:pPr>
    </w:p>
    <w:p w14:paraId="5328A531" w14:textId="77777777" w:rsidR="00C249D5" w:rsidRPr="00330029" w:rsidRDefault="00C249D5" w:rsidP="00C249D5">
      <w:pPr>
        <w:spacing w:after="0" w:line="276" w:lineRule="auto"/>
        <w:jc w:val="both"/>
        <w:rPr>
          <w:rFonts w:ascii="Verdana" w:hAnsi="Verdana"/>
          <w:lang w:val="es-MX"/>
        </w:rPr>
      </w:pPr>
      <w:r w:rsidRPr="00E02524">
        <w:rPr>
          <w:rFonts w:ascii="Verdana" w:hAnsi="Verdana"/>
          <w:lang w:val="es-MX"/>
        </w:rPr>
        <w:t>Cordialmente,</w:t>
      </w:r>
    </w:p>
    <w:p w14:paraId="59562EED" w14:textId="13B015E4" w:rsidR="00C249D5" w:rsidRDefault="00C249D5" w:rsidP="00F9720B">
      <w:pPr>
        <w:spacing w:after="0" w:line="276" w:lineRule="auto"/>
        <w:jc w:val="center"/>
        <w:rPr>
          <w:rFonts w:ascii="Verdana" w:eastAsia="Calibri" w:hAnsi="Verdana" w:cs="Times New Roman"/>
        </w:rPr>
      </w:pPr>
    </w:p>
    <w:p w14:paraId="5A532A0A" w14:textId="4F7B63B4" w:rsidR="00C249D5" w:rsidRDefault="00D96CD3" w:rsidP="00C249D5">
      <w:pPr>
        <w:spacing w:after="0" w:line="256" w:lineRule="auto"/>
        <w:jc w:val="center"/>
        <w:rPr>
          <w:rFonts w:ascii="Verdana" w:eastAsia="Calibri" w:hAnsi="Verdana" w:cs="Times New Roman"/>
        </w:rPr>
      </w:pPr>
      <w:r w:rsidRPr="0065791A">
        <w:rPr>
          <w:rFonts w:ascii="Century Gothic" w:hAnsi="Century Gothic"/>
          <w:noProof/>
        </w:rPr>
        <w:drawing>
          <wp:inline distT="0" distB="0" distL="0" distR="0" wp14:anchorId="4BACC9C8" wp14:editId="6452D997">
            <wp:extent cx="3698987" cy="1742792"/>
            <wp:effectExtent l="0" t="0" r="0" b="0"/>
            <wp:docPr id="119417683" name="Imagen 1" descr="Interfaz de usuario gráfica, Texto,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7683" name="Imagen 1" descr="Interfaz de usuario gráfica, Texto, Aplicación&#10;&#10;Descripción generada automáticamente con confianza media"/>
                    <pic:cNvPicPr/>
                  </pic:nvPicPr>
                  <pic:blipFill>
                    <a:blip r:embed="rId19"/>
                    <a:stretch>
                      <a:fillRect/>
                    </a:stretch>
                  </pic:blipFill>
                  <pic:spPr>
                    <a:xfrm>
                      <a:off x="0" y="0"/>
                      <a:ext cx="3728465" cy="1756681"/>
                    </a:xfrm>
                    <a:prstGeom prst="rect">
                      <a:avLst/>
                    </a:prstGeom>
                  </pic:spPr>
                </pic:pic>
              </a:graphicData>
            </a:graphic>
          </wp:inline>
        </w:drawing>
      </w:r>
    </w:p>
    <w:p w14:paraId="277C81EC" w14:textId="77777777" w:rsidR="00D96CD3" w:rsidRDefault="00D96CD3" w:rsidP="00C249D5">
      <w:pPr>
        <w:spacing w:after="0" w:line="256" w:lineRule="auto"/>
        <w:jc w:val="center"/>
        <w:rPr>
          <w:rFonts w:ascii="Verdana" w:eastAsia="Calibri" w:hAnsi="Verdana" w:cs="Times New Roman"/>
        </w:rPr>
      </w:pPr>
    </w:p>
    <w:p w14:paraId="6FC0B8B8" w14:textId="77777777" w:rsidR="00D96CD3" w:rsidRDefault="00D96CD3" w:rsidP="00D96CD3">
      <w:pPr>
        <w:spacing w:after="0" w:line="256" w:lineRule="auto"/>
        <w:rPr>
          <w:rFonts w:ascii="Verdana" w:eastAsia="Calibri" w:hAnsi="Verdana" w:cs="Times New Roman"/>
        </w:rPr>
      </w:pPr>
    </w:p>
    <w:tbl>
      <w:tblPr>
        <w:tblStyle w:val="Tablaconcuadrcula"/>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061"/>
      </w:tblGrid>
      <w:tr w:rsidR="00C249D5" w:rsidRPr="00C9162A" w14:paraId="6485537D" w14:textId="77777777" w:rsidTr="007D4245">
        <w:trPr>
          <w:trHeight w:val="288"/>
        </w:trPr>
        <w:tc>
          <w:tcPr>
            <w:tcW w:w="893" w:type="dxa"/>
            <w:vAlign w:val="center"/>
            <w:hideMark/>
          </w:tcPr>
          <w:p w14:paraId="4380A9B5" w14:textId="77777777" w:rsidR="00C249D5" w:rsidRPr="00C9162A" w:rsidRDefault="00C249D5" w:rsidP="007D4245">
            <w:pPr>
              <w:contextualSpacing/>
              <w:rPr>
                <w:rFonts w:ascii="Verdana" w:hAnsi="Verdana" w:cs="Arial"/>
                <w:sz w:val="14"/>
                <w:szCs w:val="14"/>
                <w:lang w:eastAsia="es-ES"/>
              </w:rPr>
            </w:pPr>
            <w:r w:rsidRPr="00C9162A">
              <w:rPr>
                <w:rFonts w:ascii="Verdana" w:hAnsi="Verdana" w:cs="Arial"/>
                <w:sz w:val="14"/>
                <w:szCs w:val="14"/>
                <w:lang w:eastAsia="es-ES"/>
              </w:rPr>
              <w:t>Elaboró:</w:t>
            </w:r>
          </w:p>
        </w:tc>
        <w:tc>
          <w:tcPr>
            <w:tcW w:w="5061" w:type="dxa"/>
            <w:tcBorders>
              <w:top w:val="nil"/>
              <w:left w:val="nil"/>
              <w:bottom w:val="dotted" w:sz="4" w:space="0" w:color="7F7F7F" w:themeColor="text1" w:themeTint="80"/>
              <w:right w:val="nil"/>
            </w:tcBorders>
            <w:vAlign w:val="center"/>
            <w:hideMark/>
          </w:tcPr>
          <w:p w14:paraId="39FB6A0F" w14:textId="77777777" w:rsidR="00C249D5" w:rsidRPr="00C9162A" w:rsidRDefault="00C249D5" w:rsidP="007D4245">
            <w:pPr>
              <w:contextualSpacing/>
              <w:rPr>
                <w:rStyle w:val="normaltextrun"/>
                <w:rFonts w:ascii="Verdana" w:hAnsi="Verdana"/>
                <w:sz w:val="14"/>
                <w:szCs w:val="14"/>
              </w:rPr>
            </w:pPr>
            <w:r w:rsidRPr="00C9162A">
              <w:rPr>
                <w:rStyle w:val="normaltextrun"/>
                <w:rFonts w:ascii="Verdana" w:hAnsi="Verdana"/>
                <w:sz w:val="14"/>
                <w:szCs w:val="14"/>
              </w:rPr>
              <w:t xml:space="preserve">Esperanza Contreras P </w:t>
            </w:r>
          </w:p>
          <w:p w14:paraId="7D208B1A" w14:textId="77777777" w:rsidR="00C249D5" w:rsidRPr="00C9162A" w:rsidRDefault="00C249D5" w:rsidP="007D4245">
            <w:pPr>
              <w:contextualSpacing/>
              <w:rPr>
                <w:rFonts w:ascii="Verdana" w:eastAsia="Arial" w:hAnsi="Verdana" w:cs="Arial"/>
                <w:sz w:val="14"/>
                <w:szCs w:val="14"/>
              </w:rPr>
            </w:pPr>
            <w:r w:rsidRPr="00C9162A">
              <w:rPr>
                <w:rStyle w:val="normaltextrun"/>
                <w:rFonts w:ascii="Verdana" w:hAnsi="Verdana" w:cs="Arial"/>
                <w:sz w:val="14"/>
                <w:szCs w:val="14"/>
              </w:rPr>
              <w:t>Contratista de la Subdirección de Gestión Contractual</w:t>
            </w:r>
            <w:r w:rsidRPr="00C9162A">
              <w:rPr>
                <w:rStyle w:val="eop"/>
                <w:rFonts w:ascii="Verdana" w:hAnsi="Verdana" w:cs="Arial"/>
                <w:sz w:val="14"/>
                <w:szCs w:val="14"/>
              </w:rPr>
              <w:t> </w:t>
            </w:r>
          </w:p>
        </w:tc>
      </w:tr>
      <w:tr w:rsidR="00C249D5" w:rsidRPr="00C9162A" w14:paraId="6D323D33" w14:textId="77777777" w:rsidTr="007D4245">
        <w:trPr>
          <w:trHeight w:val="330"/>
        </w:trPr>
        <w:tc>
          <w:tcPr>
            <w:tcW w:w="893" w:type="dxa"/>
            <w:vAlign w:val="center"/>
            <w:hideMark/>
          </w:tcPr>
          <w:p w14:paraId="69E0C3BD" w14:textId="77777777" w:rsidR="00C249D5" w:rsidRPr="00C9162A" w:rsidRDefault="00C249D5" w:rsidP="007D4245">
            <w:pPr>
              <w:contextualSpacing/>
              <w:rPr>
                <w:rFonts w:ascii="Verdana" w:hAnsi="Verdana" w:cs="Arial"/>
                <w:sz w:val="14"/>
                <w:szCs w:val="14"/>
                <w:lang w:eastAsia="es-ES"/>
              </w:rPr>
            </w:pPr>
            <w:r w:rsidRPr="00C9162A">
              <w:rPr>
                <w:rFonts w:ascii="Verdana" w:hAnsi="Verdana" w:cs="Arial"/>
                <w:sz w:val="14"/>
                <w:szCs w:val="14"/>
                <w:lang w:eastAsia="es-ES"/>
              </w:rPr>
              <w:t>Revisó:</w:t>
            </w:r>
          </w:p>
        </w:tc>
        <w:tc>
          <w:tcPr>
            <w:tcW w:w="5061" w:type="dxa"/>
            <w:tcBorders>
              <w:top w:val="dotted" w:sz="4" w:space="0" w:color="7F7F7F" w:themeColor="text1" w:themeTint="80"/>
              <w:left w:val="nil"/>
              <w:bottom w:val="dotted" w:sz="4" w:space="0" w:color="7F7F7F" w:themeColor="text1" w:themeTint="80"/>
              <w:right w:val="nil"/>
            </w:tcBorders>
            <w:vAlign w:val="center"/>
            <w:hideMark/>
          </w:tcPr>
          <w:p w14:paraId="6EC227FD" w14:textId="77777777" w:rsidR="00C249D5" w:rsidRPr="00C9162A" w:rsidRDefault="00C249D5" w:rsidP="007D4245">
            <w:pPr>
              <w:pStyle w:val="paragraph"/>
              <w:spacing w:before="0" w:beforeAutospacing="0" w:after="0" w:afterAutospacing="0"/>
              <w:contextualSpacing/>
              <w:textAlignment w:val="baseline"/>
              <w:rPr>
                <w:rStyle w:val="normaltextrun"/>
                <w:rFonts w:ascii="Verdana" w:hAnsi="Verdana"/>
                <w:sz w:val="14"/>
                <w:szCs w:val="14"/>
              </w:rPr>
            </w:pPr>
            <w:r w:rsidRPr="00C9162A">
              <w:rPr>
                <w:rStyle w:val="normaltextrun"/>
                <w:rFonts w:ascii="Verdana" w:hAnsi="Verdana"/>
                <w:sz w:val="14"/>
                <w:szCs w:val="14"/>
              </w:rPr>
              <w:t xml:space="preserve">Diana Lucía Saavedra Castañeda. </w:t>
            </w:r>
          </w:p>
          <w:p w14:paraId="2984F831" w14:textId="77777777" w:rsidR="00C249D5" w:rsidRPr="00C9162A" w:rsidRDefault="00C249D5" w:rsidP="007D4245">
            <w:pPr>
              <w:pStyle w:val="paragraph"/>
              <w:spacing w:before="0" w:beforeAutospacing="0" w:after="0" w:afterAutospacing="0"/>
              <w:contextualSpacing/>
              <w:textAlignment w:val="baseline"/>
              <w:rPr>
                <w:rFonts w:ascii="Verdana" w:hAnsi="Verdana" w:cs="Segoe UI"/>
                <w:sz w:val="14"/>
                <w:szCs w:val="14"/>
              </w:rPr>
            </w:pPr>
            <w:r w:rsidRPr="00C9162A">
              <w:rPr>
                <w:rStyle w:val="normaltextrun"/>
                <w:rFonts w:ascii="Verdana" w:hAnsi="Verdana"/>
                <w:sz w:val="14"/>
                <w:szCs w:val="14"/>
              </w:rPr>
              <w:t xml:space="preserve">Contratista Subdirección Gestión Contractual  </w:t>
            </w:r>
          </w:p>
        </w:tc>
      </w:tr>
      <w:tr w:rsidR="00C249D5" w:rsidRPr="00C9162A" w14:paraId="1C37C256" w14:textId="77777777" w:rsidTr="007D4245">
        <w:trPr>
          <w:trHeight w:val="300"/>
        </w:trPr>
        <w:tc>
          <w:tcPr>
            <w:tcW w:w="893" w:type="dxa"/>
            <w:vAlign w:val="center"/>
          </w:tcPr>
          <w:p w14:paraId="3B62BFB8" w14:textId="77777777" w:rsidR="00C249D5" w:rsidRPr="00C9162A" w:rsidRDefault="00C249D5" w:rsidP="007D4245">
            <w:pPr>
              <w:contextualSpacing/>
              <w:rPr>
                <w:rFonts w:ascii="Verdana" w:hAnsi="Verdana" w:cs="Arial"/>
                <w:sz w:val="14"/>
                <w:szCs w:val="14"/>
                <w:lang w:eastAsia="es-ES"/>
              </w:rPr>
            </w:pPr>
            <w:r w:rsidRPr="00C9162A">
              <w:rPr>
                <w:rFonts w:ascii="Verdana" w:hAnsi="Verdana" w:cs="Arial"/>
                <w:sz w:val="14"/>
                <w:szCs w:val="14"/>
                <w:lang w:eastAsia="es-ES"/>
              </w:rPr>
              <w:t>Aprobó:</w:t>
            </w:r>
          </w:p>
        </w:tc>
        <w:tc>
          <w:tcPr>
            <w:tcW w:w="5061" w:type="dxa"/>
            <w:tcBorders>
              <w:top w:val="dotted" w:sz="4" w:space="0" w:color="7F7F7F" w:themeColor="text1" w:themeTint="80"/>
              <w:left w:val="nil"/>
              <w:bottom w:val="dotted" w:sz="4" w:space="0" w:color="7F7F7F" w:themeColor="text1" w:themeTint="80"/>
              <w:right w:val="nil"/>
            </w:tcBorders>
            <w:vAlign w:val="center"/>
          </w:tcPr>
          <w:p w14:paraId="5661C8CA" w14:textId="77777777" w:rsidR="00C249D5" w:rsidRPr="00C9162A" w:rsidRDefault="00C249D5" w:rsidP="007D4245">
            <w:pPr>
              <w:contextualSpacing/>
              <w:rPr>
                <w:rFonts w:ascii="Verdana" w:eastAsia="Calibri" w:hAnsi="Verdana" w:cs="Arial"/>
                <w:sz w:val="14"/>
                <w:szCs w:val="14"/>
                <w:lang w:eastAsia="es-ES"/>
              </w:rPr>
            </w:pPr>
            <w:r w:rsidRPr="00C9162A">
              <w:rPr>
                <w:rFonts w:ascii="Verdana" w:eastAsia="Calibri" w:hAnsi="Verdana" w:cs="Arial"/>
                <w:sz w:val="14"/>
                <w:szCs w:val="14"/>
                <w:lang w:eastAsia="es-ES"/>
              </w:rPr>
              <w:t>Carolina Quintero Gacharná</w:t>
            </w:r>
          </w:p>
          <w:p w14:paraId="0060CA26" w14:textId="77777777" w:rsidR="00C249D5" w:rsidRPr="00C9162A" w:rsidRDefault="00C249D5" w:rsidP="007D4245">
            <w:pPr>
              <w:contextualSpacing/>
              <w:rPr>
                <w:rFonts w:ascii="Verdana" w:eastAsia="Calibri" w:hAnsi="Verdana" w:cs="Arial"/>
                <w:sz w:val="14"/>
                <w:szCs w:val="14"/>
                <w:lang w:eastAsia="es-ES"/>
              </w:rPr>
            </w:pPr>
            <w:r w:rsidRPr="00C9162A">
              <w:rPr>
                <w:rFonts w:ascii="Verdana" w:eastAsia="Calibri" w:hAnsi="Verdana" w:cs="Arial"/>
                <w:sz w:val="14"/>
                <w:szCs w:val="14"/>
                <w:lang w:eastAsia="es-ES"/>
              </w:rPr>
              <w:t>Subdirectora de Gestión Contractual ANCP – CCE</w:t>
            </w:r>
          </w:p>
        </w:tc>
      </w:tr>
      <w:bookmarkEnd w:id="1"/>
    </w:tbl>
    <w:p w14:paraId="22272F5E" w14:textId="77777777" w:rsidR="00C249D5" w:rsidRPr="00C9162A" w:rsidRDefault="00C249D5" w:rsidP="00C249D5">
      <w:pPr>
        <w:spacing w:after="0"/>
        <w:rPr>
          <w:rFonts w:ascii="Verdana" w:eastAsia="Verdana" w:hAnsi="Verdana" w:cs="Verdana"/>
          <w:sz w:val="14"/>
          <w:szCs w:val="14"/>
        </w:rPr>
      </w:pPr>
    </w:p>
    <w:p w14:paraId="5450EE02" w14:textId="77777777" w:rsidR="00C249D5" w:rsidRPr="00C9162A" w:rsidRDefault="00C249D5" w:rsidP="00C249D5">
      <w:pPr>
        <w:spacing w:after="0"/>
        <w:rPr>
          <w:rFonts w:ascii="Verdana" w:eastAsia="Verdana" w:hAnsi="Verdana" w:cs="Verdana"/>
          <w:sz w:val="14"/>
          <w:szCs w:val="14"/>
        </w:rPr>
      </w:pPr>
    </w:p>
    <w:p w14:paraId="0F293BF4" w14:textId="30DF73B5" w:rsidR="00127233" w:rsidRPr="004471F3" w:rsidRDefault="00127233" w:rsidP="004471F3"/>
    <w:sectPr w:rsidR="00127233" w:rsidRPr="004471F3"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389BC" w14:textId="77777777" w:rsidR="00604EF4" w:rsidRDefault="00604EF4" w:rsidP="004A1847">
      <w:pPr>
        <w:spacing w:after="0" w:line="240" w:lineRule="auto"/>
      </w:pPr>
      <w:r>
        <w:separator/>
      </w:r>
    </w:p>
  </w:endnote>
  <w:endnote w:type="continuationSeparator" w:id="0">
    <w:p w14:paraId="04B00004" w14:textId="77777777" w:rsidR="00604EF4" w:rsidRDefault="00604EF4"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orbel"/>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268EF" w14:textId="77777777" w:rsidR="00604EF4" w:rsidRDefault="00604EF4" w:rsidP="004A1847">
      <w:pPr>
        <w:spacing w:after="0" w:line="240" w:lineRule="auto"/>
      </w:pPr>
      <w:r>
        <w:separator/>
      </w:r>
    </w:p>
  </w:footnote>
  <w:footnote w:type="continuationSeparator" w:id="0">
    <w:p w14:paraId="3ED734EA" w14:textId="77777777" w:rsidR="00604EF4" w:rsidRDefault="00604EF4" w:rsidP="004A1847">
      <w:pPr>
        <w:spacing w:after="0" w:line="240" w:lineRule="auto"/>
      </w:pPr>
      <w:r>
        <w:continuationSeparator/>
      </w:r>
    </w:p>
  </w:footnote>
  <w:footnote w:id="1">
    <w:p w14:paraId="7FAA577F" w14:textId="1A453389" w:rsidR="00C249D5" w:rsidRPr="008C02D9" w:rsidRDefault="00C249D5" w:rsidP="00C249D5">
      <w:pPr>
        <w:pStyle w:val="Textonotapie"/>
        <w:ind w:firstLine="709"/>
        <w:jc w:val="both"/>
        <w:rPr>
          <w:rFonts w:ascii="Verdana" w:hAnsi="Verdana" w:cs="Arial"/>
          <w:sz w:val="16"/>
          <w:szCs w:val="16"/>
        </w:rPr>
      </w:pPr>
      <w:r w:rsidRPr="008C02D9">
        <w:rPr>
          <w:rStyle w:val="Refdenotaalpie"/>
          <w:rFonts w:ascii="Verdana" w:hAnsi="Verdana" w:cs="Arial"/>
          <w:color w:val="000000" w:themeColor="text1"/>
          <w:sz w:val="16"/>
          <w:szCs w:val="16"/>
        </w:rPr>
        <w:footnoteRef/>
      </w:r>
      <w:r w:rsidRPr="008C02D9">
        <w:rPr>
          <w:rFonts w:ascii="Verdana" w:hAnsi="Verdana" w:cs="Arial"/>
          <w:sz w:val="16"/>
          <w:szCs w:val="16"/>
        </w:rPr>
        <w:t xml:space="preserve"> </w:t>
      </w:r>
      <w:r w:rsidR="00B43721">
        <w:rPr>
          <w:rFonts w:ascii="Verdana" w:hAnsi="Verdana" w:cs="Arial"/>
          <w:sz w:val="16"/>
          <w:szCs w:val="16"/>
        </w:rPr>
        <w:t>“</w:t>
      </w:r>
      <w:r w:rsidRPr="008C02D9">
        <w:rPr>
          <w:rFonts w:ascii="Verdana" w:hAnsi="Verdana" w:cs="Arial"/>
          <w:sz w:val="16"/>
          <w:szCs w:val="16"/>
        </w:rPr>
        <w:t>ARTÍCULO 64. OBJETIVOS DEL CONTROL SOCIAL. Son objetivos del control social de la gestión pública y sus resultados:</w:t>
      </w:r>
    </w:p>
    <w:p w14:paraId="44EB9793" w14:textId="6BD6DD84" w:rsidR="00C249D5" w:rsidRPr="008C02D9" w:rsidRDefault="00C249D5" w:rsidP="00C249D5">
      <w:pPr>
        <w:pStyle w:val="Textonotapie"/>
        <w:jc w:val="both"/>
        <w:rPr>
          <w:rFonts w:ascii="Verdana" w:hAnsi="Verdana" w:cs="Arial"/>
          <w:sz w:val="16"/>
          <w:szCs w:val="16"/>
        </w:rPr>
      </w:pPr>
      <w:r w:rsidRPr="008C02D9">
        <w:rPr>
          <w:rFonts w:ascii="Verdana" w:hAnsi="Verdana" w:cs="Arial"/>
          <w:sz w:val="16"/>
          <w:szCs w:val="16"/>
        </w:rPr>
        <w:t>a). Fortalecer la cultura de lo público en el ciudadano;</w:t>
      </w:r>
    </w:p>
    <w:p w14:paraId="1D22C6BC" w14:textId="2CFD0D7C" w:rsidR="00C249D5" w:rsidRPr="008C02D9" w:rsidRDefault="00C249D5" w:rsidP="00C249D5">
      <w:pPr>
        <w:pStyle w:val="Textonotapie"/>
        <w:jc w:val="both"/>
        <w:rPr>
          <w:rFonts w:ascii="Verdana" w:hAnsi="Verdana" w:cs="Arial"/>
          <w:sz w:val="16"/>
          <w:szCs w:val="16"/>
        </w:rPr>
      </w:pPr>
      <w:r w:rsidRPr="008C02D9">
        <w:rPr>
          <w:rFonts w:ascii="Verdana" w:hAnsi="Verdana" w:cs="Arial"/>
          <w:sz w:val="16"/>
          <w:szCs w:val="16"/>
        </w:rPr>
        <w:t>b). Contribuir a mejorar la gestión pública desde el punto de vista de su eficiencia, su eficacia y su transparencia;</w:t>
      </w:r>
    </w:p>
    <w:p w14:paraId="5A2ED617" w14:textId="02FB23B2" w:rsidR="00C249D5" w:rsidRPr="008C02D9" w:rsidRDefault="00C249D5" w:rsidP="00C249D5">
      <w:pPr>
        <w:pStyle w:val="Textonotapie"/>
        <w:jc w:val="both"/>
        <w:rPr>
          <w:rFonts w:ascii="Verdana" w:hAnsi="Verdana" w:cs="Arial"/>
          <w:sz w:val="16"/>
          <w:szCs w:val="16"/>
        </w:rPr>
      </w:pPr>
      <w:r w:rsidRPr="008C02D9">
        <w:rPr>
          <w:rFonts w:ascii="Verdana" w:hAnsi="Verdana" w:cs="Arial"/>
          <w:sz w:val="16"/>
          <w:szCs w:val="16"/>
        </w:rPr>
        <w:t>c). Prevenir los riesgos y los hechos de corrupción en la gestión pública, en particular los relacionados con el manejo de los recursos públicos;</w:t>
      </w:r>
    </w:p>
    <w:p w14:paraId="51D8083F" w14:textId="77950860" w:rsidR="00C249D5" w:rsidRPr="008C02D9" w:rsidRDefault="00C249D5" w:rsidP="00C249D5">
      <w:pPr>
        <w:pStyle w:val="Textonotapie"/>
        <w:jc w:val="both"/>
        <w:rPr>
          <w:rFonts w:ascii="Verdana" w:hAnsi="Verdana" w:cs="Arial"/>
          <w:sz w:val="16"/>
          <w:szCs w:val="16"/>
        </w:rPr>
      </w:pPr>
      <w:r w:rsidRPr="008C02D9">
        <w:rPr>
          <w:rFonts w:ascii="Verdana" w:hAnsi="Verdana" w:cs="Arial"/>
          <w:sz w:val="16"/>
          <w:szCs w:val="16"/>
        </w:rPr>
        <w:t>d). Fortalecer la participación ciudadana para que esta contribuya a que las autoridades hagan un manejo transparente y eficiente de los asuntos públicos;</w:t>
      </w:r>
    </w:p>
    <w:p w14:paraId="67C13532" w14:textId="2B6F4B3B" w:rsidR="00C249D5" w:rsidRPr="008C02D9" w:rsidRDefault="00C249D5" w:rsidP="00C249D5">
      <w:pPr>
        <w:pStyle w:val="Textonotapie"/>
        <w:jc w:val="both"/>
        <w:rPr>
          <w:rFonts w:ascii="Verdana" w:hAnsi="Verdana" w:cs="Arial"/>
          <w:sz w:val="16"/>
          <w:szCs w:val="16"/>
        </w:rPr>
      </w:pPr>
      <w:r w:rsidRPr="008C02D9">
        <w:rPr>
          <w:rFonts w:ascii="Verdana" w:hAnsi="Verdana" w:cs="Arial"/>
          <w:sz w:val="16"/>
          <w:szCs w:val="16"/>
        </w:rPr>
        <w:t>e). Apoyar y complementar la labor de los organismos de control en la realización de sus funciones legales y constitucionales;</w:t>
      </w:r>
    </w:p>
    <w:p w14:paraId="7A22B6F9" w14:textId="67A5E6AE" w:rsidR="00C249D5" w:rsidRPr="008C02D9" w:rsidRDefault="00C249D5" w:rsidP="00C249D5">
      <w:pPr>
        <w:pStyle w:val="Textonotapie"/>
        <w:jc w:val="both"/>
        <w:rPr>
          <w:rFonts w:ascii="Verdana" w:hAnsi="Verdana" w:cs="Arial"/>
          <w:sz w:val="16"/>
          <w:szCs w:val="16"/>
        </w:rPr>
      </w:pPr>
      <w:r w:rsidRPr="008C02D9">
        <w:rPr>
          <w:rFonts w:ascii="Verdana" w:hAnsi="Verdana" w:cs="Arial"/>
          <w:sz w:val="16"/>
          <w:szCs w:val="16"/>
        </w:rPr>
        <w:t>f). Propender por el cumplimiento de los principios constitucionales que rigen la función pública;</w:t>
      </w:r>
    </w:p>
    <w:p w14:paraId="20D2594F" w14:textId="628F8FA7" w:rsidR="00C249D5" w:rsidRPr="008C02D9" w:rsidRDefault="00C249D5" w:rsidP="00C249D5">
      <w:pPr>
        <w:pStyle w:val="Textonotapie"/>
        <w:jc w:val="both"/>
        <w:rPr>
          <w:rFonts w:ascii="Verdana" w:hAnsi="Verdana" w:cs="Arial"/>
          <w:sz w:val="16"/>
          <w:szCs w:val="16"/>
        </w:rPr>
      </w:pPr>
      <w:r w:rsidRPr="008C02D9">
        <w:rPr>
          <w:rFonts w:ascii="Verdana" w:hAnsi="Verdana" w:cs="Arial"/>
          <w:sz w:val="16"/>
          <w:szCs w:val="16"/>
        </w:rPr>
        <w:t>g). Promover el liderazgo y la participación con miras a democratizar la gestión pública;</w:t>
      </w:r>
    </w:p>
    <w:p w14:paraId="40B8E013" w14:textId="3886EFD5" w:rsidR="00C249D5" w:rsidRPr="008C02D9" w:rsidRDefault="00C249D5" w:rsidP="00C249D5">
      <w:pPr>
        <w:pStyle w:val="Textonotapie"/>
        <w:jc w:val="both"/>
        <w:rPr>
          <w:rFonts w:ascii="Verdana" w:hAnsi="Verdana" w:cs="Arial"/>
          <w:sz w:val="16"/>
          <w:szCs w:val="16"/>
        </w:rPr>
      </w:pPr>
      <w:r w:rsidRPr="008C02D9">
        <w:rPr>
          <w:rFonts w:ascii="Verdana" w:hAnsi="Verdana" w:cs="Arial"/>
          <w:sz w:val="16"/>
          <w:szCs w:val="16"/>
        </w:rPr>
        <w:t>h). Poner en evidencia las fallas en la gestión pública por parte de agentes estatales y no estatales, y formular propuestas para mejorarla;</w:t>
      </w:r>
    </w:p>
    <w:p w14:paraId="0F791179" w14:textId="6DCDF29D" w:rsidR="00C249D5" w:rsidRDefault="00C249D5" w:rsidP="00F9720B">
      <w:pPr>
        <w:pStyle w:val="Textonotapie"/>
        <w:ind w:firstLine="708"/>
        <w:jc w:val="both"/>
        <w:rPr>
          <w:rFonts w:ascii="Verdana" w:hAnsi="Verdana" w:cs="Arial"/>
          <w:sz w:val="16"/>
          <w:szCs w:val="16"/>
        </w:rPr>
      </w:pPr>
      <w:r w:rsidRPr="008C02D9">
        <w:rPr>
          <w:rFonts w:ascii="Verdana" w:hAnsi="Verdana" w:cs="Arial"/>
          <w:sz w:val="16"/>
          <w:szCs w:val="16"/>
        </w:rPr>
        <w:t>i). Contribuir a la garantía y al restablecimiento de los derechos sociales, económicos y culturales</w:t>
      </w:r>
      <w:r w:rsidR="00AF4341">
        <w:rPr>
          <w:rFonts w:ascii="Verdana" w:hAnsi="Verdana" w:cs="Arial"/>
          <w:sz w:val="16"/>
          <w:szCs w:val="16"/>
        </w:rPr>
        <w:t>”</w:t>
      </w:r>
      <w:r w:rsidRPr="008C02D9">
        <w:rPr>
          <w:rFonts w:ascii="Verdana" w:hAnsi="Verdana" w:cs="Arial"/>
          <w:sz w:val="16"/>
          <w:szCs w:val="16"/>
        </w:rPr>
        <w:t>.</w:t>
      </w:r>
    </w:p>
    <w:p w14:paraId="6996E71C" w14:textId="185AB523" w:rsidR="00C249D5" w:rsidRPr="008C02D9" w:rsidRDefault="00C249D5" w:rsidP="00C249D5">
      <w:pPr>
        <w:pStyle w:val="Textonotapie"/>
        <w:jc w:val="both"/>
        <w:rPr>
          <w:rStyle w:val="Refdenotaalpie"/>
          <w:rFonts w:ascii="Verdana" w:hAnsi="Verdana" w:cs="Arial"/>
          <w:sz w:val="16"/>
          <w:szCs w:val="16"/>
        </w:rPr>
      </w:pPr>
    </w:p>
  </w:footnote>
  <w:footnote w:id="2">
    <w:p w14:paraId="329FF6E5" w14:textId="77777777" w:rsidR="00C249D5" w:rsidRPr="008C02D9" w:rsidRDefault="00C249D5" w:rsidP="00C249D5">
      <w:pPr>
        <w:pStyle w:val="Textonotapie"/>
        <w:ind w:firstLine="708"/>
        <w:jc w:val="both"/>
        <w:rPr>
          <w:rFonts w:ascii="Verdana" w:hAnsi="Verdana" w:cs="Arial"/>
          <w:sz w:val="16"/>
          <w:szCs w:val="16"/>
          <w:lang w:val="es-CO"/>
        </w:rPr>
      </w:pPr>
      <w:r w:rsidRPr="008C02D9">
        <w:rPr>
          <w:rStyle w:val="Refdenotaalpie"/>
          <w:rFonts w:ascii="Verdana" w:hAnsi="Verdana" w:cs="Arial"/>
          <w:color w:val="000000" w:themeColor="text1"/>
          <w:sz w:val="16"/>
          <w:szCs w:val="16"/>
        </w:rPr>
        <w:footnoteRef/>
      </w:r>
      <w:r w:rsidRPr="008C02D9">
        <w:rPr>
          <w:rStyle w:val="Refdenotaalpie"/>
          <w:rFonts w:ascii="Verdana" w:hAnsi="Verdana" w:cs="Arial"/>
          <w:color w:val="000000" w:themeColor="text1"/>
          <w:sz w:val="16"/>
          <w:szCs w:val="16"/>
        </w:rPr>
        <w:t xml:space="preserve"> </w:t>
      </w:r>
      <w:r w:rsidRPr="008C02D9">
        <w:rPr>
          <w:rFonts w:ascii="Verdana" w:hAnsi="Verdana" w:cs="Arial"/>
          <w:sz w:val="16"/>
          <w:szCs w:val="16"/>
        </w:rPr>
        <w:t>GUZMÁN SANTOS, José Camilo. Control social a la compra y la contratación pública. Fase de focalización. Módulo III. Contraloría General de la República, 2018, 45.</w:t>
      </w:r>
      <w:r w:rsidRPr="008C02D9">
        <w:rPr>
          <w:rFonts w:ascii="Verdana" w:hAnsi="Verdana" w:cs="Arial"/>
          <w:sz w:val="16"/>
          <w:szCs w:val="16"/>
          <w:lang w:val="es-CO"/>
        </w:rPr>
        <w:t xml:space="preserve"> </w:t>
      </w:r>
    </w:p>
    <w:p w14:paraId="3DCF81EA" w14:textId="77777777" w:rsidR="00C249D5" w:rsidRPr="008C02D9" w:rsidRDefault="00C249D5" w:rsidP="00C249D5">
      <w:pPr>
        <w:pStyle w:val="Textonotapie"/>
        <w:ind w:firstLine="708"/>
        <w:jc w:val="both"/>
        <w:rPr>
          <w:rFonts w:ascii="Verdana" w:hAnsi="Verdana" w:cs="Arial"/>
          <w:sz w:val="16"/>
          <w:szCs w:val="16"/>
          <w:lang w:val="es-CO"/>
        </w:rPr>
      </w:pPr>
    </w:p>
  </w:footnote>
  <w:footnote w:id="3">
    <w:p w14:paraId="5CB7B5DD" w14:textId="10E159CA" w:rsidR="00C249D5" w:rsidRPr="00574318" w:rsidRDefault="00C249D5" w:rsidP="00C249D5">
      <w:pPr>
        <w:pStyle w:val="Textonotapie"/>
        <w:ind w:firstLine="709"/>
        <w:jc w:val="both"/>
        <w:rPr>
          <w:rFonts w:ascii="Verdana" w:hAnsi="Verdana" w:cs="Arial"/>
          <w:color w:val="000000"/>
          <w:sz w:val="16"/>
          <w:szCs w:val="16"/>
        </w:rPr>
      </w:pPr>
      <w:r w:rsidRPr="00574318">
        <w:rPr>
          <w:rStyle w:val="Refdenotaalpie"/>
          <w:rFonts w:ascii="Verdana" w:hAnsi="Verdana" w:cs="Arial"/>
          <w:color w:val="000000"/>
          <w:sz w:val="16"/>
          <w:szCs w:val="16"/>
        </w:rPr>
        <w:footnoteRef/>
      </w:r>
      <w:r w:rsidRPr="00574318">
        <w:rPr>
          <w:rFonts w:ascii="Verdana" w:hAnsi="Verdana" w:cs="Arial"/>
          <w:color w:val="000000"/>
          <w:sz w:val="16"/>
          <w:szCs w:val="16"/>
        </w:rPr>
        <w:t xml:space="preserve"> Ley 80 de 1993: </w:t>
      </w:r>
      <w:r w:rsidR="00AF4341">
        <w:rPr>
          <w:rFonts w:ascii="Verdana" w:hAnsi="Verdana" w:cs="Arial"/>
          <w:color w:val="000000"/>
          <w:sz w:val="16"/>
          <w:szCs w:val="16"/>
        </w:rPr>
        <w:t>“</w:t>
      </w:r>
      <w:r w:rsidRPr="00574318">
        <w:rPr>
          <w:rFonts w:ascii="Verdana" w:hAnsi="Verdana" w:cs="Arial"/>
          <w:color w:val="000000"/>
          <w:sz w:val="16"/>
          <w:szCs w:val="16"/>
        </w:rPr>
        <w:t>Artículo 3º. De los fines de la contratación estatal. Los servidores públicos tendrán en consideración que al celebrar contratos y con la ejecución de los mismos, las entidades buscan el cumplimiento de los fines estatales, la continua y eficiente prestación de los servicios públicos y la efectividad de los derechos e intereses de los administrados que colaboran con ellas en la consecución de dichos fines.</w:t>
      </w:r>
    </w:p>
    <w:p w14:paraId="48845E78" w14:textId="77777777" w:rsidR="009D6AB1" w:rsidRDefault="009D6AB1" w:rsidP="00C249D5">
      <w:pPr>
        <w:pStyle w:val="Textonotapie"/>
        <w:ind w:firstLine="709"/>
        <w:jc w:val="both"/>
        <w:rPr>
          <w:rFonts w:ascii="Verdana" w:hAnsi="Verdana" w:cs="Arial"/>
          <w:color w:val="000000"/>
          <w:sz w:val="16"/>
          <w:szCs w:val="16"/>
        </w:rPr>
      </w:pPr>
    </w:p>
    <w:p w14:paraId="0EC8C08C" w14:textId="60E1C6BB" w:rsidR="00C249D5" w:rsidRDefault="00C249D5" w:rsidP="00C249D5">
      <w:pPr>
        <w:pStyle w:val="Textonotapie"/>
        <w:ind w:firstLine="709"/>
        <w:jc w:val="both"/>
        <w:rPr>
          <w:rFonts w:ascii="Verdana" w:hAnsi="Verdana" w:cs="Arial"/>
          <w:color w:val="000000"/>
          <w:sz w:val="16"/>
          <w:szCs w:val="16"/>
        </w:rPr>
      </w:pPr>
      <w:r w:rsidRPr="00574318">
        <w:rPr>
          <w:rFonts w:ascii="Verdana" w:hAnsi="Verdana" w:cs="Arial"/>
          <w:color w:val="000000"/>
          <w:sz w:val="16"/>
          <w:szCs w:val="16"/>
        </w:rPr>
        <w:t>Los particulares, por su parte, tendrán en cuenta al celebrar y ejecutar contratos con las entidades estatales que, colaboran con ellas en el logro de sus fines y cumplen una función social que, como tal, implica obligaciones</w:t>
      </w:r>
      <w:r w:rsidR="00AF4341">
        <w:rPr>
          <w:rFonts w:ascii="Verdana" w:hAnsi="Verdana" w:cs="Arial"/>
          <w:color w:val="000000"/>
          <w:sz w:val="16"/>
          <w:szCs w:val="16"/>
        </w:rPr>
        <w:t>”</w:t>
      </w:r>
      <w:r w:rsidRPr="00574318">
        <w:rPr>
          <w:rFonts w:ascii="Verdana" w:hAnsi="Verdana" w:cs="Arial"/>
          <w:color w:val="000000"/>
          <w:sz w:val="16"/>
          <w:szCs w:val="16"/>
        </w:rPr>
        <w:t>.</w:t>
      </w:r>
    </w:p>
    <w:p w14:paraId="468F657E" w14:textId="77777777" w:rsidR="00C249D5" w:rsidRPr="00574318" w:rsidRDefault="00C249D5" w:rsidP="00C249D5">
      <w:pPr>
        <w:pStyle w:val="Textonotapie"/>
        <w:ind w:firstLine="709"/>
        <w:jc w:val="both"/>
        <w:rPr>
          <w:rFonts w:ascii="Verdana" w:hAnsi="Verdana" w:cs="Arial"/>
          <w:color w:val="000000"/>
          <w:sz w:val="16"/>
          <w:szCs w:val="16"/>
        </w:rPr>
      </w:pPr>
    </w:p>
  </w:footnote>
  <w:footnote w:id="4">
    <w:p w14:paraId="06357A2E" w14:textId="07029A6A" w:rsidR="00C249D5" w:rsidRPr="00574318" w:rsidRDefault="00C249D5" w:rsidP="00C249D5">
      <w:pPr>
        <w:pStyle w:val="Textonotapie"/>
        <w:ind w:firstLine="709"/>
        <w:jc w:val="both"/>
        <w:rPr>
          <w:rFonts w:ascii="Verdana" w:hAnsi="Verdana" w:cs="Arial"/>
          <w:color w:val="000000"/>
          <w:sz w:val="16"/>
          <w:szCs w:val="16"/>
          <w:lang w:val="es-CO"/>
        </w:rPr>
      </w:pPr>
      <w:r w:rsidRPr="00574318">
        <w:rPr>
          <w:rStyle w:val="Refdenotaalpie"/>
          <w:rFonts w:ascii="Verdana" w:hAnsi="Verdana" w:cs="Arial"/>
          <w:color w:val="000000"/>
          <w:sz w:val="16"/>
          <w:szCs w:val="16"/>
        </w:rPr>
        <w:footnoteRef/>
      </w:r>
      <w:r w:rsidRPr="00574318">
        <w:rPr>
          <w:rFonts w:ascii="Verdana" w:hAnsi="Verdana" w:cs="Arial"/>
          <w:color w:val="000000"/>
          <w:sz w:val="16"/>
          <w:szCs w:val="16"/>
        </w:rPr>
        <w:t xml:space="preserve"> Ley 80 de 1993: </w:t>
      </w:r>
      <w:r w:rsidR="00AF4341">
        <w:rPr>
          <w:rFonts w:ascii="Verdana" w:hAnsi="Verdana" w:cs="Arial"/>
          <w:color w:val="000000"/>
          <w:sz w:val="16"/>
          <w:szCs w:val="16"/>
        </w:rPr>
        <w:t>“</w:t>
      </w:r>
      <w:r w:rsidRPr="00574318">
        <w:rPr>
          <w:rFonts w:ascii="Verdana" w:hAnsi="Verdana" w:cs="Arial"/>
          <w:color w:val="000000"/>
          <w:sz w:val="16"/>
          <w:szCs w:val="16"/>
        </w:rPr>
        <w:t>Artículo 23. De los principios en las actuaciones contractuales de las entidades estatales. Las actuaciones de quienes intervengan en la contratación estatal se desarrollarán con arreglo a los principios de transparencia, economía y responsabilidad y de conformidad con los postulados que rigen la función administrativa. Igualmente, se aplicarán en las mismas las normas que regulan la conducta de los servidores públicos, las reglas de interpretación de la contratación, los principios generales del derecho y los particulares del derecho administrativo</w:t>
      </w:r>
      <w:r w:rsidR="00AF4341">
        <w:rPr>
          <w:rFonts w:ascii="Verdana" w:hAnsi="Verdana" w:cs="Arial"/>
          <w:color w:val="000000"/>
          <w:sz w:val="16"/>
          <w:szCs w:val="16"/>
        </w:rPr>
        <w:t>”</w:t>
      </w:r>
      <w:r w:rsidRPr="00574318">
        <w:rPr>
          <w:rFonts w:ascii="Verdana" w:hAnsi="Verdana" w:cs="Arial"/>
          <w:color w:val="000000"/>
          <w:sz w:val="16"/>
          <w:szCs w:val="16"/>
        </w:rPr>
        <w:t>.</w:t>
      </w:r>
    </w:p>
  </w:footnote>
  <w:footnote w:id="5">
    <w:p w14:paraId="4C9CDD4C" w14:textId="02F73CAD" w:rsidR="00C249D5" w:rsidRDefault="00C249D5" w:rsidP="00C249D5">
      <w:pPr>
        <w:pStyle w:val="Textonotapie"/>
        <w:ind w:firstLine="709"/>
        <w:jc w:val="both"/>
        <w:rPr>
          <w:rFonts w:ascii="Verdana" w:hAnsi="Verdana" w:cs="Arial"/>
          <w:color w:val="000000"/>
          <w:sz w:val="16"/>
          <w:szCs w:val="16"/>
        </w:rPr>
      </w:pPr>
      <w:r w:rsidRPr="003F2862">
        <w:rPr>
          <w:rStyle w:val="Refdenotaalpie"/>
          <w:rFonts w:ascii="Verdana" w:hAnsi="Verdana" w:cs="Arial"/>
          <w:color w:val="000000"/>
          <w:sz w:val="16"/>
          <w:szCs w:val="16"/>
        </w:rPr>
        <w:footnoteRef/>
      </w:r>
      <w:r w:rsidRPr="003F2862">
        <w:rPr>
          <w:rFonts w:ascii="Verdana" w:hAnsi="Verdana" w:cs="Arial"/>
          <w:color w:val="000000"/>
          <w:sz w:val="16"/>
          <w:szCs w:val="16"/>
        </w:rPr>
        <w:t xml:space="preserve"> Concepto con radicado número 4201912000006639 del 29 de noviembre de 2019 </w:t>
      </w:r>
      <w:r w:rsidR="009D6AB1">
        <w:rPr>
          <w:rFonts w:ascii="Verdana" w:hAnsi="Verdana" w:cs="Arial"/>
          <w:color w:val="000000"/>
          <w:sz w:val="16"/>
          <w:szCs w:val="16"/>
        </w:rPr>
        <w:t>“</w:t>
      </w:r>
      <w:r w:rsidRPr="003F2862">
        <w:rPr>
          <w:rFonts w:ascii="Verdana" w:hAnsi="Verdana" w:cs="Arial"/>
          <w:color w:val="000000"/>
          <w:sz w:val="16"/>
          <w:szCs w:val="16"/>
        </w:rPr>
        <w:t>Tipo de asunto consultado: Sujetos que pueden hacer observaciones al informe de evaluación en un procedimiento contractual mediante la modalidad de licitación pública</w:t>
      </w:r>
      <w:r w:rsidR="009D6AB1">
        <w:rPr>
          <w:rFonts w:ascii="Verdana" w:hAnsi="Verdana" w:cs="Arial"/>
          <w:color w:val="000000"/>
          <w:sz w:val="16"/>
          <w:szCs w:val="16"/>
        </w:rPr>
        <w:t>”</w:t>
      </w:r>
      <w:r w:rsidRPr="003F2862">
        <w:rPr>
          <w:rFonts w:ascii="Verdana" w:hAnsi="Verdana" w:cs="Arial"/>
          <w:color w:val="000000"/>
          <w:sz w:val="16"/>
          <w:szCs w:val="16"/>
        </w:rPr>
        <w:t>.</w:t>
      </w:r>
    </w:p>
    <w:p w14:paraId="38E29B5B" w14:textId="77777777" w:rsidR="00C249D5" w:rsidRPr="003F2862" w:rsidRDefault="00C249D5" w:rsidP="00C249D5">
      <w:pPr>
        <w:pStyle w:val="Textonotapie"/>
        <w:ind w:firstLine="709"/>
        <w:jc w:val="both"/>
        <w:rPr>
          <w:rFonts w:ascii="Verdana" w:hAnsi="Verdana" w:cs="Arial"/>
          <w:color w:val="000000"/>
          <w:sz w:val="16"/>
          <w:szCs w:val="16"/>
        </w:rPr>
      </w:pPr>
    </w:p>
  </w:footnote>
  <w:footnote w:id="6">
    <w:p w14:paraId="686EB75D" w14:textId="61DF5DC9" w:rsidR="00C249D5" w:rsidRPr="003F2862" w:rsidRDefault="00C249D5" w:rsidP="00C249D5">
      <w:pPr>
        <w:pStyle w:val="Textonotapie"/>
        <w:ind w:firstLine="709"/>
        <w:jc w:val="both"/>
        <w:rPr>
          <w:rFonts w:ascii="Verdana" w:hAnsi="Verdana" w:cs="Arial"/>
          <w:color w:val="000000"/>
          <w:sz w:val="16"/>
          <w:szCs w:val="16"/>
        </w:rPr>
      </w:pPr>
      <w:r w:rsidRPr="003F2862">
        <w:rPr>
          <w:rStyle w:val="Refdenotaalpie"/>
          <w:rFonts w:ascii="Verdana" w:hAnsi="Verdana" w:cs="Arial"/>
          <w:color w:val="000000"/>
          <w:sz w:val="16"/>
          <w:szCs w:val="16"/>
        </w:rPr>
        <w:footnoteRef/>
      </w:r>
      <w:r w:rsidRPr="003F2862">
        <w:rPr>
          <w:rFonts w:ascii="Verdana" w:hAnsi="Verdana" w:cs="Arial"/>
          <w:color w:val="000000"/>
          <w:sz w:val="16"/>
          <w:szCs w:val="16"/>
        </w:rPr>
        <w:t xml:space="preserve"> Ley 1150 de 2007: </w:t>
      </w:r>
      <w:r w:rsidR="009D6AB1">
        <w:rPr>
          <w:rFonts w:ascii="Verdana" w:hAnsi="Verdana" w:cs="Arial"/>
          <w:color w:val="000000"/>
          <w:sz w:val="16"/>
          <w:szCs w:val="16"/>
        </w:rPr>
        <w:t>“</w:t>
      </w:r>
      <w:r w:rsidRPr="003F2862">
        <w:rPr>
          <w:rFonts w:ascii="Verdana" w:hAnsi="Verdana" w:cs="Arial"/>
          <w:color w:val="000000"/>
          <w:sz w:val="16"/>
          <w:szCs w:val="16"/>
        </w:rPr>
        <w:t>Artículo 8. De la publicación de proyectos de pliegos de condiciones, y estudios previos. Con el propósito de suministrar al público en general la información que le permita formular observaciones a su contenido, las entidades publicarán los proyectos de pliegos de condiciones o sus equivalentes, en las condiciones que señale el reglamento. La información publicada debe ser veraz, responsable, ecuánime, suficiente y oportuna.</w:t>
      </w:r>
    </w:p>
    <w:p w14:paraId="7A7D6BA9" w14:textId="77777777" w:rsidR="00C249D5" w:rsidRPr="003F2862"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w:t>
      </w:r>
    </w:p>
    <w:p w14:paraId="38981C6B" w14:textId="511DD6EA" w:rsidR="00C249D5" w:rsidRPr="003F2862"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Junto con los proyectos de pliegos de condiciones se publicarán los estudios y documentos previos que sirvieron de base para su elaboración.</w:t>
      </w:r>
    </w:p>
    <w:p w14:paraId="3E870F9C" w14:textId="7C31E22E" w:rsidR="00C249D5"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Las Entidades deberán publicar las razones por las cuales se acogen o rechazan las observaciones a los proyectos de pliegos</w:t>
      </w:r>
      <w:r w:rsidR="009D6AB1">
        <w:rPr>
          <w:rFonts w:ascii="Verdana" w:hAnsi="Verdana" w:cs="Arial"/>
          <w:color w:val="000000"/>
          <w:sz w:val="16"/>
          <w:szCs w:val="16"/>
        </w:rPr>
        <w:t>”</w:t>
      </w:r>
      <w:r w:rsidRPr="003F2862">
        <w:rPr>
          <w:rFonts w:ascii="Verdana" w:hAnsi="Verdana" w:cs="Arial"/>
          <w:color w:val="000000"/>
          <w:sz w:val="16"/>
          <w:szCs w:val="16"/>
        </w:rPr>
        <w:t>.</w:t>
      </w:r>
    </w:p>
    <w:p w14:paraId="223C2842" w14:textId="77777777" w:rsidR="00C249D5" w:rsidRPr="003F2862" w:rsidRDefault="00C249D5" w:rsidP="00C249D5">
      <w:pPr>
        <w:pStyle w:val="Textonotapie"/>
        <w:ind w:firstLine="709"/>
        <w:jc w:val="both"/>
        <w:rPr>
          <w:rFonts w:ascii="Verdana" w:hAnsi="Verdana" w:cs="Arial"/>
          <w:color w:val="000000"/>
          <w:sz w:val="16"/>
          <w:szCs w:val="16"/>
        </w:rPr>
      </w:pPr>
    </w:p>
  </w:footnote>
  <w:footnote w:id="7">
    <w:p w14:paraId="5E6EAC3C" w14:textId="20BEEA50" w:rsidR="00C249D5" w:rsidRPr="003F2862" w:rsidRDefault="00C249D5" w:rsidP="00C249D5">
      <w:pPr>
        <w:pStyle w:val="Textonotapie"/>
        <w:ind w:firstLine="709"/>
        <w:jc w:val="both"/>
        <w:rPr>
          <w:rFonts w:ascii="Verdana" w:hAnsi="Verdana" w:cs="Arial"/>
          <w:color w:val="000000"/>
          <w:sz w:val="16"/>
          <w:szCs w:val="16"/>
        </w:rPr>
      </w:pPr>
      <w:r w:rsidRPr="003F2862">
        <w:rPr>
          <w:rStyle w:val="Refdenotaalpie"/>
          <w:rFonts w:ascii="Verdana" w:hAnsi="Verdana" w:cs="Arial"/>
          <w:color w:val="000000"/>
          <w:sz w:val="16"/>
          <w:szCs w:val="16"/>
        </w:rPr>
        <w:footnoteRef/>
      </w:r>
      <w:r w:rsidRPr="003F2862">
        <w:rPr>
          <w:rFonts w:ascii="Verdana" w:hAnsi="Verdana" w:cs="Arial"/>
          <w:color w:val="000000"/>
          <w:sz w:val="16"/>
          <w:szCs w:val="16"/>
        </w:rPr>
        <w:t xml:space="preserve"> Ley 80 de 1993: </w:t>
      </w:r>
      <w:r w:rsidR="009D6AB1">
        <w:rPr>
          <w:rFonts w:ascii="Verdana" w:hAnsi="Verdana" w:cs="Arial"/>
          <w:color w:val="000000"/>
          <w:sz w:val="16"/>
          <w:szCs w:val="16"/>
        </w:rPr>
        <w:t>“</w:t>
      </w:r>
      <w:r w:rsidRPr="003F2862">
        <w:rPr>
          <w:rFonts w:ascii="Verdana" w:hAnsi="Verdana" w:cs="Arial"/>
          <w:color w:val="000000"/>
          <w:sz w:val="16"/>
          <w:szCs w:val="16"/>
        </w:rPr>
        <w:t>Artículo 30. De la estructura de los procedimientos de selección. La licitación se efectuará conforme a las siguientes reglas:</w:t>
      </w:r>
    </w:p>
    <w:p w14:paraId="56D26E76" w14:textId="77777777" w:rsidR="00C249D5" w:rsidRPr="003F2862"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w:t>
      </w:r>
    </w:p>
    <w:p w14:paraId="61E47796" w14:textId="5CAA60C0" w:rsidR="00C249D5"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 xml:space="preserve">4º. Dentro de los tres (3) días hábiles siguientes al inicio del plazo para Ia presentación de propuestas y a solicitud de cualquiera de las personas interesadas en el proceso se celebrará una audiencia con el objeto de precisar el contenido y alcance de los pliegos de condiciones, de lo cual se levantará un acta suscrita por los intervinientes. En </w:t>
      </w:r>
      <w:r>
        <w:rPr>
          <w:rFonts w:ascii="Verdana" w:hAnsi="Verdana" w:cs="Arial"/>
          <w:color w:val="000000"/>
          <w:sz w:val="16"/>
          <w:szCs w:val="16"/>
        </w:rPr>
        <w:t>l</w:t>
      </w:r>
      <w:r w:rsidRPr="003F2862">
        <w:rPr>
          <w:rFonts w:ascii="Verdana" w:hAnsi="Verdana" w:cs="Arial"/>
          <w:color w:val="000000"/>
          <w:sz w:val="16"/>
          <w:szCs w:val="16"/>
        </w:rPr>
        <w:t xml:space="preserve">a misma audiencia se revisará </w:t>
      </w:r>
      <w:r>
        <w:rPr>
          <w:rFonts w:ascii="Verdana" w:hAnsi="Verdana" w:cs="Arial"/>
          <w:color w:val="000000"/>
          <w:sz w:val="16"/>
          <w:szCs w:val="16"/>
        </w:rPr>
        <w:t>l</w:t>
      </w:r>
      <w:r w:rsidRPr="003F2862">
        <w:rPr>
          <w:rFonts w:ascii="Verdana" w:hAnsi="Verdana" w:cs="Arial"/>
          <w:color w:val="000000"/>
          <w:sz w:val="16"/>
          <w:szCs w:val="16"/>
        </w:rPr>
        <w:t xml:space="preserve">a asignación de riesgos que trata el artículo 4 de </w:t>
      </w:r>
      <w:r>
        <w:rPr>
          <w:rFonts w:ascii="Verdana" w:hAnsi="Verdana" w:cs="Arial"/>
          <w:color w:val="000000"/>
          <w:sz w:val="16"/>
          <w:szCs w:val="16"/>
        </w:rPr>
        <w:t>l</w:t>
      </w:r>
      <w:r w:rsidRPr="003F2862">
        <w:rPr>
          <w:rFonts w:ascii="Verdana" w:hAnsi="Verdana" w:cs="Arial"/>
          <w:color w:val="000000"/>
          <w:sz w:val="16"/>
          <w:szCs w:val="16"/>
        </w:rPr>
        <w:t>a Ley 1150 de 2007 con el fin de establecer su tipificación, estimación y asignación definitiva</w:t>
      </w:r>
      <w:r w:rsidR="009D6AB1">
        <w:rPr>
          <w:rFonts w:ascii="Verdana" w:hAnsi="Verdana" w:cs="Arial"/>
          <w:color w:val="000000"/>
          <w:sz w:val="16"/>
          <w:szCs w:val="16"/>
        </w:rPr>
        <w:t>”</w:t>
      </w:r>
      <w:r w:rsidRPr="003F2862">
        <w:rPr>
          <w:rFonts w:ascii="Verdana" w:hAnsi="Verdana" w:cs="Arial"/>
          <w:color w:val="000000"/>
          <w:sz w:val="16"/>
          <w:szCs w:val="16"/>
        </w:rPr>
        <w:t>.</w:t>
      </w:r>
    </w:p>
    <w:p w14:paraId="14CCA3B7" w14:textId="77777777" w:rsidR="00C249D5" w:rsidRPr="003F2862" w:rsidRDefault="00C249D5" w:rsidP="00C249D5">
      <w:pPr>
        <w:pStyle w:val="Textonotapie"/>
        <w:ind w:firstLine="709"/>
        <w:jc w:val="both"/>
        <w:rPr>
          <w:rFonts w:ascii="Verdana" w:hAnsi="Verdana" w:cs="Arial"/>
          <w:color w:val="000000"/>
          <w:sz w:val="16"/>
          <w:szCs w:val="16"/>
        </w:rPr>
      </w:pPr>
    </w:p>
  </w:footnote>
  <w:footnote w:id="8">
    <w:p w14:paraId="09B15E61" w14:textId="5433767D" w:rsidR="00C249D5" w:rsidRDefault="00C249D5" w:rsidP="00C249D5">
      <w:pPr>
        <w:pStyle w:val="Textonotapie"/>
        <w:ind w:firstLine="709"/>
        <w:jc w:val="both"/>
        <w:rPr>
          <w:rFonts w:ascii="Verdana" w:hAnsi="Verdana" w:cs="Arial"/>
          <w:color w:val="000000"/>
          <w:sz w:val="16"/>
          <w:szCs w:val="16"/>
        </w:rPr>
      </w:pPr>
      <w:r w:rsidRPr="003F2862">
        <w:rPr>
          <w:rStyle w:val="Refdenotaalpie"/>
          <w:rFonts w:ascii="Verdana" w:hAnsi="Verdana" w:cs="Arial"/>
          <w:color w:val="000000"/>
          <w:sz w:val="16"/>
          <w:szCs w:val="16"/>
        </w:rPr>
        <w:footnoteRef/>
      </w:r>
      <w:r w:rsidRPr="003F2862">
        <w:rPr>
          <w:rFonts w:ascii="Verdana" w:hAnsi="Verdana" w:cs="Arial"/>
          <w:color w:val="000000"/>
          <w:sz w:val="16"/>
          <w:szCs w:val="16"/>
        </w:rPr>
        <w:t xml:space="preserve"> Decreto 1082 de 2015: Artículo 2.2.1.1.1.3.1.</w:t>
      </w:r>
    </w:p>
    <w:p w14:paraId="747E59DF" w14:textId="77777777" w:rsidR="00C249D5" w:rsidRPr="003F2862" w:rsidRDefault="00C249D5" w:rsidP="00C249D5">
      <w:pPr>
        <w:pStyle w:val="Textonotapie"/>
        <w:ind w:firstLine="709"/>
        <w:jc w:val="both"/>
        <w:rPr>
          <w:rFonts w:ascii="Verdana" w:hAnsi="Verdana" w:cs="Arial"/>
          <w:color w:val="000000"/>
          <w:sz w:val="16"/>
          <w:szCs w:val="16"/>
          <w:lang w:val="es-CO"/>
        </w:rPr>
      </w:pPr>
    </w:p>
  </w:footnote>
  <w:footnote w:id="9">
    <w:p w14:paraId="2E4AA76A" w14:textId="55557B31" w:rsidR="00C249D5" w:rsidRPr="003F2862" w:rsidRDefault="00C249D5" w:rsidP="00C249D5">
      <w:pPr>
        <w:pStyle w:val="Textonotapie"/>
        <w:ind w:firstLine="709"/>
        <w:jc w:val="both"/>
        <w:rPr>
          <w:rFonts w:ascii="Verdana" w:hAnsi="Verdana" w:cs="Arial"/>
          <w:color w:val="000000"/>
          <w:sz w:val="16"/>
          <w:szCs w:val="16"/>
        </w:rPr>
      </w:pPr>
      <w:r w:rsidRPr="003F2862">
        <w:rPr>
          <w:rStyle w:val="Refdenotaalpie"/>
          <w:rFonts w:ascii="Verdana" w:hAnsi="Verdana" w:cs="Arial"/>
          <w:color w:val="000000"/>
          <w:sz w:val="16"/>
          <w:szCs w:val="16"/>
        </w:rPr>
        <w:footnoteRef/>
      </w:r>
      <w:r w:rsidRPr="003F2862">
        <w:rPr>
          <w:rFonts w:ascii="Verdana" w:hAnsi="Verdana" w:cs="Arial"/>
          <w:color w:val="000000"/>
          <w:sz w:val="16"/>
          <w:szCs w:val="16"/>
        </w:rPr>
        <w:t xml:space="preserve"> Ley 80 de 1993: </w:t>
      </w:r>
      <w:r w:rsidR="009D6AB1">
        <w:rPr>
          <w:rFonts w:ascii="Verdana" w:hAnsi="Verdana" w:cs="Arial"/>
          <w:color w:val="000000"/>
          <w:sz w:val="16"/>
          <w:szCs w:val="16"/>
        </w:rPr>
        <w:t>“</w:t>
      </w:r>
      <w:r w:rsidRPr="003F2862">
        <w:rPr>
          <w:rFonts w:ascii="Verdana" w:hAnsi="Verdana" w:cs="Arial"/>
          <w:color w:val="000000"/>
          <w:sz w:val="16"/>
          <w:szCs w:val="16"/>
        </w:rPr>
        <w:t>Artículo 30. De la estructura de los procedimientos de selección. La licitación se efectuará conforme a las siguientes reglas:</w:t>
      </w:r>
    </w:p>
    <w:p w14:paraId="01055A77" w14:textId="77777777" w:rsidR="00C249D5" w:rsidRPr="003F2862"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w:t>
      </w:r>
    </w:p>
    <w:p w14:paraId="456C293F" w14:textId="51EA2289" w:rsidR="00C249D5"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6º. Las propuestas deben referirse y sujetarse a todos y cada uno de los puntos contenidos en el pliego de condiciones</w:t>
      </w:r>
      <w:r w:rsidR="009D6AB1">
        <w:rPr>
          <w:rFonts w:ascii="Verdana" w:hAnsi="Verdana" w:cs="Arial"/>
          <w:color w:val="000000"/>
          <w:sz w:val="16"/>
          <w:szCs w:val="16"/>
        </w:rPr>
        <w:t>”</w:t>
      </w:r>
      <w:r w:rsidRPr="003F2862">
        <w:rPr>
          <w:rFonts w:ascii="Verdana" w:hAnsi="Verdana" w:cs="Arial"/>
          <w:color w:val="000000"/>
          <w:sz w:val="16"/>
          <w:szCs w:val="16"/>
        </w:rPr>
        <w:t>.</w:t>
      </w:r>
    </w:p>
    <w:p w14:paraId="520AB228" w14:textId="77777777" w:rsidR="00C249D5" w:rsidRPr="003F2862" w:rsidRDefault="00C249D5" w:rsidP="00C249D5">
      <w:pPr>
        <w:pStyle w:val="Textonotapie"/>
        <w:ind w:firstLine="709"/>
        <w:jc w:val="both"/>
        <w:rPr>
          <w:rFonts w:ascii="Verdana" w:hAnsi="Verdana" w:cs="Arial"/>
          <w:color w:val="000000"/>
          <w:sz w:val="16"/>
          <w:szCs w:val="16"/>
          <w:lang w:val="es-CO"/>
        </w:rPr>
      </w:pPr>
    </w:p>
  </w:footnote>
  <w:footnote w:id="10">
    <w:p w14:paraId="6177418F" w14:textId="1E3BB159" w:rsidR="00C249D5" w:rsidRPr="003F2862" w:rsidRDefault="00C249D5" w:rsidP="00C249D5">
      <w:pPr>
        <w:pStyle w:val="Textonotapie"/>
        <w:ind w:firstLine="709"/>
        <w:jc w:val="both"/>
        <w:rPr>
          <w:rFonts w:ascii="Verdana" w:hAnsi="Verdana" w:cs="Arial"/>
          <w:color w:val="000000"/>
          <w:sz w:val="16"/>
          <w:szCs w:val="16"/>
        </w:rPr>
      </w:pPr>
      <w:r w:rsidRPr="003F2862">
        <w:rPr>
          <w:rStyle w:val="Refdenotaalpie"/>
          <w:rFonts w:ascii="Verdana" w:hAnsi="Verdana" w:cs="Arial"/>
          <w:color w:val="000000"/>
          <w:sz w:val="16"/>
          <w:szCs w:val="16"/>
        </w:rPr>
        <w:footnoteRef/>
      </w:r>
      <w:r w:rsidRPr="003F2862">
        <w:rPr>
          <w:rFonts w:ascii="Verdana" w:hAnsi="Verdana" w:cs="Arial"/>
          <w:color w:val="000000"/>
          <w:sz w:val="16"/>
          <w:szCs w:val="16"/>
        </w:rPr>
        <w:t xml:space="preserve"> Ley 80 de 1993: </w:t>
      </w:r>
      <w:r w:rsidR="009D6AB1">
        <w:rPr>
          <w:rFonts w:ascii="Verdana" w:hAnsi="Verdana" w:cs="Arial"/>
          <w:color w:val="000000"/>
          <w:sz w:val="16"/>
          <w:szCs w:val="16"/>
        </w:rPr>
        <w:t>“</w:t>
      </w:r>
      <w:r w:rsidRPr="003F2862">
        <w:rPr>
          <w:rFonts w:ascii="Verdana" w:hAnsi="Verdana" w:cs="Arial"/>
          <w:color w:val="000000"/>
          <w:sz w:val="16"/>
          <w:szCs w:val="16"/>
        </w:rPr>
        <w:t>Artículo 30. De la estructura de los procedimientos de selección. La licitación se efectuará conforme a las siguientes reglas:</w:t>
      </w:r>
    </w:p>
    <w:p w14:paraId="371AF0ED" w14:textId="77777777" w:rsidR="00C249D5" w:rsidRPr="003F2862"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w:t>
      </w:r>
    </w:p>
    <w:p w14:paraId="1F99961B" w14:textId="2DF25B57" w:rsidR="00C249D5"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8º. Los informes de evaluación de las propuestas permanecerán en la secretaría de la entidad por un término de cinco (5) días hábiles para que los oferentes presenten las observaciones que estimen pertinentes. En ejercicio de esta facultad, los oferentes no podrán completar, adicionar, modificar o mejorar sus propuestas</w:t>
      </w:r>
      <w:r w:rsidR="009D6AB1">
        <w:rPr>
          <w:rFonts w:ascii="Verdana" w:hAnsi="Verdana" w:cs="Arial"/>
          <w:color w:val="000000"/>
          <w:sz w:val="16"/>
          <w:szCs w:val="16"/>
        </w:rPr>
        <w:t>”</w:t>
      </w:r>
      <w:r w:rsidRPr="003F2862">
        <w:rPr>
          <w:rFonts w:ascii="Verdana" w:hAnsi="Verdana" w:cs="Arial"/>
          <w:color w:val="000000"/>
          <w:sz w:val="16"/>
          <w:szCs w:val="16"/>
        </w:rPr>
        <w:t>.</w:t>
      </w:r>
    </w:p>
    <w:p w14:paraId="4E7CAF4A" w14:textId="77777777" w:rsidR="00C249D5" w:rsidRPr="003F2862" w:rsidRDefault="00C249D5" w:rsidP="00C249D5">
      <w:pPr>
        <w:pStyle w:val="Textonotapie"/>
        <w:ind w:firstLine="709"/>
        <w:jc w:val="both"/>
        <w:rPr>
          <w:rFonts w:ascii="Verdana" w:hAnsi="Verdana" w:cs="Arial"/>
          <w:color w:val="000000"/>
          <w:sz w:val="16"/>
          <w:szCs w:val="16"/>
        </w:rPr>
      </w:pPr>
    </w:p>
  </w:footnote>
  <w:footnote w:id="11">
    <w:p w14:paraId="622053C3" w14:textId="45A6D9DE" w:rsidR="00C249D5" w:rsidRPr="003F2862" w:rsidRDefault="00C249D5" w:rsidP="00C249D5">
      <w:pPr>
        <w:pStyle w:val="Textonotapie"/>
        <w:ind w:firstLine="709"/>
        <w:jc w:val="both"/>
        <w:rPr>
          <w:rFonts w:ascii="Verdana" w:hAnsi="Verdana" w:cs="Arial"/>
          <w:color w:val="000000"/>
          <w:sz w:val="16"/>
          <w:szCs w:val="16"/>
        </w:rPr>
      </w:pPr>
      <w:r w:rsidRPr="003F2862">
        <w:rPr>
          <w:rStyle w:val="Refdenotaalpie"/>
          <w:rFonts w:ascii="Verdana" w:hAnsi="Verdana" w:cs="Arial"/>
          <w:color w:val="000000"/>
          <w:sz w:val="16"/>
          <w:szCs w:val="16"/>
        </w:rPr>
        <w:footnoteRef/>
      </w:r>
      <w:r w:rsidRPr="003F2862">
        <w:rPr>
          <w:rFonts w:ascii="Verdana" w:hAnsi="Verdana" w:cs="Arial"/>
          <w:color w:val="000000"/>
          <w:sz w:val="16"/>
          <w:szCs w:val="16"/>
        </w:rPr>
        <w:t xml:space="preserve"> Decreto 1082 de 2015: </w:t>
      </w:r>
      <w:r w:rsidR="009D6AB1">
        <w:rPr>
          <w:rFonts w:ascii="Verdana" w:hAnsi="Verdana" w:cs="Arial"/>
          <w:color w:val="000000"/>
          <w:sz w:val="16"/>
          <w:szCs w:val="16"/>
        </w:rPr>
        <w:t>“</w:t>
      </w:r>
      <w:r w:rsidRPr="003F2862">
        <w:rPr>
          <w:rFonts w:ascii="Verdana" w:hAnsi="Verdana" w:cs="Arial"/>
          <w:color w:val="000000"/>
          <w:sz w:val="16"/>
          <w:szCs w:val="16"/>
        </w:rPr>
        <w:t xml:space="preserve">Artículo 2.2.1.2.1.2.20. Procedimiento para la selección abreviada de menor cuantía. Además de las normas generales establecidas en el presente título, las siguientes reglas son aplicables a la selección abreviada de menor cuantía: </w:t>
      </w:r>
    </w:p>
    <w:p w14:paraId="0D3A4466" w14:textId="77777777" w:rsidR="00C249D5" w:rsidRPr="003F2862"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w:t>
      </w:r>
    </w:p>
    <w:p w14:paraId="0F5EA764" w14:textId="2D00FB82" w:rsidR="00C249D5" w:rsidRPr="003F2862"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4. La Entidad Estatal debe publicar el informe de evaluación de ofertas durante tres (3) días hábiles».</w:t>
      </w:r>
    </w:p>
    <w:p w14:paraId="139C905F" w14:textId="19BD663F" w:rsidR="009D6AB1" w:rsidRDefault="009D6AB1" w:rsidP="00C249D5">
      <w:pPr>
        <w:pStyle w:val="Textonotapie"/>
        <w:ind w:firstLine="709"/>
        <w:jc w:val="both"/>
        <w:rPr>
          <w:rFonts w:ascii="Verdana" w:hAnsi="Verdana" w:cs="Arial"/>
          <w:color w:val="000000"/>
          <w:sz w:val="16"/>
          <w:szCs w:val="16"/>
        </w:rPr>
      </w:pPr>
    </w:p>
    <w:p w14:paraId="3D4872DB" w14:textId="62ACA0AA" w:rsidR="00C249D5" w:rsidRPr="003F2862"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Artículo 2.2.1.2.1.3.2. Procedimiento del concurso de méritos. Además de las reglas generales previstas en la ley y en el presente título, las siguientes reglas son aplicables al concurso de méritos abierto o con precalificación:</w:t>
      </w:r>
    </w:p>
    <w:p w14:paraId="1F6B18FF" w14:textId="77777777" w:rsidR="00C249D5" w:rsidRPr="003F2862"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w:t>
      </w:r>
    </w:p>
    <w:p w14:paraId="6AAAB584" w14:textId="12084553" w:rsidR="00C249D5" w:rsidRPr="003F2862"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2. La Entidad Estatal debe publicar durante tres (3) días hábiles el informe de evaluación, el cual debe contener la calificación técnica y el orden de elegibilidad».</w:t>
      </w:r>
    </w:p>
    <w:p w14:paraId="320282B6" w14:textId="62582ABC" w:rsidR="00C249D5" w:rsidRPr="003F2862"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Artículo 2.2.1.2.1.5.2. Procedimiento para la contratación de mínima cuantía. Las siguientes reglas son aplicables a la contratación cuyo valor no excede del 10% de la menor cuantía de la Entidad Estatal, independientemente de su objeto:</w:t>
      </w:r>
    </w:p>
    <w:p w14:paraId="255D6054" w14:textId="77777777" w:rsidR="00C249D5" w:rsidRPr="003F2862"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w:t>
      </w:r>
    </w:p>
    <w:p w14:paraId="0A4532B0" w14:textId="38C122B8" w:rsidR="00C249D5"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5. La Entidad Estatal debe publicar el informe de evaluación durante un (1) día hábil</w:t>
      </w:r>
      <w:r w:rsidR="009D6AB1">
        <w:rPr>
          <w:rFonts w:ascii="Verdana" w:hAnsi="Verdana" w:cs="Arial"/>
          <w:color w:val="000000"/>
          <w:sz w:val="16"/>
          <w:szCs w:val="16"/>
        </w:rPr>
        <w:t>”</w:t>
      </w:r>
      <w:r w:rsidRPr="003F2862">
        <w:rPr>
          <w:rFonts w:ascii="Verdana" w:hAnsi="Verdana" w:cs="Arial"/>
          <w:color w:val="000000"/>
          <w:sz w:val="16"/>
          <w:szCs w:val="16"/>
        </w:rPr>
        <w:t>.</w:t>
      </w:r>
    </w:p>
    <w:p w14:paraId="1BB637F2" w14:textId="77777777" w:rsidR="00C249D5" w:rsidRPr="003F2862" w:rsidRDefault="00C249D5" w:rsidP="00C249D5">
      <w:pPr>
        <w:pStyle w:val="Textonotapie"/>
        <w:ind w:firstLine="709"/>
        <w:jc w:val="both"/>
        <w:rPr>
          <w:rFonts w:ascii="Verdana" w:hAnsi="Verdana" w:cs="Arial"/>
          <w:color w:val="000000"/>
          <w:sz w:val="16"/>
          <w:szCs w:val="16"/>
        </w:rPr>
      </w:pPr>
    </w:p>
  </w:footnote>
  <w:footnote w:id="12">
    <w:p w14:paraId="388D069F" w14:textId="645DB00D" w:rsidR="00C249D5" w:rsidRPr="003F2862" w:rsidRDefault="00C249D5" w:rsidP="00C249D5">
      <w:pPr>
        <w:pStyle w:val="Textonotapie"/>
        <w:ind w:firstLine="709"/>
        <w:jc w:val="both"/>
        <w:rPr>
          <w:rFonts w:ascii="Verdana" w:hAnsi="Verdana" w:cs="Arial"/>
          <w:color w:val="000000"/>
          <w:sz w:val="16"/>
          <w:szCs w:val="16"/>
        </w:rPr>
      </w:pPr>
      <w:r w:rsidRPr="003F2862">
        <w:rPr>
          <w:rStyle w:val="Refdenotaalpie"/>
          <w:rFonts w:ascii="Verdana" w:hAnsi="Verdana" w:cs="Arial"/>
          <w:color w:val="000000"/>
          <w:sz w:val="16"/>
          <w:szCs w:val="16"/>
        </w:rPr>
        <w:footnoteRef/>
      </w:r>
      <w:r w:rsidRPr="003F2862">
        <w:rPr>
          <w:rFonts w:ascii="Verdana" w:hAnsi="Verdana" w:cs="Arial"/>
          <w:color w:val="000000"/>
          <w:sz w:val="16"/>
          <w:szCs w:val="16"/>
        </w:rPr>
        <w:t xml:space="preserve"> Decreto 1082 de 2015: </w:t>
      </w:r>
      <w:r w:rsidR="009D6AB1">
        <w:rPr>
          <w:rFonts w:ascii="Verdana" w:hAnsi="Verdana" w:cs="Arial"/>
          <w:color w:val="000000"/>
          <w:sz w:val="16"/>
          <w:szCs w:val="16"/>
        </w:rPr>
        <w:t>“</w:t>
      </w:r>
      <w:r w:rsidRPr="003F2862">
        <w:rPr>
          <w:rFonts w:ascii="Verdana" w:hAnsi="Verdana" w:cs="Arial"/>
          <w:color w:val="000000"/>
          <w:sz w:val="16"/>
          <w:szCs w:val="16"/>
        </w:rPr>
        <w:t>Artículo 2.2.1.2.1.1.2. Audiencias en la licitación.</w:t>
      </w:r>
    </w:p>
    <w:p w14:paraId="1543D516" w14:textId="77777777" w:rsidR="00C249D5" w:rsidRPr="003F2862"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w:t>
      </w:r>
    </w:p>
    <w:p w14:paraId="66525FDE" w14:textId="7937E04D" w:rsidR="00C249D5" w:rsidRPr="003F2862"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La Entidad Estatal debe realizar la audiencia de adjudicación en la fecha y hora establecida en el Cronograma, la cual se realizará de acuerdo con las reglas establecidas para el efecto en los mismos y las siguientes consideraciones:</w:t>
      </w:r>
    </w:p>
    <w:p w14:paraId="0134AE4E" w14:textId="217137DC" w:rsidR="00C249D5"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1. En la audiencia los oferentes pueden pronunciarse sobre las respuestas dadas por la Entidad Estatal a las observaciones presentadas respecto del informe de evaluación, lo cual no implica una nueva oportunidad para mejorar o modificar la oferta. Si hay pronunciamientos que a juicio de la Entidad Estatal requiere análisis adicional y su solución puede incidir en el sentido de la decisión a adoptar, la audiencia puede suspenderse por el término necesario para la verificación de los asuntos debatidos y la comprobación de lo alegado</w:t>
      </w:r>
      <w:r w:rsidR="009D6AB1">
        <w:rPr>
          <w:rFonts w:ascii="Verdana" w:hAnsi="Verdana" w:cs="Arial"/>
          <w:color w:val="000000"/>
          <w:sz w:val="16"/>
          <w:szCs w:val="16"/>
        </w:rPr>
        <w:t>”</w:t>
      </w:r>
      <w:r w:rsidRPr="003F2862">
        <w:rPr>
          <w:rFonts w:ascii="Verdana" w:hAnsi="Verdana" w:cs="Arial"/>
          <w:color w:val="000000"/>
          <w:sz w:val="16"/>
          <w:szCs w:val="16"/>
        </w:rPr>
        <w:t>.</w:t>
      </w:r>
    </w:p>
    <w:p w14:paraId="5D0F93F7" w14:textId="77777777" w:rsidR="00C249D5" w:rsidRPr="003F2862" w:rsidRDefault="00C249D5" w:rsidP="00C249D5">
      <w:pPr>
        <w:pStyle w:val="Textonotapie"/>
        <w:ind w:firstLine="709"/>
        <w:jc w:val="both"/>
        <w:rPr>
          <w:rFonts w:ascii="Verdana" w:hAnsi="Verdana" w:cs="Arial"/>
          <w:color w:val="000000"/>
          <w:sz w:val="16"/>
          <w:szCs w:val="16"/>
        </w:rPr>
      </w:pPr>
    </w:p>
  </w:footnote>
  <w:footnote w:id="13">
    <w:p w14:paraId="39AC5C53" w14:textId="0F78BB15" w:rsidR="00C249D5" w:rsidRPr="003F2862" w:rsidRDefault="00C249D5" w:rsidP="00C249D5">
      <w:pPr>
        <w:pStyle w:val="Textonotapie"/>
        <w:ind w:firstLine="709"/>
        <w:jc w:val="both"/>
        <w:rPr>
          <w:rFonts w:ascii="Verdana" w:hAnsi="Verdana" w:cs="Arial"/>
          <w:color w:val="000000"/>
          <w:sz w:val="16"/>
          <w:szCs w:val="16"/>
        </w:rPr>
      </w:pPr>
      <w:r w:rsidRPr="003F2862">
        <w:rPr>
          <w:rStyle w:val="Refdenotaalpie"/>
          <w:rFonts w:ascii="Verdana" w:hAnsi="Verdana" w:cs="Arial"/>
          <w:color w:val="000000"/>
          <w:sz w:val="16"/>
          <w:szCs w:val="16"/>
        </w:rPr>
        <w:footnoteRef/>
      </w:r>
      <w:r w:rsidRPr="003F2862">
        <w:rPr>
          <w:rFonts w:ascii="Verdana" w:hAnsi="Verdana" w:cs="Arial"/>
          <w:color w:val="000000"/>
          <w:sz w:val="16"/>
          <w:szCs w:val="16"/>
        </w:rPr>
        <w:t xml:space="preserve"> Ley 80 de 1993: </w:t>
      </w:r>
      <w:r w:rsidR="009D6AB1">
        <w:rPr>
          <w:rFonts w:ascii="Verdana" w:hAnsi="Verdana" w:cs="Arial"/>
          <w:color w:val="000000"/>
          <w:sz w:val="16"/>
          <w:szCs w:val="16"/>
        </w:rPr>
        <w:t>“</w:t>
      </w:r>
      <w:r w:rsidRPr="003F2862">
        <w:rPr>
          <w:rFonts w:ascii="Verdana" w:hAnsi="Verdana" w:cs="Arial"/>
          <w:color w:val="000000"/>
          <w:sz w:val="16"/>
          <w:szCs w:val="16"/>
        </w:rPr>
        <w:t>Artículo 25. Del principio de economía. En virtud de este principio:</w:t>
      </w:r>
    </w:p>
    <w:p w14:paraId="245EA92E" w14:textId="166CAAC9" w:rsidR="00C249D5" w:rsidRDefault="00C249D5" w:rsidP="00C249D5">
      <w:pPr>
        <w:pStyle w:val="Textonotapie"/>
        <w:ind w:firstLine="709"/>
        <w:jc w:val="both"/>
        <w:rPr>
          <w:rFonts w:ascii="Verdana" w:hAnsi="Verdana" w:cs="Arial"/>
          <w:color w:val="000000"/>
          <w:sz w:val="16"/>
          <w:szCs w:val="16"/>
        </w:rPr>
      </w:pPr>
      <w:r w:rsidRPr="003F2862">
        <w:rPr>
          <w:rFonts w:ascii="Verdana" w:hAnsi="Verdana" w:cs="Arial"/>
          <w:color w:val="000000"/>
          <w:sz w:val="16"/>
          <w:szCs w:val="16"/>
        </w:rPr>
        <w:t>1º. En las normas de selección y en los pliegos de condiciones para la escogencia de contratistas, se cumplirán y establecerán los procedimientos y etapas estrictamente necesarios para asegurar la selección objetiva de la propuesta más favorable. Para este propósito, se señalarán términos preclusivos y perentorios para las diferentes etapas de la selección y las autoridades darán impulso oficioso a las actuaciones</w:t>
      </w:r>
      <w:r w:rsidR="009D6AB1">
        <w:rPr>
          <w:rFonts w:ascii="Verdana" w:hAnsi="Verdana" w:cs="Arial"/>
          <w:color w:val="000000"/>
          <w:sz w:val="16"/>
          <w:szCs w:val="16"/>
        </w:rPr>
        <w:t>”</w:t>
      </w:r>
      <w:r w:rsidRPr="003F2862">
        <w:rPr>
          <w:rFonts w:ascii="Verdana" w:hAnsi="Verdana" w:cs="Arial"/>
          <w:color w:val="000000"/>
          <w:sz w:val="16"/>
          <w:szCs w:val="16"/>
        </w:rPr>
        <w:t>.</w:t>
      </w:r>
    </w:p>
    <w:p w14:paraId="4A247BCD" w14:textId="77777777" w:rsidR="00C249D5" w:rsidRPr="00D41B43" w:rsidRDefault="00C249D5" w:rsidP="00C249D5">
      <w:pPr>
        <w:pStyle w:val="Textonotapie"/>
        <w:ind w:firstLine="709"/>
        <w:jc w:val="both"/>
        <w:rPr>
          <w:rFonts w:ascii="Arial" w:hAnsi="Arial" w:cs="Arial"/>
          <w:color w:val="000000"/>
          <w:sz w:val="18"/>
          <w:szCs w:val="18"/>
        </w:rPr>
      </w:pPr>
    </w:p>
  </w:footnote>
  <w:footnote w:id="14">
    <w:p w14:paraId="5E8D190F" w14:textId="77777777" w:rsidR="00C249D5" w:rsidRPr="00DD52F9" w:rsidRDefault="00C249D5" w:rsidP="00C249D5">
      <w:pPr>
        <w:pStyle w:val="Textonotapie"/>
        <w:ind w:firstLine="709"/>
        <w:jc w:val="both"/>
        <w:rPr>
          <w:rFonts w:ascii="Verdana" w:hAnsi="Verdana" w:cs="Arial"/>
          <w:sz w:val="16"/>
          <w:szCs w:val="16"/>
        </w:rPr>
      </w:pPr>
      <w:r w:rsidRPr="00DD52F9">
        <w:rPr>
          <w:rStyle w:val="Refdenotaalpie"/>
          <w:rFonts w:ascii="Verdana" w:hAnsi="Verdana" w:cs="Arial"/>
          <w:color w:val="000000" w:themeColor="text1"/>
          <w:sz w:val="16"/>
          <w:szCs w:val="16"/>
        </w:rPr>
        <w:footnoteRef/>
      </w:r>
      <w:r w:rsidRPr="00DD52F9">
        <w:rPr>
          <w:rStyle w:val="Refdenotaalpie"/>
          <w:rFonts w:ascii="Verdana" w:hAnsi="Verdana" w:cs="Arial"/>
          <w:color w:val="000000" w:themeColor="text1"/>
          <w:sz w:val="16"/>
          <w:szCs w:val="16"/>
        </w:rPr>
        <w:t xml:space="preserve"> </w:t>
      </w:r>
      <w:r w:rsidRPr="00DD52F9">
        <w:rPr>
          <w:rFonts w:ascii="Verdana" w:hAnsi="Verdana" w:cs="Arial"/>
          <w:sz w:val="16"/>
          <w:szCs w:val="16"/>
        </w:rPr>
        <w:t>Ley 80 de 1993. ARTÍCULO 25. DEL PRINCIPIO DE ECONOMÍA. En virtud de este principio: […]</w:t>
      </w:r>
    </w:p>
    <w:p w14:paraId="66073C00" w14:textId="77777777" w:rsidR="00C249D5" w:rsidRPr="00DD52F9" w:rsidRDefault="00C249D5" w:rsidP="00C249D5">
      <w:pPr>
        <w:pStyle w:val="Textonotapie"/>
        <w:jc w:val="both"/>
        <w:rPr>
          <w:rFonts w:ascii="Verdana" w:hAnsi="Verdana" w:cs="Arial"/>
          <w:sz w:val="16"/>
          <w:szCs w:val="16"/>
          <w:lang w:val="es-CO"/>
        </w:rPr>
      </w:pPr>
      <w:r w:rsidRPr="00DD52F9">
        <w:rPr>
          <w:rFonts w:ascii="Verdana" w:hAnsi="Verdana" w:cs="Arial"/>
          <w:sz w:val="16"/>
          <w:szCs w:val="16"/>
        </w:rPr>
        <w:t>2o. Las normas de los procedimientos contractuales se interpretarán de tal manera que no den ocasión a seguir trámites distintos y adicionales a los expresamente previstos o que permitan valerse de los defectos de forma o de la inobservancia de requisitos para no decidir o proferir providencias inhibitorias.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92EC0BC6"/>
    <w:lvl w:ilvl="0">
      <w:start w:val="1"/>
      <w:numFmt w:val="decimal"/>
      <w:lvlText w:val="%1."/>
      <w:lvlJc w:val="left"/>
      <w:pPr>
        <w:ind w:left="6601" w:hanging="360"/>
      </w:pPr>
      <w:rPr>
        <w:b/>
        <w:color w:val="000000" w:themeColor="text1"/>
        <w:lang w:val="es-CO"/>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7642455"/>
    <w:multiLevelType w:val="hybridMultilevel"/>
    <w:tmpl w:val="F9CA70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9"/>
  </w:num>
  <w:num w:numId="16" w16cid:durableId="341274352">
    <w:abstractNumId w:val="0"/>
  </w:num>
  <w:num w:numId="17" w16cid:durableId="1033505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3EE8"/>
    <w:rsid w:val="00033807"/>
    <w:rsid w:val="00046945"/>
    <w:rsid w:val="00061B2A"/>
    <w:rsid w:val="000718C2"/>
    <w:rsid w:val="00077F5E"/>
    <w:rsid w:val="00082362"/>
    <w:rsid w:val="000A683E"/>
    <w:rsid w:val="000B19B9"/>
    <w:rsid w:val="000D0334"/>
    <w:rsid w:val="000D5DA7"/>
    <w:rsid w:val="000F6486"/>
    <w:rsid w:val="001119EF"/>
    <w:rsid w:val="00116940"/>
    <w:rsid w:val="00125105"/>
    <w:rsid w:val="00127233"/>
    <w:rsid w:val="0015699B"/>
    <w:rsid w:val="00184EB0"/>
    <w:rsid w:val="001A33BF"/>
    <w:rsid w:val="001D1DBB"/>
    <w:rsid w:val="001E4177"/>
    <w:rsid w:val="001F0B24"/>
    <w:rsid w:val="001F7DC6"/>
    <w:rsid w:val="0022400B"/>
    <w:rsid w:val="002421BB"/>
    <w:rsid w:val="0025796E"/>
    <w:rsid w:val="00263BEB"/>
    <w:rsid w:val="002707A2"/>
    <w:rsid w:val="00275115"/>
    <w:rsid w:val="002951A0"/>
    <w:rsid w:val="002962BC"/>
    <w:rsid w:val="002A093D"/>
    <w:rsid w:val="002A0DD0"/>
    <w:rsid w:val="002A49AC"/>
    <w:rsid w:val="002A64FD"/>
    <w:rsid w:val="002C7A84"/>
    <w:rsid w:val="002E2BF8"/>
    <w:rsid w:val="002E4FD9"/>
    <w:rsid w:val="0030657A"/>
    <w:rsid w:val="00322A85"/>
    <w:rsid w:val="00324168"/>
    <w:rsid w:val="00330834"/>
    <w:rsid w:val="00344008"/>
    <w:rsid w:val="003448F4"/>
    <w:rsid w:val="00367003"/>
    <w:rsid w:val="00374F5E"/>
    <w:rsid w:val="00377E3E"/>
    <w:rsid w:val="00397A1F"/>
    <w:rsid w:val="003A779E"/>
    <w:rsid w:val="003D0F4D"/>
    <w:rsid w:val="003D5B0D"/>
    <w:rsid w:val="003E0499"/>
    <w:rsid w:val="003E4F80"/>
    <w:rsid w:val="003E6439"/>
    <w:rsid w:val="003F3746"/>
    <w:rsid w:val="003F3941"/>
    <w:rsid w:val="00406575"/>
    <w:rsid w:val="00414C74"/>
    <w:rsid w:val="0042722E"/>
    <w:rsid w:val="0044528D"/>
    <w:rsid w:val="004471F3"/>
    <w:rsid w:val="00465EFD"/>
    <w:rsid w:val="00466E39"/>
    <w:rsid w:val="004A1847"/>
    <w:rsid w:val="004A305D"/>
    <w:rsid w:val="004F21C4"/>
    <w:rsid w:val="004F685F"/>
    <w:rsid w:val="0051538D"/>
    <w:rsid w:val="005566E8"/>
    <w:rsid w:val="00574867"/>
    <w:rsid w:val="00591460"/>
    <w:rsid w:val="005A65E0"/>
    <w:rsid w:val="005B4352"/>
    <w:rsid w:val="005C3777"/>
    <w:rsid w:val="005C5CDC"/>
    <w:rsid w:val="005D476C"/>
    <w:rsid w:val="00604EF4"/>
    <w:rsid w:val="006200BF"/>
    <w:rsid w:val="006219F8"/>
    <w:rsid w:val="006302F7"/>
    <w:rsid w:val="00633BAD"/>
    <w:rsid w:val="00646B9F"/>
    <w:rsid w:val="00653B46"/>
    <w:rsid w:val="00665D70"/>
    <w:rsid w:val="006900D9"/>
    <w:rsid w:val="00692B57"/>
    <w:rsid w:val="006B5B04"/>
    <w:rsid w:val="006D0C8F"/>
    <w:rsid w:val="00706C16"/>
    <w:rsid w:val="007340C3"/>
    <w:rsid w:val="00750FC2"/>
    <w:rsid w:val="0075235A"/>
    <w:rsid w:val="00756841"/>
    <w:rsid w:val="007649AB"/>
    <w:rsid w:val="007714A9"/>
    <w:rsid w:val="00771D0C"/>
    <w:rsid w:val="007833AC"/>
    <w:rsid w:val="007B268C"/>
    <w:rsid w:val="007B7171"/>
    <w:rsid w:val="007C0C0F"/>
    <w:rsid w:val="007C3DC2"/>
    <w:rsid w:val="007E5497"/>
    <w:rsid w:val="0080031B"/>
    <w:rsid w:val="00803C0D"/>
    <w:rsid w:val="00806F5F"/>
    <w:rsid w:val="0081320B"/>
    <w:rsid w:val="00820278"/>
    <w:rsid w:val="008258C9"/>
    <w:rsid w:val="00844AE9"/>
    <w:rsid w:val="008623FE"/>
    <w:rsid w:val="00867F95"/>
    <w:rsid w:val="008843B6"/>
    <w:rsid w:val="00891928"/>
    <w:rsid w:val="008A446D"/>
    <w:rsid w:val="008B25F1"/>
    <w:rsid w:val="008D180B"/>
    <w:rsid w:val="008F0EA7"/>
    <w:rsid w:val="00923EEF"/>
    <w:rsid w:val="009419F9"/>
    <w:rsid w:val="0095685E"/>
    <w:rsid w:val="00961B09"/>
    <w:rsid w:val="00965334"/>
    <w:rsid w:val="0097093E"/>
    <w:rsid w:val="009820E2"/>
    <w:rsid w:val="009A0DFA"/>
    <w:rsid w:val="009A1C6F"/>
    <w:rsid w:val="009B2D26"/>
    <w:rsid w:val="009C71FA"/>
    <w:rsid w:val="009C72E7"/>
    <w:rsid w:val="009C7F7E"/>
    <w:rsid w:val="009D3058"/>
    <w:rsid w:val="009D6AB1"/>
    <w:rsid w:val="009F0373"/>
    <w:rsid w:val="009F3A13"/>
    <w:rsid w:val="00A000A4"/>
    <w:rsid w:val="00A122D3"/>
    <w:rsid w:val="00A14468"/>
    <w:rsid w:val="00A17F13"/>
    <w:rsid w:val="00A20739"/>
    <w:rsid w:val="00A23AF9"/>
    <w:rsid w:val="00A33C78"/>
    <w:rsid w:val="00A56310"/>
    <w:rsid w:val="00AB0ADB"/>
    <w:rsid w:val="00AD75DA"/>
    <w:rsid w:val="00AF4341"/>
    <w:rsid w:val="00B00C0E"/>
    <w:rsid w:val="00B01B1A"/>
    <w:rsid w:val="00B0381D"/>
    <w:rsid w:val="00B43721"/>
    <w:rsid w:val="00B44A47"/>
    <w:rsid w:val="00B72CD3"/>
    <w:rsid w:val="00B72FFF"/>
    <w:rsid w:val="00BC3D36"/>
    <w:rsid w:val="00BD070B"/>
    <w:rsid w:val="00BD54A6"/>
    <w:rsid w:val="00BD7F72"/>
    <w:rsid w:val="00BF7425"/>
    <w:rsid w:val="00C04FB3"/>
    <w:rsid w:val="00C11D8B"/>
    <w:rsid w:val="00C15139"/>
    <w:rsid w:val="00C249D5"/>
    <w:rsid w:val="00C330EB"/>
    <w:rsid w:val="00C50D69"/>
    <w:rsid w:val="00C5365C"/>
    <w:rsid w:val="00C754BE"/>
    <w:rsid w:val="00C76B1C"/>
    <w:rsid w:val="00C86D40"/>
    <w:rsid w:val="00C925AC"/>
    <w:rsid w:val="00CA10AA"/>
    <w:rsid w:val="00CB6357"/>
    <w:rsid w:val="00CC1B26"/>
    <w:rsid w:val="00D361FD"/>
    <w:rsid w:val="00D423A2"/>
    <w:rsid w:val="00D44E26"/>
    <w:rsid w:val="00D520D8"/>
    <w:rsid w:val="00D63AC2"/>
    <w:rsid w:val="00D65C2D"/>
    <w:rsid w:val="00D7383B"/>
    <w:rsid w:val="00D7788A"/>
    <w:rsid w:val="00D96CD3"/>
    <w:rsid w:val="00DA231B"/>
    <w:rsid w:val="00DC39FC"/>
    <w:rsid w:val="00DF383D"/>
    <w:rsid w:val="00DF5254"/>
    <w:rsid w:val="00E02524"/>
    <w:rsid w:val="00E1045A"/>
    <w:rsid w:val="00E16408"/>
    <w:rsid w:val="00E20894"/>
    <w:rsid w:val="00E224C2"/>
    <w:rsid w:val="00E245AB"/>
    <w:rsid w:val="00E2764C"/>
    <w:rsid w:val="00E27F2E"/>
    <w:rsid w:val="00E50AFE"/>
    <w:rsid w:val="00E75C92"/>
    <w:rsid w:val="00E771DC"/>
    <w:rsid w:val="00E8772A"/>
    <w:rsid w:val="00E90F6B"/>
    <w:rsid w:val="00E92C27"/>
    <w:rsid w:val="00EA0E3D"/>
    <w:rsid w:val="00EC38A7"/>
    <w:rsid w:val="00EE1AA8"/>
    <w:rsid w:val="00EF5376"/>
    <w:rsid w:val="00F038A2"/>
    <w:rsid w:val="00F05FB0"/>
    <w:rsid w:val="00F23FEA"/>
    <w:rsid w:val="00F31EDC"/>
    <w:rsid w:val="00F41F2D"/>
    <w:rsid w:val="00F462B3"/>
    <w:rsid w:val="00F55637"/>
    <w:rsid w:val="00F5664F"/>
    <w:rsid w:val="00F666C4"/>
    <w:rsid w:val="00F76AFC"/>
    <w:rsid w:val="00F9720B"/>
    <w:rsid w:val="00FA47C0"/>
    <w:rsid w:val="00FB5DD1"/>
    <w:rsid w:val="00FC2B5D"/>
    <w:rsid w:val="00FC418A"/>
    <w:rsid w:val="00FE432E"/>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C249D5"/>
    <w:rPr>
      <w:rFonts w:ascii="Geomanist Light" w:hAnsi="Geomanist Light"/>
      <w:lang w:val="es-ES"/>
    </w:rPr>
  </w:style>
  <w:style w:type="paragraph" w:customStyle="1" w:styleId="Appelnotedebasde">
    <w:name w:val="Appel note de bas de..."/>
    <w:basedOn w:val="Normal"/>
    <w:link w:val="Refdenotaalpie"/>
    <w:uiPriority w:val="99"/>
    <w:rsid w:val="00C249D5"/>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ducacion@funza-cundinamarca.gov.c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1430EE-0C72-4BE2-B1E0-B6960D854B25}"/>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74</TotalTime>
  <Pages>27</Pages>
  <Words>8900</Words>
  <Characters>48951</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Esperanza Contreras Pedreros</cp:lastModifiedBy>
  <cp:revision>6</cp:revision>
  <cp:lastPrinted>2023-01-10T21:18:00Z</cp:lastPrinted>
  <dcterms:created xsi:type="dcterms:W3CDTF">2026-07-24T20:52:00Z</dcterms:created>
  <dcterms:modified xsi:type="dcterms:W3CDTF">2026-07-25T04:15:00Z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