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FFF0" w14:textId="7ACF62A4" w:rsidR="00DC79C8" w:rsidRDefault="00DC79C8" w:rsidP="00DC79C8">
      <w:pPr>
        <w:spacing w:after="0" w:line="240" w:lineRule="auto"/>
        <w:rPr>
          <w:rFonts w:ascii="Verdana" w:eastAsia="Calibri" w:hAnsi="Verdana" w:cs="Arial"/>
          <w:b/>
          <w:bCs/>
          <w:lang w:val="es-ES" w:eastAsia="es-ES"/>
        </w:rPr>
      </w:pPr>
      <w:bookmarkStart w:id="0" w:name="_Hlk143780582"/>
      <w:r w:rsidRPr="00DC79C8">
        <w:rPr>
          <w:rFonts w:ascii="Verdana" w:eastAsia="Calibri" w:hAnsi="Verdana" w:cs="Arial"/>
          <w:b/>
          <w:bCs/>
          <w:lang w:val="es-ES" w:eastAsia="es-ES"/>
        </w:rPr>
        <w:t>SUBSANABILIDAD – Aplicación – Regla general – Excepciones</w:t>
      </w:r>
    </w:p>
    <w:p w14:paraId="2FC8DAE3" w14:textId="77777777" w:rsidR="00DC79C8" w:rsidRDefault="00DC79C8" w:rsidP="00DC79C8">
      <w:pPr>
        <w:spacing w:after="0" w:line="240" w:lineRule="auto"/>
        <w:rPr>
          <w:rFonts w:ascii="Verdana" w:eastAsia="Calibri" w:hAnsi="Verdana" w:cs="Arial"/>
          <w:b/>
          <w:bCs/>
          <w:lang w:val="es-ES" w:eastAsia="es-ES"/>
        </w:rPr>
      </w:pPr>
    </w:p>
    <w:p w14:paraId="00EB0F28" w14:textId="77777777" w:rsidR="00DC79C8" w:rsidRPr="00DC79C8" w:rsidRDefault="00DC79C8" w:rsidP="00DC79C8">
      <w:pPr>
        <w:spacing w:after="0" w:line="240" w:lineRule="auto"/>
        <w:jc w:val="both"/>
        <w:rPr>
          <w:rFonts w:ascii="Verdana" w:eastAsia="Times New Roman" w:hAnsi="Verdana" w:cs="Arial"/>
          <w:sz w:val="21"/>
          <w:szCs w:val="21"/>
          <w:lang w:val="es-ES_tradnl" w:eastAsia="es-ES_tradnl"/>
        </w:rPr>
      </w:pPr>
      <w:r w:rsidRPr="00DC79C8">
        <w:rPr>
          <w:rFonts w:ascii="Verdana" w:hAnsi="Verdana" w:cs="Arial"/>
          <w:noProof/>
          <w:sz w:val="21"/>
          <w:szCs w:val="21"/>
          <w:lang w:val="es-ES_tradnl"/>
        </w:rPr>
        <w:t>L</w:t>
      </w:r>
      <w:r w:rsidRPr="00DC79C8">
        <w:rPr>
          <w:rFonts w:ascii="Verdana" w:eastAsia="Times New Roman" w:hAnsi="Verdana" w:cs="Arial"/>
          <w:sz w:val="21"/>
          <w:szCs w:val="21"/>
        </w:rPr>
        <w:t>a regla de la subsanabilidad de las ofertas en los procedimientos de selección</w:t>
      </w:r>
      <w:r w:rsidRPr="00DC79C8">
        <w:rPr>
          <w:rFonts w:ascii="Verdana" w:eastAsia="Times New Roman" w:hAnsi="Verdana" w:cs="Arial"/>
          <w:b/>
          <w:bCs/>
          <w:sz w:val="21"/>
          <w:szCs w:val="21"/>
        </w:rPr>
        <w:t xml:space="preserve"> </w:t>
      </w:r>
      <w:r w:rsidRPr="00DC79C8">
        <w:rPr>
          <w:rFonts w:ascii="Verdana" w:eastAsia="Times New Roman" w:hAnsi="Verdana" w:cs="Arial"/>
          <w:sz w:val="21"/>
          <w:szCs w:val="21"/>
          <w:lang w:val="es-ES_tradnl" w:eastAsia="es-ES_tradnl"/>
        </w:rPr>
        <w:t>indica que, por regla general, la falta de entrega y los defectos en la acreditación de los requisitos habilitantes son aspectos subsanables. La excepción a esta regla se encuentra en la prohibición de permitir la entrega de la garantía de seriedad de la oferta que no fue aportada con la propuesta y de valer la acreditación de circunstancias ocurridas con posterioridad al cierre del proceso.</w:t>
      </w:r>
    </w:p>
    <w:p w14:paraId="50983FB2" w14:textId="77777777" w:rsidR="00DC79C8" w:rsidRPr="00DC79C8" w:rsidRDefault="00DC79C8" w:rsidP="00DC79C8">
      <w:pPr>
        <w:spacing w:after="0" w:line="240" w:lineRule="auto"/>
        <w:jc w:val="both"/>
        <w:rPr>
          <w:rFonts w:ascii="Verdana" w:eastAsia="Times New Roman" w:hAnsi="Verdana" w:cs="Arial"/>
          <w:sz w:val="21"/>
          <w:szCs w:val="21"/>
          <w:lang w:val="es-ES_tradnl" w:eastAsia="es-ES_tradnl"/>
        </w:rPr>
      </w:pPr>
    </w:p>
    <w:p w14:paraId="54B1235C" w14:textId="77777777" w:rsidR="00DC79C8" w:rsidRPr="00DC79C8" w:rsidRDefault="00DC79C8" w:rsidP="00DC79C8">
      <w:pPr>
        <w:spacing w:after="0" w:line="240" w:lineRule="auto"/>
        <w:jc w:val="both"/>
        <w:rPr>
          <w:rFonts w:ascii="Verdana" w:eastAsia="Times New Roman" w:hAnsi="Verdana" w:cs="Arial"/>
          <w:sz w:val="21"/>
          <w:szCs w:val="21"/>
          <w:lang w:val="es-ES_tradnl" w:eastAsia="es-ES_tradnl"/>
        </w:rPr>
      </w:pPr>
      <w:r w:rsidRPr="00DC79C8">
        <w:rPr>
          <w:rFonts w:ascii="Verdana" w:eastAsia="Times New Roman" w:hAnsi="Verdana" w:cs="Arial"/>
          <w:sz w:val="21"/>
          <w:szCs w:val="21"/>
          <w:lang w:val="es-ES_tradnl" w:eastAsia="es-ES_tradnl"/>
        </w:rPr>
        <w:t xml:space="preserve">La posibilidad de enmendar, corregir o subsanar los errores en los que se incurre en los documentos contentivos de la oferta es un tema que ha tenido diferentes momentos o etapas en el ordenamiento jurídico colombiano. En atención a </w:t>
      </w:r>
      <w:r w:rsidRPr="00DC79C8">
        <w:rPr>
          <w:rFonts w:ascii="Verdana" w:eastAsia="Times New Roman" w:hAnsi="Verdana" w:cs="Arial"/>
          <w:sz w:val="21"/>
          <w:szCs w:val="21"/>
          <w:lang w:val="es-ES" w:eastAsia="es-ES"/>
        </w:rPr>
        <w:t xml:space="preserve">lo anterior, a continuación, se hará referencia en forma general a los antecedentes de las diferentes posturas en torno a la subsanabilidad. </w:t>
      </w:r>
    </w:p>
    <w:p w14:paraId="628A8B16" w14:textId="77777777" w:rsidR="00DC79C8" w:rsidRPr="00DC79C8" w:rsidRDefault="00DC79C8" w:rsidP="00DC79C8">
      <w:pPr>
        <w:spacing w:after="0" w:line="240" w:lineRule="auto"/>
        <w:jc w:val="both"/>
        <w:rPr>
          <w:rFonts w:ascii="Verdana" w:eastAsia="Geomanist Light" w:hAnsi="Verdana" w:cs="Arial"/>
          <w:b/>
          <w:bCs/>
          <w:color w:val="000000" w:themeColor="text1"/>
          <w:lang w:val="es-ES_tradnl"/>
        </w:rPr>
      </w:pPr>
    </w:p>
    <w:p w14:paraId="0D7FB392" w14:textId="0C27AA1A" w:rsidR="00DC79C8" w:rsidRPr="00DC79C8" w:rsidRDefault="00DC79C8" w:rsidP="00DC79C8">
      <w:pPr>
        <w:spacing w:after="0" w:line="240" w:lineRule="auto"/>
        <w:jc w:val="both"/>
        <w:rPr>
          <w:rFonts w:ascii="Verdana" w:eastAsia="Geomanist Light" w:hAnsi="Verdana" w:cs="Arial"/>
          <w:b/>
          <w:bCs/>
          <w:color w:val="000000" w:themeColor="text1"/>
          <w:lang w:val="es-ES"/>
        </w:rPr>
      </w:pPr>
      <w:r w:rsidRPr="00DC79C8">
        <w:rPr>
          <w:rFonts w:ascii="Verdana" w:eastAsia="Calibri" w:hAnsi="Verdana" w:cs="Arial"/>
          <w:b/>
          <w:bCs/>
          <w:lang w:val="es-ES" w:eastAsia="es-ES"/>
        </w:rPr>
        <w:t>SUBSANABILIDAD DE LAS OFERTAS – Alcance de la regla – Ley 1882 de</w:t>
      </w:r>
      <w:r>
        <w:rPr>
          <w:rFonts w:ascii="Verdana" w:eastAsia="Calibri" w:hAnsi="Verdana" w:cs="Arial"/>
          <w:b/>
          <w:bCs/>
          <w:lang w:val="es-ES" w:eastAsia="es-ES"/>
        </w:rPr>
        <w:t xml:space="preserve"> </w:t>
      </w:r>
      <w:r w:rsidRPr="00DC79C8">
        <w:rPr>
          <w:rFonts w:ascii="Verdana" w:eastAsia="Calibri" w:hAnsi="Verdana" w:cs="Arial"/>
          <w:b/>
          <w:bCs/>
          <w:lang w:val="es-ES" w:eastAsia="es-ES"/>
        </w:rPr>
        <w:t>2018– Ámbito temporal – Criterio materia</w:t>
      </w:r>
      <w:r>
        <w:rPr>
          <w:rFonts w:ascii="Verdana" w:eastAsia="Calibri" w:hAnsi="Verdana" w:cs="Arial"/>
          <w:b/>
          <w:bCs/>
          <w:lang w:val="es-ES" w:eastAsia="es-ES"/>
        </w:rPr>
        <w:t xml:space="preserve">l </w:t>
      </w:r>
      <w:r w:rsidR="00F87079" w:rsidRPr="00F87079">
        <w:rPr>
          <w:rFonts w:ascii="Verdana" w:eastAsia="Calibri" w:hAnsi="Verdana" w:cs="Arial"/>
          <w:b/>
          <w:bCs/>
          <w:lang w:val="es-ES" w:eastAsia="es-ES"/>
        </w:rPr>
        <w:t>–</w:t>
      </w:r>
      <w:r>
        <w:rPr>
          <w:rFonts w:ascii="Verdana" w:eastAsia="Calibri" w:hAnsi="Verdana" w:cs="Arial"/>
          <w:b/>
          <w:bCs/>
          <w:lang w:val="es-ES" w:eastAsia="es-ES"/>
        </w:rPr>
        <w:t xml:space="preserve"> </w:t>
      </w:r>
      <w:r w:rsidRPr="00DC79C8">
        <w:rPr>
          <w:rFonts w:ascii="Verdana" w:eastAsia="Calibri" w:hAnsi="Verdana" w:cs="Arial"/>
          <w:b/>
          <w:bCs/>
          <w:lang w:val="es-ES" w:eastAsia="es-ES"/>
        </w:rPr>
        <w:t xml:space="preserve">CAUSALES DE RECHAZO DE LAS OFERTAS – Origen – Límites en su configuración </w:t>
      </w:r>
      <w:r w:rsidR="00F87079" w:rsidRPr="00F87079">
        <w:rPr>
          <w:rFonts w:ascii="Verdana" w:eastAsia="Calibri" w:hAnsi="Verdana" w:cs="Arial"/>
          <w:b/>
          <w:bCs/>
          <w:lang w:val="es-ES" w:eastAsia="es-ES"/>
        </w:rPr>
        <w:t>–</w:t>
      </w:r>
      <w:r w:rsidRPr="00DC79C8">
        <w:rPr>
          <w:rFonts w:ascii="Verdana" w:eastAsia="Calibri" w:hAnsi="Verdana" w:cs="Arial"/>
          <w:b/>
          <w:bCs/>
          <w:lang w:val="es-ES" w:eastAsia="es-ES"/>
        </w:rPr>
        <w:t xml:space="preserve"> CAUSALES DE RECHAZO – Procedencia</w:t>
      </w:r>
    </w:p>
    <w:p w14:paraId="31E4DB83" w14:textId="77189EF5" w:rsidR="00DC79C8" w:rsidRDefault="00DC79C8" w:rsidP="00DC79C8">
      <w:pPr>
        <w:spacing w:after="0" w:line="240" w:lineRule="auto"/>
        <w:jc w:val="both"/>
        <w:rPr>
          <w:rFonts w:ascii="Verdana" w:eastAsia="Calibri" w:hAnsi="Verdana" w:cs="Arial"/>
          <w:b/>
          <w:bCs/>
          <w:lang w:val="es-ES" w:eastAsia="es-ES"/>
        </w:rPr>
      </w:pPr>
    </w:p>
    <w:p w14:paraId="012B84A2" w14:textId="77777777" w:rsidR="00DC79C8" w:rsidRPr="00DC79C8" w:rsidRDefault="00DC79C8" w:rsidP="00DC79C8">
      <w:pPr>
        <w:spacing w:after="120" w:line="240" w:lineRule="auto"/>
        <w:jc w:val="both"/>
        <w:rPr>
          <w:rFonts w:ascii="Verdana" w:eastAsia="Times New Roman" w:hAnsi="Verdana" w:cs="Arial"/>
          <w:sz w:val="21"/>
          <w:szCs w:val="21"/>
          <w:lang w:val="es-ES" w:eastAsia="es-ES"/>
        </w:rPr>
      </w:pPr>
      <w:r w:rsidRPr="00DC79C8">
        <w:rPr>
          <w:rFonts w:ascii="Verdana" w:eastAsia="Times New Roman" w:hAnsi="Verdana" w:cs="Arial"/>
          <w:sz w:val="21"/>
          <w:szCs w:val="21"/>
          <w:lang w:val="es-ES" w:eastAsia="es-ES"/>
        </w:rPr>
        <w:t>Bajo el amparo de esta norma, el régimen jurídico de subsanabilidad de las ofertas sufre un cambio fundamental, pues ya no era posible rechazar las ofertas por falta de requisitos o documentos que no fueran “</w:t>
      </w:r>
      <w:r w:rsidRPr="00DC79C8">
        <w:rPr>
          <w:rFonts w:ascii="Verdana" w:eastAsia="Times New Roman" w:hAnsi="Verdana" w:cs="Arial"/>
          <w:i/>
          <w:sz w:val="21"/>
          <w:szCs w:val="21"/>
          <w:lang w:val="es-ES" w:eastAsia="es-ES"/>
        </w:rPr>
        <w:t>necesarios para la comparación de propuestas”.</w:t>
      </w:r>
      <w:r w:rsidRPr="00DC79C8">
        <w:rPr>
          <w:rFonts w:ascii="Verdana" w:eastAsia="Times New Roman" w:hAnsi="Verdana" w:cs="Arial"/>
          <w:sz w:val="21"/>
          <w:szCs w:val="21"/>
          <w:lang w:val="es-ES" w:eastAsia="es-ES"/>
        </w:rPr>
        <w:t xml:space="preserve"> De esta manera, la ley introdujo un primer criterio jurídico, aunque indeterminado, que servía como punto de partida en la posibilidad de subsanar las ofertas, pues, verificada la ausencia de un requisito o documento, previo al rechazo de la oferta, la Administración debía constatar si este era o no necesario para la comparación de las propuestas y de ese análisis surgiría la decisión sobre su rechazo o la oportunidad de subsanar. </w:t>
      </w:r>
    </w:p>
    <w:p w14:paraId="7D8BD9DE" w14:textId="620B8A39" w:rsidR="00DC79C8" w:rsidRPr="00DC79C8" w:rsidRDefault="00DC79C8" w:rsidP="00DC79C8">
      <w:pPr>
        <w:spacing w:after="120" w:line="240" w:lineRule="auto"/>
        <w:jc w:val="both"/>
        <w:rPr>
          <w:rFonts w:ascii="Verdana" w:eastAsia="Times New Roman" w:hAnsi="Verdana" w:cs="Arial"/>
          <w:sz w:val="21"/>
          <w:szCs w:val="21"/>
          <w:lang w:val="es-ES_tradnl" w:eastAsia="es-ES_tradnl"/>
        </w:rPr>
      </w:pPr>
      <w:r w:rsidRPr="00DC79C8">
        <w:rPr>
          <w:rFonts w:ascii="Verdana" w:eastAsia="Times New Roman" w:hAnsi="Verdana" w:cs="Arial"/>
          <w:sz w:val="21"/>
          <w:szCs w:val="21"/>
          <w:lang w:val="es-ES_tradnl" w:eastAsia="es-ES_tradnl"/>
        </w:rPr>
        <w:t xml:space="preserve">Esta norma debía leerse en conjunto con otras de la Ley 80 de 1993, particularmente con el artículo 30.7, que ordena a la entidad señalar un plazo razonable para evaluar las propuestas y para pedir a los proponentes, de ser necesario, que aclaren o expliquen aspectos que ofrezcan dudas y resulten indispensables para llevar a cabo la evaluación. Así mismo, con el artículo 30.8, que consagró el término de cinco (5) días hábiles para que los oferentes presenten observaciones al informe de evaluación de las propuestas, sin que sea posible completar, adicionar, modificar o mejorar su oferta.  </w:t>
      </w:r>
    </w:p>
    <w:p w14:paraId="7932217E" w14:textId="77777777" w:rsidR="00DC79C8" w:rsidRPr="00DC79C8" w:rsidRDefault="00DC79C8" w:rsidP="00DC79C8">
      <w:pPr>
        <w:spacing w:after="120" w:line="240" w:lineRule="auto"/>
        <w:jc w:val="both"/>
        <w:rPr>
          <w:rFonts w:ascii="Verdana" w:eastAsia="Times New Roman" w:hAnsi="Verdana" w:cs="Arial"/>
          <w:sz w:val="21"/>
          <w:szCs w:val="21"/>
          <w:lang w:val="es-ES" w:eastAsia="es-ES"/>
        </w:rPr>
      </w:pPr>
      <w:r w:rsidRPr="00DC79C8">
        <w:rPr>
          <w:rFonts w:ascii="Verdana" w:eastAsia="Times New Roman" w:hAnsi="Verdana" w:cs="Arial"/>
          <w:sz w:val="21"/>
          <w:szCs w:val="21"/>
          <w:lang w:val="es-ES" w:eastAsia="es-ES"/>
        </w:rPr>
        <w:t xml:space="preserve">A partir de la lectura integrada de estas tres normas debía concluirse que con la Ley 80 de 1993 era posible subsanar las propuestas, y la omisión o el error en algún aspecto de esta no podía llevar a su rechazo, sin antes verificar que lo omitido fuera un aspecto necesario para la comparación. </w:t>
      </w:r>
    </w:p>
    <w:p w14:paraId="4D602898" w14:textId="77777777" w:rsidR="00DC79C8" w:rsidRDefault="00DC79C8" w:rsidP="005164E5">
      <w:pPr>
        <w:spacing w:after="0" w:line="240" w:lineRule="auto"/>
        <w:rPr>
          <w:rFonts w:ascii="Verdana" w:eastAsia="Geomanist Light" w:hAnsi="Verdana" w:cs="Arial"/>
          <w:color w:val="000000" w:themeColor="text1"/>
          <w:lang w:val="es-MX"/>
        </w:rPr>
      </w:pPr>
    </w:p>
    <w:p w14:paraId="30024D1D" w14:textId="188253C0" w:rsidR="005164E5" w:rsidRPr="0050687B" w:rsidRDefault="005164E5" w:rsidP="005164E5">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0F1D22">
        <w:rPr>
          <w:rFonts w:ascii="Verdana" w:eastAsia="Geomanist Light" w:hAnsi="Verdana" w:cs="Arial"/>
          <w:color w:val="201F1E"/>
          <w:lang w:val="es-MX"/>
        </w:rPr>
        <w:t>2</w:t>
      </w:r>
      <w:r w:rsidR="00F87079">
        <w:rPr>
          <w:rFonts w:ascii="Verdana" w:eastAsia="Geomanist Light" w:hAnsi="Verdana" w:cs="Arial"/>
          <w:color w:val="201F1E"/>
          <w:lang w:val="es-MX"/>
        </w:rPr>
        <w:t>4</w:t>
      </w:r>
      <w:r w:rsidR="000F1D22">
        <w:rPr>
          <w:rFonts w:ascii="Verdana" w:eastAsia="Geomanist Light" w:hAnsi="Verdana" w:cs="Arial"/>
          <w:color w:val="201F1E"/>
          <w:lang w:val="es-MX"/>
        </w:rPr>
        <w:t xml:space="preserve"> </w:t>
      </w:r>
      <w:r w:rsidRPr="00CF64C0">
        <w:rPr>
          <w:rFonts w:ascii="Verdana" w:eastAsia="Geomanist Light" w:hAnsi="Verdana" w:cs="Arial"/>
          <w:color w:val="201F1E"/>
          <w:lang w:val="es-MX"/>
        </w:rPr>
        <w:t xml:space="preserve">de </w:t>
      </w:r>
      <w:r w:rsidR="000F1D22">
        <w:rPr>
          <w:rFonts w:ascii="Verdana" w:eastAsia="Geomanist Light" w:hAnsi="Verdana" w:cs="Arial"/>
          <w:color w:val="201F1E"/>
          <w:lang w:val="es-MX"/>
        </w:rPr>
        <w:t>julio</w:t>
      </w:r>
      <w:r w:rsidRPr="00CF64C0">
        <w:rPr>
          <w:rFonts w:ascii="Verdana" w:eastAsia="Geomanist Light" w:hAnsi="Verdana" w:cs="Arial"/>
          <w:color w:val="201F1E"/>
          <w:lang w:val="es-MX"/>
        </w:rPr>
        <w:t xml:space="preserve"> de </w:t>
      </w:r>
      <w:r w:rsidR="000F1D22">
        <w:rPr>
          <w:rFonts w:ascii="Verdana" w:eastAsia="Geomanist Light" w:hAnsi="Verdana" w:cs="Arial"/>
          <w:color w:val="201F1E"/>
          <w:lang w:val="es-MX"/>
        </w:rPr>
        <w:t>2026</w:t>
      </w:r>
    </w:p>
    <w:p w14:paraId="63552048" w14:textId="5E903390" w:rsidR="005164E5" w:rsidRDefault="005164E5" w:rsidP="005164E5">
      <w:pPr>
        <w:spacing w:after="0" w:line="240" w:lineRule="auto"/>
        <w:jc w:val="both"/>
        <w:rPr>
          <w:rFonts w:ascii="Verdana" w:eastAsia="Calibri" w:hAnsi="Verdana" w:cs="Arial"/>
          <w:color w:val="000000" w:themeColor="text1"/>
          <w:lang w:val="es-ES"/>
        </w:rPr>
      </w:pPr>
    </w:p>
    <w:p w14:paraId="53C466B0" w14:textId="4F063BDA" w:rsidR="005164E5" w:rsidRDefault="005164E5" w:rsidP="000F1D22">
      <w:pPr>
        <w:spacing w:after="0" w:line="240" w:lineRule="auto"/>
        <w:ind w:left="4956"/>
        <w:jc w:val="both"/>
        <w:rPr>
          <w:rFonts w:ascii="Verdana" w:eastAsia="Calibri" w:hAnsi="Verdana" w:cs="Arial"/>
          <w:color w:val="000000" w:themeColor="text1"/>
          <w:lang w:val="es-ES"/>
        </w:rPr>
      </w:pPr>
    </w:p>
    <w:p w14:paraId="28BBB678" w14:textId="5D16FFB7" w:rsidR="005164E5" w:rsidRPr="008B2C55" w:rsidRDefault="00F87079" w:rsidP="005164E5">
      <w:pPr>
        <w:spacing w:after="0" w:line="240" w:lineRule="auto"/>
        <w:jc w:val="both"/>
        <w:rPr>
          <w:rFonts w:ascii="Verdana" w:eastAsia="Calibri" w:hAnsi="Verdana" w:cs="Arial"/>
          <w:color w:val="000000" w:themeColor="text1"/>
          <w:lang w:val="pt-PT" w:eastAsia="es-ES"/>
        </w:rPr>
      </w:pPr>
      <w:r w:rsidRPr="000F1D22">
        <w:rPr>
          <w:rFonts w:ascii="Verdana" w:eastAsia="Calibri" w:hAnsi="Verdana" w:cs="Arial"/>
          <w:noProof/>
          <w:color w:val="000000" w:themeColor="text1"/>
          <w:lang w:val="es-ES"/>
        </w:rPr>
        <w:drawing>
          <wp:anchor distT="0" distB="0" distL="114300" distR="114300" simplePos="0" relativeHeight="251658240" behindDoc="0" locked="0" layoutInCell="1" allowOverlap="1" wp14:anchorId="2C748E01" wp14:editId="787120C0">
            <wp:simplePos x="0" y="0"/>
            <wp:positionH relativeFrom="margin">
              <wp:align>right</wp:align>
            </wp:positionH>
            <wp:positionV relativeFrom="paragraph">
              <wp:posOffset>8558</wp:posOffset>
            </wp:positionV>
            <wp:extent cx="2739390" cy="826770"/>
            <wp:effectExtent l="0" t="0" r="3810" b="0"/>
            <wp:wrapSquare wrapText="bothSides"/>
            <wp:docPr id="1491190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90425" name=""/>
                    <pic:cNvPicPr/>
                  </pic:nvPicPr>
                  <pic:blipFill>
                    <a:blip r:embed="rId10">
                      <a:extLst>
                        <a:ext uri="{28A0092B-C50C-407E-A947-70E740481C1C}">
                          <a14:useLocalDpi xmlns:a14="http://schemas.microsoft.com/office/drawing/2010/main" val="0"/>
                        </a:ext>
                      </a:extLst>
                    </a:blip>
                    <a:stretch>
                      <a:fillRect/>
                    </a:stretch>
                  </pic:blipFill>
                  <pic:spPr>
                    <a:xfrm>
                      <a:off x="0" y="0"/>
                      <a:ext cx="2746775" cy="829164"/>
                    </a:xfrm>
                    <a:prstGeom prst="rect">
                      <a:avLst/>
                    </a:prstGeom>
                  </pic:spPr>
                </pic:pic>
              </a:graphicData>
            </a:graphic>
            <wp14:sizeRelH relativeFrom="margin">
              <wp14:pctWidth>0</wp14:pctWidth>
            </wp14:sizeRelH>
            <wp14:sizeRelV relativeFrom="margin">
              <wp14:pctHeight>0</wp14:pctHeight>
            </wp14:sizeRelV>
          </wp:anchor>
        </w:drawing>
      </w:r>
      <w:r w:rsidR="005164E5" w:rsidRPr="008B2C55">
        <w:rPr>
          <w:rFonts w:ascii="Verdana" w:eastAsia="Calibri" w:hAnsi="Verdana" w:cs="Arial"/>
          <w:color w:val="000000" w:themeColor="text1"/>
          <w:lang w:val="pt-PT" w:eastAsia="es-ES"/>
        </w:rPr>
        <w:t>Señora</w:t>
      </w:r>
    </w:p>
    <w:p w14:paraId="4453D576" w14:textId="0CBC474D" w:rsidR="005164E5" w:rsidRPr="008B2C55" w:rsidRDefault="005164E5" w:rsidP="005164E5">
      <w:pPr>
        <w:spacing w:after="0" w:line="240" w:lineRule="auto"/>
        <w:rPr>
          <w:rFonts w:ascii="Verdana" w:eastAsia="Calibri" w:hAnsi="Verdana" w:cs="Arial"/>
          <w:b/>
          <w:bCs/>
          <w:lang w:val="pt-PT" w:eastAsia="es-ES"/>
        </w:rPr>
      </w:pPr>
      <w:r w:rsidRPr="008B2C55">
        <w:rPr>
          <w:rFonts w:ascii="Verdana" w:eastAsia="Calibri" w:hAnsi="Verdana" w:cs="Arial"/>
          <w:b/>
          <w:bCs/>
          <w:lang w:val="pt-PT" w:eastAsia="es-ES"/>
        </w:rPr>
        <w:t>Rocio Gomez Mejia</w:t>
      </w:r>
    </w:p>
    <w:p w14:paraId="5F30EEBA" w14:textId="77777777" w:rsidR="005164E5" w:rsidRPr="008B2C55" w:rsidRDefault="005164E5" w:rsidP="005164E5">
      <w:pPr>
        <w:spacing w:after="0" w:line="240" w:lineRule="auto"/>
        <w:rPr>
          <w:rFonts w:ascii="Verdana" w:eastAsia="Calibri" w:hAnsi="Verdana" w:cs="Arial"/>
          <w:b/>
          <w:bCs/>
          <w:lang w:val="pt-PT" w:eastAsia="es-ES"/>
        </w:rPr>
      </w:pPr>
      <w:hyperlink r:id="rId11" w:history="1">
        <w:r w:rsidRPr="008B2C55">
          <w:rPr>
            <w:rStyle w:val="Hipervnculo"/>
            <w:rFonts w:ascii="Verdana" w:eastAsia="Calibri" w:hAnsi="Verdana" w:cs="Arial"/>
            <w:lang w:val="pt-PT" w:eastAsia="es-ES"/>
          </w:rPr>
          <w:t>rocio_gomezmejia@gmail.com</w:t>
        </w:r>
      </w:hyperlink>
      <w:r w:rsidRPr="008B2C55">
        <w:rPr>
          <w:rFonts w:ascii="Verdana" w:eastAsia="Calibri" w:hAnsi="Verdana" w:cs="Arial"/>
          <w:lang w:val="pt-PT" w:eastAsia="es-ES"/>
        </w:rPr>
        <w:t xml:space="preserve"> </w:t>
      </w:r>
    </w:p>
    <w:p w14:paraId="73432DC2" w14:textId="77777777" w:rsidR="005164E5" w:rsidRPr="008B2C55" w:rsidRDefault="005164E5" w:rsidP="005164E5">
      <w:pPr>
        <w:spacing w:after="0" w:line="240" w:lineRule="auto"/>
        <w:rPr>
          <w:rFonts w:ascii="Verdana" w:eastAsia="Calibri" w:hAnsi="Verdana" w:cs="Arial"/>
          <w:lang w:val="pt-PT" w:eastAsia="es-ES"/>
        </w:rPr>
      </w:pPr>
      <w:r w:rsidRPr="008B2C55">
        <w:rPr>
          <w:rFonts w:ascii="Verdana" w:eastAsia="Calibri" w:hAnsi="Verdana" w:cs="Arial"/>
          <w:lang w:val="pt-PT" w:eastAsia="es-ES"/>
        </w:rPr>
        <w:t xml:space="preserve">Bucaramanga, </w:t>
      </w:r>
      <w:r>
        <w:rPr>
          <w:rFonts w:ascii="Verdana" w:eastAsia="Calibri" w:hAnsi="Verdana" w:cs="Arial"/>
          <w:lang w:val="pt-PT" w:eastAsia="es-ES"/>
        </w:rPr>
        <w:t>Santander</w:t>
      </w:r>
    </w:p>
    <w:p w14:paraId="733F63A9" w14:textId="77777777" w:rsidR="005164E5" w:rsidRPr="008B2C55" w:rsidRDefault="005164E5" w:rsidP="005164E5">
      <w:pPr>
        <w:spacing w:after="0" w:line="240" w:lineRule="auto"/>
        <w:rPr>
          <w:rFonts w:ascii="Verdana" w:eastAsia="Calibri" w:hAnsi="Verdana" w:cs="Arial"/>
          <w:b/>
          <w:bCs/>
          <w:color w:val="000000" w:themeColor="text1"/>
          <w:lang w:val="pt-PT"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5164E5" w:rsidRPr="00115E3D" w14:paraId="2A11A02D" w14:textId="77777777" w:rsidTr="00DC79C8">
        <w:trPr>
          <w:trHeight w:val="733"/>
        </w:trPr>
        <w:tc>
          <w:tcPr>
            <w:tcW w:w="2270" w:type="dxa"/>
          </w:tcPr>
          <w:p w14:paraId="61DF31B8" w14:textId="77777777" w:rsidR="005164E5" w:rsidRPr="008B2C55" w:rsidRDefault="005164E5" w:rsidP="0038727B">
            <w:pPr>
              <w:jc w:val="both"/>
              <w:rPr>
                <w:rFonts w:ascii="Verdana" w:eastAsia="Calibri" w:hAnsi="Verdana" w:cs="Arial"/>
                <w:b/>
                <w:bCs/>
                <w:color w:val="000000" w:themeColor="text1"/>
                <w:lang w:val="pt-PT" w:eastAsia="es-ES_tradnl"/>
              </w:rPr>
            </w:pPr>
          </w:p>
        </w:tc>
        <w:tc>
          <w:tcPr>
            <w:tcW w:w="6547" w:type="dxa"/>
          </w:tcPr>
          <w:p w14:paraId="4A834C44" w14:textId="7A34D115" w:rsidR="005164E5" w:rsidRPr="008A209A" w:rsidRDefault="005164E5" w:rsidP="0038727B">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Concepto C-</w:t>
            </w:r>
            <w:r w:rsidR="00F87079">
              <w:rPr>
                <w:rFonts w:ascii="Verdana" w:eastAsia="Calibri" w:hAnsi="Verdana" w:cs="Arial"/>
                <w:b/>
                <w:bCs/>
                <w:color w:val="000000" w:themeColor="text1"/>
                <w:lang w:val="es-ES" w:eastAsia="es-ES"/>
              </w:rPr>
              <w:t>962</w:t>
            </w:r>
            <w:r>
              <w:rPr>
                <w:rFonts w:ascii="Verdana" w:eastAsia="Calibri" w:hAnsi="Verdana" w:cs="Arial"/>
                <w:b/>
                <w:bCs/>
                <w:color w:val="000000" w:themeColor="text1"/>
                <w:lang w:val="es-ES" w:eastAsia="es-ES"/>
              </w:rPr>
              <w:t xml:space="preserve"> </w:t>
            </w:r>
            <w:r w:rsidRPr="008A209A">
              <w:rPr>
                <w:rFonts w:ascii="Verdana" w:eastAsia="Calibri" w:hAnsi="Verdana" w:cs="Arial"/>
                <w:b/>
                <w:bCs/>
                <w:color w:val="000000" w:themeColor="text1"/>
                <w:lang w:val="es-ES" w:eastAsia="es-ES"/>
              </w:rPr>
              <w:t>de 2026</w:t>
            </w:r>
          </w:p>
        </w:tc>
      </w:tr>
      <w:tr w:rsidR="005164E5" w:rsidRPr="007E403E" w14:paraId="7E37BC46" w14:textId="77777777" w:rsidTr="0038727B">
        <w:trPr>
          <w:trHeight w:val="1071"/>
        </w:trPr>
        <w:tc>
          <w:tcPr>
            <w:tcW w:w="2270" w:type="dxa"/>
          </w:tcPr>
          <w:p w14:paraId="013A9F2A" w14:textId="77777777" w:rsidR="005164E5" w:rsidRPr="001B36DA" w:rsidRDefault="005164E5" w:rsidP="0038727B">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40F8C64E" w14:textId="77777777" w:rsidR="005164E5" w:rsidRPr="0086590B" w:rsidRDefault="005164E5" w:rsidP="0038727B">
            <w:pPr>
              <w:jc w:val="both"/>
              <w:rPr>
                <w:rFonts w:ascii="Verdana" w:eastAsia="Calibri" w:hAnsi="Verdana" w:cs="Arial"/>
                <w:lang w:eastAsia="es-ES"/>
              </w:rPr>
            </w:pPr>
            <w:r w:rsidRPr="00F313C1">
              <w:rPr>
                <w:rFonts w:ascii="Verdana" w:eastAsia="Calibri" w:hAnsi="Verdana" w:cs="Arial"/>
                <w:lang w:val="es-ES" w:eastAsia="es-ES"/>
              </w:rPr>
              <w:t>SUBSANABILIDAD – Aplicación – Regla general – Excepciones / SUBSANABILIDAD DE LAS OFERTAS – Alcance de la regla – Ley 1882 de 2018– Ámbito temporal – Criterio material / CAUSALES DE RECHAZO DE LAS OFERTAS – Origen – Límites en su configuración / CAUSALES DE RECHAZO – Procedencia</w:t>
            </w:r>
          </w:p>
          <w:p w14:paraId="22DC7315" w14:textId="77777777" w:rsidR="005164E5" w:rsidRPr="00103B36" w:rsidRDefault="005164E5" w:rsidP="0038727B">
            <w:pPr>
              <w:jc w:val="both"/>
              <w:rPr>
                <w:rFonts w:ascii="Verdana" w:eastAsia="Calibri" w:hAnsi="Verdana" w:cs="Arial"/>
                <w:color w:val="000000" w:themeColor="text1"/>
                <w:highlight w:val="yellow"/>
                <w:lang w:val="es-ES" w:eastAsia="es-ES"/>
              </w:rPr>
            </w:pPr>
            <w:r w:rsidRPr="00A272D1">
              <w:rPr>
                <w:rFonts w:ascii="Verdana" w:eastAsia="Calibri" w:hAnsi="Verdana" w:cs="Arial"/>
                <w:lang w:val="es-MX"/>
              </w:rPr>
              <w:t xml:space="preserve"> </w:t>
            </w:r>
          </w:p>
        </w:tc>
      </w:tr>
      <w:tr w:rsidR="005164E5" w:rsidRPr="00115E3D" w14:paraId="54B5001C" w14:textId="77777777" w:rsidTr="0038727B">
        <w:trPr>
          <w:trHeight w:val="653"/>
        </w:trPr>
        <w:tc>
          <w:tcPr>
            <w:tcW w:w="2270" w:type="dxa"/>
          </w:tcPr>
          <w:p w14:paraId="3B3ECCDB" w14:textId="77777777" w:rsidR="005164E5" w:rsidRPr="00CB7ABE" w:rsidRDefault="005164E5" w:rsidP="0038727B">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7345B81C" w14:textId="3393B663" w:rsidR="005164E5" w:rsidRPr="00CB7ABE" w:rsidRDefault="005164E5" w:rsidP="0038727B">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8B2C55">
              <w:rPr>
                <w:rFonts w:ascii="Verdana" w:eastAsia="Calibri" w:hAnsi="Verdana" w:cs="Arial"/>
                <w:color w:val="000000" w:themeColor="text1"/>
                <w:lang w:val="es-ES_tradnl" w:eastAsia="es-ES_tradnl"/>
              </w:rPr>
              <w:t>1_2026_06_11_007971</w:t>
            </w:r>
          </w:p>
        </w:tc>
      </w:tr>
      <w:tr w:rsidR="005164E5" w:rsidRPr="00115E3D" w14:paraId="13A7577B" w14:textId="77777777" w:rsidTr="0038727B">
        <w:trPr>
          <w:trHeight w:val="278"/>
        </w:trPr>
        <w:tc>
          <w:tcPr>
            <w:tcW w:w="2270" w:type="dxa"/>
          </w:tcPr>
          <w:p w14:paraId="3ED2086A" w14:textId="77777777" w:rsidR="005164E5" w:rsidRPr="00CB7ABE" w:rsidRDefault="005164E5" w:rsidP="0038727B">
            <w:pPr>
              <w:jc w:val="both"/>
              <w:rPr>
                <w:rFonts w:ascii="Verdana" w:eastAsia="Calibri" w:hAnsi="Verdana" w:cs="Arial"/>
                <w:b/>
                <w:color w:val="000000" w:themeColor="text1"/>
                <w:lang w:val="es-ES_tradnl" w:eastAsia="es-ES_tradnl"/>
              </w:rPr>
            </w:pPr>
          </w:p>
        </w:tc>
        <w:tc>
          <w:tcPr>
            <w:tcW w:w="6547" w:type="dxa"/>
          </w:tcPr>
          <w:p w14:paraId="1A99A6F9" w14:textId="77777777" w:rsidR="005164E5" w:rsidRPr="00CB7ABE" w:rsidRDefault="005164E5" w:rsidP="0038727B">
            <w:pPr>
              <w:ind w:right="1"/>
              <w:jc w:val="both"/>
              <w:rPr>
                <w:rFonts w:ascii="Verdana" w:eastAsia="Calibri" w:hAnsi="Verdana" w:cs="Arial"/>
                <w:color w:val="000000" w:themeColor="text1"/>
                <w:lang w:val="es-ES_tradnl" w:eastAsia="es-ES_tradnl"/>
              </w:rPr>
            </w:pPr>
          </w:p>
        </w:tc>
      </w:tr>
    </w:tbl>
    <w:p w14:paraId="15D3C5EE" w14:textId="77777777" w:rsidR="005164E5" w:rsidRPr="00115E3D" w:rsidRDefault="005164E5" w:rsidP="005164E5">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o </w:t>
      </w:r>
      <w:r w:rsidRPr="00115E3D">
        <w:rPr>
          <w:rFonts w:ascii="Verdana" w:eastAsia="Calibri" w:hAnsi="Verdana" w:cs="Arial"/>
          <w:color w:val="000000" w:themeColor="text1"/>
          <w:lang w:val="es-ES" w:eastAsia="es-ES"/>
        </w:rPr>
        <w:t>seño</w:t>
      </w:r>
      <w:r>
        <w:rPr>
          <w:rFonts w:ascii="Verdana" w:eastAsia="Calibri" w:hAnsi="Verdana" w:cs="Arial"/>
          <w:color w:val="000000" w:themeColor="text1"/>
          <w:lang w:val="es-ES" w:eastAsia="es-ES"/>
        </w:rPr>
        <w:t>ra Gómez Mejia;</w:t>
      </w:r>
    </w:p>
    <w:p w14:paraId="785CF06F" w14:textId="77777777" w:rsidR="005164E5" w:rsidRPr="00115E3D" w:rsidRDefault="005164E5" w:rsidP="005164E5">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2080BC46" w14:textId="77777777" w:rsidR="005164E5" w:rsidRDefault="005164E5" w:rsidP="005164E5">
      <w:pPr>
        <w:spacing w:after="0" w:line="276" w:lineRule="auto"/>
        <w:jc w:val="both"/>
        <w:rPr>
          <w:rFonts w:ascii="Verdana" w:eastAsia="Calibri" w:hAnsi="Verdana" w:cs="Arial"/>
          <w:lang w:val="es-ES" w:eastAsia="es-ES"/>
        </w:rPr>
      </w:pPr>
      <w:bookmarkStart w:id="1" w:name="_Hlk95313578"/>
      <w:r w:rsidRPr="006B694D">
        <w:rPr>
          <w:rFonts w:ascii="Verdana" w:eastAsia="Calibri" w:hAnsi="Verdana" w:cs="Arial"/>
          <w:lang w:val="es-ES" w:eastAsia="es-ES"/>
        </w:rPr>
        <w:t>En ejercicio de la competencia otorgada por los artículos 3, numeral 5º, y 11, numeral 8º, del Decreto Ley 4170 de 2011,</w:t>
      </w:r>
      <w:r w:rsidRPr="006B694D">
        <w:rPr>
          <w:rFonts w:ascii="Verdana" w:eastAsia="Arial MT" w:hAnsi="Verdana" w:cs="Arial MT"/>
          <w:lang w:val="es-ES" w:eastAsia="es-ES"/>
        </w:rPr>
        <w:t xml:space="preserve"> </w:t>
      </w:r>
      <w:r w:rsidRPr="006B694D">
        <w:rPr>
          <w:rFonts w:ascii="Verdana" w:hAnsi="Verdana" w:cs="Arial"/>
          <w:lang w:val="es-ES"/>
        </w:rPr>
        <w:t xml:space="preserve">así como lo establecido en la Resolución 469 de 2025 expedida por esta Entidad, </w:t>
      </w:r>
      <w:r w:rsidRPr="006B694D">
        <w:rPr>
          <w:rFonts w:ascii="Verdana" w:eastAsia="Calibri" w:hAnsi="Verdana" w:cs="Arial"/>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11</w:t>
      </w:r>
      <w:r w:rsidRPr="006B694D">
        <w:rPr>
          <w:rFonts w:ascii="Verdana" w:eastAsia="Calibri" w:hAnsi="Verdana" w:cs="Arial"/>
          <w:lang w:val="es-ES" w:eastAsia="es-ES"/>
        </w:rPr>
        <w:t xml:space="preserve"> de</w:t>
      </w:r>
      <w:r>
        <w:rPr>
          <w:rFonts w:ascii="Verdana" w:eastAsia="Calibri" w:hAnsi="Verdana" w:cs="Arial"/>
          <w:lang w:val="es-ES" w:eastAsia="es-ES"/>
        </w:rPr>
        <w:t xml:space="preserve"> junio</w:t>
      </w:r>
      <w:r w:rsidRPr="006B694D">
        <w:rPr>
          <w:rFonts w:ascii="Verdana" w:eastAsia="Calibri" w:hAnsi="Verdana" w:cs="Arial"/>
          <w:lang w:val="es-ES" w:eastAsia="es-ES"/>
        </w:rPr>
        <w:t xml:space="preserve"> de 2026, en la cual manifiesta lo siguiente</w:t>
      </w:r>
      <w:r w:rsidRPr="00206556">
        <w:rPr>
          <w:rFonts w:ascii="Verdana" w:eastAsia="Calibri" w:hAnsi="Verdana" w:cs="Arial"/>
          <w:lang w:val="es-ES" w:eastAsia="es-ES"/>
        </w:rPr>
        <w:t xml:space="preserve">: </w:t>
      </w:r>
    </w:p>
    <w:p w14:paraId="05C39D47" w14:textId="77777777" w:rsidR="005164E5" w:rsidRPr="00CA0454" w:rsidRDefault="005164E5" w:rsidP="005164E5">
      <w:pPr>
        <w:spacing w:after="0" w:line="276" w:lineRule="auto"/>
        <w:ind w:left="709" w:right="709"/>
        <w:jc w:val="both"/>
        <w:rPr>
          <w:rFonts w:ascii="Verdana" w:eastAsia="Century Gothic" w:hAnsi="Verdana" w:cs="Century Gothic"/>
          <w:i/>
          <w:color w:val="000000" w:themeColor="text1"/>
          <w:lang w:val="es-ES"/>
        </w:rPr>
      </w:pPr>
    </w:p>
    <w:bookmarkEnd w:id="1"/>
    <w:p w14:paraId="3C756A16"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lang w:val="es-ES"/>
        </w:rPr>
        <w:t>“</w:t>
      </w:r>
      <w:r w:rsidRPr="008B2C55">
        <w:rPr>
          <w:rFonts w:ascii="Verdana" w:eastAsia="Century Gothic" w:hAnsi="Verdana" w:cs="Century Gothic"/>
          <w:i/>
          <w:iCs/>
          <w:color w:val="000000" w:themeColor="text1"/>
          <w:sz w:val="20"/>
          <w:szCs w:val="20"/>
        </w:rPr>
        <w:t>¿En un proceso de selección, el pliego de condiciones establece que las certificaciones de experiencia deben contener como mínimo información relacionada con contratante, contratista, objeto, fecha de inicio, fecha de terminación, valor ejecutado actividades ejecutadas y firma del funcionario competente de la certificación. </w:t>
      </w:r>
    </w:p>
    <w:p w14:paraId="7F7397CB"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p>
    <w:p w14:paraId="109343BB"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t>Un proponente presenta inicialmente una orden de compra que únicamente contiene información básica del contratante, contratista, objeto y valor, pero no acredita fecha de terminación, alcance técnico ejecutado, ejecución satisfactoria, valor efectivamente ejecutado ni certificación expedida por el contratante.</w:t>
      </w:r>
    </w:p>
    <w:p w14:paraId="7C9A0F82"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lastRenderedPageBreak/>
        <w:t>Posteriormente, durante la etapa de evaluación final, el proponente aporta una certificación expedida por el contratante en la que se incorpora por primera vez la información relativa a fecha de terminación, alcance técnico ejecutado, ejecución satisfactoria y valor ejecutado, información necesaria para verificar el cumplimiento de los requisitos de experiencia y para la asignación de puntaje y que eran solicitados en el pliego de condiciones de la entidad como requisitos de acreditación de la experiencia. </w:t>
      </w:r>
    </w:p>
    <w:p w14:paraId="3D51DF5E"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p>
    <w:p w14:paraId="08F2FDC8"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t>Frente a este escenario, agradezco se sirvan indicar:</w:t>
      </w:r>
    </w:p>
    <w:p w14:paraId="6CFE92F5" w14:textId="77777777" w:rsidR="005164E5" w:rsidRPr="008B2C55" w:rsidRDefault="005164E5" w:rsidP="005164E5">
      <w:pPr>
        <w:spacing w:after="0" w:line="240" w:lineRule="auto"/>
        <w:ind w:left="709" w:right="709"/>
        <w:jc w:val="both"/>
        <w:rPr>
          <w:rFonts w:ascii="Verdana" w:eastAsia="Century Gothic" w:hAnsi="Verdana" w:cs="Century Gothic"/>
          <w:i/>
          <w:iCs/>
          <w:color w:val="000000" w:themeColor="text1"/>
          <w:sz w:val="20"/>
          <w:szCs w:val="20"/>
        </w:rPr>
      </w:pPr>
    </w:p>
    <w:p w14:paraId="7D58AEC5" w14:textId="77777777" w:rsidR="005164E5" w:rsidRPr="008B2C55" w:rsidRDefault="005164E5" w:rsidP="005164E5">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t>¿La incorporación posterior de dicha información puede considerarse una simple aclaración de la oferta o constituye la acreditación extemporánea de aspectos sustanciales que no se encontraban demostrados al momento del cierre?</w:t>
      </w:r>
    </w:p>
    <w:p w14:paraId="4E35BFD0" w14:textId="77777777" w:rsidR="005164E5" w:rsidRPr="008B2C55" w:rsidRDefault="005164E5" w:rsidP="005164E5">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t>¿Es procedente aceptar documentos aportados con posterioridad cuando estos contienen información necesaria para acreditar factores objeto de puntuación y que no podía verificarse con la documentación inicialmente presentada?</w:t>
      </w:r>
    </w:p>
    <w:p w14:paraId="7F0C7F53" w14:textId="77777777" w:rsidR="005164E5" w:rsidRPr="008B2C55" w:rsidRDefault="005164E5" w:rsidP="005164E5">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t>¿Cuál es el criterio para diferenciar una aclaración válida de una mejora o complemento de la oferta cuando la información incorporada posteriormente tiene incidencia directa en la acreditación de la experiencia y en la obtención de puntaje?</w:t>
      </w:r>
    </w:p>
    <w:p w14:paraId="1D7DA185" w14:textId="77777777" w:rsidR="005164E5" w:rsidRPr="008B2C55" w:rsidRDefault="005164E5" w:rsidP="005164E5">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8B2C55">
        <w:rPr>
          <w:rFonts w:ascii="Verdana" w:eastAsia="Century Gothic" w:hAnsi="Verdana" w:cs="Century Gothic"/>
          <w:i/>
          <w:iCs/>
          <w:color w:val="000000" w:themeColor="text1"/>
          <w:sz w:val="20"/>
          <w:szCs w:val="20"/>
        </w:rPr>
        <w:t>¿El principio de prevalencia de lo sustancial sobre lo formal permite incorporar con posterioridad documentos que acrediten elementos exigidos por el pliego para la asignación de puntaje cuando estos no eran verificables con la oferta inicial?</w:t>
      </w:r>
      <w:r>
        <w:rPr>
          <w:rFonts w:ascii="Verdana" w:eastAsia="Century Gothic" w:hAnsi="Verdana" w:cs="Century Gothic"/>
          <w:i/>
          <w:iCs/>
          <w:color w:val="000000" w:themeColor="text1"/>
          <w:sz w:val="20"/>
          <w:szCs w:val="20"/>
        </w:rPr>
        <w:t>”</w:t>
      </w:r>
      <w:r w:rsidRPr="008B2C55">
        <w:rPr>
          <w:rFonts w:ascii="Verdana" w:eastAsia="Century Gothic" w:hAnsi="Verdana" w:cs="Century Gothic"/>
          <w:i/>
          <w:iCs/>
          <w:color w:val="000000" w:themeColor="text1"/>
          <w:sz w:val="20"/>
          <w:szCs w:val="20"/>
        </w:rPr>
        <w:t>.</w:t>
      </w:r>
    </w:p>
    <w:p w14:paraId="77AA2349" w14:textId="77777777" w:rsidR="005164E5" w:rsidRDefault="005164E5" w:rsidP="005164E5">
      <w:pPr>
        <w:spacing w:after="0" w:line="240" w:lineRule="auto"/>
        <w:ind w:right="333"/>
        <w:jc w:val="both"/>
        <w:rPr>
          <w:rFonts w:ascii="Verdana" w:eastAsia="Century Gothic" w:hAnsi="Verdana" w:cs="Century Gothic"/>
          <w:i/>
          <w:iCs/>
          <w:color w:val="000000" w:themeColor="text1"/>
          <w:sz w:val="20"/>
          <w:szCs w:val="20"/>
        </w:rPr>
      </w:pPr>
    </w:p>
    <w:p w14:paraId="55189BA8" w14:textId="77777777" w:rsidR="005164E5" w:rsidRDefault="005164E5" w:rsidP="005164E5">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2C186ADA" w14:textId="77777777" w:rsidR="005164E5" w:rsidRPr="00115E3D" w:rsidRDefault="005164E5" w:rsidP="005164E5">
      <w:pPr>
        <w:spacing w:after="0" w:line="240" w:lineRule="auto"/>
        <w:ind w:right="49"/>
        <w:jc w:val="both"/>
        <w:rPr>
          <w:rFonts w:ascii="Verdana" w:eastAsia="Calibri" w:hAnsi="Verdana" w:cs="Arial"/>
          <w:color w:val="000000" w:themeColor="text1"/>
          <w:szCs w:val="24"/>
          <w:lang w:val="es-ES_tradnl" w:eastAsia="es-ES_tradnl"/>
        </w:rPr>
      </w:pPr>
    </w:p>
    <w:p w14:paraId="3FC7F979" w14:textId="77777777" w:rsidR="005164E5" w:rsidRPr="00115E3D" w:rsidRDefault="005164E5" w:rsidP="005164E5">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lastRenderedPageBreak/>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75BA6D59" w14:textId="77777777" w:rsidR="005164E5" w:rsidRDefault="005164E5" w:rsidP="005164E5">
      <w:pPr>
        <w:spacing w:after="0" w:line="276" w:lineRule="auto"/>
        <w:ind w:firstLine="709"/>
        <w:jc w:val="both"/>
        <w:rPr>
          <w:rFonts w:ascii="Verdana" w:eastAsia="Calibri" w:hAnsi="Verdana" w:cs="Arial"/>
          <w:color w:val="000000" w:themeColor="text1"/>
          <w:lang w:val="es-ES" w:eastAsia="es-ES"/>
        </w:rPr>
      </w:pPr>
    </w:p>
    <w:p w14:paraId="0C01D9BC" w14:textId="77777777" w:rsidR="005164E5" w:rsidRPr="00115E3D" w:rsidRDefault="005164E5" w:rsidP="005164E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w:t>
      </w:r>
      <w:r>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 xml:space="preserve"> planteado</w:t>
      </w:r>
      <w:r>
        <w:rPr>
          <w:rFonts w:ascii="Verdana" w:eastAsia="Century Gothic" w:hAnsi="Verdana" w:cs="Century Gothic"/>
          <w:b/>
          <w:bCs/>
          <w:color w:val="000000" w:themeColor="text1"/>
        </w:rPr>
        <w:t>s</w:t>
      </w:r>
      <w:r w:rsidRPr="00115E3D">
        <w:rPr>
          <w:rFonts w:ascii="Verdana" w:eastAsia="Century Gothic" w:hAnsi="Verdana" w:cs="Century Gothic"/>
          <w:b/>
          <w:bCs/>
          <w:color w:val="000000" w:themeColor="text1"/>
        </w:rPr>
        <w:t>:</w:t>
      </w:r>
    </w:p>
    <w:p w14:paraId="3E0AB213" w14:textId="77777777" w:rsidR="005164E5" w:rsidRPr="00115E3D" w:rsidRDefault="005164E5" w:rsidP="005164E5">
      <w:pPr>
        <w:tabs>
          <w:tab w:val="left" w:pos="426"/>
        </w:tabs>
        <w:spacing w:after="0" w:line="276" w:lineRule="auto"/>
        <w:jc w:val="both"/>
        <w:rPr>
          <w:rFonts w:ascii="Verdana" w:eastAsia="Century Gothic" w:hAnsi="Verdana" w:cs="Century Gothic"/>
          <w:color w:val="000000" w:themeColor="text1"/>
          <w:lang w:val="es-ES"/>
        </w:rPr>
      </w:pPr>
    </w:p>
    <w:p w14:paraId="3B5E6642" w14:textId="77777777" w:rsidR="005164E5" w:rsidRPr="0092729C" w:rsidRDefault="005164E5" w:rsidP="005164E5">
      <w:pPr>
        <w:spacing w:after="0" w:line="276" w:lineRule="auto"/>
        <w:jc w:val="both"/>
        <w:rPr>
          <w:rFonts w:ascii="Verdana" w:eastAsia="Century Gothic" w:hAnsi="Verdana" w:cs="Century Gothic"/>
          <w:color w:val="000000" w:themeColor="text1"/>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el siguiente</w:t>
      </w:r>
      <w:r w:rsidRPr="00115E3D">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 xml:space="preserve"> </w:t>
      </w:r>
      <w:r w:rsidRPr="00115E3D">
        <w:rPr>
          <w:rFonts w:ascii="Verdana" w:eastAsia="Century Gothic" w:hAnsi="Verdana" w:cs="Century Gothic"/>
          <w:color w:val="000000" w:themeColor="text1"/>
        </w:rPr>
        <w:t>jurídico</w:t>
      </w:r>
      <w:r w:rsidRPr="00F313C1">
        <w:rPr>
          <w:rFonts w:ascii="Verdana" w:eastAsia="Century Gothic" w:hAnsi="Verdana" w:cs="Century Gothic"/>
          <w:color w:val="000000" w:themeColor="text1"/>
        </w:rPr>
        <w:t>: ¿Cómo debe de interpretarse las reglas de subsanación de las ofertas prevista en la Ley 1150, modificada por el artículo 5 de la Ley 1882 de 2018?</w:t>
      </w:r>
    </w:p>
    <w:p w14:paraId="2F85C646" w14:textId="77777777" w:rsidR="005164E5" w:rsidRDefault="005164E5" w:rsidP="005164E5">
      <w:pPr>
        <w:spacing w:after="0" w:line="276" w:lineRule="auto"/>
        <w:jc w:val="both"/>
        <w:rPr>
          <w:rFonts w:ascii="Verdana" w:eastAsia="Century Gothic" w:hAnsi="Verdana" w:cs="Century Gothic"/>
          <w:color w:val="000000" w:themeColor="text1"/>
        </w:rPr>
      </w:pPr>
    </w:p>
    <w:p w14:paraId="3A142C2B" w14:textId="77777777" w:rsidR="005164E5" w:rsidRPr="00115E3D" w:rsidRDefault="005164E5" w:rsidP="005164E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CA0454">
        <w:rPr>
          <w:rFonts w:ascii="Verdana" w:eastAsia="Century Gothic" w:hAnsi="Verdana" w:cs="Century Gothic"/>
          <w:b/>
          <w:color w:val="000000" w:themeColor="text1"/>
        </w:rPr>
        <w:t xml:space="preserve"> </w:t>
      </w:r>
      <w:r w:rsidRPr="00115E3D">
        <w:rPr>
          <w:rFonts w:ascii="Verdana" w:eastAsia="Century Gothic" w:hAnsi="Verdana" w:cs="Century Gothic"/>
          <w:b/>
          <w:bCs/>
          <w:color w:val="000000" w:themeColor="text1"/>
        </w:rPr>
        <w:t>Respuesta:</w:t>
      </w:r>
    </w:p>
    <w:p w14:paraId="32EF4510" w14:textId="77777777" w:rsidR="005164E5" w:rsidRPr="00115E3D" w:rsidRDefault="005164E5" w:rsidP="005164E5">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164E5" w:rsidRPr="00115E3D" w14:paraId="171FE326" w14:textId="77777777" w:rsidTr="0038727B">
        <w:trPr>
          <w:trHeight w:val="774"/>
        </w:trPr>
        <w:tc>
          <w:tcPr>
            <w:tcW w:w="8828" w:type="dxa"/>
          </w:tcPr>
          <w:p w14:paraId="20394FAE" w14:textId="77777777" w:rsidR="005164E5" w:rsidRDefault="005164E5" w:rsidP="0038727B">
            <w:pPr>
              <w:spacing w:after="120" w:line="276" w:lineRule="auto"/>
              <w:jc w:val="both"/>
              <w:rPr>
                <w:rFonts w:ascii="Verdana" w:eastAsia="Arial" w:hAnsi="Verdana" w:cs="Arial"/>
              </w:rPr>
            </w:pPr>
            <w:r w:rsidRPr="000B19E6">
              <w:rPr>
                <w:rFonts w:ascii="Verdana" w:eastAsia="Arial" w:hAnsi="Verdana" w:cs="Arial"/>
              </w:rPr>
              <w:t>La Agencia Nacional de Contratación Pública – Colombia Compra Eficiente ha señalado de manera reiterada que la regla de subsanabilidad prevista en el parágrafo 1 del artículo 5 de la Ley 1150 de 2007, modificado por el artículo 5 de la Ley 1882 de 2018, constituye un mecanismo orientado a garantizar la prevalencia del derecho sustancial y la selección objetiva, permitiendo a los proponentes corregir o aportar aquellos documentos de la oferta que no sean necesarios para la comparación de las propuestas y respecto de los cuales no se asignen puntajes.</w:t>
            </w:r>
          </w:p>
          <w:p w14:paraId="51B28A05" w14:textId="77777777" w:rsidR="005164E5" w:rsidRPr="000B19E6" w:rsidRDefault="005164E5" w:rsidP="0038727B">
            <w:pPr>
              <w:spacing w:after="120" w:line="276" w:lineRule="auto"/>
              <w:jc w:val="both"/>
              <w:rPr>
                <w:rFonts w:ascii="Verdana" w:eastAsia="Arial" w:hAnsi="Verdana" w:cs="Arial"/>
              </w:rPr>
            </w:pPr>
            <w:r>
              <w:rPr>
                <w:rFonts w:ascii="Verdana" w:eastAsia="Arial" w:hAnsi="Verdana" w:cs="Arial"/>
              </w:rPr>
              <w:t xml:space="preserve">         Así mismo</w:t>
            </w:r>
            <w:r w:rsidRPr="000B19E6">
              <w:rPr>
                <w:rFonts w:ascii="Verdana" w:eastAsia="Arial" w:hAnsi="Verdana" w:cs="Arial"/>
              </w:rPr>
              <w:t>, mediante el Concepto C-449 del 1 de mayo de 2026, esta Agencia precisó que la subsanabilidad no recae sobre hechos o circunstancias ocurridas con posterioridad al cierre del proceso, sino sobre la acreditación o prueba de circunstancias que existían antes del vencimiento del plazo para presentar ofertas. En consecuencia, la limitación introducida por la Ley 1882 de 2018 busca impedir que un oferente adquiera o cumpla requisitos con posterioridad al cierre del proceso de selección, o que modifique las condiciones sustanciales de su propuesta una vez presentada.</w:t>
            </w:r>
          </w:p>
          <w:p w14:paraId="4965CA6B" w14:textId="77777777" w:rsidR="005164E5" w:rsidRPr="000B19E6" w:rsidRDefault="005164E5" w:rsidP="0038727B">
            <w:pPr>
              <w:spacing w:after="120" w:line="276" w:lineRule="auto"/>
              <w:jc w:val="both"/>
              <w:rPr>
                <w:rFonts w:ascii="Verdana" w:eastAsia="Arial" w:hAnsi="Verdana" w:cs="Arial"/>
              </w:rPr>
            </w:pPr>
            <w:r>
              <w:rPr>
                <w:rFonts w:ascii="Verdana" w:eastAsia="Arial" w:hAnsi="Verdana" w:cs="Arial"/>
              </w:rPr>
              <w:t xml:space="preserve">         </w:t>
            </w:r>
            <w:r w:rsidRPr="000B19E6">
              <w:rPr>
                <w:rFonts w:ascii="Verdana" w:eastAsia="Arial" w:hAnsi="Verdana" w:cs="Arial"/>
              </w:rPr>
              <w:t xml:space="preserve">Bajo esta perspectiva, para determinar </w:t>
            </w:r>
            <w:r>
              <w:rPr>
                <w:rFonts w:ascii="Verdana" w:eastAsia="Arial" w:hAnsi="Verdana" w:cs="Arial"/>
              </w:rPr>
              <w:t>que elemento de la oferta puede ser objeto de subsanación</w:t>
            </w:r>
            <w:r w:rsidRPr="000B19E6">
              <w:rPr>
                <w:rFonts w:ascii="Verdana" w:eastAsia="Arial" w:hAnsi="Verdana" w:cs="Arial"/>
              </w:rPr>
              <w:t>, la entidad debe verificar dos aspectos:</w:t>
            </w:r>
          </w:p>
          <w:p w14:paraId="61133439" w14:textId="77777777" w:rsidR="005164E5" w:rsidRPr="000B19E6" w:rsidRDefault="005164E5" w:rsidP="0038727B">
            <w:pPr>
              <w:spacing w:after="120" w:line="276" w:lineRule="auto"/>
              <w:jc w:val="both"/>
              <w:rPr>
                <w:rFonts w:ascii="Verdana" w:eastAsia="Arial" w:hAnsi="Verdana" w:cs="Arial"/>
              </w:rPr>
            </w:pPr>
            <w:r w:rsidRPr="000B19E6">
              <w:rPr>
                <w:rFonts w:ascii="Verdana" w:eastAsia="Arial" w:hAnsi="Verdana" w:cs="Arial"/>
              </w:rPr>
              <w:t xml:space="preserve">         i) si </w:t>
            </w:r>
            <w:proofErr w:type="gramStart"/>
            <w:r w:rsidRPr="000B19E6">
              <w:rPr>
                <w:rFonts w:ascii="Verdana" w:eastAsia="Arial" w:hAnsi="Verdana" w:cs="Arial"/>
              </w:rPr>
              <w:t xml:space="preserve">tales documentos </w:t>
            </w:r>
            <w:r>
              <w:rPr>
                <w:rFonts w:ascii="Verdana" w:eastAsia="Arial" w:hAnsi="Verdana" w:cs="Arial"/>
              </w:rPr>
              <w:t>es</w:t>
            </w:r>
            <w:proofErr w:type="gramEnd"/>
            <w:r>
              <w:rPr>
                <w:rFonts w:ascii="Verdana" w:eastAsia="Arial" w:hAnsi="Verdana" w:cs="Arial"/>
              </w:rPr>
              <w:t xml:space="preserve"> </w:t>
            </w:r>
            <w:r w:rsidRPr="000B19E6">
              <w:rPr>
                <w:rFonts w:ascii="Verdana" w:eastAsia="Arial" w:hAnsi="Verdana" w:cs="Arial"/>
              </w:rPr>
              <w:t>necesari</w:t>
            </w:r>
            <w:r>
              <w:rPr>
                <w:rFonts w:ascii="Verdana" w:eastAsia="Arial" w:hAnsi="Verdana" w:cs="Arial"/>
              </w:rPr>
              <w:t>o</w:t>
            </w:r>
            <w:r w:rsidRPr="000B19E6">
              <w:rPr>
                <w:rFonts w:ascii="Verdana" w:eastAsia="Arial" w:hAnsi="Verdana" w:cs="Arial"/>
              </w:rPr>
              <w:t xml:space="preserve"> para la comparación de las ofertas o inciden en la asignación de puntaje; y</w:t>
            </w:r>
          </w:p>
          <w:p w14:paraId="38C7683E" w14:textId="77777777" w:rsidR="005164E5" w:rsidRDefault="005164E5" w:rsidP="0038727B">
            <w:pPr>
              <w:spacing w:after="120" w:line="276" w:lineRule="auto"/>
              <w:jc w:val="both"/>
              <w:rPr>
                <w:rFonts w:ascii="Verdana" w:eastAsia="Arial" w:hAnsi="Verdana" w:cs="Arial"/>
              </w:rPr>
            </w:pPr>
            <w:r w:rsidRPr="000B19E6">
              <w:rPr>
                <w:rFonts w:ascii="Verdana" w:eastAsia="Arial" w:hAnsi="Verdana" w:cs="Arial"/>
              </w:rPr>
              <w:lastRenderedPageBreak/>
              <w:t xml:space="preserve">        ii) si la información o circunstancia que acreditan existía con anterioridad al cierre del proceso de selecció</w:t>
            </w:r>
            <w:r>
              <w:rPr>
                <w:rFonts w:ascii="Verdana" w:eastAsia="Arial" w:hAnsi="Verdana" w:cs="Arial"/>
              </w:rPr>
              <w:t xml:space="preserve">n. </w:t>
            </w:r>
          </w:p>
          <w:p w14:paraId="54F6DDD3" w14:textId="77777777" w:rsidR="005164E5" w:rsidRPr="00766B49" w:rsidRDefault="005164E5" w:rsidP="0038727B">
            <w:pPr>
              <w:spacing w:after="120" w:line="276" w:lineRule="auto"/>
              <w:jc w:val="both"/>
              <w:rPr>
                <w:rFonts w:ascii="Verdana" w:eastAsia="Arial" w:hAnsi="Verdana" w:cs="Arial"/>
              </w:rPr>
            </w:pPr>
            <w:r w:rsidRPr="00766B49">
              <w:rPr>
                <w:rFonts w:ascii="Verdana" w:eastAsia="Arial" w:hAnsi="Verdana" w:cs="Arial"/>
              </w:rPr>
              <w:t>Visto</w:t>
            </w:r>
            <w:r w:rsidRPr="00C30B31">
              <w:rPr>
                <w:rFonts w:ascii="Verdana" w:eastAsia="Arial" w:hAnsi="Verdana" w:cs="Arial"/>
                <w:color w:val="000000"/>
              </w:rPr>
              <w:t xml:space="preserve"> lo anterior, una vez verificada la ausencia de requisitos y/o documentos de la oferta, para saber si se puede subsanar, la Administración se debe preguntar, en primer lugar, si lo que hace falta es un documento o información que otorga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otorgue puntaje, y la respuesta al segundo interrogante debe dar cuenta de que lo omitido sea la prueba de una circunstancia o hecho que ocurrió con anterioridad al cierre del proceso. </w:t>
            </w:r>
          </w:p>
          <w:p w14:paraId="1DA8D68C" w14:textId="77777777" w:rsidR="005164E5" w:rsidRPr="00C30B31" w:rsidRDefault="005164E5" w:rsidP="0038727B">
            <w:pPr>
              <w:spacing w:after="120" w:line="276" w:lineRule="auto"/>
              <w:ind w:right="51" w:firstLine="709"/>
              <w:jc w:val="both"/>
              <w:rPr>
                <w:rFonts w:ascii="Arial" w:eastAsia="Arial" w:hAnsi="Arial" w:cs="Arial"/>
                <w:lang w:val="es-MX" w:eastAsia="es-ES"/>
              </w:rPr>
            </w:pPr>
            <w:r>
              <w:rPr>
                <w:rFonts w:ascii="Verdana" w:eastAsia="Calibri" w:hAnsi="Verdana" w:cs="Arial"/>
                <w:lang w:val="es-MX"/>
              </w:rPr>
              <w:t xml:space="preserve">Por ende, </w:t>
            </w:r>
            <w:r w:rsidRPr="00C30B31">
              <w:rPr>
                <w:rFonts w:ascii="Verdana" w:eastAsia="Calibri" w:hAnsi="Verdana" w:cs="Arial"/>
                <w:lang w:val="es-MX"/>
              </w:rPr>
              <w:t>no son subsanables los aspectos que otorgan puntaje ni los factores de desempate, pero respecto de estos si procede la aclaración o explicación que solicite la entidad y que aporte el proponente</w:t>
            </w:r>
            <w:r w:rsidRPr="00C30B31">
              <w:rPr>
                <w:rFonts w:ascii="Verdana" w:eastAsia="Arial" w:hAnsi="Verdana" w:cs="Arial"/>
                <w:lang w:val="es-MX" w:eastAsia="es-ES"/>
              </w:rPr>
              <w:t>. Esto se encuentra en armonía con el parágrafo 1 del artículo 5 de la Ley 1150 de 2007, modificado por el artículo 5 de la Ley 1882 de 2018, que dispone la subsanabilidad de los requisitos de la propuesta que no afecten la asignación de puntaje, los cuales deben ser solicitados por la entidad estatal contratante y aportados por los proponentes, lo que implica que los requisitos ponderables o que otorguen puntaje no pueden ser subsanados</w:t>
            </w:r>
            <w:r w:rsidRPr="00C30B31">
              <w:rPr>
                <w:rFonts w:ascii="Arial" w:eastAsia="Arial" w:hAnsi="Arial" w:cs="Arial"/>
                <w:lang w:val="es-MX" w:eastAsia="es-ES"/>
              </w:rPr>
              <w:t xml:space="preserve">. </w:t>
            </w:r>
          </w:p>
          <w:p w14:paraId="713B8C1A" w14:textId="77777777" w:rsidR="005164E5" w:rsidRPr="00F313C1" w:rsidRDefault="005164E5" w:rsidP="0038727B">
            <w:pPr>
              <w:spacing w:after="120" w:line="276" w:lineRule="auto"/>
              <w:ind w:right="51" w:firstLine="709"/>
              <w:jc w:val="both"/>
              <w:rPr>
                <w:rFonts w:ascii="Verdana" w:eastAsia="Calibri" w:hAnsi="Verdana" w:cs="Arial"/>
              </w:rPr>
            </w:pPr>
            <w:r w:rsidRPr="00F313C1">
              <w:rPr>
                <w:rFonts w:ascii="Verdana" w:eastAsia="Calibri" w:hAnsi="Verdana" w:cs="Arial"/>
              </w:rPr>
              <w:t>De esta manera, del objeto de la consulta y de la interpretación sistemática del artículo 5 de la Ley 1150 de 2007, modificado por el artículo 5 de la Ley 1882 de 2018, se concluye que la sola omisión de información en una certificación de experiencia no constituye, por sí misma, una causal automática de rechazo de la oferta. No obstante, corresponde a la entidad estatal determinar si la información faltante puede obtenerse mediante una simple aclaración o explicación de la documentación inicialmente aportada, sin que ello implique adicionar, modificar o acreditar por primera vez elementos sustanciales exigidos por el pliego de condiciones para la verificación de la experiencia o para la asignación de puntaje.</w:t>
            </w:r>
          </w:p>
          <w:p w14:paraId="147ABA15" w14:textId="77777777" w:rsidR="005164E5" w:rsidRPr="00F313C1" w:rsidRDefault="005164E5" w:rsidP="0038727B">
            <w:pPr>
              <w:spacing w:after="120" w:line="276" w:lineRule="auto"/>
              <w:ind w:right="51" w:firstLine="709"/>
              <w:jc w:val="both"/>
              <w:rPr>
                <w:rFonts w:ascii="Verdana" w:eastAsia="Calibri" w:hAnsi="Verdana" w:cs="Arial"/>
              </w:rPr>
            </w:pPr>
            <w:r w:rsidRPr="00F313C1">
              <w:rPr>
                <w:rFonts w:ascii="Verdana" w:eastAsia="Calibri" w:hAnsi="Verdana" w:cs="Arial"/>
              </w:rPr>
              <w:t xml:space="preserve">En consecuencia, cuando la documentación allegada con la oferta no permite verificar el cumplimiento de los requisitos exigidos para la evaluación de la experiencia y la información necesaria solo se incorpora mediante un documento aportado con posterioridad al cierre del proceso, no se está ante </w:t>
            </w:r>
            <w:r w:rsidRPr="00F313C1">
              <w:rPr>
                <w:rFonts w:ascii="Verdana" w:eastAsia="Calibri" w:hAnsi="Verdana" w:cs="Arial"/>
              </w:rPr>
              <w:lastRenderedPageBreak/>
              <w:t>una aclaración de la oferta, sino frente a la acreditación extemporánea de aspectos sustanciales, circunstancia que resulta incompatible con la prohibición de subsanar requisitos que inciden en la asignación de puntaje, prevista en el parágrafo 1 del artículo 5 de la Ley 1150 de 2007, modificado por el artículo 5 de la Ley 1882 de 2018.</w:t>
            </w:r>
          </w:p>
          <w:p w14:paraId="43417C30" w14:textId="77777777" w:rsidR="005164E5" w:rsidRPr="00B643B2" w:rsidRDefault="005164E5" w:rsidP="0038727B">
            <w:pPr>
              <w:spacing w:after="120" w:line="276" w:lineRule="auto"/>
              <w:jc w:val="both"/>
              <w:rPr>
                <w:rFonts w:ascii="Verdana" w:eastAsia="Calibri" w:hAnsi="Verdana"/>
              </w:rPr>
            </w:pPr>
            <w:r w:rsidRPr="00122D7C">
              <w:rPr>
                <w:rFonts w:ascii="Verdana" w:eastAsia="Arial" w:hAnsi="Verdana" w:cs="Arial"/>
              </w:rPr>
              <w:t xml:space="preserve"> </w:t>
            </w:r>
            <w:r>
              <w:rPr>
                <w:rFonts w:ascii="Verdana" w:eastAsia="Calibri" w:hAnsi="Verdana"/>
              </w:rPr>
              <w:t xml:space="preserve">        Finalmente</w:t>
            </w:r>
            <w:r w:rsidRPr="00B643B2">
              <w:rPr>
                <w:rFonts w:ascii="Verdana" w:eastAsia="Calibri" w:hAnsi="Verdana"/>
              </w:rPr>
              <w:t>,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42461EFF" w14:textId="77777777" w:rsidR="005164E5" w:rsidRPr="0029110A" w:rsidRDefault="005164E5" w:rsidP="0038727B">
            <w:pPr>
              <w:spacing w:after="120" w:line="276" w:lineRule="auto"/>
              <w:jc w:val="both"/>
              <w:rPr>
                <w:rFonts w:ascii="Verdana" w:eastAsia="Calibri" w:hAnsi="Verdana" w:cs="Times New Roman"/>
                <w:lang w:val="es-ES"/>
              </w:rPr>
            </w:pPr>
            <w:r>
              <w:rPr>
                <w:rFonts w:ascii="Verdana" w:eastAsia="Calibri" w:hAnsi="Verdana"/>
              </w:rPr>
              <w:t xml:space="preserve">          </w:t>
            </w: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3D59D95C" w14:textId="77777777" w:rsidR="005164E5" w:rsidRDefault="005164E5" w:rsidP="005164E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3AF46CDF" w14:textId="77777777" w:rsidR="005164E5" w:rsidRDefault="005164E5" w:rsidP="005164E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4E0187AB" w14:textId="77777777" w:rsidR="005164E5" w:rsidRDefault="005164E5" w:rsidP="005164E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2BBE911A" w14:textId="77777777" w:rsidR="005164E5" w:rsidRDefault="005164E5" w:rsidP="005164E5">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48D14E17" w14:textId="77777777" w:rsidR="005164E5" w:rsidRPr="003C0ED7" w:rsidRDefault="005164E5" w:rsidP="005164E5">
      <w:pPr>
        <w:spacing w:after="0" w:line="276" w:lineRule="auto"/>
        <w:jc w:val="both"/>
        <w:rPr>
          <w:rFonts w:ascii="Verdana" w:eastAsia="Calibri" w:hAnsi="Verdana" w:cs="Arial"/>
          <w:lang w:val="es-ES"/>
        </w:rPr>
      </w:pPr>
    </w:p>
    <w:p w14:paraId="20AD9250" w14:textId="77777777" w:rsidR="005164E5" w:rsidRDefault="005164E5" w:rsidP="005164E5">
      <w:pPr>
        <w:spacing w:after="120" w:line="276" w:lineRule="auto"/>
        <w:jc w:val="both"/>
        <w:rPr>
          <w:rFonts w:ascii="Verdana" w:eastAsia="Times New Roman" w:hAnsi="Verdana" w:cs="Arial"/>
          <w:lang w:val="es-ES_tradnl" w:eastAsia="es-ES_tradnl"/>
        </w:rPr>
      </w:pPr>
      <w:r w:rsidRPr="00D16A5E">
        <w:rPr>
          <w:rFonts w:ascii="Verdana" w:hAnsi="Verdana" w:cs="Arial"/>
          <w:noProof/>
          <w:lang w:val="es-ES_tradnl"/>
        </w:rPr>
        <w:t>L</w:t>
      </w:r>
      <w:r w:rsidRPr="00D16A5E">
        <w:rPr>
          <w:rFonts w:ascii="Verdana" w:eastAsia="Times New Roman" w:hAnsi="Verdana" w:cs="Arial"/>
        </w:rPr>
        <w:t>a regla de la subsanabilidad de las ofertas en los procedimientos de selección</w:t>
      </w:r>
      <w:r w:rsidRPr="00D16A5E">
        <w:rPr>
          <w:rFonts w:ascii="Verdana" w:eastAsia="Times New Roman" w:hAnsi="Verdana" w:cs="Arial"/>
          <w:b/>
          <w:bCs/>
        </w:rPr>
        <w:t xml:space="preserve"> </w:t>
      </w:r>
      <w:r w:rsidRPr="00D16A5E">
        <w:rPr>
          <w:rFonts w:ascii="Verdana" w:eastAsia="Times New Roman" w:hAnsi="Verdana" w:cs="Arial"/>
          <w:lang w:val="es-ES_tradnl" w:eastAsia="es-ES_tradnl"/>
        </w:rPr>
        <w:t>indica que, por regla general, la falta de entrega y los defectos en la acreditación de los requisitos habilitantes son aspectos subsanables. La excepción</w:t>
      </w:r>
      <w:r>
        <w:rPr>
          <w:rFonts w:ascii="Verdana" w:eastAsia="Times New Roman" w:hAnsi="Verdana" w:cs="Arial"/>
          <w:lang w:val="es-ES_tradnl" w:eastAsia="es-ES_tradnl"/>
        </w:rPr>
        <w:t xml:space="preserve"> a esta regla </w:t>
      </w:r>
      <w:r w:rsidRPr="00D16A5E">
        <w:rPr>
          <w:rFonts w:ascii="Verdana" w:eastAsia="Times New Roman" w:hAnsi="Verdana" w:cs="Arial"/>
          <w:lang w:val="es-ES_tradnl" w:eastAsia="es-ES_tradnl"/>
        </w:rPr>
        <w:t>se encuentra en la prohibición de permitir la entrega de la garantía de seriedad de la oferta que no fue aportada con la propuesta y de valer la acreditación de circunstancias ocurridas con posterioridad al cierre del proceso.</w:t>
      </w:r>
    </w:p>
    <w:p w14:paraId="3DD2C541" w14:textId="77777777" w:rsidR="005164E5" w:rsidRPr="00447C67" w:rsidRDefault="005164E5" w:rsidP="005164E5">
      <w:pPr>
        <w:spacing w:after="120" w:line="276" w:lineRule="auto"/>
        <w:ind w:firstLine="708"/>
        <w:jc w:val="both"/>
        <w:rPr>
          <w:rFonts w:ascii="Verdana" w:eastAsia="Times New Roman" w:hAnsi="Verdana" w:cs="Arial"/>
          <w:lang w:val="es-ES_tradnl" w:eastAsia="es-ES_tradnl"/>
        </w:rPr>
      </w:pPr>
      <w:r>
        <w:rPr>
          <w:rFonts w:ascii="Verdana" w:eastAsia="Times New Roman" w:hAnsi="Verdana" w:cs="Arial"/>
          <w:lang w:val="es-ES_tradnl" w:eastAsia="es-ES_tradnl"/>
        </w:rPr>
        <w:t>L</w:t>
      </w:r>
      <w:r w:rsidRPr="00D16A5E">
        <w:rPr>
          <w:rFonts w:ascii="Verdana" w:eastAsia="Times New Roman" w:hAnsi="Verdana" w:cs="Arial"/>
          <w:lang w:val="es-ES_tradnl" w:eastAsia="es-ES_tradnl"/>
        </w:rPr>
        <w:t>a posibilidad de enmendar, corregir o subsanar los errores en los que se incurre en los documentos contentivos de la oferta es un tema que ha tenido diferentes momentos o etapas en el ordenamiento jurídico colombiano.</w:t>
      </w:r>
      <w:r>
        <w:rPr>
          <w:rFonts w:ascii="Verdana" w:eastAsia="Times New Roman" w:hAnsi="Verdana" w:cs="Arial"/>
          <w:lang w:val="es-ES_tradnl" w:eastAsia="es-ES_tradnl"/>
        </w:rPr>
        <w:t xml:space="preserve"> En </w:t>
      </w:r>
      <w:r>
        <w:rPr>
          <w:rFonts w:ascii="Verdana" w:eastAsia="Times New Roman" w:hAnsi="Verdana" w:cs="Arial"/>
          <w:lang w:val="es-ES_tradnl" w:eastAsia="es-ES_tradnl"/>
        </w:rPr>
        <w:lastRenderedPageBreak/>
        <w:t xml:space="preserve">atención a </w:t>
      </w:r>
      <w:r w:rsidRPr="00D16A5E">
        <w:rPr>
          <w:rFonts w:ascii="Verdana" w:eastAsia="Times New Roman" w:hAnsi="Verdana" w:cs="Arial"/>
          <w:lang w:val="es-ES" w:eastAsia="es-ES"/>
        </w:rPr>
        <w:t xml:space="preserve">lo anterior, a continuación, se hará referencia en forma general a los antecedentes de las diferentes posturas en torno a la subsanabilidad. </w:t>
      </w:r>
    </w:p>
    <w:p w14:paraId="59E61F4F" w14:textId="77777777" w:rsidR="005164E5" w:rsidRPr="00D16A5E" w:rsidRDefault="005164E5" w:rsidP="005164E5">
      <w:pPr>
        <w:spacing w:after="120" w:line="276" w:lineRule="auto"/>
        <w:ind w:firstLine="708"/>
        <w:jc w:val="both"/>
        <w:rPr>
          <w:rFonts w:ascii="Verdana" w:eastAsia="Calibri" w:hAnsi="Verdana" w:cs="Arial"/>
          <w:lang w:val="es-ES" w:eastAsia="es-ES"/>
        </w:rPr>
      </w:pPr>
      <w:r w:rsidRPr="00D16A5E">
        <w:rPr>
          <w:rFonts w:ascii="Verdana" w:eastAsia="Times New Roman" w:hAnsi="Verdana" w:cs="Arial"/>
          <w:lang w:val="es-ES" w:eastAsia="es-ES"/>
        </w:rPr>
        <w:t xml:space="preserve">En un </w:t>
      </w:r>
      <w:r w:rsidRPr="00D16A5E">
        <w:rPr>
          <w:rFonts w:ascii="Verdana" w:eastAsia="Times New Roman" w:hAnsi="Verdana" w:cs="Arial"/>
          <w:i/>
          <w:lang w:val="es-ES" w:eastAsia="es-ES"/>
        </w:rPr>
        <w:t>primer momento</w:t>
      </w:r>
      <w:r w:rsidRPr="00D16A5E">
        <w:rPr>
          <w:rFonts w:ascii="Verdana" w:eastAsia="Times New Roman" w:hAnsi="Verdana" w:cs="Arial"/>
          <w:lang w:val="es-ES" w:eastAsia="es-ES"/>
        </w:rPr>
        <w:t xml:space="preserve">, antes de la entrada en vigor de la Constitución Política de 1991, el régimen jurídico de la subsanabilidad de las ofertas estaba compuesto por el Decreto-Ley 150 de 1976 y el Decreto-Ley 222 de 1983. Bajo el imperio de estas normas, la posibilidad de subsanar errores era prácticamente inexistente, debido al excesivo formalismo procedimental que irradiaba la actuación administrativa. En este contexto, por ejemplo, no era extraordinario que una oferta fuera rechazada por no aportar una copia de esta. </w:t>
      </w:r>
    </w:p>
    <w:p w14:paraId="6C4C0B96" w14:textId="77777777" w:rsidR="005164E5" w:rsidRPr="00D16A5E" w:rsidRDefault="005164E5" w:rsidP="005164E5">
      <w:pPr>
        <w:spacing w:after="0" w:line="276" w:lineRule="auto"/>
        <w:ind w:firstLine="709"/>
        <w:jc w:val="both"/>
        <w:rPr>
          <w:rFonts w:ascii="Verdana" w:eastAsia="Times New Roman" w:hAnsi="Verdana" w:cs="Arial"/>
          <w:lang w:val="es-ES" w:eastAsia="es-ES"/>
        </w:rPr>
      </w:pPr>
      <w:r w:rsidRPr="23327E23">
        <w:rPr>
          <w:rFonts w:ascii="Verdana" w:eastAsia="Times New Roman" w:hAnsi="Verdana" w:cs="Arial"/>
          <w:lang w:val="es-ES" w:eastAsia="es-ES"/>
        </w:rPr>
        <w:t xml:space="preserve">En un </w:t>
      </w:r>
      <w:r w:rsidRPr="23327E23">
        <w:rPr>
          <w:rFonts w:ascii="Verdana" w:eastAsia="Times New Roman" w:hAnsi="Verdana" w:cs="Arial"/>
          <w:i/>
          <w:lang w:val="es-ES" w:eastAsia="es-ES"/>
        </w:rPr>
        <w:t>segundo momento</w:t>
      </w:r>
      <w:r w:rsidRPr="23327E23">
        <w:rPr>
          <w:rFonts w:ascii="Verdana" w:eastAsia="Times New Roman" w:hAnsi="Verdana" w:cs="Arial"/>
          <w:lang w:val="es-ES" w:eastAsia="es-ES"/>
        </w:rPr>
        <w:t xml:space="preserve"> se expidió la Ley 80 de 1993, bajo el nuevo paradigma que supuso la Constitución de 1991, particularmente en la forma como se relaciona lo formal y lo sustancial en las actuaciones judiciales y administrativas. Este cambio quedó consignado en el artículo 228, que introdujo un principio de supremacía o prevalencia del derecho sustancial sobre lo procedimental. En este nuevo escenario constitucional, el numeral 15 del artículo 25 de la Ley 80 de 1993 dispuso lo siguiente: </w:t>
      </w:r>
    </w:p>
    <w:p w14:paraId="3C657D4B" w14:textId="77777777" w:rsidR="005164E5" w:rsidRPr="00D16A5E" w:rsidRDefault="005164E5" w:rsidP="005164E5">
      <w:pPr>
        <w:spacing w:after="0" w:line="276" w:lineRule="auto"/>
        <w:ind w:firstLine="709"/>
        <w:jc w:val="both"/>
        <w:rPr>
          <w:rFonts w:ascii="Verdana" w:eastAsia="Times New Roman" w:hAnsi="Verdana" w:cs="Arial"/>
          <w:lang w:val="es-ES_tradnl" w:eastAsia="es-ES_tradnl"/>
        </w:rPr>
      </w:pPr>
    </w:p>
    <w:p w14:paraId="1C846D35" w14:textId="77777777" w:rsidR="005164E5" w:rsidRPr="00CA0454" w:rsidRDefault="005164E5" w:rsidP="005164E5">
      <w:pPr>
        <w:spacing w:after="0" w:line="240" w:lineRule="auto"/>
        <w:ind w:left="709" w:right="709"/>
        <w:jc w:val="both"/>
        <w:rPr>
          <w:rFonts w:ascii="Verdana" w:eastAsia="Times New Roman" w:hAnsi="Verdana" w:cs="Arial"/>
          <w:sz w:val="20"/>
          <w:szCs w:val="20"/>
          <w:lang w:val="es-ES_tradnl" w:eastAsia="es-ES_tradnl"/>
        </w:rPr>
      </w:pPr>
      <w:r>
        <w:rPr>
          <w:rFonts w:ascii="Verdana" w:eastAsia="Times New Roman" w:hAnsi="Verdana" w:cs="Arial"/>
          <w:sz w:val="20"/>
          <w:szCs w:val="20"/>
          <w:lang w:val="es-ES_tradnl" w:eastAsia="es-ES_tradnl"/>
        </w:rPr>
        <w:t>“</w:t>
      </w:r>
      <w:r w:rsidRPr="00CA0454">
        <w:rPr>
          <w:rFonts w:ascii="Verdana" w:eastAsia="Times New Roman" w:hAnsi="Verdana" w:cs="Arial"/>
          <w:sz w:val="20"/>
          <w:szCs w:val="20"/>
          <w:lang w:val="es-ES_tradnl" w:eastAsia="es-ES_tradnl"/>
        </w:rPr>
        <w:t xml:space="preserve">15. Las autoridades no exigirán sellos, autenticaciones, documentos originales o autenticados, reconocimientos de firmas, traducciones oficiales, ni cualquier otra clase de formalidades o exigencias rituales, salvo cuando en forma perentoria y expresa lo exijan leyes especiales. </w:t>
      </w:r>
    </w:p>
    <w:p w14:paraId="1F5E3E42" w14:textId="77777777" w:rsidR="005164E5" w:rsidRPr="00CA0454" w:rsidRDefault="005164E5" w:rsidP="005164E5">
      <w:pPr>
        <w:spacing w:after="0" w:line="240" w:lineRule="auto"/>
        <w:ind w:left="709" w:right="709"/>
        <w:jc w:val="both"/>
        <w:rPr>
          <w:rFonts w:ascii="Verdana" w:eastAsia="Times New Roman" w:hAnsi="Verdana" w:cs="Arial"/>
          <w:sz w:val="20"/>
          <w:szCs w:val="20"/>
          <w:lang w:val="es-ES_tradnl" w:eastAsia="es-ES_tradnl"/>
        </w:rPr>
      </w:pPr>
    </w:p>
    <w:p w14:paraId="7D871FB2" w14:textId="77777777" w:rsidR="005164E5" w:rsidRPr="00CA0454" w:rsidRDefault="005164E5" w:rsidP="005164E5">
      <w:pPr>
        <w:spacing w:after="0" w:line="240" w:lineRule="auto"/>
        <w:ind w:left="709" w:right="709"/>
        <w:jc w:val="both"/>
        <w:rPr>
          <w:rFonts w:ascii="Verdana" w:eastAsia="Times New Roman" w:hAnsi="Verdana" w:cs="Arial"/>
          <w:sz w:val="20"/>
          <w:szCs w:val="20"/>
          <w:lang w:val="es-ES_tradnl" w:eastAsia="es-ES_tradnl"/>
        </w:rPr>
      </w:pPr>
      <w:r w:rsidRPr="00CA0454">
        <w:rPr>
          <w:rFonts w:ascii="Verdana" w:eastAsia="Times New Roman" w:hAnsi="Verdana" w:cs="Arial"/>
          <w:sz w:val="20"/>
          <w:szCs w:val="20"/>
          <w:lang w:val="es-ES_tradnl" w:eastAsia="es-ES_tradnl"/>
        </w:rPr>
        <w:t>La ausencia de requisitos o la falta de documentos referentes a la futura contratación o al proponente, no necesarios para la comparación de propuestas, no servirá de título suficiente para el rechazo de los ofrecimientos hechos</w:t>
      </w:r>
      <w:r>
        <w:rPr>
          <w:rFonts w:ascii="Verdana" w:eastAsia="Times New Roman" w:hAnsi="Verdana" w:cs="Arial"/>
          <w:sz w:val="20"/>
          <w:szCs w:val="20"/>
          <w:lang w:val="es-ES_tradnl" w:eastAsia="es-ES_tradnl"/>
        </w:rPr>
        <w:t>”</w:t>
      </w:r>
      <w:r w:rsidRPr="00CA0454">
        <w:rPr>
          <w:rFonts w:ascii="Verdana" w:eastAsia="Times New Roman" w:hAnsi="Verdana" w:cs="Arial"/>
          <w:sz w:val="20"/>
          <w:szCs w:val="20"/>
          <w:lang w:val="es-ES_tradnl" w:eastAsia="es-ES_tradnl"/>
        </w:rPr>
        <w:t xml:space="preserve">. </w:t>
      </w:r>
    </w:p>
    <w:p w14:paraId="43D7F8EF" w14:textId="77777777" w:rsidR="005164E5" w:rsidRPr="00D16A5E" w:rsidRDefault="005164E5" w:rsidP="005164E5">
      <w:pPr>
        <w:spacing w:after="0" w:line="276" w:lineRule="auto"/>
        <w:ind w:left="709" w:right="709"/>
        <w:jc w:val="both"/>
        <w:rPr>
          <w:rFonts w:ascii="Verdana" w:eastAsia="Times New Roman" w:hAnsi="Verdana" w:cs="Arial"/>
          <w:lang w:val="es-ES_tradnl" w:eastAsia="es-ES_tradnl"/>
        </w:rPr>
      </w:pPr>
    </w:p>
    <w:p w14:paraId="4F75B9AC"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Bajo el amparo de esta norma, el régimen jurídico de subsanabilidad de las ofertas sufre un cambio fundamental, pues ya no era posible rechazar las ofertas por falta de requisitos o documentos que no fueran “</w:t>
      </w:r>
      <w:r w:rsidRPr="00D16A5E">
        <w:rPr>
          <w:rFonts w:ascii="Verdana" w:eastAsia="Times New Roman" w:hAnsi="Verdana" w:cs="Arial"/>
          <w:i/>
          <w:lang w:val="es-ES" w:eastAsia="es-ES"/>
        </w:rPr>
        <w:t>necesarios para la comparación de propuestas”.</w:t>
      </w:r>
      <w:r w:rsidRPr="00D16A5E">
        <w:rPr>
          <w:rFonts w:ascii="Verdana" w:eastAsia="Times New Roman" w:hAnsi="Verdana" w:cs="Arial"/>
          <w:lang w:val="es-ES" w:eastAsia="es-ES"/>
        </w:rPr>
        <w:t xml:space="preserve"> De esta manera, la ley introdujo un primer criterio jurídico, aunque indeterminado, que servía como punto de partida en la posibilidad de subsanar las ofertas, pues, verificada la ausencia de un requisito o documento, previo al rechazo de la oferta, la Administración debía constatar si este era o no necesario para la comparación de las propuestas y de ese análisis surgiría la decisión sobre su rechazo o la oportunidad de subsanar. </w:t>
      </w:r>
    </w:p>
    <w:p w14:paraId="7260D4F2" w14:textId="77777777" w:rsidR="005164E5" w:rsidRPr="00D16A5E" w:rsidRDefault="005164E5" w:rsidP="005164E5">
      <w:pPr>
        <w:spacing w:after="12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lastRenderedPageBreak/>
        <w:t>Esta norma debía leerse en conjunto con otras de la Ley 80 de 1993, particularmente con el artículo 30.7</w:t>
      </w:r>
      <w:r w:rsidRPr="00D16A5E">
        <w:rPr>
          <w:rFonts w:ascii="Verdana" w:eastAsia="Times New Roman" w:hAnsi="Verdana" w:cs="Arial"/>
          <w:vertAlign w:val="superscript"/>
          <w:lang w:val="es-ES_tradnl" w:eastAsia="es-ES_tradnl"/>
        </w:rPr>
        <w:footnoteReference w:id="1"/>
      </w:r>
      <w:r w:rsidRPr="00D16A5E">
        <w:rPr>
          <w:rFonts w:ascii="Verdana" w:eastAsia="Times New Roman" w:hAnsi="Verdana" w:cs="Arial"/>
          <w:lang w:val="es-ES_tradnl" w:eastAsia="es-ES_tradnl"/>
        </w:rPr>
        <w:t>, que ordena a la entidad señalar un plazo razonable para evaluar las propuestas y para pedir a los proponentes, de ser necesario, que aclaren o expliquen aspectos que ofrezcan dudas y resulten indispensables para llevar a cabo la evaluación</w:t>
      </w:r>
      <w:r>
        <w:rPr>
          <w:rFonts w:ascii="Verdana" w:eastAsia="Times New Roman" w:hAnsi="Verdana" w:cs="Arial"/>
          <w:lang w:val="es-ES_tradnl" w:eastAsia="es-ES_tradnl"/>
        </w:rPr>
        <w:t xml:space="preserve">. Así mismo, </w:t>
      </w:r>
      <w:r w:rsidRPr="00D16A5E">
        <w:rPr>
          <w:rFonts w:ascii="Verdana" w:eastAsia="Times New Roman" w:hAnsi="Verdana" w:cs="Arial"/>
          <w:lang w:val="es-ES_tradnl" w:eastAsia="es-ES_tradnl"/>
        </w:rPr>
        <w:t>con el artículo 30.8</w:t>
      </w:r>
      <w:r w:rsidRPr="00D16A5E">
        <w:rPr>
          <w:rFonts w:ascii="Verdana" w:eastAsia="Times New Roman" w:hAnsi="Verdana" w:cs="Arial"/>
          <w:vertAlign w:val="superscript"/>
          <w:lang w:val="es-ES_tradnl" w:eastAsia="es-ES_tradnl"/>
        </w:rPr>
        <w:footnoteReference w:id="2"/>
      </w:r>
      <w:r w:rsidRPr="00D16A5E">
        <w:rPr>
          <w:rFonts w:ascii="Verdana" w:eastAsia="Times New Roman" w:hAnsi="Verdana" w:cs="Arial"/>
          <w:lang w:val="es-ES_tradnl" w:eastAsia="es-ES_tradnl"/>
        </w:rPr>
        <w:t xml:space="preserve">, que consagró el término de </w:t>
      </w:r>
      <w:r>
        <w:rPr>
          <w:rFonts w:ascii="Verdana" w:eastAsia="Times New Roman" w:hAnsi="Verdana" w:cs="Arial"/>
          <w:lang w:val="es-ES_tradnl" w:eastAsia="es-ES_tradnl"/>
        </w:rPr>
        <w:t>cinco (</w:t>
      </w:r>
      <w:r w:rsidRPr="00D16A5E">
        <w:rPr>
          <w:rFonts w:ascii="Verdana" w:eastAsia="Times New Roman" w:hAnsi="Verdana" w:cs="Arial"/>
          <w:lang w:val="es-ES_tradnl" w:eastAsia="es-ES_tradnl"/>
        </w:rPr>
        <w:t>5</w:t>
      </w:r>
      <w:r>
        <w:rPr>
          <w:rFonts w:ascii="Verdana" w:eastAsia="Times New Roman" w:hAnsi="Verdana" w:cs="Arial"/>
          <w:lang w:val="es-ES_tradnl" w:eastAsia="es-ES_tradnl"/>
        </w:rPr>
        <w:t>)</w:t>
      </w:r>
      <w:r w:rsidRPr="00D16A5E">
        <w:rPr>
          <w:rFonts w:ascii="Verdana" w:eastAsia="Times New Roman" w:hAnsi="Verdana" w:cs="Arial"/>
          <w:lang w:val="es-ES_tradnl" w:eastAsia="es-ES_tradnl"/>
        </w:rPr>
        <w:t xml:space="preserve"> días hábiles para que los oferentes presenten observaciones al informe de evaluación de las propuestas, sin que sea posible completar, adicionar, modificar o mejorar su oferta.  </w:t>
      </w:r>
    </w:p>
    <w:p w14:paraId="07D64379"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 xml:space="preserve">A partir de la lectura integrada de estas tres normas debía concluirse que con la Ley 80 de 1993 era posible subsanar las propuestas, y la omisión o el error en algún aspecto de esta no podía llevar a su rechazo, sin antes verificar que lo omitido fuera un aspecto necesario para la comparación. </w:t>
      </w:r>
    </w:p>
    <w:p w14:paraId="41E740AA" w14:textId="77777777" w:rsidR="005164E5" w:rsidRPr="00D16A5E" w:rsidRDefault="005164E5" w:rsidP="005164E5">
      <w:pPr>
        <w:spacing w:after="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t xml:space="preserve">En un </w:t>
      </w:r>
      <w:r w:rsidRPr="00D16A5E">
        <w:rPr>
          <w:rFonts w:ascii="Verdana" w:eastAsia="Times New Roman" w:hAnsi="Verdana" w:cs="Arial"/>
          <w:i/>
          <w:lang w:val="es-ES_tradnl" w:eastAsia="es-ES_tradnl"/>
        </w:rPr>
        <w:t>tercer momento</w:t>
      </w:r>
      <w:r w:rsidRPr="00D16A5E">
        <w:rPr>
          <w:rFonts w:ascii="Verdana" w:eastAsia="Times New Roman" w:hAnsi="Verdana" w:cs="Arial"/>
          <w:lang w:val="es-ES_tradnl" w:eastAsia="es-ES_tradnl"/>
        </w:rPr>
        <w:t xml:space="preserve">, siguiendo la línea trazada por la Ley 80 de 1993, el legislador expidió la Ley 1150 de 2007, que, en el parágrafo 1º del artículo 5, determinó lo siguiente: </w:t>
      </w:r>
    </w:p>
    <w:p w14:paraId="5FA88D14" w14:textId="77777777" w:rsidR="005164E5" w:rsidRPr="00462445" w:rsidRDefault="005164E5" w:rsidP="005164E5">
      <w:pPr>
        <w:spacing w:after="0" w:line="276" w:lineRule="auto"/>
        <w:ind w:left="709" w:right="709"/>
        <w:jc w:val="both"/>
        <w:rPr>
          <w:rFonts w:ascii="Verdana" w:eastAsia="Times New Roman" w:hAnsi="Verdana" w:cs="Arial"/>
          <w:lang w:val="es-ES" w:eastAsia="es-ES"/>
        </w:rPr>
      </w:pPr>
    </w:p>
    <w:p w14:paraId="60391181" w14:textId="77777777" w:rsidR="005164E5" w:rsidRPr="00CA0454" w:rsidRDefault="005164E5" w:rsidP="005164E5">
      <w:pPr>
        <w:spacing w:after="0" w:line="240" w:lineRule="auto"/>
        <w:ind w:left="709" w:right="709"/>
        <w:jc w:val="both"/>
        <w:rPr>
          <w:rFonts w:ascii="Verdana" w:eastAsia="Times New Roman" w:hAnsi="Verdana" w:cs="Arial"/>
          <w:sz w:val="20"/>
          <w:szCs w:val="20"/>
          <w:lang w:val="es-ES" w:eastAsia="es-ES"/>
        </w:rPr>
      </w:pPr>
      <w:r>
        <w:rPr>
          <w:rFonts w:ascii="Verdana" w:eastAsia="Times New Roman" w:hAnsi="Verdana" w:cs="Arial"/>
          <w:sz w:val="20"/>
          <w:szCs w:val="20"/>
          <w:lang w:val="es-ES" w:eastAsia="es-ES"/>
        </w:rPr>
        <w:t>“</w:t>
      </w:r>
      <w:r w:rsidRPr="00CA0454">
        <w:rPr>
          <w:rFonts w:ascii="Verdana" w:eastAsia="Times New Roman" w:hAnsi="Verdana" w:cs="Arial"/>
          <w:sz w:val="20"/>
          <w:szCs w:val="20"/>
          <w:lang w:val="es-ES" w:eastAsia="es-ES"/>
        </w:rPr>
        <w:t xml:space="preserve">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proofErr w:type="gramStart"/>
      <w:r w:rsidRPr="00CA0454">
        <w:rPr>
          <w:rFonts w:ascii="Verdana" w:eastAsia="Times New Roman" w:hAnsi="Verdana" w:cs="Arial"/>
          <w:sz w:val="20"/>
          <w:szCs w:val="20"/>
          <w:lang w:val="es-ES" w:eastAsia="es-ES"/>
        </w:rPr>
        <w:t>puntaje,</w:t>
      </w:r>
      <w:proofErr w:type="gramEnd"/>
      <w:r w:rsidRPr="00CA0454">
        <w:rPr>
          <w:rFonts w:ascii="Verdana" w:eastAsia="Times New Roman" w:hAnsi="Verdana" w:cs="Arial"/>
          <w:sz w:val="20"/>
          <w:szCs w:val="20"/>
          <w:lang w:val="es-ES" w:eastAsia="es-ES"/>
        </w:rPr>
        <w:t xml:space="preserve"> podrán ser solicitados por las entidades en cualquier momento, hasta la adjudicación. No obstante lo anterior, en aquellos procesos de selección en los que se utilice el mecanismo de subasta, deberán ser solicitados hasta el momento previo a su realización</w:t>
      </w:r>
      <w:r>
        <w:rPr>
          <w:rFonts w:ascii="Verdana" w:eastAsia="Times New Roman" w:hAnsi="Verdana" w:cs="Arial"/>
          <w:sz w:val="20"/>
          <w:szCs w:val="20"/>
          <w:lang w:val="es-ES" w:eastAsia="es-ES"/>
        </w:rPr>
        <w:t>”</w:t>
      </w:r>
      <w:r w:rsidRPr="00CA0454">
        <w:rPr>
          <w:rFonts w:ascii="Verdana" w:eastAsia="Times New Roman" w:hAnsi="Verdana" w:cs="Arial"/>
          <w:sz w:val="20"/>
          <w:szCs w:val="20"/>
          <w:lang w:val="es-ES" w:eastAsia="es-ES"/>
        </w:rPr>
        <w:t xml:space="preserve">. </w:t>
      </w:r>
    </w:p>
    <w:p w14:paraId="08616885" w14:textId="77777777" w:rsidR="005164E5" w:rsidRPr="00462445" w:rsidRDefault="005164E5" w:rsidP="005164E5">
      <w:pPr>
        <w:spacing w:after="0" w:line="276" w:lineRule="auto"/>
        <w:ind w:left="709" w:right="709"/>
        <w:jc w:val="both"/>
        <w:rPr>
          <w:rFonts w:ascii="Verdana" w:eastAsia="Times New Roman" w:hAnsi="Verdana" w:cs="Arial"/>
          <w:lang w:val="es-ES" w:eastAsia="es-ES"/>
        </w:rPr>
      </w:pPr>
    </w:p>
    <w:p w14:paraId="1BF363F3"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 xml:space="preserve">Nótese que esta norma reitera lo que dispuso la Ley 80 de 1993, en el sentido de que los requisitos o documentos que no sean necesarios para la comparación de las ofertas pueden subsanarse, pero además la Ley 1150 de </w:t>
      </w:r>
      <w:r w:rsidRPr="00D16A5E">
        <w:rPr>
          <w:rFonts w:ascii="Verdana" w:eastAsia="Times New Roman" w:hAnsi="Verdana" w:cs="Arial"/>
          <w:lang w:val="es-ES" w:eastAsia="es-ES"/>
        </w:rPr>
        <w:lastRenderedPageBreak/>
        <w:t xml:space="preserve">2007 introdujo otro criterio que le dio mayor claridad al tema: la asignación de puntaje. </w:t>
      </w:r>
    </w:p>
    <w:p w14:paraId="634E2C81"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A partir de la Ley 1150 de 2007</w:t>
      </w:r>
      <w:r>
        <w:rPr>
          <w:rFonts w:ascii="Verdana" w:eastAsia="Times New Roman" w:hAnsi="Verdana" w:cs="Arial"/>
          <w:lang w:val="es-ES" w:eastAsia="es-ES"/>
        </w:rPr>
        <w:t>,</w:t>
      </w:r>
      <w:r w:rsidRPr="00D16A5E">
        <w:rPr>
          <w:rFonts w:ascii="Verdana" w:eastAsia="Times New Roman" w:hAnsi="Verdana" w:cs="Arial"/>
          <w:lang w:val="es-ES" w:eastAsia="es-ES"/>
        </w:rPr>
        <w:t xml:space="preserve"> la Administración contó con un criterio más claro y determinado para saber si la ausencia de documentos o requisitos de la oferta conlleva a su rechazo o al requerimiento del proponente para que lo subsane, pues bastará con un simple ejercicio de verificación que consiste en corroborar si lo omitido hace parte de los aspectos que otorgan puntaje o no. Si la Administración encuentra que lo omitido por el proponente es un aspecto que otorga puntaje, no es posible subsanarlo; pero, si lo omitido no otorga puntaje, la Administración debe requerir al proponente para que lo subsane.  </w:t>
      </w:r>
    </w:p>
    <w:p w14:paraId="490E38CA" w14:textId="77777777" w:rsidR="005164E5" w:rsidRPr="00D16A5E" w:rsidRDefault="005164E5" w:rsidP="005164E5">
      <w:pPr>
        <w:spacing w:after="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t xml:space="preserve">El artículo 5 de la Ley 1150 de 2007, además de consagrar un criterio más claro, y, de paso, reducir la discrecionalidad de la Administración, fijó un ámbito temporal para que las entidades requirieran la subsanación de las ofertas: “en cualquier momento, hasta la adjudicación”. El Consejo de Estado, con particular sindéresis, concluyó que a partir del parágrafo 1º del artículo 5 de la Ley 1150, la definición de lo que es subsanable y lo que no lo es surge a partir del planteamiento de la pregunta sobre si el defecto asigna puntaje o no, en estos términos: </w:t>
      </w:r>
    </w:p>
    <w:p w14:paraId="41A574C0" w14:textId="77777777" w:rsidR="005164E5" w:rsidRPr="00D16A5E" w:rsidRDefault="005164E5" w:rsidP="005164E5">
      <w:pPr>
        <w:spacing w:after="0" w:line="276" w:lineRule="auto"/>
        <w:ind w:firstLine="709"/>
        <w:jc w:val="both"/>
        <w:rPr>
          <w:rFonts w:ascii="Verdana" w:eastAsia="Times New Roman" w:hAnsi="Verdana" w:cs="Arial"/>
          <w:lang w:val="es-ES_tradnl" w:eastAsia="es-ES_tradnl"/>
        </w:rPr>
      </w:pPr>
    </w:p>
    <w:p w14:paraId="037CBBA7" w14:textId="77777777" w:rsidR="005164E5" w:rsidRPr="00CA0454" w:rsidRDefault="005164E5" w:rsidP="005164E5">
      <w:pPr>
        <w:spacing w:after="0" w:line="240" w:lineRule="auto"/>
        <w:ind w:left="709" w:right="709"/>
        <w:jc w:val="both"/>
        <w:rPr>
          <w:rFonts w:ascii="Verdana" w:eastAsia="Times New Roman" w:hAnsi="Verdana" w:cs="Arial"/>
          <w:sz w:val="20"/>
          <w:szCs w:val="20"/>
          <w:lang w:val="es-ES" w:eastAsia="es-ES"/>
        </w:rPr>
      </w:pPr>
      <w:r>
        <w:rPr>
          <w:rFonts w:ascii="Verdana" w:eastAsia="Times New Roman" w:hAnsi="Verdana" w:cs="Arial"/>
          <w:sz w:val="20"/>
          <w:szCs w:val="20"/>
          <w:lang w:val="es-ES" w:eastAsia="es-ES"/>
        </w:rPr>
        <w:t>“</w:t>
      </w:r>
      <w:r w:rsidRPr="00CA0454">
        <w:rPr>
          <w:rFonts w:ascii="Verdana" w:eastAsia="Times New Roman" w:hAnsi="Verdana" w:cs="Arial"/>
          <w:sz w:val="20"/>
          <w:szCs w:val="20"/>
          <w:lang w:val="es-ES" w:eastAsia="es-ES"/>
        </w:rPr>
        <w:t>Esto significa que en adelante las entidades y los oferentes aplican directamente la regla que contempla el art. 5, parágrafo, de la Ley 1150, de manera que lo subsanable o insubsanable se define a partir de una pregunta, que se le formula a cada requisito omitido o cumplido imperfectamente: ¿el defecto asigna puntaje al oferente? Si lo hace no es subsanable, si no lo hace es subsanable; en el último evento la entidad le solicitará al oferente que satisfaga la deficiencia, para poner su oferta en condiciones de ser evaluada, y no importa si se refiere o no a problemas de capacidad o a requisitos cumplidos antes o después de presentadas las ofertas, con la condición de que cuando le pidan la acreditación la satisfaga suficientemente</w:t>
      </w:r>
      <w:r>
        <w:rPr>
          <w:rFonts w:ascii="Verdana" w:eastAsia="Times New Roman" w:hAnsi="Verdana" w:cs="Arial"/>
          <w:sz w:val="20"/>
          <w:szCs w:val="20"/>
          <w:lang w:val="es-ES" w:eastAsia="es-ES"/>
        </w:rPr>
        <w:t>”</w:t>
      </w:r>
      <w:r w:rsidRPr="00CA0454">
        <w:rPr>
          <w:rFonts w:ascii="Verdana" w:eastAsia="Times New Roman" w:hAnsi="Verdana" w:cs="Arial"/>
          <w:sz w:val="20"/>
          <w:szCs w:val="20"/>
          <w:vertAlign w:val="superscript"/>
          <w:lang w:val="es-ES" w:eastAsia="es-ES"/>
        </w:rPr>
        <w:footnoteReference w:id="3"/>
      </w:r>
      <w:r w:rsidRPr="00CA0454">
        <w:rPr>
          <w:rFonts w:ascii="Verdana" w:eastAsia="Times New Roman" w:hAnsi="Verdana" w:cs="Arial"/>
          <w:sz w:val="20"/>
          <w:szCs w:val="20"/>
          <w:lang w:val="es-ES" w:eastAsia="es-ES"/>
        </w:rPr>
        <w:t>.</w:t>
      </w:r>
    </w:p>
    <w:p w14:paraId="6337973C" w14:textId="77777777" w:rsidR="005164E5" w:rsidRPr="00D16A5E" w:rsidRDefault="005164E5" w:rsidP="005164E5">
      <w:pPr>
        <w:spacing w:after="0" w:line="240" w:lineRule="auto"/>
        <w:ind w:left="709" w:right="709"/>
        <w:jc w:val="both"/>
        <w:rPr>
          <w:rFonts w:ascii="Verdana" w:eastAsia="Times New Roman" w:hAnsi="Verdana" w:cs="Arial"/>
          <w:sz w:val="21"/>
          <w:szCs w:val="21"/>
          <w:lang w:val="es-ES_tradnl" w:eastAsia="es-ES_tradnl"/>
        </w:rPr>
      </w:pPr>
    </w:p>
    <w:p w14:paraId="66B1C105" w14:textId="77777777" w:rsidR="005164E5" w:rsidRPr="00D16A5E" w:rsidRDefault="005164E5" w:rsidP="005164E5">
      <w:pPr>
        <w:tabs>
          <w:tab w:val="left" w:pos="284"/>
        </w:tabs>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 xml:space="preserve">Esa interpretación fue compartida por la </w:t>
      </w:r>
      <w:r w:rsidRPr="00D16A5E">
        <w:rPr>
          <w:rFonts w:ascii="Verdana" w:eastAsia="Times New Roman" w:hAnsi="Verdana" w:cs="Arial"/>
          <w:lang w:val="es-ES" w:eastAsia="es-CO"/>
        </w:rPr>
        <w:t>Agencia Nacional de Contratación Pública – Colombia Compra Eficiente</w:t>
      </w:r>
      <w:r w:rsidRPr="00D16A5E">
        <w:rPr>
          <w:rFonts w:ascii="Verdana" w:eastAsia="Times New Roman" w:hAnsi="Verdana" w:cs="Arial"/>
          <w:lang w:val="es-ES" w:eastAsia="es-ES"/>
        </w:rPr>
        <w:t>, pues en la Circular Externa Única se precisó que</w:t>
      </w:r>
      <w:r>
        <w:rPr>
          <w:rFonts w:ascii="Verdana" w:eastAsia="Times New Roman" w:hAnsi="Verdana" w:cs="Arial"/>
          <w:lang w:val="es-ES" w:eastAsia="es-ES"/>
        </w:rPr>
        <w:t>,</w:t>
      </w:r>
      <w:r w:rsidRPr="00D16A5E">
        <w:rPr>
          <w:rFonts w:ascii="Verdana" w:eastAsia="Times New Roman" w:hAnsi="Verdana" w:cs="Arial"/>
          <w:lang w:val="es-ES" w:eastAsia="es-ES"/>
        </w:rPr>
        <w:t xml:space="preserve"> si durante un Proceso de Contratación hay proponentes que no acreditaron en sus ofertas requisitos que no afectan la asignación de puntaje o </w:t>
      </w:r>
      <w:r w:rsidRPr="00D16A5E">
        <w:rPr>
          <w:rFonts w:ascii="Verdana" w:eastAsia="Times New Roman" w:hAnsi="Verdana" w:cs="Arial"/>
          <w:lang w:val="es-ES" w:eastAsia="es-ES"/>
        </w:rPr>
        <w:lastRenderedPageBreak/>
        <w:t xml:space="preserve">la comparación de </w:t>
      </w:r>
      <w:proofErr w:type="gramStart"/>
      <w:r w:rsidRPr="00D16A5E">
        <w:rPr>
          <w:rFonts w:ascii="Verdana" w:eastAsia="Times New Roman" w:hAnsi="Verdana" w:cs="Arial"/>
          <w:lang w:val="es-ES" w:eastAsia="es-ES"/>
        </w:rPr>
        <w:t>las mismas</w:t>
      </w:r>
      <w:proofErr w:type="gramEnd"/>
      <w:r w:rsidRPr="00D16A5E">
        <w:rPr>
          <w:rFonts w:ascii="Verdana" w:eastAsia="Times New Roman" w:hAnsi="Verdana" w:cs="Arial"/>
          <w:lang w:val="es-ES" w:eastAsia="es-ES"/>
        </w:rPr>
        <w:t>, la Entidad Estatal deberá indicarlo en el informe de evaluación y advertir que la correspondiente oferta puede ser subsanada.</w:t>
      </w:r>
    </w:p>
    <w:p w14:paraId="4C46D00E" w14:textId="77777777" w:rsidR="005164E5" w:rsidRPr="00D16A5E" w:rsidRDefault="005164E5" w:rsidP="005164E5">
      <w:pPr>
        <w:tabs>
          <w:tab w:val="left" w:pos="284"/>
        </w:tabs>
        <w:spacing w:after="0" w:line="276" w:lineRule="auto"/>
        <w:ind w:firstLine="709"/>
        <w:jc w:val="both"/>
        <w:rPr>
          <w:rFonts w:ascii="Verdana" w:eastAsia="Times New Roman" w:hAnsi="Verdana" w:cs="Arial"/>
          <w:lang w:val="es-ES_tradnl" w:eastAsia="es-CO"/>
        </w:rPr>
      </w:pPr>
      <w:r w:rsidRPr="00D16A5E">
        <w:rPr>
          <w:rFonts w:ascii="Verdana" w:eastAsia="Times New Roman" w:hAnsi="Verdana" w:cs="Arial"/>
          <w:lang w:val="es-ES_tradnl" w:eastAsia="es-CO"/>
        </w:rPr>
        <w:t xml:space="preserve">Finalmente, en un </w:t>
      </w:r>
      <w:r w:rsidRPr="00D16A5E">
        <w:rPr>
          <w:rFonts w:ascii="Verdana" w:eastAsia="Times New Roman" w:hAnsi="Verdana" w:cs="Arial"/>
          <w:i/>
          <w:lang w:val="es-ES_tradnl" w:eastAsia="es-CO"/>
        </w:rPr>
        <w:t>cuarto momento</w:t>
      </w:r>
      <w:r w:rsidRPr="00D16A5E">
        <w:rPr>
          <w:rFonts w:ascii="Verdana" w:eastAsia="Times New Roman" w:hAnsi="Verdana" w:cs="Arial"/>
          <w:lang w:val="es-ES_tradnl" w:eastAsia="es-CO"/>
        </w:rPr>
        <w:t xml:space="preserve">, el legislador expidió la Ley 1882 de 2018, con la finalidad de introducir cambios y ajustes para fortalecer la contratación pública. El artículo 5 modificó el parágrafo 1º y adicionó algunos otros, entre ellos el </w:t>
      </w:r>
      <w:r>
        <w:rPr>
          <w:rFonts w:ascii="Verdana" w:eastAsia="Times New Roman" w:hAnsi="Verdana" w:cs="Arial"/>
          <w:lang w:val="es-ES_tradnl" w:eastAsia="es-CO"/>
        </w:rPr>
        <w:t>3</w:t>
      </w:r>
      <w:r w:rsidRPr="00D16A5E">
        <w:rPr>
          <w:rFonts w:ascii="Verdana" w:eastAsia="Times New Roman" w:hAnsi="Verdana" w:cs="Arial"/>
          <w:lang w:val="es-ES_tradnl" w:eastAsia="es-CO"/>
        </w:rPr>
        <w:t>°</w:t>
      </w:r>
      <w:r>
        <w:rPr>
          <w:rFonts w:ascii="Verdana" w:eastAsia="Times New Roman" w:hAnsi="Verdana" w:cs="Arial"/>
          <w:lang w:val="es-ES_tradnl" w:eastAsia="es-CO"/>
        </w:rPr>
        <w:t xml:space="preserve"> y </w:t>
      </w:r>
      <w:r w:rsidRPr="00D16A5E">
        <w:rPr>
          <w:rFonts w:ascii="Verdana" w:eastAsia="Times New Roman" w:hAnsi="Verdana" w:cs="Arial"/>
          <w:lang w:val="es-ES_tradnl" w:eastAsia="es-CO"/>
        </w:rPr>
        <w:t xml:space="preserve">4° del artículo 5 de la Ley 1150 de 2007: </w:t>
      </w:r>
    </w:p>
    <w:p w14:paraId="53A890DC" w14:textId="77777777" w:rsidR="005164E5" w:rsidRPr="000D2E9F" w:rsidRDefault="005164E5" w:rsidP="005164E5">
      <w:pPr>
        <w:spacing w:after="0" w:line="276" w:lineRule="auto"/>
        <w:ind w:left="709" w:right="709"/>
        <w:jc w:val="both"/>
        <w:rPr>
          <w:rFonts w:ascii="Verdana" w:eastAsia="Times New Roman" w:hAnsi="Verdana" w:cs="Arial"/>
          <w:lang w:val="es-ES_tradnl" w:eastAsia="es-CO"/>
        </w:rPr>
      </w:pPr>
    </w:p>
    <w:p w14:paraId="04CA37B8" w14:textId="77777777" w:rsidR="005164E5" w:rsidRPr="00CA0454" w:rsidRDefault="005164E5" w:rsidP="005164E5">
      <w:pPr>
        <w:spacing w:after="0" w:line="240" w:lineRule="auto"/>
        <w:ind w:left="709" w:right="709"/>
        <w:jc w:val="both"/>
        <w:rPr>
          <w:rFonts w:ascii="Verdana" w:eastAsia="Times New Roman" w:hAnsi="Verdana" w:cs="Arial"/>
          <w:sz w:val="20"/>
          <w:szCs w:val="20"/>
          <w:lang w:val="es-ES_tradnl" w:eastAsia="es-CO"/>
        </w:rPr>
      </w:pPr>
      <w:r>
        <w:rPr>
          <w:rFonts w:ascii="Verdana" w:eastAsia="Times New Roman" w:hAnsi="Verdana" w:cs="Arial"/>
          <w:sz w:val="20"/>
          <w:szCs w:val="20"/>
          <w:lang w:val="es-ES_tradnl" w:eastAsia="es-CO"/>
        </w:rPr>
        <w:t>“</w:t>
      </w:r>
      <w:r w:rsidRPr="00CA0454">
        <w:rPr>
          <w:rFonts w:ascii="Verdana" w:eastAsia="Times New Roman" w:hAnsi="Verdana" w:cs="Arial"/>
          <w:sz w:val="20"/>
          <w:szCs w:val="20"/>
          <w:lang w:val="es-ES_tradnl" w:eastAsia="es-CO"/>
        </w:rPr>
        <w:t xml:space="preserve">Artículo 5°. De la selección objetiva. </w:t>
      </w:r>
    </w:p>
    <w:p w14:paraId="5CC8419E" w14:textId="77777777" w:rsidR="005164E5" w:rsidRPr="00CA0454" w:rsidRDefault="005164E5" w:rsidP="005164E5">
      <w:pPr>
        <w:pStyle w:val="paragraph"/>
        <w:spacing w:before="0" w:beforeAutospacing="0" w:after="0" w:afterAutospacing="0"/>
        <w:ind w:left="709" w:right="709"/>
        <w:jc w:val="both"/>
        <w:textAlignment w:val="baseline"/>
        <w:rPr>
          <w:rStyle w:val="normaltextrun"/>
          <w:rFonts w:ascii="Verdana" w:hAnsi="Verdana" w:cs="Arial"/>
          <w:color w:val="000000"/>
          <w:sz w:val="20"/>
          <w:szCs w:val="20"/>
          <w:lang w:val="es-ES"/>
        </w:rPr>
      </w:pPr>
    </w:p>
    <w:p w14:paraId="098A37F2"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 xml:space="preserve">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w:t>
      </w:r>
      <w:proofErr w:type="gramStart"/>
      <w:r w:rsidRPr="00CA0454">
        <w:rPr>
          <w:rStyle w:val="normaltextrun"/>
          <w:rFonts w:ascii="Verdana" w:hAnsi="Verdana" w:cs="Arial"/>
          <w:color w:val="000000"/>
          <w:sz w:val="20"/>
          <w:szCs w:val="20"/>
          <w:lang w:val="es-ES"/>
        </w:rPr>
        <w:t>equivalentes,</w:t>
      </w:r>
      <w:proofErr w:type="gramEnd"/>
      <w:r w:rsidRPr="00CA0454">
        <w:rPr>
          <w:rStyle w:val="normaltextrun"/>
          <w:rFonts w:ascii="Verdana" w:hAnsi="Verdana" w:cs="Arial"/>
          <w:color w:val="000000"/>
          <w:sz w:val="20"/>
          <w:szCs w:val="20"/>
          <w:lang w:val="es-ES"/>
        </w:rPr>
        <w:t xml:space="preserve"> tendrán en cuenta los siguientes criterios:</w:t>
      </w:r>
      <w:r w:rsidRPr="00CA0454">
        <w:rPr>
          <w:rStyle w:val="eop"/>
          <w:rFonts w:ascii="Verdana" w:hAnsi="Verdana" w:cs="Arial"/>
          <w:color w:val="000000"/>
          <w:sz w:val="20"/>
          <w:szCs w:val="20"/>
        </w:rPr>
        <w:t> </w:t>
      </w:r>
    </w:p>
    <w:p w14:paraId="169107D2"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54E5D303"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r w:rsidRPr="00CA0454">
        <w:rPr>
          <w:rStyle w:val="eop"/>
          <w:rFonts w:ascii="Verdana" w:hAnsi="Verdana" w:cs="Arial"/>
          <w:color w:val="000000"/>
          <w:sz w:val="20"/>
          <w:szCs w:val="20"/>
        </w:rPr>
        <w:t> </w:t>
      </w:r>
    </w:p>
    <w:p w14:paraId="0FDCFE1F"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2C0DB18C"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r w:rsidRPr="00CA0454">
        <w:rPr>
          <w:rStyle w:val="eop"/>
          <w:rFonts w:ascii="Verdana" w:hAnsi="Verdana" w:cs="Arial"/>
          <w:color w:val="000000"/>
          <w:sz w:val="20"/>
          <w:szCs w:val="20"/>
        </w:rPr>
        <w:t> </w:t>
      </w:r>
    </w:p>
    <w:p w14:paraId="246109E0"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p>
    <w:p w14:paraId="39C48AD3"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En los procesos de selección en los que se tenga en cuenta los factores técnicos y económicos, la oferta más ventajosa será la que resulte de aplicar alguna de las siguientes alternativas:</w:t>
      </w:r>
      <w:r w:rsidRPr="00CA0454">
        <w:rPr>
          <w:rStyle w:val="eop"/>
          <w:rFonts w:ascii="Verdana" w:hAnsi="Verdana" w:cs="Arial"/>
          <w:color w:val="000000"/>
          <w:sz w:val="20"/>
          <w:szCs w:val="20"/>
        </w:rPr>
        <w:t> </w:t>
      </w:r>
    </w:p>
    <w:p w14:paraId="440EA030"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p>
    <w:p w14:paraId="00241B9F"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lastRenderedPageBreak/>
        <w:t>a) La ponderación de los elementos de calidad y precio soportados en puntajes o fórmulas señaladas en el pliego de condiciones; o</w:t>
      </w:r>
    </w:p>
    <w:p w14:paraId="04444F7F"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p>
    <w:p w14:paraId="4BAA7F79"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b) La ponderación de los elementos de calidad y precio que representen la mejor relación de costo-beneficio para la entidad.</w:t>
      </w:r>
      <w:r w:rsidRPr="00CA0454">
        <w:rPr>
          <w:rStyle w:val="eop"/>
          <w:rFonts w:ascii="Verdana" w:hAnsi="Verdana" w:cs="Arial"/>
          <w:color w:val="000000"/>
          <w:sz w:val="20"/>
          <w:szCs w:val="20"/>
        </w:rPr>
        <w:t> </w:t>
      </w:r>
    </w:p>
    <w:p w14:paraId="66E91FFB"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p>
    <w:p w14:paraId="187CBDC6"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r w:rsidRPr="00CA0454">
        <w:rPr>
          <w:rStyle w:val="eop"/>
          <w:rFonts w:ascii="Verdana" w:hAnsi="Verdana" w:cs="Arial"/>
          <w:color w:val="000000"/>
          <w:sz w:val="20"/>
          <w:szCs w:val="20"/>
        </w:rPr>
        <w:t> </w:t>
      </w:r>
    </w:p>
    <w:p w14:paraId="04890364"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1753B81F"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w:t>
      </w:r>
      <w:r w:rsidRPr="00CA0454">
        <w:rPr>
          <w:rStyle w:val="eop"/>
          <w:rFonts w:ascii="Verdana" w:hAnsi="Verdana" w:cs="Arial"/>
          <w:color w:val="000000"/>
          <w:sz w:val="20"/>
          <w:szCs w:val="20"/>
        </w:rPr>
        <w:t> </w:t>
      </w:r>
    </w:p>
    <w:p w14:paraId="01CB37DC"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6C2AA80B"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En ningún caso se podrá incluir el precio, como factor de escogencia para la selección de consultores.</w:t>
      </w:r>
      <w:r w:rsidRPr="00CA0454">
        <w:rPr>
          <w:rStyle w:val="eop"/>
          <w:rFonts w:ascii="Verdana" w:hAnsi="Verdana" w:cs="Arial"/>
          <w:color w:val="000000"/>
          <w:sz w:val="20"/>
          <w:szCs w:val="20"/>
        </w:rPr>
        <w:t> </w:t>
      </w:r>
    </w:p>
    <w:p w14:paraId="3B7DA5E2"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5E51B1A1"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 xml:space="preserve">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proofErr w:type="gramStart"/>
      <w:r w:rsidRPr="00CA0454">
        <w:rPr>
          <w:rStyle w:val="normaltextrun"/>
          <w:rFonts w:ascii="Verdana" w:hAnsi="Verdana" w:cs="Arial"/>
          <w:color w:val="000000"/>
          <w:sz w:val="20"/>
          <w:szCs w:val="20"/>
          <w:lang w:val="es-ES"/>
        </w:rPr>
        <w:t>puntaje,</w:t>
      </w:r>
      <w:proofErr w:type="gramEnd"/>
      <w:r w:rsidRPr="00CA0454">
        <w:rPr>
          <w:rStyle w:val="normaltextrun"/>
          <w:rFonts w:ascii="Verdana" w:hAnsi="Verdana" w:cs="Arial"/>
          <w:color w:val="000000"/>
          <w:sz w:val="20"/>
          <w:szCs w:val="20"/>
          <w:lang w:val="es-ES"/>
        </w:rPr>
        <w:t xml:space="preserv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r w:rsidRPr="00CA0454">
        <w:rPr>
          <w:rStyle w:val="eop"/>
          <w:rFonts w:ascii="Verdana" w:hAnsi="Verdana" w:cs="Arial"/>
          <w:color w:val="000000"/>
          <w:sz w:val="20"/>
          <w:szCs w:val="20"/>
        </w:rPr>
        <w:t> </w:t>
      </w:r>
    </w:p>
    <w:p w14:paraId="7F186838"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66631A69"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Durante el término otorgado para subsanar las ofertas, los proponentes no podrán acreditar circunstancias ocurridas con posterioridad al cierre del proceso.</w:t>
      </w:r>
      <w:r w:rsidRPr="00CA0454">
        <w:rPr>
          <w:rStyle w:val="eop"/>
          <w:rFonts w:ascii="Verdana" w:hAnsi="Verdana" w:cs="Arial"/>
          <w:color w:val="000000"/>
          <w:sz w:val="20"/>
          <w:szCs w:val="20"/>
        </w:rPr>
        <w:t> </w:t>
      </w:r>
    </w:p>
    <w:p w14:paraId="02F927E8"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2B7CA921"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PARÁGRAFO 2o. Las certificaciones de sistemas de gestión de calidad no serán objeto de calificación, ni podrán establecerse como documento habilitante para participar en licitaciones o concursos.</w:t>
      </w:r>
      <w:r w:rsidRPr="00CA0454">
        <w:rPr>
          <w:rStyle w:val="eop"/>
          <w:rFonts w:ascii="Verdana" w:hAnsi="Verdana" w:cs="Arial"/>
          <w:color w:val="000000"/>
          <w:sz w:val="20"/>
          <w:szCs w:val="20"/>
        </w:rPr>
        <w:t> </w:t>
      </w:r>
    </w:p>
    <w:p w14:paraId="68711328"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54F8D0E7"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 xml:space="preserve">PARÁGRAFO 3o. &lt;Parágrafo adicionado por el artículo 5 de la Ley 1882 de 2018. El nuevo texto es el siguiente:&gt; La no entrega de la garantía de </w:t>
      </w:r>
      <w:r w:rsidRPr="00CA0454">
        <w:rPr>
          <w:rStyle w:val="normaltextrun"/>
          <w:rFonts w:ascii="Verdana" w:hAnsi="Verdana" w:cs="Arial"/>
          <w:color w:val="000000"/>
          <w:sz w:val="20"/>
          <w:szCs w:val="20"/>
          <w:lang w:val="es-ES"/>
        </w:rPr>
        <w:lastRenderedPageBreak/>
        <w:t xml:space="preserve">seriedad junto con la propuesta no será subsanable y será causal de rechazo de </w:t>
      </w:r>
      <w:proofErr w:type="gramStart"/>
      <w:r w:rsidRPr="00CA0454">
        <w:rPr>
          <w:rStyle w:val="normaltextrun"/>
          <w:rFonts w:ascii="Verdana" w:hAnsi="Verdana" w:cs="Arial"/>
          <w:color w:val="000000"/>
          <w:sz w:val="20"/>
          <w:szCs w:val="20"/>
          <w:lang w:val="es-ES"/>
        </w:rPr>
        <w:t>la misma</w:t>
      </w:r>
      <w:proofErr w:type="gramEnd"/>
      <w:r w:rsidRPr="00CA0454">
        <w:rPr>
          <w:rStyle w:val="normaltextrun"/>
          <w:rFonts w:ascii="Verdana" w:hAnsi="Verdana" w:cs="Arial"/>
          <w:color w:val="000000"/>
          <w:sz w:val="20"/>
          <w:szCs w:val="20"/>
          <w:lang w:val="es-ES"/>
        </w:rPr>
        <w:t>.</w:t>
      </w:r>
      <w:r w:rsidRPr="00CA0454">
        <w:rPr>
          <w:rStyle w:val="eop"/>
          <w:rFonts w:ascii="Verdana" w:hAnsi="Verdana" w:cs="Arial"/>
          <w:color w:val="000000"/>
          <w:sz w:val="20"/>
          <w:szCs w:val="20"/>
        </w:rPr>
        <w:t> </w:t>
      </w:r>
    </w:p>
    <w:p w14:paraId="687312EB"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21A9BBE2"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r w:rsidRPr="00CA0454">
        <w:rPr>
          <w:rStyle w:val="eop"/>
          <w:rFonts w:ascii="Verdana" w:hAnsi="Verdana" w:cs="Arial"/>
          <w:color w:val="000000"/>
          <w:sz w:val="20"/>
          <w:szCs w:val="20"/>
        </w:rPr>
        <w:t> </w:t>
      </w:r>
    </w:p>
    <w:p w14:paraId="07997FE8" w14:textId="77777777" w:rsidR="005164E5" w:rsidRPr="00CA0454"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eop"/>
          <w:rFonts w:ascii="Verdana" w:hAnsi="Verdana" w:cs="Arial"/>
          <w:color w:val="000000"/>
          <w:sz w:val="20"/>
          <w:szCs w:val="20"/>
        </w:rPr>
        <w:t> </w:t>
      </w:r>
    </w:p>
    <w:p w14:paraId="26CCA09A" w14:textId="77777777" w:rsidR="005164E5" w:rsidRPr="00556BC7" w:rsidRDefault="005164E5" w:rsidP="005164E5">
      <w:pPr>
        <w:pStyle w:val="paragraph"/>
        <w:spacing w:before="0" w:beforeAutospacing="0" w:after="0" w:afterAutospacing="0"/>
        <w:ind w:left="709" w:right="709"/>
        <w:jc w:val="both"/>
        <w:textAlignment w:val="baseline"/>
        <w:rPr>
          <w:rFonts w:ascii="Verdana" w:hAnsi="Verdana" w:cs="Segoe UI"/>
          <w:sz w:val="20"/>
          <w:szCs w:val="20"/>
        </w:rPr>
      </w:pPr>
      <w:r w:rsidRPr="00CA0454">
        <w:rPr>
          <w:rStyle w:val="normaltextrun"/>
          <w:rFonts w:ascii="Verdana" w:hAnsi="Verdana" w:cs="Arial"/>
          <w:color w:val="000000"/>
          <w:sz w:val="20"/>
          <w:szCs w:val="20"/>
          <w:lang w:val="es-ES"/>
        </w:rPr>
        <w:t>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w:t>
      </w:r>
      <w:r>
        <w:rPr>
          <w:rStyle w:val="normaltextrun"/>
          <w:rFonts w:ascii="Verdana" w:hAnsi="Verdana" w:cs="Arial"/>
          <w:color w:val="000000"/>
          <w:sz w:val="20"/>
          <w:szCs w:val="20"/>
          <w:lang w:val="es-ES"/>
        </w:rPr>
        <w:t>”</w:t>
      </w:r>
      <w:r w:rsidRPr="00CA0454">
        <w:rPr>
          <w:rStyle w:val="normaltextrun"/>
          <w:rFonts w:ascii="Verdana" w:hAnsi="Verdana" w:cs="Arial"/>
          <w:color w:val="000000"/>
          <w:sz w:val="20"/>
          <w:szCs w:val="20"/>
          <w:lang w:val="es-ES"/>
        </w:rPr>
        <w:t>.</w:t>
      </w:r>
      <w:r w:rsidRPr="00556BC7">
        <w:rPr>
          <w:rStyle w:val="normaltextrun"/>
          <w:rFonts w:ascii="Verdana" w:hAnsi="Verdana" w:cs="Arial"/>
          <w:color w:val="000000"/>
          <w:sz w:val="20"/>
          <w:szCs w:val="20"/>
          <w:lang w:val="es-ES"/>
        </w:rPr>
        <w:t> </w:t>
      </w:r>
      <w:r w:rsidRPr="00556BC7">
        <w:rPr>
          <w:rStyle w:val="eop"/>
          <w:rFonts w:ascii="Verdana" w:hAnsi="Verdana" w:cs="Arial"/>
          <w:color w:val="000000"/>
          <w:sz w:val="20"/>
          <w:szCs w:val="20"/>
        </w:rPr>
        <w:t> </w:t>
      </w:r>
    </w:p>
    <w:p w14:paraId="133A0C10" w14:textId="77777777" w:rsidR="005164E5" w:rsidRPr="00556BC7" w:rsidRDefault="005164E5" w:rsidP="005164E5">
      <w:pPr>
        <w:spacing w:after="0" w:line="276" w:lineRule="auto"/>
        <w:ind w:left="709" w:right="709"/>
        <w:jc w:val="both"/>
        <w:rPr>
          <w:rFonts w:ascii="Verdana" w:eastAsia="Times New Roman" w:hAnsi="Verdana" w:cs="Arial"/>
          <w:lang w:eastAsia="es-CO"/>
        </w:rPr>
      </w:pPr>
    </w:p>
    <w:p w14:paraId="34ED8CAB"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 xml:space="preserve">Como puede observarse, la Ley 1882 de 2018: i) mantiene el criterio de la Ley 80 de 1993, relativo a que todo lo que no sea necesario para la comparación de propuestas no es título suficiente para su rechazo; ii) mantiene el criterio aclaratorio de la Ley 1150 de 2007, según el cual todo lo que no afecte la asignación de puntaje puede subsanarse; y, iii) introduce modificaciones en relación con algunos aspectos que se analizarán a continuación. </w:t>
      </w:r>
    </w:p>
    <w:p w14:paraId="183A4135" w14:textId="77777777" w:rsidR="005164E5" w:rsidRPr="00D16A5E" w:rsidRDefault="005164E5" w:rsidP="005164E5">
      <w:pPr>
        <w:spacing w:after="120" w:line="276" w:lineRule="auto"/>
        <w:ind w:right="51" w:firstLine="709"/>
        <w:jc w:val="both"/>
        <w:rPr>
          <w:rFonts w:ascii="Verdana" w:eastAsia="Times New Roman" w:hAnsi="Verdana" w:cs="Arial"/>
          <w:lang w:val="es-ES_tradnl" w:eastAsia="es-ES_tradnl"/>
        </w:rPr>
      </w:pPr>
      <w:r>
        <w:rPr>
          <w:rFonts w:ascii="Verdana" w:eastAsia="Times New Roman" w:hAnsi="Verdana" w:cs="Arial"/>
          <w:i/>
          <w:iCs/>
          <w:lang w:val="es-ES_tradnl" w:eastAsia="es-ES_tradnl"/>
        </w:rPr>
        <w:t>La</w:t>
      </w:r>
      <w:r w:rsidRPr="00D16A5E">
        <w:rPr>
          <w:rFonts w:ascii="Verdana" w:eastAsia="Times New Roman" w:hAnsi="Verdana" w:cs="Arial"/>
          <w:i/>
          <w:iCs/>
          <w:lang w:val="es-ES_tradnl" w:eastAsia="es-ES_tradnl"/>
        </w:rPr>
        <w:t xml:space="preserve"> primer</w:t>
      </w:r>
      <w:r>
        <w:rPr>
          <w:rFonts w:ascii="Verdana" w:eastAsia="Times New Roman" w:hAnsi="Verdana" w:cs="Arial"/>
          <w:i/>
          <w:iCs/>
          <w:lang w:val="es-ES_tradnl" w:eastAsia="es-ES_tradnl"/>
        </w:rPr>
        <w:t xml:space="preserve">a modificación </w:t>
      </w:r>
      <w:r>
        <w:rPr>
          <w:rFonts w:ascii="Verdana" w:eastAsia="Times New Roman" w:hAnsi="Verdana" w:cs="Arial"/>
          <w:lang w:val="es-ES_tradnl" w:eastAsia="es-ES_tradnl"/>
        </w:rPr>
        <w:t xml:space="preserve">está relacionada con </w:t>
      </w:r>
      <w:r w:rsidRPr="00D16A5E">
        <w:rPr>
          <w:rFonts w:ascii="Verdana" w:eastAsia="Times New Roman" w:hAnsi="Verdana" w:cs="Arial"/>
          <w:lang w:val="es-ES_tradnl" w:eastAsia="es-ES_tradnl"/>
        </w:rPr>
        <w:t>el ámbito temporal para ejercer la facultad de subsanar la oferta, pues la Ley 1882 de 2018 fijó una regla general y una excepción. La regla general es que</w:t>
      </w:r>
      <w:r>
        <w:rPr>
          <w:rFonts w:ascii="Verdana" w:eastAsia="Times New Roman" w:hAnsi="Verdana" w:cs="Arial"/>
          <w:lang w:val="es-ES_tradnl" w:eastAsia="es-ES_tradnl"/>
        </w:rPr>
        <w:t>,</w:t>
      </w:r>
      <w:r w:rsidRPr="00D16A5E">
        <w:rPr>
          <w:rFonts w:ascii="Verdana" w:eastAsia="Times New Roman" w:hAnsi="Verdana" w:cs="Arial"/>
          <w:lang w:val="es-ES_tradnl" w:eastAsia="es-ES_tradnl"/>
        </w:rPr>
        <w:t xml:space="preserv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de selección a través del sistema de subasta</w:t>
      </w:r>
      <w:r w:rsidRPr="00D16A5E">
        <w:rPr>
          <w:rFonts w:ascii="Verdana" w:eastAsia="Times New Roman" w:hAnsi="Verdana" w:cs="Arial"/>
          <w:vertAlign w:val="superscript"/>
          <w:lang w:val="es-ES_tradnl" w:eastAsia="es-ES_tradnl"/>
        </w:rPr>
        <w:footnoteReference w:id="4"/>
      </w:r>
      <w:r>
        <w:rPr>
          <w:rFonts w:ascii="Verdana" w:eastAsia="Times New Roman" w:hAnsi="Verdana" w:cs="Arial"/>
          <w:lang w:val="es-ES_tradnl" w:eastAsia="es-ES_tradnl"/>
        </w:rPr>
        <w:t>.</w:t>
      </w:r>
    </w:p>
    <w:p w14:paraId="0DE453DE"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15932803">
        <w:rPr>
          <w:rFonts w:ascii="Verdana" w:eastAsia="Times New Roman" w:hAnsi="Verdana" w:cs="Arial"/>
          <w:lang w:val="es-ES" w:eastAsia="es-ES"/>
        </w:rPr>
        <w:t xml:space="preserve">Frente a la regla general aplicable a los demás procesos de selección, la norma fijó un límite final para que la Administración y los oferentes subsanen los requisitos o documentos que puedan y deban ser subsanados. No obstante lo anterior, nada impide, y la norma no lo hace, que la Administración requiera al proponente antes de publicar el informe de evaluación. En efecto, la redacción de la norma permite que la Administración solicite a los oferentes subsanar y que estos lo hagan hasta antes del término del traslado del informe de </w:t>
      </w:r>
      <w:r w:rsidRPr="15932803">
        <w:rPr>
          <w:rFonts w:ascii="Verdana" w:eastAsia="Times New Roman" w:hAnsi="Verdana" w:cs="Arial"/>
          <w:lang w:val="es-ES" w:eastAsia="es-ES"/>
        </w:rPr>
        <w:lastRenderedPageBreak/>
        <w:t>evaluación: “</w:t>
      </w:r>
      <w:r w:rsidRPr="15932803">
        <w:rPr>
          <w:rFonts w:ascii="Verdana" w:eastAsia="Times New Roman" w:hAnsi="Verdana" w:cs="Arial"/>
          <w:i/>
          <w:iCs/>
          <w:lang w:val="es-ES" w:eastAsia="es-ES"/>
        </w:rPr>
        <w:t>deberán ser solicitados por las entidades estatales y deberán ser entregados por los proponentes hasta el término de traslado del informe de evaluación que corresponda a cada modalidad de selección”.</w:t>
      </w:r>
      <w:r w:rsidRPr="15932803">
        <w:rPr>
          <w:rFonts w:ascii="Verdana" w:eastAsia="Times New Roman" w:hAnsi="Verdana" w:cs="Arial"/>
          <w:lang w:val="es-ES" w:eastAsia="es-ES"/>
        </w:rPr>
        <w:t xml:space="preserve"> </w:t>
      </w:r>
    </w:p>
    <w:p w14:paraId="0B721550"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t>Sin perjuicio de lo expuesto</w:t>
      </w:r>
      <w:r w:rsidRPr="00D16A5E">
        <w:rPr>
          <w:rFonts w:ascii="Verdana" w:eastAsia="Times New Roman" w:hAnsi="Verdana" w:cs="Arial"/>
          <w:lang w:val="es-ES" w:eastAsia="es-ES"/>
        </w:rPr>
        <w:t>, de la lectura de este aparte podrían, en la práctica, darse dos interpretaciones que dan lugar a dos formas de proceder en los procesos de selección, en lo que a la subsanabilidad de las ofertas se refiere. Primera, que la posibilidad para subsanar de los oferentes es el término del traslado del informe de evaluación, ya que es en este documento donde la Administración consigna los requisitos o documentos omitidos que los oferentes deben subsanar, so pena de rechazo</w:t>
      </w:r>
      <w:r>
        <w:rPr>
          <w:rFonts w:ascii="Verdana" w:eastAsia="Times New Roman" w:hAnsi="Verdana" w:cs="Arial"/>
          <w:lang w:val="es-ES" w:eastAsia="es-ES"/>
        </w:rPr>
        <w:t>. S</w:t>
      </w:r>
      <w:r w:rsidRPr="00D16A5E">
        <w:rPr>
          <w:rFonts w:ascii="Verdana" w:eastAsia="Times New Roman" w:hAnsi="Verdana" w:cs="Arial"/>
          <w:lang w:val="es-ES" w:eastAsia="es-ES"/>
        </w:rPr>
        <w:t xml:space="preserve">egunda, que el término del traslado del informe de evaluación es el </w:t>
      </w:r>
      <w:r w:rsidRPr="00D16A5E">
        <w:rPr>
          <w:rFonts w:ascii="Verdana" w:eastAsia="Times New Roman" w:hAnsi="Verdana" w:cs="Arial"/>
          <w:i/>
          <w:lang w:val="es-ES" w:eastAsia="es-ES"/>
        </w:rPr>
        <w:t>límite</w:t>
      </w:r>
      <w:r w:rsidRPr="00D16A5E">
        <w:rPr>
          <w:rFonts w:ascii="Verdana" w:eastAsia="Times New Roman" w:hAnsi="Verdana" w:cs="Arial"/>
          <w:lang w:val="es-ES" w:eastAsia="es-ES"/>
        </w:rPr>
        <w:t xml:space="preserve"> para la subsanación de ofertas, pero no el único momento para hacerlo. </w:t>
      </w:r>
    </w:p>
    <w:p w14:paraId="32A8513D" w14:textId="77777777" w:rsidR="005164E5" w:rsidRPr="00D16A5E" w:rsidRDefault="005164E5" w:rsidP="005164E5">
      <w:pPr>
        <w:spacing w:after="12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t>De acuerdo con la primera interpretación, el informe de evaluación se convierte en la oportunidad que adopta la Administración para decirles a los oferentes qué documentos o requisitos omitieron y deben subsanar</w:t>
      </w:r>
      <w:r>
        <w:rPr>
          <w:rFonts w:ascii="Verdana" w:eastAsia="Times New Roman" w:hAnsi="Verdana" w:cs="Arial"/>
          <w:lang w:val="es-ES_tradnl" w:eastAsia="es-ES_tradnl"/>
        </w:rPr>
        <w:t>. C</w:t>
      </w:r>
      <w:r w:rsidRPr="00D16A5E">
        <w:rPr>
          <w:rFonts w:ascii="Verdana" w:eastAsia="Times New Roman" w:hAnsi="Verdana" w:cs="Arial"/>
          <w:lang w:val="es-ES_tradnl" w:eastAsia="es-ES_tradnl"/>
        </w:rPr>
        <w:t xml:space="preserve">onsecuentemente, el término del traslado es la oportunidad del proponente para cumplir con lo solicitado.  </w:t>
      </w:r>
    </w:p>
    <w:p w14:paraId="7E416D52" w14:textId="77777777" w:rsidR="005164E5" w:rsidRPr="00D16A5E" w:rsidRDefault="005164E5" w:rsidP="005164E5">
      <w:pPr>
        <w:spacing w:after="12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t>La segunda interpretación permitiría que la Administración requiera al oferente durante el proceso de evaluación de las propuestas, tan pronto advierta que hace falta un documento o requisito que se puede subsanar. En este caso, el proceso de subsanación se podría realizar con anterioridad a la publicación del informe de evaluación, de manera que, una vez se publique el informe ya se encuentren subsanadas las propuestas, sin perjuicio del término límite que concedió la ley.</w:t>
      </w:r>
    </w:p>
    <w:p w14:paraId="2F0BCCAA"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La modificación introducida por el artículo 5 de la Ley 1882 de 2018, si bien pudo significar, en la práctica de los procesos de selección, que el informe de evaluación fuera la oportunidad de la Administración para requerir al proponente para que subsane la oferta, y el término del traslado la oportunidad para hacerlo, lo cierto es que no impide que esto se realice con anterioridad a la publicación del informe</w:t>
      </w:r>
      <w:r>
        <w:rPr>
          <w:rFonts w:ascii="Verdana" w:eastAsia="Times New Roman" w:hAnsi="Verdana" w:cs="Arial"/>
          <w:lang w:val="es-ES" w:eastAsia="es-ES"/>
        </w:rPr>
        <w:t>. I</w:t>
      </w:r>
      <w:r w:rsidRPr="00D16A5E">
        <w:rPr>
          <w:rFonts w:ascii="Verdana" w:eastAsia="Times New Roman" w:hAnsi="Verdana" w:cs="Arial"/>
          <w:lang w:val="es-ES" w:eastAsia="es-ES"/>
        </w:rPr>
        <w:t xml:space="preserve">nclusive, es más adecuado y conveniente que la subsanación de las ofertas se intente con anterioridad, de forma que, una vez la Administración advierta el defecto le solicite directamente al oferente que subsane. Esta interpretación es más consistente con los principios de economía, transparencia y selección objetiva. Lo anterior, se aclara, sin desconocer el límite que establece la norma para que los oferentes, sin perjuicio de que lo hagan </w:t>
      </w:r>
      <w:r w:rsidRPr="00D16A5E">
        <w:rPr>
          <w:rFonts w:ascii="Verdana" w:eastAsia="Times New Roman" w:hAnsi="Verdana" w:cs="Arial"/>
          <w:lang w:val="es-ES" w:eastAsia="es-ES"/>
        </w:rPr>
        <w:lastRenderedPageBreak/>
        <w:t>antes, cuenten hasta el término de traslado del informe de evaluación con la posibilidad de presentar la información solicitada.</w:t>
      </w:r>
    </w:p>
    <w:p w14:paraId="72B7628E" w14:textId="77777777" w:rsidR="005164E5" w:rsidRPr="00D16A5E" w:rsidRDefault="005164E5" w:rsidP="005164E5">
      <w:pPr>
        <w:spacing w:after="12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t xml:space="preserve">El </w:t>
      </w:r>
      <w:r w:rsidRPr="003049F6">
        <w:rPr>
          <w:rFonts w:ascii="Verdana" w:eastAsia="Times New Roman" w:hAnsi="Verdana" w:cs="Arial"/>
          <w:i/>
          <w:iCs/>
          <w:lang w:val="es-ES_tradnl" w:eastAsia="es-ES_tradnl"/>
        </w:rPr>
        <w:t>segundo cambio</w:t>
      </w:r>
      <w:r w:rsidRPr="00D16A5E">
        <w:rPr>
          <w:rFonts w:ascii="Verdana" w:eastAsia="Times New Roman" w:hAnsi="Verdana" w:cs="Arial"/>
          <w:lang w:val="es-ES_tradnl" w:eastAsia="es-ES_tradnl"/>
        </w:rPr>
        <w:t xml:space="preserve"> importante de la Ley 1882 de 2018 fue la introducción de un criterio material, directamente relacionado con los aspectos subsanables: </w:t>
      </w:r>
      <w:r w:rsidRPr="00D16A5E">
        <w:rPr>
          <w:rFonts w:ascii="Verdana" w:eastAsia="Times New Roman" w:hAnsi="Verdana" w:cs="Arial"/>
          <w:i/>
          <w:iCs/>
          <w:lang w:val="es-ES_tradnl" w:eastAsia="es-ES_tradnl"/>
        </w:rPr>
        <w:t>“los proponentes no podrán acreditar circunstancias ocurridas con posterioridad al cierre del proceso”.</w:t>
      </w:r>
      <w:r w:rsidRPr="00D16A5E">
        <w:rPr>
          <w:rFonts w:ascii="Verdana" w:eastAsia="Times New Roman" w:hAnsi="Verdana" w:cs="Arial"/>
          <w:lang w:val="es-ES_tradnl" w:eastAsia="es-ES_tradnl"/>
        </w:rPr>
        <w:t xml:space="preserve"> Lo anterior ofrece dos aspectos que merecen clarificación</w:t>
      </w:r>
      <w:r>
        <w:rPr>
          <w:rFonts w:ascii="Verdana" w:eastAsia="Times New Roman" w:hAnsi="Verdana" w:cs="Arial"/>
          <w:lang w:val="es-ES_tradnl" w:eastAsia="es-ES_tradnl"/>
        </w:rPr>
        <w:t>;</w:t>
      </w:r>
      <w:r w:rsidRPr="00D16A5E">
        <w:rPr>
          <w:rFonts w:ascii="Verdana" w:eastAsia="Times New Roman" w:hAnsi="Verdana" w:cs="Arial"/>
          <w:lang w:val="es-ES_tradnl" w:eastAsia="es-ES_tradnl"/>
        </w:rPr>
        <w:t xml:space="preserve"> primero, qué debe entenderse por circunstancias ocurridas con posterioridad; y segundo, qué es el cierre del proceso. </w:t>
      </w:r>
    </w:p>
    <w:p w14:paraId="004CE8C3"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 E</w:t>
      </w:r>
      <w:r>
        <w:rPr>
          <w:rFonts w:ascii="Verdana" w:eastAsia="Times New Roman" w:hAnsi="Verdana" w:cs="Arial"/>
          <w:lang w:val="es-ES" w:eastAsia="es-ES"/>
        </w:rPr>
        <w:t>n esa ocasión, e</w:t>
      </w:r>
      <w:r w:rsidRPr="00D16A5E">
        <w:rPr>
          <w:rFonts w:ascii="Verdana" w:eastAsia="Times New Roman" w:hAnsi="Verdana" w:cs="Arial"/>
          <w:lang w:val="es-ES" w:eastAsia="es-ES"/>
        </w:rPr>
        <w:t>l Consejo de Estado precisó que</w:t>
      </w:r>
      <w:r>
        <w:rPr>
          <w:rFonts w:ascii="Verdana" w:eastAsia="Times New Roman" w:hAnsi="Verdana" w:cs="Arial"/>
          <w:lang w:val="es-ES" w:eastAsia="es-ES"/>
        </w:rPr>
        <w:t>,</w:t>
      </w:r>
      <w:r w:rsidRPr="00D16A5E">
        <w:rPr>
          <w:rFonts w:ascii="Verdana" w:eastAsia="Times New Roman" w:hAnsi="Verdana" w:cs="Arial"/>
          <w:lang w:val="es-ES" w:eastAsia="es-ES"/>
        </w:rPr>
        <w:t xml:space="preserve"> por cierre del proceso debe entenders</w:t>
      </w:r>
      <w:r w:rsidRPr="000C12F6">
        <w:rPr>
          <w:rFonts w:ascii="Verdana" w:eastAsia="Times New Roman" w:hAnsi="Verdana" w:cs="Arial"/>
          <w:lang w:val="es-ES" w:eastAsia="es-ES"/>
        </w:rPr>
        <w:t xml:space="preserve">e el vencimiento del plazo para la presentación de las ofertas y que </w:t>
      </w:r>
      <w:r w:rsidRPr="00D16A5E">
        <w:rPr>
          <w:rFonts w:ascii="Verdana" w:eastAsia="Times New Roman" w:hAnsi="Verdana" w:cs="Arial"/>
          <w:lang w:val="es-ES" w:eastAsia="es-ES"/>
        </w:rPr>
        <w:t>lo subsanable son las circunstancias que ocurrieron con anterioridad a esa fecha</w:t>
      </w:r>
      <w:r w:rsidRPr="00D16A5E">
        <w:rPr>
          <w:rFonts w:ascii="Verdana" w:eastAsia="Times New Roman" w:hAnsi="Verdana" w:cs="Arial"/>
          <w:vertAlign w:val="superscript"/>
          <w:lang w:val="es-ES" w:eastAsia="es-ES"/>
        </w:rPr>
        <w:footnoteReference w:id="5"/>
      </w:r>
      <w:r w:rsidRPr="00D16A5E">
        <w:rPr>
          <w:rFonts w:ascii="Verdana" w:eastAsia="Times New Roman" w:hAnsi="Verdana" w:cs="Arial"/>
          <w:lang w:val="es-ES" w:eastAsia="es-ES"/>
        </w:rPr>
        <w:t>.</w:t>
      </w:r>
    </w:p>
    <w:p w14:paraId="218A2808" w14:textId="77777777" w:rsidR="005164E5" w:rsidRPr="00D16A5E" w:rsidRDefault="005164E5" w:rsidP="005164E5">
      <w:pPr>
        <w:spacing w:after="120" w:line="276" w:lineRule="auto"/>
        <w:ind w:firstLine="709"/>
        <w:jc w:val="both"/>
        <w:rPr>
          <w:rFonts w:ascii="Verdana" w:eastAsia="Times New Roman" w:hAnsi="Verdana" w:cs="Arial"/>
          <w:lang w:val="es-ES_tradnl" w:eastAsia="es-ES_tradnl"/>
        </w:rPr>
      </w:pPr>
      <w:r w:rsidRPr="00D16A5E">
        <w:rPr>
          <w:rFonts w:ascii="Verdana" w:eastAsia="Times New Roman" w:hAnsi="Verdana" w:cs="Arial"/>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w:t>
      </w:r>
      <w:r w:rsidRPr="00D16A5E">
        <w:rPr>
          <w:rFonts w:ascii="Verdana" w:eastAsia="Times New Roman" w:hAnsi="Verdana" w:cs="Arial"/>
          <w:lang w:val="es-ES_tradnl" w:eastAsia="es-ES_tradnl"/>
        </w:rPr>
        <w:lastRenderedPageBreak/>
        <w:t xml:space="preserve">cumplirlos durante el proceso de selección o, inclusive, que se puedan variar condiciones de la oferta una vez presentada. </w:t>
      </w:r>
    </w:p>
    <w:p w14:paraId="4C2E6E4F"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 xml:space="preserve">Un mejor entendimiento del significado de la expresión </w:t>
      </w:r>
      <w:r w:rsidRPr="00D16A5E">
        <w:rPr>
          <w:rFonts w:ascii="Verdana" w:eastAsia="Times New Roman" w:hAnsi="Verdana" w:cs="Arial"/>
          <w:i/>
          <w:lang w:val="es-ES" w:eastAsia="es-ES"/>
        </w:rPr>
        <w:t>“circunstancias ocurridas con posterioridad al cierre del proce</w:t>
      </w:r>
      <w:r w:rsidRPr="000C12F6">
        <w:rPr>
          <w:rFonts w:ascii="Verdana" w:eastAsia="Times New Roman" w:hAnsi="Verdana" w:cs="Arial"/>
          <w:i/>
          <w:lang w:val="es-ES" w:eastAsia="es-ES"/>
        </w:rPr>
        <w:t>so”</w:t>
      </w:r>
      <w:r w:rsidRPr="000C12F6">
        <w:rPr>
          <w:rFonts w:ascii="Verdana" w:eastAsia="Times New Roman" w:hAnsi="Verdana" w:cs="Arial"/>
          <w:lang w:val="es-ES" w:eastAsia="es-ES"/>
        </w:rPr>
        <w:t xml:space="preserve"> implica distinguir entre la prueba de un hecho y el hecho mismo. En</w:t>
      </w:r>
      <w:r w:rsidRPr="00D16A5E">
        <w:rPr>
          <w:rFonts w:ascii="Verdana" w:eastAsia="Times New Roman" w:hAnsi="Verdana" w:cs="Arial"/>
          <w:lang w:val="es-ES" w:eastAsia="es-ES"/>
        </w:rPr>
        <w:t xml:space="preserve"> el caso de la subsanabilidad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sidRPr="00D16A5E">
        <w:rPr>
          <w:rFonts w:ascii="Verdana" w:eastAsia="Times New Roman" w:hAnsi="Verdana" w:cs="Arial"/>
          <w:vertAlign w:val="superscript"/>
          <w:lang w:val="es-ES" w:eastAsia="es-ES"/>
        </w:rPr>
        <w:footnoteReference w:id="6"/>
      </w:r>
      <w:r w:rsidRPr="00D16A5E">
        <w:rPr>
          <w:rFonts w:ascii="Verdana" w:eastAsia="Times New Roman" w:hAnsi="Verdana" w:cs="Arial"/>
          <w:lang w:val="es-ES" w:eastAsia="es-ES"/>
        </w:rPr>
        <w:t xml:space="preserve">. </w:t>
      </w:r>
    </w:p>
    <w:p w14:paraId="2C4AA5CA" w14:textId="77777777" w:rsidR="005164E5" w:rsidRPr="00D16A5E" w:rsidRDefault="005164E5" w:rsidP="005164E5">
      <w:pPr>
        <w:spacing w:after="120" w:line="276" w:lineRule="auto"/>
        <w:ind w:firstLine="709"/>
        <w:jc w:val="both"/>
        <w:rPr>
          <w:rFonts w:ascii="Verdana" w:eastAsia="Times New Roman" w:hAnsi="Verdana" w:cs="Arial"/>
          <w:lang w:val="es-ES" w:eastAsia="es-ES"/>
        </w:rPr>
      </w:pPr>
      <w:r w:rsidRPr="00D16A5E">
        <w:rPr>
          <w:rFonts w:ascii="Verdana" w:eastAsia="Times New Roman" w:hAnsi="Verdana" w:cs="Arial"/>
          <w:lang w:val="es-ES" w:eastAsia="es-ES"/>
        </w:rPr>
        <w:t>Por ejemplo: i) si un oferente olvidó adjuntar con su propuesta el certificado que da cuenta de su inscripción en el RUP, el requisito será subsanable siempre que la prueba allegada demuestre que el hecho, esto es, la inscripción en el registro, ocurrió con anterioridad al cierre del proceso, estando está en firme para dicho momento; ii) si un oferente presentó la propuesta sin allegar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00D16A5E">
        <w:rPr>
          <w:rFonts w:ascii="Verdana" w:eastAsia="Times New Roman" w:hAnsi="Verdana" w:cs="Arial"/>
          <w:vertAlign w:val="superscript"/>
          <w:lang w:val="es-ES" w:eastAsia="es-ES"/>
        </w:rPr>
        <w:footnoteReference w:id="7"/>
      </w:r>
      <w:r w:rsidRPr="00D16A5E">
        <w:rPr>
          <w:rFonts w:ascii="Verdana" w:eastAsia="Times New Roman" w:hAnsi="Verdana" w:cs="Arial"/>
          <w:lang w:val="es-ES" w:eastAsia="es-ES"/>
        </w:rPr>
        <w:t>; iii) si un oferente no anexó el Certificado de existencia y representación legal, el documento aportado con posterioridad debe dar cuenta de que la sociedad existía antes del cierre del proceso</w:t>
      </w:r>
      <w:r w:rsidRPr="00D16A5E">
        <w:rPr>
          <w:rFonts w:ascii="Verdana" w:eastAsia="Times New Roman" w:hAnsi="Verdana" w:cs="Arial"/>
          <w:vertAlign w:val="superscript"/>
          <w:lang w:val="es-ES" w:eastAsia="es-ES"/>
        </w:rPr>
        <w:footnoteReference w:id="8"/>
      </w:r>
      <w:r w:rsidRPr="00D16A5E">
        <w:rPr>
          <w:rFonts w:ascii="Verdana" w:eastAsia="Times New Roman" w:hAnsi="Verdana" w:cs="Arial"/>
          <w:lang w:val="es-ES" w:eastAsia="es-ES"/>
        </w:rPr>
        <w:t xml:space="preserve">; iv) si </w:t>
      </w:r>
      <w:r w:rsidRPr="00D16A5E">
        <w:rPr>
          <w:rFonts w:ascii="Verdana" w:eastAsia="Times New Roman" w:hAnsi="Verdana" w:cs="Arial"/>
          <w:lang w:val="es-ES" w:eastAsia="es-ES"/>
        </w:rPr>
        <w:lastRenderedPageBreak/>
        <w:t xml:space="preserve">un oferente olvidó adjuntar un certificado que demuestra un título universitario, el </w:t>
      </w:r>
      <w:r w:rsidRPr="000C12F6">
        <w:rPr>
          <w:rFonts w:ascii="Verdana" w:eastAsia="Times New Roman" w:hAnsi="Verdana" w:cs="Arial"/>
          <w:lang w:val="es-ES" w:eastAsia="es-ES"/>
        </w:rPr>
        <w:t>documento, aunque tenga fecha posterior al cierre del proceso, debe</w:t>
      </w:r>
      <w:r w:rsidRPr="00D16A5E">
        <w:rPr>
          <w:rFonts w:ascii="Verdana" w:eastAsia="Times New Roman" w:hAnsi="Verdana" w:cs="Arial"/>
          <w:lang w:val="es-ES" w:eastAsia="es-ES"/>
        </w:rPr>
        <w:t xml:space="preserve"> acreditar que el título académico se obtuvo con anterioridad al cierre del proceso; v) si un oferente no allegó un certificado de experiencia, el documento que subsana –sin importar que tenga fecha posterior– debe demostrar que la experiencia que se pretende hacer valer se obtuvo antes de vencerse el término para presentar ofertas y vi) si el oferente olvidó firmar la propuesta o presentar una copia de ella, puede subsanar sin que con ello se entienda que acreditó una circunstancia ocurrida con posterioridad al cierre del proceso. </w:t>
      </w:r>
    </w:p>
    <w:p w14:paraId="46C70F19" w14:textId="77777777" w:rsidR="005164E5" w:rsidRDefault="005164E5" w:rsidP="005164E5">
      <w:pPr>
        <w:spacing w:after="120" w:line="276" w:lineRule="auto"/>
        <w:ind w:firstLine="709"/>
        <w:jc w:val="both"/>
        <w:rPr>
          <w:rFonts w:ascii="Verdana" w:eastAsia="Times New Roman" w:hAnsi="Verdana" w:cs="Arial"/>
          <w:i/>
          <w:lang w:val="es-ES" w:eastAsia="es-ES"/>
        </w:rPr>
      </w:pPr>
      <w:r w:rsidRPr="00C33859">
        <w:rPr>
          <w:rFonts w:ascii="Verdana" w:eastAsia="Times New Roman" w:hAnsi="Verdana" w:cs="Arial"/>
          <w:lang w:val="es-ES" w:eastAsia="es-ES"/>
        </w:rPr>
        <w:t>Lo anterior quiere decir que no es la prueba –usualmente un documento– lo que debe ser anterior al cierre del proceso, sino el hecho que ella acredita. Es</w:t>
      </w:r>
      <w:r w:rsidRPr="00D16A5E">
        <w:rPr>
          <w:rFonts w:ascii="Verdana" w:eastAsia="Times New Roman" w:hAnsi="Verdana" w:cs="Arial"/>
          <w:lang w:val="es-ES" w:eastAsia="es-ES"/>
        </w:rPr>
        <w:t xml:space="preserve"> decir, ante la solicitud de la Administración de subsanar determinado requisito, el documento podría estar fechado con posterioridad al vencimiento del término para recibir propuestas, siempre y cuando el hecho que acredite haya ocurrido antes, esto es, que no sea una circunstancia ocurrida con posterioridad al cierre del proceso. Es por esto </w:t>
      </w:r>
      <w:proofErr w:type="gramStart"/>
      <w:r w:rsidRPr="00D16A5E">
        <w:rPr>
          <w:rFonts w:ascii="Verdana" w:eastAsia="Times New Roman" w:hAnsi="Verdana" w:cs="Arial"/>
          <w:lang w:val="es-ES" w:eastAsia="es-ES"/>
        </w:rPr>
        <w:t>que</w:t>
      </w:r>
      <w:proofErr w:type="gramEnd"/>
      <w:r w:rsidRPr="00D16A5E">
        <w:rPr>
          <w:rFonts w:ascii="Verdana" w:eastAsia="Times New Roman" w:hAnsi="Verdana" w:cs="Arial"/>
          <w:lang w:val="es-ES" w:eastAsia="es-ES"/>
        </w:rPr>
        <w:t xml:space="preserve"> el Consejo de Estado sostiene que” lo que se subsana es la prueba y no la condición habilitante o un elemento de la propuesta [...] lo que se puede remediar es la prueba y no el requisito: La posibilidad debe recaer exclusivamente sobre circunstancias acaecidas antes del cierre del respectivo proceso, esto es, del vencimiento del plazo para presentar ofertas”</w:t>
      </w:r>
      <w:r w:rsidRPr="00D16A5E">
        <w:rPr>
          <w:rFonts w:ascii="Verdana" w:eastAsia="Times New Roman" w:hAnsi="Verdana" w:cs="Arial"/>
          <w:vertAlign w:val="superscript"/>
          <w:lang w:val="es-ES" w:eastAsia="es-ES"/>
        </w:rPr>
        <w:footnoteReference w:id="9"/>
      </w:r>
      <w:r w:rsidRPr="00D16A5E">
        <w:rPr>
          <w:rFonts w:ascii="Verdana" w:eastAsia="Times New Roman" w:hAnsi="Verdana" w:cs="Arial"/>
          <w:lang w:val="es-ES" w:eastAsia="es-ES"/>
        </w:rPr>
        <w:t>.</w:t>
      </w:r>
    </w:p>
    <w:p w14:paraId="5D9B0E51" w14:textId="77777777" w:rsidR="005164E5" w:rsidRPr="009F4606" w:rsidRDefault="005164E5" w:rsidP="005164E5">
      <w:pPr>
        <w:spacing w:after="120" w:line="276" w:lineRule="auto"/>
        <w:ind w:firstLine="709"/>
        <w:jc w:val="both"/>
        <w:rPr>
          <w:rStyle w:val="eop"/>
          <w:rFonts w:ascii="Verdana" w:hAnsi="Verdana" w:cs="Arial"/>
          <w:color w:val="000000"/>
        </w:rPr>
      </w:pPr>
      <w:r w:rsidRPr="00246D72">
        <w:rPr>
          <w:rFonts w:ascii="Verdana" w:eastAsia="Times New Roman" w:hAnsi="Verdana" w:cs="Arial"/>
          <w:iCs/>
          <w:lang w:val="es-ES" w:eastAsia="es-ES"/>
        </w:rPr>
        <w:t>Ahora bien,</w:t>
      </w:r>
      <w:r>
        <w:rPr>
          <w:rFonts w:ascii="Verdana" w:eastAsia="Times New Roman" w:hAnsi="Verdana" w:cs="Arial"/>
          <w:i/>
          <w:lang w:val="es-ES" w:eastAsia="es-ES"/>
        </w:rPr>
        <w:t xml:space="preserve"> e</w:t>
      </w:r>
      <w:r w:rsidRPr="009F4606">
        <w:rPr>
          <w:rStyle w:val="normaltextrun"/>
          <w:rFonts w:ascii="Verdana" w:hAnsi="Verdana" w:cs="Arial"/>
          <w:color w:val="000000"/>
          <w:lang w:val="es-ES"/>
        </w:rPr>
        <w:t xml:space="preserve">l parágrafo 3 del artículo 5 de la Ley 1882 de 2018 determinó, de manera expresa, que </w:t>
      </w:r>
      <w:r>
        <w:rPr>
          <w:rStyle w:val="normaltextrun"/>
          <w:rFonts w:ascii="Verdana" w:hAnsi="Verdana" w:cs="Arial"/>
          <w:color w:val="000000"/>
          <w:lang w:val="es-ES"/>
        </w:rPr>
        <w:t>“</w:t>
      </w:r>
      <w:r w:rsidRPr="009F4606">
        <w:rPr>
          <w:rStyle w:val="normaltextrun"/>
          <w:rFonts w:ascii="Verdana" w:hAnsi="Verdana" w:cs="Arial"/>
          <w:color w:val="000000"/>
          <w:lang w:val="es-ES"/>
        </w:rPr>
        <w:t xml:space="preserve">la no entrega de la garantía de seriedad junto con la propuesta no será subsanable y será causal de rechazo de </w:t>
      </w:r>
      <w:proofErr w:type="gramStart"/>
      <w:r w:rsidRPr="009F4606">
        <w:rPr>
          <w:rStyle w:val="normaltextrun"/>
          <w:rFonts w:ascii="Verdana" w:hAnsi="Verdana" w:cs="Arial"/>
          <w:color w:val="000000"/>
          <w:lang w:val="es-ES"/>
        </w:rPr>
        <w:t>la misma</w:t>
      </w:r>
      <w:proofErr w:type="gramEnd"/>
      <w:r>
        <w:rPr>
          <w:rStyle w:val="normaltextrun"/>
          <w:rFonts w:ascii="Verdana" w:hAnsi="Verdana" w:cs="Arial"/>
          <w:color w:val="000000"/>
          <w:lang w:val="es-ES"/>
        </w:rPr>
        <w:t>”</w:t>
      </w:r>
      <w:r w:rsidRPr="009F4606">
        <w:rPr>
          <w:rStyle w:val="normaltextrun"/>
          <w:rFonts w:ascii="Verdana" w:hAnsi="Verdana" w:cs="Arial"/>
          <w:color w:val="000000"/>
          <w:lang w:val="es-ES"/>
        </w:rPr>
        <w:t>, dejando claro que se trata de un documento de obligatoria presentación junto con la propuesta y que materializa los principios de seriedad e irrevocabilidad de la oferta.</w:t>
      </w:r>
      <w:r w:rsidRPr="009F4606">
        <w:rPr>
          <w:rStyle w:val="eop"/>
          <w:rFonts w:ascii="Verdana" w:hAnsi="Verdana" w:cs="Arial"/>
          <w:color w:val="000000"/>
        </w:rPr>
        <w:t> </w:t>
      </w:r>
    </w:p>
    <w:p w14:paraId="20812A45" w14:textId="77777777" w:rsidR="005164E5" w:rsidRDefault="005164E5" w:rsidP="005164E5">
      <w:pPr>
        <w:spacing w:after="120" w:line="276" w:lineRule="auto"/>
        <w:ind w:firstLine="709"/>
        <w:jc w:val="both"/>
        <w:rPr>
          <w:rFonts w:ascii="Verdana" w:eastAsia="Times New Roman" w:hAnsi="Verdana" w:cs="Arial"/>
          <w:lang w:val="es-ES" w:eastAsia="es-ES"/>
        </w:rPr>
      </w:pPr>
      <w:r w:rsidRPr="50927A94">
        <w:rPr>
          <w:rFonts w:ascii="Verdana" w:eastAsia="Times New Roman" w:hAnsi="Verdana" w:cs="Arial"/>
          <w:lang w:val="es-ES" w:eastAsia="es-ES"/>
        </w:rPr>
        <w:t>Visto lo anterior,</w:t>
      </w:r>
      <w:r>
        <w:rPr>
          <w:rFonts w:ascii="Verdana" w:eastAsia="Times New Roman" w:hAnsi="Verdana" w:cs="Arial"/>
          <w:lang w:val="es-ES" w:eastAsia="es-ES"/>
        </w:rPr>
        <w:t xml:space="preserve"> con miras a dar respuesta al problema jurídico planteado, debe decirse que,</w:t>
      </w:r>
      <w:r w:rsidRPr="50927A94">
        <w:rPr>
          <w:rFonts w:ascii="Verdana" w:eastAsia="Times New Roman" w:hAnsi="Verdana" w:cs="Arial"/>
          <w:lang w:val="es-ES" w:eastAsia="es-ES"/>
        </w:rPr>
        <w:t xml:space="preserve"> una vez verificada la ausencia de requisitos y/o documentos de la oferta, para efectos de saber si se pueden subsanar, la Administración se debe preguntar</w:t>
      </w:r>
      <w:r>
        <w:rPr>
          <w:rFonts w:ascii="Verdana" w:eastAsia="Times New Roman" w:hAnsi="Verdana" w:cs="Arial"/>
          <w:lang w:val="es-ES" w:eastAsia="es-ES"/>
        </w:rPr>
        <w:t xml:space="preserve">: </w:t>
      </w:r>
      <w:r w:rsidRPr="50927A94">
        <w:rPr>
          <w:rFonts w:ascii="Verdana" w:eastAsia="Times New Roman" w:hAnsi="Verdana" w:cs="Arial"/>
          <w:lang w:val="es-ES" w:eastAsia="es-ES"/>
        </w:rPr>
        <w:t>en primer lugar, si lo que hace falta es un documento que afecte la asignación de puntaje o no y</w:t>
      </w:r>
      <w:r>
        <w:rPr>
          <w:rFonts w:ascii="Verdana" w:eastAsia="Times New Roman" w:hAnsi="Verdana" w:cs="Arial"/>
          <w:lang w:val="es-ES" w:eastAsia="es-ES"/>
        </w:rPr>
        <w:t>;</w:t>
      </w:r>
      <w:r w:rsidRPr="50927A94">
        <w:rPr>
          <w:rFonts w:ascii="Verdana" w:eastAsia="Times New Roman" w:hAnsi="Verdana" w:cs="Arial"/>
          <w:lang w:val="es-ES" w:eastAsia="es-ES"/>
        </w:rPr>
        <w:t xml:space="preserve"> en segundo lugar, si el cumplimiento del </w:t>
      </w:r>
      <w:r w:rsidRPr="50927A94">
        <w:rPr>
          <w:rFonts w:ascii="Verdana" w:eastAsia="Times New Roman" w:hAnsi="Verdana" w:cs="Arial"/>
          <w:lang w:val="es-ES" w:eastAsia="es-ES"/>
        </w:rPr>
        <w:lastRenderedPageBreak/>
        <w:t>requisito constituye una circunstancia ocurrida con anterioridad o con posterioridad al cierre del proceso. Para arribar a la conclusión de que lo omitido puede subsanarse, la respuesta al primer interrogante debe ser negativa, es decir, que lo omitido no sea un factor que afecte la asignación de puntaje y la respuesta al segundo interrogante debe dar cuenta de que lo omitido sea la prueba de una circunstancia o hecho que ocurrió con anterioridad al cierre del proceso.</w:t>
      </w:r>
    </w:p>
    <w:p w14:paraId="163F61AD" w14:textId="77777777" w:rsidR="005164E5" w:rsidRPr="001A10D9" w:rsidRDefault="005164E5" w:rsidP="005164E5">
      <w:pPr>
        <w:spacing w:after="120" w:line="276" w:lineRule="auto"/>
        <w:ind w:firstLine="709"/>
        <w:jc w:val="both"/>
        <w:rPr>
          <w:rFonts w:ascii="Verdana" w:hAnsi="Verdana" w:cs="Arial"/>
          <w:noProof/>
          <w:lang w:val="es-ES_tradnl"/>
        </w:rPr>
      </w:pPr>
      <w:r w:rsidRPr="001A10D9">
        <w:rPr>
          <w:rFonts w:ascii="Verdana" w:hAnsi="Verdana" w:cs="Arial"/>
          <w:noProof/>
          <w:lang w:val="es-ES_tradnl"/>
        </w:rPr>
        <w:t xml:space="preserve">En conclusion, los requisitos o documentos que no sean necesarios para la comparación de las ofertas pueden subsanarse y todo lo que no sea necesario para la comparación de propuestas no es título suficiente para su rechazo. En sentido, </w:t>
      </w:r>
      <w:r>
        <w:rPr>
          <w:rFonts w:ascii="Verdana" w:hAnsi="Verdana" w:cs="Arial"/>
          <w:noProof/>
          <w:lang w:val="es-ES_tradnl"/>
        </w:rPr>
        <w:t xml:space="preserve">a manera de ejemplo, </w:t>
      </w:r>
      <w:r w:rsidRPr="001A10D9">
        <w:rPr>
          <w:rFonts w:ascii="Verdana" w:hAnsi="Verdana" w:cs="Arial"/>
          <w:noProof/>
          <w:lang w:val="es-ES_tradnl"/>
        </w:rPr>
        <w:t xml:space="preserve">si en un concurso de méritos se presentó a un profesional para cumplir con un perfil solicitado como requisito habilitante, pero la entidad encontró alguna inconsistencia, podría subsanarse el requisito habilitante. </w:t>
      </w:r>
    </w:p>
    <w:p w14:paraId="1892DDB3" w14:textId="77777777" w:rsidR="005164E5" w:rsidRPr="0099216D" w:rsidRDefault="005164E5" w:rsidP="005164E5">
      <w:pPr>
        <w:spacing w:after="120" w:line="276" w:lineRule="auto"/>
        <w:ind w:firstLine="708"/>
        <w:jc w:val="both"/>
        <w:rPr>
          <w:rFonts w:ascii="Verdana" w:hAnsi="Verdana" w:cs="Arial"/>
          <w:bCs/>
          <w:lang w:val="es-ES_tradnl" w:eastAsia="es-ES" w:bidi="es-ES"/>
        </w:rPr>
      </w:pPr>
      <w:r>
        <w:rPr>
          <w:rFonts w:ascii="Verdana" w:eastAsia="Calibri" w:hAnsi="Verdana"/>
        </w:rPr>
        <w:t>De igual manera</w:t>
      </w:r>
      <w:r w:rsidRPr="00B643B2">
        <w:rPr>
          <w:rFonts w:ascii="Verdana" w:eastAsia="Calibri" w:hAnsi="Verdana"/>
        </w:rPr>
        <w:t>,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554FEA2D" w14:textId="77777777" w:rsidR="005164E5" w:rsidRDefault="005164E5" w:rsidP="005164E5">
      <w:pPr>
        <w:spacing w:after="120" w:line="276" w:lineRule="auto"/>
        <w:jc w:val="both"/>
        <w:rPr>
          <w:rFonts w:ascii="Verdana" w:eastAsia="Arial" w:hAnsi="Verdana" w:cs="Arial"/>
        </w:rPr>
      </w:pPr>
      <w:r>
        <w:rPr>
          <w:rFonts w:ascii="Verdana" w:eastAsia="Calibri" w:hAnsi="Verdana"/>
        </w:rPr>
        <w:t xml:space="preserve">        </w:t>
      </w: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75D7AB7E" w14:textId="77777777" w:rsidR="005164E5" w:rsidRPr="006B17A7" w:rsidRDefault="005164E5" w:rsidP="005164E5">
      <w:pPr>
        <w:widowControl w:val="0"/>
        <w:autoSpaceDE w:val="0"/>
        <w:autoSpaceDN w:val="0"/>
        <w:spacing w:before="1" w:after="0" w:line="240" w:lineRule="auto"/>
        <w:outlineLvl w:val="0"/>
        <w:rPr>
          <w:rFonts w:ascii="Arial" w:eastAsia="Arial" w:hAnsi="Arial" w:cs="Arial"/>
          <w:b/>
          <w:bCs/>
          <w:lang w:val="es-ES"/>
        </w:rPr>
      </w:pPr>
      <w:r w:rsidRPr="006B17A7">
        <w:rPr>
          <w:rFonts w:ascii="Arial" w:eastAsia="Arial" w:hAnsi="Arial" w:cs="Arial"/>
          <w:b/>
          <w:bCs/>
          <w:lang w:val="es-ES"/>
        </w:rPr>
        <w:t xml:space="preserve">4. </w:t>
      </w:r>
      <w:r w:rsidRPr="006B17A7">
        <w:rPr>
          <w:rFonts w:ascii="Verdana" w:eastAsia="Arial" w:hAnsi="Verdana" w:cs="Arial"/>
          <w:b/>
          <w:bCs/>
          <w:lang w:val="es-ES"/>
        </w:rPr>
        <w:t>Referencias normativas, jurisprudenciales y otras fuentes:</w:t>
      </w:r>
    </w:p>
    <w:p w14:paraId="6DDAF73C" w14:textId="77777777" w:rsidR="005164E5" w:rsidRPr="006B17A7" w:rsidRDefault="005164E5" w:rsidP="005164E5">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164E5" w:rsidRPr="006B17A7" w14:paraId="4FBEA22F" w14:textId="77777777" w:rsidTr="0038727B">
        <w:trPr>
          <w:trHeight w:val="870"/>
        </w:trPr>
        <w:tc>
          <w:tcPr>
            <w:tcW w:w="8647" w:type="dxa"/>
          </w:tcPr>
          <w:p w14:paraId="044B9962" w14:textId="77777777" w:rsidR="005164E5" w:rsidRPr="00D16A5E" w:rsidRDefault="005164E5" w:rsidP="0038727B">
            <w:pPr>
              <w:pStyle w:val="Prrafodelista"/>
              <w:numPr>
                <w:ilvl w:val="0"/>
                <w:numId w:val="17"/>
              </w:numPr>
              <w:spacing w:after="120" w:line="276" w:lineRule="auto"/>
              <w:jc w:val="both"/>
              <w:rPr>
                <w:rFonts w:ascii="Verdana" w:hAnsi="Verdana" w:cs="Arial"/>
                <w:noProof/>
                <w:lang w:val="es-ES_tradnl"/>
              </w:rPr>
            </w:pPr>
            <w:r>
              <w:rPr>
                <w:rFonts w:ascii="Verdana" w:hAnsi="Verdana" w:cs="Arial"/>
                <w:noProof/>
                <w:lang w:val="es-ES_tradnl"/>
              </w:rPr>
              <w:t>A</w:t>
            </w:r>
            <w:r w:rsidRPr="009F4606">
              <w:rPr>
                <w:rFonts w:ascii="Verdana" w:hAnsi="Verdana" w:cs="Arial"/>
                <w:noProof/>
                <w:lang w:val="es-ES_tradnl"/>
              </w:rPr>
              <w:t xml:space="preserve">rtículo 5 de la Ley 1150 de 2007, modificado por la Ley 1882 de 2018, </w:t>
            </w:r>
            <w:r>
              <w:rPr>
                <w:rFonts w:ascii="Verdana" w:hAnsi="Verdana" w:cs="Arial"/>
                <w:noProof/>
                <w:lang w:val="es-ES_tradnl"/>
              </w:rPr>
              <w:t xml:space="preserve">artículo 5 </w:t>
            </w:r>
            <w:r w:rsidRPr="009F4606">
              <w:rPr>
                <w:rFonts w:ascii="Verdana" w:hAnsi="Verdana" w:cs="Arial"/>
                <w:noProof/>
                <w:lang w:val="es-ES_tradnl"/>
              </w:rPr>
              <w:t>parágrafos 1, 3 y 4.</w:t>
            </w:r>
            <w:r>
              <w:rPr>
                <w:rFonts w:ascii="Verdana" w:hAnsi="Verdana" w:cs="Arial"/>
                <w:noProof/>
                <w:lang w:val="es-ES_tradnl"/>
              </w:rPr>
              <w:t xml:space="preserve"> </w:t>
            </w:r>
          </w:p>
          <w:p w14:paraId="6347FD52" w14:textId="77777777" w:rsidR="005164E5" w:rsidRDefault="005164E5" w:rsidP="0038727B">
            <w:pPr>
              <w:pStyle w:val="Prrafodelista"/>
              <w:numPr>
                <w:ilvl w:val="0"/>
                <w:numId w:val="17"/>
              </w:numPr>
              <w:spacing w:after="120" w:line="276" w:lineRule="auto"/>
              <w:jc w:val="both"/>
              <w:rPr>
                <w:rFonts w:ascii="Verdana" w:hAnsi="Verdana" w:cs="Arial"/>
                <w:noProof/>
                <w:lang w:val="es-ES_tradnl"/>
              </w:rPr>
            </w:pPr>
            <w:r w:rsidRPr="009F4606">
              <w:rPr>
                <w:rFonts w:ascii="Verdana" w:hAnsi="Verdana" w:cs="Arial"/>
                <w:noProof/>
                <w:lang w:val="es-ES_tradnl"/>
              </w:rPr>
              <w:lastRenderedPageBreak/>
              <w:t>Consejo de Estado. Sala de Consulta y Servicio Civil. Concepto del 20 de mayo de 2010. Exp. 1.992. C.P. Enrique José Arboleda Perdomo.</w:t>
            </w:r>
          </w:p>
          <w:p w14:paraId="5BCE1FE2" w14:textId="77777777" w:rsidR="005164E5" w:rsidRPr="00340039" w:rsidRDefault="005164E5" w:rsidP="0038727B">
            <w:pPr>
              <w:pStyle w:val="Prrafodelista"/>
              <w:widowControl w:val="0"/>
              <w:numPr>
                <w:ilvl w:val="0"/>
                <w:numId w:val="17"/>
              </w:numPr>
              <w:autoSpaceDE w:val="0"/>
              <w:autoSpaceDN w:val="0"/>
              <w:spacing w:after="120" w:line="276" w:lineRule="auto"/>
              <w:jc w:val="both"/>
              <w:rPr>
                <w:rFonts w:ascii="Verdana" w:hAnsi="Verdana" w:cs="Arial"/>
                <w:color w:val="7030A0"/>
              </w:rPr>
            </w:pPr>
            <w:r w:rsidRPr="00F97212">
              <w:rPr>
                <w:rFonts w:ascii="Verdana" w:hAnsi="Verdana" w:cs="Arial"/>
                <w:noProof/>
                <w:lang w:val="es-ES_tradnl"/>
              </w:rPr>
              <w:t>Consejo De Estado, Sección Tercera, Subsección C. Sentencia del 26 de febrero de 2011. C.P. Jaime Orlando Santofimio. Rad. 36.408.</w:t>
            </w:r>
          </w:p>
          <w:p w14:paraId="0DAA0CED" w14:textId="77777777" w:rsidR="005164E5" w:rsidRPr="006B17A7" w:rsidRDefault="005164E5" w:rsidP="0038727B">
            <w:pPr>
              <w:pStyle w:val="Prrafodelista"/>
              <w:numPr>
                <w:ilvl w:val="0"/>
                <w:numId w:val="17"/>
              </w:numPr>
              <w:spacing w:after="120" w:line="276" w:lineRule="auto"/>
              <w:jc w:val="both"/>
              <w:rPr>
                <w:rFonts w:ascii="Verdana" w:eastAsia="Aptos" w:hAnsi="Verdana" w:cs="Arial"/>
              </w:rPr>
            </w:pPr>
            <w:r w:rsidRPr="00F97212">
              <w:rPr>
                <w:rFonts w:ascii="Verdana" w:hAnsi="Verdana" w:cs="Arial"/>
                <w:noProof/>
                <w:lang w:val="es-ES_tradnl"/>
              </w:rPr>
              <w:t>Consejo De Estado. Sección Tercera. Subsección C. Sentencia del 26 de febrero de 2014. Expediente: 25.804. Consejero Ponente: Enrique Gil Botero</w:t>
            </w:r>
            <w:r>
              <w:rPr>
                <w:rFonts w:ascii="Verdana" w:hAnsi="Verdana" w:cs="Arial"/>
                <w:noProof/>
                <w:lang w:val="es-ES_tradnl"/>
              </w:rPr>
              <w:t>.</w:t>
            </w:r>
            <w:r>
              <w:t xml:space="preserve"> </w:t>
            </w:r>
          </w:p>
        </w:tc>
      </w:tr>
    </w:tbl>
    <w:p w14:paraId="5F60C6DB" w14:textId="77777777" w:rsidR="005164E5" w:rsidRPr="006B17A7" w:rsidRDefault="005164E5" w:rsidP="005164E5">
      <w:pPr>
        <w:widowControl w:val="0"/>
        <w:autoSpaceDE w:val="0"/>
        <w:autoSpaceDN w:val="0"/>
        <w:spacing w:after="0" w:line="276" w:lineRule="auto"/>
        <w:jc w:val="both"/>
        <w:rPr>
          <w:rFonts w:ascii="Verdana" w:eastAsia="Aptos" w:hAnsi="Verdana" w:cs="Arial"/>
        </w:rPr>
      </w:pPr>
    </w:p>
    <w:p w14:paraId="1EB99AF9" w14:textId="77777777" w:rsidR="005164E5" w:rsidRPr="006B17A7" w:rsidRDefault="005164E5" w:rsidP="005164E5">
      <w:pPr>
        <w:widowControl w:val="0"/>
        <w:autoSpaceDE w:val="0"/>
        <w:autoSpaceDN w:val="0"/>
        <w:spacing w:after="0" w:line="276"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517B0D03" w14:textId="77777777" w:rsidR="005164E5" w:rsidRPr="006B17A7" w:rsidRDefault="005164E5" w:rsidP="005164E5">
      <w:pPr>
        <w:widowControl w:val="0"/>
        <w:autoSpaceDE w:val="0"/>
        <w:autoSpaceDN w:val="0"/>
        <w:spacing w:after="0" w:line="276" w:lineRule="auto"/>
        <w:jc w:val="both"/>
        <w:rPr>
          <w:rFonts w:ascii="Verdana" w:eastAsia="Aptos" w:hAnsi="Verdana" w:cs="Arial"/>
        </w:rPr>
      </w:pPr>
    </w:p>
    <w:p w14:paraId="78AEFBA9" w14:textId="77777777" w:rsidR="005164E5" w:rsidRPr="00ED0098" w:rsidRDefault="005164E5" w:rsidP="005164E5">
      <w:pPr>
        <w:widowControl w:val="0"/>
        <w:autoSpaceDE w:val="0"/>
        <w:autoSpaceDN w:val="0"/>
        <w:spacing w:after="0" w:line="276" w:lineRule="auto"/>
        <w:jc w:val="both"/>
        <w:rPr>
          <w:rStyle w:val="normaltextrun"/>
          <w:rFonts w:ascii="Verdana" w:hAnsi="Verdana" w:cs="Arial"/>
          <w:shd w:val="clear" w:color="auto" w:fill="FFFFFF"/>
        </w:rPr>
      </w:pPr>
      <w:r w:rsidRPr="00BD2870">
        <w:rPr>
          <w:rStyle w:val="normaltextrun"/>
          <w:rFonts w:ascii="Verdana" w:hAnsi="Verdana" w:cs="Arial"/>
          <w:shd w:val="clear" w:color="auto" w:fill="FFFFFF"/>
          <w:lang w:val="es-ES"/>
        </w:rPr>
        <w:t>Sobre la regla de subsanabilidad en los procesos de selección, se pronunció esta Subdirección en los conceptos 4201913000007643 del 26 de diciembre de 2019, C-343 del 17 de junio de 2020, C-518 del 9 de septiembre de 2020, C-614 del 5 de octubre de 2022, C-882 del 21 de diciembre de 2022, C-172 del 6 de junio de 2023,</w:t>
      </w:r>
      <w:r>
        <w:rPr>
          <w:rStyle w:val="normaltextrun"/>
          <w:rFonts w:ascii="Verdana" w:hAnsi="Verdana" w:cs="Arial"/>
          <w:shd w:val="clear" w:color="auto" w:fill="FFFFFF"/>
          <w:lang w:val="es-ES"/>
        </w:rPr>
        <w:t xml:space="preserve"> </w:t>
      </w:r>
      <w:r w:rsidRPr="00BD2870">
        <w:rPr>
          <w:rStyle w:val="normaltextrun"/>
          <w:rFonts w:ascii="Verdana" w:hAnsi="Verdana" w:cs="Arial"/>
          <w:shd w:val="clear" w:color="auto" w:fill="FFFFFF"/>
          <w:lang w:val="es-ES"/>
        </w:rPr>
        <w:t>C-748 del 29 de noviembre de 2024</w:t>
      </w:r>
      <w:r>
        <w:rPr>
          <w:rStyle w:val="normaltextrun"/>
          <w:rFonts w:ascii="Verdana" w:hAnsi="Verdana" w:cs="Arial"/>
          <w:shd w:val="clear" w:color="auto" w:fill="FFFFFF"/>
          <w:lang w:val="es-ES"/>
        </w:rPr>
        <w:t xml:space="preserve">, C-057 del 24 de febrero de 2026 y Concepto C-449 del 01 de mayo de 2026, </w:t>
      </w:r>
      <w:r>
        <w:rPr>
          <w:rFonts w:ascii="Verdana" w:eastAsia="Aptos" w:hAnsi="Verdana" w:cs="Arial"/>
          <w:color w:val="000000"/>
          <w:shd w:val="clear" w:color="auto" w:fill="FFFFFF"/>
          <w:lang w:val="es-ES"/>
        </w:rPr>
        <w:t>entre otros</w:t>
      </w:r>
      <w:r>
        <w:rPr>
          <w:rFonts w:ascii="Verdana" w:eastAsia="Arial" w:hAnsi="Verdana" w:cs="Arial"/>
          <w:lang w:val="es-MX" w:eastAsia="es-ES_tradnl"/>
        </w:rPr>
        <w:t xml:space="preserve"> </w:t>
      </w:r>
      <w:r w:rsidRPr="00E278D2">
        <w:rPr>
          <w:rStyle w:val="normaltextrun"/>
          <w:rFonts w:ascii="Verdana" w:hAnsi="Verdana" w:cs="Arial"/>
          <w:shd w:val="clear" w:color="auto" w:fill="FFFFFF"/>
        </w:rPr>
        <w:t>conceptos</w:t>
      </w:r>
      <w:r>
        <w:rPr>
          <w:rStyle w:val="normaltextrun"/>
          <w:rFonts w:ascii="Verdana" w:hAnsi="Verdana" w:cs="Arial"/>
          <w:shd w:val="clear" w:color="auto" w:fill="FFFFFF"/>
        </w:rPr>
        <w:t>,</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6BF97ED9" w14:textId="77777777" w:rsidR="005164E5" w:rsidRPr="00115E3D" w:rsidRDefault="005164E5" w:rsidP="005164E5">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4FBA2533" w14:textId="77777777" w:rsidR="004030EC" w:rsidRDefault="004030EC" w:rsidP="004030EC">
      <w:pPr>
        <w:spacing w:after="0" w:line="276" w:lineRule="auto"/>
        <w:jc w:val="both"/>
        <w:rPr>
          <w:rFonts w:ascii="Verdana" w:hAnsi="Verdana"/>
          <w:color w:val="000000" w:themeColor="text1"/>
        </w:rPr>
      </w:pPr>
      <w:r w:rsidRPr="004030EC">
        <w:rPr>
          <w:rFonts w:ascii="Verdana" w:hAnsi="Verdana"/>
          <w:color w:val="000000" w:themeColor="text1"/>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4030EC">
        <w:rPr>
          <w:rFonts w:ascii="Verdana" w:hAnsi="Verdana"/>
          <w:b/>
          <w:bCs/>
          <w:color w:val="000000" w:themeColor="text1"/>
        </w:rPr>
        <w:t>Guía para la Exigencia y Constitución de Garantías en los Procesos de Contratación</w:t>
      </w:r>
      <w:r w:rsidRPr="004030EC">
        <w:rPr>
          <w:rFonts w:ascii="Verdana" w:hAnsi="Verdana"/>
          <w:color w:val="000000" w:themeColor="text1"/>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4030EC">
          <w:rPr>
            <w:rStyle w:val="Hipervnculo"/>
            <w:rFonts w:ascii="Verdana" w:hAnsi="Verdana"/>
          </w:rPr>
          <w:t>https://www.colombiacompra.gov.co/archivos/manual/guia-de-garantias-en-procesos-de-contratacion</w:t>
        </w:r>
      </w:hyperlink>
    </w:p>
    <w:p w14:paraId="307C6576" w14:textId="77777777" w:rsidR="004030EC" w:rsidRPr="004030EC" w:rsidRDefault="004030EC" w:rsidP="004030EC">
      <w:pPr>
        <w:spacing w:after="0" w:line="276" w:lineRule="auto"/>
        <w:jc w:val="both"/>
        <w:rPr>
          <w:rFonts w:ascii="Verdana" w:hAnsi="Verdana"/>
          <w:color w:val="000000" w:themeColor="text1"/>
        </w:rPr>
      </w:pPr>
    </w:p>
    <w:p w14:paraId="3331F5BD" w14:textId="77777777" w:rsidR="004030EC" w:rsidRDefault="004030EC" w:rsidP="004030EC">
      <w:pPr>
        <w:spacing w:after="0" w:line="276" w:lineRule="auto"/>
        <w:jc w:val="both"/>
        <w:rPr>
          <w:rFonts w:ascii="Verdana" w:hAnsi="Verdana"/>
          <w:color w:val="000000" w:themeColor="text1"/>
        </w:rPr>
      </w:pPr>
      <w:r w:rsidRPr="004030EC">
        <w:rPr>
          <w:rFonts w:ascii="Verdana" w:hAnsi="Verdana"/>
          <w:color w:val="000000" w:themeColor="text1"/>
        </w:rPr>
        <w:t>De otro lado, te contamos que el Decreto 287 del 19 de marzo de 2026 sustituyó los artículos 2.2.1.2.4.2.6., 2.2.1.2.4.2.7. y 2.2.1.2.4.2.8. del Decreto 1082 de 2015 y estructuró el </w:t>
      </w:r>
      <w:r w:rsidRPr="004030EC">
        <w:rPr>
          <w:rFonts w:ascii="Verdana" w:hAnsi="Verdana"/>
          <w:b/>
          <w:bCs/>
          <w:color w:val="000000" w:themeColor="text1"/>
        </w:rPr>
        <w:t>Sistema Integral de Preferencias en favor de las personas con discapacidad</w:t>
      </w:r>
      <w:r w:rsidRPr="004030EC">
        <w:rPr>
          <w:rFonts w:ascii="Verdana" w:hAnsi="Verdana"/>
          <w:color w:val="000000" w:themeColor="text1"/>
        </w:rPr>
        <w:t xml:space="preserve">, en cumplimiento del artículo 13 de la Ley </w:t>
      </w:r>
      <w:r w:rsidRPr="004030EC">
        <w:rPr>
          <w:rFonts w:ascii="Verdana" w:hAnsi="Verdana"/>
          <w:color w:val="000000" w:themeColor="text1"/>
        </w:rPr>
        <w:lastRenderedPageBreak/>
        <w:t>Estatutaria 1618 de 2013. Para orientar su aplicación, esta Agencia expidió la </w:t>
      </w:r>
      <w:r w:rsidRPr="004030EC">
        <w:rPr>
          <w:rFonts w:ascii="Verdana" w:hAnsi="Verdana"/>
          <w:b/>
          <w:bCs/>
          <w:color w:val="000000" w:themeColor="text1"/>
        </w:rPr>
        <w:t>Circular Externa 003 del 12 de mayo de 2026, </w:t>
      </w:r>
      <w:r w:rsidRPr="004030EC">
        <w:rPr>
          <w:rFonts w:ascii="Verdana" w:hAnsi="Verdana"/>
          <w:color w:val="000000" w:themeColor="text1"/>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4030EC">
          <w:rPr>
            <w:rStyle w:val="Hipervnculo"/>
            <w:rFonts w:ascii="Verdana" w:hAnsi="Verdana"/>
          </w:rPr>
          <w:t>https://www.colombiacompra.gov.co/archivos/circular/circular-externa-003-de-2026</w:t>
        </w:r>
      </w:hyperlink>
    </w:p>
    <w:p w14:paraId="3EABFD72" w14:textId="77777777" w:rsidR="004030EC" w:rsidRPr="004030EC" w:rsidRDefault="004030EC" w:rsidP="004030EC">
      <w:pPr>
        <w:spacing w:after="0" w:line="276" w:lineRule="auto"/>
        <w:jc w:val="both"/>
        <w:rPr>
          <w:rFonts w:ascii="Verdana" w:hAnsi="Verdana"/>
          <w:color w:val="000000" w:themeColor="text1"/>
        </w:rPr>
      </w:pPr>
    </w:p>
    <w:p w14:paraId="1EAD0FD4" w14:textId="77777777" w:rsidR="004030EC" w:rsidRDefault="004030EC" w:rsidP="004030EC">
      <w:pPr>
        <w:spacing w:after="0" w:line="276" w:lineRule="auto"/>
        <w:jc w:val="both"/>
        <w:rPr>
          <w:rFonts w:ascii="Verdana" w:hAnsi="Verdana"/>
          <w:color w:val="000000" w:themeColor="text1"/>
        </w:rPr>
      </w:pPr>
      <w:r w:rsidRPr="004030EC">
        <w:rPr>
          <w:rFonts w:ascii="Verdana" w:hAnsi="Verdana"/>
          <w:color w:val="000000" w:themeColor="text1"/>
        </w:rPr>
        <w:t>Recuerda también que la</w:t>
      </w:r>
      <w:r w:rsidRPr="004030EC">
        <w:rPr>
          <w:rFonts w:ascii="Verdana" w:hAnsi="Verdana"/>
          <w:b/>
          <w:bCs/>
          <w:color w:val="000000" w:themeColor="text1"/>
        </w:rPr>
        <w:t> información sobre sanciones e inhabilidades </w:t>
      </w:r>
      <w:r w:rsidRPr="004030EC">
        <w:rPr>
          <w:rFonts w:ascii="Verdana" w:hAnsi="Verdana"/>
          <w:color w:val="000000" w:themeColor="text1"/>
        </w:rPr>
        <w:t>solo cumple su función preventiva si llega oportunamente a los registros públicos. Sobre este deber, esta Agencia expidió la </w:t>
      </w:r>
      <w:r w:rsidRPr="004030EC">
        <w:rPr>
          <w:rFonts w:ascii="Verdana" w:hAnsi="Verdana"/>
          <w:b/>
          <w:bCs/>
          <w:color w:val="000000" w:themeColor="text1"/>
        </w:rPr>
        <w:t>Circular Externa 002 del 5 de mayo de 2026,</w:t>
      </w:r>
      <w:r w:rsidRPr="004030EC">
        <w:rPr>
          <w:rFonts w:ascii="Verdana" w:hAnsi="Verdana"/>
          <w:color w:val="000000" w:themeColor="text1"/>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4030EC">
          <w:rPr>
            <w:rStyle w:val="Hipervnculo"/>
            <w:rFonts w:ascii="Verdana" w:hAnsi="Verdana"/>
          </w:rPr>
          <w:t>https://www.colombiacompra.gov.co/archivos/circular/circular-externa-002-de-2026</w:t>
        </w:r>
      </w:hyperlink>
    </w:p>
    <w:p w14:paraId="58E4000B" w14:textId="77777777" w:rsidR="004030EC" w:rsidRPr="004030EC" w:rsidRDefault="004030EC" w:rsidP="004030EC">
      <w:pPr>
        <w:spacing w:after="0" w:line="276" w:lineRule="auto"/>
        <w:jc w:val="both"/>
        <w:rPr>
          <w:rFonts w:ascii="Verdana" w:hAnsi="Verdana"/>
          <w:color w:val="000000" w:themeColor="text1"/>
        </w:rPr>
      </w:pPr>
    </w:p>
    <w:p w14:paraId="70450C62" w14:textId="77777777" w:rsidR="004030EC" w:rsidRPr="004030EC" w:rsidRDefault="004030EC" w:rsidP="004030EC">
      <w:pPr>
        <w:spacing w:after="0" w:line="276" w:lineRule="auto"/>
        <w:jc w:val="both"/>
        <w:rPr>
          <w:rFonts w:ascii="Verdana" w:hAnsi="Verdana"/>
          <w:color w:val="000000" w:themeColor="text1"/>
        </w:rPr>
      </w:pPr>
      <w:r w:rsidRPr="004030EC">
        <w:rPr>
          <w:rFonts w:ascii="Verdana" w:hAnsi="Verdana"/>
          <w:color w:val="000000" w:themeColor="text1"/>
        </w:rPr>
        <w:t>Finalmente, si quieres seguir de cerca la actividad de la Agencia, la tercera edición de 2026 del</w:t>
      </w:r>
      <w:r w:rsidRPr="004030EC">
        <w:rPr>
          <w:rFonts w:ascii="Verdana" w:hAnsi="Verdana"/>
          <w:b/>
          <w:bCs/>
          <w:color w:val="000000" w:themeColor="text1"/>
        </w:rPr>
        <w:t> Radar de la Compra Pública</w:t>
      </w:r>
      <w:r w:rsidRPr="004030EC">
        <w:rPr>
          <w:rFonts w:ascii="Verdana" w:hAnsi="Verdana"/>
          <w:color w:val="000000" w:themeColor="text1"/>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4030EC">
          <w:rPr>
            <w:rStyle w:val="Hipervnculo"/>
            <w:rFonts w:ascii="Verdana" w:hAnsi="Verdana"/>
          </w:rPr>
          <w:t>https://www.colombiacompra.gov.co/archivos/boletin/boletin-edicion-n-3-de-2026-radar-de-la-compra-publica</w:t>
        </w:r>
      </w:hyperlink>
      <w:r w:rsidRPr="004030EC">
        <w:rPr>
          <w:rFonts w:ascii="Verdana" w:hAnsi="Verdana"/>
          <w:color w:val="000000" w:themeColor="text1"/>
        </w:rPr>
        <w:t>"</w:t>
      </w:r>
    </w:p>
    <w:p w14:paraId="23F8F9AC" w14:textId="77777777" w:rsidR="004030EC" w:rsidRPr="004030EC" w:rsidRDefault="004030EC" w:rsidP="004030EC">
      <w:pPr>
        <w:spacing w:after="0" w:line="276" w:lineRule="auto"/>
        <w:jc w:val="both"/>
        <w:rPr>
          <w:rFonts w:ascii="Verdana" w:hAnsi="Verdana"/>
          <w:color w:val="000000" w:themeColor="text1"/>
        </w:rPr>
      </w:pPr>
      <w:r w:rsidRPr="004030EC">
        <w:rPr>
          <w:rFonts w:ascii="Verdana" w:hAnsi="Verdana"/>
          <w:color w:val="000000" w:themeColor="text1"/>
        </w:rPr>
        <w:t>Saludos. </w:t>
      </w:r>
    </w:p>
    <w:p w14:paraId="7BC68B9B" w14:textId="77777777" w:rsidR="005164E5" w:rsidRDefault="005164E5" w:rsidP="005164E5">
      <w:pPr>
        <w:spacing w:after="0" w:line="276" w:lineRule="auto"/>
        <w:jc w:val="both"/>
        <w:rPr>
          <w:rFonts w:ascii="Verdana" w:hAnsi="Verdana"/>
          <w:color w:val="000000" w:themeColor="text1"/>
        </w:rPr>
      </w:pPr>
    </w:p>
    <w:p w14:paraId="0AE6C1C2" w14:textId="77777777" w:rsidR="005164E5" w:rsidRPr="00115E3D" w:rsidRDefault="005164E5" w:rsidP="005164E5">
      <w:pPr>
        <w:spacing w:after="0" w:line="276"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51A3DA1C" w14:textId="77777777" w:rsidR="005164E5" w:rsidRPr="00115E3D" w:rsidRDefault="005164E5" w:rsidP="005164E5">
      <w:pPr>
        <w:spacing w:after="0" w:line="276" w:lineRule="auto"/>
        <w:jc w:val="both"/>
        <w:rPr>
          <w:rFonts w:ascii="Verdana" w:hAnsi="Verdana"/>
          <w:color w:val="000000" w:themeColor="text1"/>
        </w:rPr>
      </w:pPr>
    </w:p>
    <w:p w14:paraId="15F34B93" w14:textId="77777777" w:rsidR="005164E5" w:rsidRPr="00115E3D" w:rsidRDefault="005164E5" w:rsidP="005164E5">
      <w:pPr>
        <w:spacing w:after="0" w:line="276"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31A7135B" w14:textId="77777777" w:rsidR="005164E5" w:rsidRPr="00115E3D" w:rsidRDefault="005164E5" w:rsidP="005164E5">
      <w:pPr>
        <w:spacing w:after="0" w:line="276" w:lineRule="auto"/>
        <w:jc w:val="both"/>
        <w:rPr>
          <w:rFonts w:ascii="Verdana" w:hAnsi="Verdana"/>
          <w:color w:val="000000" w:themeColor="text1"/>
        </w:rPr>
      </w:pPr>
      <w:r w:rsidRPr="00115E3D">
        <w:rPr>
          <w:rFonts w:ascii="Verdana" w:hAnsi="Verdana"/>
          <w:color w:val="000000" w:themeColor="text1"/>
        </w:rPr>
        <w:t xml:space="preserve">Facebook: </w:t>
      </w:r>
      <w:r w:rsidRPr="00115E3D">
        <w:rPr>
          <w:rStyle w:val="Hipervnculo"/>
          <w:rFonts w:ascii="Verdana" w:hAnsi="Verdana"/>
          <w:color w:val="000000" w:themeColor="text1"/>
        </w:rPr>
        <w:t>ColombiaCompraEficiente</w:t>
      </w:r>
    </w:p>
    <w:p w14:paraId="719E5270" w14:textId="77777777" w:rsidR="005164E5" w:rsidRPr="00115E3D" w:rsidRDefault="005164E5" w:rsidP="005164E5">
      <w:pPr>
        <w:spacing w:after="0" w:line="276" w:lineRule="auto"/>
        <w:jc w:val="both"/>
        <w:rPr>
          <w:rFonts w:ascii="Verdana" w:hAnsi="Verdana"/>
          <w:color w:val="000000" w:themeColor="text1"/>
        </w:rPr>
      </w:pPr>
      <w:r w:rsidRPr="00115E3D">
        <w:rPr>
          <w:rFonts w:ascii="Verdana" w:hAnsi="Verdana"/>
          <w:color w:val="000000" w:themeColor="text1"/>
        </w:rPr>
        <w:lastRenderedPageBreak/>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61CD7E5C" w14:textId="77777777" w:rsidR="005164E5" w:rsidRPr="00115E3D" w:rsidRDefault="005164E5" w:rsidP="005164E5">
      <w:pPr>
        <w:widowControl w:val="0"/>
        <w:autoSpaceDE w:val="0"/>
        <w:autoSpaceDN w:val="0"/>
        <w:spacing w:after="0" w:line="276" w:lineRule="auto"/>
        <w:jc w:val="both"/>
        <w:rPr>
          <w:rFonts w:ascii="Verdana" w:hAnsi="Verdana" w:cs="Arial"/>
          <w:color w:val="000000" w:themeColor="text1"/>
        </w:rPr>
      </w:pPr>
    </w:p>
    <w:p w14:paraId="23756A03" w14:textId="77777777" w:rsidR="005164E5" w:rsidRPr="00115E3D" w:rsidRDefault="005164E5" w:rsidP="005164E5">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6A70BFB7" w14:textId="77777777" w:rsidR="005164E5" w:rsidRDefault="005164E5" w:rsidP="005164E5">
      <w:pPr>
        <w:spacing w:after="0" w:line="276" w:lineRule="auto"/>
        <w:rPr>
          <w:rFonts w:ascii="Verdana" w:eastAsia="Times New Roman" w:hAnsi="Verdana" w:cs="Arial"/>
          <w:color w:val="000000" w:themeColor="text1"/>
          <w:lang w:eastAsia="es-CO"/>
        </w:rPr>
      </w:pPr>
    </w:p>
    <w:p w14:paraId="0277CC64" w14:textId="77777777" w:rsidR="005164E5" w:rsidRPr="00115E3D" w:rsidRDefault="005164E5" w:rsidP="005164E5">
      <w:pPr>
        <w:spacing w:after="0" w:line="276" w:lineRule="auto"/>
        <w:rPr>
          <w:rFonts w:ascii="Verdana" w:hAnsi="Verdana" w:cs="Arial"/>
          <w:color w:val="000000" w:themeColor="text1"/>
          <w:lang w:eastAsia="es-CO"/>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48E8C3F0" w14:textId="77777777" w:rsidR="005164E5" w:rsidRDefault="005164E5" w:rsidP="005164E5">
      <w:pPr>
        <w:spacing w:line="276" w:lineRule="auto"/>
        <w:jc w:val="center"/>
        <w:rPr>
          <w:noProof/>
        </w:rPr>
      </w:pPr>
    </w:p>
    <w:p w14:paraId="4CE45019" w14:textId="36BDA0F1" w:rsidR="005164E5" w:rsidRDefault="000F1D22" w:rsidP="004030EC">
      <w:pPr>
        <w:spacing w:line="276" w:lineRule="auto"/>
        <w:jc w:val="center"/>
        <w:rPr>
          <w:noProof/>
          <w:color w:val="000000" w:themeColor="text1"/>
          <w:lang w:val="es-ES_tradnl" w:eastAsia="es-CO"/>
        </w:rPr>
      </w:pPr>
      <w:r w:rsidRPr="002C3AD6">
        <w:rPr>
          <w:rFonts w:ascii="Century Gothic" w:hAnsi="Century Gothic"/>
          <w:noProof/>
        </w:rPr>
        <w:drawing>
          <wp:inline distT="0" distB="0" distL="0" distR="0" wp14:anchorId="23D41BAA" wp14:editId="1B3601A2">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772426" cy="1400370"/>
                    </a:xfrm>
                    <a:prstGeom prst="rect">
                      <a:avLst/>
                    </a:prstGeom>
                  </pic:spPr>
                </pic:pic>
              </a:graphicData>
            </a:graphic>
          </wp:inline>
        </w:drawing>
      </w:r>
      <w:r w:rsidR="005164E5">
        <w:rPr>
          <w:noProof/>
          <w:color w:val="000000" w:themeColor="text1"/>
          <w:lang w:val="es-ES_tradnl" w:eastAsia="es-CO"/>
        </w:rPr>
        <w:t xml:space="preserve"> </w:t>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164E5" w:rsidRPr="00115E3D" w14:paraId="718EA54B" w14:textId="77777777" w:rsidTr="0038727B">
        <w:trPr>
          <w:trHeight w:val="315"/>
        </w:trPr>
        <w:tc>
          <w:tcPr>
            <w:tcW w:w="893" w:type="dxa"/>
            <w:vAlign w:val="center"/>
            <w:hideMark/>
          </w:tcPr>
          <w:p w14:paraId="6DE1B9A1" w14:textId="77777777" w:rsidR="005164E5" w:rsidRPr="00115E3D" w:rsidRDefault="005164E5" w:rsidP="0038727B">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79B3A92" w14:textId="77777777" w:rsidR="005164E5" w:rsidRPr="00115E3D" w:rsidRDefault="005164E5" w:rsidP="0038727B">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Richard Andrés Montenegro Siefken</w:t>
            </w:r>
          </w:p>
          <w:p w14:paraId="6922A7DC" w14:textId="77777777" w:rsidR="005164E5" w:rsidRPr="00115E3D" w:rsidRDefault="005164E5" w:rsidP="0038727B">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5164E5" w:rsidRPr="00115E3D" w14:paraId="5BE82B6A" w14:textId="77777777" w:rsidTr="0038727B">
        <w:trPr>
          <w:trHeight w:val="330"/>
        </w:trPr>
        <w:tc>
          <w:tcPr>
            <w:tcW w:w="893" w:type="dxa"/>
            <w:vAlign w:val="center"/>
            <w:hideMark/>
          </w:tcPr>
          <w:p w14:paraId="0868308D" w14:textId="77777777" w:rsidR="005164E5" w:rsidRPr="00115E3D" w:rsidRDefault="005164E5" w:rsidP="0038727B">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01B3FE8" w14:textId="092B2726" w:rsidR="005164E5" w:rsidRDefault="005164E5" w:rsidP="0038727B">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Adriana Katherine López</w:t>
            </w:r>
          </w:p>
          <w:p w14:paraId="506F60FA" w14:textId="77777777" w:rsidR="005164E5" w:rsidRPr="00115E3D" w:rsidRDefault="005164E5" w:rsidP="0038727B">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5164E5" w:rsidRPr="00115E3D" w14:paraId="062003B7" w14:textId="77777777" w:rsidTr="0038727B">
        <w:trPr>
          <w:trHeight w:val="300"/>
        </w:trPr>
        <w:tc>
          <w:tcPr>
            <w:tcW w:w="893" w:type="dxa"/>
            <w:vAlign w:val="center"/>
          </w:tcPr>
          <w:p w14:paraId="74D65E1E" w14:textId="77777777" w:rsidR="005164E5" w:rsidRPr="00115E3D" w:rsidRDefault="005164E5" w:rsidP="0038727B">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EE59238" w14:textId="77777777" w:rsidR="005164E5" w:rsidRPr="00115E3D" w:rsidRDefault="005164E5" w:rsidP="0038727B">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Carolina Quintero Gacharná</w:t>
            </w:r>
          </w:p>
          <w:p w14:paraId="282748C9" w14:textId="77777777" w:rsidR="005164E5" w:rsidRPr="00115E3D" w:rsidRDefault="005164E5" w:rsidP="0038727B">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Contractual ANCP – CCE</w:t>
            </w:r>
          </w:p>
        </w:tc>
      </w:tr>
    </w:tbl>
    <w:p w14:paraId="153B3BE8" w14:textId="77777777" w:rsidR="005164E5" w:rsidRPr="00D52DE3" w:rsidRDefault="005164E5" w:rsidP="005164E5">
      <w:pPr>
        <w:spacing w:after="0" w:line="240" w:lineRule="auto"/>
        <w:jc w:val="both"/>
        <w:rPr>
          <w:rFonts w:ascii="Verdana" w:eastAsia="Verdana" w:hAnsi="Verdana" w:cs="Verdana"/>
          <w:b/>
          <w:bCs/>
        </w:rPr>
      </w:pPr>
    </w:p>
    <w:p w14:paraId="1C75DE25" w14:textId="77777777" w:rsidR="005164E5" w:rsidRPr="000E2B93" w:rsidRDefault="005164E5" w:rsidP="005164E5">
      <w:pPr>
        <w:spacing w:after="0" w:line="240" w:lineRule="auto"/>
        <w:jc w:val="both"/>
        <w:textAlignment w:val="baseline"/>
        <w:rPr>
          <w:rFonts w:ascii="Verdana" w:eastAsia="Verdana" w:hAnsi="Verdana" w:cs="Verdana"/>
          <w:lang w:eastAsia="es-CO"/>
        </w:rPr>
      </w:pPr>
    </w:p>
    <w:p w14:paraId="70D7E105" w14:textId="77777777" w:rsidR="005164E5" w:rsidRPr="000E2B93" w:rsidRDefault="005164E5" w:rsidP="005164E5">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6433F161" w:rsidR="00127233" w:rsidRPr="00146AC1" w:rsidRDefault="00127233" w:rsidP="00146AC1"/>
    <w:sectPr w:rsidR="00127233" w:rsidRPr="00146AC1"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E1AE1" w14:textId="77777777" w:rsidR="00860602" w:rsidRDefault="00860602" w:rsidP="004A1847">
      <w:pPr>
        <w:spacing w:after="0" w:line="240" w:lineRule="auto"/>
      </w:pPr>
      <w:r>
        <w:separator/>
      </w:r>
    </w:p>
  </w:endnote>
  <w:endnote w:type="continuationSeparator" w:id="0">
    <w:p w14:paraId="735D9A1D" w14:textId="77777777" w:rsidR="00860602" w:rsidRDefault="0086060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855A41"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855A41">
      <w:rPr>
        <w:rFonts w:ascii="Verdana" w:eastAsia="Verdana" w:hAnsi="Verdana" w:cs="Verdana"/>
        <w:b/>
        <w:bCs/>
        <w:color w:val="000000" w:themeColor="text1"/>
        <w:sz w:val="18"/>
        <w:szCs w:val="18"/>
        <w:lang w:val="pt-PT" w:eastAsia="es-CO"/>
      </w:rPr>
      <w:t xml:space="preserve">Código: </w:t>
    </w:r>
    <w:r w:rsidRPr="00855A41">
      <w:rPr>
        <w:rFonts w:ascii="Verdana" w:eastAsia="Verdana" w:hAnsi="Verdana" w:cs="Verdana"/>
        <w:color w:val="000000" w:themeColor="text1"/>
        <w:sz w:val="18"/>
        <w:szCs w:val="18"/>
        <w:lang w:val="pt-PT" w:eastAsia="es-CO"/>
      </w:rPr>
      <w:t xml:space="preserve">CCE-REC-FM-17 </w:t>
    </w:r>
    <w:r w:rsidRPr="00855A41">
      <w:rPr>
        <w:rFonts w:ascii="Verdana" w:eastAsia="Verdana" w:hAnsi="Verdana" w:cs="Verdana"/>
        <w:b/>
        <w:bCs/>
        <w:color w:val="000000" w:themeColor="text1"/>
        <w:sz w:val="18"/>
        <w:szCs w:val="18"/>
        <w:lang w:val="pt-PT" w:eastAsia="es-CO"/>
      </w:rPr>
      <w:t xml:space="preserve">V: </w:t>
    </w:r>
    <w:r w:rsidRPr="00855A41">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40DF" w14:textId="77777777" w:rsidR="00860602" w:rsidRDefault="00860602" w:rsidP="004A1847">
      <w:pPr>
        <w:spacing w:after="0" w:line="240" w:lineRule="auto"/>
      </w:pPr>
      <w:r>
        <w:separator/>
      </w:r>
    </w:p>
  </w:footnote>
  <w:footnote w:type="continuationSeparator" w:id="0">
    <w:p w14:paraId="7DB7B534" w14:textId="77777777" w:rsidR="00860602" w:rsidRDefault="00860602" w:rsidP="004A1847">
      <w:pPr>
        <w:spacing w:after="0" w:line="240" w:lineRule="auto"/>
      </w:pPr>
      <w:r>
        <w:continuationSeparator/>
      </w:r>
    </w:p>
  </w:footnote>
  <w:footnote w:id="1">
    <w:p w14:paraId="3B72C163"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Ley 80 de 1993. Art. 30.7: “De acuerdo con la naturaleza, objeto y cuantía del contrato, en los pliegos de condiciones o términos de referencia, se señalará el plazo razonable dentro del cual la entidad deberá elaborar los estudios técnicos, económicos y jurídicos necesarios para la evaluación de las propuestas y para solicitar a los proponentes las aclaraciones y explicaciones que se estimen indispensables”. </w:t>
      </w:r>
    </w:p>
    <w:p w14:paraId="3C71D426" w14:textId="77777777" w:rsidR="005164E5" w:rsidRPr="00CA0454" w:rsidRDefault="005164E5" w:rsidP="005164E5">
      <w:pPr>
        <w:pStyle w:val="Textonotapie"/>
        <w:ind w:firstLine="709"/>
        <w:jc w:val="both"/>
        <w:rPr>
          <w:rFonts w:ascii="Verdana" w:hAnsi="Verdana" w:cs="Arial"/>
          <w:color w:val="000000"/>
          <w:sz w:val="16"/>
          <w:szCs w:val="16"/>
        </w:rPr>
      </w:pPr>
    </w:p>
  </w:footnote>
  <w:footnote w:id="2">
    <w:p w14:paraId="75E47FD5"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Ley 80 de 1993. Art. 30.8: “Los informes de evaluación de las propuestas permanecerán en la secretaría de la entidad por un término de cinco (5) días hábiles para que los oferentes presenten las observaciones que estimen pertinentes. En ejercicio de esta facultad, los oferentes no podrán completar, adicionar, modificar o mejorar sus propuestas”.</w:t>
      </w:r>
    </w:p>
    <w:p w14:paraId="5A08F9E6" w14:textId="77777777" w:rsidR="005164E5" w:rsidRPr="00CA0454" w:rsidRDefault="005164E5" w:rsidP="005164E5">
      <w:pPr>
        <w:pStyle w:val="Textonotapie"/>
        <w:ind w:firstLine="709"/>
        <w:jc w:val="both"/>
        <w:rPr>
          <w:rFonts w:ascii="Verdana" w:hAnsi="Verdana" w:cs="Arial"/>
          <w:color w:val="000000"/>
          <w:sz w:val="16"/>
          <w:szCs w:val="16"/>
        </w:rPr>
      </w:pPr>
    </w:p>
  </w:footnote>
  <w:footnote w:id="3">
    <w:p w14:paraId="2567DF92"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CONSEJO DE ESTADO. Sección Tercera. Subsección C. Sentencia del 26 de febrero de 2014. Expediente: 25.804. Consejero Ponente: Enrique Gil Botero.</w:t>
      </w:r>
      <w:r w:rsidRPr="00CA0454">
        <w:rPr>
          <w:rFonts w:ascii="Verdana" w:hAnsi="Verdana"/>
          <w:sz w:val="16"/>
          <w:szCs w:val="16"/>
        </w:rPr>
        <w:t xml:space="preserve"> </w:t>
      </w:r>
      <w:hyperlink r:id="rId1" w:history="1">
        <w:r w:rsidRPr="00CA0454">
          <w:rPr>
            <w:rStyle w:val="Hipervnculo"/>
            <w:rFonts w:ascii="Verdana" w:hAnsi="Verdana" w:cs="Arial"/>
            <w:sz w:val="16"/>
            <w:szCs w:val="16"/>
          </w:rPr>
          <w:t>https://relatoria.colombiacompra.gov.co/providencias-consejo-de-estado/</w:t>
        </w:r>
      </w:hyperlink>
      <w:r w:rsidRPr="00CA0454">
        <w:rPr>
          <w:rFonts w:ascii="Verdana" w:hAnsi="Verdana" w:cs="Arial"/>
          <w:color w:val="000000"/>
          <w:sz w:val="16"/>
          <w:szCs w:val="16"/>
        </w:rPr>
        <w:t xml:space="preserve"> </w:t>
      </w:r>
    </w:p>
  </w:footnote>
  <w:footnote w:id="4">
    <w:p w14:paraId="1CF8B6EA"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Style w:val="Refdenotaalpie"/>
          <w:rFonts w:ascii="Verdana" w:hAnsi="Verdana" w:cs="Arial"/>
          <w:color w:val="000000"/>
          <w:sz w:val="16"/>
          <w:szCs w:val="16"/>
        </w:rPr>
        <w:t xml:space="preserve"> </w:t>
      </w:r>
      <w:r w:rsidRPr="00CA0454">
        <w:rPr>
          <w:rFonts w:ascii="Verdana" w:hAnsi="Verdana" w:cs="Arial"/>
          <w:color w:val="000000"/>
          <w:sz w:val="16"/>
          <w:szCs w:val="16"/>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p w14:paraId="0C8DDE71" w14:textId="77777777" w:rsidR="005164E5" w:rsidRPr="00CA0454" w:rsidRDefault="005164E5" w:rsidP="005164E5">
      <w:pPr>
        <w:pStyle w:val="Textonotapie"/>
        <w:ind w:firstLine="709"/>
        <w:jc w:val="both"/>
        <w:rPr>
          <w:rFonts w:ascii="Verdana" w:hAnsi="Verdana" w:cs="Arial"/>
          <w:color w:val="000000"/>
          <w:sz w:val="16"/>
          <w:szCs w:val="16"/>
        </w:rPr>
      </w:pPr>
    </w:p>
  </w:footnote>
  <w:footnote w:id="5">
    <w:p w14:paraId="399B47B4"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14:paraId="151A9624" w14:textId="77777777" w:rsidR="005164E5" w:rsidRPr="00CA0454" w:rsidRDefault="005164E5" w:rsidP="005164E5">
      <w:pPr>
        <w:pStyle w:val="Textonotapie"/>
        <w:ind w:firstLine="709"/>
        <w:jc w:val="both"/>
        <w:rPr>
          <w:rFonts w:ascii="Verdana" w:hAnsi="Verdana" w:cs="Arial"/>
          <w:color w:val="000000"/>
          <w:sz w:val="16"/>
          <w:szCs w:val="16"/>
        </w:rPr>
      </w:pPr>
    </w:p>
    <w:p w14:paraId="37FE9D13" w14:textId="77777777" w:rsidR="005164E5" w:rsidRPr="00CA0454" w:rsidRDefault="005164E5" w:rsidP="005164E5">
      <w:pPr>
        <w:pStyle w:val="Textonotapie"/>
        <w:ind w:firstLine="709"/>
        <w:jc w:val="both"/>
        <w:rPr>
          <w:rFonts w:ascii="Verdana" w:hAnsi="Verdana" w:cs="Arial"/>
          <w:color w:val="000000"/>
          <w:sz w:val="16"/>
          <w:szCs w:val="16"/>
        </w:rPr>
      </w:pPr>
      <w:r w:rsidRPr="00CA0454">
        <w:rPr>
          <w:rFonts w:ascii="Verdana" w:hAnsi="Verdana" w:cs="Arial"/>
          <w:color w:val="000000"/>
          <w:sz w:val="16"/>
          <w:szCs w:val="16"/>
        </w:rPr>
        <w:t xml:space="preserve">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w:t>
      </w:r>
      <w:r w:rsidRPr="00CA0454">
        <w:rPr>
          <w:rFonts w:ascii="Verdana" w:hAnsi="Verdana" w:cs="Arial"/>
          <w:color w:val="000000"/>
          <w:sz w:val="16"/>
          <w:szCs w:val="16"/>
        </w:rPr>
        <w:t>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 (Consejo de Estado. Sala de Consulta y Servicio Civil. Concepto del 6 de noviembre de 2008. Expediente: 1927. Consejero Ponente: William Zambrano Cetina).</w:t>
      </w:r>
    </w:p>
    <w:p w14:paraId="3DDCAC02" w14:textId="77777777" w:rsidR="005164E5" w:rsidRPr="00CA0454" w:rsidRDefault="005164E5" w:rsidP="005164E5">
      <w:pPr>
        <w:pStyle w:val="Textonotapie"/>
        <w:ind w:firstLine="709"/>
        <w:jc w:val="both"/>
        <w:rPr>
          <w:rFonts w:ascii="Verdana" w:hAnsi="Verdana" w:cs="Arial"/>
          <w:color w:val="000000"/>
          <w:sz w:val="16"/>
          <w:szCs w:val="16"/>
        </w:rPr>
      </w:pPr>
    </w:p>
  </w:footnote>
  <w:footnote w:id="6">
    <w:p w14:paraId="55BF94DA"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sz w:val="16"/>
          <w:szCs w:val="16"/>
        </w:rPr>
        <w:footnoteRef/>
      </w:r>
      <w:r w:rsidRPr="00CA0454">
        <w:rPr>
          <w:rFonts w:ascii="Verdana" w:hAnsi="Verdana" w:cs="Arial"/>
          <w:sz w:val="16"/>
          <w:szCs w:val="16"/>
        </w:rPr>
        <w:t xml:space="preserve"> </w:t>
      </w:r>
      <w:r w:rsidRPr="00CA0454">
        <w:rPr>
          <w:rFonts w:ascii="Verdana" w:hAnsi="Verdana" w:cs="Arial"/>
          <w:color w:val="000000"/>
          <w:sz w:val="16"/>
          <w:szCs w:val="16"/>
        </w:rPr>
        <w:t xml:space="preserve">En armonía con lo anterior, actualmente la Circular Externa Única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31BE5E04" w14:textId="77777777" w:rsidR="005164E5" w:rsidRPr="00CA0454" w:rsidRDefault="005164E5" w:rsidP="005164E5">
      <w:pPr>
        <w:pStyle w:val="Textonotapie"/>
        <w:ind w:firstLine="709"/>
        <w:jc w:val="both"/>
        <w:rPr>
          <w:rFonts w:ascii="Verdana" w:hAnsi="Verdana" w:cs="Arial"/>
          <w:color w:val="000000"/>
          <w:sz w:val="16"/>
          <w:szCs w:val="16"/>
        </w:rPr>
      </w:pPr>
    </w:p>
    <w:p w14:paraId="6F298BBA" w14:textId="77777777" w:rsidR="005164E5" w:rsidRPr="00CA0454" w:rsidRDefault="005164E5" w:rsidP="005164E5">
      <w:pPr>
        <w:pStyle w:val="Textonotapie"/>
        <w:ind w:firstLine="709"/>
        <w:jc w:val="both"/>
        <w:rPr>
          <w:rFonts w:ascii="Verdana" w:hAnsi="Verdana" w:cs="Arial"/>
          <w:color w:val="000000"/>
          <w:sz w:val="16"/>
          <w:szCs w:val="16"/>
        </w:rPr>
      </w:pPr>
      <w:r w:rsidRPr="00CA0454">
        <w:rPr>
          <w:rFonts w:ascii="Verdana" w:hAnsi="Verdana" w:cs="Arial"/>
          <w:color w:val="000000"/>
          <w:sz w:val="16"/>
          <w:szCs w:val="16"/>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subsanabilidad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2" w:history="1">
        <w:r w:rsidRPr="00CA0454">
          <w:rPr>
            <w:rStyle w:val="Hipervnculo"/>
            <w:rFonts w:ascii="Verdana" w:hAnsi="Verdana" w:cs="Arial"/>
            <w:sz w:val="16"/>
            <w:szCs w:val="16"/>
          </w:rPr>
          <w:t>https://www.colombiacompra.gov.co/circulares?page=2</w:t>
        </w:r>
      </w:hyperlink>
      <w:r w:rsidRPr="00CA0454">
        <w:rPr>
          <w:rStyle w:val="Hipervnculo"/>
          <w:rFonts w:ascii="Verdana" w:hAnsi="Verdana" w:cs="Arial"/>
          <w:color w:val="000000"/>
          <w:sz w:val="16"/>
          <w:szCs w:val="16"/>
        </w:rPr>
        <w:t xml:space="preserve"> </w:t>
      </w:r>
    </w:p>
    <w:p w14:paraId="27E25B54" w14:textId="77777777" w:rsidR="005164E5" w:rsidRPr="00CA0454" w:rsidRDefault="005164E5" w:rsidP="005164E5">
      <w:pPr>
        <w:pStyle w:val="Textonotapie"/>
        <w:ind w:firstLine="709"/>
        <w:jc w:val="both"/>
        <w:rPr>
          <w:rFonts w:ascii="Verdana" w:hAnsi="Verdana" w:cs="Arial"/>
          <w:color w:val="000000"/>
          <w:sz w:val="16"/>
          <w:szCs w:val="16"/>
        </w:rPr>
      </w:pPr>
    </w:p>
  </w:footnote>
  <w:footnote w:id="7">
    <w:p w14:paraId="31D669A0"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Ver CONSEJO DE ESTADO, Sección Tercera, Subsección C. Sentencia del 26 de febrero de 2011. C.P. Jaime Orlando Santofimio. Rad. 36.408. </w:t>
      </w:r>
    </w:p>
  </w:footnote>
  <w:footnote w:id="8">
    <w:p w14:paraId="099EFD3D" w14:textId="77777777" w:rsidR="005164E5" w:rsidRPr="00CA0454" w:rsidRDefault="005164E5" w:rsidP="005164E5">
      <w:pPr>
        <w:pStyle w:val="Textonotapie"/>
        <w:ind w:firstLine="709"/>
        <w:jc w:val="both"/>
        <w:rPr>
          <w:rFonts w:ascii="Verdana" w:hAnsi="Verdana" w:cs="Arial"/>
          <w:color w:val="000000"/>
          <w:sz w:val="16"/>
          <w:szCs w:val="16"/>
        </w:rPr>
      </w:pPr>
    </w:p>
    <w:p w14:paraId="3365C608" w14:textId="77777777" w:rsidR="005164E5" w:rsidRPr="00CA0454" w:rsidRDefault="005164E5" w:rsidP="005164E5">
      <w:pPr>
        <w:pStyle w:val="Textonotapie"/>
        <w:ind w:firstLine="709"/>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Ver CONSEJO DE ESTADO, Sección Tercera, Subsección C. Sentencia del 26 de febrero de 2014. C.P. Enrique Gil Botero. Rad. 25.804. </w:t>
      </w:r>
    </w:p>
    <w:p w14:paraId="626AF593" w14:textId="77777777" w:rsidR="005164E5" w:rsidRPr="00CA0454" w:rsidRDefault="005164E5" w:rsidP="005164E5">
      <w:pPr>
        <w:pStyle w:val="Textonotapie"/>
        <w:ind w:firstLine="709"/>
        <w:jc w:val="both"/>
        <w:rPr>
          <w:rFonts w:ascii="Verdana" w:hAnsi="Verdana" w:cs="Arial"/>
          <w:color w:val="000000"/>
          <w:sz w:val="16"/>
          <w:szCs w:val="16"/>
        </w:rPr>
      </w:pPr>
    </w:p>
  </w:footnote>
  <w:footnote w:id="9">
    <w:p w14:paraId="3C5BEBFC" w14:textId="77777777" w:rsidR="005164E5" w:rsidRPr="00CA0454" w:rsidRDefault="005164E5" w:rsidP="005164E5">
      <w:pPr>
        <w:pStyle w:val="Textonotapie"/>
        <w:ind w:firstLine="708"/>
        <w:jc w:val="both"/>
        <w:rPr>
          <w:rFonts w:ascii="Verdana" w:hAnsi="Verdana" w:cs="Arial"/>
          <w:color w:val="000000"/>
          <w:sz w:val="16"/>
          <w:szCs w:val="16"/>
        </w:rPr>
      </w:pPr>
      <w:r w:rsidRPr="00CA0454">
        <w:rPr>
          <w:rStyle w:val="Refdenotaalpie"/>
          <w:rFonts w:ascii="Verdana" w:hAnsi="Verdana" w:cs="Arial"/>
          <w:color w:val="000000"/>
          <w:sz w:val="16"/>
          <w:szCs w:val="16"/>
        </w:rPr>
        <w:footnoteRef/>
      </w:r>
      <w:r w:rsidRPr="00CA0454">
        <w:rPr>
          <w:rFonts w:ascii="Verdana" w:hAnsi="Verdana" w:cs="Arial"/>
          <w:color w:val="000000"/>
          <w:sz w:val="16"/>
          <w:szCs w:val="16"/>
        </w:rPr>
        <w:t xml:space="preserve"> CONSEJO DE ESTADO. Sala de Consulta y Servicio Civil. Concepto del 20 de mayo de 2010. Expediente: 1992. Consejero Ponente: Enrique José Arboleda Perdomo.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67" w:hanging="360"/>
      </w:pPr>
      <w:rPr>
        <w:b/>
        <w:color w:val="000000" w:themeColor="text1"/>
      </w:rPr>
    </w:lvl>
    <w:lvl w:ilvl="1">
      <w:start w:val="2"/>
      <w:numFmt w:val="decimal"/>
      <w:isLgl/>
      <w:lvlText w:val="%1.%2"/>
      <w:lvlJc w:val="left"/>
      <w:pPr>
        <w:ind w:left="6307" w:hanging="360"/>
      </w:pPr>
    </w:lvl>
    <w:lvl w:ilvl="2">
      <w:start w:val="1"/>
      <w:numFmt w:val="decimal"/>
      <w:isLgl/>
      <w:lvlText w:val="%1.%2.%3"/>
      <w:lvlJc w:val="left"/>
      <w:pPr>
        <w:ind w:left="7027" w:hanging="720"/>
      </w:pPr>
    </w:lvl>
    <w:lvl w:ilvl="3">
      <w:start w:val="1"/>
      <w:numFmt w:val="decimal"/>
      <w:isLgl/>
      <w:lvlText w:val="%1.%2.%3.%4"/>
      <w:lvlJc w:val="left"/>
      <w:pPr>
        <w:ind w:left="7027" w:hanging="720"/>
      </w:pPr>
    </w:lvl>
    <w:lvl w:ilvl="4">
      <w:start w:val="1"/>
      <w:numFmt w:val="decimal"/>
      <w:isLgl/>
      <w:lvlText w:val="%1.%2.%3.%4.%5"/>
      <w:lvlJc w:val="left"/>
      <w:pPr>
        <w:ind w:left="7387" w:hanging="1080"/>
      </w:pPr>
    </w:lvl>
    <w:lvl w:ilvl="5">
      <w:start w:val="1"/>
      <w:numFmt w:val="decimal"/>
      <w:isLgl/>
      <w:lvlText w:val="%1.%2.%3.%4.%5.%6"/>
      <w:lvlJc w:val="left"/>
      <w:pPr>
        <w:ind w:left="7387" w:hanging="1080"/>
      </w:pPr>
    </w:lvl>
    <w:lvl w:ilvl="6">
      <w:start w:val="1"/>
      <w:numFmt w:val="decimal"/>
      <w:isLgl/>
      <w:lvlText w:val="%1.%2.%3.%4.%5.%6.%7"/>
      <w:lvlJc w:val="left"/>
      <w:pPr>
        <w:ind w:left="7747" w:hanging="1440"/>
      </w:pPr>
    </w:lvl>
    <w:lvl w:ilvl="7">
      <w:start w:val="1"/>
      <w:numFmt w:val="decimal"/>
      <w:isLgl/>
      <w:lvlText w:val="%1.%2.%3.%4.%5.%6.%7.%8"/>
      <w:lvlJc w:val="left"/>
      <w:pPr>
        <w:ind w:left="7747" w:hanging="1440"/>
      </w:pPr>
    </w:lvl>
    <w:lvl w:ilvl="8">
      <w:start w:val="1"/>
      <w:numFmt w:val="decimal"/>
      <w:isLgl/>
      <w:lvlText w:val="%1.%2.%3.%4.%5.%6.%7.%8.%9"/>
      <w:lvlJc w:val="left"/>
      <w:pPr>
        <w:ind w:left="8107"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E360C3A"/>
    <w:multiLevelType w:val="multilevel"/>
    <w:tmpl w:val="87EE5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325278968">
    <w:abstractNumId w:val="0"/>
  </w:num>
  <w:num w:numId="17" w16cid:durableId="631443665">
    <w:abstractNumId w:val="9"/>
  </w:num>
  <w:num w:numId="18" w16cid:durableId="492528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4EEB"/>
    <w:rsid w:val="00082362"/>
    <w:rsid w:val="000A683E"/>
    <w:rsid w:val="000B19B9"/>
    <w:rsid w:val="000D0334"/>
    <w:rsid w:val="000D5DA7"/>
    <w:rsid w:val="000F1D22"/>
    <w:rsid w:val="000F6486"/>
    <w:rsid w:val="00116940"/>
    <w:rsid w:val="00125105"/>
    <w:rsid w:val="00127233"/>
    <w:rsid w:val="00146AC1"/>
    <w:rsid w:val="0015699B"/>
    <w:rsid w:val="001A33BF"/>
    <w:rsid w:val="001E4177"/>
    <w:rsid w:val="001F0B24"/>
    <w:rsid w:val="001F7DC6"/>
    <w:rsid w:val="0022400B"/>
    <w:rsid w:val="002421BB"/>
    <w:rsid w:val="0025796E"/>
    <w:rsid w:val="002707A2"/>
    <w:rsid w:val="002762A9"/>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53D36"/>
    <w:rsid w:val="00374F5E"/>
    <w:rsid w:val="00377E3E"/>
    <w:rsid w:val="0038727B"/>
    <w:rsid w:val="003A779E"/>
    <w:rsid w:val="003D0F4D"/>
    <w:rsid w:val="003D5B0D"/>
    <w:rsid w:val="003E0499"/>
    <w:rsid w:val="003E4F80"/>
    <w:rsid w:val="003E6439"/>
    <w:rsid w:val="003F3941"/>
    <w:rsid w:val="003F45E1"/>
    <w:rsid w:val="004030EC"/>
    <w:rsid w:val="00406575"/>
    <w:rsid w:val="00414C74"/>
    <w:rsid w:val="0042722E"/>
    <w:rsid w:val="0044528D"/>
    <w:rsid w:val="00466E39"/>
    <w:rsid w:val="004A1847"/>
    <w:rsid w:val="004A305D"/>
    <w:rsid w:val="004F21C4"/>
    <w:rsid w:val="004F685F"/>
    <w:rsid w:val="005164E5"/>
    <w:rsid w:val="00533963"/>
    <w:rsid w:val="005566E8"/>
    <w:rsid w:val="00573C21"/>
    <w:rsid w:val="00574867"/>
    <w:rsid w:val="00591460"/>
    <w:rsid w:val="005A65E0"/>
    <w:rsid w:val="005C3777"/>
    <w:rsid w:val="005C5CDC"/>
    <w:rsid w:val="005D476C"/>
    <w:rsid w:val="006200BF"/>
    <w:rsid w:val="006219F8"/>
    <w:rsid w:val="006302F7"/>
    <w:rsid w:val="00646B9F"/>
    <w:rsid w:val="00665D70"/>
    <w:rsid w:val="006900D9"/>
    <w:rsid w:val="00697532"/>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35CD"/>
    <w:rsid w:val="008258C9"/>
    <w:rsid w:val="00844AE9"/>
    <w:rsid w:val="00855A41"/>
    <w:rsid w:val="00860602"/>
    <w:rsid w:val="00867F95"/>
    <w:rsid w:val="008843B6"/>
    <w:rsid w:val="00891928"/>
    <w:rsid w:val="008A446D"/>
    <w:rsid w:val="008B25F1"/>
    <w:rsid w:val="008D180B"/>
    <w:rsid w:val="008D5029"/>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116BD"/>
    <w:rsid w:val="00B44A47"/>
    <w:rsid w:val="00B72CD3"/>
    <w:rsid w:val="00B72FFF"/>
    <w:rsid w:val="00B85DF4"/>
    <w:rsid w:val="00B94CBC"/>
    <w:rsid w:val="00BC3D36"/>
    <w:rsid w:val="00BD54A6"/>
    <w:rsid w:val="00BD7F72"/>
    <w:rsid w:val="00BF7425"/>
    <w:rsid w:val="00C0128B"/>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90EAF"/>
    <w:rsid w:val="00DA231B"/>
    <w:rsid w:val="00DC39FC"/>
    <w:rsid w:val="00DC6886"/>
    <w:rsid w:val="00DC79C8"/>
    <w:rsid w:val="00DF5254"/>
    <w:rsid w:val="00E02524"/>
    <w:rsid w:val="00E16408"/>
    <w:rsid w:val="00E20894"/>
    <w:rsid w:val="00E232AA"/>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87079"/>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13E6AC17-5CD8-4B1C-A625-0818AB74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164E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164E5"/>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richard.montenegro%40colombiacompra.gov.co%7C7128555136e04fa6887d08dee99e1b50%7C7b09041e245149d08cb179d5e3d8c1be%7C0%7C0%7C639205062450598242%7CUnknown%7CTWFpbGZsb3d8eyJFbXB0eU1hcGkiOnRydWUsIlYiOiIwLjAuMDAwMCIsIlAiOiJXaW4zMiIsIkFOIjoiTWFpbCIsIldUIjoyfQ%3D%3D%7C0%7C%7C%7C&amp;sdata=tMnsjyChgvrtknNIDuIAfzGoFX31vm9KmSn4hxiKJWs%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richard.montenegro%40colombiacompra.gov.co%7C7128555136e04fa6887d08dee99e1b50%7C7b09041e245149d08cb179d5e3d8c1be%7C0%7C0%7C639205062450670197%7CUnknown%7CTWFpbGZsb3d8eyJFbXB0eU1hcGkiOnRydWUsIlYiOiIwLjAuMDAwMCIsIlAiOiJXaW4zMiIsIkFOIjoiTWFpbCIsIldUIjoyfQ%3D%3D%7C0%7C%7C%7C&amp;sdata=tG1SXnfImH8XsrlgRCiScpsLUXG%2FrRZ9z%2BYvrsytpjM%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cio_gomezmejia@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richard.montenegro%40colombiacompra.gov.co%7C7128555136e04fa6887d08dee99e1b50%7C7b09041e245149d08cb179d5e3d8c1be%7C0%7C0%7C639205062450648244%7CUnknown%7CTWFpbGZsb3d8eyJFbXB0eU1hcGkiOnRydWUsIlYiOiIwLjAuMDAwMCIsIlAiOiJXaW4zMiIsIkFOIjoiTWFpbCIsIldUIjoyfQ%3D%3D%7C0%7C%7C%7C&amp;sdata=eZ9HfEHlFgZ1vH2KhitCwZAewZQ4N016ybBpWmJCEAM%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richard.montenegro%40colombiacompra.gov.co%7C7128555136e04fa6887d08dee99e1b50%7C7b09041e245149d08cb179d5e3d8c1be%7C0%7C0%7C639205062450626618%7CUnknown%7CTWFpbGZsb3d8eyJFbXB0eU1hcGkiOnRydWUsIlYiOiIwLjAuMDAwMCIsIlAiOiJXaW4zMiIsIkFOIjoiTWFpbCIsIldUIjoyfQ%3D%3D%7C0%7C%7C%7C&amp;sdata=nOgjBz7PWnZPOn5KxGSEIXhUo5tyYxiN3SRp9I9gZSc%3D&amp;reserved=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circulares?page=2" TargetMode="External"/><Relationship Id="rId1" Type="http://schemas.openxmlformats.org/officeDocument/2006/relationships/hyperlink" Target="https://relatoria.colombiacompra.gov.co/providencias-consejo-de-estad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075C633A-7335-4D76-BEC9-09E24B231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20</Pages>
  <Words>7044</Words>
  <Characters>38747</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45700</CharactersWithSpaces>
  <SharedDoc>false</SharedDoc>
  <HLinks>
    <vt:vector size="42" baseType="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6619254</vt:i4>
      </vt:variant>
      <vt:variant>
        <vt:i4>0</vt:i4>
      </vt:variant>
      <vt:variant>
        <vt:i4>0</vt:i4>
      </vt:variant>
      <vt:variant>
        <vt:i4>5</vt:i4>
      </vt:variant>
      <vt:variant>
        <vt:lpwstr>mailto:rocio_gomezmejia@gmail.com</vt:lpwstr>
      </vt:variant>
      <vt:variant>
        <vt:lpwstr/>
      </vt:variant>
      <vt:variant>
        <vt:i4>2424940</vt:i4>
      </vt:variant>
      <vt:variant>
        <vt:i4>3</vt:i4>
      </vt:variant>
      <vt:variant>
        <vt:i4>0</vt:i4>
      </vt:variant>
      <vt:variant>
        <vt:i4>5</vt:i4>
      </vt:variant>
      <vt:variant>
        <vt:lpwstr>https://www.colombiacompra.gov.co/circulares?page=2</vt:lpwstr>
      </vt:variant>
      <vt:variant>
        <vt:lpwstr/>
      </vt:variant>
      <vt:variant>
        <vt:i4>3801145</vt:i4>
      </vt:variant>
      <vt:variant>
        <vt:i4>0</vt:i4>
      </vt:variant>
      <vt:variant>
        <vt:i4>0</vt:i4>
      </vt:variant>
      <vt:variant>
        <vt:i4>5</vt:i4>
      </vt:variant>
      <vt:variant>
        <vt:lpwstr>https://relatoria.colombiacompra.gov.co/providencias-consejo-de-estado/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2026-07-29T20:17:00Z</dcterms:created>
  <dcterms:modified xsi:type="dcterms:W3CDTF">2026-07-29T22:04:00Z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