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13C71" w14:textId="77777777" w:rsidR="007E4168" w:rsidRPr="000A506C" w:rsidRDefault="007E4168" w:rsidP="007E4168">
      <w:pPr>
        <w:spacing w:after="0" w:line="240" w:lineRule="auto"/>
        <w:jc w:val="both"/>
        <w:rPr>
          <w:rFonts w:ascii="Verdana" w:eastAsia="Aptos" w:hAnsi="Verdana" w:cs="Arial"/>
          <w:b/>
          <w:bCs/>
          <w:kern w:val="2"/>
          <w14:ligatures w14:val="standardContextual"/>
        </w:rPr>
      </w:pPr>
      <w:bookmarkStart w:id="0" w:name="_Hlk143780582"/>
      <w:r w:rsidRPr="000A506C">
        <w:rPr>
          <w:rFonts w:ascii="Verdana" w:eastAsia="Aptos" w:hAnsi="Verdana" w:cs="Arial"/>
          <w:b/>
          <w:bCs/>
          <w:kern w:val="2"/>
          <w14:ligatures w14:val="standardContextual"/>
        </w:rPr>
        <w:t>VIGILANCIA DE LOS CONTRATOS ESTATALES – Marco jurídico – Obligación de la entidad – Objetivo</w:t>
      </w:r>
    </w:p>
    <w:p w14:paraId="5F48B050" w14:textId="77777777" w:rsidR="007E4168" w:rsidRPr="000A506C" w:rsidRDefault="007E4168" w:rsidP="007E4168">
      <w:pPr>
        <w:spacing w:after="0" w:line="240" w:lineRule="auto"/>
        <w:jc w:val="both"/>
        <w:rPr>
          <w:rFonts w:ascii="Verdana" w:eastAsia="Aptos" w:hAnsi="Verdana" w:cs="Arial"/>
          <w:b/>
          <w:bCs/>
          <w:kern w:val="2"/>
          <w14:ligatures w14:val="standardContextual"/>
        </w:rPr>
      </w:pPr>
    </w:p>
    <w:p w14:paraId="02A0D13F" w14:textId="77777777" w:rsidR="007E4168" w:rsidRPr="000A506C" w:rsidRDefault="007E4168" w:rsidP="007E4168">
      <w:pPr>
        <w:spacing w:after="0" w:line="240" w:lineRule="auto"/>
        <w:jc w:val="both"/>
        <w:rPr>
          <w:rFonts w:ascii="Verdana" w:eastAsia="Aptos" w:hAnsi="Verdana" w:cs="Arial"/>
          <w:kern w:val="2"/>
          <w:sz w:val="20"/>
          <w:szCs w:val="20"/>
          <w14:ligatures w14:val="standardContextual"/>
        </w:rPr>
      </w:pPr>
      <w:r w:rsidRPr="000A506C">
        <w:rPr>
          <w:rFonts w:ascii="Verdana" w:eastAsia="Aptos" w:hAnsi="Verdana" w:cs="Arial"/>
          <w:kern w:val="2"/>
          <w:sz w:val="20"/>
          <w:szCs w:val="20"/>
          <w14:ligatures w14:val="standardContextual"/>
        </w:rPr>
        <w:t>La Ley 80 de 1993 establece en sus artículos 4, 5, 12, 14 y 26, entre otros aspectos, la obligación de las Entidades Estatales de velar por el correcto y oportuno cumplimiento de las prestaciones del contrato, las especificaciones de los bienes, obras y servicios de este,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su adecuado cumplimiento.</w:t>
      </w:r>
    </w:p>
    <w:p w14:paraId="6E880BBE" w14:textId="77777777" w:rsidR="007E4168" w:rsidRPr="000A506C" w:rsidRDefault="007E4168" w:rsidP="007E4168">
      <w:pPr>
        <w:spacing w:after="0" w:line="240" w:lineRule="auto"/>
        <w:jc w:val="both"/>
        <w:rPr>
          <w:rFonts w:ascii="Verdana" w:eastAsia="Aptos" w:hAnsi="Verdana" w:cs="Arial"/>
          <w:kern w:val="2"/>
          <w:sz w:val="20"/>
          <w:szCs w:val="20"/>
          <w14:ligatures w14:val="standardContextual"/>
        </w:rPr>
      </w:pPr>
    </w:p>
    <w:p w14:paraId="74375828" w14:textId="77777777" w:rsidR="007E4168" w:rsidRPr="000A506C" w:rsidRDefault="007E4168" w:rsidP="007E4168">
      <w:pPr>
        <w:spacing w:after="0" w:line="240" w:lineRule="auto"/>
        <w:jc w:val="both"/>
        <w:rPr>
          <w:rFonts w:ascii="Verdana" w:eastAsia="Aptos" w:hAnsi="Verdana" w:cs="Arial"/>
          <w:kern w:val="2"/>
          <w:sz w:val="20"/>
          <w:szCs w:val="20"/>
          <w14:ligatures w14:val="standardContextual"/>
        </w:rPr>
      </w:pPr>
      <w:r w:rsidRPr="000A506C">
        <w:rPr>
          <w:rFonts w:ascii="Verdana" w:eastAsia="Aptos" w:hAnsi="Verdana" w:cs="Arial"/>
          <w:kern w:val="2"/>
          <w:sz w:val="20"/>
          <w:szCs w:val="20"/>
          <w14:ligatures w14:val="standardContextual"/>
        </w:rPr>
        <w:t>[…], las Leyes 1150 de 2007 y 1474 de 2011, complementan el régimen jurídico de la obligación de vigilar la correcta ejecución de los contratos estatales. […]se establecen los límites de la responsabilidad del representante legal ante la delegación de sus funciones en materia contractual y se regula la supervisión y la interventoría de los contratos estatales.</w:t>
      </w:r>
    </w:p>
    <w:p w14:paraId="0A3DE91A" w14:textId="77777777" w:rsidR="007E4168" w:rsidRPr="000A506C" w:rsidRDefault="007E4168" w:rsidP="007E4168">
      <w:pPr>
        <w:spacing w:after="0" w:line="240" w:lineRule="auto"/>
        <w:jc w:val="both"/>
        <w:rPr>
          <w:rFonts w:ascii="Verdana" w:eastAsia="Aptos" w:hAnsi="Verdana" w:cs="Arial"/>
          <w:kern w:val="2"/>
          <w14:ligatures w14:val="standardContextual"/>
        </w:rPr>
      </w:pPr>
    </w:p>
    <w:p w14:paraId="04243396" w14:textId="77777777" w:rsidR="007E4168" w:rsidRPr="000A506C" w:rsidRDefault="007E4168" w:rsidP="007E4168">
      <w:pPr>
        <w:spacing w:after="0" w:line="240" w:lineRule="auto"/>
        <w:jc w:val="both"/>
        <w:rPr>
          <w:rFonts w:ascii="Verdana" w:eastAsia="Aptos" w:hAnsi="Verdana" w:cs="Arial"/>
          <w:b/>
          <w:bCs/>
          <w:kern w:val="2"/>
          <w14:ligatures w14:val="standardContextual"/>
        </w:rPr>
      </w:pPr>
      <w:r w:rsidRPr="000A506C">
        <w:rPr>
          <w:rFonts w:ascii="Verdana" w:eastAsia="Aptos" w:hAnsi="Verdana" w:cs="Arial"/>
          <w:b/>
          <w:bCs/>
          <w:kern w:val="2"/>
          <w14:ligatures w14:val="standardContextual"/>
        </w:rPr>
        <w:t xml:space="preserve">SUPERVISIÓN E INTERVENTORÍA – Marco jurídico – Finalidad </w:t>
      </w:r>
    </w:p>
    <w:p w14:paraId="7BDBAA40" w14:textId="77777777" w:rsidR="007E4168" w:rsidRPr="000A506C" w:rsidRDefault="007E4168" w:rsidP="007E4168">
      <w:pPr>
        <w:spacing w:after="0" w:line="278" w:lineRule="auto"/>
        <w:jc w:val="both"/>
        <w:rPr>
          <w:rFonts w:ascii="Verdana" w:eastAsia="Aptos" w:hAnsi="Verdana" w:cs="Arial"/>
          <w:b/>
          <w:bCs/>
          <w:kern w:val="2"/>
          <w:sz w:val="20"/>
          <w:szCs w:val="20"/>
          <w14:ligatures w14:val="standardContextual"/>
        </w:rPr>
      </w:pPr>
    </w:p>
    <w:p w14:paraId="351F5243" w14:textId="77777777" w:rsidR="007E4168" w:rsidRPr="000A506C" w:rsidRDefault="007E4168" w:rsidP="007E4168">
      <w:pPr>
        <w:spacing w:after="0"/>
        <w:jc w:val="both"/>
        <w:rPr>
          <w:rFonts w:ascii="Verdana" w:eastAsia="Aptos" w:hAnsi="Verdana" w:cs="Arial"/>
          <w:kern w:val="2"/>
          <w:sz w:val="20"/>
          <w:szCs w:val="20"/>
          <w14:ligatures w14:val="standardContextual"/>
        </w:rPr>
      </w:pPr>
      <w:r w:rsidRPr="000A506C">
        <w:rPr>
          <w:rFonts w:ascii="Verdana" w:eastAsia="Aptos" w:hAnsi="Verdana" w:cs="Arial"/>
          <w:kern w:val="2"/>
          <w:sz w:val="20"/>
          <w:szCs w:val="20"/>
          <w14:ligatures w14:val="standardContextual"/>
        </w:rPr>
        <w:t>[…]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w:t>
      </w:r>
    </w:p>
    <w:p w14:paraId="0DA3954E" w14:textId="77777777" w:rsidR="007E4168" w:rsidRPr="000A506C" w:rsidRDefault="007E4168" w:rsidP="007E4168">
      <w:pPr>
        <w:spacing w:after="0" w:line="240" w:lineRule="auto"/>
        <w:jc w:val="both"/>
        <w:rPr>
          <w:rFonts w:ascii="Verdana" w:eastAsia="Aptos" w:hAnsi="Verdana" w:cs="Arial"/>
          <w:b/>
          <w:bCs/>
          <w:kern w:val="2"/>
          <w14:ligatures w14:val="standardContextual"/>
        </w:rPr>
      </w:pPr>
    </w:p>
    <w:p w14:paraId="57A39751" w14:textId="77777777" w:rsidR="007E4168" w:rsidRPr="000A506C" w:rsidRDefault="007E4168" w:rsidP="007E4168">
      <w:pPr>
        <w:spacing w:after="0" w:line="240" w:lineRule="auto"/>
        <w:jc w:val="both"/>
        <w:rPr>
          <w:rFonts w:ascii="Verdana" w:eastAsia="Aptos" w:hAnsi="Verdana" w:cs="Arial"/>
          <w:b/>
          <w:bCs/>
          <w:kern w:val="2"/>
          <w14:ligatures w14:val="standardContextual"/>
        </w:rPr>
      </w:pPr>
      <w:r w:rsidRPr="000A506C">
        <w:rPr>
          <w:rFonts w:ascii="Verdana" w:eastAsia="Aptos" w:hAnsi="Verdana" w:cs="Arial"/>
          <w:b/>
          <w:bCs/>
          <w:kern w:val="2"/>
          <w14:ligatures w14:val="standardContextual"/>
        </w:rPr>
        <w:t>SUPERVISIÓN DEL CONTRATO – Características</w:t>
      </w:r>
    </w:p>
    <w:p w14:paraId="39F0F14B" w14:textId="77777777" w:rsidR="007E4168" w:rsidRPr="000A506C" w:rsidRDefault="007E4168" w:rsidP="007E4168">
      <w:pPr>
        <w:spacing w:after="0" w:line="278" w:lineRule="auto"/>
        <w:jc w:val="both"/>
        <w:rPr>
          <w:rFonts w:ascii="Verdana" w:eastAsia="Aptos" w:hAnsi="Verdana" w:cs="Arial"/>
          <w:b/>
          <w:bCs/>
          <w:kern w:val="2"/>
          <w:sz w:val="20"/>
          <w:szCs w:val="20"/>
          <w14:ligatures w14:val="standardContextual"/>
        </w:rPr>
      </w:pPr>
    </w:p>
    <w:p w14:paraId="6B658F2E" w14:textId="77777777" w:rsidR="007E4168" w:rsidRPr="000A506C" w:rsidRDefault="007E4168" w:rsidP="007E4168">
      <w:pPr>
        <w:spacing w:after="0"/>
        <w:jc w:val="both"/>
        <w:rPr>
          <w:rFonts w:ascii="Verdana" w:eastAsia="Aptos" w:hAnsi="Verdana" w:cs="Arial"/>
          <w:kern w:val="2"/>
          <w:sz w:val="20"/>
          <w:szCs w:val="20"/>
          <w14:ligatures w14:val="standardContextual"/>
        </w:rPr>
      </w:pPr>
      <w:r w:rsidRPr="000A506C">
        <w:rPr>
          <w:rFonts w:ascii="Verdana" w:eastAsia="Aptos" w:hAnsi="Verdana" w:cs="Arial"/>
          <w:kern w:val="2"/>
          <w:sz w:val="20"/>
          <w:szCs w:val="20"/>
          <w14:ligatures w14:val="standardContextual"/>
        </w:rPr>
        <w:t xml:space="preserve">[…]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 </w:t>
      </w:r>
      <w:proofErr w:type="spellStart"/>
      <w:r w:rsidRPr="000A506C">
        <w:rPr>
          <w:rFonts w:ascii="Verdana" w:eastAsia="Aptos" w:hAnsi="Verdana" w:cs="Arial"/>
          <w:kern w:val="2"/>
          <w:sz w:val="20"/>
          <w:szCs w:val="20"/>
          <w14:ligatures w14:val="standardContextual"/>
        </w:rPr>
        <w:t>ii</w:t>
      </w:r>
      <w:proofErr w:type="spellEnd"/>
      <w:r w:rsidRPr="000A506C">
        <w:rPr>
          <w:rFonts w:ascii="Verdana" w:eastAsia="Aptos" w:hAnsi="Verdana" w:cs="Arial"/>
          <w:kern w:val="2"/>
          <w:sz w:val="20"/>
          <w:szCs w:val="20"/>
          <w14:ligatures w14:val="standardContextual"/>
        </w:rPr>
        <w:t xml:space="preserve">) no requiere conocimientos tan especializados como la interventoría; </w:t>
      </w:r>
      <w:proofErr w:type="spellStart"/>
      <w:r w:rsidRPr="000A506C">
        <w:rPr>
          <w:rFonts w:ascii="Verdana" w:eastAsia="Aptos" w:hAnsi="Verdana" w:cs="Arial"/>
          <w:kern w:val="2"/>
          <w:sz w:val="20"/>
          <w:szCs w:val="20"/>
          <w14:ligatures w14:val="standardContextual"/>
        </w:rPr>
        <w:t>iii</w:t>
      </w:r>
      <w:proofErr w:type="spellEnd"/>
      <w:r w:rsidRPr="000A506C">
        <w:rPr>
          <w:rFonts w:ascii="Verdana" w:eastAsia="Aptos" w:hAnsi="Verdana" w:cs="Arial"/>
          <w:kern w:val="2"/>
          <w:sz w:val="20"/>
          <w:szCs w:val="20"/>
          <w14:ligatures w14:val="standardContextual"/>
        </w:rPr>
        <w:t xml:space="preserve">) se ejerce por la Entidad Estatal por conducto de la designación de servidores públicos idóneos para cumplir la función; </w:t>
      </w:r>
      <w:proofErr w:type="spellStart"/>
      <w:r w:rsidRPr="000A506C">
        <w:rPr>
          <w:rFonts w:ascii="Verdana" w:eastAsia="Aptos" w:hAnsi="Verdana" w:cs="Arial"/>
          <w:kern w:val="2"/>
          <w:sz w:val="20"/>
          <w:szCs w:val="20"/>
          <w14:ligatures w14:val="standardContextual"/>
        </w:rPr>
        <w:t>iv</w:t>
      </w:r>
      <w:proofErr w:type="spellEnd"/>
      <w:r w:rsidRPr="000A506C">
        <w:rPr>
          <w:rFonts w:ascii="Verdana" w:eastAsia="Aptos" w:hAnsi="Verdana" w:cs="Arial"/>
          <w:kern w:val="2"/>
          <w:sz w:val="20"/>
          <w:szCs w:val="20"/>
          <w14:ligatures w14:val="standardContextual"/>
        </w:rPr>
        <w:t>) puede recibir apoyo de personal contratado para tal fin mediante contratos de prestación de servicios; y v) le es inseparable el seguimiento técnico, administrativo, financiero, contable y jurídico del contrato vigilado.</w:t>
      </w:r>
    </w:p>
    <w:p w14:paraId="3232B5BF" w14:textId="77777777" w:rsidR="007E4168" w:rsidRPr="000A506C" w:rsidRDefault="007E4168" w:rsidP="007E4168">
      <w:pPr>
        <w:spacing w:after="0"/>
        <w:jc w:val="both"/>
        <w:rPr>
          <w:rFonts w:ascii="Verdana" w:eastAsia="Calibri" w:hAnsi="Verdana" w:cs="Arial"/>
          <w:lang w:val="es-ES"/>
        </w:rPr>
      </w:pPr>
    </w:p>
    <w:p w14:paraId="5E7338BA" w14:textId="77777777" w:rsidR="007E4168" w:rsidRPr="000A506C" w:rsidRDefault="007E4168" w:rsidP="007E4168">
      <w:pPr>
        <w:spacing w:after="0" w:line="240" w:lineRule="auto"/>
        <w:rPr>
          <w:rFonts w:ascii="Verdana" w:eastAsia="Aptos" w:hAnsi="Verdana" w:cs="Times New Roman"/>
          <w:sz w:val="20"/>
          <w:szCs w:val="20"/>
        </w:rPr>
      </w:pPr>
    </w:p>
    <w:p w14:paraId="05541755" w14:textId="77777777" w:rsidR="007E4168" w:rsidRPr="000A506C" w:rsidRDefault="007E4168" w:rsidP="007E4168">
      <w:pPr>
        <w:spacing w:after="0" w:line="240" w:lineRule="auto"/>
        <w:rPr>
          <w:rFonts w:ascii="Verdana" w:eastAsia="Aptos" w:hAnsi="Verdana" w:cs="Times New Roman"/>
          <w:sz w:val="20"/>
          <w:szCs w:val="20"/>
        </w:rPr>
      </w:pPr>
    </w:p>
    <w:p w14:paraId="060FD09A" w14:textId="7C45EEA4" w:rsidR="007E4168" w:rsidRPr="000A506C" w:rsidRDefault="007E4168" w:rsidP="007E4168">
      <w:pPr>
        <w:spacing w:after="0" w:line="240" w:lineRule="auto"/>
        <w:jc w:val="both"/>
        <w:rPr>
          <w:rFonts w:ascii="Verdana" w:eastAsia="Calibri" w:hAnsi="Verdana" w:cs="Arial"/>
          <w:lang w:val="es-ES"/>
        </w:rPr>
      </w:pPr>
      <w:r w:rsidRPr="000A506C">
        <w:rPr>
          <w:rFonts w:ascii="Verdana" w:eastAsia="Geomanist Light" w:hAnsi="Verdana" w:cs="Arial"/>
          <w:lang w:val="es-MX"/>
        </w:rPr>
        <w:lastRenderedPageBreak/>
        <w:t>Bogotá D.C., </w:t>
      </w:r>
      <w:r w:rsidR="004A6C87">
        <w:rPr>
          <w:rFonts w:ascii="Verdana" w:eastAsia="Geomanist Light" w:hAnsi="Verdana" w:cs="Arial"/>
          <w:lang w:val="es-MX"/>
        </w:rPr>
        <w:t xml:space="preserve">24 </w:t>
      </w:r>
      <w:r w:rsidR="0043447D">
        <w:rPr>
          <w:rFonts w:ascii="Verdana" w:eastAsia="Geomanist Light" w:hAnsi="Verdana" w:cs="Arial"/>
          <w:lang w:val="es-MX"/>
        </w:rPr>
        <w:t>de ju</w:t>
      </w:r>
      <w:r w:rsidR="00595736">
        <w:rPr>
          <w:rFonts w:ascii="Verdana" w:eastAsia="Geomanist Light" w:hAnsi="Verdana" w:cs="Arial"/>
          <w:lang w:val="es-MX"/>
        </w:rPr>
        <w:t>l</w:t>
      </w:r>
      <w:r w:rsidR="0043447D">
        <w:rPr>
          <w:rFonts w:ascii="Verdana" w:eastAsia="Geomanist Light" w:hAnsi="Verdana" w:cs="Arial"/>
          <w:lang w:val="es-MX"/>
        </w:rPr>
        <w:t>io de 2026</w:t>
      </w:r>
    </w:p>
    <w:p w14:paraId="27C26AAE" w14:textId="77777777" w:rsidR="007E4168" w:rsidRPr="000A506C" w:rsidRDefault="007E4168" w:rsidP="007E4168">
      <w:pPr>
        <w:spacing w:after="0" w:line="240" w:lineRule="auto"/>
        <w:jc w:val="both"/>
        <w:rPr>
          <w:rFonts w:ascii="Verdana" w:eastAsia="Calibri" w:hAnsi="Verdana" w:cs="Arial"/>
          <w:lang w:val="es-ES"/>
        </w:rPr>
      </w:pPr>
    </w:p>
    <w:p w14:paraId="68835AAB" w14:textId="28F40F99" w:rsidR="007E4168" w:rsidRDefault="004A6C87" w:rsidP="007E4168">
      <w:pPr>
        <w:spacing w:after="0" w:line="240" w:lineRule="auto"/>
        <w:jc w:val="right"/>
        <w:rPr>
          <w:rFonts w:ascii="Verdana" w:eastAsia="Calibri" w:hAnsi="Verdana" w:cs="Arial"/>
          <w:lang w:val="es-ES"/>
        </w:rPr>
      </w:pPr>
      <w:r w:rsidRPr="004A6C87">
        <w:rPr>
          <w:rFonts w:ascii="Verdana" w:eastAsia="Calibri" w:hAnsi="Verdana" w:cs="Arial"/>
          <w:noProof/>
          <w:lang w:val="es-ES"/>
        </w:rPr>
        <w:drawing>
          <wp:inline distT="0" distB="0" distL="0" distR="0" wp14:anchorId="36073733" wp14:editId="331D9BCE">
            <wp:extent cx="2703851" cy="742950"/>
            <wp:effectExtent l="0" t="0" r="1270" b="0"/>
            <wp:docPr id="15926013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601331" name=""/>
                    <pic:cNvPicPr/>
                  </pic:nvPicPr>
                  <pic:blipFill>
                    <a:blip r:embed="rId10"/>
                    <a:stretch>
                      <a:fillRect/>
                    </a:stretch>
                  </pic:blipFill>
                  <pic:spPr>
                    <a:xfrm>
                      <a:off x="0" y="0"/>
                      <a:ext cx="2706474" cy="743671"/>
                    </a:xfrm>
                    <a:prstGeom prst="rect">
                      <a:avLst/>
                    </a:prstGeom>
                  </pic:spPr>
                </pic:pic>
              </a:graphicData>
            </a:graphic>
          </wp:inline>
        </w:drawing>
      </w:r>
    </w:p>
    <w:p w14:paraId="7FC03928" w14:textId="77777777" w:rsidR="004A6C87" w:rsidRPr="000A506C" w:rsidRDefault="004A6C87" w:rsidP="007E4168">
      <w:pPr>
        <w:spacing w:after="0" w:line="240" w:lineRule="auto"/>
        <w:jc w:val="right"/>
        <w:rPr>
          <w:rFonts w:ascii="Verdana" w:eastAsia="Calibri" w:hAnsi="Verdana" w:cs="Arial"/>
          <w:lang w:val="es-ES"/>
        </w:rPr>
      </w:pPr>
    </w:p>
    <w:p w14:paraId="123A3A93" w14:textId="77777777" w:rsidR="007E4168" w:rsidRPr="000A506C" w:rsidRDefault="007E4168" w:rsidP="007E4168">
      <w:pPr>
        <w:spacing w:after="0" w:line="240" w:lineRule="auto"/>
        <w:jc w:val="both"/>
        <w:rPr>
          <w:rFonts w:ascii="Verdana" w:eastAsia="Calibri" w:hAnsi="Verdana" w:cs="Arial"/>
          <w:lang w:val="es-ES" w:eastAsia="es-ES"/>
        </w:rPr>
      </w:pPr>
      <w:r w:rsidRPr="000A506C">
        <w:rPr>
          <w:rFonts w:ascii="Verdana" w:eastAsia="Calibri" w:hAnsi="Verdana" w:cs="Arial"/>
          <w:lang w:val="es-ES" w:eastAsia="es-ES"/>
        </w:rPr>
        <w:t>Señor</w:t>
      </w:r>
    </w:p>
    <w:p w14:paraId="5EE5D4D2" w14:textId="77777777" w:rsidR="007E4168" w:rsidRPr="000A506C" w:rsidRDefault="007E4168" w:rsidP="007E4168">
      <w:pPr>
        <w:spacing w:after="0" w:line="240" w:lineRule="auto"/>
        <w:rPr>
          <w:rFonts w:ascii="Verdana" w:eastAsia="Calibri" w:hAnsi="Verdana" w:cs="Arial"/>
          <w:b/>
          <w:lang w:val="es-ES" w:eastAsia="es-ES"/>
        </w:rPr>
      </w:pPr>
      <w:r w:rsidRPr="000A506C">
        <w:rPr>
          <w:rFonts w:ascii="Verdana" w:eastAsia="Calibri" w:hAnsi="Verdana" w:cs="Arial"/>
          <w:b/>
          <w:lang w:val="es-ES" w:eastAsia="es-ES"/>
        </w:rPr>
        <w:t>Eddy Robinson Marulanda Torres</w:t>
      </w:r>
    </w:p>
    <w:p w14:paraId="322257B4" w14:textId="77777777" w:rsidR="007E4168" w:rsidRPr="000A506C" w:rsidRDefault="005D3925" w:rsidP="007E4168">
      <w:pPr>
        <w:spacing w:after="0" w:line="240" w:lineRule="auto"/>
        <w:rPr>
          <w:rFonts w:ascii="Verdana" w:eastAsia="Aptos" w:hAnsi="Verdana" w:cs="Arial"/>
        </w:rPr>
      </w:pPr>
      <w:hyperlink r:id="rId11" w:history="1">
        <w:r w:rsidR="007E4168" w:rsidRPr="000A506C">
          <w:rPr>
            <w:rFonts w:ascii="Verdana" w:eastAsia="Aptos" w:hAnsi="Verdana" w:cs="Arial"/>
            <w:color w:val="0000FF"/>
            <w:u w:val="single"/>
          </w:rPr>
          <w:t>sintramunenvigado@gmail.com</w:t>
        </w:r>
      </w:hyperlink>
      <w:r w:rsidR="007E4168" w:rsidRPr="000A506C">
        <w:rPr>
          <w:rFonts w:ascii="Verdana" w:eastAsia="Aptos" w:hAnsi="Verdana" w:cs="Arial"/>
        </w:rPr>
        <w:t xml:space="preserve">  </w:t>
      </w:r>
    </w:p>
    <w:p w14:paraId="6A8B5EF1" w14:textId="77777777" w:rsidR="007E4168" w:rsidRPr="000A506C" w:rsidRDefault="007E4168" w:rsidP="007E4168">
      <w:pPr>
        <w:spacing w:after="0" w:line="240" w:lineRule="auto"/>
        <w:rPr>
          <w:rFonts w:ascii="Verdana" w:eastAsia="Calibri" w:hAnsi="Verdana" w:cs="Arial"/>
          <w:b/>
          <w:bCs/>
          <w:lang w:val="es-ES" w:eastAsia="es-ES"/>
        </w:rPr>
      </w:pPr>
      <w:r w:rsidRPr="000A506C">
        <w:rPr>
          <w:rFonts w:ascii="Verdana" w:eastAsia="Calibri" w:hAnsi="Verdana" w:cs="Arial"/>
          <w:lang w:val="es-ES" w:eastAsia="es-ES"/>
        </w:rPr>
        <w:t>Ciudad</w:t>
      </w:r>
    </w:p>
    <w:p w14:paraId="7FC6397C" w14:textId="77777777" w:rsidR="007E4168" w:rsidRPr="000A506C" w:rsidRDefault="007E4168" w:rsidP="007E4168">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7E4168" w:rsidRPr="000A506C" w14:paraId="094A4E7A" w14:textId="77777777" w:rsidTr="681D6267">
        <w:trPr>
          <w:trHeight w:val="308"/>
        </w:trPr>
        <w:tc>
          <w:tcPr>
            <w:tcW w:w="2689" w:type="dxa"/>
          </w:tcPr>
          <w:p w14:paraId="72984680" w14:textId="77777777" w:rsidR="007E4168" w:rsidRPr="000A506C" w:rsidRDefault="007E4168" w:rsidP="006F41A4">
            <w:pPr>
              <w:jc w:val="both"/>
              <w:rPr>
                <w:rFonts w:ascii="Verdana" w:eastAsia="Calibri" w:hAnsi="Verdana" w:cs="Arial"/>
                <w:b/>
                <w:bCs/>
                <w:lang w:val="es-ES_tradnl" w:eastAsia="es-ES_tradnl"/>
              </w:rPr>
            </w:pPr>
          </w:p>
        </w:tc>
        <w:tc>
          <w:tcPr>
            <w:tcW w:w="6100" w:type="dxa"/>
          </w:tcPr>
          <w:p w14:paraId="56D59176" w14:textId="77777777" w:rsidR="007E4168" w:rsidRPr="000A506C" w:rsidRDefault="007E4168" w:rsidP="006F41A4">
            <w:pPr>
              <w:jc w:val="both"/>
              <w:rPr>
                <w:rFonts w:ascii="Verdana" w:eastAsia="Calibri" w:hAnsi="Verdana" w:cs="Arial"/>
                <w:b/>
                <w:bCs/>
                <w:lang w:val="es-ES" w:eastAsia="es-ES"/>
              </w:rPr>
            </w:pPr>
            <w:r w:rsidRPr="000A506C">
              <w:rPr>
                <w:rFonts w:ascii="Verdana" w:eastAsia="Calibri" w:hAnsi="Verdana" w:cs="Arial"/>
                <w:b/>
                <w:bCs/>
                <w:lang w:val="es-ES" w:eastAsia="es-ES"/>
              </w:rPr>
              <w:t>Concepto C-964 de 2026</w:t>
            </w:r>
          </w:p>
          <w:p w14:paraId="5A3A4A89" w14:textId="77777777" w:rsidR="007E4168" w:rsidRPr="000A506C" w:rsidRDefault="007E4168" w:rsidP="006F41A4">
            <w:pPr>
              <w:jc w:val="both"/>
              <w:rPr>
                <w:rFonts w:ascii="Verdana" w:eastAsia="Calibri" w:hAnsi="Verdana" w:cs="Arial"/>
                <w:b/>
                <w:bCs/>
                <w:lang w:val="es-ES" w:eastAsia="es-ES"/>
              </w:rPr>
            </w:pPr>
          </w:p>
        </w:tc>
      </w:tr>
      <w:tr w:rsidR="007E4168" w:rsidRPr="000A506C" w14:paraId="39C35891" w14:textId="77777777" w:rsidTr="681D6267">
        <w:trPr>
          <w:trHeight w:val="884"/>
        </w:trPr>
        <w:tc>
          <w:tcPr>
            <w:tcW w:w="2689" w:type="dxa"/>
          </w:tcPr>
          <w:p w14:paraId="02B15698" w14:textId="77777777" w:rsidR="007E4168" w:rsidRPr="000A506C" w:rsidRDefault="007E4168" w:rsidP="006F41A4">
            <w:pPr>
              <w:jc w:val="both"/>
              <w:rPr>
                <w:rFonts w:ascii="Verdana" w:eastAsia="Calibri" w:hAnsi="Verdana" w:cs="Arial"/>
                <w:lang w:val="es-ES_tradnl" w:eastAsia="es-ES_tradnl"/>
              </w:rPr>
            </w:pPr>
            <w:r w:rsidRPr="000A506C">
              <w:rPr>
                <w:rFonts w:ascii="Verdana" w:eastAsia="Calibri" w:hAnsi="Verdana" w:cs="Arial"/>
                <w:b/>
                <w:lang w:val="es-ES_tradnl" w:eastAsia="es-ES_tradnl"/>
              </w:rPr>
              <w:t>Temas:</w:t>
            </w:r>
            <w:r w:rsidRPr="000A506C">
              <w:rPr>
                <w:rFonts w:ascii="Verdana" w:eastAsia="Calibri" w:hAnsi="Verdana" w:cs="Arial"/>
                <w:lang w:val="es-ES_tradnl" w:eastAsia="es-ES_tradnl"/>
              </w:rPr>
              <w:t xml:space="preserve">                   </w:t>
            </w:r>
          </w:p>
        </w:tc>
        <w:tc>
          <w:tcPr>
            <w:tcW w:w="6100" w:type="dxa"/>
          </w:tcPr>
          <w:p w14:paraId="6853C881" w14:textId="47707661" w:rsidR="007E4168" w:rsidRPr="000A506C" w:rsidRDefault="007E4168" w:rsidP="006F41A4">
            <w:pPr>
              <w:spacing w:line="276" w:lineRule="auto"/>
              <w:jc w:val="both"/>
              <w:rPr>
                <w:rFonts w:ascii="Verdana" w:eastAsia="Calibri" w:hAnsi="Verdana" w:cs="Arial"/>
                <w:lang w:val="es-ES" w:eastAsia="es-ES"/>
              </w:rPr>
            </w:pPr>
            <w:r w:rsidRPr="681D6267">
              <w:rPr>
                <w:rFonts w:ascii="Verdana" w:eastAsia="Calibri" w:hAnsi="Verdana" w:cs="Arial"/>
                <w:lang w:val="es-ES" w:eastAsia="es-ES"/>
              </w:rPr>
              <w:t xml:space="preserve">VIGILANCIA DE LOS CONTRATOS ESTATALES – Marco jurídico – Obligación de la entidad – Objetivo / SUPERVISIÓN E INTERVENTORÍA – Marco jurídico – Finalidad / SUPERVISIÓN DEL CONTRATO – Características </w:t>
            </w:r>
          </w:p>
          <w:p w14:paraId="713FDB0C" w14:textId="77777777" w:rsidR="007E4168" w:rsidRPr="000A506C" w:rsidRDefault="007E4168" w:rsidP="006F41A4">
            <w:pPr>
              <w:spacing w:line="276" w:lineRule="auto"/>
              <w:jc w:val="both"/>
              <w:rPr>
                <w:rFonts w:ascii="Verdana" w:eastAsia="Calibri" w:hAnsi="Verdana" w:cs="Arial"/>
                <w:lang w:val="es-ES" w:eastAsia="es-ES"/>
              </w:rPr>
            </w:pPr>
          </w:p>
        </w:tc>
      </w:tr>
    </w:tbl>
    <w:p w14:paraId="16297A3C" w14:textId="77777777" w:rsidR="007E4168" w:rsidRPr="000A506C" w:rsidRDefault="007E4168" w:rsidP="007E4168">
      <w:pPr>
        <w:spacing w:after="0" w:line="240" w:lineRule="auto"/>
        <w:rPr>
          <w:rFonts w:ascii="Verdana" w:eastAsia="Calibri" w:hAnsi="Verdana" w:cs="Arial"/>
          <w:b/>
          <w:bCs/>
          <w:lang w:val="es-ES_tradnl"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7E4168" w:rsidRPr="000A506C" w14:paraId="16D3A8B5" w14:textId="77777777" w:rsidTr="006F41A4">
        <w:tc>
          <w:tcPr>
            <w:tcW w:w="2689" w:type="dxa"/>
          </w:tcPr>
          <w:p w14:paraId="5043152E" w14:textId="77777777" w:rsidR="007E4168" w:rsidRPr="000A506C" w:rsidRDefault="007E4168" w:rsidP="006F41A4">
            <w:pPr>
              <w:jc w:val="both"/>
              <w:rPr>
                <w:rFonts w:ascii="Verdana" w:eastAsia="Calibri" w:hAnsi="Verdana" w:cs="Arial"/>
                <w:b/>
                <w:lang w:val="es-ES_tradnl" w:eastAsia="es-ES_tradnl"/>
              </w:rPr>
            </w:pPr>
            <w:r w:rsidRPr="000A506C">
              <w:rPr>
                <w:rFonts w:ascii="Verdana" w:eastAsia="Calibri" w:hAnsi="Verdana" w:cs="Arial"/>
                <w:b/>
                <w:lang w:val="es-ES_tradnl" w:eastAsia="es-ES_tradnl"/>
              </w:rPr>
              <w:t>Radicación:</w:t>
            </w:r>
            <w:r w:rsidRPr="000A506C">
              <w:rPr>
                <w:rFonts w:ascii="Verdana" w:eastAsia="Calibri" w:hAnsi="Verdana" w:cs="Arial"/>
                <w:lang w:val="es-ES_tradnl" w:eastAsia="es-ES_tradnl"/>
              </w:rPr>
              <w:t xml:space="preserve">               </w:t>
            </w:r>
          </w:p>
        </w:tc>
        <w:tc>
          <w:tcPr>
            <w:tcW w:w="6100" w:type="dxa"/>
          </w:tcPr>
          <w:p w14:paraId="38906732" w14:textId="77777777" w:rsidR="007E4168" w:rsidRPr="000A506C" w:rsidRDefault="007E4168" w:rsidP="006F41A4">
            <w:pPr>
              <w:jc w:val="both"/>
              <w:rPr>
                <w:rFonts w:ascii="Verdana" w:eastAsia="Calibri" w:hAnsi="Verdana" w:cs="Arial"/>
                <w:lang w:val="es-ES_tradnl" w:eastAsia="es-ES_tradnl"/>
              </w:rPr>
            </w:pPr>
            <w:r w:rsidRPr="000A506C">
              <w:rPr>
                <w:rFonts w:ascii="Verdana" w:eastAsia="Calibri" w:hAnsi="Verdana" w:cs="Arial"/>
                <w:lang w:val="es-ES_tradnl" w:eastAsia="es-ES_tradnl"/>
              </w:rPr>
              <w:t>Respuesta a consultas acumuladas con radicados Nos. 1_2026_06_12_007974 y 1_2026_06_12_007975</w:t>
            </w:r>
          </w:p>
        </w:tc>
      </w:tr>
    </w:tbl>
    <w:p w14:paraId="50FBDC6E" w14:textId="77777777" w:rsidR="007E4168" w:rsidRPr="000A506C" w:rsidRDefault="007E4168" w:rsidP="007E4168">
      <w:pPr>
        <w:spacing w:after="0" w:line="240" w:lineRule="auto"/>
        <w:jc w:val="both"/>
        <w:rPr>
          <w:rFonts w:ascii="Verdana" w:eastAsia="Calibri" w:hAnsi="Verdana" w:cs="Arial"/>
          <w:lang w:val="es-ES_tradnl" w:eastAsia="es-ES_tradnl"/>
        </w:rPr>
      </w:pPr>
    </w:p>
    <w:p w14:paraId="69443609" w14:textId="77777777" w:rsidR="007E4168" w:rsidRPr="000A506C" w:rsidRDefault="007E4168" w:rsidP="007E4168">
      <w:pPr>
        <w:spacing w:after="0" w:line="240" w:lineRule="auto"/>
        <w:jc w:val="both"/>
        <w:rPr>
          <w:rFonts w:ascii="Verdana" w:eastAsia="Calibri" w:hAnsi="Verdana" w:cs="Arial"/>
          <w:lang w:val="es-ES_tradnl" w:eastAsia="es-ES_tradnl"/>
        </w:rPr>
      </w:pPr>
    </w:p>
    <w:p w14:paraId="78D9DB72" w14:textId="77777777" w:rsidR="007E4168" w:rsidRPr="000A506C" w:rsidRDefault="007E4168" w:rsidP="007E4168">
      <w:pPr>
        <w:spacing w:after="0" w:line="276" w:lineRule="auto"/>
        <w:jc w:val="both"/>
        <w:rPr>
          <w:rFonts w:ascii="Verdana" w:eastAsia="Calibri" w:hAnsi="Verdana" w:cs="Arial"/>
          <w:lang w:val="es-ES" w:eastAsia="es-ES"/>
        </w:rPr>
      </w:pPr>
      <w:r w:rsidRPr="000A506C">
        <w:rPr>
          <w:rFonts w:ascii="Verdana" w:eastAsia="Calibri" w:hAnsi="Verdana" w:cs="Arial"/>
          <w:lang w:val="es-ES" w:eastAsia="es-ES"/>
        </w:rPr>
        <w:t xml:space="preserve">Estimado señor Marulanda: </w:t>
      </w:r>
    </w:p>
    <w:p w14:paraId="58C49EFF" w14:textId="77777777" w:rsidR="007E4168" w:rsidRPr="000A506C" w:rsidRDefault="007E4168" w:rsidP="007E4168">
      <w:pPr>
        <w:tabs>
          <w:tab w:val="left" w:pos="3768"/>
        </w:tabs>
        <w:spacing w:after="0" w:line="276" w:lineRule="auto"/>
        <w:jc w:val="both"/>
        <w:rPr>
          <w:rFonts w:ascii="Verdana" w:eastAsia="Calibri" w:hAnsi="Verdana" w:cs="Arial"/>
          <w:lang w:val="es-ES" w:eastAsia="es-ES"/>
        </w:rPr>
      </w:pPr>
    </w:p>
    <w:p w14:paraId="0A147CC6" w14:textId="77777777" w:rsidR="007E4168" w:rsidRPr="000A506C" w:rsidRDefault="007E4168" w:rsidP="007E4168">
      <w:pPr>
        <w:spacing w:after="0" w:line="276" w:lineRule="auto"/>
        <w:jc w:val="both"/>
        <w:rPr>
          <w:rFonts w:ascii="Verdana" w:eastAsia="Calibri" w:hAnsi="Verdana" w:cs="Arial"/>
          <w:lang w:val="es-ES" w:eastAsia="es-ES"/>
        </w:rPr>
      </w:pPr>
      <w:r w:rsidRPr="000A506C">
        <w:rPr>
          <w:rFonts w:ascii="Verdana" w:eastAsia="Calibri" w:hAnsi="Verdana" w:cs="Arial"/>
          <w:lang w:val="es-ES" w:eastAsia="es-ES"/>
        </w:rPr>
        <w:t>En ejercicio de la competencia otorgada por los artículos 3, numeral 5º, y 11, numeral 8º, del Decreto Ley 4170 de 2011,</w:t>
      </w:r>
      <w:r w:rsidRPr="000A506C">
        <w:rPr>
          <w:rFonts w:ascii="Verdana" w:eastAsia="Arial MT" w:hAnsi="Verdana" w:cs="Arial MT"/>
          <w:lang w:val="es-ES" w:eastAsia="es-ES"/>
        </w:rPr>
        <w:t xml:space="preserve"> </w:t>
      </w:r>
      <w:r w:rsidRPr="000A506C">
        <w:rPr>
          <w:rFonts w:ascii="Verdana" w:eastAsia="Aptos" w:hAnsi="Verdana" w:cs="Arial"/>
        </w:rPr>
        <w:t xml:space="preserve">así como lo establecido en el artículo 4 de la Resolución 1707 de 2018 expedida por esta Entidad, </w:t>
      </w:r>
      <w:r w:rsidRPr="000A506C">
        <w:rPr>
          <w:rFonts w:ascii="Verdana" w:eastAsia="Calibri" w:hAnsi="Verdana" w:cs="Arial"/>
          <w:lang w:val="es-ES" w:eastAsia="es-ES"/>
        </w:rPr>
        <w:t xml:space="preserve">la Agencia Nacional de Contratación Pública – Colombia Compra Eficiente– responde sus peticiones acumuladas del 11 de junio de 2026, que fueron remitidas por la Procuraduría General de la Nación mediante oficio con radicado No. S-2026-030158 del mismo mes y año. Usted realiza la siguiente consulta: </w:t>
      </w:r>
    </w:p>
    <w:p w14:paraId="4F036D21" w14:textId="77777777" w:rsidR="007E4168" w:rsidRPr="000A506C" w:rsidRDefault="007E4168" w:rsidP="007E4168">
      <w:pPr>
        <w:spacing w:after="0" w:line="276" w:lineRule="auto"/>
        <w:jc w:val="both"/>
        <w:rPr>
          <w:rFonts w:ascii="Verdana" w:eastAsia="Calibri" w:hAnsi="Verdana" w:cs="Arial"/>
          <w:lang w:val="es-ES" w:eastAsia="es-ES"/>
        </w:rPr>
      </w:pPr>
    </w:p>
    <w:p w14:paraId="517E637A" w14:textId="77777777" w:rsidR="007E4168" w:rsidRPr="000A506C" w:rsidRDefault="007E4168" w:rsidP="007E4168">
      <w:pPr>
        <w:spacing w:after="0" w:line="240" w:lineRule="auto"/>
        <w:ind w:left="709" w:right="709"/>
        <w:jc w:val="both"/>
        <w:rPr>
          <w:rFonts w:ascii="Verdana" w:eastAsia="Calibri" w:hAnsi="Verdana" w:cs="Arial"/>
          <w:sz w:val="20"/>
          <w:szCs w:val="20"/>
          <w:lang w:val="es-MX"/>
        </w:rPr>
      </w:pPr>
      <w:r w:rsidRPr="000A506C">
        <w:rPr>
          <w:rFonts w:ascii="Verdana" w:eastAsia="Calibri" w:hAnsi="Verdana" w:cs="Arial"/>
          <w:sz w:val="20"/>
          <w:szCs w:val="20"/>
          <w:lang w:val="es-MX"/>
        </w:rPr>
        <w:t>“[…]</w:t>
      </w:r>
    </w:p>
    <w:p w14:paraId="78BB2D03" w14:textId="77777777" w:rsidR="007E4168" w:rsidRPr="000A506C" w:rsidRDefault="007E4168" w:rsidP="007E4168">
      <w:pPr>
        <w:spacing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 xml:space="preserve">PRIMERO: </w:t>
      </w:r>
      <w:r w:rsidRPr="000A506C">
        <w:rPr>
          <w:rFonts w:ascii="Verdana" w:eastAsia="Calibri" w:hAnsi="Verdana" w:cs="Arial"/>
          <w:sz w:val="20"/>
          <w:szCs w:val="20"/>
          <w:lang w:val="es-MX"/>
        </w:rPr>
        <w:t xml:space="preserve">¿Qué deberes tienen las entidades públicas al momento de designar supervisores contractuales, teniendo en cuenta que estos </w:t>
      </w:r>
      <w:r w:rsidRPr="000A506C">
        <w:rPr>
          <w:rFonts w:ascii="Verdana" w:eastAsia="Calibri" w:hAnsi="Verdana" w:cs="Arial"/>
          <w:sz w:val="20"/>
          <w:szCs w:val="20"/>
          <w:lang w:val="es-MX"/>
        </w:rPr>
        <w:lastRenderedPageBreak/>
        <w:t>asumen responsabilidades relacionadas con el seguimiento técnico, administrativo, financiero, contable y jurídico de la ejecución contractual?</w:t>
      </w:r>
    </w:p>
    <w:p w14:paraId="3FBAC94C"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 xml:space="preserve">SEGUNDO: </w:t>
      </w:r>
      <w:r w:rsidRPr="000A506C">
        <w:rPr>
          <w:rFonts w:ascii="Verdana" w:eastAsia="Calibri" w:hAnsi="Verdana" w:cs="Arial"/>
          <w:sz w:val="20"/>
          <w:szCs w:val="20"/>
          <w:lang w:val="es-MX"/>
        </w:rPr>
        <w:t>¿Puede una entidad pública asignar funciones de supervisión contractual a cualquier servidor público de la planta de personal o debe verificar previamente que exista relación entre las funciones del empleo, el perfil del servidor y el objeto contractual a supervisar?</w:t>
      </w:r>
    </w:p>
    <w:p w14:paraId="7BC9302A"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 xml:space="preserve">TERCERO: </w:t>
      </w:r>
      <w:r w:rsidRPr="000A506C">
        <w:rPr>
          <w:rFonts w:ascii="Verdana" w:eastAsia="Calibri" w:hAnsi="Verdana" w:cs="Arial"/>
          <w:sz w:val="20"/>
          <w:szCs w:val="20"/>
          <w:lang w:val="es-MX"/>
        </w:rPr>
        <w:t>¿La asignación de supervisores contractuales a servidores que no cuentan con conocimientos, experiencia o competencias relacionadas con el objeto del contrato puede generar riesgos disciplinarios para los funcionarios encargados de efectuar dicha designación?</w:t>
      </w:r>
    </w:p>
    <w:p w14:paraId="7049A701"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CUARTO:</w:t>
      </w:r>
      <w:r w:rsidRPr="000A506C">
        <w:rPr>
          <w:rFonts w:ascii="Verdana" w:eastAsia="Calibri" w:hAnsi="Verdana" w:cs="Arial"/>
          <w:sz w:val="20"/>
          <w:szCs w:val="20"/>
          <w:lang w:val="es-MX"/>
        </w:rPr>
        <w:t xml:space="preserve"> ¿La imposición de funciones de supervisión que excedan las competencias propias del cargo o que no guaren relación con las funciones asignadas legal y reglamentariamente al empleo podría constituir una actuación contraria a los principios que rigen la función administrativa y el ejercicio de la función pública?</w:t>
      </w:r>
    </w:p>
    <w:p w14:paraId="5498B2FE"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QUINTO:</w:t>
      </w:r>
      <w:r w:rsidRPr="000A506C">
        <w:rPr>
          <w:rFonts w:ascii="Verdana" w:eastAsia="Calibri" w:hAnsi="Verdana" w:cs="Arial"/>
          <w:sz w:val="20"/>
          <w:szCs w:val="20"/>
          <w:lang w:val="es-MX"/>
        </w:rPr>
        <w:t xml:space="preserve"> ¿Qué consecuencias disciplinarias podrían derivarse cuando una entidad asigna supervisores a servidores públicos cuya carga laboral ordinaria les impide ejercer de manera adecuada las actividades de vigilancia y control contractual?</w:t>
      </w:r>
    </w:p>
    <w:p w14:paraId="0117AE31"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SEXTO:</w:t>
      </w:r>
      <w:r w:rsidRPr="000A506C">
        <w:rPr>
          <w:rFonts w:ascii="Verdana" w:eastAsia="Calibri" w:hAnsi="Verdana" w:cs="Arial"/>
          <w:sz w:val="20"/>
          <w:szCs w:val="20"/>
          <w:lang w:val="es-MX"/>
        </w:rPr>
        <w:t xml:space="preserve"> ¿Desde qué momento se entiende que un servidor público asume los deberes y responsabilidades inherentes a la función de supervisión contractual: </w:t>
      </w:r>
      <w:proofErr w:type="gramStart"/>
      <w:r w:rsidRPr="000A506C">
        <w:rPr>
          <w:rFonts w:ascii="Verdana" w:eastAsia="Calibri" w:hAnsi="Verdana" w:cs="Arial"/>
          <w:sz w:val="20"/>
          <w:szCs w:val="20"/>
          <w:lang w:val="es-MX"/>
        </w:rPr>
        <w:t>desde la designación formal, desde la suscripción del contrato o desde el inicio de su ejecución?</w:t>
      </w:r>
      <w:proofErr w:type="gramEnd"/>
    </w:p>
    <w:p w14:paraId="04824135"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 xml:space="preserve">SÉPTIMO: </w:t>
      </w:r>
      <w:r w:rsidRPr="000A506C">
        <w:rPr>
          <w:rFonts w:ascii="Verdana" w:eastAsia="Calibri" w:hAnsi="Verdana" w:cs="Arial"/>
          <w:sz w:val="20"/>
          <w:szCs w:val="20"/>
          <w:lang w:val="es-MX"/>
        </w:rPr>
        <w:t>¿Es procedente atribuir responsabilidad disciplinaria a un supervisor contractual por actuaciones, decisiones, estudios o documentos elaborados durante la etapa precontractual cuando este no había sido designado formalmente como supervisor o cuando el contrato aún no se encontraba en ejecución?</w:t>
      </w:r>
    </w:p>
    <w:p w14:paraId="140C3299"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OCTAVO:</w:t>
      </w:r>
      <w:r w:rsidRPr="000A506C">
        <w:rPr>
          <w:rFonts w:ascii="Verdana" w:eastAsia="Calibri" w:hAnsi="Verdana" w:cs="Arial"/>
          <w:sz w:val="20"/>
          <w:szCs w:val="20"/>
          <w:lang w:val="es-MX"/>
        </w:rPr>
        <w:t xml:space="preserve"> ¿La supervisión contractual se encuentra limitada a las actividades de seguimiento y control de la ejecución del contrato previstas en el artículo 83 de la Ley 1474 de 2011 o puede extenderse válidamente a funciones propias de la etapa precontractual?</w:t>
      </w:r>
    </w:p>
    <w:p w14:paraId="32FDDA3A"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NOVENO:</w:t>
      </w:r>
      <w:r w:rsidRPr="000A506C">
        <w:rPr>
          <w:rFonts w:ascii="Verdana" w:eastAsia="Calibri" w:hAnsi="Verdana" w:cs="Arial"/>
          <w:sz w:val="20"/>
          <w:szCs w:val="20"/>
          <w:lang w:val="es-MX"/>
        </w:rPr>
        <w:t xml:space="preserve"> ¿Resulta compatible con el marco normativo vigente asignar a los supervisores contractuales responsabilidades relacionadas con la elaboración de estudios previos, análisis del sector, estructuración de procesos de contratación, elaboración de matrices de riesgo, construcción de documentos precontractuales o definición de especificaciones técnicas?</w:t>
      </w:r>
    </w:p>
    <w:p w14:paraId="4FA9B7F2"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DÉCIMO:</w:t>
      </w:r>
      <w:r w:rsidRPr="000A506C">
        <w:rPr>
          <w:rFonts w:ascii="Verdana" w:eastAsia="Calibri" w:hAnsi="Verdana" w:cs="Arial"/>
          <w:sz w:val="20"/>
          <w:szCs w:val="20"/>
          <w:lang w:val="es-MX"/>
        </w:rPr>
        <w:t xml:space="preserve"> ¿La asignación de actividades precontractuales al mismo servidor que posteriormente ejercerá la supervisión contractual puede afectar los principios de transparencia, objetividad, independencia y control que deben orientar la vigilancia de la ejecución contractual?</w:t>
      </w:r>
    </w:p>
    <w:p w14:paraId="3D0298E7"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lastRenderedPageBreak/>
        <w:t>DÉCIMO PRIMERO:</w:t>
      </w:r>
      <w:r w:rsidRPr="000A506C">
        <w:rPr>
          <w:rFonts w:ascii="Verdana" w:eastAsia="Calibri" w:hAnsi="Verdana" w:cs="Arial"/>
          <w:sz w:val="20"/>
          <w:szCs w:val="20"/>
          <w:lang w:val="es-MX"/>
        </w:rPr>
        <w:t xml:space="preserve"> ¿Qué riesgos disciplinarios pueden derivarse para la entidad y para los servidores públicos cuando asignan a los supervisores funciones especializadas que exceden su formación, experiencia o competencias funcionales?</w:t>
      </w:r>
    </w:p>
    <w:p w14:paraId="27B0B587"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DÉCIMO SEGUNDO:</w:t>
      </w:r>
      <w:r w:rsidRPr="000A506C">
        <w:rPr>
          <w:rFonts w:ascii="Verdana" w:eastAsia="Calibri" w:hAnsi="Verdana" w:cs="Arial"/>
          <w:sz w:val="20"/>
          <w:szCs w:val="20"/>
          <w:lang w:val="es-MX"/>
        </w:rPr>
        <w:t xml:space="preserve"> ¿Desde la perspectiva disciplinaria, qué riesgos pueden generarse cuando a los supervisores contractuales se les asignan actividades especializadas relacionadas con la liquidación de impuestos, estampillas, retenciones, contribuciones, tasas, descuentos tributarios u otras obligaciones fiscales derivadas de los contratos estatales, sin que dichos servidores cuenten con formación o competencias específicas en materia tributaria, financiera o contable?</w:t>
      </w:r>
    </w:p>
    <w:p w14:paraId="4130CD31"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DÉCIMO TERCERTO:</w:t>
      </w:r>
      <w:r w:rsidRPr="000A506C">
        <w:rPr>
          <w:rFonts w:ascii="Verdana" w:eastAsia="Calibri" w:hAnsi="Verdana" w:cs="Arial"/>
          <w:sz w:val="20"/>
          <w:szCs w:val="20"/>
          <w:lang w:val="es-MX"/>
        </w:rPr>
        <w:t xml:space="preserve"> ¿La asignación de funciones relacionadas con la determinación, cálculo, validación o liquidación de obligaciones tributarias derivadas de los contratos estatales a servidores designados como supervisores podría generar riesgos de incumplimiento de deberes funcionales o eventuales responsabilidades disciplinarias cuando dichas actividades no corresponden a las funciones propias del empleo ni a la naturaleza de la supervisión contractual?</w:t>
      </w:r>
    </w:p>
    <w:p w14:paraId="083C9FC7" w14:textId="77777777" w:rsidR="007E4168" w:rsidRPr="000A506C" w:rsidRDefault="007E4168" w:rsidP="007E4168">
      <w:pPr>
        <w:spacing w:before="120" w:after="0" w:line="240" w:lineRule="auto"/>
        <w:ind w:left="709" w:right="709"/>
        <w:jc w:val="both"/>
        <w:rPr>
          <w:rFonts w:ascii="Verdana" w:eastAsia="Calibri" w:hAnsi="Verdana" w:cs="Arial"/>
          <w:sz w:val="20"/>
          <w:szCs w:val="20"/>
          <w:lang w:val="es-MX"/>
        </w:rPr>
      </w:pPr>
      <w:r w:rsidRPr="000A506C">
        <w:rPr>
          <w:rFonts w:ascii="Verdana" w:eastAsia="Calibri" w:hAnsi="Verdana" w:cs="Arial"/>
          <w:b/>
          <w:bCs/>
          <w:sz w:val="20"/>
          <w:szCs w:val="20"/>
          <w:lang w:val="es-MX"/>
        </w:rPr>
        <w:t>DÉCIMO CUARTO:</w:t>
      </w:r>
      <w:r w:rsidRPr="000A506C">
        <w:rPr>
          <w:rFonts w:ascii="Verdana" w:eastAsia="Calibri" w:hAnsi="Verdana" w:cs="Arial"/>
          <w:sz w:val="20"/>
          <w:szCs w:val="20"/>
          <w:lang w:val="es-MX"/>
        </w:rPr>
        <w:t xml:space="preserve"> ¿Podría constituir una extralimitación de funciones o una inadecuada distribución de responsabilidades administrativas el hecho de trasladar a los supervisores contractuales actividades que corresponden a dependencias especializadas en materia financiera, contable, presupuestal o tributaria?</w:t>
      </w:r>
    </w:p>
    <w:p w14:paraId="18CA5A01" w14:textId="77777777" w:rsidR="007E4168" w:rsidRPr="000A506C" w:rsidRDefault="007E4168" w:rsidP="007E4168">
      <w:pPr>
        <w:spacing w:after="0" w:line="240" w:lineRule="auto"/>
        <w:ind w:left="709" w:right="709"/>
        <w:jc w:val="both"/>
        <w:rPr>
          <w:rFonts w:ascii="Verdana" w:eastAsia="Calibri" w:hAnsi="Verdana" w:cs="Arial"/>
          <w:sz w:val="20"/>
          <w:szCs w:val="20"/>
          <w:lang w:val="es-MX"/>
        </w:rPr>
      </w:pPr>
      <w:r w:rsidRPr="000A506C">
        <w:rPr>
          <w:rFonts w:ascii="Verdana" w:eastAsia="Calibri" w:hAnsi="Verdana" w:cs="Arial"/>
          <w:sz w:val="20"/>
          <w:szCs w:val="20"/>
          <w:lang w:val="es-MX"/>
        </w:rPr>
        <w:t>[…]” [sic] [Negrillas propias]</w:t>
      </w:r>
    </w:p>
    <w:p w14:paraId="25EBA17F" w14:textId="77777777" w:rsidR="007E4168" w:rsidRPr="000A506C" w:rsidRDefault="007E4168" w:rsidP="007E4168">
      <w:pPr>
        <w:spacing w:after="0" w:line="276" w:lineRule="auto"/>
        <w:jc w:val="both"/>
        <w:rPr>
          <w:rFonts w:ascii="Verdana" w:eastAsia="Calibri" w:hAnsi="Verdana" w:cs="Arial"/>
          <w:lang w:val="es-ES" w:eastAsia="es-ES"/>
        </w:rPr>
      </w:pPr>
    </w:p>
    <w:p w14:paraId="5B9F4367" w14:textId="77777777" w:rsidR="007E4168" w:rsidRPr="000A506C" w:rsidRDefault="007E4168" w:rsidP="007E4168">
      <w:pPr>
        <w:spacing w:after="120" w:line="276" w:lineRule="auto"/>
        <w:jc w:val="both"/>
        <w:rPr>
          <w:rFonts w:ascii="Verdana" w:eastAsia="Calibri" w:hAnsi="Verdana" w:cs="Arial"/>
          <w:lang w:val="es-ES" w:eastAsia="es-ES"/>
        </w:rPr>
      </w:pPr>
      <w:r w:rsidRPr="000A506C">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y Contratación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07E99E16" w14:textId="77777777" w:rsidR="007E4168" w:rsidRPr="000A506C" w:rsidRDefault="007E4168" w:rsidP="007E4168">
      <w:pPr>
        <w:spacing w:after="0" w:line="276" w:lineRule="auto"/>
        <w:ind w:firstLine="709"/>
        <w:jc w:val="both"/>
        <w:rPr>
          <w:rFonts w:ascii="Verdana" w:eastAsia="Calibri" w:hAnsi="Verdana" w:cs="Arial"/>
          <w:lang w:val="es-ES" w:eastAsia="es-ES"/>
        </w:rPr>
      </w:pPr>
      <w:r w:rsidRPr="000A506C">
        <w:rPr>
          <w:rFonts w:ascii="Verdana" w:eastAsia="Calibri" w:hAnsi="Verdana" w:cs="Arial"/>
          <w:lang w:val="es-ES" w:eastAsia="es-ES"/>
        </w:rPr>
        <w:t xml:space="preserve">Conforme lo expuesto, en aras de satisfacer el derecho fundamental de petición se resolverá su consulta dentro de los límites de la referida competencia </w:t>
      </w:r>
      <w:r w:rsidRPr="000A506C">
        <w:rPr>
          <w:rFonts w:ascii="Verdana" w:eastAsia="Calibri" w:hAnsi="Verdana" w:cs="Arial"/>
          <w:lang w:val="es-ES" w:eastAsia="es-ES"/>
        </w:rPr>
        <w:lastRenderedPageBreak/>
        <w:t xml:space="preserve">consultiva, esto es, haciendo abstracción de las circunstancias particulares y concretas mencionadas en su petición, pero haciendo unas consideraciones sobre las normas generales relacionadas con los problemas jurídicos de su consulta. </w:t>
      </w:r>
    </w:p>
    <w:p w14:paraId="28627967" w14:textId="77777777" w:rsidR="007E4168" w:rsidRPr="000A506C" w:rsidRDefault="007E4168" w:rsidP="007E4168">
      <w:pPr>
        <w:spacing w:after="0" w:line="276" w:lineRule="auto"/>
        <w:ind w:firstLine="709"/>
        <w:jc w:val="both"/>
        <w:rPr>
          <w:rFonts w:ascii="Verdana" w:eastAsia="Calibri" w:hAnsi="Verdana" w:cs="Arial"/>
          <w:lang w:val="es-ES" w:eastAsia="es-ES"/>
        </w:rPr>
      </w:pPr>
    </w:p>
    <w:p w14:paraId="64D81BDD" w14:textId="77777777" w:rsidR="007E4168" w:rsidRPr="000A506C" w:rsidRDefault="007E4168" w:rsidP="007E4168">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0A506C">
        <w:rPr>
          <w:rFonts w:ascii="Verdana" w:eastAsia="Arial" w:hAnsi="Verdana" w:cs="Arial"/>
          <w:b/>
          <w:bCs/>
          <w:lang w:val="es-ES"/>
        </w:rPr>
        <w:t>1. Problema planteado:</w:t>
      </w:r>
    </w:p>
    <w:p w14:paraId="51B1D702" w14:textId="77777777" w:rsidR="007E4168" w:rsidRPr="000A506C" w:rsidRDefault="007E4168" w:rsidP="007E4168">
      <w:pPr>
        <w:tabs>
          <w:tab w:val="left" w:pos="426"/>
        </w:tabs>
        <w:spacing w:after="0" w:line="276" w:lineRule="auto"/>
        <w:jc w:val="both"/>
        <w:rPr>
          <w:rFonts w:ascii="Verdana" w:eastAsia="Century Gothic" w:hAnsi="Verdana" w:cs="Century Gothic"/>
          <w:lang w:val="es-ES"/>
        </w:rPr>
      </w:pPr>
    </w:p>
    <w:p w14:paraId="2E924CE2" w14:textId="77777777" w:rsidR="007E4168" w:rsidRPr="000A506C" w:rsidRDefault="007E4168" w:rsidP="007E4168">
      <w:pPr>
        <w:spacing w:after="0" w:line="276" w:lineRule="auto"/>
        <w:jc w:val="both"/>
        <w:rPr>
          <w:rFonts w:ascii="Verdana" w:eastAsia="Aptos" w:hAnsi="Verdana" w:cs="Arial"/>
        </w:rPr>
      </w:pPr>
      <w:r w:rsidRPr="000A506C">
        <w:rPr>
          <w:rFonts w:ascii="Verdana" w:eastAsia="Century Gothic" w:hAnsi="Verdana" w:cs="Century Gothic"/>
        </w:rPr>
        <w:t xml:space="preserve">De acuerdo con el contenido de su solicitud, le informamos que la misma se resolverá desde los siguientes </w:t>
      </w:r>
      <w:bookmarkStart w:id="1" w:name="_Hlk171070029"/>
      <w:r w:rsidRPr="000A506C">
        <w:rPr>
          <w:rFonts w:ascii="Verdana" w:eastAsia="Century Gothic" w:hAnsi="Verdana" w:cs="Century Gothic"/>
        </w:rPr>
        <w:t xml:space="preserve">interrogantes: i) </w:t>
      </w:r>
      <w:r w:rsidRPr="000A506C">
        <w:rPr>
          <w:rFonts w:ascii="Verdana" w:eastAsia="Aptos" w:hAnsi="Verdana" w:cs="Arial"/>
        </w:rPr>
        <w:t xml:space="preserve">¿En qué consiste el ejercicio de supervisión de los contratos estatales?; </w:t>
      </w:r>
      <w:proofErr w:type="spellStart"/>
      <w:r w:rsidRPr="000A506C">
        <w:rPr>
          <w:rFonts w:ascii="Verdana" w:eastAsia="Aptos" w:hAnsi="Verdana" w:cs="Arial"/>
        </w:rPr>
        <w:t>ii</w:t>
      </w:r>
      <w:proofErr w:type="spellEnd"/>
      <w:r w:rsidRPr="000A506C">
        <w:rPr>
          <w:rFonts w:ascii="Verdana" w:eastAsia="Aptos" w:hAnsi="Verdana" w:cs="Arial"/>
        </w:rPr>
        <w:t xml:space="preserve">) </w:t>
      </w:r>
      <w:r w:rsidRPr="000A506C">
        <w:rPr>
          <w:rFonts w:ascii="Verdana" w:eastAsia="Century Gothic" w:hAnsi="Verdana" w:cs="Century Gothic"/>
        </w:rPr>
        <w:t xml:space="preserve">De acuerdo con el marco normativo aplicable, ¿cómo puede realizarse la designación de los supervisores de los contratos estatales?; </w:t>
      </w:r>
      <w:proofErr w:type="spellStart"/>
      <w:r w:rsidRPr="000A506C">
        <w:rPr>
          <w:rFonts w:ascii="Verdana" w:eastAsia="Century Gothic" w:hAnsi="Verdana" w:cs="Century Gothic"/>
        </w:rPr>
        <w:t>iii</w:t>
      </w:r>
      <w:proofErr w:type="spellEnd"/>
      <w:r w:rsidRPr="000A506C">
        <w:rPr>
          <w:rFonts w:ascii="Verdana" w:eastAsia="Century Gothic" w:hAnsi="Verdana" w:cs="Century Gothic"/>
        </w:rPr>
        <w:t xml:space="preserve">) </w:t>
      </w:r>
      <w:r w:rsidRPr="000A506C">
        <w:rPr>
          <w:rFonts w:ascii="Verdana" w:eastAsia="Aptos" w:hAnsi="Verdana" w:cs="Arial"/>
        </w:rPr>
        <w:t xml:space="preserve">¿En qué circunstancias es posible que se asignen distintos supervisores a un contrato estatal y qué implicaciones tiene esto en SECOP II?; y </w:t>
      </w:r>
      <w:proofErr w:type="spellStart"/>
      <w:r w:rsidRPr="000A506C">
        <w:rPr>
          <w:rFonts w:ascii="Verdana" w:eastAsia="Aptos" w:hAnsi="Verdana" w:cs="Arial"/>
        </w:rPr>
        <w:t>iv</w:t>
      </w:r>
      <w:proofErr w:type="spellEnd"/>
      <w:r w:rsidRPr="000A506C">
        <w:rPr>
          <w:rFonts w:ascii="Verdana" w:eastAsia="Aptos" w:hAnsi="Verdana" w:cs="Arial"/>
        </w:rPr>
        <w:t>) ¿Cuáles son las facultades y responsabilidades de los supervisores de los contratos estatales?</w:t>
      </w:r>
    </w:p>
    <w:p w14:paraId="3D9C35D2" w14:textId="77777777" w:rsidR="007E4168" w:rsidRPr="000A506C" w:rsidRDefault="007E4168" w:rsidP="007E4168">
      <w:pPr>
        <w:spacing w:after="0" w:line="276" w:lineRule="auto"/>
        <w:jc w:val="both"/>
        <w:rPr>
          <w:rFonts w:ascii="Verdana" w:eastAsia="Century Gothic" w:hAnsi="Verdana" w:cs="Century Gothic"/>
        </w:rPr>
      </w:pPr>
    </w:p>
    <w:bookmarkEnd w:id="1"/>
    <w:p w14:paraId="2CC98A37" w14:textId="77777777" w:rsidR="007E4168" w:rsidRPr="000A506C" w:rsidRDefault="007E4168" w:rsidP="007E4168">
      <w:pPr>
        <w:widowControl w:val="0"/>
        <w:autoSpaceDE w:val="0"/>
        <w:autoSpaceDN w:val="0"/>
        <w:spacing w:before="1" w:after="0" w:line="240" w:lineRule="auto"/>
        <w:jc w:val="both"/>
        <w:outlineLvl w:val="0"/>
        <w:rPr>
          <w:rFonts w:ascii="Verdana" w:eastAsia="Arial" w:hAnsi="Verdana" w:cs="Arial"/>
          <w:b/>
          <w:bCs/>
          <w:lang w:val="es-ES"/>
        </w:rPr>
      </w:pPr>
      <w:r w:rsidRPr="000A506C">
        <w:rPr>
          <w:rFonts w:ascii="Verdana" w:eastAsia="Arial" w:hAnsi="Verdana" w:cs="Arial"/>
          <w:b/>
          <w:bCs/>
          <w:lang w:val="es-ES"/>
        </w:rPr>
        <w:t>2. Respuesta:</w:t>
      </w:r>
    </w:p>
    <w:p w14:paraId="4AC81A0D" w14:textId="77777777" w:rsidR="007E4168" w:rsidRPr="000A506C" w:rsidRDefault="007E4168" w:rsidP="007E4168">
      <w:pPr>
        <w:spacing w:after="0"/>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7E4168" w:rsidRPr="000A506C" w14:paraId="12E0D652" w14:textId="77777777" w:rsidTr="006F41A4">
        <w:tc>
          <w:tcPr>
            <w:tcW w:w="8828" w:type="dxa"/>
          </w:tcPr>
          <w:p w14:paraId="799C35CB" w14:textId="77777777" w:rsidR="007E4168" w:rsidRPr="000A506C" w:rsidRDefault="007E4168" w:rsidP="006F41A4">
            <w:pPr>
              <w:spacing w:line="276" w:lineRule="auto"/>
              <w:jc w:val="both"/>
              <w:rPr>
                <w:rFonts w:ascii="Verdana" w:eastAsia="Calibri" w:hAnsi="Verdana" w:cs="Arial"/>
                <w:color w:val="000000"/>
                <w:lang w:val="es-ES"/>
              </w:rPr>
            </w:pPr>
            <w:bookmarkStart w:id="2" w:name="_Hlk171067516"/>
            <w:r w:rsidRPr="7EC2092D">
              <w:rPr>
                <w:rFonts w:ascii="Verdana" w:eastAsia="Calibri" w:hAnsi="Verdana" w:cs="Arial"/>
                <w:color w:val="000000" w:themeColor="text1"/>
                <w:lang w:val="es-ES"/>
              </w:rPr>
              <w:t xml:space="preserve">i) De acuerdo con lo establecido en el artículo 83 de la Ley 1474 de 2011: "La supervisión consistirá en el seguimiento técnico, administrativo, financiero, contable, y jurídico que sobre el cumplimento del contrato, es ejercida por la misma entidad estatal cuando no requieran conocimiento especializados". De esta forma, la labor de supervisión de los contratos estatales: i) siempre existirá en relación con cualquier contrato estatal, incluidos los contratos de prestación de servicios –a diferencia de la interventoría que depende del análisis de su necesidad y extensión–; </w:t>
            </w:r>
            <w:proofErr w:type="spellStart"/>
            <w:r w:rsidRPr="7EC2092D">
              <w:rPr>
                <w:rFonts w:ascii="Verdana" w:eastAsia="Calibri" w:hAnsi="Verdana" w:cs="Arial"/>
                <w:color w:val="000000" w:themeColor="text1"/>
                <w:lang w:val="es-ES"/>
              </w:rPr>
              <w:t>ii</w:t>
            </w:r>
            <w:proofErr w:type="spellEnd"/>
            <w:r w:rsidRPr="7EC2092D">
              <w:rPr>
                <w:rFonts w:ascii="Verdana" w:eastAsia="Calibri" w:hAnsi="Verdana" w:cs="Arial"/>
                <w:color w:val="000000" w:themeColor="text1"/>
                <w:lang w:val="es-ES"/>
              </w:rPr>
              <w:t xml:space="preserve">) no requerirá conocimientos tan especializados como la interventoría; </w:t>
            </w:r>
            <w:proofErr w:type="spellStart"/>
            <w:r w:rsidRPr="7EC2092D">
              <w:rPr>
                <w:rFonts w:ascii="Verdana" w:eastAsia="Calibri" w:hAnsi="Verdana" w:cs="Arial"/>
                <w:color w:val="000000" w:themeColor="text1"/>
                <w:lang w:val="es-ES"/>
              </w:rPr>
              <w:t>iii</w:t>
            </w:r>
            <w:proofErr w:type="spellEnd"/>
            <w:r w:rsidRPr="7EC2092D">
              <w:rPr>
                <w:rFonts w:ascii="Verdana" w:eastAsia="Calibri" w:hAnsi="Verdana" w:cs="Arial"/>
                <w:color w:val="000000" w:themeColor="text1"/>
                <w:lang w:val="es-ES"/>
              </w:rPr>
              <w:t xml:space="preserve">) será ejercida por la Entidad Estatal por conducto de la designación de servidores públicos idóneos para cumplir la función; </w:t>
            </w:r>
            <w:proofErr w:type="spellStart"/>
            <w:r w:rsidRPr="7EC2092D">
              <w:rPr>
                <w:rFonts w:ascii="Verdana" w:eastAsia="Calibri" w:hAnsi="Verdana" w:cs="Arial"/>
                <w:color w:val="000000" w:themeColor="text1"/>
                <w:lang w:val="es-ES"/>
              </w:rPr>
              <w:t>iv</w:t>
            </w:r>
            <w:proofErr w:type="spellEnd"/>
            <w:r w:rsidRPr="7EC2092D">
              <w:rPr>
                <w:rFonts w:ascii="Verdana" w:eastAsia="Calibri" w:hAnsi="Verdana" w:cs="Arial"/>
                <w:color w:val="000000" w:themeColor="text1"/>
                <w:lang w:val="es-ES"/>
              </w:rPr>
              <w:t>) podrá recibirse apoyo de personal contratado para tal fin mediante contratos de prestación de servicios; y v) le es inseparable el seguimiento técnico, administrativo, financiero, contable y jurídico del contrato vigilado.</w:t>
            </w:r>
          </w:p>
          <w:p w14:paraId="78C89B1D" w14:textId="77777777" w:rsidR="007E4168" w:rsidRPr="000A506C" w:rsidRDefault="007E4168" w:rsidP="006F41A4">
            <w:pPr>
              <w:spacing w:line="276" w:lineRule="auto"/>
              <w:jc w:val="both"/>
              <w:rPr>
                <w:rFonts w:ascii="Verdana" w:eastAsia="Calibri" w:hAnsi="Verdana" w:cs="Arial"/>
                <w:color w:val="000000"/>
                <w:lang w:val="es-ES_tradnl"/>
              </w:rPr>
            </w:pPr>
          </w:p>
          <w:p w14:paraId="42F396CE" w14:textId="77777777" w:rsidR="007E4168" w:rsidRPr="000A506C" w:rsidRDefault="007E4168" w:rsidP="006F41A4">
            <w:pPr>
              <w:spacing w:line="276" w:lineRule="auto"/>
              <w:jc w:val="both"/>
              <w:rPr>
                <w:rFonts w:ascii="Verdana" w:eastAsia="Aptos" w:hAnsi="Verdana" w:cs="Arial"/>
              </w:rPr>
            </w:pPr>
            <w:proofErr w:type="spellStart"/>
            <w:r w:rsidRPr="000A506C">
              <w:rPr>
                <w:rFonts w:ascii="Verdana" w:eastAsia="Calibri" w:hAnsi="Verdana" w:cs="Arial"/>
                <w:color w:val="000000"/>
                <w:lang w:val="es-ES_tradnl"/>
              </w:rPr>
              <w:t>ii</w:t>
            </w:r>
            <w:proofErr w:type="spellEnd"/>
            <w:r w:rsidRPr="000A506C">
              <w:rPr>
                <w:rFonts w:ascii="Verdana" w:eastAsia="Calibri" w:hAnsi="Verdana" w:cs="Arial"/>
                <w:color w:val="000000"/>
                <w:lang w:val="es-ES_tradnl"/>
              </w:rPr>
              <w:t>) Sobre el particular debe precisarse que, la designación del supervisor de los contratos podrá realizarse por el representante legal de la Entidad Estatal o por el ordenador del gasto, en caso de que esta función se encuentre delegada conforme a las reglas dispuestas en el artículo 12 de la Ley 80 de 1993. D</w:t>
            </w:r>
            <w:proofErr w:type="spellStart"/>
            <w:r w:rsidRPr="000A506C">
              <w:rPr>
                <w:rFonts w:ascii="Verdana" w:eastAsia="Aptos" w:hAnsi="Verdana" w:cs="Arial"/>
              </w:rPr>
              <w:t>e</w:t>
            </w:r>
            <w:proofErr w:type="spellEnd"/>
            <w:r w:rsidRPr="000A506C">
              <w:rPr>
                <w:rFonts w:ascii="Verdana" w:eastAsia="Aptos" w:hAnsi="Verdana" w:cs="Arial"/>
              </w:rPr>
              <w:t xml:space="preserve"> </w:t>
            </w:r>
            <w:r w:rsidRPr="000A506C">
              <w:rPr>
                <w:rFonts w:ascii="Verdana" w:eastAsia="Aptos" w:hAnsi="Verdana" w:cs="Arial"/>
              </w:rPr>
              <w:lastRenderedPageBreak/>
              <w:t>acuerdo con la Ley 489 de 1998, la delegación es la transferencia del ejercicio de las funciones de las autoridades administrativas a sus colaboradores o a otras autoridades con funciones afines o complementarias. Por otro lado, la Ley 80 de 1993 establece que los jefes y los representantes legales de las Entidades Estatales pueden delegar total o parcialmente la competencia para celebrar contratos y realizar licitaciones, lo cual no los exonera de sus deberes de control y vigilancia de la actividad precontractual y contractual.</w:t>
            </w:r>
          </w:p>
          <w:p w14:paraId="15ED2CA3" w14:textId="77777777" w:rsidR="007E4168" w:rsidRPr="000A506C" w:rsidRDefault="007E4168" w:rsidP="006F41A4">
            <w:pPr>
              <w:spacing w:before="120" w:after="120" w:line="276" w:lineRule="auto"/>
              <w:ind w:firstLine="709"/>
              <w:jc w:val="both"/>
              <w:rPr>
                <w:rFonts w:ascii="Verdana" w:eastAsia="Aptos" w:hAnsi="Verdana" w:cs="Arial"/>
                <w:lang w:val="es-MX"/>
              </w:rPr>
            </w:pPr>
            <w:r w:rsidRPr="000A506C">
              <w:rPr>
                <w:rFonts w:ascii="Verdana" w:eastAsia="Aptos" w:hAnsi="Verdana" w:cs="Arial"/>
                <w:lang w:val="es-MX"/>
              </w:rPr>
              <w:t xml:space="preserve">Así pues, podrán definirse las funciones del supervisor en el pliego de condiciones, en una cláusula del contrato, en el manual de contratación o en el acto de la asignación de la función al servidor público escogido para ejercer la supervisión. Así mismo, en todos los casos deberán informarse al funcionario designado como supervisor. La comunicación de la designación de un funcionario como supervisor siempre debe ser escrita, entendiéndose también como tal la que se hace a través de correo electrónico. En el evento en que la designación del supervisor se haga directamente en el contrato, debe enviarse copia del mismo al funcionario designado informando que va a ser el supervisor. Así mismo, en los procesos adelantados a través de la plataforma SECOP II, se debe realizar la designación a través de la misma.  </w:t>
            </w:r>
          </w:p>
          <w:p w14:paraId="46D62DD9" w14:textId="77777777" w:rsidR="007E4168" w:rsidRPr="000A506C" w:rsidRDefault="007E4168" w:rsidP="006F41A4">
            <w:pPr>
              <w:spacing w:line="278" w:lineRule="auto"/>
              <w:jc w:val="both"/>
              <w:rPr>
                <w:rFonts w:ascii="Verdana" w:eastAsia="Aptos" w:hAnsi="Verdana" w:cs="Times New Roman"/>
                <w:kern w:val="2"/>
                <w14:ligatures w14:val="standardContextual"/>
              </w:rPr>
            </w:pPr>
            <w:r w:rsidRPr="000A506C">
              <w:rPr>
                <w:rFonts w:ascii="Verdana" w:eastAsia="Aptos" w:hAnsi="Verdana" w:cs="Times New Roman"/>
                <w:kern w:val="2"/>
                <w14:ligatures w14:val="standardContextual"/>
              </w:rPr>
              <w:tab/>
              <w:t>Sin embargo, en cuanto a los criterios a tener en cuenta para realizar tal designación, la Agencia Nacional de Contratación Pública – Colombia Compra Eficiente en la “Guía para el ejercicio de las funciones de supervisión e interventoría de los contratos suscritos por las Entidades Estatales” recomienda: a) se elija al funcionario público que pueda actuar como par del contratista; b) que tenga asignadas funciones relacionadas con el objeto contractual y; c) que de forma previa, se analice la carga operativa de este para no incurrir en el riesgo de que no pueda desempeñar la labor de forma adecuada.</w:t>
            </w:r>
          </w:p>
          <w:p w14:paraId="21A9C65C" w14:textId="77777777" w:rsidR="007E4168" w:rsidRPr="000A506C" w:rsidRDefault="007E4168" w:rsidP="006F41A4">
            <w:pPr>
              <w:spacing w:line="278" w:lineRule="auto"/>
              <w:jc w:val="both"/>
              <w:rPr>
                <w:rFonts w:ascii="Verdana" w:eastAsia="Aptos" w:hAnsi="Verdana" w:cs="Times New Roman"/>
                <w:kern w:val="2"/>
                <w14:ligatures w14:val="standardContextual"/>
              </w:rPr>
            </w:pPr>
          </w:p>
          <w:p w14:paraId="092B79D0" w14:textId="77777777" w:rsidR="007E4168" w:rsidRPr="000A506C" w:rsidRDefault="007E4168" w:rsidP="006F41A4">
            <w:pPr>
              <w:spacing w:after="120" w:line="276" w:lineRule="auto"/>
              <w:jc w:val="both"/>
              <w:rPr>
                <w:rFonts w:ascii="Verdana" w:eastAsia="Calibri" w:hAnsi="Verdana" w:cs="Arial"/>
                <w:color w:val="000000"/>
                <w:lang w:val="es-ES_tradnl"/>
              </w:rPr>
            </w:pPr>
            <w:proofErr w:type="spellStart"/>
            <w:r w:rsidRPr="000A506C">
              <w:rPr>
                <w:rFonts w:ascii="Verdana" w:eastAsia="Aptos" w:hAnsi="Verdana" w:cs="Times New Roman"/>
                <w:kern w:val="2"/>
                <w14:ligatures w14:val="standardContextual"/>
              </w:rPr>
              <w:t>iii</w:t>
            </w:r>
            <w:proofErr w:type="spellEnd"/>
            <w:r w:rsidRPr="000A506C">
              <w:rPr>
                <w:rFonts w:ascii="Verdana" w:eastAsia="Aptos" w:hAnsi="Verdana" w:cs="Times New Roman"/>
                <w:kern w:val="2"/>
                <w14:ligatures w14:val="standardContextual"/>
              </w:rPr>
              <w:t>) A</w:t>
            </w:r>
            <w:r w:rsidRPr="000A506C">
              <w:rPr>
                <w:rFonts w:ascii="Verdana" w:eastAsia="Calibri" w:hAnsi="Verdana" w:cs="Arial"/>
                <w:color w:val="000000"/>
                <w:lang w:val="es-ES_tradnl"/>
              </w:rPr>
              <w:t xml:space="preserve">l implicar el ejercicio de supervisión del contrato aspectos que, por lo general requieren el seguimiento técnico, administrativo, financiero, contable y jurídico, resulta razonable que las actividades de seguimiento sean distribuidas de acuerdo a la especialidad de los servidores públicos y mediante la asignación de apoyos a la supervisión. Lo anterior pretende que la vigilancia del contrato se realice de manera idónea y suficiente, con distribución equitativa de cargas y responsabilidades, en aplicación a los principios de </w:t>
            </w:r>
            <w:r w:rsidRPr="000A506C">
              <w:rPr>
                <w:rFonts w:ascii="Verdana" w:eastAsia="Calibri" w:hAnsi="Verdana" w:cs="Arial"/>
                <w:color w:val="000000"/>
                <w:lang w:val="es-ES_tradnl"/>
              </w:rPr>
              <w:lastRenderedPageBreak/>
              <w:t>coordinación y eficacia que rigen el ejercicio de la función administrativa. Estos principios son aplicables a la contratación estatal por disposición del artículo 23 de la Ley 80 de 1993.</w:t>
            </w:r>
          </w:p>
          <w:p w14:paraId="63ECD17D" w14:textId="77777777" w:rsidR="007E4168" w:rsidRPr="000A506C" w:rsidRDefault="007E4168" w:rsidP="006F41A4">
            <w:pPr>
              <w:spacing w:line="276" w:lineRule="auto"/>
              <w:ind w:firstLine="709"/>
              <w:jc w:val="both"/>
              <w:rPr>
                <w:rFonts w:ascii="Verdana" w:eastAsia="Calibri" w:hAnsi="Verdana" w:cs="Arial"/>
                <w:color w:val="000000"/>
                <w:lang w:val="es-ES"/>
              </w:rPr>
            </w:pPr>
            <w:r w:rsidRPr="7EC2092D">
              <w:rPr>
                <w:rFonts w:ascii="Verdana" w:eastAsia="Calibri" w:hAnsi="Verdana" w:cs="Arial"/>
                <w:color w:val="000000" w:themeColor="text1"/>
                <w:lang w:val="es-ES"/>
              </w:rPr>
              <w:t xml:space="preserve">Sin embargo, se aclara, que el SECOP II sólo permite la designación de un único supervisor, razón por la que en los procedimientos desarrollados en dicha plataforma no resulta posible dividir la labor de supervisor en más de una persona. En ese sentido, dado que estos procesos se desarrollan de manera totalmente transaccional al interior de la plataforma, es conveniente que se designe un único supervisor, sin perjuicio de la posibilidad de que este se apoye en otros funcionarios o contratistas, ni de la posibilidad de que en los procedimientos no desarrollados mediante el SECOP II se designe más de un supervisor, conforme a lo expuesto </w:t>
            </w:r>
            <w:r w:rsidRPr="7EC2092D">
              <w:rPr>
                <w:rFonts w:ascii="Verdana" w:eastAsia="Calibri" w:hAnsi="Verdana" w:cs="Arial"/>
                <w:i/>
                <w:iCs/>
                <w:color w:val="000000" w:themeColor="text1"/>
                <w:lang w:val="es-ES"/>
              </w:rPr>
              <w:t>supra</w:t>
            </w:r>
            <w:r w:rsidRPr="7EC2092D">
              <w:rPr>
                <w:rFonts w:ascii="Verdana" w:eastAsia="Calibri" w:hAnsi="Verdana" w:cs="Arial"/>
                <w:color w:val="000000" w:themeColor="text1"/>
                <w:lang w:val="es-ES"/>
              </w:rPr>
              <w:t>.</w:t>
            </w:r>
          </w:p>
          <w:p w14:paraId="0F2D99B4" w14:textId="77777777" w:rsidR="007E4168" w:rsidRPr="000A506C" w:rsidRDefault="007E4168" w:rsidP="006F41A4">
            <w:pPr>
              <w:spacing w:line="278" w:lineRule="auto"/>
              <w:jc w:val="both"/>
              <w:rPr>
                <w:rFonts w:ascii="Verdana" w:eastAsia="Aptos" w:hAnsi="Verdana" w:cs="Times New Roman"/>
                <w:kern w:val="2"/>
                <w14:ligatures w14:val="standardContextual"/>
              </w:rPr>
            </w:pPr>
          </w:p>
          <w:p w14:paraId="636E5A71" w14:textId="77777777" w:rsidR="007E4168" w:rsidRPr="000A506C" w:rsidRDefault="007E4168" w:rsidP="006F41A4">
            <w:pPr>
              <w:spacing w:line="276" w:lineRule="auto"/>
              <w:jc w:val="both"/>
              <w:rPr>
                <w:rFonts w:ascii="Verdana" w:eastAsia="Aptos" w:hAnsi="Verdana" w:cs="Times New Roman"/>
                <w:kern w:val="2"/>
                <w14:ligatures w14:val="standardContextual"/>
              </w:rPr>
            </w:pPr>
            <w:proofErr w:type="spellStart"/>
            <w:r w:rsidRPr="000A506C">
              <w:rPr>
                <w:rFonts w:ascii="Verdana" w:eastAsia="Aptos" w:hAnsi="Verdana" w:cs="Times New Roman"/>
                <w:kern w:val="2"/>
                <w14:ligatures w14:val="standardContextual"/>
              </w:rPr>
              <w:t>iv</w:t>
            </w:r>
            <w:proofErr w:type="spellEnd"/>
            <w:r w:rsidRPr="000A506C">
              <w:rPr>
                <w:rFonts w:ascii="Verdana" w:eastAsia="Aptos" w:hAnsi="Verdana" w:cs="Times New Roman"/>
                <w:kern w:val="2"/>
                <w14:ligatures w14:val="standardContextual"/>
              </w:rPr>
              <w:t xml:space="preserve">) Respecto de este asunto se destaca que, quienes ejerzan la función de supervisión e interventoría de los contratos estatales, tendrán, a la luz de lo dispuesto en el artículo 84 de la Ley 1474 de 2011, las siguientes facultades y deberes: i) podrán solicitar informes, aclaraciones y explicaciones sobre el desarrollo de la ejecución del contrato; </w:t>
            </w:r>
            <w:proofErr w:type="spellStart"/>
            <w:r w:rsidRPr="000A506C">
              <w:rPr>
                <w:rFonts w:ascii="Verdana" w:eastAsia="Aptos" w:hAnsi="Verdana" w:cs="Times New Roman"/>
                <w:kern w:val="2"/>
                <w14:ligatures w14:val="standardContextual"/>
              </w:rPr>
              <w:t>ii</w:t>
            </w:r>
            <w:proofErr w:type="spellEnd"/>
            <w:r w:rsidRPr="000A506C">
              <w:rPr>
                <w:rFonts w:ascii="Verdana" w:eastAsia="Aptos" w:hAnsi="Verdana" w:cs="Times New Roman"/>
                <w:kern w:val="2"/>
                <w14:ligatures w14:val="standardContextual"/>
              </w:rPr>
              <w:t xml:space="preserve">) deberán mantener informada a la Entidad Estatal contratante de los hechos o circunstancias que puedan constituir actos de corrupción tipificados como conductas punibles o que puedan poner en riesgo el cumplimiento del contrato; y, </w:t>
            </w:r>
            <w:proofErr w:type="spellStart"/>
            <w:r w:rsidRPr="000A506C">
              <w:rPr>
                <w:rFonts w:ascii="Verdana" w:eastAsia="Aptos" w:hAnsi="Verdana" w:cs="Times New Roman"/>
                <w:kern w:val="2"/>
                <w14:ligatures w14:val="standardContextual"/>
              </w:rPr>
              <w:t>iii</w:t>
            </w:r>
            <w:proofErr w:type="spellEnd"/>
            <w:r w:rsidRPr="000A506C">
              <w:rPr>
                <w:rFonts w:ascii="Verdana" w:eastAsia="Aptos" w:hAnsi="Verdana" w:cs="Times New Roman"/>
                <w:kern w:val="2"/>
                <w14:ligatures w14:val="standardContextual"/>
              </w:rPr>
              <w:t>) responderán disciplinariamente por la inobservancia de sus funciones, conforme a lo dispuesto en os numerales 6 y 7 del artículo 54 de la Ley 1952 de 2019 –Código General Disciplinario–.</w:t>
            </w:r>
          </w:p>
          <w:p w14:paraId="1B9088E7" w14:textId="77777777" w:rsidR="007E4168" w:rsidRPr="000A506C" w:rsidRDefault="007E4168" w:rsidP="006F41A4">
            <w:pPr>
              <w:spacing w:before="120" w:after="120" w:line="276" w:lineRule="auto"/>
              <w:ind w:firstLine="708"/>
              <w:jc w:val="both"/>
              <w:rPr>
                <w:rFonts w:ascii="Verdana" w:eastAsia="Calibri" w:hAnsi="Verdana" w:cs="Arial"/>
                <w:bCs/>
                <w:color w:val="000000"/>
              </w:rPr>
            </w:pPr>
            <w:r w:rsidRPr="000A506C">
              <w:rPr>
                <w:rFonts w:ascii="Verdana" w:eastAsia="Aptos" w:hAnsi="Verdana" w:cs="Arial"/>
                <w:bCs/>
                <w:lang w:val="es-MX" w:eastAsia="es-ES_tradnl"/>
              </w:rPr>
              <w:t xml:space="preserve">Finalmente, </w:t>
            </w:r>
            <w:r w:rsidRPr="000A506C">
              <w:rPr>
                <w:rFonts w:ascii="Verdana" w:eastAsia="Calibri" w:hAnsi="Verdana" w:cs="Arial"/>
                <w:bCs/>
                <w:color w:val="000000"/>
              </w:rPr>
              <w:t xml:space="preserve">debe advertirse que el análisis requerido para resolver problemas específicos en torno </w:t>
            </w:r>
            <w:r w:rsidRPr="000A506C">
              <w:rPr>
                <w:rFonts w:ascii="Verdana" w:eastAsia="Calibri" w:hAnsi="Verdana" w:cs="Arial"/>
              </w:rPr>
              <w:t xml:space="preserve">a la designación de los supervisores de los contratos que suscriban las Entidades Estatales, </w:t>
            </w:r>
            <w:r w:rsidRPr="000A506C">
              <w:rPr>
                <w:rFonts w:ascii="Verdana" w:eastAsia="Calibri" w:hAnsi="Verdana" w:cs="Arial"/>
                <w:bCs/>
                <w:color w:val="000000"/>
              </w:rPr>
              <w:t>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tc>
      </w:tr>
      <w:bookmarkEnd w:id="2"/>
    </w:tbl>
    <w:p w14:paraId="568AB771" w14:textId="77777777" w:rsidR="007E4168" w:rsidRPr="000A506C" w:rsidRDefault="007E4168" w:rsidP="007E4168">
      <w:pPr>
        <w:widowControl w:val="0"/>
        <w:autoSpaceDE w:val="0"/>
        <w:autoSpaceDN w:val="0"/>
        <w:spacing w:before="1" w:after="0" w:line="240" w:lineRule="auto"/>
        <w:ind w:left="360" w:hanging="360"/>
        <w:outlineLvl w:val="0"/>
        <w:rPr>
          <w:rFonts w:ascii="Verdana" w:eastAsia="Arial" w:hAnsi="Verdana" w:cs="Arial"/>
          <w:b/>
        </w:rPr>
      </w:pPr>
    </w:p>
    <w:p w14:paraId="22AC57F9" w14:textId="77777777" w:rsidR="007E4168" w:rsidRPr="000A506C" w:rsidRDefault="007E4168" w:rsidP="007E4168">
      <w:pPr>
        <w:widowControl w:val="0"/>
        <w:autoSpaceDE w:val="0"/>
        <w:autoSpaceDN w:val="0"/>
        <w:spacing w:before="1" w:after="0" w:line="240" w:lineRule="auto"/>
        <w:ind w:left="360" w:hanging="360"/>
        <w:outlineLvl w:val="0"/>
        <w:rPr>
          <w:rFonts w:ascii="Verdana" w:eastAsia="Arial" w:hAnsi="Verdana" w:cs="Arial"/>
          <w:b/>
          <w:bCs/>
          <w:lang w:val="es-ES"/>
        </w:rPr>
      </w:pPr>
      <w:r w:rsidRPr="000A506C">
        <w:rPr>
          <w:rFonts w:ascii="Verdana" w:eastAsia="Arial" w:hAnsi="Verdana" w:cs="Arial"/>
          <w:b/>
          <w:bCs/>
          <w:lang w:val="es-ES"/>
        </w:rPr>
        <w:lastRenderedPageBreak/>
        <w:t>3. Razones de la respuesta</w:t>
      </w:r>
    </w:p>
    <w:p w14:paraId="48B7B0D7" w14:textId="77777777" w:rsidR="007E4168" w:rsidRPr="000A506C" w:rsidRDefault="007E4168" w:rsidP="007E4168">
      <w:pPr>
        <w:spacing w:after="0" w:line="276" w:lineRule="auto"/>
        <w:jc w:val="both"/>
        <w:rPr>
          <w:rFonts w:ascii="Verdana" w:eastAsia="Calibri" w:hAnsi="Verdana" w:cs="Arial"/>
          <w:lang w:val="es-ES"/>
        </w:rPr>
      </w:pPr>
    </w:p>
    <w:p w14:paraId="4A080996" w14:textId="77777777" w:rsidR="007E4168" w:rsidRPr="000A506C" w:rsidRDefault="007E4168" w:rsidP="007E4168">
      <w:pPr>
        <w:spacing w:after="0" w:line="276" w:lineRule="auto"/>
        <w:jc w:val="both"/>
        <w:rPr>
          <w:rFonts w:ascii="Verdana" w:eastAsia="Calibri" w:hAnsi="Verdana" w:cs="Arial"/>
          <w:lang w:val="es-ES"/>
        </w:rPr>
      </w:pPr>
      <w:r w:rsidRPr="000A506C">
        <w:rPr>
          <w:rFonts w:ascii="Verdana" w:eastAsia="Calibri" w:hAnsi="Verdana" w:cs="Arial"/>
          <w:lang w:val="es-ES"/>
        </w:rPr>
        <w:t xml:space="preserve">Las respuestas anteriores se sustentan en las siguientes consideraciones: </w:t>
      </w:r>
    </w:p>
    <w:p w14:paraId="3164A565" w14:textId="77777777" w:rsidR="007E4168" w:rsidRPr="000A506C" w:rsidRDefault="007E4168" w:rsidP="007E4168">
      <w:pPr>
        <w:spacing w:after="0" w:line="276" w:lineRule="auto"/>
        <w:jc w:val="both"/>
        <w:rPr>
          <w:rFonts w:ascii="Verdana" w:eastAsia="Calibri" w:hAnsi="Verdana" w:cs="Arial"/>
          <w:lang w:val="es-ES"/>
        </w:rPr>
      </w:pPr>
    </w:p>
    <w:p w14:paraId="7D29EEBA" w14:textId="77777777" w:rsidR="007E4168" w:rsidRPr="000A506C" w:rsidRDefault="007E4168" w:rsidP="007E4168">
      <w:pPr>
        <w:tabs>
          <w:tab w:val="left" w:pos="284"/>
        </w:tabs>
        <w:spacing w:after="120" w:line="276" w:lineRule="auto"/>
        <w:jc w:val="both"/>
        <w:rPr>
          <w:rFonts w:ascii="Verdana" w:eastAsia="Calibri" w:hAnsi="Verdana" w:cs="Arial"/>
          <w:bCs/>
          <w:lang w:eastAsia="es-MX"/>
        </w:rPr>
      </w:pPr>
      <w:r w:rsidRPr="000A506C">
        <w:rPr>
          <w:rFonts w:ascii="Verdana" w:eastAsia="Calibri" w:hAnsi="Verdana" w:cs="Arial"/>
          <w:bCs/>
          <w:lang w:eastAsia="es-MX"/>
        </w:rPr>
        <w:t>A través de la actividad contractual, el Estado adquiere bienes, obras y servicios para cumplir los fines que le impone el ordenamiento jurídico, garantizando así la continua y eficiente prestación de los servicios públicos y la efectividad de los derechos e intereses de los administrados</w:t>
      </w:r>
      <w:r w:rsidRPr="000A506C">
        <w:rPr>
          <w:rFonts w:ascii="Verdana" w:eastAsia="Aptos" w:hAnsi="Verdana" w:cs="Arial"/>
          <w:vertAlign w:val="superscript"/>
        </w:rPr>
        <w:footnoteReference w:id="1"/>
      </w:r>
      <w:r w:rsidRPr="000A506C">
        <w:rPr>
          <w:rFonts w:ascii="Verdana" w:eastAsia="Calibri" w:hAnsi="Verdana" w:cs="Arial"/>
          <w:bCs/>
          <w:lang w:eastAsia="es-MX"/>
        </w:rPr>
        <w:t xml:space="preserve">. Para la garantía de los fines de interés general involucrados en la contratación de las Entidades Estatales, el Estatuto General de Contratación de la Administración Pública –en adelante EGCAP– dispone que, en la etapa de ejecución del contrato, las Entidades Estatales y los servidores públicos que participan en ella tienen la obligación de controlar y vigilar la correcta ejecución del objeto contratado. Con esto se busca que las finalidades perseguidas con la celebración de los contratos estatales se logren de manera satisfactoria. </w:t>
      </w:r>
    </w:p>
    <w:p w14:paraId="4CB84A02" w14:textId="77777777" w:rsidR="007E4168" w:rsidRPr="000A506C" w:rsidRDefault="007E4168" w:rsidP="007E4168">
      <w:pPr>
        <w:spacing w:line="276" w:lineRule="auto"/>
        <w:ind w:firstLine="708"/>
        <w:jc w:val="both"/>
        <w:rPr>
          <w:rFonts w:ascii="Verdana" w:eastAsia="Aptos" w:hAnsi="Verdana" w:cs="Arial"/>
          <w:lang w:val="es-ES_tradnl" w:eastAsia="es-MX"/>
        </w:rPr>
      </w:pPr>
      <w:r w:rsidRPr="000A506C">
        <w:rPr>
          <w:rFonts w:ascii="Verdana" w:eastAsia="Aptos" w:hAnsi="Verdana" w:cs="Arial"/>
          <w:bCs/>
          <w:lang w:eastAsia="es-MX"/>
        </w:rPr>
        <w:t xml:space="preserve">Así, por ejemplo, </w:t>
      </w:r>
      <w:r w:rsidRPr="000A506C">
        <w:rPr>
          <w:rFonts w:ascii="Verdana" w:eastAsia="Calibri" w:hAnsi="Verdana" w:cs="Arial"/>
          <w:shd w:val="clear" w:color="auto" w:fill="FFFFFF"/>
        </w:rPr>
        <w:t>la Ley 80 de 1993 establece en sus artículos 4, 5, 12, 14 y 26, entre otros aspectos, la obligación de las Entidades Estatales de velar por el correcto y oportuno cumplimiento de las prestaciones del contrato, las especificaciones de los bienes, obras y servicios de este,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su adecuado cumplimiento.</w:t>
      </w:r>
    </w:p>
    <w:p w14:paraId="54FC130E" w14:textId="77777777" w:rsidR="007E4168" w:rsidRPr="000A506C" w:rsidRDefault="007E4168" w:rsidP="007E4168">
      <w:pPr>
        <w:spacing w:after="0" w:line="276" w:lineRule="auto"/>
        <w:ind w:firstLine="708"/>
        <w:jc w:val="both"/>
        <w:textAlignment w:val="baseline"/>
        <w:rPr>
          <w:rFonts w:ascii="Verdana" w:eastAsia="Aptos" w:hAnsi="Verdana" w:cs="Arial"/>
          <w:lang w:val="es-ES_tradnl" w:eastAsia="es-MX"/>
        </w:rPr>
      </w:pPr>
      <w:r w:rsidRPr="000A506C">
        <w:rPr>
          <w:rFonts w:ascii="Verdana" w:eastAsia="Aptos" w:hAnsi="Verdana" w:cs="Arial"/>
          <w:lang w:val="es-ES_tradnl" w:eastAsia="es-MX"/>
        </w:rPr>
        <w:t>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 que se debe respetar en el ejercicio del control y vigilancia de la ejecución contractual</w:t>
      </w:r>
      <w:r w:rsidRPr="000A506C">
        <w:rPr>
          <w:rFonts w:ascii="Verdana" w:eastAsia="Aptos" w:hAnsi="Verdana" w:cs="Arial"/>
          <w:vertAlign w:val="superscript"/>
          <w:lang w:val="es-ES_tradnl" w:eastAsia="es-MX"/>
        </w:rPr>
        <w:footnoteReference w:id="2"/>
      </w:r>
      <w:r w:rsidRPr="000A506C">
        <w:rPr>
          <w:rFonts w:ascii="Verdana" w:eastAsia="Aptos" w:hAnsi="Verdana" w:cs="Arial"/>
          <w:lang w:val="es-ES_tradnl" w:eastAsia="es-MX"/>
        </w:rPr>
        <w:t xml:space="preserve">. También se establecen los límites de la responsabilidad del representante legal ante la delegación de sus </w:t>
      </w:r>
      <w:r w:rsidRPr="000A506C">
        <w:rPr>
          <w:rFonts w:ascii="Verdana" w:eastAsia="Aptos" w:hAnsi="Verdana" w:cs="Arial"/>
          <w:lang w:val="es-ES_tradnl" w:eastAsia="es-MX"/>
        </w:rPr>
        <w:lastRenderedPageBreak/>
        <w:t>funciones en materia contractual</w:t>
      </w:r>
      <w:r w:rsidRPr="000A506C">
        <w:rPr>
          <w:rFonts w:ascii="Verdana" w:eastAsia="Aptos" w:hAnsi="Verdana" w:cs="Arial"/>
          <w:vertAlign w:val="superscript"/>
          <w:lang w:val="es-ES_tradnl" w:eastAsia="es-MX"/>
        </w:rPr>
        <w:footnoteReference w:id="3"/>
      </w:r>
      <w:r w:rsidRPr="000A506C">
        <w:rPr>
          <w:rFonts w:ascii="Verdana" w:eastAsia="Aptos" w:hAnsi="Verdana" w:cs="Arial"/>
          <w:lang w:val="es-ES_tradnl" w:eastAsia="es-MX"/>
        </w:rPr>
        <w:t xml:space="preserve"> y se regula la supervisión y la interventoría de los contratos estatales</w:t>
      </w:r>
      <w:r w:rsidRPr="000A506C">
        <w:rPr>
          <w:rFonts w:ascii="Verdana" w:eastAsia="Aptos" w:hAnsi="Verdana" w:cs="Arial"/>
          <w:vertAlign w:val="superscript"/>
          <w:lang w:val="es-ES_tradnl" w:eastAsia="es-MX"/>
        </w:rPr>
        <w:footnoteReference w:id="4"/>
      </w:r>
      <w:r w:rsidRPr="000A506C">
        <w:rPr>
          <w:rFonts w:ascii="Verdana" w:eastAsia="Aptos" w:hAnsi="Verdana" w:cs="Arial"/>
          <w:lang w:val="es-ES_tradnl" w:eastAsia="es-MX"/>
        </w:rPr>
        <w:t>.</w:t>
      </w:r>
    </w:p>
    <w:p w14:paraId="6573E23D" w14:textId="77777777" w:rsidR="007E4168" w:rsidRPr="000A506C" w:rsidRDefault="007E4168" w:rsidP="007E4168">
      <w:pPr>
        <w:spacing w:before="120" w:after="0" w:line="276" w:lineRule="auto"/>
        <w:ind w:firstLine="708"/>
        <w:jc w:val="both"/>
        <w:textAlignment w:val="baseline"/>
        <w:rPr>
          <w:rFonts w:ascii="Verdana" w:eastAsia="Aptos" w:hAnsi="Verdana" w:cs="Arial"/>
          <w:lang w:val="es-ES_tradnl" w:eastAsia="es-MX"/>
        </w:rPr>
      </w:pPr>
      <w:r w:rsidRPr="000A506C">
        <w:rPr>
          <w:rFonts w:ascii="Verdana" w:eastAsia="Aptos" w:hAnsi="Verdana" w:cs="Arial"/>
          <w:lang w:val="es-ES_tradnl" w:eastAsia="es-MX"/>
        </w:rPr>
        <w:t xml:space="preserve">En consecuencia, se tiene que, la jurisprudencia contencioso-administrativa, por su parte, ha considerado que la obligación de vigilar la correcta ejecución del objeto contractual es una función de la entidad contratante, en los siguientes términos: </w:t>
      </w:r>
    </w:p>
    <w:p w14:paraId="29BB3C6A" w14:textId="77777777" w:rsidR="007E4168" w:rsidRPr="000A506C" w:rsidRDefault="007E4168" w:rsidP="007E4168">
      <w:pPr>
        <w:spacing w:after="0"/>
        <w:ind w:left="709"/>
        <w:contextualSpacing/>
        <w:jc w:val="both"/>
        <w:rPr>
          <w:rFonts w:ascii="Verdana" w:eastAsia="Aptos" w:hAnsi="Verdana" w:cs="Arial"/>
          <w:lang w:val="es-ES_tradnl" w:eastAsia="es-MX"/>
        </w:rPr>
      </w:pPr>
    </w:p>
    <w:p w14:paraId="0F098AD3" w14:textId="77777777" w:rsidR="007E4168" w:rsidRPr="000A506C" w:rsidRDefault="007E4168" w:rsidP="007E4168">
      <w:pPr>
        <w:spacing w:after="0" w:line="240" w:lineRule="auto"/>
        <w:ind w:left="709" w:right="709"/>
        <w:contextualSpacing/>
        <w:jc w:val="both"/>
        <w:rPr>
          <w:rFonts w:ascii="Verdana" w:eastAsia="Aptos" w:hAnsi="Verdana" w:cs="Arial"/>
          <w:sz w:val="20"/>
          <w:szCs w:val="20"/>
          <w:lang w:val="es-ES_tradnl" w:eastAsia="es-MX"/>
        </w:rPr>
      </w:pPr>
      <w:bookmarkStart w:id="3" w:name="_Hlk178671999"/>
      <w:r w:rsidRPr="000A506C">
        <w:rPr>
          <w:rFonts w:ascii="Verdana" w:eastAsia="Aptos" w:hAnsi="Verdana" w:cs="Arial"/>
          <w:sz w:val="20"/>
          <w:szCs w:val="20"/>
          <w:lang w:val="es-ES_tradnl" w:eastAsia="es-MX"/>
        </w:rPr>
        <w:t>“La función de vigilancia y control del contrato estatal supone el cuidado y la supervisión, de forma tal que en ejercicio de esa función</w:t>
      </w:r>
      <w:bookmarkEnd w:id="3"/>
      <w:r w:rsidRPr="000A506C">
        <w:rPr>
          <w:rFonts w:ascii="Verdana" w:eastAsia="Aptos" w:hAnsi="Verdana" w:cs="Arial"/>
          <w:sz w:val="20"/>
          <w:szCs w:val="20"/>
          <w:lang w:val="es-ES_tradnl" w:eastAsia="es-MX"/>
        </w:rPr>
        <w:t>,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0A506C">
        <w:rPr>
          <w:rFonts w:ascii="Verdana" w:eastAsia="Aptos" w:hAnsi="Verdana" w:cs="Arial"/>
          <w:sz w:val="20"/>
          <w:szCs w:val="20"/>
          <w:vertAlign w:val="superscript"/>
          <w:lang w:val="es-ES_tradnl" w:eastAsia="es-MX"/>
        </w:rPr>
        <w:footnoteReference w:id="5"/>
      </w:r>
      <w:r w:rsidRPr="000A506C">
        <w:rPr>
          <w:rFonts w:ascii="Verdana" w:eastAsia="Aptos" w:hAnsi="Verdana" w:cs="Arial"/>
          <w:sz w:val="20"/>
          <w:szCs w:val="20"/>
          <w:lang w:val="es-ES_tradnl" w:eastAsia="es-MX"/>
        </w:rPr>
        <w:t>.</w:t>
      </w:r>
    </w:p>
    <w:p w14:paraId="7C1F6BBC" w14:textId="77777777" w:rsidR="007E4168" w:rsidRPr="000A506C" w:rsidRDefault="007E4168" w:rsidP="007E4168">
      <w:pPr>
        <w:spacing w:after="0"/>
        <w:ind w:left="720"/>
        <w:contextualSpacing/>
        <w:rPr>
          <w:rFonts w:ascii="Verdana" w:eastAsia="Aptos" w:hAnsi="Verdana" w:cs="Arial"/>
          <w:lang w:val="es-ES_tradnl" w:eastAsia="es-MX"/>
        </w:rPr>
      </w:pPr>
    </w:p>
    <w:p w14:paraId="5C74F625" w14:textId="77777777" w:rsidR="007E4168" w:rsidRPr="000A506C" w:rsidRDefault="007E4168" w:rsidP="007E4168">
      <w:pPr>
        <w:spacing w:after="0" w:line="276" w:lineRule="auto"/>
        <w:ind w:firstLine="708"/>
        <w:jc w:val="both"/>
        <w:textAlignment w:val="baseline"/>
        <w:rPr>
          <w:rFonts w:ascii="Verdana" w:eastAsia="Aptos" w:hAnsi="Verdana" w:cs="Arial"/>
          <w:lang w:eastAsia="es-MX"/>
        </w:rPr>
      </w:pPr>
      <w:r w:rsidRPr="000A506C">
        <w:rPr>
          <w:rFonts w:ascii="Verdana" w:eastAsia="Aptos" w:hAnsi="Verdana" w:cs="Arial"/>
          <w:lang w:eastAsia="es-MX"/>
        </w:rPr>
        <w:t xml:space="preserve">De esta forma,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El legislador además definió las nociones de supervisión e interventoría, como mecanismos que pueden usar las Entidades Estatales para vigilar el contrato, en estos términos: </w:t>
      </w:r>
    </w:p>
    <w:p w14:paraId="0E13C42F" w14:textId="77777777" w:rsidR="007E4168" w:rsidRPr="000A506C" w:rsidRDefault="007E4168" w:rsidP="007E4168">
      <w:pPr>
        <w:spacing w:after="0" w:line="276" w:lineRule="auto"/>
        <w:ind w:left="720"/>
        <w:contextualSpacing/>
        <w:jc w:val="both"/>
        <w:textAlignment w:val="baseline"/>
        <w:rPr>
          <w:rFonts w:ascii="Verdana" w:eastAsia="Aptos" w:hAnsi="Verdana" w:cs="Arial"/>
          <w:lang w:val="es-ES_tradnl" w:eastAsia="es-MX"/>
        </w:rPr>
      </w:pPr>
    </w:p>
    <w:p w14:paraId="2759F147" w14:textId="77777777" w:rsidR="007E4168" w:rsidRPr="000A506C" w:rsidRDefault="007E4168" w:rsidP="007E4168">
      <w:pPr>
        <w:spacing w:after="0" w:line="240" w:lineRule="auto"/>
        <w:ind w:left="709" w:right="709"/>
        <w:jc w:val="both"/>
        <w:textAlignment w:val="baseline"/>
        <w:rPr>
          <w:rFonts w:ascii="Verdana" w:eastAsia="Aptos" w:hAnsi="Verdana" w:cs="Arial"/>
          <w:sz w:val="20"/>
          <w:szCs w:val="20"/>
          <w:lang w:val="es-ES" w:eastAsia="es-MX"/>
        </w:rPr>
      </w:pPr>
      <w:r w:rsidRPr="000A506C">
        <w:rPr>
          <w:rFonts w:ascii="Verdana" w:eastAsia="Aptos" w:hAnsi="Verdana" w:cs="Arial"/>
          <w:sz w:val="20"/>
          <w:szCs w:val="20"/>
          <w:lang w:val="es-ES" w:eastAsia="es-MX"/>
        </w:rPr>
        <w:t xml:space="preserve">“La supervisión consistirá en el seguimiento técnico, administrativo, financiero, contable, y jurídico </w:t>
      </w:r>
      <w:proofErr w:type="gramStart"/>
      <w:r w:rsidRPr="000A506C">
        <w:rPr>
          <w:rFonts w:ascii="Verdana" w:eastAsia="Aptos" w:hAnsi="Verdana" w:cs="Arial"/>
          <w:sz w:val="20"/>
          <w:szCs w:val="20"/>
          <w:lang w:val="es-ES" w:eastAsia="es-MX"/>
        </w:rPr>
        <w:t>que</w:t>
      </w:r>
      <w:proofErr w:type="gramEnd"/>
      <w:r w:rsidRPr="000A506C">
        <w:rPr>
          <w:rFonts w:ascii="Verdana" w:eastAsia="Aptos" w:hAnsi="Verdana" w:cs="Arial"/>
          <w:sz w:val="20"/>
          <w:szCs w:val="20"/>
          <w:lang w:val="es-ES" w:eastAsia="es-MX"/>
        </w:rPr>
        <w:t xml:space="preserve"> sobre el cumplimiento del objeto del contrato, es ejercida por la misma entidad estatal cuando no requieran conocimientos especializados. Para la supervisión, la entidad estatal podrá contratar personal de apoyo, a través de los contratos de prestación de servicio que sean requeridos.</w:t>
      </w:r>
    </w:p>
    <w:p w14:paraId="4089FF18" w14:textId="77777777" w:rsidR="007E4168" w:rsidRPr="000A506C" w:rsidRDefault="007E4168" w:rsidP="007E4168">
      <w:pPr>
        <w:spacing w:after="0" w:line="240" w:lineRule="auto"/>
        <w:ind w:left="709" w:right="709"/>
        <w:jc w:val="both"/>
        <w:textAlignment w:val="baseline"/>
        <w:rPr>
          <w:rFonts w:ascii="Verdana" w:eastAsia="Aptos" w:hAnsi="Verdana" w:cs="Arial"/>
          <w:sz w:val="20"/>
          <w:szCs w:val="20"/>
          <w:lang w:val="es-ES" w:eastAsia="es-MX"/>
        </w:rPr>
      </w:pPr>
    </w:p>
    <w:p w14:paraId="090C0E71" w14:textId="77777777" w:rsidR="007E4168" w:rsidRPr="000A506C" w:rsidRDefault="007E4168" w:rsidP="007E4168">
      <w:pPr>
        <w:spacing w:after="0" w:line="240" w:lineRule="auto"/>
        <w:ind w:left="709" w:right="709"/>
        <w:jc w:val="both"/>
        <w:textAlignment w:val="baseline"/>
        <w:rPr>
          <w:rFonts w:ascii="Verdana" w:eastAsia="Aptos" w:hAnsi="Verdana" w:cs="Arial"/>
          <w:sz w:val="20"/>
          <w:szCs w:val="20"/>
          <w:lang w:val="es-ES" w:eastAsia="es-MX"/>
        </w:rPr>
      </w:pPr>
      <w:r w:rsidRPr="000A506C">
        <w:rPr>
          <w:rFonts w:ascii="Verdana" w:eastAsia="Aptos" w:hAnsi="Verdana" w:cs="Arial"/>
          <w:sz w:val="20"/>
          <w:szCs w:val="20"/>
          <w:lang w:val="es-ES" w:eastAsia="es-MX"/>
        </w:rPr>
        <w:lastRenderedPageBreak/>
        <w:t>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del mismo lo justifiquen. No obstante, lo anterior cuando la entidad lo encuentre justificado y acorde a la naturaleza del contrato principal, podrá contratar el seguimiento administrativo, técnico, financiero, contable, jurídico del objeto o contrato dentro de la interventoría”</w:t>
      </w:r>
      <w:r w:rsidRPr="000A506C">
        <w:rPr>
          <w:rFonts w:ascii="Verdana" w:eastAsia="Aptos" w:hAnsi="Verdana" w:cs="Arial"/>
          <w:sz w:val="20"/>
          <w:szCs w:val="20"/>
          <w:vertAlign w:val="superscript"/>
          <w:lang w:val="es-ES" w:eastAsia="es-MX"/>
        </w:rPr>
        <w:footnoteReference w:id="6"/>
      </w:r>
      <w:r w:rsidRPr="000A506C">
        <w:rPr>
          <w:rFonts w:ascii="Verdana" w:eastAsia="Aptos" w:hAnsi="Verdana" w:cs="Arial"/>
          <w:sz w:val="20"/>
          <w:szCs w:val="20"/>
          <w:lang w:val="es-ES" w:eastAsia="es-MX"/>
        </w:rPr>
        <w:t>.</w:t>
      </w:r>
    </w:p>
    <w:p w14:paraId="2E92CCE9" w14:textId="77777777" w:rsidR="007E4168" w:rsidRPr="000A506C" w:rsidRDefault="007E4168" w:rsidP="007E4168">
      <w:pPr>
        <w:spacing w:after="0" w:line="276" w:lineRule="auto"/>
        <w:jc w:val="both"/>
        <w:textAlignment w:val="baseline"/>
        <w:rPr>
          <w:rFonts w:ascii="Verdana" w:eastAsia="Aptos" w:hAnsi="Verdana" w:cs="Arial"/>
          <w:lang w:eastAsia="es-MX"/>
        </w:rPr>
      </w:pPr>
    </w:p>
    <w:p w14:paraId="50CBC18A" w14:textId="77777777" w:rsidR="007E4168" w:rsidRPr="000A506C" w:rsidRDefault="007E4168" w:rsidP="007E4168">
      <w:pPr>
        <w:tabs>
          <w:tab w:val="left" w:pos="709"/>
        </w:tabs>
        <w:spacing w:after="0" w:line="276" w:lineRule="auto"/>
        <w:jc w:val="both"/>
        <w:rPr>
          <w:rFonts w:ascii="Verdana" w:eastAsia="Calibri" w:hAnsi="Verdana" w:cs="Arial"/>
          <w:shd w:val="clear" w:color="auto" w:fill="FFFFFF"/>
        </w:rPr>
      </w:pPr>
      <w:r w:rsidRPr="000A506C">
        <w:rPr>
          <w:rFonts w:ascii="Verdana" w:eastAsia="Aptos" w:hAnsi="Verdana" w:cs="Arial"/>
          <w:bCs/>
        </w:rPr>
        <w:tab/>
        <w:t>Sin perjuicio de lo anterior, según lo expresado por esta Agencia en el concepto No. 4201913000008240 del 20 de diciembre de 2019,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w:t>
      </w:r>
      <w:r w:rsidRPr="000A506C">
        <w:rPr>
          <w:rFonts w:ascii="Verdana" w:eastAsia="Aptos" w:hAnsi="Verdana" w:cs="Arial"/>
          <w:bCs/>
          <w:vertAlign w:val="superscript"/>
        </w:rPr>
        <w:footnoteReference w:id="7"/>
      </w:r>
      <w:r w:rsidRPr="000A506C">
        <w:rPr>
          <w:rFonts w:ascii="Verdana" w:eastAsia="Aptos" w:hAnsi="Verdana" w:cs="Arial"/>
          <w:bCs/>
        </w:rPr>
        <w:t xml:space="preserve">–; </w:t>
      </w:r>
      <w:proofErr w:type="spellStart"/>
      <w:r w:rsidRPr="000A506C">
        <w:rPr>
          <w:rFonts w:ascii="Verdana" w:eastAsia="Aptos" w:hAnsi="Verdana" w:cs="Arial"/>
          <w:bCs/>
        </w:rPr>
        <w:t>ii</w:t>
      </w:r>
      <w:proofErr w:type="spellEnd"/>
      <w:r w:rsidRPr="000A506C">
        <w:rPr>
          <w:rFonts w:ascii="Verdana" w:eastAsia="Aptos" w:hAnsi="Verdana" w:cs="Arial"/>
          <w:bCs/>
        </w:rPr>
        <w:t xml:space="preserve">) no requiere conocimientos tan especializados como la interventoría; </w:t>
      </w:r>
      <w:proofErr w:type="spellStart"/>
      <w:r w:rsidRPr="000A506C">
        <w:rPr>
          <w:rFonts w:ascii="Verdana" w:eastAsia="Aptos" w:hAnsi="Verdana" w:cs="Arial"/>
          <w:bCs/>
        </w:rPr>
        <w:t>iii</w:t>
      </w:r>
      <w:proofErr w:type="spellEnd"/>
      <w:r w:rsidRPr="000A506C">
        <w:rPr>
          <w:rFonts w:ascii="Verdana" w:eastAsia="Aptos" w:hAnsi="Verdana" w:cs="Arial"/>
          <w:bCs/>
        </w:rPr>
        <w:t xml:space="preserve">) se ejerce por la Entidad Estatal por conducto de la designación de servidores públicos idóneos para cumplir la función; </w:t>
      </w:r>
      <w:proofErr w:type="spellStart"/>
      <w:r w:rsidRPr="000A506C">
        <w:rPr>
          <w:rFonts w:ascii="Verdana" w:eastAsia="Aptos" w:hAnsi="Verdana" w:cs="Arial"/>
          <w:bCs/>
        </w:rPr>
        <w:t>iv</w:t>
      </w:r>
      <w:proofErr w:type="spellEnd"/>
      <w:r w:rsidRPr="000A506C">
        <w:rPr>
          <w:rFonts w:ascii="Verdana" w:eastAsia="Aptos" w:hAnsi="Verdana" w:cs="Arial"/>
          <w:bCs/>
        </w:rPr>
        <w:t xml:space="preserve">) puede recibir apoyo de personal contratado para tal fin mediante contratos de prestación de servicios; y v) le es inseparable el seguimiento técnico, administrativo, financiero, contable y jurídico del contrato vigilado. </w:t>
      </w:r>
      <w:r w:rsidRPr="000A506C">
        <w:rPr>
          <w:rFonts w:ascii="Verdana" w:eastAsia="Calibri" w:hAnsi="Verdana" w:cs="Arial"/>
          <w:shd w:val="clear" w:color="auto" w:fill="FFFFFF"/>
        </w:rPr>
        <w:t xml:space="preserve">En ese sentido, puede colegirse que la supervisión es uno de los medios para que las entidades ejerzan la dirección, control y vigilancia de sus contratos, con el fin de lograr el objeto contractual. </w:t>
      </w:r>
    </w:p>
    <w:p w14:paraId="33CC9C22" w14:textId="77777777" w:rsidR="007E4168" w:rsidRPr="000A506C" w:rsidRDefault="007E4168" w:rsidP="007E4168">
      <w:pPr>
        <w:tabs>
          <w:tab w:val="left" w:pos="709"/>
        </w:tabs>
        <w:snapToGrid w:val="0"/>
        <w:spacing w:before="120" w:after="0" w:line="276" w:lineRule="auto"/>
        <w:jc w:val="both"/>
        <w:rPr>
          <w:rFonts w:ascii="Verdana" w:eastAsia="Aptos" w:hAnsi="Verdana" w:cs="Arial"/>
          <w:bCs/>
        </w:rPr>
      </w:pPr>
      <w:r w:rsidRPr="000A506C">
        <w:rPr>
          <w:rFonts w:ascii="Verdana" w:eastAsia="Aptos" w:hAnsi="Verdana" w:cs="Arial"/>
          <w:bCs/>
          <w:lang w:val="es-ES"/>
        </w:rPr>
        <w:tab/>
        <w:t xml:space="preserve">Por otro lado, </w:t>
      </w:r>
      <w:r w:rsidRPr="000A506C">
        <w:rPr>
          <w:rFonts w:ascii="Verdana" w:eastAsia="Aptos" w:hAnsi="Verdana" w:cs="Arial"/>
          <w:bCs/>
        </w:rPr>
        <w:t xml:space="preserve">la interventoría puede caracterizarse de la siguiente manera: i) es un mecanismo de vigilancia contingente en la medida que solo es obligatorio para el seguimiento de los contratos de obra adjudicados por licitación pública – numeral 1 del artículo 32 de la Ley 80 de 1993–; en los demás casos se requerirá cuando “el seguimiento del contrato suponga conocimiento especializado en la materia, o cuando la complejidad o la extensión del mismo lo justifique” –artículo 83 de la Ley 1474 de 2011–; </w:t>
      </w:r>
      <w:proofErr w:type="spellStart"/>
      <w:r w:rsidRPr="000A506C">
        <w:rPr>
          <w:rFonts w:ascii="Verdana" w:eastAsia="Aptos" w:hAnsi="Verdana" w:cs="Arial"/>
          <w:bCs/>
        </w:rPr>
        <w:t>ii</w:t>
      </w:r>
      <w:proofErr w:type="spellEnd"/>
      <w:r w:rsidRPr="000A506C">
        <w:rPr>
          <w:rFonts w:ascii="Verdana" w:eastAsia="Aptos" w:hAnsi="Verdana" w:cs="Arial"/>
          <w:bCs/>
        </w:rPr>
        <w:t xml:space="preserve">) es un mecanismo de vigilancia que exige, en su ejecución, la utilización de conocimientos especializados; </w:t>
      </w:r>
      <w:proofErr w:type="spellStart"/>
      <w:r w:rsidRPr="000A506C">
        <w:rPr>
          <w:rFonts w:ascii="Verdana" w:eastAsia="Aptos" w:hAnsi="Verdana" w:cs="Arial"/>
          <w:bCs/>
        </w:rPr>
        <w:t>iii</w:t>
      </w:r>
      <w:proofErr w:type="spellEnd"/>
      <w:r w:rsidRPr="000A506C">
        <w:rPr>
          <w:rFonts w:ascii="Verdana" w:eastAsia="Aptos" w:hAnsi="Verdana" w:cs="Arial"/>
          <w:bCs/>
        </w:rPr>
        <w:t xml:space="preserve">) por lo anterior, la Entidad Estatal contrata un experto, por </w:t>
      </w:r>
      <w:r w:rsidRPr="000A506C">
        <w:rPr>
          <w:rFonts w:ascii="Verdana" w:eastAsia="Aptos" w:hAnsi="Verdana" w:cs="Arial"/>
          <w:bCs/>
        </w:rPr>
        <w:lastRenderedPageBreak/>
        <w:t>regla general, mediante la modalidad de selección de concurso de méritos, al tratarse la interventoría de una especie del contrato de consultoría – numeral 2, inciso 2, del artículo 32 de la Ley 80 de 1993</w:t>
      </w:r>
      <w:r w:rsidRPr="000A506C">
        <w:rPr>
          <w:rFonts w:ascii="Verdana" w:eastAsia="Aptos" w:hAnsi="Verdana" w:cs="Times New Roman"/>
          <w:kern w:val="2"/>
          <w:vertAlign w:val="superscript"/>
          <w14:ligatures w14:val="standardContextual"/>
        </w:rPr>
        <w:footnoteReference w:id="8"/>
      </w:r>
      <w:r w:rsidRPr="000A506C">
        <w:rPr>
          <w:rFonts w:ascii="Verdana" w:eastAsia="Aptos" w:hAnsi="Verdana" w:cs="Arial"/>
          <w:bCs/>
        </w:rPr>
        <w:t xml:space="preserve">‒, de manera que la interventoría es realizada por “una persona natural o jurídica contratada para tal fin por la Entidad Estatal” –artículo 83 de la Ley 1474–; </w:t>
      </w:r>
      <w:proofErr w:type="spellStart"/>
      <w:r w:rsidRPr="000A506C">
        <w:rPr>
          <w:rFonts w:ascii="Verdana" w:eastAsia="Aptos" w:hAnsi="Verdana" w:cs="Arial"/>
          <w:bCs/>
        </w:rPr>
        <w:t>iv</w:t>
      </w:r>
      <w:proofErr w:type="spellEnd"/>
      <w:r w:rsidRPr="000A506C">
        <w:rPr>
          <w:rFonts w:ascii="Verdana" w:eastAsia="Aptos" w:hAnsi="Verdana" w:cs="Arial"/>
          <w:bCs/>
        </w:rPr>
        <w:t>)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–inciso 4 del artículo 83 de la Ley 1474 de 2011–, y finalmente, vi) el contrato de interventoría será supervisado directamente por la entidad – inciso 4 del artículo 83 de la Ley 1474 de 2011–.</w:t>
      </w:r>
    </w:p>
    <w:p w14:paraId="4B8E8564" w14:textId="77777777" w:rsidR="007E4168" w:rsidRPr="000A506C" w:rsidRDefault="007E4168" w:rsidP="007E4168">
      <w:pPr>
        <w:spacing w:before="120" w:after="120" w:line="276" w:lineRule="auto"/>
        <w:ind w:firstLine="709"/>
        <w:jc w:val="both"/>
        <w:rPr>
          <w:rFonts w:ascii="Verdana" w:eastAsia="Aptos" w:hAnsi="Verdana" w:cs="Arial"/>
        </w:rPr>
      </w:pPr>
      <w:r w:rsidRPr="000A506C">
        <w:rPr>
          <w:rFonts w:ascii="Verdana" w:eastAsia="Calibri" w:hAnsi="Verdana" w:cs="Arial"/>
          <w:color w:val="000000"/>
          <w:lang w:val="es-ES_tradnl"/>
        </w:rPr>
        <w:t>Ahora bien, debe precisarse que, la designación del supervisor de los contratos podrá realizarse por el representante legal de la Entidad Estatal o por el ordenador del gasto, en caso de que esta función se encuentre delegada conforme a las reglas dispuestas en el artículo 12 de la Ley 80 de 1993. D</w:t>
      </w:r>
      <w:proofErr w:type="spellStart"/>
      <w:r w:rsidRPr="000A506C">
        <w:rPr>
          <w:rFonts w:ascii="Verdana" w:eastAsia="Aptos" w:hAnsi="Verdana" w:cs="Arial"/>
        </w:rPr>
        <w:t>e</w:t>
      </w:r>
      <w:proofErr w:type="spellEnd"/>
      <w:r w:rsidRPr="000A506C">
        <w:rPr>
          <w:rFonts w:ascii="Verdana" w:eastAsia="Aptos" w:hAnsi="Verdana" w:cs="Arial"/>
        </w:rPr>
        <w:t xml:space="preserve"> acuerdo con la Ley 489 de 1998 la delegación es la transferencia del ejercicio de las funciones de las autoridades administrativas a sus colaboradores o a otras autoridades con funciones afines o complementarias. Por otro lado, la Ley 80 de 1993 establece que los jefes y los representantes legales de las Entidades Estatales pueden delegar total o parcialmente la competencia para celebrar contratos y realizar licitaciones, lo cual no los exonera de sus deberes de control y vigilancia de la actividad precontractual y contractual.</w:t>
      </w:r>
    </w:p>
    <w:p w14:paraId="35A01A48" w14:textId="77777777" w:rsidR="007E4168" w:rsidRPr="000A506C" w:rsidRDefault="007E4168" w:rsidP="007E4168">
      <w:pPr>
        <w:spacing w:after="120" w:line="276" w:lineRule="auto"/>
        <w:ind w:firstLine="709"/>
        <w:jc w:val="both"/>
        <w:rPr>
          <w:rFonts w:ascii="Verdana" w:eastAsia="Aptos" w:hAnsi="Verdana" w:cs="Arial"/>
          <w:lang w:val="es-MX"/>
        </w:rPr>
      </w:pPr>
      <w:r w:rsidRPr="000A506C">
        <w:rPr>
          <w:rFonts w:ascii="Verdana" w:eastAsia="Aptos" w:hAnsi="Verdana" w:cs="Arial"/>
          <w:lang w:val="es-MX"/>
        </w:rPr>
        <w:t xml:space="preserve">Si bien el ordenamiento jurídico consagra la figura de la delegación en materia contractual, la designación del supervisor de un contrato no es una delegación en los términos del artículo 9 de la Ley 489 de 1998 ni tampoco del artículo 12 de la Ley 80 de 1993. Lo anterior, dado que la función de supervisión es inherente al desempeño de las funciones ordinarias de los servidores públicos, como lo establece el artículo 83 de la Ley 1474 de 2011, y no es una función asignada exclusivamente al representante legal o al ordenador del gasto. En consecuencia, no es necesario emitir un acto administrativo mediante el cual el </w:t>
      </w:r>
      <w:r w:rsidRPr="000A506C">
        <w:rPr>
          <w:rFonts w:ascii="Verdana" w:eastAsia="Aptos" w:hAnsi="Verdana" w:cs="Arial"/>
          <w:lang w:val="es-MX"/>
        </w:rPr>
        <w:lastRenderedPageBreak/>
        <w:t xml:space="preserve">representante legal o el ordenador del gasto deleguen la función de supervisión del contrato. En todo caso, el representante legal o el ordenador del gasto de la Entidad Estatal, en el evento de que esta función se encuentre delegada, como responsables de la vigilancia y control de la ejecución del gasto y del contrato, deben designar al supervisor del mismo. </w:t>
      </w:r>
    </w:p>
    <w:p w14:paraId="5A1D0489" w14:textId="77777777" w:rsidR="007E4168" w:rsidRPr="000A506C" w:rsidRDefault="007E4168" w:rsidP="007E4168">
      <w:pPr>
        <w:spacing w:after="120" w:line="276" w:lineRule="auto"/>
        <w:ind w:firstLine="709"/>
        <w:jc w:val="both"/>
        <w:rPr>
          <w:rFonts w:ascii="Verdana" w:eastAsia="Aptos" w:hAnsi="Verdana" w:cs="Arial"/>
          <w:lang w:val="es-MX"/>
        </w:rPr>
      </w:pPr>
      <w:r w:rsidRPr="000A506C">
        <w:rPr>
          <w:rFonts w:ascii="Verdana" w:eastAsia="Aptos" w:hAnsi="Verdana" w:cs="Arial"/>
          <w:lang w:val="es-MX"/>
        </w:rPr>
        <w:t>Para tales efectos podrán definirse las funciones del supervisor en el pliego de condiciones, en una cláusula del contrato, en el manual de contratación o en el acto de la asignación de la función al servidor público escogido para ejercer la supervisión</w:t>
      </w:r>
      <w:r w:rsidRPr="000A506C">
        <w:rPr>
          <w:rFonts w:ascii="Verdana" w:eastAsia="Aptos" w:hAnsi="Verdana" w:cs="Arial"/>
          <w:vertAlign w:val="superscript"/>
          <w:lang w:val="es-MX"/>
        </w:rPr>
        <w:footnoteReference w:id="9"/>
      </w:r>
      <w:r w:rsidRPr="000A506C">
        <w:rPr>
          <w:rFonts w:ascii="Verdana" w:eastAsia="Aptos" w:hAnsi="Verdana" w:cs="Arial"/>
          <w:lang w:val="es-MX"/>
        </w:rPr>
        <w:t xml:space="preserve">. Así mismo, en todos los casos deberán informarse al funcionario designado como supervisor. La comunicación de la designación de un funcionario como supervisor siempre debe ser escrita, entendiéndose también como tal la que se hace a través de correo electrónico. En el evento en que la designación del supervisor se haga directamente en el contrato, debe enviarse copia del mismo al funcionario designado informando que va a ser el supervisor. Así mismo, en los procesos adelantados a través de la plataforma SECOP II se debe realizar la designación a través de la misma.  </w:t>
      </w:r>
    </w:p>
    <w:p w14:paraId="2643E772" w14:textId="77777777" w:rsidR="007E4168" w:rsidRPr="000A506C" w:rsidRDefault="007E4168" w:rsidP="007E4168">
      <w:pPr>
        <w:spacing w:before="120" w:after="120" w:line="276" w:lineRule="auto"/>
        <w:ind w:firstLine="709"/>
        <w:jc w:val="both"/>
        <w:rPr>
          <w:rFonts w:ascii="Verdana" w:eastAsia="Calibri" w:hAnsi="Verdana" w:cs="Arial"/>
          <w:color w:val="000000"/>
          <w:lang w:val="es-ES_tradnl"/>
        </w:rPr>
      </w:pPr>
      <w:r w:rsidRPr="000A506C">
        <w:rPr>
          <w:rFonts w:ascii="Verdana" w:eastAsia="Calibri" w:hAnsi="Verdana" w:cs="Arial"/>
          <w:color w:val="000000"/>
          <w:lang w:val="es-ES_tradnl"/>
        </w:rPr>
        <w:t>En ese sentido, en cuanto a los criterios a tener en cuenta para realizar tal designación, la Agencia Nacional de Contratación Pública – Colombia Compra Eficiente en la “Guía para el ejercicio de las funciones de supervisión e interventoría de los contratos suscritos por las Entidades Estatales” recomienda: a) se elija al funcionario público que pueda actuar como par del contratista; b) que tenga asignadas funciones relacionadas con el objeto contractual y; c) que de forma previa, se analice la carga operativa de este para no incurrir en el riesgo de que no pueda desempeñar la labor de forma adecuada.</w:t>
      </w:r>
    </w:p>
    <w:p w14:paraId="1612B491" w14:textId="77777777" w:rsidR="007E4168" w:rsidRPr="000A506C" w:rsidRDefault="007E4168" w:rsidP="007E4168">
      <w:pPr>
        <w:spacing w:before="120" w:after="120" w:line="276" w:lineRule="auto"/>
        <w:ind w:firstLine="709"/>
        <w:jc w:val="both"/>
        <w:rPr>
          <w:rFonts w:ascii="Verdana" w:eastAsia="Calibri" w:hAnsi="Verdana" w:cs="Arial"/>
          <w:color w:val="000000"/>
          <w:lang w:val="es-ES"/>
        </w:rPr>
      </w:pPr>
      <w:r w:rsidRPr="7EC2092D">
        <w:rPr>
          <w:rFonts w:ascii="Verdana" w:eastAsia="Calibri" w:hAnsi="Verdana" w:cs="Arial"/>
          <w:color w:val="000000" w:themeColor="text1"/>
          <w:lang w:val="es-ES"/>
        </w:rPr>
        <w:t xml:space="preserve">De otra parte, es importante señalar que, al implicar el ejercicio de supervisión del contrato aspectos que, por lo general requieren el seguimiento técnico, administrativo, financiero, contable y jurídico, resulta razonable que las actividades de seguimiento sean distribuidas de acuerdo a la especialidad de los servidores públicos y mediante la asignación de apoyos a la supervisión. Lo anterior pretende que la vigilancia del contrato se realice de manera idónea y suficiente, con distribución equitativa de cargas y responsabilidades, en aplicación a los principios de coordinación y eficacia que rigen el ejercicio de la </w:t>
      </w:r>
      <w:r w:rsidRPr="7EC2092D">
        <w:rPr>
          <w:rFonts w:ascii="Verdana" w:eastAsia="Calibri" w:hAnsi="Verdana" w:cs="Arial"/>
          <w:color w:val="000000" w:themeColor="text1"/>
          <w:lang w:val="es-ES"/>
        </w:rPr>
        <w:lastRenderedPageBreak/>
        <w:t>función administrativa. Estos principios son aplicables a la contratación estatal por disposición del artículo 23 de la Ley 80 de 1993.</w:t>
      </w:r>
    </w:p>
    <w:p w14:paraId="66A5E256" w14:textId="77777777" w:rsidR="007E4168" w:rsidRPr="000A506C" w:rsidRDefault="007E4168" w:rsidP="007E4168">
      <w:pPr>
        <w:spacing w:before="120" w:after="120" w:line="276" w:lineRule="auto"/>
        <w:ind w:firstLine="709"/>
        <w:jc w:val="both"/>
        <w:rPr>
          <w:rFonts w:ascii="Verdana" w:eastAsia="Calibri" w:hAnsi="Verdana" w:cs="Arial"/>
          <w:color w:val="000000"/>
          <w:lang w:val="es-ES_tradnl"/>
        </w:rPr>
      </w:pPr>
      <w:r w:rsidRPr="000A506C">
        <w:rPr>
          <w:rFonts w:ascii="Verdana" w:eastAsia="Calibri" w:hAnsi="Verdana" w:cs="Arial"/>
          <w:color w:val="000000"/>
          <w:lang w:val="es-ES_tradnl"/>
        </w:rPr>
        <w:t xml:space="preserve">Sin embargo, se aclara, que el SECOP II sólo permite la designación de un único supervisor, razón por la que en los procedimientos desarrollados en dicha plataforma no resulta posible dividir la labor de supervisor en más de una persona. En ese sentido, dado que estos procesos se desarrollan de manera totalmente transaccional al interior de la plataforma, es conveniente que se designe un único supervisor, sin perjuicio de la posibilidad de que este se apoye en otros funcionarios o contratistas, ni de la posibilidad de que en los procedimientos no desarrollados mediante el SECOP II se designe más de un supervisor, conforme a lo expuesto </w:t>
      </w:r>
      <w:r w:rsidRPr="000A506C">
        <w:rPr>
          <w:rFonts w:ascii="Verdana" w:eastAsia="Calibri" w:hAnsi="Verdana" w:cs="Arial"/>
          <w:i/>
          <w:iCs/>
          <w:color w:val="000000"/>
          <w:lang w:val="es-ES_tradnl"/>
        </w:rPr>
        <w:t>supra</w:t>
      </w:r>
      <w:r w:rsidRPr="000A506C">
        <w:rPr>
          <w:rFonts w:ascii="Verdana" w:eastAsia="Calibri" w:hAnsi="Verdana" w:cs="Arial"/>
          <w:color w:val="000000"/>
          <w:lang w:val="es-ES_tradnl"/>
        </w:rPr>
        <w:t>.</w:t>
      </w:r>
    </w:p>
    <w:p w14:paraId="04E8D7E9" w14:textId="77777777" w:rsidR="007E4168" w:rsidRPr="000A506C" w:rsidRDefault="007E4168" w:rsidP="007E4168">
      <w:pPr>
        <w:tabs>
          <w:tab w:val="left" w:pos="709"/>
        </w:tabs>
        <w:spacing w:before="120" w:after="0" w:line="276" w:lineRule="auto"/>
        <w:jc w:val="both"/>
        <w:rPr>
          <w:rFonts w:ascii="Verdana" w:eastAsia="Calibri" w:hAnsi="Verdana" w:cs="Arial"/>
          <w:shd w:val="clear" w:color="auto" w:fill="FFFFFF"/>
        </w:rPr>
      </w:pPr>
      <w:r w:rsidRPr="000A506C">
        <w:rPr>
          <w:rFonts w:ascii="Verdana" w:eastAsia="Calibri" w:hAnsi="Verdana" w:cs="Arial"/>
          <w:color w:val="000000"/>
          <w:lang w:val="es-ES_tradnl"/>
        </w:rPr>
        <w:tab/>
        <w:t>Adicionalmente</w:t>
      </w:r>
      <w:r w:rsidRPr="000A506C">
        <w:rPr>
          <w:rFonts w:ascii="Verdana" w:eastAsia="Calibri" w:hAnsi="Verdana" w:cs="Arial"/>
          <w:shd w:val="clear" w:color="auto" w:fill="FFFFFF"/>
        </w:rPr>
        <w:t xml:space="preserve">, se destaca que quienes ejerzan la función de supervisión e interventoría de los contratos estatales, tendrán, a la luz de lo dispuesto en el artículo 84 de la Ley 1474 de 2011, las siguientes facultades y deberes: i) podrán solicitar informes, aclaraciones y explicaciones sobre el desarrollo de la ejecución del contrato; </w:t>
      </w:r>
      <w:proofErr w:type="spellStart"/>
      <w:r w:rsidRPr="000A506C">
        <w:rPr>
          <w:rFonts w:ascii="Verdana" w:eastAsia="Calibri" w:hAnsi="Verdana" w:cs="Arial"/>
          <w:shd w:val="clear" w:color="auto" w:fill="FFFFFF"/>
        </w:rPr>
        <w:t>ii</w:t>
      </w:r>
      <w:proofErr w:type="spellEnd"/>
      <w:r w:rsidRPr="000A506C">
        <w:rPr>
          <w:rFonts w:ascii="Verdana" w:eastAsia="Calibri" w:hAnsi="Verdana" w:cs="Arial"/>
          <w:shd w:val="clear" w:color="auto" w:fill="FFFFFF"/>
        </w:rPr>
        <w:t xml:space="preserve">) deberán mantener informada a la Entidad Estatal contratante de los hechos o circunstancias que puedan constituir actos de corrupción tipificados como conductas punibles o que puedan poner en riesgo el cumplimiento del contrato; y, </w:t>
      </w:r>
      <w:proofErr w:type="spellStart"/>
      <w:r w:rsidRPr="000A506C">
        <w:rPr>
          <w:rFonts w:ascii="Verdana" w:eastAsia="Calibri" w:hAnsi="Verdana" w:cs="Arial"/>
          <w:shd w:val="clear" w:color="auto" w:fill="FFFFFF"/>
        </w:rPr>
        <w:t>iii</w:t>
      </w:r>
      <w:proofErr w:type="spellEnd"/>
      <w:r w:rsidRPr="000A506C">
        <w:rPr>
          <w:rFonts w:ascii="Verdana" w:eastAsia="Calibri" w:hAnsi="Verdana" w:cs="Arial"/>
          <w:shd w:val="clear" w:color="auto" w:fill="FFFFFF"/>
        </w:rPr>
        <w:t>) responderán disciplinariamente por la inobservancia de sus funciones, conforme a lo dispuesto en os numerales 6 y 7 del artículo 54 de la Ley 1952 de 2019 –Código General Disciplinario–.</w:t>
      </w:r>
    </w:p>
    <w:p w14:paraId="73AFB0E0" w14:textId="77777777" w:rsidR="007E4168" w:rsidRPr="000A506C" w:rsidRDefault="007E4168" w:rsidP="007E4168">
      <w:pPr>
        <w:spacing w:before="120" w:after="120" w:line="276" w:lineRule="auto"/>
        <w:ind w:firstLine="709"/>
        <w:jc w:val="both"/>
        <w:rPr>
          <w:rFonts w:ascii="Verdana" w:eastAsia="Calibri" w:hAnsi="Verdana" w:cs="Arial"/>
        </w:rPr>
      </w:pPr>
      <w:r w:rsidRPr="000A506C">
        <w:rPr>
          <w:rFonts w:ascii="Verdana" w:eastAsia="Calibri" w:hAnsi="Verdana" w:cs="Arial"/>
        </w:rPr>
        <w:t xml:space="preserve">Finalmente, debe advertirse que el análisis requerido para resolver problemas específicos en torno a la designación de los supervisores de los contratos que suscriban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36217A29" w14:textId="77777777" w:rsidR="007E4168" w:rsidRPr="000A506C" w:rsidRDefault="007E4168" w:rsidP="007E4168">
      <w:pPr>
        <w:spacing w:after="0" w:line="276" w:lineRule="auto"/>
        <w:ind w:firstLine="708"/>
        <w:jc w:val="both"/>
        <w:rPr>
          <w:rFonts w:ascii="Verdana" w:eastAsia="Calibri" w:hAnsi="Verdana" w:cs="Arial"/>
        </w:rPr>
      </w:pPr>
      <w:r w:rsidRPr="000A506C">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w:t>
      </w:r>
      <w:r w:rsidRPr="000A506C">
        <w:rPr>
          <w:rFonts w:ascii="Verdana" w:eastAsia="Calibri" w:hAnsi="Verdana" w:cs="Arial"/>
        </w:rPr>
        <w:lastRenderedPageBreak/>
        <w:t xml:space="preserve">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3D58493E" w14:textId="77777777" w:rsidR="007E4168" w:rsidRPr="000A506C" w:rsidRDefault="007E4168" w:rsidP="007E4168">
      <w:pPr>
        <w:spacing w:after="0" w:line="276" w:lineRule="auto"/>
        <w:jc w:val="both"/>
        <w:rPr>
          <w:rFonts w:ascii="Verdana" w:eastAsia="Calibri" w:hAnsi="Verdana" w:cs="Arial"/>
          <w:lang w:val="es-ES" w:eastAsia="es-CO"/>
        </w:rPr>
      </w:pPr>
    </w:p>
    <w:p w14:paraId="7EFE9AE6" w14:textId="77777777" w:rsidR="007E4168" w:rsidRPr="000A506C" w:rsidRDefault="007E4168" w:rsidP="007E4168">
      <w:pPr>
        <w:widowControl w:val="0"/>
        <w:autoSpaceDE w:val="0"/>
        <w:autoSpaceDN w:val="0"/>
        <w:spacing w:before="1" w:after="0" w:line="240" w:lineRule="auto"/>
        <w:outlineLvl w:val="0"/>
        <w:rPr>
          <w:rFonts w:ascii="Verdana" w:eastAsia="Arial" w:hAnsi="Verdana" w:cs="Arial"/>
          <w:b/>
          <w:bCs/>
          <w:lang w:val="es-ES"/>
        </w:rPr>
      </w:pPr>
      <w:r w:rsidRPr="000A506C">
        <w:rPr>
          <w:rFonts w:ascii="Verdana" w:eastAsia="Arial" w:hAnsi="Verdana" w:cs="Arial"/>
          <w:b/>
          <w:bCs/>
          <w:lang w:val="es-ES"/>
        </w:rPr>
        <w:t>4.Referencias normativas, jurisprudenciales y otras fuentes:</w:t>
      </w:r>
    </w:p>
    <w:p w14:paraId="08895F6C" w14:textId="77777777" w:rsidR="007E4168" w:rsidRPr="000A506C" w:rsidRDefault="007E4168" w:rsidP="007E4168">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E4168" w:rsidRPr="000A506C" w14:paraId="6C7A4115" w14:textId="77777777" w:rsidTr="006F41A4">
        <w:trPr>
          <w:trHeight w:val="870"/>
        </w:trPr>
        <w:tc>
          <w:tcPr>
            <w:tcW w:w="8647" w:type="dxa"/>
          </w:tcPr>
          <w:p w14:paraId="191E5B13" w14:textId="77777777" w:rsidR="007E4168" w:rsidRPr="000A506C" w:rsidRDefault="007E4168" w:rsidP="007E4168">
            <w:pPr>
              <w:widowControl w:val="0"/>
              <w:numPr>
                <w:ilvl w:val="0"/>
                <w:numId w:val="1"/>
              </w:numPr>
              <w:autoSpaceDE w:val="0"/>
              <w:autoSpaceDN w:val="0"/>
              <w:spacing w:after="120" w:line="276" w:lineRule="auto"/>
              <w:contextualSpacing/>
              <w:jc w:val="both"/>
              <w:rPr>
                <w:rFonts w:ascii="Verdana" w:eastAsia="Calibri" w:hAnsi="Verdana" w:cs="Arial"/>
                <w:lang w:val="es-ES"/>
              </w:rPr>
            </w:pPr>
            <w:r w:rsidRPr="000A506C">
              <w:rPr>
                <w:rFonts w:ascii="Verdana" w:eastAsia="Calibri" w:hAnsi="Verdana" w:cs="Arial"/>
                <w:lang w:val="es-ES"/>
              </w:rPr>
              <w:t>Ley 80 de 1993. Artículos 3, 5, 12, 14, 26 y 32</w:t>
            </w:r>
          </w:p>
          <w:p w14:paraId="3C989B27" w14:textId="77777777" w:rsidR="007E4168" w:rsidRPr="000A506C" w:rsidRDefault="007E4168" w:rsidP="007E4168">
            <w:pPr>
              <w:widowControl w:val="0"/>
              <w:numPr>
                <w:ilvl w:val="0"/>
                <w:numId w:val="1"/>
              </w:numPr>
              <w:autoSpaceDE w:val="0"/>
              <w:autoSpaceDN w:val="0"/>
              <w:spacing w:after="120" w:line="276" w:lineRule="auto"/>
              <w:contextualSpacing/>
              <w:jc w:val="both"/>
              <w:rPr>
                <w:rFonts w:ascii="Verdana" w:eastAsia="Calibri" w:hAnsi="Verdana" w:cs="Arial"/>
                <w:lang w:val="es-ES"/>
              </w:rPr>
            </w:pPr>
            <w:r w:rsidRPr="000A506C">
              <w:rPr>
                <w:rFonts w:ascii="Verdana" w:eastAsia="Calibri" w:hAnsi="Verdana" w:cs="Arial"/>
                <w:lang w:val="es-ES"/>
              </w:rPr>
              <w:t>Ley 1150 de 2007. Artículos 17 y 21</w:t>
            </w:r>
          </w:p>
          <w:p w14:paraId="45850A4C" w14:textId="77777777" w:rsidR="007E4168" w:rsidRPr="000A506C" w:rsidRDefault="007E4168" w:rsidP="007E4168">
            <w:pPr>
              <w:widowControl w:val="0"/>
              <w:numPr>
                <w:ilvl w:val="0"/>
                <w:numId w:val="1"/>
              </w:numPr>
              <w:autoSpaceDE w:val="0"/>
              <w:autoSpaceDN w:val="0"/>
              <w:spacing w:after="120" w:line="276" w:lineRule="auto"/>
              <w:contextualSpacing/>
              <w:jc w:val="both"/>
              <w:rPr>
                <w:rFonts w:ascii="Verdana" w:eastAsia="Calibri" w:hAnsi="Verdana" w:cs="Arial"/>
                <w:lang w:val="es-ES"/>
              </w:rPr>
            </w:pPr>
            <w:r w:rsidRPr="000A506C">
              <w:rPr>
                <w:rFonts w:ascii="Verdana" w:eastAsia="Calibri" w:hAnsi="Verdana" w:cs="Arial"/>
                <w:lang w:val="es-ES"/>
              </w:rPr>
              <w:t>Ley 1474 de 2011. Artículos 83, 84, 85 y 86</w:t>
            </w:r>
          </w:p>
          <w:p w14:paraId="1BE8EB5D" w14:textId="77777777" w:rsidR="007E4168" w:rsidRPr="000A506C" w:rsidRDefault="007E4168" w:rsidP="007E4168">
            <w:pPr>
              <w:widowControl w:val="0"/>
              <w:numPr>
                <w:ilvl w:val="0"/>
                <w:numId w:val="1"/>
              </w:numPr>
              <w:autoSpaceDE w:val="0"/>
              <w:autoSpaceDN w:val="0"/>
              <w:spacing w:line="276" w:lineRule="auto"/>
              <w:contextualSpacing/>
              <w:jc w:val="both"/>
              <w:rPr>
                <w:rFonts w:ascii="Verdana" w:eastAsia="Aptos" w:hAnsi="Verdana" w:cs="Arial"/>
              </w:rPr>
            </w:pPr>
            <w:r w:rsidRPr="000A506C">
              <w:rPr>
                <w:rFonts w:ascii="Verdana" w:eastAsia="Calibri" w:hAnsi="Verdana" w:cs="Arial"/>
                <w:lang w:val="es-ES"/>
              </w:rPr>
              <w:t xml:space="preserve">Colombia Compra Eficiente. Guía para el ejercicio de las funciones de Supervisión e Interventoría de los contratos suscritos por las Entidades Estatales, disponible </w:t>
            </w:r>
            <w:hyperlink r:id="rId12" w:history="1">
              <w:r w:rsidRPr="000A506C">
                <w:rPr>
                  <w:rFonts w:ascii="Verdana" w:eastAsia="Calibri" w:hAnsi="Verdana" w:cs="Arial"/>
                  <w:color w:val="0000FF"/>
                  <w:u w:val="single"/>
                  <w:lang w:val="es-ES"/>
                </w:rPr>
                <w:t>aquí</w:t>
              </w:r>
            </w:hyperlink>
          </w:p>
          <w:p w14:paraId="519A1BE3" w14:textId="77777777" w:rsidR="007E4168" w:rsidRPr="000A506C" w:rsidRDefault="007E4168" w:rsidP="007E4168">
            <w:pPr>
              <w:widowControl w:val="0"/>
              <w:numPr>
                <w:ilvl w:val="0"/>
                <w:numId w:val="1"/>
              </w:numPr>
              <w:autoSpaceDE w:val="0"/>
              <w:autoSpaceDN w:val="0"/>
              <w:spacing w:line="276" w:lineRule="auto"/>
              <w:contextualSpacing/>
              <w:jc w:val="both"/>
              <w:rPr>
                <w:rFonts w:ascii="Verdana" w:eastAsia="Aptos" w:hAnsi="Verdana" w:cs="Arial"/>
              </w:rPr>
            </w:pPr>
            <w:r w:rsidRPr="000A506C">
              <w:rPr>
                <w:rFonts w:ascii="Verdana" w:eastAsia="Aptos" w:hAnsi="Verdana" w:cs="Arial"/>
              </w:rPr>
              <w:t>Departamento Administrativo de la Función Pública. Concepto del 6 de mayo de 2019. Rad. 140.881.</w:t>
            </w:r>
          </w:p>
          <w:p w14:paraId="202CA9C9" w14:textId="77777777" w:rsidR="007E4168" w:rsidRPr="000A506C" w:rsidRDefault="007E4168" w:rsidP="006F41A4">
            <w:pPr>
              <w:ind w:left="360"/>
              <w:jc w:val="both"/>
              <w:rPr>
                <w:rFonts w:ascii="Verdana" w:eastAsia="Geomanist Light" w:hAnsi="Verdana" w:cs="Arial"/>
                <w:color w:val="000000"/>
                <w:lang w:val="es-MX"/>
              </w:rPr>
            </w:pPr>
            <w:r w:rsidRPr="000A506C">
              <w:rPr>
                <w:rFonts w:ascii="Verdana" w:eastAsia="Calibri" w:hAnsi="Verdana" w:cs="Arial"/>
                <w:lang w:val="es-ES"/>
              </w:rPr>
              <w:t xml:space="preserve">Consejo de Estado. Sección 3ª. Sentencia del 27 de noviembre de 2017. M.P. Jaime Orlando Santofimio. </w:t>
            </w:r>
            <w:proofErr w:type="spellStart"/>
            <w:r w:rsidRPr="000A506C">
              <w:rPr>
                <w:rFonts w:ascii="Verdana" w:eastAsia="Calibri" w:hAnsi="Verdana" w:cs="Arial"/>
                <w:lang w:val="es-ES"/>
              </w:rPr>
              <w:t>Exp</w:t>
            </w:r>
            <w:proofErr w:type="spellEnd"/>
            <w:r w:rsidRPr="000A506C">
              <w:rPr>
                <w:rFonts w:ascii="Verdana" w:eastAsia="Calibri" w:hAnsi="Verdana" w:cs="Arial"/>
                <w:lang w:val="es-ES"/>
              </w:rPr>
              <w:t>. 51.802</w:t>
            </w:r>
          </w:p>
        </w:tc>
      </w:tr>
    </w:tbl>
    <w:p w14:paraId="291FC442" w14:textId="77777777" w:rsidR="007E4168" w:rsidRPr="000A506C" w:rsidRDefault="007E4168" w:rsidP="007E4168">
      <w:pPr>
        <w:widowControl w:val="0"/>
        <w:autoSpaceDE w:val="0"/>
        <w:autoSpaceDN w:val="0"/>
        <w:spacing w:after="0" w:line="276" w:lineRule="auto"/>
        <w:jc w:val="both"/>
        <w:rPr>
          <w:rFonts w:ascii="Verdana" w:eastAsia="Aptos" w:hAnsi="Verdana" w:cs="Arial"/>
        </w:rPr>
      </w:pPr>
    </w:p>
    <w:p w14:paraId="42B8D4BE" w14:textId="77777777" w:rsidR="007E4168" w:rsidRPr="000A506C" w:rsidRDefault="007E4168" w:rsidP="007E4168">
      <w:pPr>
        <w:widowControl w:val="0"/>
        <w:autoSpaceDE w:val="0"/>
        <w:autoSpaceDN w:val="0"/>
        <w:spacing w:before="1" w:after="0" w:line="276" w:lineRule="auto"/>
        <w:outlineLvl w:val="0"/>
        <w:rPr>
          <w:rFonts w:ascii="Verdana" w:eastAsia="Arial" w:hAnsi="Verdana" w:cs="Arial"/>
          <w:b/>
          <w:bCs/>
          <w:lang w:val="es-ES"/>
        </w:rPr>
      </w:pPr>
      <w:r w:rsidRPr="000A506C">
        <w:rPr>
          <w:rFonts w:ascii="Verdana" w:eastAsia="Arial" w:hAnsi="Verdana" w:cs="Arial"/>
          <w:b/>
          <w:bCs/>
          <w:lang w:val="es-ES"/>
        </w:rPr>
        <w:t>5. Doctrina de la Agencia Nacional de Contratación Pública:</w:t>
      </w:r>
    </w:p>
    <w:p w14:paraId="47C662C7" w14:textId="77777777" w:rsidR="007E4168" w:rsidRPr="000A506C" w:rsidRDefault="007E4168" w:rsidP="007E4168">
      <w:pPr>
        <w:widowControl w:val="0"/>
        <w:autoSpaceDE w:val="0"/>
        <w:autoSpaceDN w:val="0"/>
        <w:spacing w:after="0" w:line="276" w:lineRule="auto"/>
        <w:jc w:val="both"/>
        <w:rPr>
          <w:rFonts w:ascii="Verdana" w:eastAsia="Aptos" w:hAnsi="Verdana" w:cs="Arial"/>
        </w:rPr>
      </w:pPr>
    </w:p>
    <w:p w14:paraId="20C83965" w14:textId="77777777" w:rsidR="007E4168" w:rsidRPr="000A506C" w:rsidRDefault="007E4168" w:rsidP="007E4168">
      <w:pPr>
        <w:jc w:val="both"/>
        <w:rPr>
          <w:rFonts w:ascii="Verdana" w:eastAsia="Aptos" w:hAnsi="Verdana" w:cs="Arial"/>
          <w:shd w:val="clear" w:color="auto" w:fill="FFFFFF"/>
          <w:lang w:val="es-ES"/>
        </w:rPr>
      </w:pPr>
      <w:r w:rsidRPr="000A506C">
        <w:rPr>
          <w:rFonts w:ascii="Verdana" w:eastAsia="Aptos" w:hAnsi="Verdana" w:cs="Arial"/>
          <w:shd w:val="clear" w:color="auto" w:fill="FFFFFF"/>
          <w:lang w:val="es-ES"/>
        </w:rPr>
        <w:t xml:space="preserve">Sobre la obligación de controlar y vigilar la ejecución de los contratos estatales, esta Subdirección se ha referido en los Conceptos </w:t>
      </w:r>
      <w:r w:rsidRPr="000A506C">
        <w:rPr>
          <w:rFonts w:ascii="Verdana" w:eastAsia="Calibri" w:hAnsi="Verdana" w:cs="Arial"/>
          <w:lang w:val="es-ES_tradnl" w:eastAsia="es-MX"/>
        </w:rPr>
        <w:t>radicado 4201913000004799 del 30 de agosto de 2019, 4201913000008240 del 20 de diciembre de 2019, C-064 del 28 de febrero de 2020, C-071 del 4 de marzo de 2020, C–077 del 18 de marzo de 2020, C–150 del 18 de marzo de 2020, C–134 del 30 de marzo de 2020, C–180 del 13 de abril de 2020, C-344 del 26 de mayo de 2020, C-414 del 30 de junio de 2021, C-506 de 3 de agosto de 2022, C-579 del 9 de septiembre de 2022, C-577 del 15 de septiembre de 2022,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w:t>
      </w:r>
      <w:r w:rsidRPr="000A506C">
        <w:rPr>
          <w:rFonts w:ascii="Verdana" w:eastAsia="Aptos" w:hAnsi="Verdana" w:cs="Arial"/>
          <w:shd w:val="clear" w:color="auto" w:fill="FFFFFF"/>
          <w:lang w:val="es-ES"/>
        </w:rPr>
        <w:t xml:space="preserve">, entre otros. </w:t>
      </w:r>
      <w:r w:rsidRPr="000A506C">
        <w:rPr>
          <w:rFonts w:ascii="Verdana" w:eastAsia="Calibri" w:hAnsi="Verdana" w:cs="Arial"/>
          <w:bCs/>
          <w:shd w:val="clear" w:color="auto" w:fill="FFFFFF"/>
          <w:lang w:val="es-ES"/>
        </w:rPr>
        <w:t xml:space="preserve">En tal sentido, recoge los conceptos expuestos, sin perjuicio de otras consideraciones. </w:t>
      </w:r>
      <w:r w:rsidRPr="000A506C">
        <w:rPr>
          <w:rFonts w:ascii="Verdana" w:eastAsia="Aptos" w:hAnsi="Verdana" w:cs="Arial"/>
          <w:shd w:val="clear" w:color="auto" w:fill="FFFFFF"/>
          <w:lang w:val="es-ES"/>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w:t>
      </w:r>
      <w:r w:rsidRPr="000A506C">
        <w:rPr>
          <w:rFonts w:ascii="Verdana" w:eastAsia="Aptos" w:hAnsi="Verdana" w:cs="Arial"/>
          <w:shd w:val="clear" w:color="auto" w:fill="FFFFFF"/>
          <w:lang w:val="es-ES"/>
        </w:rPr>
        <w:lastRenderedPageBreak/>
        <w:t xml:space="preserve">Contractual. Accede a través del siguiente enlace: </w:t>
      </w:r>
      <w:hyperlink r:id="rId13" w:history="1">
        <w:r w:rsidRPr="000A506C">
          <w:rPr>
            <w:rFonts w:ascii="Verdana" w:eastAsia="Aptos" w:hAnsi="Verdana" w:cs="Arial"/>
            <w:u w:val="single"/>
            <w:shd w:val="clear" w:color="auto" w:fill="FFFFFF"/>
            <w:lang w:val="es-ES"/>
          </w:rPr>
          <w:t>https://relatoria.colombiacompra.gov.co/</w:t>
        </w:r>
      </w:hyperlink>
      <w:r w:rsidRPr="000A506C">
        <w:rPr>
          <w:rFonts w:ascii="Verdana" w:eastAsia="Aptos" w:hAnsi="Verdana" w:cs="Arial"/>
          <w:shd w:val="clear" w:color="auto" w:fill="FFFFFF"/>
          <w:lang w:val="es-ES"/>
        </w:rPr>
        <w:t xml:space="preserve">. </w:t>
      </w:r>
    </w:p>
    <w:p w14:paraId="3C4EAE02" w14:textId="77777777" w:rsidR="007E4168" w:rsidRPr="000A506C" w:rsidRDefault="007E4168" w:rsidP="007E4168">
      <w:pPr>
        <w:spacing w:before="120" w:after="120" w:line="276" w:lineRule="auto"/>
        <w:ind w:firstLine="709"/>
        <w:jc w:val="both"/>
        <w:rPr>
          <w:rFonts w:ascii="Verdana" w:eastAsia="Aptos" w:hAnsi="Verdana" w:cs="Times New Roman"/>
        </w:rPr>
      </w:pPr>
      <w:r w:rsidRPr="000A506C">
        <w:rPr>
          <w:rFonts w:ascii="Verdana" w:eastAsia="Aptos" w:hAnsi="Verdana" w:cs="Times New Roman"/>
        </w:rPr>
        <w:t xml:space="preserve">La sostenibilidad no es una opción, es una obligación. Por ello, la Agencia Nacional de Contratación Pública –Colombia Compra Eficiente– te invita a realizar el </w:t>
      </w:r>
      <w:r w:rsidRPr="000A506C">
        <w:rPr>
          <w:rFonts w:ascii="Verdana" w:eastAsia="Aptos" w:hAnsi="Verdana" w:cs="Times New Roman"/>
          <w:b/>
          <w:bCs/>
        </w:rPr>
        <w:t>Curso de Contratación Pública Sostenible y Socialmente Responsable</w:t>
      </w:r>
      <w:r w:rsidRPr="000A506C">
        <w:rPr>
          <w:rFonts w:ascii="Verdana" w:eastAsia="Aptos"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0A506C">
        <w:rPr>
          <w:rFonts w:ascii="Verdana" w:eastAsia="Aptos" w:hAnsi="Verdana" w:cs="Times New Roman"/>
        </w:rPr>
        <w:br/>
      </w:r>
      <w:hyperlink r:id="rId14" w:tgtFrame="_new" w:history="1">
        <w:r w:rsidRPr="000A506C">
          <w:rPr>
            <w:rFonts w:ascii="Verdana" w:eastAsia="Aptos" w:hAnsi="Verdana" w:cs="Times New Roman"/>
            <w:u w:val="single"/>
          </w:rPr>
          <w:t>https://formacionvirtual.colombiacompra.gov.co/mod/page/view.php?id=3718</w:t>
        </w:r>
      </w:hyperlink>
    </w:p>
    <w:p w14:paraId="31766628" w14:textId="77777777" w:rsidR="007E4168" w:rsidRPr="000A506C" w:rsidRDefault="007E4168" w:rsidP="007E4168">
      <w:pPr>
        <w:spacing w:line="276" w:lineRule="auto"/>
        <w:ind w:firstLine="708"/>
        <w:jc w:val="both"/>
        <w:rPr>
          <w:rFonts w:ascii="Verdana" w:eastAsia="Aptos" w:hAnsi="Verdana" w:cs="Times New Roman"/>
        </w:rPr>
      </w:pPr>
      <w:r w:rsidRPr="000A506C">
        <w:rPr>
          <w:rFonts w:ascii="Verdana" w:eastAsia="Aptos" w:hAnsi="Verdana" w:cs="Times New Roman"/>
        </w:rPr>
        <w:t xml:space="preserve">De otro lado, te contamos que esta Agencia ha da un paso decisivo en la estandarización y modernización del </w:t>
      </w:r>
      <w:r w:rsidRPr="000A506C">
        <w:rPr>
          <w:rFonts w:ascii="Verdana" w:eastAsia="Aptos" w:hAnsi="Verdana" w:cs="Times New Roman"/>
          <w:b/>
          <w:bCs/>
        </w:rPr>
        <w:t>sector  social</w:t>
      </w:r>
      <w:r w:rsidRPr="000A506C">
        <w:rPr>
          <w:rFonts w:ascii="Verdana" w:eastAsia="Aptos" w:hAnsi="Verdana" w:cs="Times New Roman"/>
        </w:rPr>
        <w:t xml:space="preserve"> con la expedición de las </w:t>
      </w:r>
      <w:r w:rsidRPr="000A506C">
        <w:rPr>
          <w:rFonts w:ascii="Verdana" w:eastAsia="Aptos" w:hAnsi="Verdana" w:cs="Times New Roman"/>
          <w:b/>
          <w:bCs/>
        </w:rPr>
        <w:t>Resoluciones 539, 540, 541, 952 y 953 de 2025</w:t>
      </w:r>
      <w:r w:rsidRPr="000A506C">
        <w:rPr>
          <w:rFonts w:ascii="Verdana" w:eastAsia="Aptos" w:hAnsi="Verdana" w:cs="Times New Roman"/>
        </w:rPr>
        <w:t xml:space="preserve">, </w:t>
      </w:r>
      <w:r w:rsidRPr="000A506C">
        <w:rPr>
          <w:rFonts w:ascii="Verdana" w:eastAsia="Aptos" w:hAnsi="Verdana" w:cs="Times New Roman"/>
          <w:b/>
          <w:bCs/>
        </w:rPr>
        <w:t>mediante las cuales adoptó Documentos Tipo</w:t>
      </w:r>
      <w:r w:rsidRPr="000A506C">
        <w:rPr>
          <w:rFonts w:ascii="Verdana" w:eastAsia="Aptos" w:hAnsi="Verdana" w:cs="Times New Roman"/>
        </w:rPr>
        <w:t xml:space="preserve"> para las modalidades de selección de</w:t>
      </w:r>
      <w:r w:rsidRPr="000A506C">
        <w:rPr>
          <w:rFonts w:ascii="Verdana" w:eastAsia="Aptos" w:hAnsi="Verdana" w:cs="Times New Roman"/>
          <w:b/>
          <w:bCs/>
        </w:rPr>
        <w:t xml:space="preserve"> licitación pública (versión 2), selección abreviada de menor cuantía, mínima cuantía, consultoría e interventoría</w:t>
      </w:r>
      <w:r w:rsidRPr="000A506C">
        <w:rPr>
          <w:rFonts w:ascii="Verdana" w:eastAsia="Aptos"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0A506C">
          <w:rPr>
            <w:rFonts w:ascii="Verdana" w:eastAsia="Aptos" w:hAnsi="Verdana" w:cs="Times New Roman"/>
            <w:u w:val="single"/>
          </w:rPr>
          <w:t>https://www.colombiacompra.gov.co/normativa-y-relatoria/documentos-tipo</w:t>
        </w:r>
      </w:hyperlink>
    </w:p>
    <w:p w14:paraId="2639E7CC" w14:textId="77777777" w:rsidR="007E4168" w:rsidRPr="000A506C" w:rsidRDefault="007E4168" w:rsidP="007E4168">
      <w:pPr>
        <w:spacing w:after="0" w:line="276" w:lineRule="auto"/>
        <w:ind w:firstLine="708"/>
        <w:jc w:val="both"/>
        <w:rPr>
          <w:rFonts w:ascii="Verdana" w:eastAsia="Aptos" w:hAnsi="Verdana" w:cs="Times New Roman"/>
        </w:rPr>
      </w:pPr>
      <w:r w:rsidRPr="000A506C">
        <w:rPr>
          <w:rFonts w:ascii="Verdana" w:eastAsia="Aptos" w:hAnsi="Verdana" w:cs="Times New Roman"/>
        </w:rPr>
        <w:t xml:space="preserve">Si quieres conocer más sobre la aplicación de Documentos Tipo puedes consultar la última versión de la </w:t>
      </w:r>
      <w:r w:rsidRPr="000A506C">
        <w:rPr>
          <w:rFonts w:ascii="Verdana" w:eastAsia="Aptos" w:hAnsi="Verdana" w:cs="Times New Roman"/>
          <w:b/>
          <w:bCs/>
        </w:rPr>
        <w:t>Guía para la comprensión e implementación de los Documentos Tipo de obra pública de infraestructura de transporte</w:t>
      </w:r>
      <w:r w:rsidRPr="000A506C">
        <w:rPr>
          <w:rFonts w:ascii="Verdana" w:eastAsia="Aptos"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0A506C">
        <w:rPr>
          <w:rFonts w:ascii="Verdana" w:eastAsia="Aptos" w:hAnsi="Verdana" w:cs="Times New Roman"/>
        </w:rPr>
        <w:br/>
      </w:r>
      <w:hyperlink r:id="rId16" w:tgtFrame="_new" w:history="1">
        <w:r w:rsidRPr="000A506C">
          <w:rPr>
            <w:rFonts w:ascii="Verdana" w:eastAsia="Aptos" w:hAnsi="Verdana" w:cs="Times New Roman"/>
            <w:u w:val="single"/>
          </w:rPr>
          <w:t>https://www.colombiacompra.gov.co/archivos/manual/guia-para-la-comprension-e-implementacion-de-los-documentos-tipo-de-obra-publica-de-infraestructura-de-transporte-bajo-las-diferentes-modalidades-de-contratacion-vigentes</w:t>
        </w:r>
      </w:hyperlink>
    </w:p>
    <w:p w14:paraId="167E39BB" w14:textId="77777777" w:rsidR="007E4168" w:rsidRPr="000A506C" w:rsidRDefault="007E4168" w:rsidP="007E4168">
      <w:pPr>
        <w:spacing w:before="120" w:after="0" w:line="276" w:lineRule="auto"/>
        <w:ind w:firstLine="708"/>
        <w:jc w:val="both"/>
        <w:rPr>
          <w:rFonts w:ascii="Verdana" w:eastAsia="Aptos" w:hAnsi="Verdana" w:cs="Times New Roman"/>
        </w:rPr>
      </w:pPr>
      <w:r w:rsidRPr="000A506C">
        <w:rPr>
          <w:rFonts w:ascii="Verdana" w:eastAsia="Aptos" w:hAnsi="Verdana" w:cs="Times New Roman"/>
        </w:rPr>
        <w:t xml:space="preserve">Por último, lo invitamos a seguirnos en las redes sociales en las cuales se difunde información institucional: </w:t>
      </w:r>
    </w:p>
    <w:p w14:paraId="03796C64" w14:textId="77777777" w:rsidR="007E4168" w:rsidRPr="000A506C" w:rsidRDefault="007E4168" w:rsidP="007E4168">
      <w:pPr>
        <w:spacing w:after="0" w:line="276" w:lineRule="auto"/>
        <w:jc w:val="both"/>
        <w:rPr>
          <w:rFonts w:ascii="Verdana" w:eastAsia="Aptos" w:hAnsi="Verdana" w:cs="Times New Roman"/>
        </w:rPr>
      </w:pPr>
    </w:p>
    <w:p w14:paraId="643FE74E" w14:textId="77777777" w:rsidR="007E4168" w:rsidRPr="000A506C" w:rsidRDefault="007E4168" w:rsidP="007E4168">
      <w:pPr>
        <w:spacing w:after="0" w:line="276" w:lineRule="auto"/>
        <w:jc w:val="both"/>
        <w:rPr>
          <w:rFonts w:ascii="Verdana" w:eastAsia="Aptos" w:hAnsi="Verdana" w:cs="Times New Roman"/>
        </w:rPr>
      </w:pPr>
      <w:r w:rsidRPr="000A506C">
        <w:rPr>
          <w:rFonts w:ascii="Verdana" w:eastAsia="Aptos" w:hAnsi="Verdana" w:cs="Times New Roman"/>
        </w:rPr>
        <w:t xml:space="preserve">Twitter: </w:t>
      </w:r>
      <w:r w:rsidRPr="000A506C">
        <w:rPr>
          <w:rFonts w:ascii="Verdana" w:eastAsia="Aptos" w:hAnsi="Verdana" w:cs="Arial"/>
          <w:u w:val="single"/>
          <w:shd w:val="clear" w:color="auto" w:fill="FFFFFF"/>
          <w:lang w:val="es-ES"/>
        </w:rPr>
        <w:t>@colombiacompra</w:t>
      </w:r>
      <w:r w:rsidRPr="000A506C">
        <w:rPr>
          <w:rFonts w:ascii="Verdana" w:eastAsia="Aptos" w:hAnsi="Verdana" w:cs="Times New Roman"/>
        </w:rPr>
        <w:t xml:space="preserve"> </w:t>
      </w:r>
    </w:p>
    <w:p w14:paraId="02999745" w14:textId="77777777" w:rsidR="007E4168" w:rsidRPr="000A506C" w:rsidRDefault="007E4168" w:rsidP="007E4168">
      <w:pPr>
        <w:spacing w:after="0" w:line="276" w:lineRule="auto"/>
        <w:jc w:val="both"/>
        <w:rPr>
          <w:rFonts w:ascii="Verdana" w:eastAsia="Aptos" w:hAnsi="Verdana" w:cs="Times New Roman"/>
        </w:rPr>
      </w:pPr>
      <w:r w:rsidRPr="000A506C">
        <w:rPr>
          <w:rFonts w:ascii="Verdana" w:eastAsia="Aptos" w:hAnsi="Verdana" w:cs="Times New Roman"/>
        </w:rPr>
        <w:t xml:space="preserve">Facebook: </w:t>
      </w:r>
      <w:proofErr w:type="spellStart"/>
      <w:r w:rsidRPr="000A506C">
        <w:rPr>
          <w:rFonts w:ascii="Verdana" w:eastAsia="Aptos" w:hAnsi="Verdana" w:cs="Arial"/>
          <w:u w:val="single"/>
          <w:shd w:val="clear" w:color="auto" w:fill="FFFFFF"/>
          <w:lang w:val="es-ES"/>
        </w:rPr>
        <w:t>ColombiaCompraEficiente</w:t>
      </w:r>
      <w:proofErr w:type="spellEnd"/>
    </w:p>
    <w:p w14:paraId="594CF62D" w14:textId="77777777" w:rsidR="007E4168" w:rsidRPr="000A506C" w:rsidRDefault="007E4168" w:rsidP="007E4168">
      <w:pPr>
        <w:spacing w:after="0" w:line="276" w:lineRule="auto"/>
        <w:jc w:val="both"/>
        <w:rPr>
          <w:rFonts w:ascii="Verdana" w:eastAsia="Aptos" w:hAnsi="Verdana" w:cs="Times New Roman"/>
        </w:rPr>
      </w:pPr>
      <w:r w:rsidRPr="000A506C">
        <w:rPr>
          <w:rFonts w:ascii="Verdana" w:eastAsia="Aptos" w:hAnsi="Verdana" w:cs="Times New Roman"/>
        </w:rPr>
        <w:t xml:space="preserve">LinkedIn: </w:t>
      </w:r>
      <w:r w:rsidRPr="000A506C">
        <w:rPr>
          <w:rFonts w:ascii="Verdana" w:eastAsia="Aptos" w:hAnsi="Verdana" w:cs="Arial"/>
          <w:u w:val="single"/>
          <w:shd w:val="clear" w:color="auto" w:fill="FFFFFF"/>
          <w:lang w:val="es-ES"/>
        </w:rPr>
        <w:t>Agencia Nacional de Contratación Pública - Colombia Compra Eficiente</w:t>
      </w:r>
      <w:r w:rsidRPr="000A506C">
        <w:rPr>
          <w:rFonts w:ascii="Verdana" w:eastAsia="Aptos" w:hAnsi="Verdana" w:cs="Times New Roman"/>
        </w:rPr>
        <w:t xml:space="preserve"> Instagram: </w:t>
      </w:r>
      <w:r w:rsidRPr="000A506C">
        <w:rPr>
          <w:rFonts w:ascii="Verdana" w:eastAsia="Aptos" w:hAnsi="Verdana" w:cs="Arial"/>
          <w:u w:val="single"/>
          <w:shd w:val="clear" w:color="auto" w:fill="FFFFFF"/>
          <w:lang w:val="es-ES"/>
        </w:rPr>
        <w:t>@colombiacompraeficiente_cce</w:t>
      </w:r>
    </w:p>
    <w:p w14:paraId="788CFA75" w14:textId="77777777" w:rsidR="007E4168" w:rsidRPr="000A506C" w:rsidRDefault="007E4168" w:rsidP="007E4168">
      <w:pPr>
        <w:widowControl w:val="0"/>
        <w:autoSpaceDE w:val="0"/>
        <w:autoSpaceDN w:val="0"/>
        <w:spacing w:after="0" w:line="276" w:lineRule="auto"/>
        <w:jc w:val="both"/>
        <w:rPr>
          <w:rFonts w:ascii="Verdana" w:eastAsia="Aptos" w:hAnsi="Verdana" w:cs="Arial"/>
        </w:rPr>
      </w:pPr>
    </w:p>
    <w:p w14:paraId="537150BD" w14:textId="77777777" w:rsidR="007E4168" w:rsidRPr="000A506C" w:rsidRDefault="007E4168" w:rsidP="007E4168">
      <w:pPr>
        <w:widowControl w:val="0"/>
        <w:autoSpaceDE w:val="0"/>
        <w:autoSpaceDN w:val="0"/>
        <w:spacing w:after="0" w:line="276" w:lineRule="auto"/>
        <w:jc w:val="both"/>
        <w:rPr>
          <w:rFonts w:ascii="Verdana" w:eastAsia="Aptos" w:hAnsi="Verdana" w:cs="Arial"/>
          <w:lang w:val="es-ES_tradnl"/>
        </w:rPr>
      </w:pPr>
      <w:r w:rsidRPr="000A506C">
        <w:rPr>
          <w:rFonts w:ascii="Verdana" w:eastAsia="Aptos" w:hAnsi="Verdana" w:cs="Arial"/>
        </w:rPr>
        <w:t xml:space="preserve">Este concepto tiene el alcance previsto en el artículo 28 del Código de Procedimiento Administrativo y de lo Contencioso Administrativo </w:t>
      </w:r>
      <w:r w:rsidRPr="000A506C">
        <w:rPr>
          <w:rFonts w:ascii="Verdana" w:eastAsia="Aptos" w:hAnsi="Verdana" w:cs="Arial"/>
          <w:lang w:val="es-ES_tradnl"/>
        </w:rPr>
        <w:t>y las expresiones aquí utilizadas con mayúscula inicial deben ser entendidas con el significado que les otorga el artículo 2.2.1.1.1.3.1. del Decreto 1082 de 2015.</w:t>
      </w:r>
    </w:p>
    <w:p w14:paraId="3D3354C7" w14:textId="77777777" w:rsidR="007E4168" w:rsidRPr="000A506C" w:rsidRDefault="007E4168" w:rsidP="007E4168">
      <w:pPr>
        <w:widowControl w:val="0"/>
        <w:autoSpaceDE w:val="0"/>
        <w:autoSpaceDN w:val="0"/>
        <w:spacing w:after="0" w:line="276" w:lineRule="auto"/>
        <w:jc w:val="both"/>
        <w:rPr>
          <w:rFonts w:ascii="Verdana" w:eastAsia="Aptos" w:hAnsi="Verdana" w:cs="Arial"/>
        </w:rPr>
      </w:pPr>
    </w:p>
    <w:p w14:paraId="75482244" w14:textId="77777777" w:rsidR="007E4168" w:rsidRPr="000A506C" w:rsidRDefault="007E4168" w:rsidP="007E4168">
      <w:pPr>
        <w:spacing w:after="0" w:line="276" w:lineRule="auto"/>
        <w:rPr>
          <w:rFonts w:ascii="Verdana" w:eastAsia="Aptos" w:hAnsi="Verdana" w:cs="Arial"/>
          <w:lang w:eastAsia="es-CO"/>
        </w:rPr>
      </w:pPr>
      <w:r w:rsidRPr="000A506C">
        <w:rPr>
          <w:rFonts w:ascii="Verdana" w:eastAsia="Times New Roman" w:hAnsi="Verdana" w:cs="Arial"/>
          <w:lang w:eastAsia="es-CO"/>
        </w:rPr>
        <w:t>Atentamente,</w:t>
      </w:r>
      <w:r w:rsidRPr="000A506C">
        <w:rPr>
          <w:rFonts w:ascii="Verdana" w:eastAsia="Aptos" w:hAnsi="Verdana" w:cs="Arial"/>
          <w:lang w:eastAsia="es-CO"/>
        </w:rPr>
        <w:t xml:space="preserve"> </w:t>
      </w:r>
    </w:p>
    <w:p w14:paraId="6B5791F2" w14:textId="77777777" w:rsidR="007E4168" w:rsidRPr="000A506C" w:rsidRDefault="007E4168" w:rsidP="007E4168">
      <w:pPr>
        <w:spacing w:after="0" w:line="276" w:lineRule="auto"/>
        <w:jc w:val="center"/>
        <w:rPr>
          <w:rFonts w:ascii="Verdana" w:eastAsia="Aptos" w:hAnsi="Verdana" w:cs="Arial"/>
          <w:lang w:val="es-ES_tradnl" w:eastAsia="es-CO"/>
        </w:rPr>
      </w:pPr>
    </w:p>
    <w:p w14:paraId="1986EBE0" w14:textId="33516B60" w:rsidR="007E4168" w:rsidRPr="000A506C" w:rsidRDefault="00201F8C" w:rsidP="007E4168">
      <w:pPr>
        <w:spacing w:after="0" w:line="276" w:lineRule="auto"/>
        <w:jc w:val="center"/>
        <w:rPr>
          <w:rFonts w:ascii="Verdana" w:eastAsia="Aptos" w:hAnsi="Verdana" w:cs="Arial"/>
          <w:lang w:val="es-ES_tradnl" w:eastAsia="es-CO"/>
        </w:rPr>
      </w:pPr>
      <w:r>
        <w:rPr>
          <w:noProof/>
        </w:rPr>
        <w:drawing>
          <wp:inline distT="0" distB="0" distL="0" distR="0" wp14:anchorId="7D40CC2D" wp14:editId="4F20AB1E">
            <wp:extent cx="3771900" cy="1409700"/>
            <wp:effectExtent l="0" t="0" r="0" b="0"/>
            <wp:docPr id="74711813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1409700"/>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7E4168" w:rsidRPr="000A506C" w14:paraId="7893A68F" w14:textId="77777777" w:rsidTr="006F41A4">
        <w:trPr>
          <w:trHeight w:val="286"/>
        </w:trPr>
        <w:tc>
          <w:tcPr>
            <w:tcW w:w="901" w:type="dxa"/>
            <w:vAlign w:val="center"/>
            <w:hideMark/>
          </w:tcPr>
          <w:p w14:paraId="6813A6B2" w14:textId="77777777" w:rsidR="007E4168" w:rsidRPr="000A506C" w:rsidRDefault="007E4168" w:rsidP="006F41A4">
            <w:pPr>
              <w:rPr>
                <w:rFonts w:ascii="Verdana" w:eastAsia="Aptos" w:hAnsi="Verdana" w:cs="Arial"/>
                <w:sz w:val="14"/>
                <w:szCs w:val="14"/>
                <w:lang w:eastAsia="es-ES"/>
              </w:rPr>
            </w:pPr>
            <w:r w:rsidRPr="000A506C">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54EEEEF4" w14:textId="77777777" w:rsidR="007E4168" w:rsidRPr="000A506C" w:rsidRDefault="007E4168" w:rsidP="006F41A4">
            <w:pPr>
              <w:rPr>
                <w:rFonts w:ascii="Verdana" w:eastAsia="Aptos" w:hAnsi="Verdana" w:cs="Arial"/>
                <w:sz w:val="14"/>
                <w:szCs w:val="14"/>
                <w:lang w:eastAsia="es-ES"/>
              </w:rPr>
            </w:pPr>
            <w:proofErr w:type="spellStart"/>
            <w:r w:rsidRPr="000A506C">
              <w:rPr>
                <w:rFonts w:ascii="Verdana" w:eastAsia="Aptos" w:hAnsi="Verdana" w:cs="Arial"/>
                <w:sz w:val="14"/>
                <w:szCs w:val="14"/>
                <w:lang w:eastAsia="es-ES"/>
              </w:rPr>
              <w:t>Nasly</w:t>
            </w:r>
            <w:proofErr w:type="spellEnd"/>
            <w:r w:rsidRPr="000A506C">
              <w:rPr>
                <w:rFonts w:ascii="Verdana" w:eastAsia="Aptos" w:hAnsi="Verdana" w:cs="Arial"/>
                <w:sz w:val="14"/>
                <w:szCs w:val="14"/>
                <w:lang w:eastAsia="es-ES"/>
              </w:rPr>
              <w:t xml:space="preserve"> </w:t>
            </w:r>
            <w:proofErr w:type="spellStart"/>
            <w:r w:rsidRPr="000A506C">
              <w:rPr>
                <w:rFonts w:ascii="Verdana" w:eastAsia="Aptos" w:hAnsi="Verdana" w:cs="Arial"/>
                <w:sz w:val="14"/>
                <w:szCs w:val="14"/>
                <w:lang w:eastAsia="es-ES"/>
              </w:rPr>
              <w:t>Yeana</w:t>
            </w:r>
            <w:proofErr w:type="spellEnd"/>
            <w:r w:rsidRPr="000A506C">
              <w:rPr>
                <w:rFonts w:ascii="Verdana" w:eastAsia="Aptos" w:hAnsi="Verdana" w:cs="Arial"/>
                <w:sz w:val="14"/>
                <w:szCs w:val="14"/>
                <w:lang w:eastAsia="es-ES"/>
              </w:rPr>
              <w:t xml:space="preserve"> Mosquera Rivas</w:t>
            </w:r>
          </w:p>
          <w:p w14:paraId="6D51DCE1" w14:textId="77777777" w:rsidR="007E4168" w:rsidRPr="000A506C" w:rsidRDefault="007E4168" w:rsidP="006F41A4">
            <w:pPr>
              <w:rPr>
                <w:rFonts w:ascii="Verdana" w:eastAsia="Aptos" w:hAnsi="Verdana" w:cs="Arial"/>
                <w:sz w:val="14"/>
                <w:szCs w:val="14"/>
                <w:lang w:eastAsia="es-ES"/>
              </w:rPr>
            </w:pPr>
            <w:r w:rsidRPr="000A506C">
              <w:rPr>
                <w:rFonts w:ascii="Verdana" w:eastAsia="Aptos" w:hAnsi="Verdana" w:cs="Arial"/>
                <w:sz w:val="14"/>
                <w:szCs w:val="14"/>
                <w:lang w:eastAsia="es-ES"/>
              </w:rPr>
              <w:t>Analista T2–06 de la Subdirección de Gestión Contractual</w:t>
            </w:r>
          </w:p>
        </w:tc>
      </w:tr>
      <w:tr w:rsidR="007E4168" w:rsidRPr="000A506C" w14:paraId="634F99A9" w14:textId="77777777" w:rsidTr="006F41A4">
        <w:trPr>
          <w:trHeight w:val="299"/>
        </w:trPr>
        <w:tc>
          <w:tcPr>
            <w:tcW w:w="901" w:type="dxa"/>
            <w:vAlign w:val="center"/>
          </w:tcPr>
          <w:p w14:paraId="5369C1D8" w14:textId="77777777" w:rsidR="007E4168" w:rsidRPr="000A506C" w:rsidRDefault="007E4168" w:rsidP="006F41A4">
            <w:pPr>
              <w:rPr>
                <w:rFonts w:ascii="Verdana" w:eastAsia="Aptos" w:hAnsi="Verdana" w:cs="Arial"/>
                <w:sz w:val="14"/>
                <w:szCs w:val="14"/>
                <w:lang w:eastAsia="es-ES"/>
              </w:rPr>
            </w:pPr>
            <w:r w:rsidRPr="000A506C">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1B3E6C17" w14:textId="77777777" w:rsidR="007E4168" w:rsidRPr="000A506C" w:rsidRDefault="007E4168" w:rsidP="006F41A4">
            <w:pPr>
              <w:rPr>
                <w:rFonts w:ascii="Verdana" w:eastAsia="Aptos" w:hAnsi="Verdana" w:cs="Arial"/>
                <w:sz w:val="14"/>
                <w:szCs w:val="14"/>
                <w:lang w:eastAsia="es-ES"/>
              </w:rPr>
            </w:pPr>
            <w:r w:rsidRPr="000A506C">
              <w:rPr>
                <w:rFonts w:ascii="Verdana" w:eastAsia="Aptos" w:hAnsi="Verdana" w:cs="Arial"/>
                <w:sz w:val="14"/>
                <w:szCs w:val="14"/>
                <w:lang w:eastAsia="es-ES"/>
              </w:rPr>
              <w:t>Adriana Katherine López Rodríguez</w:t>
            </w:r>
          </w:p>
          <w:p w14:paraId="44C5620E" w14:textId="77777777" w:rsidR="007E4168" w:rsidRPr="000A506C" w:rsidRDefault="007E4168" w:rsidP="006F41A4">
            <w:pPr>
              <w:rPr>
                <w:rFonts w:ascii="Verdana" w:eastAsia="Aptos" w:hAnsi="Verdana" w:cs="Arial"/>
                <w:sz w:val="14"/>
                <w:szCs w:val="14"/>
                <w:lang w:eastAsia="es-ES"/>
              </w:rPr>
            </w:pPr>
            <w:r w:rsidRPr="000A506C">
              <w:rPr>
                <w:rFonts w:ascii="Verdana" w:eastAsia="Aptos" w:hAnsi="Verdana" w:cs="Arial"/>
                <w:sz w:val="14"/>
                <w:szCs w:val="14"/>
                <w:lang w:eastAsia="es-ES"/>
              </w:rPr>
              <w:t>Contratista de la Subdirección de Gestión Contractual</w:t>
            </w:r>
          </w:p>
        </w:tc>
      </w:tr>
      <w:tr w:rsidR="007E4168" w:rsidRPr="000A506C" w14:paraId="68EB9BC9" w14:textId="77777777" w:rsidTr="006F41A4">
        <w:trPr>
          <w:trHeight w:val="272"/>
        </w:trPr>
        <w:tc>
          <w:tcPr>
            <w:tcW w:w="901" w:type="dxa"/>
            <w:vAlign w:val="center"/>
            <w:hideMark/>
          </w:tcPr>
          <w:p w14:paraId="7FC6DBC8" w14:textId="77777777" w:rsidR="007E4168" w:rsidRPr="000A506C" w:rsidRDefault="007E4168" w:rsidP="006F41A4">
            <w:pPr>
              <w:rPr>
                <w:rFonts w:ascii="Verdana" w:eastAsia="Aptos" w:hAnsi="Verdana" w:cs="Arial"/>
                <w:sz w:val="14"/>
                <w:szCs w:val="14"/>
                <w:lang w:eastAsia="es-ES"/>
              </w:rPr>
            </w:pPr>
            <w:r w:rsidRPr="000A506C">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0AEA7D5F" w14:textId="77777777" w:rsidR="007E4168" w:rsidRPr="000A506C" w:rsidRDefault="007E4168" w:rsidP="006F41A4">
            <w:pPr>
              <w:rPr>
                <w:rFonts w:ascii="Verdana" w:eastAsia="Aptos" w:hAnsi="Verdana" w:cs="Arial"/>
                <w:sz w:val="14"/>
                <w:szCs w:val="14"/>
                <w:lang w:eastAsia="es-ES"/>
              </w:rPr>
            </w:pPr>
            <w:r w:rsidRPr="000A506C">
              <w:rPr>
                <w:rFonts w:ascii="Verdana" w:eastAsia="Aptos" w:hAnsi="Verdana" w:cs="Arial"/>
                <w:sz w:val="14"/>
                <w:szCs w:val="14"/>
                <w:lang w:eastAsia="es-ES"/>
              </w:rPr>
              <w:t xml:space="preserve">Carolina Quintero </w:t>
            </w:r>
            <w:proofErr w:type="spellStart"/>
            <w:r w:rsidRPr="000A506C">
              <w:rPr>
                <w:rFonts w:ascii="Verdana" w:eastAsia="Aptos" w:hAnsi="Verdana" w:cs="Arial"/>
                <w:sz w:val="14"/>
                <w:szCs w:val="14"/>
                <w:lang w:eastAsia="es-ES"/>
              </w:rPr>
              <w:t>Gacharná</w:t>
            </w:r>
            <w:proofErr w:type="spellEnd"/>
          </w:p>
          <w:p w14:paraId="60D866C6" w14:textId="77777777" w:rsidR="007E4168" w:rsidRPr="000A506C" w:rsidRDefault="007E4168" w:rsidP="006F41A4">
            <w:pPr>
              <w:rPr>
                <w:rFonts w:ascii="Verdana" w:eastAsia="Aptos" w:hAnsi="Verdana" w:cs="Arial"/>
                <w:sz w:val="14"/>
                <w:szCs w:val="14"/>
                <w:lang w:eastAsia="es-ES"/>
              </w:rPr>
            </w:pPr>
            <w:r w:rsidRPr="000A506C">
              <w:rPr>
                <w:rFonts w:ascii="Verdana" w:eastAsia="Aptos" w:hAnsi="Verdana" w:cs="Arial"/>
                <w:sz w:val="14"/>
                <w:szCs w:val="14"/>
                <w:lang w:eastAsia="es-ES"/>
              </w:rPr>
              <w:t>Subdirectora de Gestión Contractual ANCP – CCE</w:t>
            </w:r>
          </w:p>
        </w:tc>
      </w:tr>
    </w:tbl>
    <w:p w14:paraId="31C45067" w14:textId="77777777" w:rsidR="007E4168" w:rsidRPr="000A506C" w:rsidRDefault="007E4168" w:rsidP="007E4168">
      <w:pPr>
        <w:spacing w:after="0" w:line="240" w:lineRule="auto"/>
        <w:rPr>
          <w:rFonts w:ascii="Verdana" w:eastAsia="Times New Roman" w:hAnsi="Verdana" w:cs="Arial"/>
          <w:sz w:val="24"/>
          <w:szCs w:val="24"/>
          <w:lang w:eastAsia="es-ES"/>
        </w:rPr>
      </w:pPr>
    </w:p>
    <w:p w14:paraId="534D45DA" w14:textId="77777777" w:rsidR="007E4168" w:rsidRPr="000A506C" w:rsidRDefault="007E4168" w:rsidP="007E4168">
      <w:pPr>
        <w:rPr>
          <w:rFonts w:ascii="Verdana" w:eastAsia="Aptos" w:hAnsi="Verdana" w:cs="Times New Roman"/>
        </w:rPr>
      </w:pPr>
    </w:p>
    <w:p w14:paraId="567D8C25" w14:textId="77777777" w:rsidR="007E4168" w:rsidRPr="000A506C" w:rsidRDefault="007E4168" w:rsidP="007E4168">
      <w:pPr>
        <w:rPr>
          <w:rFonts w:ascii="Verdana" w:eastAsia="Aptos" w:hAnsi="Verdana" w:cs="Arial"/>
        </w:rPr>
      </w:pPr>
    </w:p>
    <w:p w14:paraId="29763A04" w14:textId="096222B6" w:rsidR="007E4168" w:rsidRPr="000E2B93" w:rsidRDefault="007E4168" w:rsidP="007E4168">
      <w:pPr>
        <w:spacing w:after="0" w:line="240" w:lineRule="auto"/>
        <w:textAlignment w:val="baseline"/>
        <w:rPr>
          <w:rFonts w:ascii="Verdana" w:eastAsia="Verdana" w:hAnsi="Verdana" w:cs="Verdana"/>
          <w:lang w:eastAsia="es-CO"/>
        </w:rPr>
      </w:pPr>
      <w:r w:rsidRPr="000A506C">
        <w:rPr>
          <w:rFonts w:ascii="Verdana" w:eastAsia="Verdana" w:hAnsi="Verdana" w:cs="Verdana"/>
          <w:lang w:eastAsia="es-CO"/>
        </w:rPr>
        <w:t> </w:t>
      </w:r>
      <w:r w:rsidRPr="30821638">
        <w:rPr>
          <w:rFonts w:ascii="Verdana" w:eastAsia="Verdana" w:hAnsi="Verdana" w:cs="Verdana"/>
          <w:lang w:eastAsia="es-CO"/>
        </w:rPr>
        <w:t> </w:t>
      </w:r>
      <w:bookmarkEnd w:id="0"/>
    </w:p>
    <w:p w14:paraId="39D0A5F4" w14:textId="77777777" w:rsidR="007E4168" w:rsidRDefault="007E4168"/>
    <w:sectPr w:rsidR="007E4168" w:rsidSect="007E4168">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8D97F" w14:textId="77777777" w:rsidR="005D3925" w:rsidRDefault="005D3925" w:rsidP="007E4168">
      <w:pPr>
        <w:spacing w:after="0" w:line="240" w:lineRule="auto"/>
      </w:pPr>
      <w:r>
        <w:separator/>
      </w:r>
    </w:p>
  </w:endnote>
  <w:endnote w:type="continuationSeparator" w:id="0">
    <w:p w14:paraId="14BCB97D" w14:textId="77777777" w:rsidR="005D3925" w:rsidRDefault="005D3925" w:rsidP="007E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AB07" w14:textId="77777777" w:rsidR="007E4168" w:rsidRDefault="007E4168">
    <w:pPr>
      <w:pStyle w:val="Piedepgina"/>
    </w:pPr>
  </w:p>
  <w:p w14:paraId="108AF6A0" w14:textId="77777777" w:rsidR="007E4168" w:rsidRPr="00174B77" w:rsidRDefault="007E4168" w:rsidP="006F41A4">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3E240BC0" w14:textId="77777777" w:rsidR="007E4168" w:rsidRDefault="007E4168" w:rsidP="006F41A4">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7E3A45D" w14:textId="77777777" w:rsidR="007E4168" w:rsidRPr="00E41027" w:rsidRDefault="007E4168" w:rsidP="006F41A4">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43252E92" w14:textId="77777777" w:rsidR="007E4168" w:rsidRDefault="007E4168" w:rsidP="006F41A4">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0A506C">
      <w:rPr>
        <w:rFonts w:ascii="Verdana" w:eastAsia="Verdana" w:hAnsi="Verdana" w:cs="Verdana"/>
        <w:b/>
        <w:bCs/>
        <w:color w:val="000000"/>
        <w:sz w:val="18"/>
        <w:szCs w:val="18"/>
        <w:lang w:eastAsia="es-CO"/>
      </w:rPr>
      <w:t xml:space="preserve">Código: </w:t>
    </w:r>
    <w:r w:rsidRPr="000A506C">
      <w:rPr>
        <w:rFonts w:ascii="Verdana" w:eastAsia="Verdana" w:hAnsi="Verdana" w:cs="Verdana"/>
        <w:color w:val="000000"/>
        <w:sz w:val="18"/>
        <w:szCs w:val="18"/>
        <w:lang w:eastAsia="es-CO"/>
      </w:rPr>
      <w:t xml:space="preserve">CCE-REC-FM-17 </w:t>
    </w:r>
    <w:r w:rsidRPr="000A506C">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7839C" w14:textId="77777777" w:rsidR="005D3925" w:rsidRDefault="005D3925" w:rsidP="007E4168">
      <w:pPr>
        <w:spacing w:after="0" w:line="240" w:lineRule="auto"/>
      </w:pPr>
      <w:r>
        <w:separator/>
      </w:r>
    </w:p>
  </w:footnote>
  <w:footnote w:type="continuationSeparator" w:id="0">
    <w:p w14:paraId="279BBE78" w14:textId="77777777" w:rsidR="005D3925" w:rsidRDefault="005D3925" w:rsidP="007E4168">
      <w:pPr>
        <w:spacing w:after="0" w:line="240" w:lineRule="auto"/>
      </w:pPr>
      <w:r>
        <w:continuationSeparator/>
      </w:r>
    </w:p>
  </w:footnote>
  <w:footnote w:id="1">
    <w:p w14:paraId="4FF7EAE3" w14:textId="77777777" w:rsidR="007E4168" w:rsidRPr="0066394E" w:rsidRDefault="007E4168" w:rsidP="007E4168">
      <w:pPr>
        <w:pStyle w:val="Textonotapie"/>
        <w:ind w:firstLine="709"/>
        <w:contextualSpacing/>
        <w:jc w:val="both"/>
        <w:rPr>
          <w:rFonts w:ascii="Verdana" w:hAnsi="Verdana" w:cs="Arial"/>
          <w:iCs/>
          <w:color w:val="1A1A1A"/>
          <w:sz w:val="16"/>
          <w:szCs w:val="16"/>
        </w:rPr>
      </w:pPr>
      <w:r w:rsidRPr="0066394E">
        <w:rPr>
          <w:rStyle w:val="Refdenotaalpie"/>
          <w:rFonts w:ascii="Verdana" w:hAnsi="Verdana" w:cs="Arial"/>
          <w:color w:val="1A1A1A"/>
          <w:sz w:val="16"/>
          <w:szCs w:val="16"/>
        </w:rPr>
        <w:footnoteRef/>
      </w:r>
      <w:r w:rsidRPr="0066394E">
        <w:rPr>
          <w:rFonts w:ascii="Verdana" w:hAnsi="Verdana" w:cs="Arial"/>
          <w:color w:val="1A1A1A"/>
          <w:sz w:val="16"/>
          <w:szCs w:val="16"/>
        </w:rPr>
        <w:t xml:space="preserve"> </w:t>
      </w:r>
      <w:r w:rsidRPr="0066394E">
        <w:rPr>
          <w:rFonts w:ascii="Verdana" w:hAnsi="Verdana" w:cs="Arial"/>
          <w:iCs/>
          <w:color w:val="1A1A1A"/>
          <w:sz w:val="16"/>
          <w:szCs w:val="16"/>
        </w:rPr>
        <w:t>Artículo 3 de la Ley 80 de 1993.</w:t>
      </w:r>
    </w:p>
    <w:p w14:paraId="74FAD908" w14:textId="77777777" w:rsidR="007E4168" w:rsidRPr="0066394E" w:rsidRDefault="007E4168" w:rsidP="007E4168">
      <w:pPr>
        <w:pStyle w:val="Textonotapie"/>
        <w:ind w:firstLine="709"/>
        <w:contextualSpacing/>
        <w:jc w:val="both"/>
        <w:rPr>
          <w:rFonts w:ascii="Verdana" w:hAnsi="Verdana" w:cs="Arial"/>
          <w:iCs/>
          <w:color w:val="1A1A1A"/>
          <w:sz w:val="16"/>
          <w:szCs w:val="16"/>
        </w:rPr>
      </w:pPr>
    </w:p>
  </w:footnote>
  <w:footnote w:id="2">
    <w:p w14:paraId="56650E8D" w14:textId="77777777" w:rsidR="007E4168" w:rsidRPr="00916DF1" w:rsidRDefault="007E4168" w:rsidP="007E4168">
      <w:pPr>
        <w:pStyle w:val="Textonotapie"/>
        <w:ind w:firstLine="708"/>
        <w:jc w:val="both"/>
        <w:rPr>
          <w:rFonts w:ascii="Verdana" w:hAnsi="Verdana"/>
          <w:sz w:val="16"/>
          <w:szCs w:val="16"/>
        </w:rPr>
      </w:pPr>
      <w:r w:rsidRPr="00916DF1">
        <w:rPr>
          <w:rStyle w:val="Refdenotaalpie"/>
          <w:rFonts w:ascii="Verdana" w:hAnsi="Verdana"/>
          <w:sz w:val="16"/>
          <w:szCs w:val="16"/>
        </w:rPr>
        <w:footnoteRef/>
      </w:r>
      <w:r w:rsidRPr="00916DF1">
        <w:rPr>
          <w:rFonts w:ascii="Verdana" w:hAnsi="Verdana"/>
          <w:sz w:val="16"/>
          <w:szCs w:val="16"/>
        </w:rPr>
        <w:t xml:space="preserve"> Artículo 17 de la Ley 1150 de 2007</w:t>
      </w:r>
    </w:p>
    <w:p w14:paraId="7DEC20CB" w14:textId="77777777" w:rsidR="007E4168" w:rsidRPr="00916DF1" w:rsidRDefault="007E4168" w:rsidP="007E4168">
      <w:pPr>
        <w:pStyle w:val="Textonotapie"/>
        <w:ind w:firstLine="708"/>
        <w:jc w:val="both"/>
        <w:rPr>
          <w:rFonts w:ascii="Verdana" w:hAnsi="Verdana"/>
          <w:sz w:val="16"/>
          <w:szCs w:val="16"/>
          <w:lang w:val="es-CO"/>
        </w:rPr>
      </w:pPr>
    </w:p>
  </w:footnote>
  <w:footnote w:id="3">
    <w:p w14:paraId="66B30953" w14:textId="77777777" w:rsidR="007E4168" w:rsidRPr="00916DF1" w:rsidRDefault="007E4168" w:rsidP="007E4168">
      <w:pPr>
        <w:pStyle w:val="Textonotapie"/>
        <w:ind w:firstLine="708"/>
        <w:jc w:val="both"/>
        <w:rPr>
          <w:rFonts w:ascii="Verdana" w:hAnsi="Verdana"/>
          <w:sz w:val="16"/>
          <w:szCs w:val="16"/>
        </w:rPr>
      </w:pPr>
      <w:r w:rsidRPr="00916DF1">
        <w:rPr>
          <w:rStyle w:val="Refdenotaalpie"/>
          <w:rFonts w:ascii="Verdana" w:hAnsi="Verdana"/>
          <w:sz w:val="16"/>
          <w:szCs w:val="16"/>
        </w:rPr>
        <w:footnoteRef/>
      </w:r>
      <w:r w:rsidRPr="00916DF1">
        <w:rPr>
          <w:rFonts w:ascii="Verdana" w:hAnsi="Verdana"/>
          <w:sz w:val="16"/>
          <w:szCs w:val="16"/>
        </w:rPr>
        <w:t xml:space="preserve"> Artículo 21 de la Ley 1150 de 2007</w:t>
      </w:r>
    </w:p>
    <w:p w14:paraId="7D799F79" w14:textId="77777777" w:rsidR="007E4168" w:rsidRPr="00916DF1" w:rsidRDefault="007E4168" w:rsidP="007E4168">
      <w:pPr>
        <w:pStyle w:val="Textonotapie"/>
        <w:ind w:firstLine="708"/>
        <w:jc w:val="both"/>
        <w:rPr>
          <w:rFonts w:ascii="Verdana" w:hAnsi="Verdana"/>
          <w:sz w:val="16"/>
          <w:szCs w:val="16"/>
          <w:lang w:val="es-CO"/>
        </w:rPr>
      </w:pPr>
    </w:p>
  </w:footnote>
  <w:footnote w:id="4">
    <w:p w14:paraId="3DE7DB7E" w14:textId="77777777" w:rsidR="007E4168" w:rsidRPr="00916DF1" w:rsidRDefault="007E4168" w:rsidP="007E4168">
      <w:pPr>
        <w:pStyle w:val="Textonotapie"/>
        <w:ind w:firstLine="708"/>
        <w:jc w:val="both"/>
        <w:rPr>
          <w:rFonts w:ascii="Verdana" w:hAnsi="Verdana"/>
          <w:sz w:val="16"/>
          <w:szCs w:val="16"/>
        </w:rPr>
      </w:pPr>
      <w:r w:rsidRPr="00916DF1">
        <w:rPr>
          <w:rStyle w:val="Refdenotaalpie"/>
          <w:rFonts w:ascii="Verdana" w:hAnsi="Verdana"/>
          <w:sz w:val="16"/>
          <w:szCs w:val="16"/>
        </w:rPr>
        <w:footnoteRef/>
      </w:r>
      <w:r w:rsidRPr="00916DF1">
        <w:rPr>
          <w:rFonts w:ascii="Verdana" w:hAnsi="Verdana"/>
          <w:sz w:val="16"/>
          <w:szCs w:val="16"/>
        </w:rPr>
        <w:t xml:space="preserve"> Artículos 83 a 86 de la Ley 1474 de 2011</w:t>
      </w:r>
    </w:p>
    <w:p w14:paraId="02DC5867" w14:textId="77777777" w:rsidR="007E4168" w:rsidRPr="00916DF1" w:rsidRDefault="007E4168" w:rsidP="007E4168">
      <w:pPr>
        <w:pStyle w:val="Textonotapie"/>
        <w:ind w:firstLine="708"/>
        <w:jc w:val="both"/>
        <w:rPr>
          <w:rFonts w:ascii="Verdana" w:hAnsi="Verdana"/>
          <w:sz w:val="16"/>
          <w:szCs w:val="16"/>
          <w:lang w:val="es-CO"/>
        </w:rPr>
      </w:pPr>
    </w:p>
  </w:footnote>
  <w:footnote w:id="5">
    <w:p w14:paraId="5A3822E9" w14:textId="77777777" w:rsidR="007E4168" w:rsidRPr="00916DF1" w:rsidRDefault="007E4168" w:rsidP="007E4168">
      <w:pPr>
        <w:pStyle w:val="Textonotapie"/>
        <w:ind w:firstLine="708"/>
        <w:jc w:val="both"/>
        <w:rPr>
          <w:rFonts w:ascii="Verdana" w:hAnsi="Verdana"/>
          <w:sz w:val="16"/>
          <w:szCs w:val="16"/>
        </w:rPr>
      </w:pPr>
      <w:r w:rsidRPr="00916DF1">
        <w:rPr>
          <w:rStyle w:val="Refdenotaalpie"/>
          <w:rFonts w:ascii="Verdana" w:hAnsi="Verdana"/>
          <w:sz w:val="16"/>
          <w:szCs w:val="16"/>
        </w:rPr>
        <w:footnoteRef/>
      </w:r>
      <w:r w:rsidRPr="00916DF1">
        <w:rPr>
          <w:rFonts w:ascii="Verdana" w:hAnsi="Verdana"/>
          <w:sz w:val="16"/>
          <w:szCs w:val="16"/>
        </w:rPr>
        <w:t xml:space="preserve"> Consejo de Estado. Sección 3ª. Sentencia del 27 de noviembre de 2017. M.P. Jaime Orlando</w:t>
      </w:r>
    </w:p>
    <w:p w14:paraId="36A02707" w14:textId="77777777" w:rsidR="007E4168" w:rsidRPr="00916DF1" w:rsidRDefault="007E4168" w:rsidP="007E4168">
      <w:pPr>
        <w:pStyle w:val="Textonotapie"/>
        <w:jc w:val="both"/>
        <w:rPr>
          <w:rFonts w:ascii="Verdana" w:hAnsi="Verdana"/>
          <w:sz w:val="16"/>
          <w:szCs w:val="16"/>
        </w:rPr>
      </w:pPr>
      <w:r w:rsidRPr="00916DF1">
        <w:rPr>
          <w:rFonts w:ascii="Verdana" w:hAnsi="Verdana"/>
          <w:sz w:val="16"/>
          <w:szCs w:val="16"/>
        </w:rPr>
        <w:t>Santofimio. Exp. 51.802</w:t>
      </w:r>
    </w:p>
    <w:p w14:paraId="390614FB" w14:textId="77777777" w:rsidR="007E4168" w:rsidRPr="00916DF1" w:rsidRDefault="007E4168" w:rsidP="007E4168">
      <w:pPr>
        <w:pStyle w:val="Textonotapie"/>
        <w:jc w:val="both"/>
        <w:rPr>
          <w:rFonts w:ascii="Verdana" w:hAnsi="Verdana"/>
          <w:sz w:val="16"/>
          <w:szCs w:val="16"/>
          <w:lang w:val="es-CO"/>
        </w:rPr>
      </w:pPr>
    </w:p>
  </w:footnote>
  <w:footnote w:id="6">
    <w:p w14:paraId="395FA811" w14:textId="77777777" w:rsidR="007E4168" w:rsidRPr="00916DF1" w:rsidRDefault="007E4168" w:rsidP="007E4168">
      <w:pPr>
        <w:pStyle w:val="Textonotapie"/>
        <w:ind w:firstLine="708"/>
        <w:jc w:val="both"/>
        <w:rPr>
          <w:rFonts w:ascii="Verdana" w:hAnsi="Verdana"/>
          <w:sz w:val="16"/>
          <w:szCs w:val="16"/>
        </w:rPr>
      </w:pPr>
      <w:r w:rsidRPr="00916DF1">
        <w:rPr>
          <w:rStyle w:val="Refdenotaalpie"/>
          <w:rFonts w:ascii="Verdana" w:hAnsi="Verdana"/>
          <w:sz w:val="16"/>
          <w:szCs w:val="16"/>
        </w:rPr>
        <w:footnoteRef/>
      </w:r>
      <w:r w:rsidRPr="00916DF1">
        <w:rPr>
          <w:rFonts w:ascii="Verdana" w:hAnsi="Verdana"/>
          <w:sz w:val="16"/>
          <w:szCs w:val="16"/>
        </w:rPr>
        <w:t xml:space="preserve"> Artículo 83 de la Ley 1474 de 2011</w:t>
      </w:r>
    </w:p>
    <w:p w14:paraId="25BF6793" w14:textId="77777777" w:rsidR="007E4168" w:rsidRPr="00916DF1" w:rsidRDefault="007E4168" w:rsidP="007E4168">
      <w:pPr>
        <w:pStyle w:val="Textonotapie"/>
        <w:ind w:firstLine="708"/>
        <w:jc w:val="both"/>
        <w:rPr>
          <w:rFonts w:ascii="Verdana" w:hAnsi="Verdana"/>
          <w:sz w:val="16"/>
          <w:szCs w:val="16"/>
          <w:lang w:val="es-CO"/>
        </w:rPr>
      </w:pPr>
    </w:p>
  </w:footnote>
  <w:footnote w:id="7">
    <w:p w14:paraId="3AF52C3F" w14:textId="77777777" w:rsidR="007E4168" w:rsidRPr="00916DF1" w:rsidRDefault="007E4168" w:rsidP="007E4168">
      <w:pPr>
        <w:pStyle w:val="Textonotapie"/>
        <w:ind w:firstLine="708"/>
        <w:jc w:val="both"/>
        <w:rPr>
          <w:rFonts w:ascii="Verdana" w:hAnsi="Verdana"/>
          <w:sz w:val="16"/>
          <w:szCs w:val="16"/>
        </w:rPr>
      </w:pPr>
      <w:r w:rsidRPr="00916DF1">
        <w:rPr>
          <w:rStyle w:val="Refdenotaalpie"/>
          <w:rFonts w:ascii="Verdana" w:hAnsi="Verdana"/>
          <w:sz w:val="16"/>
          <w:szCs w:val="16"/>
        </w:rPr>
        <w:footnoteRef/>
      </w:r>
      <w:r w:rsidRPr="00916DF1">
        <w:rPr>
          <w:rFonts w:ascii="Verdana" w:hAnsi="Verdana"/>
          <w:sz w:val="16"/>
          <w:szCs w:val="16"/>
        </w:rPr>
        <w:t xml:space="preserve"> A excepción de la interventoría del contrato de obra adjudicado por licitación pública que es</w:t>
      </w:r>
    </w:p>
    <w:p w14:paraId="6AAF4F6A" w14:textId="77777777" w:rsidR="007E4168" w:rsidRPr="00916DF1" w:rsidRDefault="007E4168" w:rsidP="007E4168">
      <w:pPr>
        <w:pStyle w:val="Textonotapie"/>
        <w:ind w:firstLine="708"/>
        <w:jc w:val="both"/>
        <w:rPr>
          <w:rFonts w:ascii="Verdana" w:hAnsi="Verdana"/>
          <w:sz w:val="16"/>
          <w:szCs w:val="16"/>
          <w:lang w:val="es-CO"/>
        </w:rPr>
      </w:pPr>
      <w:r w:rsidRPr="00916DF1">
        <w:rPr>
          <w:rFonts w:ascii="Verdana" w:hAnsi="Verdana"/>
          <w:sz w:val="16"/>
          <w:szCs w:val="16"/>
        </w:rPr>
        <w:t>obligatoria según el numeral 1° del artículo 32 de la Ley 80 de 1993.</w:t>
      </w:r>
    </w:p>
  </w:footnote>
  <w:footnote w:id="8">
    <w:p w14:paraId="6286903D" w14:textId="77777777" w:rsidR="007E4168" w:rsidRPr="0087460F" w:rsidRDefault="007E4168" w:rsidP="007E4168">
      <w:pPr>
        <w:pStyle w:val="Textonotapie"/>
        <w:adjustRightInd w:val="0"/>
        <w:snapToGrid w:val="0"/>
        <w:ind w:firstLine="709"/>
        <w:jc w:val="both"/>
        <w:rPr>
          <w:rFonts w:ascii="Verdana" w:hAnsi="Verdana" w:cs="Arial"/>
          <w:color w:val="161616"/>
          <w:sz w:val="16"/>
          <w:szCs w:val="16"/>
        </w:rPr>
      </w:pPr>
      <w:r w:rsidRPr="00FD0A03">
        <w:rPr>
          <w:rStyle w:val="Refdenotaalpie"/>
          <w:rFonts w:ascii="Verdana" w:hAnsi="Verdana"/>
          <w:sz w:val="16"/>
          <w:szCs w:val="16"/>
        </w:rPr>
        <w:footnoteRef/>
      </w:r>
      <w:r w:rsidRPr="00FD0A03">
        <w:rPr>
          <w:rFonts w:ascii="Verdana" w:hAnsi="Verdana"/>
          <w:sz w:val="16"/>
          <w:szCs w:val="16"/>
        </w:rPr>
        <w:t xml:space="preserve"> </w:t>
      </w:r>
      <w:r w:rsidRPr="00FD0A03">
        <w:rPr>
          <w:rFonts w:ascii="Verdana" w:hAnsi="Verdana" w:cs="Arial"/>
          <w:color w:val="161616"/>
          <w:sz w:val="16"/>
          <w:szCs w:val="16"/>
        </w:rPr>
        <w:t>“Son también contratos de consultoría los que tienen por objeto la interventoría […]”</w:t>
      </w:r>
    </w:p>
  </w:footnote>
  <w:footnote w:id="9">
    <w:p w14:paraId="5F58623A" w14:textId="77777777" w:rsidR="007E4168" w:rsidRPr="0066394E" w:rsidRDefault="007E4168" w:rsidP="007E4168">
      <w:pPr>
        <w:pStyle w:val="Textonotapie"/>
        <w:ind w:firstLine="708"/>
        <w:contextualSpacing/>
        <w:jc w:val="both"/>
        <w:rPr>
          <w:rFonts w:ascii="Verdana" w:hAnsi="Verdana" w:cs="Arial"/>
          <w:color w:val="000000"/>
          <w:sz w:val="16"/>
          <w:szCs w:val="16"/>
        </w:rPr>
      </w:pPr>
      <w:r w:rsidRPr="0066394E">
        <w:rPr>
          <w:rStyle w:val="Refdenotaalpie"/>
          <w:rFonts w:ascii="Verdana" w:hAnsi="Verdana" w:cs="Arial"/>
          <w:color w:val="000000"/>
          <w:sz w:val="16"/>
          <w:szCs w:val="16"/>
        </w:rPr>
        <w:footnoteRef/>
      </w:r>
      <w:r w:rsidRPr="0066394E">
        <w:rPr>
          <w:rFonts w:ascii="Verdana" w:hAnsi="Verdana" w:cs="Arial"/>
          <w:color w:val="000000"/>
          <w:sz w:val="16"/>
          <w:szCs w:val="16"/>
        </w:rPr>
        <w:t xml:space="preserve"> </w:t>
      </w:r>
      <w:r w:rsidRPr="0066394E">
        <w:rPr>
          <w:rFonts w:ascii="Verdana" w:hAnsi="Verdana" w:cs="Arial"/>
          <w:iCs/>
          <w:color w:val="000000"/>
          <w:sz w:val="16"/>
          <w:szCs w:val="16"/>
        </w:rPr>
        <w:t>Departamento Administrativo de la Función Pública. Concepto del 6 de mayo de 2019. Rad. 140.881.</w:t>
      </w:r>
    </w:p>
    <w:p w14:paraId="5CBD44C1" w14:textId="77777777" w:rsidR="007E4168" w:rsidRPr="0066394E" w:rsidRDefault="007E4168" w:rsidP="007E4168">
      <w:pPr>
        <w:pStyle w:val="Textonotapie"/>
        <w:contextualSpacing/>
        <w:jc w:val="both"/>
        <w:rPr>
          <w:rFonts w:ascii="Verdana" w:hAnsi="Verdana" w:cs="Arial"/>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795A" w14:textId="77777777" w:rsidR="007E4168" w:rsidRDefault="007E4168" w:rsidP="006F41A4">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5CFEEA67" wp14:editId="3A736B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8240" behindDoc="0" locked="0" layoutInCell="1" allowOverlap="1" wp14:anchorId="78EC1D2A" wp14:editId="1527D0CB">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74535858" w14:textId="77777777" w:rsidR="007E4168" w:rsidRDefault="007E4168">
    <w:pPr>
      <w:pStyle w:val="Encabezado"/>
    </w:pPr>
  </w:p>
  <w:p w14:paraId="3C712254" w14:textId="77777777" w:rsidR="007E4168" w:rsidRPr="004A305D" w:rsidRDefault="007E4168" w:rsidP="006F41A4">
    <w:pPr>
      <w:spacing w:after="0" w:line="120" w:lineRule="auto"/>
      <w:rPr>
        <w:rFonts w:ascii="Century Gothic" w:eastAsia="Geo" w:hAnsi="Century Gothic" w:cs="Geo"/>
        <w:sz w:val="16"/>
        <w:szCs w:val="16"/>
        <w:lang w:eastAsia="es-CO"/>
      </w:rPr>
    </w:pPr>
  </w:p>
  <w:p w14:paraId="5B3EBBD1" w14:textId="77777777" w:rsidR="007E4168" w:rsidRDefault="007E4168" w:rsidP="006F41A4">
    <w:pPr>
      <w:spacing w:after="0" w:line="240" w:lineRule="auto"/>
      <w:rPr>
        <w:rFonts w:ascii="Verdana" w:hAnsi="Verdana"/>
        <w:sz w:val="24"/>
        <w:szCs w:val="24"/>
      </w:rPr>
    </w:pPr>
  </w:p>
  <w:p w14:paraId="10B82FD3" w14:textId="77777777" w:rsidR="007E4168" w:rsidRPr="00C925AC" w:rsidRDefault="007E4168" w:rsidP="006F41A4">
    <w:pPr>
      <w:spacing w:after="0" w:line="240" w:lineRule="auto"/>
      <w:rPr>
        <w:rFonts w:ascii="Verdana" w:hAnsi="Verdana"/>
        <w:sz w:val="24"/>
        <w:szCs w:val="24"/>
      </w:rPr>
    </w:pPr>
  </w:p>
  <w:p w14:paraId="050F5E8A" w14:textId="77777777" w:rsidR="007E4168" w:rsidRPr="00C925AC" w:rsidRDefault="007E4168" w:rsidP="006F41A4">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68"/>
    <w:rsid w:val="000911A0"/>
    <w:rsid w:val="00166E93"/>
    <w:rsid w:val="001A5B55"/>
    <w:rsid w:val="00201F8C"/>
    <w:rsid w:val="0043447D"/>
    <w:rsid w:val="004A6C87"/>
    <w:rsid w:val="00595736"/>
    <w:rsid w:val="005D3925"/>
    <w:rsid w:val="005F13CC"/>
    <w:rsid w:val="006F41A4"/>
    <w:rsid w:val="007E4168"/>
    <w:rsid w:val="007F366C"/>
    <w:rsid w:val="009146C8"/>
    <w:rsid w:val="00923B5D"/>
    <w:rsid w:val="00B72136"/>
    <w:rsid w:val="00B94FB0"/>
    <w:rsid w:val="00C03A8C"/>
    <w:rsid w:val="00CF2D41"/>
    <w:rsid w:val="681D626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16E7"/>
  <w15:chartTrackingRefBased/>
  <w15:docId w15:val="{C6A7B19A-4644-4E52-86B3-605523E7C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168"/>
    <w:pPr>
      <w:spacing w:line="259" w:lineRule="auto"/>
    </w:pPr>
    <w:rPr>
      <w:kern w:val="0"/>
      <w:sz w:val="22"/>
      <w:szCs w:val="22"/>
      <w14:ligatures w14:val="none"/>
    </w:rPr>
  </w:style>
  <w:style w:type="paragraph" w:styleId="Ttulo1">
    <w:name w:val="heading 1"/>
    <w:basedOn w:val="Normal"/>
    <w:next w:val="Normal"/>
    <w:link w:val="Ttulo1Car"/>
    <w:uiPriority w:val="9"/>
    <w:qFormat/>
    <w:rsid w:val="007E4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E4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E416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E416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E416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E416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E416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E416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E416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416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E416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E416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E416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E416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E416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E416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E416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E4168"/>
    <w:rPr>
      <w:rFonts w:eastAsiaTheme="majorEastAsia" w:cstheme="majorBidi"/>
      <w:color w:val="272727" w:themeColor="text1" w:themeTint="D8"/>
    </w:rPr>
  </w:style>
  <w:style w:type="paragraph" w:styleId="Ttulo">
    <w:name w:val="Title"/>
    <w:basedOn w:val="Normal"/>
    <w:next w:val="Normal"/>
    <w:link w:val="TtuloCar"/>
    <w:uiPriority w:val="10"/>
    <w:qFormat/>
    <w:rsid w:val="007E4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41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E416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E41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E4168"/>
    <w:pPr>
      <w:spacing w:before="160"/>
      <w:jc w:val="center"/>
    </w:pPr>
    <w:rPr>
      <w:i/>
      <w:iCs/>
      <w:color w:val="404040" w:themeColor="text1" w:themeTint="BF"/>
    </w:rPr>
  </w:style>
  <w:style w:type="character" w:customStyle="1" w:styleId="CitaCar">
    <w:name w:val="Cita Car"/>
    <w:basedOn w:val="Fuentedeprrafopredeter"/>
    <w:link w:val="Cita"/>
    <w:uiPriority w:val="29"/>
    <w:rsid w:val="007E4168"/>
    <w:rPr>
      <w:i/>
      <w:iCs/>
      <w:color w:val="404040" w:themeColor="text1" w:themeTint="BF"/>
    </w:rPr>
  </w:style>
  <w:style w:type="paragraph" w:styleId="Prrafodelista">
    <w:name w:val="List Paragraph"/>
    <w:basedOn w:val="Normal"/>
    <w:uiPriority w:val="34"/>
    <w:qFormat/>
    <w:rsid w:val="007E4168"/>
    <w:pPr>
      <w:ind w:left="720"/>
      <w:contextualSpacing/>
    </w:pPr>
  </w:style>
  <w:style w:type="character" w:styleId="nfasisintenso">
    <w:name w:val="Intense Emphasis"/>
    <w:basedOn w:val="Fuentedeprrafopredeter"/>
    <w:uiPriority w:val="21"/>
    <w:qFormat/>
    <w:rsid w:val="007E4168"/>
    <w:rPr>
      <w:i/>
      <w:iCs/>
      <w:color w:val="0F4761" w:themeColor="accent1" w:themeShade="BF"/>
    </w:rPr>
  </w:style>
  <w:style w:type="paragraph" w:styleId="Citadestacada">
    <w:name w:val="Intense Quote"/>
    <w:basedOn w:val="Normal"/>
    <w:next w:val="Normal"/>
    <w:link w:val="CitadestacadaCar"/>
    <w:uiPriority w:val="30"/>
    <w:qFormat/>
    <w:rsid w:val="007E4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E4168"/>
    <w:rPr>
      <w:i/>
      <w:iCs/>
      <w:color w:val="0F4761" w:themeColor="accent1" w:themeShade="BF"/>
    </w:rPr>
  </w:style>
  <w:style w:type="character" w:styleId="Referenciaintensa">
    <w:name w:val="Intense Reference"/>
    <w:basedOn w:val="Fuentedeprrafopredeter"/>
    <w:uiPriority w:val="32"/>
    <w:qFormat/>
    <w:rsid w:val="007E4168"/>
    <w:rPr>
      <w:b/>
      <w:bCs/>
      <w:smallCaps/>
      <w:color w:val="0F4761" w:themeColor="accent1" w:themeShade="BF"/>
      <w:spacing w:val="5"/>
    </w:rPr>
  </w:style>
  <w:style w:type="paragraph" w:styleId="Encabezado">
    <w:name w:val="header"/>
    <w:basedOn w:val="Normal"/>
    <w:link w:val="EncabezadoCar"/>
    <w:uiPriority w:val="99"/>
    <w:unhideWhenUsed/>
    <w:rsid w:val="007E41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4168"/>
    <w:rPr>
      <w:kern w:val="0"/>
      <w:sz w:val="22"/>
      <w:szCs w:val="22"/>
      <w14:ligatures w14:val="none"/>
    </w:rPr>
  </w:style>
  <w:style w:type="paragraph" w:styleId="Piedepgina">
    <w:name w:val="footer"/>
    <w:basedOn w:val="Normal"/>
    <w:link w:val="PiedepginaCar"/>
    <w:uiPriority w:val="99"/>
    <w:unhideWhenUsed/>
    <w:rsid w:val="007E41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4168"/>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7E416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7E4168"/>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7E4168"/>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7E4168"/>
    <w:rPr>
      <w:vertAlign w:val="superscript"/>
    </w:rPr>
  </w:style>
  <w:style w:type="table" w:styleId="Tablaconcuadrcula">
    <w:name w:val="Table Grid"/>
    <w:basedOn w:val="Tablanormal"/>
    <w:uiPriority w:val="39"/>
    <w:qFormat/>
    <w:rsid w:val="007E416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E4168"/>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7E416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olombiacompra.gov.co/wp-content/uploads/2024/08/2018-Guia-para-el-ejercicio-de-las-funciones-de-supervision-e-interventoria-de-los-contratos-suscritos-por-las-Entidades-Estatales-G-EFSICE-02.pdf"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ntramunenvigado@gmail.com"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98F097-F12F-4FBE-ACC6-CCDAA4F202D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F3DFA87F-D7CF-456D-9ED0-5F64E3034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DFEFAF-DFC4-408E-807C-02F03B88DF1A}">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5636</Words>
  <Characters>31002</Characters>
  <Application>Microsoft Office Word</Application>
  <DocSecurity>0</DocSecurity>
  <Lines>258</Lines>
  <Paragraphs>73</Paragraphs>
  <ScaleCrop>false</ScaleCrop>
  <Company/>
  <LinksUpToDate>false</LinksUpToDate>
  <CharactersWithSpaces>36565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Betty Elena Díaz Fernandez</cp:lastModifiedBy>
  <cp:revision>2</cp:revision>
  <dcterms:created xsi:type="dcterms:W3CDTF">2026-07-29T03:05:00Z</dcterms:created>
  <dcterms:modified xsi:type="dcterms:W3CDTF">2026-07-29T03:05:00Z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