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49B7C" w14:textId="5450C953" w:rsidR="00745DAC" w:rsidRPr="00745DAC" w:rsidRDefault="00745DAC" w:rsidP="00745DAC">
      <w:pPr>
        <w:spacing w:after="0" w:line="240" w:lineRule="auto"/>
        <w:jc w:val="both"/>
        <w:textAlignment w:val="baseline"/>
        <w:rPr>
          <w:rFonts w:ascii="Verdana" w:eastAsia="Verdana" w:hAnsi="Verdana" w:cs="Verdana"/>
          <w:b/>
          <w:bCs/>
          <w:lang w:val="es"/>
        </w:rPr>
      </w:pPr>
      <w:r w:rsidRPr="00745DAC">
        <w:rPr>
          <w:rFonts w:ascii="Verdana" w:eastAsia="Verdana" w:hAnsi="Verdana" w:cs="Verdana"/>
          <w:b/>
          <w:bCs/>
          <w:lang w:val="es"/>
        </w:rPr>
        <w:t>RÉGIMEN DE CONTRATACIÓN ESTATAL – Principios – Inhabilidades – Carácter taxativo</w:t>
      </w:r>
    </w:p>
    <w:p w14:paraId="01DDA35E" w14:textId="77777777" w:rsidR="00745DAC" w:rsidRPr="00745DAC" w:rsidRDefault="00745DAC" w:rsidP="00745DAC">
      <w:pPr>
        <w:spacing w:after="0" w:line="240" w:lineRule="auto"/>
        <w:jc w:val="both"/>
        <w:textAlignment w:val="baseline"/>
        <w:rPr>
          <w:rFonts w:ascii="Verdana" w:eastAsia="Verdana" w:hAnsi="Verdana" w:cs="Verdana"/>
          <w:sz w:val="20"/>
          <w:szCs w:val="20"/>
          <w:lang w:val="es"/>
        </w:rPr>
      </w:pPr>
    </w:p>
    <w:p w14:paraId="201DCDD0" w14:textId="77777777" w:rsidR="00745DAC" w:rsidRPr="00745DAC" w:rsidRDefault="00745DAC" w:rsidP="00745DAC">
      <w:pPr>
        <w:spacing w:after="0" w:line="240" w:lineRule="auto"/>
        <w:jc w:val="both"/>
        <w:textAlignment w:val="baseline"/>
        <w:rPr>
          <w:rFonts w:ascii="Verdana" w:eastAsia="Verdana" w:hAnsi="Verdana" w:cs="Verdana"/>
          <w:sz w:val="20"/>
          <w:szCs w:val="20"/>
          <w:lang w:val="es"/>
        </w:rPr>
      </w:pPr>
      <w:r w:rsidRPr="00745DAC">
        <w:rPr>
          <w:rFonts w:ascii="Verdana" w:eastAsia="Verdana" w:hAnsi="Verdana" w:cs="Verdana"/>
          <w:sz w:val="20"/>
          <w:szCs w:val="20"/>
          <w:lang w:val="es"/>
        </w:rPr>
        <w:t>La participación en los procesos de contratación estatal se rige por los principios de libre concurrencia, igualdad, transparencia y selección objetiva, razón por la cual toda restricción al derecho de participar constituye una excepción que debe encontrarse expresamente prevista en la Constitución o en la ley. En consecuencia, las inhabilidades e incompatibilidades son de creación exclusivamente constitucional o legal, tienen carácter taxativo y son de interpretación restrictiva, sin que resulte admisible extenderlas por analogía a supuestos no contemplados expresamente por el legislador.</w:t>
      </w:r>
    </w:p>
    <w:p w14:paraId="326D7842" w14:textId="77777777" w:rsidR="00745DAC" w:rsidRPr="00745DAC" w:rsidRDefault="00745DAC" w:rsidP="00745DAC">
      <w:pPr>
        <w:spacing w:after="0" w:line="240" w:lineRule="auto"/>
        <w:jc w:val="both"/>
        <w:textAlignment w:val="baseline"/>
        <w:rPr>
          <w:rFonts w:ascii="Verdana" w:eastAsia="Verdana" w:hAnsi="Verdana" w:cs="Verdana"/>
          <w:sz w:val="20"/>
          <w:szCs w:val="20"/>
          <w:lang w:val="es"/>
        </w:rPr>
      </w:pPr>
    </w:p>
    <w:p w14:paraId="2CAB51B2" w14:textId="77777777" w:rsidR="00745DAC" w:rsidRPr="00745DAC" w:rsidRDefault="00745DAC" w:rsidP="00745DAC">
      <w:pPr>
        <w:spacing w:after="0" w:line="240" w:lineRule="auto"/>
        <w:jc w:val="both"/>
        <w:textAlignment w:val="baseline"/>
        <w:rPr>
          <w:rFonts w:ascii="Verdana" w:eastAsia="Verdana" w:hAnsi="Verdana" w:cs="Verdana"/>
          <w:b/>
          <w:bCs/>
          <w:lang w:val="es"/>
        </w:rPr>
      </w:pPr>
      <w:r w:rsidRPr="00745DAC">
        <w:rPr>
          <w:rFonts w:ascii="Verdana" w:eastAsia="Verdana" w:hAnsi="Verdana" w:cs="Verdana"/>
          <w:b/>
          <w:bCs/>
          <w:lang w:val="es"/>
        </w:rPr>
        <w:t>INHABILIDADES – Literales g) y h) del numeral 1 del artículo 8 de la Ley 80 de 1993 – Concurrencia de sociedades vinculadas – No configuración</w:t>
      </w:r>
    </w:p>
    <w:p w14:paraId="4369EBB6" w14:textId="77777777" w:rsidR="00745DAC" w:rsidRPr="00745DAC" w:rsidRDefault="00745DAC" w:rsidP="00745DAC">
      <w:pPr>
        <w:spacing w:after="0" w:line="240" w:lineRule="auto"/>
        <w:jc w:val="both"/>
        <w:textAlignment w:val="baseline"/>
        <w:rPr>
          <w:rFonts w:ascii="Verdana" w:eastAsia="Verdana" w:hAnsi="Verdana" w:cs="Verdana"/>
          <w:b/>
          <w:bCs/>
          <w:lang w:val="es"/>
        </w:rPr>
      </w:pPr>
    </w:p>
    <w:p w14:paraId="626EF587" w14:textId="77777777" w:rsidR="00745DAC" w:rsidRPr="00745DAC" w:rsidRDefault="00745DAC" w:rsidP="00745DAC">
      <w:pPr>
        <w:spacing w:after="0" w:line="240" w:lineRule="auto"/>
        <w:jc w:val="both"/>
        <w:textAlignment w:val="baseline"/>
        <w:rPr>
          <w:rFonts w:ascii="Verdana" w:eastAsia="Verdana" w:hAnsi="Verdana" w:cs="Verdana"/>
          <w:sz w:val="20"/>
          <w:szCs w:val="20"/>
          <w:lang w:val="es"/>
        </w:rPr>
      </w:pPr>
      <w:r w:rsidRPr="00745DAC">
        <w:rPr>
          <w:rFonts w:ascii="Verdana" w:eastAsia="Verdana" w:hAnsi="Verdana" w:cs="Verdana"/>
          <w:sz w:val="20"/>
          <w:szCs w:val="20"/>
          <w:lang w:val="es"/>
        </w:rPr>
        <w:t>La circunstancia consistente en que una misma persona natural ostente simultáneamente la representación legal y la participación accionaria mayoritaria de dos sociedades que presentan ofertas dentro de un mismo procedimiento de selección no configura las inhabilidades previstas en los literales g) y h) del numeral 1 del artículo 8 de la Ley 80 de 1993. Tales causales se estructuran sobre la existencia de vínculos de matrimonio, unión permanente o parentesco entre personas distintas que concurren al mismo procedimiento, supuesto que no se presenta cuando una sola persona ejerce el control de dos personas jurídicas diferentes.</w:t>
      </w:r>
    </w:p>
    <w:p w14:paraId="55CE3008" w14:textId="77777777" w:rsidR="00745DAC" w:rsidRPr="00745DAC" w:rsidRDefault="00745DAC" w:rsidP="00745DAC">
      <w:pPr>
        <w:spacing w:after="0" w:line="240" w:lineRule="auto"/>
        <w:jc w:val="both"/>
        <w:textAlignment w:val="baseline"/>
        <w:rPr>
          <w:rFonts w:ascii="Verdana" w:eastAsia="Verdana" w:hAnsi="Verdana" w:cs="Verdana"/>
          <w:sz w:val="20"/>
          <w:szCs w:val="20"/>
          <w:lang w:val="es"/>
        </w:rPr>
      </w:pPr>
    </w:p>
    <w:p w14:paraId="621583A3" w14:textId="77777777" w:rsidR="00745DAC" w:rsidRPr="00745DAC" w:rsidRDefault="00745DAC" w:rsidP="00745DAC">
      <w:pPr>
        <w:spacing w:after="0" w:line="240" w:lineRule="auto"/>
        <w:jc w:val="both"/>
        <w:textAlignment w:val="baseline"/>
        <w:rPr>
          <w:rFonts w:ascii="Verdana" w:eastAsia="Verdana" w:hAnsi="Verdana" w:cs="Verdana"/>
          <w:b/>
          <w:bCs/>
          <w:lang w:val="es"/>
        </w:rPr>
      </w:pPr>
      <w:r w:rsidRPr="00745DAC">
        <w:rPr>
          <w:rFonts w:ascii="Verdana" w:eastAsia="Verdana" w:hAnsi="Verdana" w:cs="Verdana"/>
          <w:b/>
          <w:bCs/>
          <w:lang w:val="es"/>
        </w:rPr>
        <w:t>SITUACIONES DE CONTROL – Deber de revelación de los proponentes – Deber de verificación de la entidad – Decreto 1600 de 2024</w:t>
      </w:r>
    </w:p>
    <w:p w14:paraId="6E67F128" w14:textId="77777777" w:rsidR="00745DAC" w:rsidRPr="00745DAC" w:rsidRDefault="00745DAC" w:rsidP="00745DAC">
      <w:pPr>
        <w:spacing w:after="0" w:line="240" w:lineRule="auto"/>
        <w:jc w:val="both"/>
        <w:textAlignment w:val="baseline"/>
        <w:rPr>
          <w:rFonts w:ascii="Verdana" w:eastAsia="Verdana" w:hAnsi="Verdana" w:cs="Verdana"/>
          <w:sz w:val="20"/>
          <w:szCs w:val="20"/>
          <w:lang w:val="es"/>
        </w:rPr>
      </w:pPr>
    </w:p>
    <w:p w14:paraId="7EE7B60E" w14:textId="77777777" w:rsidR="00745DAC" w:rsidRPr="00745DAC" w:rsidRDefault="00745DAC" w:rsidP="00745DAC">
      <w:pPr>
        <w:spacing w:after="0" w:line="240" w:lineRule="auto"/>
        <w:jc w:val="both"/>
        <w:textAlignment w:val="baseline"/>
        <w:rPr>
          <w:rFonts w:ascii="Verdana" w:eastAsia="Verdana" w:hAnsi="Verdana" w:cs="Verdana"/>
          <w:sz w:val="20"/>
          <w:szCs w:val="20"/>
          <w:lang w:val="es"/>
        </w:rPr>
      </w:pPr>
      <w:r w:rsidRPr="00745DAC">
        <w:rPr>
          <w:rFonts w:ascii="Verdana" w:eastAsia="Verdana" w:hAnsi="Verdana" w:cs="Verdana"/>
          <w:sz w:val="20"/>
          <w:szCs w:val="20"/>
          <w:lang w:val="es"/>
        </w:rPr>
        <w:t>Cuando una misma persona natural ostenta en dos sociedades la representación legal y una participación accionaria mayoritaria, se configura una situación de control en los términos de los artículos 260 y 261 del Código de Comercio. En el ámbito de la contratación estatal, el artículo 2.1.4.3.2.1 del Decreto 1081 de 2015, modificado por el Decreto 1600 de 2024, establece el deber de los proponentes de revelar dicha situación y el deber correlativo de las entidades de verificarla. Si del análisis correspondiente se advierten circunstancias que puedan afectar la libertad de concurrencia, la competencia o la pluralidad real de oferentes, la entidad debe evaluar la necesidad de poner tales hechos en conocimiento de los organismos competentes y solicitar, cuando corresponda, acompañamiento preventivo.</w:t>
      </w:r>
    </w:p>
    <w:p w14:paraId="1A404574" w14:textId="77777777" w:rsidR="00745DAC" w:rsidRPr="00745DAC" w:rsidRDefault="00745DAC" w:rsidP="00745DAC">
      <w:pPr>
        <w:spacing w:after="0" w:line="240" w:lineRule="auto"/>
        <w:jc w:val="both"/>
        <w:textAlignment w:val="baseline"/>
        <w:rPr>
          <w:rFonts w:ascii="Verdana" w:eastAsia="Verdana" w:hAnsi="Verdana" w:cs="Verdana"/>
          <w:sz w:val="20"/>
          <w:szCs w:val="20"/>
          <w:lang w:val="es"/>
        </w:rPr>
      </w:pPr>
    </w:p>
    <w:p w14:paraId="2EB52B1D" w14:textId="77777777" w:rsidR="00745DAC" w:rsidRPr="00745DAC" w:rsidRDefault="00745DAC" w:rsidP="00745DAC">
      <w:pPr>
        <w:spacing w:after="0" w:line="240" w:lineRule="auto"/>
        <w:jc w:val="both"/>
        <w:textAlignment w:val="baseline"/>
        <w:rPr>
          <w:rFonts w:ascii="Verdana" w:eastAsia="Verdana" w:hAnsi="Verdana" w:cs="Verdana"/>
          <w:b/>
          <w:bCs/>
          <w:lang w:val="es"/>
        </w:rPr>
      </w:pPr>
      <w:r w:rsidRPr="00745DAC">
        <w:rPr>
          <w:rFonts w:ascii="Verdana" w:eastAsia="Verdana" w:hAnsi="Verdana" w:cs="Verdana"/>
          <w:b/>
          <w:bCs/>
          <w:lang w:val="es"/>
        </w:rPr>
        <w:t>CAUSALES DE RECHAZO – Concurrencia de proponentes con representante legal y accionista mayoritario común – Límites de la potestad de configuración del pliego</w:t>
      </w:r>
    </w:p>
    <w:p w14:paraId="7743C54F" w14:textId="77777777" w:rsidR="00745DAC" w:rsidRPr="00745DAC" w:rsidRDefault="00745DAC" w:rsidP="00745DAC">
      <w:pPr>
        <w:spacing w:after="0" w:line="240" w:lineRule="auto"/>
        <w:jc w:val="both"/>
        <w:textAlignment w:val="baseline"/>
        <w:rPr>
          <w:rFonts w:ascii="Verdana" w:eastAsia="Verdana" w:hAnsi="Verdana" w:cs="Verdana"/>
          <w:sz w:val="20"/>
          <w:szCs w:val="20"/>
          <w:lang w:val="es"/>
        </w:rPr>
      </w:pPr>
    </w:p>
    <w:p w14:paraId="24AA8BFA" w14:textId="47FF38ED" w:rsidR="00127233" w:rsidRPr="0015699B" w:rsidRDefault="00745DAC" w:rsidP="00745DAC">
      <w:pPr>
        <w:spacing w:after="0" w:line="240" w:lineRule="auto"/>
        <w:jc w:val="both"/>
        <w:textAlignment w:val="baseline"/>
        <w:rPr>
          <w:rFonts w:ascii="Verdana" w:eastAsia="Verdana" w:hAnsi="Verdana" w:cs="Verdana"/>
          <w:sz w:val="20"/>
          <w:szCs w:val="20"/>
          <w:lang w:val="es"/>
        </w:rPr>
      </w:pPr>
      <w:r w:rsidRPr="00745DAC">
        <w:rPr>
          <w:rFonts w:ascii="Verdana" w:eastAsia="Verdana" w:hAnsi="Verdana" w:cs="Verdana"/>
          <w:sz w:val="20"/>
          <w:szCs w:val="20"/>
          <w:lang w:val="es"/>
        </w:rPr>
        <w:t xml:space="preserve">Las entidades estatales pueden incorporar en los pliegos de condiciones causales de rechazo claras, expresas, razonables, esenciales y proporcionales, orientadas a preservar la autenticidad de la competencia y la comparación objetiva de las ofertas. Sin embargo, no pueden estructurar dichas causales sobre la sola circunstancia de que dos </w:t>
      </w:r>
      <w:r w:rsidRPr="00745DAC">
        <w:rPr>
          <w:rFonts w:ascii="Verdana" w:eastAsia="Verdana" w:hAnsi="Verdana" w:cs="Verdana"/>
          <w:sz w:val="20"/>
          <w:szCs w:val="20"/>
          <w:lang w:val="es"/>
        </w:rPr>
        <w:lastRenderedPageBreak/>
        <w:t>oferentes compartan representante legal o accionista mayoritario, pues ello equivaldría a crear una inhabilidad no prevista por el legislador. Las causales deben fundarse en circunstancias objetivas y verificables, tales como el incumplimiento del deber de declarar situaciones de control o la constatación de elementos que evidencien que las ofertas no fueron elaboradas de manera independiente, sin que corresponda a la entidad calificar la existencia de acuerdos colusorios, competencia atribuida a la Superintendencia de Industria y Comercio.</w:t>
      </w:r>
    </w:p>
    <w:p w14:paraId="7B80E780"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35A40036"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3E2D13B9"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40A4D717"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3528609A"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7444D45E"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3C87E5B0"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01423EDB"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639404A3"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77621F4D"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62256E99"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0C19F492"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4FB1002A"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0A47C18E"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0DDE7F95"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11149CBA"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04517184"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1C1A6F2B"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31C37FE3"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18941C2A"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4F511695"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41163228"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09D6371E"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6578DA38"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26CB6A9B"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08FBDA0D"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420553D1"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3A7A35F6"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0AD8E123"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1CC532A5"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055EBEF9"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527CFE42"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5F8B0194"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1151ABBC"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06E59C4A" w14:textId="77777777" w:rsidR="008F566F" w:rsidRDefault="008F566F" w:rsidP="40A87941">
      <w:pPr>
        <w:spacing w:after="0" w:line="240" w:lineRule="auto"/>
        <w:jc w:val="both"/>
        <w:textAlignment w:val="baseline"/>
        <w:rPr>
          <w:rFonts w:ascii="Verdana" w:eastAsia="Verdana" w:hAnsi="Verdana" w:cs="Verdana"/>
          <w:color w:val="000000" w:themeColor="text1"/>
          <w:lang w:val="es"/>
        </w:rPr>
      </w:pPr>
    </w:p>
    <w:p w14:paraId="43150D61" w14:textId="08C8C36A" w:rsidR="00127233" w:rsidRPr="0015699B" w:rsidRDefault="103A0385" w:rsidP="40A87941">
      <w:pPr>
        <w:spacing w:after="0" w:line="240"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lastRenderedPageBreak/>
        <w:t>Bogotá D.C., 2</w:t>
      </w:r>
      <w:r w:rsidR="39393384" w:rsidRPr="39124533">
        <w:rPr>
          <w:rFonts w:ascii="Verdana" w:eastAsia="Verdana" w:hAnsi="Verdana" w:cs="Verdana"/>
          <w:color w:val="000000" w:themeColor="text1"/>
          <w:lang w:val="es"/>
        </w:rPr>
        <w:t>4</w:t>
      </w:r>
      <w:r w:rsidRPr="39124533">
        <w:rPr>
          <w:rFonts w:ascii="Verdana" w:eastAsia="Verdana" w:hAnsi="Verdana" w:cs="Verdana"/>
          <w:color w:val="000000" w:themeColor="text1"/>
          <w:lang w:val="es"/>
        </w:rPr>
        <w:t xml:space="preserve"> de julio de 2026</w:t>
      </w:r>
    </w:p>
    <w:p w14:paraId="60EDB9AA" w14:textId="0A02BA50" w:rsidR="00127233" w:rsidRPr="0015699B" w:rsidRDefault="103A0385" w:rsidP="40A87941">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09C91FA1" w14:textId="193AE38E" w:rsidR="0034650C" w:rsidRDefault="00CA56C1" w:rsidP="00CA56C1">
      <w:pPr>
        <w:spacing w:after="0" w:line="240" w:lineRule="auto"/>
        <w:jc w:val="right"/>
        <w:textAlignment w:val="baseline"/>
        <w:rPr>
          <w:rFonts w:ascii="Verdana" w:eastAsia="Verdana" w:hAnsi="Verdana" w:cs="Verdana"/>
          <w:color w:val="000000" w:themeColor="text1"/>
          <w:lang w:val="es"/>
        </w:rPr>
      </w:pPr>
      <w:r>
        <w:rPr>
          <w:rFonts w:ascii="Verdana" w:eastAsia="Verdana" w:hAnsi="Verdana" w:cs="Verdana"/>
          <w:noProof/>
          <w:color w:val="000000" w:themeColor="text1"/>
          <w:lang w:val="es"/>
        </w:rPr>
        <w:drawing>
          <wp:inline distT="0" distB="0" distL="0" distR="0" wp14:anchorId="00CC955F" wp14:editId="7EA84A64">
            <wp:extent cx="2295525" cy="790575"/>
            <wp:effectExtent l="0" t="0" r="9525" b="9525"/>
            <wp:docPr id="12719673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5525" cy="790575"/>
                    </a:xfrm>
                    <a:prstGeom prst="rect">
                      <a:avLst/>
                    </a:prstGeom>
                    <a:noFill/>
                    <a:ln>
                      <a:noFill/>
                    </a:ln>
                  </pic:spPr>
                </pic:pic>
              </a:graphicData>
            </a:graphic>
          </wp:inline>
        </w:drawing>
      </w:r>
    </w:p>
    <w:p w14:paraId="0626DF5C" w14:textId="3E6C1E5A" w:rsidR="00127233" w:rsidRPr="00842DC4" w:rsidRDefault="103A0385" w:rsidP="40A87941">
      <w:pPr>
        <w:spacing w:after="0" w:line="240" w:lineRule="auto"/>
        <w:jc w:val="both"/>
        <w:textAlignment w:val="baseline"/>
        <w:rPr>
          <w:rFonts w:ascii="Verdana" w:eastAsia="Verdana" w:hAnsi="Verdana" w:cs="Verdana"/>
          <w:color w:val="000000" w:themeColor="text1"/>
          <w:lang w:val="es"/>
        </w:rPr>
      </w:pPr>
      <w:r w:rsidRPr="00842DC4">
        <w:rPr>
          <w:rFonts w:ascii="Verdana" w:eastAsia="Verdana" w:hAnsi="Verdana" w:cs="Verdana"/>
          <w:color w:val="000000" w:themeColor="text1"/>
          <w:lang w:val="es"/>
        </w:rPr>
        <w:t>Señor</w:t>
      </w:r>
    </w:p>
    <w:p w14:paraId="12824CA6" w14:textId="1BF84D4E" w:rsidR="00127233" w:rsidRPr="00842DC4" w:rsidRDefault="00842DC4" w:rsidP="40A87941">
      <w:pPr>
        <w:spacing w:after="0" w:line="240" w:lineRule="auto"/>
        <w:jc w:val="both"/>
        <w:textAlignment w:val="baseline"/>
        <w:rPr>
          <w:rFonts w:ascii="Verdana" w:eastAsia="Verdana" w:hAnsi="Verdana" w:cs="Verdana"/>
          <w:b/>
          <w:bCs/>
          <w:lang w:val="es"/>
        </w:rPr>
      </w:pPr>
      <w:r w:rsidRPr="00842DC4">
        <w:rPr>
          <w:rFonts w:ascii="Verdana" w:eastAsia="Verdana" w:hAnsi="Verdana" w:cs="Verdana"/>
          <w:b/>
          <w:bCs/>
          <w:lang w:val="es"/>
        </w:rPr>
        <w:t>Robinson Cerquera Manchola</w:t>
      </w:r>
    </w:p>
    <w:p w14:paraId="7F8F6AA0" w14:textId="66B07212" w:rsidR="00127233" w:rsidRPr="00842DC4" w:rsidRDefault="103A0385" w:rsidP="40A87941">
      <w:pPr>
        <w:spacing w:after="0" w:line="240" w:lineRule="auto"/>
        <w:jc w:val="both"/>
        <w:textAlignment w:val="baseline"/>
        <w:rPr>
          <w:rFonts w:ascii="Verdana" w:eastAsia="Verdana" w:hAnsi="Verdana" w:cs="Verdana"/>
          <w:lang w:val="es"/>
        </w:rPr>
      </w:pPr>
      <w:hyperlink r:id="rId12">
        <w:r w:rsidRPr="00842DC4">
          <w:rPr>
            <w:rStyle w:val="Hipervnculo"/>
            <w:rFonts w:ascii="Verdana" w:hAnsi="Verdana"/>
            <w:lang w:val="es"/>
          </w:rPr>
          <w:t>ing_rocer@hotmail.com</w:t>
        </w:r>
      </w:hyperlink>
      <w:r w:rsidRPr="00842DC4">
        <w:rPr>
          <w:rFonts w:ascii="Verdana" w:eastAsia="Verdana" w:hAnsi="Verdana" w:cs="Verdana"/>
          <w:lang w:val="es"/>
        </w:rPr>
        <w:t xml:space="preserve">  </w:t>
      </w:r>
    </w:p>
    <w:p w14:paraId="1917B1EB" w14:textId="6C1E73F2" w:rsidR="00127233" w:rsidRPr="00842DC4" w:rsidRDefault="103A0385" w:rsidP="40A87941">
      <w:pPr>
        <w:spacing w:after="0" w:line="240" w:lineRule="auto"/>
        <w:jc w:val="both"/>
        <w:textAlignment w:val="baseline"/>
        <w:rPr>
          <w:rFonts w:ascii="Verdana" w:eastAsia="Verdana" w:hAnsi="Verdana" w:cs="Verdana"/>
          <w:lang w:val="es"/>
        </w:rPr>
      </w:pPr>
      <w:r w:rsidRPr="00842DC4">
        <w:rPr>
          <w:rFonts w:ascii="Verdana" w:eastAsia="Verdana" w:hAnsi="Verdana" w:cs="Verdana"/>
          <w:lang w:val="es"/>
        </w:rPr>
        <w:t>Bogotá D.C.</w:t>
      </w:r>
    </w:p>
    <w:p w14:paraId="5D67C89D" w14:textId="7A290BD7" w:rsidR="00127233" w:rsidRPr="003D5882" w:rsidRDefault="103A0385" w:rsidP="40A87941">
      <w:pPr>
        <w:spacing w:after="0" w:line="240" w:lineRule="auto"/>
        <w:jc w:val="both"/>
        <w:textAlignment w:val="baseline"/>
        <w:rPr>
          <w:rFonts w:ascii="Verdana" w:hAnsi="Verdana"/>
        </w:rPr>
      </w:pPr>
      <w:r w:rsidRPr="39124533">
        <w:rPr>
          <w:rFonts w:ascii="Verdana" w:eastAsia="Verdana" w:hAnsi="Verdana" w:cs="Verdana"/>
          <w:b/>
          <w:bCs/>
          <w:color w:val="000000" w:themeColor="text1"/>
          <w:lang w:val="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540"/>
      </w:tblGrid>
      <w:tr w:rsidR="40A87941" w14:paraId="78D85A79" w14:textId="77777777" w:rsidTr="39124533">
        <w:trPr>
          <w:trHeight w:val="615"/>
        </w:trPr>
        <w:tc>
          <w:tcPr>
            <w:tcW w:w="2265" w:type="dxa"/>
            <w:shd w:val="clear" w:color="auto" w:fill="FFFFFF" w:themeFill="background1"/>
            <w:tcMar>
              <w:left w:w="108" w:type="dxa"/>
              <w:right w:w="108" w:type="dxa"/>
            </w:tcMar>
          </w:tcPr>
          <w:p w14:paraId="68CEC64D" w14:textId="1ECDC273" w:rsidR="40A87941" w:rsidRDefault="40A87941" w:rsidP="40A87941">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2CD8AA13" w14:textId="43F2F4E2" w:rsidR="40A87941" w:rsidRDefault="40A87941" w:rsidP="40A87941">
            <w:pPr>
              <w:jc w:val="both"/>
            </w:pPr>
            <w:r w:rsidRPr="40A87941">
              <w:rPr>
                <w:rFonts w:ascii="Verdana" w:eastAsia="Verdana" w:hAnsi="Verdana" w:cs="Verdana"/>
                <w:b/>
                <w:bCs/>
                <w:color w:val="000000" w:themeColor="text1"/>
                <w:lang w:val="es"/>
              </w:rPr>
              <w:t>Concepto C- 966 de 2026</w:t>
            </w:r>
          </w:p>
        </w:tc>
      </w:tr>
      <w:tr w:rsidR="40A87941" w14:paraId="0D888B79" w14:textId="77777777" w:rsidTr="39124533">
        <w:trPr>
          <w:trHeight w:val="1065"/>
        </w:trPr>
        <w:tc>
          <w:tcPr>
            <w:tcW w:w="2265" w:type="dxa"/>
            <w:shd w:val="clear" w:color="auto" w:fill="FFFFFF" w:themeFill="background1"/>
            <w:tcMar>
              <w:left w:w="108" w:type="dxa"/>
              <w:right w:w="108" w:type="dxa"/>
            </w:tcMar>
          </w:tcPr>
          <w:p w14:paraId="0A9FE4FD" w14:textId="47EA18D6" w:rsidR="40A87941" w:rsidRDefault="40A87941" w:rsidP="40A87941">
            <w:pPr>
              <w:jc w:val="both"/>
            </w:pPr>
            <w:r w:rsidRPr="40A87941">
              <w:rPr>
                <w:rFonts w:ascii="Verdana" w:eastAsia="Verdana" w:hAnsi="Verdana" w:cs="Verdana"/>
                <w:b/>
                <w:bCs/>
                <w:color w:val="000000" w:themeColor="text1"/>
              </w:rPr>
              <w:t>Temas:</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08EBD2CC" w14:textId="5D7E0DAA" w:rsidR="00F34AE0" w:rsidRDefault="006F2CDF" w:rsidP="006F2CDF">
            <w:pPr>
              <w:spacing w:line="276" w:lineRule="auto"/>
              <w:jc w:val="both"/>
              <w:rPr>
                <w:rFonts w:ascii="Verdana" w:eastAsia="Verdana" w:hAnsi="Verdana" w:cs="Verdana"/>
              </w:rPr>
            </w:pPr>
            <w:r w:rsidRPr="39124533">
              <w:rPr>
                <w:rFonts w:ascii="Verdana" w:eastAsia="Verdana" w:hAnsi="Verdana" w:cs="Verdana"/>
              </w:rPr>
              <w:t xml:space="preserve">RÉGIMEN DE CONTRATACIÓN ESTATAL – Principios – Inhabilidades – Carácter taxativo / INHABILIDADES – Literales g) y h) del numeral 1 del artículo 8 de la Ley 80 de 1993 – Concurrencia de sociedades vinculadas – No configuración / </w:t>
            </w:r>
            <w:r w:rsidR="00F34AE0" w:rsidRPr="39124533">
              <w:rPr>
                <w:rFonts w:ascii="Verdana" w:eastAsia="Verdana" w:hAnsi="Verdana" w:cs="Verdana"/>
              </w:rPr>
              <w:t xml:space="preserve">SITUACIONES DE CONTROL – Deber de revelación de los proponentes – Deber de verificación de la entidad – Decreto 1600 de 2024 / CAUSALES DE RECHAZO – Concurrencia de proponentes con representante legal y accionista mayoritario común – Límites de la potestad de configuración del pliego </w:t>
            </w:r>
          </w:p>
          <w:p w14:paraId="4429BCDA" w14:textId="33741F91" w:rsidR="40A87941" w:rsidRDefault="40A87941" w:rsidP="39124533">
            <w:pPr>
              <w:spacing w:line="276" w:lineRule="auto"/>
              <w:jc w:val="both"/>
            </w:pPr>
            <w:r w:rsidRPr="39124533">
              <w:rPr>
                <w:rFonts w:ascii="Verdana" w:eastAsia="Verdana" w:hAnsi="Verdana" w:cs="Verdana"/>
              </w:rPr>
              <w:t xml:space="preserve"> </w:t>
            </w:r>
          </w:p>
        </w:tc>
      </w:tr>
      <w:tr w:rsidR="40A87941" w14:paraId="15F37DC2" w14:textId="77777777" w:rsidTr="39124533">
        <w:trPr>
          <w:trHeight w:val="660"/>
        </w:trPr>
        <w:tc>
          <w:tcPr>
            <w:tcW w:w="2265" w:type="dxa"/>
            <w:shd w:val="clear" w:color="auto" w:fill="FFFFFF" w:themeFill="background1"/>
            <w:tcMar>
              <w:left w:w="108" w:type="dxa"/>
              <w:right w:w="108" w:type="dxa"/>
            </w:tcMar>
          </w:tcPr>
          <w:p w14:paraId="6927FAA0" w14:textId="7A9D6A93" w:rsidR="40A87941" w:rsidRDefault="40A87941" w:rsidP="40A87941">
            <w:pPr>
              <w:jc w:val="both"/>
            </w:pPr>
            <w:r w:rsidRPr="40A87941">
              <w:rPr>
                <w:rFonts w:ascii="Verdana" w:eastAsia="Verdana" w:hAnsi="Verdana" w:cs="Verdana"/>
                <w:b/>
                <w:bCs/>
                <w:color w:val="000000" w:themeColor="text1"/>
              </w:rPr>
              <w:t>Radicación:</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79641726" w14:textId="159B9AD3" w:rsidR="40A87941" w:rsidRDefault="40A87941" w:rsidP="40A87941">
            <w:pPr>
              <w:ind w:right="1"/>
              <w:jc w:val="both"/>
            </w:pPr>
            <w:r w:rsidRPr="39124533">
              <w:rPr>
                <w:rFonts w:ascii="Verdana" w:eastAsia="Verdana" w:hAnsi="Verdana" w:cs="Verdana"/>
                <w:color w:val="000000" w:themeColor="text1"/>
              </w:rPr>
              <w:t>Respuesta a consulta con radicado N.º 1_2026_06_12_007995.</w:t>
            </w:r>
          </w:p>
        </w:tc>
      </w:tr>
    </w:tbl>
    <w:p w14:paraId="724A05AA" w14:textId="45974476" w:rsidR="00127233" w:rsidRPr="0015699B" w:rsidRDefault="00127233" w:rsidP="40A87941">
      <w:pPr>
        <w:spacing w:after="0" w:line="240" w:lineRule="auto"/>
        <w:jc w:val="both"/>
        <w:textAlignment w:val="baseline"/>
        <w:rPr>
          <w:rFonts w:ascii="Verdana" w:eastAsia="Verdana" w:hAnsi="Verdana" w:cs="Verdana"/>
          <w:b/>
          <w:bCs/>
          <w:color w:val="000000" w:themeColor="text1"/>
          <w:lang w:val="es"/>
        </w:rPr>
      </w:pPr>
    </w:p>
    <w:p w14:paraId="33C744F2" w14:textId="062C3FF8" w:rsidR="00127233" w:rsidRPr="0015699B" w:rsidRDefault="00127233" w:rsidP="40A87941">
      <w:pPr>
        <w:spacing w:after="0" w:line="240" w:lineRule="auto"/>
        <w:jc w:val="both"/>
        <w:textAlignment w:val="baseline"/>
        <w:rPr>
          <w:rFonts w:ascii="Verdana" w:eastAsia="Verdana" w:hAnsi="Verdana" w:cs="Verdana"/>
          <w:b/>
          <w:bCs/>
          <w:color w:val="000000" w:themeColor="text1"/>
          <w:lang w:val="es"/>
        </w:rPr>
      </w:pPr>
    </w:p>
    <w:p w14:paraId="100BCC43" w14:textId="320D08F1" w:rsidR="00127233" w:rsidRPr="0015699B" w:rsidRDefault="103A0385" w:rsidP="40A87941">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Estimado señor Cerquera;</w:t>
      </w:r>
    </w:p>
    <w:p w14:paraId="5396C7D2" w14:textId="413D3C80" w:rsidR="00127233" w:rsidRPr="0015699B" w:rsidRDefault="103A0385" w:rsidP="40A87941">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6EDFE5C2" w14:textId="6E2A0D21" w:rsidR="00127233" w:rsidRPr="003D5882" w:rsidRDefault="103A0385" w:rsidP="39124533">
      <w:pPr>
        <w:spacing w:after="120" w:line="276" w:lineRule="auto"/>
        <w:jc w:val="both"/>
        <w:textAlignment w:val="baseline"/>
        <w:rPr>
          <w:rFonts w:ascii="Verdana" w:eastAsia="Verdana" w:hAnsi="Verdana" w:cs="Verdana"/>
          <w:i/>
          <w:iCs/>
          <w:color w:val="000000" w:themeColor="text1"/>
          <w:sz w:val="20"/>
          <w:szCs w:val="20"/>
          <w:lang w:val="es"/>
        </w:rPr>
      </w:pPr>
      <w:r w:rsidRPr="39124533">
        <w:rPr>
          <w:rFonts w:ascii="Verdana" w:eastAsia="Verdana" w:hAnsi="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w:t>
      </w:r>
      <w:r w:rsidR="00516738" w:rsidRPr="39124533">
        <w:rPr>
          <w:rFonts w:ascii="Verdana" w:eastAsia="Verdana" w:hAnsi="Verdana" w:cs="Verdana"/>
          <w:color w:val="000000" w:themeColor="text1"/>
          <w:lang w:val="es-ES"/>
        </w:rPr>
        <w:t>solicitud radicada</w:t>
      </w:r>
      <w:r w:rsidRPr="39124533">
        <w:rPr>
          <w:rFonts w:ascii="Verdana" w:eastAsia="Verdana" w:hAnsi="Verdana" w:cs="Verdana"/>
          <w:color w:val="000000" w:themeColor="text1"/>
          <w:lang w:val="es-ES"/>
        </w:rPr>
        <w:t xml:space="preserve"> ante esta entidad el 12 de junio de 2026 en la cual manifiesta lo siguiente: </w:t>
      </w:r>
      <w:r w:rsidRPr="39124533">
        <w:rPr>
          <w:rFonts w:ascii="Verdana" w:eastAsia="Verdana" w:hAnsi="Verdana" w:cs="Verdana"/>
          <w:i/>
          <w:iCs/>
          <w:color w:val="000000" w:themeColor="text1"/>
          <w:lang w:val="es"/>
        </w:rPr>
        <w:t>“</w:t>
      </w:r>
      <w:r w:rsidRPr="39124533">
        <w:rPr>
          <w:rFonts w:ascii="Verdana" w:eastAsia="Verdana" w:hAnsi="Verdana" w:cs="Verdana"/>
          <w:i/>
          <w:iCs/>
          <w:lang w:val="es"/>
        </w:rPr>
        <w:t xml:space="preserve">Puede presentarse en la misma licitación pública dos empresas SAS, </w:t>
      </w:r>
      <w:r w:rsidRPr="39124533">
        <w:rPr>
          <w:rFonts w:ascii="Verdana" w:eastAsia="Verdana" w:hAnsi="Verdana" w:cs="Verdana"/>
          <w:i/>
          <w:iCs/>
          <w:lang w:val="es"/>
        </w:rPr>
        <w:lastRenderedPageBreak/>
        <w:t>en cuyo caso es el mismo representante legal con participación accionario-mayoritaria en ambas empresas</w:t>
      </w:r>
      <w:r w:rsidRPr="39124533">
        <w:rPr>
          <w:rFonts w:ascii="Verdana" w:eastAsia="Verdana" w:hAnsi="Verdana" w:cs="Verdana"/>
          <w:i/>
          <w:iCs/>
          <w:color w:val="000000" w:themeColor="text1"/>
          <w:lang w:val="es"/>
        </w:rPr>
        <w:t>”</w:t>
      </w:r>
      <w:r w:rsidR="00516738" w:rsidRPr="39124533">
        <w:rPr>
          <w:rFonts w:ascii="Verdana" w:eastAsia="Verdana" w:hAnsi="Verdana" w:cs="Verdana"/>
          <w:i/>
          <w:iCs/>
          <w:color w:val="000000" w:themeColor="text1"/>
          <w:lang w:val="es"/>
        </w:rPr>
        <w:t>.</w:t>
      </w:r>
      <w:r w:rsidRPr="39124533">
        <w:rPr>
          <w:rFonts w:ascii="Verdana" w:eastAsia="Verdana" w:hAnsi="Verdana" w:cs="Verdana"/>
          <w:i/>
          <w:iCs/>
          <w:color w:val="000000" w:themeColor="text1"/>
          <w:sz w:val="20"/>
          <w:szCs w:val="20"/>
          <w:lang w:val="es"/>
        </w:rPr>
        <w:t xml:space="preserve"> </w:t>
      </w:r>
    </w:p>
    <w:p w14:paraId="239A6D17" w14:textId="3D5AEC54" w:rsidR="00127233" w:rsidRPr="0015699B" w:rsidRDefault="103A0385" w:rsidP="39124533">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2F888AD2" w14:textId="40384225" w:rsidR="00127233" w:rsidRPr="0015699B" w:rsidRDefault="103A0385" w:rsidP="39124533">
      <w:pPr>
        <w:spacing w:after="0" w:line="240" w:lineRule="auto"/>
        <w:ind w:right="49"/>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7EDB87A6" w14:textId="104227BF" w:rsidR="00127233" w:rsidRPr="0015699B" w:rsidRDefault="103A0385" w:rsidP="40A87941">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F4359EE" w14:textId="64115951" w:rsidR="00127233" w:rsidRPr="0015699B" w:rsidRDefault="103A0385" w:rsidP="40A87941">
      <w:pPr>
        <w:pStyle w:val="Prrafodelista"/>
        <w:numPr>
          <w:ilvl w:val="0"/>
          <w:numId w:val="2"/>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7CD799BE" w14:textId="7B3BC45E" w:rsidR="00127233" w:rsidRPr="0015699B" w:rsidRDefault="103A0385" w:rsidP="40A87941">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26409C1" w14:textId="15C69E14" w:rsidR="00127233" w:rsidRPr="0015699B" w:rsidRDefault="103A0385" w:rsidP="40A87941">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De acuerdo con el contenido de su solicitud, esta Agencia resolverá el siguiente problema jurídico: ¿Pueden dos sociedades por acciones simplificadas presentar ofertas dentro de una misma licitación pública cuando una misma persona natural ostenta en ambas la representación legal y la participación accionaria mayoritaria?</w:t>
      </w:r>
    </w:p>
    <w:p w14:paraId="78F2E01F" w14:textId="0FDAC21E" w:rsidR="00127233" w:rsidRPr="0015699B" w:rsidRDefault="103A0385" w:rsidP="40A87941">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2C67EAC6" w14:textId="31E3CAB9" w:rsidR="00127233" w:rsidRPr="0015699B" w:rsidRDefault="103A0385" w:rsidP="40A87941">
      <w:pPr>
        <w:pStyle w:val="Prrafodelista"/>
        <w:numPr>
          <w:ilvl w:val="0"/>
          <w:numId w:val="2"/>
        </w:numPr>
        <w:spacing w:after="0" w:line="257"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333405FE" w14:textId="3E930376" w:rsidR="00127233" w:rsidRPr="0015699B" w:rsidRDefault="103A0385" w:rsidP="40A87941">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40A87941" w14:paraId="49385E58" w14:textId="77777777" w:rsidTr="39124533">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1CBE7701" w14:textId="6ADBBA8D" w:rsidR="00024626" w:rsidRPr="00F47A12" w:rsidRDefault="00024626" w:rsidP="00024626">
            <w:pPr>
              <w:spacing w:after="120" w:line="276" w:lineRule="auto"/>
              <w:jc w:val="both"/>
              <w:rPr>
                <w:rFonts w:ascii="Verdana" w:eastAsia="Verdana" w:hAnsi="Verdana" w:cs="Verdana"/>
              </w:rPr>
            </w:pPr>
            <w:r w:rsidRPr="39124533">
              <w:rPr>
                <w:rFonts w:ascii="Verdana" w:eastAsia="Verdana" w:hAnsi="Verdana" w:cs="Verdana"/>
              </w:rPr>
              <w:t>En respuesta a su consulta</w:t>
            </w:r>
            <w:r w:rsidR="00F47A12" w:rsidRPr="39124533">
              <w:rPr>
                <w:rFonts w:ascii="Verdana" w:eastAsia="Verdana" w:hAnsi="Verdana" w:cs="Verdana"/>
              </w:rPr>
              <w:t xml:space="preserve"> debe señalarse que, en prin</w:t>
            </w:r>
            <w:r w:rsidR="00B779E7" w:rsidRPr="39124533">
              <w:rPr>
                <w:rFonts w:ascii="Verdana" w:eastAsia="Verdana" w:hAnsi="Verdana" w:cs="Verdana"/>
              </w:rPr>
              <w:t>cipio,</w:t>
            </w:r>
            <w:r w:rsidRPr="39124533">
              <w:rPr>
                <w:rFonts w:ascii="Verdana" w:eastAsia="Verdana" w:hAnsi="Verdana" w:cs="Verdana"/>
              </w:rPr>
              <w:t xml:space="preserve"> dos sociedades por acciones simplificadas pueden presentar ofertas en una misma licitación pública, aunque una misma persona natural ostente en ambas la representación legal y la participación accionaria mayoritaria, sin perjuicio de </w:t>
            </w:r>
            <w:r w:rsidRPr="39124533">
              <w:rPr>
                <w:rFonts w:ascii="Verdana" w:eastAsia="Verdana" w:hAnsi="Verdana" w:cs="Verdana"/>
              </w:rPr>
              <w:lastRenderedPageBreak/>
              <w:t>los deberes de revelación y de verificación que se explican a continuación. Ello es así por las siguientes razones.</w:t>
            </w:r>
          </w:p>
          <w:p w14:paraId="46374BF7" w14:textId="4B9A6517" w:rsidR="40A87941" w:rsidRDefault="00B779E7" w:rsidP="39124533">
            <w:pPr>
              <w:spacing w:after="120" w:line="276" w:lineRule="auto"/>
              <w:ind w:firstLine="709"/>
              <w:jc w:val="both"/>
              <w:rPr>
                <w:rFonts w:ascii="Verdana" w:eastAsia="Verdana" w:hAnsi="Verdana" w:cs="Verdana"/>
              </w:rPr>
            </w:pPr>
            <w:r w:rsidRPr="39124533">
              <w:rPr>
                <w:rFonts w:ascii="Verdana" w:eastAsia="Verdana" w:hAnsi="Verdana" w:cs="Verdana"/>
              </w:rPr>
              <w:t>L</w:t>
            </w:r>
            <w:r w:rsidR="40A87941" w:rsidRPr="39124533">
              <w:rPr>
                <w:rFonts w:ascii="Verdana" w:eastAsia="Verdana" w:hAnsi="Verdana" w:cs="Verdana"/>
              </w:rPr>
              <w:t>a participación en los procesos de contratación estatal se rige por los principios de libre concurrencia, igualdad, transparencia y selección objetiva, de modo que toda restricción al derecho de participar constituye una excepción que debe encontrarse expresamente prevista en la Constitución o en la ley. Por ello, las causales de inhabilidad e incompatibilidad son de creación exclusivamente constitucional o legal, taxativas y de interpretación restrictiva, sin que sea admisible extenderlas por analogía a supuestos que el legislador no contempló.</w:t>
            </w:r>
          </w:p>
          <w:p w14:paraId="25D9DA50" w14:textId="60FD2521" w:rsidR="40A87941" w:rsidRDefault="40A87941" w:rsidP="40A87941">
            <w:pPr>
              <w:spacing w:after="120" w:line="276" w:lineRule="auto"/>
              <w:ind w:firstLine="709"/>
              <w:jc w:val="both"/>
              <w:rPr>
                <w:rFonts w:ascii="Verdana" w:eastAsia="Verdana" w:hAnsi="Verdana" w:cs="Verdana"/>
              </w:rPr>
            </w:pPr>
            <w:r w:rsidRPr="40A87941">
              <w:rPr>
                <w:rFonts w:ascii="Verdana" w:eastAsia="Verdana" w:hAnsi="Verdana" w:cs="Verdana"/>
              </w:rPr>
              <w:t>Bajo esa premisa, las inhabilidades que el ordenamiento previó específicamente para la concurrencia de proponentes vinculados entre sí en un mismo procedimiento son las de los literales g) y h) del numeral 1 del artículo 8 de la Ley 80 de 1993. El primero se estructura sobre el vínculo conyugal o de compañeros permanentes y sobre el parentesco dentro de los grados allí señalados respecto de otra persona que haya presentado propuesta formalmente para la misma licitación o concurso. El segundo inhabilita a las sociedades distintas de las anónimas abiertas cuando su representante legal o cualquiera de sus socios tenga alguno de esos vínculos con el representante legal o con cualquiera de los socios de otra sociedad que haya presentado propuesta para el mismo procedimiento. En ambos casos el supuesto de hecho es la relación conyugal o de parentesco entre personas distintas, no la identidad de una misma persona natural que concentra en dos proponentes la representación legal y la participación mayoritaria. En consecuencia, esa circunstancia, considerada en sí misma, no configura las inhabilidades citadas.</w:t>
            </w:r>
          </w:p>
          <w:p w14:paraId="7AD8D0AA" w14:textId="1E8AA2B5" w:rsidR="40A87941" w:rsidRDefault="40A87941" w:rsidP="40A87941">
            <w:pPr>
              <w:spacing w:after="120" w:line="276" w:lineRule="auto"/>
              <w:ind w:firstLine="709"/>
              <w:jc w:val="both"/>
              <w:rPr>
                <w:rFonts w:ascii="Verdana" w:eastAsia="Verdana" w:hAnsi="Verdana" w:cs="Verdana"/>
              </w:rPr>
            </w:pPr>
            <w:r w:rsidRPr="40A87941">
              <w:rPr>
                <w:rFonts w:ascii="Verdana" w:eastAsia="Verdana" w:hAnsi="Verdana" w:cs="Verdana"/>
              </w:rPr>
              <w:t>Por la misma razón, el artículo 2.2.1.1.2.2.5 del Decreto 1082 de 2015 —conforme al cual la Entidad Estatal debe dejar constancia de la fecha y hora de recibo de las ofertas para determinar cuál fue la primera presentada en el tiempo— no resulta aplicable a la hipótesis consultada. Se trata de una regla instrumental destinada exclusivamente a identificar cuál de los proponentes emparentados queda inhabilitado conforme a los literales g) y h), y no de una regla general de exclusión aplicable a cualquier vínculo entre oferentes.</w:t>
            </w:r>
          </w:p>
          <w:p w14:paraId="4401B404" w14:textId="77777777" w:rsidR="00303417" w:rsidRPr="00303417" w:rsidRDefault="00303417" w:rsidP="00303417">
            <w:pPr>
              <w:spacing w:after="120" w:line="276" w:lineRule="auto"/>
              <w:ind w:firstLine="709"/>
              <w:jc w:val="both"/>
              <w:rPr>
                <w:rFonts w:ascii="Verdana" w:eastAsia="Verdana" w:hAnsi="Verdana" w:cs="Verdana"/>
              </w:rPr>
            </w:pPr>
            <w:r w:rsidRPr="39124533">
              <w:rPr>
                <w:rFonts w:ascii="Verdana" w:eastAsia="Verdana" w:hAnsi="Verdana" w:cs="Verdana"/>
              </w:rPr>
              <w:t xml:space="preserve">Lo anterior no significa que la situación descrita sea jurídicamente irrelevante. Cuando una misma persona natural ostenta en dos sociedades la </w:t>
            </w:r>
            <w:r w:rsidRPr="39124533">
              <w:rPr>
                <w:rFonts w:ascii="Verdana" w:eastAsia="Verdana" w:hAnsi="Verdana" w:cs="Verdana"/>
              </w:rPr>
              <w:lastRenderedPageBreak/>
              <w:t>representación legal y una participación accionaria mayoritaria, se configura una situación de control en los términos de los artículos 260 y 261 del Código de Comercio, subrogados por los artículos 26 y 27 de la Ley 222 de 1995, pues el poder de decisión de ambas se encuentra sometido a una misma voluntad. Ambas sociedades son subordinadas de un mismo controlante —no matriz y subordinada entre sí— y solo conformarán un grupo empresarial si a la situación de control se suma la unidad de propósito y dirección de que trata el artículo 28 de la misma ley. De esa circunstancia se deriva el deber de inscribir la situación de control en el registro mercantil de todas las sociedades vinculadas, conforme al artículo 30 de la Ley 222 de 1995, información que se encuentra disponible en los certificados de existencia y representación legal y que las entidades pueden consultar directamente.</w:t>
            </w:r>
          </w:p>
          <w:p w14:paraId="1063D067" w14:textId="77777777" w:rsidR="00303417" w:rsidRPr="00303417" w:rsidRDefault="00303417" w:rsidP="00303417">
            <w:pPr>
              <w:spacing w:after="120" w:line="276" w:lineRule="auto"/>
              <w:ind w:firstLine="709"/>
              <w:jc w:val="both"/>
              <w:rPr>
                <w:rFonts w:ascii="Verdana" w:eastAsia="Verdana" w:hAnsi="Verdana" w:cs="Verdana"/>
              </w:rPr>
            </w:pPr>
            <w:r w:rsidRPr="39124533">
              <w:rPr>
                <w:rFonts w:ascii="Verdana" w:eastAsia="Verdana" w:hAnsi="Verdana" w:cs="Verdana"/>
              </w:rPr>
              <w:t>En el ámbito de la contratación estatal, el artículo 2.1.4.3.2.1 del Decreto 1081 de 2015, modificado por el Decreto 1600 de 2024, regula específicamente esta materia. La disposición ordena a las entidades allí destinatarias verificar la existencia de situaciones de control de las personas jurídicas oferentes y de los proponentes plurales, en los términos de los artículos 260 y 261 del Código de Comercio, y establece correlativamente un deber de revelación a cargo de los proponentes, quienes dentro de los tres días siguientes al cierre definitivo de la presentación de ofertas deben poner de presente si son controlantes, controladas o comparten alguna de esas condiciones con otras personas que participen en el mismo procedimiento. Cuando del examen correspondiente se adviertan circunstancias que puedan afectar la libertad de concurrencia o de competencia, o la pluralidad real de oferentes, la entidad debe evaluar la necesidad de poner tales situaciones en conocimiento de los entes de control competentes y, de ser necesario, solicitar su acompañamiento preventivo. El ordenamiento no anuda, pues, a la existencia de una situación de control entre proponentes la exclusión de sus ofertas, sino un deber de revelación, un deber de verificación y, eventualmente, un deber de traslado.</w:t>
            </w:r>
          </w:p>
          <w:p w14:paraId="603EB5D0" w14:textId="55CB338E" w:rsidR="00303417" w:rsidRPr="00303417" w:rsidRDefault="006D42FE" w:rsidP="00303417">
            <w:pPr>
              <w:spacing w:after="120" w:line="276" w:lineRule="auto"/>
              <w:ind w:firstLine="709"/>
              <w:jc w:val="both"/>
              <w:rPr>
                <w:rFonts w:ascii="Verdana" w:eastAsia="Verdana" w:hAnsi="Verdana" w:cs="Verdana"/>
              </w:rPr>
            </w:pPr>
            <w:r w:rsidRPr="39124533">
              <w:rPr>
                <w:rFonts w:ascii="Verdana" w:eastAsia="Verdana" w:hAnsi="Verdana" w:cs="Verdana"/>
              </w:rPr>
              <w:t>En principio, e</w:t>
            </w:r>
            <w:r w:rsidR="00303417" w:rsidRPr="39124533">
              <w:rPr>
                <w:rFonts w:ascii="Verdana" w:eastAsia="Verdana" w:hAnsi="Verdana" w:cs="Verdana"/>
              </w:rPr>
              <w:t>ste deber se predica de las entidades señaladas en el artículo 2.1.4.3.1.2 del mismo decreto, esto es, de las entidades y empresas del Estado del orden nacional pertenecientes a la Rama Ejecutiva del Poder Público, según lo ha explicado esta Subdirección.</w:t>
            </w:r>
            <w:r w:rsidRPr="39124533">
              <w:rPr>
                <w:rFonts w:ascii="Verdana" w:eastAsia="Verdana" w:hAnsi="Verdana" w:cs="Verdana"/>
              </w:rPr>
              <w:t xml:space="preserve"> No obstante,</w:t>
            </w:r>
            <w:r w:rsidR="00303417" w:rsidRPr="39124533">
              <w:rPr>
                <w:rFonts w:ascii="Verdana" w:eastAsia="Verdana" w:hAnsi="Verdana" w:cs="Verdana"/>
              </w:rPr>
              <w:t xml:space="preserve"> </w:t>
            </w:r>
            <w:r w:rsidRPr="39124533">
              <w:rPr>
                <w:rFonts w:ascii="Verdana" w:eastAsia="Verdana" w:hAnsi="Verdana" w:cs="Verdana"/>
              </w:rPr>
              <w:t>l</w:t>
            </w:r>
            <w:r w:rsidR="00303417" w:rsidRPr="39124533">
              <w:rPr>
                <w:rFonts w:ascii="Verdana" w:eastAsia="Verdana" w:hAnsi="Verdana" w:cs="Verdana"/>
              </w:rPr>
              <w:t xml:space="preserve">as demás entidades estatales no quedan por ello relevadas de verificar las situaciones </w:t>
            </w:r>
            <w:r w:rsidR="00303417" w:rsidRPr="39124533">
              <w:rPr>
                <w:rFonts w:ascii="Verdana" w:eastAsia="Verdana" w:hAnsi="Verdana" w:cs="Verdana"/>
              </w:rPr>
              <w:lastRenderedPageBreak/>
              <w:t>de control de los proponentes, pues esa información resulta necesaria para prevenir inhabilidades y conflictos de interés y para garantizar la selección objetiva; respecto de ellas, sin embargo, el fundamento del deber no es el Decreto 1600 de 2024, sino los principios de transparencia y de selección objetiva y las reglas que la propia entidad incorpore en los documentos del proceso, entre ellas la exigencia de declaración juramentada sobre la inexistencia de inhabilidades e incompatibilidades y sobre la revelación de los vínculos societarios</w:t>
            </w:r>
            <w:r w:rsidR="00303417" w:rsidRPr="39124533">
              <w:rPr>
                <w:rFonts w:ascii="Verdana" w:eastAsia="Verdana" w:hAnsi="Verdana" w:cs="Verdana"/>
                <w:b/>
                <w:bCs/>
              </w:rPr>
              <w:t>.</w:t>
            </w:r>
          </w:p>
          <w:p w14:paraId="4D6EDFED" w14:textId="378E3C9C" w:rsidR="40A87941" w:rsidRDefault="40A87941" w:rsidP="39124533">
            <w:pPr>
              <w:spacing w:after="120" w:line="276" w:lineRule="auto"/>
              <w:ind w:firstLine="709"/>
              <w:jc w:val="both"/>
              <w:rPr>
                <w:rFonts w:ascii="Verdana" w:eastAsia="Verdana" w:hAnsi="Verdana" w:cs="Verdana"/>
              </w:rPr>
            </w:pPr>
            <w:r w:rsidRPr="39124533">
              <w:rPr>
                <w:rFonts w:ascii="Verdana" w:eastAsia="Verdana" w:hAnsi="Verdana" w:cs="Verdana"/>
              </w:rPr>
              <w:t xml:space="preserve">La revelación cumple una función precisa: permitir que la entidad valore si las ofertas presentadas son efectivamente autónomas e independientes. El deber de selección objetiva previsto en el artículo 5 de la Ley 1150 de 2007 supone que la comparación de propuestas se realice entre ofertas formuladas con independencia unas de otras; cuando dos proponentes están sometidos a un mismo poder de decisión, la pluralidad puede resultar meramente aparente, con la consiguiente afectación de la igualdad entre los participantes y de la finalidad misma del procedimiento. </w:t>
            </w:r>
            <w:r w:rsidR="00DA49B8" w:rsidRPr="39124533">
              <w:rPr>
                <w:rFonts w:ascii="Verdana" w:eastAsia="Verdana" w:hAnsi="Verdana" w:cs="Verdana"/>
              </w:rPr>
              <w:t xml:space="preserve">Conviene precisar el sentido del reproche. Cuando dos sociedades se encuentran sometidas a un mismo centro de decisión, lo que puede resultar comprometido no es tanto la existencia de un acuerdo entre competidores independientes —que supone dos voluntades autónomas— como la autenticidad misma de la concurrencia, en la medida en que una sola unidad de decisión concurre dos veces al procedimiento. De allí que la expresión que emplea el reglamento sea, precisamente, la de "pluralidad real de oferentes", y que el bien jurídico que se protege sea la comparabilidad efectiva de las propuestas antes que la represión de una conducta anticompetitiva, cuya calificación corresponde en todo caso a la autoridad competente. </w:t>
            </w:r>
            <w:r w:rsidRPr="39124533">
              <w:rPr>
                <w:rFonts w:ascii="Verdana" w:eastAsia="Verdana" w:hAnsi="Verdana" w:cs="Verdana"/>
              </w:rPr>
              <w:t>Corresponde a la entidad, en cada caso concreto y con fundamento en los elementos de juicio disponibles, establecer si tal circunstancia se presenta.</w:t>
            </w:r>
          </w:p>
          <w:p w14:paraId="5DFD6D67" w14:textId="77777777" w:rsidR="001A0D73" w:rsidRPr="00E03F9C" w:rsidRDefault="40A87941" w:rsidP="40A87941">
            <w:pPr>
              <w:spacing w:after="120" w:line="276" w:lineRule="auto"/>
              <w:ind w:firstLine="709"/>
              <w:jc w:val="both"/>
              <w:rPr>
                <w:rFonts w:ascii="Verdana" w:eastAsia="Verdana" w:hAnsi="Verdana" w:cs="Verdana"/>
              </w:rPr>
            </w:pPr>
            <w:r w:rsidRPr="39124533">
              <w:rPr>
                <w:rFonts w:ascii="Verdana" w:eastAsia="Verdana" w:hAnsi="Verdana" w:cs="Verdana"/>
              </w:rPr>
              <w:t xml:space="preserve">En cuanto a la posibilidad de prever esta situación como causal de rechazo, las entidades pueden incorporar en el pliego de condiciones causales previamente establecidas, claras, expresas, razonables, esenciales y proporcionadas, conforme a los criterios decantados por la jurisprudencia del Consejo de Estado. Esa facultad encuentra, sin embargo, dos límites. El primero, y principal, es la reserva constitucional y legal en materia de inhabilidades: la causal no puede estructurarse sobre una calidad subjetiva </w:t>
            </w:r>
            <w:r w:rsidRPr="39124533">
              <w:rPr>
                <w:rFonts w:ascii="Verdana" w:eastAsia="Verdana" w:hAnsi="Verdana" w:cs="Verdana"/>
              </w:rPr>
              <w:lastRenderedPageBreak/>
              <w:t xml:space="preserve">del proponente —como lo sería excluir a quien comparte representante legal o socio mayoritario con otro oferente—, pues ello equivaldría a crear por vía contractual una inhabilidad que el legislador no previó. Su fundamento debe ser una circunstancia objetiva y verificable que afecte la comparación de las propuestas, esto es, la ausencia de autonomía e independencia de las ofertas y la consiguiente pluralidad aparente del procedimiento, o bien el incumplimiento del deber de declarar los vínculos societarios exigido en los documentos del proceso. El segundo límite es que la causal no puede comportar una calificación administrativa sobre la existencia de un acuerdo colusorio, materia cuya competencia es privativa de la Superintendencia de Industria y Comercio. Adicionalmente, el principio de proporcionalidad aconseja que, antes del rechazo, la entidad prevea la posibilidad de que los interesados manifiesten cuál de las ofertas se mantiene. </w:t>
            </w:r>
          </w:p>
          <w:p w14:paraId="4886D0A5" w14:textId="77777777" w:rsidR="00407765" w:rsidRPr="00407765" w:rsidRDefault="00407765" w:rsidP="00407765">
            <w:pPr>
              <w:spacing w:after="120" w:line="276" w:lineRule="auto"/>
              <w:ind w:firstLine="709"/>
              <w:jc w:val="both"/>
              <w:rPr>
                <w:rFonts w:ascii="Verdana" w:eastAsia="Verdana" w:hAnsi="Verdana" w:cs="Verdana"/>
              </w:rPr>
            </w:pPr>
            <w:r w:rsidRPr="39124533">
              <w:rPr>
                <w:rFonts w:ascii="Verdana" w:eastAsia="Verdana" w:hAnsi="Verdana" w:cs="Verdana"/>
              </w:rPr>
              <w:t>De ambos límites se sigue que el supuesto de hecho de la causal debe consistir en un hecho objetivo, documentable y verificable por la entidad sin necesidad de emitir juicio alguno sobre la licitud de la conducta de los proponentes a la luz del régimen de protección de la competencia. Responden a esa exigencia, entre otras, las causales fundadas en el incumplimiento del deber de declarar las situaciones de control y los vínculos societarios exigido en los documentos del proceso; en la inexactitud o falsedad de esa declaración, sin perjuicio de los traslados a que haya lugar; y en la constatación de circunstancias materiales que evidencien que las ofertas no fueron elaboradas de manera independiente, tales como la coincidencia de los soportes, cotizaciones o documentos técnicos aportados por los distintos proponentes. No satisface esa exigencia, en cambio, una causal redactada en términos genéricos de "ausencia de autonomía" o de "coordinación" entre oferentes, pues su aplicación demandaría de la entidad precisamente el juicio que le está vedado.</w:t>
            </w:r>
          </w:p>
          <w:p w14:paraId="76FF305E" w14:textId="77777777" w:rsidR="00407765" w:rsidRPr="00407765" w:rsidRDefault="00407765" w:rsidP="00407765">
            <w:pPr>
              <w:spacing w:after="120" w:line="276" w:lineRule="auto"/>
              <w:ind w:firstLine="709"/>
              <w:jc w:val="both"/>
              <w:rPr>
                <w:rFonts w:ascii="Verdana" w:eastAsia="Verdana" w:hAnsi="Verdana" w:cs="Verdana"/>
              </w:rPr>
            </w:pPr>
            <w:r w:rsidRPr="39124533">
              <w:rPr>
                <w:rFonts w:ascii="Verdana" w:eastAsia="Verdana" w:hAnsi="Verdana" w:cs="Verdana"/>
              </w:rPr>
              <w:t xml:space="preserve">En aplicación del principio de proporcionalidad, la entidad debe requerir previamente a los proponentes para que aclaren o complementen la información sobre sus vínculos y garantizar el ejercicio del derecho de contradicción durante el traslado del informe de evaluación, antes de adoptar cualquier decisión de rechazo. No resulta procedente, en cambio, prever mecanismos que permitan a los proponentes vinculados elegir, una vez cerrado el procedimiento, cuál de las ofertas se mantiene: tal mecanismo </w:t>
            </w:r>
            <w:r w:rsidRPr="39124533">
              <w:rPr>
                <w:rFonts w:ascii="Verdana" w:eastAsia="Verdana" w:hAnsi="Verdana" w:cs="Verdana"/>
              </w:rPr>
              <w:lastRenderedPageBreak/>
              <w:t>supone la aplicación de una exclusión que la ley no consagró y permitiría conservar la oferta mejor posicionada con conocimiento de las demás, con lo cual agravaría el riesgo que se pretende conjurar.</w:t>
            </w:r>
          </w:p>
          <w:p w14:paraId="17DFE4CE" w14:textId="27223411" w:rsidR="40A87941" w:rsidRDefault="40A87941" w:rsidP="40A87941">
            <w:pPr>
              <w:spacing w:after="120" w:line="276" w:lineRule="auto"/>
              <w:ind w:firstLine="709"/>
              <w:jc w:val="both"/>
              <w:rPr>
                <w:rFonts w:ascii="Verdana" w:eastAsia="Verdana" w:hAnsi="Verdana" w:cs="Verdana"/>
              </w:rPr>
            </w:pPr>
            <w:r w:rsidRPr="39124533">
              <w:rPr>
                <w:rFonts w:ascii="Verdana" w:eastAsia="Verdana" w:hAnsi="Verdana" w:cs="Verdana"/>
              </w:rPr>
              <w:t xml:space="preserve">Finalmente, debe advertirse que en los procesos regidos por Documentos Tipo las causales de rechazo integran el articulado inalterable, </w:t>
            </w:r>
            <w:r w:rsidR="003E7B45" w:rsidRPr="39124533">
              <w:rPr>
                <w:rFonts w:ascii="Verdana" w:eastAsia="Verdana" w:hAnsi="Verdana" w:cs="Verdana"/>
              </w:rPr>
              <w:t>en los términos del artículo 1 de la Ley 2022 de 2020, que modificó el artículo 4 de la Ley 1882 de 2018</w:t>
            </w:r>
            <w:r w:rsidR="003E7B45" w:rsidRPr="39124533">
              <w:rPr>
                <w:rFonts w:ascii="Verdana" w:eastAsia="Verdana" w:hAnsi="Verdana" w:cs="Verdana"/>
                <w:b/>
                <w:bCs/>
              </w:rPr>
              <w:t>,</w:t>
            </w:r>
            <w:r w:rsidR="003E7B45" w:rsidRPr="39124533">
              <w:rPr>
                <w:rFonts w:ascii="Verdana" w:eastAsia="Verdana" w:hAnsi="Verdana" w:cs="Verdana"/>
              </w:rPr>
              <w:t xml:space="preserve"> </w:t>
            </w:r>
            <w:r w:rsidR="003E7B45" w:rsidRPr="39124533">
              <w:rPr>
                <w:rFonts w:ascii="Verdana" w:eastAsia="Verdana" w:hAnsi="Verdana" w:cs="Verdana"/>
                <w:i/>
                <w:iCs/>
              </w:rPr>
              <w:t>de modo que la entidad no puede adicionarlas y deberá estarse a las allí previstas."</w:t>
            </w:r>
            <w:r w:rsidRPr="39124533">
              <w:rPr>
                <w:rFonts w:ascii="Verdana" w:eastAsia="Verdana" w:hAnsi="Verdana" w:cs="Verdana"/>
              </w:rPr>
              <w:t>.</w:t>
            </w:r>
          </w:p>
          <w:p w14:paraId="74030FB3" w14:textId="77777777" w:rsidR="004E24A4" w:rsidRDefault="40A87941" w:rsidP="40A87941">
            <w:pPr>
              <w:spacing w:after="120" w:line="276" w:lineRule="auto"/>
              <w:ind w:firstLine="709"/>
              <w:jc w:val="both"/>
              <w:rPr>
                <w:rFonts w:ascii="Verdana" w:eastAsia="Verdana" w:hAnsi="Verdana" w:cs="Verdana"/>
              </w:rPr>
            </w:pPr>
            <w:r w:rsidRPr="39124533">
              <w:rPr>
                <w:rFonts w:ascii="Verdana" w:eastAsia="Verdana" w:hAnsi="Verdana" w:cs="Verdana"/>
              </w:rPr>
              <w:t>En el plano del derecho de la competencia, el numeral 9 del artículo 47 del Decreto Ley 2153 de 1992 califica como contrarios a la libre competencia los acuerdos que tengan por objeto la colusión en licitaciones o concursos, o como efecto la distribución de adjudicaciones o la fijación concertada de los términos de las propuestas. Sin embargo, la colusión no se presume: su acreditación exige valoración probatoria de las circunstancias concretas, generalmente por vía indiciaria, y la competencia para adelantar la investigación y adoptar las medidas correspondientes —incluida la suspensión de las conductas como medida cautelar— radica de manera privativa en la Superintendencia de Industria y Comercio</w:t>
            </w:r>
            <w:r w:rsidR="00E216A3" w:rsidRPr="39124533">
              <w:rPr>
                <w:rFonts w:ascii="Verdana" w:eastAsia="Verdana" w:hAnsi="Verdana" w:cs="Verdana"/>
              </w:rPr>
              <w:t>, en su condición de autoridad nacional única de protección de la competencia, conforme al artículo 6 de la Ley 1340 de 2009</w:t>
            </w:r>
            <w:r w:rsidRPr="39124533">
              <w:rPr>
                <w:rFonts w:ascii="Verdana" w:eastAsia="Verdana" w:hAnsi="Verdana" w:cs="Verdana"/>
              </w:rPr>
              <w:t xml:space="preserve">. </w:t>
            </w:r>
          </w:p>
          <w:p w14:paraId="232A14DB" w14:textId="137775F8" w:rsidR="40A87941" w:rsidRDefault="004E24A4" w:rsidP="40A87941">
            <w:pPr>
              <w:spacing w:after="120" w:line="276" w:lineRule="auto"/>
              <w:ind w:firstLine="709"/>
              <w:jc w:val="both"/>
              <w:rPr>
                <w:rFonts w:ascii="Verdana" w:eastAsia="Verdana" w:hAnsi="Verdana" w:cs="Verdana"/>
              </w:rPr>
            </w:pPr>
            <w:r w:rsidRPr="39124533">
              <w:rPr>
                <w:rFonts w:ascii="Verdana" w:eastAsia="Verdana" w:hAnsi="Verdana" w:cs="Verdana"/>
              </w:rPr>
              <w:t>Por ello, cuando la entidad advierta indicios de acuerdos restrictivos debe trasladarlos a dicha autoridad y, si los hechos pudieran ser constitutivos del delito previsto en el artículo 410A del Código Penal, adicionado por el artículo 27 de la Ley 1474 de 2011, a la Fiscalía General de la Nación, sin que le corresponda calificar administrativamente la existencia de la práctica. El solo traslado a las autoridades competentes no justifica, por sí mismo, la suspensión del procedimiento de selección, cuyas etapas se rigen por términos preclusivos y perentorios; ello no obsta para que la entidad, de manera excepcional y debidamente motivada, adopte esa decisión cuando existan circunstancias objetivas que comprometan la selección objetiva.</w:t>
            </w:r>
          </w:p>
          <w:p w14:paraId="3D79A899" w14:textId="15819A9B" w:rsidR="40A87941" w:rsidRDefault="40A87941" w:rsidP="40A87941">
            <w:pPr>
              <w:spacing w:after="120" w:line="276" w:lineRule="auto"/>
              <w:ind w:firstLine="709"/>
              <w:jc w:val="both"/>
              <w:rPr>
                <w:rFonts w:ascii="Verdana" w:eastAsia="Verdana" w:hAnsi="Verdana" w:cs="Verdana"/>
              </w:rPr>
            </w:pPr>
            <w:r w:rsidRPr="39124533">
              <w:rPr>
                <w:rFonts w:ascii="Verdana" w:eastAsia="Verdana" w:hAnsi="Verdana" w:cs="Verdana"/>
              </w:rPr>
              <w:t xml:space="preserve">En síntesis, el hecho de que una misma persona natural sea representante legal y accionista mayoritario de dos sociedades por acciones simplificadas que concurren a una misma licitación pública no configura, por sí solo, una inhabilidad legal ni una causal automática de rechazo de las </w:t>
            </w:r>
            <w:r w:rsidRPr="39124533">
              <w:rPr>
                <w:rFonts w:ascii="Verdana" w:eastAsia="Verdana" w:hAnsi="Verdana" w:cs="Verdana"/>
              </w:rPr>
              <w:lastRenderedPageBreak/>
              <w:t xml:space="preserve">ofertas. </w:t>
            </w:r>
            <w:r w:rsidR="00B44268" w:rsidRPr="39124533">
              <w:rPr>
                <w:rFonts w:ascii="Verdana" w:eastAsia="Verdana" w:hAnsi="Verdana" w:cs="Verdana"/>
              </w:rPr>
              <w:t>Genera, en cambio, los deberes de revelación y de verificación previstos en el artículo 2.1.4.3.2.1 del Decreto 1081 de 2015, modificado por el Decreto 1600 de 2024, y, cuando el examen correspondiente advierta afectaciones a la pluralidad real de oferentes, el deber de trasladar la situación a los entes de control competentes.</w:t>
            </w:r>
            <w:r w:rsidR="00AC111F" w:rsidRPr="39124533">
              <w:rPr>
                <w:rFonts w:ascii="Verdana" w:eastAsia="Verdana" w:hAnsi="Verdana" w:cs="Verdana"/>
              </w:rPr>
              <w:t xml:space="preserve"> C</w:t>
            </w:r>
            <w:r w:rsidRPr="39124533">
              <w:rPr>
                <w:rFonts w:ascii="Verdana" w:eastAsia="Verdana" w:hAnsi="Verdana" w:cs="Verdana"/>
              </w:rPr>
              <w:t>onstituye</w:t>
            </w:r>
            <w:r w:rsidR="00AC111F" w:rsidRPr="39124533">
              <w:rPr>
                <w:rFonts w:ascii="Verdana" w:eastAsia="Verdana" w:hAnsi="Verdana" w:cs="Verdana"/>
              </w:rPr>
              <w:t xml:space="preserve"> asim</w:t>
            </w:r>
            <w:r w:rsidR="00257E79" w:rsidRPr="39124533">
              <w:rPr>
                <w:rFonts w:ascii="Verdana" w:eastAsia="Verdana" w:hAnsi="Verdana" w:cs="Verdana"/>
              </w:rPr>
              <w:t xml:space="preserve">ismo </w:t>
            </w:r>
            <w:r w:rsidRPr="39124533">
              <w:rPr>
                <w:rFonts w:ascii="Verdana" w:eastAsia="Verdana" w:hAnsi="Verdana" w:cs="Verdana"/>
              </w:rPr>
              <w:t>una circunstancia que genera deberes de revelación, que debe ser verificada por la entidad y que resulta relevante para valorar la autonomía de las propuestas, la eventual configuración de conflictos de interés y la posible existencia de prácticas restrictivas de la competencia, cuya calificación corresponde a las autoridades competentes. En los procesos no regidos por Documentos Tipo, la entidad puede prever causales de rechazo dirigidas a preservar la autenticidad de la competencia, siempre que se ajusten a los límites y condiciones señalados.</w:t>
            </w:r>
          </w:p>
          <w:p w14:paraId="7FD19293" w14:textId="6B174A69" w:rsidR="40A87941" w:rsidRDefault="40A87941" w:rsidP="40A87941">
            <w:pPr>
              <w:spacing w:after="120" w:line="276" w:lineRule="auto"/>
              <w:ind w:firstLine="709"/>
              <w:jc w:val="both"/>
              <w:rPr>
                <w:rFonts w:ascii="Verdana" w:eastAsia="Verdana" w:hAnsi="Verdana" w:cs="Verdana"/>
              </w:rPr>
            </w:pPr>
            <w:r w:rsidRPr="40A87941">
              <w:rPr>
                <w:rFonts w:ascii="Verdana" w:eastAsia="Verdana" w:hAnsi="Verdana" w:cs="Verdana"/>
              </w:rPr>
              <w:t>Al margen de la explicación precedente debe advertirse que el análisis requerido para resolver situaciones particulares relacionadas con la concurrencia de proponentes vinculados entre sí corresponde a quienes tengan interés directo en el respectivo proceso contractual, de acuerdo con lo explicado en la aclaración preliminar del presente oficio. De esta manera, las afirmaciones aquí realizadas no pueden ser interpretadas como juicios de valor sobre circunstancias concretas relacionadas con los hechos que motivan la consulta.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269411E7" w14:textId="2807E128" w:rsidR="39124533" w:rsidRDefault="39124533"/>
    <w:p w14:paraId="0B5589F3" w14:textId="3DCEA6B3" w:rsidR="00127233" w:rsidRPr="0015699B" w:rsidRDefault="103A0385" w:rsidP="40A87941">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p w14:paraId="0F1DAC58" w14:textId="76494710" w:rsidR="00127233" w:rsidRPr="0015699B" w:rsidRDefault="103A0385" w:rsidP="40A87941">
      <w:pPr>
        <w:pStyle w:val="Prrafodelista"/>
        <w:numPr>
          <w:ilvl w:val="0"/>
          <w:numId w:val="2"/>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66C898EA" w14:textId="1D30B8A1" w:rsidR="00127233" w:rsidRPr="0015699B" w:rsidRDefault="103A0385" w:rsidP="40A87941">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p w14:paraId="5CDF0C2D" w14:textId="0D7CD0C9" w:rsidR="00127233" w:rsidRPr="0015699B" w:rsidRDefault="103A0385" w:rsidP="40A87941">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Lo anterior se sustenta en las siguientes consideraciones: </w:t>
      </w:r>
    </w:p>
    <w:p w14:paraId="415D83C3" w14:textId="77368FBA" w:rsidR="00127233" w:rsidRPr="0015699B" w:rsidRDefault="103A0385" w:rsidP="40A87941">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153EA491" w14:textId="7560B556" w:rsidR="00127233" w:rsidRPr="003D5882" w:rsidRDefault="103A0385" w:rsidP="39124533">
      <w:pPr>
        <w:spacing w:after="120" w:line="276" w:lineRule="auto"/>
        <w:ind w:firstLine="709"/>
        <w:jc w:val="both"/>
        <w:textAlignment w:val="baseline"/>
        <w:rPr>
          <w:rFonts w:ascii="Verdana" w:hAnsi="Verdana"/>
          <w:vertAlign w:val="superscript"/>
          <w:lang w:val="es"/>
        </w:rPr>
      </w:pPr>
      <w:r w:rsidRPr="009D313F">
        <w:rPr>
          <w:rFonts w:ascii="Verdana" w:eastAsia="Verdana" w:hAnsi="Verdana" w:cs="Verdana"/>
          <w:lang w:val="es"/>
        </w:rPr>
        <w:t xml:space="preserve">De manera preliminar resulta pertinente indicar que el régimen de contratación estatal colombiano se encuentra estructurado sobre los principios </w:t>
      </w:r>
      <w:r w:rsidRPr="009D313F">
        <w:rPr>
          <w:rFonts w:ascii="Verdana" w:eastAsia="Verdana" w:hAnsi="Verdana" w:cs="Verdana"/>
          <w:lang w:val="es"/>
        </w:rPr>
        <w:lastRenderedPageBreak/>
        <w:t>de libre concurrencia, igualdad, transparencia y selección objetiva, los cuales garantizan el acceso de los particulares a los procedimientos de selección pública en condiciones de igualdad y sin restricciones distintas de aquellas expresamente previstas por el ordenamiento jurídico. En consecuencia, toda limitación al derecho de participar en los procesos de contratación constituye una excepción a la regla general de libre acceso al Sistema de Compra Pública y, por ello, debe encontrarse expresamente prevista en la Constitución o en la ley. Esta conclusión encuentra fundamento en los artículos 13, 333 y 334 de la Constitución Política, en los artículos 24 y 29 de la Ley 80 de 1993 y en el artículo 5 de la Ley 1150 de 2007, así como en la jurisprudencia reiterada de la Corte Constitucional y del Consejo de Estado según la cual las inhabilidades e incompatibilidades son de creación exclusivamente constitucional o legal, tienen carácter taxativo y son de interpretación restrictiva, razón por la cual no admiten aplicaciones analógicas ni extensivas</w:t>
      </w:r>
      <w:r w:rsidRPr="39124533">
        <w:rPr>
          <w:rFonts w:ascii="Verdana" w:eastAsia="Verdana" w:hAnsi="Verdana" w:cs="Verdana"/>
          <w:lang w:val="es"/>
        </w:rPr>
        <w:footnoteReference w:id="1"/>
      </w:r>
      <w:r w:rsidR="009D313F" w:rsidRPr="39124533">
        <w:rPr>
          <w:rFonts w:ascii="Verdana" w:eastAsia="Verdana" w:hAnsi="Verdana" w:cs="Verdana"/>
          <w:lang w:val="es"/>
        </w:rPr>
        <w:t xml:space="preserve">. </w:t>
      </w:r>
    </w:p>
    <w:p w14:paraId="2AC1C1D6" w14:textId="296760D0" w:rsidR="00127233" w:rsidRPr="0015699B" w:rsidRDefault="103A0385" w:rsidP="39124533">
      <w:pPr>
        <w:spacing w:after="0" w:line="276" w:lineRule="auto"/>
        <w:ind w:firstLine="708"/>
        <w:jc w:val="both"/>
        <w:textAlignment w:val="baseline"/>
        <w:rPr>
          <w:rFonts w:ascii="Verdana" w:eastAsia="Verdana" w:hAnsi="Verdana" w:cs="Verdana"/>
          <w:lang w:val="es"/>
        </w:rPr>
      </w:pPr>
      <w:r w:rsidRPr="39124533">
        <w:rPr>
          <w:rFonts w:ascii="Verdana" w:eastAsia="Verdana" w:hAnsi="Verdana" w:cs="Verdana"/>
          <w:lang w:val="es"/>
        </w:rPr>
        <w:t xml:space="preserve"> A partir de dicha premisa, resulta necesario verificar si el supuesto consultado se encuentra comprendido dentro de alguna de las inhabilidades previstas por el legislador. El análisis conduce particularmente a los literales g) y h) del numeral 1 del artículo 8 de la Ley 80 de 1993, disposiciones que regulan situaciones en las cuales dos oferentes vinculados entre sí concurren a un mismo procedimiento de selección. El literal g) establece una inhabilidad para las personas que tengan vínculos de matrimonio, unión permanente o parentesco dentro de determinados grados respecto de otra persona que haya presentado propuesta para la misma licitación o concurso, mientras que el literal h) extiende dicha restricción a determinadas sociedades cuyos representantes legales o socios tengan esos mismos vínculos con los representantes legales o socios de otra sociedad participante en el mismo procedimiento.</w:t>
      </w:r>
    </w:p>
    <w:p w14:paraId="7A04269E" w14:textId="615AC449" w:rsidR="00127233" w:rsidRPr="0015699B" w:rsidRDefault="103A0385" w:rsidP="00A37504">
      <w:pPr>
        <w:spacing w:after="0" w:line="276" w:lineRule="auto"/>
        <w:ind w:firstLine="708"/>
        <w:jc w:val="both"/>
        <w:textAlignment w:val="baseline"/>
        <w:rPr>
          <w:color w:val="0000FF"/>
          <w:u w:val="single"/>
          <w:vertAlign w:val="superscript"/>
          <w:lang w:val="es"/>
        </w:rPr>
      </w:pPr>
      <w:r w:rsidRPr="39124533">
        <w:rPr>
          <w:rFonts w:ascii="Verdana" w:eastAsia="Verdana" w:hAnsi="Verdana" w:cs="Verdana"/>
          <w:lang w:val="es"/>
        </w:rPr>
        <w:t xml:space="preserve"> La finalidad de estas normas consiste en evitar que personas formalmente diferentes, pero unidas por vínculos familiares o conyugales, participen simultáneamente en un mismo procedimiento generando una apariencia de competencia susceptible de afectar la transparencia de la selección. Sin embargo, el supuesto de hecho descrito por el legislador exige necesariamente la existencia de personas distintas vinculadas entre sí por relaciones de parentesco o afinidad. La hipótesis consultada es diferente, pues </w:t>
      </w:r>
      <w:r w:rsidRPr="39124533">
        <w:rPr>
          <w:rFonts w:ascii="Verdana" w:eastAsia="Verdana" w:hAnsi="Verdana" w:cs="Verdana"/>
          <w:lang w:val="es"/>
        </w:rPr>
        <w:lastRenderedPageBreak/>
        <w:t>no existe una pluralidad de personas relacionadas por vínculos familiares, sino una única persona natural que ejerce simultáneamente la representación legal y el control societario de dos personas jurídicas diferentes. Por esta razón, y dado el carácter taxativo de las inhabilidades, no resulta jurídicamente viable extender el alcance de los literales g) y h) del artículo 8 de la Ley 80 de 1993 para comprender una situación que el legislador no incluyó dentro de la prohibición legal</w:t>
      </w:r>
      <w:r w:rsidRPr="39124533">
        <w:rPr>
          <w:rFonts w:ascii="Verdana" w:eastAsia="Verdana" w:hAnsi="Verdana" w:cs="Verdana"/>
          <w:lang w:val="es"/>
        </w:rPr>
        <w:footnoteReference w:id="2"/>
      </w:r>
      <w:r w:rsidR="00B370CC" w:rsidRPr="39124533">
        <w:rPr>
          <w:rFonts w:ascii="Verdana" w:eastAsia="Verdana" w:hAnsi="Verdana" w:cs="Verdana"/>
          <w:lang w:val="es"/>
        </w:rPr>
        <w:t xml:space="preserve">. </w:t>
      </w:r>
    </w:p>
    <w:p w14:paraId="35DC200F" w14:textId="5FAE3849" w:rsidR="00127233" w:rsidRPr="0015699B" w:rsidRDefault="103A0385" w:rsidP="39124533">
      <w:pPr>
        <w:spacing w:after="0" w:line="276" w:lineRule="auto"/>
        <w:ind w:firstLine="708"/>
        <w:jc w:val="both"/>
        <w:textAlignment w:val="baseline"/>
        <w:rPr>
          <w:rFonts w:ascii="Verdana" w:eastAsia="Verdana" w:hAnsi="Verdana" w:cs="Verdana"/>
          <w:lang w:val="es"/>
        </w:rPr>
      </w:pPr>
      <w:r w:rsidRPr="39124533">
        <w:rPr>
          <w:rFonts w:ascii="Verdana" w:eastAsia="Verdana" w:hAnsi="Verdana" w:cs="Verdana"/>
          <w:lang w:val="es"/>
        </w:rPr>
        <w:t xml:space="preserve"> La anterior conclusión se ve reforzada por el artículo 2.2.1.1.2.2.5 del Decreto 1082 de 2015, disposición que ordena a las entidades estatales dejar constancia de la fecha y hora de presentación de las ofertas para determinar cuál de ellas fue radicada primero cuando se configure alguna de las inhabilidades previstas en los literales g) y h) del artículo 8 de la Ley 80 de 1993. Esta norma tiene una finalidad estrictamente instrumental, consistente en identificar cuál de los oferentes vinculados por parentesco conserva la posibilidad de participar en el procedimiento. En consecuencia, no constituye una regla general de exclusión aplicable a cualquier clase de vínculo entre proponentes ni autoriza a las entidades estatales para extender sus efectos a situaciones distintas de aquellas expresamente contempladas por la ley.</w:t>
      </w:r>
    </w:p>
    <w:p w14:paraId="77251B03" w14:textId="733EEB7F" w:rsidR="00127233" w:rsidRPr="0015699B" w:rsidRDefault="103A0385" w:rsidP="00A37504">
      <w:pPr>
        <w:spacing w:after="0" w:line="276" w:lineRule="auto"/>
        <w:ind w:firstLine="708"/>
        <w:jc w:val="both"/>
        <w:textAlignment w:val="baseline"/>
        <w:rPr>
          <w:rFonts w:ascii="Verdana" w:eastAsia="Verdana" w:hAnsi="Verdana" w:cs="Verdana"/>
          <w:lang w:val="es"/>
        </w:rPr>
      </w:pPr>
      <w:r w:rsidRPr="39124533">
        <w:rPr>
          <w:rFonts w:ascii="Verdana" w:eastAsia="Verdana" w:hAnsi="Verdana" w:cs="Verdana"/>
          <w:lang w:val="es"/>
        </w:rPr>
        <w:t xml:space="preserve"> Ahora bien, aunque la situación consultada no configura una inhabilidad, sí constituye un hecho jurídicamente relevante desde la perspectiva del derecho societario. </w:t>
      </w:r>
      <w:r w:rsidR="00311ED2" w:rsidRPr="39124533">
        <w:rPr>
          <w:rFonts w:ascii="Verdana" w:eastAsia="Verdana" w:hAnsi="Verdana" w:cs="Verdana"/>
        </w:rPr>
        <w:t>Los artículos 260 y 261 del Código de Comercio, subrogados por los artículos 26 y 27 de la Ley 222 de 1995</w:t>
      </w:r>
      <w:r w:rsidRPr="39124533">
        <w:rPr>
          <w:rStyle w:val="Refdenotaalpie"/>
          <w:rFonts w:ascii="Verdana" w:eastAsia="Verdana" w:hAnsi="Verdana" w:cs="Verdana"/>
        </w:rPr>
        <w:footnoteReference w:id="3"/>
      </w:r>
      <w:r w:rsidR="00311ED2" w:rsidRPr="39124533">
        <w:rPr>
          <w:rFonts w:ascii="Verdana" w:eastAsia="Verdana" w:hAnsi="Verdana" w:cs="Verdana"/>
        </w:rPr>
        <w:t xml:space="preserve">, establecen que una sociedad será </w:t>
      </w:r>
      <w:r w:rsidR="00311ED2" w:rsidRPr="39124533">
        <w:rPr>
          <w:rFonts w:ascii="Verdana" w:eastAsia="Verdana" w:hAnsi="Verdana" w:cs="Verdana"/>
        </w:rPr>
        <w:lastRenderedPageBreak/>
        <w:t>subordinada o controlada cuando su poder de decisión se encuentre sometido a la voluntad de otra u otras personas, entre las que la disposición comprende a las personas naturales. Cuando una misma persona natural ostenta la participación accionaria mayoritaria y la representación legal de dos sociedades, se configura una circunstancia objetiva que permite inferir la existencia de una unidad de decisión sobre ambas organizaciones empresariales. En tal supuesto las dos sociedades son subordinadas de un mismo controlante —sin que entre ellas exista relación de matriz a subordinada— y solo conformarán un grupo empresarial si a la situación de control se agrega la unidad de propósito y dirección exigida por el artículo 28 de la Ley 222 de 1995. De la sola situación de control surge, en todo caso, el deber de inscripción en el registro mercantil de todas las sociedades vinculadas previsto en el artículo 30 de la misma ley, cuyo cumplimiento se refleja en los certificados de existencia y representación legal y constituye, por ello, una fuente de verificación directamente accesible para la entidad contratante.</w:t>
      </w:r>
    </w:p>
    <w:p w14:paraId="01CD51DE" w14:textId="562B450E" w:rsidR="00794379" w:rsidRPr="00794379" w:rsidRDefault="00794379" w:rsidP="39124533">
      <w:pPr>
        <w:spacing w:after="0" w:line="276" w:lineRule="auto"/>
        <w:ind w:firstLine="708"/>
        <w:jc w:val="both"/>
        <w:textAlignment w:val="baseline"/>
        <w:rPr>
          <w:rFonts w:ascii="Verdana" w:eastAsia="Verdana" w:hAnsi="Verdana" w:cs="Verdana"/>
        </w:rPr>
      </w:pPr>
      <w:r w:rsidRPr="39124533">
        <w:rPr>
          <w:rFonts w:ascii="Verdana" w:eastAsia="Verdana" w:hAnsi="Verdana" w:cs="Verdana"/>
        </w:rPr>
        <w:t>En este sentido, el ordenamiento contiene una disposición que se ocupa específicamente de la hipótesis consultada. El artículo 2.1.4.3.2.1 del Decreto 1081 de 2015, modificado por el Decreto 1600 de 2024, expedido en desarrollo de la Estrategia Nacional de Lucha contra la Corrupción, ordena a las entidades allí destinatarias garantizar, entre las acciones propias de su gestión contractual, la verificación de la existencia de situaciones de control, en los términos de los artículos 260 y 261 del Código de Comercio, de las personas jurídicas oferentes y de los proponentes plurales.</w:t>
      </w:r>
    </w:p>
    <w:p w14:paraId="3CCA5D55" w14:textId="77777777" w:rsidR="00794379" w:rsidRPr="00794379" w:rsidRDefault="00794379" w:rsidP="00794379">
      <w:pPr>
        <w:spacing w:after="120" w:line="276" w:lineRule="auto"/>
        <w:ind w:firstLine="709"/>
        <w:jc w:val="both"/>
        <w:textAlignment w:val="baseline"/>
        <w:rPr>
          <w:rFonts w:ascii="Verdana" w:eastAsia="Verdana" w:hAnsi="Verdana" w:cs="Verdana"/>
        </w:rPr>
      </w:pPr>
      <w:r w:rsidRPr="39124533">
        <w:rPr>
          <w:rFonts w:ascii="Verdana" w:eastAsia="Verdana" w:hAnsi="Verdana" w:cs="Verdana"/>
        </w:rPr>
        <w:lastRenderedPageBreak/>
        <w:t>Para hacer operativa esa verificación, la misma disposición establece un deber correlativo a cargo de los interesados: quienes se presenten como proponentes en los procesos de selección adelantados por las entidades destinatarias del capítulo deben, dentro de los tres días siguientes al momento en que se cierre definitivamente la presentación de ofertas, poner de presente la existencia o no de situaciones de control en que participen y, en particular, si son controlantes, controladas o comparten alguna de esas condiciones con otras personas que se encuentren participando en el mismo procedimiento de contratación; tratándose de proponentes plurales, la declaración se extiende a las personas que los integran. Las entidades contratantes, a su turno, examinan esas circunstancias con fundamento en la información suministrada por los oferentes y en las demás fuentes de consulta disponibles.</w:t>
      </w:r>
    </w:p>
    <w:p w14:paraId="3A6B5BC0" w14:textId="77777777" w:rsidR="00794379" w:rsidRDefault="00794379" w:rsidP="00794379">
      <w:pPr>
        <w:spacing w:after="120" w:line="276" w:lineRule="auto"/>
        <w:ind w:firstLine="709"/>
        <w:jc w:val="both"/>
        <w:textAlignment w:val="baseline"/>
        <w:rPr>
          <w:rFonts w:ascii="Verdana" w:eastAsia="Verdana" w:hAnsi="Verdana" w:cs="Verdana"/>
        </w:rPr>
      </w:pPr>
      <w:r w:rsidRPr="39124533">
        <w:rPr>
          <w:rFonts w:ascii="Verdana" w:eastAsia="Verdana" w:hAnsi="Verdana" w:cs="Verdana"/>
        </w:rPr>
        <w:t>La consecuencia que el reglamento asocia a ese examen resulta determinante para resolver la consulta. Cuando en desarrollo del análisis se adviertan circunstancias que pudieran implicar afectaciones a la libertad de concurrencia o de competencia, o a la pluralidad real de oferentes dentro del proceso de selección correspondiente, la entidad contratante debe evaluar la necesidad de poner tales situaciones en conocimiento de los entes de control competentes y, de ser necesario, solicitar su acompañamiento preventivo. El reglamento no dispone, por tanto, la exclusión de las ofertas de proponentes vinculados por una situación de control, sino un deber de revelación, un deber de verificación y un eventual deber de traslado. Ello confirma, desde el derecho positivo, la conclusión ya expuesta: la coincidencia de representante legal y accionista mayoritario entre dos proponentes no opera como causal de rechazo por ministerio de la ley.</w:t>
      </w:r>
    </w:p>
    <w:p w14:paraId="54482089" w14:textId="751B8425" w:rsidR="009B279C" w:rsidRPr="009B279C" w:rsidRDefault="009B279C" w:rsidP="009B279C">
      <w:pPr>
        <w:spacing w:after="120" w:line="276" w:lineRule="auto"/>
        <w:ind w:firstLine="709"/>
        <w:jc w:val="both"/>
        <w:textAlignment w:val="baseline"/>
        <w:rPr>
          <w:rFonts w:ascii="Verdana" w:eastAsia="Verdana" w:hAnsi="Verdana" w:cs="Verdana"/>
        </w:rPr>
      </w:pPr>
      <w:r w:rsidRPr="39124533">
        <w:rPr>
          <w:rFonts w:ascii="Verdana" w:eastAsia="Verdana" w:hAnsi="Verdana" w:cs="Verdana"/>
        </w:rPr>
        <w:t xml:space="preserve">Debe precisarse el ámbito subjetivo de la disposición transcrita. Los deberes allí previstos se predican de las entidades señaladas en el artículo 2.1.4.3.1.2 del Decreto 1081 de 2015, esto es, de las entidades y empresas del Estado del orden nacional pertenecientes a la Rama Ejecutiva del Poder Público, conforme lo ha explicado esta Subdirección al interpretar el alcance del Decreto 1600 de 2024 [conceptos C-586 de 2025 y C-1456 de 2025 — verificar radicados y fechas]. Lo anterior no releva a las demás entidades estatales del deber de verificar las situaciones de control de los proponentes, en la medida en que esa información resulta necesaria para prevenir inhabilidades y conflictos de interés y para asegurar la comparación objetiva de las propuestas; respecto de ellas, sin embargo, el fundamento del deber no se encuentra en el Decreto 1600 de </w:t>
      </w:r>
      <w:r w:rsidRPr="39124533">
        <w:rPr>
          <w:rFonts w:ascii="Verdana" w:eastAsia="Verdana" w:hAnsi="Verdana" w:cs="Verdana"/>
        </w:rPr>
        <w:lastRenderedPageBreak/>
        <w:t>2024 sino en los principios de transparencia y de selección objetiva y en las reglas que cada entidad incorpore en los documentos del proceso. Cuestión distinta, que no se confunde con la anterior, es la relativa a la identificación de los beneficiarios finales, materia regulada por normas propias y con finalidades diferentes, cuyo análisis excede el objeto de la presente consulta.</w:t>
      </w:r>
    </w:p>
    <w:p w14:paraId="51B8D53B" w14:textId="1FAE216D" w:rsidR="00127233" w:rsidRDefault="103A0385" w:rsidP="39124533">
      <w:pPr>
        <w:spacing w:after="0" w:line="276" w:lineRule="auto"/>
        <w:ind w:firstLine="708"/>
        <w:jc w:val="both"/>
        <w:textAlignment w:val="baseline"/>
        <w:rPr>
          <w:rFonts w:ascii="Verdana" w:eastAsia="Verdana" w:hAnsi="Verdana" w:cs="Verdana"/>
          <w:lang w:val="es"/>
        </w:rPr>
      </w:pPr>
      <w:r w:rsidRPr="39124533">
        <w:rPr>
          <w:rFonts w:ascii="Verdana" w:eastAsia="Verdana" w:hAnsi="Verdana" w:cs="Verdana"/>
          <w:lang w:val="es"/>
        </w:rPr>
        <w:t xml:space="preserve"> Precisamente, la existencia de vínculos de control entre oferentes adquiere relevancia en relación con el deber de selección objetiva previsto en el artículo 5 de la Ley 1150 de 2007. La comparación objetiva de las ofertas supone la existencia de propuestas autónomas e independientes que reflejen decisiones empresariales propias. Aunque el ordenamiento jurídico no prohíbe que dos sociedades sometidas a un mismo centro de decisión participen simultáneamente en un procedimiento de selección, sí exige que las ofertas sean reales, independientes y susceptibles de comparación efectiva. De esta manera, la revelación de los vínculos societarios permite a la entidad valorar si la pluralidad de oferentes corresponde a una competencia auténtica o si, por el contrario, existe una pluralidad meramente aparente que pueda afectar la finalidad del procedimiento contractual.</w:t>
      </w:r>
    </w:p>
    <w:p w14:paraId="742306FC" w14:textId="34A655B8" w:rsidR="00844755" w:rsidRPr="0015699B" w:rsidRDefault="00844755" w:rsidP="39124533">
      <w:pPr>
        <w:spacing w:after="120" w:line="276" w:lineRule="auto"/>
        <w:ind w:firstLine="709"/>
        <w:jc w:val="both"/>
        <w:textAlignment w:val="baseline"/>
        <w:rPr>
          <w:rFonts w:ascii="Verdana" w:eastAsia="Verdana" w:hAnsi="Verdana" w:cs="Verdana"/>
          <w:lang w:val="es"/>
        </w:rPr>
      </w:pPr>
      <w:r w:rsidRPr="39124533">
        <w:rPr>
          <w:rFonts w:ascii="Verdana" w:eastAsia="Verdana" w:hAnsi="Verdana" w:cs="Verdana"/>
        </w:rPr>
        <w:t>Conviene precisar la naturaleza del riesgo que se pretende conjurar, pues no coincide plenamente con el que reprime el derecho de la competencia. Este último sanciona los acuerdos entre agentes económicos independientes; cuando dos sociedades se encuentran sometidas a un mismo poder de decisión, en cambio, lo que puede verse comprometido es la autenticidad misma de la concurrencia, en la medida en que una sola unidad de decisión participa dos veces en el procedimiento. De allí que el reglamento aluda a la afectación de la "pluralidad real de oferentes" y que el interés protegido sea, en primer término, la comparabilidad efectiva de las propuestas exigida por el deber de selección objetiva, sin perjuicio de que los mismos hechos puedan ser relevantes desde la perspectiva del régimen de protección de la competencia, cuya calificación compete privativamente a la autoridad especializada.</w:t>
      </w:r>
    </w:p>
    <w:p w14:paraId="397CCC2B" w14:textId="75410D21" w:rsidR="00AA5ED1" w:rsidRDefault="103A0385" w:rsidP="39124533">
      <w:pPr>
        <w:spacing w:after="0" w:line="276" w:lineRule="auto"/>
        <w:jc w:val="both"/>
        <w:textAlignment w:val="baseline"/>
        <w:rPr>
          <w:rFonts w:ascii="Verdana" w:eastAsia="Verdana" w:hAnsi="Verdana" w:cs="Verdana"/>
          <w:lang w:val="es"/>
        </w:rPr>
      </w:pPr>
      <w:r w:rsidRPr="39124533">
        <w:rPr>
          <w:rFonts w:ascii="Verdana" w:eastAsia="Verdana" w:hAnsi="Verdana" w:cs="Verdana"/>
          <w:lang w:val="es"/>
        </w:rPr>
        <w:t xml:space="preserve"> Lo anterior explica por qué las entidades estatales, especialmente en los procesos no sometidos a Documentos Tipo, pueden adoptar mecanismos orientados a preservar la autenticidad de la competencia. </w:t>
      </w:r>
    </w:p>
    <w:p w14:paraId="427E6FC0" w14:textId="310C21E3" w:rsidR="00127233" w:rsidRDefault="103A0385" w:rsidP="39124533">
      <w:pPr>
        <w:spacing w:after="120" w:line="276" w:lineRule="auto"/>
        <w:ind w:firstLine="709"/>
        <w:jc w:val="both"/>
        <w:textAlignment w:val="baseline"/>
        <w:rPr>
          <w:rFonts w:ascii="Verdana" w:eastAsia="Verdana" w:hAnsi="Verdana" w:cs="Verdana"/>
          <w:lang w:val="es"/>
        </w:rPr>
      </w:pPr>
      <w:r w:rsidRPr="40A87941">
        <w:rPr>
          <w:rFonts w:ascii="Verdana" w:eastAsia="Verdana" w:hAnsi="Verdana" w:cs="Verdana"/>
          <w:lang w:val="es"/>
        </w:rPr>
        <w:t xml:space="preserve">Conforme a la jurisprudencia del Consejo de Estado, las causales de rechazo deben encontrarse previamente definidas, responder a finalidades legítimas, ser razonables y proporcionales, y fundarse en circunstancias </w:t>
      </w:r>
      <w:r w:rsidRPr="40A87941">
        <w:rPr>
          <w:rFonts w:ascii="Verdana" w:eastAsia="Verdana" w:hAnsi="Verdana" w:cs="Verdana"/>
          <w:lang w:val="es"/>
        </w:rPr>
        <w:lastRenderedPageBreak/>
        <w:t>objetivas que afecten la comparación de las ofertas</w:t>
      </w:r>
      <w:r w:rsidR="449D5998" w:rsidRPr="40A87941">
        <w:rPr>
          <w:rFonts w:ascii="Verdana" w:eastAsia="Verdana" w:hAnsi="Verdana" w:cs="Verdana"/>
          <w:sz w:val="18"/>
          <w:szCs w:val="18"/>
          <w:vertAlign w:val="superscript"/>
          <w:lang w:val="es"/>
        </w:rPr>
        <w:footnoteReference w:id="4"/>
      </w:r>
      <w:r w:rsidRPr="40A87941">
        <w:rPr>
          <w:rFonts w:ascii="Verdana" w:eastAsia="Verdana" w:hAnsi="Verdana" w:cs="Verdana"/>
          <w:lang w:val="es"/>
        </w:rPr>
        <w:t>. Sin embargo, esta facultad encuentra un límite infranqueable en la reserva legal que gobierna el régimen de inhabilidades. En consecuencia, una entidad no puede rechazar una oferta por el simple hecho de que dos proponentes compartan representante legal o accionista mayoritario, pues ello equivaldría a crear una nueva inhabilidad no prevista por el legislador. Distinta es la situación cuando el rechazo se fundamenta en el incumplimiento de deberes de revelación exigidos por los documentos del proceso o en circunstancias objetivas que demuestren la ausencia de independencia entre las propuestas.</w:t>
      </w:r>
    </w:p>
    <w:p w14:paraId="6F064D1A" w14:textId="275319E3" w:rsidR="001C1C70" w:rsidRPr="0015699B" w:rsidRDefault="001C1C70" w:rsidP="39124533">
      <w:pPr>
        <w:spacing w:after="120" w:line="276" w:lineRule="auto"/>
        <w:ind w:firstLine="709"/>
        <w:jc w:val="both"/>
        <w:textAlignment w:val="baseline"/>
        <w:rPr>
          <w:rFonts w:ascii="Verdana" w:eastAsia="Verdana" w:hAnsi="Verdana" w:cs="Verdana"/>
          <w:lang w:val="es"/>
        </w:rPr>
      </w:pPr>
      <w:r w:rsidRPr="39124533">
        <w:rPr>
          <w:rFonts w:ascii="Verdana" w:eastAsia="Verdana" w:hAnsi="Verdana" w:cs="Verdana"/>
        </w:rPr>
        <w:t>Ese criterio impone que el supuesto de hecho de la causal sea verificable por la entidad sin necesidad de calificar la conducta de los proponentes a la luz del régimen de protección de la competencia. Satisfacen esa exigencia, entre otras, las causales fundadas en el incumplimiento del deber de declarar las situaciones de control, en la inexactitud o falsedad de la declaración correspondiente, o en la constatación de elementos materiales que evidencien que las propuestas no fueron elaboradas de manera independiente. No la satisfacen, en cambio, las cláusulas que exigen de la entidad un juicio sobre la existencia de coordinación o de acuerdo entre oferentes. A ello se agrega que en los procesos regidos por Documentos Tipo las causales de rechazo integran el articulado inalterable, en los términos del artículo 1 de la Ley 2022 de 2020, que modificó el artículo 4 de la Ley 1882 de 2018, de modo que la entidad debe estarse a las allí previstas.</w:t>
      </w:r>
    </w:p>
    <w:p w14:paraId="64BDD348" w14:textId="020F2AB2" w:rsidR="00127233" w:rsidRPr="0015699B" w:rsidRDefault="103A0385" w:rsidP="39124533">
      <w:pPr>
        <w:spacing w:after="0" w:line="276" w:lineRule="auto"/>
        <w:ind w:firstLine="708"/>
        <w:jc w:val="both"/>
        <w:textAlignment w:val="baseline"/>
      </w:pPr>
      <w:r w:rsidRPr="39124533">
        <w:rPr>
          <w:rFonts w:ascii="Verdana" w:eastAsia="Verdana" w:hAnsi="Verdana" w:cs="Verdana"/>
          <w:lang w:val="es"/>
        </w:rPr>
        <w:t xml:space="preserve"> Ahora bien, el análisis debe diferenciarse de la eventual configuración de acuerdos colusorios o prácticas restrictivas de la competencia. El numeral 9 del artículo 47 del Decreto Ley 2153 de 1992 considera contrarios a la libre competencia los acuerdos que tengan por objeto la colusión en licitaciones o concursos o que produzcan como efecto la distribución de adjudicaciones o la fijación concertada de los términos de las propuestas. Sin embargo, la existencia de vínculos societarios o de una situación de control común no permite presumir la existencia de colusión. Como lo ha señalado la Superintendencia de Industria y Comercio y lo ha reiterado Colombia Compra Eficiente, la acreditación de acuerdos restrictivos de la competencia exige una valoración probatoria de las </w:t>
      </w:r>
      <w:r w:rsidRPr="39124533">
        <w:rPr>
          <w:rFonts w:ascii="Verdana" w:eastAsia="Verdana" w:hAnsi="Verdana" w:cs="Verdana"/>
          <w:lang w:val="es"/>
        </w:rPr>
        <w:lastRenderedPageBreak/>
        <w:t>circunstancias concretas del caso, generalmente mediante la identificación de indicios graves, concordantes y convergentes</w:t>
      </w:r>
      <w:r w:rsidRPr="39124533">
        <w:rPr>
          <w:rFonts w:ascii="Verdana" w:eastAsia="Verdana" w:hAnsi="Verdana" w:cs="Verdana"/>
          <w:sz w:val="18"/>
          <w:szCs w:val="18"/>
          <w:vertAlign w:val="superscript"/>
          <w:lang w:val="es"/>
        </w:rPr>
        <w:footnoteReference w:id="5"/>
      </w:r>
      <w:r w:rsidRPr="39124533">
        <w:rPr>
          <w:rFonts w:ascii="Verdana" w:eastAsia="Verdana" w:hAnsi="Verdana" w:cs="Verdana"/>
          <w:lang w:val="es"/>
        </w:rPr>
        <w:t>.</w:t>
      </w:r>
    </w:p>
    <w:p w14:paraId="0587E537" w14:textId="77777777" w:rsidR="00B043B2" w:rsidRPr="00B043B2" w:rsidRDefault="00B043B2" w:rsidP="39124533">
      <w:pPr>
        <w:spacing w:after="120" w:line="276" w:lineRule="auto"/>
        <w:ind w:firstLine="709"/>
        <w:jc w:val="both"/>
        <w:textAlignment w:val="baseline"/>
        <w:rPr>
          <w:rFonts w:ascii="Verdana" w:eastAsia="Verdana" w:hAnsi="Verdana" w:cs="Verdana"/>
        </w:rPr>
      </w:pPr>
      <w:r w:rsidRPr="39124533">
        <w:rPr>
          <w:rFonts w:ascii="Verdana" w:eastAsia="Verdana" w:hAnsi="Verdana" w:cs="Verdana"/>
        </w:rPr>
        <w:t>Esa competencia corresponde de manera privativa a la Superintendencia de Industria y Comercio en su condición de autoridad nacional única de protección de la competencia, conforme al artículo 6 de la Ley 1340 de 2009. Cuando los hechos advertidos puedan además ser constitutivos del delito de acuerdos restrictivos de la competencia en procesos de contratación pública, tipificado en el artículo 410A del Código Penal, adicionado por el artículo 27 de la Ley 1474 de 2011, la entidad debe formular la denuncia correspondiente ante la Fiscalía General de la Nación.</w:t>
      </w:r>
    </w:p>
    <w:p w14:paraId="385E1A70" w14:textId="6FADE7DF" w:rsidR="00127233" w:rsidRPr="003D5882" w:rsidRDefault="103A0385" w:rsidP="39124533">
      <w:pPr>
        <w:spacing w:after="0" w:line="276" w:lineRule="auto"/>
        <w:ind w:firstLine="708"/>
        <w:jc w:val="both"/>
        <w:textAlignment w:val="baseline"/>
        <w:rPr>
          <w:rFonts w:ascii="Verdana" w:eastAsia="Verdana" w:hAnsi="Verdana" w:cs="Verdana"/>
          <w:lang w:val="es"/>
        </w:rPr>
      </w:pPr>
      <w:r w:rsidRPr="39124533">
        <w:rPr>
          <w:rFonts w:ascii="Verdana" w:eastAsia="Verdana" w:hAnsi="Verdana" w:cs="Verdana"/>
          <w:lang w:val="es"/>
        </w:rPr>
        <w:t>Por consiguiente, la coincidencia de representante legal o accionista mayoritario constituye únicamente un elemento de análisis que puede justificar verificaciones adicionales por parte de la entidad estatal, pero no permite concluir, por sí sola, la existencia de una conducta anticompetitiva ni habilita el rechazo automático de las ofertas.</w:t>
      </w:r>
    </w:p>
    <w:p w14:paraId="43BC32B7" w14:textId="0AF72231" w:rsidR="00127233" w:rsidRPr="0015699B" w:rsidRDefault="103A0385" w:rsidP="39124533">
      <w:pPr>
        <w:spacing w:after="0" w:line="276" w:lineRule="auto"/>
        <w:ind w:firstLine="708"/>
        <w:jc w:val="both"/>
        <w:textAlignment w:val="baseline"/>
        <w:rPr>
          <w:rFonts w:ascii="Verdana" w:eastAsia="Verdana" w:hAnsi="Verdana" w:cs="Verdana"/>
          <w:lang w:val="es"/>
        </w:rPr>
      </w:pPr>
      <w:r w:rsidRPr="39124533">
        <w:rPr>
          <w:rFonts w:ascii="Verdana" w:eastAsia="Verdana" w:hAnsi="Verdana" w:cs="Verdana"/>
          <w:lang w:val="es"/>
        </w:rPr>
        <w:t xml:space="preserve"> Por las razones expuestas, la circunstancia consistente en que una misma persona natural sea representante legal y accionista mayoritario de dos sociedades por acciones simplificadas que participan en una misma licitación pública no configura una inhabilidad legal ni una causal automática de rechazo. No obstante, constituye un hecho jurídicamente relevante para efectos de los deberes de revelación, la verificación de la independencia de las ofertas, la protección de la selección objetiva y la identificación de eventuales riesgos asociados a prácticas restrictivas de la competencia, materias respecto de las cuales las entidades estatales y las autoridades competentes conservan plenas facultades de control y verificación.</w:t>
      </w:r>
    </w:p>
    <w:p w14:paraId="45132BD5" w14:textId="2E3C4CF5" w:rsidR="00127233" w:rsidRPr="0015699B" w:rsidRDefault="103A0385" w:rsidP="39124533">
      <w:pPr>
        <w:spacing w:after="0" w:line="276" w:lineRule="auto"/>
        <w:ind w:firstLine="708"/>
        <w:jc w:val="both"/>
        <w:textAlignment w:val="baseline"/>
        <w:rPr>
          <w:rFonts w:ascii="Verdana" w:eastAsia="Verdana" w:hAnsi="Verdana" w:cs="Verdana"/>
          <w:lang w:val="es-ES"/>
        </w:rPr>
      </w:pPr>
      <w:r w:rsidRPr="39124533">
        <w:rPr>
          <w:rFonts w:ascii="Verdana" w:eastAsia="Verdana" w:hAnsi="Verdana" w:cs="Verdana"/>
          <w:lang w:val="es"/>
        </w:rPr>
        <w:t xml:space="preserve"> </w:t>
      </w:r>
      <w:r w:rsidRPr="39124533">
        <w:rPr>
          <w:rFonts w:ascii="Verdana" w:eastAsia="Verdana" w:hAnsi="Verdana" w:cs="Verdana"/>
          <w:lang w:val="es-ES"/>
        </w:rPr>
        <w:t>Finalmente,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01FBB8DC" w14:textId="210AC9E2" w:rsidR="00127233" w:rsidRPr="0015699B" w:rsidRDefault="103A0385" w:rsidP="40A87941">
      <w:pPr>
        <w:spacing w:after="0" w:line="276" w:lineRule="auto"/>
        <w:ind w:firstLine="708"/>
        <w:jc w:val="both"/>
        <w:textAlignment w:val="baseline"/>
        <w:rPr>
          <w:rFonts w:ascii="Verdana" w:eastAsia="Verdana" w:hAnsi="Verdana" w:cs="Verdana"/>
          <w:lang w:val="es"/>
        </w:rPr>
      </w:pPr>
      <w:r w:rsidRPr="39124533">
        <w:rPr>
          <w:rFonts w:ascii="Verdana" w:eastAsia="Verdana" w:hAnsi="Verdana" w:cs="Verdana"/>
          <w:lang w:val="es"/>
        </w:rPr>
        <w:lastRenderedPageBreak/>
        <w:t xml:space="preserve">  </w:t>
      </w:r>
    </w:p>
    <w:p w14:paraId="428BEB2C" w14:textId="30A41B12" w:rsidR="00127233" w:rsidRPr="0015699B" w:rsidRDefault="103A0385" w:rsidP="40A87941">
      <w:pPr>
        <w:pStyle w:val="Prrafodelista"/>
        <w:numPr>
          <w:ilvl w:val="0"/>
          <w:numId w:val="2"/>
        </w:numPr>
        <w:spacing w:after="0" w:line="240"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Referencias normativas, jurisprudenciales y otras fuentes:</w:t>
      </w:r>
    </w:p>
    <w:p w14:paraId="0B5B2C34" w14:textId="3E3CEBA9" w:rsidR="00127233" w:rsidRPr="0015699B" w:rsidRDefault="103A0385" w:rsidP="40A87941">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40A87941" w14:paraId="70B9E91B" w14:textId="77777777" w:rsidTr="39124533">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29338EAD" w14:textId="77777777" w:rsidR="00010A5F" w:rsidRPr="004E1F0E" w:rsidRDefault="00010A5F" w:rsidP="39124533">
            <w:pPr>
              <w:pStyle w:val="Prrafodelista"/>
              <w:numPr>
                <w:ilvl w:val="0"/>
                <w:numId w:val="24"/>
              </w:numPr>
              <w:spacing w:after="120"/>
              <w:ind w:left="714" w:hanging="357"/>
              <w:contextualSpacing w:val="0"/>
              <w:rPr>
                <w:rFonts w:ascii="Verdana" w:hAnsi="Verdana"/>
                <w:lang w:val="es"/>
              </w:rPr>
            </w:pPr>
            <w:r w:rsidRPr="39124533">
              <w:rPr>
                <w:rFonts w:ascii="Verdana" w:hAnsi="Verdana"/>
                <w:lang w:val="es"/>
              </w:rPr>
              <w:t>Constitución Política: artículos 13, 333 y 334.</w:t>
            </w:r>
          </w:p>
          <w:p w14:paraId="39F55784" w14:textId="77777777" w:rsidR="00010A5F" w:rsidRPr="004E1F0E" w:rsidRDefault="00010A5F" w:rsidP="39124533">
            <w:pPr>
              <w:pStyle w:val="Prrafodelista"/>
              <w:numPr>
                <w:ilvl w:val="0"/>
                <w:numId w:val="24"/>
              </w:numPr>
              <w:spacing w:after="120"/>
              <w:ind w:left="714" w:hanging="357"/>
              <w:contextualSpacing w:val="0"/>
              <w:rPr>
                <w:rFonts w:ascii="Verdana" w:eastAsia="Verdana" w:hAnsi="Verdana" w:cs="Verdana"/>
                <w:lang w:val="es"/>
              </w:rPr>
            </w:pPr>
            <w:r w:rsidRPr="39124533">
              <w:rPr>
                <w:rFonts w:ascii="Verdana" w:eastAsia="Verdana" w:hAnsi="Verdana" w:cs="Verdana"/>
                <w:lang w:val="es"/>
              </w:rPr>
              <w:t>Ley 80 de 1993: artículos 8, numeral 1, literales g) y h); 24 y 29.</w:t>
            </w:r>
          </w:p>
          <w:p w14:paraId="142B4689" w14:textId="77777777" w:rsidR="00010A5F" w:rsidRPr="004E1F0E" w:rsidRDefault="00010A5F" w:rsidP="39124533">
            <w:pPr>
              <w:pStyle w:val="Prrafodelista"/>
              <w:numPr>
                <w:ilvl w:val="0"/>
                <w:numId w:val="24"/>
              </w:numPr>
              <w:spacing w:after="120"/>
              <w:ind w:left="714" w:hanging="357"/>
              <w:contextualSpacing w:val="0"/>
              <w:rPr>
                <w:rFonts w:ascii="Verdana" w:eastAsia="Verdana" w:hAnsi="Verdana" w:cs="Verdana"/>
                <w:lang w:val="es"/>
              </w:rPr>
            </w:pPr>
            <w:r w:rsidRPr="39124533">
              <w:rPr>
                <w:rFonts w:ascii="Verdana" w:eastAsia="Verdana" w:hAnsi="Verdana" w:cs="Verdana"/>
                <w:lang w:val="es"/>
              </w:rPr>
              <w:t>Ley 222 de 1995: artículos 26, 27, 28 y 30.</w:t>
            </w:r>
          </w:p>
          <w:p w14:paraId="5B3DB89B" w14:textId="77777777" w:rsidR="00010A5F" w:rsidRPr="004E1F0E" w:rsidRDefault="00010A5F" w:rsidP="39124533">
            <w:pPr>
              <w:pStyle w:val="Prrafodelista"/>
              <w:numPr>
                <w:ilvl w:val="0"/>
                <w:numId w:val="24"/>
              </w:numPr>
              <w:spacing w:after="120"/>
              <w:ind w:left="714" w:hanging="357"/>
              <w:contextualSpacing w:val="0"/>
              <w:rPr>
                <w:rFonts w:ascii="Verdana" w:eastAsia="Verdana" w:hAnsi="Verdana" w:cs="Verdana"/>
                <w:lang w:val="es"/>
              </w:rPr>
            </w:pPr>
            <w:r w:rsidRPr="39124533">
              <w:rPr>
                <w:rFonts w:ascii="Verdana" w:eastAsia="Verdana" w:hAnsi="Verdana" w:cs="Verdana"/>
                <w:lang w:val="es"/>
              </w:rPr>
              <w:t>Ley 1150 de 2007: artículo 5, inciso primero.</w:t>
            </w:r>
          </w:p>
          <w:p w14:paraId="69DFED0B" w14:textId="77777777" w:rsidR="00010A5F" w:rsidRPr="004E1F0E" w:rsidRDefault="00010A5F" w:rsidP="39124533">
            <w:pPr>
              <w:pStyle w:val="Prrafodelista"/>
              <w:numPr>
                <w:ilvl w:val="0"/>
                <w:numId w:val="24"/>
              </w:numPr>
              <w:spacing w:after="120"/>
              <w:ind w:left="714" w:hanging="357"/>
              <w:contextualSpacing w:val="0"/>
              <w:rPr>
                <w:rFonts w:ascii="Verdana" w:eastAsia="Verdana" w:hAnsi="Verdana" w:cs="Verdana"/>
                <w:lang w:val="es"/>
              </w:rPr>
            </w:pPr>
            <w:r w:rsidRPr="39124533">
              <w:rPr>
                <w:rFonts w:ascii="Verdana" w:eastAsia="Verdana" w:hAnsi="Verdana" w:cs="Verdana"/>
                <w:lang w:val="es"/>
              </w:rPr>
              <w:t>Ley 1340 de 2009: artículo 6.</w:t>
            </w:r>
          </w:p>
          <w:p w14:paraId="4E95BDED" w14:textId="77777777" w:rsidR="00010A5F" w:rsidRPr="004E1F0E" w:rsidRDefault="00010A5F" w:rsidP="39124533">
            <w:pPr>
              <w:pStyle w:val="Prrafodelista"/>
              <w:numPr>
                <w:ilvl w:val="0"/>
                <w:numId w:val="24"/>
              </w:numPr>
              <w:spacing w:after="120"/>
              <w:ind w:left="714" w:hanging="357"/>
              <w:contextualSpacing w:val="0"/>
              <w:rPr>
                <w:rFonts w:ascii="Verdana" w:eastAsia="Verdana" w:hAnsi="Verdana" w:cs="Verdana"/>
                <w:lang w:val="es"/>
              </w:rPr>
            </w:pPr>
            <w:r w:rsidRPr="39124533">
              <w:rPr>
                <w:rFonts w:ascii="Verdana" w:eastAsia="Verdana" w:hAnsi="Verdana" w:cs="Verdana"/>
                <w:lang w:val="es"/>
              </w:rPr>
              <w:t>Ley 1474 de 2011: artículo 27.</w:t>
            </w:r>
          </w:p>
          <w:p w14:paraId="61A3FB65" w14:textId="77777777" w:rsidR="00010A5F" w:rsidRPr="004E1F0E" w:rsidRDefault="00010A5F" w:rsidP="39124533">
            <w:pPr>
              <w:pStyle w:val="Prrafodelista"/>
              <w:numPr>
                <w:ilvl w:val="0"/>
                <w:numId w:val="24"/>
              </w:numPr>
              <w:spacing w:after="120"/>
              <w:ind w:left="714" w:hanging="357"/>
              <w:contextualSpacing w:val="0"/>
              <w:rPr>
                <w:rFonts w:ascii="Verdana" w:eastAsia="Verdana" w:hAnsi="Verdana" w:cs="Verdana"/>
                <w:lang w:val="es"/>
              </w:rPr>
            </w:pPr>
            <w:r w:rsidRPr="39124533">
              <w:rPr>
                <w:rFonts w:ascii="Verdana" w:eastAsia="Verdana" w:hAnsi="Verdana" w:cs="Verdana"/>
                <w:lang w:val="es"/>
              </w:rPr>
              <w:t>Ley 2022 de 2020: artículo 1.</w:t>
            </w:r>
          </w:p>
          <w:p w14:paraId="6AF04AC6" w14:textId="77777777" w:rsidR="00010A5F" w:rsidRPr="004E1F0E" w:rsidRDefault="00010A5F" w:rsidP="39124533">
            <w:pPr>
              <w:pStyle w:val="Prrafodelista"/>
              <w:numPr>
                <w:ilvl w:val="0"/>
                <w:numId w:val="24"/>
              </w:numPr>
              <w:spacing w:after="120"/>
              <w:ind w:left="714" w:hanging="357"/>
              <w:contextualSpacing w:val="0"/>
              <w:rPr>
                <w:rFonts w:ascii="Verdana" w:eastAsia="Verdana" w:hAnsi="Verdana" w:cs="Verdana"/>
                <w:lang w:val="es"/>
              </w:rPr>
            </w:pPr>
            <w:r w:rsidRPr="39124533">
              <w:rPr>
                <w:rFonts w:ascii="Verdana" w:eastAsia="Verdana" w:hAnsi="Verdana" w:cs="Verdana"/>
                <w:lang w:val="es"/>
              </w:rPr>
              <w:t>Decreto Ley 2153 de 1992: artículo 47, numeral 9.</w:t>
            </w:r>
          </w:p>
          <w:p w14:paraId="1F717C27" w14:textId="77777777" w:rsidR="00010A5F" w:rsidRPr="004E1F0E" w:rsidRDefault="00010A5F" w:rsidP="39124533">
            <w:pPr>
              <w:pStyle w:val="Prrafodelista"/>
              <w:numPr>
                <w:ilvl w:val="0"/>
                <w:numId w:val="24"/>
              </w:numPr>
              <w:spacing w:after="120"/>
              <w:ind w:left="714" w:hanging="357"/>
              <w:contextualSpacing w:val="0"/>
              <w:rPr>
                <w:rFonts w:ascii="Verdana" w:eastAsia="Verdana" w:hAnsi="Verdana" w:cs="Verdana"/>
                <w:lang w:val="es"/>
              </w:rPr>
            </w:pPr>
            <w:r w:rsidRPr="39124533">
              <w:rPr>
                <w:rFonts w:ascii="Verdana" w:eastAsia="Verdana" w:hAnsi="Verdana" w:cs="Verdana"/>
                <w:lang w:val="es"/>
              </w:rPr>
              <w:t>Código de Comercio: artículos 260 y 261.</w:t>
            </w:r>
          </w:p>
          <w:p w14:paraId="5FB49F23" w14:textId="77777777" w:rsidR="00010A5F" w:rsidRPr="004E1F0E" w:rsidRDefault="00010A5F" w:rsidP="39124533">
            <w:pPr>
              <w:pStyle w:val="Prrafodelista"/>
              <w:numPr>
                <w:ilvl w:val="0"/>
                <w:numId w:val="24"/>
              </w:numPr>
              <w:spacing w:after="120"/>
              <w:ind w:left="714" w:hanging="357"/>
              <w:contextualSpacing w:val="0"/>
              <w:rPr>
                <w:rFonts w:ascii="Verdana" w:eastAsia="Verdana" w:hAnsi="Verdana" w:cs="Verdana"/>
                <w:lang w:val="es"/>
              </w:rPr>
            </w:pPr>
            <w:r w:rsidRPr="39124533">
              <w:rPr>
                <w:rFonts w:ascii="Verdana" w:eastAsia="Verdana" w:hAnsi="Verdana" w:cs="Verdana"/>
                <w:lang w:val="es"/>
              </w:rPr>
              <w:t>Decreto 1081 de 2015: artículos 2.1.4.3.1.2 y 2.1.4.3.2.1, modificados por el Decreto 1600 de 2024.</w:t>
            </w:r>
          </w:p>
          <w:p w14:paraId="56E4300C" w14:textId="02EC4DCD" w:rsidR="40A87941" w:rsidRPr="003D5882" w:rsidRDefault="00010A5F" w:rsidP="39124533">
            <w:pPr>
              <w:pStyle w:val="Prrafodelista"/>
              <w:numPr>
                <w:ilvl w:val="0"/>
                <w:numId w:val="24"/>
              </w:numPr>
              <w:spacing w:after="120" w:line="276" w:lineRule="auto"/>
              <w:ind w:left="714" w:hanging="357"/>
              <w:contextualSpacing w:val="0"/>
              <w:jc w:val="both"/>
              <w:rPr>
                <w:rFonts w:ascii="Verdana" w:eastAsia="Verdana" w:hAnsi="Verdana" w:cs="Verdana"/>
                <w:lang w:val="es"/>
              </w:rPr>
            </w:pPr>
            <w:r w:rsidRPr="39124533">
              <w:rPr>
                <w:rFonts w:ascii="Verdana" w:eastAsia="Verdana" w:hAnsi="Verdana" w:cs="Verdana"/>
                <w:lang w:val="es"/>
              </w:rPr>
              <w:t>Decreto 1082 de 2015: artículo 2.2.1.1.2.2.5.</w:t>
            </w:r>
          </w:p>
        </w:tc>
      </w:tr>
    </w:tbl>
    <w:p w14:paraId="625FACA3" w14:textId="447E4E69" w:rsidR="00127233" w:rsidRPr="0015699B" w:rsidRDefault="103A0385" w:rsidP="40A87941">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1E3C9C41" w14:textId="60B1AD41" w:rsidR="00127233" w:rsidRPr="003D5882" w:rsidRDefault="103A0385" w:rsidP="39124533">
      <w:pPr>
        <w:pStyle w:val="Prrafodelista"/>
        <w:numPr>
          <w:ilvl w:val="0"/>
          <w:numId w:val="2"/>
        </w:numPr>
        <w:spacing w:before="1" w:after="0" w:line="240" w:lineRule="auto"/>
        <w:jc w:val="both"/>
        <w:textAlignment w:val="baseline"/>
        <w:rPr>
          <w:rFonts w:ascii="Verdana" w:eastAsia="Verdana" w:hAnsi="Verdana" w:cs="Verdana"/>
          <w:b/>
          <w:bCs/>
          <w:lang w:val="es"/>
        </w:rPr>
      </w:pPr>
      <w:r w:rsidRPr="39124533">
        <w:rPr>
          <w:rFonts w:ascii="Verdana" w:eastAsia="Verdana" w:hAnsi="Verdana" w:cs="Verdana"/>
          <w:b/>
          <w:bCs/>
          <w:lang w:val="es"/>
        </w:rPr>
        <w:t>Doctrina de la Agencia Nacional de Contratación Pública:</w:t>
      </w:r>
    </w:p>
    <w:p w14:paraId="53576529" w14:textId="77777777" w:rsidR="00A37504" w:rsidRPr="003D5882" w:rsidRDefault="00A37504" w:rsidP="39124533">
      <w:pPr>
        <w:pStyle w:val="Prrafodelista"/>
        <w:spacing w:before="1" w:after="0" w:line="240" w:lineRule="auto"/>
        <w:jc w:val="both"/>
        <w:textAlignment w:val="baseline"/>
        <w:rPr>
          <w:rFonts w:ascii="Verdana" w:eastAsia="Verdana" w:hAnsi="Verdana" w:cs="Verdana"/>
          <w:b/>
          <w:bCs/>
          <w:lang w:val="es"/>
        </w:rPr>
      </w:pPr>
    </w:p>
    <w:p w14:paraId="5FD59EC3" w14:textId="229B9E65" w:rsidR="00127233" w:rsidRPr="00010A5F" w:rsidRDefault="004B74F1" w:rsidP="40A87941">
      <w:pPr>
        <w:spacing w:after="0" w:line="276" w:lineRule="auto"/>
        <w:jc w:val="both"/>
        <w:textAlignment w:val="baseline"/>
        <w:rPr>
          <w:rFonts w:ascii="Verdana" w:eastAsia="Verdana" w:hAnsi="Verdana" w:cs="Verdana"/>
          <w:color w:val="FF0000"/>
          <w:lang w:val="es"/>
        </w:rPr>
      </w:pPr>
      <w:r w:rsidRPr="39124533">
        <w:rPr>
          <w:rFonts w:ascii="Verdana" w:eastAsia="Verdana" w:hAnsi="Verdana" w:cs="Verdana"/>
        </w:rPr>
        <w:t xml:space="preserve">Sobre las causales de rechazo de la oferta esta subdirección se pronunció en los conceptos C-782 del 21 de noviembre de 2022, C-790 del 22 de noviembre de 2022, C-278 del 24 de agosto de 2023, C-128 del 13 de junio de 2024, C-429 del 16 de septiembre de 2024 y C-696 del 25 de mayo de 2026, entre otros. A su vez, sobre el alcance y el ámbito de aplicación de las obligaciones incorporadas al Decreto 1081 de 2015 por el Decreto 1600 de 2024, en particular respecto de la verificación de las situaciones de control de los proponentes, esta subdirección se pronunció en los conceptos C-586 del </w:t>
      </w:r>
      <w:r w:rsidR="008D737E" w:rsidRPr="39124533">
        <w:rPr>
          <w:rFonts w:ascii="Verdana" w:eastAsia="Verdana" w:hAnsi="Verdana" w:cs="Verdana"/>
        </w:rPr>
        <w:t>25</w:t>
      </w:r>
      <w:r w:rsidRPr="39124533">
        <w:rPr>
          <w:rFonts w:ascii="Verdana" w:eastAsia="Verdana" w:hAnsi="Verdana" w:cs="Verdana"/>
        </w:rPr>
        <w:t xml:space="preserve"> de </w:t>
      </w:r>
      <w:r w:rsidR="008D737E" w:rsidRPr="39124533">
        <w:rPr>
          <w:rFonts w:ascii="Verdana" w:eastAsia="Verdana" w:hAnsi="Verdana" w:cs="Verdana"/>
        </w:rPr>
        <w:t>junio</w:t>
      </w:r>
      <w:r w:rsidRPr="39124533">
        <w:rPr>
          <w:rFonts w:ascii="Verdana" w:eastAsia="Verdana" w:hAnsi="Verdana" w:cs="Verdana"/>
        </w:rPr>
        <w:t xml:space="preserve"> de 2025 y C-1456 del </w:t>
      </w:r>
      <w:r w:rsidR="00AA2B33" w:rsidRPr="39124533">
        <w:rPr>
          <w:rFonts w:ascii="Verdana" w:eastAsia="Verdana" w:hAnsi="Verdana" w:cs="Verdana"/>
        </w:rPr>
        <w:t xml:space="preserve">2 </w:t>
      </w:r>
      <w:r w:rsidRPr="39124533">
        <w:rPr>
          <w:rFonts w:ascii="Verdana" w:eastAsia="Verdana" w:hAnsi="Verdana" w:cs="Verdana"/>
        </w:rPr>
        <w:t xml:space="preserve">de </w:t>
      </w:r>
      <w:r w:rsidR="00AA2B33" w:rsidRPr="39124533">
        <w:rPr>
          <w:rFonts w:ascii="Verdana" w:eastAsia="Verdana" w:hAnsi="Verdana" w:cs="Verdana"/>
        </w:rPr>
        <w:t>diciembre</w:t>
      </w:r>
      <w:r w:rsidRPr="39124533">
        <w:rPr>
          <w:rFonts w:ascii="Verdana" w:eastAsia="Verdana" w:hAnsi="Verdana" w:cs="Verdana"/>
        </w:rPr>
        <w:t xml:space="preserve"> de 2025. Estos se encuentran disponibles para consulta en el Sistema de relatoría de la Agencia, al cual puede accederse a través del siguiente enlace:</w:t>
      </w:r>
      <w:hyperlink r:id="rId13">
        <w:r w:rsidR="103A0385" w:rsidRPr="39124533">
          <w:rPr>
            <w:rStyle w:val="Hipervnculo"/>
            <w:rFonts w:ascii="Verdana" w:hAnsi="Verdana"/>
            <w:lang w:val="es"/>
          </w:rPr>
          <w:t>https://relatoria.colombiacompra.gov.co/busqueda/conceptos</w:t>
        </w:r>
      </w:hyperlink>
      <w:r w:rsidR="103A0385" w:rsidRPr="39124533">
        <w:rPr>
          <w:rFonts w:ascii="Verdana" w:eastAsia="Verdana" w:hAnsi="Verdana" w:cs="Verdana"/>
          <w:color w:val="000000" w:themeColor="text1"/>
          <w:lang w:val="es"/>
        </w:rPr>
        <w:t xml:space="preserve">. </w:t>
      </w:r>
      <w:r w:rsidR="103A0385" w:rsidRPr="39124533">
        <w:rPr>
          <w:rFonts w:ascii="Verdana" w:eastAsia="Verdana" w:hAnsi="Verdana" w:cs="Verdana"/>
          <w:color w:val="FF0000"/>
          <w:lang w:val="es"/>
        </w:rPr>
        <w:t xml:space="preserve"> </w:t>
      </w:r>
    </w:p>
    <w:p w14:paraId="29BCB33B" w14:textId="4F2333C4" w:rsidR="00127233" w:rsidRDefault="103A0385" w:rsidP="40A87941">
      <w:pPr>
        <w:spacing w:after="0" w:line="276"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w:t>
      </w:r>
    </w:p>
    <w:p w14:paraId="79F9BD82" w14:textId="17A06CFB" w:rsidR="0BC27211" w:rsidRDefault="0BC27211" w:rsidP="054CF0A3">
      <w:pPr>
        <w:shd w:val="clear" w:color="auto" w:fill="FFFFFF" w:themeFill="background1"/>
        <w:spacing w:after="0"/>
        <w:jc w:val="both"/>
        <w:rPr>
          <w:rFonts w:ascii="Verdana" w:eastAsia="Verdana" w:hAnsi="Verdana" w:cs="Verdana"/>
        </w:rPr>
      </w:pPr>
      <w:r w:rsidRPr="054CF0A3">
        <w:rPr>
          <w:rFonts w:ascii="Verdana" w:eastAsia="Verdana" w:hAnsi="Verdana" w:cs="Verdana"/>
          <w:color w:val="000000" w:themeColor="text1"/>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54CF0A3">
        <w:rPr>
          <w:rFonts w:ascii="Verdana" w:eastAsia="Verdana" w:hAnsi="Verdana" w:cs="Verdana"/>
          <w:b/>
          <w:bCs/>
          <w:color w:val="000000" w:themeColor="text1"/>
        </w:rPr>
        <w:t xml:space="preserve">Guía para la Exigencia y Constitución de </w:t>
      </w:r>
      <w:r w:rsidRPr="054CF0A3">
        <w:rPr>
          <w:rFonts w:ascii="Verdana" w:eastAsia="Verdana" w:hAnsi="Verdana" w:cs="Verdana"/>
          <w:b/>
          <w:bCs/>
          <w:color w:val="000000" w:themeColor="text1"/>
        </w:rPr>
        <w:lastRenderedPageBreak/>
        <w:t>Garantías en los Procesos de Contratación</w:t>
      </w:r>
      <w:r w:rsidRPr="054CF0A3">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r w:rsidRPr="054CF0A3">
          <w:rPr>
            <w:rStyle w:val="Hipervnculo"/>
            <w:rFonts w:ascii="Verdana" w:eastAsia="Verdana" w:hAnsi="Verdana" w:cs="Verdana"/>
            <w:color w:val="000000" w:themeColor="text1"/>
          </w:rPr>
          <w:t>https://www.colombiacompra.gov.co/archivos/manual/guia-de-garantias-en-procesos-de-contratacion</w:t>
        </w:r>
      </w:hyperlink>
    </w:p>
    <w:p w14:paraId="22A1BFDE" w14:textId="0DA9F9B8" w:rsidR="0BC27211" w:rsidRDefault="0BC27211" w:rsidP="054CF0A3">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54CF0A3">
        <w:rPr>
          <w:rFonts w:ascii="Verdana" w:eastAsia="Verdana" w:hAnsi="Verdana" w:cs="Verdana"/>
          <w:b/>
          <w:bCs/>
          <w:color w:val="000000" w:themeColor="text1"/>
        </w:rPr>
        <w:t>Sistema Integral de Preferencias en favor de las personas con discapacidad</w:t>
      </w:r>
      <w:r w:rsidRPr="054CF0A3">
        <w:rPr>
          <w:rFonts w:ascii="Verdana" w:eastAsia="Verdana" w:hAnsi="Verdana" w:cs="Verdana"/>
          <w:color w:val="000000" w:themeColor="text1"/>
        </w:rPr>
        <w:t xml:space="preserve">, en cumplimiento del artículo 13 de la Ley Estatutaria 1618 de 2013. Para orientar su aplicación, esta Agencia expidió la </w:t>
      </w:r>
      <w:r w:rsidRPr="054CF0A3">
        <w:rPr>
          <w:rFonts w:ascii="Verdana" w:eastAsia="Verdana" w:hAnsi="Verdana" w:cs="Verdana"/>
          <w:b/>
          <w:bCs/>
          <w:color w:val="000000" w:themeColor="text1"/>
        </w:rPr>
        <w:t xml:space="preserve">Circular Externa 003 del 12 de mayo de 2026, </w:t>
      </w:r>
      <w:r w:rsidRPr="054CF0A3">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5">
        <w:r w:rsidRPr="054CF0A3">
          <w:rPr>
            <w:rStyle w:val="Hipervnculo"/>
            <w:rFonts w:ascii="Verdana" w:eastAsia="Verdana" w:hAnsi="Verdana" w:cs="Verdana"/>
            <w:color w:val="000000" w:themeColor="text1"/>
          </w:rPr>
          <w:t>https://www.colombiacompra.gov.co/archivos/circular/circular-externa-003-de-2026</w:t>
        </w:r>
      </w:hyperlink>
    </w:p>
    <w:p w14:paraId="6A5A4941" w14:textId="55930F10" w:rsidR="0BC27211" w:rsidRDefault="0BC27211" w:rsidP="054CF0A3">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Recuerda también que la</w:t>
      </w:r>
      <w:r w:rsidRPr="054CF0A3">
        <w:rPr>
          <w:rFonts w:ascii="Verdana" w:eastAsia="Verdana" w:hAnsi="Verdana" w:cs="Verdana"/>
          <w:b/>
          <w:bCs/>
          <w:color w:val="000000" w:themeColor="text1"/>
        </w:rPr>
        <w:t xml:space="preserve"> información sobre sanciones e inhabilidades </w:t>
      </w:r>
      <w:r w:rsidRPr="054CF0A3">
        <w:rPr>
          <w:rFonts w:ascii="Verdana" w:eastAsia="Verdana" w:hAnsi="Verdana" w:cs="Verdana"/>
          <w:color w:val="000000" w:themeColor="text1"/>
        </w:rPr>
        <w:t xml:space="preserve">solo cumple su función preventiva si llega oportunamente a los registros públicos. Sobre este deber, esta Agencia expidió la </w:t>
      </w:r>
      <w:r w:rsidRPr="054CF0A3">
        <w:rPr>
          <w:rFonts w:ascii="Verdana" w:eastAsia="Verdana" w:hAnsi="Verdana" w:cs="Verdana"/>
          <w:b/>
          <w:bCs/>
          <w:color w:val="000000" w:themeColor="text1"/>
        </w:rPr>
        <w:t>Circular Externa 002 del 5 de mayo de 2026,</w:t>
      </w:r>
      <w:r w:rsidRPr="054CF0A3">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r w:rsidRPr="054CF0A3">
          <w:rPr>
            <w:rStyle w:val="Hipervnculo"/>
            <w:rFonts w:ascii="Verdana" w:eastAsia="Verdana" w:hAnsi="Verdana" w:cs="Verdana"/>
            <w:color w:val="000000" w:themeColor="text1"/>
          </w:rPr>
          <w:t>https://www.colombiacompra.gov.co/archivos/circular/circular-externa-002-de-2026</w:t>
        </w:r>
      </w:hyperlink>
    </w:p>
    <w:p w14:paraId="14578C1B" w14:textId="285BD62E" w:rsidR="0BC27211" w:rsidRDefault="0BC27211" w:rsidP="054CF0A3">
      <w:pPr>
        <w:shd w:val="clear" w:color="auto" w:fill="FFFFFF" w:themeFill="background1"/>
        <w:spacing w:before="220" w:after="220"/>
        <w:jc w:val="both"/>
        <w:rPr>
          <w:rFonts w:ascii="Verdana" w:eastAsia="Verdana" w:hAnsi="Verdana" w:cs="Verdana"/>
          <w:color w:val="000000" w:themeColor="text1"/>
        </w:rPr>
      </w:pPr>
      <w:r w:rsidRPr="054CF0A3">
        <w:rPr>
          <w:rFonts w:ascii="Verdana" w:eastAsia="Verdana" w:hAnsi="Verdana" w:cs="Verdana"/>
          <w:color w:val="000000" w:themeColor="text1"/>
        </w:rPr>
        <w:t>Finalmente, si quieres seguir de cerca la actividad de la Agencia, la tercera edición de 2026 del</w:t>
      </w:r>
      <w:r w:rsidRPr="054CF0A3">
        <w:rPr>
          <w:rFonts w:ascii="Verdana" w:eastAsia="Verdana" w:hAnsi="Verdana" w:cs="Verdana"/>
          <w:b/>
          <w:bCs/>
          <w:color w:val="000000" w:themeColor="text1"/>
        </w:rPr>
        <w:t xml:space="preserve"> Radar de la Compra Pública</w:t>
      </w:r>
      <w:r w:rsidRPr="054CF0A3">
        <w:rPr>
          <w:rFonts w:ascii="Verdana" w:eastAsia="Verdana" w:hAnsi="Verdana" w:cs="Verdana"/>
          <w:color w:val="000000" w:themeColor="text1"/>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r w:rsidRPr="054CF0A3">
          <w:rPr>
            <w:rStyle w:val="Hipervnculo"/>
            <w:rFonts w:ascii="Verdana" w:eastAsia="Verdana" w:hAnsi="Verdana" w:cs="Verdana"/>
            <w:color w:val="000000" w:themeColor="text1"/>
          </w:rPr>
          <w:t>https://www.colombiacompra.gov.co/archivos/boletin/boletin-edicion-n-3-de-2026-radar-de-la-compra-publica</w:t>
        </w:r>
      </w:hyperlink>
    </w:p>
    <w:p w14:paraId="74D3EF9D" w14:textId="1A1EA0E1" w:rsidR="054CF0A3" w:rsidRDefault="054CF0A3" w:rsidP="054CF0A3">
      <w:pPr>
        <w:spacing w:after="0" w:line="276" w:lineRule="auto"/>
        <w:ind w:firstLine="708"/>
        <w:jc w:val="both"/>
        <w:rPr>
          <w:rFonts w:ascii="Verdana" w:eastAsia="Calibri" w:hAnsi="Verdana" w:cs="Arial"/>
          <w:color w:val="000000" w:themeColor="text1"/>
          <w:lang w:eastAsia="es-ES"/>
        </w:rPr>
      </w:pPr>
    </w:p>
    <w:p w14:paraId="799696DC" w14:textId="1E04F6CE" w:rsidR="00652A8C" w:rsidRPr="00A37504" w:rsidRDefault="00652A8C" w:rsidP="39124533">
      <w:pPr>
        <w:spacing w:after="0" w:line="240" w:lineRule="auto"/>
        <w:jc w:val="both"/>
        <w:textAlignment w:val="baseline"/>
        <w:rPr>
          <w:rFonts w:ascii="Verdana" w:hAnsi="Verdana"/>
          <w:lang w:val="es"/>
        </w:rPr>
      </w:pPr>
      <w:r>
        <w:br/>
      </w:r>
    </w:p>
    <w:p w14:paraId="1CBDCF81" w14:textId="050A5EE5" w:rsidR="00127233" w:rsidRPr="003D5882" w:rsidRDefault="103A0385" w:rsidP="39124533">
      <w:pPr>
        <w:spacing w:after="0" w:line="257" w:lineRule="auto"/>
        <w:jc w:val="both"/>
        <w:textAlignment w:val="baseline"/>
        <w:rPr>
          <w:rFonts w:ascii="Verdana" w:eastAsia="Verdana" w:hAnsi="Verdana" w:cs="Verdana"/>
          <w:color w:val="000000" w:themeColor="text1"/>
          <w:lang w:val="es"/>
        </w:rPr>
      </w:pPr>
      <w:r>
        <w:br/>
      </w:r>
      <w:r w:rsidRPr="39124533">
        <w:rPr>
          <w:rFonts w:ascii="Verdana" w:eastAsia="Verdana" w:hAnsi="Verdana" w:cs="Verdana"/>
          <w:color w:val="000000" w:themeColor="text1"/>
          <w:lang w:val="es"/>
        </w:rPr>
        <w:t xml:space="preserve">Lo invitamos a seguirnos en las redes sociales en las cuales se difunde información institucional: </w:t>
      </w:r>
    </w:p>
    <w:p w14:paraId="17BB7E44" w14:textId="0D53BCBB" w:rsidR="00127233" w:rsidRPr="0015699B" w:rsidRDefault="103A0385" w:rsidP="40A87941">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0E52E70B" w14:textId="4176A4F6" w:rsidR="00127233" w:rsidRPr="0015699B" w:rsidRDefault="103A0385" w:rsidP="40A87941">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Twitter: </w:t>
      </w:r>
      <w:r w:rsidRPr="40A87941">
        <w:rPr>
          <w:rFonts w:ascii="Verdana" w:eastAsia="Verdana" w:hAnsi="Verdana" w:cs="Verdana"/>
          <w:color w:val="000000" w:themeColor="text1"/>
          <w:u w:val="single"/>
          <w:lang w:val="es"/>
        </w:rPr>
        <w:t>@colombiacompra</w:t>
      </w:r>
      <w:r w:rsidRPr="40A87941">
        <w:rPr>
          <w:rFonts w:ascii="Verdana" w:eastAsia="Verdana" w:hAnsi="Verdana" w:cs="Verdana"/>
          <w:color w:val="000000" w:themeColor="text1"/>
          <w:lang w:val="es"/>
        </w:rPr>
        <w:t xml:space="preserve"> </w:t>
      </w:r>
    </w:p>
    <w:p w14:paraId="4403003A" w14:textId="39AA08CE" w:rsidR="00127233" w:rsidRPr="0015699B" w:rsidRDefault="103A0385" w:rsidP="40A87941">
      <w:pPr>
        <w:spacing w:after="0" w:line="240" w:lineRule="auto"/>
        <w:jc w:val="both"/>
        <w:textAlignment w:val="baseline"/>
        <w:rPr>
          <w:rFonts w:ascii="Verdana" w:eastAsia="Verdana" w:hAnsi="Verdana" w:cs="Verdana"/>
          <w:color w:val="000000" w:themeColor="text1"/>
          <w:u w:val="single"/>
          <w:lang w:val="es-ES"/>
        </w:rPr>
      </w:pPr>
      <w:r w:rsidRPr="40A87941">
        <w:rPr>
          <w:rFonts w:ascii="Verdana" w:eastAsia="Verdana" w:hAnsi="Verdana" w:cs="Verdana"/>
          <w:color w:val="000000" w:themeColor="text1"/>
          <w:lang w:val="es-ES"/>
        </w:rPr>
        <w:t xml:space="preserve">Facebook: </w:t>
      </w:r>
      <w:r w:rsidRPr="40A87941">
        <w:rPr>
          <w:rFonts w:ascii="Verdana" w:eastAsia="Verdana" w:hAnsi="Verdana" w:cs="Verdana"/>
          <w:color w:val="000000" w:themeColor="text1"/>
          <w:u w:val="single"/>
          <w:lang w:val="es-ES"/>
        </w:rPr>
        <w:t>ColombiaCompraEficiente</w:t>
      </w:r>
    </w:p>
    <w:p w14:paraId="6D9F0BDC" w14:textId="4B2BBE28" w:rsidR="00127233" w:rsidRPr="0015699B" w:rsidRDefault="103A0385" w:rsidP="40A87941">
      <w:pPr>
        <w:spacing w:after="0" w:line="240" w:lineRule="auto"/>
        <w:jc w:val="both"/>
        <w:textAlignment w:val="baseline"/>
        <w:rPr>
          <w:rFonts w:ascii="Verdana" w:eastAsia="Verdana" w:hAnsi="Verdana" w:cs="Verdana"/>
          <w:color w:val="000000" w:themeColor="text1"/>
          <w:u w:val="single"/>
          <w:lang w:val="es"/>
        </w:rPr>
      </w:pPr>
      <w:r w:rsidRPr="40A87941">
        <w:rPr>
          <w:rFonts w:ascii="Verdana" w:eastAsia="Verdana" w:hAnsi="Verdana" w:cs="Verdana"/>
          <w:color w:val="000000" w:themeColor="text1"/>
          <w:lang w:val="es"/>
        </w:rPr>
        <w:t xml:space="preserve">LinkedIn: </w:t>
      </w:r>
      <w:r w:rsidRPr="40A87941">
        <w:rPr>
          <w:rFonts w:ascii="Verdana" w:eastAsia="Verdana" w:hAnsi="Verdana" w:cs="Verdana"/>
          <w:color w:val="000000" w:themeColor="text1"/>
          <w:u w:val="single"/>
          <w:lang w:val="es"/>
        </w:rPr>
        <w:t>Agencia Nacional de Contratación Pública - Colombia Compra Eficiente</w:t>
      </w:r>
      <w:r w:rsidRPr="40A87941">
        <w:rPr>
          <w:rFonts w:ascii="Verdana" w:eastAsia="Verdana" w:hAnsi="Verdana" w:cs="Verdana"/>
          <w:color w:val="000000" w:themeColor="text1"/>
          <w:lang w:val="es"/>
        </w:rPr>
        <w:t xml:space="preserve"> Instagram: </w:t>
      </w:r>
      <w:r w:rsidRPr="40A87941">
        <w:rPr>
          <w:rFonts w:ascii="Verdana" w:eastAsia="Verdana" w:hAnsi="Verdana" w:cs="Verdana"/>
          <w:color w:val="000000" w:themeColor="text1"/>
          <w:u w:val="single"/>
          <w:lang w:val="es"/>
        </w:rPr>
        <w:t>@colombiacompraeficiente_cce</w:t>
      </w:r>
    </w:p>
    <w:p w14:paraId="1D52180F" w14:textId="13E6DCF5" w:rsidR="00127233" w:rsidRPr="0015699B" w:rsidRDefault="103A0385" w:rsidP="40A87941">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7C9ABD8" w14:textId="388E104E" w:rsidR="00127233" w:rsidRPr="0015699B" w:rsidRDefault="103A0385" w:rsidP="40A87941">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6F210C3" w14:textId="093E4C93" w:rsidR="00127233" w:rsidRPr="0015699B" w:rsidRDefault="103A0385" w:rsidP="40A87941">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EB8F0D9" w14:textId="1CC75D40" w:rsidR="00127233" w:rsidRPr="0015699B" w:rsidRDefault="103A0385" w:rsidP="40A87941">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C3EDCEF" w14:textId="4DB828F4" w:rsidR="00127233" w:rsidRPr="0015699B" w:rsidRDefault="103A0385" w:rsidP="40A87941">
      <w:pPr>
        <w:spacing w:after="0" w:line="240" w:lineRule="auto"/>
        <w:jc w:val="both"/>
        <w:textAlignment w:val="baseline"/>
      </w:pPr>
      <w:r w:rsidRPr="40A87941">
        <w:rPr>
          <w:rFonts w:ascii="Verdana" w:eastAsia="Verdana" w:hAnsi="Verdana" w:cs="Verdana"/>
          <w:color w:val="000000" w:themeColor="text1"/>
          <w:lang w:val="es"/>
        </w:rPr>
        <w:t xml:space="preserve">Atentamente, </w:t>
      </w:r>
    </w:p>
    <w:p w14:paraId="6779770A" w14:textId="64F2EFDA" w:rsidR="00127233" w:rsidRPr="0015699B" w:rsidRDefault="00127233" w:rsidP="40A87941">
      <w:pPr>
        <w:spacing w:after="0" w:line="240" w:lineRule="auto"/>
        <w:jc w:val="both"/>
        <w:textAlignment w:val="baseline"/>
        <w:rPr>
          <w:rFonts w:ascii="Verdana" w:eastAsia="Verdana" w:hAnsi="Verdana" w:cs="Verdana"/>
          <w:color w:val="000000" w:themeColor="text1"/>
          <w:lang w:val="es"/>
        </w:rPr>
      </w:pPr>
    </w:p>
    <w:p w14:paraId="21A1DC3D" w14:textId="196180AB" w:rsidR="4690F902" w:rsidRDefault="00CA56C1" w:rsidP="00CA56C1">
      <w:pPr>
        <w:spacing w:after="0" w:line="240" w:lineRule="auto"/>
        <w:ind w:left="284"/>
        <w:jc w:val="center"/>
      </w:pPr>
      <w:r>
        <w:rPr>
          <w:noProof/>
        </w:rPr>
        <w:drawing>
          <wp:inline distT="0" distB="0" distL="0" distR="0" wp14:anchorId="773834C1" wp14:editId="68AE5387">
            <wp:extent cx="3097530" cy="1329716"/>
            <wp:effectExtent l="0" t="0" r="7620" b="3810"/>
            <wp:docPr id="1203692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1428" cy="1335682"/>
                    </a:xfrm>
                    <a:prstGeom prst="rect">
                      <a:avLst/>
                    </a:prstGeom>
                    <a:noFill/>
                    <a:ln>
                      <a:noFill/>
                    </a:ln>
                  </pic:spPr>
                </pic:pic>
              </a:graphicData>
            </a:graphic>
          </wp:inline>
        </w:drawing>
      </w:r>
    </w:p>
    <w:p w14:paraId="79B5101F" w14:textId="77777777" w:rsidR="00CA56C1" w:rsidRDefault="00CA56C1" w:rsidP="39124533">
      <w:pPr>
        <w:spacing w:after="0" w:line="240" w:lineRule="auto"/>
        <w:ind w:left="2340"/>
        <w:jc w:val="both"/>
      </w:pPr>
    </w:p>
    <w:p w14:paraId="1ECE5229" w14:textId="591349DD" w:rsidR="00127233" w:rsidRPr="0015699B" w:rsidRDefault="103A0385" w:rsidP="40A87941">
      <w:pPr>
        <w:spacing w:line="276" w:lineRule="auto"/>
        <w:jc w:val="center"/>
        <w:textAlignment w:val="baseline"/>
        <w:rPr>
          <w:rFonts w:ascii="Calibri" w:eastAsia="Calibri" w:hAnsi="Calibri" w:cs="Calibri"/>
          <w:lang w:val="es"/>
        </w:rPr>
      </w:pPr>
      <w:r w:rsidRPr="225CD92B">
        <w:rPr>
          <w:rFonts w:ascii="Calibri" w:eastAsia="Calibri" w:hAnsi="Calibri" w:cs="Calibri"/>
          <w:lang w:val="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40A87941" w14:paraId="0D664ABF" w14:textId="77777777" w:rsidTr="39124533">
        <w:trPr>
          <w:trHeight w:val="315"/>
        </w:trPr>
        <w:tc>
          <w:tcPr>
            <w:tcW w:w="893" w:type="dxa"/>
            <w:tcBorders>
              <w:top w:val="nil"/>
              <w:bottom w:val="nil"/>
              <w:right w:val="nil"/>
            </w:tcBorders>
            <w:tcMar>
              <w:left w:w="108" w:type="dxa"/>
              <w:right w:w="108" w:type="dxa"/>
            </w:tcMar>
            <w:vAlign w:val="center"/>
          </w:tcPr>
          <w:p w14:paraId="527EF512" w14:textId="6DD42644" w:rsidR="40A87941" w:rsidRDefault="40A87941" w:rsidP="40A87941">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48E64CA2" w14:textId="0F602A03" w:rsidR="40A87941" w:rsidRDefault="40A87941" w:rsidP="40A87941">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Daniel Eduardo Rojas Poveda</w:t>
            </w:r>
          </w:p>
          <w:p w14:paraId="47654A66" w14:textId="6B3947F5" w:rsidR="40A87941" w:rsidRDefault="40A87941" w:rsidP="40A87941">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40A87941" w14:paraId="6A937470" w14:textId="77777777" w:rsidTr="39124533">
        <w:trPr>
          <w:trHeight w:val="330"/>
        </w:trPr>
        <w:tc>
          <w:tcPr>
            <w:tcW w:w="893" w:type="dxa"/>
            <w:tcBorders>
              <w:top w:val="nil"/>
              <w:bottom w:val="nil"/>
              <w:right w:val="nil"/>
            </w:tcBorders>
            <w:tcMar>
              <w:left w:w="108" w:type="dxa"/>
              <w:right w:w="108" w:type="dxa"/>
            </w:tcMar>
            <w:vAlign w:val="center"/>
          </w:tcPr>
          <w:p w14:paraId="73FD0EAA" w14:textId="0C23D267" w:rsidR="40A87941" w:rsidRDefault="40A87941" w:rsidP="40A87941">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26DC550E" w14:textId="1CFDA990" w:rsidR="40A87941" w:rsidRDefault="40A87941" w:rsidP="40A87941">
            <w:pPr>
              <w:rPr>
                <w:rFonts w:ascii="Verdana" w:eastAsia="Verdana" w:hAnsi="Verdana" w:cs="Verdana"/>
                <w:color w:val="000000" w:themeColor="text1"/>
                <w:sz w:val="16"/>
                <w:szCs w:val="16"/>
              </w:rPr>
            </w:pPr>
            <w:r w:rsidRPr="39124533">
              <w:rPr>
                <w:rFonts w:ascii="Verdana" w:eastAsia="Verdana" w:hAnsi="Verdana" w:cs="Verdana"/>
                <w:color w:val="000000" w:themeColor="text1"/>
                <w:sz w:val="16"/>
                <w:szCs w:val="16"/>
              </w:rPr>
              <w:t>Alejandro</w:t>
            </w:r>
            <w:r w:rsidR="00EC3894" w:rsidRPr="39124533">
              <w:rPr>
                <w:rFonts w:ascii="Verdana" w:eastAsia="Verdana" w:hAnsi="Verdana" w:cs="Verdana"/>
                <w:color w:val="000000" w:themeColor="text1"/>
                <w:sz w:val="16"/>
                <w:szCs w:val="16"/>
              </w:rPr>
              <w:t xml:space="preserve"> R.</w:t>
            </w:r>
            <w:r w:rsidRPr="39124533">
              <w:rPr>
                <w:rFonts w:ascii="Verdana" w:eastAsia="Verdana" w:hAnsi="Verdana" w:cs="Verdana"/>
                <w:color w:val="000000" w:themeColor="text1"/>
                <w:sz w:val="16"/>
                <w:szCs w:val="16"/>
              </w:rPr>
              <w:t xml:space="preserve"> Sarmiento </w:t>
            </w:r>
            <w:r w:rsidR="00EC3894" w:rsidRPr="39124533">
              <w:rPr>
                <w:rFonts w:ascii="Verdana" w:eastAsia="Verdana" w:hAnsi="Verdana" w:cs="Verdana"/>
                <w:color w:val="000000" w:themeColor="text1"/>
                <w:sz w:val="16"/>
                <w:szCs w:val="16"/>
              </w:rPr>
              <w:t>Cantillo</w:t>
            </w:r>
          </w:p>
          <w:p w14:paraId="34088D9C" w14:textId="4E85E2CC" w:rsidR="40A87941" w:rsidRDefault="40A87941" w:rsidP="40A87941">
            <w:pPr>
              <w:rPr>
                <w:rFonts w:ascii="Verdana" w:eastAsia="Verdana" w:hAnsi="Verdana" w:cs="Verdana"/>
                <w:color w:val="000000" w:themeColor="text1"/>
                <w:sz w:val="16"/>
                <w:szCs w:val="16"/>
              </w:rPr>
            </w:pPr>
            <w:r w:rsidRPr="39124533">
              <w:rPr>
                <w:rFonts w:ascii="Verdana" w:eastAsia="Verdana" w:hAnsi="Verdana" w:cs="Verdana"/>
                <w:color w:val="000000" w:themeColor="text1"/>
                <w:sz w:val="16"/>
                <w:szCs w:val="16"/>
              </w:rPr>
              <w:t xml:space="preserve">Gesto T1 </w:t>
            </w:r>
            <w:r w:rsidR="00EC3894" w:rsidRPr="39124533">
              <w:rPr>
                <w:rFonts w:ascii="Verdana" w:eastAsia="Verdana" w:hAnsi="Verdana" w:cs="Verdana"/>
                <w:color w:val="000000" w:themeColor="text1"/>
                <w:sz w:val="16"/>
                <w:szCs w:val="16"/>
              </w:rPr>
              <w:t>-</w:t>
            </w:r>
            <w:r w:rsidRPr="39124533">
              <w:rPr>
                <w:rFonts w:ascii="Verdana" w:eastAsia="Verdana" w:hAnsi="Verdana" w:cs="Verdana"/>
                <w:color w:val="000000" w:themeColor="text1"/>
                <w:sz w:val="16"/>
                <w:szCs w:val="16"/>
              </w:rPr>
              <w:t>15</w:t>
            </w:r>
            <w:r w:rsidR="00EC3894" w:rsidRPr="39124533">
              <w:rPr>
                <w:rFonts w:ascii="Verdana" w:eastAsia="Verdana" w:hAnsi="Verdana" w:cs="Verdana"/>
                <w:color w:val="000000" w:themeColor="text1"/>
                <w:sz w:val="16"/>
                <w:szCs w:val="16"/>
              </w:rPr>
              <w:t xml:space="preserve"> de la Subdirección de Gestión Contractual</w:t>
            </w:r>
          </w:p>
        </w:tc>
      </w:tr>
      <w:tr w:rsidR="40A87941" w14:paraId="0A6922DC" w14:textId="77777777" w:rsidTr="39124533">
        <w:trPr>
          <w:trHeight w:val="300"/>
        </w:trPr>
        <w:tc>
          <w:tcPr>
            <w:tcW w:w="893" w:type="dxa"/>
            <w:tcBorders>
              <w:top w:val="nil"/>
              <w:bottom w:val="nil"/>
              <w:right w:val="nil"/>
            </w:tcBorders>
            <w:tcMar>
              <w:left w:w="108" w:type="dxa"/>
              <w:right w:w="108" w:type="dxa"/>
            </w:tcMar>
            <w:vAlign w:val="center"/>
          </w:tcPr>
          <w:p w14:paraId="2F932D8C" w14:textId="389FE58A" w:rsidR="40A87941" w:rsidRDefault="40A87941" w:rsidP="40A87941">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0F0140C9" w14:textId="24D7DA32" w:rsidR="40A87941" w:rsidRDefault="40A87941" w:rsidP="40A87941">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Carolina Quintero Gacharná</w:t>
            </w:r>
          </w:p>
          <w:p w14:paraId="0E0C9381" w14:textId="1F55D843" w:rsidR="40A87941" w:rsidRDefault="40A87941" w:rsidP="40A87941">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Gestión Contractual ANCP – CCE</w:t>
            </w:r>
          </w:p>
        </w:tc>
      </w:tr>
    </w:tbl>
    <w:p w14:paraId="0FCD24AD" w14:textId="26B65E68" w:rsidR="00127233" w:rsidRPr="0015699B" w:rsidRDefault="103A0385" w:rsidP="40A87941">
      <w:pPr>
        <w:spacing w:line="257"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55CBA5A0" w14:textId="77777777" w:rsidR="00CA56C1" w:rsidRDefault="00CA56C1" w:rsidP="40A87941">
      <w:pPr>
        <w:spacing w:after="0" w:line="240" w:lineRule="auto"/>
        <w:jc w:val="both"/>
        <w:textAlignment w:val="baseline"/>
        <w:rPr>
          <w:noProof/>
        </w:rPr>
      </w:pPr>
    </w:p>
    <w:p w14:paraId="2C486D4B" w14:textId="009DC8DD" w:rsidR="00127233" w:rsidRPr="0015699B" w:rsidRDefault="00127233" w:rsidP="40A87941">
      <w:pPr>
        <w:spacing w:after="0" w:line="240" w:lineRule="auto"/>
        <w:jc w:val="both"/>
        <w:textAlignment w:val="baseline"/>
      </w:pPr>
    </w:p>
    <w:p w14:paraId="7B305781" w14:textId="6EB1D9C3" w:rsidR="40A87941" w:rsidRDefault="40A87941"/>
    <w:p w14:paraId="28F3EB19" w14:textId="237C4E85" w:rsidR="40A87941" w:rsidRDefault="40A87941"/>
    <w:p w14:paraId="3C15A31B" w14:textId="1504A3EA" w:rsidR="40A87941" w:rsidRDefault="40A87941"/>
    <w:p w14:paraId="4475FB6F" w14:textId="1C1188DE" w:rsidR="00127233" w:rsidRPr="0015699B" w:rsidRDefault="00127233" w:rsidP="40A87941">
      <w:pPr>
        <w:spacing w:after="0" w:line="276" w:lineRule="auto"/>
        <w:jc w:val="both"/>
        <w:textAlignment w:val="baseline"/>
        <w:rPr>
          <w:rFonts w:ascii="Verdana" w:hAnsi="Verdana"/>
          <w:b/>
          <w:bCs/>
        </w:rPr>
      </w:pPr>
    </w:p>
    <w:p w14:paraId="0796EC53" w14:textId="27EDADDE" w:rsidR="40A87941" w:rsidRDefault="40A87941"/>
    <w:p w14:paraId="53116B56" w14:textId="54F787AC" w:rsidR="00127233" w:rsidRPr="0015699B" w:rsidRDefault="00127233" w:rsidP="40A87941">
      <w:pPr>
        <w:tabs>
          <w:tab w:val="left" w:pos="142"/>
          <w:tab w:val="left" w:pos="284"/>
        </w:tabs>
        <w:spacing w:after="0" w:line="276" w:lineRule="auto"/>
        <w:jc w:val="both"/>
        <w:textAlignment w:val="baseline"/>
        <w:rPr>
          <w:rFonts w:ascii="Verdana" w:eastAsia="Verdana" w:hAnsi="Verdana" w:cs="Verdana"/>
          <w:b/>
          <w:bCs/>
          <w:lang w:val="es"/>
        </w:rPr>
      </w:pPr>
    </w:p>
    <w:p w14:paraId="622688FD" w14:textId="0FD42184" w:rsidR="00127233" w:rsidRPr="0015699B" w:rsidRDefault="00127233" w:rsidP="40A87941">
      <w:pPr>
        <w:spacing w:after="0" w:line="276" w:lineRule="auto"/>
        <w:jc w:val="both"/>
        <w:textAlignment w:val="baseline"/>
        <w:rPr>
          <w:rFonts w:ascii="Verdana" w:eastAsia="Verdana" w:hAnsi="Verdana" w:cs="Verdana"/>
          <w:lang w:val="es-ES"/>
        </w:rPr>
      </w:pPr>
    </w:p>
    <w:p w14:paraId="71A3DF31" w14:textId="50A00EDA" w:rsidR="40A87941" w:rsidRDefault="40A87941"/>
    <w:p w14:paraId="2F6A5201" w14:textId="4439C763" w:rsidR="40A87941" w:rsidRDefault="40A87941"/>
    <w:p w14:paraId="0F293BF4" w14:textId="36E91563" w:rsidR="00127233" w:rsidRPr="0015699B" w:rsidRDefault="00127233" w:rsidP="40A87941">
      <w:pPr>
        <w:spacing w:after="0" w:line="257" w:lineRule="auto"/>
        <w:jc w:val="both"/>
        <w:textAlignment w:val="baseline"/>
        <w:rPr>
          <w:rFonts w:ascii="Calibri" w:eastAsia="Calibri" w:hAnsi="Calibri" w:cs="Calibri"/>
          <w:lang w:val="es-ES"/>
        </w:rPr>
      </w:pPr>
    </w:p>
    <w:sectPr w:rsidR="00127233" w:rsidRPr="0015699B"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56C3D" w14:textId="77777777" w:rsidR="002B19E2" w:rsidRDefault="002B19E2" w:rsidP="004A1847">
      <w:pPr>
        <w:spacing w:after="0" w:line="240" w:lineRule="auto"/>
      </w:pPr>
      <w:r>
        <w:separator/>
      </w:r>
    </w:p>
  </w:endnote>
  <w:endnote w:type="continuationSeparator" w:id="0">
    <w:p w14:paraId="7EF8F33E" w14:textId="77777777" w:rsidR="002B19E2" w:rsidRDefault="002B19E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56E4" w14:textId="77777777" w:rsidR="002B19E2" w:rsidRDefault="002B19E2" w:rsidP="004A1847">
      <w:pPr>
        <w:spacing w:after="0" w:line="240" w:lineRule="auto"/>
      </w:pPr>
      <w:r>
        <w:separator/>
      </w:r>
    </w:p>
  </w:footnote>
  <w:footnote w:type="continuationSeparator" w:id="0">
    <w:p w14:paraId="1CEF2334" w14:textId="77777777" w:rsidR="002B19E2" w:rsidRDefault="002B19E2" w:rsidP="004A1847">
      <w:pPr>
        <w:spacing w:after="0" w:line="240" w:lineRule="auto"/>
      </w:pPr>
      <w:r>
        <w:continuationSeparator/>
      </w:r>
    </w:p>
  </w:footnote>
  <w:footnote w:id="1">
    <w:p w14:paraId="25326B5E" w14:textId="3BFC19E1" w:rsidR="40A87941" w:rsidRPr="00F90955" w:rsidRDefault="40A87941" w:rsidP="39124533">
      <w:pPr>
        <w:ind w:firstLine="708"/>
        <w:rPr>
          <w:rFonts w:ascii="Verdana" w:eastAsia="Verdana" w:hAnsi="Verdana" w:cs="Verdana"/>
          <w:sz w:val="16"/>
          <w:szCs w:val="16"/>
          <w:lang w:val="es-MX"/>
        </w:rPr>
      </w:pPr>
      <w:r w:rsidRPr="00A37504">
        <w:rPr>
          <w:rFonts w:ascii="Verdana" w:hAnsi="Verdana"/>
          <w:sz w:val="16"/>
          <w:szCs w:val="16"/>
          <w:vertAlign w:val="superscript"/>
        </w:rPr>
        <w:footnoteRef/>
      </w:r>
      <w:r w:rsidR="39124533" w:rsidRPr="00F90955">
        <w:rPr>
          <w:rFonts w:ascii="Verdana" w:hAnsi="Verdana"/>
          <w:sz w:val="16"/>
          <w:szCs w:val="16"/>
        </w:rPr>
        <w:t xml:space="preserve"> </w:t>
      </w:r>
      <w:r w:rsidR="39124533" w:rsidRPr="00F90955">
        <w:rPr>
          <w:rFonts w:ascii="Verdana" w:eastAsia="Verdana" w:hAnsi="Verdana" w:cs="Verdana"/>
          <w:sz w:val="16"/>
          <w:szCs w:val="16"/>
          <w:lang w:val="es-MX"/>
        </w:rPr>
        <w:t>CORTE CONSTITUCIONAL</w:t>
      </w:r>
      <w:r w:rsidR="39124533">
        <w:rPr>
          <w:rFonts w:ascii="Verdana" w:eastAsia="Verdana" w:hAnsi="Verdana" w:cs="Verdana"/>
          <w:sz w:val="16"/>
          <w:szCs w:val="16"/>
          <w:lang w:val="es-MX"/>
        </w:rPr>
        <w:t xml:space="preserve">. </w:t>
      </w:r>
      <w:r w:rsidR="39124533" w:rsidRPr="00F90955" w:rsidDel="00A37504">
        <w:rPr>
          <w:rFonts w:ascii="Verdana" w:eastAsia="Verdana" w:hAnsi="Verdana" w:cs="Verdana"/>
          <w:sz w:val="16"/>
          <w:szCs w:val="16"/>
          <w:lang w:val="es-MX"/>
        </w:rPr>
        <w:t>Sentencias C-415 de 1994, C-353 de 2009 y C-1016 de 2012; Consejo de Estado, Sala de Consulta y Servicio Civil, Concepto 2327 de 2017.</w:t>
      </w:r>
    </w:p>
  </w:footnote>
  <w:footnote w:id="2">
    <w:p w14:paraId="38F25A4F" w14:textId="0E1D7554" w:rsidR="00B370CC" w:rsidRPr="00F90955" w:rsidRDefault="40A87941" w:rsidP="39124533">
      <w:pPr>
        <w:spacing w:after="0"/>
        <w:ind w:firstLine="708"/>
        <w:jc w:val="both"/>
        <w:rPr>
          <w:rFonts w:ascii="Verdana" w:eastAsia="Verdana" w:hAnsi="Verdana" w:cs="Verdana"/>
          <w:sz w:val="16"/>
          <w:szCs w:val="16"/>
        </w:rPr>
      </w:pPr>
      <w:r w:rsidRPr="00F90955">
        <w:rPr>
          <w:rFonts w:ascii="Verdana" w:eastAsia="Verdana" w:hAnsi="Verdana" w:cs="Verdana"/>
          <w:sz w:val="16"/>
          <w:szCs w:val="16"/>
          <w:vertAlign w:val="superscript"/>
        </w:rPr>
        <w:footnoteRef/>
      </w:r>
      <w:r w:rsidR="39124533" w:rsidRPr="00F90955">
        <w:rPr>
          <w:rFonts w:ascii="Verdana" w:eastAsia="Verdana" w:hAnsi="Verdana" w:cs="Verdana"/>
          <w:sz w:val="16"/>
          <w:szCs w:val="16"/>
        </w:rPr>
        <w:t xml:space="preserve"> </w:t>
      </w:r>
      <w:r w:rsidR="39124533" w:rsidRPr="00F90955" w:rsidDel="00B370CC">
        <w:rPr>
          <w:rFonts w:ascii="Verdana" w:eastAsia="Verdana" w:hAnsi="Verdana" w:cs="Verdana"/>
          <w:sz w:val="16"/>
          <w:szCs w:val="16"/>
          <w:lang w:val="es-MX"/>
        </w:rPr>
        <w:t>Ley 80 de 1993</w:t>
      </w:r>
      <w:r w:rsidR="39124533" w:rsidRPr="39124533">
        <w:rPr>
          <w:rFonts w:ascii="Verdana" w:eastAsia="Verdana" w:hAnsi="Verdana" w:cs="Verdana"/>
          <w:sz w:val="16"/>
          <w:szCs w:val="16"/>
          <w:lang w:val="es-MX"/>
        </w:rPr>
        <w:t>: “</w:t>
      </w:r>
      <w:r w:rsidR="39124533" w:rsidRPr="39124533">
        <w:rPr>
          <w:rFonts w:ascii="Verdana" w:eastAsia="Verdana" w:hAnsi="Verdana" w:cs="Verdana"/>
          <w:sz w:val="16"/>
          <w:szCs w:val="16"/>
        </w:rPr>
        <w:t>Artículo 8. De las inhabilidades e incompatibilidades para contratar.</w:t>
      </w:r>
    </w:p>
    <w:p w14:paraId="1B3B1204" w14:textId="03A3D401" w:rsidR="00B370CC" w:rsidRPr="00F90955" w:rsidRDefault="39124533" w:rsidP="39124533">
      <w:pPr>
        <w:spacing w:after="0"/>
        <w:ind w:firstLine="708"/>
        <w:jc w:val="both"/>
        <w:rPr>
          <w:rFonts w:ascii="Verdana" w:eastAsia="Verdana" w:hAnsi="Verdana" w:cs="Verdana"/>
          <w:sz w:val="16"/>
          <w:szCs w:val="16"/>
        </w:rPr>
      </w:pPr>
      <w:r w:rsidRPr="39124533">
        <w:rPr>
          <w:rFonts w:ascii="Verdana" w:eastAsia="Verdana" w:hAnsi="Verdana" w:cs="Verdana"/>
          <w:sz w:val="16"/>
          <w:szCs w:val="16"/>
        </w:rPr>
        <w:t>1o. Son inhábiles para participar en licitaciones o concursos y para celebrar contratos con las entidades estatales:</w:t>
      </w:r>
    </w:p>
    <w:p w14:paraId="06514505" w14:textId="2BF264CD" w:rsidR="00B370CC" w:rsidRPr="00F90955" w:rsidRDefault="39124533" w:rsidP="39124533">
      <w:pPr>
        <w:spacing w:after="0"/>
        <w:ind w:firstLine="708"/>
        <w:jc w:val="both"/>
        <w:rPr>
          <w:rFonts w:ascii="Verdana" w:eastAsia="Verdana" w:hAnsi="Verdana" w:cs="Verdana"/>
          <w:sz w:val="16"/>
          <w:szCs w:val="16"/>
        </w:rPr>
      </w:pPr>
      <w:r w:rsidRPr="39124533">
        <w:rPr>
          <w:rFonts w:ascii="Verdana" w:eastAsia="Verdana" w:hAnsi="Verdana" w:cs="Verdana"/>
          <w:sz w:val="16"/>
          <w:szCs w:val="16"/>
        </w:rPr>
        <w:t>[…]</w:t>
      </w:r>
    </w:p>
    <w:p w14:paraId="3044FD9A" w14:textId="77777777" w:rsidR="00B370CC" w:rsidRPr="00F90955" w:rsidRDefault="39124533" w:rsidP="39124533">
      <w:pPr>
        <w:spacing w:after="0"/>
        <w:ind w:firstLine="709"/>
        <w:jc w:val="both"/>
        <w:rPr>
          <w:rFonts w:ascii="Verdana" w:eastAsia="Verdana" w:hAnsi="Verdana" w:cs="Verdana"/>
          <w:sz w:val="16"/>
          <w:szCs w:val="16"/>
        </w:rPr>
      </w:pPr>
      <w:r w:rsidRPr="39124533">
        <w:rPr>
          <w:rFonts w:ascii="Verdana" w:eastAsia="Verdana" w:hAnsi="Verdana" w:cs="Verdana"/>
          <w:sz w:val="16"/>
          <w:szCs w:val="16"/>
        </w:rPr>
        <w:t>g) Quienes sean cónyuges o compañeros permanentes y quienes se encuentren dentro del segundo grado de consanguinidad o segundo de afinidad con cualquier otra persona que formalmente haya presentado propuesta para una misma licitación o concurso.</w:t>
      </w:r>
    </w:p>
    <w:p w14:paraId="14035223" w14:textId="172BEF45" w:rsidR="00B370CC" w:rsidRPr="00F90955" w:rsidRDefault="39124533" w:rsidP="39124533">
      <w:pPr>
        <w:spacing w:after="0"/>
        <w:ind w:firstLine="709"/>
        <w:jc w:val="both"/>
        <w:rPr>
          <w:rFonts w:ascii="Verdana" w:eastAsia="Verdana" w:hAnsi="Verdana" w:cs="Verdana"/>
          <w:sz w:val="16"/>
          <w:szCs w:val="16"/>
          <w:lang w:val="es-MX"/>
        </w:rPr>
      </w:pPr>
      <w:r w:rsidRPr="39124533">
        <w:rPr>
          <w:rFonts w:ascii="Verdana" w:eastAsia="Verdana" w:hAnsi="Verdana" w:cs="Verdana"/>
          <w:sz w:val="16"/>
          <w:szCs w:val="16"/>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w:t>
      </w:r>
    </w:p>
  </w:footnote>
  <w:footnote w:id="3">
    <w:p w14:paraId="7B760050" w14:textId="77777777" w:rsidR="00CE7693" w:rsidRPr="003D5882" w:rsidRDefault="00CE7693" w:rsidP="00CE7693">
      <w:pPr>
        <w:pStyle w:val="Textonotapie"/>
        <w:ind w:firstLine="708"/>
        <w:rPr>
          <w:rFonts w:ascii="Verdana" w:hAnsi="Verdana"/>
          <w:sz w:val="16"/>
          <w:szCs w:val="16"/>
        </w:rPr>
      </w:pPr>
    </w:p>
    <w:p w14:paraId="5F677636" w14:textId="2DBD901E" w:rsidR="00C50C1E" w:rsidRPr="003D5882" w:rsidRDefault="00CE7693" w:rsidP="00C50C1E">
      <w:pPr>
        <w:pStyle w:val="Textonotapie"/>
        <w:ind w:firstLine="708"/>
        <w:rPr>
          <w:rFonts w:ascii="Verdana" w:hAnsi="Verdana"/>
          <w:sz w:val="16"/>
          <w:szCs w:val="16"/>
          <w:lang w:val="es-CO"/>
        </w:rPr>
      </w:pPr>
      <w:r w:rsidRPr="003D5882">
        <w:rPr>
          <w:rStyle w:val="Refdenotaalpie"/>
          <w:rFonts w:ascii="Verdana" w:hAnsi="Verdana"/>
          <w:sz w:val="16"/>
          <w:szCs w:val="16"/>
        </w:rPr>
        <w:footnoteRef/>
      </w:r>
      <w:r w:rsidR="39124533" w:rsidRPr="00F90955">
        <w:rPr>
          <w:rFonts w:ascii="Verdana" w:hAnsi="Verdana"/>
          <w:sz w:val="16"/>
          <w:szCs w:val="16"/>
        </w:rPr>
        <w:t xml:space="preserve"> Código de Comercio: “</w:t>
      </w:r>
      <w:r w:rsidR="39124533" w:rsidRPr="00F90955">
        <w:rPr>
          <w:rFonts w:ascii="Verdana" w:hAnsi="Verdana"/>
          <w:sz w:val="16"/>
          <w:szCs w:val="16"/>
          <w:lang w:val="es-CO"/>
        </w:rPr>
        <w:t>Artículo </w:t>
      </w:r>
      <w:bookmarkStart w:id="0" w:name="260"/>
      <w:bookmarkEnd w:id="0"/>
      <w:r w:rsidR="39124533" w:rsidRPr="00F90955">
        <w:rPr>
          <w:rFonts w:ascii="Verdana" w:hAnsi="Verdana"/>
          <w:sz w:val="16"/>
          <w:szCs w:val="16"/>
          <w:lang w:val="es-CO"/>
        </w:rPr>
        <w:t>260. Subordinación.</w:t>
      </w:r>
      <w:r w:rsidR="39124533" w:rsidRPr="00F90955">
        <w:rPr>
          <w:rFonts w:ascii="Verdana" w:hAnsi="Verdana"/>
          <w:b/>
          <w:bCs/>
          <w:sz w:val="16"/>
          <w:szCs w:val="16"/>
          <w:lang w:val="es-CO"/>
        </w:rPr>
        <w:t> </w:t>
      </w:r>
      <w:r w:rsidR="39124533" w:rsidRPr="00F90955">
        <w:rPr>
          <w:rFonts w:ascii="Verdana" w:hAnsi="Verdana"/>
          <w:sz w:val="16"/>
          <w:szCs w:val="16"/>
          <w:lang w:val="es-CO"/>
        </w:rPr>
        <w:t>Una sociedad será subordinada o controlada cuando su poder de decisión se encuentre sometido a la voluntad de otra u otras personas que serán su matriz o controlante, bien sea directamente, caso en el cual aquélla se denominará filial o con el concurso o por intermedio de las subordinadas de la matriz, en cuyo caso se llamará subsidiaria.</w:t>
      </w:r>
    </w:p>
    <w:p w14:paraId="53CEDC48" w14:textId="36B72DEB" w:rsidR="00C50C1E" w:rsidRPr="003D5882" w:rsidRDefault="39124533" w:rsidP="00C50C1E">
      <w:pPr>
        <w:pStyle w:val="Textonotapie"/>
        <w:ind w:firstLine="708"/>
        <w:rPr>
          <w:rFonts w:ascii="Verdana" w:hAnsi="Verdana"/>
          <w:sz w:val="16"/>
          <w:szCs w:val="16"/>
          <w:lang w:val="es-CO"/>
        </w:rPr>
      </w:pPr>
      <w:r w:rsidRPr="39124533">
        <w:rPr>
          <w:rFonts w:ascii="Verdana" w:hAnsi="Verdana"/>
          <w:sz w:val="16"/>
          <w:szCs w:val="16"/>
          <w:lang w:val="es-CO"/>
        </w:rPr>
        <w:t>Artículo </w:t>
      </w:r>
      <w:bookmarkStart w:id="1" w:name="261"/>
      <w:bookmarkEnd w:id="1"/>
      <w:r w:rsidRPr="39124533">
        <w:rPr>
          <w:rFonts w:ascii="Verdana" w:hAnsi="Verdana"/>
          <w:sz w:val="16"/>
          <w:szCs w:val="16"/>
          <w:lang w:val="es-CO"/>
        </w:rPr>
        <w:t>261. Presunciones de subordinación.</w:t>
      </w:r>
      <w:r w:rsidRPr="39124533">
        <w:rPr>
          <w:rFonts w:ascii="Verdana" w:hAnsi="Verdana"/>
          <w:b/>
          <w:bCs/>
          <w:sz w:val="16"/>
          <w:szCs w:val="16"/>
          <w:lang w:val="es-CO"/>
        </w:rPr>
        <w:t>: </w:t>
      </w:r>
      <w:r w:rsidRPr="39124533">
        <w:rPr>
          <w:rFonts w:ascii="Verdana" w:hAnsi="Verdana"/>
          <w:sz w:val="16"/>
          <w:szCs w:val="16"/>
          <w:lang w:val="es-CO"/>
        </w:rPr>
        <w:t>Será subordinada una sociedad cuando se encuentre en uno o más de los siguientes casos:</w:t>
      </w:r>
    </w:p>
    <w:p w14:paraId="41E59BE9" w14:textId="77777777" w:rsidR="00C50C1E" w:rsidRPr="003D5882" w:rsidRDefault="39124533" w:rsidP="00C50C1E">
      <w:pPr>
        <w:pStyle w:val="Textonotapie"/>
        <w:ind w:firstLine="708"/>
        <w:rPr>
          <w:rFonts w:ascii="Verdana" w:hAnsi="Verdana"/>
          <w:sz w:val="16"/>
          <w:szCs w:val="16"/>
          <w:lang w:val="es-CO"/>
        </w:rPr>
      </w:pPr>
      <w:r w:rsidRPr="39124533">
        <w:rPr>
          <w:rFonts w:ascii="Verdana" w:hAnsi="Verdana"/>
          <w:sz w:val="16"/>
          <w:szCs w:val="16"/>
          <w:lang w:val="es-CO"/>
        </w:rPr>
        <w:t>1. Cuando más del cincuenta por ciento (50%) del capital pertenezca a la matriz, directamente o por intermedio o con el concurso de sus subordinadas, o de las subordinadas de éstas. Para tal efecto, no se computarán las acciones con dividendo preferencial y sin derecho a voto.</w:t>
      </w:r>
    </w:p>
    <w:p w14:paraId="209B06BF" w14:textId="77777777" w:rsidR="00C50C1E" w:rsidRPr="003D5882" w:rsidRDefault="39124533" w:rsidP="00C50C1E">
      <w:pPr>
        <w:pStyle w:val="Textonotapie"/>
        <w:ind w:firstLine="708"/>
        <w:rPr>
          <w:rFonts w:ascii="Verdana" w:hAnsi="Verdana"/>
          <w:sz w:val="16"/>
          <w:szCs w:val="16"/>
          <w:lang w:val="es-CO"/>
        </w:rPr>
      </w:pPr>
      <w:r w:rsidRPr="39124533">
        <w:rPr>
          <w:rFonts w:ascii="Verdana" w:hAnsi="Verdana"/>
          <w:sz w:val="16"/>
          <w:szCs w:val="16"/>
          <w:lang w:val="es-CO"/>
        </w:rPr>
        <w:t>2. Cuando la matriz y las subordinadas tengan conjunta o separadamente el derecho de emitir los votos constitutivos de la mayoría mínima decisoria en la junta de socios o en la asamblea, o tengan el número de votos necesario para elegir la mayoría de miembros de la junta directiva, si la hubiere.</w:t>
      </w:r>
    </w:p>
    <w:p w14:paraId="765EA3B3" w14:textId="77777777" w:rsidR="00C50C1E" w:rsidRPr="003D5882" w:rsidRDefault="39124533" w:rsidP="00C50C1E">
      <w:pPr>
        <w:pStyle w:val="Textonotapie"/>
        <w:ind w:firstLine="708"/>
        <w:rPr>
          <w:rFonts w:ascii="Verdana" w:hAnsi="Verdana"/>
          <w:sz w:val="16"/>
          <w:szCs w:val="16"/>
          <w:lang w:val="es-CO"/>
        </w:rPr>
      </w:pPr>
      <w:r w:rsidRPr="39124533">
        <w:rPr>
          <w:rFonts w:ascii="Verdana" w:hAnsi="Verdana"/>
          <w:sz w:val="16"/>
          <w:szCs w:val="16"/>
          <w:lang w:val="es-CO"/>
        </w:rPr>
        <w:t>3. Cuando la matriz, directamente o por intermedio o con el concurso de las subordinadas, en razón de un acto o negocio con la sociedad controlada o con sus socios, ejerza influencia dominante en las decisiones de los órganos de administración de la sociedad.</w:t>
      </w:r>
    </w:p>
    <w:p w14:paraId="27BB13D3" w14:textId="60B49B45" w:rsidR="00C50C1E" w:rsidRPr="003D5882" w:rsidRDefault="39124533" w:rsidP="00C50C1E">
      <w:pPr>
        <w:pStyle w:val="Textonotapie"/>
        <w:ind w:firstLine="708"/>
        <w:rPr>
          <w:rFonts w:ascii="Verdana" w:hAnsi="Verdana"/>
          <w:sz w:val="16"/>
          <w:szCs w:val="16"/>
          <w:lang w:val="es-CO"/>
        </w:rPr>
      </w:pPr>
      <w:r w:rsidRPr="39124533">
        <w:rPr>
          <w:rFonts w:ascii="Verdana" w:hAnsi="Verdana"/>
          <w:sz w:val="16"/>
          <w:szCs w:val="16"/>
          <w:lang w:val="es-CO"/>
        </w:rPr>
        <w:t>Parágrafo 1o</w:t>
      </w:r>
      <w:r w:rsidRPr="39124533">
        <w:rPr>
          <w:rFonts w:ascii="Verdana" w:hAnsi="Verdana"/>
          <w:b/>
          <w:bCs/>
          <w:sz w:val="16"/>
          <w:szCs w:val="16"/>
          <w:lang w:val="es-CO"/>
        </w:rPr>
        <w:t>.</w:t>
      </w:r>
      <w:r w:rsidRPr="39124533">
        <w:rPr>
          <w:rFonts w:ascii="Verdana" w:hAnsi="Verdana"/>
          <w:sz w:val="16"/>
          <w:szCs w:val="16"/>
          <w:lang w:val="es-CO"/>
        </w:rPr>
        <w:t> Igualmente habrá subordinación, para todos los efectos legales, cuando el control conforme a los supuestos previstos en el presente artículo, sea ejercido por una o varias personas naturales o jurídicas de naturaleza no societaria, bien sea directamente o por intermedio o con el concurso de entidades en las cuales éstas posean más del cincuenta por ciento (50%) del capital o configure la mayoría mínima para la toma de decisiones o ejerzan influencia dominante en la dirección o toma de decisiones de la entidad.</w:t>
      </w:r>
    </w:p>
    <w:p w14:paraId="7E470132" w14:textId="23E97E75" w:rsidR="00CE7693" w:rsidRPr="003D5882" w:rsidRDefault="39124533" w:rsidP="39124533">
      <w:pPr>
        <w:pStyle w:val="Textonotapie"/>
        <w:ind w:firstLine="708"/>
        <w:rPr>
          <w:rFonts w:ascii="Verdana" w:hAnsi="Verdana"/>
          <w:sz w:val="16"/>
          <w:szCs w:val="16"/>
        </w:rPr>
      </w:pPr>
      <w:r w:rsidRPr="39124533">
        <w:rPr>
          <w:rFonts w:ascii="Verdana" w:hAnsi="Verdana"/>
          <w:sz w:val="16"/>
          <w:szCs w:val="16"/>
          <w:lang w:val="es-CO"/>
        </w:rPr>
        <w:t>Parágrafo 2o. Así mismo, una sociedad se considera subordinada cuando el control sea ejercido por otra sociedad, por intermedio o con el concurso de alguna o algunas de las entidades mencionadas en el parágrafo anterior”.</w:t>
      </w:r>
    </w:p>
  </w:footnote>
  <w:footnote w:id="4">
    <w:p w14:paraId="4A250F74" w14:textId="29235E14" w:rsidR="40A87941" w:rsidRPr="00F90955" w:rsidRDefault="40A87941" w:rsidP="39124533">
      <w:pPr>
        <w:ind w:firstLine="708"/>
        <w:rPr>
          <w:rFonts w:ascii="Verdana" w:eastAsia="Verdana" w:hAnsi="Verdana" w:cs="Verdana"/>
          <w:sz w:val="16"/>
          <w:szCs w:val="16"/>
          <w:lang w:val="es-MX"/>
        </w:rPr>
      </w:pPr>
      <w:r w:rsidRPr="00AA5ED1">
        <w:rPr>
          <w:rFonts w:ascii="Verdana" w:eastAsia="Verdana" w:hAnsi="Verdana" w:cs="Verdana"/>
          <w:sz w:val="16"/>
          <w:szCs w:val="16"/>
          <w:vertAlign w:val="superscript"/>
        </w:rPr>
        <w:footnoteRef/>
      </w:r>
      <w:r w:rsidR="39124533" w:rsidRPr="00F90955">
        <w:rPr>
          <w:rFonts w:ascii="Verdana" w:eastAsia="Verdana" w:hAnsi="Verdana" w:cs="Verdana"/>
          <w:sz w:val="16"/>
          <w:szCs w:val="16"/>
        </w:rPr>
        <w:t xml:space="preserve"> </w:t>
      </w:r>
      <w:r w:rsidR="39124533" w:rsidRPr="00F90955">
        <w:rPr>
          <w:rFonts w:ascii="Verdana" w:eastAsia="Verdana" w:hAnsi="Verdana" w:cs="Verdana"/>
          <w:sz w:val="16"/>
          <w:szCs w:val="16"/>
          <w:lang w:val="es-MX"/>
        </w:rPr>
        <w:t>CONSEJO DE ESTADO, Sección Tercera, Sentencia del 4 de junio de 2008, Exp. 17783; Sentencia del 27 de abril de 2011, Exp. 18.293.</w:t>
      </w:r>
    </w:p>
  </w:footnote>
  <w:footnote w:id="5">
    <w:p w14:paraId="5AF30222" w14:textId="766E914B" w:rsidR="40A87941" w:rsidRPr="00F90955" w:rsidRDefault="40A87941" w:rsidP="39124533">
      <w:pPr>
        <w:ind w:firstLine="708"/>
        <w:rPr>
          <w:rFonts w:ascii="Verdana" w:eastAsia="Verdana" w:hAnsi="Verdana" w:cs="Verdana"/>
          <w:sz w:val="16"/>
          <w:szCs w:val="16"/>
          <w:lang w:val="es"/>
        </w:rPr>
      </w:pPr>
      <w:r w:rsidRPr="00AA5ED1">
        <w:rPr>
          <w:rFonts w:ascii="Verdana" w:eastAsia="Verdana" w:hAnsi="Verdana" w:cs="Verdana"/>
          <w:sz w:val="16"/>
          <w:szCs w:val="16"/>
          <w:vertAlign w:val="superscript"/>
        </w:rPr>
        <w:footnoteRef/>
      </w:r>
      <w:r w:rsidR="39124533" w:rsidRPr="00F90955">
        <w:rPr>
          <w:rFonts w:ascii="Verdana" w:eastAsia="Verdana" w:hAnsi="Verdana" w:cs="Verdana"/>
          <w:sz w:val="16"/>
          <w:szCs w:val="16"/>
        </w:rPr>
        <w:t xml:space="preserve"> </w:t>
      </w:r>
      <w:r w:rsidR="39124533" w:rsidRPr="00F90955">
        <w:rPr>
          <w:rFonts w:ascii="Verdana" w:eastAsia="Verdana" w:hAnsi="Verdana" w:cs="Verdana"/>
          <w:sz w:val="16"/>
          <w:szCs w:val="16"/>
          <w:lang w:val="es"/>
        </w:rPr>
        <w:t>SUPERINTENDENCIA DE INDUSTRIA Y COMERCIO, Resolución 82510 de 2020; Guía Práctica para Combatir la Colusión en las Licitaciones.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365B2E4"/>
    <w:multiLevelType w:val="hybridMultilevel"/>
    <w:tmpl w:val="F2788322"/>
    <w:lvl w:ilvl="0" w:tplc="589CBC62">
      <w:start w:val="1"/>
      <w:numFmt w:val="decimal"/>
      <w:lvlText w:val="%1."/>
      <w:lvlJc w:val="left"/>
      <w:pPr>
        <w:ind w:left="720" w:hanging="360"/>
      </w:pPr>
    </w:lvl>
    <w:lvl w:ilvl="1" w:tplc="B17EC4F4">
      <w:start w:val="1"/>
      <w:numFmt w:val="lowerLetter"/>
      <w:lvlText w:val="%2."/>
      <w:lvlJc w:val="left"/>
      <w:pPr>
        <w:ind w:left="1440" w:hanging="360"/>
      </w:pPr>
    </w:lvl>
    <w:lvl w:ilvl="2" w:tplc="62024CBA">
      <w:start w:val="1"/>
      <w:numFmt w:val="lowerRoman"/>
      <w:lvlText w:val="%3."/>
      <w:lvlJc w:val="right"/>
      <w:pPr>
        <w:ind w:left="2160" w:hanging="180"/>
      </w:pPr>
    </w:lvl>
    <w:lvl w:ilvl="3" w:tplc="0478A960">
      <w:start w:val="1"/>
      <w:numFmt w:val="decimal"/>
      <w:lvlText w:val="%4."/>
      <w:lvlJc w:val="left"/>
      <w:pPr>
        <w:ind w:left="2880" w:hanging="360"/>
      </w:pPr>
    </w:lvl>
    <w:lvl w:ilvl="4" w:tplc="4572B784">
      <w:start w:val="1"/>
      <w:numFmt w:val="lowerLetter"/>
      <w:lvlText w:val="%5."/>
      <w:lvlJc w:val="left"/>
      <w:pPr>
        <w:ind w:left="3600" w:hanging="360"/>
      </w:pPr>
    </w:lvl>
    <w:lvl w:ilvl="5" w:tplc="EC284754">
      <w:start w:val="1"/>
      <w:numFmt w:val="lowerRoman"/>
      <w:lvlText w:val="%6."/>
      <w:lvlJc w:val="right"/>
      <w:pPr>
        <w:ind w:left="4320" w:hanging="180"/>
      </w:pPr>
    </w:lvl>
    <w:lvl w:ilvl="6" w:tplc="CD34DCC4">
      <w:start w:val="1"/>
      <w:numFmt w:val="decimal"/>
      <w:lvlText w:val="%7."/>
      <w:lvlJc w:val="left"/>
      <w:pPr>
        <w:ind w:left="5040" w:hanging="360"/>
      </w:pPr>
    </w:lvl>
    <w:lvl w:ilvl="7" w:tplc="F75C3338">
      <w:start w:val="1"/>
      <w:numFmt w:val="lowerLetter"/>
      <w:lvlText w:val="%8."/>
      <w:lvlJc w:val="left"/>
      <w:pPr>
        <w:ind w:left="5760" w:hanging="360"/>
      </w:pPr>
    </w:lvl>
    <w:lvl w:ilvl="8" w:tplc="652A8D80">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FC4943"/>
    <w:multiLevelType w:val="hybridMultilevel"/>
    <w:tmpl w:val="A976BE44"/>
    <w:lvl w:ilvl="0" w:tplc="BD4EC9CA">
      <w:start w:val="1"/>
      <w:numFmt w:val="bullet"/>
      <w:lvlText w:val="·"/>
      <w:lvlJc w:val="left"/>
      <w:pPr>
        <w:ind w:left="720" w:hanging="360"/>
      </w:pPr>
      <w:rPr>
        <w:rFonts w:ascii="Symbol" w:hAnsi="Symbol" w:hint="default"/>
      </w:rPr>
    </w:lvl>
    <w:lvl w:ilvl="1" w:tplc="C518D1C4">
      <w:start w:val="1"/>
      <w:numFmt w:val="bullet"/>
      <w:lvlText w:val="o"/>
      <w:lvlJc w:val="left"/>
      <w:pPr>
        <w:ind w:left="1440" w:hanging="360"/>
      </w:pPr>
      <w:rPr>
        <w:rFonts w:ascii="Courier New" w:hAnsi="Courier New" w:hint="default"/>
      </w:rPr>
    </w:lvl>
    <w:lvl w:ilvl="2" w:tplc="EA88F982">
      <w:start w:val="1"/>
      <w:numFmt w:val="bullet"/>
      <w:lvlText w:val=""/>
      <w:lvlJc w:val="left"/>
      <w:pPr>
        <w:ind w:left="2160" w:hanging="360"/>
      </w:pPr>
      <w:rPr>
        <w:rFonts w:ascii="Wingdings" w:hAnsi="Wingdings" w:hint="default"/>
      </w:rPr>
    </w:lvl>
    <w:lvl w:ilvl="3" w:tplc="A8B81F84">
      <w:start w:val="1"/>
      <w:numFmt w:val="bullet"/>
      <w:lvlText w:val=""/>
      <w:lvlJc w:val="left"/>
      <w:pPr>
        <w:ind w:left="2880" w:hanging="360"/>
      </w:pPr>
      <w:rPr>
        <w:rFonts w:ascii="Symbol" w:hAnsi="Symbol" w:hint="default"/>
      </w:rPr>
    </w:lvl>
    <w:lvl w:ilvl="4" w:tplc="662CFE10">
      <w:start w:val="1"/>
      <w:numFmt w:val="bullet"/>
      <w:lvlText w:val="o"/>
      <w:lvlJc w:val="left"/>
      <w:pPr>
        <w:ind w:left="3600" w:hanging="360"/>
      </w:pPr>
      <w:rPr>
        <w:rFonts w:ascii="Courier New" w:hAnsi="Courier New" w:hint="default"/>
      </w:rPr>
    </w:lvl>
    <w:lvl w:ilvl="5" w:tplc="435215A4">
      <w:start w:val="1"/>
      <w:numFmt w:val="bullet"/>
      <w:lvlText w:val=""/>
      <w:lvlJc w:val="left"/>
      <w:pPr>
        <w:ind w:left="4320" w:hanging="360"/>
      </w:pPr>
      <w:rPr>
        <w:rFonts w:ascii="Wingdings" w:hAnsi="Wingdings" w:hint="default"/>
      </w:rPr>
    </w:lvl>
    <w:lvl w:ilvl="6" w:tplc="AD287ACC">
      <w:start w:val="1"/>
      <w:numFmt w:val="bullet"/>
      <w:lvlText w:val=""/>
      <w:lvlJc w:val="left"/>
      <w:pPr>
        <w:ind w:left="5040" w:hanging="360"/>
      </w:pPr>
      <w:rPr>
        <w:rFonts w:ascii="Symbol" w:hAnsi="Symbol" w:hint="default"/>
      </w:rPr>
    </w:lvl>
    <w:lvl w:ilvl="7" w:tplc="56A8FAEC">
      <w:start w:val="1"/>
      <w:numFmt w:val="bullet"/>
      <w:lvlText w:val="o"/>
      <w:lvlJc w:val="left"/>
      <w:pPr>
        <w:ind w:left="5760" w:hanging="360"/>
      </w:pPr>
      <w:rPr>
        <w:rFonts w:ascii="Courier New" w:hAnsi="Courier New" w:hint="default"/>
      </w:rPr>
    </w:lvl>
    <w:lvl w:ilvl="8" w:tplc="D4789658">
      <w:start w:val="1"/>
      <w:numFmt w:val="bullet"/>
      <w:lvlText w:val=""/>
      <w:lvlJc w:val="left"/>
      <w:pPr>
        <w:ind w:left="6480" w:hanging="360"/>
      </w:pPr>
      <w:rPr>
        <w:rFonts w:ascii="Wingdings" w:hAnsi="Wingdings" w:hint="default"/>
      </w:rPr>
    </w:lvl>
  </w:abstractNum>
  <w:abstractNum w:abstractNumId="10" w15:restartNumberingAfterBreak="0">
    <w:nsid w:val="3D5F2C10"/>
    <w:multiLevelType w:val="hybridMultilevel"/>
    <w:tmpl w:val="31C812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59F2EE4"/>
    <w:multiLevelType w:val="hybridMultilevel"/>
    <w:tmpl w:val="BD4C92DC"/>
    <w:lvl w:ilvl="0" w:tplc="AABEB7CA">
      <w:start w:val="1"/>
      <w:numFmt w:val="upperRoman"/>
      <w:lvlText w:val="%1."/>
      <w:lvlJc w:val="left"/>
      <w:pPr>
        <w:ind w:left="1080" w:hanging="720"/>
      </w:pPr>
      <w:rPr>
        <w:rFonts w:ascii="Verdana" w:hAnsi="Verdana"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13" w15:restartNumberingAfterBreak="0">
    <w:nsid w:val="5DD74B58"/>
    <w:multiLevelType w:val="hybridMultilevel"/>
    <w:tmpl w:val="841484F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0056BC2"/>
    <w:multiLevelType w:val="hybridMultilevel"/>
    <w:tmpl w:val="9A4E13B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67C6560"/>
    <w:multiLevelType w:val="hybridMultilevel"/>
    <w:tmpl w:val="E2E279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39C0E7"/>
    <w:multiLevelType w:val="hybridMultilevel"/>
    <w:tmpl w:val="7EDAE1D4"/>
    <w:lvl w:ilvl="0" w:tplc="484E4516">
      <w:start w:val="1"/>
      <w:numFmt w:val="bullet"/>
      <w:lvlText w:val="·"/>
      <w:lvlJc w:val="left"/>
      <w:pPr>
        <w:ind w:left="720" w:hanging="360"/>
      </w:pPr>
      <w:rPr>
        <w:rFonts w:ascii="Symbol" w:hAnsi="Symbol" w:hint="default"/>
      </w:rPr>
    </w:lvl>
    <w:lvl w:ilvl="1" w:tplc="BC7A3194">
      <w:start w:val="1"/>
      <w:numFmt w:val="bullet"/>
      <w:lvlText w:val="o"/>
      <w:lvlJc w:val="left"/>
      <w:pPr>
        <w:ind w:left="1440" w:hanging="360"/>
      </w:pPr>
      <w:rPr>
        <w:rFonts w:ascii="Courier New" w:hAnsi="Courier New" w:hint="default"/>
      </w:rPr>
    </w:lvl>
    <w:lvl w:ilvl="2" w:tplc="496C2546">
      <w:start w:val="1"/>
      <w:numFmt w:val="bullet"/>
      <w:lvlText w:val=""/>
      <w:lvlJc w:val="left"/>
      <w:pPr>
        <w:ind w:left="2160" w:hanging="360"/>
      </w:pPr>
      <w:rPr>
        <w:rFonts w:ascii="Wingdings" w:hAnsi="Wingdings" w:hint="default"/>
      </w:rPr>
    </w:lvl>
    <w:lvl w:ilvl="3" w:tplc="6668114A">
      <w:start w:val="1"/>
      <w:numFmt w:val="bullet"/>
      <w:lvlText w:val=""/>
      <w:lvlJc w:val="left"/>
      <w:pPr>
        <w:ind w:left="2880" w:hanging="360"/>
      </w:pPr>
      <w:rPr>
        <w:rFonts w:ascii="Symbol" w:hAnsi="Symbol" w:hint="default"/>
      </w:rPr>
    </w:lvl>
    <w:lvl w:ilvl="4" w:tplc="BEF0AA6A">
      <w:start w:val="1"/>
      <w:numFmt w:val="bullet"/>
      <w:lvlText w:val="o"/>
      <w:lvlJc w:val="left"/>
      <w:pPr>
        <w:ind w:left="3600" w:hanging="360"/>
      </w:pPr>
      <w:rPr>
        <w:rFonts w:ascii="Courier New" w:hAnsi="Courier New" w:hint="default"/>
      </w:rPr>
    </w:lvl>
    <w:lvl w:ilvl="5" w:tplc="34A04320">
      <w:start w:val="1"/>
      <w:numFmt w:val="bullet"/>
      <w:lvlText w:val=""/>
      <w:lvlJc w:val="left"/>
      <w:pPr>
        <w:ind w:left="4320" w:hanging="360"/>
      </w:pPr>
      <w:rPr>
        <w:rFonts w:ascii="Wingdings" w:hAnsi="Wingdings" w:hint="default"/>
      </w:rPr>
    </w:lvl>
    <w:lvl w:ilvl="6" w:tplc="6D0A88BA">
      <w:start w:val="1"/>
      <w:numFmt w:val="bullet"/>
      <w:lvlText w:val=""/>
      <w:lvlJc w:val="left"/>
      <w:pPr>
        <w:ind w:left="5040" w:hanging="360"/>
      </w:pPr>
      <w:rPr>
        <w:rFonts w:ascii="Symbol" w:hAnsi="Symbol" w:hint="default"/>
      </w:rPr>
    </w:lvl>
    <w:lvl w:ilvl="7" w:tplc="D1B4756C">
      <w:start w:val="1"/>
      <w:numFmt w:val="bullet"/>
      <w:lvlText w:val="o"/>
      <w:lvlJc w:val="left"/>
      <w:pPr>
        <w:ind w:left="5760" w:hanging="360"/>
      </w:pPr>
      <w:rPr>
        <w:rFonts w:ascii="Courier New" w:hAnsi="Courier New" w:hint="default"/>
      </w:rPr>
    </w:lvl>
    <w:lvl w:ilvl="8" w:tplc="2DD0CDDC">
      <w:start w:val="1"/>
      <w:numFmt w:val="bullet"/>
      <w:lvlText w:val=""/>
      <w:lvlJc w:val="left"/>
      <w:pPr>
        <w:ind w:left="6480" w:hanging="360"/>
      </w:pPr>
      <w:rPr>
        <w:rFonts w:ascii="Wingdings" w:hAnsi="Wingdings" w:hint="default"/>
      </w:rPr>
    </w:lvl>
  </w:abstractNum>
  <w:num w:numId="1" w16cid:durableId="2056076544">
    <w:abstractNumId w:val="9"/>
  </w:num>
  <w:num w:numId="2" w16cid:durableId="1446847431">
    <w:abstractNumId w:val="12"/>
  </w:num>
  <w:num w:numId="3" w16cid:durableId="757558646">
    <w:abstractNumId w:val="21"/>
  </w:num>
  <w:num w:numId="4" w16cid:durableId="659164786">
    <w:abstractNumId w:val="6"/>
  </w:num>
  <w:num w:numId="5" w16cid:durableId="1478960643">
    <w:abstractNumId w:val="5"/>
  </w:num>
  <w:num w:numId="6" w16cid:durableId="695233742">
    <w:abstractNumId w:val="1"/>
  </w:num>
  <w:num w:numId="7" w16cid:durableId="231501876">
    <w:abstractNumId w:val="3"/>
  </w:num>
  <w:num w:numId="8" w16cid:durableId="8725702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1261283">
    <w:abstractNumId w:val="1"/>
  </w:num>
  <w:num w:numId="10" w16cid:durableId="1647666881">
    <w:abstractNumId w:val="19"/>
  </w:num>
  <w:num w:numId="11" w16cid:durableId="701978858">
    <w:abstractNumId w:val="4"/>
  </w:num>
  <w:num w:numId="12" w16cid:durableId="2077194279">
    <w:abstractNumId w:val="18"/>
  </w:num>
  <w:num w:numId="13" w16cid:durableId="1029181498">
    <w:abstractNumId w:val="7"/>
  </w:num>
  <w:num w:numId="14" w16cid:durableId="677121106">
    <w:abstractNumId w:val="17"/>
  </w:num>
  <w:num w:numId="15" w16cid:durableId="2001686735">
    <w:abstractNumId w:val="8"/>
  </w:num>
  <w:num w:numId="16" w16cid:durableId="255333832">
    <w:abstractNumId w:val="0"/>
  </w:num>
  <w:num w:numId="17" w16cid:durableId="1081366795">
    <w:abstractNumId w:val="2"/>
  </w:num>
  <w:num w:numId="18" w16cid:durableId="854536300">
    <w:abstractNumId w:val="20"/>
  </w:num>
  <w:num w:numId="19" w16cid:durableId="923145656">
    <w:abstractNumId w:val="15"/>
  </w:num>
  <w:num w:numId="20" w16cid:durableId="584145563">
    <w:abstractNumId w:val="11"/>
  </w:num>
  <w:num w:numId="21" w16cid:durableId="1441800419">
    <w:abstractNumId w:val="13"/>
  </w:num>
  <w:num w:numId="22" w16cid:durableId="891115854">
    <w:abstractNumId w:val="14"/>
  </w:num>
  <w:num w:numId="23" w16cid:durableId="855272656">
    <w:abstractNumId w:val="10"/>
  </w:num>
  <w:num w:numId="24" w16cid:durableId="3332672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0A5F"/>
    <w:rsid w:val="00010C5F"/>
    <w:rsid w:val="00016F78"/>
    <w:rsid w:val="00024626"/>
    <w:rsid w:val="00046945"/>
    <w:rsid w:val="00061B2A"/>
    <w:rsid w:val="00063E2B"/>
    <w:rsid w:val="00082362"/>
    <w:rsid w:val="000A683E"/>
    <w:rsid w:val="000B19B9"/>
    <w:rsid w:val="000D0334"/>
    <w:rsid w:val="000D5DA7"/>
    <w:rsid w:val="000F6486"/>
    <w:rsid w:val="00116940"/>
    <w:rsid w:val="00122D1C"/>
    <w:rsid w:val="00125105"/>
    <w:rsid w:val="00127233"/>
    <w:rsid w:val="00127C67"/>
    <w:rsid w:val="0015699B"/>
    <w:rsid w:val="00180B73"/>
    <w:rsid w:val="001A0D73"/>
    <w:rsid w:val="001A33BF"/>
    <w:rsid w:val="001C1C70"/>
    <w:rsid w:val="001C2759"/>
    <w:rsid w:val="001E4177"/>
    <w:rsid w:val="001F0B24"/>
    <w:rsid w:val="001F7DC6"/>
    <w:rsid w:val="00201F0B"/>
    <w:rsid w:val="0022400B"/>
    <w:rsid w:val="002421BB"/>
    <w:rsid w:val="0025796E"/>
    <w:rsid w:val="00257E79"/>
    <w:rsid w:val="002707A2"/>
    <w:rsid w:val="002951A0"/>
    <w:rsid w:val="002962BC"/>
    <w:rsid w:val="002A093D"/>
    <w:rsid w:val="002A0DD0"/>
    <w:rsid w:val="002A49AC"/>
    <w:rsid w:val="002A64FD"/>
    <w:rsid w:val="002B19E2"/>
    <w:rsid w:val="002C7A84"/>
    <w:rsid w:val="002E2BF8"/>
    <w:rsid w:val="002E4FD9"/>
    <w:rsid w:val="00303417"/>
    <w:rsid w:val="0030657A"/>
    <w:rsid w:val="00311ED2"/>
    <w:rsid w:val="00322A85"/>
    <w:rsid w:val="00324168"/>
    <w:rsid w:val="00330834"/>
    <w:rsid w:val="003448F4"/>
    <w:rsid w:val="0034650C"/>
    <w:rsid w:val="00374F5E"/>
    <w:rsid w:val="00377E3E"/>
    <w:rsid w:val="003A779E"/>
    <w:rsid w:val="003D0F4D"/>
    <w:rsid w:val="003D5882"/>
    <w:rsid w:val="003D5B0D"/>
    <w:rsid w:val="003E0499"/>
    <w:rsid w:val="003E4F80"/>
    <w:rsid w:val="003E6439"/>
    <w:rsid w:val="003E7B45"/>
    <w:rsid w:val="003F3941"/>
    <w:rsid w:val="00406575"/>
    <w:rsid w:val="00407765"/>
    <w:rsid w:val="00414C74"/>
    <w:rsid w:val="0042722E"/>
    <w:rsid w:val="004350E9"/>
    <w:rsid w:val="0044528D"/>
    <w:rsid w:val="00466E39"/>
    <w:rsid w:val="004A1847"/>
    <w:rsid w:val="004A305D"/>
    <w:rsid w:val="004B74F1"/>
    <w:rsid w:val="004E24A4"/>
    <w:rsid w:val="004F21C4"/>
    <w:rsid w:val="004F685F"/>
    <w:rsid w:val="00516738"/>
    <w:rsid w:val="00554D9C"/>
    <w:rsid w:val="005566E8"/>
    <w:rsid w:val="00574867"/>
    <w:rsid w:val="00591460"/>
    <w:rsid w:val="005A65E0"/>
    <w:rsid w:val="005C3777"/>
    <w:rsid w:val="005C5CDC"/>
    <w:rsid w:val="005D476C"/>
    <w:rsid w:val="006200BF"/>
    <w:rsid w:val="006219F8"/>
    <w:rsid w:val="006302F7"/>
    <w:rsid w:val="006460A6"/>
    <w:rsid w:val="00646628"/>
    <w:rsid w:val="00646B9F"/>
    <w:rsid w:val="00652A8C"/>
    <w:rsid w:val="00665D70"/>
    <w:rsid w:val="006900D9"/>
    <w:rsid w:val="006C650C"/>
    <w:rsid w:val="006D42FE"/>
    <w:rsid w:val="006F2CDF"/>
    <w:rsid w:val="00706C16"/>
    <w:rsid w:val="00720DD9"/>
    <w:rsid w:val="00724BE9"/>
    <w:rsid w:val="007340C3"/>
    <w:rsid w:val="00745DAC"/>
    <w:rsid w:val="0075235A"/>
    <w:rsid w:val="00756841"/>
    <w:rsid w:val="007649AB"/>
    <w:rsid w:val="00771D0C"/>
    <w:rsid w:val="007833AC"/>
    <w:rsid w:val="00794379"/>
    <w:rsid w:val="007B268C"/>
    <w:rsid w:val="007B7171"/>
    <w:rsid w:val="007C0C0F"/>
    <w:rsid w:val="007C3DC2"/>
    <w:rsid w:val="007E5497"/>
    <w:rsid w:val="00806F5F"/>
    <w:rsid w:val="00820278"/>
    <w:rsid w:val="00824C93"/>
    <w:rsid w:val="008258C9"/>
    <w:rsid w:val="00842DC4"/>
    <w:rsid w:val="00844755"/>
    <w:rsid w:val="00844AE9"/>
    <w:rsid w:val="00867F95"/>
    <w:rsid w:val="008843B6"/>
    <w:rsid w:val="00891928"/>
    <w:rsid w:val="008A446D"/>
    <w:rsid w:val="008B25F1"/>
    <w:rsid w:val="008D180B"/>
    <w:rsid w:val="008D737E"/>
    <w:rsid w:val="008F0EA7"/>
    <w:rsid w:val="008F566F"/>
    <w:rsid w:val="00923EEF"/>
    <w:rsid w:val="009419F9"/>
    <w:rsid w:val="0094407B"/>
    <w:rsid w:val="0095685E"/>
    <w:rsid w:val="00961B09"/>
    <w:rsid w:val="00965334"/>
    <w:rsid w:val="0097093E"/>
    <w:rsid w:val="009A0DFA"/>
    <w:rsid w:val="009A1C6F"/>
    <w:rsid w:val="009B279C"/>
    <w:rsid w:val="009B2D26"/>
    <w:rsid w:val="009C71FA"/>
    <w:rsid w:val="009C72E7"/>
    <w:rsid w:val="009C7F7E"/>
    <w:rsid w:val="009D3058"/>
    <w:rsid w:val="009D313F"/>
    <w:rsid w:val="009F3A13"/>
    <w:rsid w:val="00A122D3"/>
    <w:rsid w:val="00A14468"/>
    <w:rsid w:val="00A17F13"/>
    <w:rsid w:val="00A20739"/>
    <w:rsid w:val="00A23AF9"/>
    <w:rsid w:val="00A33C78"/>
    <w:rsid w:val="00A37504"/>
    <w:rsid w:val="00AA2B33"/>
    <w:rsid w:val="00AA5ED1"/>
    <w:rsid w:val="00AB0ADB"/>
    <w:rsid w:val="00AC111F"/>
    <w:rsid w:val="00B00C0E"/>
    <w:rsid w:val="00B01B1A"/>
    <w:rsid w:val="00B0381D"/>
    <w:rsid w:val="00B043B2"/>
    <w:rsid w:val="00B22C2E"/>
    <w:rsid w:val="00B370CC"/>
    <w:rsid w:val="00B44268"/>
    <w:rsid w:val="00B44A47"/>
    <w:rsid w:val="00B72CD3"/>
    <w:rsid w:val="00B72FFF"/>
    <w:rsid w:val="00B779E7"/>
    <w:rsid w:val="00BC3D36"/>
    <w:rsid w:val="00BD54A6"/>
    <w:rsid w:val="00BD7F72"/>
    <w:rsid w:val="00BE1002"/>
    <w:rsid w:val="00BF7425"/>
    <w:rsid w:val="00C0497D"/>
    <w:rsid w:val="00C04FB3"/>
    <w:rsid w:val="00C11D8B"/>
    <w:rsid w:val="00C15139"/>
    <w:rsid w:val="00C330EB"/>
    <w:rsid w:val="00C50C1E"/>
    <w:rsid w:val="00C50D69"/>
    <w:rsid w:val="00C5365C"/>
    <w:rsid w:val="00C754BE"/>
    <w:rsid w:val="00C76B1C"/>
    <w:rsid w:val="00C925AC"/>
    <w:rsid w:val="00CA56C1"/>
    <w:rsid w:val="00CB0E17"/>
    <w:rsid w:val="00CB6357"/>
    <w:rsid w:val="00CC1B26"/>
    <w:rsid w:val="00CE7693"/>
    <w:rsid w:val="00D361FD"/>
    <w:rsid w:val="00D423A2"/>
    <w:rsid w:val="00D44E26"/>
    <w:rsid w:val="00D520D8"/>
    <w:rsid w:val="00D63AC2"/>
    <w:rsid w:val="00D7383B"/>
    <w:rsid w:val="00D7788A"/>
    <w:rsid w:val="00DA231B"/>
    <w:rsid w:val="00DA49B8"/>
    <w:rsid w:val="00DC39FC"/>
    <w:rsid w:val="00DF5254"/>
    <w:rsid w:val="00E02524"/>
    <w:rsid w:val="00E03F9C"/>
    <w:rsid w:val="00E16408"/>
    <w:rsid w:val="00E20894"/>
    <w:rsid w:val="00E216A3"/>
    <w:rsid w:val="00E245AB"/>
    <w:rsid w:val="00E250FE"/>
    <w:rsid w:val="00E2764C"/>
    <w:rsid w:val="00E27F2E"/>
    <w:rsid w:val="00E50AFE"/>
    <w:rsid w:val="00E75C92"/>
    <w:rsid w:val="00E771DC"/>
    <w:rsid w:val="00E8772A"/>
    <w:rsid w:val="00E90F6B"/>
    <w:rsid w:val="00E92C27"/>
    <w:rsid w:val="00EA0E3D"/>
    <w:rsid w:val="00EC3894"/>
    <w:rsid w:val="00EC38A7"/>
    <w:rsid w:val="00EE1AA8"/>
    <w:rsid w:val="00F23FEA"/>
    <w:rsid w:val="00F31EDC"/>
    <w:rsid w:val="00F34AE0"/>
    <w:rsid w:val="00F462B3"/>
    <w:rsid w:val="00F47A12"/>
    <w:rsid w:val="00F5664F"/>
    <w:rsid w:val="00F666C4"/>
    <w:rsid w:val="00F71FB6"/>
    <w:rsid w:val="00F76AFC"/>
    <w:rsid w:val="00F90955"/>
    <w:rsid w:val="00FA47C0"/>
    <w:rsid w:val="00FA4FD7"/>
    <w:rsid w:val="00FB5DD1"/>
    <w:rsid w:val="00FC2B5D"/>
    <w:rsid w:val="00FF1449"/>
    <w:rsid w:val="00FF7963"/>
    <w:rsid w:val="046B96B6"/>
    <w:rsid w:val="054CF0A3"/>
    <w:rsid w:val="071B8F93"/>
    <w:rsid w:val="07C73DD1"/>
    <w:rsid w:val="09908A09"/>
    <w:rsid w:val="0BA96FBF"/>
    <w:rsid w:val="0BC27211"/>
    <w:rsid w:val="0E0AF0F4"/>
    <w:rsid w:val="0EA7EE05"/>
    <w:rsid w:val="0EFE6349"/>
    <w:rsid w:val="0FF4CCA8"/>
    <w:rsid w:val="103A0385"/>
    <w:rsid w:val="1370F21F"/>
    <w:rsid w:val="13CFC91B"/>
    <w:rsid w:val="15A4969B"/>
    <w:rsid w:val="187EA0DE"/>
    <w:rsid w:val="19A2EC2C"/>
    <w:rsid w:val="1BB4EAED"/>
    <w:rsid w:val="21779BE6"/>
    <w:rsid w:val="225CD92B"/>
    <w:rsid w:val="2859CA1B"/>
    <w:rsid w:val="2BA2682C"/>
    <w:rsid w:val="2C4D2425"/>
    <w:rsid w:val="2EE1E026"/>
    <w:rsid w:val="2F44F38F"/>
    <w:rsid w:val="30821638"/>
    <w:rsid w:val="32A4F9CF"/>
    <w:rsid w:val="33A1FF93"/>
    <w:rsid w:val="341F1EF3"/>
    <w:rsid w:val="356CEDFD"/>
    <w:rsid w:val="39124533"/>
    <w:rsid w:val="39393384"/>
    <w:rsid w:val="3C591AFD"/>
    <w:rsid w:val="3FD92E71"/>
    <w:rsid w:val="40A87941"/>
    <w:rsid w:val="42183F0A"/>
    <w:rsid w:val="449D5998"/>
    <w:rsid w:val="4690F902"/>
    <w:rsid w:val="545B112A"/>
    <w:rsid w:val="5BEB1497"/>
    <w:rsid w:val="5FFCE053"/>
    <w:rsid w:val="622EE8AB"/>
    <w:rsid w:val="69614A15"/>
    <w:rsid w:val="73B2353B"/>
    <w:rsid w:val="7492C892"/>
    <w:rsid w:val="74BA017B"/>
    <w:rsid w:val="7677286E"/>
    <w:rsid w:val="771B7CDB"/>
    <w:rsid w:val="79A64A20"/>
    <w:rsid w:val="7BB183BC"/>
    <w:rsid w:val="7C7F842F"/>
    <w:rsid w:val="7F877B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styleId="Refdecomentario">
    <w:name w:val="annotation reference"/>
    <w:basedOn w:val="Fuentedeprrafopredeter"/>
    <w:uiPriority w:val="99"/>
    <w:semiHidden/>
    <w:unhideWhenUsed/>
    <w:rsid w:val="00122D1C"/>
    <w:rPr>
      <w:sz w:val="16"/>
      <w:szCs w:val="16"/>
    </w:rPr>
  </w:style>
  <w:style w:type="paragraph" w:styleId="Textocomentario">
    <w:name w:val="annotation text"/>
    <w:basedOn w:val="Normal"/>
    <w:link w:val="TextocomentarioCar"/>
    <w:uiPriority w:val="99"/>
    <w:unhideWhenUsed/>
    <w:rsid w:val="00122D1C"/>
    <w:pPr>
      <w:spacing w:line="240" w:lineRule="auto"/>
    </w:pPr>
    <w:rPr>
      <w:sz w:val="20"/>
      <w:szCs w:val="20"/>
    </w:rPr>
  </w:style>
  <w:style w:type="character" w:customStyle="1" w:styleId="TextocomentarioCar">
    <w:name w:val="Texto comentario Car"/>
    <w:basedOn w:val="Fuentedeprrafopredeter"/>
    <w:link w:val="Textocomentario"/>
    <w:uiPriority w:val="99"/>
    <w:rsid w:val="00122D1C"/>
    <w:rPr>
      <w:sz w:val="20"/>
      <w:szCs w:val="20"/>
    </w:rPr>
  </w:style>
  <w:style w:type="paragraph" w:styleId="Asuntodelcomentario">
    <w:name w:val="annotation subject"/>
    <w:basedOn w:val="Textocomentario"/>
    <w:next w:val="Textocomentario"/>
    <w:link w:val="AsuntodelcomentarioCar"/>
    <w:uiPriority w:val="99"/>
    <w:semiHidden/>
    <w:unhideWhenUsed/>
    <w:rsid w:val="00122D1C"/>
    <w:rPr>
      <w:b/>
      <w:bCs/>
    </w:rPr>
  </w:style>
  <w:style w:type="character" w:customStyle="1" w:styleId="AsuntodelcomentarioCar">
    <w:name w:val="Asunto del comentario Car"/>
    <w:basedOn w:val="TextocomentarioCar"/>
    <w:link w:val="Asuntodelcomentario"/>
    <w:uiPriority w:val="99"/>
    <w:semiHidden/>
    <w:rsid w:val="00122D1C"/>
    <w:rPr>
      <w:b/>
      <w:bCs/>
      <w:sz w:val="20"/>
      <w:szCs w:val="20"/>
    </w:rPr>
  </w:style>
  <w:style w:type="paragraph" w:styleId="Textodeglobo">
    <w:name w:val="Balloon Text"/>
    <w:basedOn w:val="Normal"/>
    <w:link w:val="TextodegloboCar"/>
    <w:uiPriority w:val="99"/>
    <w:semiHidden/>
    <w:unhideWhenUsed/>
    <w:rsid w:val="003D5882"/>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3D588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g_rocer@hotmail.com" TargetMode="External"/><Relationship Id="rId17"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102FDB-EDEF-5644-A946-7895B2AC9CD1}">
  <ds:schemaRefs>
    <ds:schemaRef ds:uri="http://schemas.openxmlformats.org/officeDocument/2006/bibliography"/>
  </ds:schemaRefs>
</ds:datastoreItem>
</file>

<file path=customXml/itemProps2.xml><?xml version="1.0" encoding="utf-8"?>
<ds:datastoreItem xmlns:ds="http://schemas.openxmlformats.org/officeDocument/2006/customXml" ds:itemID="{D6BFF3DA-6F79-4A6A-9CFC-174C63C4FB44}"/>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6882</Words>
  <Characters>37856</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5</cp:revision>
  <cp:lastPrinted>2023-01-10T21:18:00Z</cp:lastPrinted>
  <dcterms:created xsi:type="dcterms:W3CDTF">2026-07-27T14:01:00Z</dcterms:created>
  <dcterms:modified xsi:type="dcterms:W3CDTF">2026-07-27T14:30:00Z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