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46146" w14:textId="77777777" w:rsidR="001C7276" w:rsidRPr="000C7D33" w:rsidRDefault="001C7276" w:rsidP="00132DAE">
      <w:pPr>
        <w:spacing w:after="0" w:line="240" w:lineRule="auto"/>
        <w:jc w:val="both"/>
        <w:rPr>
          <w:rFonts w:ascii="Verdana" w:eastAsia="Verdana" w:hAnsi="Verdana" w:cs="Verdana"/>
          <w:b/>
          <w:lang w:val="es-ES"/>
        </w:rPr>
      </w:pPr>
      <w:bookmarkStart w:id="0" w:name="_Hlk143780582"/>
      <w:r w:rsidRPr="000C7D33">
        <w:rPr>
          <w:rFonts w:ascii="Verdana" w:eastAsia="Verdana" w:hAnsi="Verdana" w:cs="Verdana"/>
          <w:b/>
          <w:lang w:val="es-ES"/>
        </w:rPr>
        <w:t xml:space="preserve">RÉGIMEN EXCEPCIONAL – Justificación – Criterios de clasificación </w:t>
      </w:r>
    </w:p>
    <w:p w14:paraId="068482E4" w14:textId="77777777" w:rsidR="001C7276" w:rsidRPr="000C7D33" w:rsidRDefault="001C7276" w:rsidP="00132DAE">
      <w:pPr>
        <w:spacing w:after="0" w:line="240" w:lineRule="auto"/>
        <w:jc w:val="both"/>
        <w:rPr>
          <w:rFonts w:ascii="Verdana" w:eastAsia="Verdana" w:hAnsi="Verdana" w:cs="Verdana"/>
          <w:b/>
          <w:lang w:val="es-ES"/>
        </w:rPr>
      </w:pPr>
    </w:p>
    <w:p w14:paraId="249E0ABE" w14:textId="77777777" w:rsidR="001C7276" w:rsidRPr="000C7D33" w:rsidRDefault="001C7276" w:rsidP="00132DAE">
      <w:pPr>
        <w:spacing w:after="0" w:line="240" w:lineRule="auto"/>
        <w:jc w:val="both"/>
        <w:rPr>
          <w:rFonts w:ascii="Verdana" w:eastAsia="Verdana" w:hAnsi="Verdana" w:cs="Verdana"/>
          <w:bCs/>
          <w:sz w:val="20"/>
          <w:lang w:val="es-MX"/>
        </w:rPr>
      </w:pPr>
      <w:r w:rsidRPr="000C7D33">
        <w:rPr>
          <w:rFonts w:ascii="Verdana" w:eastAsia="Verdana" w:hAnsi="Verdana" w:cs="Verdana"/>
          <w:bCs/>
          <w:sz w:val="20"/>
          <w:lang w:val="es-MX"/>
        </w:rPr>
        <w:t xml:space="preserve">El inciso segundo del 365 constitucional dispone que “Los servicios públicos estarán sometidos al régimen jurídico que fije la ley, podrán ser prestados por el Estado, directa o indirectamente, por comunidades organizadas, o por particulares […]”. Por ello, el inciso primero del artículo 31 de la Ley 142 de 1994 dispuso expresamente que “Los contratos que celebren las </w:t>
      </w:r>
      <w:r w:rsidRPr="000C7D33">
        <w:rPr>
          <w:rFonts w:ascii="Verdana" w:eastAsia="Verdana" w:hAnsi="Verdana" w:cs="Verdana"/>
          <w:bCs/>
          <w:i/>
          <w:iCs/>
          <w:sz w:val="20"/>
          <w:lang w:val="es-MX"/>
        </w:rPr>
        <w:t>entidades estatales que prestan los servicios públicos</w:t>
      </w:r>
      <w:r w:rsidRPr="000C7D33">
        <w:rPr>
          <w:rFonts w:ascii="Verdana" w:eastAsia="Verdana" w:hAnsi="Verdana" w:cs="Verdana"/>
          <w:bCs/>
          <w:sz w:val="20"/>
          <w:lang w:val="es-MX"/>
        </w:rPr>
        <w:t xml:space="preserve"> a los que se refiere esta ley no estarán sujetos a las disposiciones del Estatuto General de Contratación de la Administración Pública, salvo en lo que la presente ley disponga otra cosa” (Énfasis fuera de texto). Asimismo, el inciso primero del artículo 32 </w:t>
      </w:r>
      <w:r w:rsidRPr="000C7D33">
        <w:rPr>
          <w:rFonts w:ascii="Verdana" w:eastAsia="Verdana" w:hAnsi="Verdana" w:cs="Verdana"/>
          <w:bCs/>
          <w:i/>
          <w:iCs/>
          <w:sz w:val="20"/>
          <w:lang w:val="es-MX"/>
        </w:rPr>
        <w:t>ibidem</w:t>
      </w:r>
      <w:r w:rsidRPr="000C7D33">
        <w:rPr>
          <w:rFonts w:ascii="Verdana" w:eastAsia="Verdana" w:hAnsi="Verdana" w:cs="Verdana"/>
          <w:bCs/>
          <w:sz w:val="20"/>
          <w:lang w:val="es-MX"/>
        </w:rPr>
        <w:t xml:space="preserve"> precisa lo siguiente: “Salvo en cuanto la Constitución Política o esta Ley dispongan expresamente lo contrario, la constitución, y los actos de todas las </w:t>
      </w:r>
      <w:r w:rsidRPr="000C7D33">
        <w:rPr>
          <w:rFonts w:ascii="Verdana" w:eastAsia="Verdana" w:hAnsi="Verdana" w:cs="Verdana"/>
          <w:bCs/>
          <w:i/>
          <w:iCs/>
          <w:sz w:val="20"/>
          <w:lang w:val="es-MX"/>
        </w:rPr>
        <w:t>empresas de servicios públicos</w:t>
      </w:r>
      <w:r w:rsidRPr="000C7D33">
        <w:rPr>
          <w:rFonts w:ascii="Verdana" w:eastAsia="Verdana" w:hAnsi="Verdana" w:cs="Verdana"/>
          <w:bCs/>
          <w:sz w:val="20"/>
          <w:lang w:val="es-MX"/>
        </w:rPr>
        <w:t>, así como los requeridos para la administración y el ejercicio de los derechos de todas las personas que sean socias de ellas, en lo no dispuesto en esta Ley, se regirán exclusivamente por las reglas del derecho privado”</w:t>
      </w:r>
    </w:p>
    <w:p w14:paraId="5E0EF16A" w14:textId="77777777" w:rsidR="001C7276" w:rsidRPr="000C7D33" w:rsidRDefault="001C7276" w:rsidP="00132DAE">
      <w:pPr>
        <w:spacing w:after="0" w:line="240" w:lineRule="auto"/>
        <w:jc w:val="both"/>
        <w:rPr>
          <w:rFonts w:ascii="Verdana" w:eastAsia="Verdana" w:hAnsi="Verdana" w:cs="Verdana"/>
          <w:b/>
          <w:lang w:val="es-ES"/>
        </w:rPr>
      </w:pPr>
    </w:p>
    <w:p w14:paraId="7E5059E7" w14:textId="77777777" w:rsidR="001C7276" w:rsidRPr="000C7D33" w:rsidRDefault="001C7276" w:rsidP="00132DAE">
      <w:pPr>
        <w:spacing w:after="0" w:line="240" w:lineRule="auto"/>
        <w:jc w:val="both"/>
        <w:rPr>
          <w:rFonts w:ascii="Verdana" w:eastAsia="Verdana" w:hAnsi="Verdana" w:cs="Verdana"/>
          <w:b/>
          <w:lang w:val="es-ES"/>
        </w:rPr>
      </w:pPr>
      <w:r w:rsidRPr="000C7D33">
        <w:rPr>
          <w:rFonts w:ascii="Verdana" w:eastAsia="Verdana" w:hAnsi="Verdana" w:cs="Verdana"/>
          <w:b/>
          <w:lang w:val="es-ES"/>
        </w:rPr>
        <w:t xml:space="preserve">EMPRESAS DE SERVICIOS PÚBLICOS – Naturaleza – régimen especial </w:t>
      </w:r>
    </w:p>
    <w:p w14:paraId="6B95F06C" w14:textId="77777777" w:rsidR="001C7276" w:rsidRPr="000C7D33" w:rsidRDefault="001C7276" w:rsidP="00132DAE">
      <w:pPr>
        <w:spacing w:after="0" w:line="240" w:lineRule="auto"/>
        <w:jc w:val="both"/>
        <w:rPr>
          <w:rFonts w:ascii="Verdana" w:eastAsia="Verdana" w:hAnsi="Verdana" w:cs="Verdana"/>
          <w:b/>
          <w:lang w:val="es-ES"/>
        </w:rPr>
      </w:pPr>
    </w:p>
    <w:p w14:paraId="723542A9" w14:textId="77777777" w:rsidR="001C7276" w:rsidRPr="000C7D33" w:rsidRDefault="001C7276" w:rsidP="00132DAE">
      <w:pPr>
        <w:spacing w:after="0" w:line="240" w:lineRule="auto"/>
        <w:jc w:val="both"/>
        <w:rPr>
          <w:rFonts w:ascii="Verdana" w:eastAsia="Verdana" w:hAnsi="Verdana" w:cs="Verdana"/>
          <w:sz w:val="20"/>
        </w:rPr>
      </w:pPr>
      <w:r w:rsidRPr="000C7D33">
        <w:rPr>
          <w:rFonts w:ascii="Verdana" w:eastAsia="Verdana" w:hAnsi="Verdana" w:cs="Verdana"/>
          <w:bCs/>
          <w:sz w:val="20"/>
          <w:lang w:val="es-MX"/>
        </w:rPr>
        <w:t xml:space="preserve">Asimismo, el inciso primero del artículo 32 </w:t>
      </w:r>
      <w:r w:rsidRPr="000C7D33">
        <w:rPr>
          <w:rFonts w:ascii="Verdana" w:eastAsia="Verdana" w:hAnsi="Verdana" w:cs="Verdana"/>
          <w:bCs/>
          <w:i/>
          <w:iCs/>
          <w:sz w:val="20"/>
          <w:lang w:val="es-MX"/>
        </w:rPr>
        <w:t>ibidem</w:t>
      </w:r>
      <w:r w:rsidRPr="000C7D33">
        <w:rPr>
          <w:rFonts w:ascii="Verdana" w:eastAsia="Verdana" w:hAnsi="Verdana" w:cs="Verdana"/>
          <w:bCs/>
          <w:sz w:val="20"/>
          <w:lang w:val="es-MX"/>
        </w:rPr>
        <w:t xml:space="preserve"> precisa lo siguiente: “Salvo en cuanto la Constitución Política o esta Ley dispongan expresamente lo contrario, la constitución, y los actos de todas las </w:t>
      </w:r>
      <w:r w:rsidRPr="000C7D33">
        <w:rPr>
          <w:rFonts w:ascii="Verdana" w:eastAsia="Verdana" w:hAnsi="Verdana" w:cs="Verdana"/>
          <w:bCs/>
          <w:i/>
          <w:iCs/>
          <w:sz w:val="20"/>
          <w:lang w:val="es-MX"/>
        </w:rPr>
        <w:t>empresas de servicios públicos</w:t>
      </w:r>
      <w:r w:rsidRPr="000C7D33">
        <w:rPr>
          <w:rFonts w:ascii="Verdana" w:eastAsia="Verdana" w:hAnsi="Verdana" w:cs="Verdana"/>
          <w:bCs/>
          <w:sz w:val="20"/>
          <w:lang w:val="es-MX"/>
        </w:rPr>
        <w:t xml:space="preserve">, así como los requeridos para la administración y el ejercicio de los derechos de todas las personas que sean socias de ellas, en lo no dispuesto en esta Ley, se regirán exclusivamente por las reglas del derecho privado” (Énfasis fuera de texto). </w:t>
      </w:r>
      <w:r w:rsidRPr="000C7D33">
        <w:rPr>
          <w:rFonts w:ascii="Verdana" w:eastAsia="Verdana" w:hAnsi="Verdana" w:cs="Verdana"/>
          <w:sz w:val="20"/>
          <w:lang w:val="es-ES"/>
        </w:rPr>
        <w:t xml:space="preserve">De esta manera, el máximo órgano de la Jurisdicción de lo Contencioso Administrativo considera que: “En este orden de ideas, el régimen jurídico aplicable a las empresas de servicios públicos domiciliarios en materia contractual es el propio del derecho común y sólo excepcionalmente se aplican las reglas del derecho público, es decir, las reglas de la Ley 80 de 1993”. </w:t>
      </w:r>
    </w:p>
    <w:p w14:paraId="004B4F1A" w14:textId="77777777" w:rsidR="001C7276" w:rsidRPr="000C7D33" w:rsidRDefault="001C7276" w:rsidP="00132DAE">
      <w:pPr>
        <w:spacing w:after="0" w:line="240" w:lineRule="auto"/>
        <w:jc w:val="both"/>
        <w:rPr>
          <w:rFonts w:ascii="Verdana" w:eastAsia="Verdana" w:hAnsi="Verdana" w:cs="Verdana"/>
          <w:b/>
          <w:lang w:val="es-ES"/>
        </w:rPr>
      </w:pPr>
    </w:p>
    <w:p w14:paraId="642635BE" w14:textId="77777777" w:rsidR="001C7276" w:rsidRPr="000C7D33" w:rsidRDefault="001C7276" w:rsidP="00132DAE">
      <w:pPr>
        <w:spacing w:after="0" w:line="240" w:lineRule="auto"/>
        <w:jc w:val="both"/>
        <w:rPr>
          <w:rFonts w:ascii="Verdana" w:eastAsia="Verdana" w:hAnsi="Verdana" w:cs="Verdana"/>
          <w:b/>
          <w:lang w:val="es-ES"/>
        </w:rPr>
      </w:pPr>
      <w:r w:rsidRPr="000C7D33">
        <w:rPr>
          <w:rFonts w:ascii="Verdana" w:eastAsia="Verdana" w:hAnsi="Verdana" w:cs="Verdana"/>
          <w:b/>
          <w:lang w:val="es-ES"/>
        </w:rPr>
        <w:t xml:space="preserve">EMPRESAS DE SERVICIOS PÚBLICOS – Mixtas – Privadas con participación estatal – Entidades descentralizadas por servicios – Sentencia C-736 de 2007 </w:t>
      </w:r>
    </w:p>
    <w:p w14:paraId="28E894B1" w14:textId="77777777" w:rsidR="001C7276" w:rsidRPr="000C7D33" w:rsidRDefault="001C7276" w:rsidP="00132DAE">
      <w:pPr>
        <w:spacing w:after="0" w:line="240" w:lineRule="auto"/>
        <w:jc w:val="both"/>
        <w:rPr>
          <w:rFonts w:ascii="Verdana" w:eastAsia="Verdana" w:hAnsi="Verdana" w:cs="Verdana"/>
          <w:b/>
          <w:lang w:val="es-ES"/>
        </w:rPr>
      </w:pPr>
    </w:p>
    <w:p w14:paraId="7D9D03EB" w14:textId="77777777" w:rsidR="001C7276" w:rsidRDefault="001C7276" w:rsidP="00132DAE">
      <w:pPr>
        <w:spacing w:after="0" w:line="240" w:lineRule="auto"/>
        <w:jc w:val="both"/>
        <w:rPr>
          <w:rFonts w:ascii="Verdana" w:eastAsia="Verdana" w:hAnsi="Verdana" w:cs="Verdana"/>
          <w:bCs/>
          <w:sz w:val="20"/>
          <w:lang w:val="es-ES_tradnl"/>
        </w:rPr>
      </w:pPr>
      <w:r w:rsidRPr="000C7D33">
        <w:rPr>
          <w:rFonts w:ascii="Verdana" w:eastAsia="Verdana" w:hAnsi="Verdana" w:cs="Verdana"/>
          <w:bCs/>
          <w:sz w:val="20"/>
          <w:lang w:val="es-ES_tradnl"/>
        </w:rPr>
        <w:t xml:space="preserve">Respecto a las empresas prestadoras de servicios públicos domiciliarios, conviene señalar, acorde con lo expresado por la Corte Constitucional en la Sentencia C-736 de 2007, que aquellas son entidades descentralizadas por servicios, independientemente de la naturaleza y porcentaje de su capital. En otras palabras, aunque el artículo 14 de la Ley 142 de 1994 establece que las empresas prestadoras de servicios públicos domiciliarios pueden ser </w:t>
      </w:r>
      <w:r w:rsidRPr="000C7D33">
        <w:rPr>
          <w:rFonts w:ascii="Verdana" w:eastAsia="Verdana" w:hAnsi="Verdana" w:cs="Verdana"/>
          <w:bCs/>
          <w:i/>
          <w:iCs/>
          <w:sz w:val="20"/>
          <w:lang w:val="es-ES_tradnl"/>
        </w:rPr>
        <w:t>oficiales</w:t>
      </w:r>
      <w:r w:rsidRPr="000C7D33">
        <w:rPr>
          <w:rFonts w:ascii="Verdana" w:eastAsia="Verdana" w:hAnsi="Verdana" w:cs="Verdana"/>
          <w:bCs/>
          <w:sz w:val="20"/>
          <w:lang w:val="es-ES_tradnl"/>
        </w:rPr>
        <w:t xml:space="preserve">, </w:t>
      </w:r>
      <w:r w:rsidRPr="000C7D33">
        <w:rPr>
          <w:rFonts w:ascii="Verdana" w:eastAsia="Verdana" w:hAnsi="Verdana" w:cs="Verdana"/>
          <w:bCs/>
          <w:i/>
          <w:iCs/>
          <w:sz w:val="20"/>
          <w:lang w:val="es-ES_tradnl"/>
        </w:rPr>
        <w:t>mixtas</w:t>
      </w:r>
      <w:r w:rsidRPr="000C7D33">
        <w:rPr>
          <w:rFonts w:ascii="Verdana" w:eastAsia="Verdana" w:hAnsi="Verdana" w:cs="Verdana"/>
          <w:bCs/>
          <w:sz w:val="20"/>
          <w:lang w:val="es-ES_tradnl"/>
        </w:rPr>
        <w:t xml:space="preserve"> o </w:t>
      </w:r>
      <w:r w:rsidRPr="000C7D33">
        <w:rPr>
          <w:rFonts w:ascii="Verdana" w:eastAsia="Verdana" w:hAnsi="Verdana" w:cs="Verdana"/>
          <w:bCs/>
          <w:i/>
          <w:iCs/>
          <w:sz w:val="20"/>
          <w:lang w:val="es-ES_tradnl"/>
        </w:rPr>
        <w:t>privadas</w:t>
      </w:r>
      <w:r w:rsidRPr="000C7D33">
        <w:rPr>
          <w:rFonts w:ascii="Verdana" w:eastAsia="Verdana" w:hAnsi="Verdana" w:cs="Verdana"/>
          <w:bCs/>
          <w:sz w:val="20"/>
          <w:lang w:val="es-ES_tradnl"/>
        </w:rPr>
        <w:t xml:space="preserve">, estas tres especies ingresan en la categoría de las </w:t>
      </w:r>
      <w:r w:rsidRPr="000C7D33">
        <w:rPr>
          <w:rFonts w:ascii="Verdana" w:eastAsia="Verdana" w:hAnsi="Verdana" w:cs="Verdana"/>
          <w:bCs/>
          <w:i/>
          <w:iCs/>
          <w:sz w:val="20"/>
          <w:lang w:val="es-ES_tradnl"/>
        </w:rPr>
        <w:t>entidades descentralizadas por servicios</w:t>
      </w:r>
      <w:r w:rsidRPr="000C7D33">
        <w:rPr>
          <w:rFonts w:ascii="Verdana" w:eastAsia="Verdana" w:hAnsi="Verdana" w:cs="Verdana"/>
          <w:bCs/>
          <w:sz w:val="20"/>
          <w:lang w:val="es-ES_tradnl"/>
        </w:rPr>
        <w:t xml:space="preserve">, es decir, hacen parte de la Rama Ejecutiva del Orden Público.  </w:t>
      </w:r>
    </w:p>
    <w:p w14:paraId="0BAC425D" w14:textId="77777777" w:rsidR="001C7276" w:rsidRPr="000C7D33" w:rsidRDefault="001C7276" w:rsidP="00132DAE">
      <w:pPr>
        <w:spacing w:after="0" w:line="240" w:lineRule="auto"/>
        <w:jc w:val="both"/>
        <w:rPr>
          <w:rFonts w:ascii="Verdana" w:eastAsia="Verdana" w:hAnsi="Verdana" w:cs="Verdana"/>
          <w:bCs/>
          <w:sz w:val="20"/>
          <w:lang w:val="es-ES_tradnl"/>
        </w:rPr>
      </w:pPr>
    </w:p>
    <w:p w14:paraId="6A7AA427" w14:textId="77777777" w:rsidR="001C7276" w:rsidRPr="000C7D33" w:rsidRDefault="001C7276" w:rsidP="00132DAE">
      <w:pPr>
        <w:spacing w:after="0" w:line="240" w:lineRule="auto"/>
        <w:jc w:val="both"/>
        <w:rPr>
          <w:rFonts w:ascii="Verdana" w:eastAsia="Verdana" w:hAnsi="Verdana" w:cs="Verdana"/>
          <w:sz w:val="20"/>
          <w:lang w:val="es-ES"/>
        </w:rPr>
      </w:pPr>
      <w:r w:rsidRPr="000C7D33">
        <w:rPr>
          <w:rFonts w:ascii="Verdana" w:eastAsia="Verdana" w:hAnsi="Verdana" w:cs="Verdana"/>
          <w:bCs/>
          <w:sz w:val="20"/>
          <w:lang w:val="es-ES_tradnl"/>
        </w:rPr>
        <w:t xml:space="preserve">Al respecto, debe recordarse que en dicha Sentencia el alto tribunal afirmó que las empresas prestadoras de servicios públicos domiciliarios </w:t>
      </w:r>
      <w:r w:rsidRPr="000C7D33">
        <w:rPr>
          <w:rFonts w:ascii="Verdana" w:eastAsia="Verdana" w:hAnsi="Verdana" w:cs="Verdana"/>
          <w:bCs/>
          <w:i/>
          <w:iCs/>
          <w:sz w:val="20"/>
          <w:lang w:val="es-ES_tradnl"/>
        </w:rPr>
        <w:t>mixtas y privadas</w:t>
      </w:r>
      <w:r w:rsidRPr="000C7D33">
        <w:rPr>
          <w:rFonts w:ascii="Verdana" w:eastAsia="Verdana" w:hAnsi="Verdana" w:cs="Verdana"/>
          <w:bCs/>
          <w:sz w:val="20"/>
          <w:lang w:val="es-ES_tradnl"/>
        </w:rPr>
        <w:t xml:space="preserve"> con aportes estatales son tipos </w:t>
      </w:r>
      <w:r w:rsidRPr="000C7D33">
        <w:rPr>
          <w:rFonts w:ascii="Verdana" w:eastAsia="Verdana" w:hAnsi="Verdana" w:cs="Verdana"/>
          <w:bCs/>
          <w:i/>
          <w:iCs/>
          <w:sz w:val="20"/>
          <w:lang w:val="es-ES_tradnl"/>
        </w:rPr>
        <w:t>especiales</w:t>
      </w:r>
      <w:r w:rsidRPr="000C7D33">
        <w:rPr>
          <w:rFonts w:ascii="Verdana" w:eastAsia="Verdana" w:hAnsi="Verdana" w:cs="Verdana"/>
          <w:bCs/>
          <w:sz w:val="20"/>
          <w:lang w:val="es-ES_tradnl"/>
        </w:rPr>
        <w:t xml:space="preserve"> de entidades descentralizadas por servicios que, por tanto, </w:t>
      </w:r>
      <w:r w:rsidRPr="000C7D33">
        <w:rPr>
          <w:rFonts w:ascii="Verdana" w:eastAsia="Verdana" w:hAnsi="Verdana" w:cs="Verdana"/>
          <w:bCs/>
          <w:sz w:val="20"/>
          <w:lang w:val="es-ES_tradnl"/>
        </w:rPr>
        <w:lastRenderedPageBreak/>
        <w:t>no pueden enmarcarse en las otras especies de entidades descentralizadas por servicios enlistadas en el artículo 38 de la Ley 489 de 1998, es decir, que no cabe considerarlas, verbigracia, dentro de las sociedades públicas ni en las sociedades de economía mixta.</w:t>
      </w:r>
    </w:p>
    <w:p w14:paraId="7DF8591C" w14:textId="77777777" w:rsidR="001C7276" w:rsidRPr="000C7D33" w:rsidRDefault="001C7276" w:rsidP="00132DAE">
      <w:pPr>
        <w:spacing w:after="0" w:line="240" w:lineRule="auto"/>
        <w:jc w:val="both"/>
        <w:rPr>
          <w:rFonts w:ascii="Verdana" w:eastAsia="Verdana" w:hAnsi="Verdana" w:cs="Verdana"/>
          <w:b/>
          <w:lang w:val="es-ES"/>
        </w:rPr>
      </w:pPr>
    </w:p>
    <w:p w14:paraId="3B7F8B6C" w14:textId="77777777" w:rsidR="001C7276" w:rsidRPr="000C7D33" w:rsidRDefault="001C7276" w:rsidP="00132DAE">
      <w:pPr>
        <w:spacing w:after="0" w:line="240" w:lineRule="auto"/>
        <w:jc w:val="both"/>
        <w:rPr>
          <w:rFonts w:ascii="Verdana" w:eastAsia="Verdana" w:hAnsi="Verdana" w:cs="Verdana"/>
          <w:b/>
          <w:lang w:val="es-ES"/>
        </w:rPr>
      </w:pPr>
      <w:r w:rsidRPr="000C7D33">
        <w:rPr>
          <w:rFonts w:ascii="Verdana" w:eastAsia="Verdana" w:hAnsi="Verdana" w:cs="Verdana"/>
          <w:b/>
          <w:lang w:val="es-ES"/>
        </w:rPr>
        <w:t>EMPRESAS PRIVADAS DE SERVICIOS PÚBLICOS – Capital – 100% privadas – Naturaleza</w:t>
      </w:r>
    </w:p>
    <w:p w14:paraId="271478A4" w14:textId="77777777" w:rsidR="001C7276" w:rsidRPr="000C7D33" w:rsidRDefault="001C7276" w:rsidP="00132DAE">
      <w:pPr>
        <w:spacing w:after="0" w:line="240" w:lineRule="auto"/>
        <w:jc w:val="both"/>
        <w:rPr>
          <w:rFonts w:ascii="Verdana" w:eastAsia="Verdana" w:hAnsi="Verdana" w:cs="Verdana"/>
          <w:b/>
          <w:lang w:val="es-ES"/>
        </w:rPr>
      </w:pPr>
    </w:p>
    <w:p w14:paraId="5764ED37" w14:textId="77777777" w:rsidR="001C7276" w:rsidRPr="00ED0AD9" w:rsidRDefault="001C7276" w:rsidP="00132DAE">
      <w:pPr>
        <w:spacing w:after="0" w:line="240" w:lineRule="auto"/>
        <w:jc w:val="both"/>
        <w:rPr>
          <w:rFonts w:ascii="Verdana" w:eastAsia="Verdana" w:hAnsi="Verdana" w:cs="Verdana"/>
          <w:sz w:val="20"/>
          <w:lang w:val="es-ES"/>
        </w:rPr>
      </w:pPr>
      <w:r w:rsidRPr="00ED0AD9">
        <w:rPr>
          <w:rFonts w:ascii="Verdana" w:eastAsia="Verdana" w:hAnsi="Verdana" w:cs="Verdana"/>
          <w:sz w:val="20"/>
          <w:lang w:val="es-ES"/>
        </w:rPr>
        <w:t xml:space="preserve">A pesar de las discusiones e implicaciones que pueda tener, es importante tener en cuenta lo expresado por la Corte Constitucional, siendo pertinente señalar que las empresas de servicios públicos mixtas y empresas privadas de servicios públicos con participación pública son consideradas entidades descentralizadas por servicios. Sin embargo, dentro del pronunciamiento de la Corte Constitucional no se expuso de forma explícita el mismo efecto para las empresas con capital 100% privadas que son prestadoras de servicios públicos domiciliarios, lo cual implica exponer dos posturas. </w:t>
      </w:r>
    </w:p>
    <w:p w14:paraId="55ED3550" w14:textId="77777777" w:rsidR="001C7276" w:rsidRPr="00ED0AD9" w:rsidRDefault="001C7276" w:rsidP="00132DAE">
      <w:pPr>
        <w:spacing w:after="0" w:line="240" w:lineRule="auto"/>
        <w:jc w:val="both"/>
        <w:rPr>
          <w:rFonts w:ascii="Verdana" w:eastAsia="Verdana" w:hAnsi="Verdana" w:cs="Verdana"/>
          <w:sz w:val="20"/>
          <w:lang w:val="es-ES"/>
        </w:rPr>
      </w:pPr>
    </w:p>
    <w:p w14:paraId="08233235" w14:textId="77777777" w:rsidR="001C7276" w:rsidRPr="00ED0AD9" w:rsidRDefault="001C7276" w:rsidP="00132DAE">
      <w:pPr>
        <w:spacing w:after="0" w:line="240" w:lineRule="auto"/>
        <w:jc w:val="both"/>
        <w:rPr>
          <w:rFonts w:ascii="Verdana" w:eastAsia="Verdana" w:hAnsi="Verdana" w:cs="Verdana"/>
          <w:sz w:val="20"/>
        </w:rPr>
      </w:pPr>
      <w:r w:rsidRPr="00ED0AD9">
        <w:rPr>
          <w:rFonts w:ascii="Verdana" w:eastAsia="Verdana" w:hAnsi="Verdana" w:cs="Verdana"/>
          <w:sz w:val="20"/>
          <w:lang w:val="es-ES"/>
        </w:rPr>
        <w:t>La primera postura es la que resalta la doctrina, donde se expone que el pronunciamiento de constitucionalidad implica que lo dispuesto en el literal g) se subsumen las empresas de servicios públicos mixtas o privadas</w:t>
      </w:r>
      <w:r w:rsidRPr="00ED0AD9">
        <w:rPr>
          <w:rFonts w:ascii="Verdana" w:eastAsia="Verdana" w:hAnsi="Verdana" w:cs="Verdana"/>
          <w:sz w:val="20"/>
        </w:rPr>
        <w:t xml:space="preserve"> (en torno a las últimas ya no precisa si tienen aporte estatal) como parte de la Rama Ejecutiva en su sector descentralizado. </w:t>
      </w:r>
    </w:p>
    <w:p w14:paraId="4949BD32" w14:textId="77777777" w:rsidR="001C7276" w:rsidRPr="00ED0AD9" w:rsidRDefault="001C7276" w:rsidP="00132DAE">
      <w:pPr>
        <w:spacing w:after="0" w:line="240" w:lineRule="auto"/>
        <w:jc w:val="both"/>
        <w:rPr>
          <w:rFonts w:ascii="Verdana" w:eastAsia="Verdana" w:hAnsi="Verdana" w:cs="Verdana"/>
          <w:sz w:val="20"/>
        </w:rPr>
      </w:pPr>
    </w:p>
    <w:p w14:paraId="2CEC0BDF" w14:textId="77777777" w:rsidR="001C7276" w:rsidRPr="00ED0AD9" w:rsidRDefault="001C7276" w:rsidP="00132DAE">
      <w:pPr>
        <w:spacing w:after="0" w:line="240" w:lineRule="auto"/>
        <w:jc w:val="both"/>
        <w:rPr>
          <w:rFonts w:ascii="Verdana" w:eastAsia="Verdana" w:hAnsi="Verdana" w:cs="Verdana"/>
          <w:sz w:val="20"/>
        </w:rPr>
      </w:pPr>
      <w:r w:rsidRPr="00ED0AD9">
        <w:rPr>
          <w:rFonts w:ascii="Verdana" w:eastAsia="Verdana" w:hAnsi="Verdana" w:cs="Verdana"/>
          <w:sz w:val="20"/>
          <w:lang w:val="es-ES"/>
        </w:rPr>
        <w:t>La segunda postura que también se deriva de la interpretación de la sentencia es que la Corte Constitucional</w:t>
      </w:r>
      <w:r w:rsidRPr="00ED0AD9">
        <w:rPr>
          <w:rFonts w:ascii="Verdana" w:eastAsia="Verdana" w:hAnsi="Verdana" w:cs="Verdana"/>
          <w:sz w:val="20"/>
        </w:rPr>
        <w:t xml:space="preserve"> </w:t>
      </w:r>
      <w:r w:rsidRPr="00ED0AD9">
        <w:rPr>
          <w:rFonts w:ascii="Verdana" w:eastAsia="Verdana" w:hAnsi="Verdana" w:cs="Verdana"/>
          <w:sz w:val="20"/>
          <w:lang w:val="es-ES"/>
        </w:rPr>
        <w:t xml:space="preserve">determinó que las empresas de servicios públicos domiciliarios mixtas y privadas con participación estatal constituyen una categoría especial de entidades descentralizadas por servicios. En esta línea, se destaca que el encabezado de la consideración 5.3. alude expresamente, así como en varios apartes que son entidades descentralizadas por servicios las </w:t>
      </w:r>
      <w:r w:rsidRPr="00ED0AD9">
        <w:rPr>
          <w:rFonts w:ascii="Verdana" w:eastAsia="Verdana" w:hAnsi="Verdana" w:cs="Verdana"/>
          <w:bCs/>
          <w:sz w:val="20"/>
          <w:lang w:val="es-ES"/>
        </w:rPr>
        <w:t xml:space="preserve">empresas de servicios públicos mixtas y privadas en las cuales haya cualquier porcentaje de participación pública. </w:t>
      </w:r>
      <w:r w:rsidRPr="00ED0AD9">
        <w:rPr>
          <w:rFonts w:ascii="Verdana" w:eastAsia="Verdana" w:hAnsi="Verdana" w:cs="Verdana"/>
          <w:sz w:val="20"/>
          <w:lang w:val="es-ES"/>
        </w:rPr>
        <w:t xml:space="preserve">Esta interpretación se complementa con la Ley 142 de 1994, que define los tipos societarios según la proporción de capital estatal y privado, entendiendo como empresa privada de servicios públicos como </w:t>
      </w:r>
      <w:r w:rsidRPr="00ED0AD9">
        <w:rPr>
          <w:rFonts w:ascii="Verdana" w:eastAsia="Verdana" w:hAnsi="Verdana" w:cs="Verdana"/>
          <w:sz w:val="20"/>
        </w:rPr>
        <w:t>aquella cuyo capital pertenece mayoritariamente a particulares o a entidades internacionales que se acogen al régimen privado, lo que implica una participación minoritaria del Estado.</w:t>
      </w:r>
    </w:p>
    <w:p w14:paraId="76902248" w14:textId="77777777" w:rsidR="001C7276" w:rsidRPr="00ED0AD9" w:rsidRDefault="001C7276" w:rsidP="00132DAE">
      <w:pPr>
        <w:spacing w:after="0" w:line="240" w:lineRule="auto"/>
        <w:jc w:val="both"/>
        <w:rPr>
          <w:rFonts w:ascii="Verdana" w:eastAsia="Verdana" w:hAnsi="Verdana" w:cs="Verdana"/>
          <w:sz w:val="20"/>
        </w:rPr>
      </w:pPr>
    </w:p>
    <w:p w14:paraId="6C62D973" w14:textId="687E1111" w:rsidR="00111DF2" w:rsidRPr="00681FBD" w:rsidRDefault="001C7276" w:rsidP="00132DAE">
      <w:pPr>
        <w:spacing w:after="0" w:line="240" w:lineRule="auto"/>
        <w:jc w:val="both"/>
        <w:rPr>
          <w:rFonts w:ascii="Verdana" w:eastAsia="Verdana" w:hAnsi="Verdana" w:cs="Verdana"/>
          <w:sz w:val="20"/>
          <w:lang w:val="es-ES"/>
        </w:rPr>
      </w:pPr>
      <w:r w:rsidRPr="00ED0AD9">
        <w:rPr>
          <w:rFonts w:ascii="Verdana" w:eastAsia="Verdana" w:hAnsi="Verdana" w:cs="Verdana"/>
          <w:sz w:val="20"/>
          <w:lang w:val="es-ES"/>
        </w:rPr>
        <w:t xml:space="preserve">Teniendo en cuenta las posturas expuestas, se acoge la segunda, destacándose que las empresas con capital 100% privado por las actividades que desempeñan cumplen funciones de interés general, pero no significa que formen parte de la estructura del Estado ni está integrado en la Rama Ejecutiva del Poder Público, pues no están contempladas en las consideraciones de la Corte Constitucional como entidades descentralizadas por servicios, pues no cuentan un capital del Estado. </w:t>
      </w:r>
      <w:r w:rsidR="00111DF2">
        <w:tab/>
      </w:r>
      <w:r w:rsidR="00111DF2">
        <w:br/>
      </w:r>
    </w:p>
    <w:p w14:paraId="73900419" w14:textId="77777777" w:rsidR="00681FBD" w:rsidRPr="000C7D33" w:rsidRDefault="00681FBD" w:rsidP="00132DAE">
      <w:pPr>
        <w:spacing w:after="0" w:line="240" w:lineRule="auto"/>
        <w:jc w:val="both"/>
        <w:rPr>
          <w:rFonts w:ascii="Verdana" w:eastAsia="Verdana" w:hAnsi="Verdana" w:cs="Verdana"/>
          <w:b/>
          <w:bCs/>
          <w:lang w:val="es-ES"/>
        </w:rPr>
      </w:pPr>
      <w:r w:rsidRPr="000C7D33">
        <w:rPr>
          <w:rFonts w:ascii="Verdana" w:eastAsia="Verdana" w:hAnsi="Verdana" w:cs="Verdana"/>
          <w:b/>
          <w:bCs/>
          <w:lang w:val="es-ES"/>
        </w:rPr>
        <w:t>PRINCIPIO DE PUBLICIDAD – Sujetos Obligados</w:t>
      </w:r>
    </w:p>
    <w:p w14:paraId="76FA1A55" w14:textId="77777777" w:rsidR="00681FBD" w:rsidRPr="00D01973" w:rsidRDefault="00681FBD" w:rsidP="00132DAE">
      <w:pPr>
        <w:spacing w:after="0" w:line="240" w:lineRule="auto"/>
        <w:jc w:val="both"/>
        <w:rPr>
          <w:rFonts w:ascii="Verdana" w:eastAsia="Verdana" w:hAnsi="Verdana" w:cs="Verdana"/>
          <w:bCs/>
          <w:sz w:val="20"/>
          <w:lang w:val="es-ES"/>
        </w:rPr>
      </w:pPr>
    </w:p>
    <w:p w14:paraId="73D11467" w14:textId="77777777" w:rsidR="00681FBD" w:rsidRPr="00D01973" w:rsidRDefault="00681FBD" w:rsidP="00132DAE">
      <w:pPr>
        <w:spacing w:after="0" w:line="240" w:lineRule="auto"/>
        <w:jc w:val="both"/>
        <w:rPr>
          <w:rFonts w:ascii="Verdana" w:eastAsia="Verdana" w:hAnsi="Verdana" w:cs="Verdana"/>
          <w:bCs/>
          <w:sz w:val="20"/>
          <w:lang w:val="es-ES_tradnl"/>
        </w:rPr>
      </w:pPr>
      <w:r w:rsidRPr="00D01973">
        <w:rPr>
          <w:rFonts w:ascii="Verdana" w:eastAsia="Verdana" w:hAnsi="Verdana" w:cs="Verdana"/>
          <w:bCs/>
          <w:sz w:val="20"/>
          <w:lang w:val="es-ES_tradnl"/>
        </w:rPr>
        <w:t xml:space="preserve">A partir de la lista de quienes son los sujetos obligados a publicar la información, puede inferirse que las entidades territoriales tienen la obligación de publicar la información relativa a su contratación, así como las entidades descentralizadas por servicios. Esta </w:t>
      </w:r>
      <w:r w:rsidRPr="00D01973">
        <w:rPr>
          <w:rFonts w:ascii="Verdana" w:eastAsia="Verdana" w:hAnsi="Verdana" w:cs="Verdana"/>
          <w:bCs/>
          <w:sz w:val="20"/>
          <w:lang w:val="es-ES_tradnl"/>
        </w:rPr>
        <w:lastRenderedPageBreak/>
        <w:t>obligación del deber de publicar fue desarrollada por el Decreto Único Reglamentario 1081 de 2015, el cual dispuso que la publicación de la información contractual de los sujetos obligados, que contratan con cargo a recursos públicos, debe hacerse en el SECOP. Asimismo, de acuerdo con el literal g) del artículo 11 de la Ley 1712 de 2014, 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incluidos concursos y licitaciones”, y esta información también debe estar en el SECOP.</w:t>
      </w:r>
    </w:p>
    <w:p w14:paraId="273CFAEA" w14:textId="77777777" w:rsidR="00111DF2" w:rsidRDefault="00111DF2" w:rsidP="00132DAE">
      <w:pPr>
        <w:spacing w:after="0" w:line="240" w:lineRule="auto"/>
        <w:rPr>
          <w:rFonts w:ascii="Verdana" w:hAnsi="Verdana"/>
          <w:lang w:val="es-ES_tradnl"/>
        </w:rPr>
      </w:pPr>
    </w:p>
    <w:p w14:paraId="59695B43" w14:textId="77777777" w:rsidR="00A12B35" w:rsidRPr="00A12B35" w:rsidRDefault="00A12B35" w:rsidP="00132DAE">
      <w:pPr>
        <w:spacing w:after="0" w:line="240" w:lineRule="auto"/>
        <w:jc w:val="both"/>
        <w:rPr>
          <w:rFonts w:ascii="Verdana" w:hAnsi="Verdana"/>
          <w:b/>
          <w:lang w:val="es-ES"/>
        </w:rPr>
      </w:pPr>
      <w:r w:rsidRPr="00A12B35">
        <w:rPr>
          <w:rFonts w:ascii="Verdana" w:hAnsi="Verdana"/>
          <w:b/>
          <w:lang w:val="es-ES"/>
        </w:rPr>
        <w:t xml:space="preserve">PRINCIPIO DE PUBLICIDAD – Documentos del Proceso </w:t>
      </w:r>
    </w:p>
    <w:p w14:paraId="39605AAB" w14:textId="77777777" w:rsidR="00A12B35" w:rsidRPr="000C559A" w:rsidRDefault="00A12B35" w:rsidP="00132DAE">
      <w:pPr>
        <w:spacing w:after="0" w:line="240" w:lineRule="auto"/>
        <w:jc w:val="both"/>
        <w:rPr>
          <w:rFonts w:ascii="Verdana" w:hAnsi="Verdana"/>
          <w:bCs/>
          <w:sz w:val="20"/>
          <w:szCs w:val="20"/>
          <w:lang w:val="es-ES"/>
        </w:rPr>
      </w:pPr>
    </w:p>
    <w:p w14:paraId="2A01D3A9" w14:textId="0162F364" w:rsidR="00CB48DB" w:rsidRDefault="00CB48DB" w:rsidP="00132DAE">
      <w:pPr>
        <w:spacing w:after="0" w:line="240" w:lineRule="auto"/>
        <w:jc w:val="both"/>
        <w:rPr>
          <w:rFonts w:ascii="Verdana" w:hAnsi="Verdana"/>
          <w:bCs/>
          <w:sz w:val="20"/>
          <w:szCs w:val="20"/>
          <w:lang w:val="es-ES_tradnl"/>
        </w:rPr>
      </w:pPr>
      <w:r w:rsidRPr="000C559A">
        <w:rPr>
          <w:rFonts w:ascii="Verdana" w:hAnsi="Verdana"/>
          <w:bCs/>
          <w:sz w:val="20"/>
          <w:szCs w:val="20"/>
          <w:lang w:val="es-ES_tradn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 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0373F5AF" w14:textId="77777777" w:rsidR="000C559A" w:rsidRPr="000C559A" w:rsidRDefault="000C559A" w:rsidP="00132DAE">
      <w:pPr>
        <w:spacing w:after="0" w:line="240" w:lineRule="auto"/>
        <w:jc w:val="both"/>
        <w:rPr>
          <w:rFonts w:ascii="Verdana" w:hAnsi="Verdana"/>
          <w:bCs/>
          <w:sz w:val="20"/>
          <w:szCs w:val="20"/>
          <w:lang w:val="es-ES_tradnl"/>
        </w:rPr>
      </w:pPr>
    </w:p>
    <w:p w14:paraId="2321B18B" w14:textId="77777777" w:rsidR="00CB48DB" w:rsidRDefault="00CB48DB" w:rsidP="00132DAE">
      <w:pPr>
        <w:spacing w:after="0" w:line="240" w:lineRule="auto"/>
        <w:jc w:val="both"/>
        <w:rPr>
          <w:rFonts w:ascii="Verdana" w:hAnsi="Verdana"/>
          <w:bCs/>
          <w:sz w:val="20"/>
          <w:szCs w:val="20"/>
        </w:rPr>
      </w:pPr>
      <w:r w:rsidRPr="000C559A">
        <w:rPr>
          <w:rFonts w:ascii="Verdana" w:hAnsi="Verdana"/>
          <w:bCs/>
          <w:sz w:val="20"/>
          <w:szCs w:val="20"/>
        </w:rPr>
        <w:t xml:space="preserve">La expresión </w:t>
      </w:r>
      <w:r w:rsidRPr="000C559A">
        <w:rPr>
          <w:rFonts w:ascii="Verdana" w:hAnsi="Verdana"/>
          <w:bCs/>
          <w:i/>
          <w:iCs/>
          <w:sz w:val="20"/>
          <w:szCs w:val="20"/>
        </w:rPr>
        <w:t xml:space="preserve">Documentos del Proceso </w:t>
      </w:r>
      <w:r w:rsidRPr="000C559A">
        <w:rPr>
          <w:rFonts w:ascii="Verdana" w:hAnsi="Verdana"/>
          <w:bCs/>
          <w:sz w:val="20"/>
          <w:szCs w:val="20"/>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Pr="000C559A">
        <w:rPr>
          <w:rFonts w:ascii="Verdana" w:hAnsi="Verdana"/>
          <w:bCs/>
          <w:i/>
          <w:iCs/>
          <w:sz w:val="20"/>
          <w:szCs w:val="20"/>
        </w:rPr>
        <w:t>y cualquier otro documento expedido por la Entidad Estatal durante el Proceso de Contratación</w:t>
      </w:r>
      <w:r w:rsidRPr="000C559A">
        <w:rPr>
          <w:rFonts w:ascii="Verdana" w:hAnsi="Verdana"/>
          <w:bCs/>
          <w:sz w:val="20"/>
          <w:szCs w:val="20"/>
        </w:rPr>
        <w:t xml:space="preserve">”. [Énfasis fuera de texto] 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0C559A">
        <w:rPr>
          <w:rFonts w:ascii="Verdana" w:hAnsi="Verdana"/>
          <w:bCs/>
          <w:i/>
          <w:iCs/>
          <w:sz w:val="20"/>
          <w:szCs w:val="20"/>
        </w:rPr>
        <w:t>Ibidem</w:t>
      </w:r>
      <w:r w:rsidRPr="000C559A">
        <w:rPr>
          <w:rFonts w:ascii="Verdana" w:hAnsi="Verdana"/>
          <w:bCs/>
          <w:sz w:val="20"/>
          <w:szCs w:val="20"/>
        </w:rPr>
        <w:t xml:space="preserve"> recoge en la noción de Documentos del Proceso “cualquier otro documento expedido por la Entidad Estatal durante el Proceso de Contratación”. </w:t>
      </w:r>
    </w:p>
    <w:p w14:paraId="5A5BF0C4" w14:textId="77777777" w:rsidR="000C559A" w:rsidRPr="000C559A" w:rsidRDefault="000C559A" w:rsidP="00132DAE">
      <w:pPr>
        <w:spacing w:after="0" w:line="240" w:lineRule="auto"/>
        <w:jc w:val="both"/>
        <w:rPr>
          <w:rFonts w:ascii="Verdana" w:hAnsi="Verdana"/>
          <w:bCs/>
          <w:sz w:val="20"/>
          <w:szCs w:val="20"/>
        </w:rPr>
      </w:pPr>
    </w:p>
    <w:p w14:paraId="5EA4EF58" w14:textId="77777777" w:rsidR="00CB48DB" w:rsidRPr="000C559A" w:rsidRDefault="00CB48DB" w:rsidP="00132DAE">
      <w:pPr>
        <w:spacing w:after="0" w:line="240" w:lineRule="auto"/>
        <w:jc w:val="both"/>
        <w:rPr>
          <w:rFonts w:ascii="Verdana" w:hAnsi="Verdana"/>
          <w:bCs/>
          <w:sz w:val="20"/>
          <w:szCs w:val="20"/>
        </w:rPr>
      </w:pPr>
      <w:r w:rsidRPr="000C559A">
        <w:rPr>
          <w:rFonts w:ascii="Verdana" w:hAnsi="Verdana"/>
          <w:bCs/>
          <w:sz w:val="20"/>
          <w:szCs w:val="20"/>
        </w:rPr>
        <w:t>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Documentos del Proceso los expedidos por un sujeto distinto a la entidad, salvo la oferta, la cual se incluye expresamente en el referido artículo 2.2.1.1.1.3.</w:t>
      </w:r>
    </w:p>
    <w:p w14:paraId="01B07FC3" w14:textId="77777777" w:rsidR="00A12B35" w:rsidRPr="00CB48DB" w:rsidRDefault="00A12B35" w:rsidP="00132DAE">
      <w:pPr>
        <w:spacing w:after="0" w:line="240" w:lineRule="auto"/>
        <w:jc w:val="both"/>
        <w:rPr>
          <w:rFonts w:ascii="Verdana" w:hAnsi="Verdana"/>
          <w:b/>
        </w:rPr>
      </w:pPr>
    </w:p>
    <w:p w14:paraId="0700F9DD" w14:textId="77777777" w:rsidR="00A12B35" w:rsidRPr="00A12B35" w:rsidRDefault="00A12B35" w:rsidP="00132DAE">
      <w:pPr>
        <w:spacing w:after="0" w:line="240" w:lineRule="auto"/>
        <w:jc w:val="both"/>
        <w:rPr>
          <w:rFonts w:ascii="Verdana" w:hAnsi="Verdana"/>
          <w:b/>
        </w:rPr>
      </w:pPr>
      <w:r w:rsidRPr="00A12B35">
        <w:rPr>
          <w:rFonts w:ascii="Verdana" w:hAnsi="Verdana"/>
          <w:b/>
        </w:rPr>
        <w:t xml:space="preserve">ENTIDADES DE RÉGIMEN ESPECIAL – SECOP II- Módulo de Régimen Especial – Con oferta – Sin Oferta </w:t>
      </w:r>
    </w:p>
    <w:p w14:paraId="4964565F" w14:textId="77777777" w:rsidR="00A12B35" w:rsidRDefault="00A12B35" w:rsidP="00132DAE">
      <w:pPr>
        <w:spacing w:after="0" w:line="240" w:lineRule="auto"/>
        <w:jc w:val="both"/>
        <w:rPr>
          <w:rFonts w:ascii="Verdana" w:hAnsi="Verdana"/>
          <w:b/>
        </w:rPr>
      </w:pPr>
    </w:p>
    <w:p w14:paraId="366D1D87" w14:textId="3C6CFB55" w:rsidR="00075DBC" w:rsidRDefault="00075DBC" w:rsidP="00132DAE">
      <w:pPr>
        <w:spacing w:after="0" w:line="240" w:lineRule="auto"/>
        <w:jc w:val="both"/>
        <w:rPr>
          <w:rFonts w:ascii="Verdana" w:hAnsi="Verdana"/>
          <w:bCs/>
          <w:sz w:val="20"/>
          <w:szCs w:val="20"/>
        </w:rPr>
      </w:pPr>
      <w:r w:rsidRPr="00075DBC">
        <w:rPr>
          <w:rFonts w:ascii="Verdana" w:hAnsi="Verdana"/>
          <w:bCs/>
          <w:sz w:val="20"/>
          <w:szCs w:val="20"/>
        </w:rPr>
        <w:lastRenderedPageBreak/>
        <w:t xml:space="preserve">En ese sentido, dicho precepto anteriormente referenciado establece el deber de publicar toda aquella información relacionada con el respectivo contrato, sin incluir ninguna excepción relacionada con la naturaleza u objeto contractual. Por lo tanto, para que las entidades exceptuadas cumplan con el deber de publicidad consagrado en el artículo 53 de la Ley 2195 de 2022 que modificó el artículo 13 de la Ley 1150 de 2007, se requiere que publiquen en el SECOP II todo documento expedido durante las diferentes etapas del proceso contractual, abarcando desde la fase previa a su celebración, pasando por la ejecución y hasta la fase posterior a su ejecución. Adicionalmente se aclara, que el cumplimiento del deber de publicación de la documentación contractual debe armonizarse con las normas aplicables al tipo de información que estas contienen, si procede restricción de esta por una reserva constitucional o legal. </w:t>
      </w:r>
    </w:p>
    <w:p w14:paraId="39D512A8" w14:textId="77777777" w:rsidR="00075DBC" w:rsidRPr="00075DBC" w:rsidRDefault="00075DBC" w:rsidP="00132DAE">
      <w:pPr>
        <w:spacing w:after="0" w:line="240" w:lineRule="auto"/>
        <w:jc w:val="both"/>
        <w:rPr>
          <w:rFonts w:ascii="Verdana" w:hAnsi="Verdana"/>
          <w:bCs/>
          <w:sz w:val="20"/>
          <w:szCs w:val="20"/>
        </w:rPr>
      </w:pPr>
    </w:p>
    <w:p w14:paraId="09987084" w14:textId="13128861" w:rsidR="00075DBC" w:rsidRPr="00075DBC" w:rsidRDefault="00075DBC" w:rsidP="00132DAE">
      <w:pPr>
        <w:spacing w:after="0" w:line="240" w:lineRule="auto"/>
        <w:jc w:val="both"/>
        <w:rPr>
          <w:rFonts w:ascii="Verdana" w:hAnsi="Verdana"/>
          <w:bCs/>
          <w:sz w:val="20"/>
          <w:szCs w:val="20"/>
        </w:rPr>
      </w:pPr>
      <w:r w:rsidRPr="00075DBC">
        <w:rPr>
          <w:rFonts w:ascii="Verdana" w:hAnsi="Verdana"/>
          <w:bCs/>
          <w:sz w:val="20"/>
          <w:szCs w:val="20"/>
        </w:rPr>
        <w:t>Teniendo en cuenta, la obligatoriedad de</w:t>
      </w:r>
      <w:r w:rsidRPr="00075DBC">
        <w:rPr>
          <w:rFonts w:ascii="Verdana" w:hAnsi="Verdana"/>
          <w:bCs/>
          <w:sz w:val="20"/>
          <w:szCs w:val="20"/>
          <w:lang w:val="es-ES"/>
        </w:rPr>
        <w:t xml:space="preserve"> SECOP II para entidades de régimen especial, es preciso señalar que está habilitado dos módulos para dichas entidades: i) Régimen Especial con Ofertas, que consiste en un procedimiento contractual que se desarrolla en línea y dentro de la plataforma, en el que las entidades pueden estructurar el proceso de contratación y recibir las ofertas de los proveedores y generar el contrato electrónico y demás documentos, conformándose un expediente electrónico; </w:t>
      </w:r>
      <w:proofErr w:type="spellStart"/>
      <w:r w:rsidRPr="00075DBC">
        <w:rPr>
          <w:rFonts w:ascii="Verdana" w:hAnsi="Verdana"/>
          <w:bCs/>
          <w:sz w:val="20"/>
          <w:szCs w:val="20"/>
          <w:lang w:val="es-ES"/>
        </w:rPr>
        <w:t>ii</w:t>
      </w:r>
      <w:proofErr w:type="spellEnd"/>
      <w:r w:rsidRPr="00075DBC">
        <w:rPr>
          <w:rFonts w:ascii="Verdana" w:hAnsi="Verdana"/>
          <w:bCs/>
          <w:sz w:val="20"/>
          <w:szCs w:val="20"/>
          <w:lang w:val="es-ES"/>
        </w:rPr>
        <w:t xml:space="preserve">) Régimen Especial sin Ofertas, que consiste en que las entidades pueden estructurar el Proceso de Contratación, generar el contrato electrónico y realizar la gestión contractual. Al respecto, </w:t>
      </w:r>
      <w:r w:rsidRPr="00075DBC">
        <w:rPr>
          <w:rFonts w:ascii="Verdana" w:hAnsi="Verdana"/>
          <w:bCs/>
          <w:sz w:val="20"/>
          <w:szCs w:val="20"/>
        </w:rPr>
        <w:t>la Circular Externa No. 002 del 23 de agosto de 2024, estableció los lineamientos para la aplicación del artículo 53 de la Ley 2195 de 2022 por parte de las Entidades Estales que por disposición legal cuentan con un régimen contractual excepcional al Estatuto General de Contratación de la Administración Pública</w:t>
      </w:r>
    </w:p>
    <w:p w14:paraId="5458AAF0" w14:textId="77777777" w:rsidR="00A12B35" w:rsidRPr="00A12B35" w:rsidRDefault="00A12B35" w:rsidP="00132DAE">
      <w:pPr>
        <w:spacing w:after="0" w:line="240" w:lineRule="auto"/>
        <w:jc w:val="both"/>
        <w:rPr>
          <w:rFonts w:ascii="Verdana" w:hAnsi="Verdana"/>
          <w:b/>
        </w:rPr>
      </w:pPr>
    </w:p>
    <w:p w14:paraId="07CC7C1B" w14:textId="77777777" w:rsidR="00A12B35" w:rsidRPr="00A12B35" w:rsidRDefault="00A12B35" w:rsidP="00132DAE">
      <w:pPr>
        <w:spacing w:after="0" w:line="240" w:lineRule="auto"/>
        <w:jc w:val="both"/>
        <w:rPr>
          <w:rFonts w:ascii="Verdana" w:hAnsi="Verdana"/>
          <w:b/>
        </w:rPr>
      </w:pPr>
      <w:r w:rsidRPr="00A12B35">
        <w:rPr>
          <w:rFonts w:ascii="Verdana" w:hAnsi="Verdana"/>
          <w:b/>
        </w:rPr>
        <w:t xml:space="preserve">GRUPO EMPRESARIAL – Concepto – Alcance </w:t>
      </w:r>
    </w:p>
    <w:p w14:paraId="07168767" w14:textId="77777777" w:rsidR="00A12B35" w:rsidRPr="00250FC8" w:rsidRDefault="00A12B35" w:rsidP="00132DAE">
      <w:pPr>
        <w:spacing w:after="0" w:line="240" w:lineRule="auto"/>
        <w:jc w:val="both"/>
        <w:rPr>
          <w:rFonts w:ascii="Verdana" w:hAnsi="Verdana"/>
          <w:bCs/>
          <w:sz w:val="20"/>
          <w:szCs w:val="20"/>
        </w:rPr>
      </w:pPr>
    </w:p>
    <w:p w14:paraId="01C0AFCD" w14:textId="5B95325B" w:rsidR="00250FC8" w:rsidRPr="00250FC8" w:rsidRDefault="00250FC8" w:rsidP="00132DAE">
      <w:pPr>
        <w:spacing w:after="0" w:line="240" w:lineRule="auto"/>
        <w:jc w:val="both"/>
        <w:rPr>
          <w:rFonts w:ascii="Verdana" w:hAnsi="Verdana"/>
          <w:bCs/>
          <w:sz w:val="20"/>
          <w:szCs w:val="20"/>
          <w:lang w:val="es-ES"/>
        </w:rPr>
      </w:pPr>
      <w:r w:rsidRPr="00250FC8">
        <w:rPr>
          <w:rFonts w:ascii="Verdana" w:hAnsi="Verdana"/>
          <w:bCs/>
          <w:sz w:val="20"/>
          <w:szCs w:val="20"/>
          <w:lang w:val="es-ES"/>
        </w:rPr>
        <w:t>[…] para que se configure un grupo empresarial no solo se requiere el vínculo de subordinación, sino que es necesario la unidad de propósito y de dirección. Al respecto, la Superintendencia de Sociedades ha expresado que existe “unidad de propósito y dirección” en que además de tener administradores comunes, se verifican procesos de integración vertical u horizontal. A modo de ejemplo, es posible aludir a grupo empresarial cuando se observa que una sociedad adquiere cueros, otra los transforma, una tercera fabrica zapatos, otra produce gelatina y finalmente otra se encarga de comercializar estos productos. Del mismo modo, también se presenta cuando empresas fijan políticas comunes que orientan sus actividades hacia objetivos compartidos. Teniendo en cuenta esto, la Superintendencia de Sociedades en su Circular Jurídica Básica expone los siguientes aspectos para determinar la existencia de grupo empresarial:</w:t>
      </w:r>
    </w:p>
    <w:p w14:paraId="2F8E81A9" w14:textId="77777777" w:rsidR="00250FC8" w:rsidRPr="00250FC8" w:rsidRDefault="00250FC8" w:rsidP="00132DAE">
      <w:pPr>
        <w:spacing w:after="0" w:line="240" w:lineRule="auto"/>
        <w:jc w:val="both"/>
        <w:rPr>
          <w:rFonts w:ascii="Verdana" w:hAnsi="Verdana"/>
          <w:bCs/>
          <w:sz w:val="20"/>
          <w:szCs w:val="20"/>
          <w:lang w:val="es-ES"/>
        </w:rPr>
      </w:pPr>
    </w:p>
    <w:p w14:paraId="091101D8" w14:textId="4ED294BB" w:rsidR="00250FC8" w:rsidRPr="00250FC8" w:rsidRDefault="00250FC8" w:rsidP="00132DAE">
      <w:pPr>
        <w:spacing w:after="0" w:line="240" w:lineRule="auto"/>
        <w:jc w:val="both"/>
        <w:rPr>
          <w:rFonts w:ascii="Verdana" w:hAnsi="Verdana"/>
          <w:bCs/>
          <w:sz w:val="20"/>
          <w:szCs w:val="20"/>
          <w:lang w:val="es-ES"/>
        </w:rPr>
      </w:pPr>
      <w:r w:rsidRPr="00250FC8">
        <w:rPr>
          <w:rFonts w:ascii="Verdana" w:hAnsi="Verdana"/>
          <w:bCs/>
          <w:sz w:val="20"/>
          <w:szCs w:val="20"/>
          <w:lang w:val="es-ES"/>
        </w:rPr>
        <w:t xml:space="preserve">La configuración de determinados aspectos o presupuestos como la unidad de propósito o de dirección, permite identificar la conformación de un grupo empresarial. Este reconocimiento es importante para entender las dinámicas de cooperación y coordinación entre distintas sociedades, en el marco de un grupo empresarial. En este aspecto, existe una obligatoriedad de registrar la situación de control o grupo </w:t>
      </w:r>
      <w:r w:rsidRPr="00250FC8">
        <w:rPr>
          <w:rFonts w:ascii="Verdana" w:hAnsi="Verdana"/>
          <w:bCs/>
          <w:sz w:val="20"/>
          <w:szCs w:val="20"/>
          <w:lang w:val="es-ES"/>
        </w:rPr>
        <w:lastRenderedPageBreak/>
        <w:t xml:space="preserve">empresarial, conforme al artículo 30 de la Ley 222 de 1995 y artículos 260 y 261 del Código de Comercio. </w:t>
      </w:r>
    </w:p>
    <w:p w14:paraId="0DA3324C" w14:textId="77777777" w:rsidR="00A12B35" w:rsidRPr="00250FC8" w:rsidRDefault="00A12B35" w:rsidP="00132DAE">
      <w:pPr>
        <w:spacing w:after="0" w:line="240" w:lineRule="auto"/>
        <w:jc w:val="both"/>
        <w:rPr>
          <w:rFonts w:ascii="Verdana" w:hAnsi="Verdana"/>
          <w:bCs/>
          <w:sz w:val="20"/>
          <w:szCs w:val="20"/>
          <w:lang w:val="es-ES"/>
        </w:rPr>
      </w:pPr>
    </w:p>
    <w:p w14:paraId="478A47BC" w14:textId="77777777" w:rsidR="00DC12CA" w:rsidRDefault="00A12B35" w:rsidP="00132DAE">
      <w:pPr>
        <w:spacing w:after="0" w:line="240" w:lineRule="auto"/>
        <w:jc w:val="both"/>
        <w:rPr>
          <w:rFonts w:ascii="Verdana" w:hAnsi="Verdana"/>
          <w:b/>
        </w:rPr>
      </w:pPr>
      <w:r w:rsidRPr="00A12B35">
        <w:rPr>
          <w:rFonts w:ascii="Verdana" w:hAnsi="Verdana"/>
          <w:b/>
        </w:rPr>
        <w:t xml:space="preserve">GRUPO EMPRESARIAL – Filial – Subsidiaria </w:t>
      </w:r>
    </w:p>
    <w:p w14:paraId="498C8C63" w14:textId="77777777" w:rsidR="00DC12CA" w:rsidRPr="00097894" w:rsidRDefault="00DC12CA" w:rsidP="00132DAE">
      <w:pPr>
        <w:spacing w:after="0" w:line="240" w:lineRule="auto"/>
        <w:jc w:val="both"/>
        <w:rPr>
          <w:rFonts w:ascii="Verdana" w:hAnsi="Verdana"/>
          <w:bCs/>
          <w:sz w:val="20"/>
          <w:szCs w:val="20"/>
        </w:rPr>
      </w:pPr>
    </w:p>
    <w:p w14:paraId="7A9B686F" w14:textId="77777777" w:rsidR="00097894" w:rsidRPr="00097894" w:rsidRDefault="00097894" w:rsidP="00132DAE">
      <w:pPr>
        <w:spacing w:after="0" w:line="240" w:lineRule="auto"/>
        <w:jc w:val="both"/>
        <w:rPr>
          <w:rFonts w:ascii="Verdana" w:hAnsi="Verdana"/>
          <w:bCs/>
          <w:sz w:val="20"/>
          <w:szCs w:val="20"/>
        </w:rPr>
      </w:pPr>
      <w:r w:rsidRPr="00097894">
        <w:rPr>
          <w:rFonts w:ascii="Verdana" w:hAnsi="Verdana"/>
          <w:bCs/>
          <w:sz w:val="20"/>
          <w:szCs w:val="20"/>
          <w:lang w:val="es-ES"/>
        </w:rPr>
        <w:t xml:space="preserve">En el marco de un grupo empresarial, hay una diferencia entre las filiales y las subsidiarias. </w:t>
      </w:r>
      <w:r w:rsidRPr="00097894">
        <w:rPr>
          <w:rFonts w:ascii="Verdana" w:hAnsi="Verdana"/>
          <w:bCs/>
          <w:sz w:val="20"/>
          <w:szCs w:val="20"/>
        </w:rPr>
        <w:t>La filial es aquella subordinada de manera directa, en la que la matriz ejerce un poder de decisión inmediato sobre sus órganos sociales, ya sea por participación mayoritaria, capacidad de influir decisivamente en las decisiones o facultad para designar administradores. Por su parte, la subsidiaria es una subordinada indirecta, sometida al control de la matriz por intermedio de otras subordinadas; en este caso, la matriz no ejerce el control de forma inmediata, sino a través de una o varias filiales que actúan como vehículo de influencia. En síntesis, ambas son subordinadas, pero la filial responde a un control directo y la subsidiaria a un control mediado dentro de la estructura del grupo empresarial. Para ilustración, el artículo 260 del Código de Comercio prescribe: “[…] Una sociedad será subordinada o controlada cuando su poder de decisión se encuentre sometido a la voluntad de otra u otras personas que serán su matriz o control ante, bien sea directamente, caso en el cual aquélla se denominará filial o con el concurso o por intermedio de las subordinadas de la matriz, en cuyo caso se llamará subsidiaria”.</w:t>
      </w:r>
    </w:p>
    <w:p w14:paraId="097F51C4" w14:textId="77777777" w:rsidR="00DC12CA" w:rsidRDefault="00DC12CA" w:rsidP="00132DAE">
      <w:pPr>
        <w:spacing w:after="0" w:line="240" w:lineRule="auto"/>
        <w:jc w:val="both"/>
        <w:rPr>
          <w:rFonts w:ascii="Verdana" w:hAnsi="Verdana"/>
          <w:b/>
        </w:rPr>
      </w:pPr>
    </w:p>
    <w:p w14:paraId="40739C74" w14:textId="4BF7081E" w:rsidR="00A12B35" w:rsidRPr="00A12B35" w:rsidRDefault="00A12B35" w:rsidP="00132DAE">
      <w:pPr>
        <w:spacing w:after="0" w:line="240" w:lineRule="auto"/>
        <w:jc w:val="both"/>
        <w:rPr>
          <w:rFonts w:ascii="Verdana" w:hAnsi="Verdana"/>
          <w:b/>
          <w:lang w:val="es-ES_tradnl"/>
        </w:rPr>
      </w:pPr>
      <w:r w:rsidRPr="00A12B35">
        <w:rPr>
          <w:rFonts w:ascii="Verdana" w:hAnsi="Verdana"/>
          <w:b/>
        </w:rPr>
        <w:t>SECOP II – Filiales – Deber – Publicidad – Alcance</w:t>
      </w:r>
      <w:r w:rsidRPr="00A12B35">
        <w:rPr>
          <w:rFonts w:ascii="Verdana" w:hAnsi="Verdana"/>
          <w:b/>
          <w:lang w:val="es-ES"/>
        </w:rPr>
        <w:t xml:space="preserve"> </w:t>
      </w:r>
    </w:p>
    <w:p w14:paraId="59F7CF31" w14:textId="77777777" w:rsidR="00097894" w:rsidRDefault="00097894" w:rsidP="00132DAE">
      <w:pPr>
        <w:spacing w:after="0" w:line="240" w:lineRule="auto"/>
        <w:jc w:val="both"/>
        <w:rPr>
          <w:rFonts w:ascii="Verdana" w:eastAsia="Verdana" w:hAnsi="Verdana" w:cs="Verdana"/>
          <w:sz w:val="20"/>
          <w:szCs w:val="20"/>
        </w:rPr>
      </w:pPr>
    </w:p>
    <w:p w14:paraId="2C3EFFAF" w14:textId="32ED703E" w:rsidR="00C57901" w:rsidRDefault="00C57901" w:rsidP="00132DAE">
      <w:pPr>
        <w:spacing w:after="0" w:line="240" w:lineRule="auto"/>
        <w:jc w:val="both"/>
        <w:rPr>
          <w:rFonts w:ascii="Verdana" w:eastAsia="Verdana" w:hAnsi="Verdana" w:cs="Verdana"/>
          <w:sz w:val="20"/>
          <w:szCs w:val="20"/>
        </w:rPr>
      </w:pPr>
      <w:r w:rsidRPr="00C57901">
        <w:rPr>
          <w:rFonts w:ascii="Verdana" w:eastAsia="Verdana" w:hAnsi="Verdana" w:cs="Verdana"/>
          <w:sz w:val="20"/>
          <w:szCs w:val="20"/>
        </w:rPr>
        <w:t>Bajo esa premisa, el elemento determinante para resolver la consulta estriba en la noción de personería jurídica e independencia patrimonial que ostenta cada una de las filiales de un grupo empresarial, y la necesidad de la centralización de gestión en la publicidad responda a una legítima estrategia de optimización administrativa y eficiencia de recursos para el grupo empresarial, la matriz y sus filiales nacionales no pierden su individualidad como sujetos de derechos y obligaciones. En el ámbito de la contratación estatal y las plataformas electrónicas de gestión, las cargas obligacionales se predican formalmente de cada entidad contratante individualizada, la cual posee su propio usuario corporativo en SECOP II y sus propias responsabilidades de rendición de cuentas.</w:t>
      </w:r>
    </w:p>
    <w:p w14:paraId="2BF4A736" w14:textId="77777777" w:rsidR="00C57901" w:rsidRPr="00C57901" w:rsidRDefault="00C57901" w:rsidP="00132DAE">
      <w:pPr>
        <w:spacing w:after="0" w:line="240" w:lineRule="auto"/>
        <w:jc w:val="both"/>
        <w:rPr>
          <w:rFonts w:ascii="Verdana" w:eastAsia="Verdana" w:hAnsi="Verdana" w:cs="Verdana"/>
          <w:sz w:val="20"/>
          <w:szCs w:val="20"/>
        </w:rPr>
      </w:pPr>
    </w:p>
    <w:p w14:paraId="07E3B990" w14:textId="77777777" w:rsidR="00C57901" w:rsidRPr="00C57901" w:rsidRDefault="00C57901" w:rsidP="00132DAE">
      <w:pPr>
        <w:spacing w:after="0" w:line="240" w:lineRule="auto"/>
        <w:jc w:val="both"/>
        <w:rPr>
          <w:rFonts w:ascii="Verdana" w:eastAsia="Verdana" w:hAnsi="Verdana" w:cs="Verdana"/>
          <w:sz w:val="20"/>
          <w:szCs w:val="20"/>
        </w:rPr>
      </w:pPr>
      <w:r w:rsidRPr="00C57901">
        <w:rPr>
          <w:rFonts w:ascii="Verdana" w:eastAsia="Verdana" w:hAnsi="Verdana" w:cs="Verdana"/>
          <w:sz w:val="20"/>
          <w:szCs w:val="20"/>
        </w:rPr>
        <w:t xml:space="preserve">Frente al supuesto, donde concurren procesos conjuntos, es pertinente precisar que el SECOP II tiene </w:t>
      </w:r>
      <w:r w:rsidRPr="00C57901">
        <w:rPr>
          <w:rFonts w:ascii="Verdana" w:eastAsia="Verdana" w:hAnsi="Verdana" w:cs="Verdana"/>
          <w:sz w:val="20"/>
          <w:szCs w:val="20"/>
          <w:lang w:val="es-ES"/>
        </w:rPr>
        <w:t>habilitado dos módulos para entidades de régimen especial</w:t>
      </w:r>
      <w:r w:rsidRPr="00C57901">
        <w:rPr>
          <w:rFonts w:ascii="Verdana" w:eastAsia="Verdana" w:hAnsi="Verdana" w:cs="Verdana"/>
          <w:sz w:val="20"/>
          <w:szCs w:val="20"/>
        </w:rPr>
        <w:t>: Régimen Especial (con ofertas), de carácter transaccional para estructurar, recibir ofertas y firmar contratos en línea; y Régimen Especial (sin ofertas), enfocado en publicidad, donde los documentos y el contrato manuscrito se cargan en la plataforma sin dar clic en "Finalizar" para permitir futuras modificaciones. De acuerdo con la Circular Externa No. 002 de 2024, que se explicó en consideraciones previas, corresponde a cada entidad determinar de forma autónoma y fundamentada cuál módulo utilizar según la naturaleza de la contratación y los principios de transparencia y eficiencia.</w:t>
      </w:r>
    </w:p>
    <w:p w14:paraId="50C8F3D3" w14:textId="77777777" w:rsidR="00C57901" w:rsidRDefault="00C57901" w:rsidP="00111DF2">
      <w:pPr>
        <w:spacing w:after="0" w:line="240" w:lineRule="auto"/>
        <w:rPr>
          <w:rFonts w:ascii="Verdana" w:eastAsia="Verdana" w:hAnsi="Verdana" w:cs="Verdana"/>
        </w:rPr>
      </w:pPr>
    </w:p>
    <w:p w14:paraId="3E6D9366" w14:textId="77777777" w:rsidR="00097894" w:rsidRDefault="00097894" w:rsidP="00111DF2">
      <w:pPr>
        <w:spacing w:after="0" w:line="240" w:lineRule="auto"/>
        <w:rPr>
          <w:rFonts w:ascii="Verdana" w:eastAsia="Verdana" w:hAnsi="Verdana" w:cs="Verdana"/>
        </w:rPr>
      </w:pPr>
    </w:p>
    <w:p w14:paraId="38EE9D42" w14:textId="77777777" w:rsidR="00097894" w:rsidRDefault="00097894" w:rsidP="00111DF2">
      <w:pPr>
        <w:spacing w:after="0" w:line="240" w:lineRule="auto"/>
        <w:rPr>
          <w:rFonts w:ascii="Verdana" w:eastAsia="Verdana" w:hAnsi="Verdana" w:cs="Verdana"/>
        </w:rPr>
      </w:pPr>
    </w:p>
    <w:p w14:paraId="0B1A2F87" w14:textId="426AD9A0" w:rsidR="00681FBD" w:rsidRDefault="00132DAE" w:rsidP="00111DF2">
      <w:pPr>
        <w:spacing w:after="0" w:line="240" w:lineRule="auto"/>
        <w:rPr>
          <w:rFonts w:ascii="Verdana" w:eastAsia="Verdana" w:hAnsi="Verdana" w:cs="Verdana"/>
        </w:rPr>
      </w:pPr>
      <w:r w:rsidRPr="00132DAE">
        <w:rPr>
          <w:rFonts w:ascii="Verdana" w:hAnsi="Verdana"/>
          <w:noProof/>
          <w:lang w:val="es-ES_tradnl"/>
        </w:rPr>
        <w:lastRenderedPageBreak/>
        <w:drawing>
          <wp:anchor distT="0" distB="0" distL="114300" distR="114300" simplePos="0" relativeHeight="251658240" behindDoc="0" locked="0" layoutInCell="1" allowOverlap="1" wp14:anchorId="7ECA696F" wp14:editId="182BB58E">
            <wp:simplePos x="0" y="0"/>
            <wp:positionH relativeFrom="margin">
              <wp:align>right</wp:align>
            </wp:positionH>
            <wp:positionV relativeFrom="paragraph">
              <wp:posOffset>177165</wp:posOffset>
            </wp:positionV>
            <wp:extent cx="2914650" cy="807085"/>
            <wp:effectExtent l="0" t="0" r="0" b="0"/>
            <wp:wrapSquare wrapText="bothSides"/>
            <wp:docPr id="13110966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4650" cy="807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1FBD" w:rsidRPr="30821638">
        <w:rPr>
          <w:rFonts w:ascii="Verdana" w:eastAsia="Verdana" w:hAnsi="Verdana" w:cs="Verdana"/>
        </w:rPr>
        <w:t xml:space="preserve">Bogotá D.C., </w:t>
      </w:r>
      <w:r w:rsidR="00681FBD">
        <w:rPr>
          <w:rFonts w:ascii="Verdana" w:eastAsia="Verdana" w:hAnsi="Verdana" w:cs="Verdana"/>
        </w:rPr>
        <w:t>21 de julio de 2026</w:t>
      </w:r>
    </w:p>
    <w:p w14:paraId="5A4E6D18" w14:textId="59D102F2" w:rsidR="00A12B35" w:rsidRDefault="00A12B35" w:rsidP="00111DF2">
      <w:pPr>
        <w:spacing w:after="0" w:line="240" w:lineRule="auto"/>
        <w:rPr>
          <w:rFonts w:ascii="Verdana" w:hAnsi="Verdana"/>
          <w:lang w:val="es-ES_tradnl"/>
        </w:rPr>
      </w:pPr>
    </w:p>
    <w:p w14:paraId="74C1931A" w14:textId="77777777" w:rsidR="00681FBD" w:rsidRPr="00681FBD" w:rsidRDefault="00681FBD" w:rsidP="00111DF2">
      <w:pPr>
        <w:spacing w:after="0" w:line="240" w:lineRule="auto"/>
        <w:rPr>
          <w:rFonts w:ascii="Verdana" w:hAnsi="Verdana"/>
          <w:lang w:val="es-ES_tradnl"/>
        </w:rPr>
      </w:pPr>
    </w:p>
    <w:p w14:paraId="6972B50D" w14:textId="77777777" w:rsidR="00111DF2" w:rsidRPr="00F324F0" w:rsidRDefault="00111DF2" w:rsidP="007D25F9">
      <w:pPr>
        <w:spacing w:after="0" w:line="240" w:lineRule="auto"/>
        <w:rPr>
          <w:rFonts w:ascii="Verdana" w:eastAsia="Calibri" w:hAnsi="Verdana" w:cs="Times New Roman"/>
        </w:rPr>
      </w:pPr>
      <w:r w:rsidRPr="00F324F0">
        <w:rPr>
          <w:rFonts w:ascii="Verdana" w:eastAsia="Calibri" w:hAnsi="Verdana" w:cs="Times New Roman"/>
        </w:rPr>
        <w:t>Señor</w:t>
      </w:r>
    </w:p>
    <w:p w14:paraId="7098AFF3" w14:textId="77777777" w:rsidR="00111DF2" w:rsidRPr="00F324F0" w:rsidRDefault="00111DF2" w:rsidP="007D25F9">
      <w:pPr>
        <w:spacing w:after="0" w:line="240" w:lineRule="auto"/>
        <w:rPr>
          <w:rFonts w:ascii="Verdana" w:eastAsia="Calibri" w:hAnsi="Verdana" w:cs="Times New Roman"/>
          <w:b/>
          <w:highlight w:val="yellow"/>
        </w:rPr>
      </w:pPr>
      <w:r w:rsidRPr="00F324F0">
        <w:rPr>
          <w:rFonts w:ascii="Verdana" w:eastAsia="Calibri" w:hAnsi="Verdana" w:cs="Times New Roman"/>
          <w:b/>
        </w:rPr>
        <w:t>Jorge Elías Perdomo Villegas</w:t>
      </w:r>
    </w:p>
    <w:p w14:paraId="2CA303A0" w14:textId="77777777" w:rsidR="00111DF2" w:rsidRPr="00F324F0" w:rsidRDefault="00111DF2" w:rsidP="007D25F9">
      <w:pPr>
        <w:spacing w:after="0" w:line="240" w:lineRule="auto"/>
        <w:rPr>
          <w:rFonts w:ascii="Verdana" w:hAnsi="Verdana"/>
        </w:rPr>
      </w:pPr>
      <w:hyperlink r:id="rId12" w:history="1">
        <w:r w:rsidRPr="00F324F0">
          <w:rPr>
            <w:rStyle w:val="Hipervnculo"/>
            <w:rFonts w:ascii="Verdana" w:hAnsi="Verdana"/>
          </w:rPr>
          <w:t>jperdomov@geb.com.co</w:t>
        </w:r>
      </w:hyperlink>
      <w:r w:rsidRPr="00F324F0">
        <w:rPr>
          <w:rFonts w:ascii="Verdana" w:hAnsi="Verdana"/>
        </w:rPr>
        <w:t xml:space="preserve"> </w:t>
      </w:r>
    </w:p>
    <w:p w14:paraId="04CEDED4" w14:textId="77777777" w:rsidR="00111DF2" w:rsidRPr="00F324F0" w:rsidRDefault="00111DF2" w:rsidP="007D25F9">
      <w:pPr>
        <w:spacing w:after="0" w:line="240" w:lineRule="auto"/>
        <w:rPr>
          <w:rFonts w:ascii="Verdana" w:eastAsia="Calibri" w:hAnsi="Verdana" w:cs="Times New Roman"/>
        </w:rPr>
      </w:pPr>
      <w:r w:rsidRPr="00F324F0">
        <w:rPr>
          <w:rFonts w:ascii="Verdana" w:eastAsia="Calibri" w:hAnsi="Verdana" w:cs="Times New Roman"/>
        </w:rPr>
        <w:t>Bogotá D.C.</w:t>
      </w:r>
    </w:p>
    <w:p w14:paraId="0F472C5B" w14:textId="77777777" w:rsidR="00111DF2" w:rsidRPr="00B57A1B" w:rsidRDefault="00111DF2" w:rsidP="00111DF2">
      <w:pPr>
        <w:spacing w:after="0" w:line="240" w:lineRule="auto"/>
        <w:rPr>
          <w:rFonts w:ascii="Verdana" w:eastAsia="Calibri" w:hAnsi="Verdana" w:cs="Times New Roman"/>
        </w:rPr>
      </w:pPr>
    </w:p>
    <w:p w14:paraId="387D6185" w14:textId="77777777" w:rsidR="00111DF2" w:rsidRPr="00B57A1B" w:rsidRDefault="00111DF2" w:rsidP="00111DF2">
      <w:pPr>
        <w:spacing w:after="0" w:line="240" w:lineRule="auto"/>
        <w:rPr>
          <w:rFonts w:ascii="Verdana" w:eastAsia="Calibri" w:hAnsi="Verdana" w:cs="Times New Roman"/>
        </w:rPr>
      </w:pPr>
    </w:p>
    <w:p w14:paraId="3D130994" w14:textId="77777777" w:rsidR="00111DF2" w:rsidRPr="00B57A1B" w:rsidRDefault="00111DF2" w:rsidP="00111DF2">
      <w:pPr>
        <w:spacing w:after="0" w:line="256" w:lineRule="auto"/>
        <w:rPr>
          <w:rFonts w:ascii="Verdana" w:eastAsia="Calibri" w:hAnsi="Verdana" w:cs="Times New Roman"/>
          <w:b/>
          <w:bCs/>
          <w:lang w:val="es-ES"/>
        </w:rPr>
      </w:pPr>
      <w:r w:rsidRPr="00B57A1B">
        <w:rPr>
          <w:rFonts w:ascii="Verdana" w:eastAsia="Calibri" w:hAnsi="Verdana" w:cs="Times New Roman"/>
          <w:b/>
          <w:bCs/>
          <w:lang w:val="es-ES"/>
        </w:rPr>
        <w:t xml:space="preserve">                   </w:t>
      </w:r>
      <w:r>
        <w:rPr>
          <w:rFonts w:ascii="Verdana" w:eastAsia="Calibri" w:hAnsi="Verdana" w:cs="Times New Roman"/>
          <w:b/>
          <w:bCs/>
          <w:lang w:val="es-ES"/>
        </w:rPr>
        <w:t xml:space="preserve">                 Concepto C–967 de 2026</w:t>
      </w:r>
    </w:p>
    <w:p w14:paraId="1E633993" w14:textId="77777777" w:rsidR="00111DF2" w:rsidRPr="00B57A1B" w:rsidRDefault="00111DF2" w:rsidP="00111DF2">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111DF2" w:rsidRPr="00B57A1B" w14:paraId="026F5245" w14:textId="77777777" w:rsidTr="00677F53">
        <w:trPr>
          <w:trHeight w:val="645"/>
        </w:trPr>
        <w:tc>
          <w:tcPr>
            <w:tcW w:w="2685" w:type="dxa"/>
            <w:hideMark/>
          </w:tcPr>
          <w:p w14:paraId="5FA488D4" w14:textId="77777777" w:rsidR="00111DF2" w:rsidRPr="00B57A1B" w:rsidRDefault="00111DF2" w:rsidP="00677F53">
            <w:pPr>
              <w:spacing w:line="256" w:lineRule="auto"/>
              <w:rPr>
                <w:rFonts w:ascii="Verdana" w:hAnsi="Verdana"/>
                <w:b/>
                <w:bCs/>
                <w:lang w:val="es-ES_tradnl"/>
              </w:rPr>
            </w:pPr>
            <w:r w:rsidRPr="00B57A1B">
              <w:rPr>
                <w:rFonts w:ascii="Verdana" w:hAnsi="Verdana"/>
                <w:b/>
                <w:bCs/>
                <w:lang w:val="es-ES_tradnl"/>
              </w:rPr>
              <w:t xml:space="preserve">Temas:                   </w:t>
            </w:r>
          </w:p>
        </w:tc>
        <w:tc>
          <w:tcPr>
            <w:tcW w:w="6241" w:type="dxa"/>
            <w:hideMark/>
          </w:tcPr>
          <w:p w14:paraId="46221158" w14:textId="77CEBB19" w:rsidR="00111DF2" w:rsidRPr="00D01973" w:rsidRDefault="00111DF2" w:rsidP="00677F53">
            <w:pPr>
              <w:spacing w:line="276" w:lineRule="auto"/>
              <w:jc w:val="both"/>
              <w:rPr>
                <w:rFonts w:ascii="Verdana" w:hAnsi="Verdana" w:cs="Arial"/>
                <w:lang w:val="es-ES" w:eastAsia="es-ES"/>
              </w:rPr>
            </w:pPr>
            <w:r w:rsidRPr="00482020">
              <w:rPr>
                <w:rFonts w:ascii="Verdana" w:hAnsi="Verdana" w:cs="Arial"/>
                <w:lang w:val="es-ES" w:eastAsia="es-ES"/>
              </w:rPr>
              <w:t>RÉGIMEN EXCEPCIONAL – Justificación – Criterios de clasificación / EMPRESAS DE SERVICIOS PÚBLICOS – Naturaleza – régimen especial / EMPRESAS DE SERVICIOS PÚBLICOS – Mixtas – Privadas con participación estatal – Entidades descentralizadas por servicios – Sentencia C-</w:t>
            </w:r>
            <w:r>
              <w:rPr>
                <w:rFonts w:ascii="Verdana" w:hAnsi="Verdana" w:cs="Arial"/>
                <w:lang w:val="es-ES" w:eastAsia="es-ES"/>
              </w:rPr>
              <w:t>736</w:t>
            </w:r>
            <w:r w:rsidRPr="00482020">
              <w:rPr>
                <w:rFonts w:ascii="Verdana" w:hAnsi="Verdana" w:cs="Arial"/>
                <w:lang w:val="es-ES" w:eastAsia="es-ES"/>
              </w:rPr>
              <w:t xml:space="preserve"> de 2007 / EMPRESAS PRIVADAS DE SERVICIOS PÚBLICOS – Capital – 100% privadas – Naturaleza </w:t>
            </w:r>
            <w:r w:rsidRPr="00AC39B6">
              <w:rPr>
                <w:rFonts w:ascii="Verdana" w:hAnsi="Verdana" w:cs="Arial"/>
                <w:lang w:val="es-ES" w:eastAsia="es-ES"/>
              </w:rPr>
              <w:t xml:space="preserve">/ </w:t>
            </w:r>
            <w:r>
              <w:rPr>
                <w:rFonts w:ascii="Verdana" w:hAnsi="Verdana" w:cs="Arial"/>
                <w:bCs/>
                <w:lang w:val="es-ES" w:eastAsia="es-ES"/>
              </w:rPr>
              <w:t xml:space="preserve">PRINCIPIO DE PUBLICIDAD – Sujetos Obligados / PRINCIPIO DE PUBLICIDAD – Documentos del Proceso / </w:t>
            </w:r>
            <w:r w:rsidRPr="007E1677">
              <w:rPr>
                <w:rFonts w:ascii="Verdana" w:hAnsi="Verdana" w:cs="Arial"/>
                <w:bCs/>
                <w:lang w:eastAsia="es-ES"/>
              </w:rPr>
              <w:t>ENTIDADES DE RÉGIMEN ESPECIAL – SECOP II- Módulo de Régimen Especial – Con oferta – Sin Oferta</w:t>
            </w:r>
            <w:r>
              <w:rPr>
                <w:rFonts w:ascii="Verdana" w:hAnsi="Verdana" w:cs="Arial"/>
                <w:bCs/>
                <w:lang w:eastAsia="es-ES"/>
              </w:rPr>
              <w:t xml:space="preserve"> / GRUPO EMPRESARIAL – Concepto – Alcance / GRUPO EMPRESARIAL – Filial – Subsidiaria / SECOP II – Filiales – Deber – Publicidad – Alcance</w:t>
            </w:r>
            <w:r>
              <w:rPr>
                <w:rFonts w:ascii="Verdana" w:hAnsi="Verdana" w:cs="Arial"/>
                <w:bCs/>
                <w:lang w:val="es-ES" w:eastAsia="es-ES"/>
              </w:rPr>
              <w:t xml:space="preserve"> </w:t>
            </w:r>
          </w:p>
          <w:p w14:paraId="24003F20" w14:textId="77777777" w:rsidR="00111DF2" w:rsidRPr="00B57A1B" w:rsidRDefault="00111DF2" w:rsidP="00677F53">
            <w:pPr>
              <w:spacing w:line="276" w:lineRule="auto"/>
              <w:jc w:val="both"/>
              <w:rPr>
                <w:rFonts w:ascii="Verdana" w:hAnsi="Verdana" w:cs="Arial"/>
                <w:lang w:val="es-ES" w:eastAsia="es-ES"/>
              </w:rPr>
            </w:pPr>
          </w:p>
        </w:tc>
        <w:tc>
          <w:tcPr>
            <w:tcW w:w="6237" w:type="dxa"/>
          </w:tcPr>
          <w:p w14:paraId="38828684" w14:textId="77777777" w:rsidR="00111DF2" w:rsidRPr="002D0E1D" w:rsidRDefault="00111DF2" w:rsidP="00677F53">
            <w:pPr>
              <w:spacing w:line="256" w:lineRule="auto"/>
              <w:rPr>
                <w:rFonts w:ascii="Verdana" w:hAnsi="Verdana"/>
                <w:lang w:val="es-ES"/>
              </w:rPr>
            </w:pPr>
          </w:p>
        </w:tc>
      </w:tr>
      <w:tr w:rsidR="00111DF2" w:rsidRPr="00B57A1B" w14:paraId="29D31309" w14:textId="77777777" w:rsidTr="00677F53">
        <w:tc>
          <w:tcPr>
            <w:tcW w:w="2685" w:type="dxa"/>
          </w:tcPr>
          <w:p w14:paraId="03B3CC27" w14:textId="77777777" w:rsidR="00111DF2" w:rsidRPr="00B57A1B" w:rsidRDefault="00111DF2" w:rsidP="00677F53">
            <w:pPr>
              <w:spacing w:line="256" w:lineRule="auto"/>
              <w:rPr>
                <w:rFonts w:ascii="Verdana" w:hAnsi="Verdana"/>
                <w:b/>
                <w:bCs/>
                <w:lang w:val="es-ES_tradnl"/>
              </w:rPr>
            </w:pPr>
            <w:r w:rsidRPr="00B57A1B">
              <w:rPr>
                <w:rFonts w:ascii="Verdana" w:hAnsi="Verdana"/>
                <w:b/>
                <w:bCs/>
                <w:lang w:val="es-ES_tradnl"/>
              </w:rPr>
              <w:t xml:space="preserve">Radicación:               </w:t>
            </w:r>
          </w:p>
        </w:tc>
        <w:tc>
          <w:tcPr>
            <w:tcW w:w="6241" w:type="dxa"/>
          </w:tcPr>
          <w:p w14:paraId="23ABB8A8" w14:textId="77777777" w:rsidR="00111DF2" w:rsidRPr="002D0E1D" w:rsidRDefault="00111DF2" w:rsidP="00677F53">
            <w:pPr>
              <w:spacing w:line="257" w:lineRule="auto"/>
              <w:jc w:val="both"/>
              <w:rPr>
                <w:rFonts w:ascii="Verdana" w:hAnsi="Verdana"/>
                <w:lang w:val="es-ES_tradnl"/>
              </w:rPr>
            </w:pPr>
            <w:r w:rsidRPr="00B57A1B">
              <w:rPr>
                <w:rFonts w:ascii="Verdana" w:hAnsi="Verdana"/>
                <w:lang w:val="es-ES_tradnl"/>
              </w:rPr>
              <w:t>Respue</w:t>
            </w:r>
            <w:r>
              <w:rPr>
                <w:rFonts w:ascii="Verdana" w:hAnsi="Verdana"/>
                <w:lang w:val="es-ES_tradnl"/>
              </w:rPr>
              <w:t xml:space="preserve">sta a consulta con radicado No. </w:t>
            </w:r>
            <w:r w:rsidRPr="00CB2204">
              <w:rPr>
                <w:rFonts w:ascii="Verdana" w:hAnsi="Verdana"/>
              </w:rPr>
              <w:t>1_2026_06_12_007999</w:t>
            </w:r>
          </w:p>
          <w:p w14:paraId="0DD7D041" w14:textId="77777777" w:rsidR="00111DF2" w:rsidRPr="00B57A1B" w:rsidRDefault="00111DF2" w:rsidP="00677F53">
            <w:pPr>
              <w:spacing w:line="257" w:lineRule="auto"/>
              <w:jc w:val="both"/>
              <w:rPr>
                <w:rFonts w:ascii="Verdana" w:hAnsi="Verdana"/>
              </w:rPr>
            </w:pPr>
          </w:p>
        </w:tc>
        <w:tc>
          <w:tcPr>
            <w:tcW w:w="6237" w:type="dxa"/>
          </w:tcPr>
          <w:p w14:paraId="2B5CFFEE" w14:textId="77777777" w:rsidR="00111DF2" w:rsidRPr="00B57A1B" w:rsidRDefault="00111DF2" w:rsidP="00677F53">
            <w:pPr>
              <w:spacing w:line="256" w:lineRule="auto"/>
              <w:rPr>
                <w:rFonts w:ascii="Verdana" w:hAnsi="Verdana"/>
                <w:lang w:val="es-ES_tradnl"/>
              </w:rPr>
            </w:pPr>
          </w:p>
        </w:tc>
      </w:tr>
    </w:tbl>
    <w:p w14:paraId="218DF9A1" w14:textId="77777777" w:rsidR="00111DF2" w:rsidRDefault="00111DF2" w:rsidP="00111DF2">
      <w:pPr>
        <w:spacing w:after="0" w:line="256" w:lineRule="auto"/>
        <w:rPr>
          <w:rFonts w:ascii="Verdana" w:eastAsia="Calibri" w:hAnsi="Verdana" w:cs="Times New Roman"/>
          <w:lang w:val="es-ES"/>
        </w:rPr>
      </w:pPr>
    </w:p>
    <w:p w14:paraId="5EAE5DE8" w14:textId="77777777" w:rsidR="00111DF2" w:rsidRPr="00B57A1B" w:rsidRDefault="00111DF2" w:rsidP="00111DF2">
      <w:pPr>
        <w:spacing w:after="0" w:line="256" w:lineRule="auto"/>
        <w:rPr>
          <w:rFonts w:ascii="Verdana" w:eastAsia="Calibri" w:hAnsi="Verdana" w:cs="Times New Roman"/>
          <w:lang w:val="es-ES"/>
        </w:rPr>
      </w:pPr>
      <w:r w:rsidRPr="00B57A1B">
        <w:rPr>
          <w:rFonts w:ascii="Verdana" w:eastAsia="Calibri" w:hAnsi="Verdana" w:cs="Times New Roman"/>
          <w:lang w:val="es-ES"/>
        </w:rPr>
        <w:t>Estimado</w:t>
      </w:r>
      <w:r>
        <w:rPr>
          <w:rFonts w:ascii="Verdana" w:eastAsia="Calibri" w:hAnsi="Verdana" w:cs="Times New Roman"/>
          <w:lang w:val="es-ES"/>
        </w:rPr>
        <w:t xml:space="preserve"> Señor Perdomo</w:t>
      </w:r>
      <w:r w:rsidRPr="00B57A1B">
        <w:rPr>
          <w:rFonts w:ascii="Verdana" w:eastAsia="Calibri" w:hAnsi="Verdana" w:cs="Times New Roman"/>
          <w:lang w:val="es-ES"/>
        </w:rPr>
        <w:t xml:space="preserve">: </w:t>
      </w:r>
    </w:p>
    <w:p w14:paraId="62556941" w14:textId="77777777" w:rsidR="00111DF2" w:rsidRPr="00B57A1B" w:rsidRDefault="00111DF2" w:rsidP="00111DF2">
      <w:pPr>
        <w:spacing w:after="0" w:line="256" w:lineRule="auto"/>
        <w:rPr>
          <w:rFonts w:ascii="Verdana" w:eastAsia="Calibri" w:hAnsi="Verdana" w:cs="Times New Roman"/>
          <w:lang w:val="es-ES"/>
        </w:rPr>
      </w:pPr>
    </w:p>
    <w:p w14:paraId="01B3CE37" w14:textId="77777777" w:rsidR="00111DF2" w:rsidRDefault="00111DF2" w:rsidP="00111DF2">
      <w:pPr>
        <w:spacing w:after="0" w:line="276" w:lineRule="auto"/>
        <w:jc w:val="both"/>
        <w:rPr>
          <w:rFonts w:ascii="Verdana" w:eastAsia="Calibri" w:hAnsi="Verdana" w:cs="Times New Roman"/>
          <w:bCs/>
          <w:lang w:val="es-ES" w:bidi="es-ES"/>
        </w:rPr>
      </w:pPr>
      <w:r w:rsidRPr="00B57A1B">
        <w:rPr>
          <w:rFonts w:ascii="Verdana" w:eastAsia="Calibri" w:hAnsi="Verdana" w:cs="Times New Roman"/>
          <w:bCs/>
          <w:lang w:val="es-ES" w:bidi="es-ES"/>
        </w:rPr>
        <w:t xml:space="preserve">En ejercicio de la competencia otorgada por los artículos 3, numeral 5º, y 11, numeral 8º, del Decreto Ley 4170 de 2011, </w:t>
      </w:r>
      <w:r w:rsidRPr="00B57A1B">
        <w:rPr>
          <w:rFonts w:ascii="Verdana" w:eastAsia="Calibri" w:hAnsi="Verdana" w:cs="Times New Roman"/>
          <w:bCs/>
        </w:rPr>
        <w:t xml:space="preserve">así como lo establecido por la Resolución 469 de 2025 expedida por esta Entidad, </w:t>
      </w:r>
      <w:r w:rsidRPr="00B57A1B">
        <w:rPr>
          <w:rFonts w:ascii="Verdana" w:eastAsia="Calibri" w:hAnsi="Verdana" w:cs="Times New Roman"/>
          <w:bCs/>
          <w:lang w:val="es-ES" w:bidi="es-ES"/>
        </w:rPr>
        <w:t>la Agencia Nacional de Contratación Pública – Colombia Compra Eficien</w:t>
      </w:r>
      <w:r>
        <w:rPr>
          <w:rFonts w:ascii="Verdana" w:eastAsia="Calibri" w:hAnsi="Verdana" w:cs="Times New Roman"/>
          <w:bCs/>
          <w:lang w:val="es-ES" w:bidi="es-ES"/>
        </w:rPr>
        <w:t>te– responde la solicitud consulta del 12 de junio de 2026, en la cual manifiesta</w:t>
      </w:r>
      <w:r w:rsidRPr="00B57A1B">
        <w:rPr>
          <w:rFonts w:ascii="Verdana" w:eastAsia="Calibri" w:hAnsi="Verdana" w:cs="Times New Roman"/>
          <w:bCs/>
          <w:lang w:val="es-ES" w:bidi="es-ES"/>
        </w:rPr>
        <w:t xml:space="preserve">: </w:t>
      </w:r>
    </w:p>
    <w:p w14:paraId="69FAC129" w14:textId="77777777" w:rsidR="00111DF2" w:rsidRPr="00586328" w:rsidRDefault="00111DF2" w:rsidP="00111DF2">
      <w:pPr>
        <w:spacing w:after="0" w:line="240" w:lineRule="auto"/>
        <w:jc w:val="both"/>
        <w:rPr>
          <w:rFonts w:ascii="Verdana" w:eastAsia="Calibri" w:hAnsi="Verdana" w:cs="Times New Roman"/>
          <w:bCs/>
          <w:lang w:bidi="es-ES"/>
        </w:rPr>
      </w:pPr>
    </w:p>
    <w:p w14:paraId="53D1300A" w14:textId="77777777" w:rsidR="00111DF2" w:rsidRPr="00560ECB" w:rsidRDefault="00111DF2" w:rsidP="00111DF2">
      <w:pPr>
        <w:spacing w:after="0" w:line="240" w:lineRule="auto"/>
        <w:ind w:left="709" w:right="709"/>
        <w:jc w:val="both"/>
        <w:rPr>
          <w:rFonts w:ascii="Verdana" w:eastAsia="Calibri" w:hAnsi="Verdana" w:cs="Times New Roman"/>
          <w:bCs/>
          <w:sz w:val="21"/>
          <w:szCs w:val="21"/>
          <w:lang w:bidi="es-ES"/>
        </w:rPr>
      </w:pPr>
      <w:r>
        <w:rPr>
          <w:rFonts w:ascii="Verdana" w:eastAsia="Calibri" w:hAnsi="Verdana" w:cs="Times New Roman"/>
          <w:bCs/>
          <w:sz w:val="21"/>
          <w:szCs w:val="21"/>
          <w:lang w:bidi="es-ES"/>
        </w:rPr>
        <w:lastRenderedPageBreak/>
        <w:t>“</w:t>
      </w:r>
      <w:r w:rsidRPr="00CB2204">
        <w:rPr>
          <w:rFonts w:ascii="Verdana" w:eastAsia="Calibri" w:hAnsi="Verdana" w:cs="Times New Roman"/>
          <w:bCs/>
          <w:sz w:val="21"/>
          <w:szCs w:val="21"/>
          <w:lang w:bidi="es-ES"/>
        </w:rPr>
        <w:t>¿En atención a la naturaleza del GEB, como matriz de un grupo empresarial, así como al modelo de gestión contractual centralizada a través del Centro de Sinergias Corporativas – CSC, resulta jurídicamente viable que el Grupo Energía Bogotá S.A. .E.S.P., mediante su usuario y clave en SECOP II, publique de manera centralizada los procesos de contratación adelantados para sus filiales nacionales, especialmente cuando se trate de procesos conjuntos, en los que concurran varias empresas del grupo empresarial, sin que sea necesario que cada filial efectúe una publicación individual e independiente del respectivo proceso contractual?</w:t>
      </w:r>
      <w:r>
        <w:rPr>
          <w:rFonts w:ascii="Verdana" w:eastAsia="Calibri" w:hAnsi="Verdana" w:cs="Times New Roman"/>
          <w:bCs/>
          <w:sz w:val="21"/>
          <w:szCs w:val="21"/>
          <w:lang w:bidi="es-ES"/>
        </w:rPr>
        <w:t>”</w:t>
      </w:r>
    </w:p>
    <w:p w14:paraId="1B2CE0ED" w14:textId="77777777" w:rsidR="00111DF2" w:rsidRPr="00812F2C" w:rsidRDefault="00111DF2" w:rsidP="00111DF2">
      <w:pPr>
        <w:spacing w:after="0" w:line="240" w:lineRule="auto"/>
        <w:ind w:left="709" w:right="709"/>
        <w:jc w:val="both"/>
        <w:rPr>
          <w:rFonts w:ascii="Verdana" w:eastAsia="Calibri" w:hAnsi="Verdana" w:cs="Times New Roman"/>
          <w:bCs/>
          <w:sz w:val="21"/>
          <w:szCs w:val="21"/>
          <w:lang w:bidi="es-ES"/>
        </w:rPr>
      </w:pPr>
    </w:p>
    <w:p w14:paraId="23BDB027" w14:textId="77777777" w:rsidR="00111DF2" w:rsidRPr="00B57A1B" w:rsidRDefault="00111DF2" w:rsidP="00111DF2">
      <w:pPr>
        <w:spacing w:after="120" w:line="276" w:lineRule="auto"/>
        <w:ind w:firstLine="709"/>
        <w:jc w:val="both"/>
        <w:rPr>
          <w:rFonts w:ascii="Verdana" w:eastAsia="Calibri" w:hAnsi="Verdana" w:cs="Times New Roman"/>
          <w:lang w:val="es-ES"/>
        </w:rPr>
      </w:pPr>
      <w:r w:rsidRPr="00B57A1B">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3F1B89A8" w14:textId="77777777" w:rsidR="00111DF2" w:rsidRPr="00B57A1B" w:rsidRDefault="00111DF2" w:rsidP="00111DF2">
      <w:pPr>
        <w:spacing w:after="120" w:line="276" w:lineRule="auto"/>
        <w:ind w:firstLine="708"/>
        <w:jc w:val="both"/>
        <w:rPr>
          <w:rFonts w:ascii="Verdana" w:eastAsia="Calibri" w:hAnsi="Verdana" w:cs="Times New Roman"/>
          <w:lang w:val="es-ES"/>
        </w:rPr>
      </w:pPr>
      <w:r w:rsidRPr="00B57A1B">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w:t>
      </w:r>
      <w:r>
        <w:rPr>
          <w:rFonts w:ascii="Verdana" w:eastAsia="Calibri" w:hAnsi="Verdana" w:cs="Times New Roman"/>
          <w:lang w:val="es-ES"/>
        </w:rPr>
        <w:t xml:space="preserve"> el problema jurídico de su consulta. </w:t>
      </w:r>
    </w:p>
    <w:p w14:paraId="1E7CC26F" w14:textId="77777777" w:rsidR="00111DF2" w:rsidRPr="00B57A1B" w:rsidRDefault="00111DF2" w:rsidP="00111DF2">
      <w:pPr>
        <w:spacing w:after="0" w:line="256" w:lineRule="auto"/>
        <w:rPr>
          <w:rFonts w:ascii="Verdana" w:eastAsia="Calibri" w:hAnsi="Verdana" w:cs="Times New Roman"/>
          <w:lang w:val="es-ES"/>
        </w:rPr>
      </w:pPr>
    </w:p>
    <w:p w14:paraId="333BCBFB" w14:textId="77777777" w:rsidR="00111DF2" w:rsidRPr="00B57A1B" w:rsidRDefault="00111DF2" w:rsidP="00111DF2">
      <w:pPr>
        <w:numPr>
          <w:ilvl w:val="0"/>
          <w:numId w:val="16"/>
        </w:numPr>
        <w:spacing w:after="0" w:line="256" w:lineRule="auto"/>
        <w:contextualSpacing/>
        <w:rPr>
          <w:rFonts w:ascii="Verdana" w:eastAsia="Calibri" w:hAnsi="Verdana" w:cs="Times New Roman"/>
          <w:b/>
          <w:bCs/>
          <w:lang w:val="es-ES"/>
        </w:rPr>
      </w:pPr>
      <w:r w:rsidRPr="00B57A1B">
        <w:rPr>
          <w:rFonts w:ascii="Verdana" w:eastAsia="Calibri" w:hAnsi="Verdana" w:cs="Times New Roman"/>
          <w:b/>
          <w:bCs/>
          <w:lang w:val="es-ES"/>
        </w:rPr>
        <w:t>Problema planteado:</w:t>
      </w:r>
    </w:p>
    <w:p w14:paraId="180D23BE" w14:textId="77777777" w:rsidR="00111DF2" w:rsidRPr="00B57A1B" w:rsidRDefault="00111DF2" w:rsidP="00111DF2">
      <w:pPr>
        <w:spacing w:after="0" w:line="256" w:lineRule="auto"/>
        <w:rPr>
          <w:rFonts w:ascii="Verdana" w:eastAsia="Calibri" w:hAnsi="Verdana" w:cs="Times New Roman"/>
        </w:rPr>
      </w:pPr>
    </w:p>
    <w:p w14:paraId="4B20F568" w14:textId="77777777" w:rsidR="00111DF2" w:rsidRDefault="00111DF2" w:rsidP="00111DF2">
      <w:pPr>
        <w:spacing w:after="0" w:line="276" w:lineRule="auto"/>
        <w:jc w:val="both"/>
        <w:rPr>
          <w:rFonts w:ascii="Verdana" w:eastAsia="Calibri" w:hAnsi="Verdana" w:cs="Times New Roman"/>
          <w:iCs/>
          <w:lang w:val="es-ES"/>
        </w:rPr>
      </w:pPr>
      <w:r w:rsidRPr="00B57A1B">
        <w:rPr>
          <w:rFonts w:ascii="Verdana" w:eastAsia="Calibri" w:hAnsi="Verdana" w:cs="Times New Roman"/>
        </w:rPr>
        <w:t xml:space="preserve">De acuerdo </w:t>
      </w:r>
      <w:r>
        <w:rPr>
          <w:rFonts w:ascii="Verdana" w:eastAsia="Calibri" w:hAnsi="Verdana" w:cs="Times New Roman"/>
        </w:rPr>
        <w:t>con el contenido de sus solicitudes</w:t>
      </w:r>
      <w:r w:rsidRPr="00B57A1B">
        <w:rPr>
          <w:rFonts w:ascii="Verdana" w:eastAsia="Calibri" w:hAnsi="Verdana" w:cs="Times New Roman"/>
        </w:rPr>
        <w:t>, es</w:t>
      </w:r>
      <w:r>
        <w:rPr>
          <w:rFonts w:ascii="Verdana" w:eastAsia="Calibri" w:hAnsi="Verdana" w:cs="Times New Roman"/>
        </w:rPr>
        <w:t xml:space="preserve">ta Agencia procede a resolver el siguiente problema jurídico: </w:t>
      </w:r>
      <w:r w:rsidRPr="00921B3E">
        <w:rPr>
          <w:rFonts w:ascii="Verdana" w:eastAsia="Calibri" w:hAnsi="Verdana" w:cs="Times New Roman"/>
        </w:rPr>
        <w:t>¿Resulta</w:t>
      </w:r>
      <w:r>
        <w:rPr>
          <w:rFonts w:ascii="Verdana" w:eastAsia="Calibri" w:hAnsi="Verdana" w:cs="Times New Roman"/>
        </w:rPr>
        <w:t xml:space="preserve"> procedente</w:t>
      </w:r>
      <w:r w:rsidRPr="00921B3E">
        <w:rPr>
          <w:rFonts w:ascii="Verdana" w:eastAsia="Calibri" w:hAnsi="Verdana" w:cs="Times New Roman"/>
        </w:rPr>
        <w:t xml:space="preserve"> a la luz del principio de publicidad y las normas de transparencia del SECOP II, que una Empresa de Servicios Públicos Domiciliarios (E.S.P.) que actúa como matriz de un grupo </w:t>
      </w:r>
      <w:r w:rsidRPr="00921B3E">
        <w:rPr>
          <w:rFonts w:ascii="Verdana" w:eastAsia="Calibri" w:hAnsi="Verdana" w:cs="Times New Roman"/>
        </w:rPr>
        <w:lastRenderedPageBreak/>
        <w:t>empresarial, centralice y publique de manera exclusiva a través de su propio usuario corporativo los procesos de contratación conjuntos de sus filiales nacionales, eximiendo a estas últimas de realizar una publicación individual, autónoma e independiente en la plataforma?</w:t>
      </w:r>
    </w:p>
    <w:p w14:paraId="4A737843" w14:textId="77777777" w:rsidR="00111DF2" w:rsidRPr="00B57A1B" w:rsidRDefault="00111DF2" w:rsidP="00111DF2">
      <w:pPr>
        <w:spacing w:after="0" w:line="276" w:lineRule="auto"/>
        <w:jc w:val="both"/>
        <w:rPr>
          <w:rFonts w:ascii="Verdana" w:eastAsia="Calibri" w:hAnsi="Verdana" w:cs="Times New Roman"/>
          <w:i/>
          <w:iCs/>
          <w:lang w:val="es-ES"/>
        </w:rPr>
      </w:pPr>
    </w:p>
    <w:p w14:paraId="4AD9883E" w14:textId="77777777" w:rsidR="00111DF2" w:rsidRPr="00B57A1B" w:rsidRDefault="00111DF2" w:rsidP="00111DF2">
      <w:pPr>
        <w:numPr>
          <w:ilvl w:val="0"/>
          <w:numId w:val="16"/>
        </w:numPr>
        <w:spacing w:after="0" w:line="256" w:lineRule="auto"/>
        <w:contextualSpacing/>
        <w:rPr>
          <w:rFonts w:ascii="Verdana" w:eastAsia="Calibri" w:hAnsi="Verdana" w:cs="Times New Roman"/>
          <w:b/>
          <w:bCs/>
          <w:lang w:val="es-ES"/>
        </w:rPr>
      </w:pPr>
      <w:r w:rsidRPr="00B57A1B">
        <w:rPr>
          <w:rFonts w:ascii="Verdana" w:eastAsia="Calibri" w:hAnsi="Verdana" w:cs="Times New Roman"/>
          <w:b/>
          <w:bCs/>
          <w:lang w:val="es-ES"/>
        </w:rPr>
        <w:t>Respuesta:</w:t>
      </w:r>
    </w:p>
    <w:p w14:paraId="164C8D90" w14:textId="77777777" w:rsidR="00111DF2" w:rsidRPr="00B57A1B" w:rsidRDefault="00111DF2" w:rsidP="00111DF2">
      <w:pPr>
        <w:spacing w:after="0" w:line="276" w:lineRule="auto"/>
        <w:rPr>
          <w:rFonts w:ascii="Verdana" w:eastAsia="Calibri" w:hAnsi="Verdana" w:cs="Times New Roman"/>
          <w:b/>
          <w:bCs/>
          <w:lang w:val="es-ES"/>
        </w:rPr>
      </w:pPr>
    </w:p>
    <w:tbl>
      <w:tblPr>
        <w:tblStyle w:val="Tablaconcuadrcula"/>
        <w:tblW w:w="87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111DF2" w:rsidRPr="00B57A1B" w14:paraId="44F54FF3" w14:textId="77777777" w:rsidTr="00677F53">
        <w:trPr>
          <w:trHeight w:val="345"/>
        </w:trPr>
        <w:tc>
          <w:tcPr>
            <w:tcW w:w="8784" w:type="dxa"/>
            <w:tcBorders>
              <w:bottom w:val="single" w:sz="4" w:space="0" w:color="auto"/>
            </w:tcBorders>
          </w:tcPr>
          <w:p w14:paraId="11DF9B64" w14:textId="77777777" w:rsidR="00111DF2" w:rsidRPr="00026551" w:rsidRDefault="00111DF2" w:rsidP="00677F53">
            <w:pPr>
              <w:spacing w:after="120" w:line="276" w:lineRule="auto"/>
              <w:jc w:val="both"/>
              <w:rPr>
                <w:rFonts w:ascii="Verdana" w:hAnsi="Verdana" w:cs="Arial"/>
                <w:lang w:eastAsia="es-ES"/>
              </w:rPr>
            </w:pPr>
            <w:r>
              <w:rPr>
                <w:rFonts w:ascii="Verdana" w:hAnsi="Verdana" w:cs="Arial"/>
                <w:lang w:val="es-ES" w:eastAsia="es-ES"/>
              </w:rPr>
              <w:t xml:space="preserve">En relación con el problema jurídico de su consulta, se precisa lo siguiente: </w:t>
            </w:r>
            <w:r>
              <w:rPr>
                <w:rFonts w:ascii="Verdana" w:hAnsi="Verdana" w:cs="Arial"/>
                <w:lang w:eastAsia="es-ES"/>
              </w:rPr>
              <w:t>e</w:t>
            </w:r>
            <w:r w:rsidRPr="00026551">
              <w:rPr>
                <w:rFonts w:ascii="Verdana" w:hAnsi="Verdana" w:cs="Arial"/>
                <w:lang w:eastAsia="es-ES"/>
              </w:rPr>
              <w:t xml:space="preserve">n primer lugar, aunque las filiales de un grupo empresarial </w:t>
            </w:r>
            <w:r>
              <w:rPr>
                <w:rFonts w:ascii="Verdana" w:hAnsi="Verdana" w:cs="Arial"/>
                <w:lang w:eastAsia="es-ES"/>
              </w:rPr>
              <w:t xml:space="preserve">están sometidas </w:t>
            </w:r>
            <w:r w:rsidRPr="00026551">
              <w:rPr>
                <w:rFonts w:ascii="Verdana" w:hAnsi="Verdana" w:cs="Arial"/>
                <w:lang w:eastAsia="es-ES"/>
              </w:rPr>
              <w:t>de manera directa al poder de decisión de la sociedad matriz, dicha subordinación no elimina ni restringe las obligaciones propias que cada una de ellas debe cumplir en el sistema de compras públicas. Cuando una filial</w:t>
            </w:r>
            <w:r>
              <w:rPr>
                <w:rFonts w:ascii="Verdana" w:hAnsi="Verdana" w:cs="Arial"/>
                <w:lang w:eastAsia="es-ES"/>
              </w:rPr>
              <w:t xml:space="preserve"> de servicios públicos domiciliarios</w:t>
            </w:r>
            <w:r w:rsidRPr="00026551">
              <w:rPr>
                <w:rFonts w:ascii="Verdana" w:hAnsi="Verdana" w:cs="Arial"/>
                <w:lang w:eastAsia="es-ES"/>
              </w:rPr>
              <w:t xml:space="preserve"> ostenta la condición de entidad </w:t>
            </w:r>
            <w:r>
              <w:rPr>
                <w:rFonts w:ascii="Verdana" w:hAnsi="Verdana" w:cs="Arial"/>
                <w:lang w:eastAsia="es-ES"/>
              </w:rPr>
              <w:t>descentralizada</w:t>
            </w:r>
            <w:r w:rsidRPr="00026551">
              <w:rPr>
                <w:rFonts w:ascii="Verdana" w:hAnsi="Verdana" w:cs="Arial"/>
                <w:lang w:eastAsia="es-ES"/>
              </w:rPr>
              <w:t>, conforme a los criterios fijados por la Sentencia C</w:t>
            </w:r>
            <w:r w:rsidRPr="00026551">
              <w:rPr>
                <w:rFonts w:ascii="Verdana" w:hAnsi="Verdana" w:cs="Arial"/>
                <w:lang w:eastAsia="es-ES"/>
              </w:rPr>
              <w:noBreakHyphen/>
              <w:t>736 de 2007, está sujeta de manera individual a los deberes de publicidad, transparencia y divulgación de su actividad contractual en el SECOP II. La subordinación societaria no desdibuja la autonomía jurídica ni la responsabilidad pública que corresponde a cada entidad estatal en la gestión y publicación de sus actuaciones contractuales.</w:t>
            </w:r>
          </w:p>
          <w:p w14:paraId="4A590925" w14:textId="77777777" w:rsidR="00111DF2" w:rsidRPr="00026551" w:rsidRDefault="00111DF2" w:rsidP="00677F53">
            <w:pPr>
              <w:spacing w:after="120" w:line="276" w:lineRule="auto"/>
              <w:ind w:firstLine="709"/>
              <w:jc w:val="both"/>
              <w:rPr>
                <w:rFonts w:ascii="Verdana" w:hAnsi="Verdana" w:cs="Arial"/>
                <w:lang w:eastAsia="es-ES"/>
              </w:rPr>
            </w:pPr>
            <w:r w:rsidRPr="00026551">
              <w:rPr>
                <w:rFonts w:ascii="Verdana" w:hAnsi="Verdana" w:cs="Arial"/>
                <w:lang w:eastAsia="es-ES"/>
              </w:rPr>
              <w:t>En segundo lugar, la viabilidad jurídica de centralizar las publicaciones contractuales en el usuario corporativo de la matriz exige delimitar el alcance del principio de publicidad y del deber de transparencia aplicables a las Empresas de Servicios Públicos Domiciliarios (E.S.P.). De acuerdo con la Ley la Ley 1150 de 2007</w:t>
            </w:r>
            <w:r>
              <w:rPr>
                <w:rFonts w:ascii="Verdana" w:hAnsi="Verdana" w:cs="Arial"/>
                <w:lang w:eastAsia="es-ES"/>
              </w:rPr>
              <w:t xml:space="preserve"> y la Ley 1712 de 2014</w:t>
            </w:r>
            <w:r w:rsidRPr="00026551">
              <w:rPr>
                <w:rFonts w:ascii="Verdana" w:hAnsi="Verdana" w:cs="Arial"/>
                <w:lang w:eastAsia="es-ES"/>
              </w:rPr>
              <w:t>, estas entidades —aunque sujetas al derecho privado— deben garantizar la máxima difusión de su actividad contractual. El SECOP II constituye el canal oficial para materializar dicho mandato, permitiendo la vigilancia efectiva de la ciudadanía y de los organismos de control sobre la ejecución presupuestal y la selección de contratistas.</w:t>
            </w:r>
          </w:p>
          <w:p w14:paraId="54C0A4A9" w14:textId="77777777" w:rsidR="00111DF2" w:rsidRPr="00026551" w:rsidRDefault="00111DF2" w:rsidP="00677F53">
            <w:pPr>
              <w:spacing w:after="120" w:line="276" w:lineRule="auto"/>
              <w:ind w:firstLine="709"/>
              <w:jc w:val="both"/>
              <w:rPr>
                <w:rFonts w:ascii="Verdana" w:hAnsi="Verdana" w:cs="Arial"/>
                <w:lang w:eastAsia="es-ES"/>
              </w:rPr>
            </w:pPr>
            <w:r w:rsidRPr="00026551">
              <w:rPr>
                <w:rFonts w:ascii="Verdana" w:hAnsi="Verdana" w:cs="Arial"/>
                <w:lang w:eastAsia="es-ES"/>
              </w:rPr>
              <w:t xml:space="preserve">En tercer lugar, la personería jurídica independiente de cada filial implica que, incluso en procesos contractuales adelantados de manera conjunta, la trazabilidad debe asociarse formalmente a cada entidad participante. El SECOP II dispone dos módulos para entidades de régimen especial —con ofertas y sin ofertas— cuya utilización corresponde definir autónomamente a cada entidad, según la naturaleza del proceso y los </w:t>
            </w:r>
            <w:r w:rsidRPr="00026551">
              <w:rPr>
                <w:rFonts w:ascii="Verdana" w:hAnsi="Verdana" w:cs="Arial"/>
                <w:lang w:eastAsia="es-ES"/>
              </w:rPr>
              <w:lastRenderedPageBreak/>
              <w:t xml:space="preserve">principios de transparencia y eficiencia, conforme a la Circular Externa 002 de 2024. En los procesos con ofertas, las actuaciones deben impactar directamente los </w:t>
            </w:r>
            <w:r>
              <w:rPr>
                <w:rFonts w:ascii="Verdana" w:hAnsi="Verdana" w:cs="Arial"/>
                <w:lang w:eastAsia="es-ES"/>
              </w:rPr>
              <w:t xml:space="preserve">usuarios corporativos </w:t>
            </w:r>
            <w:r w:rsidRPr="00026551">
              <w:rPr>
                <w:rFonts w:ascii="Verdana" w:hAnsi="Verdana" w:cs="Arial"/>
                <w:lang w:eastAsia="es-ES"/>
              </w:rPr>
              <w:t>de las entidades que asumirán obligaciones contractuales; de lo contrario, se ocultaría la actividad contractual real de las filiales. En los procesos sin ofertas, la publicación debe realizarse dentro de los tres días siguientes a la expedición de los documentos</w:t>
            </w:r>
            <w:r>
              <w:rPr>
                <w:rFonts w:ascii="Verdana" w:hAnsi="Verdana" w:cs="Arial"/>
                <w:lang w:eastAsia="es-ES"/>
              </w:rPr>
              <w:t xml:space="preserve"> por parte de la entidad pública contratante, teniendo en cuenta las reglas previstas</w:t>
            </w:r>
            <w:r w:rsidRPr="00026551">
              <w:rPr>
                <w:rFonts w:ascii="Verdana" w:hAnsi="Verdana" w:cs="Arial"/>
                <w:lang w:eastAsia="es-ES"/>
              </w:rPr>
              <w:t xml:space="preserve"> en los Decretos 1081 y 1082 de 2015.</w:t>
            </w:r>
          </w:p>
          <w:p w14:paraId="7D79C786" w14:textId="77777777" w:rsidR="00111DF2" w:rsidRPr="00026551" w:rsidRDefault="00111DF2" w:rsidP="00677F53">
            <w:pPr>
              <w:spacing w:after="120" w:line="276" w:lineRule="auto"/>
              <w:ind w:firstLine="709"/>
              <w:jc w:val="both"/>
              <w:rPr>
                <w:rFonts w:ascii="Verdana" w:hAnsi="Verdana" w:cs="Arial"/>
                <w:lang w:eastAsia="es-ES"/>
              </w:rPr>
            </w:pPr>
            <w:r>
              <w:rPr>
                <w:rFonts w:ascii="Verdana" w:hAnsi="Verdana" w:cs="Arial"/>
                <w:lang w:eastAsia="es-ES"/>
              </w:rPr>
              <w:t>Por último</w:t>
            </w:r>
            <w:r w:rsidRPr="00026551">
              <w:rPr>
                <w:rFonts w:ascii="Verdana" w:hAnsi="Verdana" w:cs="Arial"/>
                <w:lang w:eastAsia="es-ES"/>
              </w:rPr>
              <w:t xml:space="preserve">, delegar de manera exclusiva la publicación en el usuario corporativo de la matriz, omitiendo el registro individual de las filiales, genera riesgos de asimetría informativa, pérdida de trazabilidad y afectación de los mecanismos de control automatizado que operan sobre cada cuenta institucional. Por ello, aunque </w:t>
            </w:r>
            <w:r>
              <w:rPr>
                <w:rFonts w:ascii="Verdana" w:hAnsi="Verdana" w:cs="Arial"/>
                <w:lang w:eastAsia="es-ES"/>
              </w:rPr>
              <w:t xml:space="preserve">se pretenda garantizar la eficiencia, mediante un centro de la </w:t>
            </w:r>
            <w:r w:rsidRPr="00026551">
              <w:rPr>
                <w:rFonts w:ascii="Verdana" w:hAnsi="Verdana" w:cs="Arial"/>
                <w:lang w:eastAsia="es-ES"/>
              </w:rPr>
              <w:t xml:space="preserve">matriz </w:t>
            </w:r>
            <w:r>
              <w:rPr>
                <w:rFonts w:ascii="Verdana" w:hAnsi="Verdana" w:cs="Arial"/>
                <w:lang w:eastAsia="es-ES"/>
              </w:rPr>
              <w:t>que se enfoque en</w:t>
            </w:r>
            <w:r w:rsidRPr="00026551">
              <w:rPr>
                <w:rFonts w:ascii="Verdana" w:hAnsi="Verdana" w:cs="Arial"/>
                <w:lang w:eastAsia="es-ES"/>
              </w:rPr>
              <w:t xml:space="preserve"> la estructuración técnica y el liderazgo operativo de las contrataciones conjuntas, cada filial nacional debe registrar, publicar o vincular formalmente su participación en el SECOP II</w:t>
            </w:r>
            <w:r>
              <w:rPr>
                <w:rFonts w:ascii="Verdana" w:hAnsi="Verdana" w:cs="Arial"/>
                <w:lang w:eastAsia="es-ES"/>
              </w:rPr>
              <w:t>, en lo que le compete</w:t>
            </w:r>
            <w:r w:rsidRPr="00026551">
              <w:rPr>
                <w:rFonts w:ascii="Verdana" w:hAnsi="Verdana" w:cs="Arial"/>
                <w:lang w:eastAsia="es-ES"/>
              </w:rPr>
              <w:t>. Solo así se garantiza la correspondencia obligatoria entre la personería jurídica que contrata y la visibilidad pública de su gestión contractual</w:t>
            </w:r>
            <w:r>
              <w:rPr>
                <w:rFonts w:ascii="Verdana" w:hAnsi="Verdana" w:cs="Arial"/>
                <w:lang w:eastAsia="es-ES"/>
              </w:rPr>
              <w:t xml:space="preserve">, para efectos de publicidad y de control. </w:t>
            </w:r>
          </w:p>
          <w:p w14:paraId="43E8619B" w14:textId="77777777" w:rsidR="00111DF2" w:rsidRPr="009755F6" w:rsidRDefault="00111DF2" w:rsidP="00677F53">
            <w:pPr>
              <w:spacing w:line="276" w:lineRule="auto"/>
              <w:ind w:firstLine="709"/>
              <w:jc w:val="both"/>
              <w:rPr>
                <w:rFonts w:ascii="Verdana" w:hAnsi="Verdana" w:cs="Arial"/>
                <w:lang w:val="es-ES" w:eastAsia="es-ES"/>
              </w:rPr>
            </w:pPr>
            <w:r w:rsidRPr="00B17041">
              <w:rPr>
                <w:rFonts w:ascii="Verdana" w:hAnsi="Verdana" w:cs="Arial"/>
                <w:lang w:val="es-ES" w:eastAsia="es-ES"/>
              </w:rPr>
              <w:t xml:space="preserve">Dentro de este marco, la entidad </w:t>
            </w:r>
            <w:r w:rsidRPr="00485C44">
              <w:rPr>
                <w:rFonts w:ascii="Verdana" w:hAnsi="Verdana" w:cs="Arial"/>
                <w:lang w:val="es-ES" w:eastAsia="es-ES"/>
              </w:rPr>
              <w:t>pública y la empresa de servicios públicos</w:t>
            </w:r>
            <w:r>
              <w:rPr>
                <w:rFonts w:ascii="Verdana" w:hAnsi="Verdana" w:cs="Arial"/>
                <w:lang w:val="es-ES" w:eastAsia="es-ES"/>
              </w:rPr>
              <w:t xml:space="preserve"> definirán</w:t>
            </w:r>
            <w:r w:rsidRPr="00B17041">
              <w:rPr>
                <w:rFonts w:ascii="Verdana" w:hAnsi="Verdana" w:cs="Arial"/>
                <w:lang w:val="es-ES" w:eastAsia="es-ES"/>
              </w:rPr>
              <w:t xml:space="preserve">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1208F28D" w14:textId="77777777" w:rsidR="00111DF2" w:rsidRPr="00B57A1B" w:rsidRDefault="00111DF2" w:rsidP="00111DF2">
      <w:pPr>
        <w:spacing w:after="0" w:line="276" w:lineRule="auto"/>
        <w:jc w:val="both"/>
        <w:rPr>
          <w:rFonts w:ascii="Verdana" w:eastAsia="Calibri" w:hAnsi="Verdana" w:cs="Arial"/>
          <w:bCs/>
          <w:color w:val="000000" w:themeColor="text1"/>
        </w:rPr>
      </w:pPr>
    </w:p>
    <w:p w14:paraId="7C4DB375" w14:textId="77777777" w:rsidR="00111DF2" w:rsidRPr="00B57A1B" w:rsidRDefault="00111DF2" w:rsidP="00111DF2">
      <w:pPr>
        <w:numPr>
          <w:ilvl w:val="0"/>
          <w:numId w:val="16"/>
        </w:numPr>
        <w:tabs>
          <w:tab w:val="left" w:pos="2268"/>
        </w:tabs>
        <w:spacing w:after="0" w:line="256" w:lineRule="auto"/>
        <w:rPr>
          <w:rFonts w:ascii="Verdana" w:eastAsia="Calibri" w:hAnsi="Verdana" w:cs="Times New Roman"/>
          <w:b/>
          <w:bCs/>
          <w:lang w:val="es-ES"/>
        </w:rPr>
      </w:pPr>
      <w:r w:rsidRPr="00B57A1B">
        <w:rPr>
          <w:rFonts w:ascii="Verdana" w:eastAsia="Calibri" w:hAnsi="Verdana" w:cs="Times New Roman"/>
          <w:b/>
          <w:bCs/>
          <w:lang w:val="es-ES"/>
        </w:rPr>
        <w:t>Razones de la respuesta:</w:t>
      </w:r>
    </w:p>
    <w:p w14:paraId="4BEA7E19" w14:textId="77777777" w:rsidR="00111DF2" w:rsidRPr="00B57A1B" w:rsidRDefault="00111DF2" w:rsidP="00111DF2">
      <w:pPr>
        <w:spacing w:after="0" w:line="256" w:lineRule="auto"/>
        <w:rPr>
          <w:rFonts w:ascii="Verdana" w:eastAsia="Calibri" w:hAnsi="Verdana" w:cs="Times New Roman"/>
          <w:b/>
          <w:bCs/>
          <w:lang w:val="es-ES"/>
        </w:rPr>
      </w:pPr>
    </w:p>
    <w:p w14:paraId="7DF462D0" w14:textId="77777777" w:rsidR="00111DF2" w:rsidRPr="00B57A1B" w:rsidRDefault="00111DF2" w:rsidP="00111DF2">
      <w:pPr>
        <w:spacing w:after="0" w:line="276"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237FCEAF" w14:textId="77777777" w:rsidR="00111DF2" w:rsidRDefault="00111DF2" w:rsidP="00111DF2">
      <w:pPr>
        <w:spacing w:after="0" w:line="276" w:lineRule="auto"/>
        <w:jc w:val="both"/>
        <w:rPr>
          <w:rFonts w:ascii="Verdana" w:hAnsi="Verdana" w:cs="Arial"/>
          <w:bCs/>
          <w:lang w:val="es-MX"/>
        </w:rPr>
      </w:pPr>
      <w:bookmarkStart w:id="1" w:name="_Hlk78820161"/>
    </w:p>
    <w:p w14:paraId="7928D2A2" w14:textId="77777777" w:rsidR="00111DF2" w:rsidRPr="00E0284C" w:rsidRDefault="00111DF2" w:rsidP="00111DF2">
      <w:pPr>
        <w:spacing w:after="0" w:line="276" w:lineRule="auto"/>
        <w:jc w:val="both"/>
        <w:rPr>
          <w:rFonts w:ascii="Verdana" w:hAnsi="Verdana" w:cs="Arial"/>
        </w:rPr>
      </w:pPr>
      <w:r>
        <w:rPr>
          <w:rFonts w:ascii="Verdana" w:hAnsi="Verdana" w:cs="Arial"/>
          <w:bCs/>
          <w:lang w:val="es-MX"/>
        </w:rPr>
        <w:t>i. El inciso segundo del 365 constitucional dispone que “</w:t>
      </w:r>
      <w:r w:rsidRPr="002A30BA">
        <w:rPr>
          <w:rFonts w:ascii="Verdana" w:hAnsi="Verdana" w:cs="Arial"/>
          <w:bCs/>
          <w:lang w:val="es-MX"/>
        </w:rPr>
        <w:t xml:space="preserve">Los servicios públicos estarán sometidos al régimen jurídico que fije la ley, podrán ser prestados por </w:t>
      </w:r>
      <w:r w:rsidRPr="002A30BA">
        <w:rPr>
          <w:rFonts w:ascii="Verdana" w:hAnsi="Verdana" w:cs="Arial"/>
          <w:bCs/>
          <w:lang w:val="es-MX"/>
        </w:rPr>
        <w:lastRenderedPageBreak/>
        <w:t>el Estado, directa o indirectamente, por comunidades organizadas, o por particulares</w:t>
      </w:r>
      <w:r>
        <w:rPr>
          <w:rFonts w:ascii="Verdana" w:hAnsi="Verdana" w:cs="Arial"/>
          <w:bCs/>
          <w:lang w:val="es-MX"/>
        </w:rPr>
        <w:t xml:space="preserve"> […]”. Por ello, </w:t>
      </w:r>
      <w:r w:rsidRPr="002A30BA">
        <w:rPr>
          <w:rFonts w:ascii="Verdana" w:hAnsi="Verdana" w:cs="Arial"/>
          <w:bCs/>
          <w:lang w:val="es-MX"/>
        </w:rPr>
        <w:t xml:space="preserve">el </w:t>
      </w:r>
      <w:r>
        <w:rPr>
          <w:rFonts w:ascii="Verdana" w:hAnsi="Verdana" w:cs="Arial"/>
          <w:bCs/>
          <w:lang w:val="es-MX"/>
        </w:rPr>
        <w:t xml:space="preserve">inciso primero del </w:t>
      </w:r>
      <w:r w:rsidRPr="002A30BA">
        <w:rPr>
          <w:rFonts w:ascii="Verdana" w:hAnsi="Verdana" w:cs="Arial"/>
          <w:bCs/>
          <w:lang w:val="es-MX"/>
        </w:rPr>
        <w:t xml:space="preserve">artículo 31 de la Ley 142 de 1994 </w:t>
      </w:r>
      <w:r>
        <w:rPr>
          <w:rFonts w:ascii="Verdana" w:hAnsi="Verdana" w:cs="Arial"/>
          <w:bCs/>
          <w:lang w:val="es-MX"/>
        </w:rPr>
        <w:t>dispuso expresamente que</w:t>
      </w:r>
      <w:r w:rsidRPr="002A30BA">
        <w:rPr>
          <w:rFonts w:ascii="Verdana" w:hAnsi="Verdana" w:cs="Arial"/>
          <w:bCs/>
          <w:lang w:val="es-MX"/>
        </w:rPr>
        <w:t xml:space="preserve"> </w:t>
      </w:r>
      <w:r>
        <w:rPr>
          <w:rFonts w:ascii="Verdana" w:hAnsi="Verdana" w:cs="Arial"/>
          <w:bCs/>
          <w:lang w:val="es-MX"/>
        </w:rPr>
        <w:t>“</w:t>
      </w:r>
      <w:r w:rsidRPr="002A30BA">
        <w:rPr>
          <w:rFonts w:ascii="Verdana" w:hAnsi="Verdana" w:cs="Arial"/>
          <w:bCs/>
          <w:lang w:val="es-MX"/>
        </w:rPr>
        <w:t xml:space="preserve">Los contratos que celebren las </w:t>
      </w:r>
      <w:r w:rsidRPr="00C87D7C">
        <w:rPr>
          <w:rFonts w:ascii="Verdana" w:hAnsi="Verdana" w:cs="Arial"/>
          <w:bCs/>
          <w:i/>
          <w:iCs/>
          <w:lang w:val="es-MX"/>
        </w:rPr>
        <w:t>entidades estatales que prestan los servicios públicos</w:t>
      </w:r>
      <w:r w:rsidRPr="002A30BA">
        <w:rPr>
          <w:rFonts w:ascii="Verdana" w:hAnsi="Verdana" w:cs="Arial"/>
          <w:bCs/>
          <w:lang w:val="es-MX"/>
        </w:rPr>
        <w:t xml:space="preserve"> a los que se refiere esta ley no estarán sujetos a las disposiciones del Estatuto General de Contratación de la Administración Pública, salvo en lo que la presente ley dispong</w:t>
      </w:r>
      <w:r w:rsidRPr="008638A5">
        <w:rPr>
          <w:rFonts w:ascii="Verdana" w:hAnsi="Verdana" w:cs="Arial"/>
          <w:bCs/>
          <w:lang w:val="es-MX"/>
        </w:rPr>
        <w:t>a otra cosa”</w:t>
      </w:r>
      <w:r>
        <w:rPr>
          <w:rFonts w:ascii="Verdana" w:hAnsi="Verdana" w:cs="Arial"/>
          <w:bCs/>
          <w:lang w:val="es-MX"/>
        </w:rPr>
        <w:t xml:space="preserve"> (Énfasis fuera de texto)</w:t>
      </w:r>
      <w:r w:rsidRPr="008638A5">
        <w:rPr>
          <w:rFonts w:ascii="Verdana" w:hAnsi="Verdana" w:cs="Arial"/>
          <w:bCs/>
          <w:lang w:val="es-MX"/>
        </w:rPr>
        <w:t xml:space="preserve">. </w:t>
      </w:r>
      <w:r>
        <w:rPr>
          <w:rFonts w:ascii="Verdana" w:hAnsi="Verdana" w:cs="Arial"/>
          <w:bCs/>
          <w:lang w:val="es-MX"/>
        </w:rPr>
        <w:t>Asimismo,</w:t>
      </w:r>
      <w:r w:rsidRPr="00C87D7C">
        <w:rPr>
          <w:rFonts w:ascii="Verdana" w:hAnsi="Verdana" w:cs="Arial"/>
          <w:bCs/>
          <w:lang w:val="es-MX"/>
        </w:rPr>
        <w:t xml:space="preserve"> </w:t>
      </w:r>
      <w:r>
        <w:rPr>
          <w:rFonts w:ascii="Verdana" w:hAnsi="Verdana" w:cs="Arial"/>
          <w:bCs/>
          <w:lang w:val="es-MX"/>
        </w:rPr>
        <w:t>el inciso primero del</w:t>
      </w:r>
      <w:r w:rsidRPr="00C87D7C">
        <w:rPr>
          <w:rFonts w:ascii="Verdana" w:hAnsi="Verdana" w:cs="Arial"/>
          <w:bCs/>
          <w:lang w:val="es-MX"/>
        </w:rPr>
        <w:t xml:space="preserve"> artículo 32 </w:t>
      </w:r>
      <w:r w:rsidRPr="00C87D7C">
        <w:rPr>
          <w:rFonts w:ascii="Verdana" w:hAnsi="Verdana" w:cs="Arial"/>
          <w:bCs/>
          <w:i/>
          <w:iCs/>
          <w:lang w:val="es-MX"/>
        </w:rPr>
        <w:t>ibidem</w:t>
      </w:r>
      <w:r>
        <w:rPr>
          <w:rFonts w:ascii="Verdana" w:hAnsi="Verdana" w:cs="Arial"/>
          <w:bCs/>
          <w:lang w:val="es-MX"/>
        </w:rPr>
        <w:t xml:space="preserve"> precisa lo siguiente: “</w:t>
      </w:r>
      <w:r w:rsidRPr="00C87D7C">
        <w:rPr>
          <w:rFonts w:ascii="Verdana" w:hAnsi="Verdana" w:cs="Arial"/>
          <w:bCs/>
          <w:lang w:val="es-MX"/>
        </w:rPr>
        <w:t xml:space="preserve">Salvo en cuanto la Constitución Política o esta Ley dispongan expresamente lo contrario, la constitución, y los actos de todas las </w:t>
      </w:r>
      <w:r w:rsidRPr="00C87D7C">
        <w:rPr>
          <w:rFonts w:ascii="Verdana" w:hAnsi="Verdana" w:cs="Arial"/>
          <w:bCs/>
          <w:i/>
          <w:iCs/>
          <w:lang w:val="es-MX"/>
        </w:rPr>
        <w:t>empresas de servicios públicos</w:t>
      </w:r>
      <w:r w:rsidRPr="00C87D7C">
        <w:rPr>
          <w:rFonts w:ascii="Verdana" w:hAnsi="Verdana" w:cs="Arial"/>
          <w:bCs/>
          <w:lang w:val="es-MX"/>
        </w:rPr>
        <w:t>, así como los requeridos para la administración y el ejercicio de los derechos de todas las personas que sean socias de ellas, en lo no dispuesto en esta Ley, se regirán exclusivamente por las reglas del derecho privado</w:t>
      </w:r>
      <w:r>
        <w:rPr>
          <w:rFonts w:ascii="Verdana" w:hAnsi="Verdana" w:cs="Arial"/>
          <w:bCs/>
          <w:lang w:val="es-MX"/>
        </w:rPr>
        <w:t>” (Énfasis fuera de texto)</w:t>
      </w:r>
      <w:r w:rsidRPr="00C87D7C">
        <w:rPr>
          <w:rFonts w:ascii="Verdana" w:hAnsi="Verdana" w:cs="Arial"/>
          <w:bCs/>
          <w:lang w:val="es-MX"/>
        </w:rPr>
        <w:t>.</w:t>
      </w:r>
      <w:r>
        <w:rPr>
          <w:rFonts w:ascii="Verdana" w:hAnsi="Verdana" w:cs="Arial"/>
          <w:bCs/>
          <w:lang w:val="es-MX"/>
        </w:rPr>
        <w:t xml:space="preserve"> </w:t>
      </w:r>
      <w:r>
        <w:rPr>
          <w:rFonts w:ascii="Verdana" w:eastAsia="Calibri" w:hAnsi="Verdana" w:cs="Arial"/>
          <w:color w:val="000000" w:themeColor="text1"/>
          <w:lang w:val="es-ES"/>
        </w:rPr>
        <w:t>De esta manera, el</w:t>
      </w:r>
      <w:r w:rsidRPr="00060C87">
        <w:rPr>
          <w:rFonts w:ascii="Verdana" w:eastAsia="Calibri" w:hAnsi="Verdana" w:cs="Arial"/>
          <w:color w:val="000000" w:themeColor="text1"/>
          <w:lang w:val="es-ES"/>
        </w:rPr>
        <w:t xml:space="preserve"> máximo órgano de la Jurisdicción de lo Contencioso Administrativo</w:t>
      </w:r>
      <w:r>
        <w:rPr>
          <w:rFonts w:ascii="Verdana" w:eastAsia="Calibri" w:hAnsi="Verdana" w:cs="Arial"/>
          <w:color w:val="000000" w:themeColor="text1"/>
          <w:lang w:val="es-ES"/>
        </w:rPr>
        <w:t xml:space="preserve"> considera que</w:t>
      </w:r>
      <w:r w:rsidRPr="00060C87">
        <w:rPr>
          <w:rFonts w:ascii="Verdana" w:eastAsia="Calibri" w:hAnsi="Verdana" w:cs="Arial"/>
          <w:color w:val="000000" w:themeColor="text1"/>
          <w:lang w:val="es-ES"/>
        </w:rPr>
        <w:t xml:space="preserve">: </w:t>
      </w:r>
    </w:p>
    <w:p w14:paraId="2E25807F" w14:textId="77777777" w:rsidR="00111DF2" w:rsidRPr="00060C87" w:rsidRDefault="00111DF2" w:rsidP="00111DF2">
      <w:pPr>
        <w:tabs>
          <w:tab w:val="left" w:pos="426"/>
        </w:tabs>
        <w:spacing w:after="0" w:line="276" w:lineRule="auto"/>
        <w:jc w:val="both"/>
        <w:rPr>
          <w:rFonts w:ascii="Verdana" w:eastAsia="Calibri" w:hAnsi="Verdana" w:cs="Arial"/>
          <w:color w:val="000000" w:themeColor="text1"/>
          <w:lang w:val="es-ES"/>
        </w:rPr>
      </w:pPr>
    </w:p>
    <w:p w14:paraId="6FBF547C" w14:textId="77777777" w:rsidR="00111DF2" w:rsidRPr="00033F5A" w:rsidRDefault="00111DF2" w:rsidP="00111DF2">
      <w:pPr>
        <w:tabs>
          <w:tab w:val="left" w:pos="426"/>
        </w:tabs>
        <w:spacing w:after="0" w:line="240" w:lineRule="auto"/>
        <w:ind w:left="709" w:right="709"/>
        <w:jc w:val="both"/>
        <w:rPr>
          <w:rFonts w:ascii="Verdana" w:eastAsia="Calibri" w:hAnsi="Verdana" w:cs="Arial"/>
          <w:color w:val="000000" w:themeColor="text1"/>
          <w:sz w:val="20"/>
          <w:szCs w:val="20"/>
          <w:lang w:val="es-ES"/>
        </w:rPr>
      </w:pPr>
      <w:r w:rsidRPr="00033F5A">
        <w:rPr>
          <w:rFonts w:ascii="Verdana" w:eastAsia="Calibri" w:hAnsi="Verdana" w:cs="Arial"/>
          <w:color w:val="000000" w:themeColor="text1"/>
          <w:sz w:val="20"/>
          <w:szCs w:val="20"/>
          <w:lang w:val="es-ES"/>
        </w:rPr>
        <w:t xml:space="preserve">“En este orden de ideas, el régimen jurídico aplicable a las empresas de servicios públicos domiciliarios en materia contractual es el propio del derecho común y sólo excepcionalmente se aplican las reglas del derecho público, es decir, las reglas de la Ley 80 de 1993. </w:t>
      </w:r>
    </w:p>
    <w:p w14:paraId="1A191CC6" w14:textId="77777777" w:rsidR="00111DF2" w:rsidRPr="00033F5A" w:rsidRDefault="00111DF2" w:rsidP="00111DF2">
      <w:pPr>
        <w:tabs>
          <w:tab w:val="left" w:pos="426"/>
        </w:tabs>
        <w:spacing w:after="0" w:line="240" w:lineRule="auto"/>
        <w:ind w:left="709" w:right="709"/>
        <w:jc w:val="both"/>
        <w:rPr>
          <w:rFonts w:ascii="Verdana" w:eastAsia="Calibri" w:hAnsi="Verdana" w:cs="Arial"/>
          <w:color w:val="000000" w:themeColor="text1"/>
          <w:sz w:val="20"/>
          <w:szCs w:val="20"/>
          <w:lang w:val="es-ES"/>
        </w:rPr>
      </w:pPr>
    </w:p>
    <w:p w14:paraId="507197FE" w14:textId="77777777" w:rsidR="00111DF2" w:rsidRPr="00033F5A" w:rsidRDefault="00111DF2" w:rsidP="00111DF2">
      <w:pPr>
        <w:tabs>
          <w:tab w:val="left" w:pos="426"/>
        </w:tabs>
        <w:spacing w:after="0" w:line="240" w:lineRule="auto"/>
        <w:ind w:left="709" w:right="709"/>
        <w:jc w:val="both"/>
        <w:rPr>
          <w:rFonts w:ascii="Verdana" w:eastAsia="Calibri" w:hAnsi="Verdana" w:cs="Arial"/>
          <w:color w:val="000000" w:themeColor="text1"/>
          <w:sz w:val="20"/>
          <w:szCs w:val="20"/>
          <w:lang w:val="es-ES"/>
        </w:rPr>
      </w:pPr>
      <w:r w:rsidRPr="00033F5A">
        <w:rPr>
          <w:rFonts w:ascii="Verdana" w:eastAsia="Calibri" w:hAnsi="Verdana" w:cs="Arial"/>
          <w:color w:val="000000" w:themeColor="text1"/>
          <w:sz w:val="20"/>
          <w:szCs w:val="20"/>
          <w:lang w:val="es-ES"/>
        </w:rPr>
        <w:t>Dicho de otro modo, la regla general de aplicación del derecho común significa, que para la selección del contratista no se requiere aplicar los procedimientos a los que se refiere la Ley 80 de 1993; que las reglas de existencia del contrato no son las previstas en el artículo 41 del Estatuto General de Contratación Pública; que los requisitos de validez del contrato son los previstos en la legislación civil y comercial; que las cláusulas contractuales son las propias de los contratos entre particulares; que la ejecución del contrato debe realizarse conforme a las reglas ordinarias y no a las administrativas; y que en lo relacionado con la terminación, ampliación y liquidación de los contratos, deben aplicarse las reglas del derecho común”</w:t>
      </w:r>
      <w:r w:rsidRPr="00033F5A">
        <w:rPr>
          <w:rStyle w:val="Refdenotaalpie"/>
          <w:rFonts w:ascii="Verdana" w:eastAsia="Calibri" w:hAnsi="Verdana" w:cs="Arial"/>
          <w:color w:val="000000" w:themeColor="text1"/>
          <w:sz w:val="20"/>
          <w:szCs w:val="20"/>
          <w:lang w:val="es-ES"/>
        </w:rPr>
        <w:footnoteReference w:id="1"/>
      </w:r>
      <w:r w:rsidRPr="00033F5A">
        <w:rPr>
          <w:rFonts w:ascii="Verdana" w:eastAsia="Calibri" w:hAnsi="Verdana" w:cs="Arial"/>
          <w:color w:val="000000" w:themeColor="text1"/>
          <w:sz w:val="20"/>
          <w:szCs w:val="20"/>
          <w:lang w:val="es-ES"/>
        </w:rPr>
        <w:t>.</w:t>
      </w:r>
    </w:p>
    <w:p w14:paraId="30E0D0BA" w14:textId="77777777" w:rsidR="00111DF2" w:rsidRPr="00060C87" w:rsidRDefault="00111DF2" w:rsidP="00111DF2">
      <w:pPr>
        <w:spacing w:after="0" w:line="276" w:lineRule="auto"/>
        <w:jc w:val="both"/>
        <w:rPr>
          <w:rFonts w:ascii="Verdana" w:hAnsi="Verdana" w:cs="Arial"/>
          <w:bCs/>
          <w:lang w:val="es-ES"/>
        </w:rPr>
      </w:pPr>
    </w:p>
    <w:p w14:paraId="3BB44729" w14:textId="77777777" w:rsidR="00111DF2" w:rsidRDefault="00111DF2" w:rsidP="00111DF2">
      <w:pPr>
        <w:tabs>
          <w:tab w:val="left" w:pos="0"/>
        </w:tabs>
        <w:spacing w:before="120" w:after="0" w:line="276" w:lineRule="auto"/>
        <w:ind w:firstLine="709"/>
        <w:jc w:val="both"/>
        <w:rPr>
          <w:rFonts w:ascii="Verdana" w:eastAsia="Calibri" w:hAnsi="Verdana" w:cs="Arial"/>
          <w:bCs/>
          <w:color w:val="000000" w:themeColor="text1"/>
          <w:lang w:val="es-ES_tradnl"/>
        </w:rPr>
      </w:pPr>
      <w:r w:rsidRPr="008638A5">
        <w:rPr>
          <w:rFonts w:ascii="Verdana" w:eastAsia="Calibri" w:hAnsi="Verdana" w:cs="Arial"/>
          <w:bCs/>
          <w:color w:val="000000" w:themeColor="text1"/>
          <w:lang w:val="es-ES_tradnl"/>
        </w:rPr>
        <w:t xml:space="preserve">Respecto a las empresas prestadoras de servicios públicos domiciliarios, conviene señalar, acorde con lo expresado por la Corte Constitucional en la Sentencia C-736 de 2007, que aquellas son entidades descentralizadas por </w:t>
      </w:r>
      <w:r w:rsidRPr="008638A5">
        <w:rPr>
          <w:rFonts w:ascii="Verdana" w:eastAsia="Calibri" w:hAnsi="Verdana" w:cs="Arial"/>
          <w:bCs/>
          <w:color w:val="000000" w:themeColor="text1"/>
          <w:lang w:val="es-ES_tradnl"/>
        </w:rPr>
        <w:lastRenderedPageBreak/>
        <w:t>servicios, independientemente de la naturaleza y porcentaje de su capital</w:t>
      </w:r>
      <w:r w:rsidRPr="008638A5">
        <w:rPr>
          <w:rStyle w:val="Refdenotaalpie"/>
          <w:rFonts w:ascii="Verdana" w:eastAsia="Calibri" w:hAnsi="Verdana" w:cs="Arial"/>
          <w:bCs/>
          <w:color w:val="000000" w:themeColor="text1"/>
          <w:lang w:val="es-ES_tradnl"/>
        </w:rPr>
        <w:footnoteReference w:id="2"/>
      </w:r>
      <w:r w:rsidRPr="008638A5">
        <w:rPr>
          <w:rFonts w:ascii="Verdana" w:eastAsia="Calibri" w:hAnsi="Verdana" w:cs="Arial"/>
          <w:bCs/>
          <w:color w:val="000000" w:themeColor="text1"/>
          <w:lang w:val="es-ES_tradnl"/>
        </w:rPr>
        <w:t xml:space="preserve">. En otras palabras, aunque el artículo 14 de la Ley 142 de 1994 establece que las empresas prestadoras de servicios públicos domiciliarios pueden ser </w:t>
      </w:r>
      <w:r w:rsidRPr="008638A5">
        <w:rPr>
          <w:rFonts w:ascii="Verdana" w:eastAsia="Calibri" w:hAnsi="Verdana" w:cs="Arial"/>
          <w:bCs/>
          <w:i/>
          <w:iCs/>
          <w:color w:val="000000" w:themeColor="text1"/>
          <w:lang w:val="es-ES_tradnl"/>
        </w:rPr>
        <w:t>oficiales</w:t>
      </w:r>
      <w:r w:rsidRPr="008638A5">
        <w:rPr>
          <w:rFonts w:ascii="Verdana" w:eastAsia="Calibri" w:hAnsi="Verdana" w:cs="Arial"/>
          <w:bCs/>
          <w:color w:val="000000" w:themeColor="text1"/>
          <w:lang w:val="es-ES_tradnl"/>
        </w:rPr>
        <w:t xml:space="preserve">, </w:t>
      </w:r>
      <w:r w:rsidRPr="008638A5">
        <w:rPr>
          <w:rFonts w:ascii="Verdana" w:eastAsia="Calibri" w:hAnsi="Verdana" w:cs="Arial"/>
          <w:bCs/>
          <w:i/>
          <w:iCs/>
          <w:color w:val="000000" w:themeColor="text1"/>
          <w:lang w:val="es-ES_tradnl"/>
        </w:rPr>
        <w:t>mixtas</w:t>
      </w:r>
      <w:r w:rsidRPr="008638A5">
        <w:rPr>
          <w:rFonts w:ascii="Verdana" w:eastAsia="Calibri" w:hAnsi="Verdana" w:cs="Arial"/>
          <w:bCs/>
          <w:color w:val="000000" w:themeColor="text1"/>
          <w:lang w:val="es-ES_tradnl"/>
        </w:rPr>
        <w:t xml:space="preserve"> o </w:t>
      </w:r>
      <w:r w:rsidRPr="008638A5">
        <w:rPr>
          <w:rFonts w:ascii="Verdana" w:eastAsia="Calibri" w:hAnsi="Verdana" w:cs="Arial"/>
          <w:bCs/>
          <w:i/>
          <w:iCs/>
          <w:color w:val="000000" w:themeColor="text1"/>
          <w:lang w:val="es-ES_tradnl"/>
        </w:rPr>
        <w:t>privadas</w:t>
      </w:r>
      <w:r w:rsidRPr="008638A5">
        <w:rPr>
          <w:rFonts w:ascii="Verdana" w:eastAsia="Calibri" w:hAnsi="Verdana" w:cs="Arial"/>
          <w:bCs/>
          <w:color w:val="000000" w:themeColor="text1"/>
          <w:lang w:val="es-ES_tradnl"/>
        </w:rPr>
        <w:t xml:space="preserve">, estas tres especies ingresan en la categoría de las </w:t>
      </w:r>
      <w:r w:rsidRPr="008638A5">
        <w:rPr>
          <w:rFonts w:ascii="Verdana" w:eastAsia="Calibri" w:hAnsi="Verdana" w:cs="Arial"/>
          <w:bCs/>
          <w:i/>
          <w:iCs/>
          <w:color w:val="000000" w:themeColor="text1"/>
          <w:lang w:val="es-ES_tradnl"/>
        </w:rPr>
        <w:t>entidades descentralizadas por servicios</w:t>
      </w:r>
      <w:r>
        <w:rPr>
          <w:rFonts w:ascii="Verdana" w:eastAsia="Calibri" w:hAnsi="Verdana" w:cs="Arial"/>
          <w:bCs/>
          <w:color w:val="000000" w:themeColor="text1"/>
          <w:lang w:val="es-ES_tradnl"/>
        </w:rPr>
        <w:t xml:space="preserve">, es decir, hacen parte de la Rama Ejecutiva del Orden Público. </w:t>
      </w:r>
      <w:r w:rsidRPr="008638A5">
        <w:rPr>
          <w:rFonts w:ascii="Verdana" w:eastAsia="Calibri" w:hAnsi="Verdana" w:cs="Arial"/>
          <w:bCs/>
          <w:color w:val="000000" w:themeColor="text1"/>
          <w:lang w:val="es-ES_tradnl"/>
        </w:rPr>
        <w:t xml:space="preserve"> </w:t>
      </w:r>
    </w:p>
    <w:p w14:paraId="0E1AD6B3" w14:textId="77777777" w:rsidR="00111DF2" w:rsidRDefault="00111DF2" w:rsidP="00111DF2">
      <w:pPr>
        <w:tabs>
          <w:tab w:val="left" w:pos="0"/>
        </w:tabs>
        <w:spacing w:after="0" w:line="276" w:lineRule="auto"/>
        <w:ind w:firstLine="709"/>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Al respecto</w:t>
      </w:r>
      <w:r w:rsidRPr="008638A5">
        <w:rPr>
          <w:rFonts w:ascii="Verdana" w:eastAsia="Calibri" w:hAnsi="Verdana" w:cs="Arial"/>
          <w:bCs/>
          <w:color w:val="000000" w:themeColor="text1"/>
          <w:lang w:val="es-ES_tradnl"/>
        </w:rPr>
        <w:t xml:space="preserve">, debe recordarse que en dicha Sentencia el alto tribunal afirmó que las empresas prestadoras de servicios públicos domiciliarios </w:t>
      </w:r>
      <w:r w:rsidRPr="008638A5">
        <w:rPr>
          <w:rFonts w:ascii="Verdana" w:eastAsia="Calibri" w:hAnsi="Verdana" w:cs="Arial"/>
          <w:bCs/>
          <w:i/>
          <w:iCs/>
          <w:color w:val="000000" w:themeColor="text1"/>
          <w:lang w:val="es-ES_tradnl"/>
        </w:rPr>
        <w:t>mixtas y privadas</w:t>
      </w:r>
      <w:r w:rsidRPr="008638A5">
        <w:rPr>
          <w:rFonts w:ascii="Verdana" w:eastAsia="Calibri" w:hAnsi="Verdana" w:cs="Arial"/>
          <w:bCs/>
          <w:color w:val="000000" w:themeColor="text1"/>
          <w:lang w:val="es-ES_tradnl"/>
        </w:rPr>
        <w:t xml:space="preserve"> </w:t>
      </w:r>
      <w:r>
        <w:rPr>
          <w:rFonts w:ascii="Verdana" w:eastAsia="Calibri" w:hAnsi="Verdana" w:cs="Arial"/>
          <w:bCs/>
          <w:color w:val="000000" w:themeColor="text1"/>
          <w:lang w:val="es-ES_tradnl"/>
        </w:rPr>
        <w:t xml:space="preserve">con aportes estatales </w:t>
      </w:r>
      <w:r w:rsidRPr="008638A5">
        <w:rPr>
          <w:rFonts w:ascii="Verdana" w:eastAsia="Calibri" w:hAnsi="Verdana" w:cs="Arial"/>
          <w:bCs/>
          <w:color w:val="000000" w:themeColor="text1"/>
          <w:lang w:val="es-ES_tradnl"/>
        </w:rPr>
        <w:t xml:space="preserve">son tipos </w:t>
      </w:r>
      <w:r w:rsidRPr="008638A5">
        <w:rPr>
          <w:rFonts w:ascii="Verdana" w:eastAsia="Calibri" w:hAnsi="Verdana" w:cs="Arial"/>
          <w:bCs/>
          <w:i/>
          <w:iCs/>
          <w:color w:val="000000" w:themeColor="text1"/>
          <w:lang w:val="es-ES_tradnl"/>
        </w:rPr>
        <w:t>especiales</w:t>
      </w:r>
      <w:r w:rsidRPr="008638A5">
        <w:rPr>
          <w:rFonts w:ascii="Verdana" w:eastAsia="Calibri" w:hAnsi="Verdana" w:cs="Arial"/>
          <w:bCs/>
          <w:color w:val="000000" w:themeColor="text1"/>
          <w:lang w:val="es-ES_tradnl"/>
        </w:rPr>
        <w:t xml:space="preserve"> de entidades descentralizadas por servicios que, por tanto, no pueden e</w:t>
      </w:r>
      <w:r>
        <w:rPr>
          <w:rFonts w:ascii="Verdana" w:eastAsia="Calibri" w:hAnsi="Verdana" w:cs="Arial"/>
          <w:bCs/>
          <w:color w:val="000000" w:themeColor="text1"/>
          <w:lang w:val="es-ES_tradnl"/>
        </w:rPr>
        <w:t>nmarcarse</w:t>
      </w:r>
      <w:r w:rsidRPr="008638A5">
        <w:rPr>
          <w:rFonts w:ascii="Verdana" w:eastAsia="Calibri" w:hAnsi="Verdana" w:cs="Arial"/>
          <w:bCs/>
          <w:color w:val="000000" w:themeColor="text1"/>
          <w:lang w:val="es-ES_tradnl"/>
        </w:rPr>
        <w:t xml:space="preserve"> en las otras especies de entidades descentralizadas por servicios enlistadas en el artículo 38 de la Ley 489 de 1998, es decir, que no cabe considerarlas, verbigracia, dentro de las sociedades públicas ni en las sociedades de economía mixta.</w:t>
      </w:r>
      <w:r>
        <w:rPr>
          <w:rFonts w:ascii="Verdana" w:eastAsia="Calibri" w:hAnsi="Verdana" w:cs="Arial"/>
          <w:bCs/>
          <w:color w:val="000000" w:themeColor="text1"/>
          <w:lang w:val="es-ES_tradnl"/>
        </w:rPr>
        <w:t xml:space="preserve"> En dicho sentido, en el numeral 5.3. de la precitada Sentencia expresa: </w:t>
      </w:r>
    </w:p>
    <w:p w14:paraId="36AB4C99" w14:textId="77777777" w:rsidR="00111DF2" w:rsidRDefault="00111DF2" w:rsidP="00111DF2">
      <w:pPr>
        <w:tabs>
          <w:tab w:val="left" w:pos="0"/>
        </w:tabs>
        <w:spacing w:after="0" w:line="276" w:lineRule="auto"/>
        <w:jc w:val="both"/>
        <w:rPr>
          <w:rFonts w:ascii="Verdana" w:eastAsia="Calibri" w:hAnsi="Verdana" w:cs="Arial"/>
          <w:bCs/>
          <w:color w:val="000000" w:themeColor="text1"/>
          <w:lang w:val="es-ES_tradnl"/>
        </w:rPr>
      </w:pPr>
    </w:p>
    <w:p w14:paraId="64A64C91" w14:textId="77777777" w:rsidR="00111DF2" w:rsidRDefault="00111DF2" w:rsidP="00111DF2">
      <w:pPr>
        <w:tabs>
          <w:tab w:val="left" w:pos="0"/>
        </w:tabs>
        <w:spacing w:after="0" w:line="240" w:lineRule="auto"/>
        <w:ind w:left="709" w:right="709"/>
        <w:jc w:val="both"/>
        <w:rPr>
          <w:rFonts w:ascii="Verdana" w:eastAsia="Times New Roman" w:hAnsi="Verdana" w:cs="Arial"/>
          <w:sz w:val="20"/>
          <w:szCs w:val="20"/>
          <w:lang w:val="es-ES" w:eastAsia="es-ES"/>
        </w:rPr>
      </w:pPr>
      <w:r w:rsidRPr="00270257">
        <w:rPr>
          <w:rFonts w:ascii="Verdana" w:eastAsia="Calibri" w:hAnsi="Verdana" w:cs="Arial"/>
          <w:bCs/>
          <w:color w:val="000000" w:themeColor="text1"/>
          <w:sz w:val="20"/>
          <w:szCs w:val="20"/>
          <w:lang w:val="es-ES_tradnl"/>
        </w:rPr>
        <w:t>“</w:t>
      </w:r>
      <w:r w:rsidRPr="00270257">
        <w:rPr>
          <w:rFonts w:ascii="Verdana" w:eastAsia="Times New Roman" w:hAnsi="Verdana" w:cs="Arial"/>
          <w:sz w:val="20"/>
          <w:szCs w:val="20"/>
          <w:lang w:val="es-ES" w:eastAsia="es-ES"/>
        </w:rPr>
        <w:t xml:space="preserve">[…] desde la perspectiva constitucional, en el nivel nacional las empresas de servicios públicos públicas, mixtas o privadas en las </w:t>
      </w:r>
      <w:r w:rsidRPr="00270257">
        <w:rPr>
          <w:rFonts w:ascii="Verdana" w:eastAsia="Times New Roman" w:hAnsi="Verdana" w:cs="Arial"/>
          <w:i/>
          <w:sz w:val="20"/>
          <w:szCs w:val="20"/>
          <w:lang w:val="es-ES" w:eastAsia="es-ES"/>
        </w:rPr>
        <w:t>cuales haya cualquier porcentaje de capital público pueden formar parte de la estructura de la Rama Ejecutiva</w:t>
      </w:r>
      <w:r w:rsidRPr="00270257">
        <w:rPr>
          <w:rFonts w:ascii="Verdana" w:eastAsia="Times New Roman" w:hAnsi="Verdana" w:cs="Arial"/>
          <w:sz w:val="20"/>
          <w:szCs w:val="20"/>
          <w:lang w:val="es-ES" w:eastAsia="es-ES"/>
        </w:rPr>
        <w:t>, según lo disponga el legislador, que para esos efectos está revestido de las facultades que le confiere expresamente el numeral 7° del artículo150 superior (énfasis fuera de texto)”</w:t>
      </w:r>
      <w:r w:rsidRPr="00270257">
        <w:rPr>
          <w:rStyle w:val="Refdenotaalpie"/>
          <w:rFonts w:ascii="Verdana" w:eastAsia="Times New Roman" w:hAnsi="Verdana" w:cs="Arial"/>
          <w:sz w:val="20"/>
          <w:szCs w:val="20"/>
          <w:lang w:val="es-ES" w:eastAsia="es-ES"/>
        </w:rPr>
        <w:footnoteReference w:id="3"/>
      </w:r>
    </w:p>
    <w:p w14:paraId="5AD43F59" w14:textId="77777777" w:rsidR="00111DF2" w:rsidRDefault="00111DF2" w:rsidP="00111DF2">
      <w:pPr>
        <w:tabs>
          <w:tab w:val="left" w:pos="0"/>
        </w:tabs>
        <w:spacing w:after="0" w:line="276" w:lineRule="auto"/>
        <w:ind w:right="709"/>
        <w:jc w:val="both"/>
        <w:rPr>
          <w:rFonts w:ascii="Verdana" w:eastAsia="Times New Roman" w:hAnsi="Verdana" w:cs="Arial"/>
          <w:sz w:val="20"/>
          <w:szCs w:val="20"/>
          <w:lang w:val="es-ES" w:eastAsia="es-ES"/>
        </w:rPr>
      </w:pPr>
    </w:p>
    <w:p w14:paraId="1B8F3005" w14:textId="77777777" w:rsidR="00111DF2" w:rsidRPr="00270257" w:rsidRDefault="00111DF2" w:rsidP="00111DF2">
      <w:pPr>
        <w:tabs>
          <w:tab w:val="left" w:pos="0"/>
        </w:tabs>
        <w:spacing w:after="0" w:line="276" w:lineRule="auto"/>
        <w:jc w:val="both"/>
        <w:rPr>
          <w:rFonts w:ascii="Verdana" w:eastAsia="Times New Roman" w:hAnsi="Verdana" w:cs="Arial"/>
          <w:lang w:val="es-ES" w:eastAsia="es-ES"/>
        </w:rPr>
      </w:pPr>
      <w:r>
        <w:rPr>
          <w:rFonts w:ascii="Verdana" w:eastAsia="Times New Roman" w:hAnsi="Verdana" w:cs="Arial"/>
          <w:lang w:val="es-ES" w:eastAsia="es-ES"/>
        </w:rPr>
        <w:tab/>
        <w:t>Lo expuesto, permite resaltar</w:t>
      </w:r>
      <w:r w:rsidRPr="00270257">
        <w:rPr>
          <w:rFonts w:ascii="Verdana" w:eastAsia="Times New Roman" w:hAnsi="Verdana" w:cs="Arial"/>
          <w:lang w:val="es-ES" w:eastAsia="es-ES"/>
        </w:rPr>
        <w:t xml:space="preserve"> la flexibilidad constitucional al legislador colombiano</w:t>
      </w:r>
      <w:r>
        <w:rPr>
          <w:rFonts w:ascii="Verdana" w:eastAsia="Times New Roman" w:hAnsi="Verdana" w:cs="Arial"/>
          <w:lang w:val="es-ES" w:eastAsia="es-ES"/>
        </w:rPr>
        <w:t xml:space="preserve"> de</w:t>
      </w:r>
      <w:r w:rsidRPr="00270257">
        <w:rPr>
          <w:rFonts w:ascii="Verdana" w:eastAsia="Times New Roman" w:hAnsi="Verdana" w:cs="Arial"/>
          <w:lang w:val="es-ES" w:eastAsia="es-ES"/>
        </w:rPr>
        <w:t xml:space="preserve"> incorporar empresas de servicios públicos —ya sean públicas, mixtas o privadas con participación estatal— dentro de la estructura de la Rama Ejecutiva. Esta posibilida</w:t>
      </w:r>
      <w:r>
        <w:rPr>
          <w:rFonts w:ascii="Verdana" w:eastAsia="Times New Roman" w:hAnsi="Verdana" w:cs="Arial"/>
          <w:lang w:val="es-ES" w:eastAsia="es-ES"/>
        </w:rPr>
        <w:t>d se justifica</w:t>
      </w:r>
      <w:r w:rsidRPr="00270257">
        <w:rPr>
          <w:rFonts w:ascii="Verdana" w:eastAsia="Times New Roman" w:hAnsi="Verdana" w:cs="Arial"/>
          <w:lang w:val="es-ES" w:eastAsia="es-ES"/>
        </w:rPr>
        <w:t xml:space="preserve"> en el numeral 7° del artículo 150 de la Constitución, que </w:t>
      </w:r>
      <w:r>
        <w:rPr>
          <w:rFonts w:ascii="Verdana" w:eastAsia="Times New Roman" w:hAnsi="Verdana" w:cs="Arial"/>
          <w:lang w:val="es-ES" w:eastAsia="es-ES"/>
        </w:rPr>
        <w:t xml:space="preserve">otorga la competencia </w:t>
      </w:r>
      <w:r w:rsidRPr="00270257">
        <w:rPr>
          <w:rFonts w:ascii="Verdana" w:eastAsia="Times New Roman" w:hAnsi="Verdana" w:cs="Arial"/>
          <w:lang w:val="es-ES" w:eastAsia="es-ES"/>
        </w:rPr>
        <w:t>al Congreso la facultad de organizar la a</w:t>
      </w:r>
      <w:r>
        <w:rPr>
          <w:rFonts w:ascii="Verdana" w:eastAsia="Times New Roman" w:hAnsi="Verdana" w:cs="Arial"/>
          <w:lang w:val="es-ES" w:eastAsia="es-ES"/>
        </w:rPr>
        <w:t>dministración nacional. De esta manera, no</w:t>
      </w:r>
      <w:r w:rsidRPr="00270257">
        <w:rPr>
          <w:rFonts w:ascii="Verdana" w:eastAsia="Times New Roman" w:hAnsi="Verdana" w:cs="Arial"/>
          <w:lang w:val="es-ES" w:eastAsia="es-ES"/>
        </w:rPr>
        <w:t xml:space="preserve"> es necesario que la empresa sea completamente pública para que pueda </w:t>
      </w:r>
      <w:r>
        <w:rPr>
          <w:rFonts w:ascii="Verdana" w:eastAsia="Times New Roman" w:hAnsi="Verdana" w:cs="Arial"/>
          <w:lang w:val="es-ES" w:eastAsia="es-ES"/>
        </w:rPr>
        <w:t>considerarse parte del Estado.</w:t>
      </w:r>
    </w:p>
    <w:p w14:paraId="5F31FEDD" w14:textId="77777777" w:rsidR="00111DF2" w:rsidRPr="00270257" w:rsidRDefault="00111DF2" w:rsidP="00111DF2">
      <w:pPr>
        <w:tabs>
          <w:tab w:val="left" w:pos="0"/>
        </w:tabs>
        <w:spacing w:before="120" w:after="0" w:line="276" w:lineRule="auto"/>
        <w:ind w:firstLine="709"/>
        <w:jc w:val="both"/>
        <w:rPr>
          <w:rFonts w:ascii="Verdana" w:eastAsia="Times New Roman" w:hAnsi="Verdana" w:cs="Arial"/>
          <w:sz w:val="20"/>
          <w:szCs w:val="20"/>
          <w:lang w:val="es-ES" w:eastAsia="es-ES"/>
        </w:rPr>
      </w:pPr>
      <w:r>
        <w:rPr>
          <w:rFonts w:ascii="Verdana" w:eastAsia="Times New Roman" w:hAnsi="Verdana" w:cs="Times New Roman"/>
          <w:lang w:val="es-ES" w:eastAsia="es-ES"/>
        </w:rPr>
        <w:lastRenderedPageBreak/>
        <w:t>Posteriormente, en la Sentencia precitada haciendo un análisis de los artículos 38</w:t>
      </w:r>
      <w:r>
        <w:rPr>
          <w:rStyle w:val="Refdenotaalpie"/>
          <w:rFonts w:ascii="Verdana" w:eastAsia="Times New Roman" w:hAnsi="Verdana" w:cs="Times New Roman"/>
          <w:lang w:val="es-ES" w:eastAsia="es-ES"/>
        </w:rPr>
        <w:footnoteReference w:id="4"/>
      </w:r>
      <w:r>
        <w:rPr>
          <w:rFonts w:ascii="Verdana" w:eastAsia="Times New Roman" w:hAnsi="Verdana" w:cs="Times New Roman"/>
          <w:lang w:val="es-ES" w:eastAsia="es-ES"/>
        </w:rPr>
        <w:t xml:space="preserve"> y 68</w:t>
      </w:r>
      <w:r>
        <w:rPr>
          <w:rStyle w:val="Refdenotaalpie"/>
          <w:rFonts w:ascii="Verdana" w:eastAsia="Times New Roman" w:hAnsi="Verdana" w:cs="Times New Roman"/>
          <w:lang w:val="es-ES" w:eastAsia="es-ES"/>
        </w:rPr>
        <w:footnoteReference w:id="5"/>
      </w:r>
      <w:r>
        <w:rPr>
          <w:rFonts w:ascii="Verdana" w:eastAsia="Times New Roman" w:hAnsi="Verdana" w:cs="Times New Roman"/>
          <w:lang w:val="es-ES" w:eastAsia="es-ES"/>
        </w:rPr>
        <w:t xml:space="preserve"> de la Ley 489 de 1998 sobre la integración de la Rama Ejecutiva del Poder Público en el orden nacional y cuáles son las entidades descentralizadas del orden nacional, solo se incluyen a las empresas de servicios públicos domiciliarios, pero no de manera expresa a las empresas mixtas o </w:t>
      </w:r>
      <w:r>
        <w:rPr>
          <w:rFonts w:ascii="Verdana" w:eastAsia="Times New Roman" w:hAnsi="Verdana" w:cs="Times New Roman"/>
          <w:lang w:val="es-ES" w:eastAsia="es-ES"/>
        </w:rPr>
        <w:lastRenderedPageBreak/>
        <w:t>privadas de la misma naturaleza. En este sentido, se cuestiona la constitucionalidad de dichos artículos, teniendo en cuenta que los numerales 6 y 7 del artículo 14 de la Ley 142 de 1994 señalan que son tipos societarios con capital del Estado y de los particulares:</w:t>
      </w:r>
    </w:p>
    <w:p w14:paraId="1C0B5654" w14:textId="77777777" w:rsidR="00111DF2" w:rsidRDefault="00111DF2" w:rsidP="00111DF2">
      <w:pPr>
        <w:tabs>
          <w:tab w:val="left" w:pos="720"/>
          <w:tab w:val="left" w:pos="1440"/>
          <w:tab w:val="left" w:pos="2160"/>
          <w:tab w:val="left" w:pos="2880"/>
          <w:tab w:val="left" w:pos="3600"/>
          <w:tab w:val="left" w:pos="4320"/>
          <w:tab w:val="left" w:pos="5040"/>
          <w:tab w:val="left" w:pos="5760"/>
          <w:tab w:val="left" w:pos="6480"/>
          <w:tab w:val="left" w:pos="7200"/>
          <w:tab w:val="left" w:pos="8640"/>
        </w:tabs>
        <w:spacing w:after="0" w:line="240" w:lineRule="auto"/>
        <w:jc w:val="both"/>
        <w:rPr>
          <w:rFonts w:ascii="Verdana" w:eastAsia="Times New Roman" w:hAnsi="Verdana" w:cs="Times New Roman"/>
          <w:lang w:val="es-ES" w:eastAsia="es-ES"/>
        </w:rPr>
      </w:pPr>
    </w:p>
    <w:p w14:paraId="79FB9985" w14:textId="77777777" w:rsidR="00111DF2" w:rsidRPr="00585A53" w:rsidRDefault="00111DF2" w:rsidP="00111DF2">
      <w:pPr>
        <w:tabs>
          <w:tab w:val="left" w:pos="720"/>
          <w:tab w:val="left" w:pos="1440"/>
          <w:tab w:val="left" w:pos="2160"/>
          <w:tab w:val="left" w:pos="2880"/>
          <w:tab w:val="left" w:pos="3600"/>
          <w:tab w:val="left" w:pos="4320"/>
          <w:tab w:val="left" w:pos="5040"/>
          <w:tab w:val="left" w:pos="5760"/>
          <w:tab w:val="left" w:pos="6480"/>
          <w:tab w:val="left" w:pos="7200"/>
          <w:tab w:val="left" w:pos="8640"/>
        </w:tabs>
        <w:spacing w:after="0" w:line="240" w:lineRule="auto"/>
        <w:ind w:left="709" w:right="709"/>
        <w:jc w:val="both"/>
        <w:rPr>
          <w:rFonts w:ascii="Verdana" w:eastAsia="Times New Roman" w:hAnsi="Verdana" w:cs="Times New Roman"/>
          <w:sz w:val="20"/>
          <w:lang w:eastAsia="es-ES"/>
        </w:rPr>
      </w:pPr>
      <w:r w:rsidRPr="00585A53">
        <w:rPr>
          <w:rFonts w:ascii="Verdana" w:eastAsia="Times New Roman" w:hAnsi="Verdana" w:cs="Times New Roman"/>
          <w:sz w:val="20"/>
          <w:lang w:eastAsia="es-ES"/>
        </w:rPr>
        <w:t xml:space="preserve">14.6. Empresa de servicios públicos mixta. Es aquella en cuyo capital la Nación, las entidades territoriales, o las entidades descentralizadas de aquella o </w:t>
      </w:r>
      <w:r w:rsidRPr="00585A53">
        <w:rPr>
          <w:rFonts w:ascii="Verdana" w:eastAsia="Times New Roman" w:hAnsi="Verdana" w:cs="Times New Roman"/>
          <w:i/>
          <w:sz w:val="20"/>
          <w:lang w:eastAsia="es-ES"/>
        </w:rPr>
        <w:t>éstas tienen aportes iguales o superiores al 50%. </w:t>
      </w:r>
    </w:p>
    <w:p w14:paraId="443D8EAF" w14:textId="77777777" w:rsidR="00111DF2" w:rsidRPr="00585A53" w:rsidRDefault="00111DF2" w:rsidP="00111DF2">
      <w:pPr>
        <w:tabs>
          <w:tab w:val="left" w:pos="720"/>
          <w:tab w:val="left" w:pos="1440"/>
          <w:tab w:val="left" w:pos="2160"/>
          <w:tab w:val="left" w:pos="2880"/>
          <w:tab w:val="left" w:pos="3600"/>
          <w:tab w:val="left" w:pos="4320"/>
          <w:tab w:val="left" w:pos="5040"/>
          <w:tab w:val="left" w:pos="5760"/>
          <w:tab w:val="left" w:pos="6480"/>
          <w:tab w:val="left" w:pos="7200"/>
          <w:tab w:val="left" w:pos="8640"/>
        </w:tabs>
        <w:spacing w:after="0" w:line="240" w:lineRule="auto"/>
        <w:ind w:left="709" w:right="709"/>
        <w:jc w:val="both"/>
        <w:rPr>
          <w:rFonts w:ascii="Verdana" w:eastAsia="Times New Roman" w:hAnsi="Verdana" w:cs="Times New Roman"/>
          <w:sz w:val="20"/>
          <w:lang w:eastAsia="es-ES"/>
        </w:rPr>
      </w:pPr>
      <w:r w:rsidRPr="00585A53">
        <w:rPr>
          <w:rFonts w:ascii="Verdana" w:eastAsia="Times New Roman" w:hAnsi="Verdana" w:cs="Times New Roman"/>
          <w:sz w:val="20"/>
          <w:lang w:eastAsia="es-ES"/>
        </w:rPr>
        <w:t>  </w:t>
      </w:r>
    </w:p>
    <w:p w14:paraId="0897A3B9" w14:textId="77777777" w:rsidR="00111DF2" w:rsidRPr="00585A53" w:rsidRDefault="00111DF2" w:rsidP="00111DF2">
      <w:pPr>
        <w:tabs>
          <w:tab w:val="left" w:pos="720"/>
          <w:tab w:val="left" w:pos="1440"/>
          <w:tab w:val="left" w:pos="2160"/>
          <w:tab w:val="left" w:pos="2880"/>
          <w:tab w:val="left" w:pos="3600"/>
          <w:tab w:val="left" w:pos="4320"/>
          <w:tab w:val="left" w:pos="5040"/>
          <w:tab w:val="left" w:pos="5760"/>
          <w:tab w:val="left" w:pos="6480"/>
          <w:tab w:val="left" w:pos="7200"/>
          <w:tab w:val="left" w:pos="8640"/>
        </w:tabs>
        <w:spacing w:after="0" w:line="240" w:lineRule="auto"/>
        <w:ind w:left="709" w:right="709"/>
        <w:jc w:val="both"/>
        <w:rPr>
          <w:rFonts w:ascii="Verdana" w:eastAsia="Times New Roman" w:hAnsi="Verdana" w:cs="Times New Roman"/>
          <w:sz w:val="20"/>
          <w:lang w:eastAsia="es-ES"/>
        </w:rPr>
      </w:pPr>
      <w:r w:rsidRPr="00585A53">
        <w:rPr>
          <w:rFonts w:ascii="Verdana" w:eastAsia="Times New Roman" w:hAnsi="Verdana" w:cs="Times New Roman"/>
          <w:sz w:val="20"/>
          <w:lang w:eastAsia="es-ES"/>
        </w:rPr>
        <w:t xml:space="preserve">14.7. Empresa de servicios públicos privada. Es aquella cuyo capital pertenece </w:t>
      </w:r>
      <w:r w:rsidRPr="00585A53">
        <w:rPr>
          <w:rFonts w:ascii="Verdana" w:eastAsia="Times New Roman" w:hAnsi="Verdana" w:cs="Times New Roman"/>
          <w:i/>
          <w:sz w:val="20"/>
          <w:lang w:eastAsia="es-ES"/>
        </w:rPr>
        <w:t>mayoritariamente</w:t>
      </w:r>
      <w:r w:rsidRPr="00585A53">
        <w:rPr>
          <w:rFonts w:ascii="Verdana" w:eastAsia="Times New Roman" w:hAnsi="Verdana" w:cs="Times New Roman"/>
          <w:sz w:val="20"/>
          <w:lang w:eastAsia="es-ES"/>
        </w:rPr>
        <w:t xml:space="preserve"> a particulares, o a entidades surgidas de convenios internacionales que deseen someterse íntegramente para estos efectos a las reglas a las que se someten los p</w:t>
      </w:r>
      <w:r>
        <w:rPr>
          <w:rFonts w:ascii="Verdana" w:eastAsia="Times New Roman" w:hAnsi="Verdana" w:cs="Times New Roman"/>
          <w:sz w:val="20"/>
          <w:lang w:eastAsia="es-ES"/>
        </w:rPr>
        <w:t xml:space="preserve">articulares (énfasis fuera de texto) </w:t>
      </w:r>
    </w:p>
    <w:p w14:paraId="3C70A302" w14:textId="77777777" w:rsidR="00111DF2" w:rsidRPr="00585A53" w:rsidRDefault="00111DF2" w:rsidP="00111DF2">
      <w:pPr>
        <w:tabs>
          <w:tab w:val="left" w:pos="720"/>
          <w:tab w:val="left" w:pos="1440"/>
          <w:tab w:val="left" w:pos="2160"/>
          <w:tab w:val="left" w:pos="2880"/>
          <w:tab w:val="left" w:pos="3600"/>
          <w:tab w:val="left" w:pos="4320"/>
          <w:tab w:val="left" w:pos="5040"/>
          <w:tab w:val="left" w:pos="5760"/>
          <w:tab w:val="left" w:pos="6480"/>
          <w:tab w:val="left" w:pos="7200"/>
          <w:tab w:val="left" w:pos="8640"/>
        </w:tabs>
        <w:spacing w:after="0" w:line="276" w:lineRule="auto"/>
        <w:jc w:val="both"/>
        <w:rPr>
          <w:rFonts w:ascii="Verdana" w:eastAsia="Times New Roman" w:hAnsi="Verdana" w:cs="Times New Roman"/>
          <w:lang w:eastAsia="es-ES"/>
        </w:rPr>
      </w:pPr>
    </w:p>
    <w:p w14:paraId="482A6369" w14:textId="77777777" w:rsidR="00111DF2" w:rsidRDefault="00111DF2" w:rsidP="00111DF2">
      <w:pPr>
        <w:spacing w:after="120" w:line="276" w:lineRule="auto"/>
        <w:jc w:val="both"/>
        <w:rPr>
          <w:rFonts w:ascii="Verdana" w:eastAsia="Times New Roman" w:hAnsi="Verdana" w:cs="Times New Roman"/>
          <w:lang w:val="es-ES" w:eastAsia="es-ES"/>
        </w:rPr>
      </w:pPr>
      <w:r w:rsidRPr="00DE3ED2">
        <w:rPr>
          <w:rFonts w:ascii="Verdana" w:eastAsia="Times New Roman" w:hAnsi="Verdana" w:cs="Times New Roman"/>
          <w:lang w:val="es-ES" w:eastAsia="es-ES"/>
        </w:rPr>
        <w:tab/>
        <w:t xml:space="preserve">En este aspecto, la Sentencia expresa que una empresa de servicios públicos privada es aquella cuyo capital pertenece de forma mayoritaria a particulares, lo que implica que hay una participación minoritaria de las entidades del Estado. Mientras, una empresa de servicios públicos mixta es aquella en la cual el capital público </w:t>
      </w:r>
      <w:r w:rsidRPr="00E0284C">
        <w:rPr>
          <w:rFonts w:ascii="Verdana" w:eastAsia="Times New Roman" w:hAnsi="Verdana" w:cs="Times New Roman"/>
          <w:lang w:val="es-ES" w:eastAsia="es-ES"/>
        </w:rPr>
        <w:t>es igual o superior al</w:t>
      </w:r>
      <w:r w:rsidRPr="00DE3ED2">
        <w:rPr>
          <w:rFonts w:ascii="Verdana" w:eastAsia="Times New Roman" w:hAnsi="Verdana" w:cs="Times New Roman"/>
          <w:lang w:val="es-ES" w:eastAsia="es-ES"/>
        </w:rPr>
        <w:t xml:space="preserve"> cin</w:t>
      </w:r>
      <w:r>
        <w:rPr>
          <w:rFonts w:ascii="Verdana" w:eastAsia="Times New Roman" w:hAnsi="Verdana" w:cs="Times New Roman"/>
          <w:lang w:val="es-ES" w:eastAsia="es-ES"/>
        </w:rPr>
        <w:t>cuenta por ciento (50%), lo que implica</w:t>
      </w:r>
      <w:r w:rsidRPr="00DE3ED2">
        <w:rPr>
          <w:rFonts w:ascii="Verdana" w:eastAsia="Times New Roman" w:hAnsi="Verdana" w:cs="Times New Roman"/>
          <w:lang w:val="es-ES" w:eastAsia="es-ES"/>
        </w:rPr>
        <w:t xml:space="preserve"> </w:t>
      </w:r>
      <w:r w:rsidRPr="00E0284C">
        <w:rPr>
          <w:rFonts w:ascii="Verdana" w:eastAsia="Times New Roman" w:hAnsi="Verdana" w:cs="Times New Roman"/>
          <w:lang w:val="es-ES" w:eastAsia="es-ES"/>
        </w:rPr>
        <w:t>que</w:t>
      </w:r>
      <w:r>
        <w:rPr>
          <w:rFonts w:ascii="Verdana" w:eastAsia="Times New Roman" w:hAnsi="Verdana" w:cs="Times New Roman"/>
          <w:lang w:val="es-ES" w:eastAsia="es-ES"/>
        </w:rPr>
        <w:t>,</w:t>
      </w:r>
      <w:r w:rsidRPr="00E0284C">
        <w:rPr>
          <w:rFonts w:ascii="Verdana" w:eastAsia="Times New Roman" w:hAnsi="Verdana" w:cs="Times New Roman"/>
          <w:lang w:val="es-ES" w:eastAsia="es-ES"/>
        </w:rPr>
        <w:t xml:space="preserve"> </w:t>
      </w:r>
      <w:r w:rsidRPr="00E0284C">
        <w:rPr>
          <w:rFonts w:ascii="Verdana" w:eastAsia="Times New Roman" w:hAnsi="Verdana" w:cs="Times New Roman"/>
          <w:i/>
          <w:iCs/>
          <w:lang w:val="es-ES" w:eastAsia="es-ES"/>
        </w:rPr>
        <w:t xml:space="preserve">minoritariamente </w:t>
      </w:r>
      <w:r w:rsidRPr="00E0284C">
        <w:rPr>
          <w:rFonts w:ascii="Verdana" w:eastAsia="Times New Roman" w:hAnsi="Verdana" w:cs="Times New Roman"/>
          <w:lang w:val="es-ES" w:eastAsia="es-ES"/>
        </w:rPr>
        <w:t xml:space="preserve">pertenece a particulares. </w:t>
      </w:r>
    </w:p>
    <w:p w14:paraId="1D348B43" w14:textId="77777777" w:rsidR="00111DF2" w:rsidRPr="00FF6C85" w:rsidRDefault="00111DF2" w:rsidP="00111DF2">
      <w:pPr>
        <w:spacing w:after="120" w:line="276" w:lineRule="auto"/>
        <w:jc w:val="both"/>
        <w:rPr>
          <w:rFonts w:ascii="Verdana" w:eastAsia="Times New Roman" w:hAnsi="Verdana" w:cs="Times New Roman"/>
          <w:lang w:val="es-ES" w:eastAsia="es-ES"/>
        </w:rPr>
      </w:pPr>
      <w:r>
        <w:rPr>
          <w:rFonts w:ascii="Verdana" w:eastAsia="Times New Roman" w:hAnsi="Verdana" w:cs="Times New Roman"/>
          <w:lang w:val="es-ES" w:eastAsia="es-ES"/>
        </w:rPr>
        <w:tab/>
        <w:t>Posterior a estas precisiones, la Corte Constitucional</w:t>
      </w:r>
      <w:r w:rsidRPr="008B3502">
        <w:rPr>
          <w:rFonts w:ascii="Verdana" w:eastAsia="Calibri" w:hAnsi="Verdana" w:cs="Arial"/>
          <w:bCs/>
          <w:color w:val="000000" w:themeColor="text1"/>
          <w:lang w:val="es-ES"/>
        </w:rPr>
        <w:t>, al analizar el artículo 38 de la Ley 489 de 1998, concluyó que</w:t>
      </w:r>
      <w:r>
        <w:rPr>
          <w:rFonts w:ascii="Verdana" w:eastAsia="Calibri" w:hAnsi="Verdana" w:cs="Arial"/>
          <w:bCs/>
          <w:color w:val="000000" w:themeColor="text1"/>
          <w:lang w:val="es-ES"/>
        </w:rPr>
        <w:t>,</w:t>
      </w:r>
      <w:r w:rsidRPr="008B3502">
        <w:rPr>
          <w:rFonts w:ascii="Verdana" w:eastAsia="Calibri" w:hAnsi="Verdana" w:cs="Arial"/>
          <w:bCs/>
          <w:color w:val="000000" w:themeColor="text1"/>
          <w:lang w:val="es-ES"/>
        </w:rPr>
        <w:t xml:space="preserve"> aunque el literal d) menciona únicamente a las empresas oficiales de servicios públicos domiciliarios como parte de la Rama Ejecutiva, el literal g) permite una interpretación más amplia. Este último incluye a todas las entidades administrativas nacionales con personería jurídica creadas o autorizadas por la ley, lo que abarca también a las empresas de servicios públicos mixtas o privadas. Por tanto, estas empresas pueden considerarse parte del sector descentralizado de la Rama Ejecutiva, lo que</w:t>
      </w:r>
      <w:r>
        <w:rPr>
          <w:rFonts w:ascii="Verdana" w:eastAsia="Calibri" w:hAnsi="Verdana" w:cs="Arial"/>
          <w:bCs/>
          <w:color w:val="000000" w:themeColor="text1"/>
          <w:lang w:val="es-ES"/>
        </w:rPr>
        <w:t xml:space="preserve"> implica la declaratoria de </w:t>
      </w:r>
      <w:r w:rsidRPr="008B3502">
        <w:rPr>
          <w:rFonts w:ascii="Verdana" w:eastAsia="Calibri" w:hAnsi="Verdana" w:cs="Arial"/>
          <w:bCs/>
          <w:color w:val="000000" w:themeColor="text1"/>
          <w:lang w:val="es-ES"/>
        </w:rPr>
        <w:t xml:space="preserve">la </w:t>
      </w:r>
      <w:proofErr w:type="spellStart"/>
      <w:r w:rsidRPr="008B3502">
        <w:rPr>
          <w:rFonts w:ascii="Verdana" w:eastAsia="Calibri" w:hAnsi="Verdana" w:cs="Arial"/>
          <w:bCs/>
          <w:color w:val="000000" w:themeColor="text1"/>
          <w:lang w:val="es-ES"/>
        </w:rPr>
        <w:t>exequibilidad</w:t>
      </w:r>
      <w:proofErr w:type="spellEnd"/>
      <w:r w:rsidRPr="008B3502">
        <w:rPr>
          <w:rFonts w:ascii="Verdana" w:eastAsia="Calibri" w:hAnsi="Verdana" w:cs="Arial"/>
          <w:bCs/>
          <w:color w:val="000000" w:themeColor="text1"/>
          <w:lang w:val="es-ES"/>
        </w:rPr>
        <w:t xml:space="preserve"> de la norma demandada.</w:t>
      </w:r>
    </w:p>
    <w:p w14:paraId="03CF5432" w14:textId="77777777" w:rsidR="00111DF2" w:rsidRDefault="00111DF2" w:rsidP="00111DF2">
      <w:pPr>
        <w:tabs>
          <w:tab w:val="left" w:pos="0"/>
        </w:tabs>
        <w:spacing w:before="120" w:after="0" w:line="276" w:lineRule="auto"/>
        <w:ind w:firstLine="709"/>
        <w:jc w:val="both"/>
        <w:rPr>
          <w:rFonts w:ascii="Verdana" w:eastAsia="Calibri" w:hAnsi="Verdana" w:cs="Arial"/>
          <w:bCs/>
          <w:color w:val="000000" w:themeColor="text1"/>
          <w:lang w:val="es-ES"/>
        </w:rPr>
      </w:pPr>
      <w:r w:rsidRPr="008B3502">
        <w:rPr>
          <w:rFonts w:ascii="Verdana" w:eastAsia="Calibri" w:hAnsi="Verdana" w:cs="Arial"/>
          <w:bCs/>
          <w:color w:val="000000" w:themeColor="text1"/>
          <w:lang w:val="es-ES"/>
        </w:rPr>
        <w:t xml:space="preserve">Respecto al artículo 68, aunque se </w:t>
      </w:r>
      <w:r>
        <w:rPr>
          <w:rFonts w:ascii="Verdana" w:eastAsia="Calibri" w:hAnsi="Verdana" w:cs="Arial"/>
          <w:bCs/>
          <w:color w:val="000000" w:themeColor="text1"/>
          <w:lang w:val="es-ES"/>
        </w:rPr>
        <w:t xml:space="preserve">refiere explícitamente </w:t>
      </w:r>
      <w:r w:rsidRPr="008B3502">
        <w:rPr>
          <w:rFonts w:ascii="Verdana" w:eastAsia="Calibri" w:hAnsi="Verdana" w:cs="Arial"/>
          <w:bCs/>
          <w:color w:val="000000" w:themeColor="text1"/>
          <w:lang w:val="es-ES"/>
        </w:rPr>
        <w:t xml:space="preserve">a las empresas oficiales como entidades descentralizadas, el legislador también incluye a otras entidades con personería jurídica, autonomía administrativa y patrimonio propio, cuyo objeto sea prestar servicios públicos o realizar actividades administrativas, industriales o comerciales. Esta redacción permite incluir a las empresas mixtas o privadas de servicios públicos como entidades descentralizadas del orden nacional. En consecuencia, la Corte no encuentra reparos de constitucionalidad </w:t>
      </w:r>
      <w:r w:rsidRPr="008B3502">
        <w:rPr>
          <w:rFonts w:ascii="Verdana" w:eastAsia="Calibri" w:hAnsi="Verdana" w:cs="Arial"/>
          <w:bCs/>
          <w:color w:val="000000" w:themeColor="text1"/>
          <w:lang w:val="es-ES"/>
        </w:rPr>
        <w:lastRenderedPageBreak/>
        <w:t xml:space="preserve">y declara la norma ajustada a la </w:t>
      </w:r>
      <w:r>
        <w:rPr>
          <w:rFonts w:ascii="Verdana" w:eastAsia="Calibri" w:hAnsi="Verdana" w:cs="Arial"/>
          <w:bCs/>
          <w:color w:val="000000" w:themeColor="text1"/>
          <w:lang w:val="es-ES"/>
        </w:rPr>
        <w:t xml:space="preserve">Constitución Política. Con respecto a este tema, hay doctrina que tiene sus observaciones frente a dicha Sentencia de Constitucionalidad, expresando: </w:t>
      </w:r>
    </w:p>
    <w:p w14:paraId="43DDC73F" w14:textId="77777777" w:rsidR="00111DF2" w:rsidRDefault="00111DF2" w:rsidP="00111DF2">
      <w:pPr>
        <w:tabs>
          <w:tab w:val="left" w:pos="0"/>
        </w:tabs>
        <w:spacing w:after="0" w:line="276" w:lineRule="auto"/>
        <w:ind w:firstLine="709"/>
        <w:jc w:val="both"/>
        <w:rPr>
          <w:rFonts w:ascii="Verdana" w:eastAsia="Calibri" w:hAnsi="Verdana" w:cs="Arial"/>
          <w:bCs/>
          <w:color w:val="000000" w:themeColor="text1"/>
          <w:lang w:val="es-ES"/>
        </w:rPr>
      </w:pPr>
      <w:r>
        <w:rPr>
          <w:rFonts w:ascii="Verdana" w:eastAsia="Calibri" w:hAnsi="Verdana" w:cs="Arial"/>
          <w:bCs/>
          <w:color w:val="000000" w:themeColor="text1"/>
          <w:lang w:val="es-ES"/>
        </w:rPr>
        <w:tab/>
      </w:r>
    </w:p>
    <w:p w14:paraId="2E31A7DC" w14:textId="77777777" w:rsidR="00111DF2" w:rsidRPr="00435AFF" w:rsidRDefault="00111DF2" w:rsidP="00111DF2">
      <w:pPr>
        <w:tabs>
          <w:tab w:val="left" w:pos="0"/>
        </w:tabs>
        <w:spacing w:after="0" w:line="240" w:lineRule="auto"/>
        <w:ind w:left="709" w:right="709"/>
        <w:jc w:val="both"/>
        <w:rPr>
          <w:rFonts w:ascii="Verdana" w:eastAsia="Calibri" w:hAnsi="Verdana" w:cs="Arial"/>
          <w:bCs/>
          <w:color w:val="000000" w:themeColor="text1"/>
          <w:sz w:val="20"/>
        </w:rPr>
      </w:pPr>
      <w:r w:rsidRPr="00435AFF">
        <w:rPr>
          <w:rFonts w:ascii="Verdana" w:eastAsia="Calibri" w:hAnsi="Verdana" w:cs="Arial"/>
          <w:bCs/>
          <w:color w:val="000000" w:themeColor="text1"/>
          <w:sz w:val="20"/>
        </w:rPr>
        <w:t>De hecho, allí no se afirma, ni se deduce, que los operadores de los servicios públicos deban o tengan que ser entidades de naturaleza especial, y sobre todo distintas de los establecimientos públicos, de las empresas industriales y comerciales y de las sociedades de economía mixta. Más bien, se observa que la norma le concedió libertad de configuración al legislador para que hiciera en este tema lo que considerara más conveniente, y así debió reconocerlo la Corte.</w:t>
      </w:r>
    </w:p>
    <w:p w14:paraId="420172F2" w14:textId="77777777" w:rsidR="00111DF2" w:rsidRPr="00435AFF" w:rsidRDefault="00111DF2" w:rsidP="00111DF2">
      <w:pPr>
        <w:tabs>
          <w:tab w:val="left" w:pos="0"/>
        </w:tabs>
        <w:spacing w:after="0" w:line="240" w:lineRule="auto"/>
        <w:ind w:left="709" w:right="709"/>
        <w:jc w:val="both"/>
        <w:rPr>
          <w:rFonts w:ascii="Verdana" w:eastAsia="Calibri" w:hAnsi="Verdana" w:cs="Arial"/>
          <w:bCs/>
          <w:color w:val="000000" w:themeColor="text1"/>
          <w:sz w:val="20"/>
        </w:rPr>
      </w:pPr>
    </w:p>
    <w:p w14:paraId="4CA38774" w14:textId="77777777" w:rsidR="00111DF2" w:rsidRPr="00435AFF" w:rsidRDefault="00111DF2" w:rsidP="00111DF2">
      <w:pPr>
        <w:tabs>
          <w:tab w:val="left" w:pos="0"/>
        </w:tabs>
        <w:spacing w:after="0" w:line="240" w:lineRule="auto"/>
        <w:ind w:left="709" w:right="709"/>
        <w:jc w:val="both"/>
        <w:rPr>
          <w:rFonts w:ascii="Verdana" w:eastAsia="Calibri" w:hAnsi="Verdana" w:cs="Arial"/>
          <w:bCs/>
          <w:color w:val="000000" w:themeColor="text1"/>
          <w:sz w:val="20"/>
        </w:rPr>
      </w:pPr>
      <w:r w:rsidRPr="00435AFF">
        <w:rPr>
          <w:rFonts w:ascii="Verdana" w:eastAsia="Calibri" w:hAnsi="Verdana" w:cs="Arial"/>
          <w:bCs/>
          <w:color w:val="000000" w:themeColor="text1"/>
          <w:sz w:val="20"/>
        </w:rPr>
        <w:t>Ahora, el error de este criterio se proyecta en dos sentidos: de un lado, en el hecho de que no solo las empresas mixtas de servicios públicos domiciliarios son diferentes a las sociedades de economía mixta, y de otro, porque no pueden confundirse pues se viola la Constitución, ya que las empresas oficiales –algunas de las cuales son empresas industriales y comerciales del Estado- tampoco podrían tener esta naturaleza jurídica, porque se asimilarían a las empresas industriales y comerciales del Estado convencionales, de manera que se violaría la Constitución.</w:t>
      </w:r>
    </w:p>
    <w:p w14:paraId="3890494E" w14:textId="77777777" w:rsidR="00111DF2" w:rsidRPr="00435AFF" w:rsidRDefault="00111DF2" w:rsidP="00111DF2">
      <w:pPr>
        <w:tabs>
          <w:tab w:val="left" w:pos="0"/>
        </w:tabs>
        <w:spacing w:after="0" w:line="240" w:lineRule="auto"/>
        <w:ind w:left="709" w:right="709"/>
        <w:jc w:val="both"/>
        <w:rPr>
          <w:rFonts w:ascii="Verdana" w:eastAsia="Calibri" w:hAnsi="Verdana" w:cs="Arial"/>
          <w:bCs/>
          <w:color w:val="000000" w:themeColor="text1"/>
          <w:sz w:val="20"/>
        </w:rPr>
      </w:pPr>
    </w:p>
    <w:p w14:paraId="1258F8D9" w14:textId="77777777" w:rsidR="00111DF2" w:rsidRDefault="00111DF2" w:rsidP="00111DF2">
      <w:pPr>
        <w:tabs>
          <w:tab w:val="left" w:pos="0"/>
        </w:tabs>
        <w:spacing w:after="0" w:line="240" w:lineRule="auto"/>
        <w:ind w:left="709" w:right="709"/>
        <w:jc w:val="both"/>
        <w:rPr>
          <w:rFonts w:ascii="Verdana" w:eastAsia="Calibri" w:hAnsi="Verdana" w:cs="Arial"/>
          <w:bCs/>
          <w:color w:val="000000" w:themeColor="text1"/>
          <w:sz w:val="20"/>
        </w:rPr>
      </w:pPr>
      <w:r w:rsidRPr="00435AFF">
        <w:rPr>
          <w:rFonts w:ascii="Verdana" w:eastAsia="Calibri" w:hAnsi="Verdana" w:cs="Arial"/>
          <w:bCs/>
          <w:color w:val="000000" w:themeColor="text1"/>
          <w:sz w:val="20"/>
        </w:rPr>
        <w:t>Lo propio cabe decir de las empresas privadas que prestan servicios públicos domiciliarios, pues ellas no podrían ser "sociedades por acciones" convencionales -es decir, las del Código de Comercio-, sino que deben ser diferentes, so pena de violar la Constitución</w:t>
      </w:r>
      <w:r>
        <w:rPr>
          <w:rStyle w:val="Refdenotaalpie"/>
          <w:rFonts w:ascii="Verdana" w:eastAsia="Calibri" w:hAnsi="Verdana" w:cs="Arial"/>
          <w:bCs/>
          <w:color w:val="000000" w:themeColor="text1"/>
          <w:sz w:val="20"/>
        </w:rPr>
        <w:footnoteReference w:id="6"/>
      </w:r>
      <w:r w:rsidRPr="00435AFF">
        <w:rPr>
          <w:rFonts w:ascii="Verdana" w:eastAsia="Calibri" w:hAnsi="Verdana" w:cs="Arial"/>
          <w:bCs/>
          <w:color w:val="000000" w:themeColor="text1"/>
          <w:sz w:val="20"/>
        </w:rPr>
        <w:t>.</w:t>
      </w:r>
    </w:p>
    <w:p w14:paraId="7A4F698E" w14:textId="77777777" w:rsidR="00111DF2" w:rsidRPr="00435AFF" w:rsidRDefault="00111DF2" w:rsidP="00111DF2">
      <w:pPr>
        <w:tabs>
          <w:tab w:val="left" w:pos="0"/>
        </w:tabs>
        <w:spacing w:after="0" w:line="240" w:lineRule="auto"/>
        <w:ind w:left="709" w:right="709"/>
        <w:jc w:val="both"/>
        <w:rPr>
          <w:rFonts w:ascii="Verdana" w:eastAsia="Calibri" w:hAnsi="Verdana" w:cs="Arial"/>
          <w:bCs/>
          <w:color w:val="000000" w:themeColor="text1"/>
          <w:sz w:val="20"/>
        </w:rPr>
      </w:pPr>
    </w:p>
    <w:p w14:paraId="53916CCA" w14:textId="77777777" w:rsidR="00111DF2" w:rsidRDefault="00111DF2" w:rsidP="00111DF2">
      <w:pPr>
        <w:spacing w:after="120" w:line="276" w:lineRule="auto"/>
        <w:ind w:firstLine="709"/>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A pesar de las discusiones e implicaciones que pueda tener, es importante tener en cuenta lo expresado por la Corte Constitucional, siendo pertinente señalar que las empresas de servicios públicos mixtas y empresas privadas de servicios públicos con participación pública son consideradas entidades descentralizadas por servicios. Sin embargo, dentro del pronunciamiento de la Corte Constitucional no se expuso de forma explícita el mismo efecto para las empresas con capital 100% privadas que son prestadoras de servicios públicos domiciliarios, lo cual implica exponer dos posturas. </w:t>
      </w:r>
    </w:p>
    <w:p w14:paraId="0D075322" w14:textId="77777777" w:rsidR="00111DF2" w:rsidRDefault="00111DF2" w:rsidP="00111DF2">
      <w:pPr>
        <w:spacing w:after="0" w:line="276" w:lineRule="auto"/>
        <w:ind w:firstLine="709"/>
        <w:jc w:val="both"/>
        <w:rPr>
          <w:rFonts w:ascii="Verdana" w:eastAsia="Calibri" w:hAnsi="Verdana" w:cs="Arial"/>
          <w:color w:val="000000" w:themeColor="text1"/>
        </w:rPr>
      </w:pPr>
      <w:r>
        <w:rPr>
          <w:rFonts w:ascii="Verdana" w:eastAsia="Calibri" w:hAnsi="Verdana" w:cs="Arial"/>
          <w:color w:val="000000" w:themeColor="text1"/>
          <w:lang w:val="es-ES"/>
        </w:rPr>
        <w:t>La primera postura es la que resalta la doctrina</w:t>
      </w:r>
      <w:r>
        <w:rPr>
          <w:rStyle w:val="Refdenotaalpie"/>
          <w:rFonts w:ascii="Verdana" w:eastAsia="Calibri" w:hAnsi="Verdana" w:cs="Arial"/>
          <w:color w:val="000000" w:themeColor="text1"/>
          <w:lang w:val="es-ES"/>
        </w:rPr>
        <w:footnoteReference w:id="7"/>
      </w:r>
      <w:r>
        <w:rPr>
          <w:rFonts w:ascii="Verdana" w:eastAsia="Calibri" w:hAnsi="Verdana" w:cs="Arial"/>
          <w:color w:val="000000" w:themeColor="text1"/>
          <w:lang w:val="es-ES"/>
        </w:rPr>
        <w:t>, donde se expone que el pronunciamiento de constitucionalidad implica que lo dispuesto en el literal g) se subsumen las empresas de servicios públicos mixtas o privadas</w:t>
      </w:r>
      <w:r>
        <w:rPr>
          <w:rFonts w:ascii="Verdana" w:eastAsia="Calibri" w:hAnsi="Verdana" w:cs="Arial"/>
          <w:color w:val="000000" w:themeColor="text1"/>
        </w:rPr>
        <w:t xml:space="preserve"> (en torno a las últimas ya no precisa si tienen aporte estatal) como parte de la Rama Ejecutiva en su sector descentralizado. Dicha afirmación se origina de lo siguiente: </w:t>
      </w:r>
    </w:p>
    <w:p w14:paraId="6D0CF958" w14:textId="77777777" w:rsidR="00111DF2" w:rsidRDefault="00111DF2" w:rsidP="00111DF2">
      <w:pPr>
        <w:spacing w:after="0" w:line="240" w:lineRule="auto"/>
        <w:ind w:firstLine="709"/>
        <w:jc w:val="both"/>
        <w:rPr>
          <w:rFonts w:ascii="Verdana" w:eastAsia="Calibri" w:hAnsi="Verdana" w:cs="Arial"/>
          <w:color w:val="000000" w:themeColor="text1"/>
        </w:rPr>
      </w:pPr>
    </w:p>
    <w:p w14:paraId="25C69570" w14:textId="77777777" w:rsidR="00111DF2" w:rsidRDefault="00111DF2" w:rsidP="00111DF2">
      <w:pPr>
        <w:spacing w:after="0" w:line="240" w:lineRule="auto"/>
        <w:ind w:left="709" w:right="709"/>
        <w:jc w:val="both"/>
        <w:rPr>
          <w:rFonts w:ascii="Verdana" w:eastAsia="Calibri" w:hAnsi="Verdana" w:cs="Arial"/>
          <w:color w:val="000000" w:themeColor="text1"/>
          <w:sz w:val="20"/>
          <w:szCs w:val="20"/>
        </w:rPr>
      </w:pPr>
      <w:r w:rsidRPr="008719EC">
        <w:rPr>
          <w:rFonts w:ascii="Verdana" w:eastAsia="Calibri" w:hAnsi="Verdana" w:cs="Arial"/>
          <w:color w:val="000000" w:themeColor="text1"/>
          <w:sz w:val="20"/>
          <w:szCs w:val="20"/>
        </w:rPr>
        <w:t xml:space="preserve">Obsérvese que si bien el legislador sólo considera explícitamente como entidades descentralizadas a las empresas oficiales de servicios públicos, es decir a aquellas con un capital cien por ciento (100%) estatal, lo cual haría pensar que las mixtas y las privadas no ostentarían esta naturaleza jurídica, a continuación indica que también son entidades descentralizadas </w:t>
      </w:r>
      <w:r w:rsidRPr="008719EC">
        <w:rPr>
          <w:rFonts w:ascii="Verdana" w:eastAsia="Calibri" w:hAnsi="Verdana" w:cs="Arial"/>
          <w:i/>
          <w:iCs/>
          <w:color w:val="000000" w:themeColor="text1"/>
          <w:sz w:val="20"/>
          <w:szCs w:val="20"/>
        </w:rPr>
        <w:t xml:space="preserve">“las demás entidades creadas por la ley o con su autorización, cuyo objeto principal sea el ejercicio de funciones administrativas, </w:t>
      </w:r>
      <w:r w:rsidRPr="008719EC">
        <w:rPr>
          <w:rFonts w:ascii="Verdana" w:eastAsia="Calibri" w:hAnsi="Verdana" w:cs="Arial"/>
          <w:i/>
          <w:iCs/>
          <w:color w:val="000000" w:themeColor="text1"/>
          <w:sz w:val="20"/>
          <w:szCs w:val="20"/>
          <w:u w:val="single"/>
        </w:rPr>
        <w:t>la prestación de servicios públicos</w:t>
      </w:r>
      <w:r w:rsidRPr="008719EC">
        <w:rPr>
          <w:rFonts w:ascii="Verdana" w:eastAsia="Calibri" w:hAnsi="Verdana" w:cs="Arial"/>
          <w:i/>
          <w:iCs/>
          <w:color w:val="000000" w:themeColor="text1"/>
          <w:sz w:val="20"/>
          <w:szCs w:val="20"/>
        </w:rPr>
        <w:t xml:space="preserve"> o la realización de actividades industriales o comerciales con personería jurídica, autonomía administrativa y patrimonio propio.” </w:t>
      </w:r>
      <w:r w:rsidRPr="008719EC">
        <w:rPr>
          <w:rFonts w:ascii="Verdana" w:eastAsia="Calibri" w:hAnsi="Verdana" w:cs="Arial"/>
          <w:color w:val="000000" w:themeColor="text1"/>
          <w:sz w:val="20"/>
          <w:szCs w:val="20"/>
        </w:rPr>
        <w:t>(Subraya la Corte)</w:t>
      </w:r>
      <w:r>
        <w:rPr>
          <w:rStyle w:val="Refdenotaalpie"/>
          <w:rFonts w:ascii="Verdana" w:eastAsia="Calibri" w:hAnsi="Verdana" w:cs="Arial"/>
          <w:color w:val="000000" w:themeColor="text1"/>
          <w:sz w:val="20"/>
          <w:szCs w:val="20"/>
        </w:rPr>
        <w:footnoteReference w:id="8"/>
      </w:r>
      <w:r w:rsidRPr="008719EC">
        <w:rPr>
          <w:rFonts w:ascii="Verdana" w:eastAsia="Calibri" w:hAnsi="Verdana" w:cs="Arial"/>
          <w:color w:val="000000" w:themeColor="text1"/>
          <w:sz w:val="20"/>
          <w:szCs w:val="20"/>
        </w:rPr>
        <w:t>.</w:t>
      </w:r>
    </w:p>
    <w:p w14:paraId="4E5FB5E4" w14:textId="77777777" w:rsidR="00111DF2" w:rsidRPr="008719EC" w:rsidRDefault="00111DF2" w:rsidP="00111DF2">
      <w:pPr>
        <w:spacing w:after="0" w:line="240" w:lineRule="auto"/>
        <w:jc w:val="both"/>
        <w:rPr>
          <w:rFonts w:ascii="Verdana" w:eastAsia="Calibri" w:hAnsi="Verdana" w:cs="Arial"/>
          <w:color w:val="000000" w:themeColor="text1"/>
          <w:sz w:val="20"/>
          <w:szCs w:val="20"/>
        </w:rPr>
      </w:pPr>
    </w:p>
    <w:p w14:paraId="48D1BB40" w14:textId="77777777" w:rsidR="00111DF2" w:rsidRPr="00D50C4E" w:rsidRDefault="00111DF2" w:rsidP="00111DF2">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lang w:val="es-ES"/>
        </w:rPr>
        <w:t>La segunda postura que también se deriva de la interpretación de la sentencia es que la Corte Constitucional</w:t>
      </w:r>
      <w:r w:rsidRPr="008719EC">
        <w:t xml:space="preserve"> </w:t>
      </w:r>
      <w:r w:rsidRPr="008719EC">
        <w:rPr>
          <w:rFonts w:ascii="Verdana" w:eastAsia="Calibri" w:hAnsi="Verdana" w:cs="Arial"/>
          <w:color w:val="000000" w:themeColor="text1"/>
          <w:lang w:val="es-ES"/>
        </w:rPr>
        <w:t xml:space="preserve">determinó que las empresas de servicios públicos domiciliarios mixtas y privadas con participación estatal constituyen una categoría especial de entidades descentralizadas por servicios. </w:t>
      </w:r>
      <w:r>
        <w:rPr>
          <w:rFonts w:ascii="Verdana" w:eastAsia="Calibri" w:hAnsi="Verdana" w:cs="Arial"/>
          <w:color w:val="000000" w:themeColor="text1"/>
          <w:lang w:val="es-ES"/>
        </w:rPr>
        <w:t xml:space="preserve">En esta línea, se destaca que el encabezado de la consideración 5.3. alude expresamente, así como en varios apartes que son entidades descentralizadas por servicios las </w:t>
      </w:r>
      <w:r w:rsidRPr="00D50C4E">
        <w:rPr>
          <w:rFonts w:ascii="Verdana" w:eastAsia="Calibri" w:hAnsi="Verdana" w:cs="Arial"/>
          <w:bCs/>
          <w:color w:val="000000" w:themeColor="text1"/>
          <w:lang w:val="es-ES"/>
        </w:rPr>
        <w:lastRenderedPageBreak/>
        <w:t>empresas de servicios públicos mixtas y privadas en las cuales haya cualquier porc</w:t>
      </w:r>
      <w:r>
        <w:rPr>
          <w:rFonts w:ascii="Verdana" w:eastAsia="Calibri" w:hAnsi="Verdana" w:cs="Arial"/>
          <w:bCs/>
          <w:color w:val="000000" w:themeColor="text1"/>
          <w:lang w:val="es-ES"/>
        </w:rPr>
        <w:t xml:space="preserve">entaje de participación pública. </w:t>
      </w:r>
      <w:r w:rsidRPr="008719EC">
        <w:rPr>
          <w:rFonts w:ascii="Verdana" w:eastAsia="Calibri" w:hAnsi="Verdana" w:cs="Arial"/>
          <w:color w:val="000000" w:themeColor="text1"/>
          <w:lang w:val="es-ES"/>
        </w:rPr>
        <w:t>Esta interpretación se complementa con la Ley 142 de 1994, que define los tipos societarios según la proporción de capital estatal y privado</w:t>
      </w:r>
      <w:r>
        <w:rPr>
          <w:rFonts w:ascii="Verdana" w:eastAsia="Calibri" w:hAnsi="Verdana" w:cs="Arial"/>
          <w:color w:val="000000" w:themeColor="text1"/>
          <w:lang w:val="es-ES"/>
        </w:rPr>
        <w:t xml:space="preserve">, entendiendo como empresa privada de servicios públicos como </w:t>
      </w:r>
      <w:r w:rsidRPr="00D50C4E">
        <w:rPr>
          <w:rFonts w:ascii="Verdana" w:eastAsia="Calibri" w:hAnsi="Verdana" w:cs="Arial"/>
          <w:color w:val="000000" w:themeColor="text1"/>
        </w:rPr>
        <w:t>aquella cuyo capital pertenece mayoritariamente a particulares o a entidades internacionales que se acogen al régimen privado</w:t>
      </w:r>
      <w:r>
        <w:rPr>
          <w:rFonts w:ascii="Verdana" w:eastAsia="Calibri" w:hAnsi="Verdana" w:cs="Arial"/>
          <w:color w:val="000000" w:themeColor="text1"/>
        </w:rPr>
        <w:t>, lo que implica</w:t>
      </w:r>
      <w:r w:rsidRPr="00D50C4E">
        <w:rPr>
          <w:rFonts w:ascii="Verdana" w:eastAsia="Calibri" w:hAnsi="Verdana" w:cs="Arial"/>
          <w:color w:val="000000" w:themeColor="text1"/>
        </w:rPr>
        <w:t xml:space="preserve"> una participación minoritaria del Estado.</w:t>
      </w:r>
    </w:p>
    <w:p w14:paraId="310974C5" w14:textId="77777777" w:rsidR="00111DF2" w:rsidRDefault="00111DF2" w:rsidP="00111DF2">
      <w:pPr>
        <w:spacing w:after="120" w:line="276" w:lineRule="auto"/>
        <w:ind w:firstLine="709"/>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Teniendo en cuenta las posturas expuestas, se acoge la segunda, destacándose que las empresas con capital 100% privado por las actividades que desempeñan cumplen funciones de interés general, pero no significa que formen parte de la estructura del Estado ni está integrado en la Rama Ejecutiva del Poder Público, pues no están contempladas en las consideraciones de la Corte Constitucional como entidades descentralizadas por servicios, pues no cuentan un capital del Estado. </w:t>
      </w:r>
    </w:p>
    <w:p w14:paraId="52D18055" w14:textId="77777777" w:rsidR="00111DF2" w:rsidRDefault="00111DF2" w:rsidP="00111DF2">
      <w:pPr>
        <w:spacing w:after="120" w:line="276" w:lineRule="auto"/>
        <w:ind w:firstLine="709"/>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Es importante señalar </w:t>
      </w:r>
      <w:r w:rsidRPr="00A11176">
        <w:rPr>
          <w:rFonts w:ascii="Verdana" w:eastAsia="Calibri" w:hAnsi="Verdana" w:cs="Arial"/>
          <w:color w:val="000000" w:themeColor="text1"/>
          <w:lang w:val="es-ES"/>
        </w:rPr>
        <w:t xml:space="preserve">que la naturaleza jurídica de una entidad no depende </w:t>
      </w:r>
      <w:r>
        <w:rPr>
          <w:rFonts w:ascii="Verdana" w:eastAsia="Calibri" w:hAnsi="Verdana" w:cs="Arial"/>
          <w:color w:val="000000" w:themeColor="text1"/>
          <w:lang w:val="es-ES"/>
        </w:rPr>
        <w:t xml:space="preserve">solo </w:t>
      </w:r>
      <w:r w:rsidRPr="00A11176">
        <w:rPr>
          <w:rFonts w:ascii="Verdana" w:eastAsia="Calibri" w:hAnsi="Verdana" w:cs="Arial"/>
          <w:color w:val="000000" w:themeColor="text1"/>
          <w:lang w:val="es-ES"/>
        </w:rPr>
        <w:t>de la función que cumple.</w:t>
      </w:r>
      <w:r>
        <w:rPr>
          <w:rFonts w:ascii="Verdana" w:eastAsia="Calibri" w:hAnsi="Verdana" w:cs="Arial"/>
          <w:color w:val="000000" w:themeColor="text1"/>
          <w:lang w:val="es-ES"/>
        </w:rPr>
        <w:t xml:space="preserve"> En otras palabras</w:t>
      </w:r>
      <w:r w:rsidRPr="00A11176">
        <w:rPr>
          <w:rFonts w:ascii="Verdana" w:eastAsia="Calibri" w:hAnsi="Verdana" w:cs="Arial"/>
          <w:color w:val="000000" w:themeColor="text1"/>
          <w:lang w:val="es-ES"/>
        </w:rPr>
        <w:t>, prestar un servicio público no convierte a una empresa en entidad pública. Lo determinante es su origen legal, su régimen jurídico y su vinculación con e</w:t>
      </w:r>
      <w:r>
        <w:rPr>
          <w:rFonts w:ascii="Verdana" w:eastAsia="Calibri" w:hAnsi="Verdana" w:cs="Arial"/>
          <w:color w:val="000000" w:themeColor="text1"/>
          <w:lang w:val="es-ES"/>
        </w:rPr>
        <w:t xml:space="preserve">l Estado. Aunque </w:t>
      </w:r>
      <w:r w:rsidRPr="00A11176">
        <w:rPr>
          <w:rFonts w:ascii="Verdana" w:eastAsia="Calibri" w:hAnsi="Verdana" w:cs="Arial"/>
          <w:color w:val="000000" w:themeColor="text1"/>
          <w:lang w:val="es-ES"/>
        </w:rPr>
        <w:t>las empresas privadas</w:t>
      </w:r>
      <w:r>
        <w:rPr>
          <w:rFonts w:ascii="Verdana" w:eastAsia="Calibri" w:hAnsi="Verdana" w:cs="Arial"/>
          <w:color w:val="000000" w:themeColor="text1"/>
          <w:lang w:val="es-ES"/>
        </w:rPr>
        <w:t xml:space="preserve"> con capital 100% privado</w:t>
      </w:r>
      <w:r w:rsidRPr="00A11176">
        <w:rPr>
          <w:rFonts w:ascii="Verdana" w:eastAsia="Calibri" w:hAnsi="Verdana" w:cs="Arial"/>
          <w:color w:val="000000" w:themeColor="text1"/>
          <w:lang w:val="es-ES"/>
        </w:rPr>
        <w:t xml:space="preserve"> de servicios públicos cumplen una función pública, siguen siendo entidades privadas en cuanto a su estructura, ges</w:t>
      </w:r>
      <w:r>
        <w:rPr>
          <w:rFonts w:ascii="Verdana" w:eastAsia="Calibri" w:hAnsi="Verdana" w:cs="Arial"/>
          <w:color w:val="000000" w:themeColor="text1"/>
          <w:lang w:val="es-ES"/>
        </w:rPr>
        <w:t xml:space="preserve">tión y responsabilidad jurídica. Esto, sin dejar de lado que las empresas de servicios públicos domiciliarios mixtas y las empresas privadas con participación minoritaria del Estado son comprendidas como entidades descentralizadas por servicios, de acuerdo con lo expresado por la Corte Constitucional en la sentencia ya precitada. </w:t>
      </w:r>
    </w:p>
    <w:p w14:paraId="4A3523C1" w14:textId="77777777" w:rsidR="00111DF2" w:rsidRDefault="00111DF2" w:rsidP="00111DF2">
      <w:pPr>
        <w:spacing w:after="0" w:line="276" w:lineRule="auto"/>
        <w:ind w:firstLine="709"/>
        <w:jc w:val="both"/>
        <w:rPr>
          <w:rFonts w:ascii="Verdana" w:eastAsia="Calibri" w:hAnsi="Verdana" w:cs="Arial"/>
          <w:color w:val="000000" w:themeColor="text1"/>
          <w:lang w:val="es-ES"/>
        </w:rPr>
      </w:pPr>
      <w:r w:rsidRPr="000B07AC">
        <w:rPr>
          <w:rFonts w:ascii="Verdana" w:eastAsia="Calibri" w:hAnsi="Verdana" w:cs="Arial"/>
          <w:color w:val="000000" w:themeColor="text1"/>
          <w:lang w:val="es-ES"/>
        </w:rPr>
        <w:t xml:space="preserve">De este modo, se </w:t>
      </w:r>
      <w:r>
        <w:rPr>
          <w:rFonts w:ascii="Verdana" w:eastAsia="Calibri" w:hAnsi="Verdana" w:cs="Arial"/>
          <w:color w:val="000000" w:themeColor="text1"/>
          <w:lang w:val="es-ES"/>
        </w:rPr>
        <w:t xml:space="preserve">consideran entidades descentralizadas por servicios, es decir, adquieren la naturaleza de ser una entidad pública, lo que implica que tienen </w:t>
      </w:r>
      <w:r w:rsidRPr="001B0ECC">
        <w:rPr>
          <w:rFonts w:ascii="Verdana" w:eastAsia="Calibri" w:hAnsi="Verdana" w:cs="Arial"/>
          <w:color w:val="000000" w:themeColor="text1"/>
          <w:lang w:val="es-ES"/>
        </w:rPr>
        <w:t>la facultad de celebrar convenios y contratos inte</w:t>
      </w:r>
      <w:r>
        <w:rPr>
          <w:rFonts w:ascii="Verdana" w:eastAsia="Calibri" w:hAnsi="Verdana" w:cs="Arial"/>
          <w:color w:val="000000" w:themeColor="text1"/>
          <w:lang w:val="es-ES"/>
        </w:rPr>
        <w:t>radministrativos con otras entidades</w:t>
      </w:r>
      <w:r w:rsidRPr="001B0ECC">
        <w:rPr>
          <w:rFonts w:ascii="Verdana" w:eastAsia="Calibri" w:hAnsi="Verdana" w:cs="Arial"/>
          <w:color w:val="000000" w:themeColor="text1"/>
          <w:lang w:val="es-ES"/>
        </w:rPr>
        <w:t xml:space="preserve"> estatales, lo que les permite coordinar esfuerzos y optimizar recursos en la ejecución de proyectos comunes. A la par, deben cumplir con las obligaciones propias de su régimen especial, como la sujeción a la vigilancia de organismos de control y la aplicación de las normas de contratación pública. </w:t>
      </w:r>
    </w:p>
    <w:p w14:paraId="73A98C03" w14:textId="77777777" w:rsidR="00111DF2" w:rsidRDefault="00111DF2" w:rsidP="00111DF2">
      <w:pPr>
        <w:spacing w:after="0" w:line="276" w:lineRule="auto"/>
        <w:jc w:val="both"/>
        <w:rPr>
          <w:rFonts w:ascii="Verdana" w:eastAsia="Calibri" w:hAnsi="Verdana" w:cs="Arial"/>
          <w:color w:val="000000" w:themeColor="text1"/>
          <w:lang w:val="es-ES"/>
        </w:rPr>
      </w:pPr>
    </w:p>
    <w:p w14:paraId="4A6D3451" w14:textId="77777777" w:rsidR="00111DF2" w:rsidRPr="004829F3" w:rsidRDefault="00111DF2" w:rsidP="00111DF2">
      <w:pPr>
        <w:spacing w:after="0" w:line="276" w:lineRule="auto"/>
        <w:jc w:val="both"/>
        <w:rPr>
          <w:rFonts w:ascii="Verdana" w:hAnsi="Verdana"/>
          <w:lang w:val="es-ES"/>
        </w:rPr>
      </w:pPr>
      <w:proofErr w:type="spellStart"/>
      <w:r>
        <w:rPr>
          <w:rFonts w:ascii="Verdana" w:eastAsia="Calibri" w:hAnsi="Verdana" w:cs="Arial"/>
          <w:color w:val="000000" w:themeColor="text1"/>
          <w:lang w:val="es-ES"/>
        </w:rPr>
        <w:t>ii</w:t>
      </w:r>
      <w:proofErr w:type="spellEnd"/>
      <w:r>
        <w:rPr>
          <w:rFonts w:ascii="Verdana" w:eastAsia="Calibri" w:hAnsi="Verdana" w:cs="Arial"/>
          <w:color w:val="000000" w:themeColor="text1"/>
          <w:lang w:val="es-ES"/>
        </w:rPr>
        <w:t xml:space="preserve">. </w:t>
      </w:r>
      <w:r w:rsidRPr="006C0CAF">
        <w:rPr>
          <w:rFonts w:ascii="Verdana" w:eastAsia="Times New Roman" w:hAnsi="Verdana" w:cs="Arial"/>
          <w:lang w:val="es-ES" w:eastAsia="es-ES"/>
          <w14:ligatures w14:val="standardContextual"/>
        </w:rPr>
        <w:t xml:space="preserve">Uno de los postulados más importantes de un Estado social y democrático de derecho es el principio de </w:t>
      </w:r>
      <w:r w:rsidRPr="006C0CAF">
        <w:rPr>
          <w:rFonts w:ascii="Verdana" w:eastAsia="Times New Roman" w:hAnsi="Verdana" w:cs="Arial"/>
          <w:i/>
          <w:iCs/>
          <w:lang w:val="es-ES" w:eastAsia="es-ES"/>
          <w14:ligatures w14:val="standardContextual"/>
        </w:rPr>
        <w:t>publicidad</w:t>
      </w:r>
      <w:r w:rsidRPr="006C0CAF">
        <w:rPr>
          <w:rFonts w:ascii="Verdana" w:eastAsia="Times New Roman" w:hAnsi="Verdana" w:cs="Arial"/>
          <w:lang w:val="es-ES" w:eastAsia="es-ES"/>
          <w14:ligatures w14:val="standardContextual"/>
        </w:rPr>
        <w:t xml:space="preserve">, pues este permite que las actuaciones de </w:t>
      </w:r>
      <w:r w:rsidRPr="006C0CAF">
        <w:rPr>
          <w:rFonts w:ascii="Verdana" w:eastAsia="Times New Roman" w:hAnsi="Verdana" w:cs="Arial"/>
          <w:lang w:val="es-ES" w:eastAsia="es-ES"/>
          <w14:ligatures w14:val="standardContextual"/>
        </w:rPr>
        <w:lastRenderedPageBreak/>
        <w:t>las autoridades gocen de visibilidad. En tal sentido, la filosofía política ha indicado que la democracia “[…] es idealmente el gobierno de un poder visible, es decir, el gobierno cuyos actos se realizan ante el público y bajo la supervisión de la opinión pública”</w:t>
      </w:r>
      <w:r w:rsidRPr="006C0CAF">
        <w:rPr>
          <w:rFonts w:ascii="Verdana" w:eastAsia="Times New Roman" w:hAnsi="Verdana" w:cs="Arial"/>
          <w:vertAlign w:val="superscript"/>
          <w:lang w:val="es-ES" w:eastAsia="es-ES"/>
          <w14:ligatures w14:val="standardContextual"/>
        </w:rPr>
        <w:footnoteReference w:id="9"/>
      </w:r>
      <w:r w:rsidRPr="006C0CAF">
        <w:rPr>
          <w:rFonts w:ascii="Verdana" w:eastAsia="Times New Roman" w:hAnsi="Verdana" w:cs="Arial"/>
          <w:lang w:val="es-ES" w:eastAsia="es-ES"/>
          <w14:ligatures w14:val="standardContextual"/>
        </w:rPr>
        <w:t xml:space="preserve">. El secreto generalizado en el ejercicio del poder político constituye, por el contrario, una negación de la democracia, porque dificulta la supervisión de las autoridades por parte de la sociedad civil y establece una barrera para la participación ciudadana. Inspirada en esta concepción axiológica, en los Estados de derecho se pregonan la publicidad de las actuaciones de los poderes públicos. </w:t>
      </w:r>
    </w:p>
    <w:p w14:paraId="5A7CF08D" w14:textId="77777777" w:rsidR="00111DF2" w:rsidRPr="006C0CAF" w:rsidRDefault="00111DF2" w:rsidP="00111DF2">
      <w:pPr>
        <w:spacing w:before="120" w:after="120" w:line="276" w:lineRule="auto"/>
        <w:ind w:firstLine="708"/>
        <w:jc w:val="both"/>
        <w:rPr>
          <w:rFonts w:ascii="Verdana" w:eastAsia="Times New Roman" w:hAnsi="Verdana" w:cs="Arial"/>
          <w:lang w:val="es-ES" w:eastAsia="es-ES"/>
          <w14:ligatures w14:val="standardContextual"/>
        </w:rPr>
      </w:pPr>
      <w:r w:rsidRPr="006C0CAF">
        <w:rPr>
          <w:rFonts w:ascii="Verdana" w:eastAsia="Times New Roman" w:hAnsi="Verdana" w:cs="Arial"/>
          <w:lang w:val="es-ES" w:eastAsia="es-ES"/>
          <w14:ligatures w14:val="standardContextual"/>
        </w:rPr>
        <w:t xml:space="preserve">Como evidencia de ello,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 </w:t>
      </w:r>
    </w:p>
    <w:p w14:paraId="062524FF" w14:textId="77777777" w:rsidR="00111DF2" w:rsidRDefault="00111DF2" w:rsidP="00111DF2">
      <w:pPr>
        <w:spacing w:after="0" w:line="276" w:lineRule="auto"/>
        <w:ind w:firstLine="709"/>
        <w:jc w:val="both"/>
        <w:rPr>
          <w:rFonts w:ascii="Verdana" w:eastAsia="Times New Roman" w:hAnsi="Verdana" w:cs="Arial"/>
          <w:lang w:val="es-ES" w:eastAsia="es-ES"/>
          <w14:ligatures w14:val="standardContextual"/>
        </w:rPr>
      </w:pPr>
      <w:r w:rsidRPr="1B20DF0E">
        <w:rPr>
          <w:rFonts w:ascii="Verdana" w:eastAsia="Times New Roman" w:hAnsi="Verdana" w:cs="Arial"/>
          <w:lang w:val="es-ES" w:eastAsia="es-ES"/>
          <w14:ligatures w14:val="standardContextual"/>
        </w:rPr>
        <w:t>De otra parte, la Ley 1712 de 2014 –Ley estatutaria que regula la transparencia y el derecho de acceso a la información y a los documentos públicos–, identifica como principios que orientan el derecho de acceso a la información pública, el de máxima publicidad, transparencia en la información y buena fe. El principio de máxima publicidad establece que “toda información en posesión, bajo control o custodia de un sujeto obligado es pública y no podrá ser reservada o limitada sino por disposición constitucional o legal”</w:t>
      </w:r>
      <w:r w:rsidRPr="1B20DF0E">
        <w:rPr>
          <w:rFonts w:ascii="Verdana" w:eastAsia="Times New Roman" w:hAnsi="Verdana" w:cs="Arial"/>
          <w:vertAlign w:val="superscript"/>
          <w:lang w:val="es-ES" w:eastAsia="es-ES"/>
          <w14:ligatures w14:val="standardContextual"/>
        </w:rPr>
        <w:footnoteReference w:id="10"/>
      </w:r>
      <w:r w:rsidRPr="1B20DF0E">
        <w:rPr>
          <w:rFonts w:ascii="Verdana" w:eastAsia="Times New Roman" w:hAnsi="Verdana" w:cs="Arial"/>
          <w:lang w:val="es-ES" w:eastAsia="es-ES"/>
          <w14:ligatures w14:val="standardContextual"/>
        </w:rPr>
        <w:t>. El principio de transparencia en la información alude al deber de los sujetos de proporcionar y facilitar el acceso a la misma en los términos más amplios posibles, y a través de los medios y procedimientos legales. En este sentido, el artículo la Ley 1712 de 2014 establece el ámbito de ampliación, esto es, quienes son los sujetos obligados a publicar su información:</w:t>
      </w:r>
    </w:p>
    <w:p w14:paraId="5A0900F5" w14:textId="77777777" w:rsidR="00111DF2" w:rsidRDefault="00111DF2" w:rsidP="00111DF2">
      <w:pPr>
        <w:spacing w:after="0" w:line="276" w:lineRule="auto"/>
        <w:ind w:firstLine="709"/>
        <w:jc w:val="both"/>
        <w:rPr>
          <w:rFonts w:ascii="Verdana" w:eastAsia="Times New Roman" w:hAnsi="Verdana" w:cs="Arial"/>
          <w:lang w:val="es-ES_tradnl" w:eastAsia="es-ES_tradnl"/>
          <w14:ligatures w14:val="standardContextual"/>
        </w:rPr>
      </w:pPr>
    </w:p>
    <w:p w14:paraId="2676AB4B" w14:textId="77777777" w:rsidR="00111DF2" w:rsidRPr="003A6355" w:rsidRDefault="00111DF2" w:rsidP="00111DF2">
      <w:pPr>
        <w:spacing w:after="0" w:line="240" w:lineRule="auto"/>
        <w:ind w:left="709" w:right="709"/>
        <w:jc w:val="both"/>
        <w:rPr>
          <w:rFonts w:ascii="Verdana" w:hAnsi="Verdana" w:cs="Arial"/>
          <w:sz w:val="20"/>
          <w:szCs w:val="20"/>
          <w:lang w:eastAsia="es-ES_tradnl"/>
          <w14:ligatures w14:val="standardContextual"/>
        </w:rPr>
      </w:pPr>
      <w:bookmarkStart w:id="2" w:name="5"/>
      <w:r w:rsidRPr="003A6355">
        <w:rPr>
          <w:rFonts w:ascii="Verdana" w:hAnsi="Verdana" w:cs="Arial"/>
          <w:bCs/>
          <w:sz w:val="20"/>
          <w:szCs w:val="20"/>
          <w:lang w:eastAsia="es-ES_tradnl"/>
          <w14:ligatures w14:val="standardContextual"/>
        </w:rPr>
        <w:t>ARTÍCULO 5o. Ámbito de Aplicación</w:t>
      </w:r>
      <w:r w:rsidRPr="003A6355">
        <w:rPr>
          <w:rFonts w:ascii="Verdana" w:hAnsi="Verdana" w:cs="Arial"/>
          <w:b/>
          <w:bCs/>
          <w:sz w:val="20"/>
          <w:szCs w:val="20"/>
          <w:lang w:eastAsia="es-ES_tradnl"/>
          <w14:ligatures w14:val="standardContextual"/>
        </w:rPr>
        <w:t>.</w:t>
      </w:r>
      <w:bookmarkEnd w:id="2"/>
      <w:r w:rsidRPr="003A6355">
        <w:rPr>
          <w:rFonts w:ascii="Verdana" w:hAnsi="Verdana" w:cs="Arial"/>
          <w:sz w:val="20"/>
          <w:szCs w:val="20"/>
          <w:lang w:eastAsia="es-ES_tradnl"/>
          <w14:ligatures w14:val="standardContextual"/>
        </w:rPr>
        <w:t> &lt;Artículo corregido por el artículo </w:t>
      </w:r>
      <w:hyperlink r:id="rId13" w:anchor="1" w:history="1">
        <w:r w:rsidRPr="003A6355">
          <w:rPr>
            <w:rStyle w:val="Hipervnculo"/>
            <w:rFonts w:ascii="Verdana" w:hAnsi="Verdana" w:cs="Arial"/>
            <w:sz w:val="20"/>
            <w:szCs w:val="20"/>
            <w:lang w:eastAsia="es-ES_tradnl"/>
            <w14:ligatures w14:val="standardContextual"/>
          </w:rPr>
          <w:t>1</w:t>
        </w:r>
      </w:hyperlink>
      <w:r w:rsidRPr="003A6355">
        <w:rPr>
          <w:rFonts w:ascii="Verdana" w:hAnsi="Verdana" w:cs="Arial"/>
          <w:sz w:val="20"/>
          <w:szCs w:val="20"/>
          <w:lang w:eastAsia="es-ES_tradnl"/>
          <w14:ligatures w14:val="standardContextual"/>
        </w:rPr>
        <w:t xml:space="preserve"> del Decreto 1494 de 2015. El nuevo texto es el siguiente:&gt; Las </w:t>
      </w:r>
      <w:r w:rsidRPr="003A6355">
        <w:rPr>
          <w:rFonts w:ascii="Verdana" w:hAnsi="Verdana" w:cs="Arial"/>
          <w:sz w:val="20"/>
          <w:szCs w:val="20"/>
          <w:lang w:eastAsia="es-ES_tradnl"/>
          <w14:ligatures w14:val="standardContextual"/>
        </w:rPr>
        <w:lastRenderedPageBreak/>
        <w:t>disposiciones de esta ley serán aplicables a las siguientes personas en calidad de sujetos obligados:</w:t>
      </w:r>
    </w:p>
    <w:p w14:paraId="3196327D" w14:textId="77777777" w:rsidR="00111DF2" w:rsidRPr="003A6355" w:rsidRDefault="00111DF2" w:rsidP="00111DF2">
      <w:pPr>
        <w:spacing w:after="0" w:line="240" w:lineRule="auto"/>
        <w:ind w:left="709" w:right="709"/>
        <w:jc w:val="both"/>
        <w:rPr>
          <w:rFonts w:ascii="Verdana" w:eastAsia="Times New Roman" w:hAnsi="Verdana" w:cs="Arial"/>
          <w:sz w:val="20"/>
          <w:szCs w:val="20"/>
          <w:lang w:eastAsia="es-ES_tradnl"/>
          <w14:ligatures w14:val="standardContextual"/>
        </w:rPr>
      </w:pPr>
      <w:r w:rsidRPr="003A6355">
        <w:rPr>
          <w:rFonts w:ascii="Verdana" w:eastAsia="Times New Roman" w:hAnsi="Verdana" w:cs="Arial"/>
          <w:sz w:val="20"/>
          <w:szCs w:val="20"/>
          <w:lang w:eastAsia="es-ES_tradnl"/>
          <w14:ligatures w14:val="standardContextual"/>
        </w:rPr>
        <w:t xml:space="preserve">a) </w:t>
      </w:r>
      <w:r w:rsidRPr="003A6355">
        <w:rPr>
          <w:rFonts w:ascii="Verdana" w:eastAsia="Times New Roman" w:hAnsi="Verdana" w:cs="Arial"/>
          <w:i/>
          <w:sz w:val="20"/>
          <w:szCs w:val="20"/>
          <w:lang w:eastAsia="es-ES_tradnl"/>
          <w14:ligatures w14:val="standardContextual"/>
        </w:rPr>
        <w:t>Toda entidad pública, incluyendo las pertenecientes a todas las Ramas del Poder Público, en todos los niveles de la estructura estatal, central o descentralizada por servicios o territorialmente, en los órdenes nacional, departamental, municipal y distrital</w:t>
      </w:r>
      <w:r w:rsidRPr="003A6355">
        <w:rPr>
          <w:rFonts w:ascii="Verdana" w:eastAsia="Times New Roman" w:hAnsi="Verdana" w:cs="Arial"/>
          <w:sz w:val="20"/>
          <w:szCs w:val="20"/>
          <w:lang w:eastAsia="es-ES_tradnl"/>
          <w14:ligatures w14:val="standardContextual"/>
        </w:rPr>
        <w:t>.</w:t>
      </w:r>
    </w:p>
    <w:p w14:paraId="6A1BC1DF" w14:textId="77777777" w:rsidR="00111DF2" w:rsidRPr="003A6355" w:rsidRDefault="00111DF2" w:rsidP="00111DF2">
      <w:pPr>
        <w:spacing w:after="0" w:line="240" w:lineRule="auto"/>
        <w:ind w:left="709" w:right="709"/>
        <w:jc w:val="both"/>
        <w:rPr>
          <w:rFonts w:ascii="Verdana" w:eastAsia="Times New Roman" w:hAnsi="Verdana" w:cs="Arial"/>
          <w:sz w:val="20"/>
          <w:szCs w:val="20"/>
          <w:lang w:eastAsia="es-ES_tradnl"/>
          <w14:ligatures w14:val="standardContextual"/>
        </w:rPr>
      </w:pPr>
      <w:r w:rsidRPr="003A6355">
        <w:rPr>
          <w:rFonts w:ascii="Verdana" w:eastAsia="Times New Roman" w:hAnsi="Verdana" w:cs="Arial"/>
          <w:sz w:val="20"/>
          <w:szCs w:val="20"/>
          <w:lang w:eastAsia="es-ES_tradnl"/>
          <w14:ligatures w14:val="standardContextual"/>
        </w:rPr>
        <w:t>b) Los órganos, organismos y entidades estatales independientes o autónomos y de control.</w:t>
      </w:r>
    </w:p>
    <w:p w14:paraId="45E96765" w14:textId="77777777" w:rsidR="00111DF2" w:rsidRPr="003A6355" w:rsidRDefault="00111DF2" w:rsidP="00111DF2">
      <w:pPr>
        <w:spacing w:after="0" w:line="240" w:lineRule="auto"/>
        <w:ind w:left="709" w:right="709"/>
        <w:jc w:val="both"/>
        <w:rPr>
          <w:rFonts w:ascii="Verdana" w:eastAsia="Times New Roman" w:hAnsi="Verdana" w:cs="Arial"/>
          <w:sz w:val="20"/>
          <w:szCs w:val="20"/>
          <w:lang w:eastAsia="es-ES_tradnl"/>
          <w14:ligatures w14:val="standardContextual"/>
        </w:rPr>
      </w:pPr>
      <w:r w:rsidRPr="003A6355">
        <w:rPr>
          <w:rFonts w:ascii="Verdana" w:eastAsia="Times New Roman" w:hAnsi="Verdana" w:cs="Arial"/>
          <w:sz w:val="20"/>
          <w:szCs w:val="20"/>
          <w:lang w:eastAsia="es-ES_tradnl"/>
          <w14:ligatures w14:val="standardContextual"/>
        </w:rPr>
        <w:t>c) Las personas naturales y jurídicas, públicas o privadas, que presten función pública, que presten servicios públicos respecto de la información directamente relacionada con la prestación del servicio público.</w:t>
      </w:r>
    </w:p>
    <w:p w14:paraId="2630704D" w14:textId="77777777" w:rsidR="00111DF2" w:rsidRPr="003A6355" w:rsidRDefault="00111DF2" w:rsidP="00111DF2">
      <w:pPr>
        <w:spacing w:after="0" w:line="240" w:lineRule="auto"/>
        <w:ind w:left="709" w:right="709"/>
        <w:jc w:val="both"/>
        <w:rPr>
          <w:rFonts w:ascii="Verdana" w:eastAsia="Times New Roman" w:hAnsi="Verdana" w:cs="Arial"/>
          <w:sz w:val="20"/>
          <w:szCs w:val="20"/>
          <w:lang w:eastAsia="es-ES_tradnl"/>
          <w14:ligatures w14:val="standardContextual"/>
        </w:rPr>
      </w:pPr>
      <w:r w:rsidRPr="003A6355">
        <w:rPr>
          <w:rFonts w:ascii="Verdana" w:eastAsia="Times New Roman" w:hAnsi="Verdana" w:cs="Arial"/>
          <w:sz w:val="20"/>
          <w:szCs w:val="20"/>
          <w:lang w:eastAsia="es-ES_tradnl"/>
          <w14:ligatures w14:val="standardContextual"/>
        </w:rPr>
        <w:t xml:space="preserve">d) Cualquier persona natural, jurídica o dependencia de persona jurídica que desempeñe función pública o de </w:t>
      </w:r>
      <w:proofErr w:type="gramStart"/>
      <w:r w:rsidRPr="003A6355">
        <w:rPr>
          <w:rFonts w:ascii="Verdana" w:eastAsia="Times New Roman" w:hAnsi="Verdana" w:cs="Arial"/>
          <w:sz w:val="20"/>
          <w:szCs w:val="20"/>
          <w:lang w:eastAsia="es-ES_tradnl"/>
          <w14:ligatures w14:val="standardContextual"/>
        </w:rPr>
        <w:t>autoridad pública</w:t>
      </w:r>
      <w:proofErr w:type="gramEnd"/>
      <w:r w:rsidRPr="003A6355">
        <w:rPr>
          <w:rFonts w:ascii="Verdana" w:eastAsia="Times New Roman" w:hAnsi="Verdana" w:cs="Arial"/>
          <w:sz w:val="20"/>
          <w:szCs w:val="20"/>
          <w:lang w:eastAsia="es-ES_tradnl"/>
          <w14:ligatures w14:val="standardContextual"/>
        </w:rPr>
        <w:t>, respecto de la información directamente relacionada con el desempeño de su función.</w:t>
      </w:r>
    </w:p>
    <w:p w14:paraId="2B50EEF3" w14:textId="77777777" w:rsidR="00111DF2" w:rsidRPr="003A6355" w:rsidRDefault="00111DF2" w:rsidP="00111DF2">
      <w:pPr>
        <w:spacing w:after="0" w:line="240" w:lineRule="auto"/>
        <w:ind w:left="709" w:right="709"/>
        <w:jc w:val="both"/>
        <w:rPr>
          <w:rFonts w:ascii="Verdana" w:eastAsia="Times New Roman" w:hAnsi="Verdana" w:cs="Arial"/>
          <w:sz w:val="20"/>
          <w:szCs w:val="20"/>
          <w:lang w:eastAsia="es-ES_tradnl"/>
          <w14:ligatures w14:val="standardContextual"/>
        </w:rPr>
      </w:pPr>
      <w:r w:rsidRPr="003A6355">
        <w:rPr>
          <w:rFonts w:ascii="Verdana" w:eastAsia="Times New Roman" w:hAnsi="Verdana" w:cs="Arial"/>
          <w:sz w:val="20"/>
          <w:szCs w:val="20"/>
          <w:lang w:eastAsia="es-ES_tradnl"/>
          <w14:ligatures w14:val="standardContextual"/>
        </w:rPr>
        <w:t>e) Las empresas públicas creadas por ley, las empresas del Estado y sociedades en que este tenga participación.</w:t>
      </w:r>
    </w:p>
    <w:p w14:paraId="5AEBA3DD" w14:textId="77777777" w:rsidR="00111DF2" w:rsidRPr="003A6355" w:rsidRDefault="00111DF2" w:rsidP="00111DF2">
      <w:pPr>
        <w:spacing w:after="0" w:line="240" w:lineRule="auto"/>
        <w:ind w:left="709" w:right="709"/>
        <w:jc w:val="both"/>
        <w:rPr>
          <w:rFonts w:ascii="Verdana" w:eastAsia="Times New Roman" w:hAnsi="Verdana" w:cs="Arial"/>
          <w:sz w:val="20"/>
          <w:szCs w:val="20"/>
          <w:lang w:eastAsia="es-ES_tradnl"/>
          <w14:ligatures w14:val="standardContextual"/>
        </w:rPr>
      </w:pPr>
      <w:r w:rsidRPr="003A6355">
        <w:rPr>
          <w:rFonts w:ascii="Verdana" w:eastAsia="Times New Roman" w:hAnsi="Verdana" w:cs="Arial"/>
          <w:sz w:val="20"/>
          <w:szCs w:val="20"/>
          <w:lang w:eastAsia="es-ES_tradnl"/>
          <w14:ligatures w14:val="standardContextual"/>
        </w:rPr>
        <w:t>f) Los partidos o movimientos políticos y los grupos significativos de ciudadanos.</w:t>
      </w:r>
    </w:p>
    <w:p w14:paraId="1CFA28FC" w14:textId="77777777" w:rsidR="00111DF2" w:rsidRPr="003A6355" w:rsidRDefault="00111DF2" w:rsidP="00111DF2">
      <w:pPr>
        <w:spacing w:after="0" w:line="240" w:lineRule="auto"/>
        <w:ind w:left="709" w:right="709"/>
        <w:jc w:val="both"/>
        <w:rPr>
          <w:rFonts w:ascii="Verdana" w:eastAsia="Times New Roman" w:hAnsi="Verdana" w:cs="Arial"/>
          <w:sz w:val="20"/>
          <w:szCs w:val="20"/>
          <w:lang w:eastAsia="es-ES_tradnl"/>
          <w14:ligatures w14:val="standardContextual"/>
        </w:rPr>
      </w:pPr>
      <w:r w:rsidRPr="003A6355">
        <w:rPr>
          <w:rFonts w:ascii="Verdana" w:eastAsia="Times New Roman" w:hAnsi="Verdana" w:cs="Arial"/>
          <w:sz w:val="20"/>
          <w:szCs w:val="20"/>
          <w:lang w:eastAsia="es-ES_tradnl"/>
          <w14:ligatures w14:val="standardContextual"/>
        </w:rPr>
        <w:t>g) Las entidades que administren instituciones parafiscales, fondos o recursos de naturaleza u origen público.</w:t>
      </w:r>
    </w:p>
    <w:p w14:paraId="4402FAE7" w14:textId="77777777" w:rsidR="00111DF2" w:rsidRPr="003A6355" w:rsidRDefault="00111DF2" w:rsidP="00111DF2">
      <w:pPr>
        <w:spacing w:after="0" w:line="240" w:lineRule="auto"/>
        <w:ind w:left="709" w:right="709"/>
        <w:jc w:val="both"/>
        <w:rPr>
          <w:rFonts w:ascii="Verdana" w:eastAsia="Times New Roman" w:hAnsi="Verdana" w:cs="Arial"/>
          <w:sz w:val="20"/>
          <w:szCs w:val="20"/>
          <w:lang w:eastAsia="es-ES_tradnl"/>
          <w14:ligatures w14:val="standardContextual"/>
        </w:rPr>
      </w:pPr>
      <w:r w:rsidRPr="003A6355">
        <w:rPr>
          <w:rFonts w:ascii="Verdana" w:eastAsia="Times New Roman" w:hAnsi="Verdana" w:cs="Arial"/>
          <w:sz w:val="20"/>
          <w:szCs w:val="20"/>
          <w:lang w:eastAsia="es-ES_tradnl"/>
          <w14:ligatures w14:val="standardContextual"/>
        </w:rPr>
        <w:t>Las personas naturales o jurídicas que reciban o intermedien fondos o beneficios públicos territoriales y nacionales y no cumplan ninguno de los otros requisitos para ser considerados sujetos obligados, solo deberán cumplir con la presente ley respecto de aquella información que se produzca en relación con fondos públicos que reciban o intermedien.</w:t>
      </w:r>
    </w:p>
    <w:p w14:paraId="416041F7" w14:textId="77777777" w:rsidR="00111DF2" w:rsidRPr="003A6355" w:rsidRDefault="00111DF2" w:rsidP="00111DF2">
      <w:pPr>
        <w:spacing w:after="0" w:line="240" w:lineRule="auto"/>
        <w:ind w:left="709" w:right="709"/>
        <w:jc w:val="both"/>
        <w:rPr>
          <w:rFonts w:ascii="Verdana" w:eastAsia="Times New Roman" w:hAnsi="Verdana" w:cs="Arial"/>
          <w:sz w:val="20"/>
          <w:szCs w:val="20"/>
          <w:lang w:eastAsia="es-ES_tradnl"/>
          <w14:ligatures w14:val="standardContextual"/>
        </w:rPr>
      </w:pPr>
      <w:r w:rsidRPr="003A6355">
        <w:rPr>
          <w:rFonts w:ascii="Verdana" w:eastAsia="Times New Roman" w:hAnsi="Verdana" w:cs="Arial"/>
          <w:bCs/>
          <w:sz w:val="20"/>
          <w:szCs w:val="20"/>
          <w:lang w:eastAsia="es-ES_tradnl"/>
          <w14:ligatures w14:val="standardContextual"/>
        </w:rPr>
        <w:t>PARÁGRAFO 1o</w:t>
      </w:r>
      <w:r w:rsidRPr="003A6355">
        <w:rPr>
          <w:rFonts w:ascii="Verdana" w:eastAsia="Times New Roman" w:hAnsi="Verdana" w:cs="Arial"/>
          <w:b/>
          <w:bCs/>
          <w:sz w:val="20"/>
          <w:szCs w:val="20"/>
          <w:lang w:eastAsia="es-ES_tradnl"/>
          <w14:ligatures w14:val="standardContextual"/>
        </w:rPr>
        <w:t>.</w:t>
      </w:r>
      <w:r w:rsidRPr="003A6355">
        <w:rPr>
          <w:rFonts w:ascii="Verdana" w:eastAsia="Times New Roman" w:hAnsi="Verdana" w:cs="Arial"/>
          <w:sz w:val="20"/>
          <w:szCs w:val="20"/>
          <w:lang w:eastAsia="es-ES_tradnl"/>
          <w14:ligatures w14:val="standardContextual"/>
        </w:rPr>
        <w:t> No serán sujetos obligados aquellas personas naturales o jurídicas de carácter privado que sean usuarios de información pública (énfasis fuera de texto).</w:t>
      </w:r>
    </w:p>
    <w:p w14:paraId="24CF769A" w14:textId="77777777" w:rsidR="00111DF2" w:rsidRDefault="00111DF2" w:rsidP="00111DF2">
      <w:pPr>
        <w:spacing w:after="0" w:line="240" w:lineRule="auto"/>
        <w:ind w:firstLine="709"/>
        <w:jc w:val="both"/>
        <w:rPr>
          <w:rFonts w:ascii="Verdana" w:eastAsia="Times New Roman" w:hAnsi="Verdana" w:cs="Arial"/>
          <w:lang w:val="es-ES_tradnl" w:eastAsia="es-ES_tradnl"/>
          <w14:ligatures w14:val="standardContextual"/>
        </w:rPr>
      </w:pPr>
    </w:p>
    <w:p w14:paraId="4605AB91" w14:textId="77777777" w:rsidR="00111DF2" w:rsidRDefault="00111DF2" w:rsidP="00111DF2">
      <w:pPr>
        <w:spacing w:before="120" w:after="120" w:line="276" w:lineRule="auto"/>
        <w:ind w:firstLine="708"/>
        <w:jc w:val="both"/>
        <w:rPr>
          <w:rFonts w:ascii="Verdana" w:eastAsia="Times New Roman" w:hAnsi="Verdana" w:cs="Arial"/>
          <w:lang w:val="es-ES_tradnl" w:eastAsia="es-ES_tradnl"/>
          <w14:ligatures w14:val="standardContextual"/>
        </w:rPr>
      </w:pPr>
      <w:r>
        <w:rPr>
          <w:rFonts w:ascii="Verdana" w:eastAsia="Times New Roman" w:hAnsi="Verdana" w:cs="Arial"/>
          <w:lang w:val="es-ES_tradnl" w:eastAsia="es-ES_tradnl"/>
          <w14:ligatures w14:val="standardContextual"/>
        </w:rPr>
        <w:t xml:space="preserve">A partir de la lista de quienes son los sujetos obligados a publicar la información, puede inferirse que las entidades territoriales tienen la obligación de </w:t>
      </w:r>
      <w:r w:rsidRPr="002A3450">
        <w:rPr>
          <w:rFonts w:ascii="Verdana" w:eastAsia="Times New Roman" w:hAnsi="Verdana" w:cs="Arial"/>
          <w:lang w:val="es-ES_tradnl" w:eastAsia="es-ES_tradnl"/>
          <w14:ligatures w14:val="standardContextual"/>
        </w:rPr>
        <w:t>publicar la información relativa a su contratación</w:t>
      </w:r>
      <w:r>
        <w:rPr>
          <w:rFonts w:ascii="Verdana" w:eastAsia="Times New Roman" w:hAnsi="Verdana" w:cs="Arial"/>
          <w:lang w:val="es-ES_tradnl" w:eastAsia="es-ES_tradnl"/>
          <w14:ligatures w14:val="standardContextual"/>
        </w:rPr>
        <w:t xml:space="preserve">, así como las entidades descentralizadas por servicios. Esta obligación del deber de publicar fue </w:t>
      </w:r>
      <w:r w:rsidRPr="002A3450">
        <w:rPr>
          <w:rFonts w:ascii="Verdana" w:eastAsia="Times New Roman" w:hAnsi="Verdana" w:cs="Arial"/>
          <w:lang w:val="es-ES_tradnl" w:eastAsia="es-ES_tradnl"/>
          <w14:ligatures w14:val="standardContextual"/>
        </w:rPr>
        <w:t>desarrollada por el Decreto Único Reglamentario 1081 de 2015</w:t>
      </w:r>
      <w:r w:rsidRPr="002A3450">
        <w:rPr>
          <w:rFonts w:ascii="Verdana" w:eastAsia="Times New Roman" w:hAnsi="Verdana" w:cs="Arial"/>
          <w:vertAlign w:val="superscript"/>
          <w:lang w:val="es-ES_tradnl" w:eastAsia="es-ES_tradnl"/>
          <w14:ligatures w14:val="standardContextual"/>
        </w:rPr>
        <w:footnoteReference w:id="11"/>
      </w:r>
      <w:r w:rsidRPr="002A3450">
        <w:rPr>
          <w:rFonts w:ascii="Verdana" w:eastAsia="Times New Roman" w:hAnsi="Verdana" w:cs="Arial"/>
          <w:lang w:val="es-ES_tradnl" w:eastAsia="es-ES_tradnl"/>
          <w14:ligatures w14:val="standardContextual"/>
        </w:rPr>
        <w:t>, el cual dispuso que la publicación de la información contractual de los sujetos obligados, que contratan con cargo a recursos públicos, debe hacerse en el SECOP.</w:t>
      </w:r>
      <w:r>
        <w:rPr>
          <w:rFonts w:ascii="Verdana" w:eastAsia="Times New Roman" w:hAnsi="Verdana" w:cs="Arial"/>
          <w:lang w:val="es-ES_tradnl" w:eastAsia="es-ES_tradnl"/>
          <w14:ligatures w14:val="standardContextual"/>
        </w:rPr>
        <w:t xml:space="preserve"> </w:t>
      </w:r>
      <w:r w:rsidRPr="00E806EA">
        <w:rPr>
          <w:rFonts w:ascii="Verdana" w:eastAsia="Times New Roman" w:hAnsi="Verdana" w:cs="Arial"/>
          <w:lang w:val="es-ES_tradnl" w:eastAsia="es-ES_tradnl"/>
          <w14:ligatures w14:val="standardContextual"/>
        </w:rPr>
        <w:t xml:space="preserve">Asimismo, </w:t>
      </w:r>
      <w:r w:rsidRPr="00E806EA">
        <w:rPr>
          <w:rFonts w:ascii="Verdana" w:eastAsia="Times New Roman" w:hAnsi="Verdana" w:cs="Arial"/>
          <w:lang w:val="es-ES_tradnl" w:eastAsia="es-ES_tradnl"/>
          <w14:ligatures w14:val="standardContextual"/>
        </w:rPr>
        <w:lastRenderedPageBreak/>
        <w:t xml:space="preserve">de acuerdo con el literal g) del artículo 11 de </w:t>
      </w:r>
      <w:r>
        <w:rPr>
          <w:rFonts w:ascii="Verdana" w:eastAsia="Times New Roman" w:hAnsi="Verdana" w:cs="Arial"/>
          <w:lang w:val="es-ES_tradnl" w:eastAsia="es-ES_tradnl"/>
          <w14:ligatures w14:val="standardContextual"/>
        </w:rPr>
        <w:t>la L</w:t>
      </w:r>
      <w:r w:rsidRPr="00E806EA">
        <w:rPr>
          <w:rFonts w:ascii="Verdana" w:eastAsia="Times New Roman" w:hAnsi="Verdana" w:cs="Arial"/>
          <w:lang w:val="es-ES_tradnl" w:eastAsia="es-ES_tradnl"/>
          <w14:ligatures w14:val="standardContextual"/>
        </w:rPr>
        <w:t>ey</w:t>
      </w:r>
      <w:r>
        <w:rPr>
          <w:rFonts w:ascii="Verdana" w:eastAsia="Times New Roman" w:hAnsi="Verdana" w:cs="Arial"/>
          <w:lang w:val="es-ES_tradnl" w:eastAsia="es-ES_tradnl"/>
          <w14:ligatures w14:val="standardContextual"/>
        </w:rPr>
        <w:t xml:space="preserve"> 1712 de 2014</w:t>
      </w:r>
      <w:r w:rsidRPr="00E806EA">
        <w:rPr>
          <w:rFonts w:ascii="Verdana" w:eastAsia="Times New Roman" w:hAnsi="Verdana" w:cs="Arial"/>
          <w:lang w:val="es-ES_tradnl" w:eastAsia="es-ES_tradnl"/>
          <w14:ligatures w14:val="standardContextual"/>
        </w:rPr>
        <w:t xml:space="preserve">, todos los destinatarios de la </w:t>
      </w:r>
      <w:r>
        <w:rPr>
          <w:rFonts w:ascii="Verdana" w:eastAsia="Times New Roman" w:hAnsi="Verdana" w:cs="Arial"/>
          <w:lang w:val="es-ES_tradnl" w:eastAsia="es-ES_tradnl"/>
          <w14:ligatures w14:val="standardContextual"/>
        </w:rPr>
        <w:t xml:space="preserve">Ley Estatutaria de Transparencia y Acceso a la Información Pública </w:t>
      </w:r>
      <w:r w:rsidRPr="00E806EA">
        <w:rPr>
          <w:rFonts w:ascii="Verdana" w:eastAsia="Times New Roman" w:hAnsi="Verdana" w:cs="Arial"/>
          <w:lang w:val="es-ES_tradnl" w:eastAsia="es-ES_tradnl"/>
          <w14:ligatures w14:val="standardContextual"/>
        </w:rPr>
        <w:t xml:space="preserve">deben garantizar la publicidad de “sus procedimientos, lineamientos, políticas en materia de adquisiciones y compras, así como todos los datos de adjudicación y ejecución de contratos, incluidos concursos y licitaciones”, y esta información también debe estar en el SECOP. </w:t>
      </w:r>
    </w:p>
    <w:p w14:paraId="6293A74D" w14:textId="77777777" w:rsidR="00111DF2" w:rsidRDefault="00111DF2" w:rsidP="00111DF2">
      <w:pPr>
        <w:spacing w:before="120" w:after="120" w:line="276" w:lineRule="auto"/>
        <w:ind w:firstLine="709"/>
        <w:jc w:val="both"/>
        <w:rPr>
          <w:rFonts w:ascii="Verdana" w:eastAsia="Times New Roman" w:hAnsi="Verdana" w:cs="Arial"/>
          <w:lang w:val="es-ES_tradnl" w:eastAsia="es-ES_tradnl"/>
          <w14:ligatures w14:val="standardContextual"/>
        </w:rPr>
      </w:pPr>
      <w:r w:rsidRPr="00E806EA">
        <w:rPr>
          <w:rFonts w:ascii="Verdana" w:eastAsia="Times New Roman" w:hAnsi="Verdana" w:cs="Arial"/>
          <w:lang w:val="es-ES_tradnl" w:eastAsia="es-ES_tradnl"/>
          <w14:ligatures w14:val="standardContextua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w:t>
      </w:r>
      <w:r w:rsidRPr="00B300BE">
        <w:rPr>
          <w:rFonts w:ascii="Verdana" w:eastAsia="Times New Roman" w:hAnsi="Verdana" w:cs="Arial"/>
          <w:vertAlign w:val="superscript"/>
          <w:lang w:val="es-ES_tradnl" w:eastAsia="es-ES_tradnl"/>
          <w14:ligatures w14:val="standardContextual"/>
        </w:rPr>
        <w:footnoteReference w:id="12"/>
      </w:r>
      <w:r w:rsidRPr="00E806EA">
        <w:rPr>
          <w:rFonts w:ascii="Verdana" w:eastAsia="Times New Roman" w:hAnsi="Verdana" w:cs="Arial"/>
          <w:lang w:val="es-ES_tradnl" w:eastAsia="es-ES_tradnl"/>
          <w14:ligatures w14:val="standardContextual"/>
        </w:rPr>
        <w:t>. 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558615B4" w14:textId="77777777" w:rsidR="00111DF2" w:rsidRDefault="00111DF2" w:rsidP="00111DF2">
      <w:pPr>
        <w:tabs>
          <w:tab w:val="left" w:pos="709"/>
        </w:tabs>
        <w:spacing w:before="120" w:after="0" w:line="276" w:lineRule="auto"/>
        <w:ind w:firstLine="709"/>
        <w:jc w:val="both"/>
        <w:rPr>
          <w:rFonts w:ascii="Verdana" w:hAnsi="Verdana" w:cs="Arial"/>
          <w:shd w:val="clear" w:color="auto" w:fill="FFFFFF"/>
        </w:rPr>
      </w:pPr>
      <w:r w:rsidRPr="00052904">
        <w:rPr>
          <w:rFonts w:ascii="Verdana" w:hAnsi="Verdana" w:cs="Arial"/>
          <w:shd w:val="clear" w:color="auto" w:fill="FFFFFF"/>
        </w:rPr>
        <w:t xml:space="preserve">La expresión </w:t>
      </w:r>
      <w:r w:rsidRPr="00052904">
        <w:rPr>
          <w:rFonts w:ascii="Verdana" w:hAnsi="Verdana" w:cs="Arial"/>
          <w:i/>
          <w:iCs/>
          <w:shd w:val="clear" w:color="auto" w:fill="FFFFFF"/>
        </w:rPr>
        <w:t xml:space="preserve">Documentos del Proceso </w:t>
      </w:r>
      <w:r w:rsidRPr="00052904">
        <w:rPr>
          <w:rFonts w:ascii="Verdana" w:hAnsi="Verdana" w:cs="Arial"/>
          <w:shd w:val="clear" w:color="auto" w:fill="FFFFFF"/>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Pr="00052904">
        <w:rPr>
          <w:rFonts w:ascii="Verdana" w:hAnsi="Verdana" w:cs="Arial"/>
          <w:i/>
          <w:iCs/>
          <w:shd w:val="clear" w:color="auto" w:fill="FFFFFF"/>
        </w:rPr>
        <w:t>y cualquier otro documento expedido por la Entidad Estatal durante el Proceso de Contratación</w:t>
      </w:r>
      <w:r w:rsidRPr="00052904">
        <w:rPr>
          <w:rFonts w:ascii="Verdana" w:hAnsi="Verdana" w:cs="Arial"/>
          <w:shd w:val="clear" w:color="auto" w:fill="FFFFFF"/>
        </w:rPr>
        <w:t>”. [Énfasis fuera de texto]</w:t>
      </w:r>
      <w:r>
        <w:rPr>
          <w:rFonts w:ascii="Verdana" w:hAnsi="Verdana" w:cs="Arial"/>
          <w:shd w:val="clear" w:color="auto" w:fill="FFFFFF"/>
        </w:rPr>
        <w:t xml:space="preserve"> </w:t>
      </w:r>
      <w:r w:rsidRPr="00EF0BDA">
        <w:rPr>
          <w:rFonts w:ascii="Verdana" w:hAnsi="Verdana" w:cs="Arial"/>
          <w:shd w:val="clear" w:color="auto" w:fill="FFFFFF"/>
        </w:rPr>
        <w:t xml:space="preserve">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EF0BDA">
        <w:rPr>
          <w:rFonts w:ascii="Verdana" w:hAnsi="Verdana" w:cs="Arial"/>
          <w:i/>
          <w:iCs/>
          <w:shd w:val="clear" w:color="auto" w:fill="FFFFFF"/>
        </w:rPr>
        <w:t>Ibidem</w:t>
      </w:r>
      <w:r w:rsidRPr="00EF0BDA">
        <w:rPr>
          <w:rFonts w:ascii="Verdana" w:hAnsi="Verdana" w:cs="Arial"/>
          <w:shd w:val="clear" w:color="auto" w:fill="FFFFFF"/>
        </w:rPr>
        <w:t xml:space="preserve"> recoge en la noción de Documentos del Proceso “cualquier otro documento expedido por la Entidad Estatal durante el Proceso de Contratación”. </w:t>
      </w:r>
    </w:p>
    <w:p w14:paraId="13FB8757" w14:textId="77777777" w:rsidR="00111DF2" w:rsidRDefault="00111DF2" w:rsidP="00111DF2">
      <w:pPr>
        <w:tabs>
          <w:tab w:val="left" w:pos="709"/>
        </w:tabs>
        <w:spacing w:before="120" w:after="0" w:line="276" w:lineRule="auto"/>
        <w:ind w:firstLine="709"/>
        <w:jc w:val="both"/>
        <w:rPr>
          <w:rFonts w:ascii="Verdana" w:hAnsi="Verdana" w:cs="Arial"/>
          <w:shd w:val="clear" w:color="auto" w:fill="FFFFFF"/>
        </w:rPr>
      </w:pPr>
      <w:r w:rsidRPr="00EF0BDA">
        <w:rPr>
          <w:rFonts w:ascii="Verdana" w:hAnsi="Verdana" w:cs="Arial"/>
          <w:shd w:val="clear" w:color="auto" w:fill="FFFFFF"/>
        </w:rPr>
        <w:t xml:space="preserve">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w:t>
      </w:r>
      <w:r>
        <w:rPr>
          <w:rFonts w:ascii="Verdana" w:hAnsi="Verdana" w:cs="Arial"/>
          <w:shd w:val="clear" w:color="auto" w:fill="FFFFFF"/>
        </w:rPr>
        <w:t xml:space="preserve">se refiere </w:t>
      </w:r>
      <w:r w:rsidRPr="00EF0BDA">
        <w:rPr>
          <w:rFonts w:ascii="Verdana" w:hAnsi="Verdana" w:cs="Arial"/>
          <w:shd w:val="clear" w:color="auto" w:fill="FFFFFF"/>
        </w:rPr>
        <w:t xml:space="preserve">a los documentos “expedidos por la entidad estatal” durante el proceso de contratación, excluyendo de la </w:t>
      </w:r>
      <w:r w:rsidRPr="00EF0BDA">
        <w:rPr>
          <w:rFonts w:ascii="Verdana" w:hAnsi="Verdana" w:cs="Arial"/>
          <w:shd w:val="clear" w:color="auto" w:fill="FFFFFF"/>
        </w:rPr>
        <w:lastRenderedPageBreak/>
        <w:t>noción de Documentos del Proceso los expedidos por un sujeto distinto a la entidad, salvo la oferta, la cual se incluye expresamente en el referido artículo 2.2.1.1.1.3.</w:t>
      </w:r>
    </w:p>
    <w:p w14:paraId="3383CC21" w14:textId="77777777" w:rsidR="00111DF2" w:rsidRDefault="00111DF2" w:rsidP="00111DF2">
      <w:pPr>
        <w:tabs>
          <w:tab w:val="left" w:pos="709"/>
        </w:tabs>
        <w:spacing w:before="120" w:after="120" w:line="276" w:lineRule="auto"/>
        <w:ind w:firstLine="709"/>
        <w:jc w:val="both"/>
        <w:rPr>
          <w:rFonts w:ascii="Verdana" w:hAnsi="Verdana" w:cs="Arial"/>
          <w:shd w:val="clear" w:color="auto" w:fill="FFFFFF"/>
        </w:rPr>
      </w:pPr>
      <w:r w:rsidRPr="00F14C13">
        <w:rPr>
          <w:rFonts w:ascii="Verdana" w:hAnsi="Verdana" w:cs="Arial"/>
          <w:shd w:val="clear" w:color="auto" w:fill="FFFFFF"/>
        </w:rPr>
        <w:t>En ese sentido, 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w:t>
      </w:r>
      <w:r>
        <w:rPr>
          <w:rFonts w:ascii="Verdana" w:hAnsi="Verdana" w:cs="Arial"/>
          <w:shd w:val="clear" w:color="auto" w:fill="FFFFFF"/>
        </w:rPr>
        <w:t xml:space="preserve"> </w:t>
      </w:r>
      <w:r w:rsidRPr="00F14C13">
        <w:rPr>
          <w:rFonts w:ascii="Verdana" w:hAnsi="Verdana" w:cs="Arial"/>
          <w:shd w:val="clear" w:color="auto" w:fill="FFFFFF"/>
        </w:rPr>
        <w:t>de ejecu</w:t>
      </w:r>
      <w:r>
        <w:rPr>
          <w:rFonts w:ascii="Verdana" w:hAnsi="Verdana" w:cs="Arial"/>
          <w:shd w:val="clear" w:color="auto" w:fill="FFFFFF"/>
        </w:rPr>
        <w:t xml:space="preserve">ción y </w:t>
      </w:r>
      <w:proofErr w:type="spellStart"/>
      <w:r>
        <w:rPr>
          <w:rFonts w:ascii="Verdana" w:hAnsi="Verdana" w:cs="Arial"/>
          <w:shd w:val="clear" w:color="auto" w:fill="FFFFFF"/>
        </w:rPr>
        <w:t>postcontractual</w:t>
      </w:r>
      <w:proofErr w:type="spellEnd"/>
      <w:r>
        <w:rPr>
          <w:rFonts w:ascii="Verdana" w:hAnsi="Verdana" w:cs="Arial"/>
          <w:shd w:val="clear" w:color="auto" w:fill="FFFFFF"/>
        </w:rPr>
        <w:t xml:space="preserve"> deberán publicarse</w:t>
      </w:r>
      <w:r w:rsidRPr="00F14C13">
        <w:rPr>
          <w:rFonts w:ascii="Verdana" w:hAnsi="Verdana" w:cs="Arial"/>
          <w:shd w:val="clear" w:color="auto" w:fill="FFFFFF"/>
        </w:rPr>
        <w:t xml:space="preserve"> en SECOP dentro de los tres (3) días siguientes a su expedición, para cumplir el deber de publicidad regulado por el artículo 2.2.1.1.1.7.1. del Decreto 1082 de 2015.</w:t>
      </w:r>
    </w:p>
    <w:p w14:paraId="623AD851" w14:textId="77777777" w:rsidR="00111DF2" w:rsidRPr="007D65AA" w:rsidRDefault="00111DF2" w:rsidP="00111DF2">
      <w:pPr>
        <w:tabs>
          <w:tab w:val="left" w:pos="709"/>
        </w:tabs>
        <w:spacing w:before="120" w:after="120" w:line="276" w:lineRule="auto"/>
        <w:ind w:firstLine="709"/>
        <w:jc w:val="both"/>
        <w:rPr>
          <w:rFonts w:ascii="Verdana" w:hAnsi="Verdana" w:cs="Arial"/>
          <w:shd w:val="clear" w:color="auto" w:fill="FFFFFF"/>
        </w:rPr>
      </w:pPr>
      <w:r w:rsidRPr="007D65AA">
        <w:rPr>
          <w:rFonts w:ascii="Verdana" w:hAnsi="Verdana" w:cs="Arial"/>
          <w:shd w:val="clear" w:color="auto" w:fill="FFFFFF"/>
        </w:rPr>
        <w:t>Con el propósito de garantizar el cumplimiento del mencionado deber de publicidad, se le asignó a la Agencia Nacional de Contratación Pública - Colombia Compra Eficiente, la función de administrar el SECOP</w:t>
      </w:r>
      <w:r w:rsidRPr="007D65AA">
        <w:rPr>
          <w:rFonts w:ascii="Verdana" w:hAnsi="Verdana" w:cs="Arial"/>
          <w:shd w:val="clear" w:color="auto" w:fill="FFFFFF"/>
          <w:vertAlign w:val="superscript"/>
        </w:rPr>
        <w:footnoteReference w:id="13"/>
      </w:r>
      <w:r w:rsidRPr="007D65AA">
        <w:rPr>
          <w:rFonts w:ascii="Verdana" w:hAnsi="Verdana" w:cs="Arial"/>
          <w:shd w:val="clear" w:color="auto" w:fill="FFFFFF"/>
        </w:rPr>
        <w:t>. Dicha plataforma ha tenido dos versiones, esto es, el SECOP I y el SECOP II. La primera versión de la plataforma –SECOP I–, sólo funciona como medio de publicidad, es decir, no es transaccional, lo que significa que el procedimiento contractual ocurre fuera de la plataforma y a través de un expediente físico en la entidad, pero las actuaciones y los documentos se convierten en electrónicos para ser cargados a la plataforma, por quien tenga la función dentro de la entidad, de acuerdo con su organización interna.</w:t>
      </w:r>
    </w:p>
    <w:p w14:paraId="06897C76" w14:textId="77777777" w:rsidR="00111DF2" w:rsidRPr="00AD6B46" w:rsidRDefault="00111DF2" w:rsidP="00111DF2">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el SECOP II, es una plataforma transaccional que permite gestionar en línea los procedimientos de contratación, 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ejecución del contrato. Los proveedores pueden hacer comentarios a los documentos del procedimiento, presentar ofertas y seguir el procedimiento de selección en línea.</w:t>
      </w:r>
    </w:p>
    <w:p w14:paraId="637876F5" w14:textId="77777777" w:rsidR="00111DF2" w:rsidRPr="00AD6B46" w:rsidRDefault="00111DF2" w:rsidP="00111DF2">
      <w:pPr>
        <w:spacing w:after="120" w:line="276" w:lineRule="auto"/>
        <w:ind w:firstLine="709"/>
        <w:jc w:val="both"/>
        <w:rPr>
          <w:rFonts w:ascii="Verdana" w:eastAsia="Calibri" w:hAnsi="Verdana" w:cs="Arial"/>
          <w:lang w:val="es-ES"/>
        </w:rPr>
      </w:pPr>
      <w:r w:rsidRPr="00AD6B46">
        <w:rPr>
          <w:rFonts w:ascii="Verdana" w:eastAsia="Calibri" w:hAnsi="Verdana" w:cs="Arial"/>
          <w:lang w:val="es-ES"/>
        </w:rPr>
        <w:lastRenderedPageBreak/>
        <w:t xml:space="preserve">Sin embargo, pese a que los documentos que deben publicarse en el SECOP II corresponden a los mismos que deben publicarse en el SECOP I, esto es, todos los expedidos con ocasión el proceso de contratación con excepción de los expresamente excluidos, la naturaleza transaccional del SECOP II implica que los procesos contractuales no sólo deban ser publicados mediante esta plataforma, sino también gestionados a través de ella, al consistir la mayoría de los hitos contractuales en documentos y actuaciones electrónicas generadas en tiempo real, de tal manera que el proceso contractual avanza en la medida en la que se generen y aprueben estos documentos y actuaciones electrónicas en la plataforma. Esto a diferencia de los procesos publicados en el SECOP I, en los que primero se generan los documentos escritos y luego se publican en la plataforma dentro del plazo de tres (3) días previsto en el artículo 2.2.1.1.1.7.1 del Decreto 1082 de 2015. </w:t>
      </w:r>
    </w:p>
    <w:p w14:paraId="1F7888C5" w14:textId="77777777" w:rsidR="00111DF2" w:rsidRPr="00AD6B46" w:rsidRDefault="00111DF2" w:rsidP="00111DF2">
      <w:pPr>
        <w:tabs>
          <w:tab w:val="left" w:pos="709"/>
        </w:tabs>
        <w:spacing w:before="120" w:after="120" w:line="276" w:lineRule="auto"/>
        <w:ind w:firstLine="709"/>
        <w:jc w:val="both"/>
        <w:rPr>
          <w:rFonts w:ascii="Verdana" w:eastAsia="Calibri" w:hAnsi="Verdana" w:cs="Arial"/>
          <w:color w:val="000000"/>
        </w:rPr>
      </w:pPr>
      <w:r w:rsidRPr="00AD6B46">
        <w:rPr>
          <w:rFonts w:ascii="Verdana" w:hAnsi="Verdana" w:cs="Arial"/>
          <w:shd w:val="clear" w:color="auto" w:fill="FFFFFF"/>
        </w:rPr>
        <w:t xml:space="preserve">Conforme a lo anterior, es clara la obligatoriedad de publicar la información de la actividad contractual que se realiza con cargo a recursos públicos en el SECOP, incluidas aquellas con regímenes contractuales especiales. En tal sentido, </w:t>
      </w:r>
      <w:r w:rsidRPr="00AD6B46">
        <w:rPr>
          <w:rFonts w:ascii="Verdana" w:eastAsia="Calibri" w:hAnsi="Verdana" w:cs="Arial"/>
          <w:color w:val="000000"/>
        </w:rPr>
        <w:t xml:space="preserve">debe destacarse el artículo 53 de la Ley 2195 de 2022 que modifica el artículo 13 de la Ley 1150 de 2007 que estableció la obligación de las Entidades Estatales exceptuadas del Estatuto General de Contratación de la Administración Pública de publicar en el SECOP II –es decir en la plataforma transaccional vigente– su actividad contractual. Así pues, respecto de los documentos que deben publicarse en el SECOP II a efectos de cumplir el mandato consagrado en el artículo 53 de la Ley 2195 de 2022, es preciso advertir que la disposición hace referencia a los documentos relacionados con su actividad contractual, la cual define como “[…] los documentos, contratos, actos e información generada por oferentes, contratista, contratante, supervisor o interventor, tanto en la etapa precontractual, como en la contractual y la </w:t>
      </w:r>
      <w:proofErr w:type="spellStart"/>
      <w:r w:rsidRPr="00AD6B46">
        <w:rPr>
          <w:rFonts w:ascii="Verdana" w:eastAsia="Calibri" w:hAnsi="Verdana" w:cs="Arial"/>
          <w:color w:val="000000"/>
        </w:rPr>
        <w:t>post-contractual</w:t>
      </w:r>
      <w:proofErr w:type="spellEnd"/>
      <w:r w:rsidRPr="00AD6B46">
        <w:rPr>
          <w:rFonts w:ascii="Verdana" w:eastAsia="Calibri" w:hAnsi="Verdana" w:cs="Arial"/>
          <w:color w:val="000000"/>
        </w:rPr>
        <w:t>”.</w:t>
      </w:r>
    </w:p>
    <w:p w14:paraId="6E23B964" w14:textId="77777777" w:rsidR="00111DF2" w:rsidRPr="00776115" w:rsidRDefault="00111DF2" w:rsidP="00111DF2">
      <w:pPr>
        <w:spacing w:after="120" w:line="276" w:lineRule="auto"/>
        <w:ind w:firstLine="709"/>
        <w:jc w:val="both"/>
        <w:rPr>
          <w:rFonts w:ascii="Verdana" w:eastAsia="Calibri" w:hAnsi="Verdana" w:cs="Arial"/>
          <w:color w:val="000000"/>
          <w:sz w:val="21"/>
          <w:szCs w:val="21"/>
        </w:rPr>
      </w:pPr>
      <w:r w:rsidRPr="00AD6B46">
        <w:rPr>
          <w:rFonts w:ascii="Verdana" w:eastAsia="Calibri" w:hAnsi="Verdana" w:cs="Arial"/>
          <w:color w:val="000000"/>
        </w:rPr>
        <w:t xml:space="preserve">En ese sentido, dicho precepto anteriormente referenciado establece el deber de publicar toda aquella información relacionada con el respectivo contrato, sin incluir ninguna excepción relacionada con la naturaleza u objeto contractual. Por lo tanto, para que las entidades exceptuadas cumplan con el deber de publicidad consagrado en el artículo 53 de la Ley 2195 de 2022 que </w:t>
      </w:r>
      <w:r w:rsidRPr="00AD6B46">
        <w:rPr>
          <w:rFonts w:ascii="Verdana" w:eastAsia="Calibri" w:hAnsi="Verdana" w:cs="Arial"/>
          <w:color w:val="000000"/>
        </w:rPr>
        <w:lastRenderedPageBreak/>
        <w:t>modificó el artículo 13 de la Ley 1150 de 2007</w:t>
      </w:r>
      <w:r w:rsidRPr="00AD6B46">
        <w:rPr>
          <w:rFonts w:ascii="Verdana" w:eastAsia="Calibri" w:hAnsi="Verdana" w:cs="Arial"/>
          <w:color w:val="000000"/>
          <w:vertAlign w:val="superscript"/>
        </w:rPr>
        <w:footnoteReference w:id="14"/>
      </w:r>
      <w:r w:rsidRPr="00AD6B46">
        <w:rPr>
          <w:rFonts w:ascii="Verdana" w:eastAsia="Calibri" w:hAnsi="Verdana" w:cs="Arial"/>
          <w:color w:val="000000"/>
        </w:rPr>
        <w:t xml:space="preserve">, se requiere que publiquen en el SECOP II todo documento expedido durante las diferentes etapas del proceso contractual, abarcando desde la fase previa a su celebración, pasando por la ejecución y hasta la fase posterior a su ejecución. Adicionalmente se aclara, que el cumplimiento del deber de publicación de la documentación contractual debe armonizarse con las normas aplicables al tipo de información que estas contienen, si procede restricción de esta por una reserva constitucional o legal. </w:t>
      </w:r>
    </w:p>
    <w:p w14:paraId="6B8C2AA2" w14:textId="77777777" w:rsidR="00111DF2" w:rsidRPr="00114140" w:rsidRDefault="00111DF2" w:rsidP="00111DF2">
      <w:pPr>
        <w:spacing w:after="0" w:line="276" w:lineRule="auto"/>
        <w:ind w:firstLine="567"/>
        <w:jc w:val="both"/>
        <w:rPr>
          <w:rFonts w:ascii="Verdana" w:eastAsia="Calibri" w:hAnsi="Verdana" w:cs="Arial"/>
          <w:lang w:val="es-ES"/>
        </w:rPr>
      </w:pPr>
      <w:r>
        <w:rPr>
          <w:rFonts w:ascii="Verdana" w:eastAsia="Calibri" w:hAnsi="Verdana" w:cs="Arial"/>
        </w:rPr>
        <w:t>Teniendo en cuenta, la obligatoriedad de</w:t>
      </w:r>
      <w:r w:rsidRPr="00776115">
        <w:rPr>
          <w:rFonts w:ascii="Verdana" w:eastAsia="Calibri" w:hAnsi="Verdana" w:cs="Arial"/>
          <w:lang w:val="es-ES"/>
        </w:rPr>
        <w:t xml:space="preserve"> SECOP II </w:t>
      </w:r>
      <w:r>
        <w:rPr>
          <w:rFonts w:ascii="Verdana" w:eastAsia="Calibri" w:hAnsi="Verdana" w:cs="Arial"/>
          <w:lang w:val="es-ES"/>
        </w:rPr>
        <w:t>para entidades de régimen especial, es preciso señalar que está habilitado dos módulos para dichas entidades: i) Régimen Especial con Ofertas, que consiste en un</w:t>
      </w:r>
      <w:r w:rsidRPr="00776115">
        <w:rPr>
          <w:rFonts w:ascii="Verdana" w:eastAsia="Calibri" w:hAnsi="Verdana" w:cs="Arial"/>
          <w:lang w:val="es-ES"/>
        </w:rPr>
        <w:t xml:space="preserve"> procedimiento contractual </w:t>
      </w:r>
      <w:r>
        <w:rPr>
          <w:rFonts w:ascii="Verdana" w:eastAsia="Calibri" w:hAnsi="Verdana" w:cs="Arial"/>
          <w:lang w:val="es-ES"/>
        </w:rPr>
        <w:t xml:space="preserve">que </w:t>
      </w:r>
      <w:r w:rsidRPr="00776115">
        <w:rPr>
          <w:rFonts w:ascii="Verdana" w:eastAsia="Calibri" w:hAnsi="Verdana" w:cs="Arial"/>
          <w:lang w:val="es-ES"/>
        </w:rPr>
        <w:t xml:space="preserve">se desarrolla en línea y dentro de la plataforma, </w:t>
      </w:r>
      <w:r>
        <w:rPr>
          <w:rFonts w:ascii="Verdana" w:eastAsia="Calibri" w:hAnsi="Verdana" w:cs="Arial"/>
          <w:lang w:val="es-ES"/>
        </w:rPr>
        <w:t xml:space="preserve">en el que las entidades pueden estructurar el proceso de contratación y recibir las ofertas de los proveedores y generar el contrato electrónico y demás documentos, conformándose un expediente electrónico; </w:t>
      </w:r>
      <w:proofErr w:type="spellStart"/>
      <w:r>
        <w:rPr>
          <w:rFonts w:ascii="Verdana" w:eastAsia="Calibri" w:hAnsi="Verdana" w:cs="Arial"/>
          <w:lang w:val="es-ES"/>
        </w:rPr>
        <w:t>ii</w:t>
      </w:r>
      <w:proofErr w:type="spellEnd"/>
      <w:r>
        <w:rPr>
          <w:rFonts w:ascii="Verdana" w:eastAsia="Calibri" w:hAnsi="Verdana" w:cs="Arial"/>
          <w:lang w:val="es-ES"/>
        </w:rPr>
        <w:t xml:space="preserve">) Régimen Especial sin Ofertas, que consiste en que las entidades pueden estructurar el Proceso de Contratación, generar el contrato electrónico y realizar la gestión contractual. Al respecto, </w:t>
      </w:r>
      <w:r w:rsidRPr="0059295C">
        <w:rPr>
          <w:rFonts w:ascii="Verdana" w:eastAsia="Calibri" w:hAnsi="Verdana" w:cs="Arial"/>
        </w:rPr>
        <w:t>la Circular Externa No. 002 del 23 de agosto de 2024, estableció los lineamientos para la aplicación del artículo 53 de la Ley 2195 de 2022 por parte de las Entidades Estales que por disposición legal cuentan con un régimen</w:t>
      </w:r>
      <w:r>
        <w:rPr>
          <w:rFonts w:ascii="Verdana" w:eastAsia="Calibri" w:hAnsi="Verdana" w:cs="Arial"/>
        </w:rPr>
        <w:t xml:space="preserve"> contractual excepcional al </w:t>
      </w:r>
      <w:r w:rsidRPr="0059295C">
        <w:rPr>
          <w:rFonts w:ascii="Verdana" w:eastAsia="Calibri" w:hAnsi="Verdana" w:cs="Arial"/>
        </w:rPr>
        <w:t>Estatuto General de Contratación de la Administraci</w:t>
      </w:r>
      <w:r>
        <w:rPr>
          <w:rFonts w:ascii="Verdana" w:eastAsia="Calibri" w:hAnsi="Verdana" w:cs="Arial"/>
        </w:rPr>
        <w:t>ón Pública. En dicha Circular</w:t>
      </w:r>
      <w:r w:rsidRPr="0059295C">
        <w:rPr>
          <w:rFonts w:ascii="Verdana" w:eastAsia="Calibri" w:hAnsi="Verdana" w:cs="Arial"/>
        </w:rPr>
        <w:t xml:space="preserve"> expresó</w:t>
      </w:r>
      <w:r>
        <w:rPr>
          <w:rFonts w:ascii="Verdana" w:eastAsia="Calibri" w:hAnsi="Verdana" w:cs="Arial"/>
        </w:rPr>
        <w:t xml:space="preserve"> frente a estos dos módulos lo siguiente</w:t>
      </w:r>
      <w:r w:rsidRPr="0059295C">
        <w:rPr>
          <w:rFonts w:ascii="Verdana" w:eastAsia="Calibri" w:hAnsi="Verdana" w:cs="Arial"/>
        </w:rPr>
        <w:t>: “[…]</w:t>
      </w:r>
    </w:p>
    <w:p w14:paraId="7B4C8C0C" w14:textId="77777777" w:rsidR="00111DF2" w:rsidRPr="0059295C" w:rsidRDefault="00111DF2" w:rsidP="00111DF2">
      <w:pPr>
        <w:spacing w:after="0" w:line="276" w:lineRule="auto"/>
        <w:ind w:firstLine="567"/>
        <w:jc w:val="both"/>
        <w:rPr>
          <w:rFonts w:ascii="Verdana" w:eastAsia="Calibri" w:hAnsi="Verdana" w:cs="Arial"/>
          <w:lang w:val="es-ES"/>
        </w:rPr>
      </w:pPr>
    </w:p>
    <w:p w14:paraId="42A5AAA9" w14:textId="77777777" w:rsidR="00111DF2" w:rsidRPr="0059295C" w:rsidRDefault="00111DF2" w:rsidP="00111DF2">
      <w:pPr>
        <w:spacing w:after="0" w:line="240" w:lineRule="auto"/>
        <w:ind w:left="709" w:right="709"/>
        <w:jc w:val="both"/>
        <w:rPr>
          <w:rFonts w:ascii="Verdana" w:eastAsia="Calibri" w:hAnsi="Verdana" w:cs="Arial"/>
          <w:sz w:val="20"/>
          <w:szCs w:val="20"/>
          <w:lang w:val="es-ES"/>
        </w:rPr>
      </w:pPr>
      <w:r w:rsidRPr="0059295C">
        <w:rPr>
          <w:rFonts w:ascii="Verdana" w:hAnsi="Verdana"/>
          <w:sz w:val="20"/>
          <w:szCs w:val="20"/>
        </w:rPr>
        <w:t xml:space="preserve">En el primer caso, si la entidad opta por hacer uso de la plataforma de manera transaccional (firmando el contrato electrónicamente), deberá utilizar el módulo de “Contratación Régimen Especial”, estructurar el </w:t>
      </w:r>
      <w:r w:rsidRPr="0059295C">
        <w:rPr>
          <w:rFonts w:ascii="Verdana" w:hAnsi="Verdana"/>
          <w:sz w:val="20"/>
          <w:szCs w:val="20"/>
        </w:rPr>
        <w:lastRenderedPageBreak/>
        <w:t>proceso de contratación, generar el contrato electrónico y realizar la gestión contractual en línea a través de la plataforma. En el segundo caso, si decide utilizar el SECOP II como herramienta de publicidad, deberá crear el proceso de contratación en el SECOP II mediante el módulo “Contratación Régimen Especial (sin ofertas)”, cargar todos los documentos del proceso en la sección dispuesta para ello y publicar el proceso. La publicación de los documentos de la gestión contractual, incluido el contrato firmado manuscritamente, debe realizarse mediante modificaciones al proceso a través de la opción “Modificaciones/Adendas”. Sin embargo, las Entidades Públicas deberán tener en cuenta que, si utilizan esta opción, no deben dar clic en “Finalizar” después de publicar el proceso, en tanto que la plataforma cierra el expediente y no permite la publicación posterior de ningún otro documento</w:t>
      </w:r>
      <w:r w:rsidRPr="0059295C">
        <w:rPr>
          <w:rFonts w:ascii="Verdana" w:eastAsia="Calibri" w:hAnsi="Verdana" w:cs="Arial"/>
          <w:color w:val="000000"/>
          <w:sz w:val="20"/>
          <w:szCs w:val="20"/>
        </w:rPr>
        <w:tab/>
      </w:r>
    </w:p>
    <w:p w14:paraId="6890EA70" w14:textId="77777777" w:rsidR="00111DF2" w:rsidRDefault="00111DF2" w:rsidP="00111DF2">
      <w:pPr>
        <w:spacing w:after="0" w:line="276" w:lineRule="auto"/>
        <w:jc w:val="both"/>
        <w:rPr>
          <w:rFonts w:ascii="Verdana" w:eastAsia="Calibri" w:hAnsi="Verdana" w:cs="Arial"/>
          <w:color w:val="000000"/>
        </w:rPr>
      </w:pPr>
    </w:p>
    <w:p w14:paraId="1A7EAAC0" w14:textId="77777777" w:rsidR="00111DF2" w:rsidRDefault="00111DF2" w:rsidP="00111DF2">
      <w:pPr>
        <w:spacing w:after="0" w:line="276" w:lineRule="auto"/>
        <w:jc w:val="both"/>
        <w:rPr>
          <w:rFonts w:ascii="Verdana" w:eastAsia="Calibri" w:hAnsi="Verdana" w:cs="Arial"/>
          <w:color w:val="000000"/>
        </w:rPr>
      </w:pPr>
      <w:r>
        <w:rPr>
          <w:rFonts w:ascii="Verdana" w:eastAsia="Calibri" w:hAnsi="Verdana" w:cs="Arial"/>
          <w:color w:val="000000"/>
        </w:rPr>
        <w:tab/>
        <w:t xml:space="preserve">La </w:t>
      </w:r>
      <w:r w:rsidRPr="00437DB4">
        <w:rPr>
          <w:rFonts w:ascii="Verdana" w:eastAsia="Calibri" w:hAnsi="Verdana" w:cs="Arial"/>
          <w:color w:val="000000"/>
        </w:rPr>
        <w:t>entidad, en ejercicio de su autonomía y conforme al régimen especial que la rige, será la responsable de determinar cuál de los dos módulos de contratación resulta aplicable en cada proceso que adelante. Esta decisión no es automática, sino que debe surgir de un análisis cuidadoso realizado por la propia entidad con el acompañamiento de sus asesores, teniendo en cuenta la naturaleza del contrato, los principios de transparencia y eficiencia, así como las condiciones particulares de la</w:t>
      </w:r>
      <w:r>
        <w:rPr>
          <w:rFonts w:ascii="Verdana" w:eastAsia="Calibri" w:hAnsi="Verdana" w:cs="Arial"/>
          <w:color w:val="000000"/>
        </w:rPr>
        <w:t xml:space="preserve"> contratación con o sin oferta. De este modo</w:t>
      </w:r>
      <w:r w:rsidRPr="00437DB4">
        <w:rPr>
          <w:rFonts w:ascii="Verdana" w:eastAsia="Calibri" w:hAnsi="Verdana" w:cs="Arial"/>
          <w:color w:val="000000"/>
        </w:rPr>
        <w:t xml:space="preserve">, se garantiza que la selección del módulo no solo responda a la normativa vigente, sino también a las necesidades específicas de cada proceso, permitiendo que la contratación se lleve a cabo de manera más ágil y ajustada a la realidad institucional. </w:t>
      </w:r>
      <w:r>
        <w:rPr>
          <w:rFonts w:ascii="Verdana" w:eastAsia="Calibri" w:hAnsi="Verdana" w:cs="Arial"/>
          <w:color w:val="000000"/>
        </w:rPr>
        <w:t xml:space="preserve">En todo caso, y en concordancia con lo anterior, </w:t>
      </w:r>
      <w:r w:rsidRPr="003717DB">
        <w:rPr>
          <w:rFonts w:ascii="Verdana" w:eastAsia="Calibri" w:hAnsi="Verdana" w:cs="Arial"/>
          <w:color w:val="000000"/>
        </w:rPr>
        <w:t>a Circu</w:t>
      </w:r>
      <w:r>
        <w:rPr>
          <w:rFonts w:ascii="Verdana" w:eastAsia="Calibri" w:hAnsi="Verdana" w:cs="Arial"/>
          <w:color w:val="000000"/>
        </w:rPr>
        <w:t>lar 002 del 1 de junio de 2022</w:t>
      </w:r>
      <w:r w:rsidRPr="003717DB">
        <w:rPr>
          <w:rFonts w:ascii="Verdana" w:eastAsia="Calibri" w:hAnsi="Verdana" w:cs="Arial"/>
          <w:color w:val="000000"/>
        </w:rPr>
        <w:t>, relacionada con la aplicación del artículo 53</w:t>
      </w:r>
      <w:r>
        <w:rPr>
          <w:rFonts w:ascii="Verdana" w:eastAsia="Calibri" w:hAnsi="Verdana" w:cs="Arial"/>
          <w:color w:val="000000"/>
        </w:rPr>
        <w:t xml:space="preserve"> de la Ley 2195 de 2022, expedida</w:t>
      </w:r>
      <w:r w:rsidRPr="003717DB">
        <w:rPr>
          <w:rFonts w:ascii="Verdana" w:eastAsia="Calibri" w:hAnsi="Verdana" w:cs="Arial"/>
          <w:color w:val="000000"/>
        </w:rPr>
        <w:t xml:space="preserve"> por el Departamento Administrativo de la Presidencia, </w:t>
      </w:r>
      <w:r>
        <w:rPr>
          <w:rFonts w:ascii="Verdana" w:eastAsia="Calibri" w:hAnsi="Verdana" w:cs="Arial"/>
          <w:color w:val="000000"/>
        </w:rPr>
        <w:t>frente a</w:t>
      </w:r>
      <w:r w:rsidRPr="003717DB">
        <w:rPr>
          <w:rFonts w:ascii="Verdana" w:eastAsia="Calibri" w:hAnsi="Verdana" w:cs="Arial"/>
          <w:color w:val="000000"/>
        </w:rPr>
        <w:t>l plazo para</w:t>
      </w:r>
      <w:r>
        <w:rPr>
          <w:rFonts w:ascii="Verdana" w:eastAsia="Calibri" w:hAnsi="Verdana" w:cs="Arial"/>
          <w:color w:val="000000"/>
        </w:rPr>
        <w:t xml:space="preserve"> cargar los documentos señaló</w:t>
      </w:r>
      <w:r w:rsidRPr="003717DB">
        <w:rPr>
          <w:rFonts w:ascii="Verdana" w:eastAsia="Calibri" w:hAnsi="Verdana" w:cs="Arial"/>
          <w:color w:val="000000"/>
        </w:rPr>
        <w:t>:</w:t>
      </w:r>
    </w:p>
    <w:p w14:paraId="086935FC" w14:textId="77777777" w:rsidR="00111DF2" w:rsidRDefault="00111DF2" w:rsidP="00111DF2">
      <w:pPr>
        <w:spacing w:after="0" w:line="276" w:lineRule="auto"/>
        <w:jc w:val="both"/>
        <w:rPr>
          <w:rFonts w:ascii="Verdana" w:eastAsia="Calibri" w:hAnsi="Verdana" w:cs="Arial"/>
          <w:color w:val="000000"/>
        </w:rPr>
      </w:pPr>
    </w:p>
    <w:p w14:paraId="4748BACB" w14:textId="77777777" w:rsidR="00111DF2" w:rsidRPr="004B28D6" w:rsidRDefault="00111DF2" w:rsidP="00111DF2">
      <w:pPr>
        <w:spacing w:after="0" w:line="240" w:lineRule="auto"/>
        <w:ind w:left="709" w:right="709"/>
        <w:jc w:val="both"/>
        <w:rPr>
          <w:rFonts w:ascii="Verdana" w:eastAsia="Calibri" w:hAnsi="Verdana" w:cs="Arial"/>
          <w:color w:val="000000"/>
          <w:sz w:val="20"/>
          <w:szCs w:val="20"/>
        </w:rPr>
      </w:pPr>
      <w:r w:rsidRPr="004B28D6">
        <w:rPr>
          <w:rFonts w:ascii="Verdana" w:eastAsia="Calibri" w:hAnsi="Verdana" w:cs="Arial"/>
          <w:color w:val="000000"/>
          <w:sz w:val="20"/>
          <w:szCs w:val="20"/>
        </w:rPr>
        <w:t xml:space="preserve">Si se utiliza el SECOP II como herramienta de publicidad, la publicación de los documentos relacionados con la actividad contractual deberá realizarse dentro de los 3 días siguientes a su expedición, en aplicación de lo dispuesto en el artículo 2.1.1.2.1.7. del Decreto 1081 de 2015, el cual remite al artículo 2.2.1.1.1.7.1. del Decreto 1082 de 2015, en el que se hace referencia al plazo en cita. </w:t>
      </w:r>
    </w:p>
    <w:p w14:paraId="4C32EB11" w14:textId="77777777" w:rsidR="00111DF2" w:rsidRPr="004B28D6" w:rsidRDefault="00111DF2" w:rsidP="00111DF2">
      <w:pPr>
        <w:spacing w:after="0" w:line="240" w:lineRule="auto"/>
        <w:ind w:left="709" w:right="709"/>
        <w:jc w:val="both"/>
        <w:rPr>
          <w:rFonts w:ascii="Verdana" w:eastAsia="Calibri" w:hAnsi="Verdana" w:cs="Arial"/>
          <w:color w:val="000000"/>
          <w:sz w:val="20"/>
          <w:szCs w:val="20"/>
        </w:rPr>
      </w:pPr>
    </w:p>
    <w:p w14:paraId="5870C58A" w14:textId="77777777" w:rsidR="00111DF2" w:rsidRPr="004B28D6" w:rsidRDefault="00111DF2" w:rsidP="00111DF2">
      <w:pPr>
        <w:spacing w:after="0" w:line="240" w:lineRule="auto"/>
        <w:ind w:left="709" w:right="709"/>
        <w:jc w:val="both"/>
        <w:rPr>
          <w:rFonts w:ascii="Verdana" w:eastAsia="Calibri" w:hAnsi="Verdana" w:cs="Arial"/>
          <w:color w:val="000000"/>
          <w:sz w:val="20"/>
          <w:szCs w:val="20"/>
        </w:rPr>
      </w:pPr>
      <w:r w:rsidRPr="004B28D6">
        <w:rPr>
          <w:rFonts w:ascii="Verdana" w:eastAsia="Calibri" w:hAnsi="Verdana" w:cs="Arial"/>
          <w:color w:val="000000"/>
          <w:sz w:val="20"/>
          <w:szCs w:val="20"/>
        </w:rPr>
        <w:t>Si se hace uso de la plataforma de manera transaccional, la publicación de los documentos relacionados con la actividad contractual deberá realizarse en los términos establecidos en el cronograma del proceso de selección y las reglas aplicables a cada modalidad de contratación en particular, de acuerdo con cada Manual de Contratación. (Cursiva fuera del original).</w:t>
      </w:r>
    </w:p>
    <w:p w14:paraId="79571B37" w14:textId="77777777" w:rsidR="00111DF2" w:rsidRDefault="00111DF2" w:rsidP="00111DF2">
      <w:pPr>
        <w:spacing w:after="0" w:line="240" w:lineRule="auto"/>
        <w:jc w:val="both"/>
        <w:rPr>
          <w:rFonts w:ascii="Verdana" w:eastAsia="Calibri" w:hAnsi="Verdana" w:cs="Arial"/>
          <w:color w:val="000000"/>
        </w:rPr>
      </w:pPr>
    </w:p>
    <w:p w14:paraId="1DBC1640" w14:textId="77777777" w:rsidR="00111DF2" w:rsidRDefault="00111DF2" w:rsidP="00111DF2">
      <w:pPr>
        <w:spacing w:after="120" w:line="276" w:lineRule="auto"/>
        <w:jc w:val="both"/>
        <w:rPr>
          <w:rFonts w:ascii="Verdana" w:eastAsia="Calibri" w:hAnsi="Verdana" w:cs="Arial"/>
          <w:color w:val="000000"/>
        </w:rPr>
      </w:pPr>
      <w:r>
        <w:rPr>
          <w:rFonts w:ascii="Verdana" w:eastAsia="Calibri" w:hAnsi="Verdana" w:cs="Arial"/>
          <w:color w:val="000000"/>
        </w:rPr>
        <w:tab/>
        <w:t xml:space="preserve">Así las cosas, </w:t>
      </w:r>
      <w:r w:rsidRPr="00C43987">
        <w:rPr>
          <w:rFonts w:ascii="Verdana" w:eastAsia="Calibri" w:hAnsi="Verdana" w:cs="Arial"/>
          <w:color w:val="000000"/>
        </w:rPr>
        <w:t>se concluye que las Entidades Estatales que, por disposición legal, cuenten con un régimen contractual distinto al previsto en el Estatuto General de Contratación de la Administración Pública, disponen de un plazo de tres (3) días hábiles posteriores a la expedición del acto para realizar la</w:t>
      </w:r>
      <w:r>
        <w:rPr>
          <w:rFonts w:ascii="Verdana" w:eastAsia="Calibri" w:hAnsi="Verdana" w:cs="Arial"/>
          <w:color w:val="000000"/>
        </w:rPr>
        <w:t xml:space="preserve"> publicación en el SECOP II. Esto, </w:t>
      </w:r>
      <w:r w:rsidRPr="00C43987">
        <w:rPr>
          <w:rFonts w:ascii="Verdana" w:eastAsia="Calibri" w:hAnsi="Verdana" w:cs="Arial"/>
          <w:color w:val="000000"/>
        </w:rPr>
        <w:t>sin perjuicio de que dichas entidades utilicen la plataforma de manera transaccional, caso en el cual la publicación de los documentos deberá efectuarse en tiempo real, conforme al cronograma establecido para el respectivo proceso de selección.</w:t>
      </w:r>
    </w:p>
    <w:p w14:paraId="53AE6619" w14:textId="77777777" w:rsidR="00111DF2" w:rsidRDefault="00111DF2" w:rsidP="00111DF2">
      <w:pPr>
        <w:tabs>
          <w:tab w:val="left" w:pos="709"/>
        </w:tabs>
        <w:spacing w:after="0" w:line="276" w:lineRule="auto"/>
        <w:jc w:val="both"/>
        <w:rPr>
          <w:rFonts w:ascii="Verdana" w:eastAsia="Calibri" w:hAnsi="Verdana" w:cs="Arial"/>
          <w:color w:val="000000"/>
        </w:rPr>
      </w:pPr>
      <w:r>
        <w:rPr>
          <w:rFonts w:ascii="Verdana" w:eastAsia="Calibri" w:hAnsi="Verdana" w:cs="Arial"/>
          <w:color w:val="000000"/>
        </w:rPr>
        <w:tab/>
      </w:r>
      <w:r w:rsidRPr="00C9125B">
        <w:rPr>
          <w:rFonts w:ascii="Verdana" w:eastAsia="Calibri" w:hAnsi="Verdana" w:cs="Arial"/>
          <w:color w:val="000000"/>
        </w:rPr>
        <w:t>Ahora bien, resulta necesario analizar, a la luz del principio de publicidad y de las normas de transparencia aplicables en el SECOP II, la procedencia de que una Empresa de Servicios Públicos Domiciliarios que actúa como matriz de un grupo empresarial centralice y publique, de manera exclusiva a través de su usuario corporativo, los procesos de contratación adelantados conjuntamente con sus filiales nacionales, eximiendo a estas últimas de efectuar una publicación individual, autónoma e independiente en la plataforma. Para abordar este punto, es indispensable precisar previamente el alcance del concepto de grupo empresarial.</w:t>
      </w:r>
      <w:r>
        <w:rPr>
          <w:rFonts w:ascii="Verdana" w:eastAsia="Calibri" w:hAnsi="Verdana" w:cs="Arial"/>
          <w:color w:val="000000"/>
        </w:rPr>
        <w:t xml:space="preserve"> </w:t>
      </w:r>
    </w:p>
    <w:p w14:paraId="648FA68B" w14:textId="77777777" w:rsidR="00111DF2" w:rsidRPr="006B5A7B" w:rsidRDefault="00111DF2" w:rsidP="00111DF2">
      <w:pPr>
        <w:tabs>
          <w:tab w:val="left" w:pos="709"/>
        </w:tabs>
        <w:spacing w:after="0" w:line="276" w:lineRule="auto"/>
        <w:jc w:val="both"/>
        <w:rPr>
          <w:rFonts w:ascii="Verdana" w:eastAsia="Calibri" w:hAnsi="Verdana" w:cs="Arial"/>
          <w:color w:val="000000"/>
        </w:rPr>
      </w:pPr>
    </w:p>
    <w:p w14:paraId="75F51E0D" w14:textId="77777777" w:rsidR="00111DF2" w:rsidRDefault="00111DF2" w:rsidP="00111DF2">
      <w:pPr>
        <w:spacing w:after="0" w:line="276" w:lineRule="auto"/>
        <w:jc w:val="both"/>
        <w:rPr>
          <w:rFonts w:ascii="Verdana" w:hAnsi="Verdana"/>
          <w:lang w:val="es-ES"/>
        </w:rPr>
      </w:pPr>
      <w:proofErr w:type="spellStart"/>
      <w:r>
        <w:rPr>
          <w:rFonts w:ascii="Verdana" w:hAnsi="Verdana"/>
        </w:rPr>
        <w:t>iii</w:t>
      </w:r>
      <w:proofErr w:type="spellEnd"/>
      <w:r>
        <w:rPr>
          <w:rFonts w:ascii="Verdana" w:hAnsi="Verdana"/>
        </w:rPr>
        <w:t xml:space="preserve">. </w:t>
      </w:r>
      <w:r w:rsidRPr="001541CC">
        <w:rPr>
          <w:rFonts w:ascii="Verdana" w:hAnsi="Verdana"/>
          <w:lang w:val="es-ES"/>
        </w:rPr>
        <w:t xml:space="preserve">La participación de una empresa que forma parte de un grupo empresarial en procesos de contratación pública genera un debate tanto jurídico como práctico. Desde la perspectiva normativa, lo determinante no es la pertenencia al grupo, sino el cumplimiento de los criterios de tamaño y </w:t>
      </w:r>
      <w:r>
        <w:rPr>
          <w:rFonts w:ascii="Verdana" w:hAnsi="Verdana"/>
          <w:lang w:val="es-ES"/>
        </w:rPr>
        <w:t>clasificación establecidos en el ordenamiento jurídico</w:t>
      </w:r>
      <w:r w:rsidRPr="001541CC">
        <w:rPr>
          <w:rFonts w:ascii="Verdana" w:hAnsi="Verdana"/>
          <w:lang w:val="es-ES"/>
        </w:rPr>
        <w:t xml:space="preserve">. </w:t>
      </w:r>
      <w:r>
        <w:rPr>
          <w:rFonts w:ascii="Verdana" w:hAnsi="Verdana"/>
          <w:lang w:val="es-ES"/>
        </w:rPr>
        <w:t>Para entender el concepto de grupo empresarial, hay que acudir a l</w:t>
      </w:r>
      <w:r w:rsidRPr="0051410B">
        <w:rPr>
          <w:rFonts w:ascii="Verdana" w:hAnsi="Verdana"/>
          <w:lang w:val="es-ES"/>
        </w:rPr>
        <w:t>a Ley 222 de 1995</w:t>
      </w:r>
      <w:r>
        <w:rPr>
          <w:rFonts w:ascii="Verdana" w:hAnsi="Verdana"/>
          <w:lang w:val="es-ES"/>
        </w:rPr>
        <w:t xml:space="preserve"> en su artículo 28, cuyo tenor literal prescribe: </w:t>
      </w:r>
    </w:p>
    <w:p w14:paraId="578EC6B7" w14:textId="77777777" w:rsidR="00111DF2" w:rsidRDefault="00111DF2" w:rsidP="00111DF2">
      <w:pPr>
        <w:spacing w:after="0" w:line="276" w:lineRule="auto"/>
        <w:ind w:firstLine="709"/>
        <w:jc w:val="both"/>
        <w:rPr>
          <w:rFonts w:ascii="Verdana" w:hAnsi="Verdana"/>
          <w:lang w:val="es-ES"/>
        </w:rPr>
      </w:pPr>
    </w:p>
    <w:p w14:paraId="1B6A4D33" w14:textId="77777777" w:rsidR="00111DF2" w:rsidRPr="009F114E" w:rsidRDefault="00111DF2" w:rsidP="00111DF2">
      <w:pPr>
        <w:spacing w:after="0" w:line="240" w:lineRule="auto"/>
        <w:ind w:left="709" w:right="709"/>
        <w:jc w:val="both"/>
        <w:rPr>
          <w:rFonts w:ascii="Verdana" w:hAnsi="Verdana"/>
          <w:sz w:val="20"/>
          <w:szCs w:val="20"/>
        </w:rPr>
      </w:pPr>
      <w:bookmarkStart w:id="3" w:name="28"/>
      <w:r w:rsidRPr="009F114E">
        <w:rPr>
          <w:rFonts w:ascii="Verdana" w:hAnsi="Verdana"/>
          <w:bCs/>
          <w:sz w:val="20"/>
          <w:szCs w:val="20"/>
        </w:rPr>
        <w:t>ARTICULO 28. GRUPO EMPRESARIAL.</w:t>
      </w:r>
      <w:bookmarkEnd w:id="3"/>
      <w:r w:rsidRPr="009F114E">
        <w:rPr>
          <w:rFonts w:ascii="Verdana" w:hAnsi="Verdana"/>
          <w:sz w:val="20"/>
          <w:szCs w:val="20"/>
        </w:rPr>
        <w:t> Habrá grupo empresarial cuando además del vínculo de subordinación, exista entre las entidades unidad de propósito y dirección.</w:t>
      </w:r>
    </w:p>
    <w:p w14:paraId="58205486" w14:textId="77777777" w:rsidR="00111DF2" w:rsidRPr="009F114E" w:rsidRDefault="00111DF2" w:rsidP="00111DF2">
      <w:pPr>
        <w:spacing w:after="0" w:line="240" w:lineRule="auto"/>
        <w:ind w:left="709" w:right="709"/>
        <w:jc w:val="both"/>
        <w:rPr>
          <w:rFonts w:ascii="Verdana" w:hAnsi="Verdana"/>
          <w:sz w:val="20"/>
          <w:szCs w:val="20"/>
        </w:rPr>
      </w:pPr>
      <w:r w:rsidRPr="009F114E">
        <w:rPr>
          <w:rFonts w:ascii="Verdana" w:hAnsi="Verdana"/>
          <w:sz w:val="20"/>
          <w:szCs w:val="20"/>
        </w:rPr>
        <w:t>Se entenderá que existe unidad de propósito y dirección cuando la existencia y actividades de todas las entidades persigan la consecución de un objetivo determinado por la matriz o controlante en virtud de la dirección que ejerce sobre el conjunto, sin perjuicio del desarrollo individual del objeto social o actividad de cada una de ellas.</w:t>
      </w:r>
    </w:p>
    <w:p w14:paraId="6B577EF4" w14:textId="77777777" w:rsidR="00111DF2" w:rsidRPr="009F114E" w:rsidRDefault="00111DF2" w:rsidP="00111DF2">
      <w:pPr>
        <w:spacing w:after="0" w:line="240" w:lineRule="auto"/>
        <w:ind w:left="709" w:right="709"/>
        <w:jc w:val="both"/>
        <w:rPr>
          <w:rFonts w:ascii="Verdana" w:hAnsi="Verdana"/>
          <w:sz w:val="20"/>
          <w:szCs w:val="20"/>
        </w:rPr>
      </w:pPr>
      <w:r w:rsidRPr="009F114E">
        <w:rPr>
          <w:rFonts w:ascii="Verdana" w:hAnsi="Verdana"/>
          <w:sz w:val="20"/>
          <w:szCs w:val="20"/>
        </w:rPr>
        <w:t>Corresponderá a la Superintendencia de Sociedades, o en su caso a la de Valores o Bancaria, determinar la existencia del grupo empresarial cuando exista discrepancia sobre los supuestos que lo originan</w:t>
      </w:r>
    </w:p>
    <w:p w14:paraId="16AE5486" w14:textId="77777777" w:rsidR="00111DF2" w:rsidRDefault="00111DF2" w:rsidP="00111DF2">
      <w:pPr>
        <w:spacing w:after="0" w:line="240" w:lineRule="auto"/>
        <w:ind w:firstLine="709"/>
        <w:jc w:val="both"/>
        <w:rPr>
          <w:rFonts w:ascii="Verdana" w:hAnsi="Verdana"/>
          <w:lang w:val="es-ES"/>
        </w:rPr>
      </w:pPr>
    </w:p>
    <w:p w14:paraId="38ED5227" w14:textId="77777777" w:rsidR="00111DF2" w:rsidRDefault="00111DF2" w:rsidP="00111DF2">
      <w:pPr>
        <w:spacing w:after="0" w:line="276" w:lineRule="auto"/>
        <w:ind w:firstLine="709"/>
        <w:jc w:val="both"/>
        <w:rPr>
          <w:rFonts w:ascii="Verdana" w:hAnsi="Verdana"/>
          <w:lang w:val="es-ES"/>
        </w:rPr>
      </w:pPr>
      <w:r>
        <w:rPr>
          <w:rFonts w:ascii="Verdana" w:hAnsi="Verdana"/>
          <w:lang w:val="es-ES"/>
        </w:rPr>
        <w:lastRenderedPageBreak/>
        <w:t>A partir de lo expuesto, para que se configure un grupo empresarial no solo se requiere el vínculo de subordinación, sino que es necesario la unidad de propósito y de dirección. Al respecto, la Superintendencia de Sociedades ha expresado que existe “unidad de propósito y dirección” en que además de tener administradores comunes, se verifican procesos de integración vertical u horizontal</w:t>
      </w:r>
      <w:r>
        <w:rPr>
          <w:rStyle w:val="Refdenotaalpie"/>
          <w:rFonts w:ascii="Verdana" w:hAnsi="Verdana"/>
          <w:lang w:val="es-ES"/>
        </w:rPr>
        <w:footnoteReference w:id="15"/>
      </w:r>
      <w:r>
        <w:rPr>
          <w:rFonts w:ascii="Verdana" w:hAnsi="Verdana"/>
          <w:lang w:val="es-ES"/>
        </w:rPr>
        <w:t>. A modo de ejemplo, es posible aludir a grupo empresarial cuando se observa que</w:t>
      </w:r>
      <w:r w:rsidRPr="0022205F">
        <w:rPr>
          <w:rFonts w:ascii="Verdana" w:hAnsi="Verdana"/>
          <w:lang w:val="es-ES"/>
        </w:rPr>
        <w:t xml:space="preserve"> una sociedad adquiere cueros, otra los transforma, una tercera fabrica zapatos, otra produce gelatina y finalmente otra se encarga de comercializar estos productos. Del mismo modo, también se </w:t>
      </w:r>
      <w:r>
        <w:rPr>
          <w:rFonts w:ascii="Verdana" w:hAnsi="Verdana"/>
          <w:lang w:val="es-ES"/>
        </w:rPr>
        <w:t xml:space="preserve">presenta cuando </w:t>
      </w:r>
      <w:r w:rsidRPr="0022205F">
        <w:rPr>
          <w:rFonts w:ascii="Verdana" w:hAnsi="Verdana"/>
          <w:lang w:val="es-ES"/>
        </w:rPr>
        <w:t>empresas</w:t>
      </w:r>
      <w:r>
        <w:rPr>
          <w:rFonts w:ascii="Verdana" w:hAnsi="Verdana"/>
          <w:lang w:val="es-ES"/>
        </w:rPr>
        <w:t xml:space="preserve"> fijan políticas</w:t>
      </w:r>
      <w:r w:rsidRPr="0022205F">
        <w:rPr>
          <w:rFonts w:ascii="Verdana" w:hAnsi="Verdana"/>
          <w:lang w:val="es-ES"/>
        </w:rPr>
        <w:t xml:space="preserve"> comunes que orientan sus actividad</w:t>
      </w:r>
      <w:r>
        <w:rPr>
          <w:rFonts w:ascii="Verdana" w:hAnsi="Verdana"/>
          <w:lang w:val="es-ES"/>
        </w:rPr>
        <w:t>es hacia objetivos compartidos. Teniendo en cuenta esto, la Superintendencia de Sociedades en su Circular Jurídica Básica expone los siguientes aspectos para determinar la existencia de grupo empresarial:</w:t>
      </w:r>
    </w:p>
    <w:p w14:paraId="037561DC" w14:textId="77777777" w:rsidR="00111DF2" w:rsidRDefault="00111DF2" w:rsidP="00111DF2">
      <w:pPr>
        <w:spacing w:after="0" w:line="276" w:lineRule="auto"/>
        <w:ind w:firstLine="709"/>
        <w:jc w:val="both"/>
        <w:rPr>
          <w:rFonts w:ascii="Verdana" w:hAnsi="Verdana"/>
          <w:lang w:val="es-ES"/>
        </w:rPr>
      </w:pPr>
    </w:p>
    <w:p w14:paraId="4937F788" w14:textId="77777777" w:rsidR="00111DF2" w:rsidRDefault="00111DF2" w:rsidP="00111DF2">
      <w:pPr>
        <w:spacing w:after="0" w:line="240" w:lineRule="auto"/>
        <w:ind w:firstLine="709"/>
        <w:jc w:val="both"/>
        <w:rPr>
          <w:rFonts w:ascii="Verdana" w:hAnsi="Verdana"/>
          <w:lang w:val="es-ES"/>
        </w:rPr>
      </w:pPr>
      <w:r>
        <w:rPr>
          <w:rFonts w:ascii="Verdana" w:hAnsi="Verdana"/>
          <w:lang w:val="es-ES"/>
        </w:rPr>
        <w:t>[…]</w:t>
      </w:r>
    </w:p>
    <w:p w14:paraId="0320089B" w14:textId="77777777" w:rsidR="00111DF2" w:rsidRPr="00E36FF4" w:rsidRDefault="00111DF2" w:rsidP="00111DF2">
      <w:pPr>
        <w:spacing w:after="0" w:line="240" w:lineRule="auto"/>
        <w:ind w:left="709" w:right="709"/>
        <w:jc w:val="both"/>
        <w:rPr>
          <w:rFonts w:ascii="Verdana" w:hAnsi="Verdana"/>
          <w:sz w:val="20"/>
          <w:szCs w:val="20"/>
        </w:rPr>
      </w:pPr>
      <w:r w:rsidRPr="00E36FF4">
        <w:rPr>
          <w:rFonts w:ascii="Verdana" w:eastAsia="Times New Roman" w:hAnsi="Verdana" w:cs="Times New Roman"/>
          <w:sz w:val="20"/>
          <w:szCs w:val="20"/>
          <w:shd w:val="clear" w:color="auto" w:fill="FFFFFF"/>
        </w:rPr>
        <w:t>a. El objeto social de las sociedades puede ser semejante en cuanto a su alcance, e incluso también complementario cuando las mismas se dedican a la actividad económica relacionada, pero su objeto puede ser diverso y verificarse la unidad de propósito y dirección entre los sujetos controlados y la matriz.</w:t>
      </w:r>
    </w:p>
    <w:p w14:paraId="7EF6E0DF" w14:textId="77777777" w:rsidR="00111DF2" w:rsidRPr="00E36FF4" w:rsidRDefault="00111DF2" w:rsidP="00111DF2">
      <w:pPr>
        <w:spacing w:after="0" w:line="240" w:lineRule="auto"/>
        <w:ind w:left="709" w:right="709"/>
        <w:jc w:val="both"/>
        <w:rPr>
          <w:rFonts w:ascii="Verdana" w:eastAsia="Times New Roman" w:hAnsi="Verdana" w:cs="Times New Roman"/>
          <w:sz w:val="20"/>
          <w:szCs w:val="20"/>
        </w:rPr>
      </w:pPr>
      <w:r w:rsidRPr="00E36FF4">
        <w:rPr>
          <w:rFonts w:ascii="Verdana" w:eastAsia="Times New Roman" w:hAnsi="Verdana" w:cs="Times New Roman"/>
          <w:sz w:val="20"/>
          <w:szCs w:val="20"/>
          <w:shd w:val="clear" w:color="auto" w:fill="FFFFFF"/>
        </w:rPr>
        <w:t>b. La composición del capital de las sociedades, se estructura con la participación de los mismos asociados.</w:t>
      </w:r>
    </w:p>
    <w:p w14:paraId="601DBE8D" w14:textId="77777777" w:rsidR="00111DF2" w:rsidRPr="00641F7E" w:rsidRDefault="00111DF2" w:rsidP="00111DF2">
      <w:pPr>
        <w:spacing w:after="0" w:line="240" w:lineRule="auto"/>
        <w:ind w:left="709" w:right="709"/>
        <w:jc w:val="both"/>
        <w:rPr>
          <w:rFonts w:ascii="Verdana" w:eastAsia="Times New Roman" w:hAnsi="Verdana" w:cs="Times New Roman"/>
          <w:sz w:val="20"/>
          <w:szCs w:val="20"/>
          <w:shd w:val="clear" w:color="auto" w:fill="FFFFFF"/>
        </w:rPr>
      </w:pPr>
      <w:r w:rsidRPr="00E36FF4">
        <w:rPr>
          <w:rFonts w:ascii="Verdana" w:eastAsia="Times New Roman" w:hAnsi="Verdana" w:cs="Times New Roman"/>
          <w:sz w:val="20"/>
          <w:szCs w:val="20"/>
          <w:shd w:val="clear" w:color="auto" w:fill="FFFFFF"/>
        </w:rPr>
        <w:t>c. La administración de las sociedades está a cargo de una junta directiva, la cual se encuentra en las sociedades vinculadas y subordinadas, conformada en su mayoría por las mismas personas naturales o jurídicas. </w:t>
      </w:r>
    </w:p>
    <w:p w14:paraId="70241B95" w14:textId="77777777" w:rsidR="00111DF2" w:rsidRPr="00641F7E" w:rsidRDefault="00111DF2" w:rsidP="00111DF2">
      <w:pPr>
        <w:spacing w:after="0" w:line="240" w:lineRule="auto"/>
        <w:ind w:left="709" w:right="709"/>
        <w:jc w:val="both"/>
        <w:rPr>
          <w:rFonts w:ascii="Verdana" w:hAnsi="Verdana"/>
          <w:sz w:val="20"/>
          <w:szCs w:val="20"/>
        </w:rPr>
      </w:pPr>
      <w:r w:rsidRPr="00641F7E">
        <w:rPr>
          <w:rFonts w:ascii="Verdana" w:eastAsia="Times New Roman" w:hAnsi="Verdana" w:cs="Times New Roman"/>
          <w:sz w:val="20"/>
          <w:szCs w:val="20"/>
          <w:shd w:val="clear" w:color="auto" w:fill="FFFFFF"/>
        </w:rPr>
        <w:t>d. La representación legal de las sociedades se encuentra a cargo de las mismas personas que figuran como representantes de las otras sociedades vinculadas.</w:t>
      </w:r>
      <w:r w:rsidRPr="00641F7E">
        <w:rPr>
          <w:rFonts w:ascii="Verdana" w:eastAsia="Times New Roman" w:hAnsi="Verdana" w:cs="Times New Roman"/>
          <w:sz w:val="20"/>
          <w:szCs w:val="20"/>
        </w:rPr>
        <w:br/>
      </w:r>
      <w:r w:rsidRPr="00641F7E">
        <w:rPr>
          <w:rFonts w:ascii="Verdana" w:eastAsia="Times New Roman" w:hAnsi="Verdana" w:cs="Times New Roman"/>
          <w:sz w:val="20"/>
          <w:szCs w:val="20"/>
          <w:shd w:val="clear" w:color="auto" w:fill="FFFFFF"/>
        </w:rPr>
        <w:t>Estos hechos como algunos otros que frecuentemente conoce esta Superintendencia, permiten establecer que entre las sociedades no existe una total independencia en su administración, puesto que aparece identidad entre las personas que ejercen las funciones de dirección en ellas, de lo cual resulta que se verifica la unidad en la dirección de las empresas</w:t>
      </w:r>
      <w:r>
        <w:rPr>
          <w:rStyle w:val="Refdenotaalpie"/>
          <w:rFonts w:ascii="Verdana" w:eastAsia="Times New Roman" w:hAnsi="Verdana" w:cs="Times New Roman"/>
          <w:sz w:val="20"/>
          <w:szCs w:val="20"/>
          <w:shd w:val="clear" w:color="auto" w:fill="FFFFFF"/>
        </w:rPr>
        <w:footnoteReference w:id="16"/>
      </w:r>
      <w:r w:rsidRPr="00641F7E">
        <w:rPr>
          <w:rFonts w:ascii="Verdana" w:eastAsia="Times New Roman" w:hAnsi="Verdana" w:cs="Times New Roman"/>
          <w:sz w:val="20"/>
          <w:szCs w:val="20"/>
          <w:shd w:val="clear" w:color="auto" w:fill="FFFFFF"/>
        </w:rPr>
        <w:t>.</w:t>
      </w:r>
    </w:p>
    <w:p w14:paraId="344326B4" w14:textId="77777777" w:rsidR="00111DF2" w:rsidRDefault="00111DF2" w:rsidP="00111DF2">
      <w:pPr>
        <w:spacing w:after="120" w:line="240" w:lineRule="auto"/>
        <w:ind w:firstLine="708"/>
        <w:jc w:val="both"/>
        <w:rPr>
          <w:rFonts w:ascii="Verdana" w:hAnsi="Verdana"/>
          <w:lang w:val="es-ES"/>
        </w:rPr>
      </w:pPr>
    </w:p>
    <w:p w14:paraId="0F309FBC" w14:textId="77777777" w:rsidR="00111DF2" w:rsidRDefault="00111DF2" w:rsidP="00111DF2">
      <w:pPr>
        <w:spacing w:after="120" w:line="276" w:lineRule="auto"/>
        <w:ind w:firstLine="708"/>
        <w:jc w:val="both"/>
        <w:rPr>
          <w:rFonts w:ascii="Verdana" w:hAnsi="Verdana"/>
          <w:lang w:val="es-ES"/>
        </w:rPr>
      </w:pPr>
      <w:r>
        <w:rPr>
          <w:rFonts w:ascii="Verdana" w:hAnsi="Verdana"/>
          <w:lang w:val="es-ES"/>
        </w:rPr>
        <w:lastRenderedPageBreak/>
        <w:t xml:space="preserve">La configuración </w:t>
      </w:r>
      <w:r w:rsidRPr="00224998">
        <w:rPr>
          <w:rFonts w:ascii="Verdana" w:hAnsi="Verdana"/>
          <w:lang w:val="es-ES"/>
        </w:rPr>
        <w:t xml:space="preserve">de </w:t>
      </w:r>
      <w:r>
        <w:rPr>
          <w:rFonts w:ascii="Verdana" w:hAnsi="Verdana"/>
          <w:lang w:val="es-ES"/>
        </w:rPr>
        <w:t xml:space="preserve">determinados aspectos o presupuestos </w:t>
      </w:r>
      <w:r w:rsidRPr="00224998">
        <w:rPr>
          <w:rFonts w:ascii="Verdana" w:hAnsi="Verdana"/>
          <w:lang w:val="es-ES"/>
        </w:rPr>
        <w:t xml:space="preserve">como la </w:t>
      </w:r>
      <w:r>
        <w:rPr>
          <w:rFonts w:ascii="Verdana" w:hAnsi="Verdana"/>
          <w:lang w:val="es-ES"/>
        </w:rPr>
        <w:t>unidad de propósito o de dirección, pe</w:t>
      </w:r>
      <w:r w:rsidRPr="00224998">
        <w:rPr>
          <w:rFonts w:ascii="Verdana" w:hAnsi="Verdana"/>
          <w:lang w:val="es-ES"/>
        </w:rPr>
        <w:t xml:space="preserve">rmite identificar la conformación de un grupo empresarial. Este reconocimiento es </w:t>
      </w:r>
      <w:r>
        <w:rPr>
          <w:rFonts w:ascii="Verdana" w:hAnsi="Verdana"/>
          <w:lang w:val="es-ES"/>
        </w:rPr>
        <w:t xml:space="preserve">importante para entender </w:t>
      </w:r>
      <w:r w:rsidRPr="00224998">
        <w:rPr>
          <w:rFonts w:ascii="Verdana" w:hAnsi="Verdana"/>
          <w:lang w:val="es-ES"/>
        </w:rPr>
        <w:t>las dinámicas de cooperación y coordinación entre distintas sociedades</w:t>
      </w:r>
      <w:r>
        <w:rPr>
          <w:rFonts w:ascii="Verdana" w:hAnsi="Verdana"/>
          <w:lang w:val="es-ES"/>
        </w:rPr>
        <w:t>, en el marco de un grupo empresarial. En este aspecto, existe una obligatoriedad de registrar la situación de control o grupo empresarial, conforme al artículo 30 de la Ley 222 de 1995</w:t>
      </w:r>
      <w:r>
        <w:rPr>
          <w:rStyle w:val="Refdenotaalpie"/>
          <w:rFonts w:ascii="Verdana" w:hAnsi="Verdana"/>
          <w:lang w:val="es-ES"/>
        </w:rPr>
        <w:footnoteReference w:id="17"/>
      </w:r>
      <w:r>
        <w:rPr>
          <w:rFonts w:ascii="Verdana" w:hAnsi="Verdana"/>
          <w:lang w:val="es-ES"/>
        </w:rPr>
        <w:t xml:space="preserve"> y artículos 260 y 261 del Código de Comercio. </w:t>
      </w:r>
    </w:p>
    <w:p w14:paraId="576CA8B1" w14:textId="77777777" w:rsidR="00111DF2" w:rsidRPr="00085FA5" w:rsidRDefault="00111DF2" w:rsidP="00111DF2">
      <w:pPr>
        <w:spacing w:after="120" w:line="276" w:lineRule="auto"/>
        <w:ind w:firstLine="708"/>
        <w:jc w:val="both"/>
        <w:rPr>
          <w:rFonts w:ascii="Verdana" w:hAnsi="Verdana"/>
        </w:rPr>
      </w:pPr>
      <w:r w:rsidRPr="00085FA5">
        <w:rPr>
          <w:rFonts w:ascii="Verdana" w:hAnsi="Verdana"/>
          <w:lang w:val="es-ES"/>
        </w:rPr>
        <w:t xml:space="preserve">En el marco de un grupo empresarial, </w:t>
      </w:r>
      <w:r>
        <w:rPr>
          <w:rFonts w:ascii="Verdana" w:hAnsi="Verdana"/>
          <w:lang w:val="es-ES"/>
        </w:rPr>
        <w:t xml:space="preserve">hay una diferencia entre </w:t>
      </w:r>
      <w:r w:rsidRPr="00085FA5">
        <w:rPr>
          <w:rFonts w:ascii="Verdana" w:hAnsi="Verdana"/>
          <w:lang w:val="es-ES"/>
        </w:rPr>
        <w:t xml:space="preserve">las filiales y </w:t>
      </w:r>
      <w:r>
        <w:rPr>
          <w:rFonts w:ascii="Verdana" w:hAnsi="Verdana"/>
          <w:lang w:val="es-ES"/>
        </w:rPr>
        <w:t>las subsidiarias</w:t>
      </w:r>
      <w:r w:rsidRPr="00085FA5">
        <w:rPr>
          <w:rFonts w:ascii="Verdana" w:hAnsi="Verdana"/>
          <w:lang w:val="es-ES"/>
        </w:rPr>
        <w:t xml:space="preserve">. </w:t>
      </w:r>
      <w:r w:rsidRPr="00085FA5">
        <w:rPr>
          <w:rFonts w:ascii="Verdana" w:hAnsi="Verdana"/>
        </w:rPr>
        <w:t>La filial es aquella subordinada de manera directa, en la que la matriz ejerce un poder de decisión inmediato sobre sus órganos sociales, ya sea por participación mayoritaria, capacidad de influir decisivamente en las decisiones o facultad para designar administradores. Por su parte, la subsidiaria es una subordinada indirecta, sometida al control de la matriz por intermedio de otras subordinadas; en este caso, la matriz no ejerce el control de forma inmediata, sino a través de una o varias filiales que actúan como vehículo de influencia. En síntesis, ambas son subordinadas, pero la filial responde a un control directo y la subsidiaria a un control mediado dentro de la estructura del grupo empresarial. Para ilustración, el artículo 260 del Código de Comercio prescribe:</w:t>
      </w:r>
      <w:r w:rsidRPr="00085FA5">
        <w:rPr>
          <w:rFonts w:ascii="Arial" w:eastAsia="Times New Roman" w:hAnsi="Arial" w:cs="Arial"/>
          <w:color w:val="000000"/>
          <w:sz w:val="21"/>
          <w:szCs w:val="21"/>
          <w:lang w:eastAsia="es-CO"/>
        </w:rPr>
        <w:t xml:space="preserve"> “</w:t>
      </w:r>
      <w:r w:rsidRPr="00085FA5">
        <w:rPr>
          <w:rFonts w:ascii="Verdana" w:hAnsi="Verdana"/>
        </w:rPr>
        <w:t xml:space="preserve">[…] Una sociedad será subordinada o controlada cuando su poder de decisión se encuentre sometido a la voluntad de otra u otras personas que serán su matriz o control ante, bien sea directamente, caso en el cual aquélla se </w:t>
      </w:r>
      <w:r w:rsidRPr="00085FA5">
        <w:rPr>
          <w:rFonts w:ascii="Verdana" w:hAnsi="Verdana"/>
        </w:rPr>
        <w:lastRenderedPageBreak/>
        <w:t>denominará filial o con el concurso o por intermedio de las subordinadas de la matriz, en cuyo caso se llamará subsidiaria”.</w:t>
      </w:r>
    </w:p>
    <w:p w14:paraId="7E906D62" w14:textId="77777777" w:rsidR="00111DF2" w:rsidRPr="00925E0C" w:rsidRDefault="00111DF2" w:rsidP="00111DF2">
      <w:pPr>
        <w:spacing w:after="120" w:line="276" w:lineRule="auto"/>
        <w:ind w:firstLine="708"/>
        <w:jc w:val="both"/>
        <w:rPr>
          <w:rFonts w:ascii="Verdana" w:hAnsi="Verdana"/>
        </w:rPr>
      </w:pPr>
      <w:r w:rsidRPr="00B311EF">
        <w:rPr>
          <w:rFonts w:ascii="Verdana" w:hAnsi="Verdana"/>
        </w:rPr>
        <w:t>Si bien las filiales se encuentran sometidas de manera directa al poder de decisión de la sociedad matriz dentro del grupo empresarial, ello no implica que carezcan de derechos y obligaciones propias frente al sistema de compras públicas. Por el contrario, cuando una filial ostenta la condición de entidad pública —según los criterios fijados por la Sentencia C</w:t>
      </w:r>
      <w:r w:rsidRPr="00B311EF">
        <w:rPr>
          <w:rFonts w:ascii="Verdana" w:hAnsi="Verdana"/>
        </w:rPr>
        <w:noBreakHyphen/>
        <w:t xml:space="preserve">736 de 2007— está sujeta a los deberes de publicidad, transparencia y divulgación de su actividad contractual en el SECOP II. </w:t>
      </w:r>
      <w:r>
        <w:rPr>
          <w:rFonts w:ascii="Verdana" w:hAnsi="Verdana"/>
        </w:rPr>
        <w:t>En este escenario, frente a</w:t>
      </w:r>
      <w:r w:rsidRPr="00C820B1">
        <w:rPr>
          <w:rFonts w:ascii="Verdana" w:eastAsia="Calibri" w:hAnsi="Verdana" w:cs="Arial"/>
          <w:color w:val="000000"/>
        </w:rPr>
        <w:t>l examen de la viabilidad jurídica para la centralización de publicaciones en el SECOP II por parte de una matriz exige, en</w:t>
      </w:r>
      <w:r>
        <w:rPr>
          <w:rFonts w:ascii="Verdana" w:eastAsia="Calibri" w:hAnsi="Verdana" w:cs="Arial"/>
          <w:color w:val="000000"/>
        </w:rPr>
        <w:t xml:space="preserve"> principio, </w:t>
      </w:r>
      <w:r w:rsidRPr="00C820B1">
        <w:rPr>
          <w:rFonts w:ascii="Verdana" w:eastAsia="Calibri" w:hAnsi="Verdana" w:cs="Arial"/>
          <w:color w:val="000000"/>
        </w:rPr>
        <w:t xml:space="preserve">delimitar el alcance del principio de publicidad y el deber de transparencia en el régimen contractual de las Empresas de Servicios Públicos Domiciliarios (E.S.P.). De conformidad con la Ley </w:t>
      </w:r>
      <w:r>
        <w:rPr>
          <w:rFonts w:ascii="Verdana" w:eastAsia="Calibri" w:hAnsi="Verdana" w:cs="Arial"/>
          <w:color w:val="000000"/>
        </w:rPr>
        <w:t>1150 de 2007 y la Ley 1712 de 2014</w:t>
      </w:r>
      <w:r w:rsidRPr="00C820B1">
        <w:rPr>
          <w:rFonts w:ascii="Verdana" w:eastAsia="Calibri" w:hAnsi="Verdana" w:cs="Arial"/>
          <w:color w:val="000000"/>
        </w:rPr>
        <w:t>, estas entidades, independientemente de estar sujetas al derecho privado, se encuentran obligadas a garantizar la máxima difusión de su actividad contractual. El uso del SECOP II constituye el canal oficial para materializar dicho postulado, permitiendo que la ciudadanía y los organismos de control ejerzan una vigilancia efectiva sobre el destino de los recursos y la debida selección de proveedores.</w:t>
      </w:r>
    </w:p>
    <w:p w14:paraId="05C135B3" w14:textId="77777777" w:rsidR="00111DF2" w:rsidRPr="00C820B1" w:rsidRDefault="00111DF2" w:rsidP="00111DF2">
      <w:pPr>
        <w:tabs>
          <w:tab w:val="left" w:pos="709"/>
        </w:tabs>
        <w:spacing w:after="120" w:line="276" w:lineRule="auto"/>
        <w:ind w:firstLine="709"/>
        <w:jc w:val="both"/>
        <w:rPr>
          <w:rFonts w:ascii="Verdana" w:eastAsia="Calibri" w:hAnsi="Verdana" w:cs="Arial"/>
          <w:color w:val="000000"/>
        </w:rPr>
      </w:pPr>
      <w:r w:rsidRPr="00C820B1">
        <w:rPr>
          <w:rFonts w:ascii="Verdana" w:eastAsia="Calibri" w:hAnsi="Verdana" w:cs="Arial"/>
          <w:color w:val="000000"/>
        </w:rPr>
        <w:t>Bajo esa premisa, el elemento determinante para resolver la consulta estriba en la noción de personería jurídica e independencia patrimonial que ostenta cada una de las filiales</w:t>
      </w:r>
      <w:r>
        <w:rPr>
          <w:rFonts w:ascii="Verdana" w:eastAsia="Calibri" w:hAnsi="Verdana" w:cs="Arial"/>
          <w:color w:val="000000"/>
        </w:rPr>
        <w:t xml:space="preserve"> de un grupo empresarial, y la necesidad de la centralización de gestión en la publicidad</w:t>
      </w:r>
      <w:r w:rsidRPr="00C820B1">
        <w:rPr>
          <w:rFonts w:ascii="Verdana" w:eastAsia="Calibri" w:hAnsi="Verdana" w:cs="Arial"/>
          <w:color w:val="000000"/>
        </w:rPr>
        <w:t xml:space="preserve"> responda a una legítima estrategia de optimización administrativa y eficiencia de recursos para el grupo empresarial, la matriz y sus filiales nacionales no pierden su individualidad como sujetos de derechos y obligaciones. En el ámbito de la contratación estatal y las plataformas electrónicas de gestión, las cargas obligacionales se predican formalmente de cada entidad contratante individualizada, la cual posee su propio </w:t>
      </w:r>
      <w:r>
        <w:rPr>
          <w:rFonts w:ascii="Verdana" w:eastAsia="Calibri" w:hAnsi="Verdana" w:cs="Arial"/>
          <w:color w:val="000000"/>
        </w:rPr>
        <w:t xml:space="preserve">usuario corporativo en SECOP II </w:t>
      </w:r>
      <w:r w:rsidRPr="00C820B1">
        <w:rPr>
          <w:rFonts w:ascii="Verdana" w:eastAsia="Calibri" w:hAnsi="Verdana" w:cs="Arial"/>
          <w:color w:val="000000"/>
        </w:rPr>
        <w:t>y sus propias responsabilidades de rendición de cuentas.</w:t>
      </w:r>
    </w:p>
    <w:p w14:paraId="6035D97C" w14:textId="77777777" w:rsidR="00111DF2" w:rsidRPr="003828FA" w:rsidRDefault="00111DF2" w:rsidP="00111DF2">
      <w:pPr>
        <w:spacing w:after="120" w:line="276" w:lineRule="auto"/>
        <w:ind w:firstLine="567"/>
        <w:jc w:val="both"/>
        <w:rPr>
          <w:rFonts w:ascii="Verdana" w:eastAsia="Calibri" w:hAnsi="Verdana" w:cs="Arial"/>
        </w:rPr>
      </w:pPr>
      <w:r w:rsidRPr="00C820B1">
        <w:rPr>
          <w:rFonts w:ascii="Verdana" w:eastAsia="Calibri" w:hAnsi="Verdana" w:cs="Arial"/>
          <w:color w:val="000000"/>
        </w:rPr>
        <w:t xml:space="preserve">Frente </w:t>
      </w:r>
      <w:r>
        <w:rPr>
          <w:rFonts w:ascii="Verdana" w:eastAsia="Calibri" w:hAnsi="Verdana" w:cs="Arial"/>
          <w:color w:val="000000"/>
        </w:rPr>
        <w:t>al supuesto,</w:t>
      </w:r>
      <w:r w:rsidRPr="00C820B1">
        <w:rPr>
          <w:rFonts w:ascii="Verdana" w:eastAsia="Calibri" w:hAnsi="Verdana" w:cs="Arial"/>
          <w:color w:val="000000"/>
        </w:rPr>
        <w:t xml:space="preserve"> donde concurren procesos conjuntos, </w:t>
      </w:r>
      <w:r>
        <w:rPr>
          <w:rFonts w:ascii="Verdana" w:eastAsia="Calibri" w:hAnsi="Verdana" w:cs="Arial"/>
          <w:color w:val="000000"/>
        </w:rPr>
        <w:t xml:space="preserve">es pertinente precisar que el SECOP II </w:t>
      </w:r>
      <w:r>
        <w:rPr>
          <w:rFonts w:ascii="Verdana" w:eastAsia="Calibri" w:hAnsi="Verdana" w:cs="Arial"/>
        </w:rPr>
        <w:t xml:space="preserve">tiene </w:t>
      </w:r>
      <w:r w:rsidRPr="000906DA">
        <w:rPr>
          <w:rFonts w:ascii="Verdana" w:eastAsia="Calibri" w:hAnsi="Verdana" w:cs="Arial"/>
          <w:lang w:val="es-ES"/>
        </w:rPr>
        <w:t>habilitado dos módulos para</w:t>
      </w:r>
      <w:r>
        <w:rPr>
          <w:rFonts w:ascii="Verdana" w:eastAsia="Calibri" w:hAnsi="Verdana" w:cs="Arial"/>
          <w:lang w:val="es-ES"/>
        </w:rPr>
        <w:t xml:space="preserve"> entidades de régimen especial</w:t>
      </w:r>
      <w:r w:rsidRPr="000906DA">
        <w:rPr>
          <w:rFonts w:ascii="Verdana" w:eastAsia="Calibri" w:hAnsi="Verdana" w:cs="Arial"/>
        </w:rPr>
        <w:t xml:space="preserve">: Régimen Especial (con ofertas), de carácter transaccional para estructurar, recibir ofertas y firmar contratos en línea; y Régimen Especial (sin ofertas), enfocado en publicidad, donde los documentos y el contrato manuscrito </w:t>
      </w:r>
      <w:r w:rsidRPr="000906DA">
        <w:rPr>
          <w:rFonts w:ascii="Verdana" w:eastAsia="Calibri" w:hAnsi="Verdana" w:cs="Arial"/>
        </w:rPr>
        <w:lastRenderedPageBreak/>
        <w:t>se cargan en la plataforma sin dar clic en "Finalizar" para permitir futuras modificaciones. De acuerdo con la Circular Externa No. 002 de 2024, que se explicó en consideraciones previas, corresponde a cada entidad determinar de forma autónoma y fundamentada cuál módulo utilizar según la naturaleza de la contratación y los principios de transparencia y eficiencia.</w:t>
      </w:r>
    </w:p>
    <w:p w14:paraId="0CE55280" w14:textId="77777777" w:rsidR="00111DF2" w:rsidRPr="00C820B1" w:rsidRDefault="00111DF2" w:rsidP="00111DF2">
      <w:pPr>
        <w:spacing w:after="120" w:line="276" w:lineRule="auto"/>
        <w:ind w:firstLine="567"/>
        <w:jc w:val="both"/>
        <w:rPr>
          <w:rFonts w:ascii="Verdana" w:eastAsia="Calibri" w:hAnsi="Verdana" w:cs="Arial"/>
          <w:color w:val="000000"/>
        </w:rPr>
      </w:pPr>
      <w:r>
        <w:rPr>
          <w:rFonts w:ascii="Verdana" w:eastAsia="Calibri" w:hAnsi="Verdana" w:cs="Arial"/>
          <w:color w:val="000000"/>
        </w:rPr>
        <w:t>En este contexto, que varias filiales adelantaron</w:t>
      </w:r>
      <w:r w:rsidRPr="00C820B1">
        <w:rPr>
          <w:rFonts w:ascii="Verdana" w:eastAsia="Calibri" w:hAnsi="Verdana" w:cs="Arial"/>
          <w:color w:val="000000"/>
        </w:rPr>
        <w:t xml:space="preserve"> un proceso unificado</w:t>
      </w:r>
      <w:r>
        <w:rPr>
          <w:rFonts w:ascii="Verdana" w:eastAsia="Calibri" w:hAnsi="Verdana" w:cs="Arial"/>
          <w:color w:val="000000"/>
        </w:rPr>
        <w:t xml:space="preserve"> para celebrar un contrato</w:t>
      </w:r>
      <w:r w:rsidRPr="00C820B1">
        <w:rPr>
          <w:rFonts w:ascii="Verdana" w:eastAsia="Calibri" w:hAnsi="Verdana" w:cs="Arial"/>
          <w:color w:val="000000"/>
        </w:rPr>
        <w:t xml:space="preserve"> no suprime la exigencia de asociar debidamente la trazabilidad del trámite a cada uno de los partícipes</w:t>
      </w:r>
      <w:r>
        <w:rPr>
          <w:rFonts w:ascii="Verdana" w:eastAsia="Calibri" w:hAnsi="Verdana" w:cs="Arial"/>
          <w:color w:val="000000"/>
        </w:rPr>
        <w:t xml:space="preserve"> en SECOP II con o sin oferta</w:t>
      </w:r>
      <w:r w:rsidRPr="00C820B1">
        <w:rPr>
          <w:rFonts w:ascii="Verdana" w:eastAsia="Calibri" w:hAnsi="Verdana" w:cs="Arial"/>
          <w:color w:val="000000"/>
        </w:rPr>
        <w:t>. La plataforma SECOP II</w:t>
      </w:r>
      <w:r>
        <w:rPr>
          <w:rFonts w:ascii="Verdana" w:eastAsia="Calibri" w:hAnsi="Verdana" w:cs="Arial"/>
          <w:color w:val="000000"/>
        </w:rPr>
        <w:t xml:space="preserve"> con oferta</w:t>
      </w:r>
      <w:r w:rsidRPr="00C820B1">
        <w:rPr>
          <w:rFonts w:ascii="Verdana" w:eastAsia="Calibri" w:hAnsi="Verdana" w:cs="Arial"/>
          <w:color w:val="000000"/>
        </w:rPr>
        <w:t xml:space="preserve"> requiere que las actuaciones contractuales impacten directamente los perfiles informáticos de los sujetos que se obligarán en el contrato final, ya que de lo contrario se ocultaría la actividad contractual real de las filiales ante el sistema.</w:t>
      </w:r>
    </w:p>
    <w:p w14:paraId="549AB3EB" w14:textId="77777777" w:rsidR="00111DF2" w:rsidRPr="00C820B1" w:rsidRDefault="00111DF2" w:rsidP="00111DF2">
      <w:pPr>
        <w:tabs>
          <w:tab w:val="left" w:pos="709"/>
        </w:tabs>
        <w:spacing w:after="120" w:line="276" w:lineRule="auto"/>
        <w:ind w:firstLine="709"/>
        <w:jc w:val="both"/>
        <w:rPr>
          <w:rFonts w:ascii="Verdana" w:eastAsia="Calibri" w:hAnsi="Verdana" w:cs="Arial"/>
          <w:color w:val="000000"/>
        </w:rPr>
      </w:pPr>
      <w:r w:rsidRPr="00C820B1">
        <w:rPr>
          <w:rFonts w:ascii="Verdana" w:eastAsia="Calibri" w:hAnsi="Verdana" w:cs="Arial"/>
          <w:color w:val="000000"/>
        </w:rPr>
        <w:t xml:space="preserve">Por consiguiente, delegar de forma exclusiva y excluyente la publicación en el usuario corporativo de la matriz, omitiendo el registro y despliegue del proceso en las cuentas individuales de las filiales nacionales contratantes, genera un riesgo de asimetría informativa y pérdida de trazabilidad. Los organismos de </w:t>
      </w:r>
      <w:r>
        <w:rPr>
          <w:rFonts w:ascii="Verdana" w:eastAsia="Calibri" w:hAnsi="Verdana" w:cs="Arial"/>
          <w:color w:val="000000"/>
        </w:rPr>
        <w:t xml:space="preserve">control </w:t>
      </w:r>
      <w:r w:rsidRPr="00C820B1">
        <w:rPr>
          <w:rFonts w:ascii="Verdana" w:eastAsia="Calibri" w:hAnsi="Verdana" w:cs="Arial"/>
          <w:color w:val="000000"/>
        </w:rPr>
        <w:t xml:space="preserve">estructuran sus auditorías automatizadas a partir </w:t>
      </w:r>
      <w:r>
        <w:rPr>
          <w:rFonts w:ascii="Verdana" w:eastAsia="Calibri" w:hAnsi="Verdana" w:cs="Arial"/>
          <w:color w:val="000000"/>
        </w:rPr>
        <w:t xml:space="preserve">de </w:t>
      </w:r>
      <w:r w:rsidRPr="00C820B1">
        <w:rPr>
          <w:rFonts w:ascii="Verdana" w:eastAsia="Calibri" w:hAnsi="Verdana" w:cs="Arial"/>
          <w:color w:val="000000"/>
        </w:rPr>
        <w:t>la cuenta registrada de cada entidad en la plataforma. Si una filial ejecuta presupuesto o adquiere obligaciones contractuales, pero el proceso figura indexado únicamente bajo el usuario de su casa matriz, se desdibuja la visibilidad e independencia del gasto de</w:t>
      </w:r>
      <w:r>
        <w:rPr>
          <w:rFonts w:ascii="Verdana" w:eastAsia="Calibri" w:hAnsi="Verdana" w:cs="Arial"/>
          <w:color w:val="000000"/>
        </w:rPr>
        <w:t xml:space="preserve"> esta</w:t>
      </w:r>
      <w:r w:rsidRPr="00C820B1">
        <w:rPr>
          <w:rFonts w:ascii="Verdana" w:eastAsia="Calibri" w:hAnsi="Verdana" w:cs="Arial"/>
          <w:color w:val="000000"/>
        </w:rPr>
        <w:t>.</w:t>
      </w:r>
    </w:p>
    <w:p w14:paraId="4DF519C8" w14:textId="77777777" w:rsidR="00111DF2" w:rsidRDefault="00111DF2" w:rsidP="00111DF2">
      <w:pPr>
        <w:tabs>
          <w:tab w:val="left" w:pos="709"/>
        </w:tabs>
        <w:spacing w:after="120" w:line="276" w:lineRule="auto"/>
        <w:ind w:firstLine="709"/>
        <w:jc w:val="both"/>
        <w:rPr>
          <w:rFonts w:ascii="Verdana" w:eastAsia="Calibri" w:hAnsi="Verdana" w:cs="Arial"/>
          <w:color w:val="000000"/>
        </w:rPr>
      </w:pPr>
      <w:r>
        <w:rPr>
          <w:rFonts w:ascii="Verdana" w:eastAsia="Calibri" w:hAnsi="Verdana" w:cs="Arial"/>
          <w:color w:val="000000"/>
        </w:rPr>
        <w:t xml:space="preserve">De igual modo, en el caso del SECOP II sin ofertas que actúa </w:t>
      </w:r>
      <w:r w:rsidRPr="00283D42">
        <w:rPr>
          <w:rFonts w:ascii="Verdana" w:eastAsia="Calibri" w:hAnsi="Verdana" w:cs="Arial"/>
          <w:color w:val="000000"/>
        </w:rPr>
        <w:t>como herramienta de publicidad, la publicación de los documentos relacionados con la actividad contractual deberá realizarse dentro de los 3 días siguientes a su expedición</w:t>
      </w:r>
      <w:r>
        <w:rPr>
          <w:rFonts w:ascii="Verdana" w:eastAsia="Calibri" w:hAnsi="Verdana" w:cs="Arial"/>
          <w:color w:val="000000"/>
        </w:rPr>
        <w:t xml:space="preserve"> por la entidad contratante sujeta al deber de publicidad</w:t>
      </w:r>
      <w:r w:rsidRPr="00283D42">
        <w:rPr>
          <w:rFonts w:ascii="Verdana" w:eastAsia="Calibri" w:hAnsi="Verdana" w:cs="Arial"/>
          <w:color w:val="000000"/>
        </w:rPr>
        <w:t xml:space="preserve">, en aplicación de lo dispuesto en el artículo 2.1.1.2.1.7. del Decreto 1081 de 2015, el cual remite al artículo 2.2.1.1.1.7.1. del Decreto 1082 de 2015, en el que se hace referencia al plazo en cita. </w:t>
      </w:r>
    </w:p>
    <w:p w14:paraId="4EEAFE93" w14:textId="77777777" w:rsidR="00111DF2" w:rsidRPr="00C820B1" w:rsidRDefault="00111DF2" w:rsidP="00111DF2">
      <w:pPr>
        <w:tabs>
          <w:tab w:val="left" w:pos="709"/>
        </w:tabs>
        <w:spacing w:after="120" w:line="276" w:lineRule="auto"/>
        <w:ind w:firstLine="709"/>
        <w:jc w:val="both"/>
        <w:rPr>
          <w:rFonts w:ascii="Verdana" w:eastAsia="Calibri" w:hAnsi="Verdana" w:cs="Arial"/>
          <w:color w:val="000000"/>
        </w:rPr>
      </w:pPr>
      <w:r w:rsidRPr="00C820B1">
        <w:rPr>
          <w:rFonts w:ascii="Verdana" w:eastAsia="Calibri" w:hAnsi="Verdana" w:cs="Arial"/>
          <w:color w:val="000000"/>
        </w:rPr>
        <w:t xml:space="preserve">En conclusión, no resulta jurídicamente viable que la publicación se realice de manera centralizada excluyendo de forma absoluta la participación individual de cada filial en el SECOP II. Si bien es factible y aconsejable que </w:t>
      </w:r>
      <w:r>
        <w:rPr>
          <w:rFonts w:ascii="Verdana" w:eastAsia="Calibri" w:hAnsi="Verdana" w:cs="Arial"/>
          <w:color w:val="000000"/>
        </w:rPr>
        <w:t xml:space="preserve">dentro de la matriz controlante </w:t>
      </w:r>
      <w:r w:rsidRPr="00C820B1">
        <w:rPr>
          <w:rFonts w:ascii="Verdana" w:eastAsia="Calibri" w:hAnsi="Verdana" w:cs="Arial"/>
          <w:color w:val="000000"/>
        </w:rPr>
        <w:t xml:space="preserve">centralice la estructuración, el diseño técnico y el liderazgo operativo de las contrataciones conjuntas, cada filial nacional destinataria del proceso o del contrato derivado debe registrar, publicar o vincular formalmente la actuación a su respectivo usuario en la plataforma, garantizando que se </w:t>
      </w:r>
      <w:r w:rsidRPr="00C820B1">
        <w:rPr>
          <w:rFonts w:ascii="Verdana" w:eastAsia="Calibri" w:hAnsi="Verdana" w:cs="Arial"/>
          <w:color w:val="000000"/>
        </w:rPr>
        <w:lastRenderedPageBreak/>
        <w:t>mantenga intacta la correspondencia obligatoria entre la personería jurídica que contrata y el reflejo público de su gestión.</w:t>
      </w:r>
    </w:p>
    <w:p w14:paraId="28351CFA" w14:textId="77777777" w:rsidR="00111DF2" w:rsidRPr="00AD6B46" w:rsidRDefault="00111DF2" w:rsidP="00111DF2">
      <w:pPr>
        <w:tabs>
          <w:tab w:val="left" w:pos="709"/>
        </w:tabs>
        <w:spacing w:after="0" w:line="276" w:lineRule="auto"/>
        <w:ind w:firstLine="709"/>
        <w:jc w:val="both"/>
        <w:rPr>
          <w:rFonts w:ascii="Verdana" w:eastAsia="Calibri" w:hAnsi="Verdana" w:cs="Arial"/>
          <w:color w:val="000000"/>
        </w:rPr>
      </w:pPr>
    </w:p>
    <w:bookmarkEnd w:id="1"/>
    <w:p w14:paraId="18A578EA" w14:textId="77777777" w:rsidR="00111DF2" w:rsidRPr="00B16AC6" w:rsidRDefault="00111DF2" w:rsidP="00111DF2">
      <w:pPr>
        <w:spacing w:after="120" w:line="276" w:lineRule="auto"/>
        <w:jc w:val="both"/>
        <w:rPr>
          <w:rFonts w:ascii="Verdana" w:eastAsia="Calibri" w:hAnsi="Verdana" w:cs="Arial"/>
          <w:color w:val="000000" w:themeColor="text1"/>
          <w:lang w:val="es-ES"/>
        </w:rPr>
      </w:pPr>
      <w:proofErr w:type="spellStart"/>
      <w:r>
        <w:rPr>
          <w:rFonts w:ascii="Verdana" w:eastAsia="Calibri" w:hAnsi="Verdana" w:cs="Arial"/>
          <w:color w:val="000000" w:themeColor="text1"/>
          <w:lang w:val="es-ES"/>
        </w:rPr>
        <w:t>iv</w:t>
      </w:r>
      <w:proofErr w:type="spellEnd"/>
      <w:r>
        <w:rPr>
          <w:rFonts w:ascii="Verdana" w:eastAsia="Calibri" w:hAnsi="Verdana" w:cs="Arial"/>
          <w:color w:val="000000" w:themeColor="text1"/>
          <w:lang w:val="es-ES"/>
        </w:rPr>
        <w:t xml:space="preserve">. Al </w:t>
      </w:r>
      <w:r w:rsidRPr="00B17041">
        <w:rPr>
          <w:rFonts w:ascii="Verdana" w:hAnsi="Verdana" w:cs="Arial"/>
          <w:lang w:val="es-ES_tradnl" w:eastAsia="es-ES"/>
        </w:rPr>
        <w:t>margen de la explicación precedente debe advertirse que el análisis requerido para resolver pr</w:t>
      </w:r>
      <w:r>
        <w:rPr>
          <w:rFonts w:ascii="Verdana" w:hAnsi="Verdana" w:cs="Arial"/>
          <w:lang w:val="es-ES_tradnl" w:eastAsia="es-ES"/>
        </w:rPr>
        <w:t xml:space="preserve">oblemas específicos </w:t>
      </w:r>
      <w:r w:rsidRPr="00B17041">
        <w:rPr>
          <w:rFonts w:ascii="Verdana" w:hAnsi="Verdana" w:cs="Arial"/>
          <w:lang w:val="es-ES_tradnl" w:eastAsia="es-ES"/>
        </w:rPr>
        <w:t>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F1C7789" w14:textId="77777777" w:rsidR="00111DF2" w:rsidRPr="00B17041" w:rsidRDefault="00111DF2" w:rsidP="00111DF2">
      <w:pPr>
        <w:spacing w:after="0" w:line="276" w:lineRule="auto"/>
        <w:ind w:firstLine="709"/>
        <w:jc w:val="both"/>
        <w:rPr>
          <w:rFonts w:ascii="Verdana" w:hAnsi="Verdana" w:cs="Arial"/>
          <w:lang w:val="es-ES" w:eastAsia="es-ES"/>
        </w:rPr>
      </w:pPr>
      <w:r w:rsidRPr="00B17041">
        <w:rPr>
          <w:rFonts w:ascii="Verdana" w:hAnsi="Verdana" w:cs="Arial"/>
          <w:lang w:val="es-ES" w:eastAsia="es-ES"/>
        </w:rPr>
        <w:t xml:space="preserve">Dentro de este marco, la entidad </w:t>
      </w:r>
      <w:r w:rsidRPr="00485C44">
        <w:rPr>
          <w:rFonts w:ascii="Verdana" w:hAnsi="Verdana" w:cs="Arial"/>
          <w:lang w:val="es-ES" w:eastAsia="es-ES"/>
        </w:rPr>
        <w:t xml:space="preserve">pública </w:t>
      </w:r>
      <w:r>
        <w:rPr>
          <w:rFonts w:ascii="Verdana" w:hAnsi="Verdana" w:cs="Arial"/>
          <w:lang w:val="es-ES" w:eastAsia="es-ES"/>
        </w:rPr>
        <w:t>definirá</w:t>
      </w:r>
      <w:r w:rsidRPr="00B17041">
        <w:rPr>
          <w:rFonts w:ascii="Verdana" w:hAnsi="Verdana" w:cs="Arial"/>
          <w:lang w:val="es-ES" w:eastAsia="es-ES"/>
        </w:rPr>
        <w:t xml:space="preserve">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2228409" w14:textId="77777777" w:rsidR="00111DF2" w:rsidRPr="00CD0DCD" w:rsidRDefault="00111DF2" w:rsidP="00111DF2">
      <w:pPr>
        <w:spacing w:after="0" w:line="276" w:lineRule="auto"/>
        <w:jc w:val="both"/>
        <w:rPr>
          <w:rFonts w:ascii="Verdana" w:eastAsia="Calibri" w:hAnsi="Verdana" w:cs="Arial"/>
          <w:lang w:val="es-ES" w:eastAsia="es-MX"/>
        </w:rPr>
      </w:pPr>
    </w:p>
    <w:p w14:paraId="213008C4" w14:textId="77777777" w:rsidR="00111DF2" w:rsidRPr="00B57A1B" w:rsidRDefault="00111DF2" w:rsidP="00111DF2">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B57A1B">
        <w:rPr>
          <w:rFonts w:ascii="Verdana" w:eastAsia="Century Gothic" w:hAnsi="Verdana" w:cs="Century Gothic"/>
          <w:b/>
          <w:bCs/>
          <w:lang w:val="es-ES"/>
        </w:rPr>
        <w:t>Referencias normativas</w:t>
      </w:r>
      <w:r>
        <w:rPr>
          <w:rFonts w:ascii="Verdana" w:eastAsia="Century Gothic" w:hAnsi="Verdana" w:cs="Century Gothic"/>
          <w:b/>
          <w:bCs/>
          <w:lang w:val="es-ES"/>
        </w:rPr>
        <w:t>:</w:t>
      </w:r>
    </w:p>
    <w:p w14:paraId="4ACD0338" w14:textId="77777777" w:rsidR="00111DF2" w:rsidRPr="00B57A1B" w:rsidRDefault="00111DF2" w:rsidP="00111DF2">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11DF2" w:rsidRPr="00B57A1B" w14:paraId="06725BEB" w14:textId="77777777" w:rsidTr="00677F53">
        <w:trPr>
          <w:trHeight w:val="487"/>
          <w:jc w:val="center"/>
        </w:trPr>
        <w:tc>
          <w:tcPr>
            <w:tcW w:w="8647" w:type="dxa"/>
          </w:tcPr>
          <w:p w14:paraId="36016824" w14:textId="77777777" w:rsidR="00111DF2" w:rsidRDefault="00111DF2" w:rsidP="00677F5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Constitución Política, artículos 365 y 368. </w:t>
            </w:r>
          </w:p>
          <w:p w14:paraId="6F04FD06" w14:textId="77777777" w:rsidR="00111DF2" w:rsidRDefault="00111DF2" w:rsidP="00677F5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Código del Comercio, artículos 260 y 261. </w:t>
            </w:r>
          </w:p>
          <w:p w14:paraId="2D6BC81E" w14:textId="77777777" w:rsidR="00111DF2" w:rsidRDefault="00111DF2" w:rsidP="00677F5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sidRPr="00B57A1B">
              <w:rPr>
                <w:rFonts w:ascii="Verdana" w:eastAsia="Arial MT" w:hAnsi="Verdana" w:cs="Arial"/>
                <w:lang w:val="es-ES" w:eastAsia="es-ES" w:bidi="es-ES"/>
              </w:rPr>
              <w:t xml:space="preserve">Ley 80 de 1993, </w:t>
            </w:r>
            <w:r>
              <w:rPr>
                <w:rFonts w:ascii="Verdana" w:eastAsia="Arial MT" w:hAnsi="Verdana" w:cs="Arial"/>
                <w:lang w:val="es-ES" w:eastAsia="es-ES" w:bidi="es-ES"/>
              </w:rPr>
              <w:t xml:space="preserve">artículo 32, 39, 40 y 41. </w:t>
            </w:r>
          </w:p>
          <w:p w14:paraId="1AE8E0F8" w14:textId="77777777" w:rsidR="00111DF2" w:rsidRDefault="00111DF2" w:rsidP="00677F5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142 de 1994, artículos 3, 14, 17. 31, 32.</w:t>
            </w:r>
          </w:p>
          <w:p w14:paraId="730B5B2A" w14:textId="77777777" w:rsidR="00111DF2" w:rsidRDefault="00111DF2" w:rsidP="00677F5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Ley 222 de 2995, artículos 28 y 30.  </w:t>
            </w:r>
          </w:p>
          <w:p w14:paraId="15B548A1" w14:textId="77777777" w:rsidR="00111DF2" w:rsidRDefault="00111DF2" w:rsidP="00677F5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Ley 489 de 1998, artículos 38 y 68. </w:t>
            </w:r>
          </w:p>
          <w:p w14:paraId="66B01164" w14:textId="77777777" w:rsidR="00111DF2" w:rsidRDefault="00111DF2" w:rsidP="00677F5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Ley 1150 de 2007, artículo 2, 3 y 13.  </w:t>
            </w:r>
          </w:p>
          <w:p w14:paraId="0B981F6B" w14:textId="77777777" w:rsidR="00111DF2" w:rsidRDefault="00111DF2" w:rsidP="00677F5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Ley 1712 de 2014, artículos 2, 5 y 11. </w:t>
            </w:r>
          </w:p>
          <w:p w14:paraId="65FA0989" w14:textId="77777777" w:rsidR="00111DF2" w:rsidRDefault="00111DF2" w:rsidP="00677F5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lastRenderedPageBreak/>
              <w:t xml:space="preserve">Ley 2195 de 2022, artículo 53. </w:t>
            </w:r>
          </w:p>
          <w:p w14:paraId="444CB96A" w14:textId="77777777" w:rsidR="00111DF2" w:rsidRDefault="00111DF2" w:rsidP="00677F5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Decreto 1081 de 2015, </w:t>
            </w:r>
            <w:r w:rsidRPr="00B3348D">
              <w:rPr>
                <w:rFonts w:ascii="Verdana" w:eastAsia="Arial MT" w:hAnsi="Verdana" w:cs="Arial"/>
                <w:lang w:val="es-ES" w:eastAsia="es-ES" w:bidi="es-ES"/>
              </w:rPr>
              <w:t xml:space="preserve">artículo </w:t>
            </w:r>
            <w:r w:rsidRPr="00B3348D">
              <w:rPr>
                <w:rFonts w:ascii="Verdana" w:eastAsia="Arial MT" w:hAnsi="Verdana" w:cs="Arial"/>
                <w:lang w:eastAsia="es-ES" w:bidi="es-ES"/>
              </w:rPr>
              <w:t>2.1.1.2.1.7.,</w:t>
            </w:r>
          </w:p>
          <w:p w14:paraId="4E71FFE2" w14:textId="77777777" w:rsidR="00111DF2" w:rsidRPr="00B57A1B" w:rsidRDefault="00111DF2" w:rsidP="00677F53">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Decreto 1082 de 2015, </w:t>
            </w:r>
            <w:r w:rsidRPr="009F575B">
              <w:rPr>
                <w:rFonts w:ascii="Verdana" w:eastAsia="Arial MT" w:hAnsi="Verdana" w:cs="Arial"/>
                <w:lang w:eastAsia="es-ES" w:bidi="es-ES"/>
              </w:rPr>
              <w:t>2.2.1.1.1.7.1</w:t>
            </w:r>
            <w:r>
              <w:rPr>
                <w:rFonts w:ascii="Verdana" w:eastAsia="Arial MT" w:hAnsi="Verdana" w:cs="Arial"/>
                <w:lang w:eastAsia="es-ES" w:bidi="es-ES"/>
              </w:rPr>
              <w:t xml:space="preserve">, </w:t>
            </w:r>
            <w:r w:rsidRPr="00EF0BDA">
              <w:rPr>
                <w:rFonts w:ascii="Verdana" w:hAnsi="Verdana" w:cs="Arial"/>
                <w:shd w:val="clear" w:color="auto" w:fill="FFFFFF"/>
              </w:rPr>
              <w:t>2.2.1.1.1.3.1</w:t>
            </w:r>
            <w:r>
              <w:rPr>
                <w:rFonts w:ascii="Verdana" w:hAnsi="Verdana" w:cs="Arial"/>
                <w:shd w:val="clear" w:color="auto" w:fill="FFFFFF"/>
              </w:rPr>
              <w:t xml:space="preserve">. </w:t>
            </w:r>
          </w:p>
        </w:tc>
      </w:tr>
    </w:tbl>
    <w:p w14:paraId="6C3CFF8A" w14:textId="77777777" w:rsidR="00111DF2" w:rsidRPr="00B57A1B" w:rsidRDefault="00111DF2" w:rsidP="00111DF2">
      <w:pPr>
        <w:widowControl w:val="0"/>
        <w:autoSpaceDE w:val="0"/>
        <w:autoSpaceDN w:val="0"/>
        <w:spacing w:after="0" w:line="276" w:lineRule="auto"/>
        <w:jc w:val="both"/>
        <w:rPr>
          <w:rFonts w:ascii="Verdana" w:hAnsi="Verdana" w:cs="Arial"/>
        </w:rPr>
      </w:pPr>
    </w:p>
    <w:p w14:paraId="7B2441AC" w14:textId="77777777" w:rsidR="00111DF2" w:rsidRPr="00B57A1B" w:rsidRDefault="00111DF2" w:rsidP="00111DF2">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B57A1B">
        <w:rPr>
          <w:rFonts w:ascii="Verdana" w:eastAsia="Century Gothic" w:hAnsi="Verdana" w:cs="Century Gothic"/>
          <w:b/>
          <w:bCs/>
          <w:lang w:val="es-ES"/>
        </w:rPr>
        <w:t>Doctrina de la Agencia Nacional de Contratación Pública:</w:t>
      </w:r>
    </w:p>
    <w:p w14:paraId="38F85D18" w14:textId="77777777" w:rsidR="00111DF2" w:rsidRPr="00B57A1B" w:rsidRDefault="00111DF2" w:rsidP="00111DF2">
      <w:pPr>
        <w:widowControl w:val="0"/>
        <w:autoSpaceDE w:val="0"/>
        <w:autoSpaceDN w:val="0"/>
        <w:spacing w:after="0" w:line="276" w:lineRule="auto"/>
        <w:jc w:val="both"/>
        <w:rPr>
          <w:rFonts w:ascii="Verdana" w:hAnsi="Verdana" w:cs="Arial"/>
        </w:rPr>
      </w:pPr>
    </w:p>
    <w:p w14:paraId="2B183411" w14:textId="77777777" w:rsidR="00111DF2" w:rsidRPr="007D6CC8" w:rsidRDefault="00111DF2" w:rsidP="00111DF2">
      <w:pPr>
        <w:widowControl w:val="0"/>
        <w:autoSpaceDE w:val="0"/>
        <w:autoSpaceDN w:val="0"/>
        <w:spacing w:after="0" w:line="276" w:lineRule="auto"/>
        <w:jc w:val="both"/>
        <w:rPr>
          <w:rFonts w:ascii="Verdana" w:hAnsi="Verdana" w:cs="Arial"/>
          <w:shd w:val="clear" w:color="auto" w:fill="FFFFFF"/>
        </w:rPr>
      </w:pPr>
      <w:r w:rsidRPr="00B57A1B">
        <w:rPr>
          <w:rFonts w:ascii="Verdana" w:hAnsi="Verdana" w:cs="Arial"/>
          <w:shd w:val="clear" w:color="auto" w:fill="FFFFFF"/>
        </w:rPr>
        <w:t>Esta Subdirección se ha pronunciado sobre</w:t>
      </w:r>
      <w:r>
        <w:rPr>
          <w:rFonts w:ascii="Verdana" w:hAnsi="Verdana" w:cs="Arial"/>
          <w:shd w:val="clear" w:color="auto" w:fill="FFFFFF"/>
        </w:rPr>
        <w:t xml:space="preserve"> las empresas de servicios públicos en los Conceptos C- 792 del 28 de noviembre de 2024, C- 429 del 13 de mayo de 2025, C-477 del 20 de mayo de 2025, C-1004 del 29 de agosto de 2025, C- 1012 del 4 de septiembre de 2025, C-1368 del 5 de noviembre de 2025, C-095 del 4 de marzo de 2026, entre otras. En todo caso, se hace un análisis particular sobre el concepto de Grupo Empresarial para efectos de claridad y solución de la consulta.</w:t>
      </w:r>
      <w:r>
        <w:rPr>
          <w:rFonts w:ascii="Verdana" w:hAnsi="Verdana" w:cs="Arial"/>
          <w:bCs/>
          <w:shd w:val="clear" w:color="auto" w:fill="FFFFFF"/>
          <w:lang w:val="es-ES"/>
        </w:rPr>
        <w:t xml:space="preserve"> </w:t>
      </w:r>
      <w:r w:rsidRPr="00185EE9">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5A923B8D" w14:textId="77777777" w:rsidR="00111DF2" w:rsidRPr="00185EE9" w:rsidRDefault="00111DF2" w:rsidP="00111DF2">
      <w:pPr>
        <w:spacing w:after="0" w:line="256" w:lineRule="auto"/>
        <w:jc w:val="both"/>
        <w:rPr>
          <w:rFonts w:ascii="Verdana" w:eastAsia="Calibri" w:hAnsi="Verdana" w:cs="Times New Roman"/>
        </w:rPr>
      </w:pPr>
      <w:hyperlink r:id="rId14" w:history="1">
        <w:r w:rsidRPr="00F14AAD">
          <w:rPr>
            <w:rStyle w:val="Hipervnculo"/>
            <w:rFonts w:ascii="Verdana" w:eastAsia="Calibri" w:hAnsi="Verdana" w:cs="Times New Roman"/>
            <w:lang w:val="es-ES"/>
          </w:rPr>
          <w:t>https://relatoria.colombiacompra.gov.co/busqueda/conceptos</w:t>
        </w:r>
      </w:hyperlink>
      <w:r w:rsidRPr="00185EE9">
        <w:rPr>
          <w:rFonts w:ascii="Verdana" w:eastAsia="Calibri" w:hAnsi="Verdana" w:cs="Times New Roman"/>
        </w:rPr>
        <w:t xml:space="preserve">. </w:t>
      </w:r>
    </w:p>
    <w:p w14:paraId="37038616" w14:textId="77777777" w:rsidR="00111DF2" w:rsidRPr="009037F6" w:rsidRDefault="00111DF2" w:rsidP="00111DF2">
      <w:pPr>
        <w:spacing w:after="0"/>
        <w:jc w:val="both"/>
        <w:rPr>
          <w:rFonts w:ascii="Verdana" w:hAnsi="Verdana"/>
        </w:rPr>
      </w:pPr>
    </w:p>
    <w:p w14:paraId="1D3BC91E" w14:textId="77777777" w:rsidR="00111DF2" w:rsidRPr="00231A97" w:rsidRDefault="00111DF2" w:rsidP="00111DF2">
      <w:pPr>
        <w:spacing w:after="0" w:line="256" w:lineRule="auto"/>
        <w:jc w:val="both"/>
        <w:rPr>
          <w:rFonts w:ascii="Verdana" w:eastAsia="Calibri" w:hAnsi="Verdana" w:cs="Times New Roman"/>
        </w:rPr>
      </w:pPr>
      <w:r w:rsidRPr="00231A97">
        <w:rPr>
          <w:rFonts w:ascii="Verdana" w:eastAsia="Calibri" w:hAnsi="Verdana" w:cs="Times New Roman"/>
        </w:rPr>
        <w:t xml:space="preserve">La sostenibilidad no es una opción, es una obligación. Por ello, la Agencia Nacional de Contratación Pública –Colombia Compra Eficiente– te invita a realizar el </w:t>
      </w:r>
      <w:r w:rsidRPr="00231A97">
        <w:rPr>
          <w:rFonts w:ascii="Verdana" w:eastAsia="Calibri" w:hAnsi="Verdana" w:cs="Times New Roman"/>
          <w:b/>
          <w:bCs/>
        </w:rPr>
        <w:t>Curso de Contratación Pública Sostenible y Socialmente Responsable</w:t>
      </w:r>
      <w:r w:rsidRPr="00231A97">
        <w:rPr>
          <w:rFonts w:ascii="Verdana" w:eastAsia="Calibri"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231A97">
        <w:rPr>
          <w:rFonts w:ascii="Verdana" w:eastAsia="Calibri" w:hAnsi="Verdana" w:cs="Times New Roman"/>
        </w:rPr>
        <w:br/>
      </w:r>
      <w:hyperlink r:id="rId15" w:tgtFrame="_new" w:history="1">
        <w:r w:rsidRPr="00231A97">
          <w:rPr>
            <w:rStyle w:val="Hipervnculo"/>
            <w:rFonts w:ascii="Verdana" w:eastAsia="Calibri" w:hAnsi="Verdana" w:cs="Times New Roman"/>
          </w:rPr>
          <w:t>https://formacionvirtual.colombiacompra.gov.co/mod/page/view.php?id=3718</w:t>
        </w:r>
      </w:hyperlink>
    </w:p>
    <w:p w14:paraId="199F568C" w14:textId="77777777" w:rsidR="00111DF2" w:rsidRDefault="00111DF2" w:rsidP="00111DF2">
      <w:pPr>
        <w:spacing w:after="0" w:line="256" w:lineRule="auto"/>
        <w:jc w:val="both"/>
        <w:rPr>
          <w:rFonts w:ascii="Verdana" w:eastAsia="Calibri" w:hAnsi="Verdana" w:cs="Times New Roman"/>
        </w:rPr>
      </w:pPr>
    </w:p>
    <w:p w14:paraId="10C7F9C0" w14:textId="77777777" w:rsidR="00111DF2" w:rsidRDefault="00111DF2" w:rsidP="00111DF2">
      <w:pPr>
        <w:spacing w:after="0" w:line="256" w:lineRule="auto"/>
        <w:jc w:val="both"/>
        <w:rPr>
          <w:rFonts w:ascii="Verdana" w:eastAsia="Calibri" w:hAnsi="Verdana" w:cs="Times New Roman"/>
        </w:rPr>
      </w:pPr>
      <w:r w:rsidRPr="00231A97">
        <w:rPr>
          <w:rFonts w:ascii="Verdana" w:eastAsia="Calibri" w:hAnsi="Verdana" w:cs="Times New Roman"/>
        </w:rPr>
        <w:t xml:space="preserve">De otro lado, te contamos que esta Agencia ha da un paso decisivo en la estandarización y modernización del </w:t>
      </w:r>
      <w:r w:rsidRPr="00231A97">
        <w:rPr>
          <w:rFonts w:ascii="Verdana" w:eastAsia="Calibri" w:hAnsi="Verdana" w:cs="Times New Roman"/>
          <w:b/>
          <w:bCs/>
        </w:rPr>
        <w:t>sector  social</w:t>
      </w:r>
      <w:r w:rsidRPr="00231A97">
        <w:rPr>
          <w:rFonts w:ascii="Verdana" w:eastAsia="Calibri" w:hAnsi="Verdana" w:cs="Times New Roman"/>
        </w:rPr>
        <w:t xml:space="preserve"> con la expedición de las </w:t>
      </w:r>
      <w:r w:rsidRPr="00231A97">
        <w:rPr>
          <w:rFonts w:ascii="Verdana" w:eastAsia="Calibri" w:hAnsi="Verdana" w:cs="Times New Roman"/>
          <w:b/>
          <w:bCs/>
        </w:rPr>
        <w:t>Resoluciones 539, 540, 541, 952 y 953 de 2025</w:t>
      </w:r>
      <w:r w:rsidRPr="00231A97">
        <w:rPr>
          <w:rFonts w:ascii="Verdana" w:eastAsia="Calibri" w:hAnsi="Verdana" w:cs="Times New Roman"/>
        </w:rPr>
        <w:t xml:space="preserve">, </w:t>
      </w:r>
      <w:r w:rsidRPr="00231A97">
        <w:rPr>
          <w:rFonts w:ascii="Verdana" w:eastAsia="Calibri" w:hAnsi="Verdana" w:cs="Times New Roman"/>
          <w:b/>
          <w:bCs/>
        </w:rPr>
        <w:t>mediante las cuales adoptó Documentos Tipo</w:t>
      </w:r>
      <w:r w:rsidRPr="00231A97">
        <w:rPr>
          <w:rFonts w:ascii="Verdana" w:eastAsia="Calibri" w:hAnsi="Verdana" w:cs="Times New Roman"/>
        </w:rPr>
        <w:t xml:space="preserve"> para las modalidades de selección de</w:t>
      </w:r>
      <w:r w:rsidRPr="00231A97">
        <w:rPr>
          <w:rFonts w:ascii="Verdana" w:eastAsia="Calibri" w:hAnsi="Verdana" w:cs="Times New Roman"/>
          <w:b/>
          <w:bCs/>
        </w:rPr>
        <w:t xml:space="preserve"> licitación pública (versión 2), selección abreviada de menor cuantía, mínima cuantía, consultoría e interventoría</w:t>
      </w:r>
      <w:r w:rsidRPr="00231A97">
        <w:rPr>
          <w:rFonts w:ascii="Verdana" w:eastAsia="Calibri" w:hAnsi="Verdana" w:cs="Times New Roman"/>
        </w:rPr>
        <w:t xml:space="preserve">, promoviendo procesos más transparentes, eficientes  competitivos y sostenibles en sectores estratégicos como educación, salud, cultura, recreación, deporte, institucional y vivienda. </w:t>
      </w:r>
    </w:p>
    <w:p w14:paraId="62C4F9C3" w14:textId="77777777" w:rsidR="00111DF2" w:rsidRDefault="00111DF2" w:rsidP="00111DF2">
      <w:pPr>
        <w:spacing w:after="0" w:line="256" w:lineRule="auto"/>
        <w:jc w:val="both"/>
      </w:pPr>
      <w:r w:rsidRPr="00231A97">
        <w:rPr>
          <w:rFonts w:ascii="Verdana" w:eastAsia="Calibri" w:hAnsi="Verdana" w:cs="Times New Roman"/>
        </w:rPr>
        <w:lastRenderedPageBreak/>
        <w:t xml:space="preserve">Consulta y descarga los documentos aquí: </w:t>
      </w:r>
      <w:hyperlink r:id="rId16" w:tgtFrame="_new" w:history="1">
        <w:r w:rsidRPr="00231A97">
          <w:rPr>
            <w:rStyle w:val="Hipervnculo"/>
            <w:rFonts w:ascii="Verdana" w:eastAsia="Calibri" w:hAnsi="Verdana" w:cs="Times New Roman"/>
          </w:rPr>
          <w:t>https://www.colombiacompra.gov.co/normativa-y-relatoria/documentos-tipo</w:t>
        </w:r>
      </w:hyperlink>
    </w:p>
    <w:p w14:paraId="39AEA4D4" w14:textId="77777777" w:rsidR="00111DF2" w:rsidRPr="00231A97" w:rsidRDefault="00111DF2" w:rsidP="00111DF2">
      <w:pPr>
        <w:spacing w:after="0" w:line="256" w:lineRule="auto"/>
        <w:jc w:val="both"/>
        <w:rPr>
          <w:rFonts w:ascii="Verdana" w:eastAsia="Calibri" w:hAnsi="Verdana" w:cs="Times New Roman"/>
        </w:rPr>
      </w:pPr>
    </w:p>
    <w:p w14:paraId="7BF61D92" w14:textId="77777777" w:rsidR="00111DF2" w:rsidRPr="00231A97" w:rsidRDefault="00111DF2" w:rsidP="00111DF2">
      <w:pPr>
        <w:spacing w:after="0" w:line="256" w:lineRule="auto"/>
        <w:jc w:val="both"/>
        <w:rPr>
          <w:rFonts w:ascii="Verdana" w:eastAsia="Calibri" w:hAnsi="Verdana" w:cs="Times New Roman"/>
        </w:rPr>
      </w:pPr>
      <w:r w:rsidRPr="00231A97">
        <w:rPr>
          <w:rFonts w:ascii="Verdana" w:eastAsia="Calibri" w:hAnsi="Verdana" w:cs="Times New Roman"/>
        </w:rPr>
        <w:t xml:space="preserve">Si quieres conocer más sobre la aplicación de Documentos Tipo puedes consultar la última versión de la </w:t>
      </w:r>
      <w:r w:rsidRPr="00231A97">
        <w:rPr>
          <w:rFonts w:ascii="Verdana" w:eastAsia="Calibri" w:hAnsi="Verdana" w:cs="Times New Roman"/>
          <w:b/>
          <w:bCs/>
        </w:rPr>
        <w:t>Guía para la comprensión e implementación de los Documentos Tipo de obra pública de infraestructura de transporte</w:t>
      </w:r>
      <w:r w:rsidRPr="00231A97">
        <w:rPr>
          <w:rFonts w:ascii="Verdana" w:eastAsia="Calibri"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231A97">
        <w:rPr>
          <w:rFonts w:ascii="Verdana" w:eastAsia="Calibri" w:hAnsi="Verdana" w:cs="Times New Roman"/>
        </w:rPr>
        <w:br/>
      </w:r>
      <w:hyperlink r:id="rId17" w:tgtFrame="_new" w:history="1">
        <w:r w:rsidRPr="00231A97">
          <w:rPr>
            <w:rStyle w:val="Hipervnculo"/>
            <w:rFonts w:ascii="Verdana" w:eastAsia="Calibri" w:hAnsi="Verdana" w:cs="Times New Roman"/>
          </w:rPr>
          <w:t>https://www.colombiacompra.gov.co/archivos/manual/guia-para-la-comprension-e-implementacion-de-los-documentos-tipo-de-obra-publica-de-infraestructura-de-transporte-bajo-las-diferentes-modalidades-de-contratacion-vigentes</w:t>
        </w:r>
      </w:hyperlink>
    </w:p>
    <w:p w14:paraId="2BD971F6" w14:textId="77777777" w:rsidR="00111DF2" w:rsidRPr="009037F6" w:rsidRDefault="00111DF2" w:rsidP="00111DF2">
      <w:pPr>
        <w:spacing w:after="0" w:line="240" w:lineRule="auto"/>
        <w:jc w:val="both"/>
        <w:rPr>
          <w:rFonts w:ascii="Verdana" w:hAnsi="Verdana"/>
        </w:rPr>
      </w:pPr>
    </w:p>
    <w:p w14:paraId="4FF5B106" w14:textId="77777777" w:rsidR="00111DF2" w:rsidRPr="00116940" w:rsidRDefault="00111DF2" w:rsidP="00111DF2">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1F951809" w14:textId="77777777" w:rsidR="00111DF2" w:rsidRPr="00116940" w:rsidRDefault="00111DF2" w:rsidP="00111DF2">
      <w:pPr>
        <w:spacing w:after="0"/>
        <w:jc w:val="both"/>
        <w:rPr>
          <w:rFonts w:ascii="Verdana" w:hAnsi="Verdana"/>
        </w:rPr>
      </w:pPr>
    </w:p>
    <w:p w14:paraId="35C7D77A" w14:textId="77777777" w:rsidR="00111DF2" w:rsidRPr="00116940" w:rsidRDefault="00111DF2" w:rsidP="00111DF2">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4EA244BA" w14:textId="77777777" w:rsidR="00111DF2" w:rsidRPr="00116940" w:rsidRDefault="00111DF2" w:rsidP="00111DF2">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42337281" w14:textId="77777777" w:rsidR="00111DF2" w:rsidRPr="00116940" w:rsidRDefault="00111DF2" w:rsidP="00111DF2">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4ABC9E06" w14:textId="77777777" w:rsidR="00111DF2" w:rsidRPr="00116940" w:rsidRDefault="00111DF2" w:rsidP="00111DF2">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410719E1" w14:textId="77777777" w:rsidR="00111DF2" w:rsidRPr="00116940" w:rsidRDefault="00111DF2" w:rsidP="00111DF2">
      <w:pPr>
        <w:spacing w:after="0" w:line="240" w:lineRule="auto"/>
        <w:ind w:left="720"/>
        <w:jc w:val="both"/>
        <w:rPr>
          <w:rFonts w:ascii="Verdana" w:hAnsi="Verdana"/>
        </w:rPr>
      </w:pPr>
    </w:p>
    <w:p w14:paraId="4878B470" w14:textId="77777777" w:rsidR="00111DF2" w:rsidRPr="00116940" w:rsidRDefault="00111DF2" w:rsidP="00111DF2">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59AF1583" w14:textId="77777777" w:rsidR="00111DF2" w:rsidRPr="00116940" w:rsidRDefault="00111DF2" w:rsidP="00111DF2">
      <w:pPr>
        <w:spacing w:after="0" w:line="240" w:lineRule="auto"/>
        <w:rPr>
          <w:rFonts w:ascii="Verdana" w:hAnsi="Verdana"/>
        </w:rPr>
      </w:pPr>
    </w:p>
    <w:p w14:paraId="2CD920DA" w14:textId="77777777" w:rsidR="00111DF2" w:rsidRPr="00116940" w:rsidRDefault="00111DF2" w:rsidP="00111DF2">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20CE1201" w14:textId="77777777" w:rsidR="00111DF2" w:rsidRPr="00116940" w:rsidRDefault="00111DF2" w:rsidP="00111DF2">
      <w:pPr>
        <w:spacing w:after="0" w:line="240" w:lineRule="auto"/>
        <w:jc w:val="both"/>
        <w:rPr>
          <w:rFonts w:ascii="Verdana" w:hAnsi="Verdana"/>
        </w:rPr>
      </w:pPr>
    </w:p>
    <w:p w14:paraId="1C957CCB" w14:textId="77777777" w:rsidR="00111DF2" w:rsidRPr="00116940" w:rsidRDefault="00111DF2" w:rsidP="00111DF2">
      <w:pPr>
        <w:spacing w:after="0" w:line="240" w:lineRule="auto"/>
        <w:jc w:val="both"/>
        <w:rPr>
          <w:rFonts w:ascii="Verdana" w:hAnsi="Verdana"/>
        </w:rPr>
      </w:pPr>
      <w:r w:rsidRPr="00116940">
        <w:rPr>
          <w:rFonts w:ascii="Verdana" w:hAnsi="Verdana"/>
        </w:rPr>
        <w:lastRenderedPageBreak/>
        <w:t xml:space="preserve">Twitter: </w:t>
      </w:r>
      <w:r w:rsidRPr="00116940">
        <w:rPr>
          <w:rStyle w:val="Hipervnculo"/>
          <w:rFonts w:ascii="Verdana" w:hAnsi="Verdana"/>
        </w:rPr>
        <w:t>@colombiacompra</w:t>
      </w:r>
      <w:r w:rsidRPr="00116940">
        <w:rPr>
          <w:rFonts w:ascii="Verdana" w:hAnsi="Verdana"/>
        </w:rPr>
        <w:t xml:space="preserve"> </w:t>
      </w:r>
    </w:p>
    <w:p w14:paraId="2DE135B7" w14:textId="77777777" w:rsidR="00111DF2" w:rsidRPr="00116940" w:rsidRDefault="00111DF2" w:rsidP="00111DF2">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33D66946" w14:textId="77777777" w:rsidR="00111DF2" w:rsidRPr="00116940" w:rsidRDefault="00111DF2" w:rsidP="00111DF2">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43917A52" w14:textId="77777777" w:rsidR="00111DF2" w:rsidRPr="00116940" w:rsidRDefault="00111DF2" w:rsidP="00111DF2">
      <w:pPr>
        <w:spacing w:after="0" w:line="240" w:lineRule="auto"/>
        <w:jc w:val="both"/>
        <w:rPr>
          <w:rFonts w:ascii="Verdana" w:hAnsi="Verdana"/>
        </w:rPr>
      </w:pPr>
    </w:p>
    <w:p w14:paraId="3F0E781A" w14:textId="77777777" w:rsidR="00111DF2" w:rsidRPr="009037F6" w:rsidRDefault="00111DF2" w:rsidP="00111DF2">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9224EE5" w14:textId="77777777" w:rsidR="00111DF2" w:rsidRPr="00492C4A" w:rsidRDefault="00111DF2" w:rsidP="00111DF2">
      <w:pPr>
        <w:spacing w:after="0" w:line="256" w:lineRule="auto"/>
        <w:jc w:val="both"/>
        <w:rPr>
          <w:rFonts w:ascii="Verdana" w:eastAsia="Calibri" w:hAnsi="Verdana" w:cs="Times New Roman"/>
          <w:lang w:val="es-ES_tradnl"/>
        </w:rPr>
      </w:pPr>
    </w:p>
    <w:p w14:paraId="24396BAE" w14:textId="77777777" w:rsidR="00111DF2" w:rsidRDefault="00111DF2" w:rsidP="00111DF2">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49E4A670" w14:textId="77777777" w:rsidR="00111DF2" w:rsidRPr="002F1956" w:rsidRDefault="00111DF2" w:rsidP="00111DF2">
      <w:pPr>
        <w:spacing w:after="0" w:line="256" w:lineRule="auto"/>
        <w:jc w:val="center"/>
        <w:rPr>
          <w:rFonts w:ascii="Verdana" w:hAnsi="Verdana"/>
          <w:sz w:val="16"/>
          <w:szCs w:val="16"/>
          <w:lang w:val="en-US"/>
        </w:rPr>
      </w:pPr>
    </w:p>
    <w:p w14:paraId="63D1E150" w14:textId="569642FB" w:rsidR="00111DF2" w:rsidRDefault="00653589" w:rsidP="00111DF2">
      <w:pPr>
        <w:spacing w:after="0" w:line="256" w:lineRule="auto"/>
        <w:jc w:val="center"/>
        <w:rPr>
          <w:rFonts w:ascii="Century Gothic" w:hAnsi="Century Gothic"/>
          <w:noProof/>
          <w:lang w:val="en-US"/>
        </w:rPr>
      </w:pPr>
      <w:r w:rsidRPr="002C3AD6">
        <w:rPr>
          <w:rFonts w:ascii="Century Gothic" w:hAnsi="Century Gothic"/>
          <w:noProof/>
          <w:lang w:val="en-US"/>
        </w:rPr>
        <w:drawing>
          <wp:inline distT="0" distB="0" distL="0" distR="0" wp14:anchorId="5D947B5C" wp14:editId="3A5531C1">
            <wp:extent cx="3355848" cy="1245731"/>
            <wp:effectExtent l="0" t="0" r="0" b="0"/>
            <wp:docPr id="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3393019" cy="1259529"/>
                    </a:xfrm>
                    <a:prstGeom prst="rect">
                      <a:avLst/>
                    </a:prstGeom>
                  </pic:spPr>
                </pic:pic>
              </a:graphicData>
            </a:graphic>
          </wp:inline>
        </w:drawing>
      </w:r>
    </w:p>
    <w:p w14:paraId="6EDFFE79" w14:textId="77777777" w:rsidR="00653589" w:rsidRDefault="00653589" w:rsidP="00111DF2">
      <w:pPr>
        <w:spacing w:after="0" w:line="256" w:lineRule="auto"/>
        <w:jc w:val="center"/>
        <w:rPr>
          <w:rFonts w:ascii="Century Gothic" w:hAnsi="Century Gothic"/>
          <w:noProof/>
          <w:lang w:val="en-US"/>
        </w:rPr>
      </w:pPr>
    </w:p>
    <w:p w14:paraId="05BDB6F9" w14:textId="77777777" w:rsidR="00111DF2" w:rsidRPr="00D56F8A" w:rsidRDefault="00111DF2" w:rsidP="00111DF2">
      <w:pPr>
        <w:spacing w:after="0" w:line="256" w:lineRule="auto"/>
        <w:jc w:val="center"/>
        <w:rPr>
          <w:rFonts w:ascii="Verdana" w:hAnsi="Verdana"/>
          <w:sz w:val="12"/>
          <w:szCs w:val="12"/>
        </w:rPr>
      </w:pPr>
      <w:r w:rsidRPr="00FD1DDC">
        <w:rPr>
          <w:rFonts w:ascii="Verdana" w:hAnsi="Verdana"/>
          <w:sz w:val="16"/>
          <w:szCs w:val="16"/>
        </w:rPr>
        <w:t xml:space="preserve"> </w:t>
      </w: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111DF2" w:rsidRPr="00D56F8A" w14:paraId="4D05B7FA" w14:textId="77777777" w:rsidTr="00677F53">
        <w:trPr>
          <w:trHeight w:val="409"/>
        </w:trPr>
        <w:tc>
          <w:tcPr>
            <w:tcW w:w="817" w:type="dxa"/>
            <w:tcBorders>
              <w:top w:val="nil"/>
              <w:left w:val="nil"/>
              <w:bottom w:val="nil"/>
              <w:right w:val="nil"/>
            </w:tcBorders>
            <w:vAlign w:val="center"/>
            <w:hideMark/>
          </w:tcPr>
          <w:p w14:paraId="5A211A10" w14:textId="77777777" w:rsidR="00111DF2" w:rsidRPr="00D56F8A" w:rsidRDefault="00111DF2" w:rsidP="00677F53">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42F1CD13" w14:textId="77777777" w:rsidR="00111DF2" w:rsidRPr="00D56F8A" w:rsidRDefault="00111DF2" w:rsidP="00677F53">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José Luis Sánchez Cardona</w:t>
            </w:r>
          </w:p>
          <w:p w14:paraId="51553601" w14:textId="77777777" w:rsidR="00111DF2" w:rsidRPr="00D56F8A" w:rsidRDefault="00111DF2" w:rsidP="00677F53">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Contratista de la Subdirección de Gestión Contractual</w:t>
            </w:r>
          </w:p>
        </w:tc>
      </w:tr>
      <w:tr w:rsidR="00111DF2" w:rsidRPr="00D56F8A" w14:paraId="6D35A9F4" w14:textId="77777777" w:rsidTr="00677F53">
        <w:trPr>
          <w:trHeight w:val="409"/>
        </w:trPr>
        <w:tc>
          <w:tcPr>
            <w:tcW w:w="817" w:type="dxa"/>
            <w:tcBorders>
              <w:top w:val="nil"/>
              <w:left w:val="nil"/>
              <w:bottom w:val="nil"/>
              <w:right w:val="nil"/>
            </w:tcBorders>
            <w:vAlign w:val="center"/>
            <w:hideMark/>
          </w:tcPr>
          <w:p w14:paraId="6F6FD612" w14:textId="77777777" w:rsidR="00111DF2" w:rsidRPr="00D56F8A" w:rsidRDefault="00111DF2" w:rsidP="00677F53">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30747217" w14:textId="77777777" w:rsidR="00111DF2" w:rsidRPr="00D56F8A" w:rsidRDefault="00111DF2" w:rsidP="00677F53">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Alejandro R. Sarmiento Cantillo</w:t>
            </w:r>
          </w:p>
          <w:p w14:paraId="7E49B870" w14:textId="77777777" w:rsidR="00111DF2" w:rsidRPr="00D56F8A" w:rsidRDefault="00111DF2" w:rsidP="00677F53">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Gestor T1-15 de la Subdirección de Gestión Contractual </w:t>
            </w:r>
          </w:p>
        </w:tc>
      </w:tr>
      <w:tr w:rsidR="00111DF2" w:rsidRPr="00D56F8A" w14:paraId="5BA49A60" w14:textId="77777777" w:rsidTr="00677F53">
        <w:trPr>
          <w:trHeight w:val="389"/>
        </w:trPr>
        <w:tc>
          <w:tcPr>
            <w:tcW w:w="817" w:type="dxa"/>
            <w:tcBorders>
              <w:top w:val="nil"/>
              <w:left w:val="nil"/>
              <w:bottom w:val="nil"/>
              <w:right w:val="nil"/>
            </w:tcBorders>
            <w:vAlign w:val="center"/>
            <w:hideMark/>
          </w:tcPr>
          <w:p w14:paraId="3EC5ECDA" w14:textId="77777777" w:rsidR="00111DF2" w:rsidRPr="00D56F8A" w:rsidRDefault="00111DF2" w:rsidP="00677F53">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A1C40BC" w14:textId="77777777" w:rsidR="00111DF2" w:rsidRPr="00D56F8A" w:rsidRDefault="00111DF2" w:rsidP="00677F53">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Carolina Quintero Gacharná</w:t>
            </w:r>
          </w:p>
          <w:p w14:paraId="38EC4876" w14:textId="77777777" w:rsidR="00111DF2" w:rsidRPr="00D56F8A" w:rsidRDefault="00111DF2" w:rsidP="00677F53">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Subdirectora de Gestión Contractual ANCP – CCE</w:t>
            </w:r>
          </w:p>
        </w:tc>
      </w:tr>
    </w:tbl>
    <w:p w14:paraId="54C347F7" w14:textId="77777777" w:rsidR="00111DF2" w:rsidRPr="00522C54" w:rsidRDefault="00111DF2" w:rsidP="00111DF2">
      <w:pPr>
        <w:spacing w:after="0" w:line="240" w:lineRule="auto"/>
        <w:textAlignment w:val="baseline"/>
        <w:rPr>
          <w:rFonts w:ascii="Verdana" w:eastAsia="Verdana" w:hAnsi="Verdana" w:cs="Verdana"/>
          <w:lang w:eastAsia="es-CO"/>
        </w:rPr>
      </w:pPr>
    </w:p>
    <w:p w14:paraId="62ACA891" w14:textId="77777777" w:rsidR="00111DF2" w:rsidRPr="000E2B93" w:rsidRDefault="00111DF2" w:rsidP="00111DF2">
      <w:pPr>
        <w:spacing w:after="0" w:line="240" w:lineRule="auto"/>
        <w:jc w:val="both"/>
        <w:textAlignment w:val="baseline"/>
        <w:rPr>
          <w:rFonts w:ascii="Verdana" w:eastAsia="Verdana" w:hAnsi="Verdana" w:cs="Verdana"/>
          <w:lang w:eastAsia="es-CO"/>
        </w:rPr>
      </w:pPr>
    </w:p>
    <w:p w14:paraId="14CBBAB7" w14:textId="53C785B3" w:rsidR="00111DF2" w:rsidRPr="000E2B93" w:rsidRDefault="00111DF2" w:rsidP="00111DF2">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F293BF4" w14:textId="5BC76369" w:rsidR="00127233" w:rsidRPr="00111DF2" w:rsidRDefault="00127233" w:rsidP="00111DF2"/>
    <w:sectPr w:rsidR="00127233" w:rsidRPr="00111DF2"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CE464" w14:textId="77777777" w:rsidR="00041D6D" w:rsidRDefault="00041D6D" w:rsidP="004A1847">
      <w:pPr>
        <w:spacing w:after="0" w:line="240" w:lineRule="auto"/>
      </w:pPr>
      <w:r>
        <w:separator/>
      </w:r>
    </w:p>
  </w:endnote>
  <w:endnote w:type="continuationSeparator" w:id="0">
    <w:p w14:paraId="6303E96F" w14:textId="77777777" w:rsidR="00041D6D" w:rsidRDefault="00041D6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BE429B" w:rsidRDefault="00BE429B">
    <w:pPr>
      <w:pStyle w:val="Piedepgina"/>
    </w:pPr>
  </w:p>
  <w:p w14:paraId="594D6D9F" w14:textId="08F10804" w:rsidR="00BE429B" w:rsidRPr="00174B77" w:rsidRDefault="00BE429B"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246CBB" w:rsidRPr="00246CBB">
      <w:rPr>
        <w:rFonts w:ascii="Verdana" w:eastAsiaTheme="minorEastAsia" w:hAnsi="Verdana"/>
        <w:b/>
        <w:bCs/>
        <w:noProof/>
        <w:sz w:val="16"/>
        <w:szCs w:val="16"/>
      </w:rPr>
      <w:t>55</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BE429B" w:rsidRDefault="00BE429B"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BE429B" w:rsidRPr="00E41027" w:rsidRDefault="00BE429B"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BE429B" w:rsidRDefault="00BE429B"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FC0F9" w14:textId="77777777" w:rsidR="00041D6D" w:rsidRDefault="00041D6D" w:rsidP="004A1847">
      <w:pPr>
        <w:spacing w:after="0" w:line="240" w:lineRule="auto"/>
      </w:pPr>
      <w:r>
        <w:separator/>
      </w:r>
    </w:p>
  </w:footnote>
  <w:footnote w:type="continuationSeparator" w:id="0">
    <w:p w14:paraId="162D0FBE" w14:textId="77777777" w:rsidR="00041D6D" w:rsidRDefault="00041D6D" w:rsidP="004A1847">
      <w:pPr>
        <w:spacing w:after="0" w:line="240" w:lineRule="auto"/>
      </w:pPr>
      <w:r>
        <w:continuationSeparator/>
      </w:r>
    </w:p>
  </w:footnote>
  <w:footnote w:id="1">
    <w:p w14:paraId="0382FE61" w14:textId="77777777" w:rsidR="00111DF2" w:rsidRDefault="00111DF2" w:rsidP="00111DF2">
      <w:pPr>
        <w:pStyle w:val="Textonotapie"/>
        <w:ind w:firstLine="709"/>
        <w:jc w:val="both"/>
        <w:rPr>
          <w:rFonts w:ascii="Verdana" w:hAnsi="Verdana" w:cs="Arial"/>
          <w:color w:val="000000" w:themeColor="text1"/>
          <w:sz w:val="16"/>
          <w:szCs w:val="16"/>
        </w:rPr>
      </w:pPr>
      <w:r w:rsidRPr="00522C54">
        <w:rPr>
          <w:rStyle w:val="Refdenotaalpie"/>
          <w:rFonts w:ascii="Verdana" w:hAnsi="Verdana" w:cs="Arial"/>
          <w:color w:val="000000" w:themeColor="text1"/>
          <w:sz w:val="16"/>
          <w:szCs w:val="16"/>
        </w:rPr>
        <w:footnoteRef/>
      </w:r>
      <w:r w:rsidRPr="00522C54">
        <w:rPr>
          <w:rFonts w:ascii="Verdana" w:hAnsi="Verdana" w:cs="Arial"/>
          <w:color w:val="000000" w:themeColor="text1"/>
          <w:sz w:val="16"/>
          <w:szCs w:val="16"/>
        </w:rPr>
        <w:t xml:space="preserve"> Consejo de Estado. Sección Tercera. Subsección C. Sentencia del 13 de abril de 2011. Exp. 37423. C.P. Jaime Orlando Santofimio Gamboa. En similar sentido, puede verse: Consejo de Estado. Sección Tercera. Subsección B. Sentencia del 15 de noviembre de 2011. Exp. 21178. C.P. Ruth Stella Correa Palacio.</w:t>
      </w:r>
    </w:p>
    <w:p w14:paraId="53657946" w14:textId="77777777" w:rsidR="00111DF2" w:rsidRPr="00522C54" w:rsidRDefault="00111DF2" w:rsidP="00111DF2">
      <w:pPr>
        <w:pStyle w:val="Textonotapie"/>
        <w:ind w:firstLine="709"/>
        <w:jc w:val="both"/>
        <w:rPr>
          <w:rFonts w:ascii="Verdana" w:hAnsi="Verdana" w:cs="Arial"/>
          <w:color w:val="000000" w:themeColor="text1"/>
          <w:sz w:val="16"/>
          <w:szCs w:val="16"/>
        </w:rPr>
      </w:pPr>
    </w:p>
  </w:footnote>
  <w:footnote w:id="2">
    <w:p w14:paraId="76EA4872" w14:textId="77777777" w:rsidR="00111DF2" w:rsidRPr="00522C54" w:rsidRDefault="00111DF2" w:rsidP="00111DF2">
      <w:pPr>
        <w:pStyle w:val="Textonotapie"/>
        <w:ind w:firstLine="709"/>
        <w:jc w:val="both"/>
        <w:rPr>
          <w:rFonts w:ascii="Verdana" w:hAnsi="Verdana" w:cs="Arial"/>
          <w:color w:val="000000" w:themeColor="text1"/>
          <w:sz w:val="16"/>
          <w:szCs w:val="16"/>
          <w:lang w:val="es-ES"/>
        </w:rPr>
      </w:pPr>
      <w:r w:rsidRPr="00522C54">
        <w:rPr>
          <w:rStyle w:val="Refdenotaalpie"/>
          <w:rFonts w:ascii="Verdana" w:hAnsi="Verdana" w:cs="Arial"/>
          <w:color w:val="000000" w:themeColor="text1"/>
          <w:sz w:val="16"/>
          <w:szCs w:val="16"/>
        </w:rPr>
        <w:footnoteRef/>
      </w:r>
      <w:r w:rsidRPr="00522C54">
        <w:rPr>
          <w:rFonts w:ascii="Verdana" w:hAnsi="Verdana" w:cs="Arial"/>
          <w:color w:val="000000" w:themeColor="text1"/>
          <w:sz w:val="16"/>
          <w:szCs w:val="16"/>
          <w:lang w:val="pt-BR"/>
        </w:rPr>
        <w:t xml:space="preserve"> Corte Constitucional. Sentencia C-736 de 2007. </w:t>
      </w:r>
      <w:r w:rsidRPr="00522C54">
        <w:rPr>
          <w:rFonts w:ascii="Verdana" w:hAnsi="Verdana" w:cs="Arial"/>
          <w:color w:val="000000" w:themeColor="text1"/>
          <w:sz w:val="16"/>
          <w:szCs w:val="16"/>
        </w:rPr>
        <w:t>M.P. Marco Gerardo Monroy Cabra.</w:t>
      </w:r>
    </w:p>
  </w:footnote>
  <w:footnote w:id="3">
    <w:p w14:paraId="14EA2B56" w14:textId="77777777" w:rsidR="00111DF2" w:rsidRPr="00522C54" w:rsidRDefault="00111DF2" w:rsidP="00111DF2">
      <w:pPr>
        <w:pStyle w:val="Textonotapie"/>
        <w:ind w:firstLine="708"/>
        <w:rPr>
          <w:rFonts w:ascii="Verdana" w:hAnsi="Verdana"/>
          <w:sz w:val="16"/>
          <w:szCs w:val="16"/>
          <w:lang w:val="es-ES"/>
        </w:rPr>
      </w:pPr>
      <w:r w:rsidRPr="00522C54">
        <w:rPr>
          <w:rStyle w:val="Refdenotaalpie"/>
          <w:rFonts w:ascii="Verdana" w:hAnsi="Verdana"/>
          <w:sz w:val="16"/>
          <w:szCs w:val="16"/>
        </w:rPr>
        <w:footnoteRef/>
      </w:r>
      <w:r w:rsidRPr="00522C54">
        <w:rPr>
          <w:rFonts w:ascii="Verdana" w:hAnsi="Verdana"/>
          <w:sz w:val="16"/>
          <w:szCs w:val="16"/>
        </w:rPr>
        <w:t xml:space="preserve"> </w:t>
      </w:r>
      <w:r w:rsidRPr="00522C54">
        <w:rPr>
          <w:rFonts w:ascii="Verdana" w:hAnsi="Verdana"/>
          <w:sz w:val="16"/>
          <w:szCs w:val="16"/>
        </w:rPr>
        <w:t xml:space="preserve">Ibídem. </w:t>
      </w:r>
    </w:p>
  </w:footnote>
  <w:footnote w:id="4">
    <w:p w14:paraId="768D47B3" w14:textId="77777777" w:rsidR="00111DF2" w:rsidRPr="00522C54" w:rsidRDefault="00111DF2" w:rsidP="00111DF2">
      <w:pPr>
        <w:pStyle w:val="Textonotapie"/>
        <w:ind w:firstLine="708"/>
        <w:jc w:val="both"/>
        <w:rPr>
          <w:rFonts w:ascii="Verdana" w:hAnsi="Verdana"/>
          <w:sz w:val="16"/>
          <w:szCs w:val="16"/>
          <w:lang w:val="es-CO"/>
        </w:rPr>
      </w:pPr>
      <w:r w:rsidRPr="00522C54">
        <w:rPr>
          <w:rStyle w:val="Refdenotaalpie"/>
          <w:rFonts w:ascii="Verdana" w:hAnsi="Verdana"/>
          <w:sz w:val="16"/>
          <w:szCs w:val="16"/>
        </w:rPr>
        <w:footnoteRef/>
      </w:r>
      <w:r w:rsidRPr="00522C54">
        <w:rPr>
          <w:rFonts w:ascii="Verdana" w:hAnsi="Verdana"/>
          <w:sz w:val="16"/>
          <w:szCs w:val="16"/>
        </w:rPr>
        <w:t xml:space="preserve"> </w:t>
      </w:r>
      <w:r w:rsidRPr="00522C54">
        <w:rPr>
          <w:rFonts w:ascii="Verdana" w:hAnsi="Verdana"/>
          <w:bCs/>
          <w:sz w:val="16"/>
          <w:szCs w:val="16"/>
          <w:lang w:val="es-CO"/>
        </w:rPr>
        <w:t xml:space="preserve">Artículo 38. </w:t>
      </w:r>
      <w:r w:rsidRPr="00522C54">
        <w:rPr>
          <w:rFonts w:ascii="Verdana" w:hAnsi="Verdana"/>
          <w:i/>
          <w:iCs/>
          <w:sz w:val="16"/>
          <w:szCs w:val="16"/>
          <w:lang w:val="es-CO"/>
        </w:rPr>
        <w:t>Integración de la Rama Ejecutiva del Poder Público en el orden nacional. </w:t>
      </w:r>
      <w:r w:rsidRPr="00522C54">
        <w:rPr>
          <w:rFonts w:ascii="Verdana" w:hAnsi="Verdana"/>
          <w:sz w:val="16"/>
          <w:szCs w:val="16"/>
          <w:lang w:val="es-CO"/>
        </w:rPr>
        <w:t>La Rama Ejecutiva del Poder Público en el orden nacional, está integrada por los siguientes organismos y entidades: </w:t>
      </w:r>
    </w:p>
    <w:p w14:paraId="2504867B"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1. Del Sector Central:  </w:t>
      </w:r>
    </w:p>
    <w:p w14:paraId="39A7D841"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a) La Presidencia de la República; </w:t>
      </w:r>
    </w:p>
    <w:p w14:paraId="771FF899"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b) La Vicepresidencia de la República; </w:t>
      </w:r>
    </w:p>
    <w:p w14:paraId="2090EE42"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c) Los Consejos Superiores de la administración; </w:t>
      </w:r>
    </w:p>
    <w:p w14:paraId="73112A5F"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d) Los ministerios y departamentos administrativos; </w:t>
      </w:r>
    </w:p>
    <w:p w14:paraId="74937AE4"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e) Las superintendencias y unidades administrativas especiales sin personería jurídica. </w:t>
      </w:r>
    </w:p>
    <w:p w14:paraId="58DE6ABF"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2. Del Sector descentralizado por servicios: </w:t>
      </w:r>
    </w:p>
    <w:p w14:paraId="67B20D35"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a) Los establecimientos públicos; </w:t>
      </w:r>
    </w:p>
    <w:p w14:paraId="34B192B4"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b) Las empresas industriales y comerciales del Estado; </w:t>
      </w:r>
    </w:p>
    <w:p w14:paraId="1B55E52D"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c) Las superintendencias y las unidades administrativas especiales con personería jurídica; </w:t>
      </w:r>
    </w:p>
    <w:p w14:paraId="4945A466"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d) Las empresas sociales del Estado y las empresas oficiales de servicios públicos domiciliarios; </w:t>
      </w:r>
    </w:p>
    <w:p w14:paraId="0FC0A79D"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e) Los institutos científicos y tecnológicos; </w:t>
      </w:r>
    </w:p>
    <w:p w14:paraId="6CEADB3E"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f) Las sociedades públicas y las sociedades de economía mixta; </w:t>
      </w:r>
    </w:p>
    <w:p w14:paraId="08E9D5FC"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g) Las demás entidades administrativas nacionales con personería jurídica que cree, organice o autorice la ley para que formen parte de la Rama Ejecutiva del Poder Público. </w:t>
      </w:r>
    </w:p>
    <w:p w14:paraId="0DC2CCC9"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bCs/>
          <w:sz w:val="16"/>
          <w:szCs w:val="16"/>
          <w:lang w:val="es-CO"/>
        </w:rPr>
        <w:t>Parágrafo 1°.</w:t>
      </w:r>
      <w:r w:rsidRPr="00522C54">
        <w:rPr>
          <w:rFonts w:ascii="Verdana" w:hAnsi="Verdana"/>
          <w:sz w:val="16"/>
          <w:szCs w:val="16"/>
          <w:lang w:val="es-CO"/>
        </w:rPr>
        <w:t> Las sociedades públicas y las sociedades de economía mixta en las que el Estado posea el noventa por ciento (90%) o más de su capital social, se someten al régimen previsto para las empresas industriales y comerciales del Estado. </w:t>
      </w:r>
    </w:p>
    <w:p w14:paraId="05370341"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bCs/>
          <w:sz w:val="16"/>
          <w:szCs w:val="16"/>
          <w:lang w:val="es-CO"/>
        </w:rPr>
        <w:t>Parágrafo 2°.</w:t>
      </w:r>
      <w:r w:rsidRPr="00522C54">
        <w:rPr>
          <w:rFonts w:ascii="Verdana" w:hAnsi="Verdana"/>
          <w:sz w:val="16"/>
          <w:szCs w:val="16"/>
          <w:lang w:val="es-CO"/>
        </w:rPr>
        <w:t> Además de lo previsto en el literal c) del numeral 1° del presente artículo, como organismos consultivos o coordinadores, para toda la administración o parte de ella, funcionarán con carácter permanente o temporal y con representación de varias entidades estatales y, si fuere el caso, del sector privado, los que la ley determine. En el acto de constitución se indicará el Ministerio o Departamento Administrativo al cual quedaren adscritos tales organismos.</w:t>
      </w:r>
    </w:p>
  </w:footnote>
  <w:footnote w:id="5">
    <w:p w14:paraId="2A848BFD" w14:textId="77777777" w:rsidR="00111DF2" w:rsidRPr="00522C54" w:rsidRDefault="00111DF2" w:rsidP="00111DF2">
      <w:pPr>
        <w:pStyle w:val="Textonotapie"/>
        <w:ind w:firstLine="708"/>
        <w:jc w:val="both"/>
        <w:rPr>
          <w:rFonts w:ascii="Verdana" w:hAnsi="Verdana"/>
          <w:sz w:val="16"/>
          <w:szCs w:val="16"/>
          <w:lang w:val="es-CO"/>
        </w:rPr>
      </w:pPr>
      <w:r w:rsidRPr="00522C54">
        <w:rPr>
          <w:rStyle w:val="Refdenotaalpie"/>
          <w:rFonts w:ascii="Verdana" w:hAnsi="Verdana"/>
          <w:sz w:val="16"/>
          <w:szCs w:val="16"/>
        </w:rPr>
        <w:footnoteRef/>
      </w:r>
      <w:r w:rsidRPr="00522C54">
        <w:rPr>
          <w:rFonts w:ascii="Verdana" w:hAnsi="Verdana"/>
          <w:sz w:val="16"/>
          <w:szCs w:val="16"/>
        </w:rPr>
        <w:t xml:space="preserve"> </w:t>
      </w:r>
      <w:r w:rsidRPr="00522C54">
        <w:rPr>
          <w:rFonts w:ascii="Verdana" w:hAnsi="Verdana"/>
          <w:bCs/>
          <w:sz w:val="16"/>
          <w:szCs w:val="16"/>
          <w:lang w:val="es-CO"/>
        </w:rPr>
        <w:t xml:space="preserve">Artículo 68. </w:t>
      </w:r>
      <w:r w:rsidRPr="00522C54">
        <w:rPr>
          <w:rFonts w:ascii="Verdana" w:hAnsi="Verdana"/>
          <w:i/>
          <w:iCs/>
          <w:sz w:val="16"/>
          <w:szCs w:val="16"/>
          <w:lang w:val="es-CO"/>
        </w:rPr>
        <w:t>Entidades descentralizadas. </w:t>
      </w:r>
      <w:r w:rsidRPr="00522C54">
        <w:rPr>
          <w:rFonts w:ascii="Verdana" w:hAnsi="Verdana"/>
          <w:sz w:val="16"/>
          <w:szCs w:val="16"/>
          <w:lang w:val="es-CO"/>
        </w:rPr>
        <w:t>Son entidades descentralizadas del orden nacional, los establecimientos públicos, las empresas industriales y comerciales del Estado, las sociedades públicas y las sociedades de economía mixta, las superintendencias y las unidades administrativas especiales con personería jurídica, las empresas sociales del Estado, las empresas oficiales de servicios públicos y las demás entidades creadas por la ley o con su autorización, cuyo objeto principal sea el ejercicio de funciones administrativas, la prestación de servicios públicos o la realización de actividades industriales o comerciales con personería jurídica, autonomía administrativa y patrimonio propio. </w:t>
      </w:r>
    </w:p>
    <w:p w14:paraId="39FB254E"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Como órganos del Estado aun cuando gozan de autonomía administrativa están sujetas al control político y a la suprema dirección del órgano de la administración al cual están adscritas. </w:t>
      </w:r>
    </w:p>
    <w:p w14:paraId="72D2E43E"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Las entidades descentralizadas se sujetan a las reglas señaladas en la Constitución Política, en la presente ley, en las leyes que las creen y determinen su estructura orgánica y a sus estatutos internos. </w:t>
      </w:r>
    </w:p>
    <w:p w14:paraId="1F8B2698"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Los organismos y entidades descentralizados, sujetos a regímenes especiales por mandato de la Constitución Política, se someterán a las disposiciones que para ellos establezca la respectiva ley. </w:t>
      </w:r>
    </w:p>
    <w:p w14:paraId="385469AA"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bCs/>
          <w:sz w:val="16"/>
          <w:szCs w:val="16"/>
          <w:lang w:val="es-CO"/>
        </w:rPr>
        <w:t>Parágrafo 1°.</w:t>
      </w:r>
      <w:r w:rsidRPr="00522C54">
        <w:rPr>
          <w:rFonts w:ascii="Verdana" w:hAnsi="Verdana"/>
          <w:sz w:val="16"/>
          <w:szCs w:val="16"/>
          <w:lang w:val="es-CO"/>
        </w:rPr>
        <w:t> De conformidad con el inciso segundo del artículo 210 de la Constitución Política, el régimen jurídico aquí previsto para las entidades descentralizadas es aplicable a las de las entidades territoriales sin perjuicio de las competencias asignadas por la Constitución y la ley a las autoridades del orden territorial.</w:t>
      </w:r>
    </w:p>
    <w:p w14:paraId="19666D6F"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bCs/>
          <w:sz w:val="16"/>
          <w:szCs w:val="16"/>
          <w:lang w:val="es-CO"/>
        </w:rPr>
        <w:t>Parágrafo 2°.</w:t>
      </w:r>
      <w:r w:rsidRPr="00522C54">
        <w:rPr>
          <w:rFonts w:ascii="Verdana" w:hAnsi="Verdana"/>
          <w:sz w:val="16"/>
          <w:szCs w:val="16"/>
          <w:lang w:val="es-CO"/>
        </w:rPr>
        <w:t> Los organismos o entidades del Sector Descentralizado que tengan como objetivo desarrollar actividades científicas y tecnológicas, se sujetarán a la Legislación de Ciencia y Tecnología y su organización será determinada por el Gobierno Nacional. </w:t>
      </w:r>
    </w:p>
    <w:p w14:paraId="09810A87"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bCs/>
          <w:sz w:val="16"/>
          <w:szCs w:val="16"/>
          <w:lang w:val="es-CO"/>
        </w:rPr>
        <w:t>Parágrafo 3°.</w:t>
      </w:r>
      <w:r w:rsidRPr="00522C54">
        <w:rPr>
          <w:rFonts w:ascii="Verdana" w:hAnsi="Verdana"/>
          <w:sz w:val="16"/>
          <w:szCs w:val="16"/>
          <w:lang w:val="es-CO"/>
        </w:rPr>
        <w:t> Lo dispuesto en el presente artículo no se aplica a las corporaciones civiles sin ánimo de lucro de derecho privado, vinculadas al Ministerio del Medio Ambiente, creadas por la Ley 99 de 1993. </w:t>
      </w:r>
    </w:p>
    <w:p w14:paraId="367D904B" w14:textId="77777777" w:rsidR="00111DF2" w:rsidRPr="00522C54" w:rsidRDefault="00111DF2" w:rsidP="00111DF2">
      <w:pPr>
        <w:pStyle w:val="Textonotapie"/>
        <w:ind w:firstLine="708"/>
        <w:rPr>
          <w:rFonts w:ascii="Verdana" w:hAnsi="Verdana"/>
          <w:sz w:val="16"/>
          <w:szCs w:val="16"/>
          <w:lang w:val="es-ES"/>
        </w:rPr>
      </w:pPr>
    </w:p>
  </w:footnote>
  <w:footnote w:id="6">
    <w:p w14:paraId="0A157061" w14:textId="77777777" w:rsidR="00111DF2" w:rsidRPr="00522C54" w:rsidRDefault="00111DF2" w:rsidP="00111DF2">
      <w:pPr>
        <w:pStyle w:val="Textonotapie"/>
        <w:ind w:firstLine="708"/>
        <w:jc w:val="both"/>
        <w:rPr>
          <w:rFonts w:ascii="Verdana" w:hAnsi="Verdana"/>
          <w:sz w:val="16"/>
          <w:szCs w:val="16"/>
          <w:lang w:val="es-CO"/>
        </w:rPr>
      </w:pPr>
      <w:r w:rsidRPr="00522C54">
        <w:rPr>
          <w:rStyle w:val="Refdenotaalpie"/>
          <w:rFonts w:ascii="Verdana" w:hAnsi="Verdana"/>
          <w:sz w:val="16"/>
          <w:szCs w:val="16"/>
        </w:rPr>
        <w:footnoteRef/>
      </w:r>
      <w:r w:rsidRPr="00522C54">
        <w:rPr>
          <w:rFonts w:ascii="Verdana" w:hAnsi="Verdana"/>
          <w:sz w:val="16"/>
          <w:szCs w:val="16"/>
        </w:rPr>
        <w:t xml:space="preserve"> MARÍN CORTES, Fabián Gonzalo. Los servicios semipúblicos domiciliarios. Bogotá: Temis, 2010. p. 160. Al respecto, la Doctrina también ha expresado frente a la Sentencia C-736 de 2007: </w:t>
      </w:r>
      <w:r w:rsidRPr="00522C54">
        <w:rPr>
          <w:rFonts w:ascii="Verdana" w:hAnsi="Verdana"/>
          <w:sz w:val="16"/>
          <w:szCs w:val="16"/>
          <w:lang w:val="es-CO"/>
        </w:rPr>
        <w:t xml:space="preserve">Por otra parte, esa misma Corporación -igualmente en cumplimiento de dicha providencia de constitucionalidad- estudió varios procesos en que hace parte una empresa de servicios públicos privada con aportes públicos (sin importar el monto), sobre la base de que se trata de una </w:t>
      </w:r>
      <w:r w:rsidRPr="00522C54">
        <w:rPr>
          <w:rFonts w:ascii="Verdana" w:hAnsi="Verdana"/>
          <w:i/>
          <w:iCs/>
          <w:sz w:val="16"/>
          <w:szCs w:val="16"/>
          <w:lang w:val="es-CO"/>
        </w:rPr>
        <w:t>“entidad estatal”</w:t>
      </w:r>
      <w:r w:rsidRPr="00522C54">
        <w:rPr>
          <w:rFonts w:ascii="Verdana" w:hAnsi="Verdana"/>
          <w:sz w:val="16"/>
          <w:szCs w:val="16"/>
          <w:lang w:val="es-CO"/>
        </w:rPr>
        <w:t>.  En esta oportunidad la Sala se limitó a obedecer el pronunciamiento de constitucionalidad.</w:t>
      </w:r>
    </w:p>
    <w:p w14:paraId="7384F8A0" w14:textId="77777777" w:rsidR="00111DF2" w:rsidRPr="00522C54" w:rsidRDefault="00111DF2" w:rsidP="00111DF2">
      <w:pPr>
        <w:pStyle w:val="Textonotapie"/>
        <w:ind w:firstLine="708"/>
        <w:jc w:val="both"/>
        <w:rPr>
          <w:rFonts w:ascii="Verdana" w:hAnsi="Verdana"/>
          <w:i/>
          <w:iCs/>
          <w:sz w:val="16"/>
          <w:szCs w:val="16"/>
          <w:lang w:val="es-CO"/>
        </w:rPr>
      </w:pPr>
      <w:r w:rsidRPr="00522C54">
        <w:rPr>
          <w:rFonts w:ascii="Verdana" w:hAnsi="Verdana"/>
          <w:sz w:val="16"/>
          <w:szCs w:val="16"/>
          <w:lang w:val="es-CO"/>
        </w:rPr>
        <w:t xml:space="preserve">Sin embargo, el Señor Consejero de Estado Mauricio Fajardo Gómez, al aclarar su voto en esta última sentencia, rectificó lo afirmado en tres providencias de la Sala con ponencia suya y manifestó que resultaba innecesario e inútil invocar ese fallo de constitucionalidad para determinar la competencia del juez administrativo, </w:t>
      </w:r>
      <w:r w:rsidRPr="00522C54">
        <w:rPr>
          <w:rFonts w:ascii="Verdana" w:hAnsi="Verdana"/>
          <w:i/>
          <w:iCs/>
          <w:sz w:val="16"/>
          <w:szCs w:val="16"/>
          <w:lang w:val="es-CO"/>
        </w:rPr>
        <w:t>“puesto que</w:t>
      </w:r>
      <w:r w:rsidRPr="00522C54">
        <w:rPr>
          <w:rFonts w:ascii="Verdana" w:hAnsi="Verdana"/>
          <w:sz w:val="16"/>
          <w:szCs w:val="16"/>
          <w:lang w:val="es-CO"/>
        </w:rPr>
        <w:t xml:space="preserve"> </w:t>
      </w:r>
      <w:r w:rsidRPr="00522C54">
        <w:rPr>
          <w:rFonts w:ascii="Verdana" w:hAnsi="Verdana"/>
          <w:i/>
          <w:iCs/>
          <w:sz w:val="16"/>
          <w:szCs w:val="16"/>
          <w:lang w:val="es-CO"/>
        </w:rPr>
        <w:t>las consideraciones que le sirvieron de soporte acerca</w:t>
      </w:r>
      <w:r w:rsidRPr="00522C54">
        <w:rPr>
          <w:rFonts w:ascii="Verdana" w:hAnsi="Verdana"/>
          <w:sz w:val="16"/>
          <w:szCs w:val="16"/>
          <w:lang w:val="es-CO"/>
        </w:rPr>
        <w:t xml:space="preserve"> </w:t>
      </w:r>
      <w:r w:rsidRPr="00522C54">
        <w:rPr>
          <w:rFonts w:ascii="Verdana" w:hAnsi="Verdana"/>
          <w:i/>
          <w:iCs/>
          <w:sz w:val="16"/>
          <w:szCs w:val="16"/>
          <w:lang w:val="es-CO"/>
        </w:rPr>
        <w:t>de la naturaleza jurídica de las empresas de servicios</w:t>
      </w:r>
      <w:r w:rsidRPr="00522C54">
        <w:rPr>
          <w:rFonts w:ascii="Verdana" w:hAnsi="Verdana"/>
          <w:sz w:val="16"/>
          <w:szCs w:val="16"/>
          <w:lang w:val="es-CO"/>
        </w:rPr>
        <w:t xml:space="preserve"> </w:t>
      </w:r>
      <w:r w:rsidRPr="00522C54">
        <w:rPr>
          <w:rFonts w:ascii="Verdana" w:hAnsi="Verdana"/>
          <w:i/>
          <w:iCs/>
          <w:sz w:val="16"/>
          <w:szCs w:val="16"/>
          <w:lang w:val="es-CO"/>
        </w:rPr>
        <w:t>públicos domiciliarios de carácter mixto no resultan</w:t>
      </w:r>
      <w:r w:rsidRPr="00522C54">
        <w:rPr>
          <w:rFonts w:ascii="Verdana" w:hAnsi="Verdana"/>
          <w:sz w:val="16"/>
          <w:szCs w:val="16"/>
          <w:lang w:val="es-CO"/>
        </w:rPr>
        <w:t xml:space="preserve"> </w:t>
      </w:r>
      <w:r w:rsidRPr="00522C54">
        <w:rPr>
          <w:rFonts w:ascii="Verdana" w:hAnsi="Verdana"/>
          <w:i/>
          <w:iCs/>
          <w:sz w:val="16"/>
          <w:szCs w:val="16"/>
          <w:lang w:val="es-CO"/>
        </w:rPr>
        <w:t>vinculantes y desafortunadamente no aportan claridad</w:t>
      </w:r>
      <w:r w:rsidRPr="00522C54">
        <w:rPr>
          <w:rFonts w:ascii="Verdana" w:hAnsi="Verdana"/>
          <w:sz w:val="16"/>
          <w:szCs w:val="16"/>
          <w:lang w:val="es-CO"/>
        </w:rPr>
        <w:t xml:space="preserve"> </w:t>
      </w:r>
      <w:r w:rsidRPr="00522C54">
        <w:rPr>
          <w:rFonts w:ascii="Verdana" w:hAnsi="Verdana"/>
          <w:i/>
          <w:iCs/>
          <w:sz w:val="16"/>
          <w:szCs w:val="16"/>
          <w:lang w:val="es-CO"/>
        </w:rPr>
        <w:t>en esa materia”.</w:t>
      </w:r>
    </w:p>
    <w:p w14:paraId="4F430597"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i/>
          <w:iCs/>
          <w:sz w:val="16"/>
          <w:szCs w:val="16"/>
          <w:lang w:val="es-CO"/>
        </w:rPr>
        <w:t xml:space="preserve"> </w:t>
      </w:r>
      <w:r w:rsidRPr="00522C54">
        <w:rPr>
          <w:rFonts w:ascii="Verdana" w:hAnsi="Verdana"/>
          <w:sz w:val="16"/>
          <w:szCs w:val="16"/>
          <w:lang w:val="es-CO"/>
        </w:rPr>
        <w:t xml:space="preserve">La aclaración de voto subrayó, además, que el pronunciamiento de constitucionalidad no explica las razones en que se apoya para aducir la naturaleza jurídica especial delas esp. Destacó que la sentencia de constitucionalidad aparentemente se aproxima a la tesis jurisprudencial del Consejo de Estado,  </w:t>
      </w:r>
      <w:r w:rsidRPr="00522C54">
        <w:rPr>
          <w:rFonts w:ascii="Verdana" w:hAnsi="Verdana"/>
          <w:i/>
          <w:iCs/>
          <w:sz w:val="16"/>
          <w:szCs w:val="16"/>
          <w:lang w:val="es-CO"/>
        </w:rPr>
        <w:t>“la misma que sin fundamentación alguna calificó de</w:t>
      </w:r>
      <w:r w:rsidRPr="00522C54">
        <w:rPr>
          <w:rFonts w:ascii="Verdana" w:hAnsi="Verdana"/>
          <w:sz w:val="16"/>
          <w:szCs w:val="16"/>
          <w:lang w:val="es-CO"/>
        </w:rPr>
        <w:t xml:space="preserve"> </w:t>
      </w:r>
      <w:r w:rsidRPr="00522C54">
        <w:rPr>
          <w:rFonts w:ascii="Verdana" w:hAnsi="Verdana"/>
          <w:i/>
          <w:iCs/>
          <w:sz w:val="16"/>
          <w:szCs w:val="16"/>
          <w:lang w:val="es-CO"/>
        </w:rPr>
        <w:t>inconstitucional”</w:t>
      </w:r>
      <w:r w:rsidRPr="00522C54">
        <w:rPr>
          <w:rFonts w:ascii="Verdana" w:hAnsi="Verdana"/>
          <w:sz w:val="16"/>
          <w:szCs w:val="16"/>
          <w:lang w:val="es-CO"/>
        </w:rPr>
        <w:t xml:space="preserve">, al sostener y anunciar que las empresas de servicios públicos mixtas y privadas son entidades descentralizadas, sobre la base de </w:t>
      </w:r>
      <w:r w:rsidRPr="00522C54">
        <w:rPr>
          <w:rFonts w:ascii="Verdana" w:hAnsi="Verdana"/>
          <w:i/>
          <w:iCs/>
          <w:sz w:val="16"/>
          <w:szCs w:val="16"/>
          <w:lang w:val="es-CO"/>
        </w:rPr>
        <w:t>“un análisis eminentemente legal, que no</w:t>
      </w:r>
      <w:r w:rsidRPr="00522C54">
        <w:rPr>
          <w:rFonts w:ascii="Verdana" w:hAnsi="Verdana"/>
          <w:sz w:val="16"/>
          <w:szCs w:val="16"/>
          <w:lang w:val="es-CO"/>
        </w:rPr>
        <w:t xml:space="preserve"> </w:t>
      </w:r>
      <w:r w:rsidRPr="00522C54">
        <w:rPr>
          <w:rFonts w:ascii="Verdana" w:hAnsi="Verdana"/>
          <w:i/>
          <w:iCs/>
          <w:sz w:val="16"/>
          <w:szCs w:val="16"/>
          <w:lang w:val="es-CO"/>
        </w:rPr>
        <w:t xml:space="preserve">constitucional” </w:t>
      </w:r>
      <w:r w:rsidRPr="00522C54">
        <w:rPr>
          <w:rFonts w:ascii="Verdana" w:hAnsi="Verdana"/>
          <w:sz w:val="16"/>
          <w:szCs w:val="16"/>
          <w:lang w:val="es-CO"/>
        </w:rPr>
        <w:t>a partir de lo dispuesto por el artículo 38 de la Ley 489 de 1998.</w:t>
      </w:r>
    </w:p>
    <w:p w14:paraId="593A483F"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 xml:space="preserve">Al concluir el Señor Magistrado Fajardo Gómez anotó que las normas acusadas </w:t>
      </w:r>
      <w:r w:rsidRPr="00522C54">
        <w:rPr>
          <w:rFonts w:ascii="Verdana" w:hAnsi="Verdana"/>
          <w:i/>
          <w:iCs/>
          <w:sz w:val="16"/>
          <w:szCs w:val="16"/>
          <w:lang w:val="es-CO"/>
        </w:rPr>
        <w:t>“no sufrieron alteración alguna en cuanto a su contenido</w:t>
      </w:r>
      <w:r w:rsidRPr="00522C54">
        <w:rPr>
          <w:rFonts w:ascii="Verdana" w:hAnsi="Verdana"/>
          <w:sz w:val="16"/>
          <w:szCs w:val="16"/>
          <w:lang w:val="es-CO"/>
        </w:rPr>
        <w:t xml:space="preserve"> </w:t>
      </w:r>
      <w:r w:rsidRPr="00522C54">
        <w:rPr>
          <w:rFonts w:ascii="Verdana" w:hAnsi="Verdana"/>
          <w:i/>
          <w:iCs/>
          <w:sz w:val="16"/>
          <w:szCs w:val="16"/>
          <w:lang w:val="es-CO"/>
        </w:rPr>
        <w:t>y, por tanto, seguirán rigiendo normalmente</w:t>
      </w:r>
      <w:r w:rsidRPr="00522C54">
        <w:rPr>
          <w:rFonts w:ascii="Verdana" w:hAnsi="Verdana"/>
          <w:sz w:val="16"/>
          <w:szCs w:val="16"/>
          <w:lang w:val="es-CO"/>
        </w:rPr>
        <w:t xml:space="preserve"> </w:t>
      </w:r>
      <w:r w:rsidRPr="00522C54">
        <w:rPr>
          <w:rFonts w:ascii="Verdana" w:hAnsi="Verdana"/>
          <w:i/>
          <w:iCs/>
          <w:sz w:val="16"/>
          <w:szCs w:val="16"/>
          <w:lang w:val="es-CO"/>
        </w:rPr>
        <w:t>hacia el futuro”</w:t>
      </w:r>
      <w:r w:rsidRPr="00522C54">
        <w:rPr>
          <w:rFonts w:ascii="Verdana" w:hAnsi="Verdana"/>
          <w:sz w:val="16"/>
          <w:szCs w:val="16"/>
          <w:lang w:val="es-CO"/>
        </w:rPr>
        <w:t xml:space="preserve">, dado que se trata de una sentencia de constitucionalidad pura y simple y que –a su juicio– todo lo demás expuesto por la Corte </w:t>
      </w:r>
      <w:r w:rsidRPr="00522C54">
        <w:rPr>
          <w:rFonts w:ascii="Verdana" w:hAnsi="Verdana"/>
          <w:i/>
          <w:iCs/>
          <w:sz w:val="16"/>
          <w:szCs w:val="16"/>
          <w:lang w:val="es-CO"/>
        </w:rPr>
        <w:t xml:space="preserve">“no pasa de ser un </w:t>
      </w:r>
      <w:r w:rsidRPr="00522C54">
        <w:rPr>
          <w:rFonts w:ascii="Verdana" w:hAnsi="Verdana"/>
          <w:i/>
          <w:iCs/>
          <w:sz w:val="16"/>
          <w:szCs w:val="16"/>
          <w:lang w:val="es-CO"/>
        </w:rPr>
        <w:t>obiter dictum que</w:t>
      </w:r>
      <w:r w:rsidRPr="00522C54">
        <w:rPr>
          <w:rFonts w:ascii="Verdana" w:hAnsi="Verdana"/>
          <w:sz w:val="16"/>
          <w:szCs w:val="16"/>
          <w:lang w:val="es-CO"/>
        </w:rPr>
        <w:t xml:space="preserve"> </w:t>
      </w:r>
      <w:r w:rsidRPr="00522C54">
        <w:rPr>
          <w:rFonts w:ascii="Verdana" w:hAnsi="Verdana"/>
          <w:i/>
          <w:iCs/>
          <w:sz w:val="16"/>
          <w:szCs w:val="16"/>
          <w:lang w:val="es-CO"/>
        </w:rPr>
        <w:t>en cada caso concreto podría ser valorado por el juez</w:t>
      </w:r>
      <w:r w:rsidRPr="00522C54">
        <w:rPr>
          <w:rFonts w:ascii="Verdana" w:hAnsi="Verdana"/>
          <w:sz w:val="16"/>
          <w:szCs w:val="16"/>
          <w:lang w:val="es-CO"/>
        </w:rPr>
        <w:t xml:space="preserve"> </w:t>
      </w:r>
      <w:r w:rsidRPr="00522C54">
        <w:rPr>
          <w:rFonts w:ascii="Verdana" w:hAnsi="Verdana"/>
          <w:i/>
          <w:iCs/>
          <w:sz w:val="16"/>
          <w:szCs w:val="16"/>
          <w:lang w:val="es-CO"/>
        </w:rPr>
        <w:t>de la respectiva causa</w:t>
      </w:r>
      <w:r w:rsidRPr="00522C54">
        <w:rPr>
          <w:rFonts w:ascii="Verdana" w:hAnsi="Verdana"/>
          <w:sz w:val="16"/>
          <w:szCs w:val="16"/>
          <w:lang w:val="es-CO"/>
        </w:rPr>
        <w:t>” (LUQUE, Guillermo Sánchez. ¿Las empresas prestadoras de servicios públicos privadas son entidades estatales? A propósito de la Sentencia C 736 de 2007. </w:t>
      </w:r>
      <w:r w:rsidRPr="00522C54">
        <w:rPr>
          <w:rFonts w:ascii="Verdana" w:hAnsi="Verdana"/>
          <w:i/>
          <w:iCs/>
          <w:sz w:val="16"/>
          <w:szCs w:val="16"/>
          <w:lang w:val="es-CO"/>
        </w:rPr>
        <w:t>Con-texto</w:t>
      </w:r>
      <w:r w:rsidRPr="00522C54">
        <w:rPr>
          <w:rFonts w:ascii="Verdana" w:hAnsi="Verdana"/>
          <w:sz w:val="16"/>
          <w:szCs w:val="16"/>
          <w:lang w:val="es-CO"/>
        </w:rPr>
        <w:t xml:space="preserve"> Revista de Derecho y Economía, 2008. Vol 25. p. 88)</w:t>
      </w:r>
    </w:p>
  </w:footnote>
  <w:footnote w:id="7">
    <w:p w14:paraId="2BF28349" w14:textId="77777777" w:rsidR="00111DF2" w:rsidRDefault="00111DF2" w:rsidP="00111DF2">
      <w:pPr>
        <w:pStyle w:val="Textonotapie"/>
        <w:ind w:firstLine="708"/>
        <w:jc w:val="both"/>
        <w:rPr>
          <w:rFonts w:ascii="Verdana" w:hAnsi="Verdana"/>
          <w:sz w:val="16"/>
          <w:szCs w:val="16"/>
          <w:lang w:val="es-CO"/>
        </w:rPr>
      </w:pPr>
      <w:r w:rsidRPr="00522C54">
        <w:rPr>
          <w:rStyle w:val="Refdenotaalpie"/>
          <w:rFonts w:ascii="Verdana" w:hAnsi="Verdana"/>
          <w:sz w:val="16"/>
          <w:szCs w:val="16"/>
        </w:rPr>
        <w:footnoteRef/>
      </w:r>
      <w:r w:rsidRPr="00522C54">
        <w:rPr>
          <w:rFonts w:ascii="Verdana" w:hAnsi="Verdana"/>
          <w:sz w:val="16"/>
          <w:szCs w:val="16"/>
        </w:rPr>
        <w:t xml:space="preserve"> </w:t>
      </w:r>
      <w:r w:rsidRPr="00522C54">
        <w:rPr>
          <w:rFonts w:ascii="Verdana" w:hAnsi="Verdana"/>
          <w:sz w:val="16"/>
          <w:szCs w:val="16"/>
          <w:lang w:val="es-CO"/>
        </w:rPr>
        <w:t>LUQUE, Guillermo Sánchez. ¿Las empresas prestadoras de servicios públicos privadas son entidades estatales? A propósito de la Sentencia C 736 de 2007. </w:t>
      </w:r>
      <w:r w:rsidRPr="00522C54">
        <w:rPr>
          <w:rFonts w:ascii="Verdana" w:hAnsi="Verdana"/>
          <w:i/>
          <w:iCs/>
          <w:sz w:val="16"/>
          <w:szCs w:val="16"/>
          <w:lang w:val="es-CO"/>
        </w:rPr>
        <w:t>Con-texto</w:t>
      </w:r>
      <w:r w:rsidRPr="00522C54">
        <w:rPr>
          <w:rFonts w:ascii="Verdana" w:hAnsi="Verdana"/>
          <w:sz w:val="16"/>
          <w:szCs w:val="16"/>
          <w:lang w:val="es-CO"/>
        </w:rPr>
        <w:t xml:space="preserve"> Revista de Derecho y Economía, 2008. Vol 25. p. 87. </w:t>
      </w:r>
    </w:p>
    <w:p w14:paraId="11A35EAA" w14:textId="77777777" w:rsidR="00111DF2" w:rsidRPr="00522C54" w:rsidRDefault="00111DF2" w:rsidP="00111DF2">
      <w:pPr>
        <w:pStyle w:val="Textonotapie"/>
        <w:ind w:firstLine="708"/>
        <w:jc w:val="both"/>
        <w:rPr>
          <w:rFonts w:ascii="Verdana" w:hAnsi="Verdana"/>
          <w:sz w:val="16"/>
          <w:szCs w:val="16"/>
          <w:lang w:val="es-ES"/>
        </w:rPr>
      </w:pPr>
    </w:p>
  </w:footnote>
  <w:footnote w:id="8">
    <w:p w14:paraId="43735CC0" w14:textId="77777777" w:rsidR="00111DF2" w:rsidRPr="00522C54" w:rsidRDefault="00111DF2" w:rsidP="00111DF2">
      <w:pPr>
        <w:pStyle w:val="Textonotapie"/>
        <w:ind w:firstLine="708"/>
        <w:rPr>
          <w:rFonts w:ascii="Verdana" w:hAnsi="Verdana"/>
          <w:sz w:val="16"/>
          <w:szCs w:val="16"/>
          <w:lang w:val="es-ES"/>
        </w:rPr>
      </w:pPr>
      <w:r w:rsidRPr="00522C54">
        <w:rPr>
          <w:rStyle w:val="Refdenotaalpie"/>
          <w:rFonts w:ascii="Verdana" w:hAnsi="Verdana"/>
          <w:sz w:val="16"/>
          <w:szCs w:val="16"/>
        </w:rPr>
        <w:footnoteRef/>
      </w:r>
      <w:r w:rsidRPr="00522C54">
        <w:rPr>
          <w:rFonts w:ascii="Verdana" w:hAnsi="Verdana"/>
          <w:sz w:val="16"/>
          <w:szCs w:val="16"/>
        </w:rPr>
        <w:t xml:space="preserve"> </w:t>
      </w:r>
      <w:r w:rsidRPr="00522C54">
        <w:rPr>
          <w:rFonts w:ascii="Verdana" w:hAnsi="Verdana"/>
          <w:sz w:val="16"/>
          <w:szCs w:val="16"/>
          <w:lang w:val="es-CO"/>
        </w:rPr>
        <w:t>Corte Constitucional. Sentencia C-736 de 2007. M.P. Marco Gerardo Monroy Cabra.</w:t>
      </w:r>
    </w:p>
  </w:footnote>
  <w:footnote w:id="9">
    <w:p w14:paraId="3BBA060B" w14:textId="77777777" w:rsidR="00111DF2" w:rsidRDefault="00111DF2" w:rsidP="00111DF2">
      <w:pPr>
        <w:pStyle w:val="Textonotapie"/>
        <w:tabs>
          <w:tab w:val="left" w:pos="6521"/>
        </w:tabs>
        <w:ind w:firstLine="709"/>
        <w:jc w:val="both"/>
        <w:rPr>
          <w:rFonts w:ascii="Verdana" w:hAnsi="Verdana" w:cs="Arial"/>
          <w:sz w:val="16"/>
          <w:szCs w:val="16"/>
          <w:lang w:val="es-ES"/>
        </w:rPr>
      </w:pPr>
      <w:r w:rsidRPr="00522C54">
        <w:rPr>
          <w:rStyle w:val="Refdenotaalpie"/>
          <w:rFonts w:ascii="Verdana" w:hAnsi="Verdana" w:cs="Arial"/>
          <w:sz w:val="16"/>
          <w:szCs w:val="16"/>
        </w:rPr>
        <w:footnoteRef/>
      </w:r>
      <w:r w:rsidRPr="00522C54">
        <w:rPr>
          <w:rFonts w:ascii="Verdana" w:hAnsi="Verdana" w:cs="Arial"/>
          <w:sz w:val="16"/>
          <w:szCs w:val="16"/>
        </w:rPr>
        <w:t xml:space="preserve"> </w:t>
      </w:r>
      <w:r w:rsidRPr="00522C54">
        <w:rPr>
          <w:rFonts w:ascii="Verdana" w:hAnsi="Verdana" w:cs="Arial"/>
          <w:sz w:val="16"/>
          <w:szCs w:val="16"/>
          <w:lang w:val="es-ES"/>
        </w:rPr>
        <w:t>BOBBIO, Norberto. Democracia y secreto. México: Fondo de Cultura Económica, 2013. p. 27.</w:t>
      </w:r>
    </w:p>
    <w:p w14:paraId="6A86BB18" w14:textId="77777777" w:rsidR="00111DF2" w:rsidRPr="00522C54" w:rsidRDefault="00111DF2" w:rsidP="00111DF2">
      <w:pPr>
        <w:pStyle w:val="Textonotapie"/>
        <w:tabs>
          <w:tab w:val="left" w:pos="6521"/>
        </w:tabs>
        <w:ind w:firstLine="709"/>
        <w:jc w:val="both"/>
        <w:rPr>
          <w:rFonts w:ascii="Verdana" w:hAnsi="Verdana" w:cs="Arial"/>
          <w:sz w:val="16"/>
          <w:szCs w:val="16"/>
          <w:lang w:val="es-ES"/>
        </w:rPr>
      </w:pPr>
    </w:p>
  </w:footnote>
  <w:footnote w:id="10">
    <w:p w14:paraId="4DC48586" w14:textId="77777777" w:rsidR="00111DF2" w:rsidRPr="00522C54" w:rsidRDefault="00111DF2" w:rsidP="00111DF2">
      <w:pPr>
        <w:pStyle w:val="Textonotapie"/>
        <w:tabs>
          <w:tab w:val="left" w:pos="6521"/>
        </w:tabs>
        <w:ind w:firstLine="709"/>
        <w:jc w:val="both"/>
        <w:rPr>
          <w:rFonts w:ascii="Verdana" w:hAnsi="Verdana" w:cs="Arial"/>
          <w:color w:val="000000" w:themeColor="text1"/>
          <w:sz w:val="16"/>
          <w:szCs w:val="16"/>
        </w:rPr>
      </w:pPr>
      <w:r w:rsidRPr="00522C54">
        <w:rPr>
          <w:rStyle w:val="Refdenotaalpie"/>
          <w:rFonts w:ascii="Verdana" w:hAnsi="Verdana" w:cs="Arial"/>
          <w:color w:val="000000" w:themeColor="text1"/>
          <w:sz w:val="16"/>
          <w:szCs w:val="16"/>
        </w:rPr>
        <w:footnoteRef/>
      </w:r>
      <w:r w:rsidRPr="00522C54">
        <w:rPr>
          <w:rFonts w:ascii="Verdana" w:hAnsi="Verdana" w:cs="Arial"/>
          <w:color w:val="000000" w:themeColor="text1"/>
          <w:sz w:val="16"/>
          <w:szCs w:val="16"/>
        </w:rPr>
        <w:t xml:space="preserve"> Ley 1712 de 2014: “Artículo 2. Toda información en posesión, bajo control o custodia de un sujeto obligado es pública y no podrá ser reservada o limitada sino por disposición constitucional o legal, de conformidad con la presente ley”.</w:t>
      </w:r>
    </w:p>
  </w:footnote>
  <w:footnote w:id="11">
    <w:p w14:paraId="07433E8C" w14:textId="77777777" w:rsidR="00111DF2" w:rsidRPr="00522C54" w:rsidRDefault="00111DF2" w:rsidP="00111DF2">
      <w:pPr>
        <w:pStyle w:val="Textonotapie"/>
        <w:tabs>
          <w:tab w:val="left" w:pos="6521"/>
        </w:tabs>
        <w:ind w:firstLine="709"/>
        <w:jc w:val="both"/>
        <w:rPr>
          <w:rFonts w:ascii="Verdana" w:hAnsi="Verdana" w:cs="Arial"/>
          <w:color w:val="000000" w:themeColor="text1"/>
          <w:sz w:val="16"/>
          <w:szCs w:val="16"/>
        </w:rPr>
      </w:pPr>
      <w:r w:rsidRPr="00522C54">
        <w:rPr>
          <w:rFonts w:ascii="Verdana" w:eastAsia="Times New Roman" w:hAnsi="Verdana" w:cs="Arial"/>
          <w:color w:val="000000" w:themeColor="text1"/>
          <w:sz w:val="16"/>
          <w:szCs w:val="16"/>
          <w:vertAlign w:val="superscript"/>
          <w:lang w:val="es-ES" w:eastAsia="es-ES"/>
        </w:rPr>
        <w:footnoteRef/>
      </w:r>
      <w:r w:rsidRPr="00522C54">
        <w:rPr>
          <w:rFonts w:ascii="Verdana" w:eastAsia="Times New Roman" w:hAnsi="Verdana" w:cs="Arial"/>
          <w:color w:val="000000" w:themeColor="text1"/>
          <w:sz w:val="16"/>
          <w:szCs w:val="16"/>
          <w:vertAlign w:val="superscript"/>
          <w:lang w:val="es-ES" w:eastAsia="es-ES"/>
        </w:rPr>
        <w:t xml:space="preserve"> </w:t>
      </w:r>
      <w:r w:rsidRPr="00522C54">
        <w:rPr>
          <w:rFonts w:ascii="Verdana" w:hAnsi="Verdana" w:cs="Arial"/>
          <w:color w:val="000000" w:themeColor="text1"/>
          <w:sz w:val="16"/>
          <w:szCs w:val="16"/>
        </w:rPr>
        <w:t xml:space="preserve">Artículo 2.1.1.2.1.7.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39C344AC" w14:textId="77777777" w:rsidR="00111DF2" w:rsidRPr="00522C54" w:rsidRDefault="00111DF2" w:rsidP="00111DF2">
      <w:pPr>
        <w:pStyle w:val="Textonotapie"/>
        <w:tabs>
          <w:tab w:val="left" w:pos="6521"/>
        </w:tabs>
        <w:ind w:firstLine="709"/>
        <w:jc w:val="both"/>
        <w:rPr>
          <w:rFonts w:ascii="Verdana" w:eastAsia="Times New Roman" w:hAnsi="Verdana" w:cs="Arial"/>
          <w:color w:val="000000" w:themeColor="text1"/>
          <w:sz w:val="16"/>
          <w:szCs w:val="16"/>
          <w:lang w:val="es-ES" w:eastAsia="es-ES"/>
        </w:rPr>
      </w:pPr>
      <w:r w:rsidRPr="00522C54">
        <w:rPr>
          <w:rFonts w:ascii="Verdana" w:hAnsi="Verdana" w:cs="Arial"/>
          <w:color w:val="000000" w:themeColor="text1"/>
          <w:sz w:val="16"/>
          <w:szCs w:val="16"/>
        </w:rPr>
        <w:t>[…].</w:t>
      </w:r>
    </w:p>
    <w:p w14:paraId="132E3CB9" w14:textId="77777777" w:rsidR="00111DF2" w:rsidRPr="00522C54" w:rsidRDefault="00111DF2" w:rsidP="00111DF2">
      <w:pPr>
        <w:pStyle w:val="Textonotapie"/>
        <w:tabs>
          <w:tab w:val="left" w:pos="6521"/>
        </w:tabs>
        <w:ind w:firstLine="709"/>
        <w:jc w:val="both"/>
        <w:rPr>
          <w:rFonts w:ascii="Verdana" w:eastAsia="Times New Roman" w:hAnsi="Verdana" w:cs="Arial"/>
          <w:color w:val="000000" w:themeColor="text1"/>
          <w:sz w:val="16"/>
          <w:szCs w:val="16"/>
          <w:lang w:val="es-ES" w:eastAsia="es-ES"/>
        </w:rPr>
      </w:pPr>
      <w:r w:rsidRPr="00522C54">
        <w:rPr>
          <w:rFonts w:ascii="Verdana" w:eastAsia="Times New Roman" w:hAnsi="Verdana" w:cs="Arial"/>
          <w:color w:val="000000" w:themeColor="text1"/>
          <w:sz w:val="16"/>
          <w:szCs w:val="16"/>
          <w:lang w:val="es-ES" w:eastAsia="es-ES"/>
        </w:rPr>
        <w:t xml:space="preserve">Los sujetos obligados que contratan con recursos públicos y recursos </w:t>
      </w:r>
      <w:r w:rsidRPr="00522C54">
        <w:rPr>
          <w:rFonts w:ascii="Verdana" w:eastAsia="Times New Roman" w:hAnsi="Verdana" w:cs="Arial"/>
          <w:color w:val="000000" w:themeColor="text1"/>
          <w:sz w:val="16"/>
          <w:szCs w:val="16"/>
          <w:lang w:val="es-ES" w:eastAsia="es-ES"/>
        </w:rPr>
        <w:t>privados, deben publicar la información de su gestión contractual con cargo a recursos públicos en el Sistema Electrónico para la Contratación Pública [SECOP].</w:t>
      </w:r>
    </w:p>
  </w:footnote>
  <w:footnote w:id="12">
    <w:p w14:paraId="6FDC4E8F" w14:textId="77777777" w:rsidR="00111DF2" w:rsidRPr="00522C54" w:rsidRDefault="00111DF2" w:rsidP="00111DF2">
      <w:pPr>
        <w:pStyle w:val="Textonotapie"/>
        <w:tabs>
          <w:tab w:val="left" w:pos="6521"/>
        </w:tabs>
        <w:ind w:firstLine="709"/>
        <w:jc w:val="both"/>
        <w:rPr>
          <w:rFonts w:ascii="Verdana" w:hAnsi="Verdana" w:cs="Arial"/>
          <w:color w:val="000000"/>
          <w:sz w:val="16"/>
          <w:szCs w:val="16"/>
          <w:lang w:val="es-ES"/>
        </w:rPr>
      </w:pPr>
      <w:r w:rsidRPr="00522C54">
        <w:rPr>
          <w:rStyle w:val="Refdenotaalpie"/>
          <w:rFonts w:ascii="Verdana" w:hAnsi="Verdana" w:cs="Arial"/>
          <w:color w:val="000000"/>
          <w:sz w:val="16"/>
          <w:szCs w:val="16"/>
        </w:rPr>
        <w:footnoteRef/>
      </w:r>
      <w:r w:rsidRPr="00522C54">
        <w:rPr>
          <w:rFonts w:ascii="Verdana" w:hAnsi="Verdana" w:cs="Arial"/>
          <w:color w:val="000000"/>
          <w:sz w:val="16"/>
          <w:szCs w:val="16"/>
          <w:lang w:val="pt-BR"/>
        </w:rPr>
        <w:t xml:space="preserve"> C</w:t>
      </w:r>
      <w:r w:rsidRPr="00522C54">
        <w:rPr>
          <w:rFonts w:ascii="Verdana" w:eastAsia="Times New Roman" w:hAnsi="Verdana" w:cs="Arial"/>
          <w:color w:val="000000"/>
          <w:sz w:val="16"/>
          <w:szCs w:val="16"/>
          <w:lang w:val="pt-BR" w:eastAsia="es-ES"/>
        </w:rPr>
        <w:t xml:space="preserve">orte Constitucional. Sentencia C‒274 de 2013. </w:t>
      </w:r>
      <w:r w:rsidRPr="00522C54">
        <w:rPr>
          <w:rFonts w:ascii="Verdana" w:eastAsia="Times New Roman" w:hAnsi="Verdana" w:cs="Arial"/>
          <w:color w:val="000000"/>
          <w:sz w:val="16"/>
          <w:szCs w:val="16"/>
          <w:lang w:val="es-ES" w:eastAsia="es-ES"/>
        </w:rPr>
        <w:t>M.P. Mar</w:t>
      </w:r>
      <w:r w:rsidRPr="00522C54">
        <w:rPr>
          <w:rFonts w:ascii="Verdana" w:eastAsia="Times New Roman" w:hAnsi="Verdana" w:cs="Century Gothic"/>
          <w:color w:val="000000"/>
          <w:sz w:val="16"/>
          <w:szCs w:val="16"/>
          <w:lang w:val="es-ES" w:eastAsia="es-ES"/>
        </w:rPr>
        <w:t>í</w:t>
      </w:r>
      <w:r w:rsidRPr="00522C54">
        <w:rPr>
          <w:rFonts w:ascii="Verdana" w:eastAsia="Times New Roman" w:hAnsi="Verdana" w:cs="Arial"/>
          <w:color w:val="000000"/>
          <w:sz w:val="16"/>
          <w:szCs w:val="16"/>
          <w:lang w:val="es-ES" w:eastAsia="es-ES"/>
        </w:rPr>
        <w:t xml:space="preserve">a Victoria Calle Correa. </w:t>
      </w:r>
    </w:p>
  </w:footnote>
  <w:footnote w:id="13">
    <w:p w14:paraId="71BEBD7B" w14:textId="77777777" w:rsidR="00111DF2" w:rsidRPr="00522C54" w:rsidRDefault="00111DF2" w:rsidP="00111DF2">
      <w:pPr>
        <w:pStyle w:val="Textonotapie"/>
        <w:tabs>
          <w:tab w:val="left" w:pos="6521"/>
        </w:tabs>
        <w:ind w:firstLine="708"/>
        <w:jc w:val="both"/>
        <w:rPr>
          <w:rFonts w:ascii="Verdana" w:hAnsi="Verdana" w:cs="Arial"/>
          <w:color w:val="000000"/>
          <w:sz w:val="16"/>
          <w:szCs w:val="16"/>
        </w:rPr>
      </w:pPr>
      <w:r w:rsidRPr="00522C54">
        <w:rPr>
          <w:rStyle w:val="Refdenotaalpie"/>
          <w:rFonts w:ascii="Verdana" w:hAnsi="Verdana" w:cs="Arial"/>
          <w:color w:val="000000"/>
          <w:sz w:val="16"/>
          <w:szCs w:val="16"/>
        </w:rPr>
        <w:footnoteRef/>
      </w:r>
      <w:r w:rsidRPr="00522C54">
        <w:rPr>
          <w:rFonts w:ascii="Verdana" w:hAnsi="Verdana" w:cs="Arial"/>
          <w:color w:val="000000"/>
          <w:sz w:val="16"/>
          <w:szCs w:val="16"/>
        </w:rPr>
        <w:t xml:space="preserve"> Decreto 4170 de 2011: “Artículo 3. Funciones: La Agencia Nacional de Contratación Pública –Colombia Compra Eficiente– ejercerá las siguientes funciones: [...]</w:t>
      </w:r>
    </w:p>
    <w:p w14:paraId="3D780980" w14:textId="77777777" w:rsidR="00111DF2" w:rsidRPr="00522C54" w:rsidRDefault="00111DF2" w:rsidP="00111DF2">
      <w:pPr>
        <w:pStyle w:val="Textonotapie"/>
        <w:tabs>
          <w:tab w:val="left" w:pos="6521"/>
        </w:tabs>
        <w:ind w:firstLine="708"/>
        <w:jc w:val="both"/>
        <w:rPr>
          <w:rFonts w:ascii="Verdana" w:hAnsi="Verdana" w:cs="Arial"/>
          <w:color w:val="000000"/>
          <w:sz w:val="16"/>
          <w:szCs w:val="16"/>
        </w:rPr>
      </w:pPr>
      <w:r w:rsidRPr="00522C54">
        <w:rPr>
          <w:rFonts w:ascii="Verdana" w:hAnsi="Verdana" w:cs="Arial"/>
          <w:color w:val="000000"/>
          <w:sz w:val="16"/>
          <w:szCs w:val="16"/>
        </w:rPr>
        <w:t>8. Desarrollar y administrar el Sistema Electrónico para la Contratación Pública (SECOP) o el que haga sus veces, y gestionar nuevos desarrollos tecnológicos en los asuntos de su competencia, teniendo en cuenta los parámetros fijados por el Consejo Directivo [...]”.</w:t>
      </w:r>
    </w:p>
  </w:footnote>
  <w:footnote w:id="14">
    <w:p w14:paraId="41114A0B" w14:textId="77777777" w:rsidR="00111DF2" w:rsidRPr="00522C54" w:rsidRDefault="00111DF2" w:rsidP="00111DF2">
      <w:pPr>
        <w:pStyle w:val="Textonotapie"/>
        <w:ind w:firstLine="708"/>
        <w:jc w:val="both"/>
        <w:rPr>
          <w:rFonts w:ascii="Verdana" w:hAnsi="Verdana"/>
          <w:sz w:val="16"/>
          <w:szCs w:val="16"/>
          <w:lang w:val="es-CO"/>
        </w:rPr>
      </w:pPr>
      <w:r w:rsidRPr="00522C54">
        <w:rPr>
          <w:rStyle w:val="Refdenotaalpie"/>
          <w:rFonts w:ascii="Verdana" w:hAnsi="Verdana"/>
          <w:sz w:val="16"/>
          <w:szCs w:val="16"/>
        </w:rPr>
        <w:footnoteRef/>
      </w:r>
      <w:r w:rsidRPr="00522C54">
        <w:rPr>
          <w:rFonts w:ascii="Verdana" w:hAnsi="Verdana"/>
          <w:sz w:val="16"/>
          <w:szCs w:val="16"/>
        </w:rPr>
        <w:t xml:space="preserve"> </w:t>
      </w:r>
      <w:r w:rsidRPr="00522C54">
        <w:rPr>
          <w:rFonts w:ascii="Verdana" w:hAnsi="Verdana"/>
          <w:bCs/>
          <w:sz w:val="16"/>
          <w:szCs w:val="16"/>
          <w:lang w:val="es-CO"/>
        </w:rPr>
        <w:t>Artículo 53.</w:t>
      </w:r>
      <w:r w:rsidRPr="00522C54">
        <w:rPr>
          <w:rFonts w:ascii="Verdana" w:hAnsi="Verdana"/>
          <w:sz w:val="16"/>
          <w:szCs w:val="16"/>
          <w:lang w:val="es-CO"/>
        </w:rPr>
        <w:t> Adiciónese los siguientes incisos al artículo 13 de la Ley 1150 de 2007, el cual quedará así: </w:t>
      </w:r>
    </w:p>
    <w:p w14:paraId="4F5259F8"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bCs/>
          <w:sz w:val="16"/>
          <w:szCs w:val="16"/>
          <w:lang w:val="es-CO"/>
        </w:rPr>
        <w:t>Artículo 13. Principios generales de la actividad contractual para entidades no sometidas al Estatuto General de Contratación de la Administración Pública.</w:t>
      </w:r>
      <w:r w:rsidRPr="00522C54">
        <w:rPr>
          <w:rFonts w:ascii="Verdana" w:hAnsi="Verdana"/>
          <w:sz w:val="16"/>
          <w:szCs w:val="16"/>
          <w:lang w:val="es-CO"/>
        </w:rPr>
        <w:t>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 </w:t>
      </w:r>
    </w:p>
    <w:p w14:paraId="25524DFF"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 xml:space="preserve">En desarrollo de los anteriores principios, deberán publicar los documentos relacionados con su actividad contractual en el Sistema Electrónico para la Contratación Pública (SECOP II)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w:t>
      </w:r>
      <w:r w:rsidRPr="00522C54">
        <w:rPr>
          <w:rFonts w:ascii="Verdana" w:hAnsi="Verdana"/>
          <w:sz w:val="16"/>
          <w:szCs w:val="16"/>
          <w:lang w:val="es-CO"/>
        </w:rPr>
        <w:t>postcontractual. </w:t>
      </w:r>
    </w:p>
    <w:p w14:paraId="6186ED60"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 xml:space="preserve">A partir de la </w:t>
      </w:r>
      <w:r w:rsidRPr="00522C54">
        <w:rPr>
          <w:rFonts w:ascii="Verdana" w:hAnsi="Verdana"/>
          <w:sz w:val="16"/>
          <w:szCs w:val="16"/>
          <w:lang w:val="es-CO"/>
        </w:rPr>
        <w:t>entrada en vigencia de la presente Ley, se establecerá un periodo de transición de seis (6) meses, para que las entidades den cumplimiento efectivo a lo aquí establecido. </w:t>
      </w:r>
    </w:p>
  </w:footnote>
  <w:footnote w:id="15">
    <w:p w14:paraId="104D6F7E" w14:textId="77777777" w:rsidR="00111DF2" w:rsidRPr="00522C54" w:rsidRDefault="00111DF2" w:rsidP="00111DF2">
      <w:pPr>
        <w:pStyle w:val="Textonotapie"/>
        <w:ind w:firstLine="708"/>
        <w:jc w:val="both"/>
        <w:rPr>
          <w:rFonts w:ascii="Verdana" w:hAnsi="Verdana"/>
          <w:sz w:val="16"/>
          <w:szCs w:val="16"/>
          <w:lang w:val="es-ES"/>
        </w:rPr>
      </w:pPr>
      <w:r w:rsidRPr="00522C54">
        <w:rPr>
          <w:rStyle w:val="Refdenotaalpie"/>
          <w:rFonts w:ascii="Verdana" w:hAnsi="Verdana"/>
          <w:sz w:val="16"/>
          <w:szCs w:val="16"/>
        </w:rPr>
        <w:footnoteRef/>
      </w:r>
      <w:r w:rsidRPr="00522C54">
        <w:rPr>
          <w:rFonts w:ascii="Verdana" w:hAnsi="Verdana"/>
          <w:sz w:val="16"/>
          <w:szCs w:val="16"/>
        </w:rPr>
        <w:t xml:space="preserve"> Superintendencia de Sociedades. Oficio 220-091161 del 2 de mayo de 2017. </w:t>
      </w:r>
    </w:p>
  </w:footnote>
  <w:footnote w:id="16">
    <w:p w14:paraId="05BAF2AB" w14:textId="77777777" w:rsidR="00111DF2" w:rsidRDefault="00111DF2" w:rsidP="00111DF2">
      <w:pPr>
        <w:pStyle w:val="Textonotapie"/>
        <w:ind w:firstLine="708"/>
        <w:jc w:val="both"/>
        <w:rPr>
          <w:sz w:val="16"/>
          <w:szCs w:val="16"/>
        </w:rPr>
      </w:pPr>
      <w:r w:rsidRPr="00522C54">
        <w:rPr>
          <w:rStyle w:val="Refdenotaalpie"/>
          <w:rFonts w:ascii="Verdana" w:hAnsi="Verdana"/>
          <w:sz w:val="16"/>
          <w:szCs w:val="16"/>
        </w:rPr>
        <w:footnoteRef/>
      </w:r>
      <w:r w:rsidRPr="00522C54">
        <w:rPr>
          <w:rFonts w:ascii="Verdana" w:hAnsi="Verdana"/>
          <w:sz w:val="16"/>
          <w:szCs w:val="16"/>
        </w:rPr>
        <w:t xml:space="preserve"> Superintendencia de Sociedades. Circular Jurídica Básica, numeral 7.6. Presupuestos para establecer la existencia de grupo empresarial.</w:t>
      </w:r>
      <w:r w:rsidRPr="00522C54">
        <w:rPr>
          <w:sz w:val="16"/>
          <w:szCs w:val="16"/>
        </w:rPr>
        <w:t xml:space="preserve"> </w:t>
      </w:r>
    </w:p>
    <w:p w14:paraId="6FFC3EF1" w14:textId="77777777" w:rsidR="00111DF2" w:rsidRPr="00522C54" w:rsidRDefault="00111DF2" w:rsidP="00111DF2">
      <w:pPr>
        <w:pStyle w:val="Textonotapie"/>
        <w:ind w:firstLine="708"/>
        <w:jc w:val="both"/>
        <w:rPr>
          <w:sz w:val="16"/>
          <w:szCs w:val="16"/>
          <w:lang w:val="es-ES"/>
        </w:rPr>
      </w:pPr>
    </w:p>
  </w:footnote>
  <w:footnote w:id="17">
    <w:p w14:paraId="3B07A5ED" w14:textId="77777777" w:rsidR="00111DF2" w:rsidRPr="00522C54" w:rsidRDefault="00111DF2" w:rsidP="00111DF2">
      <w:pPr>
        <w:pStyle w:val="Textonotapie"/>
        <w:ind w:firstLine="708"/>
        <w:jc w:val="both"/>
        <w:rPr>
          <w:rFonts w:ascii="Verdana" w:hAnsi="Verdana"/>
          <w:sz w:val="16"/>
          <w:szCs w:val="16"/>
          <w:lang w:val="es-CO"/>
        </w:rPr>
      </w:pPr>
      <w:r w:rsidRPr="00522C54">
        <w:rPr>
          <w:rStyle w:val="Refdenotaalpie"/>
          <w:rFonts w:ascii="Verdana" w:hAnsi="Verdana"/>
          <w:sz w:val="16"/>
          <w:szCs w:val="16"/>
        </w:rPr>
        <w:footnoteRef/>
      </w:r>
      <w:r w:rsidRPr="00522C54">
        <w:rPr>
          <w:rFonts w:ascii="Verdana" w:hAnsi="Verdana"/>
          <w:sz w:val="16"/>
          <w:szCs w:val="16"/>
        </w:rPr>
        <w:t xml:space="preserve"> </w:t>
      </w:r>
      <w:bookmarkStart w:id="4" w:name="30"/>
      <w:r w:rsidRPr="00522C54">
        <w:rPr>
          <w:rFonts w:ascii="Verdana" w:hAnsi="Verdana"/>
          <w:bCs/>
          <w:sz w:val="16"/>
          <w:szCs w:val="16"/>
          <w:lang w:val="es-CO"/>
        </w:rPr>
        <w:t>ARTICULO 30. OBLIGATORIEDAD DE INSCRIPCION EN EL REGISTRO MERCANTIL.</w:t>
      </w:r>
      <w:bookmarkEnd w:id="4"/>
      <w:r w:rsidRPr="00522C54">
        <w:rPr>
          <w:rFonts w:ascii="Verdana" w:hAnsi="Verdana"/>
          <w:sz w:val="16"/>
          <w:szCs w:val="16"/>
          <w:lang w:val="es-CO"/>
        </w:rPr>
        <w:t> Cuando de conformidad con lo previsto en los artículos </w:t>
      </w:r>
      <w:hyperlink r:id="rId1" w:anchor="260" w:history="1">
        <w:r w:rsidRPr="00522C54">
          <w:rPr>
            <w:rStyle w:val="Hipervnculo"/>
            <w:rFonts w:ascii="Verdana" w:hAnsi="Verdana"/>
            <w:color w:val="auto"/>
            <w:sz w:val="16"/>
            <w:szCs w:val="16"/>
            <w:lang w:val="es-CO"/>
          </w:rPr>
          <w:t>260</w:t>
        </w:r>
      </w:hyperlink>
      <w:r w:rsidRPr="00522C54">
        <w:rPr>
          <w:rFonts w:ascii="Verdana" w:hAnsi="Verdana"/>
          <w:sz w:val="16"/>
          <w:szCs w:val="16"/>
          <w:lang w:val="es-CO"/>
        </w:rPr>
        <w:t> y </w:t>
      </w:r>
      <w:hyperlink r:id="rId2" w:anchor="261" w:history="1">
        <w:r w:rsidRPr="00522C54">
          <w:rPr>
            <w:rStyle w:val="Hipervnculo"/>
            <w:rFonts w:ascii="Verdana" w:hAnsi="Verdana"/>
            <w:color w:val="auto"/>
            <w:sz w:val="16"/>
            <w:szCs w:val="16"/>
            <w:lang w:val="es-CO"/>
          </w:rPr>
          <w:t>261</w:t>
        </w:r>
      </w:hyperlink>
      <w:r w:rsidRPr="00522C54">
        <w:rPr>
          <w:rFonts w:ascii="Verdana" w:hAnsi="Verdana"/>
          <w:sz w:val="16"/>
          <w:szCs w:val="16"/>
          <w:lang w:val="es-CO"/>
        </w:rPr>
        <w:t> del Código de Comercio, se configure una situación de control, la sociedad controlante lo hará constar en documento privado que deberá contener el nombre, domicilio, nacionalidad y actividad de los vinculados, así como el presupuesto que da lugar a la situación de control. Dicho documento deberá presentarse para su inscripción en el registro mercantil correspondiente a la circunscripción de cada uno de los vinculados, dentro de los treinta días siguientes a la configuración de la situación de control.</w:t>
      </w:r>
    </w:p>
    <w:p w14:paraId="2F755109"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sz w:val="16"/>
          <w:szCs w:val="16"/>
          <w:lang w:val="es-CO"/>
        </w:rPr>
        <w:t>Si vencido el plazo a que se refiere el inciso anterior, no se hubiere efectuado la inscripción a que alude este artículo, la Superintendencia de Sociedades, o en su caso la de Valores o Bancaria, de oficio o a solicitud de cualquier interesado, declarará la situación de vinculación y ordenará la inscripción en el Registro Mercantil, sin perjuicio de la imposición de las multas a que haya lugar por dicha omisión.</w:t>
      </w:r>
    </w:p>
    <w:p w14:paraId="42B29B3D" w14:textId="77777777" w:rsidR="00111DF2" w:rsidRPr="00522C54" w:rsidRDefault="00111DF2" w:rsidP="00111DF2">
      <w:pPr>
        <w:pStyle w:val="Textonotapie"/>
        <w:jc w:val="both"/>
        <w:rPr>
          <w:rFonts w:ascii="Verdana" w:hAnsi="Verdana"/>
          <w:sz w:val="16"/>
          <w:szCs w:val="16"/>
          <w:lang w:val="es-CO"/>
        </w:rPr>
      </w:pPr>
      <w:r w:rsidRPr="00522C54">
        <w:rPr>
          <w:rFonts w:ascii="Verdana" w:hAnsi="Verdana"/>
          <w:sz w:val="16"/>
          <w:szCs w:val="16"/>
          <w:lang w:val="es-CO"/>
        </w:rPr>
        <w:t>En los casos en que se den los supuestos para que exista grupo empresarial se aplicará la presente disposición. No obstante, cumplido el requisito de inscripción del grupo empresarial en el registro mercantil, no será necesaria la inscripción de la situación de control entre las sociedades que lo conforman.</w:t>
      </w:r>
    </w:p>
    <w:p w14:paraId="58FA4C40"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bCs/>
          <w:sz w:val="16"/>
          <w:szCs w:val="16"/>
          <w:lang w:val="es-CO"/>
        </w:rPr>
        <w:t>PARAGRAFO 1o.</w:t>
      </w:r>
      <w:r w:rsidRPr="00522C54">
        <w:rPr>
          <w:rFonts w:ascii="Verdana" w:hAnsi="Verdana"/>
          <w:sz w:val="16"/>
          <w:szCs w:val="16"/>
          <w:lang w:val="es-CO"/>
        </w:rPr>
        <w:t xml:space="preserve"> Las Cámaras de Comercio estarán obligadas a hacer constar en el certificado de existencia y representación legal la calidad de matriz o subordinada que tenga la </w:t>
      </w:r>
      <w:r w:rsidRPr="00522C54">
        <w:rPr>
          <w:rFonts w:ascii="Verdana" w:hAnsi="Verdana"/>
          <w:sz w:val="16"/>
          <w:szCs w:val="16"/>
          <w:lang w:val="es-CO"/>
        </w:rPr>
        <w:t>sociedad así como su vinculación a un grupo empresarial, de acuerdo con los criterios previstos en la presente ley.</w:t>
      </w:r>
    </w:p>
    <w:p w14:paraId="154C0BF8" w14:textId="77777777" w:rsidR="00111DF2" w:rsidRPr="00522C54" w:rsidRDefault="00111DF2" w:rsidP="00111DF2">
      <w:pPr>
        <w:pStyle w:val="Textonotapie"/>
        <w:ind w:firstLine="708"/>
        <w:jc w:val="both"/>
        <w:rPr>
          <w:rFonts w:ascii="Verdana" w:hAnsi="Verdana"/>
          <w:sz w:val="16"/>
          <w:szCs w:val="16"/>
          <w:lang w:val="es-CO"/>
        </w:rPr>
      </w:pPr>
      <w:r w:rsidRPr="00522C54">
        <w:rPr>
          <w:rFonts w:ascii="Verdana" w:hAnsi="Verdana"/>
          <w:bCs/>
          <w:sz w:val="16"/>
          <w:szCs w:val="16"/>
          <w:lang w:val="es-CO"/>
        </w:rPr>
        <w:t>PARAGRAFO 2o.</w:t>
      </w:r>
      <w:r w:rsidRPr="00522C54">
        <w:rPr>
          <w:rFonts w:ascii="Verdana" w:hAnsi="Verdana"/>
          <w:sz w:val="16"/>
          <w:szCs w:val="16"/>
          <w:lang w:val="es-CO"/>
        </w:rPr>
        <w:t> Toda modificación de la situación de control o del grupo, se inscribirá en el Registro Mercantil. Cuando dicho requisito se omita, la entidad estatal que ejerza la inspección, vigilancia o control de cualquiera de las vinculadas podrá en los términos señalados en este artículo, ordenar la inscripción correspondiente.</w:t>
      </w:r>
    </w:p>
    <w:p w14:paraId="2173DEF8" w14:textId="77777777" w:rsidR="00111DF2" w:rsidRPr="00327F97" w:rsidRDefault="00111DF2" w:rsidP="00111DF2">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BE429B" w:rsidRDefault="00BE429B"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BE429B" w:rsidRDefault="00BE429B">
    <w:pPr>
      <w:pStyle w:val="Encabezado"/>
    </w:pPr>
  </w:p>
  <w:p w14:paraId="5E18350A" w14:textId="705F7B76" w:rsidR="00BE429B" w:rsidRPr="004A305D" w:rsidRDefault="00BE429B" w:rsidP="00B01B1A">
    <w:pPr>
      <w:spacing w:after="0" w:line="120" w:lineRule="auto"/>
      <w:rPr>
        <w:rFonts w:ascii="Century Gothic" w:eastAsia="Geo" w:hAnsi="Century Gothic" w:cs="Geo"/>
        <w:sz w:val="16"/>
        <w:szCs w:val="16"/>
        <w:lang w:eastAsia="es-CO"/>
      </w:rPr>
    </w:pPr>
  </w:p>
  <w:p w14:paraId="211B7F5D" w14:textId="77777777" w:rsidR="00BE429B" w:rsidRDefault="00BE429B" w:rsidP="00844AE9">
    <w:pPr>
      <w:spacing w:after="0" w:line="240" w:lineRule="auto"/>
      <w:rPr>
        <w:rFonts w:ascii="Verdana" w:hAnsi="Verdana"/>
        <w:sz w:val="24"/>
        <w:szCs w:val="24"/>
      </w:rPr>
    </w:pPr>
  </w:p>
  <w:p w14:paraId="5A0054B1" w14:textId="77777777" w:rsidR="00BE429B" w:rsidRPr="00C925AC" w:rsidRDefault="00BE429B" w:rsidP="00844AE9">
    <w:pPr>
      <w:spacing w:after="0" w:line="240" w:lineRule="auto"/>
      <w:rPr>
        <w:rFonts w:ascii="Verdana" w:hAnsi="Verdana"/>
        <w:sz w:val="24"/>
        <w:szCs w:val="24"/>
      </w:rPr>
    </w:pPr>
  </w:p>
  <w:p w14:paraId="1FD1C243" w14:textId="37C5500A" w:rsidR="00BE429B" w:rsidRPr="00C925AC" w:rsidRDefault="00BE429B"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0.6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4261362">
    <w:abstractNumId w:val="6"/>
  </w:num>
  <w:num w:numId="2" w16cid:durableId="691995219">
    <w:abstractNumId w:val="1"/>
  </w:num>
  <w:num w:numId="3" w16cid:durableId="1948075818">
    <w:abstractNumId w:val="4"/>
  </w:num>
  <w:num w:numId="4" w16cid:durableId="17030932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1066974">
    <w:abstractNumId w:val="1"/>
  </w:num>
  <w:num w:numId="6" w16cid:durableId="215746921">
    <w:abstractNumId w:val="13"/>
  </w:num>
  <w:num w:numId="7" w16cid:durableId="277763846">
    <w:abstractNumId w:val="5"/>
  </w:num>
  <w:num w:numId="8" w16cid:durableId="991908881">
    <w:abstractNumId w:val="12"/>
  </w:num>
  <w:num w:numId="9" w16cid:durableId="1945187706">
    <w:abstractNumId w:val="7"/>
  </w:num>
  <w:num w:numId="10" w16cid:durableId="1433236248">
    <w:abstractNumId w:val="11"/>
  </w:num>
  <w:num w:numId="11" w16cid:durableId="2000814608">
    <w:abstractNumId w:val="8"/>
  </w:num>
  <w:num w:numId="12" w16cid:durableId="945817607">
    <w:abstractNumId w:val="0"/>
  </w:num>
  <w:num w:numId="13" w16cid:durableId="1140071097">
    <w:abstractNumId w:val="2"/>
  </w:num>
  <w:num w:numId="14" w16cid:durableId="1947730645">
    <w:abstractNumId w:val="14"/>
  </w:num>
  <w:num w:numId="15" w16cid:durableId="333535049">
    <w:abstractNumId w:val="10"/>
  </w:num>
  <w:num w:numId="16" w16cid:durableId="2079400852">
    <w:abstractNumId w:val="3"/>
  </w:num>
  <w:num w:numId="17" w16cid:durableId="422148650">
    <w:abstractNumId w:val="9"/>
  </w:num>
  <w:num w:numId="18" w16cid:durableId="16757623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130CF"/>
    <w:rsid w:val="00016F78"/>
    <w:rsid w:val="00026551"/>
    <w:rsid w:val="00033FC7"/>
    <w:rsid w:val="00041D6D"/>
    <w:rsid w:val="00046945"/>
    <w:rsid w:val="00051D93"/>
    <w:rsid w:val="00052C0F"/>
    <w:rsid w:val="000545D0"/>
    <w:rsid w:val="00055945"/>
    <w:rsid w:val="00061B2A"/>
    <w:rsid w:val="00075DBC"/>
    <w:rsid w:val="00082362"/>
    <w:rsid w:val="00085FA5"/>
    <w:rsid w:val="000906DA"/>
    <w:rsid w:val="00097894"/>
    <w:rsid w:val="000A683E"/>
    <w:rsid w:val="000B19B9"/>
    <w:rsid w:val="000B60D1"/>
    <w:rsid w:val="000C559A"/>
    <w:rsid w:val="000C6DC8"/>
    <w:rsid w:val="000C7D33"/>
    <w:rsid w:val="000D0334"/>
    <w:rsid w:val="000D5DA7"/>
    <w:rsid w:val="000F6486"/>
    <w:rsid w:val="00111DF2"/>
    <w:rsid w:val="00116940"/>
    <w:rsid w:val="00125105"/>
    <w:rsid w:val="00127233"/>
    <w:rsid w:val="00132DAE"/>
    <w:rsid w:val="001526EF"/>
    <w:rsid w:val="00155522"/>
    <w:rsid w:val="0015699B"/>
    <w:rsid w:val="001702F7"/>
    <w:rsid w:val="00171E98"/>
    <w:rsid w:val="001743CA"/>
    <w:rsid w:val="0019562E"/>
    <w:rsid w:val="00197553"/>
    <w:rsid w:val="001A33BF"/>
    <w:rsid w:val="001A3517"/>
    <w:rsid w:val="001C3ECC"/>
    <w:rsid w:val="001C7276"/>
    <w:rsid w:val="001D5B51"/>
    <w:rsid w:val="001E4177"/>
    <w:rsid w:val="001F0B24"/>
    <w:rsid w:val="001F2EE8"/>
    <w:rsid w:val="001F7DC6"/>
    <w:rsid w:val="0020519B"/>
    <w:rsid w:val="00211230"/>
    <w:rsid w:val="00211357"/>
    <w:rsid w:val="00213ABC"/>
    <w:rsid w:val="00215475"/>
    <w:rsid w:val="0022400B"/>
    <w:rsid w:val="00233173"/>
    <w:rsid w:val="002345A0"/>
    <w:rsid w:val="002421BB"/>
    <w:rsid w:val="00242C7A"/>
    <w:rsid w:val="002456A8"/>
    <w:rsid w:val="00246CBB"/>
    <w:rsid w:val="00250FC8"/>
    <w:rsid w:val="00252059"/>
    <w:rsid w:val="0025796E"/>
    <w:rsid w:val="0026112B"/>
    <w:rsid w:val="002707A2"/>
    <w:rsid w:val="00283D42"/>
    <w:rsid w:val="002951A0"/>
    <w:rsid w:val="002962BC"/>
    <w:rsid w:val="00297D6C"/>
    <w:rsid w:val="002A093D"/>
    <w:rsid w:val="002A0DD0"/>
    <w:rsid w:val="002A49AC"/>
    <w:rsid w:val="002A58CD"/>
    <w:rsid w:val="002A64FD"/>
    <w:rsid w:val="002B48C1"/>
    <w:rsid w:val="002B6DBE"/>
    <w:rsid w:val="002B730F"/>
    <w:rsid w:val="002C7A84"/>
    <w:rsid w:val="002E2BF8"/>
    <w:rsid w:val="002E4FD9"/>
    <w:rsid w:val="003004D2"/>
    <w:rsid w:val="0030657A"/>
    <w:rsid w:val="00316E43"/>
    <w:rsid w:val="00322A85"/>
    <w:rsid w:val="00324168"/>
    <w:rsid w:val="00325055"/>
    <w:rsid w:val="00330834"/>
    <w:rsid w:val="00335EB7"/>
    <w:rsid w:val="003448F4"/>
    <w:rsid w:val="0036053B"/>
    <w:rsid w:val="003608FD"/>
    <w:rsid w:val="0037015E"/>
    <w:rsid w:val="00374F5E"/>
    <w:rsid w:val="00377E3E"/>
    <w:rsid w:val="003828FA"/>
    <w:rsid w:val="003A22FA"/>
    <w:rsid w:val="003A779E"/>
    <w:rsid w:val="003A7DBB"/>
    <w:rsid w:val="003C36DA"/>
    <w:rsid w:val="003C5FD9"/>
    <w:rsid w:val="003D0F4D"/>
    <w:rsid w:val="003D5B0D"/>
    <w:rsid w:val="003E0499"/>
    <w:rsid w:val="003E4F80"/>
    <w:rsid w:val="003E6439"/>
    <w:rsid w:val="003F3941"/>
    <w:rsid w:val="00403C57"/>
    <w:rsid w:val="00406575"/>
    <w:rsid w:val="00414C74"/>
    <w:rsid w:val="0042400D"/>
    <w:rsid w:val="0042722E"/>
    <w:rsid w:val="0043297E"/>
    <w:rsid w:val="00440DF8"/>
    <w:rsid w:val="00442203"/>
    <w:rsid w:val="0044528D"/>
    <w:rsid w:val="004636A9"/>
    <w:rsid w:val="004649CD"/>
    <w:rsid w:val="0046656B"/>
    <w:rsid w:val="00466E39"/>
    <w:rsid w:val="00470178"/>
    <w:rsid w:val="00474655"/>
    <w:rsid w:val="004829F3"/>
    <w:rsid w:val="004A1847"/>
    <w:rsid w:val="004A305D"/>
    <w:rsid w:val="004B711A"/>
    <w:rsid w:val="004D5C33"/>
    <w:rsid w:val="004F21C4"/>
    <w:rsid w:val="004F685F"/>
    <w:rsid w:val="005566E8"/>
    <w:rsid w:val="00560ECB"/>
    <w:rsid w:val="00574867"/>
    <w:rsid w:val="00585AEC"/>
    <w:rsid w:val="00591460"/>
    <w:rsid w:val="005A65E0"/>
    <w:rsid w:val="005C3777"/>
    <w:rsid w:val="005C47DD"/>
    <w:rsid w:val="005C5CDC"/>
    <w:rsid w:val="005D476C"/>
    <w:rsid w:val="005E7C99"/>
    <w:rsid w:val="005F1A8F"/>
    <w:rsid w:val="00603964"/>
    <w:rsid w:val="006200BF"/>
    <w:rsid w:val="006206A2"/>
    <w:rsid w:val="006219F8"/>
    <w:rsid w:val="006302F7"/>
    <w:rsid w:val="00646B9F"/>
    <w:rsid w:val="006506D8"/>
    <w:rsid w:val="00653589"/>
    <w:rsid w:val="006571B8"/>
    <w:rsid w:val="00665D70"/>
    <w:rsid w:val="00681FBD"/>
    <w:rsid w:val="006900D9"/>
    <w:rsid w:val="006A3B86"/>
    <w:rsid w:val="006B5A7B"/>
    <w:rsid w:val="006E6E0B"/>
    <w:rsid w:val="006F092A"/>
    <w:rsid w:val="006F230F"/>
    <w:rsid w:val="00706C16"/>
    <w:rsid w:val="0071632A"/>
    <w:rsid w:val="00724E21"/>
    <w:rsid w:val="007279E3"/>
    <w:rsid w:val="007340C3"/>
    <w:rsid w:val="00747A86"/>
    <w:rsid w:val="0075235A"/>
    <w:rsid w:val="00754CEE"/>
    <w:rsid w:val="00755BF3"/>
    <w:rsid w:val="00756841"/>
    <w:rsid w:val="007649AB"/>
    <w:rsid w:val="00771D0C"/>
    <w:rsid w:val="007833AC"/>
    <w:rsid w:val="007A1830"/>
    <w:rsid w:val="007B268C"/>
    <w:rsid w:val="007B7171"/>
    <w:rsid w:val="007C0C0F"/>
    <w:rsid w:val="007C3DC2"/>
    <w:rsid w:val="007D1AA3"/>
    <w:rsid w:val="007D25F9"/>
    <w:rsid w:val="007E0ED1"/>
    <w:rsid w:val="007E1677"/>
    <w:rsid w:val="007E5497"/>
    <w:rsid w:val="00806F5F"/>
    <w:rsid w:val="00820278"/>
    <w:rsid w:val="008258C9"/>
    <w:rsid w:val="008316FF"/>
    <w:rsid w:val="00844AE9"/>
    <w:rsid w:val="00851752"/>
    <w:rsid w:val="00867F95"/>
    <w:rsid w:val="00873EEB"/>
    <w:rsid w:val="008843B6"/>
    <w:rsid w:val="008853C8"/>
    <w:rsid w:val="00891928"/>
    <w:rsid w:val="008A3E33"/>
    <w:rsid w:val="008A446D"/>
    <w:rsid w:val="008B25F1"/>
    <w:rsid w:val="008B56D9"/>
    <w:rsid w:val="008C31CA"/>
    <w:rsid w:val="008D180B"/>
    <w:rsid w:val="008F0EA7"/>
    <w:rsid w:val="008F522D"/>
    <w:rsid w:val="0091067F"/>
    <w:rsid w:val="009143D1"/>
    <w:rsid w:val="00921B3E"/>
    <w:rsid w:val="00923EEF"/>
    <w:rsid w:val="009250DE"/>
    <w:rsid w:val="00925E0C"/>
    <w:rsid w:val="009419F9"/>
    <w:rsid w:val="00945E3D"/>
    <w:rsid w:val="0095685E"/>
    <w:rsid w:val="00961B09"/>
    <w:rsid w:val="00965334"/>
    <w:rsid w:val="0097093E"/>
    <w:rsid w:val="009755F6"/>
    <w:rsid w:val="00982C6E"/>
    <w:rsid w:val="00996721"/>
    <w:rsid w:val="009A0DFA"/>
    <w:rsid w:val="009B2D26"/>
    <w:rsid w:val="009C71FA"/>
    <w:rsid w:val="009C72E7"/>
    <w:rsid w:val="009C7F7E"/>
    <w:rsid w:val="009D3058"/>
    <w:rsid w:val="009D53A2"/>
    <w:rsid w:val="009E1C48"/>
    <w:rsid w:val="009F3A13"/>
    <w:rsid w:val="00A02AB0"/>
    <w:rsid w:val="00A122D3"/>
    <w:rsid w:val="00A12B35"/>
    <w:rsid w:val="00A14468"/>
    <w:rsid w:val="00A17EA6"/>
    <w:rsid w:val="00A17F13"/>
    <w:rsid w:val="00A20739"/>
    <w:rsid w:val="00A23AF9"/>
    <w:rsid w:val="00A254CA"/>
    <w:rsid w:val="00A26F8C"/>
    <w:rsid w:val="00A33C78"/>
    <w:rsid w:val="00A52327"/>
    <w:rsid w:val="00A7153D"/>
    <w:rsid w:val="00A903C3"/>
    <w:rsid w:val="00A96668"/>
    <w:rsid w:val="00AB0ADB"/>
    <w:rsid w:val="00AE666A"/>
    <w:rsid w:val="00AF5D76"/>
    <w:rsid w:val="00AF7F04"/>
    <w:rsid w:val="00B00412"/>
    <w:rsid w:val="00B00C0E"/>
    <w:rsid w:val="00B01B1A"/>
    <w:rsid w:val="00B23E2C"/>
    <w:rsid w:val="00B311EF"/>
    <w:rsid w:val="00B3348D"/>
    <w:rsid w:val="00B44A47"/>
    <w:rsid w:val="00B72CD3"/>
    <w:rsid w:val="00B72FFF"/>
    <w:rsid w:val="00B77287"/>
    <w:rsid w:val="00BA2C66"/>
    <w:rsid w:val="00BC3D36"/>
    <w:rsid w:val="00BC79C5"/>
    <w:rsid w:val="00BD22A3"/>
    <w:rsid w:val="00BD54A6"/>
    <w:rsid w:val="00BD7F72"/>
    <w:rsid w:val="00BE0203"/>
    <w:rsid w:val="00BE04FF"/>
    <w:rsid w:val="00BE429B"/>
    <w:rsid w:val="00BF7425"/>
    <w:rsid w:val="00C04FB3"/>
    <w:rsid w:val="00C11D8B"/>
    <w:rsid w:val="00C16B06"/>
    <w:rsid w:val="00C21232"/>
    <w:rsid w:val="00C25CE6"/>
    <w:rsid w:val="00C330EB"/>
    <w:rsid w:val="00C43CC8"/>
    <w:rsid w:val="00C50D69"/>
    <w:rsid w:val="00C51232"/>
    <w:rsid w:val="00C5365C"/>
    <w:rsid w:val="00C57901"/>
    <w:rsid w:val="00C754BE"/>
    <w:rsid w:val="00C76B1C"/>
    <w:rsid w:val="00C820B1"/>
    <w:rsid w:val="00C90658"/>
    <w:rsid w:val="00C9125B"/>
    <w:rsid w:val="00C925AC"/>
    <w:rsid w:val="00CA1458"/>
    <w:rsid w:val="00CA6140"/>
    <w:rsid w:val="00CA77AB"/>
    <w:rsid w:val="00CB2204"/>
    <w:rsid w:val="00CB48DB"/>
    <w:rsid w:val="00CB6357"/>
    <w:rsid w:val="00CC1B26"/>
    <w:rsid w:val="00CF69B6"/>
    <w:rsid w:val="00D01973"/>
    <w:rsid w:val="00D17F80"/>
    <w:rsid w:val="00D24BFA"/>
    <w:rsid w:val="00D24E1B"/>
    <w:rsid w:val="00D361FD"/>
    <w:rsid w:val="00D423A2"/>
    <w:rsid w:val="00D44E26"/>
    <w:rsid w:val="00D4503D"/>
    <w:rsid w:val="00D520D8"/>
    <w:rsid w:val="00D532F2"/>
    <w:rsid w:val="00D60022"/>
    <w:rsid w:val="00D63AC2"/>
    <w:rsid w:val="00D7383B"/>
    <w:rsid w:val="00D7788A"/>
    <w:rsid w:val="00D8531F"/>
    <w:rsid w:val="00DA231B"/>
    <w:rsid w:val="00DC12CA"/>
    <w:rsid w:val="00DC39FC"/>
    <w:rsid w:val="00DD7576"/>
    <w:rsid w:val="00DF3306"/>
    <w:rsid w:val="00DF5254"/>
    <w:rsid w:val="00DF5FCF"/>
    <w:rsid w:val="00E02524"/>
    <w:rsid w:val="00E16408"/>
    <w:rsid w:val="00E20894"/>
    <w:rsid w:val="00E245AB"/>
    <w:rsid w:val="00E2764C"/>
    <w:rsid w:val="00E27F2E"/>
    <w:rsid w:val="00E50AFE"/>
    <w:rsid w:val="00E64E08"/>
    <w:rsid w:val="00E75C92"/>
    <w:rsid w:val="00E771DC"/>
    <w:rsid w:val="00E8312F"/>
    <w:rsid w:val="00E8772A"/>
    <w:rsid w:val="00E90F6B"/>
    <w:rsid w:val="00E92C27"/>
    <w:rsid w:val="00E94B76"/>
    <w:rsid w:val="00EA0E3D"/>
    <w:rsid w:val="00EC38A7"/>
    <w:rsid w:val="00ED0AD9"/>
    <w:rsid w:val="00EE1AA8"/>
    <w:rsid w:val="00F03CD5"/>
    <w:rsid w:val="00F10240"/>
    <w:rsid w:val="00F23FEA"/>
    <w:rsid w:val="00F27B7B"/>
    <w:rsid w:val="00F31EDC"/>
    <w:rsid w:val="00F324F0"/>
    <w:rsid w:val="00F462B3"/>
    <w:rsid w:val="00F507AF"/>
    <w:rsid w:val="00F53105"/>
    <w:rsid w:val="00F55D5F"/>
    <w:rsid w:val="00F5664F"/>
    <w:rsid w:val="00F666C4"/>
    <w:rsid w:val="00F66CD3"/>
    <w:rsid w:val="00F7501A"/>
    <w:rsid w:val="00F76AFC"/>
    <w:rsid w:val="00FA47C0"/>
    <w:rsid w:val="00FB1FD9"/>
    <w:rsid w:val="00FB3FF4"/>
    <w:rsid w:val="00FB5DD1"/>
    <w:rsid w:val="00FC2B5D"/>
    <w:rsid w:val="00FC479C"/>
    <w:rsid w:val="00FC6C8C"/>
    <w:rsid w:val="00FD2581"/>
    <w:rsid w:val="00FF1449"/>
    <w:rsid w:val="00FF3D97"/>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53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F3D97"/>
    <w:rPr>
      <w:rFonts w:ascii="Geomanist Light" w:hAnsi="Geomanist Light"/>
      <w:lang w:val="es-ES"/>
    </w:rPr>
  </w:style>
  <w:style w:type="character" w:customStyle="1" w:styleId="NormalWebCar">
    <w:name w:val="Normal (Web) Car"/>
    <w:link w:val="NormalWeb"/>
    <w:uiPriority w:val="99"/>
    <w:locked/>
    <w:rsid w:val="00A7153D"/>
    <w:rPr>
      <w:rFonts w:ascii="Times New Roman" w:eastAsia="Times New Roman" w:hAnsi="Times New Roman" w:cs="Times New Roman"/>
      <w:sz w:val="24"/>
      <w:szCs w:val="24"/>
      <w:lang w:eastAsia="es-CO"/>
    </w:rPr>
  </w:style>
  <w:style w:type="character" w:customStyle="1" w:styleId="baj">
    <w:name w:val="b_aj"/>
    <w:basedOn w:val="Fuentedeprrafopredeter"/>
    <w:rsid w:val="00A7153D"/>
  </w:style>
  <w:style w:type="character" w:styleId="Mencinsinresolver">
    <w:name w:val="Unresolved Mention"/>
    <w:basedOn w:val="Fuentedeprrafopredeter"/>
    <w:uiPriority w:val="99"/>
    <w:semiHidden/>
    <w:unhideWhenUsed/>
    <w:rsid w:val="00F32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7703">
      <w:bodyDiv w:val="1"/>
      <w:marLeft w:val="0"/>
      <w:marRight w:val="0"/>
      <w:marTop w:val="0"/>
      <w:marBottom w:val="0"/>
      <w:divBdr>
        <w:top w:val="none" w:sz="0" w:space="0" w:color="auto"/>
        <w:left w:val="none" w:sz="0" w:space="0" w:color="auto"/>
        <w:bottom w:val="none" w:sz="0" w:space="0" w:color="auto"/>
        <w:right w:val="none" w:sz="0" w:space="0" w:color="auto"/>
      </w:divBdr>
    </w:div>
    <w:div w:id="362830511">
      <w:bodyDiv w:val="1"/>
      <w:marLeft w:val="0"/>
      <w:marRight w:val="0"/>
      <w:marTop w:val="0"/>
      <w:marBottom w:val="0"/>
      <w:divBdr>
        <w:top w:val="none" w:sz="0" w:space="0" w:color="auto"/>
        <w:left w:val="none" w:sz="0" w:space="0" w:color="auto"/>
        <w:bottom w:val="none" w:sz="0" w:space="0" w:color="auto"/>
        <w:right w:val="none" w:sz="0" w:space="0" w:color="auto"/>
      </w:divBdr>
    </w:div>
    <w:div w:id="364061825">
      <w:bodyDiv w:val="1"/>
      <w:marLeft w:val="0"/>
      <w:marRight w:val="0"/>
      <w:marTop w:val="0"/>
      <w:marBottom w:val="0"/>
      <w:divBdr>
        <w:top w:val="none" w:sz="0" w:space="0" w:color="auto"/>
        <w:left w:val="none" w:sz="0" w:space="0" w:color="auto"/>
        <w:bottom w:val="none" w:sz="0" w:space="0" w:color="auto"/>
        <w:right w:val="none" w:sz="0" w:space="0" w:color="auto"/>
      </w:divBdr>
    </w:div>
    <w:div w:id="555898339">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941713527">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cretariasenado.gov.co/senado/basedoc/decreto_1494_2015.html"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jperdomov@geb.com.co"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ormacionvirtual.colombiacompra.gov.co/mod/page/view.php?id=3718"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secretariasenado.gov.co/senado/basedoc/codigo_comercio_pr007.html" TargetMode="External"/><Relationship Id="rId1" Type="http://schemas.openxmlformats.org/officeDocument/2006/relationships/hyperlink" Target="http://www.secretariasenado.gov.co/senado/basedoc/codigo_comercio_pr007.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2.xml><?xml version="1.0" encoding="utf-8"?>
<ds:datastoreItem xmlns:ds="http://schemas.openxmlformats.org/officeDocument/2006/customXml" ds:itemID="{3EF3F7A8-FFC3-4237-A751-42DB641566A6}">
  <ds:schemaRefs>
    <ds:schemaRef ds:uri="http://schemas.openxmlformats.org/officeDocument/2006/bibliography"/>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B995EFE0-9F33-4E85-BB58-04B9C79E8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32</Pages>
  <Words>11062</Words>
  <Characters>60842</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21</cp:revision>
  <cp:lastPrinted>2023-01-10T21:18:00Z</cp:lastPrinted>
  <dcterms:created xsi:type="dcterms:W3CDTF">2026-07-21T20:20:00Z</dcterms:created>
  <dcterms:modified xsi:type="dcterms:W3CDTF">2026-07-22T15:08:00Z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