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F742C" w14:textId="77777777" w:rsidR="00A94CED" w:rsidRPr="00A94CED" w:rsidRDefault="00A94CED" w:rsidP="00A94CED">
      <w:pPr>
        <w:spacing w:after="0" w:line="240" w:lineRule="auto"/>
        <w:jc w:val="both"/>
        <w:rPr>
          <w:rFonts w:ascii="Verdana" w:eastAsia="Aptos" w:hAnsi="Verdana" w:cs="Arial"/>
          <w:b/>
          <w:bCs/>
          <w:color w:val="000000"/>
          <w:kern w:val="2"/>
          <w:lang w:val="es-ES"/>
          <w14:ligatures w14:val="standardContextual"/>
        </w:rPr>
      </w:pPr>
      <w:bookmarkStart w:id="0" w:name="_Hlk143780582"/>
      <w:r w:rsidRPr="00A94CED">
        <w:rPr>
          <w:rFonts w:ascii="Verdana" w:eastAsia="Aptos" w:hAnsi="Verdana" w:cs="Arial"/>
          <w:b/>
          <w:bCs/>
          <w:color w:val="000000"/>
          <w:kern w:val="2"/>
          <w:lang w:val="es-ES"/>
          <w14:ligatures w14:val="standardContextual"/>
        </w:rPr>
        <w:t>MÍNIMA CUANTÍA – Modalidad de selección</w:t>
      </w:r>
    </w:p>
    <w:p w14:paraId="48588DC5" w14:textId="77777777" w:rsidR="00A94CED" w:rsidRPr="00A94CED" w:rsidRDefault="00A94CED" w:rsidP="00A94CED">
      <w:pPr>
        <w:spacing w:after="0" w:line="240" w:lineRule="auto"/>
        <w:jc w:val="both"/>
        <w:rPr>
          <w:rFonts w:ascii="Verdana" w:eastAsia="Aptos" w:hAnsi="Verdana" w:cs="Arial"/>
          <w:b/>
          <w:bCs/>
          <w:color w:val="000000"/>
          <w:kern w:val="2"/>
          <w:sz w:val="24"/>
          <w:szCs w:val="24"/>
          <w:lang w:val="es-ES"/>
          <w14:ligatures w14:val="standardContextual"/>
        </w:rPr>
      </w:pPr>
    </w:p>
    <w:p w14:paraId="08438F3B" w14:textId="77777777" w:rsidR="00A94CED" w:rsidRPr="00A94CED" w:rsidRDefault="00A94CED" w:rsidP="00A94CED">
      <w:pPr>
        <w:spacing w:after="0" w:line="240" w:lineRule="auto"/>
        <w:jc w:val="both"/>
        <w:rPr>
          <w:rFonts w:ascii="Verdana" w:eastAsia="Aptos" w:hAnsi="Verdana" w:cs="Arial"/>
          <w:kern w:val="2"/>
          <w:sz w:val="20"/>
          <w:szCs w:val="20"/>
          <w:lang w:val="es-ES"/>
          <w14:ligatures w14:val="standardContextual"/>
        </w:rPr>
      </w:pPr>
      <w:r w:rsidRPr="00A94CED">
        <w:rPr>
          <w:rFonts w:ascii="Verdana" w:eastAsia="Aptos" w:hAnsi="Verdana" w:cs="Arial"/>
          <w:kern w:val="2"/>
          <w:sz w:val="20"/>
          <w:szCs w:val="20"/>
          <w:lang w:val="es-ES"/>
          <w14:ligatures w14:val="standardContextual"/>
        </w:rPr>
        <w:t xml:space="preserve">La </w:t>
      </w:r>
      <w:r w:rsidRPr="00A94CED">
        <w:rPr>
          <w:rFonts w:ascii="Verdana" w:eastAsia="Aptos" w:hAnsi="Verdana" w:cs="Arial"/>
          <w:i/>
          <w:iCs/>
          <w:kern w:val="2"/>
          <w:sz w:val="20"/>
          <w:szCs w:val="20"/>
          <w:lang w:val="es-ES"/>
          <w14:ligatures w14:val="standardContextual"/>
        </w:rPr>
        <w:t>mínima cuantía</w:t>
      </w:r>
      <w:r w:rsidRPr="00A94CED">
        <w:rPr>
          <w:rFonts w:ascii="Verdana" w:eastAsia="Aptos" w:hAnsi="Verdana" w:cs="Arial"/>
          <w:kern w:val="2"/>
          <w:sz w:val="20"/>
          <w:szCs w:val="20"/>
          <w:lang w:val="es-ES"/>
          <w14:ligatures w14:val="standardContextual"/>
        </w:rPr>
        <w:t xml:space="preserve"> es una modalidad de selección en virtud de la cual la entidad realiza una convocatoria pública para recibir oferta de bienes, obras o servicios, cuyo valor no exceda el diez por ciento (10%) de la menor cuantía de la Entidad Estatal. Es decir, que será procedente cuando se cumpla este requisito, independientemente del objeto a contratar. Esta modalidad establece un procedimiento expedito y competitivo que se rige por lo dispuesto en los artículos 2.2.1.2.1.5.1. a 2.2.1.2.1.5.6.  del Decreto 1082 de 2015. En términos generales, se caracteriza porque la entidad podrá exigir una capacidad financiera mínima, la publicación de la invitación se realiza por término no inferior a un (1) día hábil para la formulación de observaciones o comentarios, y porque el único criterio de evaluación para determinar la oferta más favorable es el menor precio. </w:t>
      </w:r>
    </w:p>
    <w:p w14:paraId="22DA7F56" w14:textId="77777777" w:rsidR="00A94CED" w:rsidRPr="00A94CED" w:rsidRDefault="00A94CED" w:rsidP="00A94CED">
      <w:pPr>
        <w:spacing w:after="0" w:line="240" w:lineRule="auto"/>
        <w:jc w:val="both"/>
        <w:rPr>
          <w:rFonts w:ascii="Verdana" w:eastAsia="Aptos" w:hAnsi="Verdana" w:cs="Times New Roman"/>
          <w:b/>
          <w:bCs/>
          <w:kern w:val="2"/>
          <w:sz w:val="24"/>
          <w:szCs w:val="24"/>
          <w:lang w:val="es-ES"/>
          <w14:ligatures w14:val="standardContextual"/>
        </w:rPr>
      </w:pPr>
    </w:p>
    <w:p w14:paraId="3353C2DC" w14:textId="77777777" w:rsidR="00A94CED" w:rsidRPr="00A94CED" w:rsidRDefault="00A94CED" w:rsidP="00A94CED">
      <w:pPr>
        <w:spacing w:after="0" w:line="240" w:lineRule="auto"/>
        <w:jc w:val="both"/>
        <w:rPr>
          <w:rFonts w:ascii="Verdana" w:eastAsia="Aptos" w:hAnsi="Verdana" w:cs="Arial"/>
          <w:b/>
          <w:bCs/>
          <w:color w:val="000000"/>
          <w:kern w:val="2"/>
          <w:lang w:val="es-ES"/>
          <w14:ligatures w14:val="standardContextual"/>
        </w:rPr>
      </w:pPr>
      <w:r w:rsidRPr="00A94CED">
        <w:rPr>
          <w:rFonts w:ascii="Verdana" w:eastAsia="Aptos" w:hAnsi="Verdana" w:cs="Arial"/>
          <w:b/>
          <w:bCs/>
          <w:color w:val="000000"/>
          <w:kern w:val="2"/>
          <w:lang w:val="es-ES"/>
          <w14:ligatures w14:val="standardContextual"/>
        </w:rPr>
        <w:t>INVITACIÓN – Características</w:t>
      </w:r>
    </w:p>
    <w:p w14:paraId="2F6749BD" w14:textId="77777777" w:rsidR="00A94CED" w:rsidRPr="00A94CED" w:rsidRDefault="00A94CED" w:rsidP="00A94CED">
      <w:pPr>
        <w:spacing w:after="0" w:line="240" w:lineRule="auto"/>
        <w:jc w:val="both"/>
        <w:rPr>
          <w:rFonts w:ascii="Verdana" w:eastAsia="Aptos" w:hAnsi="Verdana" w:cs="Arial"/>
          <w:b/>
          <w:bCs/>
          <w:color w:val="000000"/>
          <w:kern w:val="2"/>
          <w:sz w:val="24"/>
          <w:szCs w:val="24"/>
          <w:lang w:val="es-ES"/>
          <w14:ligatures w14:val="standardContextual"/>
        </w:rPr>
      </w:pPr>
    </w:p>
    <w:p w14:paraId="2884AD01" w14:textId="77777777" w:rsidR="00A94CED" w:rsidRPr="00A94CED" w:rsidRDefault="00A94CED" w:rsidP="00A94CED">
      <w:pPr>
        <w:spacing w:after="0" w:line="240" w:lineRule="auto"/>
        <w:jc w:val="both"/>
        <w:rPr>
          <w:rFonts w:ascii="Verdana" w:eastAsia="Calibri" w:hAnsi="Verdana" w:cs="Arial"/>
          <w:color w:val="000000"/>
          <w:kern w:val="2"/>
          <w:sz w:val="20"/>
          <w:szCs w:val="20"/>
          <w:lang w:val="es-ES" w:eastAsia="es-ES"/>
          <w14:ligatures w14:val="standardContextual"/>
        </w:rPr>
      </w:pPr>
      <w:r w:rsidRPr="00A94CED">
        <w:rPr>
          <w:rFonts w:ascii="Verdana" w:eastAsia="Aptos" w:hAnsi="Verdana" w:cs="Arial"/>
          <w:kern w:val="2"/>
          <w:sz w:val="20"/>
          <w:szCs w:val="20"/>
          <w14:ligatures w14:val="standardContextual"/>
        </w:rPr>
        <w:t xml:space="preserve">El contenido de la invitación está definido en el artículo 2.2.1.2.1.5.2 del Decreto 1082 de 2015, por lo que debe entenderse que </w:t>
      </w:r>
      <w:r w:rsidRPr="00A94CED">
        <w:rPr>
          <w:rFonts w:ascii="Verdana" w:eastAsia="Calibri" w:hAnsi="Verdana" w:cs="Arial"/>
          <w:color w:val="000000"/>
          <w:kern w:val="2"/>
          <w:sz w:val="20"/>
          <w:szCs w:val="20"/>
          <w:lang w:val="es-ES" w:eastAsia="es-ES"/>
          <w14:ligatures w14:val="standardContextual"/>
        </w:rPr>
        <w:t>constituye la hoja de ruta o plan sobre el cual se diseña, estructura y concreta el procedimiento de selección de contratistas. El mismo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 En este sentido, en el marco de su discrecionalidad y del imperio de la ley, cada entidad debe establecer la forma cómo se estructura el pliego de condiciones, el cual está condicionado a la proporcionalidad de las decisiones que toma en aras de garantizar la pluralidad de oferentes y la selección objetiva</w:t>
      </w:r>
      <w:r w:rsidRPr="00A94CED">
        <w:rPr>
          <w:rFonts w:ascii="Verdana" w:eastAsia="Calibri" w:hAnsi="Verdana" w:cs="Arial"/>
          <w:color w:val="000000"/>
          <w:kern w:val="2"/>
          <w:sz w:val="20"/>
          <w:szCs w:val="20"/>
          <w:lang w:eastAsia="es-ES"/>
          <w14:ligatures w14:val="standardContextual"/>
        </w:rPr>
        <w:t>.</w:t>
      </w:r>
    </w:p>
    <w:p w14:paraId="04EDD4EF" w14:textId="77777777" w:rsidR="00A94CED" w:rsidRPr="00A94CED" w:rsidRDefault="00A94CED" w:rsidP="00A94CED">
      <w:pPr>
        <w:spacing w:after="0" w:line="240" w:lineRule="auto"/>
        <w:jc w:val="both"/>
        <w:rPr>
          <w:rFonts w:ascii="Verdana" w:eastAsia="Calibri" w:hAnsi="Verdana" w:cs="Arial"/>
          <w:color w:val="000000"/>
          <w:kern w:val="2"/>
          <w:sz w:val="20"/>
          <w:szCs w:val="20"/>
          <w:lang w:val="es-ES" w:eastAsia="es-ES_tradnl"/>
          <w14:ligatures w14:val="standardContextual"/>
        </w:rPr>
      </w:pPr>
    </w:p>
    <w:p w14:paraId="330E98EF" w14:textId="77777777" w:rsidR="00A94CED" w:rsidRPr="00A94CED" w:rsidRDefault="00A94CED" w:rsidP="00A94CED">
      <w:pPr>
        <w:spacing w:after="0" w:line="240" w:lineRule="auto"/>
        <w:jc w:val="both"/>
        <w:rPr>
          <w:rFonts w:ascii="Verdana" w:eastAsia="Aptos" w:hAnsi="Verdana" w:cs="Arial"/>
          <w:kern w:val="2"/>
          <w:sz w:val="20"/>
          <w:szCs w:val="20"/>
          <w14:ligatures w14:val="standardContextual"/>
        </w:rPr>
      </w:pPr>
      <w:r w:rsidRPr="00A94CED">
        <w:rPr>
          <w:rFonts w:ascii="Verdana" w:eastAsia="Calibri" w:hAnsi="Verdana" w:cs="Arial"/>
          <w:color w:val="000000"/>
          <w:kern w:val="2"/>
          <w:sz w:val="20"/>
          <w:szCs w:val="20"/>
          <w:lang w:val="es-ES" w:eastAsia="es-ES_tradnl"/>
          <w14:ligatures w14:val="standardContextual"/>
        </w:rPr>
        <w:t xml:space="preserve">De este modo, el pliego de condiciones o la invitación en los procesos de selección de mínima cuantía es un instrumento en el cual se materializa el principio de transparencia, pues allí se fijan las reglas de escogencia del contratista del Estado, para la selección objetiva de la mejor oferta, la adjudicación y la posterior celebración y ejecución del contrato, lo cual lo convierte en una reglamentación de todo el </w:t>
      </w:r>
      <w:proofErr w:type="spellStart"/>
      <w:r w:rsidRPr="00A94CED">
        <w:rPr>
          <w:rFonts w:ascii="Verdana" w:eastAsia="Calibri" w:hAnsi="Verdana" w:cs="Arial"/>
          <w:i/>
          <w:iCs/>
          <w:color w:val="000000"/>
          <w:kern w:val="2"/>
          <w:sz w:val="20"/>
          <w:szCs w:val="20"/>
          <w:lang w:val="es-ES" w:eastAsia="es-ES_tradnl"/>
          <w14:ligatures w14:val="standardContextual"/>
        </w:rPr>
        <w:t>iter</w:t>
      </w:r>
      <w:proofErr w:type="spellEnd"/>
      <w:r w:rsidRPr="00A94CED">
        <w:rPr>
          <w:rFonts w:ascii="Verdana" w:eastAsia="Calibri" w:hAnsi="Verdana" w:cs="Arial"/>
          <w:color w:val="000000"/>
          <w:kern w:val="2"/>
          <w:sz w:val="20"/>
          <w:szCs w:val="20"/>
          <w:lang w:val="es-ES" w:eastAsia="es-ES_tradnl"/>
          <w14:ligatures w14:val="standardContextual"/>
        </w:rPr>
        <w:t xml:space="preserve"> contractual. En otras palabras, </w:t>
      </w:r>
      <w:r w:rsidRPr="00A94CED">
        <w:rPr>
          <w:rFonts w:ascii="Verdana" w:eastAsia="Aptos" w:hAnsi="Verdana" w:cs="Arial"/>
          <w:kern w:val="2"/>
          <w:sz w:val="20"/>
          <w:szCs w:val="20"/>
          <w14:ligatures w14:val="standardContextual"/>
        </w:rPr>
        <w:t>es el documento en el que se establecen las normas que van a regular la etapa selección, a las que deberán sujetarse la administración y los oferentes a efectos de lograr una selección objetiva.</w:t>
      </w:r>
    </w:p>
    <w:p w14:paraId="520DE6EF" w14:textId="77777777" w:rsidR="00A94CED" w:rsidRPr="00A94CED" w:rsidRDefault="00A94CED" w:rsidP="00A94CED">
      <w:pPr>
        <w:spacing w:after="0" w:line="240" w:lineRule="auto"/>
        <w:jc w:val="both"/>
        <w:rPr>
          <w:rFonts w:ascii="Verdana" w:eastAsia="Calibri" w:hAnsi="Verdana" w:cs="Arial"/>
          <w:color w:val="000000"/>
          <w:kern w:val="2"/>
          <w:sz w:val="20"/>
          <w:szCs w:val="20"/>
          <w:lang w:eastAsia="es-ES_tradnl"/>
          <w14:ligatures w14:val="standardContextual"/>
        </w:rPr>
      </w:pPr>
    </w:p>
    <w:p w14:paraId="7A613E0E" w14:textId="77777777" w:rsidR="00A94CED" w:rsidRPr="00A94CED" w:rsidRDefault="00A94CED" w:rsidP="00A94CED">
      <w:pPr>
        <w:spacing w:after="0" w:line="240" w:lineRule="auto"/>
        <w:jc w:val="both"/>
        <w:rPr>
          <w:rFonts w:ascii="Verdana" w:eastAsia="Calibri" w:hAnsi="Verdana" w:cs="Arial"/>
          <w:color w:val="000000"/>
          <w:kern w:val="2"/>
          <w:sz w:val="20"/>
          <w:szCs w:val="20"/>
          <w:lang w:val="es-ES" w:eastAsia="es-ES_tradnl"/>
          <w14:ligatures w14:val="standardContextual"/>
        </w:rPr>
      </w:pPr>
      <w:r w:rsidRPr="00A94CED">
        <w:rPr>
          <w:rFonts w:ascii="Verdana" w:eastAsia="Calibri" w:hAnsi="Verdana" w:cs="Arial"/>
          <w:color w:val="000000"/>
          <w:kern w:val="2"/>
          <w:sz w:val="20"/>
          <w:szCs w:val="20"/>
          <w:lang w:val="es-ES" w:eastAsia="es-ES_tradnl"/>
          <w14:ligatures w14:val="standardContextual"/>
        </w:rPr>
        <w:t>Su contenido está previsto en el numeral 5 del artículo 24 de la Ley 80 de 1993, que establece algunas directrices que deben tenerse en cuenta en su elaboración.</w:t>
      </w:r>
    </w:p>
    <w:p w14:paraId="7F969A1D" w14:textId="77777777" w:rsidR="00A94CED" w:rsidRPr="00A94CED" w:rsidRDefault="00A94CED" w:rsidP="00A94CED">
      <w:pPr>
        <w:spacing w:after="0" w:line="240" w:lineRule="auto"/>
        <w:jc w:val="both"/>
        <w:rPr>
          <w:rFonts w:ascii="Verdana" w:eastAsia="Calibri" w:hAnsi="Verdana" w:cs="Arial"/>
          <w:b/>
          <w:lang w:val="es-ES"/>
        </w:rPr>
      </w:pPr>
    </w:p>
    <w:p w14:paraId="4FA3547A" w14:textId="77777777" w:rsidR="00A94CED" w:rsidRPr="00A94CED" w:rsidRDefault="00A94CED" w:rsidP="00A94CED">
      <w:pPr>
        <w:spacing w:after="0" w:line="240" w:lineRule="auto"/>
        <w:jc w:val="both"/>
        <w:rPr>
          <w:rFonts w:ascii="Verdana" w:eastAsia="Aptos" w:hAnsi="Verdana" w:cs="Times New Roman"/>
          <w:b/>
          <w:bCs/>
          <w:kern w:val="2"/>
          <w14:ligatures w14:val="standardContextual"/>
        </w:rPr>
      </w:pPr>
      <w:r w:rsidRPr="00A94CED">
        <w:rPr>
          <w:rFonts w:ascii="Verdana" w:eastAsia="Aptos" w:hAnsi="Verdana" w:cs="Times New Roman"/>
          <w:b/>
          <w:bCs/>
          <w:kern w:val="2"/>
          <w14:ligatures w14:val="standardContextual"/>
        </w:rPr>
        <w:t xml:space="preserve">PODER ESPECIAL – Circular Externa Única – Presentación Personal </w:t>
      </w:r>
    </w:p>
    <w:p w14:paraId="47ECB598" w14:textId="77777777" w:rsidR="00A94CED" w:rsidRPr="00A94CED" w:rsidRDefault="00A94CED" w:rsidP="00A94CED">
      <w:pPr>
        <w:spacing w:after="0" w:line="240" w:lineRule="auto"/>
        <w:jc w:val="both"/>
        <w:rPr>
          <w:rFonts w:ascii="Verdana" w:eastAsia="Aptos" w:hAnsi="Verdana" w:cs="Times New Roman"/>
          <w:b/>
          <w:bCs/>
          <w:kern w:val="2"/>
          <w:sz w:val="20"/>
          <w:szCs w:val="20"/>
          <w14:ligatures w14:val="standardContextual"/>
        </w:rPr>
      </w:pPr>
    </w:p>
    <w:p w14:paraId="5EFF69EC" w14:textId="77777777" w:rsidR="00A94CED" w:rsidRPr="00A94CED" w:rsidRDefault="00A94CED" w:rsidP="00A94CED">
      <w:pPr>
        <w:spacing w:after="0" w:line="240" w:lineRule="auto"/>
        <w:jc w:val="both"/>
        <w:rPr>
          <w:rFonts w:ascii="Verdana" w:eastAsia="Aptos" w:hAnsi="Verdana" w:cs="Times New Roman"/>
          <w:kern w:val="2"/>
          <w:sz w:val="20"/>
          <w:szCs w:val="20"/>
          <w14:ligatures w14:val="standardContextual"/>
        </w:rPr>
      </w:pPr>
      <w:r w:rsidRPr="00A94CED">
        <w:rPr>
          <w:rFonts w:ascii="Verdana" w:eastAsia="Aptos" w:hAnsi="Verdana" w:cs="Times New Roman"/>
          <w:kern w:val="2"/>
          <w:sz w:val="20"/>
          <w:szCs w:val="20"/>
          <w14:ligatures w14:val="standardContextual"/>
        </w:rPr>
        <w:t xml:space="preserve">Por su parte, la Circular Única Externa expedida por la Agencia Nacional de Contratación Pública – Colombia Compra Eficiente señala en el numeral 8.2 que “Los poderes </w:t>
      </w:r>
      <w:r w:rsidRPr="00A94CED">
        <w:rPr>
          <w:rFonts w:ascii="Verdana" w:eastAsia="Aptos" w:hAnsi="Verdana" w:cs="Times New Roman"/>
          <w:kern w:val="2"/>
          <w:sz w:val="20"/>
          <w:szCs w:val="20"/>
          <w14:ligatures w14:val="standardContextual"/>
        </w:rPr>
        <w:lastRenderedPageBreak/>
        <w:t xml:space="preserve">especiales para actuar en los Procesos de Contratación deberán presentarse conforme lo establezca la normativa vigente, por lo que requieren nota de presentación personal, de conformidad con el artículo 5 del Decreto Ley 019 de 2012”. </w:t>
      </w:r>
    </w:p>
    <w:p w14:paraId="078F7D8C" w14:textId="77777777" w:rsidR="00A94CED" w:rsidRPr="00A94CED" w:rsidRDefault="00A94CED" w:rsidP="00A94CED">
      <w:pPr>
        <w:spacing w:after="0" w:line="240" w:lineRule="auto"/>
        <w:jc w:val="both"/>
        <w:rPr>
          <w:rFonts w:ascii="Verdana" w:eastAsia="Aptos" w:hAnsi="Verdana" w:cs="Times New Roman"/>
          <w:kern w:val="2"/>
          <w:sz w:val="21"/>
          <w:szCs w:val="21"/>
          <w14:ligatures w14:val="standardContextual"/>
        </w:rPr>
      </w:pPr>
    </w:p>
    <w:p w14:paraId="26D00C2C" w14:textId="77777777" w:rsidR="00A94CED" w:rsidRPr="00A94CED" w:rsidRDefault="00A94CED" w:rsidP="00A94CED">
      <w:pPr>
        <w:spacing w:after="0" w:line="240" w:lineRule="auto"/>
        <w:jc w:val="both"/>
        <w:rPr>
          <w:rFonts w:ascii="Verdana" w:eastAsia="Aptos" w:hAnsi="Verdana" w:cs="Times New Roman"/>
          <w:b/>
          <w:bCs/>
          <w:kern w:val="2"/>
          <w14:ligatures w14:val="standardContextual"/>
        </w:rPr>
      </w:pPr>
      <w:r w:rsidRPr="00A94CED">
        <w:rPr>
          <w:rFonts w:ascii="Verdana" w:eastAsia="Aptos" w:hAnsi="Verdana" w:cs="Times New Roman"/>
          <w:b/>
          <w:bCs/>
          <w:kern w:val="2"/>
          <w14:ligatures w14:val="standardContextual"/>
        </w:rPr>
        <w:t xml:space="preserve">PODER ESPECIAL – Normativa </w:t>
      </w:r>
    </w:p>
    <w:p w14:paraId="166FC330" w14:textId="77777777" w:rsidR="00A94CED" w:rsidRPr="00A94CED" w:rsidRDefault="00A94CED" w:rsidP="00A94CED">
      <w:pPr>
        <w:spacing w:after="0" w:line="240" w:lineRule="auto"/>
        <w:jc w:val="both"/>
        <w:rPr>
          <w:rFonts w:ascii="Verdana" w:eastAsia="Aptos" w:hAnsi="Verdana" w:cs="Times New Roman"/>
          <w:b/>
          <w:bCs/>
          <w:kern w:val="2"/>
          <w:sz w:val="24"/>
          <w:szCs w:val="24"/>
          <w14:ligatures w14:val="standardContextual"/>
        </w:rPr>
      </w:pPr>
    </w:p>
    <w:p w14:paraId="589FBBB0" w14:textId="77777777" w:rsidR="00A94CED" w:rsidRPr="00A94CED" w:rsidRDefault="00A94CED" w:rsidP="00A94CED">
      <w:pPr>
        <w:spacing w:after="0" w:line="240" w:lineRule="auto"/>
        <w:jc w:val="both"/>
        <w:rPr>
          <w:rFonts w:ascii="Verdana" w:eastAsia="Aptos" w:hAnsi="Verdana" w:cs="Times New Roman"/>
          <w:kern w:val="2"/>
          <w:sz w:val="20"/>
          <w:szCs w:val="20"/>
          <w14:ligatures w14:val="standardContextual"/>
        </w:rPr>
      </w:pPr>
      <w:r w:rsidRPr="00A94CED">
        <w:rPr>
          <w:rFonts w:ascii="Verdana" w:eastAsia="Aptos" w:hAnsi="Verdana" w:cs="Times New Roman"/>
          <w:kern w:val="2"/>
          <w:sz w:val="20"/>
          <w:szCs w:val="20"/>
          <w14:ligatures w14:val="standardContextual"/>
        </w:rPr>
        <w:t>Se precisa que la normativa no prevé disposiciones sobre el otorgamiento de poder para actuar en un proceso de contratación, siendo aplicables las normas generales sobre el mandato comercial y el mandato civil, las cuales no establecen calidades especiales para el mandatario. Como no existen normas especiales que regulen el poder para presentar ofertas en un proceso de contratación a través de mandatario, se debe recurrir a las reglas establecidas en las normas mencionadas.</w:t>
      </w:r>
    </w:p>
    <w:p w14:paraId="02F03212" w14:textId="77777777" w:rsidR="00A94CED" w:rsidRPr="00A94CED" w:rsidRDefault="00A94CED" w:rsidP="00A94CED">
      <w:pPr>
        <w:spacing w:after="0" w:line="240" w:lineRule="auto"/>
        <w:jc w:val="both"/>
        <w:rPr>
          <w:rFonts w:ascii="Verdana" w:eastAsia="Aptos" w:hAnsi="Verdana" w:cs="Times New Roman"/>
          <w:kern w:val="2"/>
          <w:sz w:val="20"/>
          <w:szCs w:val="20"/>
          <w14:ligatures w14:val="standardContextual"/>
        </w:rPr>
      </w:pPr>
    </w:p>
    <w:p w14:paraId="53BD9BED" w14:textId="4EF7CB35" w:rsidR="00A94CED" w:rsidRPr="00A94CED" w:rsidRDefault="00A94CED" w:rsidP="00A94CED">
      <w:pPr>
        <w:spacing w:after="0" w:line="240" w:lineRule="auto"/>
        <w:jc w:val="both"/>
        <w:rPr>
          <w:rFonts w:ascii="Verdana" w:eastAsia="Aptos" w:hAnsi="Verdana" w:cs="Times New Roman"/>
          <w:b/>
          <w:bCs/>
          <w:kern w:val="2"/>
          <w14:ligatures w14:val="standardContextual"/>
        </w:rPr>
      </w:pPr>
      <w:r w:rsidRPr="00A94CED">
        <w:rPr>
          <w:rFonts w:ascii="Verdana" w:eastAsia="Aptos" w:hAnsi="Verdana" w:cs="Times New Roman"/>
          <w:b/>
          <w:bCs/>
          <w:kern w:val="2"/>
          <w:lang w:val="es-ES_tradnl"/>
          <w14:ligatures w14:val="standardContextual"/>
        </w:rPr>
        <w:t>RADICACIÓN DE PROPUESTAS</w:t>
      </w:r>
      <w:r w:rsidR="00E57B0D">
        <w:rPr>
          <w:rFonts w:ascii="Verdana" w:eastAsia="Aptos" w:hAnsi="Verdana" w:cs="Times New Roman"/>
          <w:b/>
          <w:bCs/>
          <w:kern w:val="2"/>
          <w:lang w:val="es-ES_tradnl"/>
          <w14:ligatures w14:val="standardContextual"/>
        </w:rPr>
        <w:t xml:space="preserve"> </w:t>
      </w:r>
      <w:r w:rsidR="00E57B0D" w:rsidRPr="00E57B0D">
        <w:rPr>
          <w:rFonts w:ascii="Verdana" w:eastAsia="Aptos" w:hAnsi="Verdana" w:cs="Times New Roman"/>
          <w:b/>
          <w:bCs/>
          <w:kern w:val="2"/>
          <w:lang w:val="es-ES"/>
          <w14:ligatures w14:val="standardContextual"/>
        </w:rPr>
        <w:t>–</w:t>
      </w:r>
      <w:r w:rsidRPr="00A94CED">
        <w:rPr>
          <w:rFonts w:ascii="Verdana" w:eastAsia="Aptos" w:hAnsi="Verdana" w:cs="Times New Roman"/>
          <w:b/>
          <w:bCs/>
          <w:kern w:val="2"/>
          <w:lang w:val="es-ES_tradnl"/>
          <w14:ligatures w14:val="standardContextual"/>
        </w:rPr>
        <w:t xml:space="preserve"> Poder</w:t>
      </w:r>
      <w:r w:rsidRPr="00A94CED">
        <w:rPr>
          <w:rFonts w:ascii="Verdana" w:eastAsia="Aptos" w:hAnsi="Verdana" w:cs="Times New Roman"/>
          <w:b/>
          <w:bCs/>
          <w:kern w:val="2"/>
          <w:lang w:val="es-ES"/>
          <w14:ligatures w14:val="standardContextual"/>
        </w:rPr>
        <w:t xml:space="preserve">  </w:t>
      </w:r>
    </w:p>
    <w:p w14:paraId="2C13C691" w14:textId="77777777" w:rsidR="00A94CED" w:rsidRPr="00A94CED" w:rsidRDefault="00A94CED" w:rsidP="00A94CED">
      <w:pPr>
        <w:spacing w:after="0" w:line="240" w:lineRule="auto"/>
        <w:jc w:val="both"/>
        <w:rPr>
          <w:rFonts w:ascii="Verdana" w:eastAsia="Aptos" w:hAnsi="Verdana" w:cs="Times New Roman"/>
          <w:kern w:val="2"/>
          <w:sz w:val="20"/>
          <w:szCs w:val="20"/>
          <w14:ligatures w14:val="standardContextual"/>
        </w:rPr>
      </w:pPr>
    </w:p>
    <w:p w14:paraId="0DB56FA3" w14:textId="77777777" w:rsidR="00A94CED" w:rsidRPr="00A94CED" w:rsidRDefault="00A94CED" w:rsidP="00A94CED">
      <w:pPr>
        <w:snapToGrid w:val="0"/>
        <w:spacing w:after="0" w:line="240" w:lineRule="auto"/>
        <w:jc w:val="both"/>
        <w:rPr>
          <w:rFonts w:ascii="Verdana" w:eastAsia="Calibri" w:hAnsi="Verdana" w:cs="Times New Roman"/>
          <w:sz w:val="20"/>
          <w:szCs w:val="20"/>
          <w:lang w:val="es-ES"/>
        </w:rPr>
      </w:pPr>
      <w:r w:rsidRPr="00A94CED">
        <w:rPr>
          <w:rFonts w:ascii="Verdana" w:eastAsia="Calibri" w:hAnsi="Verdana" w:cs="Times New Roman"/>
          <w:sz w:val="20"/>
          <w:szCs w:val="20"/>
          <w:lang w:val="es-ES"/>
        </w:rPr>
        <w:t xml:space="preserve">En conclusión, la exigencia de un poder o de cualquier otra formalidad para la radicación física de la oferta carece de fundamento normativo y desconoce el principio de economía que irradia la actividad contractual del Estado. El poder, en tanto instrumento de representación, y las demás formalidades de que trata el numeral 15 del artículo 25 de la Ley 80 de 1993 –tales como autenticaciones, reconocimiento de firmas o presentación personal–, solo adquieren relevancia cuando existe un acto de voluntad que comprometa la esfera patrimonial del proponente, esto es, la formulación y suscripción de la propuesta, pero no respecto de la simple entrega material del documento que la contiene, actividad que, por su naturaleza fáctica y carente de contenido negocial, puede ser ejecutada por cualquier persona. </w:t>
      </w:r>
    </w:p>
    <w:p w14:paraId="04887438" w14:textId="77777777" w:rsidR="00A94CED" w:rsidRPr="00A94CED" w:rsidRDefault="00A94CED" w:rsidP="00A94CED">
      <w:pPr>
        <w:snapToGrid w:val="0"/>
        <w:spacing w:after="0" w:line="278" w:lineRule="auto"/>
        <w:jc w:val="both"/>
        <w:rPr>
          <w:rFonts w:ascii="Verdana" w:eastAsia="Calibri" w:hAnsi="Verdana" w:cs="Times New Roman"/>
          <w:kern w:val="2"/>
          <w:sz w:val="20"/>
          <w:szCs w:val="20"/>
          <w:lang w:val="es-ES"/>
          <w14:ligatures w14:val="standardContextual"/>
        </w:rPr>
      </w:pPr>
    </w:p>
    <w:p w14:paraId="01DF3E12" w14:textId="77777777" w:rsidR="00A94CED" w:rsidRPr="00A94CED" w:rsidRDefault="00A94CED" w:rsidP="00A94CED">
      <w:pPr>
        <w:snapToGrid w:val="0"/>
        <w:spacing w:after="0" w:line="278" w:lineRule="auto"/>
        <w:jc w:val="both"/>
        <w:rPr>
          <w:rFonts w:ascii="Verdana" w:eastAsia="Calibri" w:hAnsi="Verdana" w:cs="Times New Roman"/>
          <w:kern w:val="2"/>
          <w:sz w:val="20"/>
          <w:szCs w:val="20"/>
          <w:lang w:val="es-ES"/>
          <w14:ligatures w14:val="standardContextual"/>
        </w:rPr>
      </w:pPr>
      <w:r w:rsidRPr="00A94CED">
        <w:rPr>
          <w:rFonts w:ascii="Verdana" w:eastAsia="Calibri" w:hAnsi="Verdana" w:cs="Times New Roman"/>
          <w:sz w:val="20"/>
          <w:szCs w:val="20"/>
          <w:lang w:val="es-ES"/>
        </w:rPr>
        <w:t xml:space="preserve">En consecuencia, en el criterio de la Agencia Nacional de Contratación Pública las entidades estatales que condicionen la radicación de la oferta a la acreditación de un poder o al cumplimiento de alguna otra formalidad incurre en una exigencia ritual proscrita por el ordenamiento jurídico, la cual, de preverse en el pliego de condiciones o la invitación a participar, resulta –como se señaló– susceptible de observaciones por parte de los interesados. </w:t>
      </w:r>
    </w:p>
    <w:p w14:paraId="6C5CF514" w14:textId="77777777" w:rsidR="00A94CED" w:rsidRPr="00A94CED" w:rsidRDefault="00A94CED" w:rsidP="00A94CED">
      <w:pPr>
        <w:spacing w:after="0" w:line="240" w:lineRule="auto"/>
        <w:jc w:val="both"/>
        <w:rPr>
          <w:rFonts w:ascii="Verdana" w:eastAsia="Calibri" w:hAnsi="Verdana" w:cs="Arial"/>
          <w:b/>
        </w:rPr>
      </w:pPr>
    </w:p>
    <w:p w14:paraId="4532F77B" w14:textId="77777777" w:rsidR="00A94CED" w:rsidRPr="00A94CED" w:rsidRDefault="00A94CED" w:rsidP="00A94CED">
      <w:pPr>
        <w:spacing w:after="0" w:line="240" w:lineRule="auto"/>
        <w:jc w:val="both"/>
        <w:rPr>
          <w:rFonts w:ascii="Verdana" w:eastAsia="Calibri" w:hAnsi="Verdana" w:cs="Arial"/>
          <w:b/>
          <w:lang w:val="es-ES_tradnl"/>
        </w:rPr>
      </w:pPr>
      <w:r w:rsidRPr="00A94CED">
        <w:rPr>
          <w:rFonts w:ascii="Verdana" w:eastAsia="Calibri" w:hAnsi="Verdana" w:cs="Arial"/>
          <w:b/>
          <w:lang w:val="es-ES_tradnl"/>
        </w:rPr>
        <w:t>RECHAZO DE LA OFERTA – Falta de firma de la propuesta económica – CAUSALES DE RECHAZO – Causales fijadas en la Ley – Causales determinadas en el Pliego de condiciones</w:t>
      </w:r>
    </w:p>
    <w:p w14:paraId="4F4CF3C9" w14:textId="77777777" w:rsidR="00A94CED" w:rsidRPr="00A94CED" w:rsidRDefault="00A94CED" w:rsidP="00A94CED">
      <w:pPr>
        <w:spacing w:after="0" w:line="240" w:lineRule="auto"/>
        <w:jc w:val="both"/>
        <w:rPr>
          <w:rFonts w:ascii="Verdana" w:eastAsia="Calibri" w:hAnsi="Verdana" w:cs="Arial"/>
          <w:b/>
          <w:sz w:val="20"/>
          <w:szCs w:val="20"/>
          <w:lang w:val="es-ES_tradnl"/>
        </w:rPr>
      </w:pPr>
    </w:p>
    <w:p w14:paraId="56315882" w14:textId="77777777" w:rsidR="00A94CED" w:rsidRPr="00A94CED" w:rsidRDefault="00A94CED" w:rsidP="00A94CED">
      <w:pPr>
        <w:spacing w:after="0" w:line="240" w:lineRule="auto"/>
        <w:jc w:val="both"/>
        <w:rPr>
          <w:rFonts w:ascii="Verdana" w:eastAsia="Calibri" w:hAnsi="Verdana" w:cs="Times New Roman"/>
          <w:sz w:val="20"/>
          <w:szCs w:val="20"/>
          <w:lang w:val="es-ES_tradnl"/>
        </w:rPr>
      </w:pPr>
      <w:r w:rsidRPr="00A94CED">
        <w:rPr>
          <w:rFonts w:ascii="Verdana" w:eastAsia="Calibri" w:hAnsi="Verdana" w:cs="Times New Roman"/>
          <w:sz w:val="20"/>
          <w:szCs w:val="20"/>
        </w:rPr>
        <w:t>En relación con la posibilidad de que una Entidad Estatal rechace una oferta de uno de los proponentes porque alguno de los documentos que la componen no se encuentren firmados cuando se cargan en SECOP I, es importante señalar que</w:t>
      </w:r>
      <w:r w:rsidRPr="00A94CED">
        <w:rPr>
          <w:rFonts w:ascii="Verdana" w:eastAsia="Calibri" w:hAnsi="Verdana" w:cs="Arial"/>
          <w:sz w:val="20"/>
          <w:szCs w:val="20"/>
        </w:rPr>
        <w:t xml:space="preserve"> l</w:t>
      </w:r>
      <w:proofErr w:type="spellStart"/>
      <w:r w:rsidRPr="00A94CED">
        <w:rPr>
          <w:rFonts w:ascii="Verdana" w:eastAsia="Calibri" w:hAnsi="Verdana" w:cs="Arial"/>
          <w:sz w:val="20"/>
          <w:szCs w:val="20"/>
          <w:lang w:val="es-ES_tradnl"/>
        </w:rPr>
        <w:t>as</w:t>
      </w:r>
      <w:proofErr w:type="spellEnd"/>
      <w:r w:rsidRPr="00A94CED">
        <w:rPr>
          <w:rFonts w:ascii="Verdana" w:eastAsia="Calibri" w:hAnsi="Verdana" w:cs="Arial"/>
          <w:sz w:val="20"/>
          <w:szCs w:val="20"/>
          <w:lang w:val="es-ES_tradnl"/>
        </w:rPr>
        <w:t xml:space="preserve"> causales de rechazo son las establecidas en la Ley y las fijadas por la Entidad Estatal en los pliegos de condiciones. Sin embargo, en ejercicio de dicha facultad, a las entidades no les es </w:t>
      </w:r>
      <w:r w:rsidRPr="00A94CED">
        <w:rPr>
          <w:rFonts w:ascii="Verdana" w:eastAsia="Calibri" w:hAnsi="Verdana" w:cs="Arial"/>
          <w:sz w:val="20"/>
          <w:szCs w:val="20"/>
          <w:lang w:val="es-ES_tradnl"/>
        </w:rPr>
        <w:lastRenderedPageBreak/>
        <w:t>dable fijar causales de rechazo que soslayen o afecten la selección objetiva en la contratación.</w:t>
      </w:r>
    </w:p>
    <w:p w14:paraId="3E1D620C" w14:textId="77777777" w:rsidR="00A94CED" w:rsidRPr="00A94CED" w:rsidRDefault="00A94CED" w:rsidP="00A94CED">
      <w:pPr>
        <w:spacing w:after="0" w:line="240" w:lineRule="auto"/>
        <w:jc w:val="both"/>
        <w:rPr>
          <w:rFonts w:ascii="Verdana" w:eastAsia="Calibri" w:hAnsi="Verdana" w:cs="Times New Roman"/>
          <w:sz w:val="20"/>
          <w:szCs w:val="20"/>
        </w:rPr>
      </w:pPr>
    </w:p>
    <w:p w14:paraId="084732A4" w14:textId="77777777" w:rsidR="00A94CED" w:rsidRPr="00A94CED" w:rsidRDefault="00A94CED" w:rsidP="00A94CED">
      <w:pPr>
        <w:spacing w:after="0" w:line="240" w:lineRule="auto"/>
        <w:jc w:val="both"/>
        <w:rPr>
          <w:rFonts w:ascii="Verdana" w:eastAsia="Calibri" w:hAnsi="Verdana" w:cs="Times New Roman"/>
          <w:sz w:val="20"/>
          <w:szCs w:val="20"/>
        </w:rPr>
      </w:pPr>
      <w:r w:rsidRPr="00A94CED">
        <w:rPr>
          <w:rFonts w:ascii="Verdana" w:eastAsia="Calibri" w:hAnsi="Verdana" w:cs="Times New Roman"/>
          <w:sz w:val="20"/>
          <w:szCs w:val="20"/>
        </w:rPr>
        <w:t>De igual forma, esta Agencia ha reiterado la postura del Consejo de Estado, según la cual, por la naturaleza propia de las causales de rechazo, su aplicación es estricta y restrictiva, lo que significa que su interpretación gramatical prevalece sobre una interpretación extensiva o de otra índole, mediante la cual se pretenda ampliar su alcance.</w:t>
      </w:r>
    </w:p>
    <w:p w14:paraId="2E6E6D9C" w14:textId="77777777" w:rsidR="00A94CED" w:rsidRPr="00A94CED" w:rsidRDefault="00A94CED" w:rsidP="00A94CED">
      <w:pPr>
        <w:spacing w:after="0" w:line="240" w:lineRule="auto"/>
        <w:jc w:val="both"/>
        <w:rPr>
          <w:rFonts w:ascii="Verdana" w:eastAsia="Calibri" w:hAnsi="Verdana" w:cs="Times New Roman"/>
          <w:sz w:val="20"/>
          <w:szCs w:val="20"/>
        </w:rPr>
      </w:pPr>
    </w:p>
    <w:p w14:paraId="5D6FBDB5" w14:textId="77777777" w:rsidR="00A94CED" w:rsidRPr="00A94CED" w:rsidRDefault="00A94CED" w:rsidP="00A94CED">
      <w:pPr>
        <w:spacing w:after="0" w:line="240" w:lineRule="auto"/>
        <w:jc w:val="both"/>
        <w:rPr>
          <w:rFonts w:ascii="Verdana" w:eastAsia="Calibri" w:hAnsi="Verdana" w:cs="Arial"/>
          <w:sz w:val="20"/>
          <w:szCs w:val="20"/>
          <w:lang w:val="es-ES"/>
        </w:rPr>
      </w:pPr>
      <w:r w:rsidRPr="00A94CED">
        <w:rPr>
          <w:rFonts w:ascii="Verdana" w:eastAsia="Calibri" w:hAnsi="Verdana" w:cs="Arial"/>
          <w:sz w:val="20"/>
          <w:szCs w:val="20"/>
          <w:lang w:val="es-ES"/>
        </w:rPr>
        <w:t>Por lo expuesto, para que se rechace una oferta porque por alguno de los documentos que la componen no se encuentra firmado, por ejemplo, la oferta económica, debe haberse contemplado tal supuesto dentro de las causales de rechazo establecidas en el pliego de condiciones o documentos equivalentes. Por esta razón si el Estatuto General de Contratación de la Administración Pública o el pliego de condiciones no establecen de manera literal una causal de rechazo, en los términos expuestos, no podrán rechazarse las propuestas.</w:t>
      </w:r>
    </w:p>
    <w:p w14:paraId="22CD9FE6" w14:textId="77777777" w:rsidR="00A94CED" w:rsidRPr="00A94CED" w:rsidRDefault="00A94CED" w:rsidP="00A94CED">
      <w:pPr>
        <w:spacing w:after="0" w:line="240" w:lineRule="auto"/>
        <w:jc w:val="both"/>
        <w:rPr>
          <w:rFonts w:ascii="Verdana" w:eastAsia="Calibri" w:hAnsi="Verdana" w:cs="Arial"/>
          <w:lang w:val="es-ES"/>
        </w:rPr>
      </w:pPr>
    </w:p>
    <w:p w14:paraId="457BF78C" w14:textId="77777777" w:rsidR="00A94CED" w:rsidRPr="00A94CED" w:rsidRDefault="00A94CED" w:rsidP="00A94CED">
      <w:pPr>
        <w:spacing w:after="0" w:line="240" w:lineRule="auto"/>
        <w:jc w:val="both"/>
        <w:rPr>
          <w:rFonts w:ascii="Verdana" w:eastAsia="Calibri" w:hAnsi="Verdana" w:cs="Times New Roman"/>
          <w:b/>
          <w:bCs/>
          <w:lang w:val="es-ES"/>
        </w:rPr>
      </w:pPr>
      <w:r w:rsidRPr="00A94CED">
        <w:rPr>
          <w:rFonts w:ascii="Verdana" w:eastAsia="Calibri" w:hAnsi="Verdana" w:cs="Times New Roman"/>
          <w:b/>
          <w:bCs/>
          <w:lang w:val="es-ES"/>
        </w:rPr>
        <w:t xml:space="preserve">SUBSANABILIDAD – Circunstancias posteriores – Cierre del proceso- Ley 1882 de 2018 </w:t>
      </w:r>
    </w:p>
    <w:p w14:paraId="3FD48A27" w14:textId="77777777" w:rsidR="00A94CED" w:rsidRPr="00A94CED" w:rsidRDefault="00A94CED" w:rsidP="00A94CED">
      <w:pPr>
        <w:spacing w:after="0" w:line="240" w:lineRule="auto"/>
        <w:jc w:val="both"/>
        <w:rPr>
          <w:rFonts w:ascii="Verdana" w:eastAsia="Times New Roman" w:hAnsi="Verdana" w:cs="Arial"/>
          <w:lang w:val="es-ES_tradnl" w:eastAsia="es-ES_tradnl"/>
        </w:rPr>
      </w:pPr>
    </w:p>
    <w:p w14:paraId="57C4E145" w14:textId="77777777" w:rsidR="00A94CED" w:rsidRPr="00A94CED" w:rsidRDefault="00A94CED" w:rsidP="00A94CED">
      <w:pPr>
        <w:spacing w:after="0" w:line="240" w:lineRule="auto"/>
        <w:jc w:val="both"/>
        <w:rPr>
          <w:rFonts w:ascii="Verdana" w:eastAsia="Times New Roman" w:hAnsi="Verdana" w:cs="Arial"/>
          <w:sz w:val="20"/>
          <w:szCs w:val="20"/>
          <w:lang w:val="es-ES_tradnl" w:eastAsia="es-ES_tradnl"/>
        </w:rPr>
      </w:pPr>
      <w:r w:rsidRPr="00A94CED">
        <w:rPr>
          <w:rFonts w:ascii="Verdana" w:eastAsia="Times New Roman" w:hAnsi="Verdana" w:cs="Arial"/>
          <w:sz w:val="20"/>
          <w:szCs w:val="20"/>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3702EB82" w14:textId="77777777" w:rsidR="00A94CED" w:rsidRPr="00A94CED" w:rsidRDefault="00A94CED" w:rsidP="00A94CED">
      <w:pPr>
        <w:spacing w:after="0" w:line="240" w:lineRule="auto"/>
        <w:jc w:val="both"/>
        <w:rPr>
          <w:rFonts w:ascii="Verdana" w:eastAsia="Times New Roman" w:hAnsi="Verdana" w:cs="Arial"/>
          <w:sz w:val="20"/>
          <w:szCs w:val="20"/>
          <w:lang w:val="es-ES_tradnl" w:eastAsia="es-ES_tradnl"/>
        </w:rPr>
      </w:pPr>
    </w:p>
    <w:p w14:paraId="0611B318" w14:textId="77777777" w:rsidR="00A94CED" w:rsidRPr="00A94CED" w:rsidRDefault="00A94CED" w:rsidP="00A94CED">
      <w:pPr>
        <w:spacing w:after="0" w:line="240" w:lineRule="auto"/>
        <w:jc w:val="both"/>
        <w:rPr>
          <w:rFonts w:ascii="Verdana" w:eastAsia="Calibri" w:hAnsi="Verdana" w:cs="Times New Roman"/>
          <w:sz w:val="20"/>
          <w:szCs w:val="20"/>
          <w:lang w:val="es-ES"/>
        </w:rPr>
      </w:pPr>
      <w:r w:rsidRPr="00A94CED">
        <w:rPr>
          <w:rFonts w:ascii="Verdana" w:eastAsia="Calibri" w:hAnsi="Verdana" w:cs="Times New Roman"/>
          <w:sz w:val="20"/>
          <w:szCs w:val="20"/>
          <w:lang w:val="es-ES"/>
        </w:rPr>
        <w:t xml:space="preserve">Un mejor entendimiento del significado de la expresión </w:t>
      </w:r>
      <w:r w:rsidRPr="00A94CED">
        <w:rPr>
          <w:rFonts w:ascii="Verdana" w:eastAsia="Calibri" w:hAnsi="Verdana" w:cs="Times New Roman"/>
          <w:i/>
          <w:sz w:val="20"/>
          <w:szCs w:val="20"/>
          <w:lang w:val="es-ES"/>
        </w:rPr>
        <w:t>“circunstancias ocurridas con posterioridad al cierre del proceso”</w:t>
      </w:r>
      <w:r w:rsidRPr="00A94CED">
        <w:rPr>
          <w:rFonts w:ascii="Verdana" w:eastAsia="Calibri" w:hAnsi="Verdana" w:cs="Times New Roman"/>
          <w:sz w:val="20"/>
          <w:szCs w:val="20"/>
          <w:lang w:val="es-ES"/>
        </w:rPr>
        <w:t xml:space="preserve"> implica distinguir entre la prueba de un hecho y el hecho mismo. En el caso de la </w:t>
      </w:r>
      <w:proofErr w:type="spellStart"/>
      <w:r w:rsidRPr="00A94CED">
        <w:rPr>
          <w:rFonts w:ascii="Verdana" w:eastAsia="Calibri" w:hAnsi="Verdana" w:cs="Times New Roman"/>
          <w:sz w:val="20"/>
          <w:szCs w:val="20"/>
          <w:lang w:val="es-ES"/>
        </w:rPr>
        <w:t>subsanabilidad</w:t>
      </w:r>
      <w:proofErr w:type="spellEnd"/>
      <w:r w:rsidRPr="00A94CED">
        <w:rPr>
          <w:rFonts w:ascii="Verdana" w:eastAsia="Calibri" w:hAnsi="Verdana" w:cs="Times New Roman"/>
          <w:sz w:val="20"/>
          <w:szCs w:val="20"/>
          <w:lang w:val="es-ES"/>
        </w:rPr>
        <w:t xml:space="preserve">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 </w:t>
      </w:r>
    </w:p>
    <w:p w14:paraId="70106387" w14:textId="77777777" w:rsidR="00A94CED" w:rsidRPr="00A94CED" w:rsidRDefault="00A94CED" w:rsidP="00A94CED">
      <w:pPr>
        <w:spacing w:after="0" w:line="240" w:lineRule="auto"/>
        <w:jc w:val="both"/>
        <w:rPr>
          <w:rFonts w:ascii="Verdana" w:eastAsia="Calibri" w:hAnsi="Verdana" w:cs="Times New Roman"/>
          <w:sz w:val="20"/>
          <w:szCs w:val="20"/>
          <w:lang w:val="es-ES"/>
        </w:rPr>
      </w:pPr>
    </w:p>
    <w:p w14:paraId="3FC71AA5" w14:textId="77777777" w:rsidR="00A94CED" w:rsidRPr="00A94CED" w:rsidRDefault="00A94CED" w:rsidP="00A94CED">
      <w:pPr>
        <w:spacing w:after="0" w:line="240" w:lineRule="auto"/>
        <w:jc w:val="both"/>
        <w:rPr>
          <w:rFonts w:ascii="Verdana" w:eastAsia="Times New Roman" w:hAnsi="Verdana" w:cs="Arial"/>
          <w:sz w:val="20"/>
          <w:szCs w:val="20"/>
          <w:lang w:val="es-ES" w:eastAsia="es-ES"/>
        </w:rPr>
      </w:pPr>
      <w:r w:rsidRPr="00A94CED">
        <w:rPr>
          <w:rFonts w:ascii="Verdana" w:eastAsia="Calibri" w:hAnsi="Verdana" w:cs="Times New Roman"/>
          <w:sz w:val="20"/>
          <w:szCs w:val="20"/>
          <w:lang w:val="es-ES"/>
        </w:rPr>
        <w:t>[…]</w:t>
      </w:r>
      <w:r w:rsidRPr="00A94CED">
        <w:rPr>
          <w:rFonts w:ascii="Verdana" w:eastAsia="Times New Roman" w:hAnsi="Verdana" w:cs="Arial"/>
          <w:sz w:val="20"/>
          <w:szCs w:val="20"/>
          <w:lang w:val="es-ES" w:eastAsia="es-ES"/>
        </w:rPr>
        <w:t xml:space="preserve"> ante la solicitud de la Administración de subsanar determinado requisito, el documento podría estar fechado con posterioridad al vencimiento del término para recibir propuestas, siempre y cuando el hecho que acredite haya ocurrido antes, esto es, que no sea una circunstancia ocurrida con posterioridad al cierre del proceso.</w:t>
      </w:r>
    </w:p>
    <w:p w14:paraId="5455F54C" w14:textId="77777777" w:rsidR="00A94CED" w:rsidRPr="00A94CED" w:rsidRDefault="00A94CED" w:rsidP="00A94CED">
      <w:pPr>
        <w:spacing w:after="0" w:line="240" w:lineRule="auto"/>
        <w:jc w:val="both"/>
        <w:rPr>
          <w:rFonts w:ascii="Verdana" w:eastAsia="Times New Roman" w:hAnsi="Verdana" w:cs="Arial"/>
          <w:sz w:val="20"/>
          <w:szCs w:val="20"/>
          <w:lang w:val="es-ES" w:eastAsia="es-ES"/>
        </w:rPr>
      </w:pPr>
    </w:p>
    <w:p w14:paraId="00B037C9" w14:textId="77777777" w:rsidR="00A94CED" w:rsidRPr="00A94CED" w:rsidRDefault="00A94CED" w:rsidP="00A94CED">
      <w:pPr>
        <w:spacing w:after="0" w:line="240" w:lineRule="auto"/>
        <w:jc w:val="both"/>
        <w:rPr>
          <w:rFonts w:ascii="Verdana" w:eastAsia="Times New Roman" w:hAnsi="Verdana" w:cs="Arial"/>
          <w:b/>
          <w:bCs/>
          <w:lang w:val="es-ES" w:eastAsia="es-ES"/>
        </w:rPr>
      </w:pPr>
      <w:r w:rsidRPr="00A94CED">
        <w:rPr>
          <w:rFonts w:ascii="Verdana" w:eastAsia="Times New Roman" w:hAnsi="Verdana" w:cs="Arial"/>
          <w:b/>
          <w:bCs/>
          <w:lang w:val="es-ES" w:eastAsia="es-ES"/>
        </w:rPr>
        <w:t xml:space="preserve">SUBSANABILIDAD – No afecte la asignación de puntaje – Hecho o circunstancia que haya ocurrido con anterioridad al cierre del proceso </w:t>
      </w:r>
    </w:p>
    <w:p w14:paraId="0358BEF7" w14:textId="77777777" w:rsidR="00A94CED" w:rsidRPr="00A94CED" w:rsidRDefault="00A94CED" w:rsidP="00A94CED">
      <w:pPr>
        <w:spacing w:after="0" w:line="240" w:lineRule="auto"/>
        <w:jc w:val="both"/>
        <w:rPr>
          <w:rFonts w:ascii="Verdana" w:eastAsia="Calibri" w:hAnsi="Verdana" w:cs="Times New Roman"/>
          <w:sz w:val="20"/>
          <w:szCs w:val="20"/>
          <w:lang w:val="es-ES"/>
        </w:rPr>
      </w:pPr>
    </w:p>
    <w:p w14:paraId="7EA2ABE5" w14:textId="77777777" w:rsidR="00A94CED" w:rsidRPr="00A94CED" w:rsidRDefault="00A94CED" w:rsidP="00A94CED">
      <w:pPr>
        <w:spacing w:after="0" w:line="240" w:lineRule="auto"/>
        <w:jc w:val="both"/>
        <w:rPr>
          <w:rFonts w:ascii="Verdana" w:eastAsia="Times New Roman" w:hAnsi="Verdana" w:cs="Arial"/>
          <w:sz w:val="20"/>
          <w:szCs w:val="20"/>
          <w:lang w:val="es-ES" w:eastAsia="es-ES"/>
        </w:rPr>
      </w:pPr>
      <w:r w:rsidRPr="00A94CED">
        <w:rPr>
          <w:rFonts w:ascii="Verdana" w:eastAsia="Times New Roman" w:hAnsi="Verdana" w:cs="Arial"/>
          <w:sz w:val="20"/>
          <w:szCs w:val="20"/>
          <w:lang w:val="es-ES" w:eastAsia="es-ES"/>
        </w:rPr>
        <w:lastRenderedPageBreak/>
        <w:t>Visto lo anterior, una vez verificada la ausencia de requisitos y/o documentos de la oferta, para efectos de saber si se pueden subsanar, la Administración se debe preguntar: en primer lugar, si lo que hace falta es un documento que afecte la asignación de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afecte la asignación de puntaje y la respuesta al segundo interrogante debe dar cuenta de que lo omitido sea la prueba de una circunstancia o hecho que ocurrió con anterioridad al cierre del proceso.</w:t>
      </w:r>
    </w:p>
    <w:p w14:paraId="41A9754D" w14:textId="77777777" w:rsidR="00A94CED" w:rsidRPr="00A94CED" w:rsidRDefault="00A94CED" w:rsidP="00A94CED">
      <w:pPr>
        <w:spacing w:after="0"/>
        <w:rPr>
          <w:rFonts w:ascii="Verdana" w:eastAsia="Calibri" w:hAnsi="Verdana" w:cs="Times New Roman"/>
          <w:lang w:val="es-ES"/>
        </w:rPr>
      </w:pPr>
    </w:p>
    <w:p w14:paraId="1D05EBDB" w14:textId="77777777" w:rsidR="00A94CED" w:rsidRPr="00A94CED" w:rsidRDefault="00A94CED" w:rsidP="00A94CED">
      <w:pPr>
        <w:spacing w:after="0" w:line="276" w:lineRule="auto"/>
        <w:jc w:val="both"/>
        <w:rPr>
          <w:rFonts w:ascii="Verdana" w:eastAsia="Calibri" w:hAnsi="Verdana" w:cs="Arial"/>
          <w:b/>
          <w:bCs/>
          <w:kern w:val="2"/>
          <w:lang w:val="es-ES_tradnl"/>
          <w14:ligatures w14:val="standardContextual"/>
        </w:rPr>
      </w:pPr>
      <w:r w:rsidRPr="00A94CED">
        <w:rPr>
          <w:rFonts w:ascii="Verdana" w:eastAsia="Calibri" w:hAnsi="Verdana" w:cs="Arial"/>
          <w:b/>
          <w:bCs/>
          <w:kern w:val="2"/>
          <w:lang w:val="es-ES_tradnl"/>
          <w14:ligatures w14:val="standardContextual"/>
        </w:rPr>
        <w:t xml:space="preserve">DOCUMENTOS TIPO – Fundamento normativo – Obligatoriedad </w:t>
      </w:r>
    </w:p>
    <w:p w14:paraId="07360515" w14:textId="77777777" w:rsidR="00A94CED" w:rsidRPr="00A94CED" w:rsidRDefault="00A94CED" w:rsidP="00A94CED">
      <w:pPr>
        <w:spacing w:after="0" w:line="276" w:lineRule="auto"/>
        <w:jc w:val="both"/>
        <w:rPr>
          <w:rFonts w:ascii="Verdana" w:eastAsia="Calibri" w:hAnsi="Verdana" w:cs="Arial"/>
          <w:b/>
          <w:bCs/>
          <w:kern w:val="2"/>
          <w:sz w:val="20"/>
          <w:szCs w:val="20"/>
          <w:lang w:val="es-ES_tradnl"/>
          <w14:ligatures w14:val="standardContextual"/>
        </w:rPr>
      </w:pPr>
    </w:p>
    <w:p w14:paraId="3E6DA5E9" w14:textId="77777777" w:rsidR="00A94CED" w:rsidRPr="00A94CED" w:rsidRDefault="00A94CED" w:rsidP="00A94CED">
      <w:pPr>
        <w:tabs>
          <w:tab w:val="left" w:pos="709"/>
        </w:tabs>
        <w:spacing w:after="0" w:line="240" w:lineRule="auto"/>
        <w:jc w:val="both"/>
        <w:rPr>
          <w:rFonts w:ascii="Verdana" w:eastAsia="Calibri" w:hAnsi="Verdana" w:cs="Arial"/>
          <w:kern w:val="2"/>
          <w:sz w:val="20"/>
          <w:szCs w:val="20"/>
          <w:lang w:val="es-ES"/>
          <w14:ligatures w14:val="standardContextual"/>
        </w:rPr>
      </w:pPr>
      <w:r w:rsidRPr="00A94CED">
        <w:rPr>
          <w:rFonts w:ascii="Verdana" w:eastAsia="Calibri" w:hAnsi="Verdana" w:cs="Arial"/>
          <w:kern w:val="2"/>
          <w:sz w:val="20"/>
          <w:szCs w:val="20"/>
          <w:lang w:val="es-ES"/>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0F82A6BA" w14:textId="77777777" w:rsidR="00A94CED" w:rsidRPr="00A94CED" w:rsidRDefault="00A94CED" w:rsidP="00A94CED">
      <w:pPr>
        <w:widowControl w:val="0"/>
        <w:autoSpaceDE w:val="0"/>
        <w:autoSpaceDN w:val="0"/>
        <w:spacing w:after="0" w:line="276" w:lineRule="auto"/>
        <w:jc w:val="both"/>
        <w:rPr>
          <w:rFonts w:ascii="Verdana" w:eastAsia="Calibri" w:hAnsi="Verdana" w:cs="Times New Roman"/>
          <w:kern w:val="2"/>
          <w:sz w:val="24"/>
          <w:szCs w:val="24"/>
          <w:lang w:val="es-ES"/>
          <w14:ligatures w14:val="standardContextual"/>
        </w:rPr>
      </w:pPr>
    </w:p>
    <w:p w14:paraId="2242E133" w14:textId="77777777" w:rsidR="00A94CED" w:rsidRPr="00A94CED" w:rsidRDefault="00A94CED" w:rsidP="00A94CED">
      <w:pPr>
        <w:spacing w:after="0" w:line="276" w:lineRule="auto"/>
        <w:jc w:val="both"/>
        <w:rPr>
          <w:rFonts w:ascii="Verdana" w:eastAsia="Calibri" w:hAnsi="Verdana" w:cs="Times New Roman"/>
          <w:kern w:val="2"/>
          <w:lang w:val="es-ES"/>
          <w14:ligatures w14:val="standardContextual"/>
        </w:rPr>
      </w:pPr>
      <w:r w:rsidRPr="00A94CED">
        <w:rPr>
          <w:rFonts w:ascii="Verdana" w:eastAsia="Calibri" w:hAnsi="Verdana" w:cs="Times New Roman"/>
          <w:b/>
          <w:bCs/>
          <w:kern w:val="2"/>
          <w:lang w:val="es-ES"/>
          <w14:ligatures w14:val="standardContextual"/>
        </w:rPr>
        <w:t xml:space="preserve">DOCUMENTOS TIPO – Aplicación – Matriz de Experiencia </w:t>
      </w:r>
    </w:p>
    <w:p w14:paraId="7AC61AC5" w14:textId="77777777" w:rsidR="00A94CED" w:rsidRPr="00A94CED" w:rsidRDefault="00A94CED" w:rsidP="00A94CED">
      <w:pPr>
        <w:spacing w:after="0" w:line="240" w:lineRule="auto"/>
        <w:rPr>
          <w:rFonts w:ascii="Verdana" w:eastAsia="Geomanist Light" w:hAnsi="Verdana" w:cs="Arial"/>
          <w:kern w:val="2"/>
          <w:sz w:val="24"/>
          <w:szCs w:val="24"/>
          <w:lang w:val="es-MX"/>
          <w14:ligatures w14:val="standardContextual"/>
        </w:rPr>
      </w:pPr>
    </w:p>
    <w:p w14:paraId="1CFDEF14" w14:textId="77777777" w:rsidR="00A94CED" w:rsidRPr="00A94CED" w:rsidRDefault="00A94CED" w:rsidP="00A94CED">
      <w:pPr>
        <w:widowControl w:val="0"/>
        <w:autoSpaceDE w:val="0"/>
        <w:autoSpaceDN w:val="0"/>
        <w:spacing w:after="0" w:line="240" w:lineRule="auto"/>
        <w:jc w:val="both"/>
        <w:rPr>
          <w:rFonts w:ascii="Verdana" w:eastAsia="Calibri" w:hAnsi="Verdana" w:cs="Times New Roman"/>
          <w:kern w:val="2"/>
          <w:sz w:val="20"/>
          <w:szCs w:val="20"/>
          <w:lang w:val="es-ES"/>
          <w14:ligatures w14:val="standardContextual"/>
        </w:rPr>
      </w:pPr>
      <w:r w:rsidRPr="00A94CED">
        <w:rPr>
          <w:rFonts w:ascii="Verdana" w:eastAsia="Calibri" w:hAnsi="Verdana" w:cs="Times New Roman"/>
          <w:kern w:val="2"/>
          <w:sz w:val="20"/>
          <w:szCs w:val="20"/>
          <w:lang w:val="es-ES"/>
          <w14:ligatures w14:val="standardContextual"/>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54C9A150" w14:textId="77777777" w:rsidR="00A94CED" w:rsidRPr="00A94CED" w:rsidRDefault="00A94CED" w:rsidP="00A94CED">
      <w:pPr>
        <w:widowControl w:val="0"/>
        <w:autoSpaceDE w:val="0"/>
        <w:autoSpaceDN w:val="0"/>
        <w:spacing w:after="0" w:line="240" w:lineRule="auto"/>
        <w:jc w:val="both"/>
        <w:rPr>
          <w:rFonts w:ascii="Verdana" w:eastAsia="Calibri" w:hAnsi="Verdana" w:cs="Times New Roman"/>
          <w:kern w:val="2"/>
          <w:sz w:val="20"/>
          <w:szCs w:val="20"/>
          <w:lang w:val="es-ES"/>
          <w14:ligatures w14:val="standardContextual"/>
        </w:rPr>
      </w:pPr>
    </w:p>
    <w:p w14:paraId="563E6C1A" w14:textId="77777777" w:rsidR="00A94CED" w:rsidRPr="00A94CED" w:rsidRDefault="00A94CED" w:rsidP="00A94CED">
      <w:pPr>
        <w:widowControl w:val="0"/>
        <w:autoSpaceDE w:val="0"/>
        <w:autoSpaceDN w:val="0"/>
        <w:spacing w:after="0" w:line="240" w:lineRule="auto"/>
        <w:jc w:val="both"/>
        <w:rPr>
          <w:rFonts w:ascii="Verdana" w:eastAsia="Calibri" w:hAnsi="Verdana" w:cs="Times New Roman"/>
          <w:kern w:val="2"/>
          <w:sz w:val="20"/>
          <w:szCs w:val="20"/>
          <w:lang w:val="es-ES"/>
          <w14:ligatures w14:val="standardContextual"/>
        </w:rPr>
      </w:pPr>
      <w:r w:rsidRPr="00A94CED">
        <w:rPr>
          <w:rFonts w:ascii="Verdana" w:eastAsia="Calibri" w:hAnsi="Verdana" w:cs="Times New Roman"/>
          <w:kern w:val="2"/>
          <w:sz w:val="20"/>
          <w:szCs w:val="20"/>
          <w:lang w:val="es-ES"/>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33C60CD2" w14:textId="77777777" w:rsidR="00A94CED" w:rsidRPr="00A94CED" w:rsidRDefault="00A94CED" w:rsidP="00A94CED">
      <w:pPr>
        <w:widowControl w:val="0"/>
        <w:autoSpaceDE w:val="0"/>
        <w:autoSpaceDN w:val="0"/>
        <w:spacing w:after="0" w:line="240" w:lineRule="auto"/>
        <w:jc w:val="both"/>
        <w:rPr>
          <w:rFonts w:ascii="Verdana" w:eastAsia="Calibri" w:hAnsi="Verdana" w:cs="Times New Roman"/>
          <w:kern w:val="2"/>
          <w:sz w:val="20"/>
          <w:szCs w:val="20"/>
          <w:lang w:val="es-ES"/>
          <w14:ligatures w14:val="standardContextual"/>
        </w:rPr>
      </w:pPr>
    </w:p>
    <w:p w14:paraId="4FE692EE" w14:textId="77777777" w:rsidR="00A94CED" w:rsidRPr="00E57B0D" w:rsidRDefault="00A94CED" w:rsidP="00A94CED">
      <w:pPr>
        <w:snapToGrid w:val="0"/>
        <w:spacing w:after="0" w:line="240" w:lineRule="auto"/>
        <w:jc w:val="both"/>
        <w:rPr>
          <w:rFonts w:ascii="Verdana" w:eastAsia="Calibri" w:hAnsi="Verdana" w:cs="Arial"/>
          <w:b/>
          <w:color w:val="000000"/>
          <w:kern w:val="2"/>
          <w:lang w:eastAsia="es-ES_tradnl"/>
          <w14:ligatures w14:val="standardContextual"/>
        </w:rPr>
      </w:pPr>
      <w:r w:rsidRPr="00E57B0D">
        <w:rPr>
          <w:rFonts w:ascii="Verdana" w:eastAsia="Calibri" w:hAnsi="Verdana" w:cs="Arial"/>
          <w:b/>
          <w:color w:val="000000"/>
          <w:kern w:val="2"/>
          <w:lang w:eastAsia="es-ES_tradnl"/>
          <w14:ligatures w14:val="standardContextual"/>
        </w:rPr>
        <w:t>DOCUMENTOS TIPO – Criterio de buenas prácticas</w:t>
      </w:r>
    </w:p>
    <w:p w14:paraId="5B9F889B" w14:textId="77777777" w:rsidR="00A94CED" w:rsidRPr="00A94CED" w:rsidRDefault="00A94CED" w:rsidP="00A94CED">
      <w:pPr>
        <w:snapToGrid w:val="0"/>
        <w:spacing w:after="0" w:line="240" w:lineRule="auto"/>
        <w:jc w:val="both"/>
        <w:rPr>
          <w:rFonts w:ascii="Arial" w:eastAsia="Calibri" w:hAnsi="Arial" w:cs="Arial"/>
          <w:b/>
          <w:color w:val="000000"/>
          <w:kern w:val="2"/>
          <w:sz w:val="24"/>
          <w:szCs w:val="24"/>
          <w:lang w:eastAsia="es-ES_tradnl"/>
          <w14:ligatures w14:val="standardContextual"/>
        </w:rPr>
      </w:pPr>
    </w:p>
    <w:p w14:paraId="12487B7A" w14:textId="77777777" w:rsidR="00A94CED" w:rsidRPr="00A94CED" w:rsidRDefault="00A94CED" w:rsidP="00A94CED">
      <w:pPr>
        <w:spacing w:line="240" w:lineRule="auto"/>
        <w:jc w:val="both"/>
        <w:rPr>
          <w:rFonts w:ascii="Verdana" w:eastAsia="Times New Roman" w:hAnsi="Verdana" w:cs="Arial"/>
          <w:kern w:val="2"/>
          <w:sz w:val="20"/>
          <w:szCs w:val="20"/>
          <w:shd w:val="clear" w:color="auto" w:fill="FFFFFF"/>
          <w:lang w:val="es-ES" w:eastAsia="es-ES"/>
          <w14:ligatures w14:val="standardContextual"/>
        </w:rPr>
      </w:pPr>
      <w:r w:rsidRPr="00A94CED">
        <w:rPr>
          <w:rFonts w:ascii="Verdana" w:eastAsia="Times New Roman" w:hAnsi="Verdana" w:cs="Arial"/>
          <w:kern w:val="2"/>
          <w:sz w:val="20"/>
          <w:szCs w:val="20"/>
          <w:shd w:val="clear" w:color="auto" w:fill="FFFFFF"/>
          <w:lang w:val="es-ES" w:eastAsia="es-ES"/>
          <w14:ligatures w14:val="standardContextual"/>
        </w:rPr>
        <w:t xml:space="preserve">Si la Entidad determina que no está obligada a aplicar de manera forzosa los documentos tipo para desarrollar los procesos de contratación —ya sea porque, normativamente, no </w:t>
      </w:r>
      <w:r w:rsidRPr="00A94CED">
        <w:rPr>
          <w:rFonts w:ascii="Verdana" w:eastAsia="Times New Roman" w:hAnsi="Verdana" w:cs="Arial"/>
          <w:kern w:val="2"/>
          <w:sz w:val="20"/>
          <w:szCs w:val="20"/>
          <w:shd w:val="clear" w:color="auto" w:fill="FFFFFF"/>
          <w:lang w:val="es-ES" w:eastAsia="es-ES"/>
          <w14:ligatures w14:val="standardContextual"/>
        </w:rPr>
        <w:lastRenderedPageBreak/>
        <w:t xml:space="preserve">le resultan aplicables o porque el proceso que se pretende adelantar no </w:t>
      </w:r>
      <w:proofErr w:type="gramStart"/>
      <w:r w:rsidRPr="00A94CED">
        <w:rPr>
          <w:rFonts w:ascii="Verdana" w:eastAsia="Times New Roman" w:hAnsi="Verdana" w:cs="Arial"/>
          <w:kern w:val="2"/>
          <w:sz w:val="20"/>
          <w:szCs w:val="20"/>
          <w:shd w:val="clear" w:color="auto" w:fill="FFFFFF"/>
          <w:lang w:val="es-ES" w:eastAsia="es-ES"/>
          <w14:ligatures w14:val="standardContextual"/>
        </w:rPr>
        <w:t>se enmarca dentro de</w:t>
      </w:r>
      <w:proofErr w:type="gramEnd"/>
      <w:r w:rsidRPr="00A94CED">
        <w:rPr>
          <w:rFonts w:ascii="Verdana" w:eastAsia="Times New Roman" w:hAnsi="Verdana" w:cs="Arial"/>
          <w:kern w:val="2"/>
          <w:sz w:val="20"/>
          <w:szCs w:val="20"/>
          <w:shd w:val="clear" w:color="auto" w:fill="FFFFFF"/>
          <w:lang w:val="es-ES" w:eastAsia="es-ES"/>
          <w14:ligatures w14:val="standardContextual"/>
        </w:rPr>
        <w:t xml:space="preserve"> las modalidades de selección y tipos de obra estandarizados en las respectivas matrices de experiencia—, en tales escenarios dichos documentos carecen de fuerza obligatoria. En consecuencia, la Entidad deberá estructurar sus procesos, atendiendo la normativa vigente en materia de compras y contratación pública. </w:t>
      </w:r>
      <w:r w:rsidRPr="00A94CED">
        <w:rPr>
          <w:rFonts w:ascii="Verdana" w:eastAsia="Times New Roman" w:hAnsi="Verdana" w:cs="Arial"/>
          <w:kern w:val="2"/>
          <w:sz w:val="20"/>
          <w:szCs w:val="20"/>
          <w:shd w:val="clear" w:color="auto" w:fill="FFFFFF"/>
          <w:lang w:val="es-ES_tradnl" w:eastAsia="es-ES_tradnl"/>
          <w14:ligatures w14:val="standardContextual"/>
        </w:rPr>
        <w:t xml:space="preserve">No </w:t>
      </w:r>
      <w:proofErr w:type="gramStart"/>
      <w:r w:rsidRPr="00A94CED">
        <w:rPr>
          <w:rFonts w:ascii="Verdana" w:eastAsia="Times New Roman" w:hAnsi="Verdana" w:cs="Arial"/>
          <w:kern w:val="2"/>
          <w:sz w:val="20"/>
          <w:szCs w:val="20"/>
          <w:shd w:val="clear" w:color="auto" w:fill="FFFFFF"/>
          <w:lang w:val="es-ES_tradnl" w:eastAsia="es-ES_tradnl"/>
          <w14:ligatures w14:val="standardContextual"/>
        </w:rPr>
        <w:t>obstante</w:t>
      </w:r>
      <w:proofErr w:type="gramEnd"/>
      <w:r w:rsidRPr="00A94CED">
        <w:rPr>
          <w:rFonts w:ascii="Verdana" w:eastAsia="Times New Roman" w:hAnsi="Verdana" w:cs="Arial"/>
          <w:kern w:val="2"/>
          <w:sz w:val="20"/>
          <w:szCs w:val="20"/>
          <w:shd w:val="clear" w:color="auto" w:fill="FFFFFF"/>
          <w:lang w:val="es-ES_tradnl" w:eastAsia="es-ES_tradnl"/>
          <w14:ligatures w14:val="standardContextual"/>
        </w:rPr>
        <w:t xml:space="preserve"> lo anterior, las Entidades pueden observar los documentos tipo de forma facultativa, como una estrategia para adoptar e incorporar políticas de buenas prácticas contractuales, realizando en caso de que sea necesario las adaptaciones que consideren pertinentes.</w:t>
      </w:r>
    </w:p>
    <w:p w14:paraId="01B5B0A5" w14:textId="77777777" w:rsidR="00A94CED" w:rsidRPr="00A94CED" w:rsidRDefault="00A94CED" w:rsidP="00A94CED">
      <w:pPr>
        <w:spacing w:after="0"/>
        <w:rPr>
          <w:rFonts w:ascii="Verdana" w:eastAsia="Calibri" w:hAnsi="Verdana" w:cs="Times New Roman"/>
          <w:lang w:val="es-ES"/>
        </w:rPr>
      </w:pPr>
    </w:p>
    <w:p w14:paraId="32465BB2" w14:textId="77777777" w:rsidR="00A94CED" w:rsidRPr="00A94CED" w:rsidRDefault="00A94CED" w:rsidP="00A94CED">
      <w:pPr>
        <w:spacing w:after="0"/>
        <w:rPr>
          <w:rFonts w:ascii="Verdana" w:eastAsia="Calibri" w:hAnsi="Verdana" w:cs="Times New Roman"/>
        </w:rPr>
      </w:pPr>
    </w:p>
    <w:p w14:paraId="50388685" w14:textId="77777777" w:rsidR="00A94CED" w:rsidRPr="00A94CED" w:rsidRDefault="00A94CED" w:rsidP="00A94CED">
      <w:pPr>
        <w:spacing w:after="0"/>
        <w:rPr>
          <w:rFonts w:ascii="Verdana" w:eastAsia="Calibri" w:hAnsi="Verdana" w:cs="Times New Roman"/>
        </w:rPr>
      </w:pPr>
    </w:p>
    <w:p w14:paraId="238D7868" w14:textId="77777777" w:rsidR="00A94CED" w:rsidRPr="00A94CED" w:rsidRDefault="00A94CED" w:rsidP="00A94CED">
      <w:pPr>
        <w:spacing w:after="0"/>
        <w:rPr>
          <w:rFonts w:ascii="Verdana" w:eastAsia="Calibri" w:hAnsi="Verdana" w:cs="Times New Roman"/>
        </w:rPr>
      </w:pPr>
    </w:p>
    <w:p w14:paraId="0550EA54" w14:textId="77777777" w:rsidR="00A94CED" w:rsidRPr="00A94CED" w:rsidRDefault="00A94CED" w:rsidP="00A94CED">
      <w:pPr>
        <w:spacing w:after="0"/>
        <w:rPr>
          <w:rFonts w:ascii="Verdana" w:eastAsia="Calibri" w:hAnsi="Verdana" w:cs="Times New Roman"/>
          <w:lang w:val="es-ES_tradnl"/>
        </w:rPr>
      </w:pPr>
    </w:p>
    <w:p w14:paraId="0C3A4301" w14:textId="77777777" w:rsidR="00A94CED" w:rsidRPr="00A94CED" w:rsidRDefault="00A94CED" w:rsidP="00A94CED">
      <w:pPr>
        <w:spacing w:after="0"/>
        <w:rPr>
          <w:rFonts w:ascii="Verdana" w:eastAsia="Calibri" w:hAnsi="Verdana" w:cs="Times New Roman"/>
          <w:lang w:val="es-ES_tradnl"/>
        </w:rPr>
      </w:pPr>
    </w:p>
    <w:p w14:paraId="32293077" w14:textId="77777777" w:rsidR="00A94CED" w:rsidRPr="00A94CED" w:rsidRDefault="00A94CED" w:rsidP="00A94CED">
      <w:pPr>
        <w:spacing w:after="0"/>
        <w:rPr>
          <w:rFonts w:ascii="Verdana" w:eastAsia="Calibri" w:hAnsi="Verdana" w:cs="Times New Roman"/>
          <w:lang w:val="es-ES_tradnl"/>
        </w:rPr>
      </w:pPr>
    </w:p>
    <w:p w14:paraId="71351A6C" w14:textId="77777777" w:rsidR="00A94CED" w:rsidRPr="00A94CED" w:rsidRDefault="00A94CED" w:rsidP="00A94CED">
      <w:pPr>
        <w:spacing w:after="0"/>
        <w:rPr>
          <w:rFonts w:ascii="Verdana" w:eastAsia="Calibri" w:hAnsi="Verdana" w:cs="Times New Roman"/>
          <w:lang w:val="es-ES_tradnl"/>
        </w:rPr>
      </w:pPr>
    </w:p>
    <w:p w14:paraId="1D438F3B" w14:textId="77777777" w:rsidR="00A94CED" w:rsidRPr="00A94CED" w:rsidRDefault="00A94CED" w:rsidP="00A94CED">
      <w:pPr>
        <w:spacing w:after="0"/>
        <w:rPr>
          <w:rFonts w:ascii="Verdana" w:eastAsia="Calibri" w:hAnsi="Verdana" w:cs="Times New Roman"/>
          <w:lang w:val="es-ES_tradnl"/>
        </w:rPr>
      </w:pPr>
    </w:p>
    <w:p w14:paraId="43DA96C9" w14:textId="77777777" w:rsidR="00A94CED" w:rsidRPr="00A94CED" w:rsidRDefault="00A94CED" w:rsidP="00A94CED">
      <w:pPr>
        <w:spacing w:after="0"/>
        <w:rPr>
          <w:rFonts w:ascii="Verdana" w:eastAsia="Calibri" w:hAnsi="Verdana" w:cs="Times New Roman"/>
          <w:lang w:val="es-ES_tradnl"/>
        </w:rPr>
      </w:pPr>
    </w:p>
    <w:p w14:paraId="33D77A62" w14:textId="77777777" w:rsidR="00A94CED" w:rsidRPr="00A94CED" w:rsidRDefault="00A94CED" w:rsidP="00A94CED">
      <w:pPr>
        <w:spacing w:after="0"/>
        <w:rPr>
          <w:rFonts w:ascii="Verdana" w:eastAsia="Calibri" w:hAnsi="Verdana" w:cs="Times New Roman"/>
          <w:lang w:val="es-ES_tradnl"/>
        </w:rPr>
      </w:pPr>
    </w:p>
    <w:p w14:paraId="6C7EC183" w14:textId="77777777" w:rsidR="00A94CED" w:rsidRPr="00A94CED" w:rsidRDefault="00A94CED" w:rsidP="00A94CED">
      <w:pPr>
        <w:spacing w:after="0"/>
        <w:rPr>
          <w:rFonts w:ascii="Verdana" w:eastAsia="Calibri" w:hAnsi="Verdana" w:cs="Times New Roman"/>
          <w:lang w:val="es-ES_tradnl"/>
        </w:rPr>
      </w:pPr>
    </w:p>
    <w:p w14:paraId="55D2BC78" w14:textId="77777777" w:rsidR="00A94CED" w:rsidRPr="00A94CED" w:rsidRDefault="00A94CED" w:rsidP="00A94CED">
      <w:pPr>
        <w:spacing w:after="0"/>
        <w:rPr>
          <w:rFonts w:ascii="Verdana" w:eastAsia="Calibri" w:hAnsi="Verdana" w:cs="Times New Roman"/>
          <w:lang w:val="es-ES_tradnl"/>
        </w:rPr>
      </w:pPr>
    </w:p>
    <w:p w14:paraId="1095276E" w14:textId="77777777" w:rsidR="00A94CED" w:rsidRPr="00A94CED" w:rsidRDefault="00A94CED" w:rsidP="00A94CED">
      <w:pPr>
        <w:spacing w:after="0"/>
        <w:rPr>
          <w:rFonts w:ascii="Verdana" w:eastAsia="Calibri" w:hAnsi="Verdana" w:cs="Times New Roman"/>
          <w:lang w:val="es-ES_tradnl"/>
        </w:rPr>
      </w:pPr>
    </w:p>
    <w:p w14:paraId="451666A6" w14:textId="77777777" w:rsidR="00A94CED" w:rsidRPr="00A94CED" w:rsidRDefault="00A94CED" w:rsidP="00A94CED">
      <w:pPr>
        <w:spacing w:after="0"/>
        <w:rPr>
          <w:rFonts w:ascii="Verdana" w:eastAsia="Calibri" w:hAnsi="Verdana" w:cs="Times New Roman"/>
          <w:lang w:val="es-ES_tradnl"/>
        </w:rPr>
      </w:pPr>
    </w:p>
    <w:p w14:paraId="076CD748" w14:textId="77777777" w:rsidR="00A94CED" w:rsidRPr="00A94CED" w:rsidRDefault="00A94CED" w:rsidP="00A94CED">
      <w:pPr>
        <w:spacing w:after="0"/>
        <w:rPr>
          <w:rFonts w:ascii="Verdana" w:eastAsia="Calibri" w:hAnsi="Verdana" w:cs="Times New Roman"/>
          <w:lang w:val="es-ES_tradnl"/>
        </w:rPr>
      </w:pPr>
    </w:p>
    <w:p w14:paraId="758BAAFD" w14:textId="77777777" w:rsidR="00A94CED" w:rsidRPr="00A94CED" w:rsidRDefault="00A94CED" w:rsidP="00A94CED">
      <w:pPr>
        <w:spacing w:after="0"/>
        <w:rPr>
          <w:rFonts w:ascii="Verdana" w:eastAsia="Calibri" w:hAnsi="Verdana" w:cs="Times New Roman"/>
          <w:lang w:val="es-ES_tradnl"/>
        </w:rPr>
      </w:pPr>
    </w:p>
    <w:p w14:paraId="0A2B90D8" w14:textId="77777777" w:rsidR="00A94CED" w:rsidRPr="00A94CED" w:rsidRDefault="00A94CED" w:rsidP="00A94CED">
      <w:pPr>
        <w:spacing w:after="0"/>
        <w:rPr>
          <w:rFonts w:ascii="Verdana" w:eastAsia="Calibri" w:hAnsi="Verdana" w:cs="Times New Roman"/>
          <w:lang w:val="es-ES_tradnl"/>
        </w:rPr>
      </w:pPr>
    </w:p>
    <w:p w14:paraId="4460555B" w14:textId="77777777" w:rsidR="00A94CED" w:rsidRPr="00A94CED" w:rsidRDefault="00A94CED" w:rsidP="00A94CED">
      <w:pPr>
        <w:spacing w:after="0"/>
        <w:rPr>
          <w:rFonts w:ascii="Verdana" w:eastAsia="Calibri" w:hAnsi="Verdana" w:cs="Times New Roman"/>
          <w:lang w:val="es-ES_tradnl"/>
        </w:rPr>
      </w:pPr>
    </w:p>
    <w:p w14:paraId="3EB76850" w14:textId="77777777" w:rsidR="00A94CED" w:rsidRPr="00A94CED" w:rsidRDefault="00A94CED" w:rsidP="00A94CED">
      <w:pPr>
        <w:spacing w:after="0"/>
        <w:rPr>
          <w:rFonts w:ascii="Verdana" w:eastAsia="Calibri" w:hAnsi="Verdana" w:cs="Times New Roman"/>
          <w:lang w:val="es-ES_tradnl"/>
        </w:rPr>
      </w:pPr>
    </w:p>
    <w:p w14:paraId="1D29A041" w14:textId="77777777" w:rsidR="00A94CED" w:rsidRPr="00A94CED" w:rsidRDefault="00A94CED" w:rsidP="00A94CED">
      <w:pPr>
        <w:spacing w:after="0"/>
        <w:rPr>
          <w:rFonts w:ascii="Verdana" w:eastAsia="Calibri" w:hAnsi="Verdana" w:cs="Times New Roman"/>
          <w:lang w:val="es-ES_tradnl"/>
        </w:rPr>
      </w:pPr>
    </w:p>
    <w:p w14:paraId="60F59343" w14:textId="77777777" w:rsidR="00A94CED" w:rsidRPr="00A94CED" w:rsidRDefault="00A94CED" w:rsidP="00A94CED">
      <w:pPr>
        <w:spacing w:after="0"/>
        <w:rPr>
          <w:rFonts w:ascii="Verdana" w:eastAsia="Calibri" w:hAnsi="Verdana" w:cs="Times New Roman"/>
          <w:lang w:val="es-ES_tradnl"/>
        </w:rPr>
      </w:pPr>
    </w:p>
    <w:p w14:paraId="481F4D47" w14:textId="77777777" w:rsidR="00A94CED" w:rsidRPr="00A94CED" w:rsidRDefault="00A94CED" w:rsidP="00A94CED">
      <w:pPr>
        <w:spacing w:after="0"/>
        <w:rPr>
          <w:rFonts w:ascii="Verdana" w:eastAsia="Calibri" w:hAnsi="Verdana" w:cs="Times New Roman"/>
          <w:lang w:val="es-ES_tradnl"/>
        </w:rPr>
      </w:pPr>
    </w:p>
    <w:p w14:paraId="73E471C2" w14:textId="77777777" w:rsidR="00A94CED" w:rsidRPr="00A94CED" w:rsidRDefault="00A94CED" w:rsidP="00A94CED">
      <w:pPr>
        <w:spacing w:after="0"/>
        <w:rPr>
          <w:rFonts w:ascii="Verdana" w:eastAsia="Calibri" w:hAnsi="Verdana" w:cs="Times New Roman"/>
          <w:lang w:val="es-ES_tradnl"/>
        </w:rPr>
      </w:pPr>
    </w:p>
    <w:p w14:paraId="1DED1EEF" w14:textId="77777777" w:rsidR="00A94CED" w:rsidRPr="00A94CED" w:rsidRDefault="00A94CED" w:rsidP="00A94CED">
      <w:pPr>
        <w:spacing w:after="0"/>
        <w:rPr>
          <w:rFonts w:ascii="Verdana" w:eastAsia="Calibri" w:hAnsi="Verdana" w:cs="Times New Roman"/>
          <w:lang w:val="es-ES_tradnl"/>
        </w:rPr>
      </w:pPr>
    </w:p>
    <w:p w14:paraId="2CC86941" w14:textId="77777777" w:rsidR="00A94CED" w:rsidRPr="00A94CED" w:rsidRDefault="00A94CED" w:rsidP="00A94CED">
      <w:pPr>
        <w:spacing w:after="0"/>
        <w:rPr>
          <w:rFonts w:ascii="Verdana" w:eastAsia="Calibri" w:hAnsi="Verdana" w:cs="Times New Roman"/>
          <w:lang w:val="es-ES_tradnl"/>
        </w:rPr>
      </w:pPr>
    </w:p>
    <w:p w14:paraId="1F7A9F75" w14:textId="77777777" w:rsidR="00A94CED" w:rsidRPr="00A94CED" w:rsidRDefault="00A94CED" w:rsidP="00A94CED">
      <w:pPr>
        <w:spacing w:after="0"/>
        <w:rPr>
          <w:rFonts w:ascii="Verdana" w:eastAsia="Calibri" w:hAnsi="Verdana" w:cs="Times New Roman"/>
          <w:lang w:val="es-ES_tradnl"/>
        </w:rPr>
      </w:pPr>
    </w:p>
    <w:p w14:paraId="3E4411DD" w14:textId="77777777" w:rsidR="00A94CED" w:rsidRPr="00A94CED" w:rsidRDefault="00A94CED" w:rsidP="00A94CED">
      <w:pPr>
        <w:spacing w:after="0"/>
        <w:rPr>
          <w:rFonts w:ascii="Verdana" w:eastAsia="Calibri" w:hAnsi="Verdana" w:cs="Times New Roman"/>
          <w:lang w:val="es-ES_tradnl"/>
        </w:rPr>
      </w:pPr>
    </w:p>
    <w:p w14:paraId="546E1444" w14:textId="77777777" w:rsidR="00A94CED" w:rsidRPr="00A94CED" w:rsidRDefault="00A94CED" w:rsidP="00A94CED">
      <w:pPr>
        <w:spacing w:after="0"/>
        <w:rPr>
          <w:rFonts w:ascii="Verdana" w:eastAsia="Calibri" w:hAnsi="Verdana" w:cs="Times New Roman"/>
          <w:lang w:val="es-ES_tradnl"/>
        </w:rPr>
      </w:pPr>
    </w:p>
    <w:p w14:paraId="1E0C4B66" w14:textId="77777777" w:rsidR="00A94CED" w:rsidRPr="00A94CED" w:rsidRDefault="00A94CED" w:rsidP="00A94CED">
      <w:pPr>
        <w:spacing w:after="0"/>
        <w:rPr>
          <w:rFonts w:ascii="Verdana" w:eastAsia="Calibri" w:hAnsi="Verdana" w:cs="Times New Roman"/>
          <w:lang w:val="es-ES_tradnl"/>
        </w:rPr>
      </w:pPr>
    </w:p>
    <w:p w14:paraId="063184AC" w14:textId="7095BFE9" w:rsidR="007363A0" w:rsidRDefault="00A94CED" w:rsidP="00A94CED">
      <w:pPr>
        <w:spacing w:after="0" w:line="240" w:lineRule="auto"/>
        <w:jc w:val="both"/>
        <w:rPr>
          <w:rFonts w:ascii="Verdana" w:eastAsia="Verdana" w:hAnsi="Verdana" w:cs="Verdana"/>
          <w:kern w:val="2"/>
          <w14:ligatures w14:val="standardContextual"/>
        </w:rPr>
      </w:pPr>
      <w:r w:rsidRPr="00A94CED">
        <w:rPr>
          <w:rFonts w:ascii="Verdana" w:eastAsia="Verdana" w:hAnsi="Verdana" w:cs="Verdana"/>
          <w:kern w:val="2"/>
          <w14:ligatures w14:val="standardContextual"/>
        </w:rPr>
        <w:lastRenderedPageBreak/>
        <w:t xml:space="preserve">Bogotá D.C., </w:t>
      </w:r>
      <w:r w:rsidR="007D685A">
        <w:rPr>
          <w:rFonts w:ascii="Verdana" w:eastAsia="Verdana" w:hAnsi="Verdana" w:cs="Verdana"/>
          <w:kern w:val="2"/>
          <w14:ligatures w14:val="standardContextual"/>
        </w:rPr>
        <w:t>29 de julio de 2026</w:t>
      </w:r>
    </w:p>
    <w:p w14:paraId="6593ABF9" w14:textId="7EE0FE16" w:rsidR="007D685A" w:rsidRPr="00A94CED" w:rsidRDefault="007D685A" w:rsidP="00882CE2">
      <w:pPr>
        <w:spacing w:after="0" w:line="240" w:lineRule="auto"/>
        <w:jc w:val="right"/>
        <w:rPr>
          <w:rFonts w:ascii="Verdana" w:eastAsia="Verdana" w:hAnsi="Verdana" w:cs="Verdana"/>
          <w:kern w:val="2"/>
          <w14:ligatures w14:val="standardContextual"/>
        </w:rPr>
      </w:pPr>
    </w:p>
    <w:p w14:paraId="2DC03375" w14:textId="3BE1ACAA" w:rsidR="00E57B0D" w:rsidRDefault="00E57B0D" w:rsidP="00A94CED">
      <w:pPr>
        <w:spacing w:after="0" w:line="276" w:lineRule="auto"/>
        <w:jc w:val="both"/>
        <w:rPr>
          <w:rFonts w:ascii="Verdana" w:eastAsia="Calibri" w:hAnsi="Verdana" w:cs="Arial"/>
          <w:lang w:val="es-ES" w:eastAsia="es-ES"/>
        </w:rPr>
      </w:pPr>
      <w:r w:rsidRPr="007D685A">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6BD89529" wp14:editId="2B5165A7">
            <wp:simplePos x="0" y="0"/>
            <wp:positionH relativeFrom="margin">
              <wp:align>right</wp:align>
            </wp:positionH>
            <wp:positionV relativeFrom="paragraph">
              <wp:posOffset>11706</wp:posOffset>
            </wp:positionV>
            <wp:extent cx="2332355" cy="917575"/>
            <wp:effectExtent l="0" t="0" r="0" b="0"/>
            <wp:wrapSquare wrapText="bothSides"/>
            <wp:docPr id="2893376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37652" name=""/>
                    <pic:cNvPicPr/>
                  </pic:nvPicPr>
                  <pic:blipFill>
                    <a:blip r:embed="rId10">
                      <a:extLst>
                        <a:ext uri="{28A0092B-C50C-407E-A947-70E740481C1C}">
                          <a14:useLocalDpi xmlns:a14="http://schemas.microsoft.com/office/drawing/2010/main" val="0"/>
                        </a:ext>
                      </a:extLst>
                    </a:blip>
                    <a:stretch>
                      <a:fillRect/>
                    </a:stretch>
                  </pic:blipFill>
                  <pic:spPr>
                    <a:xfrm>
                      <a:off x="0" y="0"/>
                      <a:ext cx="2332355" cy="917575"/>
                    </a:xfrm>
                    <a:prstGeom prst="rect">
                      <a:avLst/>
                    </a:prstGeom>
                  </pic:spPr>
                </pic:pic>
              </a:graphicData>
            </a:graphic>
            <wp14:sizeRelH relativeFrom="margin">
              <wp14:pctWidth>0</wp14:pctWidth>
            </wp14:sizeRelH>
            <wp14:sizeRelV relativeFrom="margin">
              <wp14:pctHeight>0</wp14:pctHeight>
            </wp14:sizeRelV>
          </wp:anchor>
        </w:drawing>
      </w:r>
    </w:p>
    <w:p w14:paraId="6F58D896" w14:textId="7D04CAB6" w:rsidR="00A94CED" w:rsidRPr="00A94CED" w:rsidRDefault="00A94CED" w:rsidP="00A94CED">
      <w:pPr>
        <w:spacing w:after="0" w:line="276" w:lineRule="auto"/>
        <w:jc w:val="both"/>
        <w:rPr>
          <w:rFonts w:ascii="Verdana" w:eastAsia="Calibri" w:hAnsi="Verdana" w:cs="Arial"/>
          <w:lang w:val="es-ES" w:eastAsia="es-ES"/>
        </w:rPr>
      </w:pPr>
      <w:r w:rsidRPr="00A94CED">
        <w:rPr>
          <w:rFonts w:ascii="Verdana" w:eastAsia="Calibri" w:hAnsi="Verdana" w:cs="Arial"/>
          <w:lang w:val="es-ES" w:eastAsia="es-ES"/>
        </w:rPr>
        <w:t>Señora</w:t>
      </w:r>
    </w:p>
    <w:p w14:paraId="3E79F71E" w14:textId="77777777" w:rsidR="00A94CED" w:rsidRPr="00A94CED" w:rsidRDefault="00A94CED" w:rsidP="00A94CED">
      <w:pPr>
        <w:shd w:val="clear" w:color="auto" w:fill="FFFFFF"/>
        <w:spacing w:after="0" w:line="276" w:lineRule="auto"/>
        <w:jc w:val="both"/>
        <w:rPr>
          <w:rFonts w:ascii="Verdana" w:eastAsia="Times New Roman" w:hAnsi="Verdana" w:cs="Arial"/>
          <w:b/>
          <w:bCs/>
          <w:color w:val="242424"/>
          <w:lang w:eastAsia="es-MX"/>
        </w:rPr>
      </w:pPr>
      <w:r w:rsidRPr="00A94CED">
        <w:rPr>
          <w:rFonts w:ascii="Verdana" w:eastAsia="Times New Roman" w:hAnsi="Verdana" w:cs="Arial"/>
          <w:b/>
          <w:bCs/>
          <w:color w:val="242424"/>
          <w:lang w:eastAsia="es-MX"/>
        </w:rPr>
        <w:t>Mónica Torres</w:t>
      </w:r>
    </w:p>
    <w:p w14:paraId="680A17A2" w14:textId="77777777" w:rsidR="00A94CED" w:rsidRPr="00A94CED" w:rsidRDefault="00A94CED" w:rsidP="00A94CED">
      <w:pPr>
        <w:shd w:val="clear" w:color="auto" w:fill="FFFFFF"/>
        <w:spacing w:after="0" w:line="276" w:lineRule="auto"/>
        <w:jc w:val="both"/>
        <w:rPr>
          <w:rFonts w:ascii="Verdana" w:eastAsia="Times New Roman" w:hAnsi="Verdana" w:cs="Calibri"/>
          <w:color w:val="242424"/>
          <w:lang w:eastAsia="es-MX"/>
        </w:rPr>
      </w:pPr>
      <w:r w:rsidRPr="00A94CED">
        <w:rPr>
          <w:rFonts w:ascii="Verdana" w:eastAsia="Times New Roman" w:hAnsi="Verdana" w:cs="Arial"/>
          <w:color w:val="242424"/>
          <w:lang w:eastAsia="es-MX"/>
        </w:rPr>
        <w:t>Ciudad</w:t>
      </w:r>
    </w:p>
    <w:p w14:paraId="1736B3DE" w14:textId="77777777" w:rsidR="007363A0" w:rsidRPr="00A94CED" w:rsidRDefault="007363A0" w:rsidP="00A94CED">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94CED" w:rsidRPr="00A94CED" w14:paraId="054B3631" w14:textId="77777777" w:rsidTr="00933CEA">
        <w:trPr>
          <w:trHeight w:val="884"/>
        </w:trPr>
        <w:tc>
          <w:tcPr>
            <w:tcW w:w="2689" w:type="dxa"/>
          </w:tcPr>
          <w:p w14:paraId="47A11795" w14:textId="77777777" w:rsidR="00A94CED" w:rsidRPr="00A94CED" w:rsidRDefault="00A94CED" w:rsidP="00A94CED">
            <w:pPr>
              <w:jc w:val="both"/>
              <w:rPr>
                <w:rFonts w:ascii="Verdana" w:eastAsia="Calibri" w:hAnsi="Verdana" w:cs="Arial"/>
                <w:b/>
                <w:bCs/>
                <w:color w:val="7030A0"/>
                <w:lang w:val="es-ES_tradnl" w:eastAsia="es-ES_tradnl"/>
              </w:rPr>
            </w:pPr>
          </w:p>
        </w:tc>
        <w:tc>
          <w:tcPr>
            <w:tcW w:w="6100" w:type="dxa"/>
          </w:tcPr>
          <w:p w14:paraId="6F25E8DF" w14:textId="77777777" w:rsidR="007363A0" w:rsidRDefault="007363A0" w:rsidP="00A94CED">
            <w:pPr>
              <w:jc w:val="both"/>
              <w:rPr>
                <w:rFonts w:ascii="Verdana" w:eastAsia="Calibri" w:hAnsi="Verdana" w:cs="Arial"/>
                <w:b/>
                <w:bCs/>
                <w:lang w:val="es-ES" w:eastAsia="es-ES"/>
              </w:rPr>
            </w:pPr>
          </w:p>
          <w:p w14:paraId="3419422F" w14:textId="3D276D8D" w:rsidR="00A94CED" w:rsidRDefault="00A94CED" w:rsidP="00A94CED">
            <w:pPr>
              <w:jc w:val="both"/>
              <w:rPr>
                <w:rFonts w:ascii="Verdana" w:eastAsia="Calibri" w:hAnsi="Verdana" w:cs="Arial"/>
                <w:b/>
                <w:bCs/>
                <w:lang w:val="es-ES" w:eastAsia="es-ES"/>
              </w:rPr>
            </w:pPr>
            <w:r w:rsidRPr="00A94CED">
              <w:rPr>
                <w:rFonts w:ascii="Verdana" w:eastAsia="Calibri" w:hAnsi="Verdana" w:cs="Arial"/>
                <w:b/>
                <w:bCs/>
                <w:lang w:val="es-ES" w:eastAsia="es-ES"/>
              </w:rPr>
              <w:t>Concepto C</w:t>
            </w:r>
            <w:r w:rsidR="00594960">
              <w:rPr>
                <w:rFonts w:ascii="Verdana" w:eastAsia="Calibri" w:hAnsi="Verdana" w:cs="Arial"/>
                <w:b/>
                <w:bCs/>
                <w:lang w:val="es-ES" w:eastAsia="es-ES"/>
              </w:rPr>
              <w:t>-</w:t>
            </w:r>
            <w:r w:rsidRPr="00A94CED">
              <w:rPr>
                <w:rFonts w:ascii="Verdana" w:eastAsia="Calibri" w:hAnsi="Verdana" w:cs="Arial"/>
                <w:b/>
                <w:bCs/>
                <w:lang w:val="es-ES" w:eastAsia="es-ES"/>
              </w:rPr>
              <w:t>968 de 2026</w:t>
            </w:r>
          </w:p>
          <w:p w14:paraId="1FE947A1" w14:textId="77777777" w:rsidR="007363A0" w:rsidRDefault="007363A0" w:rsidP="00A94CED">
            <w:pPr>
              <w:jc w:val="both"/>
              <w:rPr>
                <w:rFonts w:ascii="Verdana" w:eastAsia="Calibri" w:hAnsi="Verdana" w:cs="Arial"/>
                <w:b/>
                <w:bCs/>
                <w:color w:val="7030A0"/>
                <w:lang w:val="es-ES" w:eastAsia="es-ES"/>
              </w:rPr>
            </w:pPr>
          </w:p>
          <w:p w14:paraId="0A1290D7" w14:textId="11AE84B6" w:rsidR="007363A0" w:rsidRPr="00A94CED" w:rsidRDefault="007363A0" w:rsidP="00A94CED">
            <w:pPr>
              <w:jc w:val="both"/>
              <w:rPr>
                <w:rFonts w:ascii="Verdana" w:eastAsia="Calibri" w:hAnsi="Verdana" w:cs="Arial"/>
                <w:b/>
                <w:bCs/>
                <w:color w:val="7030A0"/>
                <w:lang w:val="es-ES" w:eastAsia="es-ES"/>
              </w:rPr>
            </w:pPr>
          </w:p>
        </w:tc>
      </w:tr>
      <w:tr w:rsidR="00A94CED" w:rsidRPr="00A94CED" w14:paraId="0F9C53C7" w14:textId="77777777" w:rsidTr="00933CEA">
        <w:trPr>
          <w:trHeight w:val="884"/>
        </w:trPr>
        <w:tc>
          <w:tcPr>
            <w:tcW w:w="2689" w:type="dxa"/>
          </w:tcPr>
          <w:p w14:paraId="316A9E1D" w14:textId="77777777" w:rsidR="00A94CED" w:rsidRPr="00A94CED" w:rsidRDefault="00A94CED" w:rsidP="00A94CED">
            <w:pPr>
              <w:jc w:val="both"/>
              <w:rPr>
                <w:rFonts w:ascii="Verdana" w:eastAsia="Calibri" w:hAnsi="Verdana" w:cs="Arial"/>
                <w:color w:val="000000"/>
                <w:lang w:val="es-ES_tradnl" w:eastAsia="es-ES_tradnl"/>
              </w:rPr>
            </w:pPr>
            <w:r w:rsidRPr="00A94CED">
              <w:rPr>
                <w:rFonts w:ascii="Verdana" w:eastAsia="Calibri" w:hAnsi="Verdana" w:cs="Arial"/>
                <w:b/>
                <w:color w:val="000000"/>
                <w:lang w:val="es-ES_tradnl" w:eastAsia="es-ES_tradnl"/>
              </w:rPr>
              <w:t>Temas:</w:t>
            </w:r>
            <w:r w:rsidRPr="00A94CED">
              <w:rPr>
                <w:rFonts w:ascii="Verdana" w:eastAsia="Calibri" w:hAnsi="Verdana" w:cs="Arial"/>
                <w:color w:val="000000"/>
                <w:lang w:val="es-ES_tradnl" w:eastAsia="es-ES_tradnl"/>
              </w:rPr>
              <w:t xml:space="preserve">                   </w:t>
            </w:r>
          </w:p>
        </w:tc>
        <w:tc>
          <w:tcPr>
            <w:tcW w:w="6100" w:type="dxa"/>
          </w:tcPr>
          <w:p w14:paraId="62408DBC" w14:textId="77777777" w:rsidR="00A94CED" w:rsidRPr="00A94CED" w:rsidRDefault="00A94CED" w:rsidP="00A94CED">
            <w:pPr>
              <w:snapToGrid w:val="0"/>
              <w:jc w:val="both"/>
              <w:rPr>
                <w:rFonts w:ascii="Verdana" w:eastAsia="Calibri" w:hAnsi="Verdana" w:cs="Arial"/>
                <w:color w:val="000000"/>
                <w:kern w:val="2"/>
                <w:lang w:eastAsia="es-ES_tradnl"/>
                <w14:ligatures w14:val="standardContextual"/>
              </w:rPr>
            </w:pPr>
            <w:r w:rsidRPr="00A94CED">
              <w:rPr>
                <w:rFonts w:ascii="Verdana" w:eastAsia="Aptos" w:hAnsi="Verdana" w:cs="Arial"/>
                <w:color w:val="000000"/>
                <w:lang w:val="es-ES"/>
              </w:rPr>
              <w:t xml:space="preserve">MÍNIMA CUANTÍA – Modalidad de selección / INVITACIÓN – Características / </w:t>
            </w:r>
            <w:r w:rsidRPr="00A94CED">
              <w:rPr>
                <w:rFonts w:ascii="Verdana" w:eastAsia="Aptos" w:hAnsi="Verdana" w:cs="Times New Roman"/>
              </w:rPr>
              <w:t xml:space="preserve">PODER ESPECIAL – Circular Externa Única – Presentación Personal / PODER ESPECIAL – Normativa  / </w:t>
            </w:r>
            <w:r w:rsidRPr="00A94CED">
              <w:rPr>
                <w:rFonts w:ascii="Verdana" w:eastAsia="Aptos" w:hAnsi="Verdana" w:cs="Times New Roman"/>
                <w:lang w:val="es-ES_tradnl"/>
              </w:rPr>
              <w:t>RADICACIÓN DE PROPUESTAS- Poder</w:t>
            </w:r>
            <w:r w:rsidRPr="00A94CED">
              <w:rPr>
                <w:rFonts w:ascii="Verdana" w:eastAsia="Aptos" w:hAnsi="Verdana" w:cs="Times New Roman"/>
                <w:lang w:val="es-ES"/>
              </w:rPr>
              <w:t xml:space="preserve">  </w:t>
            </w:r>
            <w:r w:rsidRPr="00A94CED">
              <w:rPr>
                <w:rFonts w:ascii="Verdana" w:eastAsia="Aptos" w:hAnsi="Verdana" w:cs="Times New Roman"/>
              </w:rPr>
              <w:t xml:space="preserve"> / </w:t>
            </w:r>
            <w:r w:rsidRPr="00A94CED">
              <w:rPr>
                <w:rFonts w:ascii="Verdana" w:eastAsia="Calibri" w:hAnsi="Verdana" w:cs="Arial"/>
                <w:lang w:val="es-ES_tradnl"/>
              </w:rPr>
              <w:t xml:space="preserve">RECHAZO DE LA OFERTA – Falta de firma de la propuesta económica – CAUSALES DE RECHAZO – Causales fijadas en la Ley – Causales determinadas en el Pliego de condiciones / </w:t>
            </w:r>
            <w:r w:rsidRPr="00A94CED">
              <w:rPr>
                <w:rFonts w:ascii="Verdana" w:eastAsia="Calibri" w:hAnsi="Verdana" w:cs="Times New Roman"/>
                <w:lang w:val="es-ES"/>
              </w:rPr>
              <w:t xml:space="preserve">SUBSANABILIDAD – Circunstancias posteriores – Cierre del proceso- Ley 1882 de 2018  / </w:t>
            </w:r>
            <w:r w:rsidRPr="00A94CED">
              <w:rPr>
                <w:rFonts w:ascii="Verdana" w:eastAsia="Times New Roman" w:hAnsi="Verdana" w:cs="Arial"/>
                <w:lang w:val="es-ES" w:eastAsia="es-ES"/>
              </w:rPr>
              <w:t xml:space="preserve">SUBSANABILIDAD – No afecte la asignación de puntaje – Hecho o circunstancia que haya ocurrido con anterioridad al cierre del proceso  / </w:t>
            </w:r>
            <w:r w:rsidRPr="00A94CED">
              <w:rPr>
                <w:rFonts w:ascii="Verdana" w:eastAsia="Calibri" w:hAnsi="Verdana" w:cs="Arial"/>
                <w:lang w:val="es-ES_tradnl"/>
              </w:rPr>
              <w:t xml:space="preserve">DOCUMENTOS TIPO – Fundamento normativo – Obligatoriedad / </w:t>
            </w:r>
            <w:r w:rsidRPr="00A94CED">
              <w:rPr>
                <w:rFonts w:ascii="Verdana" w:eastAsia="Calibri" w:hAnsi="Verdana" w:cs="Times New Roman"/>
                <w:lang w:val="es-ES"/>
              </w:rPr>
              <w:t xml:space="preserve">DOCUMENTOS TIPO – Aplicación – Matriz de Experiencia / </w:t>
            </w:r>
            <w:r w:rsidRPr="00A94CED">
              <w:rPr>
                <w:rFonts w:ascii="Verdana" w:eastAsia="Calibri" w:hAnsi="Verdana" w:cs="Arial"/>
                <w:color w:val="000000"/>
                <w:kern w:val="2"/>
                <w:lang w:eastAsia="es-ES_tradnl"/>
                <w14:ligatures w14:val="standardContextual"/>
              </w:rPr>
              <w:t>DOCUMENTOS TIPO – Criterio de buenas prácticas</w:t>
            </w:r>
          </w:p>
          <w:p w14:paraId="78017109" w14:textId="77777777" w:rsidR="00A94CED" w:rsidRDefault="00A94CED" w:rsidP="00A94CED">
            <w:pPr>
              <w:spacing w:line="276" w:lineRule="auto"/>
              <w:jc w:val="both"/>
              <w:rPr>
                <w:rFonts w:ascii="Verdana" w:eastAsia="Calibri" w:hAnsi="Verdana" w:cs="Arial"/>
                <w:lang w:val="es-ES" w:eastAsia="es-ES"/>
              </w:rPr>
            </w:pPr>
          </w:p>
          <w:p w14:paraId="618A3EE9" w14:textId="77777777" w:rsidR="007363A0" w:rsidRPr="00A94CED" w:rsidRDefault="007363A0" w:rsidP="00A94CED">
            <w:pPr>
              <w:spacing w:line="276" w:lineRule="auto"/>
              <w:jc w:val="both"/>
              <w:rPr>
                <w:rFonts w:ascii="Verdana" w:eastAsia="Calibri" w:hAnsi="Verdana" w:cs="Arial"/>
                <w:lang w:val="es-ES" w:eastAsia="es-ES"/>
              </w:rPr>
            </w:pPr>
          </w:p>
        </w:tc>
      </w:tr>
      <w:tr w:rsidR="00A94CED" w:rsidRPr="00A94CED" w14:paraId="0B96693E" w14:textId="77777777" w:rsidTr="00933CEA">
        <w:trPr>
          <w:trHeight w:val="128"/>
        </w:trPr>
        <w:tc>
          <w:tcPr>
            <w:tcW w:w="2689" w:type="dxa"/>
          </w:tcPr>
          <w:p w14:paraId="7B46B8AE" w14:textId="77777777" w:rsidR="00A94CED" w:rsidRPr="00A94CED" w:rsidRDefault="00A94CED" w:rsidP="00A94CED">
            <w:pPr>
              <w:jc w:val="both"/>
              <w:rPr>
                <w:rFonts w:ascii="Verdana" w:eastAsia="Calibri" w:hAnsi="Verdana" w:cs="Arial"/>
                <w:b/>
                <w:lang w:val="es-ES_tradnl" w:eastAsia="es-ES_tradnl"/>
              </w:rPr>
            </w:pPr>
            <w:r w:rsidRPr="00A94CED">
              <w:rPr>
                <w:rFonts w:ascii="Verdana" w:eastAsia="Calibri" w:hAnsi="Verdana" w:cs="Arial"/>
                <w:b/>
                <w:lang w:val="es-ES_tradnl" w:eastAsia="es-ES_tradnl"/>
              </w:rPr>
              <w:t>Radicación:</w:t>
            </w:r>
            <w:r w:rsidRPr="00A94CED">
              <w:rPr>
                <w:rFonts w:ascii="Verdana" w:eastAsia="Calibri" w:hAnsi="Verdana" w:cs="Arial"/>
                <w:lang w:val="es-ES_tradnl" w:eastAsia="es-ES_tradnl"/>
              </w:rPr>
              <w:t xml:space="preserve">               </w:t>
            </w:r>
          </w:p>
        </w:tc>
        <w:tc>
          <w:tcPr>
            <w:tcW w:w="6100" w:type="dxa"/>
          </w:tcPr>
          <w:p w14:paraId="6327DEAC" w14:textId="77777777" w:rsidR="00A94CED" w:rsidRPr="00A94CED" w:rsidRDefault="00A94CED" w:rsidP="00A94CED">
            <w:pPr>
              <w:spacing w:line="276" w:lineRule="auto"/>
              <w:jc w:val="both"/>
              <w:rPr>
                <w:rFonts w:ascii="Verdana" w:eastAsia="Calibri" w:hAnsi="Verdana" w:cs="Arial"/>
                <w:lang w:val="es-ES_tradnl" w:eastAsia="es-ES_tradnl"/>
              </w:rPr>
            </w:pPr>
            <w:r w:rsidRPr="00A94CED">
              <w:rPr>
                <w:rFonts w:ascii="Verdana" w:eastAsia="Calibri" w:hAnsi="Verdana" w:cs="Arial"/>
                <w:lang w:val="es-ES_tradnl" w:eastAsia="es-ES_tradnl"/>
              </w:rPr>
              <w:t>Respuesta a la consulta con radicado No.</w:t>
            </w:r>
            <w:r w:rsidRPr="00A94CED">
              <w:rPr>
                <w:rFonts w:ascii="Verdana" w:eastAsia="Calibri" w:hAnsi="Verdana" w:cs="Segoe UI"/>
                <w:shd w:val="clear" w:color="auto" w:fill="FFFFFF"/>
              </w:rPr>
              <w:t xml:space="preserve"> 1_2026_06_12_008005</w:t>
            </w:r>
          </w:p>
        </w:tc>
      </w:tr>
    </w:tbl>
    <w:p w14:paraId="2450338F" w14:textId="77777777" w:rsidR="00A94CED" w:rsidRPr="00A94CED" w:rsidRDefault="00A94CED" w:rsidP="00A94CED">
      <w:pPr>
        <w:spacing w:after="0" w:line="240" w:lineRule="auto"/>
        <w:jc w:val="both"/>
        <w:rPr>
          <w:rFonts w:ascii="Verdana" w:eastAsia="Calibri" w:hAnsi="Verdana" w:cs="Arial"/>
          <w:color w:val="000000"/>
          <w:lang w:val="es-ES_tradnl" w:eastAsia="es-ES_tradnl"/>
        </w:rPr>
      </w:pPr>
    </w:p>
    <w:p w14:paraId="33D6CC18" w14:textId="77777777" w:rsidR="00A94CED" w:rsidRPr="00A94CED" w:rsidRDefault="00A94CED" w:rsidP="00A94CED">
      <w:pPr>
        <w:spacing w:after="0" w:line="276" w:lineRule="auto"/>
        <w:jc w:val="both"/>
        <w:rPr>
          <w:rFonts w:ascii="Verdana" w:eastAsia="Calibri" w:hAnsi="Verdana" w:cs="Arial"/>
          <w:lang w:val="es-ES" w:eastAsia="es-ES"/>
        </w:rPr>
      </w:pPr>
      <w:r w:rsidRPr="00A94CED">
        <w:rPr>
          <w:rFonts w:ascii="Verdana" w:eastAsia="Calibri" w:hAnsi="Verdana" w:cs="Arial"/>
          <w:lang w:val="es-ES" w:eastAsia="es-ES"/>
        </w:rPr>
        <w:t xml:space="preserve">Estimada señora Torres: </w:t>
      </w:r>
    </w:p>
    <w:p w14:paraId="526071B6" w14:textId="77777777" w:rsidR="00A94CED" w:rsidRPr="00A94CED" w:rsidRDefault="00A94CED" w:rsidP="00A94CED">
      <w:pPr>
        <w:tabs>
          <w:tab w:val="left" w:pos="3768"/>
        </w:tabs>
        <w:spacing w:after="0" w:line="276" w:lineRule="auto"/>
        <w:jc w:val="both"/>
        <w:rPr>
          <w:rFonts w:ascii="Verdana" w:eastAsia="Calibri" w:hAnsi="Verdana" w:cs="Arial"/>
          <w:color w:val="000000"/>
          <w:lang w:val="es-ES" w:eastAsia="es-ES"/>
        </w:rPr>
      </w:pPr>
    </w:p>
    <w:p w14:paraId="58F72769" w14:textId="77777777" w:rsidR="00A94CED" w:rsidRPr="00A94CED" w:rsidRDefault="00A94CED" w:rsidP="00A94CED">
      <w:pPr>
        <w:spacing w:after="0" w:line="276" w:lineRule="auto"/>
        <w:jc w:val="both"/>
        <w:rPr>
          <w:rFonts w:ascii="Verdana" w:eastAsia="Calibri" w:hAnsi="Verdana" w:cs="Arial"/>
          <w:lang w:val="es-ES" w:eastAsia="es-ES"/>
        </w:rPr>
      </w:pPr>
      <w:r w:rsidRPr="00A94CED">
        <w:rPr>
          <w:rFonts w:ascii="Verdana" w:eastAsia="Calibri" w:hAnsi="Verdana" w:cs="Arial"/>
          <w:lang w:val="es-ES" w:eastAsia="es-ES"/>
        </w:rPr>
        <w:t>En ejercicio de la competencia otorgada por los artículos 3, numeral 5º, y 11, numeral 8º, del Decreto Ley 4170 de 2011,</w:t>
      </w:r>
      <w:r w:rsidRPr="00A94CED">
        <w:rPr>
          <w:rFonts w:ascii="Verdana" w:eastAsia="Arial MT" w:hAnsi="Verdana" w:cs="Arial MT"/>
          <w:lang w:val="es-ES" w:eastAsia="es-ES"/>
        </w:rPr>
        <w:t xml:space="preserve"> </w:t>
      </w:r>
      <w:r w:rsidRPr="00A94CED">
        <w:rPr>
          <w:rFonts w:ascii="Verdana" w:eastAsia="Calibri" w:hAnsi="Verdana" w:cs="Arial"/>
          <w:lang w:eastAsia="es-MX"/>
        </w:rPr>
        <w:t xml:space="preserve">así como lo establecido por la </w:t>
      </w:r>
      <w:r w:rsidRPr="00A94CED">
        <w:rPr>
          <w:rFonts w:ascii="Verdana" w:eastAsia="Aptos" w:hAnsi="Verdana" w:cs="Arial"/>
          <w:bCs/>
          <w:lang w:eastAsia="es-ES" w:bidi="es-ES"/>
        </w:rPr>
        <w:t>Resolución 469 de 2025 expedida por esta Entidad</w:t>
      </w:r>
      <w:r w:rsidRPr="00A94CED">
        <w:rPr>
          <w:rFonts w:ascii="Verdana" w:eastAsia="Calibri" w:hAnsi="Verdana" w:cs="Arial"/>
          <w:lang w:eastAsia="es-MX"/>
        </w:rPr>
        <w:t xml:space="preserve">, </w:t>
      </w:r>
      <w:r w:rsidRPr="00A94CED">
        <w:rPr>
          <w:rFonts w:ascii="Verdana" w:eastAsia="Calibri" w:hAnsi="Verdana" w:cs="Arial"/>
          <w:lang w:val="es-ES" w:eastAsia="es-ES"/>
        </w:rPr>
        <w:t xml:space="preserve">la Agencia Nacional de Contratación Pública – Colombia Compra Eficiente– responde su solicitud de consulta del 12 de junio de 2026, en la cual manifiesta lo siguiente: </w:t>
      </w:r>
    </w:p>
    <w:p w14:paraId="1CAFCE40" w14:textId="77777777" w:rsidR="00A94CED" w:rsidRPr="00A94CED" w:rsidRDefault="00A94CED" w:rsidP="00A94CED">
      <w:pPr>
        <w:shd w:val="clear" w:color="auto" w:fill="FFFFFF"/>
        <w:spacing w:after="0" w:line="240" w:lineRule="atLeast"/>
        <w:jc w:val="both"/>
        <w:rPr>
          <w:rFonts w:ascii="Calibri" w:eastAsia="Times New Roman" w:hAnsi="Calibri" w:cs="Calibri"/>
          <w:color w:val="242424"/>
          <w:lang w:eastAsia="es-MX"/>
        </w:rPr>
      </w:pPr>
      <w:r w:rsidRPr="00A94CED">
        <w:rPr>
          <w:rFonts w:ascii="Arial" w:eastAsia="Times New Roman" w:hAnsi="Arial" w:cs="Arial"/>
          <w:color w:val="242424"/>
          <w:lang w:eastAsia="es-MX"/>
        </w:rPr>
        <w:lastRenderedPageBreak/>
        <w:t> </w:t>
      </w:r>
    </w:p>
    <w:p w14:paraId="1F881E55"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“I.</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OBJETO Y MOTIVACIÓN DE LA CONSULTA </w:t>
      </w:r>
    </w:p>
    <w:p w14:paraId="44005561"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La presente solicitud se eleva con el propósito de que la Agencia Nacional de Contratación Pública – Colombia Compra Eficiente, en ejercicio de su función doctrinal, emita un concepto de alcance general y abstracto respecto a la hermenéutica jurídica que gobierna las cargas de verificación a cargo de las Entidades Estatales en la modalidad de Mínima Cuantía.</w:t>
      </w:r>
    </w:p>
    <w:p w14:paraId="5BD85469"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Esta petición no persigue la resolución de un litigio contractual particular ni la valoración de un expediente en concreto. Su motivación radica en la imperiosa necesidad de delimitar el alcance de las normas generales de contratación frente a la interpretación asimétrica y extensiva que diversos proponentes vienen realizando en el territorio nacional.</w:t>
      </w:r>
    </w:p>
    <w:p w14:paraId="152B28BF"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Específicamente, se busca esclarecer si los precedentes y directrices concebidos de manera taxativa por esta Agencia para los "Documentos Tipo" en procesos de infraestructura de transporte —donde se diferencia el acto material de entrega física del sobre del acto jurídico de suscripción— son aplicables de manera analógica a la modalidad de Selección de Mínima Cuantía, cuyas reglas se consolidan autónomamente en la Invitación Pública en virtud del principio de inalterabilidad. Por consiguiente, se solicita a la Agencia interpretar de manera general el alcance normativo y el límite del deber de debida diligencia de los Comités Evaluadores para garantizar la seguridad jurídica y la protección del erario.</w:t>
      </w:r>
    </w:p>
    <w:p w14:paraId="33C6F0BE"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Esta consulta no es un ejercicio académico aislado; obedece a una tendencia litigiosa donde ciertos oferentes interpretan los conceptos de esta Agencia en un sentido tan laxo y descontextualizado, que pretenden obligar a las Entidades Estatales a aceptar ofertas institucionales desprovistas de las más mínimas garantías de seriedad, idoneidad y certeza sobre su origen.</w:t>
      </w:r>
    </w:p>
    <w:p w14:paraId="720E7C31"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II.</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OBJETO DE LA CONSULTA UNIFICADA Y CONTEXTO JURÍDICO GENERA</w:t>
      </w:r>
    </w:p>
    <w:p w14:paraId="30BF5578"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En ejercicio del derecho de petición contenido en el artículo 23 de la Constitución Política de Colombia, y en concordancia con las facultades asignadas a esta Agencia como ente rector de la contratación estatal, de manera respetuosa se eleva consulta técnica con el propósito de obtener claridad doctrinal respecto a las facultades y deberes que le asisten a los Comités Evaluadores de las Entidades Estatales en la modalidad de Selección de Mínima Cuantía (numeral 5 del artículo 2 de la Ley 1150 de 2007, adicionado por la Ley 1474 de 2011 y reglamentado por el artículo 2.2.1.2.1.5.2 del Decreto 1082 de 2015).</w:t>
      </w:r>
    </w:p>
    <w:p w14:paraId="373EA533"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 xml:space="preserve">Se observa con profunda preocupación un fenómeno de litigio administrativo recurrente y oportunista en el orden territorial, donde </w:t>
      </w:r>
      <w:r w:rsidRPr="00A94CED">
        <w:rPr>
          <w:rFonts w:ascii="Verdana" w:eastAsia="Times New Roman" w:hAnsi="Verdana" w:cs="Arial"/>
          <w:color w:val="242424"/>
          <w:sz w:val="20"/>
          <w:szCs w:val="20"/>
          <w:lang w:eastAsia="es-MX"/>
        </w:rPr>
        <w:lastRenderedPageBreak/>
        <w:t>ciertos proponentes efectúan interpretaciones analógicas y extensivas </w:t>
      </w:r>
      <w:r w:rsidRPr="00A94CED">
        <w:rPr>
          <w:rFonts w:ascii="Verdana" w:eastAsia="Times New Roman" w:hAnsi="Verdana" w:cs="Arial"/>
          <w:i/>
          <w:iCs/>
          <w:color w:val="242424"/>
          <w:sz w:val="20"/>
          <w:szCs w:val="20"/>
          <w:lang w:eastAsia="es-MX"/>
        </w:rPr>
        <w:t xml:space="preserve">in </w:t>
      </w:r>
      <w:proofErr w:type="spellStart"/>
      <w:r w:rsidRPr="00A94CED">
        <w:rPr>
          <w:rFonts w:ascii="Verdana" w:eastAsia="Times New Roman" w:hAnsi="Verdana" w:cs="Arial"/>
          <w:i/>
          <w:iCs/>
          <w:color w:val="242424"/>
          <w:sz w:val="20"/>
          <w:szCs w:val="20"/>
          <w:lang w:eastAsia="es-MX"/>
        </w:rPr>
        <w:t>malam</w:t>
      </w:r>
      <w:proofErr w:type="spellEnd"/>
      <w:r w:rsidRPr="00A94CED">
        <w:rPr>
          <w:rFonts w:ascii="Verdana" w:eastAsia="Times New Roman" w:hAnsi="Verdana" w:cs="Arial"/>
          <w:i/>
          <w:iCs/>
          <w:color w:val="242424"/>
          <w:sz w:val="20"/>
          <w:szCs w:val="20"/>
          <w:lang w:eastAsia="es-MX"/>
        </w:rPr>
        <w:t xml:space="preserve"> </w:t>
      </w:r>
      <w:proofErr w:type="spellStart"/>
      <w:r w:rsidRPr="00A94CED">
        <w:rPr>
          <w:rFonts w:ascii="Verdana" w:eastAsia="Times New Roman" w:hAnsi="Verdana" w:cs="Arial"/>
          <w:i/>
          <w:iCs/>
          <w:color w:val="242424"/>
          <w:sz w:val="20"/>
          <w:szCs w:val="20"/>
          <w:lang w:eastAsia="es-MX"/>
        </w:rPr>
        <w:t>partem</w:t>
      </w:r>
      <w:proofErr w:type="spellEnd"/>
      <w:r w:rsidRPr="00A94CED">
        <w:rPr>
          <w:rFonts w:ascii="Verdana" w:eastAsia="Times New Roman" w:hAnsi="Verdana" w:cs="Arial"/>
          <w:color w:val="242424"/>
          <w:sz w:val="20"/>
          <w:szCs w:val="20"/>
          <w:lang w:eastAsia="es-MX"/>
        </w:rPr>
        <w:t> de los conceptos emitidos por esta Agencia (específicamente líneas doctrinales concebidas de forma taxativa para Documentos Tipo de procesos de infraestructura de transporte regidos por la Ley 1882 de 2018). Estos proponentes pretenden equiparar un acto material de simple mensajería con la radicación desprovista de control y debida diligencia de ofertas económicas que carecen de firmas autógrafas/manuscritas válidas, o que contienen soportes de capacidad jurídica indexados a administraciones territoriales completamente ajenas al proceso de selección en curso.</w:t>
      </w:r>
    </w:p>
    <w:p w14:paraId="79546FBD"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Por lo anterior, se requiere fijar el alcance doctrinal de la autonomía administrativa de las Entidades Estatales para proteger el recurso público mediante el establecimiento de filtros de autenticidad mínimos y razonables en sus Invitaciones Públicas de Mínima Cuantía.</w:t>
      </w:r>
    </w:p>
    <w:p w14:paraId="374F9A2D"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III.</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EL MODELO DE CONFIGURACIÓN TÉCNICA EN LAS INVITACIONES PÚBLICAS Y EL ABSURDO DE LA CONTRATACIÓN A CIEGAS</w:t>
      </w:r>
    </w:p>
    <w:p w14:paraId="03DA7536"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Con el propósito de salvaguardar la seguridad jurídica, la certeza sobre el origen de las ofertas y evitar la suplantación de oferentes, resulta una práctica administrativa legítima el estructurar en las Invitaciones Públicas de Mínima Cuantía una regla que condicione la procedibilidad de la oferta al cumplimiento de filtros mínimos de autenticidad institucional. Bajo este esquema, se exige que cuando la propuesta sea entregada físicamente por un tercero (como un domiciliario o mensajero externo), el proponente valide el origen de la oferta al momento de la radicación mediante una nota de presentación personal (validación notarial), manuscrita original o con firma electrónica, o en su defecto mediante el envío de una autorización digital originada directamente desde el correo electrónico oficial registrado en su RUT o Cámara de Comercio. Asimismo, se establece de forma expresa que, al ser una condición obligatoria de la presentación de la oferta, su ausencia no es subsanable posterior al cierre del proceso.</w:t>
      </w:r>
    </w:p>
    <w:p w14:paraId="6ECF4951"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Sin embargo, frente a este modelo de gestión, ciertos proponentes pretenden imponer una tesis extrema y laxa según la cual, en la modalidad de Mínima Cuantía, las Entidades Estatales están sí o sí obligadas a aceptar, evaluar y habilitar propuestas económicas por el mero hecho de ostentar el menor precio, desconociendo por completo las reglas de la Invitación.</w:t>
      </w:r>
    </w:p>
    <w:p w14:paraId="213CAB2E"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 xml:space="preserve">Bajo esa preocupante postura, el hecho material de la entrega física por un tercero o domiciliario absolutamente anónimo —que acude sin autorización, sin exhibir documento de identidad y entregando un sobre que internamente carece de firmas originales verificables o cuenta con </w:t>
      </w:r>
      <w:r w:rsidRPr="00A94CED">
        <w:rPr>
          <w:rFonts w:ascii="Verdana" w:eastAsia="Times New Roman" w:hAnsi="Verdana" w:cs="Arial"/>
          <w:color w:val="242424"/>
          <w:sz w:val="20"/>
          <w:szCs w:val="20"/>
          <w:lang w:eastAsia="es-MX"/>
        </w:rPr>
        <w:lastRenderedPageBreak/>
        <w:t>firmas presuntamente escaneadas o adulteradas— obligaría a la administración a contratar a ciegas. Sostienen los oferentes que, si la entidad ejerce su deber de debida diligencia y aplica el rechazo por la indebida acreditación de la condición de presentación, la administración debe ser sujeto de inmediatas medidas judiciales, disciplinarias y de control, bajo el absurdo de que el Estado debe someterse a la voluntad de un proponente que manifiesta no tener el interés ni la carga contractual de allegar siquiera un documento mínimo de validación institucional.</w:t>
      </w:r>
    </w:p>
    <w:p w14:paraId="2F7FB5D7"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Esta interpretación desnaturaliza el principio de economía, convirtiéndolo en un patente canal de desprotección del erario, pues la entrega física en tales condiciones de incertidumbre impide trazar si verdaderamente existe la voluntad jurídica del proponente de contraer derechos y obligaciones con el Estado al momento del cierre del proceso.</w:t>
      </w:r>
    </w:p>
    <w:p w14:paraId="516FC070"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IV.</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NÚCLEO TEMÁTICO DE LOS INTERROGANTE</w:t>
      </w:r>
    </w:p>
    <w:p w14:paraId="47365F87"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Con el fin de evitar valoraciones sobre casos concretos y obtener un pronunciamiento de unificación general y abstracto, formulamos a la Agencia el siguiente cuestionario doctrinal</w:t>
      </w:r>
    </w:p>
    <w:p w14:paraId="0BFBABE4" w14:textId="77777777" w:rsidR="00A94CED" w:rsidRPr="00A94CED" w:rsidRDefault="00A94CED" w:rsidP="00A94CED">
      <w:pPr>
        <w:numPr>
          <w:ilvl w:val="0"/>
          <w:numId w:val="18"/>
        </w:numPr>
        <w:shd w:val="clear" w:color="auto" w:fill="FFFFFF"/>
        <w:spacing w:after="120" w:line="240" w:lineRule="auto"/>
        <w:ind w:left="106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¿Es procedente aplicar de manera analógica o extensiva</w:t>
      </w:r>
      <w:r w:rsidRPr="00A94CED">
        <w:rPr>
          <w:rFonts w:ascii="Verdana" w:eastAsia="Times New Roman" w:hAnsi="Verdana" w:cs="Arial"/>
          <w:color w:val="242424"/>
          <w:sz w:val="20"/>
          <w:szCs w:val="20"/>
          <w:lang w:eastAsia="es-MX"/>
        </w:rPr>
        <w:t> los conceptos de esta Agencia relativos a la "entrega física de propuestas por terceros" propios de los Documentos Tipo de Infraestructura de Transporte a los procesos de selección estructurados bajo la modalidad de Mínima Cuantía, considerando la autonomía de configuración técnica e inalterabilidad de las reglas de la Invitación Pública una vez consolidada en firme</w:t>
      </w:r>
    </w:p>
    <w:p w14:paraId="50FE083E" w14:textId="77777777" w:rsidR="00A94CED" w:rsidRPr="00A94CED" w:rsidRDefault="00A94CED" w:rsidP="00A94CED">
      <w:pPr>
        <w:numPr>
          <w:ilvl w:val="0"/>
          <w:numId w:val="19"/>
        </w:numPr>
        <w:shd w:val="clear" w:color="auto" w:fill="FFFFFF"/>
        <w:spacing w:after="120" w:line="240" w:lineRule="auto"/>
        <w:ind w:left="106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¿Constituye una vulneración al Principio de Economía</w:t>
      </w:r>
      <w:r w:rsidRPr="00A94CED">
        <w:rPr>
          <w:rFonts w:ascii="Verdana" w:eastAsia="Times New Roman" w:hAnsi="Verdana" w:cs="Arial"/>
          <w:color w:val="242424"/>
          <w:sz w:val="20"/>
          <w:szCs w:val="20"/>
          <w:lang w:eastAsia="es-MX"/>
        </w:rPr>
        <w:t> (artículo 25 numeral 15 de la Ley 80 de 1993) o a las prohibiciones del artículo 9 de la Ley 1437 de 2011, el que una Entidad Estatal exija en su Invitación Pública de Mínima Cuantía que, cuando la oferta física sea entregada por un tercero domiciliario, se acompañe una autorización escrita simple, un mensaje de datos o correo institucional de validación del proponente o firma manuscrita/electrónica verificable, como mecanismo mínimo para salvaguardar la cadena de custodia, la seriedad y la certeza sobre el origen de las obligaciones administrativas que se contraen con el Estado?</w:t>
      </w:r>
    </w:p>
    <w:p w14:paraId="3C8F1820" w14:textId="77777777" w:rsidR="00A94CED" w:rsidRPr="00A94CED" w:rsidRDefault="00A94CED" w:rsidP="00A94CED">
      <w:pPr>
        <w:numPr>
          <w:ilvl w:val="0"/>
          <w:numId w:val="20"/>
        </w:numPr>
        <w:shd w:val="clear" w:color="auto" w:fill="FFFFFF"/>
        <w:spacing w:after="120" w:line="240" w:lineRule="auto"/>
        <w:ind w:left="106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Teniendo en cuenta que el Comité Evaluador en la modalidad de Mínima Cuantía ejerce funciones expresas de verificación y revisión del cumplimiento de los requisitos exigidos en los pliegos y la ley, </w:t>
      </w:r>
      <w:r w:rsidRPr="00A94CED">
        <w:rPr>
          <w:rFonts w:ascii="Verdana" w:eastAsia="Times New Roman" w:hAnsi="Verdana" w:cs="Arial"/>
          <w:b/>
          <w:bCs/>
          <w:color w:val="242424"/>
          <w:sz w:val="20"/>
          <w:szCs w:val="20"/>
          <w:lang w:eastAsia="es-MX"/>
        </w:rPr>
        <w:t>¿está obligada la Entidad Estatal a habilitar y evaluar una propuesta económica cuya firma manuscrita es ostensiblemente disímil</w:t>
      </w:r>
      <w:r w:rsidRPr="00A94CED">
        <w:rPr>
          <w:rFonts w:ascii="Verdana" w:eastAsia="Times New Roman" w:hAnsi="Verdana" w:cs="Arial"/>
          <w:color w:val="242424"/>
          <w:sz w:val="20"/>
          <w:szCs w:val="20"/>
          <w:lang w:eastAsia="es-MX"/>
        </w:rPr>
        <w:t xml:space="preserve"> a la del documento de identidad del proponente, bajo el argumento de que el Comité carece de peritos o expertos en grafología, o por el contrario, le asiste el deber de exigir la acreditación de idoneidad en </w:t>
      </w:r>
      <w:r w:rsidRPr="00A94CED">
        <w:rPr>
          <w:rFonts w:ascii="Verdana" w:eastAsia="Times New Roman" w:hAnsi="Verdana" w:cs="Arial"/>
          <w:color w:val="242424"/>
          <w:sz w:val="20"/>
          <w:szCs w:val="20"/>
          <w:lang w:eastAsia="es-MX"/>
        </w:rPr>
        <w:lastRenderedPageBreak/>
        <w:t>sede de subsanación para blindar jurídicamente a la administración aun cuando existía la condición previa de presentación de la oferta?</w:t>
      </w:r>
    </w:p>
    <w:p w14:paraId="589D6927" w14:textId="77777777" w:rsidR="00A94CED" w:rsidRPr="00A94CED" w:rsidRDefault="00A94CED" w:rsidP="00A94CED">
      <w:pPr>
        <w:numPr>
          <w:ilvl w:val="0"/>
          <w:numId w:val="21"/>
        </w:numPr>
        <w:shd w:val="clear" w:color="auto" w:fill="FFFFFF"/>
        <w:spacing w:after="120" w:line="240" w:lineRule="auto"/>
        <w:ind w:left="106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¿Está obligada una Entidad Estatal</w:t>
      </w:r>
      <w:r w:rsidRPr="00A94CED">
        <w:rPr>
          <w:rFonts w:ascii="Verdana" w:eastAsia="Times New Roman" w:hAnsi="Verdana" w:cs="Arial"/>
          <w:color w:val="242424"/>
          <w:sz w:val="20"/>
          <w:szCs w:val="20"/>
          <w:lang w:eastAsia="es-MX"/>
        </w:rPr>
        <w:t>, en el marco de la selección objetiva y el principio de debida diligencia, </w:t>
      </w:r>
      <w:r w:rsidRPr="00A94CED">
        <w:rPr>
          <w:rFonts w:ascii="Verdana" w:eastAsia="Times New Roman" w:hAnsi="Verdana" w:cs="Arial"/>
          <w:b/>
          <w:bCs/>
          <w:color w:val="242424"/>
          <w:sz w:val="20"/>
          <w:szCs w:val="20"/>
          <w:lang w:eastAsia="es-MX"/>
        </w:rPr>
        <w:t>a aceptar como válido un requisito habilitante de capacidad jurídica tal como lo es la Declaración Juramentada de Bienes, Rentas y Conflictos de Interés</w:t>
      </w:r>
      <w:r w:rsidRPr="00A94CED">
        <w:rPr>
          <w:rFonts w:ascii="Verdana" w:eastAsia="Times New Roman" w:hAnsi="Verdana" w:cs="Arial"/>
          <w:color w:val="242424"/>
          <w:sz w:val="20"/>
          <w:szCs w:val="20"/>
          <w:lang w:eastAsia="es-MX"/>
        </w:rPr>
        <w:t> de la Ley 2013 de 2019, cuando en su cuerpo textual aparece direccionado e indexado expresamente a un organismo o municipio demandante completamente ajeno e independiente al de la Entidad Estatal contratante?</w:t>
      </w:r>
    </w:p>
    <w:p w14:paraId="29D7DBBB" w14:textId="77777777" w:rsidR="00A94CED" w:rsidRPr="00A94CED" w:rsidRDefault="00A94CED" w:rsidP="00A94CED">
      <w:pPr>
        <w:numPr>
          <w:ilvl w:val="0"/>
          <w:numId w:val="22"/>
        </w:numPr>
        <w:shd w:val="clear" w:color="auto" w:fill="FFFFFF"/>
        <w:spacing w:after="120" w:line="240" w:lineRule="auto"/>
        <w:ind w:left="106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¿Constituye una oferta jurídicamente inexistente y, por ende, insubsanable</w:t>
      </w:r>
      <w:r w:rsidRPr="00A94CED">
        <w:rPr>
          <w:rFonts w:ascii="Verdana" w:eastAsia="Times New Roman" w:hAnsi="Verdana" w:cs="Arial"/>
          <w:color w:val="242424"/>
          <w:sz w:val="20"/>
          <w:szCs w:val="20"/>
          <w:lang w:eastAsia="es-MX"/>
        </w:rPr>
        <w:t>, aquella propuesta presentada en sobre físico por un tercero que carece de autorización, cuando se constata que los documentos internos relativos a la propuesta económica y seriedad de la oferta carecen de firma manuscrita, digital o electrónica verificable al momento del cierre del proceso, mediando la renuencia expresa del oferente a convalidar la autoría de la misma?</w:t>
      </w:r>
    </w:p>
    <w:p w14:paraId="59155140" w14:textId="77777777" w:rsidR="00A94CED" w:rsidRPr="00A94CED" w:rsidRDefault="00A94CED" w:rsidP="00A94CED">
      <w:pPr>
        <w:numPr>
          <w:ilvl w:val="0"/>
          <w:numId w:val="23"/>
        </w:numPr>
        <w:shd w:val="clear" w:color="auto" w:fill="FFFFFF"/>
        <w:spacing w:after="120" w:line="240" w:lineRule="auto"/>
        <w:ind w:left="106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¿Cuál es el estándar de seguridad jurídica y control de legalidad</w:t>
      </w:r>
      <w:r w:rsidRPr="00A94CED">
        <w:rPr>
          <w:rFonts w:ascii="Verdana" w:eastAsia="Times New Roman" w:hAnsi="Verdana" w:cs="Arial"/>
          <w:color w:val="242424"/>
          <w:sz w:val="20"/>
          <w:szCs w:val="20"/>
          <w:lang w:eastAsia="es-MX"/>
        </w:rPr>
        <w:t> que gobierna el poder de la administración pública para evitar que los términos de subsanación sean utilizados de manera estratégica por los proponentes para evadir el cumplimiento de las condiciones fijadas previamente en la planeación contractual y la protección del recurso público?</w:t>
      </w:r>
    </w:p>
    <w:p w14:paraId="21DAE68F"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V.</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FUNDAMENTOS TÉCNICOS DE LA CONSULTA</w:t>
      </w:r>
    </w:p>
    <w:p w14:paraId="65CBBB69"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La interpretación armónica del Estatuto General de Contratación de la Administración Pública sustenta la facultad de verificación de las Entidades Estatales en los siguientes tres ejes normativos:</w:t>
      </w:r>
    </w:p>
    <w:p w14:paraId="53E1A594" w14:textId="3C4F06DF"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1.</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Inaplicabilidad de las reglas de Documentos Tipo a la Mínima Cuantí</w:t>
      </w:r>
      <w:r w:rsidR="002E2365">
        <w:rPr>
          <w:rFonts w:ascii="Verdana" w:eastAsia="Times New Roman" w:hAnsi="Verdana" w:cs="Arial"/>
          <w:b/>
          <w:bCs/>
          <w:color w:val="242424"/>
          <w:sz w:val="20"/>
          <w:szCs w:val="20"/>
          <w:lang w:eastAsia="es-MX"/>
        </w:rPr>
        <w:t>a</w:t>
      </w:r>
    </w:p>
    <w:p w14:paraId="1299F0F7"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Los Documentos Tipo adoptados por el Gobierno Nacional mediante la Ley 1882 de 2018 gozan de una rigidez normativa excepcional y específica para la infraestructura de transporte. Intentar trasladar mecánicamente la tesis de que "la entrega es un acto meramente material que no requiere representación" a una Mínima Cuantía desconoce la naturaleza de esta modalidad ágil, donde la Invitación Pública se constituye en la ley perentoria del proceso si no fue objetada en la etapa de observaciones.</w:t>
      </w:r>
    </w:p>
    <w:p w14:paraId="36BDF12C"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 xml:space="preserve">Es imperativo denotar que la exigencia de canales mínimos de validación de la entrega material (como el uso del correo institucional registrado en el RUT) no constituye una "barrera ritual excesiva", sino un mecanismo indispensable de mitigación del riesgo de fraude por suplantación. Permitir el extremo inverso implicaría transferir a las Entidades Estatales la carga </w:t>
      </w:r>
      <w:r w:rsidRPr="00A94CED">
        <w:rPr>
          <w:rFonts w:ascii="Verdana" w:eastAsia="Times New Roman" w:hAnsi="Verdana" w:cs="Arial"/>
          <w:color w:val="242424"/>
          <w:sz w:val="20"/>
          <w:szCs w:val="20"/>
          <w:lang w:eastAsia="es-MX"/>
        </w:rPr>
        <w:lastRenderedPageBreak/>
        <w:t>desproporcionada de soportar ofertas fantasmas o adulteradas. El principio de economía no puede ser interpretado como un mandato de desprotección o de asunción de riesgos de fraude contra la administración pública.</w:t>
      </w:r>
    </w:p>
    <w:p w14:paraId="2FD9FCBA"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2.</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 xml:space="preserve">La firma como presupuesto existencial del acto jurídico </w:t>
      </w:r>
      <w:proofErr w:type="spellStart"/>
      <w:r w:rsidRPr="00A94CED">
        <w:rPr>
          <w:rFonts w:ascii="Verdana" w:eastAsia="Times New Roman" w:hAnsi="Verdana" w:cs="Arial"/>
          <w:b/>
          <w:bCs/>
          <w:color w:val="242424"/>
          <w:sz w:val="20"/>
          <w:szCs w:val="20"/>
          <w:lang w:eastAsia="es-MX"/>
        </w:rPr>
        <w:t>prenegocial</w:t>
      </w:r>
      <w:proofErr w:type="spellEnd"/>
    </w:p>
    <w:p w14:paraId="58C139F2"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 xml:space="preserve">Si bien el Comité Evaluador no ejerce funciones judiciales ni cuenta con expertos forenses en grafología, la jurisprudencia del Consejo de Estado señala que la propuesta es una </w:t>
      </w:r>
      <w:proofErr w:type="spellStart"/>
      <w:r w:rsidRPr="00A94CED">
        <w:rPr>
          <w:rFonts w:ascii="Verdana" w:eastAsia="Times New Roman" w:hAnsi="Verdana" w:cs="Arial"/>
          <w:color w:val="242424"/>
          <w:sz w:val="20"/>
          <w:szCs w:val="20"/>
          <w:lang w:eastAsia="es-MX"/>
        </w:rPr>
        <w:t>manifestation</w:t>
      </w:r>
      <w:proofErr w:type="spellEnd"/>
      <w:r w:rsidRPr="00A94CED">
        <w:rPr>
          <w:rFonts w:ascii="Verdana" w:eastAsia="Times New Roman" w:hAnsi="Verdana" w:cs="Arial"/>
          <w:color w:val="242424"/>
          <w:sz w:val="20"/>
          <w:szCs w:val="20"/>
          <w:lang w:eastAsia="es-MX"/>
        </w:rPr>
        <w:t xml:space="preserve"> expresa de voluntad que genera derechos y obligaciones desde su presentación. Permitir la radicación de ofertas con firmas visiblemente adulteradas, copiadas y pegadas digitalmente sin un mínimo de validación (como un correo oficial o una autorización simple) despoja a la administración del principio de seguridad jurídica, dejándola expuesta a impugnaciones por suplantación de identidad o falta de consentimiento real en la futura suscripción del contrato.</w:t>
      </w:r>
    </w:p>
    <w:p w14:paraId="07D8D29B" w14:textId="77777777" w:rsidR="00A94CED" w:rsidRPr="00A94CED" w:rsidRDefault="00A94CED" w:rsidP="00A94CED">
      <w:pPr>
        <w:shd w:val="clear" w:color="auto" w:fill="FFFFFF"/>
        <w:spacing w:after="12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b/>
          <w:bCs/>
          <w:color w:val="242424"/>
          <w:sz w:val="20"/>
          <w:szCs w:val="20"/>
          <w:lang w:eastAsia="es-MX"/>
        </w:rPr>
        <w:t>3.</w:t>
      </w:r>
      <w:r w:rsidRPr="00A94CED">
        <w:rPr>
          <w:rFonts w:ascii="Verdana" w:eastAsia="Times New Roman" w:hAnsi="Verdana" w:cs="Times New Roman"/>
          <w:b/>
          <w:bCs/>
          <w:color w:val="242424"/>
          <w:sz w:val="20"/>
          <w:szCs w:val="20"/>
          <w:lang w:eastAsia="es-MX"/>
        </w:rPr>
        <w:t>     </w:t>
      </w:r>
      <w:r w:rsidRPr="00A94CED">
        <w:rPr>
          <w:rFonts w:ascii="Verdana" w:eastAsia="Times New Roman" w:hAnsi="Verdana" w:cs="Arial"/>
          <w:b/>
          <w:bCs/>
          <w:color w:val="242424"/>
          <w:sz w:val="20"/>
          <w:szCs w:val="20"/>
          <w:lang w:eastAsia="es-MX"/>
        </w:rPr>
        <w:t>El principio de especialidad y dirección formal en la Ley 2013 de 2019</w:t>
      </w:r>
    </w:p>
    <w:p w14:paraId="2414480C" w14:textId="77777777" w:rsidR="00A94CED" w:rsidRPr="00A94CED" w:rsidRDefault="00A94CED" w:rsidP="00A94CED">
      <w:pPr>
        <w:shd w:val="clear" w:color="auto" w:fill="FFFFFF"/>
        <w:spacing w:after="0" w:line="240" w:lineRule="auto"/>
        <w:ind w:left="709" w:right="709"/>
        <w:jc w:val="both"/>
        <w:rPr>
          <w:rFonts w:ascii="Verdana" w:eastAsia="Times New Roman" w:hAnsi="Verdana" w:cs="Calibri"/>
          <w:color w:val="242424"/>
          <w:sz w:val="20"/>
          <w:szCs w:val="20"/>
          <w:lang w:eastAsia="es-MX"/>
        </w:rPr>
      </w:pPr>
      <w:r w:rsidRPr="00A94CED">
        <w:rPr>
          <w:rFonts w:ascii="Verdana" w:eastAsia="Times New Roman" w:hAnsi="Verdana" w:cs="Arial"/>
          <w:color w:val="242424"/>
          <w:sz w:val="20"/>
          <w:szCs w:val="20"/>
          <w:lang w:eastAsia="es-MX"/>
        </w:rPr>
        <w:t>La Declaración de Bienes y Rentas y Conflictos de Interés no es un formato inerte para adjuntar por mera ritualidad formal. Su fin esencial es preventivo: identificar colisiones de intereses específicas respecto de la Entidad ante la cual se pretende contratar. Consecuentemente, un documento formalmente direccionado a una Entidad ajena carece de idoneidad material para surtir los fines de transparencia del proceso que adelanta otra administración, puesto que ninguna entidad del Estado está obligada legalmente a aceptar documentos indexados y reportados ante otra jurisdicción administrativa”.</w:t>
      </w:r>
    </w:p>
    <w:p w14:paraId="391CAFA1" w14:textId="77777777" w:rsidR="00A94CED" w:rsidRPr="00A94CED" w:rsidRDefault="00A94CED" w:rsidP="00A94CED">
      <w:pPr>
        <w:tabs>
          <w:tab w:val="left" w:pos="3768"/>
        </w:tabs>
        <w:spacing w:after="0" w:line="276" w:lineRule="auto"/>
        <w:jc w:val="both"/>
        <w:rPr>
          <w:rFonts w:ascii="Verdana" w:eastAsia="Calibri" w:hAnsi="Verdana" w:cs="Arial"/>
          <w:color w:val="000000"/>
          <w:lang w:val="es-ES" w:eastAsia="es-ES"/>
        </w:rPr>
      </w:pPr>
    </w:p>
    <w:p w14:paraId="1C8A80F7" w14:textId="77777777" w:rsidR="00A94CED" w:rsidRPr="00A94CED" w:rsidRDefault="00A94CED" w:rsidP="00A94CED">
      <w:pPr>
        <w:spacing w:after="120" w:line="276" w:lineRule="auto"/>
        <w:ind w:firstLine="709"/>
        <w:jc w:val="both"/>
        <w:rPr>
          <w:rFonts w:ascii="Verdana" w:eastAsia="Calibri" w:hAnsi="Verdana" w:cs="Arial"/>
          <w:color w:val="000000"/>
          <w:lang w:val="es-ES" w:eastAsia="es-ES"/>
        </w:rPr>
      </w:pPr>
      <w:r w:rsidRPr="00A94CED">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94CED">
        <w:rPr>
          <w:rFonts w:ascii="Verdana" w:eastAsia="Calibri" w:hAnsi="Verdana" w:cs="Arial"/>
          <w:color w:val="000000"/>
          <w:szCs w:val="24"/>
          <w:lang w:val="es-ES_tradnl" w:eastAsia="es-ES_tradnl"/>
        </w:rPr>
        <w:tab/>
      </w:r>
    </w:p>
    <w:p w14:paraId="08825688" w14:textId="77777777" w:rsidR="00A94CED" w:rsidRPr="00A94CED" w:rsidRDefault="00A94CED" w:rsidP="00A94CED">
      <w:pPr>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lastRenderedPageBreak/>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0B3E47DF" w14:textId="77777777" w:rsidR="00A94CED" w:rsidRPr="00A94CED" w:rsidRDefault="00A94CED" w:rsidP="00A94CED">
      <w:pPr>
        <w:spacing w:after="0" w:line="276" w:lineRule="auto"/>
        <w:jc w:val="both"/>
        <w:rPr>
          <w:rFonts w:ascii="Verdana" w:eastAsia="Calibri" w:hAnsi="Verdana" w:cs="Arial"/>
          <w:color w:val="000000"/>
          <w:lang w:val="es-ES" w:eastAsia="es-ES"/>
        </w:rPr>
      </w:pPr>
    </w:p>
    <w:p w14:paraId="6F57ECC8" w14:textId="77777777" w:rsidR="00A94CED" w:rsidRPr="00A94CED" w:rsidRDefault="00A94CED" w:rsidP="00A94CED">
      <w:pPr>
        <w:numPr>
          <w:ilvl w:val="0"/>
          <w:numId w:val="24"/>
        </w:numPr>
        <w:tabs>
          <w:tab w:val="left" w:pos="142"/>
          <w:tab w:val="left" w:pos="284"/>
        </w:tabs>
        <w:spacing w:after="0" w:line="276" w:lineRule="auto"/>
        <w:contextualSpacing/>
        <w:jc w:val="both"/>
        <w:rPr>
          <w:rFonts w:ascii="Verdana" w:eastAsia="Century Gothic" w:hAnsi="Verdana" w:cs="Century Gothic"/>
          <w:b/>
          <w:bCs/>
          <w:lang w:val="es-ES"/>
        </w:rPr>
      </w:pPr>
      <w:r w:rsidRPr="00A94CED">
        <w:rPr>
          <w:rFonts w:ascii="Verdana" w:eastAsia="Century Gothic" w:hAnsi="Verdana" w:cs="Century Gothic"/>
          <w:b/>
          <w:bCs/>
          <w:lang w:val="es-ES"/>
        </w:rPr>
        <w:t>Problema planteado:</w:t>
      </w:r>
    </w:p>
    <w:p w14:paraId="1B23AC65" w14:textId="77777777" w:rsidR="00A94CED" w:rsidRPr="00A94CED" w:rsidRDefault="00A94CED" w:rsidP="00A94CED">
      <w:pPr>
        <w:tabs>
          <w:tab w:val="left" w:pos="426"/>
        </w:tabs>
        <w:spacing w:after="0" w:line="276" w:lineRule="auto"/>
        <w:jc w:val="both"/>
        <w:rPr>
          <w:rFonts w:ascii="Verdana" w:eastAsia="Century Gothic" w:hAnsi="Verdana" w:cs="Century Gothic"/>
          <w:lang w:val="es-ES"/>
        </w:rPr>
      </w:pPr>
    </w:p>
    <w:p w14:paraId="42995C35" w14:textId="607CFE34" w:rsidR="00A94CED" w:rsidRPr="00A94CED" w:rsidRDefault="00A94CED" w:rsidP="00A94CED">
      <w:pPr>
        <w:spacing w:after="0" w:line="276" w:lineRule="auto"/>
        <w:jc w:val="both"/>
        <w:rPr>
          <w:rFonts w:ascii="Verdana" w:eastAsia="Century Gothic" w:hAnsi="Verdana" w:cs="Century Gothic"/>
        </w:rPr>
      </w:pPr>
      <w:r w:rsidRPr="00A94CED">
        <w:rPr>
          <w:rFonts w:ascii="Verdana" w:eastAsia="Century Gothic" w:hAnsi="Verdana" w:cs="Century Gothic"/>
        </w:rPr>
        <w:t xml:space="preserve">Conforme al contenido de su solicitud, esta Agencia resolverá los siguientes problemas jurídicos: i) ¿Las </w:t>
      </w:r>
      <w:r w:rsidRPr="00A94CED">
        <w:rPr>
          <w:rFonts w:ascii="Verdana" w:eastAsia="Aptos" w:hAnsi="Verdana" w:cs="Times New Roman"/>
          <w:kern w:val="2"/>
          <w14:ligatures w14:val="standardContextual"/>
        </w:rPr>
        <w:t xml:space="preserve">Entidades Estatales, en virtud de la autonomía de la voluntad y de la discrecionalidad que se les reconoce, pueden configurar libremente las reglas y exigencias de la invitación a participar en los procesos de selección de mínima cuantía?, </w:t>
      </w:r>
      <w:proofErr w:type="spellStart"/>
      <w:r w:rsidRPr="00A94CED">
        <w:rPr>
          <w:rFonts w:ascii="Verdana" w:eastAsia="Aptos" w:hAnsi="Verdana" w:cs="Times New Roman"/>
          <w:kern w:val="2"/>
          <w14:ligatures w14:val="standardContextual"/>
        </w:rPr>
        <w:t>ii</w:t>
      </w:r>
      <w:proofErr w:type="spellEnd"/>
      <w:r w:rsidRPr="00A94CED">
        <w:rPr>
          <w:rFonts w:ascii="Verdana" w:eastAsia="Aptos" w:hAnsi="Verdana" w:cs="Times New Roman"/>
          <w:kern w:val="2"/>
          <w14:ligatures w14:val="standardContextual"/>
        </w:rPr>
        <w:t xml:space="preserve">) ¿Es procedente exigir poder u otra formalidad para la radicación física de la oferta en un proceso de mínima cuantía?, </w:t>
      </w:r>
      <w:proofErr w:type="spellStart"/>
      <w:r w:rsidRPr="00A94CED">
        <w:rPr>
          <w:rFonts w:ascii="Verdana" w:eastAsia="Aptos" w:hAnsi="Verdana" w:cs="Times New Roman"/>
          <w:kern w:val="2"/>
          <w14:ligatures w14:val="standardContextual"/>
        </w:rPr>
        <w:t>iii</w:t>
      </w:r>
      <w:proofErr w:type="spellEnd"/>
      <w:r w:rsidRPr="00A94CED">
        <w:rPr>
          <w:rFonts w:ascii="Verdana" w:eastAsia="Aptos" w:hAnsi="Verdana" w:cs="Times New Roman"/>
          <w:kern w:val="2"/>
          <w14:ligatures w14:val="standardContextual"/>
        </w:rPr>
        <w:t xml:space="preserve">) </w:t>
      </w:r>
      <w:r w:rsidRPr="00A94CED">
        <w:rPr>
          <w:rFonts w:ascii="Verdana" w:eastAsia="Century Gothic" w:hAnsi="Verdana" w:cs="Century Gothic"/>
          <w:kern w:val="2"/>
          <w14:ligatures w14:val="standardContextual"/>
        </w:rPr>
        <w:t xml:space="preserve">¿En un proceso precontractual adelantado a través </w:t>
      </w:r>
      <w:r w:rsidR="006719E2">
        <w:rPr>
          <w:rFonts w:ascii="Verdana" w:eastAsia="Century Gothic" w:hAnsi="Verdana" w:cs="Century Gothic"/>
          <w:kern w:val="2"/>
          <w14:ligatures w14:val="standardContextual"/>
        </w:rPr>
        <w:t xml:space="preserve">del </w:t>
      </w:r>
      <w:r w:rsidRPr="00A94CED">
        <w:rPr>
          <w:rFonts w:ascii="Verdana" w:eastAsia="Century Gothic" w:hAnsi="Verdana" w:cs="Century Gothic"/>
          <w:kern w:val="2"/>
          <w14:ligatures w14:val="standardContextual"/>
        </w:rPr>
        <w:t xml:space="preserve">SECOP I, la oferta económica presentada sin la firma del proponente debe ser rechazada?, </w:t>
      </w:r>
      <w:proofErr w:type="spellStart"/>
      <w:r w:rsidRPr="00A94CED">
        <w:rPr>
          <w:rFonts w:ascii="Verdana" w:eastAsia="Century Gothic" w:hAnsi="Verdana" w:cs="Century Gothic"/>
          <w:kern w:val="2"/>
          <w14:ligatures w14:val="standardContextual"/>
        </w:rPr>
        <w:t>iv</w:t>
      </w:r>
      <w:proofErr w:type="spellEnd"/>
      <w:r w:rsidRPr="00A94CED">
        <w:rPr>
          <w:rFonts w:ascii="Verdana" w:eastAsia="Century Gothic" w:hAnsi="Verdana" w:cs="Century Gothic"/>
          <w:kern w:val="2"/>
          <w14:ligatures w14:val="standardContextual"/>
        </w:rPr>
        <w:t xml:space="preserve">) ¿Cuál es el alcance de la </w:t>
      </w:r>
      <w:proofErr w:type="spellStart"/>
      <w:r w:rsidRPr="00A94CED">
        <w:rPr>
          <w:rFonts w:ascii="Verdana" w:eastAsia="Century Gothic" w:hAnsi="Verdana" w:cs="Century Gothic"/>
          <w:kern w:val="2"/>
          <w14:ligatures w14:val="standardContextual"/>
        </w:rPr>
        <w:t>subsanabildiad</w:t>
      </w:r>
      <w:proofErr w:type="spellEnd"/>
      <w:r w:rsidRPr="00A94CED">
        <w:rPr>
          <w:rFonts w:ascii="Verdana" w:eastAsia="Century Gothic" w:hAnsi="Verdana" w:cs="Century Gothic"/>
          <w:kern w:val="2"/>
          <w14:ligatures w14:val="standardContextual"/>
        </w:rPr>
        <w:t xml:space="preserve"> de las ofertas? y v) ¿</w:t>
      </w:r>
      <w:r w:rsidRPr="00A94CED">
        <w:rPr>
          <w:rFonts w:ascii="Verdana" w:eastAsia="Aptos" w:hAnsi="Verdana" w:cs="Times New Roman"/>
          <w:kern w:val="2"/>
          <w14:ligatures w14:val="standardContextual"/>
        </w:rPr>
        <w:t xml:space="preserve">Los proponentes interesados en un </w:t>
      </w:r>
      <w:r w:rsidR="00A43ECC">
        <w:rPr>
          <w:rFonts w:ascii="Verdana" w:eastAsia="Aptos" w:hAnsi="Verdana" w:cs="Times New Roman"/>
          <w:kern w:val="2"/>
          <w14:ligatures w14:val="standardContextual"/>
        </w:rPr>
        <w:t>P</w:t>
      </w:r>
      <w:r w:rsidRPr="00A94CED">
        <w:rPr>
          <w:rFonts w:ascii="Verdana" w:eastAsia="Aptos" w:hAnsi="Verdana" w:cs="Times New Roman"/>
          <w:kern w:val="2"/>
          <w14:ligatures w14:val="standardContextual"/>
        </w:rPr>
        <w:t xml:space="preserve">roceso de </w:t>
      </w:r>
      <w:r w:rsidR="00A43ECC">
        <w:rPr>
          <w:rFonts w:ascii="Verdana" w:eastAsia="Aptos" w:hAnsi="Verdana" w:cs="Times New Roman"/>
          <w:kern w:val="2"/>
          <w14:ligatures w14:val="standardContextual"/>
        </w:rPr>
        <w:t>C</w:t>
      </w:r>
      <w:r w:rsidRPr="00A94CED">
        <w:rPr>
          <w:rFonts w:ascii="Verdana" w:eastAsia="Aptos" w:hAnsi="Verdana" w:cs="Times New Roman"/>
          <w:kern w:val="2"/>
          <w14:ligatures w14:val="standardContextual"/>
        </w:rPr>
        <w:t>ontratación que se adelanta por fuera del ámbito de aplicación de los documentos tipo expedidos por la Agencia Nacional de Contratación Pública – Colombia Compra Eficiente pueden pretender extender su aplicación a dicho proceso, cuando la Entidad ha determinado que estos no le resultan obligatorios?</w:t>
      </w:r>
    </w:p>
    <w:p w14:paraId="10733BF7" w14:textId="77777777" w:rsidR="00A94CED" w:rsidRPr="00A94CED" w:rsidRDefault="00A94CED" w:rsidP="00A94CED">
      <w:pPr>
        <w:spacing w:after="0" w:line="276" w:lineRule="auto"/>
        <w:jc w:val="both"/>
        <w:rPr>
          <w:rFonts w:ascii="Verdana" w:eastAsia="Calibri" w:hAnsi="Verdana" w:cs="Arial"/>
          <w:color w:val="000000"/>
          <w:lang w:eastAsia="es-ES"/>
        </w:rPr>
      </w:pPr>
    </w:p>
    <w:p w14:paraId="2FD03CFC" w14:textId="77777777" w:rsidR="00A94CED" w:rsidRPr="00A94CED" w:rsidRDefault="00A94CED" w:rsidP="00A94CED">
      <w:pPr>
        <w:numPr>
          <w:ilvl w:val="0"/>
          <w:numId w:val="24"/>
        </w:numPr>
        <w:spacing w:after="0" w:line="276" w:lineRule="auto"/>
        <w:contextualSpacing/>
        <w:jc w:val="both"/>
        <w:rPr>
          <w:rFonts w:ascii="Verdana" w:eastAsia="Calibri" w:hAnsi="Verdana" w:cs="Arial"/>
          <w:b/>
          <w:bCs/>
          <w:color w:val="000000"/>
          <w:lang w:val="es-ES" w:eastAsia="es-ES"/>
        </w:rPr>
      </w:pPr>
      <w:r w:rsidRPr="00A94CED">
        <w:rPr>
          <w:rFonts w:ascii="Verdana" w:eastAsia="Calibri" w:hAnsi="Verdana" w:cs="Arial"/>
          <w:b/>
          <w:bCs/>
          <w:color w:val="000000"/>
          <w:lang w:val="es-ES" w:eastAsia="es-ES"/>
        </w:rPr>
        <w:t>Respuesta:</w:t>
      </w:r>
    </w:p>
    <w:p w14:paraId="62C0699C" w14:textId="77777777" w:rsidR="00A94CED" w:rsidRPr="00A94CED" w:rsidRDefault="00A94CED" w:rsidP="00A94CED">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94CED" w:rsidRPr="00A94CED" w14:paraId="3B22596D" w14:textId="77777777" w:rsidTr="00933CEA">
        <w:trPr>
          <w:jc w:val="center"/>
        </w:trPr>
        <w:tc>
          <w:tcPr>
            <w:tcW w:w="8828" w:type="dxa"/>
          </w:tcPr>
          <w:p w14:paraId="0AA06C41" w14:textId="77777777" w:rsidR="00A94CED" w:rsidRPr="00A94CED" w:rsidRDefault="00A94CED" w:rsidP="00A94CED">
            <w:pPr>
              <w:spacing w:after="120" w:line="276" w:lineRule="auto"/>
              <w:ind w:right="49"/>
              <w:jc w:val="both"/>
              <w:rPr>
                <w:rFonts w:ascii="Verdana" w:eastAsia="Calibri" w:hAnsi="Verdana" w:cs="Arial"/>
                <w:color w:val="000000"/>
                <w:lang w:val="es-ES"/>
              </w:rPr>
            </w:pPr>
            <w:bookmarkStart w:id="1" w:name="_Hlk171694685"/>
            <w:r w:rsidRPr="00A94CED">
              <w:rPr>
                <w:rFonts w:ascii="Verdana" w:eastAsia="Calibri" w:hAnsi="Verdana" w:cs="Arial"/>
                <w:lang w:val="es-ES_tradnl"/>
              </w:rPr>
              <w:t xml:space="preserve">i. </w:t>
            </w:r>
            <w:r w:rsidRPr="00A94CED">
              <w:rPr>
                <w:rFonts w:ascii="Verdana" w:eastAsia="Calibri" w:hAnsi="Verdana" w:cs="Arial"/>
                <w:lang w:val="es-ES"/>
              </w:rPr>
              <w:t xml:space="preserve">La </w:t>
            </w:r>
            <w:r w:rsidRPr="00A94CED">
              <w:rPr>
                <w:rFonts w:ascii="Verdana" w:eastAsia="Calibri" w:hAnsi="Verdana" w:cs="Arial"/>
                <w:i/>
                <w:iCs/>
                <w:lang w:val="es-ES"/>
              </w:rPr>
              <w:t>mínima cuantía</w:t>
            </w:r>
            <w:r w:rsidRPr="00A94CED">
              <w:rPr>
                <w:rFonts w:ascii="Verdana" w:eastAsia="Calibri" w:hAnsi="Verdana" w:cs="Arial"/>
                <w:lang w:val="es-ES"/>
              </w:rPr>
              <w:t xml:space="preserve"> es una modalidad de selección en virtud de la cual la entidad realiza una convocatoria pública para recibir oferta de bienes, obras o servicios, cuyo valor no exceda el diez por ciento (10%) de la menor cuantía de la Entidad Estatal. Es decir, que será procedente cuando se cumpla este requisito, independientemente del objeto a contratar. Esta modalidad establece un procedimiento expedito y competitivo que se rige por lo dispuesto en los artículos 2.2.1.2.1.5.1. a 2.2.1.2.1.5.6.  del Decreto 1082 de 2015. En términos generales, se caracteriza porque la entidad podrá exigir una capacidad financiera mínima, la publicación de la invitación se realiza por término no inferior a un (1) día hábil para la formulación de observaciones o </w:t>
            </w:r>
            <w:r w:rsidRPr="00A94CED">
              <w:rPr>
                <w:rFonts w:ascii="Verdana" w:eastAsia="Calibri" w:hAnsi="Verdana" w:cs="Arial"/>
                <w:lang w:val="es-ES"/>
              </w:rPr>
              <w:lastRenderedPageBreak/>
              <w:t xml:space="preserve">comentarios, y porque el único criterio de evaluación para determinar la oferta más favorable es el menor precio. </w:t>
            </w:r>
          </w:p>
          <w:p w14:paraId="4765A047" w14:textId="77777777" w:rsidR="00A94CED" w:rsidRPr="00A94CED" w:rsidRDefault="00A94CED" w:rsidP="00A94CED">
            <w:pPr>
              <w:spacing w:after="120" w:line="276" w:lineRule="auto"/>
              <w:ind w:firstLine="709"/>
              <w:jc w:val="both"/>
              <w:rPr>
                <w:rFonts w:ascii="Verdana" w:eastAsia="Calibri" w:hAnsi="Verdana" w:cs="Arial"/>
                <w:color w:val="000000"/>
                <w:lang w:val="es-ES" w:eastAsia="es-ES"/>
              </w:rPr>
            </w:pPr>
            <w:r w:rsidRPr="00A94CED">
              <w:rPr>
                <w:rFonts w:ascii="Verdana" w:eastAsia="Calibri" w:hAnsi="Verdana" w:cs="Arial"/>
              </w:rPr>
              <w:t xml:space="preserve">El contenido de la invitación está definido en el artículo 2.2.1.2.1.5.2 del Decreto 1082 de 2015, por lo que debe entenderse que </w:t>
            </w:r>
            <w:r w:rsidRPr="00A94CED">
              <w:rPr>
                <w:rFonts w:ascii="Verdana" w:eastAsia="Calibri" w:hAnsi="Verdana" w:cs="Arial"/>
                <w:color w:val="000000"/>
                <w:lang w:val="es-ES" w:eastAsia="es-ES"/>
              </w:rPr>
              <w:t>constituye la hoja de ruta o plan</w:t>
            </w:r>
            <w:r w:rsidRPr="00A94CED">
              <w:rPr>
                <w:rFonts w:ascii="Verdana" w:eastAsia="Calibri" w:hAnsi="Verdana" w:cs="Arial"/>
                <w:color w:val="000000"/>
                <w:vertAlign w:val="superscript"/>
                <w:lang w:val="es-ES" w:eastAsia="es-ES"/>
              </w:rPr>
              <w:footnoteReference w:id="2"/>
            </w:r>
            <w:r w:rsidRPr="00A94CED">
              <w:rPr>
                <w:rFonts w:ascii="Verdana" w:eastAsia="Calibri" w:hAnsi="Verdana" w:cs="Arial"/>
                <w:color w:val="000000"/>
                <w:lang w:val="es-ES" w:eastAsia="es-ES"/>
              </w:rPr>
              <w:t xml:space="preserve"> sobre el cual se diseña, estructura y concreta el procedimiento de selección de contratistas. El mismo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w:t>
            </w:r>
            <w:r w:rsidRPr="00A94CED">
              <w:rPr>
                <w:rFonts w:ascii="Verdana" w:eastAsia="Calibri" w:hAnsi="Verdana" w:cs="Arial"/>
                <w:color w:val="000000"/>
                <w:vertAlign w:val="superscript"/>
                <w:lang w:val="es-ES" w:eastAsia="es-ES"/>
              </w:rPr>
              <w:footnoteReference w:id="3"/>
            </w:r>
            <w:r w:rsidRPr="00A94CED">
              <w:rPr>
                <w:rFonts w:ascii="Verdana" w:eastAsia="Calibri" w:hAnsi="Verdana" w:cs="Arial"/>
                <w:color w:val="000000"/>
                <w:lang w:val="es-ES" w:eastAsia="es-ES"/>
              </w:rPr>
              <w:t>. En este sentido, en el marco de su discrecionalidad y del imperio de la ley, cada entidad debe establecer la forma cómo se estructura el pliego de condiciones, el cual está condicionado a la proporcionalidad de las decisiones que toma en aras de garantizar la pluralidad de oferentes y la selección objetiva</w:t>
            </w:r>
            <w:r w:rsidRPr="00A94CED">
              <w:rPr>
                <w:rFonts w:ascii="Verdana" w:eastAsia="Calibri" w:hAnsi="Verdana" w:cs="Arial"/>
                <w:color w:val="000000"/>
                <w:lang w:eastAsia="es-ES"/>
              </w:rPr>
              <w:t>.</w:t>
            </w:r>
          </w:p>
          <w:p w14:paraId="20C29325" w14:textId="77777777" w:rsidR="00A94CED" w:rsidRPr="00A94CED" w:rsidRDefault="00A94CED" w:rsidP="00A94CED">
            <w:pPr>
              <w:spacing w:after="120" w:line="276" w:lineRule="auto"/>
              <w:ind w:firstLine="709"/>
              <w:jc w:val="both"/>
              <w:rPr>
                <w:rFonts w:ascii="Verdana" w:eastAsia="Calibri" w:hAnsi="Verdana" w:cs="Arial"/>
              </w:rPr>
            </w:pPr>
            <w:r w:rsidRPr="00A94CED">
              <w:rPr>
                <w:rFonts w:ascii="Verdana" w:eastAsia="Calibri" w:hAnsi="Verdana" w:cs="Arial"/>
                <w:color w:val="000000"/>
                <w:lang w:val="es-ES" w:eastAsia="es-ES_tradnl"/>
              </w:rPr>
              <w:t xml:space="preserve">De este modo, el pliego de condiciones o la invitación en los procesos de selección de mínima cuantía es un instrumento en el cual se materializa el principio de transparencia, pues allí se fijan las reglas de escogencia del contratista del Estado, para la selección objetiva de la mejor oferta, la adjudicación y la posterior celebración y ejecución del contrato, lo cual lo convierte en una reglamentación de todo el </w:t>
            </w:r>
            <w:proofErr w:type="spellStart"/>
            <w:r w:rsidRPr="00A94CED">
              <w:rPr>
                <w:rFonts w:ascii="Verdana" w:eastAsia="Calibri" w:hAnsi="Verdana" w:cs="Arial"/>
                <w:i/>
                <w:iCs/>
                <w:color w:val="000000"/>
                <w:lang w:val="es-ES" w:eastAsia="es-ES_tradnl"/>
              </w:rPr>
              <w:t>iter</w:t>
            </w:r>
            <w:proofErr w:type="spellEnd"/>
            <w:r w:rsidRPr="00A94CED">
              <w:rPr>
                <w:rFonts w:ascii="Verdana" w:eastAsia="Calibri" w:hAnsi="Verdana" w:cs="Arial"/>
                <w:color w:val="000000"/>
                <w:lang w:val="es-ES" w:eastAsia="es-ES_tradnl"/>
              </w:rPr>
              <w:t xml:space="preserve"> contractual. En otras palabras, </w:t>
            </w:r>
            <w:r w:rsidRPr="00A94CED">
              <w:rPr>
                <w:rFonts w:ascii="Verdana" w:eastAsia="Calibri" w:hAnsi="Verdana" w:cs="Arial"/>
              </w:rPr>
              <w:t>es el documento en el que se establecen las normas que van a regular la etapa selección, a las que deberán sujetarse la administración y los oferentes a efectos de lograr una selección objetiva</w:t>
            </w:r>
            <w:r w:rsidRPr="00A94CED">
              <w:rPr>
                <w:rFonts w:ascii="Verdana" w:eastAsia="Calibri" w:hAnsi="Verdana" w:cs="Arial"/>
                <w:vertAlign w:val="superscript"/>
              </w:rPr>
              <w:footnoteReference w:id="4"/>
            </w:r>
            <w:r w:rsidRPr="00A94CED">
              <w:rPr>
                <w:rFonts w:ascii="Verdana" w:eastAsia="Calibri" w:hAnsi="Verdana" w:cs="Arial"/>
              </w:rPr>
              <w:t>.</w:t>
            </w:r>
          </w:p>
          <w:p w14:paraId="6393B3A1" w14:textId="77777777" w:rsidR="00A94CED" w:rsidRPr="00A94CED" w:rsidRDefault="00A94CED" w:rsidP="00A94CED">
            <w:pPr>
              <w:spacing w:after="120" w:line="276" w:lineRule="auto"/>
              <w:ind w:firstLine="708"/>
              <w:jc w:val="both"/>
              <w:rPr>
                <w:rFonts w:ascii="Verdana" w:eastAsia="Calibri" w:hAnsi="Verdana" w:cs="Arial"/>
                <w:color w:val="000000"/>
                <w:lang w:val="es-ES" w:eastAsia="es-ES_tradnl"/>
              </w:rPr>
            </w:pPr>
            <w:r w:rsidRPr="00A94CED">
              <w:rPr>
                <w:rFonts w:ascii="Verdana" w:eastAsia="Calibri" w:hAnsi="Verdana" w:cs="Arial"/>
                <w:color w:val="000000"/>
                <w:lang w:val="es-ES" w:eastAsia="es-ES_tradnl"/>
              </w:rPr>
              <w:lastRenderedPageBreak/>
              <w:t>Su contenido</w:t>
            </w:r>
            <w:r w:rsidRPr="00A94CED">
              <w:rPr>
                <w:rFonts w:ascii="Verdana" w:eastAsia="Calibri" w:hAnsi="Verdana" w:cs="Arial"/>
                <w:color w:val="000000"/>
                <w:vertAlign w:val="superscript"/>
                <w:lang w:val="es-ES" w:eastAsia="es-ES_tradnl"/>
              </w:rPr>
              <w:footnoteReference w:id="5"/>
            </w:r>
            <w:r w:rsidRPr="00A94CED">
              <w:rPr>
                <w:rFonts w:ascii="Verdana" w:eastAsia="Calibri" w:hAnsi="Verdana" w:cs="Arial"/>
                <w:color w:val="000000"/>
                <w:lang w:val="es-ES" w:eastAsia="es-ES_tradnl"/>
              </w:rPr>
              <w:t xml:space="preserve"> está previsto en el numeral 5 del artículo 24 de la Ley 80 de 1993, que establece algunas directrices que deben tenerse en cuenta en su elaboración.</w:t>
            </w:r>
          </w:p>
          <w:p w14:paraId="345F0261" w14:textId="77777777" w:rsidR="00A94CED" w:rsidRPr="00A94CED" w:rsidRDefault="00A94CED" w:rsidP="00A94CED">
            <w:pPr>
              <w:spacing w:line="276" w:lineRule="auto"/>
              <w:ind w:firstLine="708"/>
              <w:jc w:val="both"/>
              <w:rPr>
                <w:rFonts w:ascii="Verdana" w:eastAsia="Calibri" w:hAnsi="Verdana" w:cs="Arial"/>
                <w:color w:val="000000"/>
                <w:lang w:val="es-ES" w:eastAsia="es-ES"/>
              </w:rPr>
            </w:pPr>
            <w:r w:rsidRPr="00A94CED">
              <w:rPr>
                <w:rFonts w:ascii="Verdana" w:eastAsia="Calibri" w:hAnsi="Verdana" w:cs="Arial"/>
                <w:color w:val="000000"/>
                <w:lang w:val="es-ES" w:eastAsia="es-ES"/>
              </w:rPr>
              <w:t xml:space="preserve">De conformidad con lo anterior, resulta claro que las entidades estatales, en virtud de la autonomía de la voluntad y de la amplia discrecionalidad que se les reconoce, tienen la facultad de configurar las reglas y exigencias de los pliegos de condiciones o de la invitación de manera libre, dentro de los parámetros y límites </w:t>
            </w:r>
            <w:r w:rsidRPr="00A94CED">
              <w:rPr>
                <w:rFonts w:ascii="Verdana" w:eastAsia="Calibri" w:hAnsi="Verdana" w:cs="Arial"/>
                <w:color w:val="000000"/>
                <w:lang w:val="es-ES" w:eastAsia="es-ES" w:bidi="es-ES"/>
              </w:rPr>
              <w:t>establecidos por el ordenamiento legal</w:t>
            </w:r>
            <w:r w:rsidRPr="00A94CED">
              <w:rPr>
                <w:rFonts w:ascii="Verdana" w:eastAsia="Calibri" w:hAnsi="Verdana" w:cs="Arial"/>
                <w:color w:val="000000"/>
                <w:vertAlign w:val="superscript"/>
                <w:lang w:val="es-ES" w:eastAsia="es-ES" w:bidi="es-ES"/>
              </w:rPr>
              <w:footnoteReference w:id="6"/>
            </w:r>
            <w:r w:rsidRPr="00A94CED">
              <w:rPr>
                <w:rFonts w:ascii="Verdana" w:eastAsia="Calibri" w:hAnsi="Verdana" w:cs="Arial"/>
                <w:color w:val="000000"/>
                <w:lang w:val="es-ES" w:eastAsia="es-ES"/>
              </w:rPr>
              <w:t>, con fundamento en los estudios realizados en la fase de planeación</w:t>
            </w:r>
            <w:r w:rsidRPr="00A94CED">
              <w:rPr>
                <w:rFonts w:ascii="Verdana" w:eastAsia="Calibri" w:hAnsi="Verdana" w:cs="Arial"/>
                <w:color w:val="000000"/>
                <w:vertAlign w:val="superscript"/>
                <w:lang w:val="es-ES" w:eastAsia="es-ES"/>
              </w:rPr>
              <w:footnoteReference w:id="7"/>
            </w:r>
            <w:r w:rsidRPr="00A94CED">
              <w:rPr>
                <w:rFonts w:ascii="Verdana" w:eastAsia="Calibri" w:hAnsi="Verdana" w:cs="Arial"/>
                <w:color w:val="000000"/>
                <w:lang w:val="es-ES" w:eastAsia="es-ES"/>
              </w:rPr>
              <w:t>. Además, tienen la carga de elaborarlos de manera idónea, objetiva, clara, precisa y completa, tal como se deduce de la disposición citada.</w:t>
            </w:r>
          </w:p>
          <w:p w14:paraId="3BEB0361" w14:textId="77777777" w:rsidR="00A94CED" w:rsidRPr="00A94CED" w:rsidRDefault="00A94CED" w:rsidP="00A94CED">
            <w:pPr>
              <w:snapToGrid w:val="0"/>
              <w:spacing w:line="276" w:lineRule="auto"/>
              <w:jc w:val="both"/>
              <w:rPr>
                <w:rFonts w:ascii="Verdana" w:eastAsia="Calibri" w:hAnsi="Verdana" w:cs="Arial"/>
                <w:bCs/>
                <w:color w:val="000000"/>
              </w:rPr>
            </w:pPr>
          </w:p>
          <w:p w14:paraId="41ED664C" w14:textId="77777777" w:rsidR="00A94CED" w:rsidRPr="00A94CED" w:rsidRDefault="00A94CED" w:rsidP="00A94CED">
            <w:pPr>
              <w:snapToGrid w:val="0"/>
              <w:spacing w:after="120" w:line="276" w:lineRule="auto"/>
              <w:jc w:val="both"/>
              <w:rPr>
                <w:rFonts w:ascii="Verdana" w:eastAsia="Calibri" w:hAnsi="Verdana" w:cs="Times New Roman"/>
              </w:rPr>
            </w:pPr>
            <w:proofErr w:type="spellStart"/>
            <w:r w:rsidRPr="00A94CED">
              <w:rPr>
                <w:rFonts w:ascii="Verdana" w:eastAsia="Calibri" w:hAnsi="Verdana" w:cs="Arial"/>
                <w:bCs/>
                <w:color w:val="000000"/>
              </w:rPr>
              <w:t>ii</w:t>
            </w:r>
            <w:proofErr w:type="spellEnd"/>
            <w:r w:rsidRPr="00A94CED">
              <w:rPr>
                <w:rFonts w:ascii="Verdana" w:eastAsia="Calibri" w:hAnsi="Verdana" w:cs="Arial"/>
                <w:bCs/>
                <w:color w:val="000000"/>
              </w:rPr>
              <w:t xml:space="preserve">. </w:t>
            </w:r>
            <w:r w:rsidRPr="00A94CED">
              <w:rPr>
                <w:rFonts w:ascii="Verdana" w:eastAsia="Calibri" w:hAnsi="Verdana" w:cs="Times New Roman"/>
              </w:rPr>
              <w:t xml:space="preserve">Debe distinguirse entre la “presentación de la propuesta” a la “entrega física”, la primera es un acto jurídico en el que una persona (apoderado) formula y suscribe una oferta a nombre de otra (poderdante), y la segunda, es una mera actividad de entrega de un documento en físico que no requiere de ningún acto de poder o mandato para su ejecución, </w:t>
            </w:r>
            <w:r w:rsidRPr="00A94CED">
              <w:rPr>
                <w:rFonts w:ascii="Verdana" w:eastAsia="Calibri" w:hAnsi="Verdana" w:cs="Arial"/>
                <w:bCs/>
                <w:color w:val="000000"/>
              </w:rPr>
              <w:t xml:space="preserve">por consiguiente, si el pliego o la invitación está haciendo referencia a un poder para la entrega física de la propuesta, esta disposición del pliego puede ser observada, </w:t>
            </w:r>
            <w:r w:rsidRPr="00A94CED">
              <w:rPr>
                <w:rFonts w:ascii="Verdana" w:eastAsia="Calibri" w:hAnsi="Verdana" w:cs="Arial"/>
                <w:lang w:val="es-ES_tradnl"/>
              </w:rPr>
              <w:t>para ello, el numeral 2 del artículo 24 de la Ley 80 de 1993 dispone la facultad de los interesados para realizar y/o presentar observaciones, como un mecanismo para controvertir algunas de las decisiones adoptadas por las Entidades Estatales.</w:t>
            </w:r>
          </w:p>
          <w:p w14:paraId="4B7A4514" w14:textId="77777777" w:rsidR="00A94CED" w:rsidRPr="00A94CED" w:rsidRDefault="00A94CED" w:rsidP="00A94CED">
            <w:pPr>
              <w:snapToGrid w:val="0"/>
              <w:spacing w:after="120" w:line="276" w:lineRule="auto"/>
              <w:ind w:firstLine="709"/>
              <w:jc w:val="both"/>
              <w:rPr>
                <w:rFonts w:ascii="Verdana" w:eastAsia="Calibri" w:hAnsi="Verdana" w:cs="Times New Roman"/>
              </w:rPr>
            </w:pPr>
            <w:r w:rsidRPr="00A94CED">
              <w:rPr>
                <w:rFonts w:ascii="Verdana" w:eastAsia="Calibri" w:hAnsi="Verdana" w:cs="Times New Roman"/>
              </w:rPr>
              <w:t xml:space="preserve">En otros términos, la presentación de la propuesta, donde se manifiesta la voluntad de adquirir obligaciones, es diferente a la entrega de la propuesta, pues la primera si debe ser estar firmada y suscrita por el proponente o por </w:t>
            </w:r>
            <w:r w:rsidRPr="00A94CED">
              <w:rPr>
                <w:rFonts w:ascii="Verdana" w:eastAsia="Calibri" w:hAnsi="Verdana" w:cs="Times New Roman"/>
              </w:rPr>
              <w:lastRenderedPageBreak/>
              <w:t>su apoderado; mientras que la entrega física es la simple actividad que no implica un acto de poder o mandato para su ejecución.</w:t>
            </w:r>
          </w:p>
          <w:p w14:paraId="2CB8F772" w14:textId="27F3CE0C" w:rsidR="00A94CED" w:rsidRPr="00A94CED" w:rsidRDefault="00A94CED" w:rsidP="00A94CED">
            <w:pPr>
              <w:snapToGrid w:val="0"/>
              <w:spacing w:line="276" w:lineRule="auto"/>
              <w:ind w:firstLine="709"/>
              <w:jc w:val="both"/>
              <w:rPr>
                <w:rFonts w:ascii="Verdana" w:eastAsia="Calibri" w:hAnsi="Verdana" w:cs="Times New Roman"/>
              </w:rPr>
            </w:pPr>
            <w:r w:rsidRPr="00A94CED">
              <w:rPr>
                <w:rFonts w:ascii="Verdana" w:eastAsia="Calibri" w:hAnsi="Verdana" w:cs="Times New Roman"/>
              </w:rPr>
              <w:t>La Agencia Nacional de Contratación Pública – Colombia Compra Eficiente, en el concepto de radicado de salida No. 2201913000009046</w:t>
            </w:r>
            <w:r w:rsidRPr="00A94CED">
              <w:rPr>
                <w:rFonts w:ascii="Verdana" w:eastAsia="Calibri" w:hAnsi="Verdana" w:cs="Times New Roman"/>
                <w:vertAlign w:val="superscript"/>
              </w:rPr>
              <w:footnoteReference w:id="8"/>
            </w:r>
            <w:r w:rsidRPr="00A94CED">
              <w:rPr>
                <w:rFonts w:ascii="Verdana" w:eastAsia="Calibri" w:hAnsi="Verdana" w:cs="Times New Roman"/>
              </w:rPr>
              <w:t xml:space="preserve"> del 6 de diciembre de 2029, en relación con la exigencia de ritualidades para la presentación de ofertas indicó lo siguiente:</w:t>
            </w:r>
          </w:p>
          <w:p w14:paraId="4EF98876" w14:textId="77777777" w:rsidR="00A94CED" w:rsidRPr="00A94CED" w:rsidRDefault="00A94CED" w:rsidP="00A94CED">
            <w:pPr>
              <w:snapToGrid w:val="0"/>
              <w:spacing w:line="276" w:lineRule="auto"/>
              <w:ind w:firstLine="709"/>
              <w:jc w:val="both"/>
              <w:rPr>
                <w:rFonts w:ascii="Verdana" w:eastAsia="Calibri" w:hAnsi="Verdana" w:cs="Times New Roman"/>
              </w:rPr>
            </w:pPr>
          </w:p>
          <w:p w14:paraId="55F4EB9C" w14:textId="77777777" w:rsidR="00A94CED" w:rsidRPr="00A94CED" w:rsidRDefault="00A94CED" w:rsidP="00A94CED">
            <w:pPr>
              <w:widowControl w:val="0"/>
              <w:autoSpaceDE w:val="0"/>
              <w:autoSpaceDN w:val="0"/>
              <w:ind w:left="709" w:right="709"/>
              <w:jc w:val="both"/>
              <w:rPr>
                <w:rFonts w:ascii="Verdana" w:eastAsia="Arial" w:hAnsi="Verdana" w:cs="Arial"/>
                <w:sz w:val="21"/>
                <w:szCs w:val="21"/>
                <w:lang w:val="es-ES"/>
              </w:rPr>
            </w:pPr>
            <w:r w:rsidRPr="00A94CED">
              <w:rPr>
                <w:rFonts w:ascii="Verdana" w:eastAsia="Arial" w:hAnsi="Verdana" w:cs="Arial"/>
                <w:sz w:val="21"/>
                <w:szCs w:val="21"/>
                <w:lang w:val="es-ES"/>
              </w:rPr>
              <w:t xml:space="preserve">“Tenga en cuenta el numeral 15 del artículo 25 de la Ley 80 de 1993, según el cual en virtud del principio de economía: “las autoridades no exigirán sellos, autenticaciones, documentos originales o autenticados, reconocimientos de firmas, traducciones oficiales, ni cualquier otra clase de formalidades o exigencias rituales, salvo cuando en forma perentoria y expresa lo exijan leyes especiales”. </w:t>
            </w:r>
            <w:r w:rsidRPr="00A94CED">
              <w:rPr>
                <w:rFonts w:ascii="Verdana" w:eastAsia="Arial" w:hAnsi="Verdana" w:cs="Arial"/>
                <w:i/>
                <w:iCs/>
                <w:sz w:val="21"/>
                <w:szCs w:val="21"/>
                <w:lang w:val="es-ES"/>
              </w:rPr>
              <w:t>De acuerdo con este texto, la entidad estatal no debe exigir ritualidades tales como la presentación de un poder para radicar la oferta, pues dicha formalidad solo se requiere para suscribir las ofertas, no para la simple entrega</w:t>
            </w:r>
            <w:r w:rsidRPr="00A94CED">
              <w:rPr>
                <w:rFonts w:ascii="Verdana" w:eastAsia="Arial" w:hAnsi="Verdana" w:cs="Arial"/>
                <w:sz w:val="21"/>
                <w:szCs w:val="21"/>
                <w:lang w:val="es-ES"/>
              </w:rPr>
              <w:t>” (énfasis fuera del texto original).</w:t>
            </w:r>
          </w:p>
          <w:p w14:paraId="2FFFAA39" w14:textId="77777777" w:rsidR="00A94CED" w:rsidRPr="00A94CED" w:rsidRDefault="00A94CED" w:rsidP="00A94CED">
            <w:pPr>
              <w:snapToGrid w:val="0"/>
              <w:spacing w:line="276" w:lineRule="auto"/>
              <w:jc w:val="both"/>
              <w:rPr>
                <w:rFonts w:ascii="Verdana" w:eastAsia="Calibri" w:hAnsi="Verdana" w:cs="Times New Roman"/>
                <w:lang w:val="es-ES"/>
              </w:rPr>
            </w:pPr>
          </w:p>
          <w:p w14:paraId="7E320B6B" w14:textId="77777777" w:rsidR="00A94CED" w:rsidRPr="00A94CED" w:rsidRDefault="00A94CED" w:rsidP="00A94CED">
            <w:pPr>
              <w:snapToGrid w:val="0"/>
              <w:spacing w:after="120" w:line="276" w:lineRule="auto"/>
              <w:jc w:val="both"/>
              <w:rPr>
                <w:rFonts w:ascii="Verdana" w:eastAsia="Calibri" w:hAnsi="Verdana" w:cs="Times New Roman"/>
                <w:lang w:val="es-ES"/>
              </w:rPr>
            </w:pPr>
            <w:r w:rsidRPr="00A94CED">
              <w:rPr>
                <w:rFonts w:ascii="Verdana" w:eastAsia="Calibri" w:hAnsi="Verdana" w:cs="Times New Roman"/>
                <w:lang w:val="es-ES"/>
              </w:rPr>
              <w:tab/>
              <w:t xml:space="preserve">En conclusión, la exigencia de un poder o de cualquier otra formalidad para la radicación física de la oferta carece de fundamento normativo y desconoce el principio de economía que irradia la actividad contractual del Estado. El poder, en tanto instrumento de representación, y las demás formalidades de que trata el numeral 15 del artículo 25 de la Ley 80 de 1993 –tales como autenticaciones, reconocimiento de firmas o presentación personal–, solo adquieren relevancia cuando existe un acto de voluntad que comprometa la esfera patrimonial del proponente, esto es, la formulación y suscripción de la propuesta, pero no respecto de la simple entrega material del documento que la contiene, actividad que, por su naturaleza fáctica y carente de contenido negocial, puede ser ejecutada por cualquier persona. </w:t>
            </w:r>
          </w:p>
          <w:p w14:paraId="60ED0958" w14:textId="77777777" w:rsidR="00A94CED" w:rsidRPr="00A94CED" w:rsidRDefault="00A94CED" w:rsidP="00A94CED">
            <w:pPr>
              <w:snapToGrid w:val="0"/>
              <w:spacing w:after="120" w:line="276" w:lineRule="auto"/>
              <w:jc w:val="both"/>
              <w:rPr>
                <w:rFonts w:ascii="Verdana" w:eastAsia="Calibri" w:hAnsi="Verdana" w:cs="Times New Roman"/>
                <w:lang w:val="es-ES"/>
              </w:rPr>
            </w:pPr>
            <w:r w:rsidRPr="00A94CED">
              <w:rPr>
                <w:rFonts w:ascii="Verdana" w:eastAsia="Calibri" w:hAnsi="Verdana" w:cs="Times New Roman"/>
                <w:lang w:val="es-ES"/>
              </w:rPr>
              <w:tab/>
              <w:t xml:space="preserve">En consecuencia, en el criterio de la Agencia Nacional de Contratación Pública las entidades estatales que condicionen la radicación de la oferta a la acreditación de un poder o al cumplimiento de alguna otra formalidad incurre </w:t>
            </w:r>
            <w:r w:rsidRPr="00A94CED">
              <w:rPr>
                <w:rFonts w:ascii="Verdana" w:eastAsia="Calibri" w:hAnsi="Verdana" w:cs="Times New Roman"/>
                <w:lang w:val="es-ES"/>
              </w:rPr>
              <w:lastRenderedPageBreak/>
              <w:t>en una exigencia ritual proscrita por el ordenamiento jurídico</w:t>
            </w:r>
            <w:r w:rsidRPr="00A94CED">
              <w:rPr>
                <w:rFonts w:ascii="Verdana" w:eastAsia="Calibri" w:hAnsi="Verdana" w:cs="Times New Roman"/>
                <w:vertAlign w:val="superscript"/>
                <w:lang w:val="es-ES"/>
              </w:rPr>
              <w:footnoteReference w:id="9"/>
            </w:r>
            <w:r w:rsidRPr="00A94CED">
              <w:rPr>
                <w:rFonts w:ascii="Verdana" w:eastAsia="Calibri" w:hAnsi="Verdana" w:cs="Times New Roman"/>
                <w:lang w:val="es-ES"/>
              </w:rPr>
              <w:t xml:space="preserve">, la cual, de preverse en el pliego de condiciones o la invitación a participar, resulta –como se señaló– susceptible de observaciones por parte de los interesados. </w:t>
            </w:r>
          </w:p>
          <w:p w14:paraId="008C7061" w14:textId="77777777" w:rsidR="00A94CED" w:rsidRPr="00A94CED" w:rsidRDefault="00A94CED" w:rsidP="00A94CED">
            <w:pPr>
              <w:snapToGrid w:val="0"/>
              <w:spacing w:line="276" w:lineRule="auto"/>
              <w:jc w:val="both"/>
              <w:rPr>
                <w:rFonts w:ascii="Verdana" w:eastAsia="Calibri" w:hAnsi="Verdana" w:cs="Times New Roman"/>
                <w:lang w:val="es-ES"/>
              </w:rPr>
            </w:pPr>
            <w:r w:rsidRPr="00A94CED">
              <w:rPr>
                <w:rFonts w:ascii="Verdana" w:eastAsia="Calibri" w:hAnsi="Verdana" w:cs="Times New Roman"/>
                <w:lang w:val="es-ES"/>
              </w:rPr>
              <w:tab/>
              <w:t xml:space="preserve">Lo dispuesto en el párrafo precedente no se desvirtúa por la autonomía y la amplia discrecionalidad que se reconoce a las entidades estatales para configurar las reglas y exigencia del pliego de condiciones o la invitación a participar –argumento desarrollado en el numeral uno (i) de este concepto–. Sin bien esa discrecionalidad les permite fijar libremente las condiciones del proceso de selección –dentro de los parámetros y límites del ordenamiento jurídico y con fundamento en los estudios de la fase de planeación–, esta facultad no es absoluta, sino que se encuentra sujeta a los principios y reglas que rigen la actividad contractual del Estado. Por lo tanto, se reitera, no resulta viable a juicio de esta Agencia, que la entidad, en ejercicio de la autonomía de la que gozan incluyan en el pliego de condiciones o en la invitación pública la exigencia de un poder o de cualquier otra formalidad para la radicación física de la oferta, comoquiera que ello excedería los límites de su discrecionalidad y desconocería el principio de economía anteriormente señalado. </w:t>
            </w:r>
          </w:p>
          <w:p w14:paraId="26BFF2EF" w14:textId="77777777" w:rsidR="00A94CED" w:rsidRPr="00A94CED" w:rsidRDefault="00A94CED" w:rsidP="00A94CED">
            <w:pPr>
              <w:snapToGrid w:val="0"/>
              <w:spacing w:line="276" w:lineRule="auto"/>
              <w:jc w:val="both"/>
              <w:rPr>
                <w:rFonts w:ascii="Verdana" w:eastAsia="Calibri" w:hAnsi="Verdana" w:cs="Times New Roman"/>
                <w:lang w:val="es-ES"/>
              </w:rPr>
            </w:pPr>
          </w:p>
          <w:p w14:paraId="2CD78F6C" w14:textId="77777777" w:rsidR="00A94CED" w:rsidRPr="00A94CED" w:rsidRDefault="00A94CED" w:rsidP="00A94CED">
            <w:pPr>
              <w:snapToGrid w:val="0"/>
              <w:spacing w:line="276" w:lineRule="auto"/>
              <w:jc w:val="both"/>
              <w:rPr>
                <w:rFonts w:ascii="Verdana" w:eastAsia="Calibri" w:hAnsi="Verdana" w:cs="Times New Roman"/>
                <w:lang w:val="es-ES"/>
              </w:rPr>
            </w:pPr>
            <w:proofErr w:type="spellStart"/>
            <w:r w:rsidRPr="00A94CED">
              <w:rPr>
                <w:rFonts w:ascii="Verdana" w:eastAsia="Calibri" w:hAnsi="Verdana" w:cs="Times New Roman"/>
                <w:lang w:val="es-ES"/>
              </w:rPr>
              <w:t>iii</w:t>
            </w:r>
            <w:proofErr w:type="spellEnd"/>
            <w:r w:rsidRPr="00A94CED">
              <w:rPr>
                <w:rFonts w:ascii="Verdana" w:eastAsia="Calibri" w:hAnsi="Verdana" w:cs="Times New Roman"/>
                <w:lang w:val="es-ES"/>
              </w:rPr>
              <w:t xml:space="preserve">. y </w:t>
            </w:r>
            <w:proofErr w:type="spellStart"/>
            <w:r w:rsidRPr="00A94CED">
              <w:rPr>
                <w:rFonts w:ascii="Verdana" w:eastAsia="Calibri" w:hAnsi="Verdana" w:cs="Times New Roman"/>
                <w:lang w:val="es-ES"/>
              </w:rPr>
              <w:t>iv</w:t>
            </w:r>
            <w:proofErr w:type="spellEnd"/>
            <w:r w:rsidRPr="00A94CED">
              <w:rPr>
                <w:rFonts w:ascii="Verdana" w:eastAsia="Calibri" w:hAnsi="Verdana" w:cs="Times New Roman"/>
                <w:lang w:val="es-ES"/>
              </w:rPr>
              <w:t>. Los problemas jurídicos tres (</w:t>
            </w:r>
            <w:proofErr w:type="spellStart"/>
            <w:r w:rsidRPr="00A94CED">
              <w:rPr>
                <w:rFonts w:ascii="Verdana" w:eastAsia="Calibri" w:hAnsi="Verdana" w:cs="Times New Roman"/>
                <w:lang w:val="es-ES"/>
              </w:rPr>
              <w:t>iii</w:t>
            </w:r>
            <w:proofErr w:type="spellEnd"/>
            <w:r w:rsidRPr="00A94CED">
              <w:rPr>
                <w:rFonts w:ascii="Verdana" w:eastAsia="Calibri" w:hAnsi="Verdana" w:cs="Times New Roman"/>
                <w:lang w:val="es-ES"/>
              </w:rPr>
              <w:t>) y cuatro (</w:t>
            </w:r>
            <w:proofErr w:type="spellStart"/>
            <w:r w:rsidRPr="00A94CED">
              <w:rPr>
                <w:rFonts w:ascii="Verdana" w:eastAsia="Calibri" w:hAnsi="Verdana" w:cs="Times New Roman"/>
                <w:lang w:val="es-ES"/>
              </w:rPr>
              <w:t>iv</w:t>
            </w:r>
            <w:proofErr w:type="spellEnd"/>
            <w:r w:rsidRPr="00A94CED">
              <w:rPr>
                <w:rFonts w:ascii="Verdana" w:eastAsia="Calibri" w:hAnsi="Verdana" w:cs="Times New Roman"/>
                <w:lang w:val="es-ES"/>
              </w:rPr>
              <w:t>) se responderán de forma conjunta en los siguientes términos:</w:t>
            </w:r>
          </w:p>
          <w:p w14:paraId="64A5E3FB" w14:textId="77777777" w:rsidR="00A94CED" w:rsidRPr="00A94CED" w:rsidRDefault="00A94CED" w:rsidP="00A94CED">
            <w:pPr>
              <w:snapToGrid w:val="0"/>
              <w:spacing w:line="276" w:lineRule="auto"/>
              <w:jc w:val="both"/>
              <w:rPr>
                <w:rFonts w:ascii="Verdana" w:eastAsia="Calibri" w:hAnsi="Verdana" w:cs="Times New Roman"/>
                <w:lang w:val="es-ES"/>
              </w:rPr>
            </w:pPr>
          </w:p>
          <w:p w14:paraId="4B281027" w14:textId="77777777" w:rsidR="00A94CED" w:rsidRPr="00A94CED" w:rsidRDefault="00A94CED" w:rsidP="00A94CED">
            <w:pPr>
              <w:spacing w:after="120" w:line="276" w:lineRule="auto"/>
              <w:jc w:val="both"/>
              <w:rPr>
                <w:rFonts w:ascii="Verdana" w:eastAsia="Calibri" w:hAnsi="Verdana" w:cs="Arial"/>
                <w:lang w:val="es-ES_tradnl"/>
              </w:rPr>
            </w:pPr>
            <w:r w:rsidRPr="00A94CED">
              <w:rPr>
                <w:rFonts w:ascii="Verdana" w:eastAsia="Calibri" w:hAnsi="Verdana" w:cs="Arial"/>
              </w:rPr>
              <w:t>E</w:t>
            </w:r>
            <w:r w:rsidRPr="00A94CED">
              <w:rPr>
                <w:rFonts w:ascii="Verdana" w:eastAsia="Aptos" w:hAnsi="Verdana" w:cs="Times New Roman"/>
              </w:rPr>
              <w:t>n relación con la posibilidad de que una Entidad Estatal rechace una oferta de uno de los proponentes porque alguno de los documentos que la componen no se encuentren firmados, es importante señalar que</w:t>
            </w:r>
            <w:r w:rsidRPr="00A94CED">
              <w:rPr>
                <w:rFonts w:ascii="Verdana" w:eastAsia="Calibri" w:hAnsi="Verdana" w:cs="Arial"/>
              </w:rPr>
              <w:t xml:space="preserve"> l</w:t>
            </w:r>
            <w:proofErr w:type="spellStart"/>
            <w:r w:rsidRPr="00A94CED">
              <w:rPr>
                <w:rFonts w:ascii="Verdana" w:eastAsia="Calibri" w:hAnsi="Verdana" w:cs="Arial"/>
                <w:lang w:val="es-ES_tradnl"/>
              </w:rPr>
              <w:t>as</w:t>
            </w:r>
            <w:proofErr w:type="spellEnd"/>
            <w:r w:rsidRPr="00A94CED">
              <w:rPr>
                <w:rFonts w:ascii="Verdana" w:eastAsia="Calibri" w:hAnsi="Verdana" w:cs="Arial"/>
                <w:lang w:val="es-ES_tradnl"/>
              </w:rPr>
              <w:t xml:space="preserve"> causales de rechazo son las establecidas en la Ley y las fijadas por la Entidad Estatal en los pliegos de condiciones o documentos equivalentes.</w:t>
            </w:r>
          </w:p>
          <w:p w14:paraId="5B0082FB" w14:textId="77777777" w:rsidR="00A94CED" w:rsidRPr="00A94CED" w:rsidRDefault="00A94CED" w:rsidP="00A94CED">
            <w:pPr>
              <w:spacing w:after="120" w:line="276" w:lineRule="auto"/>
              <w:ind w:right="51" w:firstLine="709"/>
              <w:jc w:val="both"/>
              <w:rPr>
                <w:rFonts w:ascii="Verdana" w:eastAsia="Calibri" w:hAnsi="Verdana" w:cs="Arial"/>
                <w:lang w:val="es-ES"/>
              </w:rPr>
            </w:pPr>
            <w:r w:rsidRPr="00A94CED">
              <w:rPr>
                <w:rFonts w:ascii="Verdana" w:eastAsia="Calibri" w:hAnsi="Verdana" w:cs="Arial"/>
                <w:lang w:val="es-ES"/>
              </w:rPr>
              <w:t xml:space="preserve">Conforme a lo anterior, para que se rechace una oferta porque alguno de los documentos que la componen no se encuentra firmado, debe haberse contemplado tal supuesto dentro de las causales de rechazo establecidas en el pliego de condiciones o documentos equivalentes. Por esta razón si el </w:t>
            </w:r>
            <w:r w:rsidRPr="00A94CED">
              <w:rPr>
                <w:rFonts w:ascii="Verdana" w:eastAsia="Calibri" w:hAnsi="Verdana" w:cs="Arial"/>
                <w:lang w:val="es-ES"/>
              </w:rPr>
              <w:lastRenderedPageBreak/>
              <w:t>Estatuto General de Contratación de la Administración Pública o el pliego de condiciones no establecen de manera literal una causal de rechazo, en los términos expuestos, no podrán rechazarse las propuestas.</w:t>
            </w:r>
          </w:p>
          <w:p w14:paraId="3DADB6B8" w14:textId="77777777" w:rsidR="00A94CED" w:rsidRPr="00A94CED" w:rsidRDefault="00A94CED" w:rsidP="00A94CED">
            <w:pPr>
              <w:spacing w:after="120" w:line="276" w:lineRule="auto"/>
              <w:ind w:firstLine="709"/>
              <w:jc w:val="both"/>
              <w:rPr>
                <w:rFonts w:ascii="Verdana" w:eastAsia="Aptos" w:hAnsi="Verdana" w:cs="Arial"/>
                <w:noProof/>
                <w:lang w:val="es-ES_tradnl"/>
              </w:rPr>
            </w:pPr>
            <w:r w:rsidRPr="00A94CED">
              <w:rPr>
                <w:rFonts w:ascii="Verdana" w:eastAsia="Calibri" w:hAnsi="Verdana" w:cs="Arial"/>
              </w:rPr>
              <w:t xml:space="preserve">Ahora bien, es importante señalar que, la regla de </w:t>
            </w:r>
            <w:proofErr w:type="spellStart"/>
            <w:r w:rsidRPr="00A94CED">
              <w:rPr>
                <w:rFonts w:ascii="Verdana" w:eastAsia="Calibri" w:hAnsi="Verdana" w:cs="Arial"/>
              </w:rPr>
              <w:t>subsanabilidad</w:t>
            </w:r>
            <w:proofErr w:type="spellEnd"/>
            <w:r w:rsidRPr="00A94CED">
              <w:rPr>
                <w:rFonts w:ascii="Verdana" w:eastAsia="Calibri" w:hAnsi="Verdana" w:cs="Arial"/>
              </w:rPr>
              <w:t xml:space="preserve">, prevista en el artículo 5 de la Ley 1150 de 2007, es un mecanismo previsto en los procesos de contratación estatal que se regulan por el EGCAP, según la cual los proponentes pueden enmendar, corregir o modificar los errores en los que se incurre en los documentos contentivos de la oferta. </w:t>
            </w:r>
            <w:r w:rsidRPr="00A94CED">
              <w:rPr>
                <w:rFonts w:ascii="Verdana" w:eastAsia="Aptos" w:hAnsi="Verdana" w:cs="Arial"/>
                <w:noProof/>
                <w:lang w:val="es-ES_tradnl"/>
              </w:rPr>
              <w:t xml:space="preserve">Conforme a las reglas de subsanabilidad, los requisitos o documentos que no sean necesarios para la comparación de las ofertas pueden subsanarse y todo lo que no sea necesario para la comparación de propuestas no es título suficiente para su rechazo. </w:t>
            </w:r>
          </w:p>
          <w:p w14:paraId="4C477B06" w14:textId="77777777" w:rsidR="00A94CED" w:rsidRPr="00A94CED" w:rsidRDefault="00A94CED" w:rsidP="00A94CED">
            <w:pPr>
              <w:spacing w:after="12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6D476846"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 Un mejor entendimiento del significado de la expresión </w:t>
            </w:r>
            <w:r w:rsidRPr="00A94CED">
              <w:rPr>
                <w:rFonts w:ascii="Verdana" w:eastAsia="Times New Roman" w:hAnsi="Verdana" w:cs="Arial"/>
                <w:i/>
                <w:lang w:val="es-ES" w:eastAsia="es-ES"/>
              </w:rPr>
              <w:t>“circunstancias ocurridas con posterioridad al cierre del proceso”</w:t>
            </w:r>
            <w:r w:rsidRPr="00A94CED">
              <w:rPr>
                <w:rFonts w:ascii="Verdana" w:eastAsia="Times New Roman" w:hAnsi="Verdana" w:cs="Arial"/>
                <w:lang w:val="es-ES" w:eastAsia="es-ES"/>
              </w:rPr>
              <w:t xml:space="preserve"> implica distinguir entre la prueba de un hecho y el hecho mismo. En el caso de la </w:t>
            </w:r>
            <w:proofErr w:type="spellStart"/>
            <w:r w:rsidRPr="00A94CED">
              <w:rPr>
                <w:rFonts w:ascii="Verdana" w:eastAsia="Times New Roman" w:hAnsi="Verdana" w:cs="Arial"/>
                <w:lang w:val="es-ES" w:eastAsia="es-ES"/>
              </w:rPr>
              <w:t>subsanabilidad</w:t>
            </w:r>
            <w:proofErr w:type="spellEnd"/>
            <w:r w:rsidRPr="00A94CED">
              <w:rPr>
                <w:rFonts w:ascii="Verdana" w:eastAsia="Times New Roman" w:hAnsi="Verdana" w:cs="Arial"/>
                <w:lang w:val="es-ES" w:eastAsia="es-ES"/>
              </w:rPr>
              <w:t xml:space="preserve">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 Por ejemplo: […] vi) si el oferente olvidó firmar la propuesta o presentar una copia de ella, puede subsanar sin que con ello se entienda que acreditó una circunstancia ocurrida con posterioridad al cierre del proceso. </w:t>
            </w:r>
          </w:p>
          <w:p w14:paraId="67783020" w14:textId="77777777" w:rsidR="00A94CED" w:rsidRPr="00A94CED" w:rsidRDefault="00A94CED" w:rsidP="00A94CED">
            <w:pPr>
              <w:spacing w:line="276" w:lineRule="auto"/>
              <w:ind w:firstLine="708"/>
              <w:jc w:val="both"/>
              <w:rPr>
                <w:rFonts w:ascii="Verdana" w:eastAsia="Aptos" w:hAnsi="Verdana" w:cs="Arial"/>
                <w:lang w:val="es-ES"/>
              </w:rPr>
            </w:pPr>
            <w:r w:rsidRPr="00A94CED">
              <w:rPr>
                <w:rFonts w:ascii="Verdana" w:eastAsia="Aptos" w:hAnsi="Verdana" w:cs="Arial"/>
                <w:lang w:val="es-ES"/>
              </w:rPr>
              <w:t xml:space="preserve">Sin perjuicio de lo anterior, es importante señalar que, al tratarse de un análisis que se debe realizar en cada caso concreto, la Agencia, por vía consultiva, no puede definir un criterio universal y absoluto, sino que brinda </w:t>
            </w:r>
            <w:r w:rsidRPr="00A94CED">
              <w:rPr>
                <w:rFonts w:ascii="Verdana" w:eastAsia="Aptos" w:hAnsi="Verdana" w:cs="Arial"/>
                <w:lang w:val="es-ES"/>
              </w:rPr>
              <w:lastRenderedPageBreak/>
              <w:t>elementos hermenéuticos de carácter general para que los partícipes del sistema de compras y contratación pública adopten la decisión que corresponda, lo cual es acorde con el principio de juridicidad. Por lo anterior, previo concepto de sus órganos asesores y equipos jurídicos la solución de casos particulares corresponde a la entidad que debe adoptar la decisión correspondiente para determinar la validez o no de los documentos precontractuales aportados.</w:t>
            </w:r>
          </w:p>
          <w:p w14:paraId="08DB2EA5" w14:textId="77777777" w:rsidR="00A94CED" w:rsidRPr="00A94CED" w:rsidRDefault="00A94CED" w:rsidP="00A94CED">
            <w:pPr>
              <w:snapToGrid w:val="0"/>
              <w:spacing w:line="276" w:lineRule="auto"/>
              <w:jc w:val="both"/>
              <w:rPr>
                <w:rFonts w:ascii="Verdana" w:eastAsia="Calibri" w:hAnsi="Verdana" w:cs="Times New Roman"/>
                <w:lang w:val="es-ES"/>
              </w:rPr>
            </w:pPr>
          </w:p>
          <w:p w14:paraId="5B991C73" w14:textId="77777777" w:rsidR="00A94CED" w:rsidRPr="00A94CED" w:rsidRDefault="00A94CED" w:rsidP="00A94CED">
            <w:pPr>
              <w:spacing w:after="120" w:line="276" w:lineRule="auto"/>
              <w:jc w:val="both"/>
              <w:rPr>
                <w:rFonts w:ascii="Verdana" w:eastAsia="Aptos" w:hAnsi="Verdana" w:cs="Arial"/>
              </w:rPr>
            </w:pPr>
            <w:r w:rsidRPr="00A94CED">
              <w:rPr>
                <w:rFonts w:ascii="Verdana" w:eastAsia="Calibri" w:hAnsi="Verdana" w:cs="Times New Roman"/>
                <w:lang w:val="es-ES"/>
              </w:rPr>
              <w:t xml:space="preserve">v. </w:t>
            </w:r>
            <w:r w:rsidRPr="00A94CED">
              <w:rPr>
                <w:rFonts w:ascii="Verdana" w:eastAsia="Aptos" w:hAnsi="Verdana" w:cs="Ari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1BE53D93" w14:textId="77777777" w:rsidR="00A94CED" w:rsidRPr="00A94CED" w:rsidRDefault="00A94CED" w:rsidP="00A94CED">
            <w:pPr>
              <w:spacing w:after="120" w:line="276" w:lineRule="auto"/>
              <w:ind w:firstLine="708"/>
              <w:jc w:val="both"/>
              <w:rPr>
                <w:rFonts w:ascii="Verdana" w:eastAsia="Aptos" w:hAnsi="Verdana" w:cs="Arial"/>
                <w:lang w:val="es-ES"/>
              </w:rPr>
            </w:pPr>
            <w:r w:rsidRPr="00A94CED">
              <w:rPr>
                <w:rFonts w:ascii="Verdana" w:eastAsia="Aptos" w:hAnsi="Verdana" w:cs="Arial"/>
                <w:lang w:val="es-ES"/>
              </w:rPr>
              <w:t>Con sustento en esta competencia, esta Agencia expidió diversos grupos de documentos tipo aplicables principalmente a la contratación de obras públicas de infraestructura de transporte, agua potable,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4477E30E"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464E61D5"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 xml:space="preserve">Uno de los elementos comunes a los diferentes documentos tipo es la “Matriz – Experiencia”. Esta consta de unas celdas en las que se describe la </w:t>
            </w:r>
            <w:r w:rsidRPr="00A94CED">
              <w:rPr>
                <w:rFonts w:ascii="Verdana" w:eastAsia="Calibri" w:hAnsi="Verdana" w:cs="Times New Roman"/>
                <w:lang w:val="es-ES"/>
              </w:rPr>
              <w:lastRenderedPageBreak/>
              <w:t>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80C08BD"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10B804C4"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De esta manera, para saber a qué actividades deben aplicarse los documentos tipo expedidos por la Agencia Nacional de Contratación Pública – Colombia Compra Eficiente,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r w:rsidRPr="00A94CED">
              <w:rPr>
                <w:rFonts w:ascii="Verdana" w:eastAsia="Times New Roman" w:hAnsi="Verdana" w:cs="Arial"/>
                <w:shd w:val="clear" w:color="auto" w:fill="FFFFFF"/>
                <w:lang w:val="es-ES_tradnl" w:eastAsia="es-ES_tradnl"/>
              </w:rPr>
              <w:t xml:space="preserve"> En este sentido, en los documentos base de los documentos tipo, se indica que la entidad establecerá las condiciones de experiencia, tanto general como específica en las actividades que van a contratar. En este contexto, la entidad no podrá incluir condiciones distintas a las previstas en la matriz de experiencia y, por tanto, deberá transcribir textualmente lo indicado en ésta.</w:t>
            </w:r>
          </w:p>
          <w:p w14:paraId="7E9B9F54" w14:textId="77777777" w:rsidR="00A94CED" w:rsidRPr="00A94CED" w:rsidRDefault="00A94CED" w:rsidP="00A94CED">
            <w:pPr>
              <w:spacing w:after="120" w:line="276" w:lineRule="auto"/>
              <w:ind w:firstLine="708"/>
              <w:jc w:val="both"/>
              <w:rPr>
                <w:rFonts w:ascii="Verdana" w:eastAsia="Times New Roman" w:hAnsi="Verdana" w:cs="Arial"/>
                <w:shd w:val="clear" w:color="auto" w:fill="FFFFFF"/>
                <w:lang w:val="es-ES_tradnl" w:eastAsia="es-ES_tradnl"/>
              </w:rPr>
            </w:pPr>
            <w:r w:rsidRPr="00A94CED">
              <w:rPr>
                <w:rFonts w:ascii="Verdana" w:eastAsia="Times New Roman" w:hAnsi="Verdana" w:cs="Arial"/>
                <w:shd w:val="clear" w:color="auto" w:fill="FFFFFF"/>
                <w:lang w:val="es-ES_tradnl" w:eastAsia="es-ES_tradnl"/>
              </w:rPr>
              <w:t xml:space="preserve">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w:t>
            </w:r>
            <w:r w:rsidRPr="00A94CED">
              <w:rPr>
                <w:rFonts w:ascii="Verdana" w:eastAsia="Times New Roman" w:hAnsi="Verdana" w:cs="Arial"/>
                <w:shd w:val="clear" w:color="auto" w:fill="FFFFFF"/>
                <w:lang w:val="es-ES_tradnl" w:eastAsia="es-ES_tradnl"/>
              </w:rPr>
              <w:lastRenderedPageBreak/>
              <w:t xml:space="preserve">de su aplicación cuando materialmente el objeto a contratar corresponde con alguna actividad de contemplada en dicha matriz. </w:t>
            </w:r>
          </w:p>
          <w:p w14:paraId="333C4856" w14:textId="4F346A5D" w:rsidR="00A94CED" w:rsidRPr="00A94CED" w:rsidRDefault="00A94CED" w:rsidP="00A94CED">
            <w:pPr>
              <w:snapToGrid w:val="0"/>
              <w:spacing w:after="120" w:line="276" w:lineRule="auto"/>
              <w:ind w:firstLine="708"/>
              <w:jc w:val="both"/>
              <w:rPr>
                <w:rFonts w:ascii="Verdana" w:eastAsia="Times New Roman" w:hAnsi="Verdana" w:cs="Arial"/>
                <w:shd w:val="clear" w:color="auto" w:fill="FFFFFF"/>
                <w:lang w:val="es-ES" w:eastAsia="es-ES"/>
              </w:rPr>
            </w:pPr>
            <w:r w:rsidRPr="00A94CED">
              <w:rPr>
                <w:rFonts w:ascii="Verdana" w:eastAsia="Times New Roman" w:hAnsi="Verdana" w:cs="Arial"/>
                <w:shd w:val="clear" w:color="auto" w:fill="FFFFFF"/>
                <w:lang w:val="es-ES" w:eastAsia="es-ES"/>
              </w:rPr>
              <w:t xml:space="preserve">Si la Entidad determina que no está obligada a aplicar de manera forzosa los documentos tipo para desarrollar los procesos de contratación —ya sea porque, normativamente, no le resultan aplicables o porque el proceso que se pretende adelantar no se enmarca </w:t>
            </w:r>
            <w:proofErr w:type="gramStart"/>
            <w:r w:rsidR="00E4217B">
              <w:rPr>
                <w:rFonts w:ascii="Verdana" w:eastAsia="Times New Roman" w:hAnsi="Verdana" w:cs="Arial"/>
                <w:shd w:val="clear" w:color="auto" w:fill="FFFFFF"/>
                <w:lang w:val="es-ES" w:eastAsia="es-ES"/>
              </w:rPr>
              <w:t xml:space="preserve">en </w:t>
            </w:r>
            <w:r w:rsidRPr="00A94CED">
              <w:rPr>
                <w:rFonts w:ascii="Verdana" w:eastAsia="Times New Roman" w:hAnsi="Verdana" w:cs="Arial"/>
                <w:shd w:val="clear" w:color="auto" w:fill="FFFFFF"/>
                <w:lang w:val="es-ES" w:eastAsia="es-ES"/>
              </w:rPr>
              <w:t xml:space="preserve"> las</w:t>
            </w:r>
            <w:proofErr w:type="gramEnd"/>
            <w:r w:rsidRPr="00A94CED">
              <w:rPr>
                <w:rFonts w:ascii="Verdana" w:eastAsia="Times New Roman" w:hAnsi="Verdana" w:cs="Arial"/>
                <w:shd w:val="clear" w:color="auto" w:fill="FFFFFF"/>
                <w:lang w:val="es-ES" w:eastAsia="es-ES"/>
              </w:rPr>
              <w:t xml:space="preserve"> modalidades de selección y tipos de obra estandarizados en las respectivas matrices de experiencia—, en tales escenarios dichos documentos carecen de fuerza obligatoria. En consecuencia, la Entidad deberá estructurar sus procesos, atendiendo la normativa vigente en materia de compras y contratación pública. No </w:t>
            </w:r>
            <w:proofErr w:type="gramStart"/>
            <w:r w:rsidRPr="00A94CED">
              <w:rPr>
                <w:rFonts w:ascii="Verdana" w:eastAsia="Times New Roman" w:hAnsi="Verdana" w:cs="Arial"/>
                <w:shd w:val="clear" w:color="auto" w:fill="FFFFFF"/>
                <w:lang w:val="es-ES" w:eastAsia="es-ES"/>
              </w:rPr>
              <w:t>obstante</w:t>
            </w:r>
            <w:proofErr w:type="gramEnd"/>
            <w:r w:rsidRPr="00A94CED">
              <w:rPr>
                <w:rFonts w:ascii="Verdana" w:eastAsia="Times New Roman" w:hAnsi="Verdana" w:cs="Arial"/>
                <w:shd w:val="clear" w:color="auto" w:fill="FFFFFF"/>
                <w:lang w:val="es-ES" w:eastAsia="es-ES"/>
              </w:rPr>
              <w:t xml:space="preserve"> lo anterior, las Entidades pueden observar los documentos tipo de forma facultativa, como una estrategia para adoptar e incorporar políticas de buenas prácticas contractuales, realizando en caso de que sea necesario las adaptaciones que consideren pertinentes.</w:t>
            </w:r>
          </w:p>
          <w:p w14:paraId="2AAFD799" w14:textId="77777777" w:rsidR="00A94CED" w:rsidRPr="00A94CED" w:rsidRDefault="00A94CED" w:rsidP="00A94CED">
            <w:pPr>
              <w:snapToGrid w:val="0"/>
              <w:spacing w:line="276" w:lineRule="auto"/>
              <w:ind w:firstLine="708"/>
              <w:jc w:val="both"/>
              <w:rPr>
                <w:rFonts w:ascii="Verdana" w:eastAsia="Times New Roman" w:hAnsi="Verdana" w:cs="Arial"/>
                <w:shd w:val="clear" w:color="auto" w:fill="FFFFFF"/>
                <w:lang w:val="es-ES" w:eastAsia="es-ES"/>
              </w:rPr>
            </w:pPr>
            <w:r w:rsidRPr="00A94CED">
              <w:rPr>
                <w:rFonts w:ascii="Verdana" w:eastAsia="Times New Roman" w:hAnsi="Verdana" w:cs="Arial"/>
                <w:shd w:val="clear" w:color="auto" w:fill="FFFFFF"/>
                <w:lang w:val="es-ES" w:eastAsia="es-ES"/>
              </w:rPr>
              <w:t xml:space="preserve">En consecuencia con lo anterior, los proponentes interesados en un proceso de contratación que se adelante por fuera del ámbito de aplicación de los documentos tipo expedidos por esta Agencia no pueden pretender extender su aplicación –incluidas sus reglas– a la entidad que está adelantando el proceso en el que estos no resulten obligatorios, pues esto supone desconocer que, precisamente por no estar cobijado el proceso por dichos documentos, la entidad no se encuentra sujeta a ellos, sin perjuicio de que esta decida adoptarlos voluntariamente y en los términos que libremente determine como criterio de buena práctica. </w:t>
            </w:r>
          </w:p>
          <w:p w14:paraId="36EEBF95" w14:textId="77777777" w:rsidR="00A94CED" w:rsidRPr="00A94CED" w:rsidRDefault="00A94CED" w:rsidP="00A94CED">
            <w:pPr>
              <w:spacing w:line="276" w:lineRule="auto"/>
              <w:jc w:val="both"/>
              <w:rPr>
                <w:rFonts w:ascii="Verdana" w:eastAsia="Calibri" w:hAnsi="Verdana" w:cs="Arial"/>
                <w:lang w:val="es-ES_tradnl"/>
              </w:rPr>
            </w:pPr>
          </w:p>
          <w:p w14:paraId="3554CB1E" w14:textId="49B1F918" w:rsidR="00DC405A" w:rsidRDefault="00DC405A" w:rsidP="00A94CED">
            <w:pPr>
              <w:spacing w:line="276" w:lineRule="auto"/>
              <w:ind w:firstLine="708"/>
              <w:jc w:val="both"/>
              <w:rPr>
                <w:rFonts w:ascii="Verdana" w:eastAsia="Calibri" w:hAnsi="Verdana" w:cs="Times New Roman"/>
                <w:lang w:val="es-ES"/>
              </w:rPr>
            </w:pPr>
            <w:r>
              <w:rPr>
                <w:rFonts w:ascii="Verdana" w:eastAsia="Times New Roman" w:hAnsi="Verdana" w:cs="Arial"/>
                <w:shd w:val="clear" w:color="auto" w:fill="FFFFFF"/>
                <w:lang w:val="es-ES_tradnl" w:eastAsia="es-ES_tradnl"/>
              </w:rPr>
              <w:t xml:space="preserve">         </w:t>
            </w:r>
            <w:r w:rsidR="00A94CED" w:rsidRPr="00A94CED">
              <w:rPr>
                <w:rFonts w:ascii="Verdana" w:eastAsia="Times New Roman" w:hAnsi="Verdana" w:cs="Arial"/>
                <w:shd w:val="clear" w:color="auto" w:fill="FFFFFF"/>
                <w:lang w:val="es-ES_tradnl" w:eastAsia="es-ES_tradnl"/>
              </w:rPr>
              <w:t xml:space="preserve">Finalmente le informamos que, </w:t>
            </w:r>
            <w:r w:rsidR="00A94CED" w:rsidRPr="00A94CED">
              <w:rPr>
                <w:rFonts w:ascii="Verdana" w:eastAsia="Calibri" w:hAnsi="Verdana" w:cs="Times New Roman"/>
                <w:lang w:val="es-ES"/>
              </w:rPr>
              <w:t>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r w:rsidR="00A94CED" w:rsidRPr="00A94CED">
              <w:rPr>
                <w:rFonts w:ascii="Verdana" w:eastAsia="Aptos" w:hAnsi="Verdana" w:cs="Arial"/>
                <w:color w:val="000000"/>
              </w:rPr>
              <w:t>.</w:t>
            </w:r>
          </w:p>
          <w:p w14:paraId="113BB884" w14:textId="6CF60618" w:rsidR="00A94CED" w:rsidRPr="00A94CED" w:rsidRDefault="00A94CED" w:rsidP="00A94CED">
            <w:pPr>
              <w:spacing w:line="276" w:lineRule="auto"/>
              <w:ind w:firstLine="708"/>
              <w:jc w:val="both"/>
              <w:rPr>
                <w:rFonts w:ascii="Century Gothic" w:eastAsia="Times New Roman" w:hAnsi="Century Gothic" w:cs="Times New Roman"/>
                <w:color w:val="000000"/>
                <w:lang w:eastAsia="es-MX"/>
              </w:rPr>
            </w:pPr>
            <w:r w:rsidRPr="00A94CED">
              <w:rPr>
                <w:rFonts w:ascii="Verdana" w:eastAsia="Calibri" w:hAnsi="Verdana" w:cs="Times New Roman"/>
                <w:lang w:val="es-ES"/>
              </w:rPr>
              <w:lastRenderedPageBreak/>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2FCD78A8" w14:textId="77777777" w:rsidR="00A94CED" w:rsidRPr="00A94CED" w:rsidRDefault="00A94CED" w:rsidP="00A94CED">
      <w:pPr>
        <w:tabs>
          <w:tab w:val="left" w:pos="142"/>
          <w:tab w:val="left" w:pos="284"/>
        </w:tabs>
        <w:spacing w:after="0" w:line="276" w:lineRule="auto"/>
        <w:jc w:val="both"/>
        <w:rPr>
          <w:rFonts w:ascii="Verdana" w:eastAsia="Century Gothic" w:hAnsi="Verdana" w:cs="Century Gothic"/>
          <w:b/>
          <w:bCs/>
        </w:rPr>
      </w:pPr>
    </w:p>
    <w:bookmarkEnd w:id="1"/>
    <w:p w14:paraId="789A8AB6" w14:textId="77777777" w:rsidR="00A94CED" w:rsidRPr="00A94CED" w:rsidRDefault="00A94CED" w:rsidP="00A94CED">
      <w:pPr>
        <w:numPr>
          <w:ilvl w:val="0"/>
          <w:numId w:val="24"/>
        </w:numPr>
        <w:tabs>
          <w:tab w:val="left" w:pos="142"/>
          <w:tab w:val="left" w:pos="284"/>
        </w:tabs>
        <w:spacing w:after="0" w:line="276" w:lineRule="auto"/>
        <w:contextualSpacing/>
        <w:jc w:val="both"/>
        <w:rPr>
          <w:rFonts w:ascii="Verdana" w:eastAsia="Century Gothic" w:hAnsi="Verdana" w:cs="Century Gothic"/>
          <w:b/>
          <w:bCs/>
          <w:lang w:val="es-ES"/>
        </w:rPr>
      </w:pPr>
      <w:r w:rsidRPr="00A94CED">
        <w:rPr>
          <w:rFonts w:ascii="Verdana" w:eastAsia="Century Gothic" w:hAnsi="Verdana" w:cs="Century Gothic"/>
          <w:b/>
          <w:bCs/>
          <w:lang w:val="es-ES"/>
        </w:rPr>
        <w:t>Razones de la respuesta:</w:t>
      </w:r>
    </w:p>
    <w:p w14:paraId="5BC86579" w14:textId="77777777" w:rsidR="00A94CED" w:rsidRPr="00A94CED" w:rsidRDefault="00A94CED" w:rsidP="00A94CED">
      <w:pPr>
        <w:spacing w:after="0" w:line="276" w:lineRule="auto"/>
        <w:jc w:val="both"/>
        <w:rPr>
          <w:rFonts w:ascii="Verdana" w:eastAsia="Calibri" w:hAnsi="Verdana" w:cs="Arial"/>
          <w:color w:val="7030A0"/>
          <w:lang w:val="es-ES"/>
        </w:rPr>
      </w:pPr>
    </w:p>
    <w:p w14:paraId="31E9A874" w14:textId="77777777" w:rsidR="00A94CED" w:rsidRPr="00A94CED" w:rsidRDefault="00A94CED" w:rsidP="00A94CED">
      <w:pPr>
        <w:spacing w:after="0" w:line="276" w:lineRule="auto"/>
        <w:jc w:val="both"/>
        <w:rPr>
          <w:rFonts w:ascii="Verdana" w:eastAsia="Calibri" w:hAnsi="Verdana" w:cs="Arial"/>
          <w:lang w:val="es-ES"/>
        </w:rPr>
      </w:pPr>
      <w:r w:rsidRPr="00A94CED">
        <w:rPr>
          <w:rFonts w:ascii="Verdana" w:eastAsia="Calibri" w:hAnsi="Verdana" w:cs="Arial"/>
          <w:lang w:val="es-ES"/>
        </w:rPr>
        <w:t>Lo anterior se sustenta en las siguientes consideraciones:</w:t>
      </w:r>
    </w:p>
    <w:p w14:paraId="6BF02748" w14:textId="77777777" w:rsidR="00A94CED" w:rsidRPr="00A94CED" w:rsidRDefault="00A94CED" w:rsidP="00A94CED">
      <w:pPr>
        <w:spacing w:after="0" w:line="276" w:lineRule="auto"/>
        <w:jc w:val="both"/>
        <w:rPr>
          <w:rFonts w:ascii="Verdana" w:eastAsia="Calibri" w:hAnsi="Verdana" w:cs="Arial"/>
          <w:lang w:val="es-ES"/>
        </w:rPr>
      </w:pPr>
    </w:p>
    <w:p w14:paraId="771FD762" w14:textId="77777777" w:rsidR="00A94CED" w:rsidRPr="00A94CED" w:rsidRDefault="00A94CED" w:rsidP="00A94CED">
      <w:pPr>
        <w:spacing w:after="120" w:line="276" w:lineRule="auto"/>
        <w:ind w:right="49"/>
        <w:jc w:val="both"/>
        <w:rPr>
          <w:rFonts w:ascii="Verdana" w:eastAsia="Calibri" w:hAnsi="Verdana" w:cs="Arial"/>
          <w:color w:val="000000"/>
          <w:lang w:val="es-ES"/>
        </w:rPr>
      </w:pPr>
      <w:bookmarkStart w:id="2" w:name="_Hlk100131579"/>
      <w:r w:rsidRPr="00A94CED">
        <w:rPr>
          <w:rFonts w:ascii="Verdana" w:eastAsia="Calibri" w:hAnsi="Verdana" w:cs="Arial"/>
          <w:lang w:val="es-ES_tradnl"/>
        </w:rPr>
        <w:t xml:space="preserve">i. </w:t>
      </w:r>
      <w:bookmarkEnd w:id="2"/>
      <w:r w:rsidRPr="00A94CED">
        <w:rPr>
          <w:rFonts w:ascii="Verdana" w:eastAsia="Times New Roman" w:hAnsi="Verdana" w:cs="Arial"/>
          <w:lang w:val="es-ES" w:eastAsia="es-MX"/>
        </w:rPr>
        <w:t xml:space="preserve">El artículo 2 de la Ley 1150 de 2007 establece las modalidades de selección aplicables a las entidades sometidas al EGCAP, indicando que la escogencia del contratista se efectuará por regla general bajo la modalidad de licitación pública, con las excepciones que señalan los numerales 2, 3 y 4 de dicho artículo. En efecto, las Entidades Estatales deben adelantar sus procesos de contratación, por regla general, mediante la modalidad de licitación pública. De esta forma, salvo que se configure alguno de los supuestos que la norma establece para que sea procedente un procedimiento distinto, la entidad deberá adelantar su contratación mediante dicha modalidad de selección. </w:t>
      </w:r>
    </w:p>
    <w:p w14:paraId="1B96CFE7" w14:textId="77777777" w:rsidR="00A94CED" w:rsidRPr="00A94CED" w:rsidRDefault="00A94CED" w:rsidP="00A94CED">
      <w:pPr>
        <w:spacing w:after="120" w:line="276" w:lineRule="auto"/>
        <w:ind w:firstLine="709"/>
        <w:jc w:val="both"/>
        <w:rPr>
          <w:rFonts w:ascii="Verdana" w:eastAsia="Calibri" w:hAnsi="Verdana" w:cs="Arial"/>
          <w:lang w:val="es-ES"/>
        </w:rPr>
      </w:pPr>
      <w:r w:rsidRPr="00A94CED">
        <w:rPr>
          <w:rFonts w:ascii="Verdana" w:eastAsia="Calibri" w:hAnsi="Verdana" w:cs="Arial"/>
          <w:lang w:val="es-ES"/>
        </w:rPr>
        <w:t xml:space="preserve">La </w:t>
      </w:r>
      <w:r w:rsidRPr="00A94CED">
        <w:rPr>
          <w:rFonts w:ascii="Verdana" w:eastAsia="Calibri" w:hAnsi="Verdana" w:cs="Arial"/>
          <w:i/>
          <w:iCs/>
          <w:lang w:val="es-ES"/>
        </w:rPr>
        <w:t>mínima cuantía</w:t>
      </w:r>
      <w:r w:rsidRPr="00A94CED">
        <w:rPr>
          <w:rFonts w:ascii="Verdana" w:eastAsia="Calibri" w:hAnsi="Verdana" w:cs="Arial"/>
          <w:lang w:val="es-ES"/>
        </w:rPr>
        <w:t xml:space="preserve"> es una modalidad de selección en virtud de la cual la entidad realiza una convocatoria pública para recibir oferta de bienes, obras o servicios, cuyo valor no exceda el diez por ciento (10%) de la menor cuantía de la Entidad Estatal. Es decir, que será procedente cuando se cumpla este requisito, independientemente del objeto a contratar. Esta modalidad establece un procedimiento expedito y competitivo que se rige por lo dispuesto en los artículos 2.2.1.2.1.5.1. a 2.2.1.2.1.5.6.  del Decreto 1082 de 2015. En términos generales, se caracteriza porque la entidad podrá exigir una capacidad financiera mínima, la publicación de la invitación se realiza por término no inferior a un (1) día hábil para la formulación de observaciones o comentarios, y porque el único criterio de evaluación para determinar la oferta más favorable es el menor precio. </w:t>
      </w:r>
    </w:p>
    <w:p w14:paraId="03B289CB" w14:textId="77777777" w:rsidR="00A94CED" w:rsidRPr="00A94CED" w:rsidRDefault="00A94CED" w:rsidP="00A94CED">
      <w:pPr>
        <w:spacing w:after="120" w:line="276" w:lineRule="auto"/>
        <w:ind w:firstLine="709"/>
        <w:jc w:val="both"/>
        <w:rPr>
          <w:rFonts w:ascii="Verdana" w:eastAsia="Calibri" w:hAnsi="Verdana" w:cs="Arial"/>
          <w:color w:val="000000"/>
          <w:lang w:val="es-ES" w:eastAsia="es-ES"/>
        </w:rPr>
      </w:pPr>
      <w:r w:rsidRPr="00A94CED">
        <w:rPr>
          <w:rFonts w:ascii="Verdana" w:eastAsia="Calibri" w:hAnsi="Verdana" w:cs="Arial"/>
        </w:rPr>
        <w:lastRenderedPageBreak/>
        <w:t xml:space="preserve">El contenido de la invitación está definido en el artículo 2.2.1.2.1.5.2 del Decreto 1082 de 2015, por lo que debe entenderse que </w:t>
      </w:r>
      <w:r w:rsidRPr="00A94CED">
        <w:rPr>
          <w:rFonts w:ascii="Verdana" w:eastAsia="Calibri" w:hAnsi="Verdana" w:cs="Arial"/>
          <w:color w:val="000000"/>
          <w:lang w:val="es-ES" w:eastAsia="es-ES"/>
        </w:rPr>
        <w:t>constituye la hoja de ruta o plan</w:t>
      </w:r>
      <w:r w:rsidRPr="00A94CED">
        <w:rPr>
          <w:rFonts w:ascii="Verdana" w:eastAsia="Calibri" w:hAnsi="Verdana" w:cs="Arial"/>
          <w:color w:val="000000"/>
          <w:vertAlign w:val="superscript"/>
          <w:lang w:val="es-ES" w:eastAsia="es-ES"/>
        </w:rPr>
        <w:footnoteReference w:id="10"/>
      </w:r>
      <w:r w:rsidRPr="00A94CED">
        <w:rPr>
          <w:rFonts w:ascii="Verdana" w:eastAsia="Calibri" w:hAnsi="Verdana" w:cs="Arial"/>
          <w:color w:val="000000"/>
          <w:lang w:val="es-ES" w:eastAsia="es-ES"/>
        </w:rPr>
        <w:t xml:space="preserve"> sobre el cual se diseña, estructura y concreta el procedimiento de selección de contratistas. El mismo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w:t>
      </w:r>
      <w:r w:rsidRPr="00A94CED">
        <w:rPr>
          <w:rFonts w:ascii="Verdana" w:eastAsia="Calibri" w:hAnsi="Verdana" w:cs="Arial"/>
          <w:color w:val="000000"/>
          <w:vertAlign w:val="superscript"/>
          <w:lang w:val="es-ES" w:eastAsia="es-ES"/>
        </w:rPr>
        <w:footnoteReference w:id="11"/>
      </w:r>
      <w:r w:rsidRPr="00A94CED">
        <w:rPr>
          <w:rFonts w:ascii="Verdana" w:eastAsia="Calibri" w:hAnsi="Verdana" w:cs="Arial"/>
          <w:color w:val="000000"/>
          <w:lang w:val="es-ES" w:eastAsia="es-ES"/>
        </w:rPr>
        <w:t>. En este sentido, en el marco de su discrecionalidad y del imperio de la ley, cada entidad debe establecer la forma cómo se estructura el pliego de condiciones, el cual está condicionado a la proporcionalidad de las decisiones que toma en aras de garantizar la pluralidad de oferentes y la selección objetiva</w:t>
      </w:r>
      <w:r w:rsidRPr="00A94CED">
        <w:rPr>
          <w:rFonts w:ascii="Verdana" w:eastAsia="Calibri" w:hAnsi="Verdana" w:cs="Arial"/>
          <w:color w:val="000000"/>
          <w:lang w:eastAsia="es-ES"/>
        </w:rPr>
        <w:t>.</w:t>
      </w:r>
    </w:p>
    <w:p w14:paraId="735CDF0D" w14:textId="77777777" w:rsidR="00A94CED" w:rsidRPr="00A94CED" w:rsidRDefault="00A94CED" w:rsidP="00A94CED">
      <w:pPr>
        <w:spacing w:after="120" w:line="276" w:lineRule="auto"/>
        <w:ind w:firstLine="709"/>
        <w:jc w:val="both"/>
        <w:rPr>
          <w:rFonts w:ascii="Verdana" w:eastAsia="Calibri" w:hAnsi="Verdana" w:cs="Arial"/>
        </w:rPr>
      </w:pPr>
      <w:r w:rsidRPr="00A94CED">
        <w:rPr>
          <w:rFonts w:ascii="Verdana" w:eastAsia="Calibri" w:hAnsi="Verdana" w:cs="Arial"/>
          <w:color w:val="000000"/>
          <w:lang w:val="es-ES" w:eastAsia="es-ES_tradnl"/>
        </w:rPr>
        <w:t xml:space="preserve">De este modo, el pliego de condiciones o la invitación en los procesos de selección de mínima cuantía es un instrumento en el cual se materializa el principio de transparencia, pues allí se fijan las reglas de escogencia del contratista del Estado, para la selección objetiva de la mejor oferta, la adjudicación y la posterior celebración y ejecución del contrato, lo cual lo convierte en una reglamentación de todo el </w:t>
      </w:r>
      <w:proofErr w:type="spellStart"/>
      <w:r w:rsidRPr="00A94CED">
        <w:rPr>
          <w:rFonts w:ascii="Verdana" w:eastAsia="Calibri" w:hAnsi="Verdana" w:cs="Arial"/>
          <w:i/>
          <w:iCs/>
          <w:color w:val="000000"/>
          <w:lang w:val="es-ES" w:eastAsia="es-ES_tradnl"/>
        </w:rPr>
        <w:t>iter</w:t>
      </w:r>
      <w:proofErr w:type="spellEnd"/>
      <w:r w:rsidRPr="00A94CED">
        <w:rPr>
          <w:rFonts w:ascii="Verdana" w:eastAsia="Calibri" w:hAnsi="Verdana" w:cs="Arial"/>
          <w:color w:val="000000"/>
          <w:lang w:val="es-ES" w:eastAsia="es-ES_tradnl"/>
        </w:rPr>
        <w:t xml:space="preserve"> contractual. En otras palabras, </w:t>
      </w:r>
      <w:r w:rsidRPr="00A94CED">
        <w:rPr>
          <w:rFonts w:ascii="Verdana" w:eastAsia="Calibri" w:hAnsi="Verdana" w:cs="Arial"/>
        </w:rPr>
        <w:t>es el documento en el que se establecen las normas que van a regular la etapa selección, a las que deberán sujetarse la administración y los oferentes a efectos de lograr una selección objetiva</w:t>
      </w:r>
      <w:r w:rsidRPr="00A94CED">
        <w:rPr>
          <w:rFonts w:ascii="Verdana" w:eastAsia="Calibri" w:hAnsi="Verdana" w:cs="Arial"/>
          <w:vertAlign w:val="superscript"/>
        </w:rPr>
        <w:footnoteReference w:id="12"/>
      </w:r>
      <w:r w:rsidRPr="00A94CED">
        <w:rPr>
          <w:rFonts w:ascii="Verdana" w:eastAsia="Calibri" w:hAnsi="Verdana" w:cs="Arial"/>
        </w:rPr>
        <w:t>.</w:t>
      </w:r>
    </w:p>
    <w:p w14:paraId="4CE5D94D" w14:textId="77777777" w:rsidR="00A94CED" w:rsidRPr="00A94CED" w:rsidRDefault="00A94CED" w:rsidP="00A94CED">
      <w:pPr>
        <w:spacing w:after="0" w:line="276" w:lineRule="auto"/>
        <w:ind w:firstLine="708"/>
        <w:jc w:val="both"/>
        <w:rPr>
          <w:rFonts w:ascii="Verdana" w:eastAsia="Calibri" w:hAnsi="Verdana" w:cs="Arial"/>
          <w:color w:val="000000"/>
          <w:lang w:val="es-ES" w:eastAsia="es-ES_tradnl"/>
        </w:rPr>
      </w:pPr>
      <w:r w:rsidRPr="00A94CED">
        <w:rPr>
          <w:rFonts w:ascii="Verdana" w:eastAsia="Calibri" w:hAnsi="Verdana" w:cs="Arial"/>
          <w:color w:val="000000"/>
          <w:lang w:val="es-ES" w:eastAsia="es-ES_tradnl"/>
        </w:rPr>
        <w:lastRenderedPageBreak/>
        <w:t>Su contenido</w:t>
      </w:r>
      <w:r w:rsidRPr="00A94CED">
        <w:rPr>
          <w:rFonts w:ascii="Verdana" w:eastAsia="Calibri" w:hAnsi="Verdana" w:cs="Arial"/>
          <w:color w:val="000000"/>
          <w:vertAlign w:val="superscript"/>
          <w:lang w:val="es-ES" w:eastAsia="es-ES_tradnl"/>
        </w:rPr>
        <w:footnoteReference w:id="13"/>
      </w:r>
      <w:r w:rsidRPr="00A94CED">
        <w:rPr>
          <w:rFonts w:ascii="Verdana" w:eastAsia="Calibri" w:hAnsi="Verdana" w:cs="Arial"/>
          <w:color w:val="000000"/>
          <w:lang w:val="es-ES" w:eastAsia="es-ES_tradnl"/>
        </w:rPr>
        <w:t xml:space="preserve"> está previsto en el numeral 5 del artículo 24 de la Ley 80 de 1993, que establece algunas directrices que deben tenerse en cuenta en su elaboración</w:t>
      </w:r>
      <w:r w:rsidRPr="00A94CED">
        <w:rPr>
          <w:rFonts w:ascii="Verdana" w:eastAsia="Calibri" w:hAnsi="Verdana" w:cs="Arial"/>
          <w:color w:val="000000"/>
          <w:vertAlign w:val="superscript"/>
          <w:lang w:val="es-ES" w:eastAsia="es-ES_tradnl"/>
        </w:rPr>
        <w:footnoteReference w:id="14"/>
      </w:r>
      <w:r w:rsidRPr="00A94CED">
        <w:rPr>
          <w:rFonts w:ascii="Verdana" w:eastAsia="Calibri" w:hAnsi="Verdana" w:cs="Arial"/>
          <w:color w:val="000000"/>
          <w:lang w:val="es-ES" w:eastAsia="es-ES_tradnl"/>
        </w:rPr>
        <w:t>.</w:t>
      </w:r>
    </w:p>
    <w:p w14:paraId="28CE4840" w14:textId="77777777" w:rsidR="00A94CED" w:rsidRPr="00A94CED" w:rsidRDefault="00A94CED" w:rsidP="00A94CED">
      <w:pPr>
        <w:spacing w:after="0" w:line="240" w:lineRule="auto"/>
        <w:ind w:firstLine="709"/>
        <w:jc w:val="both"/>
        <w:rPr>
          <w:rFonts w:ascii="Verdana" w:eastAsia="Calibri" w:hAnsi="Verdana" w:cs="Arial"/>
          <w:color w:val="000000"/>
          <w:lang w:val="es-ES" w:eastAsia="es-ES_tradnl"/>
        </w:rPr>
      </w:pPr>
    </w:p>
    <w:p w14:paraId="0CB67A99" w14:textId="77777777" w:rsidR="00A94CED" w:rsidRPr="00A94CED" w:rsidRDefault="00A94CED" w:rsidP="00A94CED">
      <w:pPr>
        <w:spacing w:after="0" w:line="276" w:lineRule="auto"/>
        <w:ind w:firstLine="708"/>
        <w:jc w:val="both"/>
        <w:rPr>
          <w:rFonts w:ascii="Verdana" w:eastAsia="Calibri" w:hAnsi="Verdana" w:cs="Arial"/>
          <w:color w:val="000000"/>
          <w:lang w:val="es-ES" w:eastAsia="es-ES"/>
        </w:rPr>
      </w:pPr>
      <w:r w:rsidRPr="00A94CED">
        <w:rPr>
          <w:rFonts w:ascii="Verdana" w:eastAsia="Calibri" w:hAnsi="Verdana" w:cs="Arial"/>
          <w:color w:val="000000"/>
          <w:lang w:val="es-ES" w:eastAsia="es-ES"/>
        </w:rPr>
        <w:t xml:space="preserve">De conformidad con lo anterior, resulta claro que las entidades estatales, en virtud de la autonomía de la voluntad y de la amplia discrecionalidad que se les reconoce, tienen la facultad de configurar las reglas y exigencias de los pliegos de condiciones o de la invitación de manera libre, dentro de los parámetros y límites </w:t>
      </w:r>
      <w:r w:rsidRPr="00A94CED">
        <w:rPr>
          <w:rFonts w:ascii="Verdana" w:eastAsia="Calibri" w:hAnsi="Verdana" w:cs="Arial"/>
          <w:color w:val="000000"/>
          <w:lang w:val="es-ES" w:eastAsia="es-ES" w:bidi="es-ES"/>
        </w:rPr>
        <w:t>establecidos por el ordenamiento legal</w:t>
      </w:r>
      <w:r w:rsidRPr="00A94CED">
        <w:rPr>
          <w:rFonts w:ascii="Verdana" w:eastAsia="Calibri" w:hAnsi="Verdana" w:cs="Arial"/>
          <w:color w:val="000000"/>
          <w:vertAlign w:val="superscript"/>
          <w:lang w:val="es-ES" w:eastAsia="es-ES" w:bidi="es-ES"/>
        </w:rPr>
        <w:footnoteReference w:id="15"/>
      </w:r>
      <w:r w:rsidRPr="00A94CED">
        <w:rPr>
          <w:rFonts w:ascii="Verdana" w:eastAsia="Calibri" w:hAnsi="Verdana" w:cs="Arial"/>
          <w:color w:val="000000"/>
          <w:lang w:val="es-ES" w:eastAsia="es-ES"/>
        </w:rPr>
        <w:t>, con fundamento en los estudios realizados en la fase de planeación</w:t>
      </w:r>
      <w:r w:rsidRPr="00A94CED">
        <w:rPr>
          <w:rFonts w:ascii="Verdana" w:eastAsia="Calibri" w:hAnsi="Verdana" w:cs="Arial"/>
          <w:color w:val="000000"/>
          <w:vertAlign w:val="superscript"/>
          <w:lang w:val="es-ES" w:eastAsia="es-ES"/>
        </w:rPr>
        <w:footnoteReference w:id="16"/>
      </w:r>
      <w:r w:rsidRPr="00A94CED">
        <w:rPr>
          <w:rFonts w:ascii="Verdana" w:eastAsia="Calibri" w:hAnsi="Verdana" w:cs="Arial"/>
          <w:color w:val="000000"/>
          <w:lang w:val="es-ES" w:eastAsia="es-ES"/>
        </w:rPr>
        <w:t xml:space="preserve">. Además, tienen la carga de </w:t>
      </w:r>
      <w:r w:rsidRPr="00A94CED">
        <w:rPr>
          <w:rFonts w:ascii="Verdana" w:eastAsia="Calibri" w:hAnsi="Verdana" w:cs="Arial"/>
          <w:color w:val="000000"/>
          <w:lang w:val="es-ES" w:eastAsia="es-ES"/>
        </w:rPr>
        <w:lastRenderedPageBreak/>
        <w:t>elaborarlos de manera idónea, objetiva, clara, precisa y completa, tal como se deduce de la disposición citada.</w:t>
      </w:r>
    </w:p>
    <w:p w14:paraId="4F89EDAA" w14:textId="77777777" w:rsidR="00A94CED" w:rsidRPr="00A94CED" w:rsidRDefault="00A94CED" w:rsidP="00A94CED">
      <w:pPr>
        <w:spacing w:after="0" w:line="276" w:lineRule="auto"/>
        <w:jc w:val="both"/>
        <w:rPr>
          <w:rFonts w:ascii="Verdana" w:eastAsia="Times New Roman" w:hAnsi="Verdana" w:cs="Arial"/>
          <w:color w:val="000000"/>
          <w:lang w:eastAsia="es-ES"/>
        </w:rPr>
      </w:pPr>
    </w:p>
    <w:p w14:paraId="796F616E" w14:textId="77777777" w:rsidR="00A94CED" w:rsidRPr="00A94CED" w:rsidRDefault="00A94CED" w:rsidP="00A94CED">
      <w:pPr>
        <w:spacing w:after="120" w:line="276" w:lineRule="auto"/>
        <w:jc w:val="both"/>
        <w:rPr>
          <w:rFonts w:ascii="Verdana" w:eastAsia="Times New Roman" w:hAnsi="Verdana" w:cs="Arial"/>
          <w:lang w:val="es-ES" w:eastAsia="es-ES"/>
          <w14:ligatures w14:val="standardContextual"/>
        </w:rPr>
      </w:pPr>
      <w:proofErr w:type="spellStart"/>
      <w:r w:rsidRPr="00A94CED">
        <w:rPr>
          <w:rFonts w:ascii="Verdana" w:eastAsia="Times New Roman" w:hAnsi="Verdana" w:cs="Arial"/>
          <w:color w:val="000000"/>
          <w:lang w:eastAsia="es-ES"/>
        </w:rPr>
        <w:t>ii</w:t>
      </w:r>
      <w:proofErr w:type="spellEnd"/>
      <w:r w:rsidRPr="00A94CED">
        <w:rPr>
          <w:rFonts w:ascii="Verdana" w:eastAsia="Times New Roman" w:hAnsi="Verdana" w:cs="Arial"/>
          <w:color w:val="000000"/>
          <w:lang w:eastAsia="es-ES"/>
        </w:rPr>
        <w:t xml:space="preserve">. </w:t>
      </w:r>
      <w:r w:rsidRPr="00A94CED">
        <w:rPr>
          <w:rFonts w:ascii="Verdana" w:eastAsia="Times New Roman" w:hAnsi="Verdana" w:cs="Arial"/>
          <w:lang w:val="es-ES" w:eastAsia="es-ES"/>
          <w14:ligatures w14:val="standardContextual"/>
        </w:rPr>
        <w:t xml:space="preserve">Uno de los postulados más importantes de un Estado Social y Democrático de Derecho es el principio de </w:t>
      </w:r>
      <w:r w:rsidRPr="00A94CED">
        <w:rPr>
          <w:rFonts w:ascii="Verdana" w:eastAsia="Times New Roman" w:hAnsi="Verdana" w:cs="Arial"/>
          <w:i/>
          <w:iCs/>
          <w:lang w:val="es-ES" w:eastAsia="es-ES"/>
          <w14:ligatures w14:val="standardContextual"/>
        </w:rPr>
        <w:t>publicidad</w:t>
      </w:r>
      <w:r w:rsidRPr="00A94CED">
        <w:rPr>
          <w:rFonts w:ascii="Verdana" w:eastAsia="Times New Roman" w:hAnsi="Verdana" w:cs="Arial"/>
          <w:lang w:val="es-ES" w:eastAsia="es-ES"/>
          <w14:ligatures w14:val="standardContextual"/>
        </w:rPr>
        <w:t>, pues este permite que las actuaciones de las autoridades gocen de visibilidad. En tal sentido, la filosofía política ha indicado que la democracia “[…] es idealmente el gobierno de un poder visible, es decir, el gobierno cuyos actos se realizan ante el público y bajo la supervisión de la opinión pública”</w:t>
      </w:r>
      <w:r w:rsidRPr="00A94CED">
        <w:rPr>
          <w:rFonts w:ascii="Verdana" w:eastAsia="Times New Roman" w:hAnsi="Verdana" w:cs="Arial"/>
          <w:vertAlign w:val="superscript"/>
          <w:lang w:val="es-ES" w:eastAsia="es-ES"/>
          <w14:ligatures w14:val="standardContextual"/>
        </w:rPr>
        <w:footnoteReference w:id="17"/>
      </w:r>
      <w:r w:rsidRPr="00A94CED">
        <w:rPr>
          <w:rFonts w:ascii="Verdana" w:eastAsia="Times New Roman" w:hAnsi="Verdana" w:cs="Arial"/>
          <w:lang w:val="es-ES" w:eastAsia="es-ES"/>
          <w14:ligatures w14:val="standardContextual"/>
        </w:rPr>
        <w:t xml:space="preserve">.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 la publicidad de las actuaciones de los poderes públicos. </w:t>
      </w:r>
    </w:p>
    <w:p w14:paraId="40F9AE86" w14:textId="77777777" w:rsidR="00A94CED" w:rsidRPr="00A94CED" w:rsidRDefault="00A94CED" w:rsidP="00A94CED">
      <w:pPr>
        <w:tabs>
          <w:tab w:val="left" w:pos="709"/>
        </w:tabs>
        <w:spacing w:before="120" w:after="120" w:line="276" w:lineRule="auto"/>
        <w:ind w:firstLine="709"/>
        <w:jc w:val="both"/>
        <w:rPr>
          <w:rFonts w:ascii="Verdana" w:eastAsia="Calibri" w:hAnsi="Verdana" w:cs="Arial"/>
          <w:shd w:val="clear" w:color="auto" w:fill="FFFFFF"/>
        </w:rPr>
      </w:pPr>
      <w:r w:rsidRPr="00A94CED">
        <w:rPr>
          <w:rFonts w:ascii="Verdana" w:eastAsia="Calibri" w:hAnsi="Verdana" w:cs="Arial"/>
          <w:shd w:val="clear" w:color="auto" w:fill="FFFFFF"/>
        </w:rPr>
        <w:t>Con el propósito de garantizar el cumplimiento del mencionado deber de publicidad, se le asignó a la Agencia Nacional de Contratación Pública - Colombia Compra Eficiente, la función de administrar el SECOP</w:t>
      </w:r>
      <w:r w:rsidRPr="00A94CED">
        <w:rPr>
          <w:rFonts w:ascii="Verdana" w:eastAsia="Calibri" w:hAnsi="Verdana" w:cs="Arial"/>
          <w:shd w:val="clear" w:color="auto" w:fill="FFFFFF"/>
          <w:vertAlign w:val="superscript"/>
        </w:rPr>
        <w:footnoteReference w:id="18"/>
      </w:r>
      <w:r w:rsidRPr="00A94CED">
        <w:rPr>
          <w:rFonts w:ascii="Verdana" w:eastAsia="Calibri" w:hAnsi="Verdana" w:cs="Arial"/>
          <w:shd w:val="clear" w:color="auto" w:fill="FFFFFF"/>
        </w:rPr>
        <w:t xml:space="preserve">. Dicha plataforma ha tenido dos versiones, esto es, el SECOP I y el SECOP II. La primera versión de la plataforma –SECOP I–, sólo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 En cambio, el SECOP II, es una plataforma transaccional que permite gestionar en línea los procedimientos de contratación, con cuentas y usuarios asociados a estas, para las entidades y los proveedores, y vista pública para cualquier interesado en hacer seguimiento a la contratación pública. </w:t>
      </w:r>
    </w:p>
    <w:p w14:paraId="45A9245E" w14:textId="77777777" w:rsidR="00A94CED" w:rsidRPr="00A94CED" w:rsidRDefault="00A94CED" w:rsidP="00A94CED">
      <w:pPr>
        <w:spacing w:after="0" w:line="276" w:lineRule="auto"/>
        <w:ind w:firstLine="567"/>
        <w:jc w:val="both"/>
        <w:rPr>
          <w:rFonts w:ascii="Verdana" w:eastAsia="Calibri" w:hAnsi="Verdana" w:cs="Arial"/>
          <w:lang w:val="es-ES"/>
        </w:rPr>
      </w:pPr>
      <w:r w:rsidRPr="00A94CED">
        <w:rPr>
          <w:rFonts w:ascii="Verdana" w:eastAsia="Calibri" w:hAnsi="Verdana" w:cs="Arial"/>
          <w:lang w:val="es-ES"/>
        </w:rPr>
        <w:lastRenderedPageBreak/>
        <w:t xml:space="preserve">En este sentido, y </w:t>
      </w:r>
      <w:proofErr w:type="gramStart"/>
      <w:r w:rsidRPr="00A94CED">
        <w:rPr>
          <w:rFonts w:ascii="Verdana" w:eastAsia="Calibri" w:hAnsi="Verdana" w:cs="Arial"/>
          <w:lang w:val="es-ES"/>
        </w:rPr>
        <w:t>de acuerdo a</w:t>
      </w:r>
      <w:proofErr w:type="gramEnd"/>
      <w:r w:rsidRPr="00A94CED">
        <w:rPr>
          <w:rFonts w:ascii="Verdana" w:eastAsia="Calibri" w:hAnsi="Verdana" w:cs="Arial"/>
          <w:lang w:val="es-ES"/>
        </w:rPr>
        <w:t xml:space="preserve"> lo señalado en las Circulares Externas No. 005 de 2023</w:t>
      </w:r>
      <w:r w:rsidRPr="00A94CED">
        <w:rPr>
          <w:rFonts w:ascii="Verdana" w:eastAsia="Calibri" w:hAnsi="Verdana" w:cs="Arial"/>
          <w:vertAlign w:val="superscript"/>
          <w:lang w:val="es-ES"/>
        </w:rPr>
        <w:footnoteReference w:id="19"/>
      </w:r>
      <w:r w:rsidRPr="00A94CED">
        <w:rPr>
          <w:rFonts w:ascii="Verdana" w:eastAsia="Calibri" w:hAnsi="Verdana" w:cs="Arial"/>
          <w:lang w:val="es-ES"/>
        </w:rPr>
        <w:t xml:space="preserve"> y 003 de 2024</w:t>
      </w:r>
      <w:r w:rsidRPr="00A94CED">
        <w:rPr>
          <w:rFonts w:ascii="Verdana" w:eastAsia="Calibri" w:hAnsi="Verdana" w:cs="Arial"/>
          <w:vertAlign w:val="superscript"/>
          <w:lang w:val="es-ES"/>
        </w:rPr>
        <w:footnoteReference w:id="20"/>
      </w:r>
      <w:r w:rsidRPr="00A94CED">
        <w:rPr>
          <w:rFonts w:ascii="Verdana" w:eastAsia="Calibri" w:hAnsi="Verdana" w:cs="Arial"/>
          <w:lang w:val="es-ES"/>
        </w:rPr>
        <w:t xml:space="preserve"> expedidas por esta Agencia, persisten entidades que no han realizado la transición hacia los sistemas transaccionales y que no encuentran obligadas a implementar el SECOP </w:t>
      </w:r>
      <w:proofErr w:type="spellStart"/>
      <w:r w:rsidRPr="00A94CED">
        <w:rPr>
          <w:rFonts w:ascii="Verdana" w:eastAsia="Calibri" w:hAnsi="Verdana" w:cs="Arial"/>
          <w:lang w:val="es-ES"/>
        </w:rPr>
        <w:t>ii</w:t>
      </w:r>
      <w:proofErr w:type="spellEnd"/>
      <w:r w:rsidRPr="00A94CED">
        <w:rPr>
          <w:rFonts w:ascii="Verdana" w:eastAsia="Calibri" w:hAnsi="Verdana" w:cs="Arial"/>
          <w:lang w:val="es-ES"/>
        </w:rPr>
        <w:t xml:space="preserve"> hasta el momento. En la consulta objeto de análisis se hace referencia a la entrega física de la propuesta, lo cual permite inferir que el procedimiento contractual se desarrolla a través de SECOP I, en el cual el trámite es predominantemente físico, aunque con obligación de publicidad electrónica.</w:t>
      </w:r>
    </w:p>
    <w:p w14:paraId="04E51440" w14:textId="77777777" w:rsidR="00A94CED" w:rsidRPr="00A94CED" w:rsidRDefault="00A94CED" w:rsidP="00A94CED">
      <w:pPr>
        <w:snapToGrid w:val="0"/>
        <w:spacing w:after="0" w:line="276" w:lineRule="auto"/>
        <w:ind w:firstLine="709"/>
        <w:jc w:val="both"/>
        <w:rPr>
          <w:rFonts w:ascii="Verdana" w:eastAsia="Calibri" w:hAnsi="Verdana" w:cs="Arial"/>
          <w:bCs/>
          <w:color w:val="000000"/>
        </w:rPr>
      </w:pPr>
    </w:p>
    <w:p w14:paraId="63469684" w14:textId="77777777" w:rsidR="00A94CED" w:rsidRPr="00A94CED" w:rsidRDefault="00A94CED" w:rsidP="00A94CED">
      <w:pPr>
        <w:snapToGrid w:val="0"/>
        <w:spacing w:after="120" w:line="276" w:lineRule="auto"/>
        <w:jc w:val="both"/>
        <w:rPr>
          <w:rFonts w:ascii="Verdana" w:eastAsia="Calibri" w:hAnsi="Verdana" w:cs="Arial"/>
          <w:lang w:val="es-ES_tradnl"/>
        </w:rPr>
      </w:pPr>
      <w:proofErr w:type="spellStart"/>
      <w:r w:rsidRPr="00A94CED">
        <w:rPr>
          <w:rFonts w:ascii="Verdana" w:eastAsia="Calibri" w:hAnsi="Verdana" w:cs="Arial"/>
          <w:bCs/>
          <w:color w:val="000000"/>
        </w:rPr>
        <w:t>iii</w:t>
      </w:r>
      <w:proofErr w:type="spellEnd"/>
      <w:r w:rsidRPr="00A94CED">
        <w:rPr>
          <w:rFonts w:ascii="Verdana" w:eastAsia="Calibri" w:hAnsi="Verdana" w:cs="Arial"/>
          <w:bCs/>
          <w:color w:val="000000"/>
        </w:rPr>
        <w:t xml:space="preserve">. Para referirnos a las </w:t>
      </w:r>
      <w:r w:rsidRPr="00A94CED">
        <w:rPr>
          <w:rFonts w:ascii="Verdana" w:eastAsia="Calibri" w:hAnsi="Verdana" w:cs="Arial"/>
          <w:bCs/>
          <w:i/>
          <w:iCs/>
          <w:color w:val="000000"/>
        </w:rPr>
        <w:t xml:space="preserve">reglas de la presentación y manejo de las ofertas, </w:t>
      </w:r>
      <w:r w:rsidRPr="00A94CED">
        <w:rPr>
          <w:rFonts w:ascii="Verdana" w:eastAsia="Calibri" w:hAnsi="Verdana" w:cs="Arial"/>
          <w:bCs/>
          <w:color w:val="000000"/>
        </w:rPr>
        <w:t>se debe diferenciar la formalidad de presentación de la propuesta del acto material de entrega. Así las cosas, cuando los pliegos de condiciones o la invitación señalen que el proponente podrá presentar su oferta a través de apoderado, hace referencia a la posibilidad de que, en virtud de un mandato, el apoderado presente la oferta en nombre del proponente. Así mismo dicho apoderado podrá celebrar contratos con las Entidades Estatales.</w:t>
      </w:r>
    </w:p>
    <w:p w14:paraId="260939CB" w14:textId="77777777" w:rsidR="00A94CED" w:rsidRPr="00A94CED" w:rsidRDefault="00A94CED" w:rsidP="00A94CED">
      <w:pPr>
        <w:snapToGrid w:val="0"/>
        <w:spacing w:after="120" w:line="276" w:lineRule="auto"/>
        <w:ind w:firstLine="709"/>
        <w:jc w:val="both"/>
        <w:rPr>
          <w:rFonts w:ascii="Verdana" w:eastAsia="Calibri" w:hAnsi="Verdana" w:cs="Arial"/>
          <w:bCs/>
          <w:color w:val="000000"/>
        </w:rPr>
      </w:pPr>
      <w:r w:rsidRPr="00A94CED">
        <w:rPr>
          <w:rFonts w:ascii="Verdana" w:eastAsia="Calibri" w:hAnsi="Verdana" w:cs="Arial"/>
          <w:bCs/>
          <w:color w:val="000000"/>
        </w:rPr>
        <w:t>Por su parte, la</w:t>
      </w:r>
      <w:r w:rsidRPr="00A94CED">
        <w:rPr>
          <w:rFonts w:ascii="Verdana" w:eastAsia="Calibri" w:hAnsi="Verdana" w:cs="Arial"/>
          <w:bCs/>
          <w:i/>
          <w:iCs/>
          <w:color w:val="000000"/>
        </w:rPr>
        <w:t xml:space="preserve"> </w:t>
      </w:r>
      <w:r w:rsidRPr="00A94CED">
        <w:rPr>
          <w:rFonts w:ascii="Verdana" w:eastAsia="Calibri" w:hAnsi="Verdana" w:cs="Arial"/>
          <w:bCs/>
          <w:color w:val="000000"/>
        </w:rPr>
        <w:t>Circular Única Externa expedida por la Agencia Nacional de Contratación Pública – Colombia Compra Eficiente señala en el numeral 8.2 que “Los poderes especiales para actuar en los Procesos de Contratación deberán presentarse conforme lo establezca la normativa vigente, por lo que requieren nota de presentación personal, de conformidad con el artículo 5 del Decreto Ley 019 de 2012”.</w:t>
      </w:r>
    </w:p>
    <w:p w14:paraId="4AFAF38B" w14:textId="77777777" w:rsidR="00A94CED" w:rsidRPr="00A94CED" w:rsidRDefault="00A94CED" w:rsidP="00A94CED">
      <w:pPr>
        <w:snapToGrid w:val="0"/>
        <w:spacing w:after="120" w:line="276" w:lineRule="auto"/>
        <w:ind w:firstLine="709"/>
        <w:jc w:val="both"/>
        <w:rPr>
          <w:rFonts w:ascii="Verdana" w:eastAsia="Calibri" w:hAnsi="Verdana" w:cs="Arial"/>
          <w:bCs/>
          <w:color w:val="000000"/>
        </w:rPr>
      </w:pPr>
      <w:r w:rsidRPr="00A94CED">
        <w:rPr>
          <w:rFonts w:ascii="Verdana" w:eastAsia="Calibri" w:hAnsi="Verdana" w:cs="Arial"/>
          <w:bCs/>
          <w:color w:val="000000"/>
        </w:rPr>
        <w:t xml:space="preserve">Frente a lo anterior, se precisa que la normativa no prevé disposiciones sobre el otorgamiento de poder para actuar en un proceso de contratación, </w:t>
      </w:r>
      <w:r w:rsidRPr="00A94CED">
        <w:rPr>
          <w:rFonts w:ascii="Verdana" w:eastAsia="Calibri" w:hAnsi="Verdana" w:cs="Arial"/>
          <w:bCs/>
          <w:color w:val="000000"/>
        </w:rPr>
        <w:lastRenderedPageBreak/>
        <w:t>siendo aplicables las normas generales sobre el mandato comercial y el mandato civil, las cuales no establecen calidades especiales para el mandatario</w:t>
      </w:r>
      <w:r w:rsidRPr="00A94CED">
        <w:rPr>
          <w:rFonts w:ascii="Verdana" w:eastAsia="Calibri" w:hAnsi="Verdana" w:cs="Arial"/>
          <w:bCs/>
          <w:color w:val="000000"/>
          <w:vertAlign w:val="superscript"/>
        </w:rPr>
        <w:footnoteReference w:id="21"/>
      </w:r>
      <w:r w:rsidRPr="00A94CED">
        <w:rPr>
          <w:rFonts w:ascii="Verdana" w:eastAsia="Calibri" w:hAnsi="Verdana" w:cs="Arial"/>
          <w:bCs/>
          <w:color w:val="000000"/>
        </w:rPr>
        <w:t>.</w:t>
      </w:r>
    </w:p>
    <w:p w14:paraId="185DEA53" w14:textId="77777777" w:rsidR="00A94CED" w:rsidRPr="00A94CED" w:rsidRDefault="00A94CED" w:rsidP="00A94CED">
      <w:pPr>
        <w:widowControl w:val="0"/>
        <w:autoSpaceDE w:val="0"/>
        <w:autoSpaceDN w:val="0"/>
        <w:spacing w:after="0" w:line="276" w:lineRule="auto"/>
        <w:ind w:right="107" w:firstLine="709"/>
        <w:jc w:val="both"/>
        <w:rPr>
          <w:rFonts w:ascii="Verdana" w:eastAsia="Arial" w:hAnsi="Verdana" w:cs="Arial"/>
          <w:lang w:val="es-ES"/>
        </w:rPr>
      </w:pPr>
      <w:r w:rsidRPr="00A94CED">
        <w:rPr>
          <w:rFonts w:ascii="Verdana" w:eastAsia="Arial" w:hAnsi="Verdana" w:cs="Arial"/>
          <w:lang w:val="es-ES"/>
        </w:rPr>
        <w:t xml:space="preserve">De igual manera, acorde con el artículo 77 de la Ley 80 de 1993, siempre </w:t>
      </w:r>
      <w:r w:rsidRPr="00A94CED">
        <w:rPr>
          <w:rFonts w:ascii="Verdana" w:eastAsia="Arial" w:hAnsi="Verdana" w:cs="Arial"/>
          <w:spacing w:val="2"/>
          <w:lang w:val="es-ES"/>
        </w:rPr>
        <w:t xml:space="preserve">que </w:t>
      </w:r>
      <w:r w:rsidRPr="00A94CED">
        <w:rPr>
          <w:rFonts w:ascii="Verdana" w:eastAsia="Arial" w:hAnsi="Verdana" w:cs="Arial"/>
          <w:lang w:val="es-ES"/>
        </w:rPr>
        <w:t>sean compatibles, es posible recurrir a la aplicación de las normas que regulan las actuaciones y procedimientos administrativos, y a falta de estas, a las normas del Código de Procedimiento Civil, hoy Código General del Proceso. Luego, comoquiera que no existen normas especiales que regulen el poder a efectos de la presentación de ofertas en un proceso de contratación a través de mandatario, se debe recurrir a las reglas establecidas en las normas mencionadas. Así, se debe tener en cuenta el contenido del artículo 74 del Código General del proceso, respecto de los poderes generales y especiales, el cual</w:t>
      </w:r>
      <w:r w:rsidRPr="00A94CED">
        <w:rPr>
          <w:rFonts w:ascii="Verdana" w:eastAsia="Arial" w:hAnsi="Verdana" w:cs="Arial"/>
          <w:spacing w:val="-2"/>
          <w:lang w:val="es-ES"/>
        </w:rPr>
        <w:t xml:space="preserve"> </w:t>
      </w:r>
      <w:r w:rsidRPr="00A94CED">
        <w:rPr>
          <w:rFonts w:ascii="Verdana" w:eastAsia="Arial" w:hAnsi="Verdana" w:cs="Arial"/>
          <w:lang w:val="es-ES"/>
        </w:rPr>
        <w:t>señala:</w:t>
      </w:r>
    </w:p>
    <w:p w14:paraId="65F328EC" w14:textId="77777777" w:rsidR="00A94CED" w:rsidRPr="00A94CED" w:rsidRDefault="00A94CED" w:rsidP="00A94CED">
      <w:pPr>
        <w:widowControl w:val="0"/>
        <w:autoSpaceDE w:val="0"/>
        <w:autoSpaceDN w:val="0"/>
        <w:spacing w:after="0" w:line="276" w:lineRule="auto"/>
        <w:ind w:right="107" w:firstLine="709"/>
        <w:jc w:val="both"/>
        <w:rPr>
          <w:rFonts w:ascii="Arial" w:eastAsia="Arial" w:hAnsi="Arial" w:cs="Arial"/>
          <w:sz w:val="19"/>
          <w:lang w:val="es-ES"/>
        </w:rPr>
      </w:pPr>
    </w:p>
    <w:p w14:paraId="3C75DD78" w14:textId="77777777" w:rsidR="00A94CED" w:rsidRPr="00A94CED" w:rsidRDefault="00A94CED" w:rsidP="00A94CED">
      <w:pPr>
        <w:widowControl w:val="0"/>
        <w:autoSpaceDE w:val="0"/>
        <w:autoSpaceDN w:val="0"/>
        <w:spacing w:after="120" w:line="240" w:lineRule="auto"/>
        <w:ind w:left="709" w:right="709"/>
        <w:jc w:val="both"/>
        <w:rPr>
          <w:rFonts w:ascii="Verdana" w:eastAsia="Arial" w:hAnsi="Verdana" w:cs="Arial"/>
          <w:sz w:val="20"/>
          <w:szCs w:val="20"/>
          <w:lang w:val="es-ES"/>
        </w:rPr>
      </w:pPr>
      <w:r w:rsidRPr="00A94CED">
        <w:rPr>
          <w:rFonts w:ascii="Verdana" w:eastAsia="Arial" w:hAnsi="Verdana" w:cs="Arial"/>
          <w:b/>
          <w:sz w:val="20"/>
          <w:szCs w:val="20"/>
          <w:lang w:val="es-ES"/>
        </w:rPr>
        <w:t>“Artículo 74. Poderes</w:t>
      </w:r>
      <w:r w:rsidRPr="00A94CED">
        <w:rPr>
          <w:rFonts w:ascii="Verdana" w:eastAsia="Arial" w:hAnsi="Verdana" w:cs="Arial"/>
          <w:sz w:val="20"/>
          <w:szCs w:val="20"/>
          <w:lang w:val="es-ES"/>
        </w:rPr>
        <w:t>. Los poderes generales para toda clase de procesos solo podrán conferirse por escritura pública. El poder especial para uno o varios procesos podrá conferirse por documento privado. En los poderes especiales los asuntos deberán estar determinados y claramente</w:t>
      </w:r>
      <w:r w:rsidRPr="00A94CED">
        <w:rPr>
          <w:rFonts w:ascii="Verdana" w:eastAsia="Arial" w:hAnsi="Verdana" w:cs="Arial"/>
          <w:spacing w:val="-5"/>
          <w:sz w:val="20"/>
          <w:szCs w:val="20"/>
          <w:lang w:val="es-ES"/>
        </w:rPr>
        <w:t xml:space="preserve"> </w:t>
      </w:r>
      <w:r w:rsidRPr="00A94CED">
        <w:rPr>
          <w:rFonts w:ascii="Verdana" w:eastAsia="Arial" w:hAnsi="Verdana" w:cs="Arial"/>
          <w:sz w:val="20"/>
          <w:szCs w:val="20"/>
          <w:lang w:val="es-ES"/>
        </w:rPr>
        <w:t>identificados.</w:t>
      </w:r>
    </w:p>
    <w:p w14:paraId="10BE287A" w14:textId="77777777" w:rsidR="00A94CED" w:rsidRPr="00A94CED" w:rsidRDefault="00A94CED" w:rsidP="00A94CED">
      <w:pPr>
        <w:widowControl w:val="0"/>
        <w:autoSpaceDE w:val="0"/>
        <w:autoSpaceDN w:val="0"/>
        <w:spacing w:after="120" w:line="240" w:lineRule="auto"/>
        <w:ind w:left="709" w:right="709"/>
        <w:jc w:val="both"/>
        <w:rPr>
          <w:rFonts w:ascii="Verdana" w:eastAsia="Arial" w:hAnsi="Verdana" w:cs="Arial"/>
          <w:sz w:val="20"/>
          <w:szCs w:val="20"/>
          <w:lang w:val="es-ES"/>
        </w:rPr>
      </w:pPr>
      <w:r w:rsidRPr="00A94CED">
        <w:rPr>
          <w:rFonts w:ascii="Verdana" w:eastAsia="Arial" w:hAnsi="Verdana" w:cs="Arial"/>
          <w:sz w:val="20"/>
          <w:szCs w:val="20"/>
          <w:lang w:val="es-ES"/>
        </w:rPr>
        <w:t>El poder especial puede conferirse verbalmente en audiencia o diligencia o por memorial dirigido al juez del conocimiento. El poder especial para efectos judiciales deberá ser presentado personalmente por el poderdante ante juez, oficina judicial de apoyo o notario. Las sustituciones de poder se presumen</w:t>
      </w:r>
      <w:r w:rsidRPr="00A94CED">
        <w:rPr>
          <w:rFonts w:ascii="Verdana" w:eastAsia="Arial" w:hAnsi="Verdana" w:cs="Arial"/>
          <w:spacing w:val="-14"/>
          <w:sz w:val="20"/>
          <w:szCs w:val="20"/>
          <w:lang w:val="es-ES"/>
        </w:rPr>
        <w:t xml:space="preserve"> </w:t>
      </w:r>
      <w:r w:rsidRPr="00A94CED">
        <w:rPr>
          <w:rFonts w:ascii="Verdana" w:eastAsia="Arial" w:hAnsi="Verdana" w:cs="Arial"/>
          <w:sz w:val="20"/>
          <w:szCs w:val="20"/>
          <w:lang w:val="es-ES"/>
        </w:rPr>
        <w:t>auténticas.</w:t>
      </w:r>
    </w:p>
    <w:p w14:paraId="6A2388AA" w14:textId="77777777" w:rsidR="00A94CED" w:rsidRPr="00A94CED" w:rsidRDefault="00A94CED" w:rsidP="00A94CED">
      <w:pPr>
        <w:widowControl w:val="0"/>
        <w:autoSpaceDE w:val="0"/>
        <w:autoSpaceDN w:val="0"/>
        <w:spacing w:after="120" w:line="240" w:lineRule="auto"/>
        <w:ind w:left="709" w:right="709"/>
        <w:jc w:val="both"/>
        <w:rPr>
          <w:rFonts w:ascii="Verdana" w:eastAsia="Arial" w:hAnsi="Verdana" w:cs="Arial"/>
          <w:sz w:val="20"/>
          <w:szCs w:val="20"/>
          <w:lang w:val="es-ES"/>
        </w:rPr>
      </w:pPr>
      <w:r w:rsidRPr="00A94CED">
        <w:rPr>
          <w:rFonts w:ascii="Verdana" w:eastAsia="Arial" w:hAnsi="Verdana" w:cs="Arial"/>
          <w:sz w:val="20"/>
          <w:szCs w:val="20"/>
          <w:lang w:val="es-ES"/>
        </w:rPr>
        <w:t>Los poderes podrán extenderse en el exterior, ante cónsul colombiano o el funcionario que la ley local autorice para ello; en ese último caso, su autenticación se hará en la forma establecida en el artículo</w:t>
      </w:r>
      <w:r w:rsidRPr="00A94CED">
        <w:rPr>
          <w:rFonts w:ascii="Verdana" w:eastAsia="Arial" w:hAnsi="Verdana" w:cs="Arial"/>
          <w:spacing w:val="-13"/>
          <w:sz w:val="20"/>
          <w:szCs w:val="20"/>
          <w:lang w:val="es-ES"/>
        </w:rPr>
        <w:t xml:space="preserve"> </w:t>
      </w:r>
      <w:r w:rsidRPr="00A94CED">
        <w:rPr>
          <w:rFonts w:ascii="Verdana" w:eastAsia="Arial" w:hAnsi="Verdana" w:cs="Arial"/>
          <w:sz w:val="20"/>
          <w:szCs w:val="20"/>
          <w:lang w:val="es-ES"/>
        </w:rPr>
        <w:t>251</w:t>
      </w:r>
    </w:p>
    <w:p w14:paraId="703ED25F" w14:textId="77777777" w:rsidR="00A94CED" w:rsidRPr="00A94CED" w:rsidRDefault="00A94CED" w:rsidP="00A94CED">
      <w:pPr>
        <w:widowControl w:val="0"/>
        <w:autoSpaceDE w:val="0"/>
        <w:autoSpaceDN w:val="0"/>
        <w:spacing w:after="120" w:line="240" w:lineRule="auto"/>
        <w:ind w:left="709" w:right="709"/>
        <w:jc w:val="both"/>
        <w:rPr>
          <w:rFonts w:ascii="Verdana" w:eastAsia="Arial" w:hAnsi="Verdana" w:cs="Arial"/>
          <w:sz w:val="20"/>
          <w:szCs w:val="20"/>
          <w:lang w:val="es-ES"/>
        </w:rPr>
      </w:pPr>
      <w:r w:rsidRPr="00A94CED">
        <w:rPr>
          <w:rFonts w:ascii="Verdana" w:eastAsia="Arial" w:hAnsi="Verdana" w:cs="Arial"/>
          <w:sz w:val="20"/>
          <w:szCs w:val="20"/>
          <w:lang w:val="es-ES"/>
        </w:rPr>
        <w:t>Cuando quien otorga el poder fuere una sociedad, si el cónsul que lo autentica o ante quien se otorga hace constar que tuvo a la vista las pruebas de la existencia de aquella y que quien lo confiere es su representante, se tendrán por establecidas estas circunstancias. De la misma manera se procederá cuando quien confiera el poder sea apoderado de una persona.</w:t>
      </w:r>
    </w:p>
    <w:p w14:paraId="351986F1" w14:textId="77777777" w:rsidR="00A94CED" w:rsidRPr="00A94CED" w:rsidRDefault="00A94CED" w:rsidP="00A94CED">
      <w:pPr>
        <w:spacing w:after="120" w:line="240" w:lineRule="auto"/>
        <w:ind w:left="709" w:right="709"/>
        <w:rPr>
          <w:rFonts w:ascii="Verdana" w:eastAsia="Arial" w:hAnsi="Verdana" w:cs="Arial"/>
          <w:sz w:val="20"/>
          <w:szCs w:val="20"/>
          <w:lang w:val="es-ES"/>
        </w:rPr>
      </w:pPr>
      <w:r w:rsidRPr="00A94CED">
        <w:rPr>
          <w:rFonts w:ascii="Verdana" w:eastAsia="Arial" w:hAnsi="Verdana" w:cs="Arial"/>
          <w:sz w:val="20"/>
          <w:szCs w:val="20"/>
          <w:lang w:val="es-ES"/>
        </w:rPr>
        <w:lastRenderedPageBreak/>
        <w:t>Se podrá conferir poder especial por mensaje de datos con firma digital. Los poderes podrán ser aceptados expresamente o por su ejercicio”.</w:t>
      </w:r>
    </w:p>
    <w:p w14:paraId="2F5A8BC4" w14:textId="77777777" w:rsidR="00A94CED" w:rsidRPr="00A94CED" w:rsidRDefault="00A94CED" w:rsidP="00A94CED">
      <w:pPr>
        <w:spacing w:after="0" w:line="240" w:lineRule="auto"/>
        <w:ind w:left="993" w:right="709"/>
        <w:rPr>
          <w:rFonts w:ascii="Calibri" w:eastAsia="Calibri" w:hAnsi="Calibri" w:cs="Times New Roman"/>
        </w:rPr>
      </w:pPr>
    </w:p>
    <w:p w14:paraId="3FB0AB3B" w14:textId="77777777" w:rsidR="00A94CED" w:rsidRPr="00A94CED" w:rsidRDefault="00A94CED" w:rsidP="00A94CED">
      <w:pPr>
        <w:widowControl w:val="0"/>
        <w:autoSpaceDE w:val="0"/>
        <w:autoSpaceDN w:val="0"/>
        <w:spacing w:after="0" w:line="240" w:lineRule="auto"/>
        <w:ind w:right="108" w:firstLine="708"/>
        <w:jc w:val="both"/>
        <w:rPr>
          <w:rFonts w:ascii="Verdana" w:eastAsia="Arial" w:hAnsi="Verdana" w:cs="Arial"/>
          <w:lang w:val="es-ES"/>
        </w:rPr>
      </w:pPr>
      <w:r w:rsidRPr="00A94CED">
        <w:rPr>
          <w:rFonts w:ascii="Verdana" w:eastAsia="Arial" w:hAnsi="Verdana" w:cs="Arial"/>
          <w:lang w:val="es-ES"/>
        </w:rPr>
        <w:t>La norma anterior debe ser armonizada con el contenido del artículo 5 del Decreto Ley 019 de 2012, que señala:</w:t>
      </w:r>
    </w:p>
    <w:p w14:paraId="77A5C5C8" w14:textId="77777777" w:rsidR="00A94CED" w:rsidRPr="00A94CED" w:rsidRDefault="00A94CED" w:rsidP="00A94CED">
      <w:pPr>
        <w:widowControl w:val="0"/>
        <w:autoSpaceDE w:val="0"/>
        <w:autoSpaceDN w:val="0"/>
        <w:spacing w:before="9" w:after="0" w:line="240" w:lineRule="auto"/>
        <w:jc w:val="both"/>
        <w:rPr>
          <w:rFonts w:ascii="Verdana" w:eastAsia="Arial" w:hAnsi="Verdana" w:cs="Arial"/>
          <w:sz w:val="20"/>
          <w:szCs w:val="20"/>
          <w:lang w:val="es-ES"/>
        </w:rPr>
      </w:pPr>
    </w:p>
    <w:p w14:paraId="2DA17135" w14:textId="77777777" w:rsidR="00A94CED" w:rsidRPr="00A94CED" w:rsidRDefault="00A94CED" w:rsidP="00A94CED">
      <w:pPr>
        <w:widowControl w:val="0"/>
        <w:autoSpaceDE w:val="0"/>
        <w:autoSpaceDN w:val="0"/>
        <w:spacing w:after="0" w:line="240" w:lineRule="auto"/>
        <w:ind w:left="709" w:right="814"/>
        <w:jc w:val="both"/>
        <w:rPr>
          <w:rFonts w:ascii="Verdana" w:eastAsia="Arial" w:hAnsi="Verdana" w:cs="Arial"/>
          <w:sz w:val="20"/>
          <w:szCs w:val="20"/>
          <w:lang w:val="es-ES"/>
        </w:rPr>
      </w:pPr>
      <w:r w:rsidRPr="00A94CED">
        <w:rPr>
          <w:rFonts w:ascii="Verdana" w:eastAsia="Arial" w:hAnsi="Verdana" w:cs="Arial"/>
          <w:b/>
          <w:sz w:val="20"/>
          <w:szCs w:val="20"/>
          <w:lang w:val="es-ES"/>
        </w:rPr>
        <w:t xml:space="preserve">“Artículo 5. </w:t>
      </w:r>
      <w:r w:rsidRPr="00A94CED">
        <w:rPr>
          <w:rFonts w:ascii="Verdana" w:eastAsia="Arial" w:hAnsi="Verdana" w:cs="Arial"/>
          <w:sz w:val="20"/>
          <w:szCs w:val="20"/>
          <w:lang w:val="es-ES"/>
        </w:rPr>
        <w:t xml:space="preserve">Economía en las actuaciones administrativas. Las normas de procedimiento administrativo deben ser utilizadas para agilizar las decisiones; los procedimientos se deben adelantar en el menor tiempo y con la menor cantidad de gastos de quienes intervienen en ellos; las autoridades administrativas y los particulares que cumplen funciones administrativas no deben exigir más documentos y copias que los estrictamente necesarios, </w:t>
      </w:r>
      <w:r w:rsidRPr="00A94CED">
        <w:rPr>
          <w:rFonts w:ascii="Verdana" w:eastAsia="Arial" w:hAnsi="Verdana" w:cs="Arial"/>
          <w:b/>
          <w:sz w:val="20"/>
          <w:szCs w:val="20"/>
          <w:lang w:val="es-ES"/>
        </w:rPr>
        <w:t>ni autenticaciones ni notas de presentación personal sino cuando la ley lo ordene en forma expresa, o tratándose de poderes especiales</w:t>
      </w:r>
      <w:r w:rsidRPr="00A94CED">
        <w:rPr>
          <w:rFonts w:ascii="Verdana" w:eastAsia="Arial" w:hAnsi="Verdana" w:cs="Arial"/>
          <w:sz w:val="20"/>
          <w:szCs w:val="20"/>
          <w:lang w:val="es-ES"/>
        </w:rPr>
        <w:t xml:space="preserve">. En tal virtud, las autoridades deberán proceder con austeridad y eficiencia, optimizar el uso del tiempo y de los demás recursos, procurando el más alto nivel de calidad </w:t>
      </w:r>
      <w:r w:rsidRPr="00A94CED">
        <w:rPr>
          <w:rFonts w:ascii="Verdana" w:eastAsia="Arial" w:hAnsi="Verdana" w:cs="Arial"/>
          <w:spacing w:val="3"/>
          <w:sz w:val="20"/>
          <w:szCs w:val="20"/>
          <w:lang w:val="es-ES"/>
        </w:rPr>
        <w:t xml:space="preserve">en </w:t>
      </w:r>
      <w:r w:rsidRPr="00A94CED">
        <w:rPr>
          <w:rFonts w:ascii="Verdana" w:eastAsia="Arial" w:hAnsi="Verdana" w:cs="Arial"/>
          <w:sz w:val="20"/>
          <w:szCs w:val="20"/>
          <w:lang w:val="es-ES"/>
        </w:rPr>
        <w:t>sus actuaciones y la protección de los derechos de las</w:t>
      </w:r>
      <w:r w:rsidRPr="00A94CED">
        <w:rPr>
          <w:rFonts w:ascii="Verdana" w:eastAsia="Arial" w:hAnsi="Verdana" w:cs="Arial"/>
          <w:spacing w:val="-1"/>
          <w:sz w:val="20"/>
          <w:szCs w:val="20"/>
          <w:lang w:val="es-ES"/>
        </w:rPr>
        <w:t xml:space="preserve"> </w:t>
      </w:r>
      <w:r w:rsidRPr="00A94CED">
        <w:rPr>
          <w:rFonts w:ascii="Verdana" w:eastAsia="Arial" w:hAnsi="Verdana" w:cs="Arial"/>
          <w:sz w:val="20"/>
          <w:szCs w:val="20"/>
          <w:lang w:val="es-ES"/>
        </w:rPr>
        <w:t>personas”.</w:t>
      </w:r>
    </w:p>
    <w:p w14:paraId="2580D925" w14:textId="77777777" w:rsidR="00A94CED" w:rsidRPr="00A94CED" w:rsidRDefault="00A94CED" w:rsidP="00A94CED">
      <w:pPr>
        <w:widowControl w:val="0"/>
        <w:autoSpaceDE w:val="0"/>
        <w:autoSpaceDN w:val="0"/>
        <w:spacing w:after="0" w:line="240" w:lineRule="auto"/>
        <w:ind w:right="115"/>
        <w:jc w:val="both"/>
        <w:rPr>
          <w:rFonts w:ascii="Verdana" w:eastAsia="Arial" w:hAnsi="Verdana" w:cs="Arial"/>
          <w:lang w:val="es-ES"/>
        </w:rPr>
      </w:pPr>
    </w:p>
    <w:p w14:paraId="5B172094" w14:textId="77777777" w:rsidR="00A94CED" w:rsidRPr="00A94CED" w:rsidRDefault="00A94CED" w:rsidP="00A94CED">
      <w:pPr>
        <w:widowControl w:val="0"/>
        <w:autoSpaceDE w:val="0"/>
        <w:autoSpaceDN w:val="0"/>
        <w:spacing w:after="120" w:line="276" w:lineRule="auto"/>
        <w:ind w:right="115" w:firstLine="709"/>
        <w:jc w:val="both"/>
        <w:rPr>
          <w:rFonts w:ascii="Verdana" w:eastAsia="Arial" w:hAnsi="Verdana" w:cs="Arial"/>
          <w:lang w:val="es-ES"/>
        </w:rPr>
      </w:pPr>
      <w:r w:rsidRPr="00A94CED">
        <w:rPr>
          <w:rFonts w:ascii="Verdana" w:eastAsia="Arial" w:hAnsi="Verdana" w:cs="Arial"/>
          <w:lang w:val="es-ES"/>
        </w:rPr>
        <w:t>Es posible concluir que cuando la propuesta se presente a través de apoderado, dicho poder deberá ser otorgado con las formalidades establecidas por las normas enunciadas, lo cual incluye, para el evento que se trate de poderes especiales, la nota de presentación personal.</w:t>
      </w:r>
    </w:p>
    <w:p w14:paraId="2149BA30" w14:textId="77777777" w:rsidR="00A94CED" w:rsidRPr="00A94CED" w:rsidRDefault="00A94CED" w:rsidP="00A94CED">
      <w:pPr>
        <w:snapToGrid w:val="0"/>
        <w:spacing w:after="120" w:line="276" w:lineRule="auto"/>
        <w:ind w:firstLine="709"/>
        <w:jc w:val="both"/>
        <w:rPr>
          <w:rFonts w:ascii="Verdana" w:eastAsia="Calibri" w:hAnsi="Verdana" w:cs="Arial"/>
          <w:lang w:val="es-ES_tradnl"/>
        </w:rPr>
      </w:pPr>
      <w:r w:rsidRPr="00A94CED">
        <w:rPr>
          <w:rFonts w:ascii="Verdana" w:eastAsia="Calibri" w:hAnsi="Verdana" w:cs="Times New Roman"/>
        </w:rPr>
        <w:t xml:space="preserve">Ahora bien, como ya se dijo, debe distinguirse entre la “presentación de la propuesta” a la “entrega física”, la primera es un acto jurídico en el que una persona (apoderado) formula y suscribe una oferta a nombre de otra (poderdante), y la segunda, es una mera actividad de entrega de un documento en físico que no requiere de ningún acto de poder o mandato para su ejecución, </w:t>
      </w:r>
      <w:r w:rsidRPr="00A94CED">
        <w:rPr>
          <w:rFonts w:ascii="Verdana" w:eastAsia="Calibri" w:hAnsi="Verdana" w:cs="Arial"/>
          <w:bCs/>
          <w:color w:val="000000"/>
        </w:rPr>
        <w:t xml:space="preserve">por consiguiente, si el pliego o la invitación está haciendo referencia a un poder para la entrega física de la propuesta, esta disposición del pliego puede ser observada, </w:t>
      </w:r>
      <w:r w:rsidRPr="00A94CED">
        <w:rPr>
          <w:rFonts w:ascii="Verdana" w:eastAsia="Calibri" w:hAnsi="Verdana" w:cs="Arial"/>
          <w:lang w:val="es-ES_tradnl"/>
        </w:rPr>
        <w:t>para ello, el numeral 2 del artículo 24 de la Ley 80 de 1993 dispone la facultad de los interesados para realizar y/o presentar observaciones, como un mecanismo para controvertir algunas de las decisiones adoptadas por las Entidades Estatales.</w:t>
      </w:r>
    </w:p>
    <w:p w14:paraId="247896E9" w14:textId="77777777" w:rsidR="00A94CED" w:rsidRPr="00A94CED" w:rsidRDefault="00A94CED" w:rsidP="00A94CED">
      <w:pPr>
        <w:snapToGrid w:val="0"/>
        <w:spacing w:after="120" w:line="276" w:lineRule="auto"/>
        <w:ind w:firstLine="709"/>
        <w:jc w:val="both"/>
        <w:rPr>
          <w:rFonts w:ascii="Verdana" w:eastAsia="Calibri" w:hAnsi="Verdana" w:cs="Times New Roman"/>
        </w:rPr>
      </w:pPr>
      <w:r w:rsidRPr="00A94CED">
        <w:rPr>
          <w:rFonts w:ascii="Verdana" w:eastAsia="Calibri" w:hAnsi="Verdana" w:cs="Times New Roman"/>
        </w:rPr>
        <w:t xml:space="preserve">En otros términos, la presentación de la propuesta, donde se manifiesta la voluntad de adquirir obligaciones, es diferente a la entrega de la propuesta, pues la primera si debe ser estar firmada y suscrita por el proponente o por su </w:t>
      </w:r>
      <w:r w:rsidRPr="00A94CED">
        <w:rPr>
          <w:rFonts w:ascii="Verdana" w:eastAsia="Calibri" w:hAnsi="Verdana" w:cs="Times New Roman"/>
        </w:rPr>
        <w:lastRenderedPageBreak/>
        <w:t>apoderado; mientras que la entrega física es la simple actividad que no implica un acto de poder o mandato para su ejecución.</w:t>
      </w:r>
    </w:p>
    <w:p w14:paraId="41422975" w14:textId="77777777" w:rsidR="00A94CED" w:rsidRPr="00A94CED" w:rsidRDefault="00A94CED" w:rsidP="00A94CED">
      <w:pPr>
        <w:snapToGrid w:val="0"/>
        <w:spacing w:after="0" w:line="276" w:lineRule="auto"/>
        <w:ind w:firstLine="709"/>
        <w:jc w:val="both"/>
        <w:rPr>
          <w:rFonts w:ascii="Verdana" w:eastAsia="Calibri" w:hAnsi="Verdana" w:cs="Times New Roman"/>
        </w:rPr>
      </w:pPr>
      <w:r w:rsidRPr="00A94CED">
        <w:rPr>
          <w:rFonts w:ascii="Verdana" w:eastAsia="Calibri" w:hAnsi="Verdana" w:cs="Times New Roman"/>
        </w:rPr>
        <w:t>La Agencia Nacional de Contratación Pública – Colombia Compra Eficiente, en el concepto de radicado de salida No. 2201913000009046</w:t>
      </w:r>
      <w:r w:rsidRPr="00A94CED">
        <w:rPr>
          <w:rFonts w:ascii="Verdana" w:eastAsia="Calibri" w:hAnsi="Verdana" w:cs="Times New Roman"/>
          <w:vertAlign w:val="superscript"/>
        </w:rPr>
        <w:footnoteReference w:id="22"/>
      </w:r>
      <w:r w:rsidRPr="00A94CED">
        <w:rPr>
          <w:rFonts w:ascii="Verdana" w:eastAsia="Calibri" w:hAnsi="Verdana" w:cs="Times New Roman"/>
        </w:rPr>
        <w:t xml:space="preserve"> del 6 de diciembre de 2029,  en relación con la exigencia de ritualidades para la presentación de ofertas indicó lo siguiente:</w:t>
      </w:r>
    </w:p>
    <w:p w14:paraId="223D4BEA" w14:textId="77777777" w:rsidR="00A94CED" w:rsidRPr="00A94CED" w:rsidRDefault="00A94CED" w:rsidP="00A94CED">
      <w:pPr>
        <w:snapToGrid w:val="0"/>
        <w:spacing w:after="0" w:line="276" w:lineRule="auto"/>
        <w:ind w:firstLine="709"/>
        <w:jc w:val="both"/>
        <w:rPr>
          <w:rFonts w:ascii="Verdana" w:eastAsia="Calibri" w:hAnsi="Verdana" w:cs="Times New Roman"/>
        </w:rPr>
      </w:pPr>
    </w:p>
    <w:p w14:paraId="249624C1" w14:textId="77777777" w:rsidR="00A94CED" w:rsidRPr="00A94CED" w:rsidRDefault="00A94CED" w:rsidP="00A94CED">
      <w:pPr>
        <w:widowControl w:val="0"/>
        <w:autoSpaceDE w:val="0"/>
        <w:autoSpaceDN w:val="0"/>
        <w:spacing w:after="0" w:line="240" w:lineRule="auto"/>
        <w:ind w:left="709" w:right="709"/>
        <w:jc w:val="both"/>
        <w:rPr>
          <w:rFonts w:ascii="Verdana" w:eastAsia="Arial" w:hAnsi="Verdana" w:cs="Arial"/>
          <w:sz w:val="21"/>
          <w:szCs w:val="21"/>
          <w:lang w:val="es-ES"/>
        </w:rPr>
      </w:pPr>
      <w:r w:rsidRPr="00A94CED">
        <w:rPr>
          <w:rFonts w:ascii="Verdana" w:eastAsia="Arial" w:hAnsi="Verdana" w:cs="Arial"/>
          <w:sz w:val="21"/>
          <w:szCs w:val="21"/>
          <w:lang w:val="es-ES"/>
        </w:rPr>
        <w:t xml:space="preserve">“Tenga en cuenta el numeral 15 del artículo 25 de la Ley 80 de 1993, según el cual en virtud del principio de economía: “las autoridades no exigirán sellos, autenticaciones, documentos originales o autenticados, reconocimientos de firmas, traducciones oficiales, ni cualquier otra clase de formalidades o exigencias rituales, salvo cuando en forma perentoria y expresa lo exijan leyes especiales”. </w:t>
      </w:r>
      <w:r w:rsidRPr="00A94CED">
        <w:rPr>
          <w:rFonts w:ascii="Verdana" w:eastAsia="Arial" w:hAnsi="Verdana" w:cs="Arial"/>
          <w:i/>
          <w:iCs/>
          <w:sz w:val="21"/>
          <w:szCs w:val="21"/>
          <w:lang w:val="es-ES"/>
        </w:rPr>
        <w:t>De acuerdo con este texto, la entidad estatal no debe exigir ritualidades tales como la presentación de un poder para radicar la oferta, pues dicha formalidad solo se requiere para suscribir las ofertas, no para la simple entrega</w:t>
      </w:r>
      <w:r w:rsidRPr="00A94CED">
        <w:rPr>
          <w:rFonts w:ascii="Verdana" w:eastAsia="Arial" w:hAnsi="Verdana" w:cs="Arial"/>
          <w:sz w:val="21"/>
          <w:szCs w:val="21"/>
          <w:lang w:val="es-ES"/>
        </w:rPr>
        <w:t>” (énfasis fuera del texto original).</w:t>
      </w:r>
    </w:p>
    <w:p w14:paraId="2F0CC44D" w14:textId="77777777" w:rsidR="00A94CED" w:rsidRPr="00A94CED" w:rsidRDefault="00A94CED" w:rsidP="00A94CED">
      <w:pPr>
        <w:snapToGrid w:val="0"/>
        <w:spacing w:after="0" w:line="276" w:lineRule="auto"/>
        <w:jc w:val="both"/>
        <w:rPr>
          <w:rFonts w:ascii="Verdana" w:eastAsia="Calibri" w:hAnsi="Verdana" w:cs="Times New Roman"/>
          <w:lang w:val="es-ES"/>
        </w:rPr>
      </w:pPr>
    </w:p>
    <w:p w14:paraId="17D37CB1" w14:textId="77777777" w:rsidR="00A94CED" w:rsidRPr="00A94CED" w:rsidRDefault="00A94CED" w:rsidP="00A94CED">
      <w:pPr>
        <w:snapToGrid w:val="0"/>
        <w:spacing w:after="120" w:line="276" w:lineRule="auto"/>
        <w:jc w:val="both"/>
        <w:rPr>
          <w:rFonts w:ascii="Verdana" w:eastAsia="Calibri" w:hAnsi="Verdana" w:cs="Times New Roman"/>
          <w:lang w:val="es-ES"/>
        </w:rPr>
      </w:pPr>
      <w:r w:rsidRPr="00A94CED">
        <w:rPr>
          <w:rFonts w:ascii="Verdana" w:eastAsia="Calibri" w:hAnsi="Verdana" w:cs="Times New Roman"/>
          <w:lang w:val="es-ES"/>
        </w:rPr>
        <w:tab/>
        <w:t xml:space="preserve">En conclusión, la exigencia de un poder o de cualquier otra formalidad para la radicación física de la oferta carece de fundamento normativo y desconoce el principio de economía que irradia la actividad contractual del Estado. El poder, en tanto instrumento de representación, y las demás formalidades de que trata el numeral 15 del artículo 25 de la Ley 80 de 1993 –tales como autenticaciones, reconocimiento de firmas o presentación personal–, solo adquieren relevancia cuando existe un acto de voluntad que comprometa la esfera patrimonial del proponente, esto es, la formulación y suscripción de la propuesta, pero no respecto de la simple entrega material del documento que la contiene, actividad que, por su naturaleza fáctica y carente de contenido negocial, puede ser ejecutada por cualquier persona. </w:t>
      </w:r>
    </w:p>
    <w:p w14:paraId="2763470D" w14:textId="77777777" w:rsidR="00A94CED" w:rsidRPr="00A94CED" w:rsidRDefault="00A94CED" w:rsidP="00A94CED">
      <w:pPr>
        <w:snapToGrid w:val="0"/>
        <w:spacing w:after="120" w:line="276" w:lineRule="auto"/>
        <w:jc w:val="both"/>
        <w:rPr>
          <w:rFonts w:ascii="Verdana" w:eastAsia="Calibri" w:hAnsi="Verdana" w:cs="Times New Roman"/>
          <w:lang w:val="es-ES"/>
        </w:rPr>
      </w:pPr>
      <w:r w:rsidRPr="00A94CED">
        <w:rPr>
          <w:rFonts w:ascii="Verdana" w:eastAsia="Calibri" w:hAnsi="Verdana" w:cs="Times New Roman"/>
          <w:lang w:val="es-ES"/>
        </w:rPr>
        <w:tab/>
        <w:t xml:space="preserve">En consecuencia, en el criterio de la Agencia Nacional de Contratación Pública las entidades estatales que condicionen la radicación de la oferta a la acreditación de un poder o al cumplimiento de alguna otra formalidad incurre en </w:t>
      </w:r>
      <w:r w:rsidRPr="00A94CED">
        <w:rPr>
          <w:rFonts w:ascii="Verdana" w:eastAsia="Calibri" w:hAnsi="Verdana" w:cs="Times New Roman"/>
          <w:lang w:val="es-ES"/>
        </w:rPr>
        <w:lastRenderedPageBreak/>
        <w:t>una exigencia ritual proscrita por el ordenamiento jurídico</w:t>
      </w:r>
      <w:r w:rsidRPr="00A94CED">
        <w:rPr>
          <w:rFonts w:ascii="Verdana" w:eastAsia="Calibri" w:hAnsi="Verdana" w:cs="Times New Roman"/>
          <w:vertAlign w:val="superscript"/>
          <w:lang w:val="es-ES"/>
        </w:rPr>
        <w:footnoteReference w:id="23"/>
      </w:r>
      <w:r w:rsidRPr="00A94CED">
        <w:rPr>
          <w:rFonts w:ascii="Verdana" w:eastAsia="Calibri" w:hAnsi="Verdana" w:cs="Times New Roman"/>
          <w:lang w:val="es-ES"/>
        </w:rPr>
        <w:t xml:space="preserve">, la cual, de preverse en el pliego de condiciones o la invitación a participar, resulta –como se señaló– susceptible de observaciones por parte de los interesados. </w:t>
      </w:r>
    </w:p>
    <w:p w14:paraId="26A992C5" w14:textId="77777777" w:rsidR="00A94CED" w:rsidRPr="00A94CED" w:rsidRDefault="00A94CED" w:rsidP="00A94CED">
      <w:pPr>
        <w:snapToGrid w:val="0"/>
        <w:spacing w:after="0" w:line="276" w:lineRule="auto"/>
        <w:jc w:val="both"/>
        <w:rPr>
          <w:rFonts w:ascii="Verdana" w:eastAsia="Calibri" w:hAnsi="Verdana" w:cs="Times New Roman"/>
          <w:lang w:val="es-ES"/>
        </w:rPr>
      </w:pPr>
      <w:r w:rsidRPr="00A94CED">
        <w:rPr>
          <w:rFonts w:ascii="Verdana" w:eastAsia="Calibri" w:hAnsi="Verdana" w:cs="Times New Roman"/>
          <w:lang w:val="es-ES"/>
        </w:rPr>
        <w:tab/>
        <w:t xml:space="preserve">Lo dispuesto en el párrafo precedente no se desvirtúa por la autonomía y la amplia discrecionalidad que se reconoce a las entidades estatales para configurar las reglas y exigencia del pliego de condiciones o la invitación a participar –argumento desarrollado en el numeral uno (i) de este concepto–. Sin bien esa discrecionalidad les permite fijar libremente las condiciones del proceso de selección –dentro de los parámetros y límites del ordenamiento jurídico y con fundamento en los estudios de la fase de planeación–, esta facultad no es absoluta, sino que se encuentra sujeta a los principios y reglas que rigen la actividad contractual del Estado. Por lo tanto, se reitera, no resulta viable a juicio de esta Agencia, que la entidad, en ejercicio de la autonomía de la que gozan incluyan en el pliego de condiciones o en la invitación pública la exigencia de un poder o de cualquier otra formalidad para la radicación física de la oferta, comoquiera que ello excedería los límites de su discrecionalidad y desconocería el principio de economía anteriormente señalado. </w:t>
      </w:r>
    </w:p>
    <w:p w14:paraId="52704943" w14:textId="77777777" w:rsidR="00A94CED" w:rsidRPr="00A94CED" w:rsidRDefault="00A94CED" w:rsidP="00A94CED">
      <w:pPr>
        <w:spacing w:after="120" w:line="276" w:lineRule="auto"/>
        <w:jc w:val="both"/>
        <w:rPr>
          <w:rFonts w:ascii="Verdana" w:eastAsia="Calibri" w:hAnsi="Verdana" w:cs="Arial"/>
          <w:bCs/>
          <w:lang w:val="es-ES_tradnl"/>
        </w:rPr>
      </w:pPr>
      <w:proofErr w:type="spellStart"/>
      <w:r w:rsidRPr="00A94CED">
        <w:rPr>
          <w:rFonts w:ascii="Verdana" w:eastAsia="Calibri" w:hAnsi="Verdana" w:cs="Times New Roman"/>
          <w:lang w:val="es-ES"/>
        </w:rPr>
        <w:t>iv</w:t>
      </w:r>
      <w:proofErr w:type="spellEnd"/>
      <w:r w:rsidRPr="00A94CED">
        <w:rPr>
          <w:rFonts w:ascii="Verdana" w:eastAsia="Calibri" w:hAnsi="Verdana" w:cs="Times New Roman"/>
          <w:lang w:val="es-ES"/>
        </w:rPr>
        <w:t xml:space="preserve">. </w:t>
      </w:r>
      <w:r w:rsidRPr="00A94CED">
        <w:rPr>
          <w:rFonts w:ascii="Verdana" w:eastAsia="Calibri" w:hAnsi="Verdana" w:cs="Arial"/>
          <w:bCs/>
          <w:lang w:val="es-ES_tradnl"/>
        </w:rPr>
        <w:t>El ordenamiento jurídico colombiano, en el artículo 836 del Código de Comercio define la firma como “la expresión del nombre del suscriptor o de alguno de los elementos que la integren o de un signo o símbolo empleado como medio de identificación personal”, es decir, la forma por la cual se identifica a una persona ya sea con el nombre del suscriptor, un símbolo o signo. El ordenamiento jurídico reconoce la firma manuscrita, digital o electrónica.</w:t>
      </w:r>
    </w:p>
    <w:p w14:paraId="38B763EF" w14:textId="77777777" w:rsidR="00A94CED" w:rsidRPr="00A94CED" w:rsidRDefault="00A94CED" w:rsidP="00A94CED">
      <w:pPr>
        <w:spacing w:after="120" w:line="276" w:lineRule="auto"/>
        <w:ind w:firstLine="708"/>
        <w:jc w:val="both"/>
        <w:rPr>
          <w:rFonts w:ascii="Verdana" w:eastAsia="Calibri" w:hAnsi="Verdana" w:cs="Arial"/>
          <w:lang w:val="es-ES"/>
        </w:rPr>
      </w:pPr>
      <w:r w:rsidRPr="00A94CED">
        <w:rPr>
          <w:rFonts w:ascii="Verdana" w:eastAsia="Calibri" w:hAnsi="Verdana" w:cs="Arial"/>
          <w:lang w:val="es-ES"/>
        </w:rPr>
        <w:t xml:space="preserve">La </w:t>
      </w:r>
      <w:r w:rsidRPr="00A94CED">
        <w:rPr>
          <w:rFonts w:ascii="Verdana" w:eastAsia="Calibri" w:hAnsi="Verdana" w:cs="Arial"/>
          <w:i/>
          <w:iCs/>
          <w:lang w:val="es-ES"/>
        </w:rPr>
        <w:t>firma manuscrita</w:t>
      </w:r>
      <w:r w:rsidRPr="00A94CED">
        <w:rPr>
          <w:rFonts w:ascii="Verdana" w:eastAsia="Calibri" w:hAnsi="Verdana" w:cs="Arial"/>
          <w:lang w:val="es-ES"/>
        </w:rPr>
        <w:t>, pese a no tener una definición legal, ha sido definida por la doctrina. Particularmente, Nelson Remolina Angarita y Lisandro Peña Nosa, señalan que es “un rasgo o signo impuesto del puño y letra de una persona, con el cual, de forma general y reiterada se compromete con el contenido de los documentos que la consignan”</w:t>
      </w:r>
      <w:r w:rsidRPr="00A94CED">
        <w:rPr>
          <w:rFonts w:ascii="Verdana" w:eastAsia="Calibri" w:hAnsi="Verdana" w:cs="Arial"/>
          <w:vertAlign w:val="superscript"/>
          <w:lang w:val="es-ES"/>
        </w:rPr>
        <w:footnoteReference w:id="24"/>
      </w:r>
      <w:r w:rsidRPr="00A94CED">
        <w:rPr>
          <w:rFonts w:ascii="Verdana" w:eastAsia="Calibri" w:hAnsi="Verdana" w:cs="Arial"/>
          <w:lang w:val="es-ES"/>
        </w:rPr>
        <w:t>.</w:t>
      </w:r>
    </w:p>
    <w:p w14:paraId="6E81A46F" w14:textId="77777777" w:rsidR="00A94CED" w:rsidRPr="00A94CED" w:rsidRDefault="00A94CED" w:rsidP="00A94CED">
      <w:pPr>
        <w:spacing w:after="120" w:line="276" w:lineRule="auto"/>
        <w:ind w:firstLine="708"/>
        <w:jc w:val="both"/>
        <w:rPr>
          <w:rFonts w:ascii="Verdana" w:eastAsia="Calibri" w:hAnsi="Verdana" w:cs="Arial"/>
          <w:lang w:val="es-ES"/>
        </w:rPr>
      </w:pPr>
      <w:r w:rsidRPr="00A94CED">
        <w:rPr>
          <w:rFonts w:ascii="Verdana" w:eastAsia="Calibri" w:hAnsi="Verdana" w:cs="Arial"/>
          <w:lang w:val="es-ES"/>
        </w:rPr>
        <w:lastRenderedPageBreak/>
        <w:t xml:space="preserve">Por su parte, la Ley 527 de 1999, en el artículo 2, define la </w:t>
      </w:r>
      <w:r w:rsidRPr="00A94CED">
        <w:rPr>
          <w:rFonts w:ascii="Verdana" w:eastAsia="Calibri" w:hAnsi="Verdana" w:cs="Arial"/>
          <w:i/>
          <w:lang w:val="es-ES"/>
        </w:rPr>
        <w:t>firma digital</w:t>
      </w:r>
      <w:r w:rsidRPr="00A94CED">
        <w:rPr>
          <w:rFonts w:ascii="Verdana" w:eastAsia="Calibri" w:hAnsi="Verdana" w:cs="Arial"/>
          <w:lang w:val="es-ES"/>
        </w:rPr>
        <w:t xml:space="preserve"> como un valor número que se adhiere a un mensaje de datos y que, utilizando un procedimiento matemático conocido, vinculado a la clave del iniciador y al texto del mensaje, permite determinar que este valor se ha obtenido exclusivamente con la clave del iniciador y que el mensaje inicial no ha sido modificado después de efectuada la transformación. Además, esta normativa prevé que podrán emitir certificados, en relación con las firmas digitales las entidades de certificación.</w:t>
      </w:r>
    </w:p>
    <w:p w14:paraId="7E8E23A4" w14:textId="77777777" w:rsidR="00A94CED" w:rsidRPr="00A94CED" w:rsidRDefault="00A94CED" w:rsidP="00A94CED">
      <w:pPr>
        <w:spacing w:after="120" w:line="276" w:lineRule="auto"/>
        <w:ind w:firstLine="708"/>
        <w:jc w:val="both"/>
        <w:rPr>
          <w:rFonts w:ascii="Verdana" w:eastAsia="Calibri" w:hAnsi="Verdana" w:cs="Arial"/>
          <w:lang w:val="es-ES"/>
        </w:rPr>
      </w:pPr>
      <w:r w:rsidRPr="00A94CED">
        <w:rPr>
          <w:rFonts w:ascii="Verdana" w:eastAsia="Calibri" w:hAnsi="Verdana" w:cs="Arial"/>
          <w:lang w:val="es-ES"/>
        </w:rPr>
        <w:t xml:space="preserve">El Decreto 2364 de 2012, en su artículo 1, define la </w:t>
      </w:r>
      <w:r w:rsidRPr="00A94CED">
        <w:rPr>
          <w:rFonts w:ascii="Verdana" w:eastAsia="Calibri" w:hAnsi="Verdana" w:cs="Arial"/>
          <w:i/>
          <w:lang w:val="es-ES"/>
        </w:rPr>
        <w:t>firma electrónica</w:t>
      </w:r>
      <w:r w:rsidRPr="00A94CED">
        <w:rPr>
          <w:rFonts w:ascii="Verdana" w:eastAsia="Calibri" w:hAnsi="Verdana" w:cs="Arial"/>
          <w:lang w:val="es-ES"/>
        </w:rPr>
        <w:t xml:space="preserve"> como “aquella que se realiza a través de métodos tales como, códigos, contraseñas, datos biométricos, o claves criptográficas privadas, que permite identificar a una persona, en relación con un mensaje de datos, siempre y cuando el mismo sea confiable y apropiado respecto de los fines para los que se utiliza la firma, atendidas todas las circunstancias del caso, así como cualquier acuerdo pertinente”. En este sentido, los atributos jurídicos que debe tener la firma electrónica son: i) identificar el firmante, </w:t>
      </w:r>
      <w:proofErr w:type="spellStart"/>
      <w:r w:rsidRPr="00A94CED">
        <w:rPr>
          <w:rFonts w:ascii="Verdana" w:eastAsia="Calibri" w:hAnsi="Verdana" w:cs="Arial"/>
          <w:lang w:val="es-ES"/>
        </w:rPr>
        <w:t>ii</w:t>
      </w:r>
      <w:proofErr w:type="spellEnd"/>
      <w:r w:rsidRPr="00A94CED">
        <w:rPr>
          <w:rFonts w:ascii="Verdana" w:eastAsia="Calibri" w:hAnsi="Verdana" w:cs="Arial"/>
          <w:lang w:val="es-ES"/>
        </w:rPr>
        <w:t xml:space="preserve">) asegurar que el documento firmado es exactamente el mismo que el original, y, </w:t>
      </w:r>
      <w:proofErr w:type="spellStart"/>
      <w:r w:rsidRPr="00A94CED">
        <w:rPr>
          <w:rFonts w:ascii="Verdana" w:eastAsia="Calibri" w:hAnsi="Verdana" w:cs="Arial"/>
          <w:lang w:val="es-ES"/>
        </w:rPr>
        <w:t>iii</w:t>
      </w:r>
      <w:proofErr w:type="spellEnd"/>
      <w:r w:rsidRPr="00A94CED">
        <w:rPr>
          <w:rFonts w:ascii="Verdana" w:eastAsia="Calibri" w:hAnsi="Verdana" w:cs="Arial"/>
          <w:lang w:val="es-ES"/>
        </w:rPr>
        <w:t>) asegurar que los datos que utiliza el firmante para realizar la firma son únicos y exclusivos.</w:t>
      </w:r>
    </w:p>
    <w:p w14:paraId="2DFA4B62" w14:textId="77777777" w:rsidR="00A94CED" w:rsidRPr="00A94CED" w:rsidRDefault="00A94CED" w:rsidP="00A94CED">
      <w:pPr>
        <w:spacing w:after="120" w:line="276" w:lineRule="auto"/>
        <w:ind w:firstLine="567"/>
        <w:jc w:val="both"/>
        <w:rPr>
          <w:rFonts w:ascii="Verdana" w:eastAsia="Calibri" w:hAnsi="Verdana" w:cs="Arial"/>
          <w:color w:val="000000"/>
        </w:rPr>
      </w:pPr>
      <w:r w:rsidRPr="00A94CED">
        <w:rPr>
          <w:rFonts w:ascii="Verdana" w:eastAsia="Calibri" w:hAnsi="Verdana" w:cs="Arial"/>
          <w:color w:val="000000"/>
        </w:rPr>
        <w:t xml:space="preserve">El Documento </w:t>
      </w:r>
      <w:proofErr w:type="spellStart"/>
      <w:r w:rsidRPr="00A94CED">
        <w:rPr>
          <w:rFonts w:ascii="Verdana" w:eastAsia="Calibri" w:hAnsi="Verdana" w:cs="Arial"/>
          <w:color w:val="000000"/>
        </w:rPr>
        <w:t>Conpes</w:t>
      </w:r>
      <w:proofErr w:type="spellEnd"/>
      <w:r w:rsidRPr="00A94CED">
        <w:rPr>
          <w:rFonts w:ascii="Verdana" w:eastAsia="Calibri" w:hAnsi="Verdana" w:cs="Arial"/>
          <w:color w:val="000000"/>
        </w:rPr>
        <w:t xml:space="preserve"> 3620 de 2009 explica que “La firma digital y la firma electrónica son formas de identificación personal en el contexto digital, que pueden ser empleadas para cumplir funciones de identificación, de la integridad de un mensaje de datos y el no repudio del mismo. La firma electrónica es el concepto genérico a través del cual se identifica un firmante asociado a un mensaje de datos y se entiende su aprobación al contenido del mismo, mientras la firma digital es una especie de firma electrónica”. De hecho, bajo el principio de equivalencia funcional, estas firmas deben cumplir con las mismas funciones de la firma manuscrita, es decir, debe servir para identificar a una persona como el autor del documento, dar certeza de la participación exclusiva de dicha persona en la firma y asociar esta última al contenido del mensaje de datos. </w:t>
      </w:r>
    </w:p>
    <w:p w14:paraId="762AAB5E" w14:textId="77777777" w:rsidR="00A94CED" w:rsidRPr="00A94CED" w:rsidRDefault="00A94CED" w:rsidP="00A94CED">
      <w:pPr>
        <w:spacing w:after="120" w:line="276" w:lineRule="auto"/>
        <w:ind w:firstLine="708"/>
        <w:jc w:val="both"/>
        <w:rPr>
          <w:rFonts w:ascii="Verdana" w:eastAsia="Calibri" w:hAnsi="Verdana" w:cs="Arial"/>
          <w:lang w:val="es-ES"/>
        </w:rPr>
      </w:pPr>
      <w:r w:rsidRPr="00A94CED">
        <w:rPr>
          <w:rFonts w:ascii="Verdana" w:eastAsia="Calibri" w:hAnsi="Verdana" w:cs="Arial"/>
          <w:lang w:val="es-ES"/>
        </w:rPr>
        <w:t xml:space="preserve">En relación con las firmas que se realizan por un mensaje de datos, el artículo 7 de la Ley 527 de 1999 señala que se deben cumplir los siguientes requisitos: i) se ha utilizado un método que permita identificar el iniciador de un mensaje de datos y para indicar que el contenido cuenta con su aprobación, y </w:t>
      </w:r>
      <w:proofErr w:type="spellStart"/>
      <w:r w:rsidRPr="00A94CED">
        <w:rPr>
          <w:rFonts w:ascii="Verdana" w:eastAsia="Calibri" w:hAnsi="Verdana" w:cs="Arial"/>
          <w:lang w:val="es-ES"/>
        </w:rPr>
        <w:t>ii</w:t>
      </w:r>
      <w:proofErr w:type="spellEnd"/>
      <w:r w:rsidRPr="00A94CED">
        <w:rPr>
          <w:rFonts w:ascii="Verdana" w:eastAsia="Calibri" w:hAnsi="Verdana" w:cs="Arial"/>
          <w:lang w:val="es-ES"/>
        </w:rPr>
        <w:t xml:space="preserve">) el método es tanto confiable como apropiado para el propósito por el cual el </w:t>
      </w:r>
      <w:r w:rsidRPr="00A94CED">
        <w:rPr>
          <w:rFonts w:ascii="Verdana" w:eastAsia="Calibri" w:hAnsi="Verdana" w:cs="Arial"/>
          <w:lang w:val="es-ES"/>
        </w:rPr>
        <w:lastRenderedPageBreak/>
        <w:t>mensaje fue generado o comunicado. Debido a que la firma electrónica se genera por un mensaje de datos, deberá cumplir los requisitos explicados anteriormente.</w:t>
      </w:r>
    </w:p>
    <w:p w14:paraId="5DFD1AE6" w14:textId="77777777" w:rsidR="00A94CED" w:rsidRPr="00A94CED" w:rsidRDefault="00A94CED" w:rsidP="00A94CED">
      <w:pPr>
        <w:spacing w:after="120" w:line="276" w:lineRule="auto"/>
        <w:ind w:firstLine="708"/>
        <w:jc w:val="both"/>
        <w:rPr>
          <w:rFonts w:ascii="Verdana" w:eastAsia="Calibri" w:hAnsi="Verdana" w:cs="Arial"/>
        </w:rPr>
      </w:pPr>
      <w:r w:rsidRPr="00A94CED">
        <w:rPr>
          <w:rFonts w:ascii="Verdana" w:eastAsia="Calibri" w:hAnsi="Verdana" w:cs="Arial"/>
        </w:rPr>
        <w:t xml:space="preserve">Dentro de este marco, es necesario distinguir dos (2) situaciones: i) el documento original tiene la firma manuscrita y luego se escanea para enviarlo a la Entidad Estatal por correo electrónico y </w:t>
      </w:r>
      <w:proofErr w:type="spellStart"/>
      <w:r w:rsidRPr="00A94CED">
        <w:rPr>
          <w:rFonts w:ascii="Verdana" w:eastAsia="Calibri" w:hAnsi="Verdana" w:cs="Arial"/>
        </w:rPr>
        <w:t>ii</w:t>
      </w:r>
      <w:proofErr w:type="spellEnd"/>
      <w:r w:rsidRPr="00A94CED">
        <w:rPr>
          <w:rFonts w:ascii="Verdana" w:eastAsia="Calibri" w:hAnsi="Verdana" w:cs="Arial"/>
        </w:rPr>
        <w:t xml:space="preserve">) </w:t>
      </w:r>
      <w:bookmarkStart w:id="3" w:name="_Hlk35438181"/>
      <w:r w:rsidRPr="00A94CED">
        <w:rPr>
          <w:rFonts w:ascii="Verdana" w:eastAsia="Calibri" w:hAnsi="Verdana" w:cs="Arial"/>
        </w:rPr>
        <w:t>el documento tiene una imagen con la firma y se adjunta como archivo para enviarlo a la entidad</w:t>
      </w:r>
      <w:bookmarkEnd w:id="3"/>
      <w:r w:rsidRPr="00A94CED">
        <w:rPr>
          <w:rFonts w:ascii="Verdana" w:eastAsia="Calibri" w:hAnsi="Verdana" w:cs="Arial"/>
        </w:rPr>
        <w:t>.</w:t>
      </w:r>
    </w:p>
    <w:p w14:paraId="51FDDD05" w14:textId="77777777" w:rsidR="00A94CED" w:rsidRPr="00A94CED" w:rsidRDefault="00A94CED" w:rsidP="00A94CED">
      <w:pPr>
        <w:spacing w:after="120" w:line="276" w:lineRule="auto"/>
        <w:ind w:firstLine="708"/>
        <w:jc w:val="both"/>
        <w:rPr>
          <w:rFonts w:ascii="Verdana" w:eastAsia="Calibri" w:hAnsi="Verdana" w:cs="Arial"/>
        </w:rPr>
      </w:pPr>
      <w:r w:rsidRPr="00A94CED">
        <w:rPr>
          <w:rFonts w:ascii="Verdana" w:eastAsia="Calibri" w:hAnsi="Verdana" w:cs="Arial"/>
        </w:rPr>
        <w:t xml:space="preserve">En el </w:t>
      </w:r>
      <w:r w:rsidRPr="00A94CED">
        <w:rPr>
          <w:rFonts w:ascii="Verdana" w:eastAsia="Calibri" w:hAnsi="Verdana" w:cs="Arial"/>
          <w:i/>
          <w:iCs/>
        </w:rPr>
        <w:t>primer supuesto</w:t>
      </w:r>
      <w:r w:rsidRPr="00A94CED">
        <w:rPr>
          <w:rFonts w:ascii="Verdana" w:eastAsia="Calibri" w:hAnsi="Verdana" w:cs="Arial"/>
        </w:rPr>
        <w:t>, es válido el documento con firma manuscrita que se escanea posteriormente, pues aquel está firmado con el puño y letra de la persona que lo suscribe, razón por la cual el hecho de que se escanee para enviarlo no es un motivo para rechazar su eficacia. En efecto, tratándose de los proponentes el pliego solo podrá exigir que los documentos de la oferta estén firmados, no que se presenten en original. De acuerdo con el artículo 25 numeral 15 de la Ley 80 de 1993, “Las autoridades no exigirán sellos, autenticaciones, documentos originales o autenticados, reconocimientos de firmas, traducciones oficiales, ni cualquier otra clase de formalidades o exigencias rituales, salvo cuando en forma perentoria y expresa lo exijan leyes especiales”</w:t>
      </w:r>
      <w:r w:rsidRPr="00A94CED">
        <w:rPr>
          <w:rFonts w:ascii="Verdana" w:eastAsia="Calibri" w:hAnsi="Verdana" w:cs="Arial"/>
          <w:vertAlign w:val="superscript"/>
        </w:rPr>
        <w:footnoteReference w:id="25"/>
      </w:r>
      <w:r w:rsidRPr="00A94CED">
        <w:rPr>
          <w:rFonts w:ascii="Verdana" w:eastAsia="Calibri" w:hAnsi="Verdana" w:cs="Arial"/>
        </w:rPr>
        <w:t>. Conforme a lo anterior, si el oferente envía el documento con firma manuscrita y luego lo escanea para enviarlo, éste será válido, toda vez que la normativa no exige que se tenga que enviar el documento en original sino solo que tenga la firma de quien lo suscribe.</w:t>
      </w:r>
    </w:p>
    <w:p w14:paraId="1314DF23" w14:textId="77777777" w:rsidR="00A94CED" w:rsidRPr="00A94CED" w:rsidRDefault="00A94CED" w:rsidP="00A94CED">
      <w:pPr>
        <w:spacing w:after="120" w:line="276" w:lineRule="auto"/>
        <w:ind w:firstLine="708"/>
        <w:jc w:val="both"/>
        <w:rPr>
          <w:rFonts w:ascii="Verdana" w:eastAsia="Calibri" w:hAnsi="Verdana" w:cs="Arial"/>
        </w:rPr>
      </w:pPr>
      <w:r w:rsidRPr="00A94CED">
        <w:rPr>
          <w:rFonts w:ascii="Verdana" w:eastAsia="Calibri" w:hAnsi="Verdana" w:cs="Arial"/>
        </w:rPr>
        <w:t xml:space="preserve">En el </w:t>
      </w:r>
      <w:r w:rsidRPr="00A94CED">
        <w:rPr>
          <w:rFonts w:ascii="Verdana" w:eastAsia="Calibri" w:hAnsi="Verdana" w:cs="Arial"/>
          <w:i/>
          <w:iCs/>
        </w:rPr>
        <w:t>segundo supuesto</w:t>
      </w:r>
      <w:r w:rsidRPr="00A94CED">
        <w:rPr>
          <w:rFonts w:ascii="Verdana" w:eastAsia="Calibri" w:hAnsi="Verdana" w:cs="Arial"/>
        </w:rPr>
        <w:t xml:space="preserve">, el documento tiene una imagen con la firma y se adjunta como archivo para enviarlo al correo electrónico, la entidad verificará si el archivo cumple con los requisitos de la firma digital o electrónica. Como se mencionó, el artículo 2 de la Ley 527 de 1999 regula la firma digital como un valor numérico que se adhiere a un mensaje de datos y que, utilizando un procedimiento matemático conocido, vinculado a la clave del iniciador y al texto del mensaje, permite determinar que este valor se ha obtenido exclusivamente con la clave del iniciador y que el mensaje inicial no ha sido modificado después </w:t>
      </w:r>
      <w:r w:rsidRPr="00A94CED">
        <w:rPr>
          <w:rFonts w:ascii="Verdana" w:eastAsia="Calibri" w:hAnsi="Verdana" w:cs="Arial"/>
        </w:rPr>
        <w:lastRenderedPageBreak/>
        <w:t xml:space="preserve">de efectuada la transformación. En este sentido, la entidad deberá determinar con las entidades de certificación acreditadas por el Organismo Nacional de Acreditación de Colombia si esa firma digital se encuentra o no registrada. Por otro lado, tratándose de una firma electrónica, la entidad deberá verificar i) la identidad del firmante, </w:t>
      </w:r>
      <w:proofErr w:type="spellStart"/>
      <w:r w:rsidRPr="00A94CED">
        <w:rPr>
          <w:rFonts w:ascii="Verdana" w:eastAsia="Calibri" w:hAnsi="Verdana" w:cs="Arial"/>
        </w:rPr>
        <w:t>ii</w:t>
      </w:r>
      <w:proofErr w:type="spellEnd"/>
      <w:r w:rsidRPr="00A94CED">
        <w:rPr>
          <w:rFonts w:ascii="Verdana" w:eastAsia="Calibri" w:hAnsi="Verdana" w:cs="Arial"/>
        </w:rPr>
        <w:t xml:space="preserve">) que el documento firmado es exactamente el mismo que el original y </w:t>
      </w:r>
      <w:proofErr w:type="spellStart"/>
      <w:r w:rsidRPr="00A94CED">
        <w:rPr>
          <w:rFonts w:ascii="Verdana" w:eastAsia="Calibri" w:hAnsi="Verdana" w:cs="Arial"/>
        </w:rPr>
        <w:t>iii</w:t>
      </w:r>
      <w:proofErr w:type="spellEnd"/>
      <w:r w:rsidRPr="00A94CED">
        <w:rPr>
          <w:rFonts w:ascii="Verdana" w:eastAsia="Calibri" w:hAnsi="Verdana" w:cs="Arial"/>
        </w:rPr>
        <w:t xml:space="preserve">) los datos que utiliza el firmante para realizar la firma son únicos y exclusivos. </w:t>
      </w:r>
    </w:p>
    <w:p w14:paraId="22C0FEC9" w14:textId="77777777" w:rsidR="00A94CED" w:rsidRPr="00A94CED" w:rsidRDefault="00A94CED" w:rsidP="00A94CED">
      <w:pPr>
        <w:spacing w:after="120" w:line="276" w:lineRule="auto"/>
        <w:ind w:firstLine="708"/>
        <w:jc w:val="both"/>
        <w:rPr>
          <w:rFonts w:ascii="Verdana" w:eastAsia="Calibri" w:hAnsi="Verdana" w:cs="Arial"/>
          <w:szCs w:val="24"/>
          <w:lang w:val="es-ES_tradnl" w:eastAsia="es-ES_tradnl"/>
        </w:rPr>
      </w:pPr>
      <w:r w:rsidRPr="00A94CED">
        <w:rPr>
          <w:rFonts w:ascii="Verdana" w:eastAsia="Calibri" w:hAnsi="Verdana" w:cs="Arial"/>
          <w:szCs w:val="24"/>
          <w:lang w:val="es-ES_tradnl" w:eastAsia="es-ES_tradnl"/>
        </w:rPr>
        <w:t>La Agencia Nacional de Contratación Pública − Colombia Compra Eficiente ha construido una línea consolidada, que se confirma en este escrito, en relación con la validez de la firma electrónica y digital en la actividad contractual del Estado. En efecto, en los conceptos C-296 de 2020, C-287 de 2020, C-044 de 2020, C-016 de 2020 y CU-003 de 2020</w:t>
      </w:r>
      <w:r w:rsidRPr="00A94CED">
        <w:rPr>
          <w:rFonts w:ascii="Verdana" w:eastAsia="Calibri" w:hAnsi="Verdana" w:cs="Arial"/>
          <w:szCs w:val="24"/>
          <w:vertAlign w:val="superscript"/>
          <w:lang w:val="es-ES_tradnl" w:eastAsia="es-ES_tradnl"/>
        </w:rPr>
        <w:footnoteReference w:id="26"/>
      </w:r>
      <w:r w:rsidRPr="00A94CED">
        <w:rPr>
          <w:rFonts w:ascii="Verdana" w:eastAsia="Calibri" w:hAnsi="Verdana" w:cs="Arial"/>
          <w:szCs w:val="24"/>
          <w:lang w:val="es-ES_tradnl" w:eastAsia="es-ES_tradnl"/>
        </w:rPr>
        <w:t xml:space="preserve"> se ha considerado que en los contratos estatales es plenamente válida la utilización de los medios electrónicos y, dentro de ellos, de la firma electrónica y digital, como análogos de la tradicional firma manuscrita.</w:t>
      </w:r>
    </w:p>
    <w:p w14:paraId="60FB19EB" w14:textId="77777777" w:rsidR="00A94CED" w:rsidRPr="00A94CED" w:rsidRDefault="00A94CED" w:rsidP="00A94CED">
      <w:pPr>
        <w:spacing w:after="120" w:line="276" w:lineRule="auto"/>
        <w:ind w:firstLine="708"/>
        <w:jc w:val="both"/>
        <w:rPr>
          <w:rFonts w:ascii="Verdana" w:eastAsia="Calibri" w:hAnsi="Verdana" w:cs="Arial"/>
          <w:lang w:val="es-ES"/>
        </w:rPr>
      </w:pPr>
      <w:r w:rsidRPr="00A94CED">
        <w:rPr>
          <w:rFonts w:ascii="Verdana" w:eastAsia="Calibri" w:hAnsi="Verdana" w:cs="Arial"/>
          <w:lang w:val="es-ES"/>
        </w:rPr>
        <w:t>Debido a que el SECOP I – al cual se refiere en su consulta – es una plataforma de publicidad, por medio de la cual, se publican los contratos o documentos del proceso – que expide la entidad – en Word o en PDF, estos documentos, al ser cargados, deberán estar firmados en manuscrito o digital, siempre y cuando cumplan los requisitos de la Ley 527 de 1999, so pena de que no existan. No obstante, no es posible subirlos con una firma electrónica porque esta plataforma no cumple los requisitos previstos en el artículo 7 de la Ley 527 de 1999. En consecuencia, no es viable firmar los documentos del proceso o firmar un contrato por medio de un mensaje de datos, puesto que esta plataforma no tiene carácter transaccional.</w:t>
      </w:r>
    </w:p>
    <w:p w14:paraId="1C1E2F5B" w14:textId="77777777" w:rsidR="00A94CED" w:rsidRPr="00A94CED" w:rsidRDefault="00A94CED" w:rsidP="00A94CED">
      <w:pPr>
        <w:spacing w:after="120" w:line="276" w:lineRule="auto"/>
        <w:ind w:firstLine="708"/>
        <w:jc w:val="both"/>
        <w:rPr>
          <w:rFonts w:ascii="Verdana" w:eastAsia="Calibri" w:hAnsi="Verdana" w:cs="Arial"/>
          <w:bCs/>
          <w:lang w:val="es-ES_tradnl"/>
        </w:rPr>
      </w:pPr>
      <w:r w:rsidRPr="00A94CED">
        <w:rPr>
          <w:rFonts w:ascii="Verdana" w:eastAsia="Calibri" w:hAnsi="Verdana" w:cs="Arial"/>
          <w:bCs/>
          <w:lang w:val="es-ES_tradnl"/>
        </w:rPr>
        <w:t>Dado que los documentos que deben publicarse en la plataforma del SECOP I son la copia exacta que consta en el expediente original, si aquellos están firmados de forma manuscrita se deberá escanear el documento original y publicar su copia. Por su parte, si el acto tiene firma digital se debe publicar su copia, ya sea en documento escaneado o en PDF.</w:t>
      </w:r>
    </w:p>
    <w:p w14:paraId="4D0B6783" w14:textId="77777777" w:rsidR="00A94CED" w:rsidRPr="00A94CED" w:rsidRDefault="00A94CED" w:rsidP="00A94CED">
      <w:pPr>
        <w:spacing w:after="0" w:line="276" w:lineRule="auto"/>
        <w:ind w:firstLine="709"/>
        <w:jc w:val="both"/>
        <w:rPr>
          <w:rFonts w:ascii="Verdana" w:eastAsia="Calibri" w:hAnsi="Verdana" w:cs="Arial"/>
          <w:lang w:val="es-ES_tradnl"/>
        </w:rPr>
      </w:pPr>
      <w:r w:rsidRPr="00A94CED">
        <w:rPr>
          <w:rFonts w:ascii="Verdana" w:eastAsia="Calibri" w:hAnsi="Verdana" w:cs="Times New Roman"/>
        </w:rPr>
        <w:lastRenderedPageBreak/>
        <w:t>En relación con la posibilidad de que una Entidad Estatal rechace una oferta de uno de los proponentes porque alguno de los documentos que la componen no se encuentren firmados, es importante señalar que</w:t>
      </w:r>
      <w:r w:rsidRPr="00A94CED">
        <w:rPr>
          <w:rFonts w:ascii="Verdana" w:eastAsia="Calibri" w:hAnsi="Verdana" w:cs="Arial"/>
        </w:rPr>
        <w:t xml:space="preserve"> l</w:t>
      </w:r>
      <w:proofErr w:type="spellStart"/>
      <w:r w:rsidRPr="00A94CED">
        <w:rPr>
          <w:rFonts w:ascii="Verdana" w:eastAsia="Calibri" w:hAnsi="Verdana" w:cs="Arial"/>
          <w:lang w:val="es-ES_tradnl"/>
        </w:rPr>
        <w:t>as</w:t>
      </w:r>
      <w:proofErr w:type="spellEnd"/>
      <w:r w:rsidRPr="00A94CED">
        <w:rPr>
          <w:rFonts w:ascii="Verdana" w:eastAsia="Calibri" w:hAnsi="Verdana" w:cs="Arial"/>
          <w:lang w:val="es-ES_tradnl"/>
        </w:rPr>
        <w:t xml:space="preserve"> causales de rechazo son las establecidas en la Ley y las fijadas por la Entidad Estatal en los pliegos de condiciones. Sin embargo, en ejercicio de dicha facultad, a las entidades no les es dable fijar causales de rechazo que soslayen o afecten la selección objetiva en la contratación. Sobre el particular, el Consejo de Estado</w:t>
      </w:r>
      <w:r w:rsidRPr="00A94CED">
        <w:rPr>
          <w:rFonts w:ascii="Verdana" w:eastAsia="Calibri" w:hAnsi="Verdana" w:cs="Arial"/>
          <w:vertAlign w:val="superscript"/>
          <w:lang w:val="es-ES_tradnl"/>
        </w:rPr>
        <w:footnoteReference w:id="27"/>
      </w:r>
      <w:r w:rsidRPr="00A94CED">
        <w:rPr>
          <w:rFonts w:ascii="Verdana" w:eastAsia="Calibri" w:hAnsi="Verdana" w:cs="Arial"/>
          <w:lang w:val="es-ES_tradnl"/>
        </w:rPr>
        <w:t xml:space="preserve"> señala:</w:t>
      </w:r>
    </w:p>
    <w:p w14:paraId="498EE1EF" w14:textId="77777777" w:rsidR="00A94CED" w:rsidRPr="00A94CED" w:rsidRDefault="00A94CED" w:rsidP="00A94CED">
      <w:pPr>
        <w:tabs>
          <w:tab w:val="left" w:pos="709"/>
        </w:tabs>
        <w:spacing w:after="0" w:line="276" w:lineRule="auto"/>
        <w:jc w:val="both"/>
        <w:rPr>
          <w:rFonts w:ascii="Verdana" w:eastAsia="Calibri" w:hAnsi="Verdana" w:cs="Arial"/>
          <w:lang w:val="es-ES_tradnl"/>
        </w:rPr>
      </w:pPr>
    </w:p>
    <w:p w14:paraId="097E6365" w14:textId="77777777" w:rsidR="00A94CED" w:rsidRPr="00A94CED" w:rsidRDefault="00A94CED" w:rsidP="00A94CED">
      <w:pPr>
        <w:tabs>
          <w:tab w:val="left" w:pos="709"/>
        </w:tabs>
        <w:spacing w:after="0" w:line="240" w:lineRule="auto"/>
        <w:ind w:left="709" w:right="709"/>
        <w:jc w:val="both"/>
        <w:rPr>
          <w:rFonts w:ascii="Verdana" w:eastAsia="Calibri" w:hAnsi="Verdana" w:cs="Arial"/>
          <w:sz w:val="20"/>
          <w:szCs w:val="20"/>
          <w:lang w:val="es-ES"/>
        </w:rPr>
      </w:pPr>
      <w:r w:rsidRPr="00A94CED">
        <w:rPr>
          <w:rFonts w:ascii="Verdana" w:eastAsia="Calibri" w:hAnsi="Verdana" w:cs="Arial"/>
          <w:sz w:val="20"/>
          <w:szCs w:val="20"/>
          <w:lang w:val="es-ES"/>
        </w:rPr>
        <w:t xml:space="preserve">“Quiere con esto destacar la Sala que las causales de rechazo de las propuestas pueden ser legales y por lo mismo generan el efecto del descarte o exclusión de la oferta </w:t>
      </w:r>
      <w:proofErr w:type="spellStart"/>
      <w:r w:rsidRPr="00A94CED">
        <w:rPr>
          <w:rFonts w:ascii="Verdana" w:eastAsia="Calibri" w:hAnsi="Verdana" w:cs="Arial"/>
          <w:sz w:val="20"/>
          <w:szCs w:val="20"/>
          <w:lang w:val="es-ES"/>
        </w:rPr>
        <w:t>ope</w:t>
      </w:r>
      <w:proofErr w:type="spellEnd"/>
      <w:r w:rsidRPr="00A94CED">
        <w:rPr>
          <w:rFonts w:ascii="Verdana" w:eastAsia="Calibri" w:hAnsi="Verdana" w:cs="Arial"/>
          <w:sz w:val="20"/>
          <w:szCs w:val="20"/>
          <w:lang w:val="es-ES"/>
        </w:rPr>
        <w:t xml:space="preserve"> </w:t>
      </w:r>
      <w:proofErr w:type="spellStart"/>
      <w:r w:rsidRPr="00A94CED">
        <w:rPr>
          <w:rFonts w:ascii="Verdana" w:eastAsia="Calibri" w:hAnsi="Verdana" w:cs="Arial"/>
          <w:sz w:val="20"/>
          <w:szCs w:val="20"/>
          <w:lang w:val="es-ES"/>
        </w:rPr>
        <w:t>legis</w:t>
      </w:r>
      <w:proofErr w:type="spellEnd"/>
      <w:r w:rsidRPr="00A94CED">
        <w:rPr>
          <w:rFonts w:ascii="Verdana" w:eastAsia="Calibri" w:hAnsi="Verdana" w:cs="Arial"/>
          <w:sz w:val="20"/>
          <w:szCs w:val="20"/>
          <w:lang w:val="es-ES"/>
        </w:rPr>
        <w:t>, sin necesidad de que se haga referencia a las mismas en el pliego de condiciones; o también pueden las causales de rechazo de las propuestas ser establecidas expresamente por la entidad en el respectivo pliego de condiciones. Lo cierto es que, sea que las causales de 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principios de transparencia, economía y responsabilidad, así como el deber de selección objetiva en la contratación.”</w:t>
      </w:r>
    </w:p>
    <w:p w14:paraId="50B7DDCD" w14:textId="77777777" w:rsidR="00A94CED" w:rsidRPr="00A94CED" w:rsidRDefault="00A94CED" w:rsidP="00A94CED">
      <w:pPr>
        <w:spacing w:after="0" w:line="276" w:lineRule="auto"/>
        <w:ind w:firstLine="708"/>
        <w:jc w:val="both"/>
        <w:rPr>
          <w:rFonts w:ascii="Verdana" w:eastAsia="Calibri" w:hAnsi="Verdana" w:cs="Arial"/>
          <w:lang w:val="es-ES_tradnl"/>
        </w:rPr>
      </w:pPr>
    </w:p>
    <w:p w14:paraId="38C4DF95" w14:textId="77777777" w:rsidR="00A94CED" w:rsidRPr="00A94CED" w:rsidRDefault="00A94CED" w:rsidP="00A94CED">
      <w:pPr>
        <w:spacing w:after="0" w:line="276" w:lineRule="auto"/>
        <w:ind w:firstLine="709"/>
        <w:jc w:val="both"/>
        <w:rPr>
          <w:rFonts w:ascii="Verdana" w:eastAsia="Times New Roman" w:hAnsi="Verdana" w:cs="Arial"/>
          <w:bCs/>
          <w:lang w:val="es-ES_tradnl" w:eastAsia="es-MX"/>
        </w:rPr>
      </w:pPr>
      <w:r w:rsidRPr="00A94CED">
        <w:rPr>
          <w:rFonts w:ascii="Verdana" w:eastAsia="Calibri" w:hAnsi="Verdana" w:cs="Arial"/>
          <w:lang w:val="es-ES_tradnl"/>
        </w:rPr>
        <w:t>De igual forma, esta Agencia ha reiterado la postura del Consejo de Estado, según la cual, por la naturaleza propia de las causales de rechazo, su aplicación es estricta y restrictiva, lo que significa que su interpretación gramatical prevalece sobre una interpretación extensiva o de otra índole, mediante la cual se pretenda ampliar su alcance. Al respecto, el Consejo de Estado</w:t>
      </w:r>
      <w:r w:rsidRPr="00A94CED">
        <w:rPr>
          <w:rFonts w:ascii="Verdana" w:eastAsia="Calibri" w:hAnsi="Verdana" w:cs="Arial"/>
          <w:iCs/>
          <w:vertAlign w:val="superscript"/>
          <w:lang w:val="es-ES_tradnl"/>
        </w:rPr>
        <w:footnoteReference w:id="28"/>
      </w:r>
      <w:r w:rsidRPr="00A94CED">
        <w:rPr>
          <w:rFonts w:ascii="Verdana" w:eastAsia="Calibri" w:hAnsi="Verdana" w:cs="Arial"/>
          <w:iCs/>
          <w:lang w:val="es-ES_tradnl"/>
        </w:rPr>
        <w:t xml:space="preserve"> </w:t>
      </w:r>
      <w:r w:rsidRPr="00A94CED">
        <w:rPr>
          <w:rFonts w:ascii="Verdana" w:eastAsia="Calibri" w:hAnsi="Verdana" w:cs="Arial"/>
          <w:lang w:val="es-ES_tradnl"/>
        </w:rPr>
        <w:t xml:space="preserve">sostuvo: </w:t>
      </w:r>
    </w:p>
    <w:p w14:paraId="73C2365C" w14:textId="77777777" w:rsidR="00A94CED" w:rsidRPr="00A94CED" w:rsidRDefault="00A94CED" w:rsidP="00A94CED">
      <w:pPr>
        <w:spacing w:after="0" w:line="276" w:lineRule="auto"/>
        <w:jc w:val="both"/>
        <w:rPr>
          <w:rFonts w:ascii="Verdana" w:eastAsia="Times New Roman" w:hAnsi="Verdana" w:cs="Arial"/>
          <w:bCs/>
          <w:iCs/>
          <w:lang w:val="es-ES_tradnl" w:eastAsia="es-MX"/>
        </w:rPr>
      </w:pPr>
    </w:p>
    <w:p w14:paraId="7CAC6273" w14:textId="77777777" w:rsidR="00A94CED" w:rsidRPr="00A94CED" w:rsidRDefault="00A94CED" w:rsidP="00A94CED">
      <w:pPr>
        <w:spacing w:after="0" w:line="240" w:lineRule="auto"/>
        <w:ind w:left="709" w:right="709"/>
        <w:jc w:val="both"/>
        <w:rPr>
          <w:rFonts w:ascii="Verdana" w:eastAsia="Times New Roman" w:hAnsi="Verdana" w:cs="Arial"/>
          <w:bCs/>
          <w:iCs/>
          <w:sz w:val="20"/>
          <w:szCs w:val="20"/>
          <w:lang w:val="es-ES_tradnl" w:eastAsia="es-MX"/>
        </w:rPr>
      </w:pPr>
      <w:r w:rsidRPr="00A94CED">
        <w:rPr>
          <w:rFonts w:ascii="Verdana" w:eastAsia="Times New Roman" w:hAnsi="Verdana" w:cs="Arial"/>
          <w:bCs/>
          <w:iCs/>
          <w:sz w:val="20"/>
          <w:szCs w:val="20"/>
          <w:lang w:val="es-ES_tradnl" w:eastAsia="es-MX"/>
        </w:rPr>
        <w:t xml:space="preserve">“En esta línea de pensamiento, resulta claro que el rechazo o la descalificación de ofertas no puede depender de la libre discrecionalidad de la administración, en la medida en que el oferente, por el hecho de participar en el proceso licitatorio, adquiere el derecho de participar en el </w:t>
      </w:r>
      <w:r w:rsidRPr="00A94CED">
        <w:rPr>
          <w:rFonts w:ascii="Verdana" w:eastAsia="Times New Roman" w:hAnsi="Verdana" w:cs="Arial"/>
          <w:bCs/>
          <w:iCs/>
          <w:sz w:val="20"/>
          <w:szCs w:val="20"/>
          <w:lang w:val="es-ES_tradnl" w:eastAsia="es-MX"/>
        </w:rPr>
        <w:lastRenderedPageBreak/>
        <w:t>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14:paraId="7C49DFB8" w14:textId="77777777" w:rsidR="00A94CED" w:rsidRPr="00A94CED" w:rsidRDefault="00A94CED" w:rsidP="00A94CED">
      <w:pPr>
        <w:spacing w:after="0" w:line="276" w:lineRule="auto"/>
        <w:ind w:left="709" w:right="709"/>
        <w:jc w:val="both"/>
        <w:rPr>
          <w:rFonts w:ascii="Verdana" w:eastAsia="Times New Roman" w:hAnsi="Verdana" w:cs="Arial"/>
          <w:bCs/>
          <w:iCs/>
          <w:lang w:val="es-ES_tradnl" w:eastAsia="es-MX"/>
        </w:rPr>
      </w:pPr>
    </w:p>
    <w:p w14:paraId="39187F1E" w14:textId="77777777" w:rsidR="00A94CED" w:rsidRPr="00A94CED" w:rsidRDefault="00A94CED" w:rsidP="00A94CED">
      <w:pPr>
        <w:spacing w:after="120" w:line="276" w:lineRule="auto"/>
        <w:ind w:firstLine="708"/>
        <w:jc w:val="both"/>
        <w:rPr>
          <w:rFonts w:ascii="Verdana" w:eastAsia="Calibri" w:hAnsi="Verdana" w:cs="Arial"/>
          <w:lang w:val="es-ES"/>
        </w:rPr>
      </w:pPr>
      <w:r w:rsidRPr="00A94CED">
        <w:rPr>
          <w:rFonts w:ascii="Verdana" w:eastAsia="Calibri" w:hAnsi="Verdana" w:cs="Arial"/>
          <w:lang w:val="es-ES"/>
        </w:rPr>
        <w:t>Por lo expuesto, para que se rechace una oferta porque por alguno de los documentos que la componen no se encuentra firmado, por ejemplo, la oferta económica, debe haberse contemplado tal supuesto dentro de las causales de rechazo establecidas en el pliego de condiciones o documentos equivalentes. Por esta razón si el Estatuto General de Contratación de la Administración Pública o el pliego de condiciones no establecen de manera literal una causal de rechazo, en los términos expuestos, no podrán rechazarse las propuestas.</w:t>
      </w:r>
    </w:p>
    <w:p w14:paraId="7BD183AD" w14:textId="77777777" w:rsidR="00A94CED" w:rsidRPr="00A94CED" w:rsidRDefault="00A94CED" w:rsidP="00A94CED">
      <w:pPr>
        <w:widowControl w:val="0"/>
        <w:autoSpaceDE w:val="0"/>
        <w:autoSpaceDN w:val="0"/>
        <w:spacing w:after="120" w:line="276" w:lineRule="auto"/>
        <w:ind w:firstLine="709"/>
        <w:jc w:val="both"/>
        <w:rPr>
          <w:rFonts w:ascii="Verdana" w:eastAsia="Calibri" w:hAnsi="Verdana" w:cs="Arial"/>
          <w:lang w:val="es-ES" w:eastAsia="es-ES" w:bidi="es-ES"/>
        </w:rPr>
      </w:pPr>
      <w:r w:rsidRPr="00A94CED">
        <w:rPr>
          <w:rFonts w:ascii="Verdana" w:eastAsia="Calibri" w:hAnsi="Verdana" w:cs="Arial"/>
          <w:lang w:val="es-ES" w:eastAsia="es-ES" w:bidi="es-ES"/>
        </w:rPr>
        <w:t>Un ejemplo contrario a lo indicado anteriormente, en relación con el objeto de la consulta, tratándose de procesos de selección desarrollados con Documentos Tipo, en estos eventos se ha previsto una causal que sólo opera cuando el procedimiento se realice mediante el SECOP I y que sanciona con el rechazo de la oferta: “</w:t>
      </w:r>
      <w:r w:rsidRPr="00A94CED">
        <w:rPr>
          <w:rFonts w:ascii="Verdana" w:eastAsia="Calibri" w:hAnsi="Verdana" w:cs="Arial"/>
          <w:i/>
          <w:iCs/>
          <w:lang w:val="es-ES" w:eastAsia="es-ES" w:bidi="es-ES"/>
        </w:rPr>
        <w:t>Que la propuesta económica no se aporte firmada”</w:t>
      </w:r>
      <w:r w:rsidRPr="00A94CED">
        <w:rPr>
          <w:rFonts w:ascii="Verdana" w:eastAsia="Calibri" w:hAnsi="Verdana" w:cs="Arial"/>
          <w:lang w:val="es-ES" w:eastAsia="es-ES" w:bidi="es-ES"/>
        </w:rPr>
        <w:t xml:space="preserve">. No obstante, esta causal sólo opera cuando la propuesta económica se deba presentar en físico y se utilice el SECOP I con fines de publicidad. </w:t>
      </w:r>
    </w:p>
    <w:p w14:paraId="2FB585A0" w14:textId="77777777" w:rsidR="00A94CED" w:rsidRPr="00A94CED" w:rsidRDefault="00A94CED" w:rsidP="00A94CED">
      <w:pPr>
        <w:spacing w:after="120" w:line="276" w:lineRule="auto"/>
        <w:ind w:firstLine="708"/>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Ahora bien, bajo los anteriores términos, resulta necesario ahora analizar la posibilidad de enmendar, corregir o subsanar los errores en los que se incurre en los documentos contentivos de la oferta. Este tema ha tenido diferentes momentos o etapas en el ordenamiento jurídico colombiano, por lo tanto,</w:t>
      </w:r>
      <w:r w:rsidRPr="00A94CED">
        <w:rPr>
          <w:rFonts w:ascii="Verdana" w:eastAsia="Times New Roman" w:hAnsi="Verdana" w:cs="Arial"/>
          <w:lang w:val="es-ES" w:eastAsia="es-ES"/>
        </w:rPr>
        <w:t xml:space="preserve"> a continuación, se hará referencia en forma general a los antecedentes de las diferentes posturas en torno a la </w:t>
      </w:r>
      <w:proofErr w:type="spellStart"/>
      <w:r w:rsidRPr="00A94CED">
        <w:rPr>
          <w:rFonts w:ascii="Verdana" w:eastAsia="Times New Roman" w:hAnsi="Verdana" w:cs="Arial"/>
          <w:lang w:val="es-ES" w:eastAsia="es-ES"/>
        </w:rPr>
        <w:t>subsanabilidad</w:t>
      </w:r>
      <w:proofErr w:type="spellEnd"/>
      <w:r w:rsidRPr="00A94CED">
        <w:rPr>
          <w:rFonts w:ascii="Verdana" w:eastAsia="Times New Roman" w:hAnsi="Verdana" w:cs="Arial"/>
          <w:lang w:val="es-ES" w:eastAsia="es-ES"/>
        </w:rPr>
        <w:t xml:space="preserve">. </w:t>
      </w:r>
    </w:p>
    <w:p w14:paraId="61D415AD" w14:textId="77777777" w:rsidR="00A94CED" w:rsidRPr="00A94CED" w:rsidRDefault="00A94CED" w:rsidP="00A94CED">
      <w:pPr>
        <w:spacing w:after="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En un </w:t>
      </w:r>
      <w:r w:rsidRPr="00A94CED">
        <w:rPr>
          <w:rFonts w:ascii="Verdana" w:eastAsia="Times New Roman" w:hAnsi="Verdana" w:cs="Arial"/>
          <w:i/>
          <w:lang w:val="es-ES" w:eastAsia="es-ES"/>
        </w:rPr>
        <w:t>primer momento</w:t>
      </w:r>
      <w:r w:rsidRPr="00A94CED">
        <w:rPr>
          <w:rFonts w:ascii="Verdana" w:eastAsia="Times New Roman" w:hAnsi="Verdana" w:cs="Arial"/>
          <w:lang w:val="es-ES" w:eastAsia="es-ES"/>
        </w:rPr>
        <w:t xml:space="preserve"> se expidió la Ley 80 de 1993, bajo el nuevo paradigma que supuso la Constitución de 1991, particularmente en la forma como se relaciona lo formal y lo sustancial en las actuaciones judiciales y administrativas. Este cambio quedó consignado en el artículo 228, que introdujo un principio de supremacía o prevalencia del derecho sustancial sobre lo </w:t>
      </w:r>
      <w:r w:rsidRPr="00A94CED">
        <w:rPr>
          <w:rFonts w:ascii="Verdana" w:eastAsia="Times New Roman" w:hAnsi="Verdana" w:cs="Arial"/>
          <w:lang w:val="es-ES" w:eastAsia="es-ES"/>
        </w:rPr>
        <w:lastRenderedPageBreak/>
        <w:t xml:space="preserve">procedimental. En este nuevo escenario constitucional, el numeral 15 del artículo 25 de la Ley 80 de 1993 dispuso lo siguiente: </w:t>
      </w:r>
    </w:p>
    <w:p w14:paraId="205083C9" w14:textId="77777777" w:rsidR="00A94CED" w:rsidRPr="00A94CED" w:rsidRDefault="00A94CED" w:rsidP="00A94CED">
      <w:pPr>
        <w:spacing w:after="0" w:line="276" w:lineRule="auto"/>
        <w:ind w:firstLine="709"/>
        <w:jc w:val="both"/>
        <w:rPr>
          <w:rFonts w:ascii="Verdana" w:eastAsia="Times New Roman" w:hAnsi="Verdana" w:cs="Arial"/>
          <w:lang w:val="es-ES_tradnl" w:eastAsia="es-ES_tradnl"/>
        </w:rPr>
      </w:pPr>
    </w:p>
    <w:p w14:paraId="4BDC8C1D" w14:textId="77777777" w:rsidR="00A94CED" w:rsidRPr="00A94CED" w:rsidRDefault="00A94CED" w:rsidP="00A94CED">
      <w:pPr>
        <w:spacing w:after="0" w:line="240" w:lineRule="auto"/>
        <w:ind w:left="709" w:right="709"/>
        <w:jc w:val="both"/>
        <w:rPr>
          <w:rFonts w:ascii="Verdana" w:eastAsia="Times New Roman" w:hAnsi="Verdana" w:cs="Arial"/>
          <w:sz w:val="20"/>
          <w:szCs w:val="20"/>
          <w:lang w:val="es-ES_tradnl" w:eastAsia="es-ES_tradnl"/>
        </w:rPr>
      </w:pPr>
      <w:r w:rsidRPr="00A94CED">
        <w:rPr>
          <w:rFonts w:ascii="Verdana" w:eastAsia="Times New Roman" w:hAnsi="Verdana" w:cs="Arial"/>
          <w:sz w:val="20"/>
          <w:szCs w:val="20"/>
          <w:lang w:val="es-ES_tradnl" w:eastAsia="es-ES_tradnl"/>
        </w:rPr>
        <w:t xml:space="preserve">“15. Las autoridades no exigirán sellos, autenticaciones, documentos originales o autenticados, reconocimientos de firmas, traducciones oficiales, ni cualquier otra clase de formalidades o exigencias rituales, salvo cuando en forma perentoria y expresa lo exijan leyes especiales. </w:t>
      </w:r>
    </w:p>
    <w:p w14:paraId="66F8030F" w14:textId="77777777" w:rsidR="00A94CED" w:rsidRPr="00A94CED" w:rsidRDefault="00A94CED" w:rsidP="00A94CED">
      <w:pPr>
        <w:spacing w:after="0" w:line="240" w:lineRule="auto"/>
        <w:ind w:left="709" w:right="709"/>
        <w:jc w:val="both"/>
        <w:rPr>
          <w:rFonts w:ascii="Verdana" w:eastAsia="Times New Roman" w:hAnsi="Verdana" w:cs="Arial"/>
          <w:sz w:val="20"/>
          <w:szCs w:val="20"/>
          <w:lang w:val="es-ES_tradnl" w:eastAsia="es-ES_tradnl"/>
        </w:rPr>
      </w:pPr>
    </w:p>
    <w:p w14:paraId="539A3E13" w14:textId="77777777" w:rsidR="00A94CED" w:rsidRPr="00A94CED" w:rsidRDefault="00A94CED" w:rsidP="00A94CED">
      <w:pPr>
        <w:spacing w:after="0" w:line="240" w:lineRule="auto"/>
        <w:ind w:left="709" w:right="709"/>
        <w:jc w:val="both"/>
        <w:rPr>
          <w:rFonts w:ascii="Verdana" w:eastAsia="Times New Roman" w:hAnsi="Verdana" w:cs="Arial"/>
          <w:sz w:val="20"/>
          <w:szCs w:val="20"/>
          <w:lang w:val="es-ES_tradnl" w:eastAsia="es-ES_tradnl"/>
        </w:rPr>
      </w:pPr>
      <w:r w:rsidRPr="00A94CED">
        <w:rPr>
          <w:rFonts w:ascii="Verdana" w:eastAsia="Times New Roman" w:hAnsi="Verdana" w:cs="Arial"/>
          <w:sz w:val="20"/>
          <w:szCs w:val="20"/>
          <w:lang w:val="es-ES_tradnl" w:eastAsia="es-ES_tradnl"/>
        </w:rPr>
        <w:t xml:space="preserve">La ausencia de requisitos o la falta de documentos referentes a la futura contratación o al proponente, no necesarios para la comparación de propuestas, no servirá de título suficiente para el rechazo de los ofrecimientos hechos”. </w:t>
      </w:r>
    </w:p>
    <w:p w14:paraId="5F4C40C2" w14:textId="77777777" w:rsidR="00A94CED" w:rsidRPr="00A94CED" w:rsidRDefault="00A94CED" w:rsidP="00A94CED">
      <w:pPr>
        <w:spacing w:after="0" w:line="276" w:lineRule="auto"/>
        <w:ind w:left="709" w:right="709"/>
        <w:jc w:val="both"/>
        <w:rPr>
          <w:rFonts w:ascii="Verdana" w:eastAsia="Times New Roman" w:hAnsi="Verdana" w:cs="Arial"/>
          <w:lang w:val="es-ES_tradnl" w:eastAsia="es-ES_tradnl"/>
        </w:rPr>
      </w:pPr>
    </w:p>
    <w:p w14:paraId="0B5D34DC"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Bajo el amparo de esta norma, el régimen jurídico de </w:t>
      </w:r>
      <w:proofErr w:type="spellStart"/>
      <w:r w:rsidRPr="00A94CED">
        <w:rPr>
          <w:rFonts w:ascii="Verdana" w:eastAsia="Times New Roman" w:hAnsi="Verdana" w:cs="Arial"/>
          <w:lang w:val="es-ES" w:eastAsia="es-ES"/>
        </w:rPr>
        <w:t>subsanabilidad</w:t>
      </w:r>
      <w:proofErr w:type="spellEnd"/>
      <w:r w:rsidRPr="00A94CED">
        <w:rPr>
          <w:rFonts w:ascii="Verdana" w:eastAsia="Times New Roman" w:hAnsi="Verdana" w:cs="Arial"/>
          <w:lang w:val="es-ES" w:eastAsia="es-ES"/>
        </w:rPr>
        <w:t xml:space="preserve"> de las ofertas sufre un cambio fundamental, pues ya no era posible rechazar las ofertas por falta de requisitos o documentos que no fueran “</w:t>
      </w:r>
      <w:r w:rsidRPr="00A94CED">
        <w:rPr>
          <w:rFonts w:ascii="Verdana" w:eastAsia="Times New Roman" w:hAnsi="Verdana" w:cs="Arial"/>
          <w:i/>
          <w:lang w:val="es-ES" w:eastAsia="es-ES"/>
        </w:rPr>
        <w:t>necesarios para la comparación de propuestas”.</w:t>
      </w:r>
      <w:r w:rsidRPr="00A94CED">
        <w:rPr>
          <w:rFonts w:ascii="Verdana" w:eastAsia="Times New Roman" w:hAnsi="Verdana" w:cs="Arial"/>
          <w:lang w:val="es-ES" w:eastAsia="es-ES"/>
        </w:rPr>
        <w:t xml:space="preserve"> De esta manera, la ley introdujo un primer criterio jurídico, aunque indeterminado, que servía como punto de partida en la posibilidad de subsanar las ofertas, pues, verificada la ausencia de un requisito o documento, previo al rechazo de la oferta, la Administración debía constatar si este era o no necesario para la comparación de las propuestas y de ese análisis surgiría la decisión sobre su rechazo o la oportunidad de subsanar. </w:t>
      </w:r>
    </w:p>
    <w:p w14:paraId="11C1A25C" w14:textId="77777777" w:rsidR="00A94CED" w:rsidRPr="00A94CED" w:rsidRDefault="00A94CED" w:rsidP="00A94CED">
      <w:pPr>
        <w:spacing w:after="12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Esta norma debía leerse en conjunto con otras de la Ley 80 de 1993, particularmente con el artículo 30.7</w:t>
      </w:r>
      <w:r w:rsidRPr="00A94CED">
        <w:rPr>
          <w:rFonts w:ascii="Verdana" w:eastAsia="Times New Roman" w:hAnsi="Verdana" w:cs="Arial"/>
          <w:vertAlign w:val="superscript"/>
          <w:lang w:val="es-ES_tradnl" w:eastAsia="es-ES_tradnl"/>
        </w:rPr>
        <w:footnoteReference w:id="29"/>
      </w:r>
      <w:r w:rsidRPr="00A94CED">
        <w:rPr>
          <w:rFonts w:ascii="Verdana" w:eastAsia="Times New Roman" w:hAnsi="Verdana" w:cs="Arial"/>
          <w:lang w:val="es-ES_tradnl" w:eastAsia="es-ES_tradnl"/>
        </w:rPr>
        <w:t>, que ordena a la entidad señalar un plazo razonable para evaluar las propuestas y para pedir a los proponentes, de ser necesario, que aclaren o expliquen aspectos que ofrezcan dudas y resulten indispensables para llevar a cabo la evaluación. Así mimos, con el artículo 30.8</w:t>
      </w:r>
      <w:r w:rsidRPr="00A94CED">
        <w:rPr>
          <w:rFonts w:ascii="Verdana" w:eastAsia="Times New Roman" w:hAnsi="Verdana" w:cs="Arial"/>
          <w:vertAlign w:val="superscript"/>
          <w:lang w:val="es-ES_tradnl" w:eastAsia="es-ES_tradnl"/>
        </w:rPr>
        <w:footnoteReference w:id="30"/>
      </w:r>
      <w:r w:rsidRPr="00A94CED">
        <w:rPr>
          <w:rFonts w:ascii="Verdana" w:eastAsia="Times New Roman" w:hAnsi="Verdana" w:cs="Arial"/>
          <w:lang w:val="es-ES_tradnl" w:eastAsia="es-ES_tradnl"/>
        </w:rPr>
        <w:t xml:space="preserve">, que consagró el término de cinco (5) días hábiles para que los oferentes </w:t>
      </w:r>
      <w:r w:rsidRPr="00A94CED">
        <w:rPr>
          <w:rFonts w:ascii="Verdana" w:eastAsia="Times New Roman" w:hAnsi="Verdana" w:cs="Arial"/>
          <w:lang w:val="es-ES_tradnl" w:eastAsia="es-ES_tradnl"/>
        </w:rPr>
        <w:lastRenderedPageBreak/>
        <w:t xml:space="preserve">presenten observaciones al informe de evaluación de las propuestas, sin que sea posible completar, adicionar, modificar o mejorar su oferta.  </w:t>
      </w:r>
    </w:p>
    <w:p w14:paraId="4C7E4D02"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A partir de la lectura integrada de estas tres normas debía concluirse que con la Ley 80 de 1993 era posible subsanar las propuestas, y la omisión o el error en algún aspecto de esta no podía llevar a su rechazo, sin antes verificar que lo omitido fuera un aspecto necesario para la comparación. </w:t>
      </w:r>
    </w:p>
    <w:p w14:paraId="245D184D" w14:textId="77777777" w:rsidR="00A94CED" w:rsidRPr="00A94CED" w:rsidRDefault="00A94CED" w:rsidP="00A94CED">
      <w:pPr>
        <w:spacing w:after="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 xml:space="preserve">En un </w:t>
      </w:r>
      <w:r w:rsidRPr="00A94CED">
        <w:rPr>
          <w:rFonts w:ascii="Verdana" w:eastAsia="Times New Roman" w:hAnsi="Verdana" w:cs="Arial"/>
          <w:i/>
          <w:lang w:val="es-ES_tradnl" w:eastAsia="es-ES_tradnl"/>
        </w:rPr>
        <w:t>segundo momento</w:t>
      </w:r>
      <w:r w:rsidRPr="00A94CED">
        <w:rPr>
          <w:rFonts w:ascii="Verdana" w:eastAsia="Times New Roman" w:hAnsi="Verdana" w:cs="Arial"/>
          <w:lang w:val="es-ES_tradnl" w:eastAsia="es-ES_tradnl"/>
        </w:rPr>
        <w:t xml:space="preserve">, siguiendo la línea trazada por la Ley 80 de 1993, el legislador expidió la Ley 1150 de 2007, que, en el parágrafo 1º del artículo 5, determinó lo siguiente: </w:t>
      </w:r>
    </w:p>
    <w:p w14:paraId="2279FBE5" w14:textId="77777777" w:rsidR="00A94CED" w:rsidRPr="00A94CED" w:rsidRDefault="00A94CED" w:rsidP="00A94CED">
      <w:pPr>
        <w:spacing w:after="0" w:line="276" w:lineRule="auto"/>
        <w:ind w:left="709" w:right="709"/>
        <w:jc w:val="both"/>
        <w:rPr>
          <w:rFonts w:ascii="Verdana" w:eastAsia="Times New Roman" w:hAnsi="Verdana" w:cs="Arial"/>
          <w:lang w:val="es-ES" w:eastAsia="es-ES"/>
        </w:rPr>
      </w:pPr>
    </w:p>
    <w:p w14:paraId="3CC14354" w14:textId="77777777" w:rsidR="00A94CED" w:rsidRPr="00A94CED" w:rsidRDefault="00A94CED" w:rsidP="00A94CED">
      <w:pPr>
        <w:spacing w:after="0" w:line="240" w:lineRule="auto"/>
        <w:ind w:left="709" w:right="709"/>
        <w:jc w:val="both"/>
        <w:rPr>
          <w:rFonts w:ascii="Verdana" w:eastAsia="Times New Roman" w:hAnsi="Verdana" w:cs="Arial"/>
          <w:sz w:val="20"/>
          <w:szCs w:val="20"/>
          <w:lang w:val="es-ES" w:eastAsia="es-ES"/>
        </w:rPr>
      </w:pPr>
      <w:r w:rsidRPr="00A94CED">
        <w:rPr>
          <w:rFonts w:ascii="Verdana" w:eastAsia="Times New Roman" w:hAnsi="Verdana" w:cs="Arial"/>
          <w:sz w:val="20"/>
          <w:szCs w:val="20"/>
          <w:lang w:val="es-ES" w:eastAsia="es-ES"/>
        </w:rPr>
        <w:t xml:space="preserve">“Parágrafo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proofErr w:type="gramStart"/>
      <w:r w:rsidRPr="00A94CED">
        <w:rPr>
          <w:rFonts w:ascii="Verdana" w:eastAsia="Times New Roman" w:hAnsi="Verdana" w:cs="Arial"/>
          <w:sz w:val="20"/>
          <w:szCs w:val="20"/>
          <w:lang w:val="es-ES" w:eastAsia="es-ES"/>
        </w:rPr>
        <w:t>puntaje,</w:t>
      </w:r>
      <w:proofErr w:type="gramEnd"/>
      <w:r w:rsidRPr="00A94CED">
        <w:rPr>
          <w:rFonts w:ascii="Verdana" w:eastAsia="Times New Roman" w:hAnsi="Verdana" w:cs="Arial"/>
          <w:sz w:val="20"/>
          <w:szCs w:val="20"/>
          <w:lang w:val="es-ES" w:eastAsia="es-ES"/>
        </w:rPr>
        <w:t xml:space="preserve"> podrán ser solicitados por las entidades en cualquier momento, hasta la adjudicación. No </w:t>
      </w:r>
      <w:proofErr w:type="gramStart"/>
      <w:r w:rsidRPr="00A94CED">
        <w:rPr>
          <w:rFonts w:ascii="Verdana" w:eastAsia="Times New Roman" w:hAnsi="Verdana" w:cs="Arial"/>
          <w:sz w:val="20"/>
          <w:szCs w:val="20"/>
          <w:lang w:val="es-ES" w:eastAsia="es-ES"/>
        </w:rPr>
        <w:t>obstante</w:t>
      </w:r>
      <w:proofErr w:type="gramEnd"/>
      <w:r w:rsidRPr="00A94CED">
        <w:rPr>
          <w:rFonts w:ascii="Verdana" w:eastAsia="Times New Roman" w:hAnsi="Verdana" w:cs="Arial"/>
          <w:sz w:val="20"/>
          <w:szCs w:val="20"/>
          <w:lang w:val="es-ES" w:eastAsia="es-ES"/>
        </w:rPr>
        <w:t xml:space="preserve"> lo anterior, en aquellos procesos de selección en los que se utilice el mecanismo de subasta, deberán ser solicitados hasta el momento previo a su realización”. </w:t>
      </w:r>
    </w:p>
    <w:p w14:paraId="5D40BDC3" w14:textId="77777777" w:rsidR="00A94CED" w:rsidRPr="00A94CED" w:rsidRDefault="00A94CED" w:rsidP="00A94CED">
      <w:pPr>
        <w:spacing w:after="0" w:line="276" w:lineRule="auto"/>
        <w:ind w:left="709" w:right="709"/>
        <w:jc w:val="both"/>
        <w:rPr>
          <w:rFonts w:ascii="Verdana" w:eastAsia="Times New Roman" w:hAnsi="Verdana" w:cs="Arial"/>
          <w:lang w:val="es-ES" w:eastAsia="es-ES"/>
        </w:rPr>
      </w:pPr>
    </w:p>
    <w:p w14:paraId="17BCD049"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Nótese que esta norma reitera lo que dispuso la Ley 80 de 1993, en el sentido de que los requisitos o documentos que no sean necesarios para la comparación de las ofertas pueden subsanarse, pero además la Ley 1150 de 2007 introdujo otro criterio que le dio mayor claridad al tema: la asignación de puntaje. </w:t>
      </w:r>
    </w:p>
    <w:p w14:paraId="418F5052"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A partir de la Ley 1150 de 2007, la Administración contó con un criterio más claro y determinado para saber si la ausencia de documentos o requisitos de la oferta conlleva a su rechazo o al requerimiento del proponente para que lo subsane, pues bastará con un simple ejercicio de verificación que consiste en corroborar si lo omitido hace parte de los aspectos que otorgan puntaje o no. Si la Administración encuentra que lo omitido por el proponente es un aspecto que otorga puntaje, no es posible subsanarlo; pero, si lo omitido no otorga puntaje, la Administración debe requerir al proponente para que lo subsane.  </w:t>
      </w:r>
    </w:p>
    <w:p w14:paraId="32091E6D" w14:textId="77777777" w:rsidR="00A94CED" w:rsidRPr="00A94CED" w:rsidRDefault="00A94CED" w:rsidP="00A94CED">
      <w:pPr>
        <w:spacing w:after="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 xml:space="preserve">El artículo 5 de la Ley 1150 de 2007, además de consagrar un criterio más claro, y, de paso, reducir la discrecionalidad de la Administración, fijó un ámbito temporal para que las entidades requirieran la subsanación de las ofertas: “en </w:t>
      </w:r>
      <w:r w:rsidRPr="00A94CED">
        <w:rPr>
          <w:rFonts w:ascii="Verdana" w:eastAsia="Times New Roman" w:hAnsi="Verdana" w:cs="Arial"/>
          <w:lang w:val="es-ES_tradnl" w:eastAsia="es-ES_tradnl"/>
        </w:rPr>
        <w:lastRenderedPageBreak/>
        <w:t xml:space="preserve">cualquier momento, hasta la adjudicación”. El Consejo de Estado, con particular sindéresis, concluyó que a partir del parágrafo 1º del artículo 5 de la Ley 1150, la definición de lo que es subsanable y lo que no lo es surge a partir del planteamiento de la pregunta sobre si el defecto asigna puntaje o no, en estos términos: </w:t>
      </w:r>
    </w:p>
    <w:p w14:paraId="22E0FDC3" w14:textId="77777777" w:rsidR="00A94CED" w:rsidRPr="00A94CED" w:rsidRDefault="00A94CED" w:rsidP="00A94CED">
      <w:pPr>
        <w:spacing w:after="0" w:line="276" w:lineRule="auto"/>
        <w:ind w:firstLine="709"/>
        <w:jc w:val="both"/>
        <w:rPr>
          <w:rFonts w:ascii="Verdana" w:eastAsia="Times New Roman" w:hAnsi="Verdana" w:cs="Arial"/>
          <w:lang w:val="es-ES_tradnl" w:eastAsia="es-ES_tradnl"/>
        </w:rPr>
      </w:pPr>
    </w:p>
    <w:p w14:paraId="2C73E43A" w14:textId="77777777" w:rsidR="00A94CED" w:rsidRPr="00A94CED" w:rsidRDefault="00A94CED" w:rsidP="00A94CED">
      <w:pPr>
        <w:spacing w:after="0" w:line="240" w:lineRule="auto"/>
        <w:ind w:left="709" w:right="709"/>
        <w:jc w:val="both"/>
        <w:rPr>
          <w:rFonts w:ascii="Verdana" w:eastAsia="Times New Roman" w:hAnsi="Verdana" w:cs="Arial"/>
          <w:sz w:val="20"/>
          <w:szCs w:val="20"/>
          <w:lang w:val="es-ES" w:eastAsia="es-ES"/>
        </w:rPr>
      </w:pPr>
      <w:r w:rsidRPr="00A94CED">
        <w:rPr>
          <w:rFonts w:ascii="Verdana" w:eastAsia="Times New Roman" w:hAnsi="Verdana" w:cs="Arial"/>
          <w:sz w:val="20"/>
          <w:szCs w:val="20"/>
          <w:lang w:val="es-ES" w:eastAsia="es-ES"/>
        </w:rPr>
        <w:t>“Esto significa que en adelante las entidades y los oferentes aplican directamente la regla que contempla el art. 5, parágrafo, de la Ley 1150, de manera que lo subsanable o insubsanable se define a partir de una pregunta, que se le formula a cada requisito omitido o cumplido imperfectamente: ¿el defecto asigna puntaje al oferente? Si lo hace no es subsanable, si no lo hace es subsanable; en el último evento la entidad le solicitará al oferente que satisfaga la deficiencia, para poner su oferta en condiciones de ser evaluada, y no importa si se refiere o no a problemas de capacidad o a requisitos cumplidos antes o después de presentadas las ofertas, con la condición de que cuando le pidan la acreditación la satisfaga suficientemente”</w:t>
      </w:r>
      <w:r w:rsidRPr="00A94CED">
        <w:rPr>
          <w:rFonts w:ascii="Verdana" w:eastAsia="Times New Roman" w:hAnsi="Verdana" w:cs="Arial"/>
          <w:sz w:val="20"/>
          <w:szCs w:val="20"/>
          <w:vertAlign w:val="superscript"/>
          <w:lang w:val="es-ES" w:eastAsia="es-ES"/>
        </w:rPr>
        <w:footnoteReference w:id="31"/>
      </w:r>
      <w:r w:rsidRPr="00A94CED">
        <w:rPr>
          <w:rFonts w:ascii="Verdana" w:eastAsia="Times New Roman" w:hAnsi="Verdana" w:cs="Arial"/>
          <w:sz w:val="20"/>
          <w:szCs w:val="20"/>
          <w:lang w:val="es-ES" w:eastAsia="es-ES"/>
        </w:rPr>
        <w:t>.</w:t>
      </w:r>
    </w:p>
    <w:p w14:paraId="75075C5C" w14:textId="77777777" w:rsidR="00A94CED" w:rsidRPr="00A94CED" w:rsidRDefault="00A94CED" w:rsidP="00A94CED">
      <w:pPr>
        <w:spacing w:after="0" w:line="276" w:lineRule="auto"/>
        <w:ind w:left="709" w:right="709"/>
        <w:jc w:val="both"/>
        <w:rPr>
          <w:rFonts w:ascii="Verdana" w:eastAsia="Times New Roman" w:hAnsi="Verdana" w:cs="Arial"/>
          <w:lang w:val="es-ES" w:eastAsia="es-ES_tradnl"/>
        </w:rPr>
      </w:pPr>
    </w:p>
    <w:p w14:paraId="366F26B7" w14:textId="77777777" w:rsidR="00A94CED" w:rsidRPr="00A94CED" w:rsidRDefault="00A94CED" w:rsidP="00A94CED">
      <w:pPr>
        <w:tabs>
          <w:tab w:val="left" w:pos="284"/>
        </w:tabs>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Esa interpretación fue compartida por la </w:t>
      </w:r>
      <w:r w:rsidRPr="00A94CED">
        <w:rPr>
          <w:rFonts w:ascii="Verdana" w:eastAsia="Times New Roman" w:hAnsi="Verdana" w:cs="Arial"/>
          <w:lang w:val="es-ES" w:eastAsia="es-CO"/>
        </w:rPr>
        <w:t>Agencia Nacional de Contratación Pública – Colombia Compra Eficiente</w:t>
      </w:r>
      <w:r w:rsidRPr="00A94CED">
        <w:rPr>
          <w:rFonts w:ascii="Verdana" w:eastAsia="Times New Roman" w:hAnsi="Verdana" w:cs="Arial"/>
          <w:lang w:val="es-ES" w:eastAsia="es-ES"/>
        </w:rPr>
        <w:t xml:space="preserve">, pues en la Circular Externa Única se precisó que, si durante un Proceso de Contratación hay proponentes que no acreditaron en sus ofertas requisitos que no afectan la asignación de puntaje o la comparación de </w:t>
      </w:r>
      <w:proofErr w:type="gramStart"/>
      <w:r w:rsidRPr="00A94CED">
        <w:rPr>
          <w:rFonts w:ascii="Verdana" w:eastAsia="Times New Roman" w:hAnsi="Verdana" w:cs="Arial"/>
          <w:lang w:val="es-ES" w:eastAsia="es-ES"/>
        </w:rPr>
        <w:t>las mismas</w:t>
      </w:r>
      <w:proofErr w:type="gramEnd"/>
      <w:r w:rsidRPr="00A94CED">
        <w:rPr>
          <w:rFonts w:ascii="Verdana" w:eastAsia="Times New Roman" w:hAnsi="Verdana" w:cs="Arial"/>
          <w:lang w:val="es-ES" w:eastAsia="es-ES"/>
        </w:rPr>
        <w:t>, la Entidad Estatal deberá indicarlo en el informe de evaluación y advertir que la correspondiente oferta puede ser subsanada.</w:t>
      </w:r>
    </w:p>
    <w:p w14:paraId="612D0688" w14:textId="77777777" w:rsidR="00A94CED" w:rsidRPr="00A94CED" w:rsidRDefault="00A94CED" w:rsidP="00A94CED">
      <w:pPr>
        <w:tabs>
          <w:tab w:val="left" w:pos="284"/>
        </w:tabs>
        <w:spacing w:after="0" w:line="276" w:lineRule="auto"/>
        <w:ind w:firstLine="709"/>
        <w:jc w:val="both"/>
        <w:rPr>
          <w:rFonts w:ascii="Verdana" w:eastAsia="Times New Roman" w:hAnsi="Verdana" w:cs="Arial"/>
          <w:lang w:val="es-ES_tradnl" w:eastAsia="es-CO"/>
        </w:rPr>
      </w:pPr>
      <w:r w:rsidRPr="00A94CED">
        <w:rPr>
          <w:rFonts w:ascii="Verdana" w:eastAsia="Times New Roman" w:hAnsi="Verdana" w:cs="Arial"/>
          <w:lang w:val="es-ES_tradnl" w:eastAsia="es-CO"/>
        </w:rPr>
        <w:t xml:space="preserve">Finalmente, en un </w:t>
      </w:r>
      <w:r w:rsidRPr="00A94CED">
        <w:rPr>
          <w:rFonts w:ascii="Verdana" w:eastAsia="Times New Roman" w:hAnsi="Verdana" w:cs="Arial"/>
          <w:i/>
          <w:lang w:val="es-ES_tradnl" w:eastAsia="es-CO"/>
        </w:rPr>
        <w:t>tercer momento</w:t>
      </w:r>
      <w:r w:rsidRPr="00A94CED">
        <w:rPr>
          <w:rFonts w:ascii="Verdana" w:eastAsia="Times New Roman" w:hAnsi="Verdana" w:cs="Arial"/>
          <w:lang w:val="es-ES_tradnl" w:eastAsia="es-CO"/>
        </w:rPr>
        <w:t xml:space="preserve">, el legislador expidió la Ley 1882 de 2018, con la finalidad de introducir cambios y ajustes para fortalecer la contratación pública. El artículo 5 modificó el parágrafo 1º y adicionó algunos otros, entre ellos el 3° y 4° del artículo 5 de la Ley 1150 de 2007: </w:t>
      </w:r>
    </w:p>
    <w:p w14:paraId="17607742" w14:textId="77777777" w:rsidR="00A94CED" w:rsidRPr="00A94CED" w:rsidRDefault="00A94CED" w:rsidP="00A94CED">
      <w:pPr>
        <w:spacing w:after="0" w:line="276" w:lineRule="auto"/>
        <w:ind w:left="709" w:right="709"/>
        <w:jc w:val="both"/>
        <w:rPr>
          <w:rFonts w:ascii="Verdana" w:eastAsia="Times New Roman" w:hAnsi="Verdana" w:cs="Arial"/>
          <w:lang w:val="es-ES_tradnl" w:eastAsia="es-CO"/>
        </w:rPr>
      </w:pPr>
    </w:p>
    <w:p w14:paraId="6ACBEF5F" w14:textId="77777777" w:rsidR="00A94CED" w:rsidRPr="00A94CED" w:rsidRDefault="00A94CED" w:rsidP="00A94CED">
      <w:pPr>
        <w:spacing w:after="0" w:line="240" w:lineRule="auto"/>
        <w:ind w:left="709" w:right="709"/>
        <w:jc w:val="both"/>
        <w:rPr>
          <w:rFonts w:ascii="Verdana" w:eastAsia="Times New Roman" w:hAnsi="Verdana" w:cs="Arial"/>
          <w:sz w:val="20"/>
          <w:szCs w:val="20"/>
          <w:lang w:val="es-ES_tradnl" w:eastAsia="es-CO"/>
        </w:rPr>
      </w:pPr>
      <w:r w:rsidRPr="00A94CED">
        <w:rPr>
          <w:rFonts w:ascii="Verdana" w:eastAsia="Times New Roman" w:hAnsi="Verdana" w:cs="Arial"/>
          <w:sz w:val="20"/>
          <w:szCs w:val="20"/>
          <w:lang w:val="es-ES_tradnl" w:eastAsia="es-CO"/>
        </w:rPr>
        <w:t xml:space="preserve">“Artículo 5°. De la selección objetiva. </w:t>
      </w:r>
    </w:p>
    <w:p w14:paraId="2CAB0BE5" w14:textId="77777777" w:rsidR="00A94CED" w:rsidRPr="00A94CED" w:rsidRDefault="00A94CED" w:rsidP="00A94CED">
      <w:pPr>
        <w:spacing w:after="0" w:line="240" w:lineRule="auto"/>
        <w:ind w:left="709" w:right="709"/>
        <w:jc w:val="both"/>
        <w:textAlignment w:val="baseline"/>
        <w:rPr>
          <w:rFonts w:ascii="Verdana" w:eastAsia="Times New Roman" w:hAnsi="Verdana" w:cs="Arial"/>
          <w:color w:val="000000"/>
          <w:sz w:val="20"/>
          <w:szCs w:val="20"/>
          <w:lang w:val="es-ES" w:eastAsia="es-CO"/>
        </w:rPr>
      </w:pPr>
    </w:p>
    <w:p w14:paraId="38F417C0"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 xml:space="preserve">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w:t>
      </w:r>
      <w:proofErr w:type="gramStart"/>
      <w:r w:rsidRPr="00A94CED">
        <w:rPr>
          <w:rFonts w:ascii="Verdana" w:eastAsia="Times New Roman" w:hAnsi="Verdana" w:cs="Arial"/>
          <w:color w:val="000000"/>
          <w:sz w:val="20"/>
          <w:szCs w:val="20"/>
          <w:lang w:val="es-ES" w:eastAsia="es-CO"/>
        </w:rPr>
        <w:t>equivalentes,</w:t>
      </w:r>
      <w:proofErr w:type="gramEnd"/>
      <w:r w:rsidRPr="00A94CED">
        <w:rPr>
          <w:rFonts w:ascii="Verdana" w:eastAsia="Times New Roman" w:hAnsi="Verdana" w:cs="Arial"/>
          <w:color w:val="000000"/>
          <w:sz w:val="20"/>
          <w:szCs w:val="20"/>
          <w:lang w:val="es-ES" w:eastAsia="es-CO"/>
        </w:rPr>
        <w:t xml:space="preserve"> tendrán en cuenta los siguientes criterios:</w:t>
      </w:r>
      <w:r w:rsidRPr="00A94CED">
        <w:rPr>
          <w:rFonts w:ascii="Verdana" w:eastAsia="Times New Roman" w:hAnsi="Verdana" w:cs="Arial"/>
          <w:color w:val="000000"/>
          <w:sz w:val="20"/>
          <w:szCs w:val="20"/>
          <w:lang w:eastAsia="es-CO"/>
        </w:rPr>
        <w:t> </w:t>
      </w:r>
    </w:p>
    <w:p w14:paraId="073FE623"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lastRenderedPageBreak/>
        <w:t> </w:t>
      </w:r>
    </w:p>
    <w:p w14:paraId="396C87D6"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r w:rsidRPr="00A94CED">
        <w:rPr>
          <w:rFonts w:ascii="Verdana" w:eastAsia="Times New Roman" w:hAnsi="Verdana" w:cs="Arial"/>
          <w:color w:val="000000"/>
          <w:sz w:val="20"/>
          <w:szCs w:val="20"/>
          <w:lang w:eastAsia="es-CO"/>
        </w:rPr>
        <w:t> </w:t>
      </w:r>
    </w:p>
    <w:p w14:paraId="13A3DC49"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10469133"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r w:rsidRPr="00A94CED">
        <w:rPr>
          <w:rFonts w:ascii="Verdana" w:eastAsia="Times New Roman" w:hAnsi="Verdana" w:cs="Arial"/>
          <w:color w:val="000000"/>
          <w:sz w:val="20"/>
          <w:szCs w:val="20"/>
          <w:lang w:eastAsia="es-CO"/>
        </w:rPr>
        <w:t> </w:t>
      </w:r>
    </w:p>
    <w:p w14:paraId="7E3CF93C"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p>
    <w:p w14:paraId="04327D58"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En los procesos de selección en los que se tenga en cuenta los factores técnicos y económicos, la oferta más ventajosa será la que resulte de aplicar alguna de las siguientes alternativas:</w:t>
      </w:r>
      <w:r w:rsidRPr="00A94CED">
        <w:rPr>
          <w:rFonts w:ascii="Verdana" w:eastAsia="Times New Roman" w:hAnsi="Verdana" w:cs="Arial"/>
          <w:color w:val="000000"/>
          <w:sz w:val="20"/>
          <w:szCs w:val="20"/>
          <w:lang w:eastAsia="es-CO"/>
        </w:rPr>
        <w:t> </w:t>
      </w:r>
    </w:p>
    <w:p w14:paraId="1FFF46E7"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p>
    <w:p w14:paraId="1F4FCCA9"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a) La ponderación de los elementos de calidad y precio soportados en puntajes o fórmulas señaladas en el pliego de condiciones; o</w:t>
      </w:r>
    </w:p>
    <w:p w14:paraId="536B2079"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p>
    <w:p w14:paraId="4FC99AD2"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b) La ponderación de los elementos de calidad y precio que representen la mejor relación de costo-beneficio para la entidad.</w:t>
      </w:r>
      <w:r w:rsidRPr="00A94CED">
        <w:rPr>
          <w:rFonts w:ascii="Verdana" w:eastAsia="Times New Roman" w:hAnsi="Verdana" w:cs="Arial"/>
          <w:color w:val="000000"/>
          <w:sz w:val="20"/>
          <w:szCs w:val="20"/>
          <w:lang w:eastAsia="es-CO"/>
        </w:rPr>
        <w:t> </w:t>
      </w:r>
    </w:p>
    <w:p w14:paraId="04455477"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p>
    <w:p w14:paraId="72C61B77"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r w:rsidRPr="00A94CED">
        <w:rPr>
          <w:rFonts w:ascii="Verdana" w:eastAsia="Times New Roman" w:hAnsi="Verdana" w:cs="Arial"/>
          <w:color w:val="000000"/>
          <w:sz w:val="20"/>
          <w:szCs w:val="20"/>
          <w:lang w:eastAsia="es-CO"/>
        </w:rPr>
        <w:t> </w:t>
      </w:r>
    </w:p>
    <w:p w14:paraId="351893F3"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0AF0A487"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 xml:space="preserve">4. En los procesos para la selección de consultores se hará uso de factores de calificación destinados a valorar los aspectos técnicos de la oferta o proyecto. De conformidad con las condiciones que señale el reglamento, </w:t>
      </w:r>
      <w:r w:rsidRPr="00A94CED">
        <w:rPr>
          <w:rFonts w:ascii="Verdana" w:eastAsia="Times New Roman" w:hAnsi="Verdana" w:cs="Arial"/>
          <w:color w:val="000000"/>
          <w:sz w:val="20"/>
          <w:szCs w:val="20"/>
          <w:lang w:val="es-ES" w:eastAsia="es-CO"/>
        </w:rPr>
        <w:lastRenderedPageBreak/>
        <w:t>se podrán utilizar criterios de experiencia específica del oferente y del equipo de trabajo, en el campo de que se trate.</w:t>
      </w:r>
      <w:r w:rsidRPr="00A94CED">
        <w:rPr>
          <w:rFonts w:ascii="Verdana" w:eastAsia="Times New Roman" w:hAnsi="Verdana" w:cs="Arial"/>
          <w:color w:val="000000"/>
          <w:sz w:val="20"/>
          <w:szCs w:val="20"/>
          <w:lang w:eastAsia="es-CO"/>
        </w:rPr>
        <w:t> </w:t>
      </w:r>
    </w:p>
    <w:p w14:paraId="4CE47AF3"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744DA70C"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En ningún caso se podrá incluir el precio, como factor de escogencia para la selección de consultores.</w:t>
      </w:r>
      <w:r w:rsidRPr="00A94CED">
        <w:rPr>
          <w:rFonts w:ascii="Verdana" w:eastAsia="Times New Roman" w:hAnsi="Verdana" w:cs="Arial"/>
          <w:color w:val="000000"/>
          <w:sz w:val="20"/>
          <w:szCs w:val="20"/>
          <w:lang w:eastAsia="es-CO"/>
        </w:rPr>
        <w:t> </w:t>
      </w:r>
    </w:p>
    <w:p w14:paraId="620E7157"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5F1F0BB8"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 xml:space="preserve">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proofErr w:type="gramStart"/>
      <w:r w:rsidRPr="00A94CED">
        <w:rPr>
          <w:rFonts w:ascii="Verdana" w:eastAsia="Times New Roman" w:hAnsi="Verdana" w:cs="Arial"/>
          <w:color w:val="000000"/>
          <w:sz w:val="20"/>
          <w:szCs w:val="20"/>
          <w:lang w:val="es-ES" w:eastAsia="es-CO"/>
        </w:rPr>
        <w:t>puntaje,</w:t>
      </w:r>
      <w:proofErr w:type="gramEnd"/>
      <w:r w:rsidRPr="00A94CED">
        <w:rPr>
          <w:rFonts w:ascii="Verdana" w:eastAsia="Times New Roman" w:hAnsi="Verdana" w:cs="Arial"/>
          <w:color w:val="000000"/>
          <w:sz w:val="20"/>
          <w:szCs w:val="20"/>
          <w:lang w:val="es-ES" w:eastAsia="es-CO"/>
        </w:rPr>
        <w:t xml:space="preserv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r w:rsidRPr="00A94CED">
        <w:rPr>
          <w:rFonts w:ascii="Verdana" w:eastAsia="Times New Roman" w:hAnsi="Verdana" w:cs="Arial"/>
          <w:color w:val="000000"/>
          <w:sz w:val="20"/>
          <w:szCs w:val="20"/>
          <w:lang w:eastAsia="es-CO"/>
        </w:rPr>
        <w:t> </w:t>
      </w:r>
    </w:p>
    <w:p w14:paraId="45116803"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47D01095"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Durante el término otorgado para subsanar las ofertas, los proponentes no podrán acreditar circunstancias ocurridas con posterioridad al cierre del proceso.</w:t>
      </w:r>
      <w:r w:rsidRPr="00A94CED">
        <w:rPr>
          <w:rFonts w:ascii="Verdana" w:eastAsia="Times New Roman" w:hAnsi="Verdana" w:cs="Arial"/>
          <w:color w:val="000000"/>
          <w:sz w:val="20"/>
          <w:szCs w:val="20"/>
          <w:lang w:eastAsia="es-CO"/>
        </w:rPr>
        <w:t> </w:t>
      </w:r>
    </w:p>
    <w:p w14:paraId="141907A3"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1F46B416"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PARÁGRAFO 2o. Las certificaciones de sistemas de gestión de calidad no serán objeto de calificación, ni podrán establecerse como documento habilitante para participar en licitaciones o concursos.</w:t>
      </w:r>
      <w:r w:rsidRPr="00A94CED">
        <w:rPr>
          <w:rFonts w:ascii="Verdana" w:eastAsia="Times New Roman" w:hAnsi="Verdana" w:cs="Arial"/>
          <w:color w:val="000000"/>
          <w:sz w:val="20"/>
          <w:szCs w:val="20"/>
          <w:lang w:eastAsia="es-CO"/>
        </w:rPr>
        <w:t> </w:t>
      </w:r>
    </w:p>
    <w:p w14:paraId="7677687C"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5DF05B99"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 xml:space="preserve">PARÁGRAFO 3o. &lt;Parágrafo adicionado por el artículo 5 de la Ley 1882 de 2018. El nuevo texto es el siguiente:&gt; La no entrega de la garantía de seriedad junto con la propuesta no será subsanable y será causal de rechazo de </w:t>
      </w:r>
      <w:proofErr w:type="gramStart"/>
      <w:r w:rsidRPr="00A94CED">
        <w:rPr>
          <w:rFonts w:ascii="Verdana" w:eastAsia="Times New Roman" w:hAnsi="Verdana" w:cs="Arial"/>
          <w:color w:val="000000"/>
          <w:sz w:val="20"/>
          <w:szCs w:val="20"/>
          <w:lang w:val="es-ES" w:eastAsia="es-CO"/>
        </w:rPr>
        <w:t>la misma</w:t>
      </w:r>
      <w:proofErr w:type="gramEnd"/>
      <w:r w:rsidRPr="00A94CED">
        <w:rPr>
          <w:rFonts w:ascii="Verdana" w:eastAsia="Times New Roman" w:hAnsi="Verdana" w:cs="Arial"/>
          <w:color w:val="000000"/>
          <w:sz w:val="20"/>
          <w:szCs w:val="20"/>
          <w:lang w:val="es-ES" w:eastAsia="es-CO"/>
        </w:rPr>
        <w:t>.</w:t>
      </w:r>
      <w:r w:rsidRPr="00A94CED">
        <w:rPr>
          <w:rFonts w:ascii="Verdana" w:eastAsia="Times New Roman" w:hAnsi="Verdana" w:cs="Arial"/>
          <w:color w:val="000000"/>
          <w:sz w:val="20"/>
          <w:szCs w:val="20"/>
          <w:lang w:eastAsia="es-CO"/>
        </w:rPr>
        <w:t> </w:t>
      </w:r>
    </w:p>
    <w:p w14:paraId="68F6F4D7"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651BCA66"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r w:rsidRPr="00A94CED">
        <w:rPr>
          <w:rFonts w:ascii="Verdana" w:eastAsia="Times New Roman" w:hAnsi="Verdana" w:cs="Arial"/>
          <w:color w:val="000000"/>
          <w:sz w:val="20"/>
          <w:szCs w:val="20"/>
          <w:lang w:eastAsia="es-CO"/>
        </w:rPr>
        <w:t> </w:t>
      </w:r>
    </w:p>
    <w:p w14:paraId="76309347"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eastAsia="es-CO"/>
        </w:rPr>
        <w:t> </w:t>
      </w:r>
    </w:p>
    <w:p w14:paraId="408EFE08" w14:textId="77777777" w:rsidR="00A94CED" w:rsidRPr="00A94CED" w:rsidRDefault="00A94CED" w:rsidP="00A94CED">
      <w:pPr>
        <w:spacing w:after="0" w:line="240" w:lineRule="auto"/>
        <w:ind w:left="709" w:right="709"/>
        <w:jc w:val="both"/>
        <w:textAlignment w:val="baseline"/>
        <w:rPr>
          <w:rFonts w:ascii="Verdana" w:eastAsia="Times New Roman" w:hAnsi="Verdana" w:cs="Segoe UI"/>
          <w:sz w:val="20"/>
          <w:szCs w:val="20"/>
          <w:lang w:eastAsia="es-CO"/>
        </w:rPr>
      </w:pPr>
      <w:r w:rsidRPr="00A94CED">
        <w:rPr>
          <w:rFonts w:ascii="Verdana" w:eastAsia="Times New Roman" w:hAnsi="Verdana" w:cs="Arial"/>
          <w:color w:val="000000"/>
          <w:sz w:val="20"/>
          <w:szCs w:val="20"/>
          <w:lang w:val="es-ES" w:eastAsia="es-CO"/>
        </w:rPr>
        <w:t>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 </w:t>
      </w:r>
      <w:r w:rsidRPr="00A94CED">
        <w:rPr>
          <w:rFonts w:ascii="Verdana" w:eastAsia="Times New Roman" w:hAnsi="Verdana" w:cs="Arial"/>
          <w:color w:val="000000"/>
          <w:sz w:val="20"/>
          <w:szCs w:val="20"/>
          <w:lang w:eastAsia="es-CO"/>
        </w:rPr>
        <w:t> </w:t>
      </w:r>
    </w:p>
    <w:p w14:paraId="48B460AF" w14:textId="77777777" w:rsidR="00A94CED" w:rsidRPr="00A94CED" w:rsidRDefault="00A94CED" w:rsidP="00A94CED">
      <w:pPr>
        <w:spacing w:after="0" w:line="276" w:lineRule="auto"/>
        <w:ind w:left="709" w:right="709"/>
        <w:jc w:val="both"/>
        <w:rPr>
          <w:rFonts w:ascii="Verdana" w:eastAsia="Times New Roman" w:hAnsi="Verdana" w:cs="Arial"/>
          <w:lang w:eastAsia="es-CO"/>
        </w:rPr>
      </w:pPr>
    </w:p>
    <w:p w14:paraId="4AEDE301"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lastRenderedPageBreak/>
        <w:t xml:space="preserve">Como puede observarse, la Ley 1882 de 2018: i) mantiene el criterio de la Ley 80 de 1993, relativo a que todo lo que no sea necesario para la comparación de propuestas no es título suficiente para su rechazo; </w:t>
      </w:r>
      <w:proofErr w:type="spellStart"/>
      <w:r w:rsidRPr="00A94CED">
        <w:rPr>
          <w:rFonts w:ascii="Verdana" w:eastAsia="Times New Roman" w:hAnsi="Verdana" w:cs="Arial"/>
          <w:lang w:val="es-ES" w:eastAsia="es-ES"/>
        </w:rPr>
        <w:t>ii</w:t>
      </w:r>
      <w:proofErr w:type="spellEnd"/>
      <w:r w:rsidRPr="00A94CED">
        <w:rPr>
          <w:rFonts w:ascii="Verdana" w:eastAsia="Times New Roman" w:hAnsi="Verdana" w:cs="Arial"/>
          <w:lang w:val="es-ES" w:eastAsia="es-ES"/>
        </w:rPr>
        <w:t xml:space="preserve">) mantiene el criterio aclaratorio de la Ley 1150 de 2007, según el cual todo lo que no afecte la asignación de puntaje puede subsanarse; y, </w:t>
      </w:r>
      <w:proofErr w:type="spellStart"/>
      <w:r w:rsidRPr="00A94CED">
        <w:rPr>
          <w:rFonts w:ascii="Verdana" w:eastAsia="Times New Roman" w:hAnsi="Verdana" w:cs="Arial"/>
          <w:lang w:val="es-ES" w:eastAsia="es-ES"/>
        </w:rPr>
        <w:t>iii</w:t>
      </w:r>
      <w:proofErr w:type="spellEnd"/>
      <w:r w:rsidRPr="00A94CED">
        <w:rPr>
          <w:rFonts w:ascii="Verdana" w:eastAsia="Times New Roman" w:hAnsi="Verdana" w:cs="Arial"/>
          <w:lang w:val="es-ES" w:eastAsia="es-ES"/>
        </w:rPr>
        <w:t xml:space="preserve">) introduce modificaciones en relación con algunos aspectos que se analizarán a continuación. </w:t>
      </w:r>
    </w:p>
    <w:p w14:paraId="232A7781" w14:textId="77777777" w:rsidR="00A94CED" w:rsidRPr="00A94CED" w:rsidRDefault="00A94CED" w:rsidP="00A94CED">
      <w:pPr>
        <w:spacing w:after="12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i/>
          <w:iCs/>
          <w:lang w:val="es-ES_tradnl" w:eastAsia="es-ES_tradnl"/>
        </w:rPr>
        <w:t xml:space="preserve">La primera modificación </w:t>
      </w:r>
      <w:r w:rsidRPr="00A94CED">
        <w:rPr>
          <w:rFonts w:ascii="Verdana" w:eastAsia="Times New Roman" w:hAnsi="Verdana" w:cs="Arial"/>
          <w:lang w:val="es-ES_tradnl" w:eastAsia="es-ES_tradnl"/>
        </w:rPr>
        <w:t>está relacionada con el ámbito temporal para ejercer la facultad de subsanar la oferta, pues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límite anterior no aplica para los procesos de mínima cuantía y para el proceso de selección a través del sistema de subasta</w:t>
      </w:r>
      <w:r w:rsidRPr="00A94CED">
        <w:rPr>
          <w:rFonts w:ascii="Verdana" w:eastAsia="Times New Roman" w:hAnsi="Verdana" w:cs="Arial"/>
          <w:vertAlign w:val="superscript"/>
          <w:lang w:val="es-ES_tradnl" w:eastAsia="es-ES_tradnl"/>
        </w:rPr>
        <w:footnoteReference w:id="32"/>
      </w:r>
      <w:r w:rsidRPr="00A94CED">
        <w:rPr>
          <w:rFonts w:ascii="Verdana" w:eastAsia="Times New Roman" w:hAnsi="Verdana" w:cs="Arial"/>
          <w:lang w:val="es-ES_tradnl" w:eastAsia="es-ES_tradnl"/>
        </w:rPr>
        <w:t>.</w:t>
      </w:r>
    </w:p>
    <w:p w14:paraId="2F37570C"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Frente a la regla general aplicable a los demás procesos de selección, la norma fijó un límite final para que la Administración y los oferentes subsanen los requisitos o documentos que puedan y deban ser subsanados. No </w:t>
      </w:r>
      <w:proofErr w:type="gramStart"/>
      <w:r w:rsidRPr="00A94CED">
        <w:rPr>
          <w:rFonts w:ascii="Verdana" w:eastAsia="Times New Roman" w:hAnsi="Verdana" w:cs="Arial"/>
          <w:lang w:val="es-ES" w:eastAsia="es-ES"/>
        </w:rPr>
        <w:t>obstante</w:t>
      </w:r>
      <w:proofErr w:type="gramEnd"/>
      <w:r w:rsidRPr="00A94CED">
        <w:rPr>
          <w:rFonts w:ascii="Verdana" w:eastAsia="Times New Roman" w:hAnsi="Verdana" w:cs="Arial"/>
          <w:lang w:val="es-ES" w:eastAsia="es-ES"/>
        </w:rPr>
        <w:t xml:space="preserve"> lo anterior, nada impide, y la norma no lo hace, que la Administración requiera al proponente antes de publicar el informe de evaluación. En efecto, la redacción de la norma permite que la Administración solicite a los oferentes subsanar y que estos lo hagan hasta antes del término del traslado del informe de evaluación: “</w:t>
      </w:r>
      <w:r w:rsidRPr="00A94CED">
        <w:rPr>
          <w:rFonts w:ascii="Verdana" w:eastAsia="Times New Roman" w:hAnsi="Verdana" w:cs="Arial"/>
          <w:i/>
          <w:iCs/>
          <w:lang w:val="es-ES" w:eastAsia="es-ES"/>
        </w:rPr>
        <w:t>deberán ser solicitados por las entidades estatales y deberán ser entregados por los proponentes hasta el término de traslado del informe de evaluación que corresponda a cada modalidad de selección”.</w:t>
      </w:r>
      <w:r w:rsidRPr="00A94CED">
        <w:rPr>
          <w:rFonts w:ascii="Verdana" w:eastAsia="Times New Roman" w:hAnsi="Verdana" w:cs="Arial"/>
          <w:lang w:val="es-ES" w:eastAsia="es-ES"/>
        </w:rPr>
        <w:t xml:space="preserve"> </w:t>
      </w:r>
    </w:p>
    <w:p w14:paraId="79133043"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Sin perjuicio de lo expuesto, de la lectura de este aparte podrían, en la práctica, darse dos interpretaciones que dan lugar a dos formas de proceder en los procesos de selección, en lo que a la </w:t>
      </w:r>
      <w:proofErr w:type="spellStart"/>
      <w:r w:rsidRPr="00A94CED">
        <w:rPr>
          <w:rFonts w:ascii="Verdana" w:eastAsia="Times New Roman" w:hAnsi="Verdana" w:cs="Arial"/>
          <w:lang w:val="es-ES" w:eastAsia="es-ES"/>
        </w:rPr>
        <w:t>subsanabilidad</w:t>
      </w:r>
      <w:proofErr w:type="spellEnd"/>
      <w:r w:rsidRPr="00A94CED">
        <w:rPr>
          <w:rFonts w:ascii="Verdana" w:eastAsia="Times New Roman" w:hAnsi="Verdana" w:cs="Arial"/>
          <w:lang w:val="es-ES" w:eastAsia="es-ES"/>
        </w:rPr>
        <w:t xml:space="preserve"> de las ofertas se refiere. Primera, que la posibilidad para subsanar de los oferentes es el término del traslado del informe de evaluación, ya que es en este documento donde la Administración consigna los requisitos o documentos omitidos que los oferentes deben subsanar, so pena de rechazo. Segunda, que el término del traslado del </w:t>
      </w:r>
      <w:r w:rsidRPr="00A94CED">
        <w:rPr>
          <w:rFonts w:ascii="Verdana" w:eastAsia="Times New Roman" w:hAnsi="Verdana" w:cs="Arial"/>
          <w:lang w:val="es-ES" w:eastAsia="es-ES"/>
        </w:rPr>
        <w:lastRenderedPageBreak/>
        <w:t xml:space="preserve">informe de evaluación es el </w:t>
      </w:r>
      <w:r w:rsidRPr="00A94CED">
        <w:rPr>
          <w:rFonts w:ascii="Verdana" w:eastAsia="Times New Roman" w:hAnsi="Verdana" w:cs="Arial"/>
          <w:i/>
          <w:lang w:val="es-ES" w:eastAsia="es-ES"/>
        </w:rPr>
        <w:t>límite</w:t>
      </w:r>
      <w:r w:rsidRPr="00A94CED">
        <w:rPr>
          <w:rFonts w:ascii="Verdana" w:eastAsia="Times New Roman" w:hAnsi="Verdana" w:cs="Arial"/>
          <w:lang w:val="es-ES" w:eastAsia="es-ES"/>
        </w:rPr>
        <w:t xml:space="preserve"> para la subsanación de ofertas, pero no el único momento para hacerlo. </w:t>
      </w:r>
    </w:p>
    <w:p w14:paraId="702F706D" w14:textId="77777777" w:rsidR="00A94CED" w:rsidRPr="00A94CED" w:rsidRDefault="00A94CED" w:rsidP="00A94CED">
      <w:pPr>
        <w:spacing w:after="12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 xml:space="preserve">De acuerdo con la primera interpretación, el informe de evaluación se convierte en la oportunidad que adopta la Administración para decirles a los oferentes qué documentos o requisitos omitieron y deben subsanar. Consecuentemente, el término del traslado es la oportunidad del proponente para cumplir con lo solicitado.  </w:t>
      </w:r>
    </w:p>
    <w:p w14:paraId="66F8E9A0" w14:textId="77777777" w:rsidR="00A94CED" w:rsidRPr="00A94CED" w:rsidRDefault="00A94CED" w:rsidP="00A94CED">
      <w:pPr>
        <w:spacing w:after="12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La segunda interpretación permitiría que la Administración requiera al oferente durante el proceso de evaluación de las propuestas, tan pronto advierta que hace falta un documento o requisito que se puede subsanar. En este caso, el proceso de subsanación se podría realizar con anterioridad a la publicación del informe de evaluación, de manera que, una vez se publique el informe ya se encuentren subsanadas las propuestas, sin perjuicio del término límite que concedió la ley.</w:t>
      </w:r>
    </w:p>
    <w:p w14:paraId="76278BD8"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La modificación introducida por el artículo 5 de la Ley 1882 de 2018, si bien pudo significar, en la práctica de los procesos de selección, que el informe de evaluación fuera la oportunidad de la Administración para requerir al proponente para que subsane la oferta, y el término del traslado la oportunidad para hacerlo, lo cierto es que no impide que esto se realice con anterioridad a la publicación del informe. Inclusive, es más adecuado y conveniente que la subsanación de las ofertas se intente con anterioridad, de forma que, una vez la Administración advierta el defecto le solicite directamente al oferente que subsane. Esta interpretación es más consistente con los principios de economía, transparencia y selección objetiva. Lo anterior, se aclara, sin desconocer el límite que establece la norma para que los oferentes, sin perjuicio de que lo hagan antes, cuenten hasta el término de traslado del informe de evaluación con la posibilidad de presentar la información solicitada.</w:t>
      </w:r>
    </w:p>
    <w:p w14:paraId="662CCCCF" w14:textId="77777777" w:rsidR="00A94CED" w:rsidRPr="00A94CED" w:rsidRDefault="00A94CED" w:rsidP="00A94CED">
      <w:pPr>
        <w:spacing w:after="12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 xml:space="preserve">El </w:t>
      </w:r>
      <w:r w:rsidRPr="00A94CED">
        <w:rPr>
          <w:rFonts w:ascii="Verdana" w:eastAsia="Times New Roman" w:hAnsi="Verdana" w:cs="Arial"/>
          <w:i/>
          <w:iCs/>
          <w:lang w:val="es-ES_tradnl" w:eastAsia="es-ES_tradnl"/>
        </w:rPr>
        <w:t>segundo cambio</w:t>
      </w:r>
      <w:r w:rsidRPr="00A94CED">
        <w:rPr>
          <w:rFonts w:ascii="Verdana" w:eastAsia="Times New Roman" w:hAnsi="Verdana" w:cs="Arial"/>
          <w:lang w:val="es-ES_tradnl" w:eastAsia="es-ES_tradnl"/>
        </w:rPr>
        <w:t xml:space="preserve"> importante de la Ley 1882 de 2018 fue la introducción de un criterio material, directamente relacionado con los aspectos subsanables: </w:t>
      </w:r>
      <w:r w:rsidRPr="00A94CED">
        <w:rPr>
          <w:rFonts w:ascii="Verdana" w:eastAsia="Times New Roman" w:hAnsi="Verdana" w:cs="Arial"/>
          <w:i/>
          <w:iCs/>
          <w:lang w:val="es-ES_tradnl" w:eastAsia="es-ES_tradnl"/>
        </w:rPr>
        <w:t>“los proponentes no podrán acreditar circunstancias ocurridas con posterioridad al cierre del proceso”.</w:t>
      </w:r>
      <w:r w:rsidRPr="00A94CED">
        <w:rPr>
          <w:rFonts w:ascii="Verdana" w:eastAsia="Times New Roman" w:hAnsi="Verdana" w:cs="Arial"/>
          <w:lang w:val="es-ES_tradnl" w:eastAsia="es-ES_tradnl"/>
        </w:rPr>
        <w:t xml:space="preserve"> Lo anterior ofrece dos aspectos que merecen clarificación; primero, qué debe entenderse por circunstancias ocurridas con posterioridad; y segundo, qué es el cierre del proceso. </w:t>
      </w:r>
    </w:p>
    <w:p w14:paraId="5FBA1E41"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lastRenderedPageBreak/>
        <w:t>La Sala de Consulta y Servicio Civil del Consejo de Estado ya había tenido la oportunidad de precisar estas expresiones, a propósito de un concepto en el que se refirió al artículo 10 del derogado Decreto 2474 de 2008, que había determinado que en ningún caso la entidad podía permitir que se acreditaran circunstancias ocurridas con posterioridad al cierre del proceso. En esa ocasión, el Consejo de Estado precisó que, por cierre del proceso debe entenderse el vencimiento del plazo para la presentación de las ofertas y que lo subsanable son las circunstancias que ocurrieron con anterioridad a esa fecha</w:t>
      </w:r>
      <w:r w:rsidRPr="00A94CED">
        <w:rPr>
          <w:rFonts w:ascii="Verdana" w:eastAsia="Times New Roman" w:hAnsi="Verdana" w:cs="Arial"/>
          <w:vertAlign w:val="superscript"/>
          <w:lang w:val="es-ES" w:eastAsia="es-ES"/>
        </w:rPr>
        <w:footnoteReference w:id="33"/>
      </w:r>
      <w:r w:rsidRPr="00A94CED">
        <w:rPr>
          <w:rFonts w:ascii="Verdana" w:eastAsia="Times New Roman" w:hAnsi="Verdana" w:cs="Arial"/>
          <w:lang w:val="es-ES" w:eastAsia="es-ES"/>
        </w:rPr>
        <w:t>.</w:t>
      </w:r>
    </w:p>
    <w:p w14:paraId="02278387" w14:textId="77777777" w:rsidR="00A94CED" w:rsidRPr="00A94CED" w:rsidRDefault="00A94CED" w:rsidP="00A94CED">
      <w:pPr>
        <w:spacing w:after="120" w:line="276" w:lineRule="auto"/>
        <w:ind w:firstLine="709"/>
        <w:jc w:val="both"/>
        <w:rPr>
          <w:rFonts w:ascii="Verdana" w:eastAsia="Times New Roman" w:hAnsi="Verdana" w:cs="Arial"/>
          <w:lang w:val="es-ES_tradnl" w:eastAsia="es-ES_tradnl"/>
        </w:rPr>
      </w:pPr>
      <w:r w:rsidRPr="00A94CED">
        <w:rPr>
          <w:rFonts w:ascii="Verdana" w:eastAsia="Times New Roman" w:hAnsi="Verdana" w:cs="Arial"/>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40ED7256"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 xml:space="preserve">Un mejor entendimiento del significado de la expresión </w:t>
      </w:r>
      <w:r w:rsidRPr="00A94CED">
        <w:rPr>
          <w:rFonts w:ascii="Verdana" w:eastAsia="Times New Roman" w:hAnsi="Verdana" w:cs="Arial"/>
          <w:i/>
          <w:lang w:val="es-ES" w:eastAsia="es-ES"/>
        </w:rPr>
        <w:t>“circunstancias ocurridas con posterioridad al cierre del proceso”</w:t>
      </w:r>
      <w:r w:rsidRPr="00A94CED">
        <w:rPr>
          <w:rFonts w:ascii="Verdana" w:eastAsia="Times New Roman" w:hAnsi="Verdana" w:cs="Arial"/>
          <w:lang w:val="es-ES" w:eastAsia="es-ES"/>
        </w:rPr>
        <w:t xml:space="preserve"> implica distinguir entre la prueba de un hecho y el hecho mismo. En el caso de la </w:t>
      </w:r>
      <w:proofErr w:type="spellStart"/>
      <w:r w:rsidRPr="00A94CED">
        <w:rPr>
          <w:rFonts w:ascii="Verdana" w:eastAsia="Times New Roman" w:hAnsi="Verdana" w:cs="Arial"/>
          <w:lang w:val="es-ES" w:eastAsia="es-ES"/>
        </w:rPr>
        <w:t>subsanabilidad</w:t>
      </w:r>
      <w:proofErr w:type="spellEnd"/>
      <w:r w:rsidRPr="00A94CED">
        <w:rPr>
          <w:rFonts w:ascii="Verdana" w:eastAsia="Times New Roman" w:hAnsi="Verdana" w:cs="Arial"/>
          <w:lang w:val="es-ES" w:eastAsia="es-ES"/>
        </w:rPr>
        <w:t xml:space="preserve"> de las ofertas, una cosa es el requisito habilitante o el elemento de la propuesta y otra su prueba. Lo que prohíbe la norma es que se subsanen requisitos que no estaban materialmente cumplidos al momento de presentación de la oferta, o </w:t>
      </w:r>
      <w:r w:rsidRPr="00A94CED">
        <w:rPr>
          <w:rFonts w:ascii="Verdana" w:eastAsia="Times New Roman" w:hAnsi="Verdana" w:cs="Arial"/>
          <w:lang w:val="es-ES" w:eastAsia="es-ES"/>
        </w:rPr>
        <w:lastRenderedPageBreak/>
        <w:t>en palabras de la ley, que se acrediten hechos que ocurrieron después del cierre del proceso</w:t>
      </w:r>
      <w:r w:rsidRPr="00A94CED">
        <w:rPr>
          <w:rFonts w:ascii="Verdana" w:eastAsia="Times New Roman" w:hAnsi="Verdana" w:cs="Arial"/>
          <w:vertAlign w:val="superscript"/>
          <w:lang w:val="es-ES" w:eastAsia="es-ES"/>
        </w:rPr>
        <w:footnoteReference w:id="34"/>
      </w:r>
      <w:r w:rsidRPr="00A94CED">
        <w:rPr>
          <w:rFonts w:ascii="Verdana" w:eastAsia="Times New Roman" w:hAnsi="Verdana" w:cs="Arial"/>
          <w:lang w:val="es-ES" w:eastAsia="es-ES"/>
        </w:rPr>
        <w:t xml:space="preserve">. </w:t>
      </w:r>
    </w:p>
    <w:p w14:paraId="70483218" w14:textId="77777777" w:rsidR="00A94CED" w:rsidRPr="00A94CED" w:rsidRDefault="00A94CED" w:rsidP="00A94CED">
      <w:pPr>
        <w:spacing w:after="120" w:line="276" w:lineRule="auto"/>
        <w:ind w:firstLine="709"/>
        <w:jc w:val="both"/>
        <w:rPr>
          <w:rFonts w:ascii="Verdana" w:eastAsia="Times New Roman" w:hAnsi="Verdana" w:cs="Arial"/>
          <w:u w:val="single"/>
          <w:lang w:val="es-ES" w:eastAsia="es-ES"/>
        </w:rPr>
      </w:pPr>
      <w:r w:rsidRPr="00A94CED">
        <w:rPr>
          <w:rFonts w:ascii="Verdana" w:eastAsia="Times New Roman" w:hAnsi="Verdana" w:cs="Arial"/>
          <w:lang w:val="es-ES" w:eastAsia="es-ES"/>
        </w:rPr>
        <w:t xml:space="preserve">Por ejemplo: i) si un oferente olvidó adjuntar con su propuesta el certificado que da cuenta de su inscripción en el RUP, el requisito será subsanable siempre que la prueba allegada demuestre que el hecho, esto es, la inscripción en el registro, ocurrió con anterioridad al cierre del proceso, estando está en firme para dicho momento; </w:t>
      </w:r>
      <w:proofErr w:type="spellStart"/>
      <w:r w:rsidRPr="00A94CED">
        <w:rPr>
          <w:rFonts w:ascii="Verdana" w:eastAsia="Times New Roman" w:hAnsi="Verdana" w:cs="Arial"/>
          <w:lang w:val="es-ES" w:eastAsia="es-ES"/>
        </w:rPr>
        <w:t>ii</w:t>
      </w:r>
      <w:proofErr w:type="spellEnd"/>
      <w:r w:rsidRPr="00A94CED">
        <w:rPr>
          <w:rFonts w:ascii="Verdana" w:eastAsia="Times New Roman" w:hAnsi="Verdana" w:cs="Arial"/>
          <w:lang w:val="es-ES" w:eastAsia="es-ES"/>
        </w:rPr>
        <w:t>) si un oferente presentó la propuesta sin allegar la autorización al representante legal, por parte de la junta directiva de la sociedad, el certificado, aunque sea posterior, debe dar cuenta de que el hecho que pretende acreditar –la autorización de la junta– ocurrió antes del vencimiento del término para ofertar</w:t>
      </w:r>
      <w:r w:rsidRPr="00A94CED">
        <w:rPr>
          <w:rFonts w:ascii="Verdana" w:eastAsia="Times New Roman" w:hAnsi="Verdana" w:cs="Arial"/>
          <w:vertAlign w:val="superscript"/>
          <w:lang w:val="es-ES" w:eastAsia="es-ES"/>
        </w:rPr>
        <w:footnoteReference w:id="35"/>
      </w:r>
      <w:r w:rsidRPr="00A94CED">
        <w:rPr>
          <w:rFonts w:ascii="Verdana" w:eastAsia="Times New Roman" w:hAnsi="Verdana" w:cs="Arial"/>
          <w:lang w:val="es-ES" w:eastAsia="es-ES"/>
        </w:rPr>
        <w:t xml:space="preserve">; </w:t>
      </w:r>
      <w:proofErr w:type="spellStart"/>
      <w:r w:rsidRPr="00A94CED">
        <w:rPr>
          <w:rFonts w:ascii="Verdana" w:eastAsia="Times New Roman" w:hAnsi="Verdana" w:cs="Arial"/>
          <w:lang w:val="es-ES" w:eastAsia="es-ES"/>
        </w:rPr>
        <w:t>iii</w:t>
      </w:r>
      <w:proofErr w:type="spellEnd"/>
      <w:r w:rsidRPr="00A94CED">
        <w:rPr>
          <w:rFonts w:ascii="Verdana" w:eastAsia="Times New Roman" w:hAnsi="Verdana" w:cs="Arial"/>
          <w:lang w:val="es-ES" w:eastAsia="es-ES"/>
        </w:rPr>
        <w:t>) si un oferente no anexó el Certificado de existencia y representación legal, el documento aportado con posterioridad debe dar cuenta de que la sociedad existía antes del cierre del proceso</w:t>
      </w:r>
      <w:r w:rsidRPr="00A94CED">
        <w:rPr>
          <w:rFonts w:ascii="Verdana" w:eastAsia="Times New Roman" w:hAnsi="Verdana" w:cs="Arial"/>
          <w:vertAlign w:val="superscript"/>
          <w:lang w:val="es-ES" w:eastAsia="es-ES"/>
        </w:rPr>
        <w:footnoteReference w:id="36"/>
      </w:r>
      <w:r w:rsidRPr="00A94CED">
        <w:rPr>
          <w:rFonts w:ascii="Verdana" w:eastAsia="Times New Roman" w:hAnsi="Verdana" w:cs="Arial"/>
          <w:lang w:val="es-ES" w:eastAsia="es-ES"/>
        </w:rPr>
        <w:t xml:space="preserve">; </w:t>
      </w:r>
      <w:proofErr w:type="spellStart"/>
      <w:r w:rsidRPr="00A94CED">
        <w:rPr>
          <w:rFonts w:ascii="Verdana" w:eastAsia="Times New Roman" w:hAnsi="Verdana" w:cs="Arial"/>
          <w:lang w:val="es-ES" w:eastAsia="es-ES"/>
        </w:rPr>
        <w:t>iv</w:t>
      </w:r>
      <w:proofErr w:type="spellEnd"/>
      <w:r w:rsidRPr="00A94CED">
        <w:rPr>
          <w:rFonts w:ascii="Verdana" w:eastAsia="Times New Roman" w:hAnsi="Verdana" w:cs="Arial"/>
          <w:lang w:val="es-ES" w:eastAsia="es-ES"/>
        </w:rPr>
        <w:t xml:space="preserve">) si un oferente olvidó adjuntar un certificado que demuestra un título universitario, el documento, aunque tenga fecha posterior al cierre del proceso, debe acreditar que el título académico se obtuvo con anterioridad al cierre del proceso; v) si un oferente no allegó un certificado de experiencia, el documento que subsana –sin importar que tenga fecha posterior– debe demostrar que la experiencia que se </w:t>
      </w:r>
      <w:r w:rsidRPr="00A94CED">
        <w:rPr>
          <w:rFonts w:ascii="Verdana" w:eastAsia="Times New Roman" w:hAnsi="Verdana" w:cs="Arial"/>
          <w:lang w:val="es-ES" w:eastAsia="es-ES"/>
        </w:rPr>
        <w:lastRenderedPageBreak/>
        <w:t xml:space="preserve">pretende hacer valer se obtuvo antes de vencerse el término para presentar ofertas y vi) </w:t>
      </w:r>
      <w:r w:rsidRPr="00A94CED">
        <w:rPr>
          <w:rFonts w:ascii="Verdana" w:eastAsia="Times New Roman" w:hAnsi="Verdana" w:cs="Arial"/>
          <w:u w:val="single"/>
          <w:lang w:val="es-ES" w:eastAsia="es-ES"/>
        </w:rPr>
        <w:t>si el oferente olvidó firmar la propuesta o presentar una copia de ella, puede subsanar sin que con ello se entienda que acreditó una circunstancia ocurrida con posterioridad al cierre del proceso.</w:t>
      </w:r>
      <w:r w:rsidRPr="00A94CED">
        <w:rPr>
          <w:rFonts w:ascii="Verdana" w:eastAsia="Times New Roman" w:hAnsi="Verdana" w:cs="Arial"/>
          <w:lang w:val="es-ES" w:eastAsia="es-ES"/>
        </w:rPr>
        <w:t xml:space="preserve"> (Subrayado fuera de texto)</w:t>
      </w:r>
    </w:p>
    <w:p w14:paraId="1CB6C64C" w14:textId="77777777" w:rsidR="00A94CED" w:rsidRPr="00A94CED" w:rsidRDefault="00A94CED" w:rsidP="00A94CED">
      <w:pPr>
        <w:spacing w:after="120" w:line="276" w:lineRule="auto"/>
        <w:ind w:firstLine="709"/>
        <w:jc w:val="both"/>
        <w:rPr>
          <w:rFonts w:ascii="Verdana" w:eastAsia="Times New Roman" w:hAnsi="Verdana" w:cs="Arial"/>
          <w:i/>
          <w:lang w:val="es-ES" w:eastAsia="es-ES"/>
        </w:rPr>
      </w:pPr>
      <w:r w:rsidRPr="00A94CED">
        <w:rPr>
          <w:rFonts w:ascii="Verdana" w:eastAsia="Times New Roman" w:hAnsi="Verdana" w:cs="Arial"/>
          <w:lang w:val="es-ES" w:eastAsia="es-ES"/>
        </w:rPr>
        <w:t xml:space="preserve">Lo anterior quiere decir que no es la prueba –usualmente un documento– lo que debe ser anterior al cierre del proceso, sino el hecho que ella acredita. Es decir, ante la solicitud de la Administración de subsanar determinado requisito, el documento podría estar fechado con posterioridad al vencimiento del término para recibir propuestas, siempre y cuando el hecho que acredite haya ocurrido antes, esto es, que no sea una circunstancia ocurrida con posterioridad al cierre del proceso. Es por esto </w:t>
      </w:r>
      <w:proofErr w:type="gramStart"/>
      <w:r w:rsidRPr="00A94CED">
        <w:rPr>
          <w:rFonts w:ascii="Verdana" w:eastAsia="Times New Roman" w:hAnsi="Verdana" w:cs="Arial"/>
          <w:lang w:val="es-ES" w:eastAsia="es-ES"/>
        </w:rPr>
        <w:t>que</w:t>
      </w:r>
      <w:proofErr w:type="gramEnd"/>
      <w:r w:rsidRPr="00A94CED">
        <w:rPr>
          <w:rFonts w:ascii="Verdana" w:eastAsia="Times New Roman" w:hAnsi="Verdana" w:cs="Arial"/>
          <w:lang w:val="es-ES" w:eastAsia="es-ES"/>
        </w:rPr>
        <w:t xml:space="preserve"> el Consejo de Estado sostiene que” lo que se subsana es la prueba y no la condición habilitante o un elemento de la propuesta [...] lo que se puede remediar es la prueba y no el requisito: La posibilidad debe recaer exclusivamente sobre circunstancias acaecidas antes del cierre del respectivo proceso, esto es, del vencimiento del plazo para presentar ofertas”</w:t>
      </w:r>
      <w:r w:rsidRPr="00A94CED">
        <w:rPr>
          <w:rFonts w:ascii="Verdana" w:eastAsia="Times New Roman" w:hAnsi="Verdana" w:cs="Arial"/>
          <w:vertAlign w:val="superscript"/>
          <w:lang w:val="es-ES" w:eastAsia="es-ES"/>
        </w:rPr>
        <w:footnoteReference w:id="37"/>
      </w:r>
      <w:r w:rsidRPr="00A94CED">
        <w:rPr>
          <w:rFonts w:ascii="Verdana" w:eastAsia="Times New Roman" w:hAnsi="Verdana" w:cs="Arial"/>
          <w:lang w:val="es-ES" w:eastAsia="es-ES"/>
        </w:rPr>
        <w:t>.</w:t>
      </w:r>
    </w:p>
    <w:p w14:paraId="2AE20397" w14:textId="77777777" w:rsidR="00A94CED" w:rsidRPr="00A94CED" w:rsidRDefault="00A94CED" w:rsidP="00A94CED">
      <w:pPr>
        <w:spacing w:after="120" w:line="276" w:lineRule="auto"/>
        <w:ind w:firstLine="709"/>
        <w:jc w:val="both"/>
        <w:rPr>
          <w:rFonts w:ascii="Verdana" w:eastAsia="Calibri" w:hAnsi="Verdana" w:cs="Arial"/>
          <w:color w:val="000000"/>
        </w:rPr>
      </w:pPr>
      <w:r w:rsidRPr="00A94CED">
        <w:rPr>
          <w:rFonts w:ascii="Verdana" w:eastAsia="Times New Roman" w:hAnsi="Verdana" w:cs="Arial"/>
          <w:iCs/>
          <w:lang w:val="es-ES" w:eastAsia="es-ES"/>
        </w:rPr>
        <w:t>Ahora bien,</w:t>
      </w:r>
      <w:r w:rsidRPr="00A94CED">
        <w:rPr>
          <w:rFonts w:ascii="Verdana" w:eastAsia="Times New Roman" w:hAnsi="Verdana" w:cs="Arial"/>
          <w:i/>
          <w:lang w:val="es-ES" w:eastAsia="es-ES"/>
        </w:rPr>
        <w:t xml:space="preserve"> e</w:t>
      </w:r>
      <w:r w:rsidRPr="00A94CED">
        <w:rPr>
          <w:rFonts w:ascii="Verdana" w:eastAsia="Calibri" w:hAnsi="Verdana" w:cs="Arial"/>
          <w:color w:val="000000"/>
          <w:lang w:val="es-ES"/>
        </w:rPr>
        <w:t xml:space="preserve">l parágrafo 3 del artículo 5 de la Ley 1882 de 2018 determinó, de manera expresa, que “la no entrega de la garantía de seriedad junto con la propuesta no será subsanable y será causal de rechazo de </w:t>
      </w:r>
      <w:proofErr w:type="gramStart"/>
      <w:r w:rsidRPr="00A94CED">
        <w:rPr>
          <w:rFonts w:ascii="Verdana" w:eastAsia="Calibri" w:hAnsi="Verdana" w:cs="Arial"/>
          <w:color w:val="000000"/>
          <w:lang w:val="es-ES"/>
        </w:rPr>
        <w:t>la misma</w:t>
      </w:r>
      <w:proofErr w:type="gramEnd"/>
      <w:r w:rsidRPr="00A94CED">
        <w:rPr>
          <w:rFonts w:ascii="Verdana" w:eastAsia="Calibri" w:hAnsi="Verdana" w:cs="Arial"/>
          <w:color w:val="000000"/>
          <w:lang w:val="es-ES"/>
        </w:rPr>
        <w:t>”, dejando claro que se trata de un documento de obligatoria presentación junto con la propuesta y que materializa los principios de seriedad e irrevocabilidad de la oferta.</w:t>
      </w:r>
      <w:r w:rsidRPr="00A94CED">
        <w:rPr>
          <w:rFonts w:ascii="Verdana" w:eastAsia="Calibri" w:hAnsi="Verdana" w:cs="Arial"/>
          <w:color w:val="000000"/>
        </w:rPr>
        <w:t> </w:t>
      </w:r>
    </w:p>
    <w:p w14:paraId="3BB07140" w14:textId="77777777" w:rsidR="00A94CED" w:rsidRPr="00A94CED" w:rsidRDefault="00A94CED" w:rsidP="00A94CED">
      <w:pPr>
        <w:spacing w:after="120" w:line="276" w:lineRule="auto"/>
        <w:ind w:firstLine="709"/>
        <w:jc w:val="both"/>
        <w:rPr>
          <w:rFonts w:ascii="Verdana" w:eastAsia="Times New Roman" w:hAnsi="Verdana" w:cs="Arial"/>
          <w:lang w:val="es-ES" w:eastAsia="es-ES"/>
        </w:rPr>
      </w:pPr>
      <w:r w:rsidRPr="00A94CED">
        <w:rPr>
          <w:rFonts w:ascii="Verdana" w:eastAsia="Times New Roman" w:hAnsi="Verdana" w:cs="Arial"/>
          <w:lang w:val="es-ES" w:eastAsia="es-ES"/>
        </w:rPr>
        <w:t>Visto lo anterior, una vez verificada la ausencia de requisitos y/o documentos de la oferta, para efectos de saber si se pueden subsanar, la Administración se debe preguntar: en primer lugar, si lo que hace falta es un documento que afecte la asignación de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afecte la asignación de puntaje y la respuesta al segundo interrogante debe dar cuenta de que lo omitido sea la prueba de una circunstancia o hecho que ocurrió con anterioridad al cierre del proceso.</w:t>
      </w:r>
    </w:p>
    <w:p w14:paraId="7AF58355" w14:textId="77777777" w:rsidR="00A94CED" w:rsidRPr="00A94CED" w:rsidRDefault="00A94CED" w:rsidP="00A94CED">
      <w:pPr>
        <w:spacing w:after="120" w:line="276" w:lineRule="auto"/>
        <w:ind w:firstLine="709"/>
        <w:jc w:val="both"/>
        <w:rPr>
          <w:rFonts w:ascii="Verdana" w:eastAsia="Calibri" w:hAnsi="Verdana" w:cs="Arial"/>
          <w:noProof/>
          <w:lang w:val="es-ES_tradnl"/>
        </w:rPr>
      </w:pPr>
      <w:r w:rsidRPr="00A94CED">
        <w:rPr>
          <w:rFonts w:ascii="Verdana" w:eastAsia="Calibri" w:hAnsi="Verdana" w:cs="Arial"/>
          <w:noProof/>
          <w:lang w:val="es-ES_tradnl"/>
        </w:rPr>
        <w:lastRenderedPageBreak/>
        <w:t xml:space="preserve">En conclusion, los requisitos o documentos que no sean necesarios para la comparación de las ofertas pueden subsanarse y todo lo que no sea necesario para la comparación de propuestas no es título suficiente para su rechazo. </w:t>
      </w:r>
    </w:p>
    <w:p w14:paraId="37BC40FA" w14:textId="77777777" w:rsidR="00A94CED" w:rsidRPr="00A94CED" w:rsidRDefault="00A94CED" w:rsidP="00A94CED">
      <w:pPr>
        <w:spacing w:after="120" w:line="276" w:lineRule="auto"/>
        <w:ind w:firstLine="709"/>
        <w:jc w:val="both"/>
        <w:rPr>
          <w:rFonts w:ascii="Verdana" w:eastAsia="Calibri" w:hAnsi="Verdana" w:cs="Arial"/>
          <w:noProof/>
          <w:lang w:val="es-ES_tradnl"/>
        </w:rPr>
      </w:pPr>
      <w:r w:rsidRPr="00A94CED">
        <w:rPr>
          <w:rFonts w:ascii="Verdana" w:eastAsia="Calibri" w:hAnsi="Verdana" w:cs="Arial"/>
          <w:noProof/>
          <w:lang w:val="es-ES_tradnl"/>
        </w:rPr>
        <w:t>No obstante, a la luz del artículo 5 de la Ley 1882 de 2018, lo subsanable es la prueba de todas las circunstancias ocurridas antes del vencimiento del término para presentar las ofertas, pues una cosa es el requisito habilitante o el elemento de la propuesta y otra su prueba. De tal modo que lo que prohíbe la norma es que se subsanen requisitos que no estaban materialmente cumplidos al momento de presentación de la oferta, o en palabras de la ley, que se acrediten hechos que ocurrieron después del cierre del proceso, por lo que dicha limitación a la regla de subsanabilidad también deberá ser tenida en cuenta.</w:t>
      </w:r>
    </w:p>
    <w:p w14:paraId="4C157C47" w14:textId="77777777" w:rsidR="00A94CED" w:rsidRPr="00A94CED" w:rsidRDefault="00A94CED" w:rsidP="00A94CED">
      <w:pPr>
        <w:tabs>
          <w:tab w:val="left" w:pos="709"/>
          <w:tab w:val="left" w:pos="851"/>
        </w:tabs>
        <w:spacing w:after="0" w:line="276" w:lineRule="auto"/>
        <w:ind w:firstLine="709"/>
        <w:jc w:val="both"/>
        <w:rPr>
          <w:rFonts w:ascii="Verdana" w:eastAsia="Calibri" w:hAnsi="Verdana" w:cs="Arial"/>
        </w:rPr>
      </w:pPr>
      <w:r w:rsidRPr="00A94CED">
        <w:rPr>
          <w:rFonts w:ascii="Verdana" w:eastAsia="Calibri" w:hAnsi="Verdana" w:cs="Arial"/>
        </w:rPr>
        <w:t>Por último, al tratarse de un análisis que se debe realizar en cada caso concreto, la Agencia,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lo anterior, previo concepto de sus órganos asesores y equipos jurídicos la solución de casos particulares corresponde a la entidad que debe adoptar la decisión correspondiente para determinar la validez o no de los documentos precontractuales aportados.</w:t>
      </w:r>
    </w:p>
    <w:p w14:paraId="6F4D983E" w14:textId="77777777" w:rsidR="00A94CED" w:rsidRPr="00A94CED" w:rsidRDefault="00A94CED" w:rsidP="00A94CED">
      <w:pPr>
        <w:snapToGrid w:val="0"/>
        <w:spacing w:after="0" w:line="276" w:lineRule="auto"/>
        <w:jc w:val="both"/>
        <w:rPr>
          <w:rFonts w:ascii="Verdana" w:eastAsia="Calibri" w:hAnsi="Verdana" w:cs="Times New Roman"/>
          <w:lang w:val="es-ES"/>
        </w:rPr>
      </w:pPr>
    </w:p>
    <w:p w14:paraId="0ED6644F" w14:textId="77777777" w:rsidR="00A94CED" w:rsidRPr="00A94CED" w:rsidRDefault="00A94CED" w:rsidP="00A94CED">
      <w:pPr>
        <w:spacing w:after="120" w:line="276" w:lineRule="auto"/>
        <w:jc w:val="both"/>
        <w:rPr>
          <w:rFonts w:ascii="Verdana" w:eastAsia="Aptos" w:hAnsi="Verdana" w:cs="Arial"/>
          <w:kern w:val="2"/>
          <w14:ligatures w14:val="standardContextual"/>
        </w:rPr>
      </w:pPr>
      <w:r w:rsidRPr="00A94CED">
        <w:rPr>
          <w:rFonts w:ascii="Verdana" w:eastAsia="Calibri" w:hAnsi="Verdana" w:cs="Times New Roman"/>
          <w:lang w:val="es-ES"/>
        </w:rPr>
        <w:t xml:space="preserve">v. </w:t>
      </w:r>
      <w:r w:rsidRPr="00A94CED">
        <w:rPr>
          <w:rFonts w:ascii="Verdana" w:eastAsia="Aptos" w:hAnsi="Verdana" w:cs="Arial"/>
          <w:kern w:val="2"/>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51D2DFD3" w14:textId="77777777" w:rsidR="00A94CED" w:rsidRPr="00A94CED" w:rsidRDefault="00A94CED" w:rsidP="00A94CED">
      <w:pPr>
        <w:spacing w:after="120" w:line="276" w:lineRule="auto"/>
        <w:ind w:firstLine="708"/>
        <w:jc w:val="both"/>
        <w:rPr>
          <w:rFonts w:ascii="Verdana" w:eastAsia="Aptos" w:hAnsi="Verdana" w:cs="Arial"/>
          <w:kern w:val="2"/>
          <w:lang w:val="es-ES"/>
          <w14:ligatures w14:val="standardContextual"/>
        </w:rPr>
      </w:pPr>
      <w:r w:rsidRPr="00A94CED">
        <w:rPr>
          <w:rFonts w:ascii="Verdana" w:eastAsia="Aptos" w:hAnsi="Verdana" w:cs="Arial"/>
          <w:kern w:val="2"/>
          <w:lang w:val="es-ES"/>
          <w14:ligatures w14:val="standardContextual"/>
        </w:rPr>
        <w:t xml:space="preserve">Con sustento en esta competencia, esta Agencia expidió diversos grupos de documentos tipo aplicables principalmente a la contratación de obras públicas de infraestructura de transporte, agua potable,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w:t>
      </w:r>
      <w:r w:rsidRPr="00A94CED">
        <w:rPr>
          <w:rFonts w:ascii="Verdana" w:eastAsia="Aptos" w:hAnsi="Verdana" w:cs="Arial"/>
          <w:kern w:val="2"/>
          <w:lang w:val="es-ES"/>
          <w14:ligatures w14:val="standardContextual"/>
        </w:rPr>
        <w:lastRenderedPageBreak/>
        <w:t>2007, estos documentos tipo se han expedido para las modalidades de selección de licitación pública, selección abreviada de menor cuantía, mínima cuantía, concurso de méritos y contratación directa.</w:t>
      </w:r>
    </w:p>
    <w:p w14:paraId="21E1732D"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610C50CC"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30849EF1"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6AD24E8D" w14:textId="77777777" w:rsidR="00A94CED" w:rsidRPr="00A94CED" w:rsidRDefault="00A94CED" w:rsidP="00A94CED">
      <w:pPr>
        <w:widowControl w:val="0"/>
        <w:autoSpaceDE w:val="0"/>
        <w:autoSpaceDN w:val="0"/>
        <w:spacing w:after="120" w:line="276" w:lineRule="auto"/>
        <w:ind w:firstLine="708"/>
        <w:jc w:val="both"/>
        <w:rPr>
          <w:rFonts w:ascii="Verdana" w:eastAsia="Calibri" w:hAnsi="Verdana" w:cs="Times New Roman"/>
          <w:lang w:val="es-ES"/>
        </w:rPr>
      </w:pPr>
      <w:r w:rsidRPr="00A94CED">
        <w:rPr>
          <w:rFonts w:ascii="Verdana" w:eastAsia="Calibri" w:hAnsi="Verdana" w:cs="Times New Roman"/>
          <w:lang w:val="es-ES"/>
        </w:rPr>
        <w:t xml:space="preserve">De esta manera, para saber a qué actividades deben aplicarse los documentos tipo expedidos por la Agencia Nacional de Contratación Pública – Colombia Compra Eficiente,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w:t>
      </w:r>
      <w:r w:rsidRPr="00A94CED">
        <w:rPr>
          <w:rFonts w:ascii="Verdana" w:eastAsia="Calibri" w:hAnsi="Verdana" w:cs="Times New Roman"/>
          <w:lang w:val="es-ES"/>
        </w:rPr>
        <w:lastRenderedPageBreak/>
        <w:t>no será forzosa su aplicación.</w:t>
      </w:r>
      <w:r w:rsidRPr="00A94CED">
        <w:rPr>
          <w:rFonts w:ascii="Verdana" w:eastAsia="Times New Roman" w:hAnsi="Verdana" w:cs="Arial"/>
          <w:kern w:val="2"/>
          <w:shd w:val="clear" w:color="auto" w:fill="FFFFFF"/>
          <w:lang w:val="es-ES_tradnl" w:eastAsia="es-ES_tradnl"/>
          <w14:ligatures w14:val="standardContextual"/>
        </w:rPr>
        <w:t xml:space="preserve"> En este sentido, en los documentos base de los documentos tipo, se indica que la entidad establecerá las condiciones de experiencia, tanto general como específica en las actividades que van a contratar. En este contexto, la entidad no podrá incluir condiciones distintas a las previstas en la matriz de experiencia y, por tanto, deberá transcribir textualmente lo indicado en ésta.</w:t>
      </w:r>
    </w:p>
    <w:p w14:paraId="211C709C" w14:textId="77777777" w:rsidR="00A94CED" w:rsidRPr="00A94CED" w:rsidRDefault="00A94CED" w:rsidP="00A94CED">
      <w:pPr>
        <w:spacing w:after="120" w:line="276" w:lineRule="auto"/>
        <w:ind w:firstLine="708"/>
        <w:jc w:val="both"/>
        <w:rPr>
          <w:rFonts w:ascii="Verdana" w:eastAsia="Times New Roman" w:hAnsi="Verdana" w:cs="Arial"/>
          <w:kern w:val="2"/>
          <w:shd w:val="clear" w:color="auto" w:fill="FFFFFF"/>
          <w:lang w:val="es-ES_tradnl" w:eastAsia="es-ES_tradnl"/>
          <w14:ligatures w14:val="standardContextual"/>
        </w:rPr>
      </w:pPr>
      <w:r w:rsidRPr="00A94CED">
        <w:rPr>
          <w:rFonts w:ascii="Verdana" w:eastAsia="Times New Roman" w:hAnsi="Verdana" w:cs="Arial"/>
          <w:kern w:val="2"/>
          <w:shd w:val="clear" w:color="auto" w:fill="FFFFFF"/>
          <w:lang w:val="es-ES_tradnl" w:eastAsia="es-ES_tradnl"/>
          <w14:ligatures w14:val="standardContextual"/>
        </w:rPr>
        <w:t xml:space="preserve">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 </w:t>
      </w:r>
    </w:p>
    <w:p w14:paraId="5B18CE09" w14:textId="77777777" w:rsidR="00A94CED" w:rsidRPr="00A94CED" w:rsidRDefault="00A94CED" w:rsidP="00A94CED">
      <w:pPr>
        <w:snapToGrid w:val="0"/>
        <w:spacing w:after="120" w:line="276" w:lineRule="auto"/>
        <w:ind w:firstLine="708"/>
        <w:jc w:val="both"/>
        <w:rPr>
          <w:rFonts w:ascii="Verdana" w:eastAsia="Times New Roman" w:hAnsi="Verdana" w:cs="Arial"/>
          <w:kern w:val="2"/>
          <w:shd w:val="clear" w:color="auto" w:fill="FFFFFF"/>
          <w:lang w:val="es-ES" w:eastAsia="es-ES"/>
          <w14:ligatures w14:val="standardContextual"/>
        </w:rPr>
      </w:pPr>
      <w:r w:rsidRPr="00A94CED">
        <w:rPr>
          <w:rFonts w:ascii="Verdana" w:eastAsia="Times New Roman" w:hAnsi="Verdana" w:cs="Arial"/>
          <w:kern w:val="2"/>
          <w:shd w:val="clear" w:color="auto" w:fill="FFFFFF"/>
          <w:lang w:val="es-ES" w:eastAsia="es-ES"/>
          <w14:ligatures w14:val="standardContextual"/>
        </w:rPr>
        <w:t xml:space="preserve">Si la Entidad determina que no está obligada a aplicar de manera forzosa los documentos tipo para desarrollar los procesos de contratación —ya sea porque, normativamente, no le resultan aplicables o porque el proceso que se pretende adelantar no </w:t>
      </w:r>
      <w:proofErr w:type="gramStart"/>
      <w:r w:rsidRPr="00A94CED">
        <w:rPr>
          <w:rFonts w:ascii="Verdana" w:eastAsia="Times New Roman" w:hAnsi="Verdana" w:cs="Arial"/>
          <w:kern w:val="2"/>
          <w:shd w:val="clear" w:color="auto" w:fill="FFFFFF"/>
          <w:lang w:val="es-ES" w:eastAsia="es-ES"/>
          <w14:ligatures w14:val="standardContextual"/>
        </w:rPr>
        <w:t>se enmarca dentro de</w:t>
      </w:r>
      <w:proofErr w:type="gramEnd"/>
      <w:r w:rsidRPr="00A94CED">
        <w:rPr>
          <w:rFonts w:ascii="Verdana" w:eastAsia="Times New Roman" w:hAnsi="Verdana" w:cs="Arial"/>
          <w:kern w:val="2"/>
          <w:shd w:val="clear" w:color="auto" w:fill="FFFFFF"/>
          <w:lang w:val="es-ES" w:eastAsia="es-ES"/>
          <w14:ligatures w14:val="standardContextual"/>
        </w:rPr>
        <w:t xml:space="preserve"> las modalidades de selección y tipos de obra estandarizados en las respectivas matrices de experiencia—, en tales escenarios dichos documentos carecen de fuerza obligatoria. En consecuencia, la Entidad deberá estructurar sus procesos, atendiendo la normativa vigente en materia de compras y contratación pública. No </w:t>
      </w:r>
      <w:proofErr w:type="gramStart"/>
      <w:r w:rsidRPr="00A94CED">
        <w:rPr>
          <w:rFonts w:ascii="Verdana" w:eastAsia="Times New Roman" w:hAnsi="Verdana" w:cs="Arial"/>
          <w:kern w:val="2"/>
          <w:shd w:val="clear" w:color="auto" w:fill="FFFFFF"/>
          <w:lang w:val="es-ES" w:eastAsia="es-ES"/>
          <w14:ligatures w14:val="standardContextual"/>
        </w:rPr>
        <w:t>obstante</w:t>
      </w:r>
      <w:proofErr w:type="gramEnd"/>
      <w:r w:rsidRPr="00A94CED">
        <w:rPr>
          <w:rFonts w:ascii="Verdana" w:eastAsia="Times New Roman" w:hAnsi="Verdana" w:cs="Arial"/>
          <w:kern w:val="2"/>
          <w:shd w:val="clear" w:color="auto" w:fill="FFFFFF"/>
          <w:lang w:val="es-ES" w:eastAsia="es-ES"/>
          <w14:ligatures w14:val="standardContextual"/>
        </w:rPr>
        <w:t xml:space="preserve"> lo anterior, las Entidades pueden observar los documentos tipo de forma facultativa, como una estrategia para adoptar e incorporar políticas de buenas prácticas contractuales, realizando en caso de que sea necesario las adaptaciones que consideren pertinentes.</w:t>
      </w:r>
    </w:p>
    <w:p w14:paraId="61A52667" w14:textId="77777777" w:rsidR="00A94CED" w:rsidRPr="00A94CED" w:rsidRDefault="00A94CED" w:rsidP="00A94CED">
      <w:pPr>
        <w:snapToGrid w:val="0"/>
        <w:spacing w:after="120" w:line="276" w:lineRule="auto"/>
        <w:ind w:firstLine="708"/>
        <w:jc w:val="both"/>
        <w:rPr>
          <w:rFonts w:ascii="Verdana" w:eastAsia="Times New Roman" w:hAnsi="Verdana" w:cs="Arial"/>
          <w:kern w:val="2"/>
          <w:shd w:val="clear" w:color="auto" w:fill="FFFFFF"/>
          <w:lang w:val="es-ES" w:eastAsia="es-ES"/>
          <w14:ligatures w14:val="standardContextual"/>
        </w:rPr>
      </w:pPr>
      <w:r w:rsidRPr="00A94CED">
        <w:rPr>
          <w:rFonts w:ascii="Verdana" w:eastAsia="Times New Roman" w:hAnsi="Verdana" w:cs="Arial"/>
          <w:kern w:val="2"/>
          <w:shd w:val="clear" w:color="auto" w:fill="FFFFFF"/>
          <w:lang w:val="es-ES" w:eastAsia="es-ES"/>
          <w14:ligatures w14:val="standardContextual"/>
        </w:rPr>
        <w:t xml:space="preserve">En consecuencia con lo anterior, los proponentes interesados en un proceso de contratación que se adelante por fuera del ámbito de aplicación de los documentos tipo expedidos por esta Agencia no pueden pretender extender su aplicación –incluidas sus reglas– a la entidad que está adelantando el proceso en el que estos no resulten obligatorios, pues esto supone desconocer que, precisamente por no estar cobijado el proceso por dichos documentos, la entidad no se encuentra sujeta a ellos, sin perjuicio de que esta decida adoptarlos </w:t>
      </w:r>
      <w:r w:rsidRPr="00A94CED">
        <w:rPr>
          <w:rFonts w:ascii="Verdana" w:eastAsia="Times New Roman" w:hAnsi="Verdana" w:cs="Arial"/>
          <w:kern w:val="2"/>
          <w:shd w:val="clear" w:color="auto" w:fill="FFFFFF"/>
          <w:lang w:val="es-ES" w:eastAsia="es-ES"/>
          <w14:ligatures w14:val="standardContextual"/>
        </w:rPr>
        <w:lastRenderedPageBreak/>
        <w:t xml:space="preserve">voluntariamente y en los términos que libremente determine como criterio de buena práctica. </w:t>
      </w:r>
    </w:p>
    <w:p w14:paraId="17BF3648" w14:textId="77777777" w:rsidR="00A94CED" w:rsidRPr="00A94CED" w:rsidRDefault="00A94CED" w:rsidP="00A94CED">
      <w:pPr>
        <w:snapToGrid w:val="0"/>
        <w:spacing w:after="0" w:line="276" w:lineRule="auto"/>
        <w:ind w:firstLine="708"/>
        <w:jc w:val="both"/>
        <w:rPr>
          <w:rFonts w:ascii="Verdana" w:eastAsia="Times New Roman" w:hAnsi="Verdana" w:cs="Arial"/>
          <w:kern w:val="2"/>
          <w:shd w:val="clear" w:color="auto" w:fill="FFFFFF"/>
          <w:lang w:val="es-ES" w:eastAsia="es-ES"/>
          <w14:ligatures w14:val="standardContextual"/>
        </w:rPr>
      </w:pPr>
    </w:p>
    <w:p w14:paraId="1D921B1C" w14:textId="77777777" w:rsidR="00A94CED" w:rsidRPr="00A94CED" w:rsidRDefault="00A94CED" w:rsidP="00A94CED">
      <w:pPr>
        <w:spacing w:after="120" w:line="276" w:lineRule="auto"/>
        <w:jc w:val="both"/>
        <w:rPr>
          <w:rFonts w:ascii="Verdana" w:eastAsia="Calibri" w:hAnsi="Verdana" w:cs="Arial"/>
        </w:rPr>
      </w:pPr>
      <w:r w:rsidRPr="00A94CED">
        <w:rPr>
          <w:rFonts w:ascii="Verdana" w:eastAsia="Times New Roman" w:hAnsi="Verdana" w:cs="Arial"/>
          <w:kern w:val="2"/>
          <w:shd w:val="clear" w:color="auto" w:fill="FFFFFF"/>
          <w:lang w:val="es-ES" w:eastAsia="es-ES_tradnl"/>
          <w14:ligatures w14:val="standardContextual"/>
        </w:rPr>
        <w:t xml:space="preserve">vi. </w:t>
      </w:r>
      <w:r w:rsidRPr="00A94CED">
        <w:rPr>
          <w:rFonts w:ascii="Verdana" w:eastAsia="Times New Roman" w:hAnsi="Verdana" w:cs="Arial"/>
          <w:kern w:val="2"/>
          <w:shd w:val="clear" w:color="auto" w:fill="FFFFFF"/>
          <w:lang w:val="es-ES_tradnl" w:eastAsia="es-ES_tradnl"/>
          <w14:ligatures w14:val="standardContextual"/>
        </w:rPr>
        <w:t xml:space="preserve">Finalmente le informamos que, </w:t>
      </w:r>
      <w:r w:rsidRPr="00A94CED">
        <w:rPr>
          <w:rFonts w:ascii="Verdana" w:eastAsia="Calibri" w:hAnsi="Verdana" w:cs="Times New Roman"/>
          <w:lang w:val="es-ES"/>
        </w:rPr>
        <w:t>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r w:rsidRPr="00A94CED">
        <w:rPr>
          <w:rFonts w:ascii="Verdana" w:eastAsia="Aptos" w:hAnsi="Verdana" w:cs="Arial"/>
          <w:color w:val="000000"/>
          <w:kern w:val="2"/>
          <w14:ligatures w14:val="standardContextual"/>
        </w:rPr>
        <w:t>.</w:t>
      </w:r>
    </w:p>
    <w:p w14:paraId="0926C86F" w14:textId="77777777" w:rsidR="00A94CED" w:rsidRPr="00A94CED" w:rsidRDefault="00A94CED" w:rsidP="00A94CED">
      <w:pPr>
        <w:spacing w:after="0" w:line="276" w:lineRule="auto"/>
        <w:ind w:firstLine="708"/>
        <w:jc w:val="both"/>
        <w:rPr>
          <w:rFonts w:ascii="Century Gothic" w:eastAsia="Times New Roman" w:hAnsi="Century Gothic" w:cs="Times New Roman"/>
          <w:color w:val="000000"/>
          <w:lang w:eastAsia="es-MX"/>
        </w:rPr>
      </w:pPr>
      <w:r w:rsidRPr="00A94CED">
        <w:rPr>
          <w:rFonts w:ascii="Verdana" w:eastAsia="Calibri" w:hAnsi="Verdana" w:cs="Times New Roman"/>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FE3F3D6" w14:textId="77777777" w:rsidR="00A94CED" w:rsidRPr="00A94CED" w:rsidRDefault="00A94CED" w:rsidP="00A94CED">
      <w:pPr>
        <w:snapToGrid w:val="0"/>
        <w:spacing w:after="0" w:line="276" w:lineRule="auto"/>
        <w:jc w:val="both"/>
        <w:rPr>
          <w:rFonts w:ascii="Verdana" w:eastAsia="Calibri" w:hAnsi="Verdana" w:cs="Times New Roman"/>
          <w:lang w:val="es-ES"/>
        </w:rPr>
      </w:pPr>
    </w:p>
    <w:p w14:paraId="570E2458" w14:textId="77777777" w:rsidR="00A94CED" w:rsidRPr="00A94CED" w:rsidRDefault="00A94CED" w:rsidP="00A94CED">
      <w:pPr>
        <w:numPr>
          <w:ilvl w:val="0"/>
          <w:numId w:val="24"/>
        </w:numPr>
        <w:tabs>
          <w:tab w:val="left" w:pos="142"/>
          <w:tab w:val="left" w:pos="284"/>
        </w:tabs>
        <w:spacing w:after="0" w:line="276" w:lineRule="auto"/>
        <w:contextualSpacing/>
        <w:jc w:val="both"/>
        <w:rPr>
          <w:rFonts w:ascii="Verdana" w:eastAsia="Century Gothic" w:hAnsi="Verdana" w:cs="Century Gothic"/>
          <w:b/>
          <w:bCs/>
          <w:lang w:val="es-ES"/>
        </w:rPr>
      </w:pPr>
      <w:r w:rsidRPr="00A94CED">
        <w:rPr>
          <w:rFonts w:ascii="Verdana" w:eastAsia="Century Gothic" w:hAnsi="Verdana" w:cs="Century Gothic"/>
          <w:b/>
          <w:bCs/>
          <w:lang w:val="es-ES"/>
        </w:rPr>
        <w:t>Referencias normativas, jurisprudenciales y otras fuentes:</w:t>
      </w:r>
    </w:p>
    <w:p w14:paraId="5495285F" w14:textId="77777777" w:rsidR="00A94CED" w:rsidRPr="00A94CED" w:rsidRDefault="00A94CED" w:rsidP="00A94CED">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94CED" w:rsidRPr="00A94CED" w14:paraId="0472A22A" w14:textId="77777777" w:rsidTr="00933CEA">
        <w:trPr>
          <w:trHeight w:val="870"/>
          <w:jc w:val="center"/>
        </w:trPr>
        <w:tc>
          <w:tcPr>
            <w:tcW w:w="8647" w:type="dxa"/>
          </w:tcPr>
          <w:p w14:paraId="793AADA2"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1150 de 2007. Artículo 2. </w:t>
            </w:r>
          </w:p>
          <w:p w14:paraId="5B2419FC"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1150 de 2007, artículo 5, parágrafo 1. </w:t>
            </w:r>
          </w:p>
          <w:p w14:paraId="1305B53C"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 Ley 1882 de 2018, artículo 5. </w:t>
            </w:r>
          </w:p>
          <w:p w14:paraId="5D068CB9"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2022 de 2020, artículo 1. </w:t>
            </w:r>
          </w:p>
          <w:p w14:paraId="5F516B73"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80 de 1993. Artículo 24, numeral 5. </w:t>
            </w:r>
          </w:p>
          <w:p w14:paraId="5193F73D"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80 de 1993, artículo 25, numeral 15. </w:t>
            </w:r>
          </w:p>
          <w:p w14:paraId="3480BE8B"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80 de 1993, artículo 30, numerales 7 y 8. </w:t>
            </w:r>
          </w:p>
          <w:p w14:paraId="4A1ABD1A"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80 de 1993, artículo 77. </w:t>
            </w:r>
          </w:p>
          <w:p w14:paraId="7ED569C8"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Decreto 1082 de 2015. Artículos 2.2.1.2.1.5.1. a 2.2.1.2.1.5.6. </w:t>
            </w:r>
          </w:p>
          <w:p w14:paraId="5C48079A"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Decreto Ley 019 de 2012. Artículo 5. </w:t>
            </w:r>
          </w:p>
          <w:p w14:paraId="52589901"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Decreto 4170 de 2011, artículo 3. </w:t>
            </w:r>
          </w:p>
          <w:p w14:paraId="2BF29115"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Decreto 2364 de 2012, artículo 1. </w:t>
            </w:r>
          </w:p>
          <w:p w14:paraId="13B4A4AE"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Código General del Proceso. Artículo 74. </w:t>
            </w:r>
          </w:p>
          <w:p w14:paraId="141E56B8"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lastRenderedPageBreak/>
              <w:t xml:space="preserve">Código de Comercio, artículo 836. </w:t>
            </w:r>
          </w:p>
          <w:p w14:paraId="6AF18A76"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Ley 527 de 1999, artículos 2 y 7. </w:t>
            </w:r>
          </w:p>
          <w:p w14:paraId="4F59C4DB"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Documento </w:t>
            </w:r>
            <w:proofErr w:type="spellStart"/>
            <w:r w:rsidRPr="00A94CED">
              <w:rPr>
                <w:rFonts w:ascii="Verdana" w:eastAsia="Aptos" w:hAnsi="Verdana" w:cs="Times New Roman"/>
              </w:rPr>
              <w:t>Conpes</w:t>
            </w:r>
            <w:proofErr w:type="spellEnd"/>
            <w:r w:rsidRPr="00A94CED">
              <w:rPr>
                <w:rFonts w:ascii="Verdana" w:eastAsia="Aptos" w:hAnsi="Verdana" w:cs="Times New Roman"/>
              </w:rPr>
              <w:t xml:space="preserve"> 3620 de 2009. </w:t>
            </w:r>
          </w:p>
          <w:p w14:paraId="41E1E64B"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Documentos Tipo. Disponibles en: </w:t>
            </w:r>
            <w:hyperlink r:id="rId11" w:history="1">
              <w:r w:rsidRPr="00A94CED">
                <w:rPr>
                  <w:rFonts w:ascii="Verdana" w:eastAsia="Aptos" w:hAnsi="Verdana" w:cs="Times New Roman"/>
                  <w:color w:val="0000FF"/>
                  <w:u w:val="single"/>
                </w:rPr>
                <w:t>https://www.colombiacompra.gov.co/documentos-tipo/documentos-tipo</w:t>
              </w:r>
            </w:hyperlink>
            <w:r w:rsidRPr="00A94CED">
              <w:rPr>
                <w:rFonts w:ascii="Verdana" w:eastAsia="Aptos" w:hAnsi="Verdana" w:cs="Times New Roman"/>
              </w:rPr>
              <w:t xml:space="preserve"> </w:t>
            </w:r>
          </w:p>
          <w:p w14:paraId="124C91D5"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lo Contencioso Administrativo. Sección Tercera. Sentencia de 30 de noviembre de 2006. </w:t>
            </w:r>
            <w:proofErr w:type="spellStart"/>
            <w:r w:rsidRPr="00A94CED">
              <w:rPr>
                <w:rFonts w:ascii="Verdana" w:eastAsia="Aptos" w:hAnsi="Verdana" w:cs="Times New Roman"/>
              </w:rPr>
              <w:t>Exp</w:t>
            </w:r>
            <w:proofErr w:type="spellEnd"/>
            <w:r w:rsidRPr="00A94CED">
              <w:rPr>
                <w:rFonts w:ascii="Verdana" w:eastAsia="Aptos" w:hAnsi="Verdana" w:cs="Times New Roman"/>
              </w:rPr>
              <w:t xml:space="preserve">. 18.059. M.P. Alier Hernández Enríquez. </w:t>
            </w:r>
          </w:p>
          <w:p w14:paraId="1E834FE7"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lo Contencioso Administrativo. Sección Tercera, Subsección A. Sentencia del 16 de septiembre de 2013. </w:t>
            </w:r>
            <w:proofErr w:type="spellStart"/>
            <w:r w:rsidRPr="00A94CED">
              <w:rPr>
                <w:rFonts w:ascii="Verdana" w:eastAsia="Aptos" w:hAnsi="Verdana" w:cs="Times New Roman"/>
              </w:rPr>
              <w:t>Exp</w:t>
            </w:r>
            <w:proofErr w:type="spellEnd"/>
            <w:r w:rsidRPr="00A94CED">
              <w:rPr>
                <w:rFonts w:ascii="Verdana" w:eastAsia="Aptos" w:hAnsi="Verdana" w:cs="Times New Roman"/>
              </w:rPr>
              <w:t xml:space="preserve">. 30.571. C.P. Mauricio Fajardo Gómez. </w:t>
            </w:r>
          </w:p>
          <w:p w14:paraId="2E9D1B40"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lo Contencioso Administrativo. Sección Tercera. Sentencia de 20 de febrero de 2014. </w:t>
            </w:r>
            <w:proofErr w:type="spellStart"/>
            <w:r w:rsidRPr="00A94CED">
              <w:rPr>
                <w:rFonts w:ascii="Verdana" w:eastAsia="Aptos" w:hAnsi="Verdana" w:cs="Times New Roman"/>
              </w:rPr>
              <w:t>Exp</w:t>
            </w:r>
            <w:proofErr w:type="spellEnd"/>
            <w:r w:rsidRPr="00A94CED">
              <w:rPr>
                <w:rFonts w:ascii="Verdana" w:eastAsia="Aptos" w:hAnsi="Verdana" w:cs="Times New Roman"/>
              </w:rPr>
              <w:t xml:space="preserve">. 28.342. M.P. Stella Conto Díaz Del Castillo. </w:t>
            </w:r>
          </w:p>
          <w:p w14:paraId="5C2B20EB"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lo Contencioso Administrativo. Sección Tercera. Sentencia del 27 de abril de 2011. </w:t>
            </w:r>
            <w:proofErr w:type="spellStart"/>
            <w:r w:rsidRPr="00A94CED">
              <w:rPr>
                <w:rFonts w:ascii="Verdana" w:eastAsia="Aptos" w:hAnsi="Verdana" w:cs="Times New Roman"/>
              </w:rPr>
              <w:t>Exp</w:t>
            </w:r>
            <w:proofErr w:type="spellEnd"/>
            <w:r w:rsidRPr="00A94CED">
              <w:rPr>
                <w:rFonts w:ascii="Verdana" w:eastAsia="Aptos" w:hAnsi="Verdana" w:cs="Times New Roman"/>
              </w:rPr>
              <w:t xml:space="preserve">. 18.293. C.P. Ruth Stella Correa Palacio. </w:t>
            </w:r>
          </w:p>
          <w:p w14:paraId="7D9AB9D3"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lo Contencioso Administrativo. Sección Tercera, Subsección A. Sentencia del 21 de noviembre de 2013. </w:t>
            </w:r>
            <w:proofErr w:type="spellStart"/>
            <w:r w:rsidRPr="00A94CED">
              <w:rPr>
                <w:rFonts w:ascii="Verdana" w:eastAsia="Aptos" w:hAnsi="Verdana" w:cs="Times New Roman"/>
              </w:rPr>
              <w:t>Exp</w:t>
            </w:r>
            <w:proofErr w:type="spellEnd"/>
            <w:r w:rsidRPr="00A94CED">
              <w:rPr>
                <w:rFonts w:ascii="Verdana" w:eastAsia="Aptos" w:hAnsi="Verdana" w:cs="Times New Roman"/>
              </w:rPr>
              <w:t xml:space="preserve">. 25.397. C.P. Carlos Alberto Zambrano Barrera. </w:t>
            </w:r>
          </w:p>
          <w:p w14:paraId="33D7C76B"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lo Contencioso Administrativo. Sección Tercera, Subsección C. Sentencia del 26 de febrero de 2011. C.P. Jaime Orlando Santofimio. Rad. 36.408. </w:t>
            </w:r>
          </w:p>
          <w:p w14:paraId="780A1FC5"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lo Contencioso Administrativo. Sección Tercera, Subsección C. Sentencia del 26 de febrero de 2014. C.P. Enrique Gil Botero. Rad. 25.804. </w:t>
            </w:r>
          </w:p>
          <w:p w14:paraId="3771C8D8"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Consejo de Estado. Sala de Consulta y Servicio Civil. Concepto del 6 de noviembre de 2008. Expediente: 1927. Consejero Ponente: William Zambrano Cetina. </w:t>
            </w:r>
          </w:p>
          <w:p w14:paraId="2332DF1C"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OSPINA MENA, Jesús Marino. </w:t>
            </w:r>
            <w:r w:rsidRPr="00A94CED">
              <w:rPr>
                <w:rFonts w:ascii="Verdana" w:eastAsia="Aptos" w:hAnsi="Verdana" w:cs="Times New Roman"/>
                <w:i/>
                <w:iCs/>
              </w:rPr>
              <w:t>Régimen de la Contratación Estatal. Un salto a la contratación líquida</w:t>
            </w:r>
            <w:r w:rsidRPr="00A94CED">
              <w:rPr>
                <w:rFonts w:ascii="Verdana" w:eastAsia="Aptos" w:hAnsi="Verdana" w:cs="Times New Roman"/>
              </w:rPr>
              <w:t xml:space="preserve">. Bogotá: Ed. 1ª. Diké, 2020. </w:t>
            </w:r>
          </w:p>
          <w:p w14:paraId="71A60A70"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GONZÁLEZ LÓPEZ, Edgar. </w:t>
            </w:r>
            <w:r w:rsidRPr="00A94CED">
              <w:rPr>
                <w:rFonts w:ascii="Verdana" w:eastAsia="Aptos" w:hAnsi="Verdana" w:cs="Times New Roman"/>
                <w:i/>
                <w:iCs/>
              </w:rPr>
              <w:t>El pliego de condiciones en la contratación. La reforma consagrada en la Ley 1150 de 2007 y sus decretos reglamentarios</w:t>
            </w:r>
            <w:r w:rsidRPr="00A94CED">
              <w:rPr>
                <w:rFonts w:ascii="Verdana" w:eastAsia="Aptos" w:hAnsi="Verdana" w:cs="Times New Roman"/>
              </w:rPr>
              <w:t xml:space="preserve">. Universidad Externado de Colombia. Primera edición, 2010. </w:t>
            </w:r>
          </w:p>
          <w:p w14:paraId="09EB5FA7" w14:textId="77777777" w:rsidR="00A94CED" w:rsidRPr="00A94CED" w:rsidRDefault="00A94CED" w:rsidP="00A94CED">
            <w:pPr>
              <w:numPr>
                <w:ilvl w:val="0"/>
                <w:numId w:val="35"/>
              </w:numPr>
              <w:contextualSpacing/>
              <w:rPr>
                <w:rFonts w:ascii="Verdana" w:eastAsia="Aptos" w:hAnsi="Verdana" w:cs="Times New Roman"/>
              </w:rPr>
            </w:pPr>
            <w:r w:rsidRPr="00A94CED">
              <w:rPr>
                <w:rFonts w:ascii="Verdana" w:eastAsia="Aptos" w:hAnsi="Verdana" w:cs="Times New Roman"/>
              </w:rPr>
              <w:t xml:space="preserve">GORDILLO, Agustín. </w:t>
            </w:r>
            <w:r w:rsidRPr="00A94CED">
              <w:rPr>
                <w:rFonts w:ascii="Verdana" w:eastAsia="Aptos" w:hAnsi="Verdana" w:cs="Times New Roman"/>
                <w:i/>
                <w:iCs/>
              </w:rPr>
              <w:t>Tratado de Derecho Administrativo y obras selectas</w:t>
            </w:r>
            <w:r w:rsidRPr="00A94CED">
              <w:rPr>
                <w:rFonts w:ascii="Verdana" w:eastAsia="Aptos" w:hAnsi="Verdana" w:cs="Times New Roman"/>
              </w:rPr>
              <w:t xml:space="preserve">. Tomo 8. Teoría General del derecho administrativo. Buenos Aires: FDA, 2013. p. 355. </w:t>
            </w:r>
          </w:p>
          <w:p w14:paraId="25C151FA" w14:textId="77777777" w:rsidR="00A94CED" w:rsidRPr="00A94CED" w:rsidRDefault="00A94CED" w:rsidP="00A94CED">
            <w:pPr>
              <w:numPr>
                <w:ilvl w:val="0"/>
                <w:numId w:val="35"/>
              </w:numPr>
              <w:contextualSpacing/>
              <w:rPr>
                <w:rFonts w:ascii="Aptos" w:eastAsia="Aptos" w:hAnsi="Aptos" w:cs="Times New Roman"/>
              </w:rPr>
            </w:pPr>
            <w:r w:rsidRPr="00A94CED">
              <w:rPr>
                <w:rFonts w:ascii="Verdana" w:eastAsia="Aptos" w:hAnsi="Verdana" w:cs="Times New Roman"/>
              </w:rPr>
              <w:lastRenderedPageBreak/>
              <w:t xml:space="preserve">REMOLINA, Nelson. &amp; PEÑA, Lisandro. </w:t>
            </w:r>
            <w:r w:rsidRPr="00A94CED">
              <w:rPr>
                <w:rFonts w:ascii="Verdana" w:eastAsia="Aptos" w:hAnsi="Verdana" w:cs="Times New Roman"/>
                <w:i/>
                <w:iCs/>
              </w:rPr>
              <w:t>De los títulos valores y de los valores en el contexto digital</w:t>
            </w:r>
            <w:r w:rsidRPr="00A94CED">
              <w:rPr>
                <w:rFonts w:ascii="Verdana" w:eastAsia="Aptos" w:hAnsi="Verdana" w:cs="Times New Roman"/>
              </w:rPr>
              <w:t xml:space="preserve">. 1° ed. Bogotá: GECTI Universidad de los Andes. Ediciones </w:t>
            </w:r>
            <w:proofErr w:type="spellStart"/>
            <w:r w:rsidRPr="00A94CED">
              <w:rPr>
                <w:rFonts w:ascii="Verdana" w:eastAsia="Aptos" w:hAnsi="Verdana" w:cs="Times New Roman"/>
              </w:rPr>
              <w:t>Uniandinas</w:t>
            </w:r>
            <w:proofErr w:type="spellEnd"/>
            <w:r w:rsidRPr="00A94CED">
              <w:rPr>
                <w:rFonts w:ascii="Verdana" w:eastAsia="Aptos" w:hAnsi="Verdana" w:cs="Times New Roman"/>
              </w:rPr>
              <w:t>. Editorial Temis, 2011.</w:t>
            </w:r>
          </w:p>
        </w:tc>
      </w:tr>
    </w:tbl>
    <w:p w14:paraId="3CC3DD88" w14:textId="77777777" w:rsidR="00A94CED" w:rsidRPr="00A94CED" w:rsidRDefault="00A94CED" w:rsidP="00A94CED">
      <w:pPr>
        <w:widowControl w:val="0"/>
        <w:autoSpaceDE w:val="0"/>
        <w:autoSpaceDN w:val="0"/>
        <w:spacing w:after="0" w:line="276" w:lineRule="auto"/>
        <w:jc w:val="both"/>
        <w:rPr>
          <w:rFonts w:ascii="Verdana" w:eastAsia="Calibri" w:hAnsi="Verdana" w:cs="Arial"/>
        </w:rPr>
      </w:pPr>
    </w:p>
    <w:p w14:paraId="41166DB1" w14:textId="77777777" w:rsidR="00A94CED" w:rsidRPr="00A94CED" w:rsidRDefault="00A94CED" w:rsidP="00A94CED">
      <w:pPr>
        <w:numPr>
          <w:ilvl w:val="0"/>
          <w:numId w:val="24"/>
        </w:numPr>
        <w:tabs>
          <w:tab w:val="left" w:pos="142"/>
          <w:tab w:val="left" w:pos="284"/>
        </w:tabs>
        <w:spacing w:after="0" w:line="276" w:lineRule="auto"/>
        <w:contextualSpacing/>
        <w:jc w:val="both"/>
        <w:rPr>
          <w:rFonts w:ascii="Verdana" w:eastAsia="Century Gothic" w:hAnsi="Verdana" w:cs="Century Gothic"/>
          <w:b/>
          <w:bCs/>
          <w:lang w:val="es-ES"/>
        </w:rPr>
      </w:pPr>
      <w:r w:rsidRPr="00A94CED">
        <w:rPr>
          <w:rFonts w:ascii="Verdana" w:eastAsia="Century Gothic" w:hAnsi="Verdana" w:cs="Century Gothic"/>
          <w:b/>
          <w:bCs/>
          <w:lang w:val="es-ES"/>
        </w:rPr>
        <w:t>Doctrina de la Agencia Nacional de Contratación Pública:</w:t>
      </w:r>
    </w:p>
    <w:p w14:paraId="147AFD7D" w14:textId="77777777" w:rsidR="00A94CED" w:rsidRPr="00A94CED" w:rsidRDefault="00A94CED" w:rsidP="00A94CED">
      <w:pPr>
        <w:widowControl w:val="0"/>
        <w:autoSpaceDE w:val="0"/>
        <w:autoSpaceDN w:val="0"/>
        <w:spacing w:after="0" w:line="276" w:lineRule="auto"/>
        <w:jc w:val="both"/>
        <w:rPr>
          <w:rFonts w:ascii="Verdana" w:eastAsia="Calibri" w:hAnsi="Verdana" w:cs="Arial"/>
        </w:rPr>
      </w:pPr>
    </w:p>
    <w:p w14:paraId="4D5B6440" w14:textId="77777777" w:rsidR="00A94CED" w:rsidRPr="00A94CED" w:rsidRDefault="00A94CED" w:rsidP="00A94CED">
      <w:pPr>
        <w:widowControl w:val="0"/>
        <w:autoSpaceDE w:val="0"/>
        <w:autoSpaceDN w:val="0"/>
        <w:spacing w:after="0" w:line="276" w:lineRule="auto"/>
        <w:jc w:val="both"/>
        <w:rPr>
          <w:rFonts w:ascii="Verdana" w:eastAsia="Calibri" w:hAnsi="Verdana" w:cs="Arial"/>
          <w:color w:val="FF0000"/>
          <w:shd w:val="clear" w:color="auto" w:fill="FFFFFF"/>
          <w:lang w:val="es-ES"/>
        </w:rPr>
      </w:pPr>
      <w:r w:rsidRPr="00A94CED">
        <w:rPr>
          <w:rFonts w:ascii="Verdana" w:eastAsia="Calibri" w:hAnsi="Verdana" w:cs="Arial"/>
          <w:shd w:val="clear" w:color="auto" w:fill="FFFFFF"/>
          <w:lang w:val="es-ES"/>
        </w:rPr>
        <w:t xml:space="preserve">La Subdirección de Gestión Contractual de la Agencia Nacional de Contratación Pública – Colombia Compra Eficiente ha analizado </w:t>
      </w:r>
      <w:r w:rsidRPr="00A94CED">
        <w:rPr>
          <w:rFonts w:ascii="Verdana" w:eastAsia="Calibri" w:hAnsi="Verdana" w:cs="Arial"/>
          <w:bCs/>
          <w:shd w:val="clear" w:color="auto" w:fill="FFFFFF"/>
          <w:lang w:val="es-ES_tradnl"/>
        </w:rPr>
        <w:t>particularidades de la modalidad de selección de mínima cuantía en los conceptos con radicado No. 2201913000006236 de 26 de agosto de 2019, C–108 del 3 de marzo de 2020, C–121 del 3 de marzo de 2020, C–122 del 25 de marzo de 2020 y C–160 del 3 de abril de 2020, C-465 del 27 de julio de 2020, C-557 del 21 de agosto de 2020, C-734 del 16 de diciembre de 2020, C-123 del 12 de mayo de 2023, C-069 del 26 de febrero de 2025, C-069 del 26 de febrero de 2025 y C-1145 del 23 de septiembre de 2025, entre otros</w:t>
      </w:r>
      <w:r w:rsidRPr="00A94CED">
        <w:rPr>
          <w:rFonts w:ascii="Verdana" w:eastAsia="Calibri" w:hAnsi="Verdana" w:cs="Arial"/>
          <w:shd w:val="clear" w:color="auto" w:fill="FFFFFF"/>
          <w:lang w:val="es-ES"/>
        </w:rPr>
        <w:t xml:space="preserve">. </w:t>
      </w:r>
      <w:r w:rsidRPr="00A94CED">
        <w:rPr>
          <w:rFonts w:ascii="Verdana" w:eastAsia="Calibri" w:hAnsi="Verdana" w:cs="Arial"/>
          <w:shd w:val="clear" w:color="auto" w:fill="FFFFFF"/>
        </w:rPr>
        <w:t xml:space="preserve">Estos y otros se encuentran disponibles para consulta en el Sistema de relatoría de la Agencia, al cual puede accederse a través del siguiente enlace: </w:t>
      </w:r>
      <w:hyperlink r:id="rId12" w:history="1">
        <w:r w:rsidRPr="00A94CED">
          <w:rPr>
            <w:rFonts w:ascii="Verdana" w:eastAsia="Calibri" w:hAnsi="Verdana" w:cs="Arial"/>
            <w:color w:val="0000FF"/>
            <w:u w:val="single"/>
            <w:shd w:val="clear" w:color="auto" w:fill="FFFFFF"/>
          </w:rPr>
          <w:t>https://relatoria.colombiacompra.gov.co/busqueda/conceptos</w:t>
        </w:r>
      </w:hyperlink>
      <w:r w:rsidRPr="00A94CED">
        <w:rPr>
          <w:rFonts w:ascii="Verdana" w:eastAsia="Calibri" w:hAnsi="Verdana" w:cs="Arial"/>
          <w:shd w:val="clear" w:color="auto" w:fill="FFFFFF"/>
        </w:rPr>
        <w:t xml:space="preserve">. </w:t>
      </w:r>
      <w:r w:rsidRPr="00A94CED">
        <w:rPr>
          <w:rFonts w:ascii="Verdana" w:eastAsia="Calibri" w:hAnsi="Verdana" w:cs="Arial"/>
          <w:color w:val="FF0000"/>
          <w:shd w:val="clear" w:color="auto" w:fill="FFFFFF"/>
          <w:lang w:val="es-ES"/>
        </w:rPr>
        <w:t xml:space="preserve"> </w:t>
      </w:r>
    </w:p>
    <w:p w14:paraId="4621BBCC" w14:textId="77777777" w:rsidR="00A94CED" w:rsidRPr="00A94CED" w:rsidRDefault="00A94CED" w:rsidP="00A94CED">
      <w:pPr>
        <w:widowControl w:val="0"/>
        <w:autoSpaceDE w:val="0"/>
        <w:autoSpaceDN w:val="0"/>
        <w:spacing w:after="0" w:line="276" w:lineRule="auto"/>
        <w:jc w:val="both"/>
        <w:rPr>
          <w:rFonts w:ascii="Verdana" w:eastAsia="Calibri" w:hAnsi="Verdana" w:cs="Arial"/>
          <w:color w:val="FF0000"/>
          <w:shd w:val="clear" w:color="auto" w:fill="FFFFFF"/>
          <w:lang w:val="es-ES"/>
        </w:rPr>
      </w:pPr>
    </w:p>
    <w:p w14:paraId="172E6511" w14:textId="77777777" w:rsidR="00A94CED" w:rsidRPr="00A94CED" w:rsidRDefault="00A94CED" w:rsidP="00A94CED">
      <w:pPr>
        <w:widowControl w:val="0"/>
        <w:autoSpaceDE w:val="0"/>
        <w:autoSpaceDN w:val="0"/>
        <w:spacing w:after="0" w:line="276" w:lineRule="auto"/>
        <w:jc w:val="both"/>
        <w:rPr>
          <w:rFonts w:ascii="Verdana" w:eastAsia="Calibri" w:hAnsi="Verdana" w:cs="Arial"/>
          <w:shd w:val="clear" w:color="auto" w:fill="FFFFFF"/>
          <w:lang w:val="es-ES"/>
        </w:rPr>
      </w:pPr>
      <w:r w:rsidRPr="00A94CED">
        <w:rPr>
          <w:rFonts w:ascii="Verdana" w:eastAsia="Aptos" w:hAnsi="Verdana" w:cs="Arial"/>
          <w:kern w:val="2"/>
          <w:shd w:val="clear" w:color="auto" w:fill="FFFFFF"/>
          <w:lang w:val="es-ES"/>
          <w14:ligatures w14:val="standardContextual"/>
        </w:rPr>
        <w:t>Sobre la naturaleza de los pliego de condiciones o documentos equivalentes y la facultad que tienen las entidades estatales para modificarlos, se pronunció esta Subdirección en los conceptos con radicado No. 2201913000006236 de 26 de agosto de 2019, C–465 del 27 de julio de 2020, C–500 del 3 de agosto de 2020, C–557 del 21 de agosto de 2020, C-674 del 18 de noviembre de 2020, C-419 del 12 de agosto de 2021, C-744 del 4 de febrero de 2022, C-647 del 5 de octubre de 2022, C-788 del 22 de noviembre de 2022, C-888 del 21 de diciembre de 2022, C-393 del 9 de septiembre de 2024, C-782 del 18 de noviembre de 2024, C-607 del 26 de junio de 2025</w:t>
      </w:r>
      <w:r w:rsidRPr="00A94CED">
        <w:rPr>
          <w:rFonts w:ascii="Verdana" w:eastAsia="Aptos" w:hAnsi="Verdana" w:cs="Arial"/>
          <w:kern w:val="2"/>
          <w:shd w:val="clear" w:color="auto" w:fill="FFFFFF"/>
          <w14:ligatures w14:val="standardContextual"/>
        </w:rPr>
        <w:t>, C- 746 del 18 de julio de 2025 entre otros. Sobre la aplicación de esta ley y la contratación del PIC se refirió en los conceptos C‒044 del 04 de marzo de 2022, C‒158 del 04 de abril de 2022, C‒364 del 20 de mayo de 2022</w:t>
      </w:r>
      <w:r w:rsidRPr="00A94CED">
        <w:rPr>
          <w:rFonts w:ascii="Verdana" w:eastAsia="Aptos" w:hAnsi="Verdana" w:cs="Arial"/>
          <w:kern w:val="2"/>
          <w14:ligatures w14:val="standardContextual"/>
        </w:rPr>
        <w:t xml:space="preserve">, C-979 de 25 de agosto de 2025 y </w:t>
      </w:r>
      <w:r w:rsidRPr="00A94CED">
        <w:rPr>
          <w:rFonts w:ascii="Verdana" w:eastAsia="Calibri" w:hAnsi="Verdana" w:cs="Arial"/>
          <w:bCs/>
          <w:shd w:val="clear" w:color="auto" w:fill="FFFFFF"/>
          <w:lang w:val="es-ES_tradnl"/>
        </w:rPr>
        <w:t>C-1145 del 23 de septiembre de 2025</w:t>
      </w:r>
      <w:r w:rsidRPr="00A94CED">
        <w:rPr>
          <w:rFonts w:ascii="Verdana" w:eastAsia="Aptos" w:hAnsi="Verdana" w:cs="Arial"/>
          <w:kern w:val="2"/>
          <w14:ligatures w14:val="standardContextual"/>
        </w:rPr>
        <w:t>, entre otros.</w:t>
      </w:r>
    </w:p>
    <w:p w14:paraId="69E7FC7D" w14:textId="77777777" w:rsidR="00A94CED" w:rsidRPr="00A94CED" w:rsidRDefault="00A94CED" w:rsidP="00A94CED">
      <w:pPr>
        <w:widowControl w:val="0"/>
        <w:autoSpaceDE w:val="0"/>
        <w:autoSpaceDN w:val="0"/>
        <w:spacing w:after="0" w:line="276" w:lineRule="auto"/>
        <w:jc w:val="both"/>
        <w:rPr>
          <w:rFonts w:ascii="Verdana" w:eastAsia="Calibri" w:hAnsi="Verdana" w:cs="Arial"/>
          <w:color w:val="000000"/>
          <w:shd w:val="clear" w:color="auto" w:fill="FFFFFF"/>
          <w:lang w:val="es-ES"/>
        </w:rPr>
      </w:pPr>
    </w:p>
    <w:p w14:paraId="03CE33E9" w14:textId="77777777" w:rsidR="00A94CED" w:rsidRPr="00A94CED" w:rsidRDefault="00A94CED" w:rsidP="00A94CED">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sidRPr="00A94CED">
        <w:rPr>
          <w:rFonts w:ascii="Verdana" w:eastAsia="Aptos" w:hAnsi="Verdana" w:cs="Arial"/>
          <w:kern w:val="2"/>
          <w:shd w:val="clear" w:color="auto" w:fill="FFFFFF"/>
          <w:lang w:val="es-ES"/>
          <w14:ligatures w14:val="standardContextual"/>
        </w:rPr>
        <w:t xml:space="preserve">Sobre los poderes y apoderados en procesos de contratación, esta Subdirección se ha referido en los Conceptos </w:t>
      </w:r>
      <w:r w:rsidRPr="00A94CED">
        <w:rPr>
          <w:rFonts w:ascii="Verdana" w:eastAsia="Aptos" w:hAnsi="Verdana" w:cs="Times New Roman"/>
          <w:kern w:val="2"/>
          <w14:ligatures w14:val="standardContextual"/>
        </w:rPr>
        <w:t xml:space="preserve">2201913000006051 del 21 de agosto de </w:t>
      </w:r>
      <w:proofErr w:type="gramStart"/>
      <w:r w:rsidRPr="00A94CED">
        <w:rPr>
          <w:rFonts w:ascii="Verdana" w:eastAsia="Aptos" w:hAnsi="Verdana" w:cs="Times New Roman"/>
          <w:kern w:val="2"/>
          <w14:ligatures w14:val="standardContextual"/>
        </w:rPr>
        <w:t>2019,  2201913000006775</w:t>
      </w:r>
      <w:proofErr w:type="gramEnd"/>
      <w:r w:rsidRPr="00A94CED">
        <w:rPr>
          <w:rFonts w:ascii="Verdana" w:eastAsia="Aptos" w:hAnsi="Verdana" w:cs="Times New Roman"/>
          <w:kern w:val="2"/>
          <w14:ligatures w14:val="standardContextual"/>
        </w:rPr>
        <w:t xml:space="preserve"> del 12 de septiembre de 2019, 2201913000009046 del 6 </w:t>
      </w:r>
      <w:r w:rsidRPr="00A94CED">
        <w:rPr>
          <w:rFonts w:ascii="Verdana" w:eastAsia="Aptos" w:hAnsi="Verdana" w:cs="Times New Roman"/>
          <w:kern w:val="2"/>
          <w14:ligatures w14:val="standardContextual"/>
        </w:rPr>
        <w:lastRenderedPageBreak/>
        <w:t xml:space="preserve">de diciembre de 2019, 2201913000009735 del 30 de diciembre de 2019 y C-1607 del 18 de noviembre de </w:t>
      </w:r>
      <w:proofErr w:type="gramStart"/>
      <w:r w:rsidRPr="00A94CED">
        <w:rPr>
          <w:rFonts w:ascii="Verdana" w:eastAsia="Aptos" w:hAnsi="Verdana" w:cs="Times New Roman"/>
          <w:kern w:val="2"/>
          <w14:ligatures w14:val="standardContextual"/>
        </w:rPr>
        <w:t xml:space="preserve">2025  </w:t>
      </w:r>
      <w:r w:rsidRPr="00A94CED">
        <w:rPr>
          <w:rFonts w:ascii="Verdana" w:eastAsia="Calibri" w:hAnsi="Verdana" w:cs="Arial"/>
          <w:kern w:val="2"/>
          <w:lang w:val="es-ES" w:eastAsia="es-ES_tradnl"/>
          <w14:ligatures w14:val="standardContextual"/>
        </w:rPr>
        <w:t>entre</w:t>
      </w:r>
      <w:proofErr w:type="gramEnd"/>
      <w:r w:rsidRPr="00A94CED">
        <w:rPr>
          <w:rFonts w:ascii="Verdana" w:eastAsia="Calibri" w:hAnsi="Verdana" w:cs="Arial"/>
          <w:kern w:val="2"/>
          <w:lang w:val="es-ES" w:eastAsia="es-ES_tradnl"/>
          <w14:ligatures w14:val="standardContextual"/>
        </w:rPr>
        <w:t xml:space="preserve"> otros. </w:t>
      </w:r>
    </w:p>
    <w:p w14:paraId="18AA25B9" w14:textId="77777777" w:rsidR="00A94CED" w:rsidRPr="00A94CED" w:rsidRDefault="00A94CED" w:rsidP="00A94CED">
      <w:pPr>
        <w:widowControl w:val="0"/>
        <w:autoSpaceDE w:val="0"/>
        <w:autoSpaceDN w:val="0"/>
        <w:spacing w:after="0" w:line="276" w:lineRule="auto"/>
        <w:jc w:val="both"/>
        <w:rPr>
          <w:rFonts w:ascii="Verdana" w:eastAsia="Calibri" w:hAnsi="Verdana" w:cs="Arial"/>
          <w:color w:val="000000"/>
          <w:shd w:val="clear" w:color="auto" w:fill="FFFFFF"/>
        </w:rPr>
      </w:pPr>
    </w:p>
    <w:p w14:paraId="5275E6E6" w14:textId="77777777" w:rsidR="00A94CED" w:rsidRPr="00A94CED" w:rsidRDefault="00A94CED" w:rsidP="00A94CED">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sidRPr="00A94CED">
        <w:rPr>
          <w:rFonts w:ascii="Verdana" w:eastAsia="Calibri" w:hAnsi="Verdana" w:cs="Arial"/>
          <w:color w:val="000000"/>
          <w:shd w:val="clear" w:color="auto" w:fill="FFFFFF"/>
        </w:rPr>
        <w:t xml:space="preserve">Finalmente, sobre la utilización de los documentos tipo expedidos por esta Agencia como criterio de buena práctica contractual cuando una entidad no está obligada a su aplicación, esta Entidad se ha pronunciado en los siguientes conceptos: C-741 del 15 de julio de 2025 y C-1550 del 2 de diciembre de 2025, entre otros. </w:t>
      </w:r>
      <w:r w:rsidRPr="00A94CED">
        <w:rPr>
          <w:rFonts w:ascii="Verdana" w:eastAsia="Calibri" w:hAnsi="Verdana" w:cs="Arial"/>
          <w:color w:val="000000"/>
          <w:kern w:val="2"/>
          <w:shd w:val="clear" w:color="auto" w:fill="FFFFFF"/>
          <w14:ligatures w14:val="standardContextual"/>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tgtFrame="_blank" w:tooltip="Dirección URL original: https://relatoria.colombiacompra.gov.co/. Haga clic o pulse si confía en este vínculo." w:history="1">
        <w:r w:rsidRPr="00A94CED">
          <w:rPr>
            <w:rFonts w:ascii="Verdana" w:eastAsia="Calibri" w:hAnsi="Verdana" w:cs="Arial"/>
            <w:color w:val="0000FF"/>
            <w:kern w:val="2"/>
            <w:u w:val="single"/>
            <w:shd w:val="clear" w:color="auto" w:fill="FFFFFF"/>
            <w14:ligatures w14:val="standardContextual"/>
          </w:rPr>
          <w:t>https://relatoria.colombiacompra.gov.co/</w:t>
        </w:r>
      </w:hyperlink>
      <w:r w:rsidRPr="00A94CED">
        <w:rPr>
          <w:rFonts w:ascii="Verdana" w:eastAsia="Calibri" w:hAnsi="Verdana" w:cs="Arial"/>
          <w:color w:val="0000FF"/>
          <w:kern w:val="2"/>
          <w:u w:val="single"/>
          <w:shd w:val="clear" w:color="auto" w:fill="FFFFFF"/>
          <w14:ligatures w14:val="standardContextual"/>
        </w:rPr>
        <w:t> .</w:t>
      </w:r>
    </w:p>
    <w:p w14:paraId="1027E458" w14:textId="77777777" w:rsidR="00A94CED" w:rsidRPr="00A94CED" w:rsidRDefault="00A94CED" w:rsidP="00A94CED">
      <w:pPr>
        <w:widowControl w:val="0"/>
        <w:autoSpaceDE w:val="0"/>
        <w:autoSpaceDN w:val="0"/>
        <w:spacing w:after="0" w:line="276" w:lineRule="auto"/>
        <w:jc w:val="both"/>
        <w:rPr>
          <w:rFonts w:ascii="Verdana" w:eastAsia="Calibri" w:hAnsi="Verdana" w:cs="Arial"/>
          <w:color w:val="000000"/>
          <w:shd w:val="clear" w:color="auto" w:fill="FFFFFF"/>
        </w:rPr>
      </w:pPr>
    </w:p>
    <w:p w14:paraId="656FAED3" w14:textId="77777777" w:rsidR="00A94CED" w:rsidRPr="00A94CED" w:rsidRDefault="00A94CED" w:rsidP="00A94CED">
      <w:pPr>
        <w:spacing w:after="120" w:line="276" w:lineRule="auto"/>
        <w:jc w:val="both"/>
        <w:rPr>
          <w:rFonts w:ascii="Aptos" w:eastAsia="Aptos" w:hAnsi="Aptos" w:cs="Times New Roman"/>
          <w:kern w:val="2"/>
          <w:sz w:val="24"/>
          <w:szCs w:val="24"/>
          <w14:ligatures w14:val="standardContextual"/>
        </w:rPr>
      </w:pPr>
      <w:r w:rsidRPr="00A94CED">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A94CED">
        <w:rPr>
          <w:rFonts w:ascii="Verdana" w:eastAsia="Aptos" w:hAnsi="Verdana" w:cs="Times New Roman"/>
          <w:b/>
          <w:bCs/>
          <w:color w:val="000000"/>
          <w:kern w:val="2"/>
          <w14:ligatures w14:val="standardContextual"/>
        </w:rPr>
        <w:t>Guía para la Exigencia y Constitución de Garantías en los Procesos de Contratación</w:t>
      </w:r>
      <w:r w:rsidRPr="00A94CED">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ooltip="https://nam02.safelinks.protection.outlook.com/?url=https%3A%2F%2Fwww.colombiacompra.gov.co%2Farchivos%2Fmanual%2Fguia-de-garantias-en-procesos-de-contratacion&amp;data=05%7C02%7Ccarlos.castrillon%40colombiacompra.gov.co%7C7128555136e04fa6887d08dee99e1b50%7C7b0904" w:history="1">
        <w:r w:rsidRPr="00A94CED">
          <w:rPr>
            <w:rFonts w:ascii="Verdana" w:eastAsia="Aptos" w:hAnsi="Verdana" w:cs="Times New Roman"/>
            <w:color w:val="0078D7"/>
            <w:kern w:val="2"/>
            <w:u w:val="single"/>
            <w14:ligatures w14:val="standardContextual"/>
          </w:rPr>
          <w:t>https://www.colombiacompra.gov.co/archivos/manual/guia-de-garantias-en-procesos-de-contratacion</w:t>
        </w:r>
      </w:hyperlink>
    </w:p>
    <w:p w14:paraId="0892D0F6" w14:textId="77777777" w:rsidR="00A94CED" w:rsidRPr="00A94CED" w:rsidRDefault="00A94CED" w:rsidP="00A94CED">
      <w:pPr>
        <w:spacing w:after="120" w:line="276" w:lineRule="auto"/>
        <w:jc w:val="both"/>
        <w:rPr>
          <w:rFonts w:ascii="Verdana" w:eastAsia="Aptos" w:hAnsi="Verdana" w:cs="Times New Roman"/>
          <w:color w:val="000000"/>
          <w:kern w:val="2"/>
          <w14:ligatures w14:val="standardContextual"/>
        </w:rPr>
      </w:pPr>
      <w:r w:rsidRPr="00A94CED">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A94CED">
        <w:rPr>
          <w:rFonts w:ascii="Verdana" w:eastAsia="Aptos" w:hAnsi="Verdana" w:cs="Times New Roman"/>
          <w:b/>
          <w:bCs/>
          <w:color w:val="000000"/>
          <w:kern w:val="2"/>
          <w14:ligatures w14:val="standardContextual"/>
        </w:rPr>
        <w:t>Sistema Integral de Preferencias en favor de las personas con discapacidad</w:t>
      </w:r>
      <w:r w:rsidRPr="00A94CED">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A94CED">
        <w:rPr>
          <w:rFonts w:ascii="Verdana" w:eastAsia="Aptos" w:hAnsi="Verdana" w:cs="Times New Roman"/>
          <w:b/>
          <w:bCs/>
          <w:color w:val="000000"/>
          <w:kern w:val="2"/>
          <w14:ligatures w14:val="standardContextual"/>
        </w:rPr>
        <w:t>Circular Externa 003 del 12 de mayo de 2026, </w:t>
      </w:r>
      <w:r w:rsidRPr="00A94CED">
        <w:rPr>
          <w:rFonts w:ascii="Verdana" w:eastAsia="Aptos" w:hAnsi="Verdana" w:cs="Times New Roman"/>
          <w:color w:val="000000"/>
          <w:kern w:val="2"/>
          <w14:ligatures w14:val="standardContextual"/>
        </w:rPr>
        <w:t xml:space="preserve">en la que precisa quiénes son los beneficiarios, las cinco medidas que integran el sistema y su obligatoriedad según la modalidad de selección, y el régimen de transición aplicable a los procesos en curso. Consúltala </w:t>
      </w:r>
      <w:r w:rsidRPr="00A94CED">
        <w:rPr>
          <w:rFonts w:ascii="Verdana" w:eastAsia="Aptos" w:hAnsi="Verdana" w:cs="Times New Roman"/>
          <w:color w:val="000000"/>
          <w:kern w:val="2"/>
          <w14:ligatures w14:val="standardContextual"/>
        </w:rPr>
        <w:lastRenderedPageBreak/>
        <w:t>aquí: </w:t>
      </w:r>
      <w:hyperlink r:id="rId15" w:tooltip="https://nam02.safelinks.protection.outlook.com/?url=https%3A%2F%2Fwww.colombiacompra.gov.co%2Farchivos%2Fcircular%2Fcircular-externa-003-de-2026&amp;data=05%7C02%7Ccarlos.castrillon%40colombiacompra.gov.co%7C7128555136e04fa6887d08dee99e1b50%7C7b09041e245149d08cb17" w:history="1">
        <w:r w:rsidRPr="00A94CED">
          <w:rPr>
            <w:rFonts w:ascii="Verdana" w:eastAsia="Aptos" w:hAnsi="Verdana" w:cs="Times New Roman"/>
            <w:color w:val="0078D7"/>
            <w:kern w:val="2"/>
            <w:u w:val="single"/>
            <w14:ligatures w14:val="standardContextual"/>
          </w:rPr>
          <w:t>https://www.colombiacompra.gov.co/archivos/circular/circular-externa-003-de-2026</w:t>
        </w:r>
      </w:hyperlink>
    </w:p>
    <w:p w14:paraId="03672DF6" w14:textId="77777777" w:rsidR="00A94CED" w:rsidRPr="00A94CED" w:rsidRDefault="00A94CED" w:rsidP="00A94CED">
      <w:pPr>
        <w:spacing w:after="120" w:line="276" w:lineRule="auto"/>
        <w:jc w:val="both"/>
        <w:rPr>
          <w:rFonts w:ascii="Verdana" w:eastAsia="Aptos" w:hAnsi="Verdana" w:cs="Times New Roman"/>
          <w:color w:val="000000"/>
          <w:kern w:val="2"/>
          <w14:ligatures w14:val="standardContextual"/>
        </w:rPr>
      </w:pPr>
      <w:r w:rsidRPr="00A94CED">
        <w:rPr>
          <w:rFonts w:ascii="Verdana" w:eastAsia="Aptos" w:hAnsi="Verdana" w:cs="Times New Roman"/>
          <w:color w:val="000000"/>
          <w:kern w:val="2"/>
          <w14:ligatures w14:val="standardContextual"/>
        </w:rPr>
        <w:t>Recuerda también que la</w:t>
      </w:r>
      <w:r w:rsidRPr="00A94CED">
        <w:rPr>
          <w:rFonts w:ascii="Verdana" w:eastAsia="Aptos" w:hAnsi="Verdana" w:cs="Times New Roman"/>
          <w:b/>
          <w:bCs/>
          <w:color w:val="000000"/>
          <w:kern w:val="2"/>
          <w14:ligatures w14:val="standardContextual"/>
        </w:rPr>
        <w:t> información sobre sanciones e inhabilidades </w:t>
      </w:r>
      <w:r w:rsidRPr="00A94CED">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A94CED">
        <w:rPr>
          <w:rFonts w:ascii="Verdana" w:eastAsia="Aptos" w:hAnsi="Verdana" w:cs="Times New Roman"/>
          <w:b/>
          <w:bCs/>
          <w:color w:val="000000"/>
          <w:kern w:val="2"/>
          <w14:ligatures w14:val="standardContextual"/>
        </w:rPr>
        <w:t>Circular Externa 002 del 5 de mayo de 2026,</w:t>
      </w:r>
      <w:r w:rsidRPr="00A94CED">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ooltip="https://nam02.safelinks.protection.outlook.com/?url=https%3A%2F%2Fwww.colombiacompra.gov.co%2Farchivos%2Fcircular%2Fcircular-externa-002-de-2026&amp;data=05%7C02%7Ccarlos.castrillon%40colombiacompra.gov.co%7C7128555136e04fa6887d08dee99e1b50%7C7b09041e245149d08cb17" w:history="1">
        <w:r w:rsidRPr="00A94CED">
          <w:rPr>
            <w:rFonts w:ascii="Verdana" w:eastAsia="Aptos" w:hAnsi="Verdana" w:cs="Times New Roman"/>
            <w:color w:val="0078D7"/>
            <w:kern w:val="2"/>
            <w:u w:val="single"/>
            <w14:ligatures w14:val="standardContextual"/>
          </w:rPr>
          <w:t>https://www.colombiacompra.gov.co/archivos/circular/circular-externa-002-de-2026</w:t>
        </w:r>
      </w:hyperlink>
    </w:p>
    <w:p w14:paraId="285AD983" w14:textId="77777777" w:rsidR="00A94CED" w:rsidRPr="00A94CED" w:rsidRDefault="00A94CED" w:rsidP="00A94CED">
      <w:pPr>
        <w:spacing w:after="120" w:line="276" w:lineRule="auto"/>
        <w:jc w:val="both"/>
        <w:rPr>
          <w:rFonts w:ascii="Verdana" w:eastAsia="Aptos" w:hAnsi="Verdana" w:cs="Times New Roman"/>
          <w:color w:val="000000"/>
          <w:kern w:val="2"/>
          <w14:ligatures w14:val="standardContextual"/>
        </w:rPr>
      </w:pPr>
      <w:r w:rsidRPr="00A94CED">
        <w:rPr>
          <w:rFonts w:ascii="Verdana" w:eastAsia="Aptos" w:hAnsi="Verdana" w:cs="Times New Roman"/>
          <w:color w:val="000000"/>
          <w:kern w:val="2"/>
          <w14:ligatures w14:val="standardContextual"/>
        </w:rPr>
        <w:t>Finalmente, si quieres seguir de cerca la actividad de la Agencia, la tercera edición de 2026 del</w:t>
      </w:r>
      <w:r w:rsidRPr="00A94CED">
        <w:rPr>
          <w:rFonts w:ascii="Verdana" w:eastAsia="Aptos" w:hAnsi="Verdana" w:cs="Times New Roman"/>
          <w:b/>
          <w:bCs/>
          <w:color w:val="000000"/>
          <w:kern w:val="2"/>
          <w14:ligatures w14:val="standardContextual"/>
        </w:rPr>
        <w:t> Radar de la Compra Pública</w:t>
      </w:r>
      <w:r w:rsidRPr="00A94CED">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ooltip="https://nam02.safelinks.protection.outlook.com/?url=https%3A%2F%2Fwww.colombiacompra.gov.co%2Farchivos%2Fboletin%2Fboletin-edicion-n-3-de-2026-radar-de-la-compra-publica&amp;data=05%7C02%7Ccarlos.castrillon%40colombiacompra.gov.co%7C7128555136e04fa6887d08dee99e1b5" w:history="1">
        <w:r w:rsidRPr="00A94CED">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A94CED">
        <w:rPr>
          <w:rFonts w:ascii="Verdana" w:eastAsia="Aptos" w:hAnsi="Verdana" w:cs="Times New Roman"/>
          <w:color w:val="000000"/>
          <w:kern w:val="2"/>
          <w14:ligatures w14:val="standardContextual"/>
        </w:rPr>
        <w:t>"</w:t>
      </w:r>
    </w:p>
    <w:p w14:paraId="40573155" w14:textId="77777777" w:rsidR="00A94CED" w:rsidRPr="00A94CED" w:rsidRDefault="00A94CED" w:rsidP="00A94CED">
      <w:pPr>
        <w:spacing w:after="120" w:line="240" w:lineRule="auto"/>
        <w:jc w:val="both"/>
        <w:rPr>
          <w:rFonts w:ascii="Verdana" w:eastAsia="Calibri" w:hAnsi="Verdana" w:cs="Times New Roman"/>
          <w:lang w:eastAsia="es-MX"/>
        </w:rPr>
      </w:pPr>
      <w:r w:rsidRPr="00A94CED">
        <w:rPr>
          <w:rFonts w:ascii="Verdana" w:eastAsia="Aptos" w:hAnsi="Verdana" w:cs="Times New Roman"/>
          <w:lang w:eastAsia="es-MX"/>
        </w:rPr>
        <w:t xml:space="preserve">Por último, lo invitamos a seguirnos en las redes sociales en las cuales se difunde información institucional: </w:t>
      </w:r>
    </w:p>
    <w:p w14:paraId="6C0C734D" w14:textId="77777777" w:rsidR="00A94CED" w:rsidRPr="00A94CED" w:rsidRDefault="00A94CED" w:rsidP="00A94CED">
      <w:pPr>
        <w:spacing w:after="120" w:line="240" w:lineRule="auto"/>
        <w:jc w:val="both"/>
        <w:rPr>
          <w:rFonts w:ascii="Verdana" w:eastAsia="Aptos" w:hAnsi="Verdana" w:cs="Times New Roman"/>
          <w:lang w:eastAsia="es-MX"/>
        </w:rPr>
      </w:pPr>
      <w:r w:rsidRPr="00A94CED">
        <w:rPr>
          <w:rFonts w:ascii="Verdana" w:eastAsia="Aptos" w:hAnsi="Verdana" w:cs="Times New Roman"/>
          <w:lang w:eastAsia="es-MX"/>
        </w:rPr>
        <w:t xml:space="preserve">Twitter: </w:t>
      </w:r>
      <w:r w:rsidRPr="00A94CED">
        <w:rPr>
          <w:rFonts w:ascii="Verdana" w:eastAsia="Calibri" w:hAnsi="Verdana" w:cs="Times New Roman"/>
          <w:color w:val="156082"/>
          <w:u w:val="single"/>
          <w:lang w:eastAsia="es-MX"/>
        </w:rPr>
        <w:t>@colombiacompra</w:t>
      </w:r>
      <w:r w:rsidRPr="00A94CED">
        <w:rPr>
          <w:rFonts w:ascii="Verdana" w:eastAsia="Calibri" w:hAnsi="Verdana" w:cs="Times New Roman"/>
          <w:color w:val="156082"/>
          <w:lang w:eastAsia="es-MX"/>
        </w:rPr>
        <w:t xml:space="preserve"> </w:t>
      </w:r>
    </w:p>
    <w:p w14:paraId="34B0409E" w14:textId="77777777" w:rsidR="00A94CED" w:rsidRPr="00A94CED" w:rsidRDefault="00A94CED" w:rsidP="00A94CED">
      <w:pPr>
        <w:spacing w:after="120" w:line="240" w:lineRule="auto"/>
        <w:jc w:val="both"/>
        <w:rPr>
          <w:rFonts w:ascii="Verdana" w:eastAsia="Aptos" w:hAnsi="Verdana" w:cs="Times New Roman"/>
          <w:lang w:eastAsia="es-MX"/>
        </w:rPr>
      </w:pPr>
      <w:r w:rsidRPr="00A94CED">
        <w:rPr>
          <w:rFonts w:ascii="Verdana" w:eastAsia="Aptos" w:hAnsi="Verdana" w:cs="Times New Roman"/>
          <w:lang w:eastAsia="es-MX"/>
        </w:rPr>
        <w:t xml:space="preserve">Facebook: </w:t>
      </w:r>
      <w:proofErr w:type="spellStart"/>
      <w:r w:rsidRPr="00A94CED">
        <w:rPr>
          <w:rFonts w:ascii="Verdana" w:eastAsia="Calibri" w:hAnsi="Verdana" w:cs="Times New Roman"/>
          <w:color w:val="156082"/>
          <w:u w:val="single"/>
          <w:lang w:eastAsia="es-MX"/>
        </w:rPr>
        <w:t>ColombiaCompraEficiente</w:t>
      </w:r>
      <w:proofErr w:type="spellEnd"/>
    </w:p>
    <w:p w14:paraId="68ABB999" w14:textId="77777777" w:rsidR="00A94CED" w:rsidRPr="00A94CED" w:rsidRDefault="00A94CED" w:rsidP="00A94CED">
      <w:pPr>
        <w:spacing w:after="120" w:line="240" w:lineRule="auto"/>
        <w:jc w:val="both"/>
        <w:rPr>
          <w:rFonts w:ascii="Verdana" w:eastAsia="Aptos" w:hAnsi="Verdana" w:cs="Times New Roman"/>
          <w:lang w:eastAsia="es-MX"/>
        </w:rPr>
      </w:pPr>
      <w:r w:rsidRPr="00A94CED">
        <w:rPr>
          <w:rFonts w:ascii="Verdana" w:eastAsia="Aptos" w:hAnsi="Verdana" w:cs="Times New Roman"/>
          <w:lang w:eastAsia="es-MX"/>
        </w:rPr>
        <w:t xml:space="preserve">LinkedIn: </w:t>
      </w:r>
      <w:r w:rsidRPr="00A94CED">
        <w:rPr>
          <w:rFonts w:ascii="Verdana" w:eastAsia="Calibri" w:hAnsi="Verdana" w:cs="Times New Roman"/>
          <w:color w:val="156082"/>
          <w:u w:val="single"/>
          <w:lang w:eastAsia="es-MX"/>
        </w:rPr>
        <w:t>Agencia Nacional de Contratación Pública - Colombia Compra Eficiente</w:t>
      </w:r>
      <w:r w:rsidRPr="00A94CED">
        <w:rPr>
          <w:rFonts w:ascii="Verdana" w:eastAsia="Calibri" w:hAnsi="Verdana" w:cs="Times New Roman"/>
          <w:color w:val="156082"/>
          <w:lang w:eastAsia="es-MX"/>
        </w:rPr>
        <w:t xml:space="preserve"> </w:t>
      </w:r>
      <w:r w:rsidRPr="00A94CED">
        <w:rPr>
          <w:rFonts w:ascii="Verdana" w:eastAsia="Aptos" w:hAnsi="Verdana" w:cs="Times New Roman"/>
          <w:lang w:eastAsia="es-MX"/>
        </w:rPr>
        <w:t xml:space="preserve">Instagram: </w:t>
      </w:r>
      <w:r w:rsidRPr="00A94CED">
        <w:rPr>
          <w:rFonts w:ascii="Verdana" w:eastAsia="Calibri" w:hAnsi="Verdana" w:cs="Times New Roman"/>
          <w:color w:val="156082"/>
          <w:u w:val="single"/>
          <w:lang w:eastAsia="es-MX"/>
        </w:rPr>
        <w:t>@colombiacompraeficiente_cce</w:t>
      </w:r>
    </w:p>
    <w:p w14:paraId="1EFC185F" w14:textId="77777777" w:rsidR="00A94CED" w:rsidRPr="00A94CED" w:rsidRDefault="00A94CED" w:rsidP="00A94CED">
      <w:pPr>
        <w:spacing w:after="0" w:line="276" w:lineRule="auto"/>
        <w:jc w:val="both"/>
        <w:rPr>
          <w:rFonts w:ascii="Verdana" w:eastAsia="Aptos" w:hAnsi="Verdana" w:cs="Times New Roman"/>
          <w:lang w:eastAsia="es-MX"/>
        </w:rPr>
      </w:pPr>
    </w:p>
    <w:p w14:paraId="483FBCAB" w14:textId="77777777" w:rsidR="00A94CED" w:rsidRPr="00A94CED" w:rsidRDefault="00A94CED" w:rsidP="00A94CED">
      <w:pPr>
        <w:spacing w:after="0" w:line="276" w:lineRule="auto"/>
        <w:jc w:val="both"/>
        <w:rPr>
          <w:rFonts w:ascii="Verdana" w:eastAsia="Calibri" w:hAnsi="Verdana" w:cs="Times New Roman"/>
          <w:bCs/>
          <w:lang w:val="es-ES_tradnl" w:eastAsia="es-MX"/>
        </w:rPr>
      </w:pPr>
      <w:r w:rsidRPr="00A94CED">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035C2E3" w14:textId="77777777" w:rsidR="00A94CED" w:rsidRPr="00A94CED" w:rsidRDefault="00A94CED" w:rsidP="00A94CED">
      <w:pPr>
        <w:spacing w:after="0" w:line="276" w:lineRule="auto"/>
        <w:jc w:val="both"/>
        <w:rPr>
          <w:rFonts w:ascii="Verdana" w:eastAsia="Calibri" w:hAnsi="Verdana" w:cs="Times New Roman"/>
          <w:lang w:eastAsia="es-MX"/>
        </w:rPr>
      </w:pPr>
    </w:p>
    <w:p w14:paraId="39826558" w14:textId="77777777" w:rsidR="00A94CED" w:rsidRPr="00A94CED" w:rsidRDefault="00A94CED" w:rsidP="00A94CED">
      <w:pPr>
        <w:spacing w:after="0" w:line="276" w:lineRule="auto"/>
        <w:jc w:val="both"/>
        <w:rPr>
          <w:rFonts w:ascii="Verdana" w:eastAsia="Calibri" w:hAnsi="Verdana" w:cs="Times New Roman"/>
          <w:lang w:eastAsia="es-MX"/>
        </w:rPr>
      </w:pPr>
      <w:r w:rsidRPr="00A94CED">
        <w:rPr>
          <w:rFonts w:ascii="Verdana" w:eastAsia="Calibri" w:hAnsi="Verdana" w:cs="Times New Roman"/>
          <w:lang w:eastAsia="es-MX"/>
        </w:rPr>
        <w:lastRenderedPageBreak/>
        <w:t>Atentamente,</w:t>
      </w:r>
    </w:p>
    <w:p w14:paraId="5A76A381" w14:textId="431F8F11" w:rsidR="00A94CED" w:rsidRPr="00A94CED" w:rsidRDefault="00861DF5" w:rsidP="00A94CED">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2CC067DA" wp14:editId="6C5CE684">
            <wp:extent cx="2547937" cy="1093844"/>
            <wp:effectExtent l="0" t="0" r="5080"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8"/>
                    <a:stretch>
                      <a:fillRect/>
                    </a:stretch>
                  </pic:blipFill>
                  <pic:spPr>
                    <a:xfrm>
                      <a:off x="0" y="0"/>
                      <a:ext cx="2553823" cy="1096371"/>
                    </a:xfrm>
                    <a:prstGeom prst="rect">
                      <a:avLst/>
                    </a:prstGeom>
                  </pic:spPr>
                </pic:pic>
              </a:graphicData>
            </a:graphic>
          </wp:inline>
        </w:drawing>
      </w:r>
    </w:p>
    <w:p w14:paraId="146B7118" w14:textId="77777777" w:rsidR="00A94CED" w:rsidRPr="00A94CED" w:rsidRDefault="00A94CED" w:rsidP="00A94CED">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A94CED" w:rsidRPr="00A94CED" w14:paraId="62CF7050" w14:textId="77777777" w:rsidTr="00933CEA">
        <w:trPr>
          <w:trHeight w:val="323"/>
        </w:trPr>
        <w:tc>
          <w:tcPr>
            <w:tcW w:w="1041" w:type="dxa"/>
            <w:vAlign w:val="center"/>
            <w:hideMark/>
          </w:tcPr>
          <w:p w14:paraId="78DE6867" w14:textId="77777777" w:rsidR="00A94CED" w:rsidRPr="00A94CED" w:rsidRDefault="00A94CED" w:rsidP="00A94CED">
            <w:pPr>
              <w:rPr>
                <w:rFonts w:ascii="Verdana" w:eastAsia="Calibri" w:hAnsi="Verdana" w:cs="Arial"/>
                <w:sz w:val="16"/>
                <w:szCs w:val="16"/>
                <w:lang w:val="es-ES_tradnl" w:eastAsia="es-ES"/>
              </w:rPr>
            </w:pPr>
            <w:r w:rsidRPr="00A94CED">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07582A96" w14:textId="77777777" w:rsidR="00A94CED" w:rsidRPr="00A94CED" w:rsidRDefault="00A94CED" w:rsidP="00A94CED">
            <w:pPr>
              <w:rPr>
                <w:rFonts w:ascii="Verdana" w:eastAsia="Arial" w:hAnsi="Verdana" w:cs="Arial"/>
                <w:sz w:val="16"/>
                <w:szCs w:val="16"/>
                <w:lang w:val="es-ES" w:eastAsia="es-MX"/>
              </w:rPr>
            </w:pPr>
            <w:r w:rsidRPr="00A94CED">
              <w:rPr>
                <w:rFonts w:ascii="Verdana" w:eastAsia="Arial" w:hAnsi="Verdana" w:cs="Arial"/>
                <w:sz w:val="16"/>
                <w:szCs w:val="16"/>
                <w:lang w:val="es-ES" w:eastAsia="es-MX"/>
              </w:rPr>
              <w:t xml:space="preserve">Carlos Mario Castrillón Endo </w:t>
            </w:r>
          </w:p>
          <w:p w14:paraId="5C667703" w14:textId="77777777" w:rsidR="00A94CED" w:rsidRPr="00A94CED" w:rsidRDefault="00A94CED" w:rsidP="00A94CED">
            <w:pPr>
              <w:rPr>
                <w:rFonts w:ascii="Verdana" w:eastAsia="Arial" w:hAnsi="Verdana" w:cs="Arial"/>
                <w:sz w:val="16"/>
                <w:szCs w:val="16"/>
                <w:lang w:val="es-ES_tradnl" w:eastAsia="es-MX"/>
              </w:rPr>
            </w:pPr>
            <w:r w:rsidRPr="00A94CED">
              <w:rPr>
                <w:rFonts w:ascii="Verdana" w:eastAsia="Arial" w:hAnsi="Verdana" w:cs="Arial"/>
                <w:sz w:val="16"/>
                <w:szCs w:val="16"/>
                <w:lang w:val="es-ES_tradnl" w:eastAsia="es-MX"/>
              </w:rPr>
              <w:t>Contratista de la Subdirección de Gestión Contractual</w:t>
            </w:r>
          </w:p>
          <w:p w14:paraId="61F0829B" w14:textId="77777777" w:rsidR="00A94CED" w:rsidRPr="00A94CED" w:rsidRDefault="00A94CED" w:rsidP="00A94CED">
            <w:pPr>
              <w:rPr>
                <w:rFonts w:ascii="Verdana" w:eastAsia="Arial" w:hAnsi="Verdana" w:cs="Arial"/>
                <w:sz w:val="16"/>
                <w:szCs w:val="16"/>
                <w:lang w:val="es-ES_tradnl" w:eastAsia="es-MX"/>
              </w:rPr>
            </w:pPr>
          </w:p>
        </w:tc>
      </w:tr>
      <w:tr w:rsidR="00A94CED" w:rsidRPr="00A94CED" w14:paraId="4EA66385" w14:textId="77777777" w:rsidTr="00933CEA">
        <w:trPr>
          <w:trHeight w:val="338"/>
        </w:trPr>
        <w:tc>
          <w:tcPr>
            <w:tcW w:w="1041" w:type="dxa"/>
            <w:vAlign w:val="center"/>
            <w:hideMark/>
          </w:tcPr>
          <w:p w14:paraId="4B149E81" w14:textId="77777777" w:rsidR="00A94CED" w:rsidRPr="00A94CED" w:rsidRDefault="00A94CED" w:rsidP="00A94CED">
            <w:pPr>
              <w:rPr>
                <w:rFonts w:ascii="Verdana" w:eastAsia="Calibri" w:hAnsi="Verdana" w:cs="Arial"/>
                <w:sz w:val="16"/>
                <w:szCs w:val="16"/>
                <w:lang w:val="es-ES_tradnl" w:eastAsia="es-ES"/>
              </w:rPr>
            </w:pPr>
            <w:r w:rsidRPr="00A94CED">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711194D9" w14:textId="77777777" w:rsidR="00A94CED" w:rsidRPr="00A94CED" w:rsidRDefault="00A94CED" w:rsidP="00A94CED">
            <w:pPr>
              <w:rPr>
                <w:rFonts w:ascii="Verdana" w:eastAsia="Arial" w:hAnsi="Verdana" w:cs="Arial"/>
                <w:sz w:val="16"/>
                <w:szCs w:val="16"/>
                <w:lang w:val="es-ES_tradnl" w:eastAsia="es-MX"/>
              </w:rPr>
            </w:pPr>
            <w:r w:rsidRPr="00A94CED">
              <w:rPr>
                <w:rFonts w:ascii="Verdana" w:eastAsia="Arial" w:hAnsi="Verdana" w:cs="Arial"/>
                <w:sz w:val="16"/>
                <w:szCs w:val="16"/>
                <w:lang w:val="es-ES_tradnl" w:eastAsia="es-MX"/>
              </w:rPr>
              <w:t>Martha Alicia Romero Vargas</w:t>
            </w:r>
          </w:p>
          <w:p w14:paraId="4A884ECE" w14:textId="77777777" w:rsidR="00A94CED" w:rsidRPr="00A94CED" w:rsidRDefault="00A94CED" w:rsidP="00A94CED">
            <w:pPr>
              <w:rPr>
                <w:rFonts w:ascii="Verdana" w:eastAsia="Arial" w:hAnsi="Verdana" w:cs="Arial"/>
                <w:sz w:val="16"/>
                <w:szCs w:val="16"/>
                <w:lang w:val="es-ES_tradnl" w:eastAsia="es-MX"/>
              </w:rPr>
            </w:pPr>
            <w:r w:rsidRPr="00A94CED">
              <w:rPr>
                <w:rFonts w:ascii="Verdana" w:eastAsia="Arial" w:hAnsi="Verdana" w:cs="Arial"/>
                <w:sz w:val="16"/>
                <w:szCs w:val="16"/>
                <w:lang w:val="es-ES_tradnl" w:eastAsia="es-MX"/>
              </w:rPr>
              <w:t>Gestor T1-15 de la Subdirección de Gestión Contractual</w:t>
            </w:r>
          </w:p>
          <w:p w14:paraId="6A4405FB" w14:textId="77777777" w:rsidR="00A94CED" w:rsidRPr="00A94CED" w:rsidRDefault="00A94CED" w:rsidP="00A94CED">
            <w:pPr>
              <w:rPr>
                <w:rFonts w:ascii="Verdana" w:eastAsia="Arial" w:hAnsi="Verdana" w:cs="Arial"/>
                <w:sz w:val="16"/>
                <w:szCs w:val="16"/>
                <w:lang w:val="es-ES_tradnl" w:eastAsia="es-MX"/>
              </w:rPr>
            </w:pPr>
          </w:p>
        </w:tc>
      </w:tr>
      <w:tr w:rsidR="00A94CED" w:rsidRPr="00A94CED" w14:paraId="51644604" w14:textId="77777777" w:rsidTr="00933CEA">
        <w:trPr>
          <w:trHeight w:val="308"/>
        </w:trPr>
        <w:tc>
          <w:tcPr>
            <w:tcW w:w="1041" w:type="dxa"/>
            <w:vAlign w:val="center"/>
          </w:tcPr>
          <w:p w14:paraId="6044D063" w14:textId="77777777" w:rsidR="00A94CED" w:rsidRPr="00A94CED" w:rsidRDefault="00A94CED" w:rsidP="00A94CED">
            <w:pPr>
              <w:rPr>
                <w:rFonts w:ascii="Verdana" w:eastAsia="Calibri" w:hAnsi="Verdana" w:cs="Arial"/>
                <w:sz w:val="16"/>
                <w:szCs w:val="16"/>
                <w:lang w:val="es-ES_tradnl" w:eastAsia="es-ES"/>
              </w:rPr>
            </w:pPr>
            <w:r w:rsidRPr="00A94CED">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4AFB5575" w14:textId="77777777" w:rsidR="00A94CED" w:rsidRPr="00A94CED" w:rsidRDefault="00A94CED" w:rsidP="00A94CED">
            <w:pPr>
              <w:rPr>
                <w:rFonts w:ascii="Verdana" w:eastAsia="Calibri" w:hAnsi="Verdana" w:cs="Arial"/>
                <w:sz w:val="16"/>
                <w:szCs w:val="16"/>
                <w:lang w:val="es-ES" w:eastAsia="es-ES"/>
              </w:rPr>
            </w:pPr>
            <w:r w:rsidRPr="00A94CED">
              <w:rPr>
                <w:rFonts w:ascii="Verdana" w:eastAsia="Calibri" w:hAnsi="Verdana" w:cs="Arial"/>
                <w:sz w:val="16"/>
                <w:szCs w:val="16"/>
                <w:lang w:val="es-ES" w:eastAsia="es-ES"/>
              </w:rPr>
              <w:t>Carolina Quintero Gacharná</w:t>
            </w:r>
          </w:p>
          <w:p w14:paraId="270A4E22" w14:textId="77777777" w:rsidR="00A94CED" w:rsidRPr="00A94CED" w:rsidRDefault="00A94CED" w:rsidP="00A94CED">
            <w:pPr>
              <w:rPr>
                <w:rFonts w:ascii="Verdana" w:eastAsia="Calibri" w:hAnsi="Verdana" w:cs="Arial"/>
                <w:sz w:val="16"/>
                <w:szCs w:val="16"/>
                <w:lang w:val="es-ES_tradnl" w:eastAsia="es-ES"/>
              </w:rPr>
            </w:pPr>
            <w:r w:rsidRPr="00A94CED">
              <w:rPr>
                <w:rFonts w:ascii="Verdana" w:eastAsia="Calibri" w:hAnsi="Verdana" w:cs="Arial"/>
                <w:sz w:val="16"/>
                <w:szCs w:val="16"/>
                <w:lang w:val="es-ES_tradnl" w:eastAsia="es-ES"/>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221C9DF"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0E8D6" w14:textId="77777777" w:rsidR="00D46F9E" w:rsidRDefault="00D46F9E" w:rsidP="004A1847">
      <w:pPr>
        <w:spacing w:after="0" w:line="240" w:lineRule="auto"/>
      </w:pPr>
      <w:r>
        <w:separator/>
      </w:r>
    </w:p>
  </w:endnote>
  <w:endnote w:type="continuationSeparator" w:id="0">
    <w:p w14:paraId="1D3B8042" w14:textId="77777777" w:rsidR="00D46F9E" w:rsidRDefault="00D46F9E" w:rsidP="004A1847">
      <w:pPr>
        <w:spacing w:after="0" w:line="240" w:lineRule="auto"/>
      </w:pPr>
      <w:r>
        <w:continuationSeparator/>
      </w:r>
    </w:p>
  </w:endnote>
  <w:endnote w:type="continuationNotice" w:id="1">
    <w:p w14:paraId="313BE90D" w14:textId="77777777" w:rsidR="00D46F9E" w:rsidRDefault="00D46F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820C" w14:textId="77777777" w:rsidR="007363A0" w:rsidRDefault="007363A0">
    <w:pPr>
      <w:pStyle w:val="Piedepgina"/>
    </w:pPr>
  </w:p>
  <w:p w14:paraId="31602499" w14:textId="77777777" w:rsidR="00882CE2" w:rsidRDefault="00882CE2">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A94CED">
      <w:rPr>
        <w:rFonts w:ascii="Verdana" w:eastAsia="Verdana" w:hAnsi="Verdana" w:cs="Verdana"/>
        <w:b/>
        <w:bCs/>
        <w:color w:val="000000"/>
        <w:sz w:val="18"/>
        <w:szCs w:val="18"/>
        <w:lang w:eastAsia="es-CO"/>
      </w:rPr>
      <w:t xml:space="preserve">Código: </w:t>
    </w:r>
    <w:r w:rsidRPr="00A94CED">
      <w:rPr>
        <w:rFonts w:ascii="Verdana" w:eastAsia="Verdana" w:hAnsi="Verdana" w:cs="Verdana"/>
        <w:color w:val="000000"/>
        <w:sz w:val="18"/>
        <w:szCs w:val="18"/>
        <w:lang w:eastAsia="es-CO"/>
      </w:rPr>
      <w:t xml:space="preserve">CCE-REC-FM-17 </w:t>
    </w:r>
    <w:r w:rsidRPr="00A94CED">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39223" w14:textId="77777777" w:rsidR="00D46F9E" w:rsidRDefault="00D46F9E" w:rsidP="004A1847">
      <w:pPr>
        <w:spacing w:after="0" w:line="240" w:lineRule="auto"/>
      </w:pPr>
      <w:r>
        <w:separator/>
      </w:r>
    </w:p>
  </w:footnote>
  <w:footnote w:type="continuationSeparator" w:id="0">
    <w:p w14:paraId="4284F7EA" w14:textId="77777777" w:rsidR="00D46F9E" w:rsidRDefault="00D46F9E" w:rsidP="004A1847">
      <w:pPr>
        <w:spacing w:after="0" w:line="240" w:lineRule="auto"/>
      </w:pPr>
      <w:r>
        <w:continuationSeparator/>
      </w:r>
    </w:p>
  </w:footnote>
  <w:footnote w:type="continuationNotice" w:id="1">
    <w:p w14:paraId="453D9113" w14:textId="77777777" w:rsidR="00D46F9E" w:rsidRDefault="00D46F9E">
      <w:pPr>
        <w:spacing w:after="0" w:line="240" w:lineRule="auto"/>
      </w:pPr>
    </w:p>
  </w:footnote>
  <w:footnote w:id="2">
    <w:p w14:paraId="0EE782D1"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OSPINA MENA, Jesús Marino. Régimen de la Contratación Estatal. Un salto a la contratación líquida. Bogotá: Ed. 1ª. Diké, 2020. p. 383.</w:t>
      </w:r>
    </w:p>
    <w:p w14:paraId="629254C1" w14:textId="77777777" w:rsidR="00A94CED" w:rsidRPr="00264996" w:rsidRDefault="00A94CED" w:rsidP="00A94CED">
      <w:pPr>
        <w:pStyle w:val="Textonotapie"/>
        <w:ind w:firstLine="708"/>
        <w:jc w:val="both"/>
        <w:rPr>
          <w:rFonts w:ascii="Verdana" w:hAnsi="Verdana" w:cs="Arial"/>
          <w:sz w:val="19"/>
          <w:szCs w:val="19"/>
        </w:rPr>
      </w:pPr>
    </w:p>
  </w:footnote>
  <w:footnote w:id="3">
    <w:p w14:paraId="22CA6ABC"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Consejo de Estado. Sala de lo Contencioso Administrativo. Sección Tercera. Sentencia de 30 de noviembre de 2006. Exp. 18.059. M.P. Alier Hernández Enríquez.</w:t>
      </w:r>
    </w:p>
    <w:p w14:paraId="4A6D7EC5" w14:textId="77777777" w:rsidR="00A94CED" w:rsidRPr="00264996" w:rsidRDefault="00A94CED" w:rsidP="00A94CED">
      <w:pPr>
        <w:pStyle w:val="Textonotapie"/>
        <w:ind w:firstLine="708"/>
        <w:jc w:val="both"/>
        <w:rPr>
          <w:rFonts w:ascii="Verdana" w:hAnsi="Verdana" w:cs="Arial"/>
          <w:sz w:val="19"/>
          <w:szCs w:val="19"/>
        </w:rPr>
      </w:pPr>
    </w:p>
  </w:footnote>
  <w:footnote w:id="4">
    <w:p w14:paraId="65A5288D" w14:textId="77777777" w:rsidR="00A94CED" w:rsidRPr="00264996" w:rsidRDefault="00A94CED" w:rsidP="00A94CED">
      <w:pPr>
        <w:pStyle w:val="Textonotapie"/>
        <w:ind w:firstLine="708"/>
        <w:contextualSpacing/>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GONZÁLEZ LÓPEZ, Edgar</w:t>
      </w:r>
      <w:r w:rsidRPr="00264996">
        <w:rPr>
          <w:rFonts w:ascii="Verdana" w:hAnsi="Verdana" w:cs="Arial"/>
          <w:i/>
          <w:sz w:val="19"/>
          <w:szCs w:val="19"/>
        </w:rPr>
        <w:t xml:space="preserve">. </w:t>
      </w:r>
      <w:r w:rsidRPr="00264996">
        <w:rPr>
          <w:rFonts w:ascii="Verdana" w:hAnsi="Verdana" w:cs="Arial"/>
          <w:sz w:val="19"/>
          <w:szCs w:val="19"/>
        </w:rPr>
        <w:t xml:space="preserve">El pliego de condiciones en la contratación. La reforma consagrada en la Ley 1150 de 2007 y sus decretos reglamentarios. Universidad Externado de Colombia. Primera edición, 2010, pp. 64.  </w:t>
      </w:r>
    </w:p>
    <w:p w14:paraId="0C119306" w14:textId="77777777" w:rsidR="00A94CED" w:rsidRPr="00264996" w:rsidRDefault="00A94CED" w:rsidP="00A94CED">
      <w:pPr>
        <w:pStyle w:val="Textonotapie"/>
        <w:ind w:firstLine="708"/>
        <w:contextualSpacing/>
        <w:jc w:val="both"/>
        <w:rPr>
          <w:rFonts w:ascii="Verdana" w:hAnsi="Verdana" w:cs="Arial"/>
          <w:sz w:val="19"/>
          <w:szCs w:val="19"/>
        </w:rPr>
      </w:pPr>
    </w:p>
  </w:footnote>
  <w:footnote w:id="5">
    <w:p w14:paraId="194212F1"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Sin perjuicio de los dispuesto en el artículo 2.2.1.1.2.1.3. del Decreto 1082 de 2015 sobre el contenido del pliego de condiciones, donde se desarrolla de forma más exhaustiva cada uno de sus componentes mínimos.</w:t>
      </w:r>
    </w:p>
    <w:p w14:paraId="16DD5F27" w14:textId="77777777" w:rsidR="00A94CED" w:rsidRPr="00264996" w:rsidRDefault="00A94CED" w:rsidP="00A94CED">
      <w:pPr>
        <w:pStyle w:val="Textonotapie"/>
        <w:ind w:firstLine="708"/>
        <w:jc w:val="both"/>
        <w:rPr>
          <w:rFonts w:ascii="Verdana" w:hAnsi="Verdana" w:cs="Arial"/>
          <w:sz w:val="19"/>
          <w:szCs w:val="19"/>
        </w:rPr>
      </w:pPr>
    </w:p>
  </w:footnote>
  <w:footnote w:id="6">
    <w:p w14:paraId="4598061A" w14:textId="77777777" w:rsidR="00A94CED" w:rsidRPr="00264996" w:rsidRDefault="00A94CED" w:rsidP="00A94CED">
      <w:pPr>
        <w:pStyle w:val="Textonotapie"/>
        <w:ind w:firstLine="708"/>
        <w:jc w:val="both"/>
        <w:rPr>
          <w:rFonts w:ascii="Verdana" w:hAnsi="Verdana" w:cs="Arial"/>
          <w:color w:val="000000"/>
          <w:sz w:val="19"/>
          <w:szCs w:val="19"/>
        </w:rPr>
      </w:pPr>
      <w:r w:rsidRPr="00264996">
        <w:rPr>
          <w:rStyle w:val="Refdenotaalpie"/>
          <w:rFonts w:ascii="Verdana" w:hAnsi="Verdana" w:cs="Arial"/>
          <w:color w:val="000000"/>
          <w:sz w:val="19"/>
          <w:szCs w:val="19"/>
        </w:rPr>
        <w:footnoteRef/>
      </w:r>
      <w:r w:rsidRPr="00264996">
        <w:rPr>
          <w:rFonts w:ascii="Verdana" w:hAnsi="Verdana" w:cs="Arial"/>
          <w:color w:val="000000"/>
          <w:sz w:val="19"/>
          <w:szCs w:val="19"/>
        </w:rPr>
        <w:t xml:space="preserve"> Lo anterior, sin perjuicio de los casos en que resulten aplicables los documentos tipo –o pliegos tipo– de que trata el parágrafo 7 del artículo 2 de la Ley 1150 de 2007, modificado por el artículo 1 de la Ley 2022 de 2020.</w:t>
      </w:r>
    </w:p>
    <w:p w14:paraId="742EF05B" w14:textId="77777777" w:rsidR="00A94CED" w:rsidRPr="00264996" w:rsidRDefault="00A94CED" w:rsidP="00A94CED">
      <w:pPr>
        <w:pStyle w:val="Textonotapie"/>
        <w:ind w:firstLine="708"/>
        <w:jc w:val="both"/>
        <w:rPr>
          <w:rFonts w:ascii="Verdana" w:hAnsi="Verdana" w:cs="Arial"/>
          <w:color w:val="000000"/>
          <w:sz w:val="19"/>
          <w:szCs w:val="19"/>
        </w:rPr>
      </w:pPr>
    </w:p>
  </w:footnote>
  <w:footnote w:id="7">
    <w:p w14:paraId="47C7B5E4"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Sin perjuicio de lo que ocurre en los procedimientos de selección regidos por los documentos tipo, donde se reduce, en buena medida, dicha discrecionalidad.</w:t>
      </w:r>
    </w:p>
  </w:footnote>
  <w:footnote w:id="8">
    <w:p w14:paraId="5399B5C8" w14:textId="77777777" w:rsidR="00A94CED" w:rsidRPr="00264996" w:rsidRDefault="00A94CED" w:rsidP="00A94CED">
      <w:pPr>
        <w:pStyle w:val="Textonotapie"/>
        <w:ind w:firstLine="708"/>
        <w:jc w:val="both"/>
        <w:rPr>
          <w:rFonts w:ascii="Verdana" w:hAnsi="Verdana"/>
          <w:sz w:val="19"/>
          <w:szCs w:val="19"/>
        </w:rPr>
      </w:pPr>
      <w:r w:rsidRPr="00264996">
        <w:rPr>
          <w:rStyle w:val="Refdenotaalpie"/>
          <w:rFonts w:ascii="Verdana" w:hAnsi="Verdana"/>
          <w:sz w:val="19"/>
          <w:szCs w:val="19"/>
        </w:rPr>
        <w:footnoteRef/>
      </w:r>
      <w:r w:rsidRPr="00264996">
        <w:rPr>
          <w:rFonts w:ascii="Verdana" w:hAnsi="Verdana"/>
          <w:sz w:val="19"/>
          <w:szCs w:val="19"/>
        </w:rPr>
        <w:t xml:space="preserve"> </w:t>
      </w:r>
      <w:r w:rsidRPr="00264996">
        <w:rPr>
          <w:rFonts w:ascii="Verdana" w:hAnsi="Verdana"/>
          <w:sz w:val="19"/>
          <w:szCs w:val="19"/>
          <w:lang w:val="es-ES_tradnl"/>
        </w:rPr>
        <w:t xml:space="preserve">Concepto de radicado de entrada No. </w:t>
      </w:r>
      <w:r w:rsidRPr="00264996">
        <w:rPr>
          <w:rFonts w:ascii="Verdana" w:hAnsi="Verdana"/>
          <w:sz w:val="19"/>
          <w:szCs w:val="19"/>
        </w:rPr>
        <w:t>4201913000007482 del 30 de octubre de 2019.</w:t>
      </w:r>
    </w:p>
    <w:p w14:paraId="4ADF9E36" w14:textId="77777777" w:rsidR="00A94CED" w:rsidRPr="00264996" w:rsidRDefault="00A94CED" w:rsidP="00A94CED">
      <w:pPr>
        <w:pStyle w:val="Textonotapie"/>
        <w:ind w:firstLine="708"/>
        <w:jc w:val="both"/>
        <w:rPr>
          <w:rFonts w:ascii="Verdana" w:hAnsi="Verdana"/>
          <w:sz w:val="19"/>
          <w:szCs w:val="19"/>
          <w:lang w:val="es-ES_tradnl"/>
        </w:rPr>
      </w:pPr>
    </w:p>
  </w:footnote>
  <w:footnote w:id="9">
    <w:p w14:paraId="7FC54E50" w14:textId="77777777" w:rsidR="00A94CED" w:rsidRPr="00264996" w:rsidRDefault="00A94CED" w:rsidP="00A94CED">
      <w:pPr>
        <w:pStyle w:val="Textonotapie"/>
        <w:ind w:firstLine="708"/>
        <w:jc w:val="both"/>
        <w:rPr>
          <w:rFonts w:ascii="Verdana" w:hAnsi="Verdana"/>
          <w:sz w:val="19"/>
          <w:szCs w:val="19"/>
          <w:lang w:val="es-ES_tradnl"/>
        </w:rPr>
      </w:pPr>
      <w:r>
        <w:rPr>
          <w:rStyle w:val="Refdenotaalpie"/>
        </w:rPr>
        <w:footnoteRef/>
      </w:r>
      <w:r>
        <w:t xml:space="preserve"> </w:t>
      </w:r>
      <w:r w:rsidRPr="00264996">
        <w:rPr>
          <w:rFonts w:ascii="Verdana" w:hAnsi="Verdana"/>
          <w:sz w:val="19"/>
          <w:szCs w:val="19"/>
        </w:rPr>
        <w:t xml:space="preserve">Esta tesis también fue sostenida por esta Agencia en el radicado No. 4201814000008741 en el que se indicó que “dado que la normativa aplicable a los Procesos de Contratación no exige poder especial para la radicación de las propuestas, las Entidades Estatales no deben exigirlo”. </w:t>
      </w:r>
    </w:p>
    <w:p w14:paraId="4F5A44F4" w14:textId="77777777" w:rsidR="00A94CED" w:rsidRPr="00C84315" w:rsidRDefault="00A94CED" w:rsidP="00A94CED">
      <w:pPr>
        <w:pStyle w:val="Textonotapie"/>
        <w:rPr>
          <w:lang w:val="es-ES_tradnl"/>
        </w:rPr>
      </w:pPr>
    </w:p>
  </w:footnote>
  <w:footnote w:id="10">
    <w:p w14:paraId="55142213"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OSPINA MENA, Jesús Marino. Régimen de la Contratación Estatal. Un salto a la contratación líquida. Bogotá: Ed. 1ª. Diké, 2020. p. 383.</w:t>
      </w:r>
    </w:p>
    <w:p w14:paraId="006C2027" w14:textId="77777777" w:rsidR="00A94CED" w:rsidRPr="00264996" w:rsidRDefault="00A94CED" w:rsidP="00A94CED">
      <w:pPr>
        <w:pStyle w:val="Textonotapie"/>
        <w:ind w:firstLine="708"/>
        <w:jc w:val="both"/>
        <w:rPr>
          <w:rFonts w:ascii="Verdana" w:hAnsi="Verdana" w:cs="Arial"/>
          <w:sz w:val="19"/>
          <w:szCs w:val="19"/>
        </w:rPr>
      </w:pPr>
    </w:p>
  </w:footnote>
  <w:footnote w:id="11">
    <w:p w14:paraId="4F1A2533"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Consejo de Estado. Sala de lo Contencioso Administrativo. Sección Tercera. Sentencia de 30 de noviembre de 2006. Exp. 18.059. M.P. Alier Hernández Enríquez.</w:t>
      </w:r>
    </w:p>
    <w:p w14:paraId="3911F5BD" w14:textId="77777777" w:rsidR="00A94CED" w:rsidRPr="00264996" w:rsidRDefault="00A94CED" w:rsidP="00A94CED">
      <w:pPr>
        <w:pStyle w:val="Textonotapie"/>
        <w:ind w:firstLine="708"/>
        <w:jc w:val="both"/>
        <w:rPr>
          <w:rFonts w:ascii="Verdana" w:hAnsi="Verdana" w:cs="Arial"/>
          <w:sz w:val="19"/>
          <w:szCs w:val="19"/>
        </w:rPr>
      </w:pPr>
    </w:p>
  </w:footnote>
  <w:footnote w:id="12">
    <w:p w14:paraId="010D1B4C" w14:textId="77777777" w:rsidR="00A94CED" w:rsidRPr="00264996" w:rsidRDefault="00A94CED" w:rsidP="00A94CED">
      <w:pPr>
        <w:pStyle w:val="Textonotapie"/>
        <w:ind w:firstLine="708"/>
        <w:contextualSpacing/>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GONZÁLEZ LÓPEZ, Edgar</w:t>
      </w:r>
      <w:r w:rsidRPr="00264996">
        <w:rPr>
          <w:rFonts w:ascii="Verdana" w:hAnsi="Verdana" w:cs="Arial"/>
          <w:i/>
          <w:sz w:val="19"/>
          <w:szCs w:val="19"/>
        </w:rPr>
        <w:t xml:space="preserve">. </w:t>
      </w:r>
      <w:r w:rsidRPr="00264996">
        <w:rPr>
          <w:rFonts w:ascii="Verdana" w:hAnsi="Verdana" w:cs="Arial"/>
          <w:sz w:val="19"/>
          <w:szCs w:val="19"/>
        </w:rPr>
        <w:t xml:space="preserve">El pliego de condiciones en la contratación. La reforma consagrada en la Ley 1150 de 2007 y sus decretos reglamentarios. Universidad Externado de Colombia. Primera edición, 2010, pp. 64.  </w:t>
      </w:r>
    </w:p>
    <w:p w14:paraId="6EDCD898" w14:textId="77777777" w:rsidR="00A94CED" w:rsidRPr="00264996" w:rsidRDefault="00A94CED" w:rsidP="00A94CED">
      <w:pPr>
        <w:pStyle w:val="Textonotapie"/>
        <w:ind w:firstLine="708"/>
        <w:contextualSpacing/>
        <w:jc w:val="both"/>
        <w:rPr>
          <w:rFonts w:ascii="Verdana" w:hAnsi="Verdana" w:cs="Arial"/>
          <w:sz w:val="19"/>
          <w:szCs w:val="19"/>
        </w:rPr>
      </w:pPr>
    </w:p>
  </w:footnote>
  <w:footnote w:id="13">
    <w:p w14:paraId="296E42F2"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Sin perjuicio de los dispuesto en el artículo 2.2.1.1.2.1.3. del Decreto 1082 de 2015 sobre el contenido del pliego de condiciones, donde se desarrolla de forma más exhaustiva cada uno de sus componentes mínimos.</w:t>
      </w:r>
    </w:p>
    <w:p w14:paraId="060B095F" w14:textId="77777777" w:rsidR="00A94CED" w:rsidRPr="00264996" w:rsidRDefault="00A94CED" w:rsidP="00A94CED">
      <w:pPr>
        <w:pStyle w:val="Textonotapie"/>
        <w:ind w:firstLine="708"/>
        <w:jc w:val="both"/>
        <w:rPr>
          <w:rFonts w:ascii="Verdana" w:hAnsi="Verdana" w:cs="Arial"/>
          <w:sz w:val="19"/>
          <w:szCs w:val="19"/>
        </w:rPr>
      </w:pPr>
    </w:p>
  </w:footnote>
  <w:footnote w:id="14">
    <w:p w14:paraId="7073319D" w14:textId="77777777" w:rsidR="00A94CED" w:rsidRPr="00264996" w:rsidRDefault="00A94CED" w:rsidP="00A94CED">
      <w:pPr>
        <w:pStyle w:val="Textonotapie"/>
        <w:ind w:firstLine="709"/>
        <w:jc w:val="both"/>
        <w:rPr>
          <w:rFonts w:ascii="Verdana" w:hAnsi="Verdana"/>
          <w:sz w:val="19"/>
          <w:szCs w:val="19"/>
        </w:rPr>
      </w:pPr>
      <w:r w:rsidRPr="00264996">
        <w:rPr>
          <w:rStyle w:val="Refdenotaalpie"/>
          <w:rFonts w:ascii="Verdana" w:hAnsi="Verdana"/>
          <w:sz w:val="19"/>
          <w:szCs w:val="19"/>
        </w:rPr>
        <w:footnoteRef/>
      </w:r>
      <w:r w:rsidRPr="00264996">
        <w:rPr>
          <w:rFonts w:ascii="Verdana" w:hAnsi="Verdana"/>
          <w:sz w:val="19"/>
          <w:szCs w:val="19"/>
        </w:rPr>
        <w:t xml:space="preserve"> Ley 80 de 1993. Artículo 24. </w:t>
      </w:r>
    </w:p>
    <w:p w14:paraId="0E434568" w14:textId="77777777" w:rsidR="00A94CED" w:rsidRPr="00264996" w:rsidRDefault="00A94CED" w:rsidP="00A94CED">
      <w:pPr>
        <w:pStyle w:val="Textonotapie"/>
        <w:ind w:firstLine="709"/>
        <w:jc w:val="both"/>
        <w:rPr>
          <w:rFonts w:ascii="Verdana" w:hAnsi="Verdana"/>
          <w:sz w:val="19"/>
          <w:szCs w:val="19"/>
        </w:rPr>
      </w:pPr>
    </w:p>
    <w:p w14:paraId="45CA5383"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 5o. En los pliegos de condiciones:</w:t>
      </w:r>
    </w:p>
    <w:p w14:paraId="7DF2B349" w14:textId="77777777" w:rsidR="00A94CED" w:rsidRPr="00264996" w:rsidRDefault="00A94CED" w:rsidP="00A94CED">
      <w:pPr>
        <w:pStyle w:val="Textonotapie"/>
        <w:ind w:firstLine="709"/>
        <w:jc w:val="both"/>
        <w:rPr>
          <w:rFonts w:ascii="Verdana" w:hAnsi="Verdana"/>
          <w:sz w:val="19"/>
          <w:szCs w:val="19"/>
        </w:rPr>
      </w:pPr>
    </w:p>
    <w:p w14:paraId="62D4EA88"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a)</w:t>
      </w:r>
      <w:r w:rsidRPr="00264996">
        <w:rPr>
          <w:rFonts w:ascii="Verdana" w:hAnsi="Verdana"/>
          <w:sz w:val="19"/>
          <w:szCs w:val="19"/>
        </w:rPr>
        <w:tab/>
        <w:t>Se indicarán los requisitos objetivos necesarios para participar en el correspondiente proceso de selección.</w:t>
      </w:r>
    </w:p>
    <w:p w14:paraId="1D365CB8"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b)</w:t>
      </w:r>
      <w:r w:rsidRPr="00264996">
        <w:rPr>
          <w:rFonts w:ascii="Verdana" w:hAnsi="Verdana"/>
          <w:sz w:val="19"/>
          <w:szCs w:val="19"/>
        </w:rPr>
        <w:tab/>
        <w:t>Se definirán reglas objetivas, justas, claras y completas que permitan la confección de ofrecimientos de la misma índole, aseguren una escogencia objetiva y eviten las declaratorias de desierta de la licitación.</w:t>
      </w:r>
    </w:p>
    <w:p w14:paraId="498FB53E"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c)</w:t>
      </w:r>
      <w:r w:rsidRPr="00264996">
        <w:rPr>
          <w:rFonts w:ascii="Verdana" w:hAnsi="Verdana"/>
          <w:sz w:val="19"/>
          <w:szCs w:val="19"/>
        </w:rPr>
        <w:tab/>
        <w:t>Se definirán con precisión las condiciones de costo y calidad de los bienes, obras o servicios necesarios para la ejecución del objeto del contrato.</w:t>
      </w:r>
    </w:p>
    <w:p w14:paraId="2928E06B"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d)</w:t>
      </w:r>
      <w:r w:rsidRPr="00264996">
        <w:rPr>
          <w:rFonts w:ascii="Verdana" w:hAnsi="Verdana"/>
          <w:sz w:val="19"/>
          <w:szCs w:val="19"/>
        </w:rPr>
        <w:tab/>
        <w:t>No se incluirán condiciones y exigencias de imposible cumplimiento, ni exenciones de la responsabilidad derivada de los datos, informes y documentos que se suministren.</w:t>
      </w:r>
    </w:p>
    <w:p w14:paraId="20363AFF"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e)</w:t>
      </w:r>
      <w:r w:rsidRPr="00264996">
        <w:rPr>
          <w:rFonts w:ascii="Verdana" w:hAnsi="Verdana"/>
          <w:sz w:val="19"/>
          <w:szCs w:val="19"/>
        </w:rPr>
        <w:tab/>
        <w:t>Se definirán reglas que no induzcan a error a los proponentes y contratistas y que impidan la Formulación de ofrecimientos de extensión ilimitada o que dependan de la voluntad exclusiva de la entidad.</w:t>
      </w:r>
    </w:p>
    <w:p w14:paraId="5B81FF1C"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f)</w:t>
      </w:r>
      <w:r w:rsidRPr="00264996">
        <w:rPr>
          <w:rFonts w:ascii="Verdana" w:hAnsi="Verdana"/>
          <w:sz w:val="19"/>
          <w:szCs w:val="19"/>
        </w:rPr>
        <w:tab/>
        <w:t>Se definirá el plazo para la liquidación del contrato, cuando a ello hubiere lugar, teniendo en cuenta su objeto, naturaleza y cuantía.</w:t>
      </w:r>
    </w:p>
    <w:p w14:paraId="2524B109" w14:textId="77777777" w:rsidR="00A94CED" w:rsidRPr="00264996" w:rsidRDefault="00A94CED" w:rsidP="00A94CED">
      <w:pPr>
        <w:pStyle w:val="Textonotapie"/>
        <w:ind w:firstLine="709"/>
        <w:jc w:val="both"/>
        <w:rPr>
          <w:rFonts w:ascii="Verdana" w:hAnsi="Verdana"/>
          <w:sz w:val="19"/>
          <w:szCs w:val="19"/>
        </w:rPr>
      </w:pPr>
      <w:r w:rsidRPr="00264996">
        <w:rPr>
          <w:rFonts w:ascii="Verdana" w:hAnsi="Verdana"/>
          <w:sz w:val="19"/>
          <w:szCs w:val="19"/>
        </w:rPr>
        <w:t>g)</w:t>
      </w:r>
      <w:r w:rsidRPr="00264996">
        <w:rPr>
          <w:rFonts w:ascii="Verdana" w:hAnsi="Verdana"/>
          <w:sz w:val="19"/>
          <w:szCs w:val="19"/>
        </w:rPr>
        <w:tab/>
        <w:t xml:space="preserve">Serán ineficaces de pleno derecho las estipulaciones de los pliegos y de los contratos que contravengan lo dispuesto en este numeral, o dispongan renuncias a reclamaciones por la ocurrencia de los hechos aquí enunciados”. </w:t>
      </w:r>
    </w:p>
    <w:p w14:paraId="0BA87446" w14:textId="77777777" w:rsidR="00A94CED" w:rsidRPr="00264996" w:rsidRDefault="00A94CED" w:rsidP="00A94CED">
      <w:pPr>
        <w:pStyle w:val="Textonotapie"/>
        <w:ind w:firstLine="709"/>
        <w:jc w:val="both"/>
        <w:rPr>
          <w:rFonts w:ascii="Verdana" w:hAnsi="Verdana"/>
          <w:sz w:val="19"/>
          <w:szCs w:val="19"/>
        </w:rPr>
      </w:pPr>
    </w:p>
  </w:footnote>
  <w:footnote w:id="15">
    <w:p w14:paraId="58815847" w14:textId="77777777" w:rsidR="00A94CED" w:rsidRPr="00264996" w:rsidRDefault="00A94CED" w:rsidP="00A94CED">
      <w:pPr>
        <w:pStyle w:val="Textonotapie"/>
        <w:ind w:firstLine="708"/>
        <w:jc w:val="both"/>
        <w:rPr>
          <w:rFonts w:ascii="Verdana" w:hAnsi="Verdana" w:cs="Arial"/>
          <w:color w:val="000000"/>
          <w:sz w:val="19"/>
          <w:szCs w:val="19"/>
        </w:rPr>
      </w:pPr>
      <w:r w:rsidRPr="00264996">
        <w:rPr>
          <w:rStyle w:val="Refdenotaalpie"/>
          <w:rFonts w:ascii="Verdana" w:hAnsi="Verdana" w:cs="Arial"/>
          <w:color w:val="000000"/>
          <w:sz w:val="19"/>
          <w:szCs w:val="19"/>
        </w:rPr>
        <w:footnoteRef/>
      </w:r>
      <w:r w:rsidRPr="00264996">
        <w:rPr>
          <w:rFonts w:ascii="Verdana" w:hAnsi="Verdana" w:cs="Arial"/>
          <w:color w:val="000000"/>
          <w:sz w:val="19"/>
          <w:szCs w:val="19"/>
        </w:rPr>
        <w:t xml:space="preserve"> Lo anterior, sin perjuicio de los casos en que resulten aplicables los documentos tipo –o pliegos tipo– de que trata el parágrafo 7 del artículo 2 de la Ley 1150 de 2007, modificado por el artículo 1 de la Ley 2022 de 2020.</w:t>
      </w:r>
    </w:p>
    <w:p w14:paraId="75247421" w14:textId="77777777" w:rsidR="00A94CED" w:rsidRPr="00264996" w:rsidRDefault="00A94CED" w:rsidP="00A94CED">
      <w:pPr>
        <w:pStyle w:val="Textonotapie"/>
        <w:ind w:firstLine="708"/>
        <w:jc w:val="both"/>
        <w:rPr>
          <w:rFonts w:ascii="Verdana" w:hAnsi="Verdana" w:cs="Arial"/>
          <w:color w:val="000000"/>
          <w:sz w:val="19"/>
          <w:szCs w:val="19"/>
        </w:rPr>
      </w:pPr>
    </w:p>
  </w:footnote>
  <w:footnote w:id="16">
    <w:p w14:paraId="12881C1D" w14:textId="77777777" w:rsidR="00A94CED" w:rsidRPr="00264996" w:rsidRDefault="00A94CED" w:rsidP="00A94CED">
      <w:pPr>
        <w:pStyle w:val="Textonotapie"/>
        <w:ind w:firstLine="708"/>
        <w:jc w:val="both"/>
        <w:rPr>
          <w:rFonts w:ascii="Verdana" w:hAnsi="Verdana" w:cs="Arial"/>
          <w:sz w:val="19"/>
          <w:szCs w:val="19"/>
        </w:rPr>
      </w:pPr>
      <w:r w:rsidRPr="00264996">
        <w:rPr>
          <w:rStyle w:val="Refdenotaalpie"/>
          <w:rFonts w:ascii="Verdana" w:hAnsi="Verdana" w:cs="Arial"/>
          <w:sz w:val="19"/>
          <w:szCs w:val="19"/>
        </w:rPr>
        <w:footnoteRef/>
      </w:r>
      <w:r w:rsidRPr="00264996">
        <w:rPr>
          <w:rFonts w:ascii="Verdana" w:hAnsi="Verdana" w:cs="Arial"/>
          <w:sz w:val="19"/>
          <w:szCs w:val="19"/>
        </w:rPr>
        <w:t xml:space="preserve"> Sin perjuicio de lo que ocurre en los procedimientos de selección regidos por los documentos tipo, donde se reduce, en buena medida, dicha discrecionalidad.</w:t>
      </w:r>
    </w:p>
  </w:footnote>
  <w:footnote w:id="17">
    <w:p w14:paraId="0AAB3D42" w14:textId="77777777" w:rsidR="00A94CED" w:rsidRPr="00264996" w:rsidRDefault="00A94CED" w:rsidP="00A94CED">
      <w:pPr>
        <w:pStyle w:val="Textonotapie"/>
        <w:ind w:firstLine="709"/>
        <w:jc w:val="both"/>
        <w:rPr>
          <w:rFonts w:ascii="Verdana" w:hAnsi="Verdana" w:cs="Arial"/>
          <w:sz w:val="19"/>
          <w:szCs w:val="19"/>
          <w:lang w:val="es-ES"/>
        </w:rPr>
      </w:pPr>
      <w:r w:rsidRPr="00264996">
        <w:rPr>
          <w:rStyle w:val="Refdenotaalpie"/>
          <w:rFonts w:ascii="Verdana" w:hAnsi="Verdana" w:cs="Arial"/>
          <w:sz w:val="19"/>
          <w:szCs w:val="19"/>
        </w:rPr>
        <w:footnoteRef/>
      </w:r>
      <w:r w:rsidRPr="00264996">
        <w:rPr>
          <w:rFonts w:ascii="Verdana" w:hAnsi="Verdana" w:cs="Arial"/>
          <w:sz w:val="19"/>
          <w:szCs w:val="19"/>
        </w:rPr>
        <w:t xml:space="preserve"> </w:t>
      </w:r>
      <w:r w:rsidRPr="00264996">
        <w:rPr>
          <w:rFonts w:ascii="Verdana" w:hAnsi="Verdana" w:cs="Arial"/>
          <w:sz w:val="19"/>
          <w:szCs w:val="19"/>
          <w:lang w:val="es-ES"/>
        </w:rPr>
        <w:t>BOBBIO, Norberto. Democracia y secreto. México: Fondo de Cultura Económica, 2013. p. 27.</w:t>
      </w:r>
    </w:p>
  </w:footnote>
  <w:footnote w:id="18">
    <w:p w14:paraId="6659D3B5" w14:textId="77777777" w:rsidR="00A94CED" w:rsidRPr="00264996" w:rsidRDefault="00A94CED" w:rsidP="00A94CED">
      <w:pPr>
        <w:pStyle w:val="Textonotapie"/>
        <w:spacing w:after="120"/>
        <w:ind w:firstLine="709"/>
        <w:jc w:val="both"/>
        <w:rPr>
          <w:rFonts w:ascii="Verdana" w:hAnsi="Verdana" w:cs="Arial"/>
          <w:color w:val="000000"/>
          <w:sz w:val="19"/>
          <w:szCs w:val="19"/>
        </w:rPr>
      </w:pPr>
      <w:r w:rsidRPr="00264996">
        <w:rPr>
          <w:rStyle w:val="Refdenotaalpie"/>
          <w:rFonts w:ascii="Verdana" w:hAnsi="Verdana" w:cs="Arial"/>
          <w:color w:val="000000"/>
          <w:sz w:val="19"/>
          <w:szCs w:val="19"/>
        </w:rPr>
        <w:footnoteRef/>
      </w:r>
      <w:r w:rsidRPr="00264996">
        <w:rPr>
          <w:rFonts w:ascii="Verdana" w:hAnsi="Verdana" w:cs="Arial"/>
          <w:color w:val="000000"/>
          <w:sz w:val="19"/>
          <w:szCs w:val="19"/>
        </w:rPr>
        <w:t xml:space="preserve"> Decreto 4170 de 2011: “Artículo 3. Funciones: La Agencia Nacional de Contratación Pública –Colombia Compra Eficiente– ejercerá las siguientes funciones: [...]</w:t>
      </w:r>
    </w:p>
    <w:p w14:paraId="1F1BB294" w14:textId="77777777" w:rsidR="00A94CED" w:rsidRPr="00264996" w:rsidRDefault="00A94CED" w:rsidP="00A94CED">
      <w:pPr>
        <w:pStyle w:val="Textonotapie"/>
        <w:spacing w:after="120"/>
        <w:ind w:left="709" w:right="709"/>
        <w:jc w:val="both"/>
        <w:rPr>
          <w:rFonts w:ascii="Verdana" w:hAnsi="Verdana" w:cs="Arial"/>
          <w:color w:val="000000"/>
          <w:sz w:val="19"/>
          <w:szCs w:val="19"/>
        </w:rPr>
      </w:pPr>
      <w:r w:rsidRPr="00264996">
        <w:rPr>
          <w:rFonts w:ascii="Verdana" w:hAnsi="Verdana" w:cs="Arial"/>
          <w:color w:val="000000"/>
          <w:sz w:val="19"/>
          <w:szCs w:val="19"/>
        </w:rPr>
        <w:t>8. Desarrollar y administrar el Sistema Electrónico para la Contratación Pública (SECOP) o el que haga sus veces, y gestionar nuevos desarrollos tecnológicos en los asuntos de su competencia, teniendo en cuenta los parámetros fijados por el Consejo Directivo [...]”.</w:t>
      </w:r>
    </w:p>
  </w:footnote>
  <w:footnote w:id="19">
    <w:p w14:paraId="049E99DB" w14:textId="77777777" w:rsidR="00A94CED" w:rsidRPr="00264996" w:rsidRDefault="00A94CED" w:rsidP="00A94CED">
      <w:pPr>
        <w:pStyle w:val="Textonotapie"/>
        <w:spacing w:after="120"/>
        <w:ind w:firstLine="709"/>
        <w:jc w:val="both"/>
        <w:rPr>
          <w:rFonts w:ascii="Verdana" w:hAnsi="Verdana"/>
          <w:sz w:val="19"/>
          <w:szCs w:val="19"/>
        </w:rPr>
      </w:pPr>
      <w:r w:rsidRPr="00264996">
        <w:rPr>
          <w:rStyle w:val="Refdenotaalpie"/>
          <w:rFonts w:ascii="Verdana" w:hAnsi="Verdana"/>
          <w:sz w:val="19"/>
          <w:szCs w:val="19"/>
        </w:rPr>
        <w:footnoteRef/>
      </w:r>
      <w:r w:rsidRPr="00264996">
        <w:rPr>
          <w:rFonts w:ascii="Verdana" w:hAnsi="Verdana"/>
          <w:sz w:val="19"/>
          <w:szCs w:val="19"/>
        </w:rPr>
        <w:t xml:space="preserve"> Obligatoriedad del SECOP II para la vigencia fiscal 2023 </w:t>
      </w:r>
      <w:r w:rsidRPr="00264996">
        <w:rPr>
          <w:rFonts w:ascii="Verdana" w:hAnsi="Verdana"/>
          <w:sz w:val="19"/>
          <w:szCs w:val="19"/>
          <w:lang w:val="es-CO"/>
        </w:rPr>
        <w:t>la cual puede ser consultada en</w:t>
      </w:r>
      <w:r w:rsidRPr="00264996">
        <w:rPr>
          <w:rFonts w:ascii="Verdana" w:hAnsi="Verdana"/>
          <w:sz w:val="19"/>
          <w:szCs w:val="19"/>
        </w:rPr>
        <w:t xml:space="preserve">  </w:t>
      </w:r>
      <w:hyperlink r:id="rId1" w:history="1">
        <w:r w:rsidRPr="00264996">
          <w:rPr>
            <w:rStyle w:val="Hipervnculo"/>
            <w:rFonts w:ascii="Verdana" w:hAnsi="Verdana"/>
            <w:sz w:val="19"/>
            <w:szCs w:val="19"/>
          </w:rPr>
          <w:t>https://www.colombiacompra.gov.co/wp-content/uploads/2024/08/proyecto_circular_externa_obligatoriedad_secopii_2023_rev._dg_f.pdf</w:t>
        </w:r>
      </w:hyperlink>
    </w:p>
  </w:footnote>
  <w:footnote w:id="20">
    <w:p w14:paraId="538121FA" w14:textId="77777777" w:rsidR="00A94CED" w:rsidRPr="00264996" w:rsidRDefault="00A94CED" w:rsidP="00A94CED">
      <w:pPr>
        <w:pStyle w:val="Textonotapie"/>
        <w:spacing w:after="120"/>
        <w:ind w:firstLine="709"/>
        <w:jc w:val="both"/>
        <w:rPr>
          <w:rFonts w:ascii="Verdana" w:hAnsi="Verdana"/>
          <w:sz w:val="19"/>
          <w:szCs w:val="19"/>
          <w:lang w:val="es-CO"/>
        </w:rPr>
      </w:pPr>
      <w:r w:rsidRPr="00264996">
        <w:rPr>
          <w:rStyle w:val="Refdenotaalpie"/>
          <w:rFonts w:ascii="Verdana" w:hAnsi="Verdana"/>
          <w:sz w:val="19"/>
          <w:szCs w:val="19"/>
        </w:rPr>
        <w:footnoteRef/>
      </w:r>
      <w:r w:rsidRPr="00264996">
        <w:rPr>
          <w:rFonts w:ascii="Verdana" w:hAnsi="Verdana"/>
          <w:sz w:val="19"/>
          <w:szCs w:val="19"/>
        </w:rPr>
        <w:t xml:space="preserve"> </w:t>
      </w:r>
      <w:r w:rsidRPr="00264996">
        <w:rPr>
          <w:rFonts w:ascii="Verdana" w:hAnsi="Verdana"/>
          <w:sz w:val="19"/>
          <w:szCs w:val="19"/>
          <w:lang w:val="es-CO"/>
        </w:rPr>
        <w:t>Obligatoriedad del SECOP II para la vigencia 2024 y primer semestre del 2025, la cual puede ser consultada en</w:t>
      </w:r>
      <w:r w:rsidRPr="00264996">
        <w:rPr>
          <w:rFonts w:ascii="Verdana" w:hAnsi="Verdana"/>
          <w:sz w:val="19"/>
          <w:szCs w:val="19"/>
        </w:rPr>
        <w:t xml:space="preserve">   </w:t>
      </w:r>
      <w:hyperlink r:id="rId2" w:history="1">
        <w:r w:rsidRPr="00264996">
          <w:rPr>
            <w:rStyle w:val="Hipervnculo"/>
            <w:rFonts w:ascii="Verdana" w:hAnsi="Verdana"/>
            <w:sz w:val="19"/>
            <w:szCs w:val="19"/>
          </w:rPr>
          <w:t>https://www.colombiacompra.gov.co/wp-content/uploads/2025/03/circular-externa_no._003_-_obligatoriedad_secop_ii_2024-2025.pdf</w:t>
        </w:r>
      </w:hyperlink>
    </w:p>
  </w:footnote>
  <w:footnote w:id="21">
    <w:p w14:paraId="1C014F3C" w14:textId="77777777" w:rsidR="00A94CED" w:rsidRPr="00264996" w:rsidRDefault="00A94CED" w:rsidP="00A94CED">
      <w:pPr>
        <w:pStyle w:val="Textonotapie"/>
        <w:ind w:firstLine="720"/>
        <w:jc w:val="both"/>
        <w:rPr>
          <w:rFonts w:ascii="Verdana" w:hAnsi="Verdana"/>
          <w:sz w:val="19"/>
          <w:szCs w:val="19"/>
          <w:lang w:val="es-CO"/>
        </w:rPr>
      </w:pPr>
      <w:r w:rsidRPr="00264996">
        <w:rPr>
          <w:rStyle w:val="Refdenotaalpie"/>
          <w:rFonts w:ascii="Verdana" w:hAnsi="Verdana"/>
          <w:sz w:val="19"/>
          <w:szCs w:val="19"/>
        </w:rPr>
        <w:footnoteRef/>
      </w:r>
      <w:r w:rsidRPr="00264996">
        <w:rPr>
          <w:rFonts w:ascii="Verdana" w:hAnsi="Verdana"/>
          <w:sz w:val="19"/>
          <w:szCs w:val="19"/>
        </w:rPr>
        <w:t xml:space="preserve"> De acuerdo con el artículo 2142 del Código Civil, el mandato es “un contrato en que una persona confía la gestión de uno o más negocios a otra, que se hace cargo de ellos por cuenta y riesgo de la primera”. Asimismo, el artículo 2177 ibidem, establece que “El mandatario puede, en el ejercicio de su cargo, contestar &lt;sic&gt; a su propio nombre o al del mandante; si contrata a su propio nombre no obliga respecto de terceros al mandante”.</w:t>
      </w:r>
    </w:p>
    <w:p w14:paraId="79497B59" w14:textId="77777777" w:rsidR="00A94CED" w:rsidRPr="00264996" w:rsidRDefault="00A94CED" w:rsidP="00A94CED">
      <w:pPr>
        <w:pStyle w:val="Textonotapie"/>
        <w:jc w:val="both"/>
        <w:rPr>
          <w:rFonts w:ascii="Verdana" w:hAnsi="Verdana"/>
          <w:sz w:val="19"/>
          <w:szCs w:val="19"/>
          <w:lang w:val="es-CO"/>
        </w:rPr>
      </w:pPr>
    </w:p>
  </w:footnote>
  <w:footnote w:id="22">
    <w:p w14:paraId="130DFB46" w14:textId="77777777" w:rsidR="00A94CED" w:rsidRPr="00264996" w:rsidRDefault="00A94CED" w:rsidP="00A94CED">
      <w:pPr>
        <w:pStyle w:val="Textonotapie"/>
        <w:ind w:firstLine="708"/>
        <w:jc w:val="both"/>
        <w:rPr>
          <w:rFonts w:ascii="Verdana" w:hAnsi="Verdana"/>
          <w:sz w:val="19"/>
          <w:szCs w:val="19"/>
        </w:rPr>
      </w:pPr>
      <w:r w:rsidRPr="00264996">
        <w:rPr>
          <w:rStyle w:val="Refdenotaalpie"/>
          <w:rFonts w:ascii="Verdana" w:hAnsi="Verdana"/>
          <w:sz w:val="19"/>
          <w:szCs w:val="19"/>
        </w:rPr>
        <w:footnoteRef/>
      </w:r>
      <w:r w:rsidRPr="00264996">
        <w:rPr>
          <w:rFonts w:ascii="Verdana" w:hAnsi="Verdana"/>
          <w:sz w:val="19"/>
          <w:szCs w:val="19"/>
        </w:rPr>
        <w:t xml:space="preserve"> </w:t>
      </w:r>
      <w:r w:rsidRPr="00264996">
        <w:rPr>
          <w:rFonts w:ascii="Verdana" w:hAnsi="Verdana"/>
          <w:sz w:val="19"/>
          <w:szCs w:val="19"/>
          <w:lang w:val="es-ES_tradnl"/>
        </w:rPr>
        <w:t xml:space="preserve">Concepto de radicado de entrada No. </w:t>
      </w:r>
      <w:r w:rsidRPr="00264996">
        <w:rPr>
          <w:rFonts w:ascii="Verdana" w:hAnsi="Verdana"/>
          <w:sz w:val="19"/>
          <w:szCs w:val="19"/>
        </w:rPr>
        <w:t>4201913000007482 del 30 de octubre de 2019.</w:t>
      </w:r>
    </w:p>
    <w:p w14:paraId="1A6D5C29" w14:textId="77777777" w:rsidR="00A94CED" w:rsidRPr="00264996" w:rsidRDefault="00A94CED" w:rsidP="00A94CED">
      <w:pPr>
        <w:pStyle w:val="Textonotapie"/>
        <w:ind w:firstLine="708"/>
        <w:jc w:val="both"/>
        <w:rPr>
          <w:rFonts w:ascii="Verdana" w:hAnsi="Verdana"/>
          <w:sz w:val="19"/>
          <w:szCs w:val="19"/>
          <w:lang w:val="es-ES_tradnl"/>
        </w:rPr>
      </w:pPr>
    </w:p>
  </w:footnote>
  <w:footnote w:id="23">
    <w:p w14:paraId="70755F6B" w14:textId="77777777" w:rsidR="00A94CED" w:rsidRPr="00264996" w:rsidRDefault="00A94CED" w:rsidP="00A94CED">
      <w:pPr>
        <w:pStyle w:val="Textonotapie"/>
        <w:ind w:firstLine="708"/>
        <w:jc w:val="both"/>
        <w:rPr>
          <w:rFonts w:ascii="Verdana" w:hAnsi="Verdana"/>
          <w:sz w:val="19"/>
          <w:szCs w:val="19"/>
          <w:lang w:val="es-ES_tradnl"/>
        </w:rPr>
      </w:pPr>
      <w:r>
        <w:rPr>
          <w:rStyle w:val="Refdenotaalpie"/>
        </w:rPr>
        <w:footnoteRef/>
      </w:r>
      <w:r>
        <w:t xml:space="preserve"> </w:t>
      </w:r>
      <w:r w:rsidRPr="00264996">
        <w:rPr>
          <w:rFonts w:ascii="Verdana" w:hAnsi="Verdana"/>
          <w:sz w:val="19"/>
          <w:szCs w:val="19"/>
        </w:rPr>
        <w:t xml:space="preserve">Esta tesis también fue sostenida por esta Agencia en el radicado No. 4201814000008741 en el que se indicó que “dado que la normativa aplicable a los Procesos de Contratación no exige poder especial para la radicación de las propuestas, las Entidades Estatales no deben exigirlo”. </w:t>
      </w:r>
    </w:p>
    <w:p w14:paraId="61DA737F" w14:textId="77777777" w:rsidR="00A94CED" w:rsidRPr="00C84315" w:rsidRDefault="00A94CED" w:rsidP="00A94CED">
      <w:pPr>
        <w:pStyle w:val="Textonotapie"/>
        <w:rPr>
          <w:lang w:val="es-ES_tradnl"/>
        </w:rPr>
      </w:pPr>
    </w:p>
  </w:footnote>
  <w:footnote w:id="24">
    <w:p w14:paraId="148DB112" w14:textId="77777777" w:rsidR="00A94CED" w:rsidRDefault="00A94CED" w:rsidP="00A94CED">
      <w:pPr>
        <w:pStyle w:val="Textonotapie"/>
        <w:ind w:firstLine="709"/>
        <w:contextualSpacing/>
        <w:jc w:val="both"/>
        <w:rPr>
          <w:rFonts w:ascii="Verdana" w:hAnsi="Verdana"/>
          <w:sz w:val="16"/>
          <w:szCs w:val="16"/>
        </w:rPr>
      </w:pPr>
      <w:r w:rsidRPr="00230322">
        <w:rPr>
          <w:rStyle w:val="Refdenotaalpie"/>
          <w:rFonts w:ascii="Verdana" w:hAnsi="Verdana"/>
          <w:sz w:val="16"/>
          <w:szCs w:val="16"/>
        </w:rPr>
        <w:footnoteRef/>
      </w:r>
      <w:r w:rsidRPr="00230322">
        <w:rPr>
          <w:rFonts w:ascii="Verdana" w:hAnsi="Verdana"/>
          <w:sz w:val="16"/>
          <w:szCs w:val="16"/>
        </w:rPr>
        <w:t xml:space="preserve"> REMOLINA, Nelson. &amp; PEÑA, Lisandro. De los títulos valores y de los valores en el contexto digital. 1° ed. Bogotá: GECTI Universidad de los Andes. Ediciones Uniandinas. Editorial Temis, 2011.</w:t>
      </w:r>
    </w:p>
    <w:p w14:paraId="1ACEC287" w14:textId="77777777" w:rsidR="00A94CED" w:rsidRPr="00230322" w:rsidRDefault="00A94CED" w:rsidP="00A94CED">
      <w:pPr>
        <w:pStyle w:val="Textonotapie"/>
        <w:contextualSpacing/>
        <w:jc w:val="both"/>
        <w:rPr>
          <w:rFonts w:ascii="Verdana" w:hAnsi="Verdana"/>
          <w:sz w:val="16"/>
          <w:szCs w:val="16"/>
          <w:lang w:val="es-ES"/>
        </w:rPr>
      </w:pPr>
    </w:p>
  </w:footnote>
  <w:footnote w:id="25">
    <w:p w14:paraId="0909775C" w14:textId="77777777" w:rsidR="00A94CED" w:rsidRPr="004E2FBA" w:rsidRDefault="00A94CED" w:rsidP="00A94CED">
      <w:pPr>
        <w:pStyle w:val="Textonotapie"/>
        <w:ind w:firstLine="708"/>
        <w:contextualSpacing/>
        <w:jc w:val="both"/>
        <w:rPr>
          <w:rFonts w:ascii="Verdana" w:hAnsi="Verdana" w:cs="Arial"/>
          <w:sz w:val="16"/>
          <w:szCs w:val="16"/>
        </w:rPr>
      </w:pPr>
      <w:r w:rsidRPr="00230322">
        <w:rPr>
          <w:rStyle w:val="Refdenotaalpie"/>
          <w:rFonts w:ascii="Verdana" w:hAnsi="Verdana" w:cs="Arial"/>
          <w:sz w:val="16"/>
          <w:szCs w:val="16"/>
        </w:rPr>
        <w:footnoteRef/>
      </w:r>
      <w:r w:rsidRPr="004E2FBA">
        <w:rPr>
          <w:rFonts w:ascii="Verdana" w:hAnsi="Verdana"/>
          <w:sz w:val="16"/>
          <w:szCs w:val="16"/>
        </w:rPr>
        <w:t xml:space="preserve"> </w:t>
      </w:r>
      <w:r w:rsidRPr="004E2FBA">
        <w:rPr>
          <w:rFonts w:ascii="Verdana" w:hAnsi="Verdana" w:cs="Arial"/>
          <w:sz w:val="16"/>
          <w:szCs w:val="16"/>
        </w:rPr>
        <w:t xml:space="preserve">En concordancia, el artículo 246 de la Ley 1564 de 2012 dispone que “Las copias tendrán el mismo valor probatorio del original, salvo cuando por disposición legal sea necesaria la presentación del original o de una determinada copia. </w:t>
      </w:r>
    </w:p>
    <w:p w14:paraId="4B34AE62" w14:textId="77777777" w:rsidR="00A94CED" w:rsidRPr="004E2FBA" w:rsidRDefault="00A94CED" w:rsidP="00A94CED">
      <w:pPr>
        <w:pStyle w:val="Textonotapie"/>
        <w:ind w:firstLine="708"/>
        <w:contextualSpacing/>
        <w:jc w:val="both"/>
        <w:rPr>
          <w:rFonts w:ascii="Verdana" w:hAnsi="Verdana" w:cs="Arial"/>
          <w:sz w:val="16"/>
          <w:szCs w:val="16"/>
        </w:rPr>
      </w:pPr>
      <w:r w:rsidRPr="004E2FBA">
        <w:rPr>
          <w:rFonts w:ascii="Verdana" w:hAnsi="Verdana" w:cs="Arial"/>
          <w:sz w:val="16"/>
          <w:szCs w:val="16"/>
        </w:rPr>
        <w:t>“Sin perjuicio de la presunción de autenticidad, la parte contra quien se aduzca copia de un documento podrá solicitar su cotejo con el original, o a falta de este con una copia expedida con anterioridad a aquella. El cotejo se efectuará mediante exhibición dentro de la audiencia correspondiente”.</w:t>
      </w:r>
    </w:p>
  </w:footnote>
  <w:footnote w:id="26">
    <w:p w14:paraId="3F12B4A7" w14:textId="77777777" w:rsidR="00A94CED" w:rsidRDefault="00A94CED" w:rsidP="00A94CED">
      <w:pPr>
        <w:pStyle w:val="Textonotapie"/>
        <w:ind w:firstLine="708"/>
        <w:contextualSpacing/>
        <w:jc w:val="both"/>
        <w:rPr>
          <w:rFonts w:ascii="Verdana" w:hAnsi="Verdana"/>
          <w:sz w:val="16"/>
          <w:szCs w:val="16"/>
        </w:rPr>
      </w:pPr>
    </w:p>
    <w:p w14:paraId="4BA93658" w14:textId="77777777" w:rsidR="00A94CED" w:rsidRPr="00230322" w:rsidRDefault="00A94CED" w:rsidP="00A94CED">
      <w:pPr>
        <w:pStyle w:val="Textonotapie"/>
        <w:ind w:firstLine="708"/>
        <w:contextualSpacing/>
        <w:jc w:val="both"/>
        <w:rPr>
          <w:rStyle w:val="Hipervnculo"/>
          <w:rFonts w:ascii="Verdana" w:hAnsi="Verdana" w:cs="Arial"/>
          <w:sz w:val="16"/>
          <w:szCs w:val="16"/>
        </w:rPr>
      </w:pPr>
      <w:r w:rsidRPr="00230322">
        <w:rPr>
          <w:rStyle w:val="Refdenotaalpie"/>
          <w:rFonts w:ascii="Verdana" w:hAnsi="Verdana"/>
          <w:sz w:val="16"/>
          <w:szCs w:val="16"/>
        </w:rPr>
        <w:footnoteRef/>
      </w:r>
      <w:r w:rsidRPr="00230322">
        <w:rPr>
          <w:rFonts w:ascii="Verdana" w:hAnsi="Verdana"/>
          <w:sz w:val="16"/>
          <w:szCs w:val="16"/>
        </w:rPr>
        <w:t xml:space="preserve"> </w:t>
      </w:r>
      <w:r w:rsidRPr="00230322">
        <w:rPr>
          <w:rFonts w:ascii="Verdana" w:hAnsi="Verdana" w:cs="Arial"/>
          <w:sz w:val="16"/>
          <w:szCs w:val="16"/>
        </w:rPr>
        <w:t xml:space="preserve">Los conceptos expedidos por la Subdirección de Gestión Contractual de la Agencia Nacional de Contratación Pública pueden ser consultados en plataforma de relatoría a la cual se puede acceder a través del siguiente enlace:  </w:t>
      </w:r>
      <w:hyperlink r:id="rId3" w:history="1">
        <w:r w:rsidRPr="00230322">
          <w:rPr>
            <w:rStyle w:val="Hipervnculo"/>
            <w:rFonts w:ascii="Verdana" w:hAnsi="Verdana" w:cs="Arial"/>
            <w:sz w:val="16"/>
            <w:szCs w:val="16"/>
          </w:rPr>
          <w:t>https://relatoria.colombiacompra.gov.co/busqueda/conceptos</w:t>
        </w:r>
      </w:hyperlink>
    </w:p>
    <w:p w14:paraId="3596B958" w14:textId="77777777" w:rsidR="00A94CED" w:rsidRPr="00230322" w:rsidRDefault="00A94CED" w:rsidP="00A94CED">
      <w:pPr>
        <w:pStyle w:val="Textonotapie"/>
        <w:ind w:firstLine="708"/>
        <w:contextualSpacing/>
        <w:jc w:val="both"/>
        <w:rPr>
          <w:rFonts w:ascii="Verdana" w:hAnsi="Verdana"/>
          <w:sz w:val="16"/>
          <w:szCs w:val="16"/>
        </w:rPr>
      </w:pPr>
    </w:p>
  </w:footnote>
  <w:footnote w:id="27">
    <w:p w14:paraId="7251239B" w14:textId="77777777" w:rsidR="00A94CED" w:rsidRPr="00230322" w:rsidRDefault="00A94CED" w:rsidP="00A94CED">
      <w:pPr>
        <w:pStyle w:val="Textonotapie"/>
        <w:ind w:firstLine="709"/>
        <w:contextualSpacing/>
        <w:jc w:val="both"/>
        <w:rPr>
          <w:rFonts w:ascii="Verdana" w:eastAsia="Times New Roman" w:hAnsi="Verdana" w:cs="Arial"/>
          <w:sz w:val="16"/>
          <w:szCs w:val="16"/>
          <w:lang w:val="es-CO" w:eastAsia="es-CO"/>
        </w:rPr>
      </w:pPr>
      <w:r w:rsidRPr="00230322">
        <w:rPr>
          <w:rStyle w:val="Refdenotaalpie"/>
          <w:rFonts w:ascii="Verdana" w:hAnsi="Verdana" w:cs="Arial"/>
          <w:sz w:val="16"/>
          <w:szCs w:val="16"/>
        </w:rPr>
        <w:footnoteRef/>
      </w:r>
      <w:r w:rsidRPr="00230322">
        <w:rPr>
          <w:rFonts w:ascii="Verdana" w:hAnsi="Verdana" w:cs="Arial"/>
          <w:sz w:val="16"/>
          <w:szCs w:val="16"/>
        </w:rPr>
        <w:t xml:space="preserve"> </w:t>
      </w:r>
      <w:r w:rsidRPr="00230322">
        <w:rPr>
          <w:rFonts w:ascii="Verdana" w:eastAsia="Times New Roman" w:hAnsi="Verdana" w:cs="Arial"/>
          <w:sz w:val="16"/>
          <w:szCs w:val="16"/>
          <w:lang w:val="es-CO" w:eastAsia="es-CO"/>
        </w:rPr>
        <w:t>Consejo de Estado.</w:t>
      </w:r>
      <w:r>
        <w:rPr>
          <w:rFonts w:ascii="Verdana" w:eastAsia="Times New Roman" w:hAnsi="Verdana" w:cs="Arial"/>
          <w:sz w:val="16"/>
          <w:szCs w:val="16"/>
          <w:lang w:val="es-CO" w:eastAsia="es-CO"/>
        </w:rPr>
        <w:t xml:space="preserve"> Sala de lo Contencioso Administrativo.</w:t>
      </w:r>
      <w:r w:rsidRPr="00230322">
        <w:rPr>
          <w:rFonts w:ascii="Verdana" w:eastAsia="Times New Roman" w:hAnsi="Verdana" w:cs="Arial"/>
          <w:sz w:val="16"/>
          <w:szCs w:val="16"/>
          <w:lang w:val="es-CO" w:eastAsia="es-CO"/>
        </w:rPr>
        <w:t xml:space="preserve"> Sección Tercera. Sentencia del 27 de abril de 2011. Exp. 18.293. C.P. Ruth Stella Correa Palacio.</w:t>
      </w:r>
    </w:p>
    <w:p w14:paraId="2DCFEBD1" w14:textId="77777777" w:rsidR="00A94CED" w:rsidRPr="00230322" w:rsidRDefault="00A94CED" w:rsidP="00A94CED">
      <w:pPr>
        <w:pStyle w:val="Textonotapie"/>
        <w:ind w:firstLine="709"/>
        <w:contextualSpacing/>
        <w:jc w:val="both"/>
        <w:rPr>
          <w:rFonts w:ascii="Verdana" w:eastAsia="Calibri" w:hAnsi="Verdana" w:cs="Arial"/>
          <w:sz w:val="16"/>
          <w:szCs w:val="16"/>
          <w:lang w:val="es-CO"/>
        </w:rPr>
      </w:pPr>
    </w:p>
  </w:footnote>
  <w:footnote w:id="28">
    <w:p w14:paraId="1C968A2B" w14:textId="77777777" w:rsidR="00A94CED" w:rsidRPr="00230322" w:rsidRDefault="00A94CED" w:rsidP="00A94CED">
      <w:pPr>
        <w:pStyle w:val="Textonotapie"/>
        <w:ind w:firstLine="709"/>
        <w:contextualSpacing/>
        <w:jc w:val="both"/>
        <w:rPr>
          <w:rFonts w:ascii="Verdana" w:eastAsia="Times New Roman" w:hAnsi="Verdana" w:cs="Arial"/>
          <w:sz w:val="16"/>
          <w:szCs w:val="16"/>
          <w:lang w:val="es-CO" w:eastAsia="es-CO"/>
        </w:rPr>
      </w:pPr>
      <w:r w:rsidRPr="00230322">
        <w:rPr>
          <w:rStyle w:val="Refdenotaalpie"/>
          <w:rFonts w:ascii="Verdana" w:hAnsi="Verdana" w:cs="Arial"/>
          <w:sz w:val="16"/>
          <w:szCs w:val="16"/>
        </w:rPr>
        <w:footnoteRef/>
      </w:r>
      <w:r w:rsidRPr="00230322">
        <w:rPr>
          <w:rFonts w:ascii="Verdana" w:hAnsi="Verdana" w:cs="Arial"/>
          <w:sz w:val="16"/>
          <w:szCs w:val="16"/>
        </w:rPr>
        <w:t xml:space="preserve"> </w:t>
      </w:r>
      <w:r w:rsidRPr="00230322">
        <w:rPr>
          <w:rFonts w:ascii="Verdana" w:eastAsia="Times New Roman" w:hAnsi="Verdana" w:cs="Arial"/>
          <w:sz w:val="16"/>
          <w:szCs w:val="16"/>
          <w:lang w:val="es-CO" w:eastAsia="es-CO"/>
        </w:rPr>
        <w:t xml:space="preserve">Consejo de Estado. </w:t>
      </w:r>
      <w:r>
        <w:rPr>
          <w:rFonts w:ascii="Verdana" w:eastAsia="Times New Roman" w:hAnsi="Verdana" w:cs="Arial"/>
          <w:sz w:val="16"/>
          <w:szCs w:val="16"/>
          <w:lang w:val="es-CO" w:eastAsia="es-CO"/>
        </w:rPr>
        <w:t xml:space="preserve">Sala de lo Contencioso Administrativo. </w:t>
      </w:r>
      <w:r w:rsidRPr="00230322">
        <w:rPr>
          <w:rFonts w:ascii="Verdana" w:eastAsia="Times New Roman" w:hAnsi="Verdana" w:cs="Arial"/>
          <w:sz w:val="16"/>
          <w:szCs w:val="16"/>
          <w:lang w:val="es-CO" w:eastAsia="es-CO"/>
        </w:rPr>
        <w:t>Sección Tercera</w:t>
      </w:r>
      <w:r>
        <w:rPr>
          <w:rFonts w:ascii="Verdana" w:eastAsia="Times New Roman" w:hAnsi="Verdana" w:cs="Arial"/>
          <w:sz w:val="16"/>
          <w:szCs w:val="16"/>
          <w:lang w:val="es-CO" w:eastAsia="es-CO"/>
        </w:rPr>
        <w:t>, Subsección A</w:t>
      </w:r>
      <w:r w:rsidRPr="00230322">
        <w:rPr>
          <w:rFonts w:ascii="Verdana" w:eastAsia="Times New Roman" w:hAnsi="Verdana" w:cs="Arial"/>
          <w:sz w:val="16"/>
          <w:szCs w:val="16"/>
          <w:lang w:val="es-CO" w:eastAsia="es-CO"/>
        </w:rPr>
        <w:t>. Sentencia del 21 de noviembre de 2013</w:t>
      </w:r>
      <w:r>
        <w:rPr>
          <w:rFonts w:ascii="Verdana" w:eastAsia="Times New Roman" w:hAnsi="Verdana" w:cs="Arial"/>
          <w:sz w:val="16"/>
          <w:szCs w:val="16"/>
          <w:lang w:val="es-CO" w:eastAsia="es-CO"/>
        </w:rPr>
        <w:t>.</w:t>
      </w:r>
      <w:r w:rsidRPr="00230322">
        <w:rPr>
          <w:rFonts w:ascii="Verdana" w:eastAsia="Times New Roman" w:hAnsi="Verdana" w:cs="Arial"/>
          <w:sz w:val="16"/>
          <w:szCs w:val="16"/>
          <w:lang w:val="es-CO" w:eastAsia="es-CO"/>
        </w:rPr>
        <w:t xml:space="preserve"> Exp. 25397. C.P. Carlos Alberto Zambrano Barrera.</w:t>
      </w:r>
    </w:p>
    <w:p w14:paraId="563F53E9" w14:textId="77777777" w:rsidR="00A94CED" w:rsidRPr="00230322" w:rsidRDefault="00A94CED" w:rsidP="00A94CED">
      <w:pPr>
        <w:pStyle w:val="Textonotapie"/>
        <w:ind w:firstLine="709"/>
        <w:contextualSpacing/>
        <w:jc w:val="both"/>
        <w:rPr>
          <w:rFonts w:ascii="Verdana" w:eastAsia="Calibri" w:hAnsi="Verdana" w:cs="Arial"/>
          <w:sz w:val="16"/>
          <w:szCs w:val="16"/>
          <w:lang w:val="es-CO"/>
        </w:rPr>
      </w:pPr>
    </w:p>
  </w:footnote>
  <w:footnote w:id="29">
    <w:p w14:paraId="5682E5A3" w14:textId="77777777" w:rsidR="00A94CED" w:rsidRPr="00B74530"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Fonts w:ascii="Verdana" w:hAnsi="Verdana" w:cs="Arial"/>
          <w:color w:val="000000"/>
          <w:sz w:val="16"/>
          <w:szCs w:val="16"/>
        </w:rPr>
        <w:t xml:space="preserve"> Ley 80 de 1993. Art. 30.7: </w:t>
      </w:r>
      <w:r>
        <w:rPr>
          <w:rFonts w:ascii="Verdana" w:hAnsi="Verdana" w:cs="Arial"/>
          <w:color w:val="000000"/>
          <w:sz w:val="16"/>
          <w:szCs w:val="16"/>
        </w:rPr>
        <w:t>“</w:t>
      </w:r>
      <w:r w:rsidRPr="00B74530">
        <w:rPr>
          <w:rFonts w:ascii="Verdana" w:hAnsi="Verdana" w:cs="Arial"/>
          <w:color w:val="000000"/>
          <w:sz w:val="16"/>
          <w:szCs w:val="16"/>
        </w:rPr>
        <w:t>De acuerdo con la naturaleza, objeto y cuantía del contrato, en los pliegos de condiciones o términos de referencia, se señalará el plazo razonable dentro del cual la entidad deberá elaborar los estudios técnicos, económicos y jurídicos necesarios para la evaluación de las propuestas y para solicitar a los proponentes las aclaraciones y explicaciones que se estimen indispensables</w:t>
      </w:r>
      <w:r>
        <w:rPr>
          <w:rFonts w:ascii="Verdana" w:hAnsi="Verdana" w:cs="Arial"/>
          <w:color w:val="000000"/>
          <w:sz w:val="16"/>
          <w:szCs w:val="16"/>
        </w:rPr>
        <w:t>”</w:t>
      </w:r>
      <w:r w:rsidRPr="00B74530">
        <w:rPr>
          <w:rFonts w:ascii="Verdana" w:hAnsi="Verdana" w:cs="Arial"/>
          <w:color w:val="000000"/>
          <w:sz w:val="16"/>
          <w:szCs w:val="16"/>
        </w:rPr>
        <w:t xml:space="preserve">. </w:t>
      </w:r>
    </w:p>
    <w:p w14:paraId="76B08FCE" w14:textId="77777777" w:rsidR="00A94CED" w:rsidRPr="00B74530" w:rsidRDefault="00A94CED" w:rsidP="00A94CED">
      <w:pPr>
        <w:pStyle w:val="Textonotapie"/>
        <w:ind w:firstLine="709"/>
        <w:jc w:val="both"/>
        <w:rPr>
          <w:rFonts w:ascii="Verdana" w:hAnsi="Verdana" w:cs="Arial"/>
          <w:color w:val="000000"/>
          <w:sz w:val="16"/>
          <w:szCs w:val="16"/>
        </w:rPr>
      </w:pPr>
    </w:p>
  </w:footnote>
  <w:footnote w:id="30">
    <w:p w14:paraId="6E89B9C2" w14:textId="77777777" w:rsidR="00A94CED"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Fonts w:ascii="Verdana" w:hAnsi="Verdana" w:cs="Arial"/>
          <w:color w:val="000000"/>
          <w:sz w:val="16"/>
          <w:szCs w:val="16"/>
        </w:rPr>
        <w:t xml:space="preserve"> Ley 80 de 1993. Art. 30.8: </w:t>
      </w:r>
      <w:r>
        <w:rPr>
          <w:rFonts w:ascii="Verdana" w:hAnsi="Verdana" w:cs="Arial"/>
          <w:color w:val="000000"/>
          <w:sz w:val="16"/>
          <w:szCs w:val="16"/>
        </w:rPr>
        <w:t>“</w:t>
      </w:r>
      <w:r w:rsidRPr="00B74530">
        <w:rPr>
          <w:rFonts w:ascii="Verdana" w:hAnsi="Verdana" w:cs="Arial"/>
          <w:color w:val="000000"/>
          <w:sz w:val="16"/>
          <w:szCs w:val="16"/>
        </w:rPr>
        <w:t>Los informes de evaluación de las propuestas permanecerán en la secretaría de la entidad por un término de cinco (5) días hábiles para que los oferentes presenten las observaciones que estimen pertinentes. En ejercicio de esta facultad, los oferentes no podrán completar, adicionar, modificar o mejorar sus propuestas</w:t>
      </w:r>
      <w:r>
        <w:rPr>
          <w:rFonts w:ascii="Verdana" w:hAnsi="Verdana" w:cs="Arial"/>
          <w:color w:val="000000"/>
          <w:sz w:val="16"/>
          <w:szCs w:val="16"/>
        </w:rPr>
        <w:t>”</w:t>
      </w:r>
      <w:r w:rsidRPr="00B74530">
        <w:rPr>
          <w:rFonts w:ascii="Verdana" w:hAnsi="Verdana" w:cs="Arial"/>
          <w:color w:val="000000"/>
          <w:sz w:val="16"/>
          <w:szCs w:val="16"/>
        </w:rPr>
        <w:t>.</w:t>
      </w:r>
    </w:p>
    <w:p w14:paraId="34A84548" w14:textId="77777777" w:rsidR="00A94CED" w:rsidRPr="00B74530" w:rsidRDefault="00A94CED" w:rsidP="00A94CED">
      <w:pPr>
        <w:pStyle w:val="Textonotapie"/>
        <w:ind w:firstLine="709"/>
        <w:jc w:val="both"/>
        <w:rPr>
          <w:rFonts w:ascii="Verdana" w:hAnsi="Verdana" w:cs="Arial"/>
          <w:color w:val="000000"/>
          <w:sz w:val="16"/>
          <w:szCs w:val="16"/>
        </w:rPr>
      </w:pPr>
    </w:p>
  </w:footnote>
  <w:footnote w:id="31">
    <w:p w14:paraId="3676B419" w14:textId="77777777" w:rsidR="00A94CED" w:rsidRPr="00B74530"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Fonts w:ascii="Verdana" w:hAnsi="Verdana" w:cs="Arial"/>
          <w:color w:val="000000"/>
          <w:sz w:val="16"/>
          <w:szCs w:val="16"/>
        </w:rPr>
        <w:t xml:space="preserve"> C</w:t>
      </w:r>
      <w:r>
        <w:rPr>
          <w:rFonts w:ascii="Verdana" w:hAnsi="Verdana" w:cs="Arial"/>
          <w:color w:val="000000"/>
          <w:sz w:val="16"/>
          <w:szCs w:val="16"/>
        </w:rPr>
        <w:t xml:space="preserve">onsejo de Estado. Sala de lo Contencioso Administrativo. </w:t>
      </w:r>
      <w:r w:rsidRPr="00B74530">
        <w:rPr>
          <w:rFonts w:ascii="Verdana" w:hAnsi="Verdana" w:cs="Arial"/>
          <w:color w:val="000000"/>
          <w:sz w:val="16"/>
          <w:szCs w:val="16"/>
        </w:rPr>
        <w:t>Sección Tercera. Subsección C. Sentencia del 26 de febrero de 2014. Expediente: 25.804. Consejero Ponente: Enrique Gil Botero.</w:t>
      </w:r>
      <w:r w:rsidRPr="00B74530">
        <w:rPr>
          <w:rFonts w:ascii="Verdana" w:hAnsi="Verdana"/>
          <w:sz w:val="16"/>
          <w:szCs w:val="16"/>
        </w:rPr>
        <w:t xml:space="preserve"> </w:t>
      </w:r>
    </w:p>
  </w:footnote>
  <w:footnote w:id="32">
    <w:p w14:paraId="02E7EDDD" w14:textId="77777777" w:rsidR="00A94CED" w:rsidRPr="00B74530"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Style w:val="Refdenotaalpie"/>
          <w:rFonts w:ascii="Verdana" w:hAnsi="Verdana" w:cs="Arial"/>
          <w:color w:val="000000"/>
          <w:sz w:val="16"/>
          <w:szCs w:val="16"/>
        </w:rPr>
        <w:t xml:space="preserve"> </w:t>
      </w:r>
      <w:r w:rsidRPr="00B74530">
        <w:rPr>
          <w:rFonts w:ascii="Verdana" w:hAnsi="Verdana" w:cs="Arial"/>
          <w:color w:val="000000"/>
          <w:sz w:val="16"/>
          <w:szCs w:val="16"/>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p w14:paraId="169CF567" w14:textId="77777777" w:rsidR="00A94CED" w:rsidRPr="00B74530" w:rsidRDefault="00A94CED" w:rsidP="00A94CED">
      <w:pPr>
        <w:pStyle w:val="Textonotapie"/>
        <w:ind w:firstLine="709"/>
        <w:jc w:val="both"/>
        <w:rPr>
          <w:rFonts w:ascii="Verdana" w:hAnsi="Verdana" w:cs="Arial"/>
          <w:color w:val="000000"/>
          <w:sz w:val="16"/>
          <w:szCs w:val="16"/>
        </w:rPr>
      </w:pPr>
    </w:p>
  </w:footnote>
  <w:footnote w:id="33">
    <w:p w14:paraId="1E7F3A27" w14:textId="77777777" w:rsidR="00A94CED" w:rsidRPr="00B74530"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Fonts w:ascii="Verdana" w:hAnsi="Verdana" w:cs="Arial"/>
          <w:color w:val="000000"/>
          <w:sz w:val="16"/>
          <w:szCs w:val="16"/>
        </w:rPr>
        <w:t xml:space="preserve"> Sin embargo, debe tenerse en cuenta que la última norma en cita -Decreto 2474 de 2008, aparte subrayado-, establece un límite a la subsanabilidad, puesto que en cualquier caso debe referirse o recaer sobre circunstancias ocurridas antes del cierre del respectivo proceso, esto es, del vencimiento del plazo para presentar ofertas.</w:t>
      </w:r>
    </w:p>
    <w:p w14:paraId="11E6AA76" w14:textId="77777777" w:rsidR="00A94CED" w:rsidRDefault="00A94CED" w:rsidP="00A94CED">
      <w:pPr>
        <w:pStyle w:val="Textonotapie"/>
        <w:ind w:firstLine="709"/>
        <w:jc w:val="both"/>
        <w:rPr>
          <w:rFonts w:ascii="Verdana" w:hAnsi="Verdana" w:cs="Arial"/>
          <w:color w:val="000000"/>
          <w:sz w:val="16"/>
          <w:szCs w:val="16"/>
        </w:rPr>
      </w:pPr>
    </w:p>
    <w:p w14:paraId="59261E7F" w14:textId="77777777" w:rsidR="00A94CED" w:rsidRDefault="00A94CED" w:rsidP="00A94CED">
      <w:pPr>
        <w:pStyle w:val="Textonotapie"/>
        <w:ind w:firstLine="709"/>
        <w:jc w:val="both"/>
        <w:rPr>
          <w:rFonts w:ascii="Verdana" w:hAnsi="Verdana" w:cs="Arial"/>
          <w:color w:val="000000"/>
          <w:sz w:val="16"/>
          <w:szCs w:val="16"/>
        </w:rPr>
      </w:pPr>
      <w:r w:rsidRPr="00B74530">
        <w:rPr>
          <w:rFonts w:ascii="Verdana" w:hAnsi="Verdana" w:cs="Arial"/>
          <w:color w:val="000000"/>
          <w:sz w:val="16"/>
          <w:szCs w:val="16"/>
        </w:rPr>
        <w:t>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w:t>
      </w:r>
      <w:r>
        <w:rPr>
          <w:rFonts w:ascii="Verdana" w:hAnsi="Verdana" w:cs="Arial"/>
          <w:color w:val="000000"/>
          <w:sz w:val="16"/>
          <w:szCs w:val="16"/>
        </w:rPr>
        <w:t>.</w:t>
      </w:r>
      <w:r w:rsidRPr="00B74530">
        <w:rPr>
          <w:rFonts w:ascii="Verdana" w:hAnsi="Verdana" w:cs="Arial"/>
          <w:color w:val="000000"/>
          <w:sz w:val="16"/>
          <w:szCs w:val="16"/>
        </w:rPr>
        <w:t xml:space="preserve"> (Consejo de Estado. Sala de Consulta y Servicio Civil. Concepto del 6 de noviembre de 2008. Expediente: 1927. Consejero Ponente: William Zambrano Cetina).</w:t>
      </w:r>
    </w:p>
    <w:p w14:paraId="266CDFBB" w14:textId="77777777" w:rsidR="00A94CED" w:rsidRPr="00B74530" w:rsidRDefault="00A94CED" w:rsidP="00A94CED">
      <w:pPr>
        <w:pStyle w:val="Textonotapie"/>
        <w:ind w:firstLine="709"/>
        <w:jc w:val="both"/>
        <w:rPr>
          <w:rFonts w:ascii="Verdana" w:hAnsi="Verdana" w:cs="Arial"/>
          <w:color w:val="000000"/>
          <w:sz w:val="16"/>
          <w:szCs w:val="16"/>
        </w:rPr>
      </w:pPr>
    </w:p>
  </w:footnote>
  <w:footnote w:id="34">
    <w:p w14:paraId="39CFCA7F" w14:textId="77777777" w:rsidR="00A94CED" w:rsidRPr="00B74530"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sz w:val="16"/>
          <w:szCs w:val="16"/>
        </w:rPr>
        <w:footnoteRef/>
      </w:r>
      <w:r w:rsidRPr="00B74530">
        <w:rPr>
          <w:rFonts w:ascii="Verdana" w:hAnsi="Verdana" w:cs="Arial"/>
          <w:sz w:val="16"/>
          <w:szCs w:val="16"/>
        </w:rPr>
        <w:t xml:space="preserve"> </w:t>
      </w:r>
      <w:r w:rsidRPr="00B74530">
        <w:rPr>
          <w:rFonts w:ascii="Verdana" w:hAnsi="Verdana" w:cs="Arial"/>
          <w:color w:val="000000"/>
          <w:sz w:val="16"/>
          <w:szCs w:val="16"/>
        </w:rPr>
        <w:t xml:space="preserve">En armonía con lo anterior, actualmente la Circular Externa Única de Colombia Compra Eficiente señala lo siguiente: “De otro lado, cabe destacar que, de conformidad con el artículo 5 de la Ley 1882 de 2018, durante el término otorgado para subsanar, los proponentes no podrán acreditar circunstancias ocurridas luego del cierre del proceso. De esta manera, es subsanable la prueba de todas las circunstancias ocurridas antes del vencimiento del término para presentar las ofertas, por lo que no se podrán acreditar circunstancias ocurridas con posterioridad a dicho momento. </w:t>
      </w:r>
    </w:p>
    <w:p w14:paraId="73984180" w14:textId="77777777" w:rsidR="00A94CED" w:rsidRPr="00B74530" w:rsidRDefault="00A94CED" w:rsidP="00A94CED">
      <w:pPr>
        <w:pStyle w:val="Textonotapie"/>
        <w:ind w:firstLine="709"/>
        <w:jc w:val="both"/>
        <w:rPr>
          <w:rFonts w:ascii="Verdana" w:hAnsi="Verdana" w:cs="Arial"/>
          <w:color w:val="000000"/>
          <w:sz w:val="16"/>
          <w:szCs w:val="16"/>
        </w:rPr>
      </w:pPr>
    </w:p>
    <w:p w14:paraId="3315C3C3" w14:textId="77777777" w:rsidR="00A94CED" w:rsidRPr="00B74530" w:rsidRDefault="00A94CED" w:rsidP="00A94CED">
      <w:pPr>
        <w:pStyle w:val="Textonotapie"/>
        <w:ind w:firstLine="709"/>
        <w:jc w:val="both"/>
        <w:rPr>
          <w:rFonts w:ascii="Verdana" w:hAnsi="Verdana" w:cs="Arial"/>
          <w:color w:val="000000"/>
          <w:sz w:val="16"/>
          <w:szCs w:val="16"/>
        </w:rPr>
      </w:pPr>
      <w:r w:rsidRPr="00B74530">
        <w:rPr>
          <w:rFonts w:ascii="Verdana" w:hAnsi="Verdana" w:cs="Arial"/>
          <w:color w:val="000000"/>
          <w:sz w:val="16"/>
          <w:szCs w:val="16"/>
        </w:rPr>
        <w:t xml:space="preserve">Lo anterior quiere decir que no es la prueba lo que debe ser anterior al cierre del proceso, sino el hecho que esta acredita. En ese sentido, ante la solicitud de la Administración de subsanar un requisito, el documento podría estar fechado con posterioridad al vencimiento del término para recibir propuestas, con la condición de que el hecho que acredite haya ocurrido antes, esto es, que no sea una circunstancia ocurrida con posterioridad al cierre del proceso. Un mejor entendimiento del significado de la expresión «circunstancias ocurridas con posterioridad al cierre del proceso» implica distinguir entre la prueba de un hecho y el hecho mismo. En el caso de la subsanabilidad de las ofertas, una cosa es el requisito habilitante o el elemento de la propuesta que permite cumplir determinada exigencia del pliego de condiciones –o documento equivalente– y otra su prueba. Lo que prohíbe la norma es que se subsanen requisitos que no estaban materialmente cumplidos al momento del cierre del proceso”. Disponible en: </w:t>
      </w:r>
      <w:hyperlink r:id="rId4" w:history="1">
        <w:r w:rsidRPr="00B74530">
          <w:rPr>
            <w:rStyle w:val="Hipervnculo"/>
            <w:rFonts w:ascii="Verdana" w:hAnsi="Verdana" w:cs="Arial"/>
            <w:sz w:val="16"/>
            <w:szCs w:val="16"/>
          </w:rPr>
          <w:t>https://www.colombiacompra.gov.co/circulares?page=2</w:t>
        </w:r>
      </w:hyperlink>
      <w:r w:rsidRPr="00B74530">
        <w:rPr>
          <w:rStyle w:val="Hipervnculo"/>
          <w:rFonts w:ascii="Verdana" w:hAnsi="Verdana" w:cs="Arial"/>
          <w:color w:val="000000"/>
          <w:sz w:val="16"/>
          <w:szCs w:val="16"/>
        </w:rPr>
        <w:t xml:space="preserve"> </w:t>
      </w:r>
    </w:p>
    <w:p w14:paraId="6503D7D8" w14:textId="77777777" w:rsidR="00A94CED" w:rsidRPr="00B74530" w:rsidRDefault="00A94CED" w:rsidP="00A94CED">
      <w:pPr>
        <w:pStyle w:val="Textonotapie"/>
        <w:ind w:firstLine="709"/>
        <w:jc w:val="both"/>
        <w:rPr>
          <w:rFonts w:ascii="Verdana" w:hAnsi="Verdana" w:cs="Arial"/>
          <w:color w:val="000000"/>
          <w:sz w:val="16"/>
          <w:szCs w:val="16"/>
        </w:rPr>
      </w:pPr>
    </w:p>
  </w:footnote>
  <w:footnote w:id="35">
    <w:p w14:paraId="5F7C68A9" w14:textId="77777777" w:rsidR="00A94CED" w:rsidRPr="00B74530"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Fonts w:ascii="Verdana" w:hAnsi="Verdana" w:cs="Arial"/>
          <w:color w:val="000000"/>
          <w:sz w:val="16"/>
          <w:szCs w:val="16"/>
        </w:rPr>
        <w:t xml:space="preserve"> Ver </w:t>
      </w:r>
      <w:r w:rsidRPr="00877587">
        <w:rPr>
          <w:rFonts w:ascii="Verdana" w:hAnsi="Verdana" w:cs="Arial"/>
          <w:color w:val="000000"/>
          <w:sz w:val="16"/>
          <w:szCs w:val="16"/>
        </w:rPr>
        <w:t>Consejo de Estado. Sala de lo Contencioso Administrativo. Sección Tercera. Subsección C.</w:t>
      </w:r>
      <w:r>
        <w:rPr>
          <w:rFonts w:ascii="Verdana" w:hAnsi="Verdana" w:cs="Arial"/>
          <w:color w:val="000000"/>
          <w:sz w:val="16"/>
          <w:szCs w:val="16"/>
        </w:rPr>
        <w:t xml:space="preserve"> </w:t>
      </w:r>
      <w:r w:rsidRPr="00B74530">
        <w:rPr>
          <w:rFonts w:ascii="Verdana" w:hAnsi="Verdana" w:cs="Arial"/>
          <w:color w:val="000000"/>
          <w:sz w:val="16"/>
          <w:szCs w:val="16"/>
        </w:rPr>
        <w:t xml:space="preserve">Sentencia del 26 de febrero de 2011. C.P. Jaime Orlando Santofimio. Rad. 36.408. </w:t>
      </w:r>
    </w:p>
  </w:footnote>
  <w:footnote w:id="36">
    <w:p w14:paraId="42C80A83" w14:textId="77777777" w:rsidR="00A94CED" w:rsidRPr="00B74530" w:rsidRDefault="00A94CED" w:rsidP="00A94CED">
      <w:pPr>
        <w:pStyle w:val="Textonotapie"/>
        <w:ind w:firstLine="709"/>
        <w:jc w:val="both"/>
        <w:rPr>
          <w:rFonts w:ascii="Verdana" w:hAnsi="Verdana" w:cs="Arial"/>
          <w:color w:val="000000"/>
          <w:sz w:val="16"/>
          <w:szCs w:val="16"/>
        </w:rPr>
      </w:pPr>
    </w:p>
    <w:p w14:paraId="0F482BBE" w14:textId="77777777" w:rsidR="00A94CED" w:rsidRPr="00B74530" w:rsidRDefault="00A94CED" w:rsidP="00A94CED">
      <w:pPr>
        <w:pStyle w:val="Textonotapie"/>
        <w:ind w:firstLine="709"/>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Fonts w:ascii="Verdana" w:hAnsi="Verdana" w:cs="Arial"/>
          <w:color w:val="000000"/>
          <w:sz w:val="16"/>
          <w:szCs w:val="16"/>
        </w:rPr>
        <w:t xml:space="preserve"> Ver </w:t>
      </w:r>
      <w:r w:rsidRPr="00877587">
        <w:rPr>
          <w:rFonts w:ascii="Verdana" w:hAnsi="Verdana" w:cs="Arial"/>
          <w:color w:val="000000"/>
          <w:sz w:val="16"/>
          <w:szCs w:val="16"/>
        </w:rPr>
        <w:t xml:space="preserve">Consejo de Estado. Sala de lo Contencioso Administrativo. Sección Tercera. Subsección C. </w:t>
      </w:r>
      <w:r w:rsidRPr="00B74530">
        <w:rPr>
          <w:rFonts w:ascii="Verdana" w:hAnsi="Verdana" w:cs="Arial"/>
          <w:color w:val="000000"/>
          <w:sz w:val="16"/>
          <w:szCs w:val="16"/>
        </w:rPr>
        <w:t xml:space="preserve"> Sentencia del 26 de febrero de 2014. C.P. Enrique Gil Botero. Rad. 25.804. </w:t>
      </w:r>
    </w:p>
    <w:p w14:paraId="5EC2DDEE" w14:textId="77777777" w:rsidR="00A94CED" w:rsidRPr="00B74530" w:rsidRDefault="00A94CED" w:rsidP="00A94CED">
      <w:pPr>
        <w:pStyle w:val="Textonotapie"/>
        <w:ind w:firstLine="709"/>
        <w:jc w:val="both"/>
        <w:rPr>
          <w:rFonts w:ascii="Verdana" w:hAnsi="Verdana" w:cs="Arial"/>
          <w:color w:val="000000"/>
          <w:sz w:val="16"/>
          <w:szCs w:val="16"/>
        </w:rPr>
      </w:pPr>
    </w:p>
  </w:footnote>
  <w:footnote w:id="37">
    <w:p w14:paraId="74C8DF5B" w14:textId="77777777" w:rsidR="00A94CED" w:rsidRPr="00B74530" w:rsidRDefault="00A94CED" w:rsidP="00A94CED">
      <w:pPr>
        <w:pStyle w:val="Textonotapie"/>
        <w:ind w:firstLine="708"/>
        <w:jc w:val="both"/>
        <w:rPr>
          <w:rFonts w:ascii="Verdana" w:hAnsi="Verdana" w:cs="Arial"/>
          <w:color w:val="000000"/>
          <w:sz w:val="16"/>
          <w:szCs w:val="16"/>
        </w:rPr>
      </w:pPr>
      <w:r w:rsidRPr="00B74530">
        <w:rPr>
          <w:rStyle w:val="Refdenotaalpie"/>
          <w:rFonts w:ascii="Verdana" w:hAnsi="Verdana" w:cs="Arial"/>
          <w:color w:val="000000"/>
          <w:sz w:val="16"/>
          <w:szCs w:val="16"/>
        </w:rPr>
        <w:footnoteRef/>
      </w:r>
      <w:r w:rsidRPr="00B74530">
        <w:rPr>
          <w:rFonts w:ascii="Verdana" w:hAnsi="Verdana" w:cs="Arial"/>
          <w:color w:val="000000"/>
          <w:sz w:val="16"/>
          <w:szCs w:val="16"/>
        </w:rPr>
        <w:t xml:space="preserve"> </w:t>
      </w:r>
      <w:r>
        <w:rPr>
          <w:rFonts w:ascii="Verdana" w:hAnsi="Verdana" w:cs="Arial"/>
          <w:color w:val="000000"/>
          <w:sz w:val="16"/>
          <w:szCs w:val="16"/>
        </w:rPr>
        <w:t>Consejo de Estado</w:t>
      </w:r>
      <w:r w:rsidRPr="00B74530">
        <w:rPr>
          <w:rFonts w:ascii="Verdana" w:hAnsi="Verdana" w:cs="Arial"/>
          <w:color w:val="000000"/>
          <w:sz w:val="16"/>
          <w:szCs w:val="16"/>
        </w:rPr>
        <w:t>. Sala de Consulta y Servicio Civil. Concepto del 20 de mayo de 2010. Expediente: 1992. Consejero Ponente: Enrique José Arboleda Perdomo.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062543F"/>
    <w:multiLevelType w:val="hybridMultilevel"/>
    <w:tmpl w:val="6F64DE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2"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88110A"/>
    <w:multiLevelType w:val="hybridMultilevel"/>
    <w:tmpl w:val="8B3A959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5836ED6"/>
    <w:multiLevelType w:val="hybridMultilevel"/>
    <w:tmpl w:val="BB122E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CE264D"/>
    <w:multiLevelType w:val="hybridMultilevel"/>
    <w:tmpl w:val="4F6C4664"/>
    <w:lvl w:ilvl="0" w:tplc="2AE4B40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BE5525D"/>
    <w:multiLevelType w:val="hybridMultilevel"/>
    <w:tmpl w:val="36CA4F60"/>
    <w:lvl w:ilvl="0" w:tplc="2A2654F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48C4F67"/>
    <w:multiLevelType w:val="hybridMultilevel"/>
    <w:tmpl w:val="0B90DF56"/>
    <w:lvl w:ilvl="0" w:tplc="68AC282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4BF5BD7"/>
    <w:multiLevelType w:val="multilevel"/>
    <w:tmpl w:val="074C3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E6F25"/>
    <w:multiLevelType w:val="hybridMultilevel"/>
    <w:tmpl w:val="1ED43642"/>
    <w:lvl w:ilvl="0" w:tplc="4B62491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A03718C"/>
    <w:multiLevelType w:val="multilevel"/>
    <w:tmpl w:val="CDBC1C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8D5118"/>
    <w:multiLevelType w:val="multilevel"/>
    <w:tmpl w:val="7D4E78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47E67525"/>
    <w:multiLevelType w:val="multilevel"/>
    <w:tmpl w:val="D0CCBF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BF07B9"/>
    <w:multiLevelType w:val="multilevel"/>
    <w:tmpl w:val="0E10D4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A7326E"/>
    <w:multiLevelType w:val="multilevel"/>
    <w:tmpl w:val="5CE2D418"/>
    <w:lvl w:ilvl="0">
      <w:start w:val="1"/>
      <w:numFmt w:val="decimal"/>
      <w:lvlText w:val="%1."/>
      <w:lvlJc w:val="left"/>
      <w:pPr>
        <w:ind w:left="480" w:hanging="360"/>
      </w:pPr>
      <w:rPr>
        <w:rFonts w:ascii="Arial" w:eastAsia="Arial" w:hAnsi="Arial" w:cs="Arial" w:hint="default"/>
        <w:b/>
        <w:bCs/>
        <w:color w:val="4E4D4D"/>
        <w:spacing w:val="-8"/>
        <w:w w:val="100"/>
        <w:sz w:val="22"/>
        <w:szCs w:val="22"/>
        <w:lang w:val="es-ES" w:eastAsia="en-US" w:bidi="ar-SA"/>
      </w:rPr>
    </w:lvl>
    <w:lvl w:ilvl="1">
      <w:start w:val="1"/>
      <w:numFmt w:val="decimal"/>
      <w:lvlText w:val="%1.%2"/>
      <w:lvlJc w:val="left"/>
      <w:pPr>
        <w:ind w:left="688" w:hanging="578"/>
      </w:pPr>
      <w:rPr>
        <w:rFonts w:ascii="Arial" w:eastAsia="Arial" w:hAnsi="Arial" w:cs="Arial" w:hint="default"/>
        <w:b/>
        <w:bCs/>
        <w:color w:val="4E4D4D"/>
        <w:spacing w:val="-3"/>
        <w:w w:val="100"/>
        <w:sz w:val="22"/>
        <w:szCs w:val="22"/>
        <w:lang w:val="es-ES" w:eastAsia="en-US" w:bidi="ar-SA"/>
      </w:rPr>
    </w:lvl>
    <w:lvl w:ilvl="2">
      <w:start w:val="1"/>
      <w:numFmt w:val="lowerLetter"/>
      <w:lvlText w:val="%3)"/>
      <w:lvlJc w:val="left"/>
      <w:pPr>
        <w:ind w:left="800" w:hanging="325"/>
      </w:pPr>
      <w:rPr>
        <w:rFonts w:ascii="Arial" w:eastAsia="Arial" w:hAnsi="Arial" w:cs="Arial" w:hint="default"/>
        <w:color w:val="000000" w:themeColor="text1"/>
        <w:spacing w:val="-3"/>
        <w:w w:val="100"/>
        <w:sz w:val="22"/>
        <w:szCs w:val="22"/>
        <w:lang w:val="es-ES" w:eastAsia="en-US" w:bidi="ar-SA"/>
      </w:rPr>
    </w:lvl>
    <w:lvl w:ilvl="3">
      <w:numFmt w:val="bullet"/>
      <w:lvlText w:val="•"/>
      <w:lvlJc w:val="left"/>
      <w:pPr>
        <w:ind w:left="1845" w:hanging="325"/>
      </w:pPr>
      <w:rPr>
        <w:rFonts w:hint="default"/>
        <w:lang w:val="es-ES" w:eastAsia="en-US" w:bidi="ar-SA"/>
      </w:rPr>
    </w:lvl>
    <w:lvl w:ilvl="4">
      <w:numFmt w:val="bullet"/>
      <w:lvlText w:val="•"/>
      <w:lvlJc w:val="left"/>
      <w:pPr>
        <w:ind w:left="2890" w:hanging="325"/>
      </w:pPr>
      <w:rPr>
        <w:rFonts w:hint="default"/>
        <w:lang w:val="es-ES" w:eastAsia="en-US" w:bidi="ar-SA"/>
      </w:rPr>
    </w:lvl>
    <w:lvl w:ilvl="5">
      <w:numFmt w:val="bullet"/>
      <w:lvlText w:val="•"/>
      <w:lvlJc w:val="left"/>
      <w:pPr>
        <w:ind w:left="3935" w:hanging="325"/>
      </w:pPr>
      <w:rPr>
        <w:rFonts w:hint="default"/>
        <w:lang w:val="es-ES" w:eastAsia="en-US" w:bidi="ar-SA"/>
      </w:rPr>
    </w:lvl>
    <w:lvl w:ilvl="6">
      <w:numFmt w:val="bullet"/>
      <w:lvlText w:val="•"/>
      <w:lvlJc w:val="left"/>
      <w:pPr>
        <w:ind w:left="4980" w:hanging="325"/>
      </w:pPr>
      <w:rPr>
        <w:rFonts w:hint="default"/>
        <w:lang w:val="es-ES" w:eastAsia="en-US" w:bidi="ar-SA"/>
      </w:rPr>
    </w:lvl>
    <w:lvl w:ilvl="7">
      <w:numFmt w:val="bullet"/>
      <w:lvlText w:val="•"/>
      <w:lvlJc w:val="left"/>
      <w:pPr>
        <w:ind w:left="6025" w:hanging="325"/>
      </w:pPr>
      <w:rPr>
        <w:rFonts w:hint="default"/>
        <w:lang w:val="es-ES" w:eastAsia="en-US" w:bidi="ar-SA"/>
      </w:rPr>
    </w:lvl>
    <w:lvl w:ilvl="8">
      <w:numFmt w:val="bullet"/>
      <w:lvlText w:val="•"/>
      <w:lvlJc w:val="left"/>
      <w:pPr>
        <w:ind w:left="7070" w:hanging="325"/>
      </w:pPr>
      <w:rPr>
        <w:rFonts w:hint="default"/>
        <w:lang w:val="es-ES" w:eastAsia="en-US" w:bidi="ar-SA"/>
      </w:rPr>
    </w:lvl>
  </w:abstractNum>
  <w:abstractNum w:abstractNumId="23" w15:restartNumberingAfterBreak="0">
    <w:nsid w:val="5AA07D04"/>
    <w:multiLevelType w:val="multilevel"/>
    <w:tmpl w:val="C20E37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5" w15:restartNumberingAfterBreak="0">
    <w:nsid w:val="64642334"/>
    <w:multiLevelType w:val="hybridMultilevel"/>
    <w:tmpl w:val="3FECA0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D330B8"/>
    <w:multiLevelType w:val="hybridMultilevel"/>
    <w:tmpl w:val="B80EA4F8"/>
    <w:lvl w:ilvl="0" w:tplc="1EDA18D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F97300"/>
    <w:multiLevelType w:val="hybridMultilevel"/>
    <w:tmpl w:val="26F4E8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AEF6B27"/>
    <w:multiLevelType w:val="hybridMultilevel"/>
    <w:tmpl w:val="02FA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48779781">
    <w:abstractNumId w:val="15"/>
  </w:num>
  <w:num w:numId="2" w16cid:durableId="19822139">
    <w:abstractNumId w:val="4"/>
  </w:num>
  <w:num w:numId="3" w16cid:durableId="876742304">
    <w:abstractNumId w:val="13"/>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4"/>
  </w:num>
  <w:num w:numId="6" w16cid:durableId="316692925">
    <w:abstractNumId w:val="29"/>
  </w:num>
  <w:num w:numId="7" w16cid:durableId="1946422806">
    <w:abstractNumId w:val="14"/>
  </w:num>
  <w:num w:numId="8" w16cid:durableId="152644682">
    <w:abstractNumId w:val="27"/>
  </w:num>
  <w:num w:numId="9" w16cid:durableId="1317221377">
    <w:abstractNumId w:val="17"/>
  </w:num>
  <w:num w:numId="10" w16cid:durableId="1471245386">
    <w:abstractNumId w:val="26"/>
  </w:num>
  <w:num w:numId="11" w16cid:durableId="289172385">
    <w:abstractNumId w:val="18"/>
  </w:num>
  <w:num w:numId="12" w16cid:durableId="1470781324">
    <w:abstractNumId w:val="2"/>
  </w:num>
  <w:num w:numId="13" w16cid:durableId="1512908409">
    <w:abstractNumId w:val="10"/>
  </w:num>
  <w:num w:numId="14" w16cid:durableId="895897244">
    <w:abstractNumId w:val="30"/>
  </w:num>
  <w:num w:numId="15" w16cid:durableId="390349800">
    <w:abstractNumId w:val="24"/>
  </w:num>
  <w:num w:numId="16" w16cid:durableId="1821573754">
    <w:abstractNumId w:val="1"/>
  </w:num>
  <w:num w:numId="17" w16cid:durableId="156262738">
    <w:abstractNumId w:val="19"/>
  </w:num>
  <w:num w:numId="18" w16cid:durableId="1307516408">
    <w:abstractNumId w:val="9"/>
  </w:num>
  <w:num w:numId="19" w16cid:durableId="709501672">
    <w:abstractNumId w:val="23"/>
  </w:num>
  <w:num w:numId="20" w16cid:durableId="789280279">
    <w:abstractNumId w:val="20"/>
  </w:num>
  <w:num w:numId="21" w16cid:durableId="1004358651">
    <w:abstractNumId w:val="16"/>
  </w:num>
  <w:num w:numId="22" w16cid:durableId="1013217519">
    <w:abstractNumId w:val="12"/>
  </w:num>
  <w:num w:numId="23" w16cid:durableId="1084883139">
    <w:abstractNumId w:val="21"/>
  </w:num>
  <w:num w:numId="24" w16cid:durableId="1354067685">
    <w:abstractNumId w:val="3"/>
  </w:num>
  <w:num w:numId="25" w16cid:durableId="704251426">
    <w:abstractNumId w:val="31"/>
  </w:num>
  <w:num w:numId="26" w16cid:durableId="2113670362">
    <w:abstractNumId w:val="22"/>
  </w:num>
  <w:num w:numId="27" w16cid:durableId="29454572">
    <w:abstractNumId w:val="25"/>
  </w:num>
  <w:num w:numId="28" w16cid:durableId="1879776317">
    <w:abstractNumId w:val="0"/>
  </w:num>
  <w:num w:numId="29" w16cid:durableId="1958178606">
    <w:abstractNumId w:val="5"/>
  </w:num>
  <w:num w:numId="30" w16cid:durableId="851071091">
    <w:abstractNumId w:val="6"/>
  </w:num>
  <w:num w:numId="31" w16cid:durableId="2066756594">
    <w:abstractNumId w:val="28"/>
  </w:num>
  <w:num w:numId="32" w16cid:durableId="1032462959">
    <w:abstractNumId w:val="11"/>
  </w:num>
  <w:num w:numId="33" w16cid:durableId="766774032">
    <w:abstractNumId w:val="7"/>
  </w:num>
  <w:num w:numId="34" w16cid:durableId="238171907">
    <w:abstractNumId w:val="8"/>
  </w:num>
  <w:num w:numId="35" w16cid:durableId="8494878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065B"/>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E5746"/>
    <w:rsid w:val="001F0B24"/>
    <w:rsid w:val="001F7DC6"/>
    <w:rsid w:val="0022400B"/>
    <w:rsid w:val="002421BB"/>
    <w:rsid w:val="0025796E"/>
    <w:rsid w:val="002707A2"/>
    <w:rsid w:val="002951A0"/>
    <w:rsid w:val="002962BC"/>
    <w:rsid w:val="002A093D"/>
    <w:rsid w:val="002A0DD0"/>
    <w:rsid w:val="002A49AC"/>
    <w:rsid w:val="002A64FD"/>
    <w:rsid w:val="002C7A84"/>
    <w:rsid w:val="002E2365"/>
    <w:rsid w:val="002E2BF8"/>
    <w:rsid w:val="002E4FD9"/>
    <w:rsid w:val="002F2B8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6408C"/>
    <w:rsid w:val="00574867"/>
    <w:rsid w:val="00591460"/>
    <w:rsid w:val="00594960"/>
    <w:rsid w:val="005A65E0"/>
    <w:rsid w:val="005C3777"/>
    <w:rsid w:val="005C5CDC"/>
    <w:rsid w:val="005D476C"/>
    <w:rsid w:val="006200BF"/>
    <w:rsid w:val="006219F8"/>
    <w:rsid w:val="006302F7"/>
    <w:rsid w:val="00646B9F"/>
    <w:rsid w:val="00665D70"/>
    <w:rsid w:val="006719E2"/>
    <w:rsid w:val="006900D9"/>
    <w:rsid w:val="006A0C3B"/>
    <w:rsid w:val="006F508D"/>
    <w:rsid w:val="00706C16"/>
    <w:rsid w:val="007340C3"/>
    <w:rsid w:val="007363A0"/>
    <w:rsid w:val="0075235A"/>
    <w:rsid w:val="00756841"/>
    <w:rsid w:val="007649AB"/>
    <w:rsid w:val="00771D0C"/>
    <w:rsid w:val="007833AC"/>
    <w:rsid w:val="007B268C"/>
    <w:rsid w:val="007B7171"/>
    <w:rsid w:val="007C0C0F"/>
    <w:rsid w:val="007C3DC2"/>
    <w:rsid w:val="007D685A"/>
    <w:rsid w:val="007E5497"/>
    <w:rsid w:val="007F1126"/>
    <w:rsid w:val="00806F5F"/>
    <w:rsid w:val="00820278"/>
    <w:rsid w:val="008258C9"/>
    <w:rsid w:val="00844AE9"/>
    <w:rsid w:val="00861DF5"/>
    <w:rsid w:val="00867F95"/>
    <w:rsid w:val="00882CE2"/>
    <w:rsid w:val="008843B6"/>
    <w:rsid w:val="00891928"/>
    <w:rsid w:val="008A446D"/>
    <w:rsid w:val="008B25F1"/>
    <w:rsid w:val="008B5315"/>
    <w:rsid w:val="008D180B"/>
    <w:rsid w:val="008F0EA7"/>
    <w:rsid w:val="008F5DC5"/>
    <w:rsid w:val="00923EEF"/>
    <w:rsid w:val="009419F9"/>
    <w:rsid w:val="0095685E"/>
    <w:rsid w:val="00961B09"/>
    <w:rsid w:val="00965334"/>
    <w:rsid w:val="00966CBC"/>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43ECC"/>
    <w:rsid w:val="00A94CED"/>
    <w:rsid w:val="00AB0ADB"/>
    <w:rsid w:val="00B00C0E"/>
    <w:rsid w:val="00B01B1A"/>
    <w:rsid w:val="00B0381D"/>
    <w:rsid w:val="00B3417F"/>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85DF1"/>
    <w:rsid w:val="00C925AC"/>
    <w:rsid w:val="00CB6357"/>
    <w:rsid w:val="00CC1B26"/>
    <w:rsid w:val="00CD3744"/>
    <w:rsid w:val="00D361FD"/>
    <w:rsid w:val="00D423A2"/>
    <w:rsid w:val="00D44E26"/>
    <w:rsid w:val="00D46F9E"/>
    <w:rsid w:val="00D520D8"/>
    <w:rsid w:val="00D63AC2"/>
    <w:rsid w:val="00D7383B"/>
    <w:rsid w:val="00D7788A"/>
    <w:rsid w:val="00DA231B"/>
    <w:rsid w:val="00DC39FC"/>
    <w:rsid w:val="00DC405A"/>
    <w:rsid w:val="00DF5254"/>
    <w:rsid w:val="00E02524"/>
    <w:rsid w:val="00E16408"/>
    <w:rsid w:val="00E20894"/>
    <w:rsid w:val="00E245AB"/>
    <w:rsid w:val="00E2764C"/>
    <w:rsid w:val="00E27F2E"/>
    <w:rsid w:val="00E4217B"/>
    <w:rsid w:val="00E50AFE"/>
    <w:rsid w:val="00E57B0D"/>
    <w:rsid w:val="00E75C92"/>
    <w:rsid w:val="00E771DC"/>
    <w:rsid w:val="00E8772A"/>
    <w:rsid w:val="00E90F6B"/>
    <w:rsid w:val="00E92C27"/>
    <w:rsid w:val="00EA0E3D"/>
    <w:rsid w:val="00EC38A7"/>
    <w:rsid w:val="00EE1AA8"/>
    <w:rsid w:val="00F23FEA"/>
    <w:rsid w:val="00F31EDC"/>
    <w:rsid w:val="00F462B3"/>
    <w:rsid w:val="00F5664F"/>
    <w:rsid w:val="00F666C4"/>
    <w:rsid w:val="00F7421D"/>
    <w:rsid w:val="00F76AFC"/>
    <w:rsid w:val="00FA47C0"/>
    <w:rsid w:val="00FB5DD1"/>
    <w:rsid w:val="00FC2B5D"/>
    <w:rsid w:val="00FE18EC"/>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A94CED"/>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A94CED"/>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A94CED"/>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A94CED"/>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A94CED"/>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A94CED"/>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A94CED"/>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A94CED"/>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A94CED"/>
    <w:pPr>
      <w:keepNext/>
      <w:keepLines/>
      <w:spacing w:before="40" w:after="0"/>
      <w:outlineLvl w:val="8"/>
    </w:pPr>
    <w:rPr>
      <w:rFonts w:eastAsia="Times New Roman" w:cs="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A94CED"/>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semiHidden/>
    <w:unhideWhenUsed/>
    <w:qFormat/>
    <w:rsid w:val="00A94CED"/>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semiHidden/>
    <w:unhideWhenUsed/>
    <w:qFormat/>
    <w:rsid w:val="00A94CED"/>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A94CED"/>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A94CED"/>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A94CED"/>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A94CED"/>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A94CED"/>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A94CED"/>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A94CED"/>
  </w:style>
  <w:style w:type="character" w:customStyle="1" w:styleId="Ttulo1Car">
    <w:name w:val="Título 1 Car"/>
    <w:basedOn w:val="Fuentedeprrafopredeter"/>
    <w:link w:val="Ttulo1"/>
    <w:uiPriority w:val="9"/>
    <w:rsid w:val="00A94CED"/>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A94CED"/>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A94CED"/>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A94CED"/>
    <w:rPr>
      <w:rFonts w:eastAsia="Times New Roman" w:cs="Times New Roman"/>
      <w:i/>
      <w:iCs/>
      <w:color w:val="0F4761"/>
    </w:rPr>
  </w:style>
  <w:style w:type="character" w:customStyle="1" w:styleId="Ttulo5Car">
    <w:name w:val="Título 5 Car"/>
    <w:basedOn w:val="Fuentedeprrafopredeter"/>
    <w:link w:val="Ttulo5"/>
    <w:uiPriority w:val="9"/>
    <w:semiHidden/>
    <w:rsid w:val="00A94CED"/>
    <w:rPr>
      <w:rFonts w:eastAsia="Times New Roman" w:cs="Times New Roman"/>
      <w:color w:val="0F4761"/>
    </w:rPr>
  </w:style>
  <w:style w:type="character" w:customStyle="1" w:styleId="Ttulo6Car">
    <w:name w:val="Título 6 Car"/>
    <w:basedOn w:val="Fuentedeprrafopredeter"/>
    <w:link w:val="Ttulo6"/>
    <w:uiPriority w:val="9"/>
    <w:semiHidden/>
    <w:rsid w:val="00A94CED"/>
    <w:rPr>
      <w:rFonts w:eastAsia="Times New Roman" w:cs="Times New Roman"/>
      <w:i/>
      <w:iCs/>
      <w:color w:val="595959"/>
    </w:rPr>
  </w:style>
  <w:style w:type="character" w:customStyle="1" w:styleId="Ttulo7Car">
    <w:name w:val="Título 7 Car"/>
    <w:basedOn w:val="Fuentedeprrafopredeter"/>
    <w:link w:val="Ttulo7"/>
    <w:uiPriority w:val="9"/>
    <w:semiHidden/>
    <w:rsid w:val="00A94CED"/>
    <w:rPr>
      <w:rFonts w:eastAsia="Times New Roman" w:cs="Times New Roman"/>
      <w:color w:val="595959"/>
    </w:rPr>
  </w:style>
  <w:style w:type="character" w:customStyle="1" w:styleId="Ttulo8Car">
    <w:name w:val="Título 8 Car"/>
    <w:basedOn w:val="Fuentedeprrafopredeter"/>
    <w:link w:val="Ttulo8"/>
    <w:uiPriority w:val="9"/>
    <w:semiHidden/>
    <w:rsid w:val="00A94CED"/>
    <w:rPr>
      <w:rFonts w:eastAsia="Times New Roman" w:cs="Times New Roman"/>
      <w:i/>
      <w:iCs/>
      <w:color w:val="272727"/>
    </w:rPr>
  </w:style>
  <w:style w:type="character" w:customStyle="1" w:styleId="Ttulo9Car">
    <w:name w:val="Título 9 Car"/>
    <w:basedOn w:val="Fuentedeprrafopredeter"/>
    <w:link w:val="Ttulo9"/>
    <w:uiPriority w:val="9"/>
    <w:semiHidden/>
    <w:rsid w:val="00A94CED"/>
    <w:rPr>
      <w:rFonts w:eastAsia="Times New Roman" w:cs="Times New Roman"/>
      <w:color w:val="272727"/>
    </w:rPr>
  </w:style>
  <w:style w:type="paragraph" w:customStyle="1" w:styleId="Subttulo1">
    <w:name w:val="Subtítulo1"/>
    <w:basedOn w:val="Normal"/>
    <w:next w:val="Normal"/>
    <w:uiPriority w:val="11"/>
    <w:qFormat/>
    <w:rsid w:val="00A94CED"/>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A94CED"/>
    <w:rPr>
      <w:rFonts w:eastAsia="Times New Roman" w:cs="Times New Roman"/>
      <w:color w:val="595959"/>
      <w:spacing w:val="15"/>
      <w:sz w:val="28"/>
      <w:szCs w:val="28"/>
    </w:rPr>
  </w:style>
  <w:style w:type="paragraph" w:customStyle="1" w:styleId="Cita1">
    <w:name w:val="Cita1"/>
    <w:basedOn w:val="Normal"/>
    <w:next w:val="Normal"/>
    <w:uiPriority w:val="29"/>
    <w:qFormat/>
    <w:rsid w:val="00A94CED"/>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A94CED"/>
    <w:rPr>
      <w:i/>
      <w:iCs/>
      <w:color w:val="404040"/>
    </w:rPr>
  </w:style>
  <w:style w:type="character" w:customStyle="1" w:styleId="nfasisintenso1">
    <w:name w:val="Énfasis intenso1"/>
    <w:basedOn w:val="Fuentedeprrafopredeter"/>
    <w:uiPriority w:val="21"/>
    <w:qFormat/>
    <w:rsid w:val="00A94CED"/>
    <w:rPr>
      <w:i/>
      <w:iCs/>
      <w:color w:val="0F4761"/>
    </w:rPr>
  </w:style>
  <w:style w:type="paragraph" w:customStyle="1" w:styleId="Citadestacada1">
    <w:name w:val="Cita destacada1"/>
    <w:basedOn w:val="Normal"/>
    <w:next w:val="Normal"/>
    <w:uiPriority w:val="30"/>
    <w:qFormat/>
    <w:rsid w:val="00A94CED"/>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A94CED"/>
    <w:rPr>
      <w:i/>
      <w:iCs/>
      <w:color w:val="0F4761"/>
    </w:rPr>
  </w:style>
  <w:style w:type="character" w:customStyle="1" w:styleId="Referenciaintensa1">
    <w:name w:val="Referencia intensa1"/>
    <w:basedOn w:val="Fuentedeprrafopredeter"/>
    <w:uiPriority w:val="32"/>
    <w:qFormat/>
    <w:rsid w:val="00A94CED"/>
    <w:rPr>
      <w:b/>
      <w:bCs/>
      <w:smallCaps/>
      <w:color w:val="0F4761"/>
      <w:spacing w:val="5"/>
    </w:rPr>
  </w:style>
  <w:style w:type="paragraph" w:customStyle="1" w:styleId="Appelnotedebasde">
    <w:name w:val="Appel note de bas de..."/>
    <w:basedOn w:val="Normal"/>
    <w:link w:val="Refdenotaalpie"/>
    <w:uiPriority w:val="99"/>
    <w:rsid w:val="00A94CED"/>
    <w:pPr>
      <w:spacing w:line="240" w:lineRule="exact"/>
    </w:pPr>
    <w:rPr>
      <w:vertAlign w:val="superscript"/>
    </w:rPr>
  </w:style>
  <w:style w:type="character" w:customStyle="1" w:styleId="apple-converted-space">
    <w:name w:val="apple-converted-space"/>
    <w:basedOn w:val="Fuentedeprrafopredeter"/>
    <w:rsid w:val="00A94CED"/>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94CED"/>
    <w:rPr>
      <w:rFonts w:ascii="Geomanist Light" w:hAnsi="Geomanist Light"/>
      <w:lang w:val="es-ES"/>
    </w:rPr>
  </w:style>
  <w:style w:type="paragraph" w:styleId="Textoindependiente">
    <w:name w:val="Body Text"/>
    <w:basedOn w:val="Normal"/>
    <w:link w:val="TextoindependienteCar"/>
    <w:uiPriority w:val="1"/>
    <w:qFormat/>
    <w:rsid w:val="00A94CED"/>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A94CED"/>
    <w:rPr>
      <w:rFonts w:ascii="Arial" w:eastAsia="Arial" w:hAnsi="Arial" w:cs="Arial"/>
      <w:lang w:val="es-ES"/>
    </w:rPr>
  </w:style>
  <w:style w:type="character" w:styleId="nfasis">
    <w:name w:val="Emphasis"/>
    <w:basedOn w:val="Fuentedeprrafopredeter"/>
    <w:uiPriority w:val="20"/>
    <w:qFormat/>
    <w:rsid w:val="00A94CED"/>
    <w:rPr>
      <w:i/>
      <w:iCs/>
    </w:rPr>
  </w:style>
  <w:style w:type="character" w:customStyle="1" w:styleId="Ttulo1Car1">
    <w:name w:val="Título 1 Car1"/>
    <w:basedOn w:val="Fuentedeprrafopredeter"/>
    <w:uiPriority w:val="9"/>
    <w:rsid w:val="00A94CED"/>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A94CE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A94CE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A94CED"/>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A94CED"/>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A94CED"/>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A94CED"/>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A94CE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A94CED"/>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A94CED"/>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A94CED"/>
    <w:rPr>
      <w:rFonts w:eastAsiaTheme="minorEastAsia"/>
      <w:color w:val="5A5A5A" w:themeColor="text1" w:themeTint="A5"/>
      <w:spacing w:val="15"/>
    </w:rPr>
  </w:style>
  <w:style w:type="paragraph" w:styleId="Cita">
    <w:name w:val="Quote"/>
    <w:basedOn w:val="Normal"/>
    <w:next w:val="Normal"/>
    <w:link w:val="CitaCar"/>
    <w:uiPriority w:val="29"/>
    <w:qFormat/>
    <w:rsid w:val="00A94CED"/>
    <w:pPr>
      <w:spacing w:before="200"/>
      <w:ind w:left="864" w:right="864"/>
      <w:jc w:val="center"/>
    </w:pPr>
    <w:rPr>
      <w:i/>
      <w:iCs/>
      <w:color w:val="404040"/>
    </w:rPr>
  </w:style>
  <w:style w:type="character" w:customStyle="1" w:styleId="CitaCar1">
    <w:name w:val="Cita Car1"/>
    <w:basedOn w:val="Fuentedeprrafopredeter"/>
    <w:uiPriority w:val="29"/>
    <w:rsid w:val="00A94CED"/>
    <w:rPr>
      <w:i/>
      <w:iCs/>
      <w:color w:val="404040" w:themeColor="text1" w:themeTint="BF"/>
    </w:rPr>
  </w:style>
  <w:style w:type="character" w:styleId="nfasisintenso">
    <w:name w:val="Intense Emphasis"/>
    <w:basedOn w:val="Fuentedeprrafopredeter"/>
    <w:uiPriority w:val="21"/>
    <w:qFormat/>
    <w:rsid w:val="00A94CED"/>
    <w:rPr>
      <w:i/>
      <w:iCs/>
      <w:color w:val="4472C4" w:themeColor="accent1"/>
    </w:rPr>
  </w:style>
  <w:style w:type="paragraph" w:styleId="Citadestacada">
    <w:name w:val="Intense Quote"/>
    <w:basedOn w:val="Normal"/>
    <w:next w:val="Normal"/>
    <w:link w:val="CitadestacadaCar"/>
    <w:uiPriority w:val="30"/>
    <w:qFormat/>
    <w:rsid w:val="00A94CED"/>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A94CED"/>
    <w:rPr>
      <w:i/>
      <w:iCs/>
      <w:color w:val="4472C4" w:themeColor="accent1"/>
    </w:rPr>
  </w:style>
  <w:style w:type="character" w:styleId="Referenciaintensa">
    <w:name w:val="Intense Reference"/>
    <w:basedOn w:val="Fuentedeprrafopredeter"/>
    <w:uiPriority w:val="32"/>
    <w:qFormat/>
    <w:rsid w:val="00A94CE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latoria.colombiacompra.gov.co/busqueda/conceptos" TargetMode="External"/><Relationship Id="rId2" Type="http://schemas.openxmlformats.org/officeDocument/2006/relationships/hyperlink" Target="https://www.colombiacompra.gov.co/wp-content/uploads/2025/03/circular-externa_no._003_-_obligatoriedad_secop_ii_2024-2025.pdf" TargetMode="External"/><Relationship Id="rId1" Type="http://schemas.openxmlformats.org/officeDocument/2006/relationships/hyperlink" Target="https://www.colombiacompra.gov.co/wp-content/uploads/2024/08/proyecto_circular_externa_obligatoriedad_secopii_2023_rev._dg_f.pdf" TargetMode="External"/><Relationship Id="rId4" Type="http://schemas.openxmlformats.org/officeDocument/2006/relationships/hyperlink" Target="https://www.colombiacompra.gov.co/circulares?page=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CBCBAEF-F287-40AB-B479-5055EAD93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16</TotalTime>
  <Pages>53</Pages>
  <Words>18046</Words>
  <Characters>99253</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14</cp:revision>
  <cp:lastPrinted>2023-01-10T21:18:00Z</cp:lastPrinted>
  <dcterms:created xsi:type="dcterms:W3CDTF">2026-07-28T22:30:00Z</dcterms:created>
  <dcterms:modified xsi:type="dcterms:W3CDTF">2026-07-30T13:03:00Z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