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F033A" w14:textId="77777777" w:rsidR="00D55038" w:rsidRPr="00D55038" w:rsidRDefault="00D55038" w:rsidP="00D55038">
      <w:pPr>
        <w:jc w:val="both"/>
        <w:rPr>
          <w:rFonts w:ascii="Verdana" w:eastAsia="Calibri" w:hAnsi="Verdana" w:cs="Arial"/>
          <w:b/>
          <w:bCs/>
          <w:lang w:eastAsia="es-ES"/>
        </w:rPr>
      </w:pPr>
      <w:bookmarkStart w:id="0" w:name="_Hlk143780582"/>
      <w:r w:rsidRPr="00D55038">
        <w:rPr>
          <w:rFonts w:ascii="Verdana" w:eastAsia="Calibri" w:hAnsi="Verdana" w:cs="Arial"/>
          <w:b/>
          <w:bCs/>
          <w:lang w:eastAsia="es-ES"/>
        </w:rPr>
        <w:t xml:space="preserve">CONTRATO DE PRESTACIÓN DE SERVICIOS – Definición </w:t>
      </w:r>
    </w:p>
    <w:p w14:paraId="76E10661" w14:textId="77777777" w:rsidR="00D55038" w:rsidRPr="00A27E8B" w:rsidRDefault="00D55038" w:rsidP="00D55038">
      <w:pPr>
        <w:widowControl w:val="0"/>
        <w:autoSpaceDE w:val="0"/>
        <w:autoSpaceDN w:val="0"/>
        <w:spacing w:after="0" w:line="240" w:lineRule="auto"/>
        <w:jc w:val="both"/>
        <w:rPr>
          <w:rFonts w:ascii="Verdana" w:hAnsi="Verdana" w:cs="Arial"/>
          <w:sz w:val="20"/>
          <w:szCs w:val="20"/>
        </w:rPr>
      </w:pPr>
      <w:r w:rsidRPr="00A27E8B">
        <w:rPr>
          <w:rFonts w:ascii="Verdana" w:eastAsia="Century Gothic" w:hAnsi="Verdana" w:cs="Century Gothic"/>
          <w:color w:val="000000" w:themeColor="text1"/>
          <w:sz w:val="20"/>
          <w:szCs w:val="20"/>
          <w:lang w:val="es-ES"/>
        </w:rPr>
        <w:t xml:space="preserve">“[…] </w:t>
      </w:r>
      <w:r w:rsidRPr="00A27E8B">
        <w:rPr>
          <w:rFonts w:ascii="Verdana" w:hAnsi="Verdana" w:cs="Arial"/>
          <w:sz w:val="20"/>
          <w:szCs w:val="20"/>
        </w:rPr>
        <w:t>El contrato de prestación de servicios es uno de los tipos contractuales consagrados en el Estatuto General de Contratación de la Administración Pública – en adelante EGCAP-, que pueden celebrar las Entidades Estatales. Se trata de un contrato típico, ya que se encuentra definido en la ley. Concretamente, el artículo 32, numeral 3º, de la Ley 80 de 1993, establece: “Son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p>
    <w:p w14:paraId="576272F5" w14:textId="77777777" w:rsidR="00D55038" w:rsidRDefault="00D55038" w:rsidP="00D55038">
      <w:pPr>
        <w:jc w:val="both"/>
        <w:rPr>
          <w:rFonts w:ascii="Verdana" w:eastAsia="Calibri" w:hAnsi="Verdana" w:cs="Arial"/>
          <w:lang w:eastAsia="es-ES"/>
        </w:rPr>
      </w:pPr>
    </w:p>
    <w:p w14:paraId="7336972B" w14:textId="77777777" w:rsidR="00D55038" w:rsidRPr="001D4698" w:rsidRDefault="00D55038" w:rsidP="00D55038">
      <w:pPr>
        <w:jc w:val="both"/>
        <w:rPr>
          <w:rFonts w:ascii="Verdana" w:eastAsia="Calibri" w:hAnsi="Verdana" w:cs="Arial"/>
          <w:b/>
          <w:bCs/>
          <w:lang w:val="es-ES"/>
        </w:rPr>
      </w:pPr>
      <w:r w:rsidRPr="001D4698">
        <w:rPr>
          <w:rFonts w:ascii="Verdana" w:hAnsi="Verdana" w:cs="Arial"/>
          <w:b/>
          <w:bCs/>
        </w:rPr>
        <w:t>CONTRATO DE PRESTACIÓN DE SERVICIOS – Características</w:t>
      </w:r>
      <w:r w:rsidRPr="001D4698">
        <w:rPr>
          <w:rFonts w:ascii="Verdana" w:eastAsia="Calibri" w:hAnsi="Verdana" w:cs="Arial"/>
          <w:b/>
          <w:bCs/>
          <w:lang w:val="es-ES"/>
        </w:rPr>
        <w:t xml:space="preserve"> </w:t>
      </w:r>
    </w:p>
    <w:p w14:paraId="4311D21B" w14:textId="77EF7A90" w:rsidR="009528AB" w:rsidRPr="009528AB" w:rsidRDefault="009528AB" w:rsidP="009528AB">
      <w:pPr>
        <w:widowControl w:val="0"/>
        <w:autoSpaceDE w:val="0"/>
        <w:autoSpaceDN w:val="0"/>
        <w:spacing w:after="120" w:line="240" w:lineRule="auto"/>
        <w:jc w:val="both"/>
        <w:rPr>
          <w:rFonts w:ascii="Verdana" w:hAnsi="Verdana" w:cs="Arial"/>
          <w:sz w:val="20"/>
          <w:szCs w:val="20"/>
        </w:rPr>
      </w:pPr>
      <w:r w:rsidRPr="009528AB">
        <w:rPr>
          <w:rFonts w:ascii="Verdana" w:hAnsi="Verdana" w:cs="Arial"/>
          <w:sz w:val="20"/>
          <w:szCs w:val="20"/>
        </w:rPr>
        <w:t>“</w:t>
      </w:r>
      <w:r w:rsidRPr="009528AB">
        <w:rPr>
          <w:rFonts w:ascii="Verdana" w:eastAsia="Century Gothic" w:hAnsi="Verdana" w:cs="Century Gothic"/>
          <w:color w:val="000000" w:themeColor="text1"/>
          <w:sz w:val="18"/>
          <w:szCs w:val="18"/>
          <w:lang w:val="es-ES"/>
        </w:rPr>
        <w:t>[…]</w:t>
      </w:r>
      <w:r w:rsidRPr="009528AB">
        <w:rPr>
          <w:rFonts w:ascii="Verdana" w:eastAsia="Century Gothic" w:hAnsi="Verdana" w:cs="Century Gothic"/>
          <w:color w:val="000000" w:themeColor="text1"/>
          <w:sz w:val="18"/>
          <w:szCs w:val="18"/>
          <w:lang w:val="es-ES"/>
        </w:rPr>
        <w:t xml:space="preserve"> </w:t>
      </w:r>
      <w:r w:rsidRPr="009528AB">
        <w:rPr>
          <w:rFonts w:ascii="Verdana" w:hAnsi="Verdana" w:cs="Arial"/>
          <w:sz w:val="20"/>
          <w:szCs w:val="20"/>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 entre otras:</w:t>
      </w:r>
    </w:p>
    <w:p w14:paraId="1DB63545" w14:textId="7C342800" w:rsidR="009528AB" w:rsidRPr="009528AB" w:rsidRDefault="009528AB" w:rsidP="009528AB">
      <w:pPr>
        <w:tabs>
          <w:tab w:val="left" w:pos="3276"/>
        </w:tabs>
        <w:spacing w:before="120" w:after="120" w:line="240" w:lineRule="auto"/>
        <w:ind w:firstLine="709"/>
        <w:jc w:val="both"/>
        <w:rPr>
          <w:rFonts w:ascii="Verdana" w:eastAsia="Calibri" w:hAnsi="Verdana" w:cs="Arial"/>
          <w:color w:val="000000"/>
          <w:sz w:val="20"/>
          <w:szCs w:val="20"/>
        </w:rPr>
      </w:pPr>
      <w:r w:rsidRPr="009528AB">
        <w:rPr>
          <w:rFonts w:ascii="Verdana" w:eastAsia="Calibri" w:hAnsi="Verdana" w:cs="Arial"/>
          <w:color w:val="000000"/>
          <w:sz w:val="20"/>
          <w:szCs w:val="20"/>
        </w:rPr>
        <w:t>a) Solo puede celebrarse para realizar “actividades relacionadas con la administración o funcionamiento de la entidad”, es decir, que hagan parte de su giro ordinario o quehacer cotidiano.</w:t>
      </w:r>
      <w:r w:rsidRPr="009528AB">
        <w:rPr>
          <w:rFonts w:ascii="Verdana" w:eastAsia="Century Gothic" w:hAnsi="Verdana" w:cs="Century Gothic"/>
          <w:color w:val="000000" w:themeColor="text1"/>
          <w:sz w:val="18"/>
          <w:szCs w:val="18"/>
          <w:lang w:val="es-ES"/>
        </w:rPr>
        <w:t xml:space="preserve"> </w:t>
      </w:r>
      <w:r w:rsidRPr="009528AB">
        <w:rPr>
          <w:rFonts w:ascii="Verdana" w:eastAsia="Century Gothic" w:hAnsi="Verdana" w:cs="Century Gothic"/>
          <w:color w:val="000000" w:themeColor="text1"/>
          <w:sz w:val="18"/>
          <w:szCs w:val="18"/>
          <w:lang w:val="es-ES"/>
        </w:rPr>
        <w:t>[…]</w:t>
      </w:r>
      <w:r w:rsidRPr="009528AB">
        <w:rPr>
          <w:rFonts w:ascii="Verdana" w:eastAsia="Century Gothic" w:hAnsi="Verdana" w:cs="Century Gothic"/>
          <w:color w:val="000000" w:themeColor="text1"/>
          <w:sz w:val="18"/>
          <w:szCs w:val="18"/>
          <w:lang w:val="es-ES"/>
        </w:rPr>
        <w:t>”</w:t>
      </w:r>
    </w:p>
    <w:p w14:paraId="3E88615A" w14:textId="77777777" w:rsidR="00D55038" w:rsidRDefault="00D55038" w:rsidP="00D55038">
      <w:pPr>
        <w:jc w:val="both"/>
        <w:rPr>
          <w:rFonts w:ascii="Verdana" w:eastAsia="Calibri" w:hAnsi="Verdana" w:cs="Arial"/>
          <w:bCs/>
          <w:lang w:val="es-ES"/>
        </w:rPr>
      </w:pPr>
    </w:p>
    <w:p w14:paraId="2DD1F263" w14:textId="77777777" w:rsidR="00D55038" w:rsidRPr="001D4698" w:rsidRDefault="00D55038" w:rsidP="00D55038">
      <w:pPr>
        <w:jc w:val="both"/>
        <w:rPr>
          <w:rFonts w:ascii="Verdana" w:eastAsia="Calibri" w:hAnsi="Verdana" w:cs="Arial"/>
          <w:b/>
          <w:lang w:val="es-MX" w:eastAsia="es-ES_tradnl"/>
        </w:rPr>
      </w:pPr>
      <w:r w:rsidRPr="001D4698">
        <w:rPr>
          <w:rFonts w:ascii="Verdana" w:eastAsia="Calibri" w:hAnsi="Verdana" w:cs="Arial"/>
          <w:b/>
          <w:lang w:val="es-MX" w:eastAsia="es-ES_tradnl"/>
        </w:rPr>
        <w:t xml:space="preserve">IDONEIDAD – Deber de verificación de la Entidad Estatal  </w:t>
      </w:r>
    </w:p>
    <w:p w14:paraId="57C97D98" w14:textId="77777777" w:rsidR="001D4698" w:rsidRDefault="001D4698" w:rsidP="001D4698">
      <w:pPr>
        <w:widowControl w:val="0"/>
        <w:autoSpaceDE w:val="0"/>
        <w:autoSpaceDN w:val="0"/>
        <w:spacing w:after="120" w:line="276" w:lineRule="auto"/>
        <w:jc w:val="both"/>
        <w:rPr>
          <w:rFonts w:ascii="Verdana" w:eastAsia="Century Gothic" w:hAnsi="Verdana" w:cs="Century Gothic"/>
        </w:rPr>
      </w:pPr>
      <w:r>
        <w:rPr>
          <w:rFonts w:ascii="Verdana" w:eastAsia="Century Gothic" w:hAnsi="Verdana" w:cs="Century Gothic"/>
        </w:rPr>
        <w:t xml:space="preserve">[…] </w:t>
      </w:r>
    </w:p>
    <w:p w14:paraId="67E40F4D" w14:textId="77777777" w:rsidR="001D4698" w:rsidRPr="00261554" w:rsidRDefault="001D4698" w:rsidP="001D4698">
      <w:pPr>
        <w:widowControl w:val="0"/>
        <w:autoSpaceDE w:val="0"/>
        <w:autoSpaceDN w:val="0"/>
        <w:spacing w:after="120" w:line="240" w:lineRule="auto"/>
        <w:jc w:val="both"/>
        <w:rPr>
          <w:rFonts w:ascii="Verdana" w:hAnsi="Verdana" w:cs="Arial"/>
          <w:bCs/>
          <w:color w:val="000000" w:themeColor="text1"/>
          <w:sz w:val="20"/>
          <w:szCs w:val="20"/>
        </w:rPr>
      </w:pPr>
      <w:r w:rsidRPr="00261554">
        <w:rPr>
          <w:rFonts w:ascii="Verdana" w:eastAsia="Century Gothic" w:hAnsi="Verdana" w:cs="Century Gothic"/>
          <w:sz w:val="20"/>
          <w:szCs w:val="20"/>
        </w:rPr>
        <w:t xml:space="preserve">Así las cosas, debe indicarse en primer lugar que esta hace referencia a la condición o cualidad que debe acreditar una persona ya sea natural o jurídica, a las Entidades con las que se va a celebrar el contrato y/o convenio, a fin de verificar si cuenta con la capacidad para ejecutar el objeto del contrato y con ello garantizar que se pueda cumplir a cabalidad con las obligaciones acordadas </w:t>
      </w:r>
    </w:p>
    <w:p w14:paraId="332BEA12" w14:textId="77777777" w:rsidR="001D4698" w:rsidRPr="00261554" w:rsidRDefault="001D4698" w:rsidP="001D4698">
      <w:pPr>
        <w:spacing w:after="120" w:line="240" w:lineRule="auto"/>
        <w:jc w:val="both"/>
        <w:rPr>
          <w:rFonts w:ascii="Verdana" w:eastAsia="Calibri" w:hAnsi="Verdana" w:cs="Arial"/>
          <w:bCs/>
          <w:color w:val="000000" w:themeColor="text1"/>
          <w:sz w:val="20"/>
          <w:szCs w:val="20"/>
          <w:lang w:val="es-ES_tradnl"/>
        </w:rPr>
      </w:pPr>
      <w:r w:rsidRPr="00261554">
        <w:rPr>
          <w:rFonts w:ascii="Verdana" w:hAnsi="Verdana" w:cs="Arial"/>
          <w:bCs/>
          <w:color w:val="000000" w:themeColor="text1"/>
          <w:sz w:val="20"/>
          <w:szCs w:val="20"/>
        </w:rPr>
        <w:t xml:space="preserve">En ese orden, </w:t>
      </w:r>
      <w:r w:rsidRPr="00261554">
        <w:rPr>
          <w:rFonts w:ascii="Verdana" w:eastAsia="Calibri" w:hAnsi="Verdana" w:cs="Arial"/>
          <w:bCs/>
          <w:color w:val="000000" w:themeColor="text1"/>
          <w:sz w:val="20"/>
          <w:szCs w:val="20"/>
          <w:lang w:val="es-ES_tradnl"/>
        </w:rPr>
        <w:t xml:space="preserve">se trata de un requisito plasmado en un </w:t>
      </w:r>
      <w:r w:rsidRPr="00261554">
        <w:rPr>
          <w:rFonts w:ascii="Verdana" w:eastAsia="Calibri" w:hAnsi="Verdana" w:cs="Arial"/>
          <w:bCs/>
          <w:i/>
          <w:iCs/>
          <w:color w:val="000000" w:themeColor="text1"/>
          <w:sz w:val="20"/>
          <w:szCs w:val="20"/>
          <w:lang w:val="es-ES_tradnl"/>
        </w:rPr>
        <w:t>concepto jurídicamente indeterminado</w:t>
      </w:r>
      <w:r w:rsidRPr="00261554">
        <w:rPr>
          <w:rFonts w:ascii="Verdana" w:eastAsia="Calibri" w:hAnsi="Verdana" w:cs="Arial"/>
          <w:bCs/>
          <w:color w:val="000000" w:themeColor="text1"/>
          <w:sz w:val="20"/>
          <w:szCs w:val="20"/>
          <w:lang w:val="es-ES_tradnl"/>
        </w:rPr>
        <w:t xml:space="preserve"> que es necesario dotar de contenido en cada caso concreto. Conforme al diccionario de la RAE, lo “idóneo” se refiere a que es “Adecuado y apropiado para algo”, lo que indica una serie de aptitudes para cumplir un fin determinado. Esto se confirma en el diccionario panhispánico del español jurídico, donde la RAE alude a la “</w:t>
      </w:r>
      <w:r w:rsidRPr="00261554">
        <w:rPr>
          <w:rFonts w:ascii="Verdana" w:eastAsia="Calibri" w:hAnsi="Verdana" w:cs="Arial"/>
          <w:bCs/>
          <w:i/>
          <w:iCs/>
          <w:color w:val="000000" w:themeColor="text1"/>
          <w:sz w:val="20"/>
          <w:szCs w:val="20"/>
          <w:lang w:val="es-ES_tradnl"/>
        </w:rPr>
        <w:t>Cualidad personal necesaria para la prestación de un servicio concreto o la asunción de un cargo</w:t>
      </w:r>
      <w:r w:rsidRPr="00261554">
        <w:rPr>
          <w:rFonts w:ascii="Verdana" w:eastAsia="Calibri" w:hAnsi="Verdana" w:cs="Arial"/>
          <w:bCs/>
          <w:color w:val="000000" w:themeColor="text1"/>
          <w:sz w:val="20"/>
          <w:szCs w:val="20"/>
          <w:lang w:val="es-ES_tradnl"/>
        </w:rPr>
        <w:t>”. Este requisito también se exige, como previamente se indicó, para la celebración de contratos de prestación de servicios profesionales y de apoyo a la gestión –art. 2.2.1.2.1.4.9 del Decreto 1082 de 2015– y para suscribir contratos del artículo 355 superior con entidades privadas sin ánimo de lucro –art. 3 del Decreto 092 de 2017–.</w:t>
      </w:r>
    </w:p>
    <w:p w14:paraId="0F955470" w14:textId="77777777" w:rsidR="001D4698" w:rsidRDefault="001D4698" w:rsidP="002B0069">
      <w:pPr>
        <w:spacing w:after="0"/>
        <w:jc w:val="both"/>
        <w:rPr>
          <w:rFonts w:ascii="Verdana" w:eastAsia="Calibri" w:hAnsi="Verdana" w:cs="Arial"/>
          <w:b/>
          <w:lang w:val="es-MX" w:eastAsia="es-ES_tradnl"/>
        </w:rPr>
      </w:pPr>
    </w:p>
    <w:p w14:paraId="62FA6CB3" w14:textId="5A6FD6EE" w:rsidR="002B0069" w:rsidRDefault="002B0069" w:rsidP="002B0069">
      <w:pPr>
        <w:spacing w:after="0"/>
        <w:jc w:val="both"/>
        <w:rPr>
          <w:rFonts w:ascii="Verdana" w:eastAsia="Calibri" w:hAnsi="Verdana" w:cs="Arial"/>
          <w:b/>
          <w:lang w:val="es-MX" w:eastAsia="es-ES_tradnl"/>
        </w:rPr>
      </w:pPr>
      <w:r w:rsidRPr="00F46A6D">
        <w:rPr>
          <w:rFonts w:ascii="Verdana" w:eastAsia="Calibri" w:hAnsi="Verdana" w:cs="Arial"/>
          <w:b/>
          <w:lang w:val="es-MX" w:eastAsia="es-ES_tradnl"/>
        </w:rPr>
        <w:t>CONTRATO DE PRESTACIÓN DE SERVICIOS – Insuficiencia de personal – Condiciones – Decreto 1068 de 2015 – Artículo 2.8.4.4.5</w:t>
      </w:r>
    </w:p>
    <w:p w14:paraId="3C290497" w14:textId="77777777" w:rsidR="002B0069" w:rsidRPr="00F46A6D" w:rsidRDefault="002B0069" w:rsidP="002B0069">
      <w:pPr>
        <w:spacing w:after="0"/>
        <w:jc w:val="both"/>
        <w:rPr>
          <w:rFonts w:ascii="Verdana" w:eastAsia="Calibri" w:hAnsi="Verdana" w:cs="Arial"/>
          <w:b/>
          <w:lang w:val="es-MX" w:eastAsia="es-ES_tradnl"/>
        </w:rPr>
      </w:pPr>
    </w:p>
    <w:p w14:paraId="3B4654B9" w14:textId="0B005DA9" w:rsidR="002B0069" w:rsidRPr="00AE3294" w:rsidRDefault="00F128A9" w:rsidP="002B0069">
      <w:pPr>
        <w:spacing w:after="0"/>
        <w:jc w:val="both"/>
        <w:rPr>
          <w:rFonts w:ascii="Verdana" w:eastAsia="Times New Roman" w:hAnsi="Verdana" w:cs="Times New Roman"/>
          <w:b/>
          <w:lang w:eastAsia="es-MX"/>
        </w:rPr>
      </w:pPr>
      <w:r>
        <w:rPr>
          <w:rFonts w:ascii="Verdana" w:eastAsia="Calibri" w:hAnsi="Verdana" w:cs="Arial"/>
          <w:bCs/>
          <w:color w:val="000000" w:themeColor="text1"/>
          <w:sz w:val="20"/>
          <w:szCs w:val="20"/>
          <w:lang w:val="es-ES_tradnl"/>
        </w:rPr>
        <w:t>“</w:t>
      </w:r>
      <w:r w:rsidR="00BA7C8D">
        <w:rPr>
          <w:rFonts w:ascii="Verdana" w:eastAsia="Calibri" w:hAnsi="Verdana" w:cs="Arial"/>
          <w:bCs/>
          <w:color w:val="000000" w:themeColor="text1"/>
          <w:sz w:val="20"/>
          <w:szCs w:val="20"/>
          <w:lang w:val="es-ES_tradnl"/>
        </w:rPr>
        <w:t xml:space="preserve"> </w:t>
      </w:r>
      <w:r w:rsidR="00BA7C8D">
        <w:rPr>
          <w:rFonts w:ascii="Verdana" w:eastAsia="Century Gothic" w:hAnsi="Verdana" w:cs="Century Gothic"/>
        </w:rPr>
        <w:t>[…]</w:t>
      </w:r>
      <w:r w:rsidR="00BA7C8D">
        <w:rPr>
          <w:rFonts w:ascii="Verdana" w:eastAsia="Century Gothic" w:hAnsi="Verdana" w:cs="Century Gothic"/>
        </w:rPr>
        <w:t xml:space="preserve"> </w:t>
      </w:r>
      <w:r w:rsidRPr="00F128A9">
        <w:rPr>
          <w:rFonts w:ascii="Verdana" w:eastAsia="Calibri" w:hAnsi="Verdana" w:cs="Arial"/>
          <w:bCs/>
          <w:color w:val="000000" w:themeColor="text1"/>
          <w:sz w:val="20"/>
          <w:szCs w:val="20"/>
          <w:lang w:val="es-ES_tradnl"/>
        </w:rPr>
        <w:t>Así mismo, resulta oportuno traer a colación el artículo 2.8.4.4.5 del Decreto 1068 de 2015, el cual reglamenta la tipología contractual establecida en el numeral 3° del artículo 32 de la Ley 80 de 1993; disposición legal que condiciona la celebración de contratos de prestación de servicios a los eventos en que las actividades que requiere la entidad para satisfacer necesidades relacionadas con la administración o funcionamiento,   no puedan  ser desarrolladas por el personal de planta o requieran conocimientos especializados. De acuerdo con esto, lo que hace el citado artículo es establecer las condiciones a partir de las cuales debe determinarse la insuficiencia del personal de planta, a efectos de cumplir con el referido presupuesto para la celebración de contratos de prestación de servicios.</w:t>
      </w:r>
      <w:r w:rsidR="00BA7C8D">
        <w:rPr>
          <w:rFonts w:ascii="Verdana" w:eastAsia="Calibri" w:hAnsi="Verdana" w:cs="Arial"/>
          <w:bCs/>
          <w:color w:val="000000" w:themeColor="text1"/>
          <w:sz w:val="20"/>
          <w:szCs w:val="20"/>
          <w:lang w:val="es-ES_tradnl"/>
        </w:rPr>
        <w:t xml:space="preserve"> </w:t>
      </w:r>
      <w:r w:rsidR="00BA7C8D">
        <w:rPr>
          <w:rFonts w:ascii="Verdana" w:eastAsia="Century Gothic" w:hAnsi="Verdana" w:cs="Century Gothic"/>
        </w:rPr>
        <w:t>[…]</w:t>
      </w:r>
      <w:r w:rsidR="00BA7C8D">
        <w:rPr>
          <w:rFonts w:ascii="Verdana" w:eastAsia="Century Gothic" w:hAnsi="Verdana" w:cs="Century Gothic"/>
        </w:rPr>
        <w:t>”</w:t>
      </w:r>
    </w:p>
    <w:p w14:paraId="142D22F6" w14:textId="77777777" w:rsidR="002B0069" w:rsidRDefault="002B0069" w:rsidP="002B0069">
      <w:pPr>
        <w:spacing w:after="0"/>
        <w:rPr>
          <w:rFonts w:ascii="Verdana" w:eastAsia="Times New Roman" w:hAnsi="Verdana" w:cs="Times New Roman"/>
          <w:b/>
          <w:bCs/>
          <w:lang w:eastAsia="es-MX"/>
        </w:rPr>
      </w:pPr>
    </w:p>
    <w:p w14:paraId="22A30478" w14:textId="77777777" w:rsidR="002B0069" w:rsidRDefault="002B0069" w:rsidP="002B0069">
      <w:pPr>
        <w:rPr>
          <w:rFonts w:ascii="Verdana" w:eastAsia="Verdana" w:hAnsi="Verdana" w:cs="Verdana"/>
        </w:rPr>
      </w:pPr>
      <w:r>
        <w:rPr>
          <w:rFonts w:ascii="Verdana" w:eastAsia="Verdana" w:hAnsi="Verdana" w:cs="Verdana"/>
        </w:rPr>
        <w:br w:type="page"/>
      </w:r>
    </w:p>
    <w:p w14:paraId="62EF45E9" w14:textId="7D841AC6" w:rsidR="002B0069" w:rsidRPr="00331C6F" w:rsidRDefault="002B0069" w:rsidP="002B0069">
      <w:pPr>
        <w:spacing w:after="0"/>
        <w:rPr>
          <w:rFonts w:ascii="Verdana" w:eastAsia="Verdana" w:hAnsi="Verdana" w:cs="Verdana"/>
        </w:rPr>
      </w:pPr>
      <w:r w:rsidRPr="30821638">
        <w:rPr>
          <w:rFonts w:ascii="Verdana" w:eastAsia="Verdana" w:hAnsi="Verdana" w:cs="Verdana"/>
        </w:rPr>
        <w:lastRenderedPageBreak/>
        <w:t xml:space="preserve">Bogotá D.C., </w:t>
      </w:r>
      <w:r w:rsidR="00AE0721">
        <w:rPr>
          <w:rFonts w:ascii="Verdana" w:eastAsia="Verdana" w:hAnsi="Verdana" w:cs="Verdana"/>
        </w:rPr>
        <w:t>27 julio 2026</w:t>
      </w:r>
    </w:p>
    <w:p w14:paraId="1059DF14" w14:textId="77777777" w:rsidR="002B0069" w:rsidRPr="00E02524" w:rsidRDefault="002B0069" w:rsidP="002B0069">
      <w:pPr>
        <w:spacing w:after="0" w:line="240" w:lineRule="auto"/>
        <w:jc w:val="both"/>
        <w:rPr>
          <w:rFonts w:ascii="Verdana" w:eastAsia="Verdana" w:hAnsi="Verdana" w:cs="Verdana"/>
          <w:b/>
          <w:bCs/>
          <w:lang w:val="es-MX"/>
        </w:rPr>
      </w:pPr>
    </w:p>
    <w:p w14:paraId="62CFB72A" w14:textId="1E06670A" w:rsidR="002B0069" w:rsidRPr="00723C0E" w:rsidRDefault="00AE0721" w:rsidP="002B0069">
      <w:pPr>
        <w:spacing w:after="0" w:line="240" w:lineRule="auto"/>
        <w:jc w:val="both"/>
        <w:rPr>
          <w:rFonts w:ascii="Verdana" w:eastAsia="Verdana" w:hAnsi="Verdana" w:cs="Verdana"/>
          <w:lang w:val="es-MX"/>
        </w:rPr>
      </w:pPr>
      <w:r w:rsidRPr="00AE0721">
        <w:rPr>
          <w:rFonts w:ascii="Verdana" w:eastAsia="Verdana" w:hAnsi="Verdana" w:cs="Verdana"/>
          <w:b/>
          <w:bCs/>
          <w:noProof/>
          <w:lang w:val="es-MX"/>
        </w:rPr>
        <w:drawing>
          <wp:anchor distT="0" distB="0" distL="114300" distR="114300" simplePos="0" relativeHeight="251658240" behindDoc="1" locked="0" layoutInCell="1" allowOverlap="1" wp14:anchorId="05174DB1" wp14:editId="76ABA67F">
            <wp:simplePos x="0" y="0"/>
            <wp:positionH relativeFrom="margin">
              <wp:align>right</wp:align>
            </wp:positionH>
            <wp:positionV relativeFrom="paragraph">
              <wp:posOffset>72638</wp:posOffset>
            </wp:positionV>
            <wp:extent cx="2647950" cy="734060"/>
            <wp:effectExtent l="0" t="0" r="0" b="8890"/>
            <wp:wrapTight wrapText="bothSides">
              <wp:wrapPolygon edited="0">
                <wp:start x="0" y="0"/>
                <wp:lineTo x="0" y="21301"/>
                <wp:lineTo x="21445" y="21301"/>
                <wp:lineTo x="21445" y="0"/>
                <wp:lineTo x="0" y="0"/>
              </wp:wrapPolygon>
            </wp:wrapTight>
            <wp:docPr id="1194830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734060"/>
                    </a:xfrm>
                    <a:prstGeom prst="rect">
                      <a:avLst/>
                    </a:prstGeom>
                    <a:noFill/>
                    <a:ln>
                      <a:noFill/>
                    </a:ln>
                  </pic:spPr>
                </pic:pic>
              </a:graphicData>
            </a:graphic>
          </wp:anchor>
        </w:drawing>
      </w:r>
      <w:r w:rsidR="002B0069" w:rsidRPr="00723C0E">
        <w:rPr>
          <w:rFonts w:ascii="Verdana" w:eastAsia="Verdana" w:hAnsi="Verdana" w:cs="Verdana"/>
          <w:lang w:val="es-MX"/>
        </w:rPr>
        <w:t xml:space="preserve">Señora </w:t>
      </w:r>
    </w:p>
    <w:p w14:paraId="55B2A93D" w14:textId="71DF4928" w:rsidR="002B0069" w:rsidRDefault="002B0069" w:rsidP="002B0069">
      <w:pPr>
        <w:spacing w:after="0" w:line="240" w:lineRule="auto"/>
        <w:jc w:val="both"/>
        <w:rPr>
          <w:rFonts w:ascii="Verdana" w:eastAsia="Verdana" w:hAnsi="Verdana" w:cs="Verdana"/>
          <w:b/>
          <w:bCs/>
          <w:lang w:val="es-MX"/>
        </w:rPr>
      </w:pPr>
      <w:r>
        <w:rPr>
          <w:rFonts w:ascii="Verdana" w:eastAsia="Verdana" w:hAnsi="Verdana" w:cs="Verdana"/>
          <w:b/>
          <w:bCs/>
          <w:lang w:val="es-MX"/>
        </w:rPr>
        <w:t>Sandra Espinosa</w:t>
      </w:r>
      <w:r w:rsidR="00AE0721" w:rsidRPr="00AE0721">
        <w:rPr>
          <w:rFonts w:ascii="Verdana" w:eastAsia="Verdana" w:hAnsi="Verdana" w:cs="Verdana"/>
          <w:b/>
          <w:bCs/>
          <w:lang w:val="es-MX"/>
        </w:rPr>
        <w:t xml:space="preserve"> </w:t>
      </w:r>
    </w:p>
    <w:p w14:paraId="421360FA" w14:textId="77777777" w:rsidR="002B0069" w:rsidRDefault="002B0069" w:rsidP="002B0069">
      <w:pPr>
        <w:spacing w:after="0" w:line="240" w:lineRule="auto"/>
        <w:jc w:val="both"/>
        <w:rPr>
          <w:rFonts w:ascii="Verdana" w:eastAsia="Verdana" w:hAnsi="Verdana" w:cs="Verdana"/>
          <w:lang w:val="es-MX"/>
        </w:rPr>
      </w:pPr>
      <w:hyperlink r:id="rId8" w:history="1">
        <w:r w:rsidRPr="00162CEF">
          <w:rPr>
            <w:rStyle w:val="Hipervnculo"/>
            <w:rFonts w:ascii="Verdana" w:hAnsi="Verdana"/>
          </w:rPr>
          <w:t>sandraespinosa495@gmail.com</w:t>
        </w:r>
      </w:hyperlink>
    </w:p>
    <w:p w14:paraId="7C7C2C29" w14:textId="77777777" w:rsidR="002B0069" w:rsidRDefault="002B0069" w:rsidP="002B0069">
      <w:pPr>
        <w:spacing w:after="0" w:line="240" w:lineRule="auto"/>
        <w:jc w:val="both"/>
        <w:rPr>
          <w:rFonts w:ascii="Verdana" w:eastAsia="Verdana" w:hAnsi="Verdana" w:cs="Verdana"/>
          <w:lang w:val="es-MX"/>
        </w:rPr>
      </w:pPr>
      <w:r w:rsidRPr="00723C0E">
        <w:rPr>
          <w:rFonts w:ascii="Verdana" w:eastAsia="Verdana" w:hAnsi="Verdana" w:cs="Verdana"/>
          <w:lang w:val="es-MX"/>
        </w:rPr>
        <w:t>Ciudad</w:t>
      </w:r>
    </w:p>
    <w:p w14:paraId="42B71CD3" w14:textId="77777777" w:rsidR="002B0069" w:rsidRDefault="002B0069" w:rsidP="002B0069">
      <w:pPr>
        <w:jc w:val="both"/>
        <w:rPr>
          <w:rFonts w:ascii="Verdana" w:eastAsia="Calibri" w:hAnsi="Verdana" w:cs="Arial"/>
          <w:b/>
          <w:bCs/>
          <w:lang w:val="es-ES" w:eastAsia="es-ES"/>
        </w:rPr>
      </w:pPr>
      <w:r>
        <w:rPr>
          <w:rFonts w:ascii="Verdana" w:eastAsia="Calibri" w:hAnsi="Verdana" w:cs="Arial"/>
          <w:b/>
          <w:bCs/>
          <w:lang w:val="es-ES" w:eastAsia="es-ES"/>
        </w:rPr>
        <w:t xml:space="preserve">                                   </w:t>
      </w:r>
    </w:p>
    <w:p w14:paraId="05D9B547" w14:textId="77777777" w:rsidR="002B0069" w:rsidRPr="00723C0E" w:rsidRDefault="002B0069" w:rsidP="002B0069">
      <w:pPr>
        <w:spacing w:after="0" w:line="240" w:lineRule="auto"/>
        <w:jc w:val="both"/>
        <w:rPr>
          <w:rFonts w:ascii="Verdana" w:eastAsia="Verdana" w:hAnsi="Verdana" w:cs="Verdana"/>
          <w:lang w:val="es-MX"/>
        </w:rPr>
      </w:pPr>
    </w:p>
    <w:p w14:paraId="0C0C2A7B" w14:textId="77777777" w:rsidR="002B0069" w:rsidRDefault="002B0069" w:rsidP="002B0069">
      <w:pPr>
        <w:spacing w:after="120" w:line="276" w:lineRule="auto"/>
        <w:jc w:val="both"/>
        <w:rPr>
          <w:rFonts w:ascii="Verdana" w:eastAsia="Verdana" w:hAnsi="Verdana" w:cs="Verdana"/>
          <w:b/>
          <w:bCs/>
          <w:lang w:val="es-MX"/>
        </w:rPr>
      </w:pPr>
      <w:r>
        <w:rPr>
          <w:rFonts w:ascii="Verdana" w:eastAsia="Verdana" w:hAnsi="Verdana" w:cs="Verdana"/>
          <w:b/>
          <w:bCs/>
          <w:lang w:val="es-MX"/>
        </w:rPr>
        <w:t xml:space="preserve">                                    Concepto C-970 de 2026</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B0069" w:rsidRPr="00152466" w14:paraId="41C450B2" w14:textId="77777777" w:rsidTr="000246A3">
        <w:trPr>
          <w:trHeight w:val="884"/>
        </w:trPr>
        <w:tc>
          <w:tcPr>
            <w:tcW w:w="2689" w:type="dxa"/>
          </w:tcPr>
          <w:p w14:paraId="49C66150" w14:textId="77777777" w:rsidR="002B0069" w:rsidRPr="00152466" w:rsidRDefault="002B0069" w:rsidP="000246A3">
            <w:pPr>
              <w:spacing w:after="120" w:line="276" w:lineRule="auto"/>
              <w:jc w:val="both"/>
              <w:rPr>
                <w:rFonts w:ascii="Verdana" w:eastAsia="Calibri" w:hAnsi="Verdana" w:cs="Arial"/>
                <w:color w:val="000000" w:themeColor="text1"/>
                <w:highlight w:val="cyan"/>
                <w:lang w:val="es-ES_tradnl" w:eastAsia="es-ES_tradnl"/>
              </w:rPr>
            </w:pPr>
            <w:r w:rsidRPr="00152466">
              <w:rPr>
                <w:rFonts w:ascii="Verdana" w:eastAsia="Calibri" w:hAnsi="Verdana" w:cs="Arial"/>
                <w:b/>
                <w:color w:val="000000" w:themeColor="text1"/>
                <w:lang w:val="es-ES_tradnl" w:eastAsia="es-ES_tradnl"/>
              </w:rPr>
              <w:t>Temas:</w:t>
            </w:r>
            <w:r w:rsidRPr="00152466">
              <w:rPr>
                <w:rFonts w:ascii="Verdana" w:eastAsia="Calibri" w:hAnsi="Verdana" w:cs="Arial"/>
                <w:color w:val="000000" w:themeColor="text1"/>
                <w:lang w:val="es-ES_tradnl" w:eastAsia="es-ES_tradnl"/>
              </w:rPr>
              <w:t xml:space="preserve">                   </w:t>
            </w:r>
          </w:p>
        </w:tc>
        <w:tc>
          <w:tcPr>
            <w:tcW w:w="6100" w:type="dxa"/>
          </w:tcPr>
          <w:p w14:paraId="5A900F7B" w14:textId="77777777" w:rsidR="002B0069" w:rsidRPr="00F46A6D" w:rsidRDefault="002B0069" w:rsidP="000246A3">
            <w:pPr>
              <w:jc w:val="both"/>
              <w:rPr>
                <w:rFonts w:ascii="Verdana" w:eastAsia="Calibri" w:hAnsi="Verdana" w:cs="Arial"/>
                <w:bCs/>
                <w:lang w:val="es-MX" w:eastAsia="es-ES_tradnl"/>
              </w:rPr>
            </w:pPr>
            <w:r w:rsidRPr="00152466">
              <w:rPr>
                <w:rFonts w:ascii="Verdana" w:eastAsia="Calibri" w:hAnsi="Verdana" w:cs="Arial"/>
                <w:lang w:eastAsia="es-ES"/>
              </w:rPr>
              <w:t xml:space="preserve">CONTRATO DE PRESTACIÓN DE SERVICIOS – Definición / </w:t>
            </w:r>
            <w:r w:rsidRPr="00152466">
              <w:rPr>
                <w:rFonts w:ascii="Verdana" w:hAnsi="Verdana" w:cs="Arial"/>
              </w:rPr>
              <w:t xml:space="preserve">CONTRATO DE </w:t>
            </w:r>
            <w:r>
              <w:rPr>
                <w:rFonts w:ascii="Verdana" w:hAnsi="Verdana" w:cs="Arial"/>
              </w:rPr>
              <w:t>P</w:t>
            </w:r>
            <w:r w:rsidRPr="00152466">
              <w:rPr>
                <w:rFonts w:ascii="Verdana" w:hAnsi="Verdana" w:cs="Arial"/>
              </w:rPr>
              <w:t>RESTACIÓN DE SERVICIOS – Características</w:t>
            </w:r>
            <w:r w:rsidRPr="00152466">
              <w:rPr>
                <w:rFonts w:ascii="Verdana" w:eastAsia="Calibri" w:hAnsi="Verdana" w:cs="Arial"/>
                <w:bCs/>
                <w:lang w:val="es-ES"/>
              </w:rPr>
              <w:t xml:space="preserve"> / </w:t>
            </w:r>
            <w:r w:rsidRPr="00152466">
              <w:rPr>
                <w:rFonts w:ascii="Verdana" w:eastAsia="Calibri" w:hAnsi="Verdana" w:cs="Arial"/>
                <w:bCs/>
                <w:lang w:val="es-MX" w:eastAsia="es-ES_tradnl"/>
              </w:rPr>
              <w:t>IDONEIDAD –</w:t>
            </w:r>
            <w:r>
              <w:rPr>
                <w:rFonts w:ascii="Verdana" w:eastAsia="Calibri" w:hAnsi="Verdana" w:cs="Arial"/>
                <w:bCs/>
                <w:lang w:val="es-MX" w:eastAsia="es-ES_tradnl"/>
              </w:rPr>
              <w:t xml:space="preserve"> Deber de verificación de la Entidad Estatal /</w:t>
            </w:r>
            <w:r w:rsidRPr="00F46A6D">
              <w:rPr>
                <w:rFonts w:ascii="Verdana" w:eastAsia="Calibri" w:hAnsi="Verdana" w:cs="Arial"/>
                <w:b/>
                <w:lang w:val="es-MX" w:eastAsia="es-ES_tradnl"/>
              </w:rPr>
              <w:t xml:space="preserve"> </w:t>
            </w:r>
            <w:r w:rsidRPr="00F46A6D">
              <w:rPr>
                <w:rFonts w:ascii="Verdana" w:eastAsia="Calibri" w:hAnsi="Verdana" w:cs="Arial"/>
                <w:bCs/>
                <w:lang w:val="es-MX" w:eastAsia="es-ES_tradnl"/>
              </w:rPr>
              <w:t>CONTRATO DE PRESTACIÓN DE SERVICIOS – Insuficiencia de personal – Condiciones – Decreto 1068 de 2015 – Artículo 2.8.4.4.5</w:t>
            </w:r>
          </w:p>
          <w:p w14:paraId="63AEBE38" w14:textId="77777777" w:rsidR="002B0069" w:rsidRPr="00152466" w:rsidRDefault="002B0069" w:rsidP="000246A3">
            <w:pPr>
              <w:spacing w:after="120" w:line="276" w:lineRule="auto"/>
              <w:jc w:val="both"/>
              <w:rPr>
                <w:rFonts w:ascii="Verdana" w:hAnsi="Verdana" w:cs="Arial"/>
                <w:bCs/>
                <w:color w:val="000000" w:themeColor="text1"/>
                <w:highlight w:val="cyan"/>
              </w:rPr>
            </w:pPr>
          </w:p>
        </w:tc>
      </w:tr>
      <w:tr w:rsidR="002B0069" w:rsidRPr="00152466" w14:paraId="3A5851A2" w14:textId="77777777" w:rsidTr="000246A3">
        <w:tc>
          <w:tcPr>
            <w:tcW w:w="2689" w:type="dxa"/>
          </w:tcPr>
          <w:p w14:paraId="23589B27" w14:textId="77777777" w:rsidR="002B0069" w:rsidRPr="00152466" w:rsidRDefault="002B0069" w:rsidP="000246A3">
            <w:pPr>
              <w:jc w:val="both"/>
              <w:rPr>
                <w:rFonts w:ascii="Verdana" w:eastAsia="Calibri" w:hAnsi="Verdana" w:cs="Arial"/>
                <w:b/>
                <w:color w:val="000000" w:themeColor="text1"/>
                <w:lang w:val="es-ES_tradnl" w:eastAsia="es-ES_tradnl"/>
              </w:rPr>
            </w:pPr>
            <w:r w:rsidRPr="00152466">
              <w:rPr>
                <w:rFonts w:ascii="Verdana" w:eastAsia="Calibri" w:hAnsi="Verdana" w:cs="Arial"/>
                <w:b/>
                <w:color w:val="000000" w:themeColor="text1"/>
                <w:lang w:val="es-ES_tradnl" w:eastAsia="es-ES_tradnl"/>
              </w:rPr>
              <w:t>Radicación:</w:t>
            </w:r>
            <w:r w:rsidRPr="00152466">
              <w:rPr>
                <w:rFonts w:ascii="Verdana" w:eastAsia="Calibri" w:hAnsi="Verdana" w:cs="Arial"/>
                <w:color w:val="000000" w:themeColor="text1"/>
                <w:lang w:val="es-ES_tradnl" w:eastAsia="es-ES_tradnl"/>
              </w:rPr>
              <w:t xml:space="preserve">               </w:t>
            </w:r>
          </w:p>
        </w:tc>
        <w:tc>
          <w:tcPr>
            <w:tcW w:w="6100" w:type="dxa"/>
          </w:tcPr>
          <w:p w14:paraId="1944DC85" w14:textId="77777777" w:rsidR="002B0069" w:rsidRPr="00152466" w:rsidRDefault="002B0069" w:rsidP="000246A3">
            <w:pPr>
              <w:jc w:val="both"/>
              <w:rPr>
                <w:rFonts w:ascii="Verdana" w:eastAsia="Calibri" w:hAnsi="Verdana" w:cs="Arial"/>
                <w:color w:val="000000" w:themeColor="text1"/>
                <w:lang w:eastAsia="es-ES_tradnl"/>
              </w:rPr>
            </w:pPr>
            <w:r w:rsidRPr="00152466">
              <w:rPr>
                <w:rFonts w:ascii="Verdana" w:eastAsia="Calibri" w:hAnsi="Verdana" w:cs="Arial"/>
                <w:color w:val="000000" w:themeColor="text1"/>
                <w:lang w:val="es-ES_tradnl" w:eastAsia="es-ES_tradnl"/>
              </w:rPr>
              <w:t>Respuesta a consulta con radicado No.</w:t>
            </w:r>
            <w:r w:rsidRPr="00152466">
              <w:rPr>
                <w:rFonts w:ascii="Verdana" w:hAnsi="Verdana"/>
              </w:rPr>
              <w:t xml:space="preserve"> </w:t>
            </w:r>
          </w:p>
          <w:p w14:paraId="01CC9A62" w14:textId="77777777" w:rsidR="002B0069" w:rsidRPr="00152466" w:rsidRDefault="002B0069" w:rsidP="000246A3">
            <w:pPr>
              <w:jc w:val="both"/>
              <w:rPr>
                <w:rFonts w:ascii="Verdana" w:eastAsia="Calibri" w:hAnsi="Verdana" w:cs="Arial"/>
                <w:color w:val="000000" w:themeColor="text1"/>
                <w:lang w:eastAsia="es-ES_tradnl"/>
              </w:rPr>
            </w:pPr>
            <w:r w:rsidRPr="00F46A6D">
              <w:rPr>
                <w:rFonts w:ascii="Verdana" w:hAnsi="Verdana" w:cs="Calibri"/>
              </w:rPr>
              <w:t>1_2026_06_12_008011</w:t>
            </w:r>
          </w:p>
          <w:p w14:paraId="214B60B2" w14:textId="77777777" w:rsidR="002B0069" w:rsidRPr="00152466" w:rsidRDefault="002B0069" w:rsidP="000246A3">
            <w:pPr>
              <w:jc w:val="both"/>
              <w:rPr>
                <w:rFonts w:ascii="Verdana" w:hAnsi="Verdana" w:cs="Arial"/>
              </w:rPr>
            </w:pPr>
          </w:p>
          <w:p w14:paraId="63C93DE4" w14:textId="77777777" w:rsidR="002B0069" w:rsidRPr="00152466" w:rsidRDefault="002B0069" w:rsidP="000246A3">
            <w:pPr>
              <w:jc w:val="both"/>
              <w:rPr>
                <w:rFonts w:ascii="Verdana" w:hAnsi="Verdana"/>
                <w:color w:val="000000"/>
              </w:rPr>
            </w:pPr>
          </w:p>
        </w:tc>
      </w:tr>
    </w:tbl>
    <w:p w14:paraId="69408CB7" w14:textId="77777777" w:rsidR="002B0069" w:rsidRPr="00FC4CE4" w:rsidRDefault="002B0069" w:rsidP="002B0069">
      <w:pPr>
        <w:spacing w:after="0" w:line="240" w:lineRule="auto"/>
        <w:jc w:val="both"/>
        <w:rPr>
          <w:rFonts w:ascii="Verdana" w:eastAsia="Calibri" w:hAnsi="Verdana" w:cs="Arial"/>
          <w:color w:val="000000" w:themeColor="text1"/>
          <w:lang w:eastAsia="es-ES_tradnl"/>
        </w:rPr>
      </w:pPr>
    </w:p>
    <w:p w14:paraId="6C6332A7" w14:textId="77777777" w:rsidR="002B0069" w:rsidRPr="00115E3D" w:rsidRDefault="002B0069" w:rsidP="002B0069">
      <w:pPr>
        <w:spacing w:after="0" w:line="240" w:lineRule="auto"/>
        <w:jc w:val="both"/>
        <w:rPr>
          <w:rFonts w:ascii="Verdana" w:eastAsia="Calibri" w:hAnsi="Verdana" w:cs="Arial"/>
          <w:color w:val="000000" w:themeColor="text1"/>
          <w:lang w:val="es-ES_tradnl" w:eastAsia="es-ES_tradnl"/>
        </w:rPr>
      </w:pPr>
    </w:p>
    <w:p w14:paraId="349B1945" w14:textId="77777777" w:rsidR="002B0069" w:rsidRDefault="002B0069" w:rsidP="002B0069">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a</w:t>
      </w:r>
      <w:r w:rsidRPr="00115E3D">
        <w:rPr>
          <w:rFonts w:ascii="Verdana" w:eastAsia="Calibri" w:hAnsi="Verdana" w:cs="Arial"/>
          <w:color w:val="000000" w:themeColor="text1"/>
          <w:lang w:val="es-ES" w:eastAsia="es-ES"/>
        </w:rPr>
        <w:t xml:space="preserve"> señor</w:t>
      </w:r>
      <w:r>
        <w:rPr>
          <w:rFonts w:ascii="Verdana" w:eastAsia="Calibri" w:hAnsi="Verdana" w:cs="Arial"/>
          <w:color w:val="000000" w:themeColor="text1"/>
          <w:lang w:val="es-ES" w:eastAsia="es-ES"/>
        </w:rPr>
        <w:t>a</w:t>
      </w:r>
      <w:r w:rsidRPr="00115E3D">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Espinosa:</w:t>
      </w:r>
    </w:p>
    <w:p w14:paraId="3D25356C" w14:textId="77777777" w:rsidR="002B0069" w:rsidRPr="00115E3D" w:rsidRDefault="002B0069" w:rsidP="002B0069">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577F4367" w14:textId="77777777" w:rsidR="002B0069" w:rsidRPr="00115E3D" w:rsidRDefault="002B0069" w:rsidP="002B0069">
      <w:pPr>
        <w:spacing w:after="0" w:line="276" w:lineRule="auto"/>
        <w:jc w:val="both"/>
        <w:rPr>
          <w:rFonts w:ascii="Verdana" w:eastAsia="Century Gothic" w:hAnsi="Verdana" w:cs="Century Gothic"/>
          <w:b/>
          <w:bCs/>
          <w:color w:val="000000" w:themeColor="text1"/>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color w:val="000000" w:themeColor="text1"/>
          <w:lang w:val="es-ES" w:eastAsia="es-ES"/>
        </w:rPr>
        <w:t>27 de abril de 2026</w:t>
      </w:r>
      <w:r w:rsidRPr="00115E3D">
        <w:rPr>
          <w:rFonts w:ascii="Verdana" w:eastAsia="Calibri" w:hAnsi="Verdana" w:cs="Arial"/>
          <w:color w:val="000000" w:themeColor="text1"/>
          <w:lang w:val="es-ES" w:eastAsia="es-ES"/>
        </w:rPr>
        <w:t xml:space="preserve">, en la cual manifiesta lo siguiente: </w:t>
      </w:r>
    </w:p>
    <w:p w14:paraId="4849B816" w14:textId="77777777" w:rsidR="002B0069" w:rsidRPr="00FA2286" w:rsidRDefault="002B0069" w:rsidP="002B0069">
      <w:pPr>
        <w:spacing w:after="0" w:line="276" w:lineRule="auto"/>
        <w:ind w:left="709" w:right="709"/>
        <w:jc w:val="both"/>
        <w:rPr>
          <w:rFonts w:ascii="Verdana" w:eastAsia="Century Gothic" w:hAnsi="Verdana" w:cs="Century Gothic"/>
          <w:i/>
          <w:iCs/>
          <w:color w:val="000000" w:themeColor="text1"/>
          <w:sz w:val="21"/>
          <w:szCs w:val="21"/>
          <w:lang w:val="es-ES"/>
        </w:rPr>
      </w:pPr>
      <w:r w:rsidRPr="00FA2286">
        <w:rPr>
          <w:rFonts w:ascii="Verdana" w:eastAsia="Century Gothic" w:hAnsi="Verdana" w:cs="Century Gothic"/>
          <w:i/>
          <w:iCs/>
          <w:color w:val="000000" w:themeColor="text1"/>
          <w:sz w:val="21"/>
          <w:szCs w:val="21"/>
          <w:lang w:val="es-ES"/>
        </w:rPr>
        <w:t>“[…]</w:t>
      </w:r>
    </w:p>
    <w:p w14:paraId="4F27EC86" w14:textId="77777777" w:rsidR="002B0069" w:rsidRPr="00FA2286" w:rsidRDefault="002B0069" w:rsidP="002B0069">
      <w:pPr>
        <w:spacing w:after="0" w:line="276" w:lineRule="auto"/>
        <w:ind w:left="709" w:right="709"/>
        <w:jc w:val="both"/>
        <w:rPr>
          <w:rFonts w:ascii="Verdana" w:eastAsia="Century Gothic" w:hAnsi="Verdana" w:cs="Century Gothic"/>
          <w:i/>
          <w:iCs/>
          <w:color w:val="000000" w:themeColor="text1"/>
          <w:sz w:val="21"/>
          <w:szCs w:val="21"/>
          <w:lang w:val="es-ES"/>
        </w:rPr>
      </w:pPr>
    </w:p>
    <w:p w14:paraId="49A9A3ED" w14:textId="77777777" w:rsidR="002B0069" w:rsidRPr="002D24F4" w:rsidRDefault="002B0069" w:rsidP="002B0069">
      <w:pPr>
        <w:spacing w:after="0" w:line="276" w:lineRule="auto"/>
        <w:ind w:left="709" w:right="709"/>
        <w:jc w:val="both"/>
        <w:rPr>
          <w:rFonts w:ascii="Verdana" w:eastAsia="Century Gothic" w:hAnsi="Verdana" w:cs="Century Gothic"/>
          <w:i/>
          <w:iCs/>
          <w:color w:val="000000" w:themeColor="text1"/>
          <w:sz w:val="20"/>
          <w:szCs w:val="20"/>
        </w:rPr>
      </w:pPr>
      <w:r w:rsidRPr="002D24F4">
        <w:rPr>
          <w:rFonts w:ascii="Verdana" w:eastAsia="Century Gothic" w:hAnsi="Verdana" w:cs="Century Gothic"/>
          <w:i/>
          <w:iCs/>
          <w:color w:val="000000" w:themeColor="text1"/>
          <w:sz w:val="20"/>
          <w:szCs w:val="20"/>
        </w:rPr>
        <w:t>¿Es viable legalmente, bajo la normativa de función pública y contratación estatal, que un contratista de prestación de servicios sea designado formalmente como Auditor Líder de una comisión auditora?</w:t>
      </w:r>
    </w:p>
    <w:p w14:paraId="0C028D5F" w14:textId="77777777" w:rsidR="002B0069" w:rsidRPr="002D24F4" w:rsidRDefault="002B0069" w:rsidP="002B0069">
      <w:pPr>
        <w:spacing w:after="0" w:line="276" w:lineRule="auto"/>
        <w:ind w:left="709" w:right="709"/>
        <w:jc w:val="both"/>
        <w:rPr>
          <w:rFonts w:ascii="Verdana" w:eastAsia="Century Gothic" w:hAnsi="Verdana" w:cs="Century Gothic"/>
          <w:i/>
          <w:iCs/>
          <w:color w:val="000000" w:themeColor="text1"/>
          <w:sz w:val="20"/>
          <w:szCs w:val="20"/>
        </w:rPr>
      </w:pPr>
      <w:r w:rsidRPr="002D24F4">
        <w:rPr>
          <w:rFonts w:ascii="Verdana" w:eastAsia="Century Gothic" w:hAnsi="Verdana" w:cs="Century Gothic"/>
          <w:i/>
          <w:iCs/>
          <w:color w:val="000000" w:themeColor="text1"/>
          <w:sz w:val="20"/>
          <w:szCs w:val="20"/>
        </w:rPr>
        <w:t>De ser viable, ¿qué límites existen respecto a la firma de informes definitivos y la impartición de directrices a funcionarios públicos que integren el mismo equipo de auditoría?</w:t>
      </w:r>
    </w:p>
    <w:p w14:paraId="58F639EC" w14:textId="77777777" w:rsidR="002B0069" w:rsidRPr="008E504B" w:rsidRDefault="002B0069" w:rsidP="002B0069">
      <w:pPr>
        <w:spacing w:after="0" w:line="276" w:lineRule="auto"/>
        <w:ind w:left="709" w:right="709"/>
        <w:jc w:val="both"/>
        <w:rPr>
          <w:rFonts w:ascii="Verdana" w:eastAsia="Century Gothic" w:hAnsi="Verdana" w:cs="Century Gothic"/>
          <w:i/>
          <w:iCs/>
          <w:color w:val="000000" w:themeColor="text1"/>
          <w:sz w:val="21"/>
          <w:szCs w:val="21"/>
        </w:rPr>
      </w:pPr>
      <w:r w:rsidRPr="008E504B">
        <w:rPr>
          <w:rFonts w:ascii="Verdana" w:eastAsia="Century Gothic" w:hAnsi="Verdana" w:cs="Century Gothic"/>
          <w:i/>
          <w:iCs/>
          <w:color w:val="000000" w:themeColor="text1"/>
          <w:sz w:val="21"/>
          <w:szCs w:val="21"/>
        </w:rPr>
        <w:lastRenderedPageBreak/>
        <w:t>¿Dicha designación constituye, bajo su criterio, una extralimitación de las obligaciones de un contrato de</w:t>
      </w:r>
      <w:r>
        <w:rPr>
          <w:rFonts w:ascii="Verdana" w:eastAsia="Century Gothic" w:hAnsi="Verdana" w:cs="Century Gothic"/>
          <w:i/>
          <w:iCs/>
          <w:color w:val="000000" w:themeColor="text1"/>
          <w:sz w:val="21"/>
          <w:szCs w:val="21"/>
        </w:rPr>
        <w:t xml:space="preserve"> </w:t>
      </w:r>
      <w:r w:rsidRPr="008E504B">
        <w:rPr>
          <w:rFonts w:ascii="Verdana" w:eastAsia="Century Gothic" w:hAnsi="Verdana" w:cs="Century Gothic"/>
          <w:i/>
          <w:iCs/>
          <w:color w:val="000000" w:themeColor="text1"/>
          <w:sz w:val="21"/>
          <w:szCs w:val="21"/>
        </w:rPr>
        <w:t>prestación de servicios o una incursión en el ejercicio de funciones públicas exclusivas de los</w:t>
      </w:r>
      <w:r>
        <w:rPr>
          <w:rFonts w:ascii="Verdana" w:eastAsia="Century Gothic" w:hAnsi="Verdana" w:cs="Century Gothic"/>
          <w:i/>
          <w:iCs/>
          <w:color w:val="000000" w:themeColor="text1"/>
          <w:sz w:val="21"/>
          <w:szCs w:val="21"/>
        </w:rPr>
        <w:t xml:space="preserve"> </w:t>
      </w:r>
      <w:r w:rsidRPr="008E504B">
        <w:rPr>
          <w:rFonts w:ascii="Verdana" w:eastAsia="Century Gothic" w:hAnsi="Verdana" w:cs="Century Gothic"/>
          <w:i/>
          <w:iCs/>
          <w:color w:val="000000" w:themeColor="text1"/>
          <w:sz w:val="21"/>
          <w:szCs w:val="21"/>
        </w:rPr>
        <w:t>empleados de planta?</w:t>
      </w:r>
    </w:p>
    <w:p w14:paraId="7918E65A" w14:textId="77777777" w:rsidR="002B0069" w:rsidRDefault="002B0069" w:rsidP="002B0069">
      <w:pPr>
        <w:spacing w:after="0" w:line="276" w:lineRule="auto"/>
        <w:ind w:left="709" w:right="709"/>
        <w:jc w:val="both"/>
        <w:rPr>
          <w:rFonts w:ascii="Verdana" w:eastAsia="Century Gothic" w:hAnsi="Verdana" w:cs="Century Gothic"/>
          <w:i/>
          <w:iCs/>
          <w:color w:val="000000" w:themeColor="text1"/>
          <w:sz w:val="21"/>
          <w:szCs w:val="21"/>
        </w:rPr>
      </w:pPr>
      <w:r w:rsidRPr="008E504B">
        <w:rPr>
          <w:rFonts w:ascii="Verdana" w:eastAsia="Century Gothic" w:hAnsi="Verdana" w:cs="Century Gothic"/>
          <w:i/>
          <w:iCs/>
          <w:color w:val="000000" w:themeColor="text1"/>
          <w:sz w:val="21"/>
          <w:szCs w:val="21"/>
        </w:rPr>
        <w:t>¿Cuál es el alcance de la responsabilidad administrativa del contratista frente a los hallazgos y el</w:t>
      </w:r>
      <w:r>
        <w:rPr>
          <w:rFonts w:ascii="Verdana" w:eastAsia="Century Gothic" w:hAnsi="Verdana" w:cs="Century Gothic"/>
          <w:i/>
          <w:iCs/>
          <w:color w:val="000000" w:themeColor="text1"/>
          <w:sz w:val="21"/>
          <w:szCs w:val="21"/>
        </w:rPr>
        <w:t xml:space="preserve"> </w:t>
      </w:r>
      <w:r w:rsidRPr="008E504B">
        <w:rPr>
          <w:rFonts w:ascii="Verdana" w:eastAsia="Century Gothic" w:hAnsi="Verdana" w:cs="Century Gothic"/>
          <w:i/>
          <w:iCs/>
          <w:color w:val="000000" w:themeColor="text1"/>
          <w:sz w:val="21"/>
          <w:szCs w:val="21"/>
        </w:rPr>
        <w:t>liderazgo técnico del proceso?</w:t>
      </w:r>
      <w:r>
        <w:rPr>
          <w:rFonts w:ascii="Verdana" w:eastAsia="Century Gothic" w:hAnsi="Verdana" w:cs="Century Gothic"/>
          <w:i/>
          <w:iCs/>
          <w:color w:val="000000" w:themeColor="text1"/>
          <w:sz w:val="21"/>
          <w:szCs w:val="21"/>
        </w:rPr>
        <w:t xml:space="preserve"> </w:t>
      </w:r>
      <w:r w:rsidRPr="00FA2286">
        <w:rPr>
          <w:rFonts w:ascii="Verdana" w:eastAsia="Century Gothic" w:hAnsi="Verdana" w:cs="Century Gothic"/>
          <w:i/>
          <w:iCs/>
          <w:color w:val="000000" w:themeColor="text1"/>
          <w:sz w:val="21"/>
          <w:szCs w:val="21"/>
        </w:rPr>
        <w:t>[…]”.</w:t>
      </w:r>
    </w:p>
    <w:p w14:paraId="4B49FFCF" w14:textId="77777777" w:rsidR="002B0069" w:rsidRDefault="002B0069" w:rsidP="002B0069">
      <w:pPr>
        <w:spacing w:after="0" w:line="276" w:lineRule="auto"/>
        <w:ind w:left="709" w:right="709"/>
        <w:jc w:val="both"/>
        <w:rPr>
          <w:rFonts w:ascii="Verdana" w:eastAsia="Century Gothic" w:hAnsi="Verdana" w:cs="Century Gothic"/>
          <w:i/>
          <w:iCs/>
          <w:color w:val="000000" w:themeColor="text1"/>
          <w:sz w:val="21"/>
          <w:szCs w:val="21"/>
        </w:rPr>
      </w:pPr>
    </w:p>
    <w:p w14:paraId="70E77E70" w14:textId="77777777" w:rsidR="002B0069" w:rsidRPr="009A52F5" w:rsidRDefault="002B0069" w:rsidP="002B0069">
      <w:pPr>
        <w:ind w:firstLine="708"/>
        <w:jc w:val="both"/>
        <w:rPr>
          <w:rFonts w:ascii="Verdana" w:eastAsia="Century Gothic" w:hAnsi="Verdana" w:cs="Century Gothic"/>
          <w:i/>
          <w:iCs/>
          <w:color w:val="000000" w:themeColor="text1"/>
          <w:sz w:val="21"/>
          <w:szCs w:val="21"/>
        </w:rPr>
      </w:pPr>
      <w:r w:rsidRPr="009E5F86">
        <w:rPr>
          <w:rFonts w:ascii="Verdana" w:eastAsia="Century Gothic" w:hAnsi="Verdana" w:cs="Century Gothic"/>
          <w:color w:val="000000" w:themeColor="text1"/>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E5F86">
        <w:rPr>
          <w:rFonts w:ascii="Verdana" w:eastAsia="Century Gothic" w:hAnsi="Verdana" w:cs="Century Gothic"/>
          <w:color w:val="000000" w:themeColor="text1"/>
          <w:lang w:val="es-ES_tradnl"/>
        </w:rPr>
        <w:tab/>
      </w:r>
    </w:p>
    <w:p w14:paraId="7BEA9182" w14:textId="77777777" w:rsidR="002B0069" w:rsidRDefault="002B0069" w:rsidP="002B0069">
      <w:pPr>
        <w:spacing w:after="120" w:line="276" w:lineRule="auto"/>
        <w:ind w:firstLine="708"/>
        <w:jc w:val="both"/>
        <w:rPr>
          <w:rFonts w:ascii="Verdana" w:eastAsia="Century Gothic" w:hAnsi="Verdana" w:cs="Century Gothic"/>
          <w:color w:val="000000" w:themeColor="text1"/>
          <w:lang w:val="es-ES"/>
        </w:rPr>
      </w:pPr>
      <w:r w:rsidRPr="009E5F86">
        <w:rPr>
          <w:rFonts w:ascii="Verdana" w:eastAsia="Century Gothic" w:hAnsi="Verdana" w:cs="Century Gothic"/>
          <w:color w:val="000000" w:themeColor="text1"/>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(los) problema(s) jurídico(s) de su consulta. </w:t>
      </w:r>
    </w:p>
    <w:p w14:paraId="70DD2E1F" w14:textId="77777777" w:rsidR="002B0069" w:rsidRDefault="002B0069" w:rsidP="002B0069">
      <w:pPr>
        <w:spacing w:after="120" w:line="276" w:lineRule="auto"/>
        <w:ind w:firstLine="708"/>
        <w:jc w:val="both"/>
        <w:rPr>
          <w:rFonts w:ascii="Verdana" w:eastAsia="Century Gothic" w:hAnsi="Verdana" w:cs="Century Gothic"/>
          <w:color w:val="000000" w:themeColor="text1"/>
          <w:lang w:val="es-ES"/>
        </w:rPr>
      </w:pPr>
    </w:p>
    <w:p w14:paraId="703F4BE0" w14:textId="77777777" w:rsidR="002B0069" w:rsidRPr="00115E3D" w:rsidRDefault="002B0069" w:rsidP="002B0069">
      <w:pPr>
        <w:pStyle w:val="Prrafodelista"/>
        <w:numPr>
          <w:ilvl w:val="0"/>
          <w:numId w:val="3"/>
        </w:numPr>
        <w:tabs>
          <w:tab w:val="left" w:pos="142"/>
          <w:tab w:val="left" w:pos="284"/>
        </w:tabs>
        <w:spacing w:after="120" w:line="276" w:lineRule="auto"/>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474ED0E0" w14:textId="77777777" w:rsidR="002B0069" w:rsidRPr="00115E3D" w:rsidRDefault="002B0069" w:rsidP="002B0069">
      <w:pPr>
        <w:tabs>
          <w:tab w:val="left" w:pos="426"/>
        </w:tabs>
        <w:spacing w:after="0" w:line="276" w:lineRule="auto"/>
        <w:jc w:val="both"/>
        <w:rPr>
          <w:rFonts w:ascii="Verdana" w:eastAsia="Century Gothic" w:hAnsi="Verdana" w:cs="Century Gothic"/>
          <w:color w:val="000000" w:themeColor="text1"/>
          <w:lang w:val="es-ES"/>
        </w:rPr>
      </w:pPr>
    </w:p>
    <w:p w14:paraId="35B00EFF" w14:textId="77777777" w:rsidR="002B0069" w:rsidRDefault="002B0069" w:rsidP="002B0069">
      <w:pPr>
        <w:spacing w:after="120" w:line="276" w:lineRule="auto"/>
        <w:jc w:val="both"/>
        <w:rPr>
          <w:rFonts w:ascii="Verdana" w:eastAsia="Century Gothic" w:hAnsi="Verdana" w:cs="Century Gothic"/>
          <w:color w:val="000000" w:themeColor="text1"/>
        </w:rPr>
      </w:pPr>
      <w:r w:rsidRPr="31F7AC4D">
        <w:rPr>
          <w:rFonts w:ascii="Verdana" w:eastAsia="Century Gothic" w:hAnsi="Verdana" w:cs="Century Gothic"/>
          <w:color w:val="000000" w:themeColor="text1"/>
        </w:rPr>
        <w:t xml:space="preserve">De acuerdo con el contenido de su solicitud, esta Agencia resolverá el siguiente problema jurídico: </w:t>
      </w:r>
      <w:r>
        <w:rPr>
          <w:rFonts w:ascii="Verdana" w:eastAsia="Century Gothic" w:hAnsi="Verdana" w:cs="Century Gothic"/>
        </w:rPr>
        <w:t xml:space="preserve">¿Qué puede </w:t>
      </w:r>
      <w:proofErr w:type="gramStart"/>
      <w:r>
        <w:rPr>
          <w:rFonts w:ascii="Verdana" w:eastAsia="Century Gothic" w:hAnsi="Verdana" w:cs="Century Gothic"/>
        </w:rPr>
        <w:t xml:space="preserve">contratarse  </w:t>
      </w:r>
      <w:proofErr w:type="spellStart"/>
      <w:r>
        <w:rPr>
          <w:rFonts w:ascii="Verdana" w:eastAsia="Century Gothic" w:hAnsi="Verdana" w:cs="Century Gothic"/>
        </w:rPr>
        <w:t>porde</w:t>
      </w:r>
      <w:proofErr w:type="spellEnd"/>
      <w:proofErr w:type="gramEnd"/>
      <w:r>
        <w:rPr>
          <w:rFonts w:ascii="Verdana" w:eastAsia="Century Gothic" w:hAnsi="Verdana" w:cs="Century Gothic"/>
        </w:rPr>
        <w:t xml:space="preserve"> prestación de servicios profesionales?</w:t>
      </w:r>
    </w:p>
    <w:p w14:paraId="3E3C1C83" w14:textId="77777777" w:rsidR="002B0069" w:rsidRDefault="002B0069" w:rsidP="002B0069">
      <w:pPr>
        <w:spacing w:after="120" w:line="276" w:lineRule="auto"/>
        <w:jc w:val="both"/>
        <w:rPr>
          <w:rFonts w:ascii="Verdana" w:eastAsia="Century Gothic" w:hAnsi="Verdana" w:cs="Century Gothic"/>
          <w:color w:val="000000" w:themeColor="text1"/>
        </w:rPr>
      </w:pPr>
    </w:p>
    <w:p w14:paraId="231E9932" w14:textId="77777777" w:rsidR="002B0069" w:rsidRDefault="002B0069" w:rsidP="002B0069">
      <w:pPr>
        <w:pStyle w:val="Prrafodelista"/>
        <w:numPr>
          <w:ilvl w:val="0"/>
          <w:numId w:val="3"/>
        </w:numPr>
        <w:spacing w:after="120" w:line="276" w:lineRule="auto"/>
        <w:jc w:val="both"/>
        <w:rPr>
          <w:rFonts w:ascii="Verdana" w:eastAsia="Century Gothic" w:hAnsi="Verdana" w:cs="Century Gothic"/>
          <w:b/>
          <w:bCs/>
          <w:color w:val="000000" w:themeColor="text1"/>
        </w:rPr>
      </w:pPr>
      <w:r w:rsidRPr="009C64DD">
        <w:rPr>
          <w:rFonts w:ascii="Verdana" w:eastAsia="Century Gothic" w:hAnsi="Verdana" w:cs="Century Gothic"/>
          <w:b/>
          <w:bCs/>
          <w:color w:val="000000" w:themeColor="text1"/>
        </w:rPr>
        <w:t xml:space="preserve">Respuesta: </w:t>
      </w:r>
    </w:p>
    <w:p w14:paraId="67E7D134" w14:textId="77777777" w:rsidR="002B0069" w:rsidRDefault="002B0069" w:rsidP="002B0069">
      <w:pPr>
        <w:spacing w:after="0" w:line="276" w:lineRule="auto"/>
        <w:jc w:val="both"/>
        <w:rPr>
          <w:rFonts w:ascii="Verdana" w:eastAsia="Century Gothic" w:hAnsi="Verdana" w:cs="Century Gothic"/>
          <w:b/>
          <w:bCs/>
          <w:color w:val="000000" w:themeColor="text1"/>
        </w:rPr>
      </w:pPr>
    </w:p>
    <w:tbl>
      <w:tblPr>
        <w:tblStyle w:val="Tablaconcuadrcula"/>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828"/>
      </w:tblGrid>
      <w:tr w:rsidR="002B0069" w14:paraId="60DE1A0C" w14:textId="77777777" w:rsidTr="000246A3">
        <w:tc>
          <w:tcPr>
            <w:tcW w:w="8828" w:type="dxa"/>
          </w:tcPr>
          <w:p w14:paraId="4351A104" w14:textId="77777777" w:rsidR="002B0069" w:rsidRPr="00434E4F" w:rsidRDefault="002B0069" w:rsidP="000246A3">
            <w:pPr>
              <w:spacing w:line="276" w:lineRule="auto"/>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lastRenderedPageBreak/>
              <w:t>De conformidad con el problema planteado, el artículo 2.2.1.2.1.4.9. del Decreto 1082 de 2015, y el artículo 6 de la Ley 1150 de 2007, corresponde a las Entidades Estatales, al momento de adelantar contrataciones bajo la modalidad de contratación directa de prestación de servicios, el deber de verificar la idoneidad o experiencia requerida por los contratistas para la debida satisfacción del objeto del contrato.</w:t>
            </w:r>
          </w:p>
          <w:p w14:paraId="2D9AEA39" w14:textId="77777777" w:rsidR="002B0069" w:rsidRPr="00434E4F" w:rsidRDefault="002B0069" w:rsidP="000246A3">
            <w:pPr>
              <w:spacing w:line="276" w:lineRule="auto"/>
              <w:jc w:val="both"/>
              <w:rPr>
                <w:rFonts w:ascii="Verdana" w:eastAsia="Century Gothic" w:hAnsi="Verdana" w:cs="Century Gothic"/>
                <w:color w:val="000000" w:themeColor="text1"/>
              </w:rPr>
            </w:pPr>
          </w:p>
          <w:p w14:paraId="2B186965"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Este supuesto deberá ser determinado y verificado por las Entidades Estatales de acuerdo con las características, alcance del objeto del contrato y el perfil establecido en los documentos precontractuales. Sobre esta medida, si bien no existe una disposición en materia de contratación pública en la que se establezca de manera detallada la verificación que debe hacer cada entidad, si existen algunas disposiciones que brindan lineamientos de cómo computar la experiencia o establecer equivalencias, estos, generalmente se encuentran establecidos en resoluciones internas mediante las cuales se adoptan tablas de honorarios y se establecen requisitos mínimos de formación y experiencia, que entre otras cosas, son de obligatoria observancia por cada entidad al momento de realizar la verificación.</w:t>
            </w:r>
          </w:p>
          <w:p w14:paraId="6290159D" w14:textId="77777777" w:rsidR="002B0069" w:rsidRPr="00434E4F" w:rsidRDefault="002B0069" w:rsidP="000246A3">
            <w:pPr>
              <w:spacing w:line="276" w:lineRule="auto"/>
              <w:ind w:firstLine="740"/>
              <w:jc w:val="both"/>
              <w:rPr>
                <w:rFonts w:ascii="Verdana" w:eastAsia="Century Gothic" w:hAnsi="Verdana" w:cs="Century Gothic"/>
                <w:color w:val="000000" w:themeColor="text1"/>
              </w:rPr>
            </w:pPr>
          </w:p>
          <w:p w14:paraId="4C9A24A4"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 xml:space="preserve">Así las cosas, y con el propósito de responder el objeto de la consulta, esta modalidad de contratación se efectúa mediante la modalidad la contratación directa, conforme a lo dispuesto en el literal h) del numeral 4 del artículo 2 de la Ley 1150 de 2007, los cuales se diferencian de los procesos competitivos donde se evalúan requisitos habilitantes y se otorgan puntajes, pues, en la contratación directa la Entidad Estatal debe verificar la idoneidad y la capacidad del contratista. </w:t>
            </w:r>
          </w:p>
          <w:p w14:paraId="507C840A" w14:textId="77777777" w:rsidR="002B0069" w:rsidRPr="00434E4F" w:rsidRDefault="002B0069" w:rsidP="000246A3">
            <w:pPr>
              <w:spacing w:line="276" w:lineRule="auto"/>
              <w:ind w:firstLine="740"/>
              <w:jc w:val="both"/>
              <w:rPr>
                <w:rFonts w:ascii="Verdana" w:eastAsia="Century Gothic" w:hAnsi="Verdana" w:cs="Century Gothic"/>
                <w:color w:val="000000" w:themeColor="text1"/>
              </w:rPr>
            </w:pPr>
          </w:p>
          <w:p w14:paraId="53E25304"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En efecto, el artículo 2.2.1.2.1.4.9. del Decreto 1082 de 2015 establece que las Entidades Estatales pueden contratar bajo esta modalidad con la persona natural o jurídica que esté en capacidad de ejecutar el objeto del contrato, siempre y cuando verifiquen la idoneidad o experiencia requerida y relacionada con el área de que se trate. Para verificar dicha idoneidad, las entidades estatales deberán fijar, en los documentos del proceso, como los estudios previos, los medios a través de los cuales el contratista debe acreditar dicha idoneidad.</w:t>
            </w:r>
          </w:p>
          <w:p w14:paraId="2C97A30F" w14:textId="77777777" w:rsidR="002B0069" w:rsidRPr="00434E4F" w:rsidRDefault="002B0069" w:rsidP="000246A3">
            <w:pPr>
              <w:spacing w:line="276" w:lineRule="auto"/>
              <w:ind w:firstLine="740"/>
              <w:jc w:val="both"/>
              <w:rPr>
                <w:rFonts w:ascii="Verdana" w:eastAsia="Century Gothic" w:hAnsi="Verdana" w:cs="Century Gothic"/>
                <w:color w:val="000000" w:themeColor="text1"/>
              </w:rPr>
            </w:pPr>
          </w:p>
          <w:p w14:paraId="505751C9"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lastRenderedPageBreak/>
              <w:t>Siguiendo los lineamientos de la Guía para la incorporación de Lineamientos de Integridad en la Contratación de prestación de Servicios, expedida por la Agencia de Contratación Pública – Colombia Compra Eficiente, en su Anexo 2, relaciona algunos de los documentos necesarios para suscribir contratos de prestación de servicios con personas naturales. Por ejemplo, tratándose de personas jurídicas, la Entidad Estatal debe verificar la capacidad jurídica mediante el Certificado de Existencia y Representación Legal, constatando que la sociedad esté debidamente constituida, que su vigencia cubra el plazo del contrato y que su objeto social contemple las actividades a contratar. De igual forma, la idoneidad y experiencia se acreditan mediante los documentos que la Entidad considere pertinentes para demostrar la trayectoria en el área requerida, siendo los soportes idóneos las certificaciones de contratos anteriores, copias de contratos ejecutados junto con sus actas de liquidación o recibos a satisfacción.</w:t>
            </w:r>
          </w:p>
          <w:p w14:paraId="40E975F8" w14:textId="77777777" w:rsidR="002B0069" w:rsidRPr="00434E4F" w:rsidRDefault="002B0069" w:rsidP="000246A3">
            <w:pPr>
              <w:spacing w:line="276" w:lineRule="auto"/>
              <w:ind w:firstLine="740"/>
              <w:jc w:val="both"/>
              <w:rPr>
                <w:rFonts w:ascii="Verdana" w:eastAsia="Century Gothic" w:hAnsi="Verdana" w:cs="Century Gothic"/>
                <w:color w:val="000000" w:themeColor="text1"/>
              </w:rPr>
            </w:pPr>
          </w:p>
          <w:p w14:paraId="575F7ECA"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Así mismo, resulta oportuno traer a colación el artículo 2.8.4.4.5 del Decreto 1068 de 2015, el cual reglamenta la tipología contractual establecida en el numeral 3° del artículo 32 de la Ley 80 de 1993; disposición legal que condiciona la celebración de contratos de prestación de servicios a los eventos en que las actividades que requiere la entidad para satisfacer necesidades relacionadas con la administración o funcionamiento,   no puedan  ser desarrolladas por el personal de planta o requieran conocimientos especializados. De acuerdo con esto, lo que hace el citado artículo es establecer las condiciones a partir de las cuales debe determinarse la insuficiencia del personal de planta, a efectos de cumplir con el referido presupuesto para la celebración de contratos de prestación de servicios.</w:t>
            </w:r>
          </w:p>
          <w:p w14:paraId="058FE11B" w14:textId="77777777" w:rsidR="002B0069" w:rsidRPr="00434E4F" w:rsidRDefault="002B0069" w:rsidP="000246A3">
            <w:pPr>
              <w:spacing w:line="276" w:lineRule="auto"/>
              <w:jc w:val="both"/>
              <w:rPr>
                <w:rFonts w:ascii="Verdana" w:eastAsia="Century Gothic" w:hAnsi="Verdana" w:cs="Century Gothic"/>
                <w:color w:val="000000" w:themeColor="text1"/>
              </w:rPr>
            </w:pPr>
          </w:p>
          <w:p w14:paraId="7BBB747D"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 xml:space="preserve">Al margen de la explicación precedente debe advertirse que el análisis requerido para </w:t>
            </w:r>
            <w:r>
              <w:rPr>
                <w:rFonts w:ascii="Verdana" w:eastAsia="Century Gothic" w:hAnsi="Verdana" w:cs="Century Gothic"/>
                <w:color w:val="000000" w:themeColor="text1"/>
              </w:rPr>
              <w:t xml:space="preserve">determinar si es procedente contratar servicios de auditoría mediante contratos de prestación de servicios, </w:t>
            </w:r>
            <w:r w:rsidRPr="00434E4F">
              <w:rPr>
                <w:rFonts w:ascii="Verdana" w:eastAsia="Century Gothic" w:hAnsi="Verdana" w:cs="Century Gothic"/>
                <w:color w:val="000000" w:themeColor="text1"/>
              </w:rPr>
              <w:t>debe ser realizado por quienes tengan interés en ello, de acuerdo con lo explicado</w:t>
            </w:r>
            <w:r>
              <w:rPr>
                <w:rFonts w:ascii="Verdana" w:eastAsia="Century Gothic" w:hAnsi="Verdana" w:cs="Century Gothic"/>
                <w:color w:val="000000" w:themeColor="text1"/>
              </w:rPr>
              <w:t xml:space="preserve"> en</w:t>
            </w:r>
            <w:r w:rsidRPr="00434E4F">
              <w:rPr>
                <w:rFonts w:ascii="Verdana" w:eastAsia="Century Gothic" w:hAnsi="Verdana" w:cs="Century Gothic"/>
                <w:color w:val="000000" w:themeColor="text1"/>
              </w:rPr>
              <w:t xml:space="preserve"> la aclaración preliminar del presente </w:t>
            </w:r>
            <w:r>
              <w:rPr>
                <w:rFonts w:ascii="Verdana" w:eastAsia="Century Gothic" w:hAnsi="Verdana" w:cs="Century Gothic"/>
                <w:color w:val="000000" w:themeColor="text1"/>
              </w:rPr>
              <w:t>documento</w:t>
            </w:r>
            <w:r w:rsidRPr="00434E4F">
              <w:rPr>
                <w:rFonts w:ascii="Verdana" w:eastAsia="Century Gothic" w:hAnsi="Verdana" w:cs="Century Gothic"/>
                <w:color w:val="000000" w:themeColor="text1"/>
              </w:rPr>
              <w:t>. De esta manera, las afirmaciones aquí realizadas no pueden ser interpretadas como juicios de valor sobre circunstancias concretas relacionadas con los hechos que motivan la consulta.</w:t>
            </w:r>
          </w:p>
          <w:p w14:paraId="6170DBA4" w14:textId="77777777" w:rsidR="002B0069" w:rsidRDefault="002B0069" w:rsidP="000246A3">
            <w:pPr>
              <w:spacing w:line="276" w:lineRule="auto"/>
              <w:jc w:val="both"/>
              <w:rPr>
                <w:rFonts w:ascii="Verdana" w:eastAsia="Century Gothic" w:hAnsi="Verdana" w:cs="Century Gothic"/>
                <w:color w:val="000000" w:themeColor="text1"/>
              </w:rPr>
            </w:pPr>
          </w:p>
          <w:p w14:paraId="41A702B6"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lastRenderedPageBreak/>
              <w:t>Por lo anterior, previo concepto de sus asesores, la solución de situaciones particulares corresponde a los interesados adoptar la decisión correspondiente y, en caso de conflicto, a las autoridades judiciales, fiscales y disciplinarias.</w:t>
            </w:r>
          </w:p>
          <w:p w14:paraId="3F1FDBAE" w14:textId="77777777" w:rsidR="002B0069" w:rsidRPr="00434E4F" w:rsidRDefault="002B0069" w:rsidP="000246A3">
            <w:pPr>
              <w:spacing w:line="276" w:lineRule="auto"/>
              <w:jc w:val="both"/>
              <w:rPr>
                <w:rFonts w:ascii="Verdana" w:eastAsia="Century Gothic" w:hAnsi="Verdana" w:cs="Century Gothic"/>
                <w:color w:val="000000" w:themeColor="text1"/>
              </w:rPr>
            </w:pPr>
          </w:p>
          <w:p w14:paraId="443B7AB4" w14:textId="77777777" w:rsidR="002B0069" w:rsidRDefault="002B0069" w:rsidP="000246A3">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38DF12B9" w14:textId="77777777" w:rsidR="002B0069" w:rsidRDefault="002B0069" w:rsidP="000246A3">
            <w:pPr>
              <w:spacing w:line="276" w:lineRule="auto"/>
              <w:ind w:firstLine="740"/>
              <w:jc w:val="both"/>
              <w:rPr>
                <w:rFonts w:ascii="Verdana" w:eastAsia="Century Gothic" w:hAnsi="Verdana" w:cs="Century Gothic"/>
                <w:b/>
                <w:bCs/>
                <w:color w:val="000000" w:themeColor="text1"/>
              </w:rPr>
            </w:pPr>
          </w:p>
        </w:tc>
      </w:tr>
    </w:tbl>
    <w:p w14:paraId="439A2C34" w14:textId="77777777" w:rsidR="002B0069" w:rsidRDefault="002B0069" w:rsidP="002B0069">
      <w:pPr>
        <w:spacing w:after="0" w:line="276" w:lineRule="auto"/>
        <w:jc w:val="both"/>
        <w:rPr>
          <w:rFonts w:ascii="Verdana" w:eastAsia="Century Gothic" w:hAnsi="Verdana" w:cs="Century Gothic"/>
          <w:b/>
          <w:bCs/>
          <w:color w:val="000000" w:themeColor="text1"/>
        </w:rPr>
      </w:pPr>
    </w:p>
    <w:p w14:paraId="0C9EABAC" w14:textId="77777777" w:rsidR="002B0069" w:rsidRPr="009F5894" w:rsidRDefault="002B0069" w:rsidP="002B0069">
      <w:pPr>
        <w:spacing w:after="0" w:line="276" w:lineRule="auto"/>
        <w:jc w:val="both"/>
        <w:rPr>
          <w:rFonts w:ascii="Verdana" w:eastAsia="Century Gothic" w:hAnsi="Verdana" w:cs="Century Gothic"/>
          <w:b/>
          <w:bCs/>
          <w:color w:val="000000" w:themeColor="text1"/>
        </w:rPr>
      </w:pPr>
    </w:p>
    <w:p w14:paraId="3E2CA4B9" w14:textId="77777777" w:rsidR="002B0069" w:rsidRPr="00C6350E" w:rsidRDefault="002B0069" w:rsidP="002B0069">
      <w:pPr>
        <w:pStyle w:val="Prrafodelista"/>
        <w:numPr>
          <w:ilvl w:val="0"/>
          <w:numId w:val="3"/>
        </w:numPr>
        <w:spacing w:after="120" w:line="276" w:lineRule="auto"/>
        <w:jc w:val="both"/>
        <w:rPr>
          <w:rFonts w:ascii="Verdana" w:eastAsia="Century Gothic" w:hAnsi="Verdana" w:cs="Century Gothic"/>
          <w:b/>
          <w:bCs/>
          <w:color w:val="000000" w:themeColor="text1"/>
        </w:rPr>
      </w:pPr>
      <w:r w:rsidRPr="00C6350E">
        <w:rPr>
          <w:rFonts w:ascii="Verdana" w:eastAsia="Century Gothic" w:hAnsi="Verdana" w:cs="Century Gothic"/>
          <w:b/>
          <w:bCs/>
          <w:color w:val="000000" w:themeColor="text1"/>
        </w:rPr>
        <w:t xml:space="preserve">Razones de la Respuesta: </w:t>
      </w:r>
    </w:p>
    <w:p w14:paraId="51B832BC" w14:textId="77777777" w:rsidR="002B0069" w:rsidRPr="00C6350E" w:rsidRDefault="002B0069" w:rsidP="002B0069">
      <w:pPr>
        <w:pStyle w:val="Prrafodelista"/>
        <w:spacing w:after="120" w:line="276" w:lineRule="auto"/>
        <w:ind w:left="1080"/>
        <w:jc w:val="both"/>
        <w:rPr>
          <w:rFonts w:ascii="Verdana" w:eastAsia="Century Gothic" w:hAnsi="Verdana" w:cs="Century Gothic"/>
          <w:b/>
          <w:bCs/>
          <w:color w:val="000000" w:themeColor="text1"/>
        </w:rPr>
      </w:pPr>
    </w:p>
    <w:p w14:paraId="227F34DC" w14:textId="77777777" w:rsidR="002B0069" w:rsidRPr="00FD28DB" w:rsidRDefault="002B0069" w:rsidP="002B0069">
      <w:pPr>
        <w:spacing w:after="120" w:line="276" w:lineRule="auto"/>
        <w:jc w:val="both"/>
        <w:rPr>
          <w:rFonts w:ascii="Verdana" w:hAnsi="Verdana"/>
          <w:lang w:val="es-ES"/>
        </w:rPr>
      </w:pPr>
      <w:r w:rsidRPr="00FD28DB">
        <w:rPr>
          <w:rFonts w:ascii="Verdana" w:hAnsi="Verdana"/>
          <w:lang w:val="es-ES"/>
        </w:rPr>
        <w:t>Lo anterior se sustenta en las siguientes consideraciones:</w:t>
      </w:r>
    </w:p>
    <w:p w14:paraId="051B983E" w14:textId="77777777" w:rsidR="002B0069" w:rsidRPr="00152466" w:rsidRDefault="002B0069" w:rsidP="002B0069">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El contrato de prestación de servicios es uno de los tipos contractuales consagrados en el Estatuto General de Contratación de la Administración Pública – en adelante EGCAP–, que pueden celebrar las Entidades Estatales. Se trata de un contrato típico, </w:t>
      </w:r>
      <w:r>
        <w:rPr>
          <w:rFonts w:ascii="Verdana" w:hAnsi="Verdana" w:cs="Arial"/>
        </w:rPr>
        <w:t>toda vez que</w:t>
      </w:r>
      <w:r w:rsidRPr="00152466">
        <w:rPr>
          <w:rFonts w:ascii="Verdana" w:hAnsi="Verdana" w:cs="Arial"/>
        </w:rPr>
        <w:t xml:space="preserve"> se encuentra definido en la ley</w:t>
      </w:r>
      <w:r>
        <w:rPr>
          <w:rFonts w:ascii="Verdana" w:hAnsi="Verdana" w:cs="Arial"/>
        </w:rPr>
        <w:t>; c</w:t>
      </w:r>
      <w:r w:rsidRPr="00152466">
        <w:rPr>
          <w:rFonts w:ascii="Verdana" w:hAnsi="Verdana" w:cs="Arial"/>
        </w:rPr>
        <w:t xml:space="preserve">oncretamente, </w:t>
      </w:r>
      <w:r>
        <w:rPr>
          <w:rFonts w:ascii="Verdana" w:hAnsi="Verdana" w:cs="Arial"/>
        </w:rPr>
        <w:t xml:space="preserve">lo define </w:t>
      </w:r>
      <w:r w:rsidRPr="00152466">
        <w:rPr>
          <w:rFonts w:ascii="Verdana" w:hAnsi="Verdana" w:cs="Arial"/>
        </w:rPr>
        <w:t xml:space="preserve">el artículo 32, numeral 3º, de la Ley 80 de 1993, </w:t>
      </w:r>
      <w:r>
        <w:rPr>
          <w:rFonts w:ascii="Verdana" w:hAnsi="Verdana" w:cs="Arial"/>
        </w:rPr>
        <w:t xml:space="preserve">el cual </w:t>
      </w:r>
      <w:r w:rsidRPr="00152466">
        <w:rPr>
          <w:rFonts w:ascii="Verdana" w:hAnsi="Verdana" w:cs="Arial"/>
        </w:rPr>
        <w:t xml:space="preserve">establece: </w:t>
      </w:r>
    </w:p>
    <w:p w14:paraId="0EAC3E78" w14:textId="77777777" w:rsidR="002B0069" w:rsidRPr="002D24F4" w:rsidRDefault="002B0069" w:rsidP="002B0069">
      <w:pPr>
        <w:widowControl w:val="0"/>
        <w:autoSpaceDE w:val="0"/>
        <w:autoSpaceDN w:val="0"/>
        <w:spacing w:after="120" w:line="276" w:lineRule="auto"/>
        <w:ind w:left="709" w:right="709"/>
        <w:jc w:val="both"/>
        <w:rPr>
          <w:rFonts w:ascii="Verdana" w:hAnsi="Verdana" w:cs="Arial"/>
          <w:sz w:val="20"/>
          <w:szCs w:val="20"/>
        </w:rPr>
      </w:pPr>
      <w:r w:rsidRPr="002D24F4">
        <w:rPr>
          <w:rFonts w:ascii="Verdana"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00E54110" w14:textId="77777777" w:rsidR="002B0069" w:rsidRPr="002D24F4" w:rsidRDefault="002B0069" w:rsidP="002B0069">
      <w:pPr>
        <w:widowControl w:val="0"/>
        <w:autoSpaceDE w:val="0"/>
        <w:autoSpaceDN w:val="0"/>
        <w:spacing w:after="120" w:line="276" w:lineRule="auto"/>
        <w:ind w:left="709" w:right="709"/>
        <w:jc w:val="both"/>
        <w:rPr>
          <w:rFonts w:ascii="Verdana" w:hAnsi="Verdana" w:cs="Arial"/>
          <w:sz w:val="20"/>
          <w:szCs w:val="20"/>
        </w:rPr>
      </w:pPr>
      <w:r w:rsidRPr="002D24F4">
        <w:rPr>
          <w:rFonts w:ascii="Verdana" w:hAnsi="Verdana" w:cs="Arial"/>
          <w:sz w:val="20"/>
          <w:szCs w:val="20"/>
        </w:rPr>
        <w:t>En ningún caso estos contratos generan relación laboral ni prestaciones sociales y se celebrarán por el término estrictamente indispensable”.</w:t>
      </w:r>
    </w:p>
    <w:p w14:paraId="75FDB084" w14:textId="77777777" w:rsidR="002B0069" w:rsidRPr="00152466" w:rsidRDefault="002B0069" w:rsidP="002B0069">
      <w:pPr>
        <w:widowControl w:val="0"/>
        <w:autoSpaceDE w:val="0"/>
        <w:autoSpaceDN w:val="0"/>
        <w:spacing w:after="0" w:line="276" w:lineRule="auto"/>
        <w:ind w:firstLine="709"/>
        <w:jc w:val="both"/>
        <w:rPr>
          <w:rFonts w:ascii="Verdana" w:hAnsi="Verdana" w:cs="Arial"/>
        </w:rPr>
      </w:pPr>
    </w:p>
    <w:p w14:paraId="2069B084" w14:textId="77777777" w:rsidR="002B0069" w:rsidRDefault="002B0069" w:rsidP="002B0069">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De otro lado, la celebración de dicho contrato se debe efectuar a través de la modalidad de la contratación directa. Así lo prevé el artículo 2, numeral 4º, </w:t>
      </w:r>
      <w:r w:rsidRPr="00152466">
        <w:rPr>
          <w:rFonts w:ascii="Verdana" w:hAnsi="Verdana" w:cs="Arial"/>
        </w:rPr>
        <w:lastRenderedPageBreak/>
        <w:t>literal h), de la Ley 1150 de 2007, que dispone:</w:t>
      </w:r>
    </w:p>
    <w:p w14:paraId="11A58103" w14:textId="77777777" w:rsidR="002B0069" w:rsidRPr="002D24F4" w:rsidRDefault="002B0069" w:rsidP="002B0069">
      <w:pPr>
        <w:widowControl w:val="0"/>
        <w:autoSpaceDE w:val="0"/>
        <w:autoSpaceDN w:val="0"/>
        <w:spacing w:after="0" w:line="240" w:lineRule="auto"/>
        <w:ind w:left="709" w:right="709"/>
        <w:jc w:val="both"/>
        <w:rPr>
          <w:rFonts w:ascii="Verdana" w:hAnsi="Verdana" w:cs="Arial"/>
          <w:sz w:val="20"/>
          <w:szCs w:val="20"/>
        </w:rPr>
      </w:pPr>
      <w:r w:rsidRPr="002D24F4">
        <w:rPr>
          <w:rFonts w:ascii="Verdana" w:hAnsi="Verdana" w:cs="Arial"/>
          <w:sz w:val="20"/>
          <w:szCs w:val="20"/>
        </w:rPr>
        <w:t>“[…] Contratación directa. La modalidad de selección de contratación directa solamente procederá en los siguientes casos:</w:t>
      </w:r>
    </w:p>
    <w:p w14:paraId="15530764" w14:textId="77777777" w:rsidR="002B0069" w:rsidRPr="002D24F4" w:rsidRDefault="002B0069" w:rsidP="002B0069">
      <w:pPr>
        <w:widowControl w:val="0"/>
        <w:autoSpaceDE w:val="0"/>
        <w:autoSpaceDN w:val="0"/>
        <w:spacing w:after="0" w:line="240" w:lineRule="auto"/>
        <w:ind w:left="709" w:right="709"/>
        <w:jc w:val="both"/>
        <w:rPr>
          <w:rFonts w:ascii="Verdana" w:hAnsi="Verdana" w:cs="Arial"/>
          <w:sz w:val="20"/>
          <w:szCs w:val="20"/>
        </w:rPr>
      </w:pPr>
    </w:p>
    <w:p w14:paraId="2D4F3CC1" w14:textId="77777777" w:rsidR="002B0069" w:rsidRPr="002D24F4" w:rsidRDefault="002B0069" w:rsidP="002B0069">
      <w:pPr>
        <w:widowControl w:val="0"/>
        <w:autoSpaceDE w:val="0"/>
        <w:autoSpaceDN w:val="0"/>
        <w:spacing w:after="0" w:line="240" w:lineRule="auto"/>
        <w:ind w:left="709" w:right="709"/>
        <w:jc w:val="both"/>
        <w:rPr>
          <w:rFonts w:ascii="Verdana" w:hAnsi="Verdana" w:cs="Arial"/>
          <w:sz w:val="20"/>
          <w:szCs w:val="20"/>
        </w:rPr>
      </w:pPr>
      <w:r w:rsidRPr="002D24F4">
        <w:rPr>
          <w:rFonts w:ascii="Verdana" w:hAnsi="Verdana" w:cs="Arial"/>
          <w:sz w:val="20"/>
          <w:szCs w:val="20"/>
        </w:rPr>
        <w:t>[…]</w:t>
      </w:r>
    </w:p>
    <w:p w14:paraId="53DA7F25" w14:textId="77777777" w:rsidR="002B0069" w:rsidRPr="002D24F4" w:rsidRDefault="002B0069" w:rsidP="002B0069">
      <w:pPr>
        <w:widowControl w:val="0"/>
        <w:autoSpaceDE w:val="0"/>
        <w:autoSpaceDN w:val="0"/>
        <w:spacing w:after="0" w:line="240" w:lineRule="auto"/>
        <w:ind w:left="709" w:right="709"/>
        <w:jc w:val="both"/>
        <w:rPr>
          <w:rFonts w:ascii="Verdana" w:hAnsi="Verdana" w:cs="Arial"/>
          <w:sz w:val="20"/>
          <w:szCs w:val="20"/>
        </w:rPr>
      </w:pPr>
      <w:r w:rsidRPr="002D24F4">
        <w:rPr>
          <w:rFonts w:ascii="Verdana" w:hAnsi="Verdana" w:cs="Arial"/>
          <w:sz w:val="20"/>
          <w:szCs w:val="20"/>
        </w:rPr>
        <w:t>h) Para la prestación de servicios profesionales y de apoyo a la gestión, o para la ejecución de trabajos artísticos que sólo puedan encomendarse a determinadas personas naturales; […]”.</w:t>
      </w:r>
    </w:p>
    <w:p w14:paraId="004C8FC7" w14:textId="77777777" w:rsidR="002B0069" w:rsidRDefault="002B0069" w:rsidP="002B0069">
      <w:pPr>
        <w:widowControl w:val="0"/>
        <w:autoSpaceDE w:val="0"/>
        <w:autoSpaceDN w:val="0"/>
        <w:spacing w:after="0" w:line="240" w:lineRule="auto"/>
        <w:ind w:left="709" w:right="709"/>
        <w:jc w:val="both"/>
        <w:rPr>
          <w:rFonts w:ascii="Verdana" w:hAnsi="Verdana" w:cs="Arial"/>
          <w:sz w:val="21"/>
          <w:szCs w:val="21"/>
        </w:rPr>
      </w:pPr>
    </w:p>
    <w:p w14:paraId="143476E6" w14:textId="77777777" w:rsidR="002B0069" w:rsidRPr="00152466" w:rsidRDefault="002B0069" w:rsidP="002B0069">
      <w:pPr>
        <w:widowControl w:val="0"/>
        <w:autoSpaceDE w:val="0"/>
        <w:autoSpaceDN w:val="0"/>
        <w:spacing w:after="120" w:line="276" w:lineRule="auto"/>
        <w:ind w:firstLine="709"/>
        <w:jc w:val="both"/>
        <w:rPr>
          <w:rFonts w:ascii="Verdana" w:hAnsi="Verdana" w:cs="Arial"/>
        </w:rPr>
      </w:pPr>
      <w:r w:rsidRPr="00152466">
        <w:rPr>
          <w:rFonts w:ascii="Verdana" w:hAnsi="Verdana" w:cs="Arial"/>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r>
        <w:rPr>
          <w:rFonts w:ascii="Verdana" w:hAnsi="Verdana" w:cs="Arial"/>
        </w:rPr>
        <w:t>, entre otras</w:t>
      </w:r>
      <w:r w:rsidRPr="00152466">
        <w:rPr>
          <w:rFonts w:ascii="Verdana" w:hAnsi="Verdana" w:cs="Arial"/>
        </w:rPr>
        <w:t>:</w:t>
      </w:r>
    </w:p>
    <w:p w14:paraId="3BC21279" w14:textId="77777777" w:rsidR="002B0069" w:rsidRPr="00342512" w:rsidRDefault="002B0069" w:rsidP="002B0069">
      <w:pPr>
        <w:tabs>
          <w:tab w:val="left" w:pos="3276"/>
        </w:tabs>
        <w:spacing w:before="120" w:after="120" w:line="276" w:lineRule="auto"/>
        <w:ind w:firstLine="709"/>
        <w:jc w:val="both"/>
        <w:rPr>
          <w:rFonts w:ascii="Verdana" w:eastAsia="Calibri" w:hAnsi="Verdana" w:cs="Arial"/>
          <w:color w:val="000000"/>
        </w:rPr>
      </w:pPr>
      <w:r>
        <w:rPr>
          <w:rFonts w:ascii="Verdana" w:eastAsia="Calibri" w:hAnsi="Verdana" w:cs="Arial"/>
          <w:color w:val="000000"/>
        </w:rPr>
        <w:t>a</w:t>
      </w:r>
      <w:r w:rsidRPr="00342512">
        <w:rPr>
          <w:rFonts w:ascii="Verdana" w:eastAsia="Calibri" w:hAnsi="Verdana" w:cs="Arial"/>
          <w:color w:val="000000"/>
        </w:rPr>
        <w:t xml:space="preserve">) Solo puede celebrarse para realizar </w:t>
      </w:r>
      <w:r>
        <w:rPr>
          <w:rFonts w:ascii="Verdana" w:eastAsia="Calibri" w:hAnsi="Verdana" w:cs="Arial"/>
          <w:color w:val="000000"/>
        </w:rPr>
        <w:t>“</w:t>
      </w:r>
      <w:r w:rsidRPr="00342512">
        <w:rPr>
          <w:rFonts w:ascii="Verdana" w:eastAsia="Calibri" w:hAnsi="Verdana" w:cs="Arial"/>
          <w:color w:val="000000"/>
        </w:rPr>
        <w:t>actividades relacionadas con la administración o funcionamiento de la entidad</w:t>
      </w:r>
      <w:r>
        <w:rPr>
          <w:rFonts w:ascii="Verdana" w:eastAsia="Calibri" w:hAnsi="Verdana" w:cs="Arial"/>
          <w:color w:val="000000"/>
        </w:rPr>
        <w:t>”</w:t>
      </w:r>
      <w:r w:rsidRPr="00342512">
        <w:rPr>
          <w:rFonts w:ascii="Verdana" w:eastAsia="Calibri" w:hAnsi="Verdana" w:cs="Arial"/>
          <w:color w:val="000000"/>
        </w:rPr>
        <w:t>, es decir, que hagan parte de su giro ordinario o quehacer cotidiano.</w:t>
      </w:r>
    </w:p>
    <w:p w14:paraId="1F4B87A7" w14:textId="77777777" w:rsidR="002B0069" w:rsidRDefault="002B0069" w:rsidP="002B0069">
      <w:pPr>
        <w:tabs>
          <w:tab w:val="left" w:pos="3276"/>
        </w:tabs>
        <w:spacing w:before="120" w:after="120" w:line="276" w:lineRule="auto"/>
        <w:ind w:firstLine="709"/>
        <w:jc w:val="both"/>
        <w:rPr>
          <w:rFonts w:ascii="Verdana" w:eastAsia="Calibri" w:hAnsi="Verdana" w:cs="Arial"/>
          <w:color w:val="000000"/>
        </w:rPr>
      </w:pPr>
      <w:r>
        <w:rPr>
          <w:rFonts w:ascii="Verdana" w:eastAsia="Calibri" w:hAnsi="Verdana" w:cs="Arial"/>
          <w:color w:val="000000"/>
        </w:rPr>
        <w:t>b</w:t>
      </w:r>
      <w:r w:rsidRPr="00342512">
        <w:rPr>
          <w:rFonts w:ascii="Verdana" w:eastAsia="Calibri" w:hAnsi="Verdana" w:cs="Arial"/>
          <w:color w:val="000000"/>
        </w:rPr>
        <w:t xml:space="preserve">) </w:t>
      </w:r>
      <w:r w:rsidRPr="00280BA2">
        <w:rPr>
          <w:rFonts w:ascii="Verdana" w:eastAsia="Calibri" w:hAnsi="Verdana" w:cs="Arial"/>
          <w:color w:val="000000"/>
        </w:rPr>
        <w:t>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w:t>
      </w:r>
      <w:r>
        <w:rPr>
          <w:rFonts w:ascii="Verdana" w:eastAsia="Calibri" w:hAnsi="Verdana" w:cs="Arial"/>
          <w:color w:val="000000"/>
        </w:rPr>
        <w:t xml:space="preserve"> </w:t>
      </w:r>
      <w:r w:rsidRPr="00EB0B6A">
        <w:rPr>
          <w:rFonts w:ascii="Verdana" w:eastAsia="Calibri" w:hAnsi="Verdana" w:cs="Arial"/>
          <w:color w:val="000000"/>
        </w:rPr>
        <w:t>servicios de una persona natural que posea conocimiento y experiencia en el tema.</w:t>
      </w:r>
    </w:p>
    <w:p w14:paraId="2F9FD99A" w14:textId="77777777" w:rsidR="002B0069" w:rsidRDefault="002B0069" w:rsidP="002B0069">
      <w:pPr>
        <w:tabs>
          <w:tab w:val="left" w:pos="3276"/>
        </w:tabs>
        <w:spacing w:before="120" w:after="120" w:line="276" w:lineRule="auto"/>
        <w:ind w:firstLine="709"/>
        <w:jc w:val="both"/>
        <w:rPr>
          <w:rFonts w:ascii="Verdana" w:eastAsia="Calibri" w:hAnsi="Verdana" w:cs="Arial"/>
          <w:color w:val="000000"/>
        </w:rPr>
      </w:pPr>
      <w:r>
        <w:rPr>
          <w:rFonts w:ascii="Verdana" w:eastAsia="Calibri" w:hAnsi="Verdana" w:cs="Arial"/>
          <w:color w:val="000000"/>
        </w:rPr>
        <w:t xml:space="preserve">c) </w:t>
      </w:r>
      <w:r w:rsidRPr="00EB0B6A">
        <w:rPr>
          <w:rFonts w:ascii="Verdana" w:eastAsia="Calibri" w:hAnsi="Verdana" w:cs="Arial"/>
          <w:color w:val="000000"/>
        </w:rPr>
        <w:t>Si bien se celebran para obtener la prestación personal de un servicio, se diferencian del contrato de trabajo</w:t>
      </w:r>
      <w:r>
        <w:rPr>
          <w:rStyle w:val="Refdenotaalpie"/>
          <w:rFonts w:ascii="Verdana" w:eastAsia="Calibri" w:hAnsi="Verdana" w:cs="Arial"/>
          <w:color w:val="000000"/>
        </w:rPr>
        <w:footnoteReference w:id="1"/>
      </w:r>
      <w:r w:rsidRPr="00EB0B6A">
        <w:rPr>
          <w:rFonts w:ascii="Verdana" w:eastAsia="Calibri" w:hAnsi="Verdana" w:cs="Arial"/>
          <w:color w:val="000000"/>
        </w:rPr>
        <w:t xml:space="preserve"> en que quien celebra el contrato de prestación de servicios profesionales debe mantener autonomía e independencia </w:t>
      </w:r>
      <w:r w:rsidRPr="00EB0B6A">
        <w:rPr>
          <w:rFonts w:ascii="Verdana" w:eastAsia="Calibri" w:hAnsi="Verdana" w:cs="Arial"/>
          <w:color w:val="000000"/>
        </w:rPr>
        <w:lastRenderedPageBreak/>
        <w:t>en la ejecución de la labor, lo que significa que no puede existir la subordinación y dependencia, que es uno de los elementos constitutivos del vínculo laboral.</w:t>
      </w:r>
    </w:p>
    <w:p w14:paraId="226BAACF" w14:textId="77777777" w:rsidR="002B0069" w:rsidRPr="00275481" w:rsidRDefault="002B0069" w:rsidP="002B0069">
      <w:pPr>
        <w:tabs>
          <w:tab w:val="left" w:pos="3276"/>
        </w:tabs>
        <w:spacing w:before="120" w:after="120" w:line="276" w:lineRule="auto"/>
        <w:ind w:firstLine="709"/>
        <w:jc w:val="both"/>
        <w:rPr>
          <w:rFonts w:ascii="Verdana" w:eastAsia="Calibri" w:hAnsi="Verdana" w:cs="Arial"/>
          <w:color w:val="000000"/>
        </w:rPr>
      </w:pPr>
      <w:r w:rsidRPr="00275481">
        <w:rPr>
          <w:rFonts w:ascii="Verdana" w:eastAsia="Calibri" w:hAnsi="Verdana" w:cs="Arial"/>
          <w:color w:val="000000"/>
        </w:rPr>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17849414" w14:textId="77777777" w:rsidR="002B0069" w:rsidRDefault="002B0069" w:rsidP="002B0069">
      <w:pPr>
        <w:tabs>
          <w:tab w:val="left" w:pos="3276"/>
        </w:tabs>
        <w:spacing w:before="120" w:after="120" w:line="276" w:lineRule="auto"/>
        <w:ind w:firstLine="709"/>
        <w:jc w:val="both"/>
        <w:rPr>
          <w:rFonts w:ascii="Verdana" w:eastAsia="Calibri" w:hAnsi="Verdana" w:cs="Arial"/>
          <w:color w:val="000000"/>
        </w:rPr>
      </w:pPr>
      <w:r w:rsidRPr="00275481">
        <w:rPr>
          <w:rFonts w:ascii="Verdana" w:eastAsia="Calibri" w:hAnsi="Verdana" w:cs="Arial"/>
          <w:color w:val="000000"/>
        </w:rPr>
        <w:t>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Pr>
          <w:rStyle w:val="Refdenotaalpie"/>
          <w:rFonts w:ascii="Verdana" w:eastAsia="Calibri" w:hAnsi="Verdana" w:cs="Arial"/>
          <w:color w:val="000000"/>
        </w:rPr>
        <w:footnoteReference w:id="2"/>
      </w:r>
      <w:r w:rsidRPr="00275481">
        <w:rPr>
          <w:rFonts w:ascii="Verdana" w:eastAsia="Calibri" w:hAnsi="Verdana" w:cs="Arial"/>
          <w:color w:val="000000"/>
        </w:rPr>
        <w:t>.</w:t>
      </w:r>
    </w:p>
    <w:p w14:paraId="543184AD" w14:textId="77777777" w:rsidR="002B0069" w:rsidRPr="004046D6" w:rsidRDefault="002B0069" w:rsidP="002B0069">
      <w:pPr>
        <w:tabs>
          <w:tab w:val="left" w:pos="3276"/>
        </w:tabs>
        <w:spacing w:before="120" w:after="120" w:line="276" w:lineRule="auto"/>
        <w:ind w:firstLine="709"/>
        <w:jc w:val="both"/>
        <w:rPr>
          <w:rFonts w:ascii="Verdana" w:eastAsia="Calibri" w:hAnsi="Verdana" w:cs="Arial"/>
          <w:color w:val="000000"/>
        </w:rPr>
      </w:pPr>
      <w:r w:rsidRPr="004046D6">
        <w:rPr>
          <w:rFonts w:ascii="Verdana" w:eastAsia="Calibri" w:hAnsi="Verdana" w:cs="Arial"/>
          <w:color w:val="000000"/>
        </w:rPr>
        <w:t>d) Deben ser temporales. La Sentencia de Unificación Jurisprudencial de 09 de septiembre de 2021, proferida por el Consejo de Estado</w:t>
      </w:r>
      <w:r w:rsidRPr="001D16CA">
        <w:rPr>
          <w:rStyle w:val="Refdenotaalpie"/>
          <w:rFonts w:ascii="Verdana" w:eastAsia="Calibri" w:hAnsi="Verdana" w:cs="Arial"/>
          <w:color w:val="000000"/>
        </w:rPr>
        <w:footnoteReference w:id="3"/>
      </w:r>
      <w:r w:rsidRPr="004046D6">
        <w:rPr>
          <w:rFonts w:ascii="Verdana" w:eastAsia="Calibri" w:hAnsi="Verdana" w:cs="Arial"/>
          <w:color w:val="000000"/>
        </w:rPr>
        <w:t xml:space="preserve">, frente a la 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w:t>
      </w:r>
      <w:r w:rsidRPr="004046D6">
        <w:rPr>
          <w:rFonts w:ascii="Verdana" w:eastAsia="Calibri" w:hAnsi="Verdana" w:cs="Arial"/>
          <w:color w:val="000000"/>
        </w:rPr>
        <w:lastRenderedPageBreak/>
        <w:t xml:space="preserve">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w:t>
      </w:r>
    </w:p>
    <w:p w14:paraId="0ABBD0A5" w14:textId="77777777" w:rsidR="002B0069" w:rsidRDefault="002B0069" w:rsidP="002B0069">
      <w:pPr>
        <w:tabs>
          <w:tab w:val="left" w:pos="3276"/>
        </w:tabs>
        <w:spacing w:before="120" w:after="120" w:line="276" w:lineRule="auto"/>
        <w:ind w:firstLine="709"/>
        <w:jc w:val="both"/>
        <w:rPr>
          <w:rFonts w:ascii="Verdana" w:eastAsia="Calibri" w:hAnsi="Verdana" w:cs="Arial"/>
          <w:color w:val="000000"/>
        </w:rPr>
      </w:pPr>
      <w:r w:rsidRPr="004046D6">
        <w:rPr>
          <w:rFonts w:ascii="Verdana" w:eastAsia="Calibri" w:hAnsi="Verdana" w:cs="Arial"/>
          <w:color w:val="000000"/>
        </w:rPr>
        <w:t>De forma similar, se manifestó la Corte Constitucional, en la sentencia C-154 de 1997, expresando que:</w:t>
      </w:r>
    </w:p>
    <w:p w14:paraId="623FFDB7" w14:textId="77777777" w:rsidR="002B0069" w:rsidRPr="00AA762B" w:rsidRDefault="002B0069" w:rsidP="002B0069">
      <w:pPr>
        <w:tabs>
          <w:tab w:val="left" w:pos="3276"/>
        </w:tabs>
        <w:spacing w:before="120" w:after="120" w:line="276" w:lineRule="auto"/>
        <w:ind w:left="851" w:right="900"/>
        <w:jc w:val="both"/>
        <w:rPr>
          <w:rFonts w:ascii="Verdana" w:eastAsia="Calibri" w:hAnsi="Verdana" w:cs="Arial"/>
          <w:color w:val="000000"/>
          <w:sz w:val="20"/>
          <w:szCs w:val="20"/>
        </w:rPr>
      </w:pPr>
      <w:r w:rsidRPr="00AA762B">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Pr>
          <w:rStyle w:val="Refdenotaalpie"/>
          <w:rFonts w:ascii="Verdana" w:eastAsia="Calibri" w:hAnsi="Verdana" w:cs="Arial"/>
          <w:color w:val="000000"/>
          <w:sz w:val="20"/>
          <w:szCs w:val="20"/>
        </w:rPr>
        <w:footnoteReference w:id="4"/>
      </w:r>
      <w:r w:rsidRPr="00AA762B">
        <w:rPr>
          <w:rFonts w:ascii="Verdana" w:eastAsia="Calibri" w:hAnsi="Verdana" w:cs="Arial"/>
          <w:color w:val="000000"/>
          <w:sz w:val="20"/>
          <w:szCs w:val="20"/>
        </w:rPr>
        <w:t>.</w:t>
      </w:r>
    </w:p>
    <w:p w14:paraId="4BF54306" w14:textId="77777777" w:rsidR="002B0069" w:rsidRPr="00096516" w:rsidRDefault="002B0069" w:rsidP="002B0069">
      <w:pPr>
        <w:tabs>
          <w:tab w:val="left" w:pos="3276"/>
        </w:tabs>
        <w:spacing w:before="120" w:after="120" w:line="276" w:lineRule="auto"/>
        <w:ind w:firstLine="709"/>
        <w:jc w:val="both"/>
        <w:rPr>
          <w:rFonts w:ascii="Verdana" w:eastAsia="Calibri" w:hAnsi="Verdana" w:cs="Arial"/>
          <w:color w:val="000000"/>
        </w:rPr>
      </w:pPr>
      <w:r w:rsidRPr="00662F3F">
        <w:rPr>
          <w:rFonts w:ascii="Verdana" w:eastAsia="Calibri" w:hAnsi="Verdana" w:cs="Arial"/>
          <w:color w:val="000000"/>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Pr>
          <w:rStyle w:val="Refdenotaalpie"/>
          <w:rFonts w:ascii="Verdana" w:eastAsia="Calibri" w:hAnsi="Verdana" w:cs="Arial"/>
          <w:color w:val="000000"/>
        </w:rPr>
        <w:footnoteReference w:id="5"/>
      </w:r>
      <w:r w:rsidRPr="00662F3F">
        <w:rPr>
          <w:rFonts w:ascii="Verdana" w:eastAsia="Calibri" w:hAnsi="Verdana" w:cs="Arial"/>
          <w:color w:val="000000"/>
        </w:rPr>
        <w:t>. La diferencia entre el contrato de prestación de servicios</w:t>
      </w:r>
      <w:r>
        <w:rPr>
          <w:rFonts w:ascii="Verdana" w:eastAsia="Calibri" w:hAnsi="Verdana" w:cs="Arial"/>
          <w:color w:val="000000"/>
        </w:rPr>
        <w:t xml:space="preserve"> </w:t>
      </w:r>
      <w:r w:rsidRPr="00096516">
        <w:rPr>
          <w:rFonts w:ascii="Verdana" w:eastAsia="Calibri" w:hAnsi="Verdana" w:cs="Arial"/>
          <w:color w:val="000000"/>
        </w:rPr>
        <w:t xml:space="preserve">profesionales con las otras dos especies del género en el cual se ubican radica </w:t>
      </w:r>
      <w:r>
        <w:rPr>
          <w:rFonts w:ascii="Verdana" w:eastAsia="Calibri" w:hAnsi="Verdana" w:cs="Arial"/>
          <w:color w:val="000000"/>
        </w:rPr>
        <w:lastRenderedPageBreak/>
        <w:t>e</w:t>
      </w:r>
      <w:r w:rsidRPr="00096516">
        <w:rPr>
          <w:rFonts w:ascii="Verdana" w:eastAsia="Calibri" w:hAnsi="Verdana" w:cs="Arial"/>
          <w:color w:val="000000"/>
        </w:rPr>
        <w:t>n su contenido intelectual intangible y, al mismo tiempo, en la formación profesional que se exige para desempeñar la labor</w:t>
      </w:r>
      <w:r>
        <w:rPr>
          <w:rStyle w:val="Refdenotaalpie"/>
          <w:rFonts w:ascii="Verdana" w:eastAsia="Calibri" w:hAnsi="Verdana" w:cs="Arial"/>
          <w:color w:val="000000"/>
        </w:rPr>
        <w:footnoteReference w:id="6"/>
      </w:r>
      <w:r w:rsidRPr="00096516">
        <w:rPr>
          <w:rFonts w:ascii="Verdana" w:eastAsia="Calibri" w:hAnsi="Verdana" w:cs="Arial"/>
          <w:color w:val="000000"/>
        </w:rPr>
        <w:t xml:space="preserve">. </w:t>
      </w:r>
    </w:p>
    <w:p w14:paraId="1B192C73" w14:textId="77777777" w:rsidR="002B0069" w:rsidRPr="00096516" w:rsidRDefault="002B0069" w:rsidP="002B0069">
      <w:pPr>
        <w:tabs>
          <w:tab w:val="left" w:pos="3276"/>
        </w:tabs>
        <w:spacing w:before="120" w:after="120" w:line="276" w:lineRule="auto"/>
        <w:ind w:firstLine="709"/>
        <w:jc w:val="both"/>
        <w:rPr>
          <w:rFonts w:ascii="Verdana" w:eastAsia="Calibri" w:hAnsi="Verdana" w:cs="Arial"/>
          <w:color w:val="000000"/>
        </w:rPr>
      </w:pPr>
      <w:r w:rsidRPr="00096516">
        <w:rPr>
          <w:rFonts w:ascii="Verdana" w:eastAsia="Calibri" w:hAnsi="Verdana" w:cs="Arial"/>
          <w:color w:val="000000"/>
        </w:rPr>
        <w:t>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general, precedido de un concurso de méritos</w:t>
      </w:r>
      <w:r>
        <w:rPr>
          <w:rStyle w:val="Refdenotaalpie"/>
          <w:rFonts w:ascii="Verdana" w:eastAsia="Calibri" w:hAnsi="Verdana" w:cs="Arial"/>
          <w:color w:val="000000"/>
        </w:rPr>
        <w:footnoteReference w:id="7"/>
      </w:r>
      <w:r w:rsidRPr="00096516">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096516">
        <w:rPr>
          <w:rFonts w:ascii="Verdana" w:eastAsia="Calibri" w:hAnsi="Verdana" w:cs="Arial"/>
          <w:color w:val="000000"/>
        </w:rPr>
        <w:t>se enmarcan dentro de</w:t>
      </w:r>
      <w:proofErr w:type="gramEnd"/>
      <w:r w:rsidRPr="00096516">
        <w:rPr>
          <w:rFonts w:ascii="Verdana" w:eastAsia="Calibri" w:hAnsi="Verdana" w:cs="Arial"/>
          <w:color w:val="000000"/>
        </w:rPr>
        <w:t xml:space="preserve"> los otros contratos tipificados en el artículo 32 de la Ley 80 de 1993, como, por ejemplo, para que el contratista de prestación de servicios construya una obra. </w:t>
      </w:r>
    </w:p>
    <w:p w14:paraId="2FCB0781" w14:textId="77777777" w:rsidR="002B0069" w:rsidRDefault="002B0069" w:rsidP="002B0069">
      <w:pPr>
        <w:tabs>
          <w:tab w:val="left" w:pos="3276"/>
        </w:tabs>
        <w:spacing w:before="120" w:after="120" w:line="276" w:lineRule="auto"/>
        <w:ind w:firstLine="709"/>
        <w:jc w:val="both"/>
        <w:rPr>
          <w:rFonts w:ascii="Verdana" w:eastAsia="Calibri" w:hAnsi="Verdana" w:cs="Arial"/>
          <w:color w:val="000000"/>
        </w:rPr>
      </w:pPr>
      <w:r w:rsidRPr="00096516">
        <w:rPr>
          <w:rFonts w:ascii="Verdana" w:eastAsia="Calibri" w:hAnsi="Verdana" w:cs="Arial"/>
          <w:color w:val="000000"/>
        </w:rPr>
        <w:t>g) Para su celebración no se requiere en algunos casos la expedición del acto administrativo de justificación de la contratación directa</w:t>
      </w:r>
      <w:r>
        <w:rPr>
          <w:rStyle w:val="Refdenotaalpie"/>
          <w:rFonts w:ascii="Verdana" w:eastAsia="Calibri" w:hAnsi="Verdana" w:cs="Arial"/>
          <w:color w:val="000000"/>
        </w:rPr>
        <w:footnoteReference w:id="8"/>
      </w:r>
      <w:r w:rsidRPr="00096516">
        <w:rPr>
          <w:rFonts w:ascii="Verdana" w:eastAsia="Calibri" w:hAnsi="Verdana" w:cs="Arial"/>
          <w:color w:val="000000"/>
        </w:rPr>
        <w:t>.</w:t>
      </w:r>
    </w:p>
    <w:p w14:paraId="1AEB9D88" w14:textId="77777777" w:rsidR="002B0069" w:rsidRPr="00D4576A" w:rsidRDefault="002B0069" w:rsidP="002B0069">
      <w:pPr>
        <w:tabs>
          <w:tab w:val="left" w:pos="3276"/>
        </w:tabs>
        <w:spacing w:before="120" w:after="120" w:line="276" w:lineRule="auto"/>
        <w:ind w:firstLine="709"/>
        <w:jc w:val="both"/>
        <w:rPr>
          <w:rFonts w:ascii="Verdana" w:eastAsia="Calibri" w:hAnsi="Verdana" w:cs="Arial"/>
          <w:color w:val="000000"/>
        </w:rPr>
      </w:pPr>
      <w:r w:rsidRPr="00D4576A">
        <w:rPr>
          <w:rFonts w:ascii="Verdana" w:eastAsia="Calibri" w:hAnsi="Verdana" w:cs="Arial"/>
          <w:color w:val="000000"/>
        </w:rPr>
        <w:t xml:space="preserve">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w:t>
      </w:r>
      <w:r w:rsidRPr="00D4576A">
        <w:rPr>
          <w:rFonts w:ascii="Verdana" w:eastAsia="Calibri" w:hAnsi="Verdana" w:cs="Arial"/>
          <w:color w:val="000000"/>
        </w:rPr>
        <w:lastRenderedPageBreak/>
        <w:t>pactadas por naturaleza. Así se infiere del artículo 14, numeral 2º, de la Ley 80 de 1993</w:t>
      </w:r>
      <w:r>
        <w:rPr>
          <w:rStyle w:val="Refdenotaalpie"/>
          <w:rFonts w:ascii="Verdana" w:eastAsia="Calibri" w:hAnsi="Verdana" w:cs="Arial"/>
          <w:color w:val="000000"/>
        </w:rPr>
        <w:footnoteReference w:id="9"/>
      </w:r>
      <w:r w:rsidRPr="00D4576A">
        <w:rPr>
          <w:rFonts w:ascii="Verdana" w:eastAsia="Calibri" w:hAnsi="Verdana" w:cs="Arial"/>
          <w:color w:val="000000"/>
        </w:rPr>
        <w:t xml:space="preserve">. </w:t>
      </w:r>
    </w:p>
    <w:p w14:paraId="5C0730B0" w14:textId="77777777" w:rsidR="002B0069" w:rsidRPr="00D4576A" w:rsidRDefault="002B0069" w:rsidP="002B0069">
      <w:pPr>
        <w:tabs>
          <w:tab w:val="left" w:pos="3276"/>
        </w:tabs>
        <w:spacing w:before="120" w:after="120" w:line="276" w:lineRule="auto"/>
        <w:ind w:firstLine="709"/>
        <w:jc w:val="both"/>
        <w:rPr>
          <w:rFonts w:ascii="Verdana" w:eastAsia="Calibri" w:hAnsi="Verdana" w:cs="Arial"/>
          <w:color w:val="000000"/>
        </w:rPr>
      </w:pPr>
      <w:r w:rsidRPr="00D4576A">
        <w:rPr>
          <w:rFonts w:ascii="Verdana" w:eastAsia="Calibri" w:hAnsi="Verdana" w:cs="Arial"/>
          <w:color w:val="000000"/>
        </w:rPr>
        <w:t>i) No es obligatoria la liquidación de estos contratos, pues así lo estableció el artículo 217 del Decreto 019 de 2012, que modificó el artículo 60 de la Ley 80 de 1993</w:t>
      </w:r>
      <w:r>
        <w:rPr>
          <w:rStyle w:val="Refdenotaalpie"/>
          <w:rFonts w:ascii="Verdana" w:eastAsia="Calibri" w:hAnsi="Verdana" w:cs="Arial"/>
          <w:color w:val="000000"/>
        </w:rPr>
        <w:footnoteReference w:id="10"/>
      </w:r>
      <w:r w:rsidRPr="00D4576A">
        <w:rPr>
          <w:rFonts w:ascii="Verdana" w:eastAsia="Calibri" w:hAnsi="Verdana" w:cs="Arial"/>
          <w:color w:val="000000"/>
        </w:rPr>
        <w:t xml:space="preserve">. </w:t>
      </w:r>
    </w:p>
    <w:p w14:paraId="1AE3B851" w14:textId="77777777" w:rsidR="002B0069" w:rsidRPr="00D4576A" w:rsidRDefault="002B0069" w:rsidP="002B0069">
      <w:pPr>
        <w:tabs>
          <w:tab w:val="left" w:pos="3276"/>
        </w:tabs>
        <w:spacing w:before="120" w:after="120" w:line="276" w:lineRule="auto"/>
        <w:ind w:firstLine="709"/>
        <w:jc w:val="both"/>
        <w:rPr>
          <w:rFonts w:ascii="Verdana" w:eastAsia="Calibri" w:hAnsi="Verdana" w:cs="Arial"/>
          <w:color w:val="000000"/>
        </w:rPr>
      </w:pPr>
      <w:r w:rsidRPr="00D4576A">
        <w:rPr>
          <w:rFonts w:ascii="Verdana" w:eastAsia="Calibri" w:hAnsi="Verdana" w:cs="Arial"/>
          <w:color w:val="000000"/>
        </w:rPr>
        <w:t>j) Para su celebración no se requiere inscripción en el Registro Único de Proponentes (RUP), según lo prevé el artículo 6 de la Ley 1150 de 2007</w:t>
      </w:r>
      <w:r>
        <w:rPr>
          <w:rStyle w:val="Refdenotaalpie"/>
          <w:rFonts w:ascii="Verdana" w:eastAsia="Calibri" w:hAnsi="Verdana" w:cs="Arial"/>
          <w:color w:val="000000"/>
        </w:rPr>
        <w:footnoteReference w:id="11"/>
      </w:r>
      <w:r w:rsidRPr="00D4576A">
        <w:rPr>
          <w:rFonts w:ascii="Verdana" w:eastAsia="Calibri" w:hAnsi="Verdana" w:cs="Arial"/>
          <w:color w:val="000000"/>
        </w:rPr>
        <w:t xml:space="preserve">. </w:t>
      </w:r>
    </w:p>
    <w:p w14:paraId="2D22AFE1" w14:textId="77777777" w:rsidR="002B0069" w:rsidRPr="00D4576A" w:rsidRDefault="002B0069" w:rsidP="002B0069">
      <w:pPr>
        <w:tabs>
          <w:tab w:val="left" w:pos="3276"/>
        </w:tabs>
        <w:spacing w:before="120" w:after="120" w:line="276" w:lineRule="auto"/>
        <w:ind w:firstLine="709"/>
        <w:jc w:val="both"/>
        <w:rPr>
          <w:rFonts w:ascii="Verdana" w:eastAsia="Calibri" w:hAnsi="Verdana" w:cs="Arial"/>
          <w:color w:val="000000"/>
        </w:rPr>
      </w:pPr>
      <w:r>
        <w:rPr>
          <w:rFonts w:ascii="Verdana" w:eastAsia="Calibri" w:hAnsi="Verdana" w:cs="Arial"/>
          <w:color w:val="000000"/>
        </w:rPr>
        <w:t>k</w:t>
      </w:r>
      <w:r w:rsidRPr="00D4576A">
        <w:rPr>
          <w:rFonts w:ascii="Verdana" w:eastAsia="Calibri" w:hAnsi="Verdana" w:cs="Arial"/>
          <w:color w:val="000000"/>
        </w:rPr>
        <w:t>) En ellos no son necesarias las garantías</w:t>
      </w:r>
      <w:r>
        <w:rPr>
          <w:rStyle w:val="Refdenotaalpie"/>
          <w:rFonts w:ascii="Verdana" w:eastAsia="Calibri" w:hAnsi="Verdana" w:cs="Arial"/>
          <w:color w:val="000000"/>
        </w:rPr>
        <w:footnoteReference w:id="12"/>
      </w:r>
      <w:r w:rsidRPr="00D4576A">
        <w:rPr>
          <w:rFonts w:ascii="Verdana" w:eastAsia="Calibri" w:hAnsi="Verdana" w:cs="Arial"/>
          <w:color w:val="000000"/>
        </w:rPr>
        <w:t xml:space="preserve">. </w:t>
      </w:r>
    </w:p>
    <w:p w14:paraId="26C203E9" w14:textId="77777777" w:rsidR="002B0069" w:rsidRPr="00152466" w:rsidRDefault="002B0069" w:rsidP="002B0069">
      <w:pPr>
        <w:widowControl w:val="0"/>
        <w:autoSpaceDE w:val="0"/>
        <w:autoSpaceDN w:val="0"/>
        <w:spacing w:after="120" w:line="276" w:lineRule="auto"/>
        <w:ind w:firstLine="709"/>
        <w:jc w:val="both"/>
        <w:rPr>
          <w:rFonts w:ascii="Verdana" w:hAnsi="Verdana" w:cs="Arial"/>
          <w:bCs/>
          <w:color w:val="000000" w:themeColor="text1"/>
        </w:rPr>
      </w:pPr>
      <w:r w:rsidRPr="00152466">
        <w:rPr>
          <w:rFonts w:ascii="Verdana" w:hAnsi="Verdana" w:cs="Arial"/>
        </w:rPr>
        <w:t xml:space="preserve">De lo expuesto, se evidencia que el marco de los contratos de prestación de servicios es posible suscribir tres tipos de negocios jurídicos, estos son: i) los contratos de prestación de servicios profesionales; </w:t>
      </w:r>
      <w:proofErr w:type="spellStart"/>
      <w:r w:rsidRPr="00152466">
        <w:rPr>
          <w:rFonts w:ascii="Verdana" w:hAnsi="Verdana" w:cs="Arial"/>
        </w:rPr>
        <w:t>ii</w:t>
      </w:r>
      <w:proofErr w:type="spellEnd"/>
      <w:r w:rsidRPr="00152466">
        <w:rPr>
          <w:rFonts w:ascii="Verdana" w:hAnsi="Verdana" w:cs="Arial"/>
        </w:rPr>
        <w:t xml:space="preserve">) los contratos de prestación de servicios de apoyo a la gestión; y </w:t>
      </w:r>
      <w:proofErr w:type="spellStart"/>
      <w:r w:rsidRPr="00152466">
        <w:rPr>
          <w:rFonts w:ascii="Verdana" w:hAnsi="Verdana" w:cs="Arial"/>
        </w:rPr>
        <w:t>iii</w:t>
      </w:r>
      <w:proofErr w:type="spellEnd"/>
      <w:r w:rsidRPr="00152466">
        <w:rPr>
          <w:rFonts w:ascii="Verdana" w:hAnsi="Verdana" w:cs="Arial"/>
        </w:rPr>
        <w:t xml:space="preserve">) y los contratos de prestación de servicios artísticos que solo pueden encomendarse a determinadas personas naturales. En ese orden y de cara al primer interrogante de la consulta, se observa que en materia de contratación pública es jurídicamente viable sus suscribir contratos de prestación de servicios sin exigir una formación profesional para desempeñar una labor. </w:t>
      </w:r>
    </w:p>
    <w:p w14:paraId="7C1CCBD2" w14:textId="77777777" w:rsidR="002B0069" w:rsidRPr="00152466" w:rsidRDefault="002B0069" w:rsidP="002B0069">
      <w:pPr>
        <w:widowControl w:val="0"/>
        <w:autoSpaceDE w:val="0"/>
        <w:autoSpaceDN w:val="0"/>
        <w:spacing w:after="120" w:line="276" w:lineRule="auto"/>
        <w:ind w:firstLine="709"/>
        <w:jc w:val="both"/>
        <w:rPr>
          <w:rFonts w:ascii="Verdana" w:hAnsi="Verdana" w:cs="Arial"/>
          <w:bCs/>
          <w:color w:val="000000" w:themeColor="text1"/>
        </w:rPr>
      </w:pPr>
      <w:r w:rsidRPr="00152466">
        <w:rPr>
          <w:rFonts w:ascii="Verdana" w:hAnsi="Verdana" w:cs="Arial"/>
          <w:bCs/>
          <w:color w:val="000000" w:themeColor="text1"/>
        </w:rPr>
        <w:t xml:space="preserve">De acuerdo con lo anterior, y en </w:t>
      </w:r>
      <w:r w:rsidRPr="00152466">
        <w:rPr>
          <w:rFonts w:ascii="Verdana" w:eastAsia="Century Gothic" w:hAnsi="Verdana" w:cs="Century Gothic"/>
        </w:rPr>
        <w:t xml:space="preserve">atención a dar respuesta al segundo interrogante de la consulta, resulta importante hacer algunas precisiones sobre </w:t>
      </w:r>
      <w:r w:rsidRPr="00152466">
        <w:rPr>
          <w:rFonts w:ascii="Verdana" w:eastAsia="Century Gothic" w:hAnsi="Verdana" w:cs="Century Gothic"/>
        </w:rPr>
        <w:lastRenderedPageBreak/>
        <w:t>la idoneidad, supuesto indispensable para tener en cuenta por parte de las Entidades al momento de suscribir contratos, incluidos los contratos de prestación de servicios, en cualquiera de sus especies. Así las cosas, debe indicarse en primer lugar que esta hace referencia a la condición o cualidad que debe acreditar una persona ya sea natural o jurídica, a las Entidades con las que se va a celebrar el contrato y/o convenio, a fin de verificar si cuenta con la capacidad para ejecutar el objeto del contrato y con ello garantizar que se pueda cumplir a cabalidad con las obligaciones acordadas</w:t>
      </w:r>
      <w:r w:rsidRPr="00152466">
        <w:rPr>
          <w:rFonts w:ascii="Verdana" w:eastAsia="Century Gothic" w:hAnsi="Verdana" w:cs="Century Gothic"/>
          <w:vertAlign w:val="superscript"/>
        </w:rPr>
        <w:footnoteReference w:id="13"/>
      </w:r>
      <w:r w:rsidRPr="00152466">
        <w:rPr>
          <w:rFonts w:ascii="Verdana" w:eastAsia="Century Gothic" w:hAnsi="Verdana" w:cs="Century Gothic"/>
        </w:rPr>
        <w:t xml:space="preserve">. </w:t>
      </w:r>
    </w:p>
    <w:p w14:paraId="77C430BF" w14:textId="77777777" w:rsidR="002B0069" w:rsidRPr="00152466" w:rsidRDefault="002B0069" w:rsidP="002B0069">
      <w:pPr>
        <w:spacing w:after="120" w:line="276" w:lineRule="auto"/>
        <w:ind w:firstLine="709"/>
        <w:jc w:val="both"/>
        <w:rPr>
          <w:rFonts w:ascii="Verdana" w:eastAsia="Calibri" w:hAnsi="Verdana" w:cs="Arial"/>
          <w:bCs/>
          <w:color w:val="000000" w:themeColor="text1"/>
          <w:lang w:val="es-ES_tradnl"/>
        </w:rPr>
      </w:pPr>
      <w:r w:rsidRPr="00152466">
        <w:rPr>
          <w:rFonts w:ascii="Verdana" w:hAnsi="Verdana" w:cs="Arial"/>
          <w:bCs/>
          <w:color w:val="000000" w:themeColor="text1"/>
        </w:rPr>
        <w:t xml:space="preserve"> En ese orden, </w:t>
      </w:r>
      <w:r w:rsidRPr="00152466">
        <w:rPr>
          <w:rFonts w:ascii="Verdana" w:eastAsia="Calibri" w:hAnsi="Verdana" w:cs="Arial"/>
          <w:bCs/>
          <w:color w:val="000000" w:themeColor="text1"/>
          <w:lang w:val="es-ES_tradnl"/>
        </w:rPr>
        <w:t xml:space="preserve">se trata de un requisito plasmado en un </w:t>
      </w:r>
      <w:r w:rsidRPr="00152466">
        <w:rPr>
          <w:rFonts w:ascii="Verdana" w:eastAsia="Calibri" w:hAnsi="Verdana" w:cs="Arial"/>
          <w:bCs/>
          <w:i/>
          <w:iCs/>
          <w:color w:val="000000" w:themeColor="text1"/>
          <w:lang w:val="es-ES_tradnl"/>
        </w:rPr>
        <w:t>concepto jurídicamente indeterminado</w:t>
      </w:r>
      <w:r w:rsidRPr="00152466">
        <w:rPr>
          <w:rFonts w:ascii="Verdana" w:eastAsia="Calibri" w:hAnsi="Verdana" w:cs="Arial"/>
          <w:bCs/>
          <w:color w:val="000000" w:themeColor="text1"/>
          <w:lang w:val="es-ES_tradnl"/>
        </w:rPr>
        <w:t xml:space="preserve"> que es necesario dotar de contenido en cada caso concreto. Conforme al diccionario de la RAE, lo “idóneo” se refiere a que es “Adecuado y apropiado para algo”, lo que indica una serie de aptitudes para cumplir un fin determinado. Esto se confirma en el diccionario panhispánico del español jurídico, donde la RAE alude a la “</w:t>
      </w:r>
      <w:r w:rsidRPr="00152466">
        <w:rPr>
          <w:rFonts w:ascii="Verdana" w:eastAsia="Calibri" w:hAnsi="Verdana" w:cs="Arial"/>
          <w:bCs/>
          <w:i/>
          <w:iCs/>
          <w:color w:val="000000" w:themeColor="text1"/>
          <w:lang w:val="es-ES_tradnl"/>
        </w:rPr>
        <w:t>Cualidad personal necesaria para la prestación de un servicio concreto o la asunción de un cargo</w:t>
      </w:r>
      <w:r w:rsidRPr="00152466">
        <w:rPr>
          <w:rFonts w:ascii="Verdana" w:eastAsia="Calibri" w:hAnsi="Verdana" w:cs="Arial"/>
          <w:bCs/>
          <w:color w:val="000000" w:themeColor="text1"/>
          <w:lang w:val="es-ES_tradnl"/>
        </w:rPr>
        <w:t>”. Este requisito también se exige, como previamente se indicó, para la celebración de contratos de prestación de servicios profesionales y de apoyo a la gestión –art. 2.2.1.2.1.4.9 del Decreto 1082 de 2015– y para suscribir contratos del artículo 355 superior con entidades privadas sin ánimo de lucro –art. 3 del Decreto 092 de 2017–.</w:t>
      </w:r>
    </w:p>
    <w:p w14:paraId="3C8EFA29" w14:textId="77777777" w:rsidR="002B0069" w:rsidRPr="00152466" w:rsidRDefault="002B0069" w:rsidP="002B0069">
      <w:pPr>
        <w:spacing w:after="120" w:line="276" w:lineRule="auto"/>
        <w:ind w:firstLine="709"/>
        <w:jc w:val="both"/>
        <w:rPr>
          <w:rFonts w:ascii="Verdana" w:eastAsia="Calibri" w:hAnsi="Verdana" w:cs="Arial"/>
          <w:color w:val="000000" w:themeColor="text1"/>
          <w:lang w:val="es-ES"/>
        </w:rPr>
      </w:pPr>
      <w:r w:rsidRPr="225E36DA">
        <w:rPr>
          <w:rFonts w:ascii="Verdana" w:eastAsia="Calibri" w:hAnsi="Verdana" w:cs="Arial"/>
          <w:color w:val="000000" w:themeColor="text1"/>
          <w:lang w:val="es-ES"/>
        </w:rPr>
        <w:t xml:space="preserve">Dicha idoneidad, como mínimo, se precisa en términos de conocimiento y de experiencia, es decir, en la combinación entre el “saber” y el “saber hacer”. Estas capacidades se analizan en relación con el objeto del contrato, de donde se deprenden aptitudes teóricas y prácticas para ejecutar el proyecto. Además de lo anterior, puede verificarse con criterios como las capacidades del personal vinculado, una estructura organizacional robusta, la implementación y cumplimiento de indicadores de gestión, reputación del organismo en el medio, entre otras. </w:t>
      </w:r>
      <w:r w:rsidRPr="225E36DA">
        <w:rPr>
          <w:rFonts w:ascii="Verdana" w:eastAsia="Calibri" w:hAnsi="Verdana" w:cs="Arial"/>
          <w:i/>
          <w:color w:val="000000" w:themeColor="text1"/>
          <w:lang w:val="es-ES"/>
        </w:rPr>
        <w:t>Como se observa, la idoneidad es un concepto que se determina de forma valorativa, esto es, de acuerdo con el parámetro de verificación que se adopte.</w:t>
      </w:r>
      <w:r w:rsidRPr="225E36DA">
        <w:rPr>
          <w:rFonts w:ascii="Verdana" w:eastAsia="Calibri" w:hAnsi="Verdana" w:cs="Arial"/>
          <w:color w:val="000000" w:themeColor="text1"/>
          <w:lang w:val="es-ES"/>
        </w:rPr>
        <w:t xml:space="preserve"> </w:t>
      </w:r>
    </w:p>
    <w:p w14:paraId="541FCA97" w14:textId="77777777" w:rsidR="002B0069" w:rsidRPr="00152466" w:rsidRDefault="002B0069" w:rsidP="002B0069">
      <w:pPr>
        <w:spacing w:after="120" w:line="276" w:lineRule="auto"/>
        <w:ind w:firstLine="709"/>
        <w:jc w:val="both"/>
        <w:rPr>
          <w:rFonts w:ascii="Verdana" w:eastAsia="Calibri" w:hAnsi="Verdana" w:cs="Arial"/>
          <w:bCs/>
          <w:color w:val="000000" w:themeColor="text1"/>
          <w:lang w:val="es-ES_tradnl"/>
        </w:rPr>
      </w:pPr>
      <w:r w:rsidRPr="00152466">
        <w:rPr>
          <w:rFonts w:ascii="Verdana" w:eastAsia="Calibri" w:hAnsi="Verdana" w:cs="Arial"/>
          <w:bCs/>
          <w:color w:val="000000" w:themeColor="text1"/>
          <w:lang w:val="es-ES_tradnl"/>
        </w:rPr>
        <w:t xml:space="preserve">Ahora bien, la contratación de perfiles con saberes empíricos, comunitarios, ancestrales y lingüísticos conlleva a que las Entidades Estatales puedan establecer la idoneidad en términos de apropiación de los saberes </w:t>
      </w:r>
      <w:r w:rsidRPr="00152466">
        <w:rPr>
          <w:rFonts w:ascii="Verdana" w:eastAsia="Calibri" w:hAnsi="Verdana" w:cs="Arial"/>
          <w:bCs/>
          <w:color w:val="000000" w:themeColor="text1"/>
          <w:lang w:val="es-ES_tradnl"/>
        </w:rPr>
        <w:lastRenderedPageBreak/>
        <w:t xml:space="preserve">ancestrales y los beneficios de su implementación en el proyecto, así la Administración podría validarla respecto a las capacidades propias de los pueblos y comunidades o de quienes los conformen, en aspectos como, por ejemplo, la ejecución exitosa de convenios o contratos anteriores con objeto similar o la acreditación de competencias específicas del personal que integren al cumplimiento de obligaciones. </w:t>
      </w:r>
    </w:p>
    <w:p w14:paraId="62ABD892" w14:textId="77777777" w:rsidR="002B0069" w:rsidRPr="00152466" w:rsidRDefault="002B0069" w:rsidP="002B0069">
      <w:pPr>
        <w:spacing w:after="120" w:line="276" w:lineRule="auto"/>
        <w:ind w:firstLine="709"/>
        <w:jc w:val="both"/>
        <w:rPr>
          <w:rFonts w:ascii="Verdana" w:eastAsia="Calibri" w:hAnsi="Verdana" w:cs="Arial"/>
          <w:bCs/>
          <w:color w:val="000000" w:themeColor="text1"/>
        </w:rPr>
      </w:pPr>
      <w:r w:rsidRPr="00152466">
        <w:rPr>
          <w:rFonts w:ascii="Verdana" w:eastAsia="Calibri" w:hAnsi="Verdana" w:cs="Arial"/>
          <w:bCs/>
          <w:color w:val="000000" w:themeColor="text1"/>
        </w:rPr>
        <w:t xml:space="preserve">En conclusión, las Entidades Estatales tienen la obligación de verificar la idoneidad requerida para cumplir con el objeto del contrato, para lo cual resulta valido tener en cuenta </w:t>
      </w:r>
      <w:r w:rsidRPr="00152466">
        <w:rPr>
          <w:rFonts w:ascii="Verdana" w:eastAsia="Calibri" w:hAnsi="Verdana" w:cs="Arial"/>
          <w:bCs/>
          <w:color w:val="000000" w:themeColor="text1"/>
          <w:lang w:val="es-ES_tradnl"/>
        </w:rPr>
        <w:t xml:space="preserve">saberes empíricos, comunitarios, ancestrales y lingüísticos. </w:t>
      </w:r>
      <w:r w:rsidRPr="00152466">
        <w:rPr>
          <w:rFonts w:ascii="Verdana" w:eastAsia="Calibri" w:hAnsi="Verdana" w:cs="Arial"/>
          <w:bCs/>
          <w:color w:val="000000" w:themeColor="text1"/>
        </w:rPr>
        <w:t xml:space="preserve">Este supuesto, como se explicó en precedencia, será determinado y verificado por las Entidades Estatales </w:t>
      </w:r>
      <w:r w:rsidRPr="00152466">
        <w:rPr>
          <w:rFonts w:ascii="Verdana" w:hAnsi="Verdana" w:cs="Arial"/>
          <w:color w:val="000000" w:themeColor="text1"/>
        </w:rPr>
        <w:t>de acuerdo con las características, el alcance del objeto del contrato y el perfil establecido en los documentos precontractuales.</w:t>
      </w:r>
      <w:r w:rsidRPr="00152466">
        <w:rPr>
          <w:rFonts w:ascii="Verdana" w:hAnsi="Verdana" w:cs="Arial"/>
        </w:rPr>
        <w:t xml:space="preserve"> Sobre esta medida, si bien no existe una disposición en materia de contratación pública en la que se establezca de manera detallada la verificación que debe hacer cada entidad, si existen algunas disposiciones que brindan lineamientos de cómo computar la experiencia o establecer equivalencias, estos, generalmente se encuentran establecidos en resoluciones internas mediante las cuales se adoptan tablas de honorarios y se establecen requisitos mínimos de formación y experiencia que son de obligatoria observancia por cada entidad al momento de realizar la verificación.</w:t>
      </w:r>
    </w:p>
    <w:p w14:paraId="75A05172" w14:textId="77777777" w:rsidR="002B0069" w:rsidRDefault="002B0069" w:rsidP="002B0069">
      <w:pPr>
        <w:spacing w:after="120" w:line="276" w:lineRule="auto"/>
        <w:ind w:firstLine="709"/>
        <w:jc w:val="both"/>
        <w:rPr>
          <w:rFonts w:ascii="Verdana" w:eastAsia="Calibri" w:hAnsi="Verdana" w:cs="Arial"/>
          <w:bCs/>
          <w:color w:val="000000" w:themeColor="text1"/>
          <w:lang w:val="es-ES_tradnl"/>
        </w:rPr>
      </w:pPr>
      <w:r w:rsidRPr="00152466">
        <w:rPr>
          <w:rFonts w:ascii="Verdana" w:eastAsia="Calibri" w:hAnsi="Verdana" w:cs="Arial"/>
          <w:bCs/>
          <w:color w:val="000000" w:themeColor="text1"/>
          <w:lang w:val="es-ES_tradnl"/>
        </w:rPr>
        <w:t>Dado que la Agencia carece de atribuciones para hacer un juicio de validez sobre de los requisitos de idoneidad, la entidad no puede definir un criterio universal y absoluto por vía consultiva sobre el objeto de la petición, sino que brinda elementos hermenéuticos de carácter general para que los partícipes del sistema de compras y contratación pública adopten la decisión que corresponda, lo cual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alguna gestión contractual en específico, sin que sea atribución de la Agencia Nacional de Contratación Pública – Colombia Compra Eficiente validar las actuaciones adelantadas.</w:t>
      </w:r>
    </w:p>
    <w:p w14:paraId="22617EA6" w14:textId="77777777" w:rsidR="002B0069" w:rsidRPr="0059266F" w:rsidRDefault="002B0069" w:rsidP="002B0069">
      <w:pPr>
        <w:spacing w:after="120" w:line="276" w:lineRule="auto"/>
        <w:ind w:firstLine="708"/>
        <w:jc w:val="both"/>
        <w:rPr>
          <w:rFonts w:ascii="Verdana" w:eastAsia="Calibri" w:hAnsi="Verdana" w:cs="Arial"/>
        </w:rPr>
      </w:pPr>
      <w:r>
        <w:rPr>
          <w:rFonts w:ascii="Verdana" w:hAnsi="Verdana"/>
          <w:lang w:eastAsia="es-MX"/>
        </w:rPr>
        <w:t xml:space="preserve">Así las cosas, y con el propósito de responder el objeto de consulta, esta modalidad de contratación </w:t>
      </w:r>
      <w:r w:rsidRPr="0059266F">
        <w:rPr>
          <w:rFonts w:ascii="Verdana" w:hAnsi="Verdana"/>
          <w:lang w:eastAsia="es-MX"/>
        </w:rPr>
        <w:t xml:space="preserve">se efectúa mediante la modalidad de </w:t>
      </w:r>
      <w:r>
        <w:rPr>
          <w:rFonts w:ascii="Verdana" w:hAnsi="Verdana"/>
          <w:lang w:eastAsia="es-MX"/>
        </w:rPr>
        <w:t xml:space="preserve">forma </w:t>
      </w:r>
      <w:r w:rsidRPr="0059266F">
        <w:rPr>
          <w:rFonts w:ascii="Verdana" w:hAnsi="Verdana"/>
          <w:lang w:eastAsia="es-MX"/>
        </w:rPr>
        <w:t xml:space="preserve">directa, </w:t>
      </w:r>
      <w:r w:rsidRPr="0059266F">
        <w:rPr>
          <w:rFonts w:ascii="Verdana" w:hAnsi="Verdana"/>
          <w:lang w:eastAsia="es-MX"/>
        </w:rPr>
        <w:lastRenderedPageBreak/>
        <w:t xml:space="preserve">conforme al literal h) del numeral 4 del artículo 2 de la Ley 1150 de 2007. A diferencia de los procesos competitivos donde se evalúan requisitos habilitantes y se otorgan puntajes, en la contratación directa la Entidad Estatal debe verificar la idoneidad y la capacidad del contratista. En efecto, el artículo 2.2.1.2.1.4.9. del Decreto 1082 de 2015 establece que las Entidades Estatales pueden contratar bajo esta modalidad con la persona natural o jurídica que esté en capacidad de ejecutar el objeto del contrato, siempre y cuando verifiquen la idoneidad o experiencia requerida y relacionada con el área de que se trate. </w:t>
      </w:r>
      <w:r>
        <w:rPr>
          <w:rFonts w:ascii="Verdana" w:hAnsi="Verdana"/>
          <w:lang w:eastAsia="es-MX"/>
        </w:rPr>
        <w:t xml:space="preserve">Para verificar dicha idoneidad, las entidades estatales deberán fijar, en los documentos del proceso, como los estudios previos, los medios a través de los cuales el contratista debe acreditar dicha idoneidad. </w:t>
      </w:r>
    </w:p>
    <w:p w14:paraId="11446014" w14:textId="77777777" w:rsidR="002B0069" w:rsidRDefault="002B0069" w:rsidP="002B0069">
      <w:pPr>
        <w:spacing w:after="120" w:line="276" w:lineRule="auto"/>
        <w:jc w:val="both"/>
        <w:rPr>
          <w:rFonts w:ascii="Verdana" w:hAnsi="Verdana"/>
          <w:lang w:eastAsia="es-MX"/>
        </w:rPr>
      </w:pPr>
      <w:r>
        <w:rPr>
          <w:rFonts w:ascii="Verdana" w:hAnsi="Verdana"/>
          <w:lang w:eastAsia="es-MX"/>
        </w:rPr>
        <w:t xml:space="preserve">       </w:t>
      </w:r>
      <w:r w:rsidRPr="0059266F">
        <w:rPr>
          <w:rFonts w:ascii="Verdana" w:hAnsi="Verdana"/>
          <w:lang w:eastAsia="es-MX"/>
        </w:rPr>
        <w:t xml:space="preserve">Siguiendo los lineamientos de la </w:t>
      </w:r>
      <w:r w:rsidRPr="0059266F">
        <w:rPr>
          <w:rFonts w:ascii="Verdana" w:hAnsi="Verdana"/>
          <w:i/>
          <w:lang w:eastAsia="es-MX"/>
        </w:rPr>
        <w:t xml:space="preserve">Guía para la </w:t>
      </w:r>
      <w:r>
        <w:rPr>
          <w:rFonts w:ascii="Verdana" w:hAnsi="Verdana"/>
          <w:i/>
          <w:iCs/>
          <w:lang w:eastAsia="es-MX"/>
        </w:rPr>
        <w:t>Incorporación de Lineamientos de Integridad en la Contratación de prestación de Servicios</w:t>
      </w:r>
      <w:r w:rsidRPr="0059266F">
        <w:rPr>
          <w:rFonts w:ascii="Verdana" w:hAnsi="Verdana"/>
          <w:lang w:eastAsia="es-MX"/>
        </w:rPr>
        <w:t>,</w:t>
      </w:r>
      <w:r>
        <w:rPr>
          <w:rFonts w:ascii="Verdana" w:hAnsi="Verdana"/>
          <w:lang w:eastAsia="es-MX"/>
        </w:rPr>
        <w:t xml:space="preserve"> expedida por la Agencia de Contratación Pública – Colombia Compra Eficiente, en su Anexo 2, relaciona algunos de los documentos necesarios para suscribir contratos de prestación de servicios con personas naturales. Por ejemplo, t</w:t>
      </w:r>
      <w:r w:rsidRPr="0059266F">
        <w:rPr>
          <w:rFonts w:ascii="Verdana" w:hAnsi="Verdana"/>
          <w:lang w:eastAsia="es-MX"/>
        </w:rPr>
        <w:t>ratándose de personas jurídicas, la Entidad Estatal debe verificar la capacidad jurídica mediante el Certificado de Existencia y Representación Legal, constatando que la sociedad esté debidamente constituida, que su vigencia cubra el plazo del contrato y que su objeto social contemple las actividades a contratar. De igual forma, la idoneidad y experiencia se acreditan mediante los documentos que la Entidad considere pertinentes para demostrar la trayectoria en el área requerida, siendo los soportes idóneos las certificaciones de contratos anteriores, copias de contratos ejecutados junto con sus actas de liquidación o recibos a satisfacción.</w:t>
      </w:r>
    </w:p>
    <w:p w14:paraId="07269478" w14:textId="77777777" w:rsidR="002B0069" w:rsidRDefault="002B0069" w:rsidP="002B0069">
      <w:pPr>
        <w:spacing w:after="120" w:line="276" w:lineRule="auto"/>
        <w:jc w:val="both"/>
        <w:rPr>
          <w:rFonts w:ascii="Verdana" w:hAnsi="Verdana"/>
          <w:lang w:eastAsia="es-MX"/>
        </w:rPr>
      </w:pPr>
      <w:r w:rsidRPr="004644D6">
        <w:rPr>
          <w:rFonts w:ascii="Verdana" w:hAnsi="Verdana"/>
          <w:lang w:eastAsia="es-MX"/>
        </w:rPr>
        <w:t xml:space="preserve">       </w:t>
      </w:r>
      <w:r>
        <w:rPr>
          <w:rFonts w:ascii="Verdana" w:hAnsi="Verdana"/>
          <w:lang w:eastAsia="es-MX"/>
        </w:rPr>
        <w:t xml:space="preserve">Dentro del análisis que corresponda, </w:t>
      </w:r>
      <w:r w:rsidRPr="004644D6">
        <w:rPr>
          <w:rFonts w:ascii="Verdana" w:hAnsi="Verdana"/>
          <w:lang w:eastAsia="es-MX"/>
        </w:rPr>
        <w:t>la Entidad Estatal tiene el deber de verificar que el contratista no se encuentre incurso en causales de inhabilidad o incompatibilidad, para lo cual debe consultar los antecedentes fiscales ante la Contraloría, disciplinarios ante la Procuraduría y judiciales ante la Policía Nacional. Asimismo, para la ejecución del contrato, es indispensable verificar la afiliación y pago de aportes al Sistema de Seguridad Social Integral y parafiscales, si a ello hubiere lugar, conforme a las normas vigentes.</w:t>
      </w:r>
    </w:p>
    <w:p w14:paraId="6E1A71B8" w14:textId="77777777" w:rsidR="002B0069" w:rsidRPr="00434E4F" w:rsidRDefault="002B0069" w:rsidP="002B0069">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 xml:space="preserve">Así mismo, resulta oportuno traer a colación el artículo 2.8.4.4.5 del Decreto 1068 de 2015, el cual reglamenta la tipología contractual establecida en el numeral 3° del artículo 32 de la Ley 80 de 1993; disposición legal que condiciona la celebración de contratos de prestación de servicios a los eventos </w:t>
      </w:r>
      <w:r w:rsidRPr="00434E4F">
        <w:rPr>
          <w:rFonts w:ascii="Verdana" w:eastAsia="Century Gothic" w:hAnsi="Verdana" w:cs="Century Gothic"/>
          <w:color w:val="000000" w:themeColor="text1"/>
        </w:rPr>
        <w:lastRenderedPageBreak/>
        <w:t>en que las actividades que requiere la entidad para satisfacer necesidades relacionadas con la administración o funcionamiento,   no puedan  ser desarrolladas por el personal de planta o requieran conocimientos especializados. De acuerdo con esto, lo que hace el citado artículo es establecer las condiciones a partir de las cuales debe determinarse la insuficiencia del personal de planta, a efectos de cumplir con el referido presupuesto para la celebración de co</w:t>
      </w:r>
      <w:r>
        <w:rPr>
          <w:rFonts w:ascii="Verdana" w:eastAsia="Century Gothic" w:hAnsi="Verdana" w:cs="Century Gothic"/>
          <w:color w:val="000000" w:themeColor="text1"/>
        </w:rPr>
        <w:t>n</w:t>
      </w:r>
      <w:r w:rsidRPr="00434E4F">
        <w:rPr>
          <w:rFonts w:ascii="Verdana" w:eastAsia="Century Gothic" w:hAnsi="Verdana" w:cs="Century Gothic"/>
          <w:color w:val="000000" w:themeColor="text1"/>
        </w:rPr>
        <w:t>tratos de prestación de servicios.</w:t>
      </w:r>
    </w:p>
    <w:p w14:paraId="07898D8B" w14:textId="77777777" w:rsidR="002B0069" w:rsidRDefault="002B0069" w:rsidP="002B0069">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 xml:space="preserve">Al margen de la explicación precedente debe advertirse que el análisis requerido para </w:t>
      </w:r>
      <w:r>
        <w:rPr>
          <w:rFonts w:ascii="Verdana" w:eastAsia="Century Gothic" w:hAnsi="Verdana" w:cs="Century Gothic"/>
          <w:color w:val="000000" w:themeColor="text1"/>
        </w:rPr>
        <w:t xml:space="preserve">determinar si es procedente contratar servicios de auditoría mediante contratos de prestación de servicios, </w:t>
      </w:r>
      <w:r w:rsidRPr="00434E4F">
        <w:rPr>
          <w:rFonts w:ascii="Verdana" w:eastAsia="Century Gothic" w:hAnsi="Verdana" w:cs="Century Gothic"/>
          <w:color w:val="000000" w:themeColor="text1"/>
        </w:rPr>
        <w:t>debe ser realizado por quienes tengan interés en ello, de acuerdo con lo explicado</w:t>
      </w:r>
      <w:r>
        <w:rPr>
          <w:rFonts w:ascii="Verdana" w:eastAsia="Century Gothic" w:hAnsi="Verdana" w:cs="Century Gothic"/>
          <w:color w:val="000000" w:themeColor="text1"/>
        </w:rPr>
        <w:t xml:space="preserve"> en</w:t>
      </w:r>
      <w:r w:rsidRPr="00434E4F">
        <w:rPr>
          <w:rFonts w:ascii="Verdana" w:eastAsia="Century Gothic" w:hAnsi="Verdana" w:cs="Century Gothic"/>
          <w:color w:val="000000" w:themeColor="text1"/>
        </w:rPr>
        <w:t xml:space="preserve"> la aclaración preliminar del presente </w:t>
      </w:r>
      <w:r>
        <w:rPr>
          <w:rFonts w:ascii="Verdana" w:eastAsia="Century Gothic" w:hAnsi="Verdana" w:cs="Century Gothic"/>
          <w:color w:val="000000" w:themeColor="text1"/>
        </w:rPr>
        <w:t>documento</w:t>
      </w:r>
      <w:r w:rsidRPr="00434E4F">
        <w:rPr>
          <w:rFonts w:ascii="Verdana" w:eastAsia="Century Gothic" w:hAnsi="Verdana" w:cs="Century Gothic"/>
          <w:color w:val="000000" w:themeColor="text1"/>
        </w:rPr>
        <w:t>. De esta manera, las afirmaciones aquí realizadas no pueden ser interpretadas como juicios de valor sobre circunstancias concretas relacionadas con los hechos que motivan la consulta.</w:t>
      </w:r>
    </w:p>
    <w:p w14:paraId="4307BDFA" w14:textId="77777777" w:rsidR="002B0069" w:rsidRPr="00434E4F" w:rsidRDefault="002B0069" w:rsidP="002B0069">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Por lo anterior, previo concepto de sus asesores, la solución de situaciones particulares corresponde a los interesados adoptar la decisión correspondiente y, en caso de conflicto, a las autoridades judiciales, fiscales y disciplinarias.</w:t>
      </w:r>
    </w:p>
    <w:p w14:paraId="1B0FE74E" w14:textId="77777777" w:rsidR="002B0069" w:rsidRDefault="002B0069" w:rsidP="002B0069">
      <w:pPr>
        <w:spacing w:line="276" w:lineRule="auto"/>
        <w:ind w:firstLine="740"/>
        <w:jc w:val="both"/>
        <w:rPr>
          <w:rFonts w:ascii="Verdana" w:eastAsia="Century Gothic" w:hAnsi="Verdana" w:cs="Century Gothic"/>
          <w:color w:val="000000" w:themeColor="text1"/>
        </w:rPr>
      </w:pPr>
      <w:r w:rsidRPr="00434E4F">
        <w:rPr>
          <w:rFonts w:ascii="Verdana" w:eastAsia="Century Gothic" w:hAnsi="Verdana" w:cs="Century Gothic"/>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4C2959C0" w14:textId="77777777" w:rsidR="002B0069" w:rsidRPr="00C6350E" w:rsidRDefault="002B0069" w:rsidP="002B0069">
      <w:pPr>
        <w:pStyle w:val="Prrafodelista"/>
        <w:numPr>
          <w:ilvl w:val="0"/>
          <w:numId w:val="3"/>
        </w:numPr>
        <w:spacing w:after="120" w:line="276" w:lineRule="auto"/>
        <w:jc w:val="both"/>
        <w:rPr>
          <w:rFonts w:ascii="Verdana" w:eastAsia="Calibri" w:hAnsi="Verdana" w:cs="Arial"/>
          <w:b/>
          <w:color w:val="000000" w:themeColor="text1"/>
          <w:lang w:val="es-ES_tradnl"/>
        </w:rPr>
      </w:pPr>
      <w:r w:rsidRPr="00C6350E">
        <w:rPr>
          <w:rFonts w:ascii="Verdana" w:eastAsia="Calibri" w:hAnsi="Verdana" w:cs="Arial"/>
          <w:b/>
          <w:color w:val="000000" w:themeColor="text1"/>
          <w:lang w:val="es-ES_tradnl"/>
        </w:rPr>
        <w:t>Referencias normativas, jurisprudenciales y otras fuentes:</w:t>
      </w:r>
    </w:p>
    <w:p w14:paraId="6965005A" w14:textId="77777777" w:rsidR="002B0069" w:rsidRPr="001C1B88" w:rsidRDefault="002B0069" w:rsidP="002B0069">
      <w:pPr>
        <w:spacing w:after="0" w:line="276" w:lineRule="auto"/>
        <w:jc w:val="both"/>
        <w:rPr>
          <w:rFonts w:ascii="Verdana" w:eastAsia="Calibri" w:hAnsi="Verdana" w:cs="Arial"/>
          <w:b/>
          <w:color w:val="000000" w:themeColor="text1"/>
          <w:lang w:val="es-ES_tradnl"/>
        </w:rPr>
      </w:pPr>
    </w:p>
    <w:p w14:paraId="62CB6239" w14:textId="77777777" w:rsidR="002B0069"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Ley 80 de 1993, artículo 32.</w:t>
      </w:r>
    </w:p>
    <w:p w14:paraId="2F840345" w14:textId="77777777" w:rsidR="002B0069"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Ley 1150 de 2007, artículo 2, numeral 4°, literal h.</w:t>
      </w:r>
    </w:p>
    <w:p w14:paraId="767E2A61" w14:textId="77777777" w:rsidR="002B0069"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 xml:space="preserve">Decreto 1068 de 2015, artículo 2.8.4.4.5. </w:t>
      </w:r>
    </w:p>
    <w:p w14:paraId="612CD3E8" w14:textId="77777777" w:rsidR="002B0069" w:rsidRPr="00C6350E"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sidRPr="001C1B88">
        <w:rPr>
          <w:rFonts w:ascii="Verdana" w:hAnsi="Verdana" w:cs="Arial"/>
        </w:rPr>
        <w:t>Decreto 1082 de 2015. Artículos 2.2.1.2.1.4.1, 2.2.1.2.1.4.3</w:t>
      </w:r>
      <w:r w:rsidRPr="001C1B88">
        <w:rPr>
          <w:rFonts w:ascii="Verdana" w:hAnsi="Verdana"/>
        </w:rPr>
        <w:t>, 2.2.1.2.1.4.9</w:t>
      </w:r>
      <w:r>
        <w:rPr>
          <w:rFonts w:ascii="Verdana" w:hAnsi="Verdana"/>
        </w:rPr>
        <w:t>.</w:t>
      </w:r>
    </w:p>
    <w:p w14:paraId="0FCA511D" w14:textId="77777777" w:rsidR="002B0069" w:rsidRPr="001C1B88"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 xml:space="preserve">Decreto 1068 de 2015. </w:t>
      </w:r>
      <w:r w:rsidRPr="00C6350E">
        <w:rPr>
          <w:rFonts w:ascii="Verdana" w:eastAsia="Calibri" w:hAnsi="Verdana" w:cs="Arial"/>
          <w:bCs/>
          <w:color w:val="000000" w:themeColor="text1"/>
          <w:lang w:val="es-ES_tradnl"/>
        </w:rPr>
        <w:t>Artículo 2.8.4.4.5</w:t>
      </w:r>
    </w:p>
    <w:p w14:paraId="5F96733D" w14:textId="77777777" w:rsidR="002B0069" w:rsidRPr="001C1B88"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sidRPr="001C1B88">
        <w:rPr>
          <w:rFonts w:ascii="Verdana" w:hAnsi="Verdana" w:cs="Arial"/>
        </w:rPr>
        <w:lastRenderedPageBreak/>
        <w:t xml:space="preserve">Consejo de Estado. Sala de lo Contencioso Administrativo. Sección Tercera. Subsección C. Sentencia del 2 de diciembre de 2013. </w:t>
      </w:r>
      <w:proofErr w:type="spellStart"/>
      <w:r w:rsidRPr="001C1B88">
        <w:rPr>
          <w:rFonts w:ascii="Verdana" w:hAnsi="Verdana" w:cs="Arial"/>
        </w:rPr>
        <w:t>Exp</w:t>
      </w:r>
      <w:proofErr w:type="spellEnd"/>
      <w:r w:rsidRPr="001C1B88">
        <w:rPr>
          <w:rFonts w:ascii="Verdana" w:hAnsi="Verdana" w:cs="Arial"/>
        </w:rPr>
        <w:t>. 41719. Consejero Ponente: Jaime Orlando Santofimio Gamboa.</w:t>
      </w:r>
    </w:p>
    <w:p w14:paraId="29CFE3B9" w14:textId="77777777" w:rsidR="002B0069" w:rsidRPr="00722A5B" w:rsidRDefault="002B0069" w:rsidP="002B0069">
      <w:pPr>
        <w:pStyle w:val="Prrafodelista"/>
        <w:numPr>
          <w:ilvl w:val="0"/>
          <w:numId w:val="2"/>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sidRPr="00152466">
        <w:rPr>
          <w:rFonts w:ascii="Verdana" w:hAnsi="Verdana" w:cs="Arial"/>
        </w:rPr>
        <w:t>Corte Constitucional. Sentencia C-154 de 1997. Magistrado Ponente: Hernando Herrera Vergara</w:t>
      </w:r>
    </w:p>
    <w:p w14:paraId="275FEDA6" w14:textId="77777777" w:rsidR="002B0069" w:rsidRPr="004A5A11" w:rsidRDefault="002B0069" w:rsidP="002B0069">
      <w:pPr>
        <w:widowControl w:val="0"/>
        <w:autoSpaceDE w:val="0"/>
        <w:autoSpaceDN w:val="0"/>
        <w:spacing w:after="120" w:line="276" w:lineRule="auto"/>
        <w:ind w:firstLine="709"/>
        <w:jc w:val="both"/>
        <w:rPr>
          <w:rFonts w:ascii="Verdana" w:hAnsi="Verdana" w:cs="Arial"/>
          <w:sz w:val="21"/>
          <w:szCs w:val="21"/>
        </w:rPr>
      </w:pPr>
    </w:p>
    <w:p w14:paraId="262CD10C" w14:textId="77777777" w:rsidR="002B0069" w:rsidRPr="00152466" w:rsidRDefault="002B0069" w:rsidP="002B0069">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r w:rsidRPr="00152466">
        <w:rPr>
          <w:rFonts w:ascii="Verdana" w:eastAsia="Century Gothic" w:hAnsi="Verdana" w:cs="Century Gothic"/>
          <w:b/>
          <w:bCs/>
        </w:rPr>
        <w:t>5. Doctrina de la Agencia Nacional de Contratación Pública:</w:t>
      </w:r>
    </w:p>
    <w:p w14:paraId="205C87BD" w14:textId="77777777" w:rsidR="002B0069" w:rsidRPr="00152466" w:rsidRDefault="002B0069" w:rsidP="002B0069">
      <w:pPr>
        <w:spacing w:after="0" w:line="276" w:lineRule="auto"/>
        <w:ind w:firstLine="709"/>
        <w:jc w:val="both"/>
        <w:rPr>
          <w:rFonts w:ascii="Verdana" w:eastAsia="Times New Roman" w:hAnsi="Verdana" w:cs="Arial"/>
          <w:lang w:eastAsia="es-ES_tradnl"/>
        </w:rPr>
      </w:pPr>
    </w:p>
    <w:p w14:paraId="18D010FD" w14:textId="77777777" w:rsidR="002B0069" w:rsidRPr="00152466" w:rsidRDefault="002B0069" w:rsidP="002B0069">
      <w:pPr>
        <w:widowControl w:val="0"/>
        <w:autoSpaceDE w:val="0"/>
        <w:autoSpaceDN w:val="0"/>
        <w:spacing w:after="0" w:line="276" w:lineRule="auto"/>
        <w:jc w:val="both"/>
        <w:rPr>
          <w:rFonts w:ascii="Verdana" w:hAnsi="Verdana" w:cs="Arial"/>
          <w:lang w:val="es-ES"/>
        </w:rPr>
      </w:pPr>
      <w:r w:rsidRPr="00152466">
        <w:rPr>
          <w:rFonts w:ascii="Verdana" w:hAnsi="Verdana" w:cs="Arial"/>
          <w:shd w:val="clear" w:color="auto" w:fill="FFFFFF"/>
          <w:lang w:val="es-ES"/>
        </w:rPr>
        <w:t xml:space="preserve">Sobre los contratos de prestación de servicios, esta Subdirección se ha referido en los Conceptos Nro. C−293 del 12 de mayo de 2020, C−313 del 21 de mayo de 2020, C−345 del 21 de mayo de 2020, C−359 del 04de junio de 2020, C−379 del 30 de junio de 2020, C−414 del 30 de junio de 2020, C-661 del 17 de noviembre de 2020, C−685 del 18 de diciembre de 2020, C- 004 del 12 de febrero de 2021, C−106 del 7 de abril de 2021, C-181 del 07 de abril de 2022, C-214 del 22 de abril de 2022 y C-491 de 01 de agosto de 2022, C-008 del 20 de febrero de 2023, C-009 del 20 de febrero de 2023, C-286 del 2023, C-351 del 30 de agosto de 2024, C-372 del 26 de Agosto 2024, </w:t>
      </w:r>
      <w:r>
        <w:rPr>
          <w:rFonts w:ascii="Verdana" w:hAnsi="Verdana" w:cs="Arial"/>
          <w:shd w:val="clear" w:color="auto" w:fill="FFFFFF"/>
          <w:lang w:val="es-ES"/>
        </w:rPr>
        <w:t xml:space="preserve">C-578 del 16 de octubre de 2024, </w:t>
      </w:r>
      <w:r w:rsidRPr="00152466">
        <w:rPr>
          <w:rFonts w:ascii="Verdana" w:hAnsi="Verdana" w:cs="Arial"/>
          <w:shd w:val="clear" w:color="auto" w:fill="FFFFFF"/>
          <w:lang w:val="es-ES"/>
        </w:rPr>
        <w:t>C-904 del 9 de diciembre de 2024, C-754 del 4 de diciembre de 2024, C-363 del 15 de abril de 2025</w:t>
      </w:r>
      <w:r w:rsidRPr="00152466">
        <w:rPr>
          <w:rFonts w:ascii="Verdana" w:hAnsi="Verdana" w:cs="Arial"/>
          <w:lang w:val="es-ES"/>
        </w:rPr>
        <w:t>, C-441 del 16 de mayo de 2025, C-517 del 27 de mayo de 2025</w:t>
      </w:r>
      <w:r>
        <w:rPr>
          <w:rFonts w:ascii="Verdana" w:hAnsi="Verdana" w:cs="Arial"/>
          <w:lang w:val="es-ES"/>
        </w:rPr>
        <w:t xml:space="preserve">, </w:t>
      </w:r>
      <w:r w:rsidRPr="00152466">
        <w:rPr>
          <w:rFonts w:ascii="Verdana" w:hAnsi="Verdana" w:cs="Arial"/>
          <w:lang w:val="es-ES"/>
        </w:rPr>
        <w:t>C- 578 del 24 de junio del 2025</w:t>
      </w:r>
      <w:r>
        <w:rPr>
          <w:rFonts w:ascii="Verdana" w:hAnsi="Verdana" w:cs="Arial"/>
          <w:lang w:val="es-ES"/>
        </w:rPr>
        <w:t>, y C-101 del 4 de marzo de 2026</w:t>
      </w:r>
      <w:r w:rsidRPr="00152466">
        <w:rPr>
          <w:rFonts w:ascii="Verdana" w:hAnsi="Verdana" w:cs="Arial"/>
        </w:rPr>
        <w:t xml:space="preserve">. </w:t>
      </w:r>
      <w:r w:rsidRPr="00152466">
        <w:rPr>
          <w:rFonts w:ascii="Verdana" w:eastAsia="Calibri" w:hAnsi="Verdana" w:cs="Arial"/>
          <w:lang w:eastAsia="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9" w:history="1">
        <w:r w:rsidRPr="00152466">
          <w:rPr>
            <w:rStyle w:val="Hipervnculo"/>
            <w:rFonts w:ascii="Verdana" w:eastAsia="Calibri" w:hAnsi="Verdana" w:cs="Arial"/>
            <w:lang w:eastAsia="es-ES_tradnl"/>
          </w:rPr>
          <w:t>https://relatoria.colombiacompra.gov.co/</w:t>
        </w:r>
      </w:hyperlink>
      <w:r w:rsidRPr="00152466">
        <w:rPr>
          <w:rFonts w:ascii="Verdana" w:eastAsia="Calibri" w:hAnsi="Verdana" w:cs="Arial"/>
          <w:lang w:eastAsia="es-ES_tradnl"/>
        </w:rPr>
        <w:t> </w:t>
      </w:r>
    </w:p>
    <w:p w14:paraId="01287DA6" w14:textId="77777777" w:rsidR="002B0069" w:rsidRPr="00152466" w:rsidRDefault="002B0069" w:rsidP="002B0069">
      <w:pPr>
        <w:widowControl w:val="0"/>
        <w:autoSpaceDE w:val="0"/>
        <w:autoSpaceDN w:val="0"/>
        <w:spacing w:after="0" w:line="276" w:lineRule="auto"/>
        <w:jc w:val="both"/>
        <w:rPr>
          <w:rFonts w:ascii="Verdana" w:hAnsi="Verdana" w:cs="Arial"/>
        </w:rPr>
      </w:pPr>
    </w:p>
    <w:p w14:paraId="09690494" w14:textId="77777777" w:rsidR="002B0069" w:rsidRPr="009A385A" w:rsidRDefault="002B0069" w:rsidP="002B0069">
      <w:pPr>
        <w:spacing w:line="276" w:lineRule="auto"/>
        <w:jc w:val="both"/>
        <w:rPr>
          <w:rFonts w:ascii="Verdana" w:hAnsi="Verdana"/>
        </w:rPr>
      </w:pPr>
      <w:bookmarkStart w:id="1" w:name="_Hlk117695077"/>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w:t>
      </w:r>
      <w:r>
        <w:rPr>
          <w:rFonts w:ascii="Verdana" w:hAnsi="Verdana"/>
        </w:rPr>
        <w:t>los</w:t>
      </w:r>
      <w:r w:rsidRPr="009A385A">
        <w:rPr>
          <w:rFonts w:ascii="Verdana" w:hAnsi="Verdana"/>
        </w:rPr>
        <w:t xml:space="preserv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y servidores públicos para </w:t>
      </w:r>
      <w:r w:rsidRPr="009A385A">
        <w:rPr>
          <w:rFonts w:ascii="Verdana" w:hAnsi="Verdana"/>
        </w:rPr>
        <w:t>generar mayor valor público. Acced</w:t>
      </w:r>
      <w:r>
        <w:rPr>
          <w:rFonts w:ascii="Verdana" w:hAnsi="Verdana"/>
        </w:rPr>
        <w:t>an</w:t>
      </w:r>
      <w:r w:rsidRPr="009A385A">
        <w:rPr>
          <w:rFonts w:ascii="Verdana" w:hAnsi="Verdana"/>
        </w:rPr>
        <w:t xml:space="preserve"> al curso</w:t>
      </w:r>
      <w:r>
        <w:rPr>
          <w:rFonts w:ascii="Verdana" w:hAnsi="Verdana"/>
        </w:rPr>
        <w:t xml:space="preserve"> y aprendan cómo implementar criterios sociales y ambientales en las diferentes etapas del proceso de contratación</w:t>
      </w:r>
      <w:r w:rsidRPr="009A385A">
        <w:rPr>
          <w:rFonts w:ascii="Verdana" w:hAnsi="Verdana"/>
        </w:rPr>
        <w:t>:</w:t>
      </w:r>
      <w:r w:rsidRPr="009A385A">
        <w:rPr>
          <w:rFonts w:ascii="Verdana" w:hAnsi="Verdana"/>
        </w:rPr>
        <w:br/>
      </w:r>
      <w:hyperlink r:id="rId10" w:tgtFrame="_new" w:history="1">
        <w:r w:rsidRPr="009A385A">
          <w:rPr>
            <w:rStyle w:val="Hipervnculo"/>
            <w:rFonts w:ascii="Verdana" w:hAnsi="Verdana"/>
          </w:rPr>
          <w:t>https://formacionvirtual.colombiacompra.gov.co/mod/page/view.php?id=3718</w:t>
        </w:r>
      </w:hyperlink>
    </w:p>
    <w:p w14:paraId="1CE148E2" w14:textId="77777777" w:rsidR="002B0069" w:rsidRDefault="002B0069" w:rsidP="002B0069">
      <w:pPr>
        <w:spacing w:line="276" w:lineRule="auto"/>
        <w:contextualSpacing/>
        <w:jc w:val="both"/>
        <w:rPr>
          <w:rFonts w:ascii="Verdana" w:hAnsi="Verdana"/>
        </w:rPr>
      </w:pPr>
      <w:r>
        <w:rPr>
          <w:rFonts w:ascii="Verdana" w:hAnsi="Verdana"/>
        </w:rPr>
        <w:lastRenderedPageBreak/>
        <w:t>De otro lado, les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deporte, institucional y vivienda. Consult</w:t>
      </w:r>
      <w:r>
        <w:rPr>
          <w:rFonts w:ascii="Verdana" w:hAnsi="Verdana"/>
        </w:rPr>
        <w:t>en</w:t>
      </w:r>
      <w:r w:rsidRPr="00635F16">
        <w:rPr>
          <w:rFonts w:ascii="Verdana" w:hAnsi="Verdana"/>
        </w:rPr>
        <w:t xml:space="preserve"> y descarg</w:t>
      </w:r>
      <w:r>
        <w:rPr>
          <w:rFonts w:ascii="Verdana" w:hAnsi="Verdana"/>
        </w:rPr>
        <w:t>uen</w:t>
      </w:r>
      <w:r w:rsidRPr="00635F16">
        <w:rPr>
          <w:rFonts w:ascii="Verdana" w:hAnsi="Verdana"/>
        </w:rPr>
        <w:t xml:space="preserve"> los documentos aquí: </w:t>
      </w:r>
    </w:p>
    <w:p w14:paraId="09B5BE0A" w14:textId="77777777" w:rsidR="002B0069" w:rsidRDefault="002B0069" w:rsidP="002B0069">
      <w:pPr>
        <w:spacing w:line="240" w:lineRule="auto"/>
        <w:contextualSpacing/>
        <w:jc w:val="both"/>
        <w:rPr>
          <w:rFonts w:ascii="Verdana" w:hAnsi="Verdana"/>
        </w:rPr>
      </w:pPr>
      <w:hyperlink r:id="rId11" w:history="1">
        <w:r w:rsidRPr="00977A39">
          <w:rPr>
            <w:rStyle w:val="Hipervnculo"/>
            <w:rFonts w:ascii="Verdana" w:hAnsi="Verdana"/>
          </w:rPr>
          <w:t>https://www.colombiacompra.gov.co/normativa-y-relatoria/documentos-tipo</w:t>
        </w:r>
      </w:hyperlink>
    </w:p>
    <w:p w14:paraId="1C483CBF" w14:textId="77777777" w:rsidR="002B0069" w:rsidRDefault="002B0069" w:rsidP="002B0069">
      <w:pPr>
        <w:spacing w:line="240" w:lineRule="auto"/>
        <w:contextualSpacing/>
        <w:jc w:val="both"/>
        <w:rPr>
          <w:rFonts w:ascii="Verdana" w:hAnsi="Verdana"/>
        </w:rPr>
      </w:pPr>
    </w:p>
    <w:p w14:paraId="1A4F2293" w14:textId="77777777" w:rsidR="002B0069" w:rsidRDefault="002B0069" w:rsidP="002B0069">
      <w:pPr>
        <w:spacing w:line="276" w:lineRule="auto"/>
        <w:contextualSpacing/>
        <w:jc w:val="both"/>
        <w:rPr>
          <w:rFonts w:ascii="Verdana" w:hAnsi="Verdana"/>
        </w:rPr>
      </w:pPr>
      <w:r>
        <w:rPr>
          <w:rFonts w:ascii="Verdana" w:hAnsi="Verdana"/>
        </w:rPr>
        <w:t>Si quieren conocer más sobre la aplicación de Documentos Tipo</w:t>
      </w:r>
      <w:r w:rsidRPr="009A385A">
        <w:rPr>
          <w:rFonts w:ascii="Verdana" w:hAnsi="Verdana"/>
        </w:rPr>
        <w:t xml:space="preserve"> </w:t>
      </w:r>
      <w:r>
        <w:rPr>
          <w:rFonts w:ascii="Verdana" w:hAnsi="Verdana"/>
        </w:rPr>
        <w:t xml:space="preserve">pueden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w:t>
      </w:r>
      <w:r>
        <w:rPr>
          <w:rFonts w:ascii="Verdana" w:hAnsi="Verdana"/>
        </w:rPr>
        <w:t>,</w:t>
      </w:r>
      <w:r w:rsidRPr="00797327">
        <w:rPr>
          <w:rFonts w:ascii="Verdana" w:hAnsi="Verdana"/>
        </w:rPr>
        <w:t xml:space="preserve">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w:t>
      </w:r>
      <w:r>
        <w:rPr>
          <w:rFonts w:ascii="Verdana" w:hAnsi="Verdana"/>
        </w:rPr>
        <w:t>en</w:t>
      </w:r>
      <w:r w:rsidRPr="009A385A">
        <w:rPr>
          <w:rFonts w:ascii="Verdana" w:hAnsi="Verdana"/>
        </w:rPr>
        <w:t xml:space="preserve"> la guía aquí:</w:t>
      </w:r>
    </w:p>
    <w:p w14:paraId="68EE1F8E" w14:textId="77777777" w:rsidR="002B0069" w:rsidRDefault="002B0069" w:rsidP="002B0069">
      <w:pPr>
        <w:spacing w:after="0" w:line="276" w:lineRule="auto"/>
        <w:jc w:val="both"/>
      </w:pPr>
      <w:hyperlink r:id="rId12"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23D6AFC" w14:textId="77777777" w:rsidR="002B0069" w:rsidRDefault="002B0069" w:rsidP="002B0069">
      <w:pPr>
        <w:spacing w:after="0" w:line="276" w:lineRule="auto"/>
        <w:jc w:val="both"/>
      </w:pPr>
    </w:p>
    <w:p w14:paraId="593DFFFD" w14:textId="77777777" w:rsidR="002B0069" w:rsidRPr="00FF007A" w:rsidRDefault="002B0069" w:rsidP="002B0069">
      <w:pPr>
        <w:spacing w:after="120" w:line="276" w:lineRule="auto"/>
        <w:jc w:val="both"/>
        <w:rPr>
          <w:rFonts w:ascii="Verdana" w:eastAsia="Calibri" w:hAnsi="Verdana" w:cs="Times New Roman"/>
        </w:rPr>
      </w:pPr>
      <w:r w:rsidRPr="00FF007A">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3A9280D3" w14:textId="77777777" w:rsidR="002B0069" w:rsidRPr="00FF007A" w:rsidRDefault="002B0069" w:rsidP="002B0069">
      <w:pPr>
        <w:pStyle w:val="Prrafodelista"/>
        <w:numPr>
          <w:ilvl w:val="0"/>
          <w:numId w:val="1"/>
        </w:numPr>
        <w:spacing w:after="0" w:line="276" w:lineRule="auto"/>
        <w:contextualSpacing w:val="0"/>
        <w:jc w:val="both"/>
        <w:rPr>
          <w:rFonts w:ascii="Verdana" w:hAnsi="Verdana"/>
        </w:rPr>
      </w:pPr>
      <w:r w:rsidRPr="00FF007A">
        <w:rPr>
          <w:rFonts w:ascii="Verdana" w:hAnsi="Verdana"/>
        </w:rPr>
        <w:t>Línea nacional gratuita o servicio a la ciudadanía: 01800 0520808</w:t>
      </w:r>
    </w:p>
    <w:p w14:paraId="2164F86B" w14:textId="77777777" w:rsidR="002B0069" w:rsidRPr="00FF007A" w:rsidRDefault="002B0069" w:rsidP="002B0069">
      <w:pPr>
        <w:pStyle w:val="Prrafodelista"/>
        <w:numPr>
          <w:ilvl w:val="0"/>
          <w:numId w:val="1"/>
        </w:numPr>
        <w:spacing w:after="0" w:line="276" w:lineRule="auto"/>
        <w:contextualSpacing w:val="0"/>
        <w:jc w:val="both"/>
        <w:rPr>
          <w:rFonts w:ascii="Verdana" w:hAnsi="Verdana"/>
        </w:rPr>
      </w:pPr>
      <w:r w:rsidRPr="00FF007A">
        <w:rPr>
          <w:rFonts w:ascii="Verdana" w:hAnsi="Verdana"/>
        </w:rPr>
        <w:t>Línea en Bogotá (Mesa de servicio): +57 601 7456788</w:t>
      </w:r>
    </w:p>
    <w:p w14:paraId="399AEB93" w14:textId="77777777" w:rsidR="002B0069" w:rsidRPr="00FF007A" w:rsidRDefault="002B0069" w:rsidP="002B0069">
      <w:pPr>
        <w:pStyle w:val="Prrafodelista"/>
        <w:numPr>
          <w:ilvl w:val="0"/>
          <w:numId w:val="1"/>
        </w:numPr>
        <w:spacing w:after="0" w:line="276" w:lineRule="auto"/>
        <w:contextualSpacing w:val="0"/>
        <w:jc w:val="both"/>
        <w:rPr>
          <w:rFonts w:ascii="Verdana" w:hAnsi="Verdana"/>
        </w:rPr>
      </w:pPr>
      <w:r w:rsidRPr="00FF007A">
        <w:rPr>
          <w:rFonts w:ascii="Verdana" w:hAnsi="Verdana"/>
        </w:rPr>
        <w:t>Línea de servicio y atención al ciudadano: +57 601 7956600</w:t>
      </w:r>
    </w:p>
    <w:p w14:paraId="074C43EB" w14:textId="77777777" w:rsidR="002B0069" w:rsidRPr="00FF007A" w:rsidRDefault="002B0069" w:rsidP="002B0069">
      <w:pPr>
        <w:pStyle w:val="Prrafodelista"/>
        <w:numPr>
          <w:ilvl w:val="0"/>
          <w:numId w:val="1"/>
        </w:numPr>
        <w:spacing w:after="0" w:line="276" w:lineRule="auto"/>
        <w:contextualSpacing w:val="0"/>
        <w:jc w:val="both"/>
        <w:rPr>
          <w:rFonts w:ascii="Verdana" w:hAnsi="Verdana"/>
        </w:rPr>
      </w:pPr>
      <w:r w:rsidRPr="00FF007A">
        <w:rPr>
          <w:rFonts w:ascii="Verdana" w:hAnsi="Verdana"/>
        </w:rPr>
        <w:t xml:space="preserve">Página web: </w:t>
      </w:r>
      <w:hyperlink r:id="rId13" w:history="1">
        <w:r w:rsidRPr="00FF007A">
          <w:rPr>
            <w:rStyle w:val="Hipervnculo"/>
            <w:rFonts w:ascii="Verdana" w:hAnsi="Verdana"/>
          </w:rPr>
          <w:t>www.colombiacompra.gov.co</w:t>
        </w:r>
      </w:hyperlink>
    </w:p>
    <w:p w14:paraId="13D635DD" w14:textId="77777777" w:rsidR="002B0069" w:rsidRDefault="002B0069" w:rsidP="002B0069">
      <w:pPr>
        <w:spacing w:after="0" w:line="276" w:lineRule="auto"/>
        <w:jc w:val="both"/>
      </w:pPr>
    </w:p>
    <w:p w14:paraId="1BDD0833" w14:textId="77777777" w:rsidR="002B0069" w:rsidRPr="00924699" w:rsidRDefault="002B0069" w:rsidP="002B0069">
      <w:pPr>
        <w:spacing w:after="0" w:line="276" w:lineRule="auto"/>
        <w:jc w:val="both"/>
        <w:rPr>
          <w:rFonts w:ascii="Calibri" w:eastAsia="Calibri" w:hAnsi="Calibri" w:cs="Times New Roman"/>
        </w:rPr>
      </w:pPr>
      <w:r w:rsidRPr="00924699">
        <w:rPr>
          <w:rFonts w:ascii="Verdana" w:eastAsia="Calibri" w:hAnsi="Verdana" w:cs="Times New Roman"/>
        </w:rPr>
        <w:lastRenderedPageBreak/>
        <w:t xml:space="preserve">Por último, lo invitamos a seguirnos en las redes sociales en las cuales se difunde información institucional: </w:t>
      </w:r>
    </w:p>
    <w:p w14:paraId="099046C0" w14:textId="77777777" w:rsidR="002B0069" w:rsidRPr="00924699" w:rsidRDefault="002B0069" w:rsidP="002B0069">
      <w:pPr>
        <w:spacing w:after="0" w:line="276" w:lineRule="auto"/>
        <w:jc w:val="both"/>
        <w:rPr>
          <w:rFonts w:ascii="Verdana" w:eastAsia="Calibri" w:hAnsi="Verdana" w:cs="Times New Roman"/>
        </w:rPr>
      </w:pPr>
    </w:p>
    <w:p w14:paraId="7EF6EC64" w14:textId="77777777" w:rsidR="002B0069" w:rsidRPr="00924699" w:rsidRDefault="002B0069" w:rsidP="002B0069">
      <w:pPr>
        <w:spacing w:after="0" w:line="276" w:lineRule="auto"/>
        <w:jc w:val="both"/>
        <w:rPr>
          <w:rFonts w:ascii="Verdana" w:eastAsia="Calibri" w:hAnsi="Verdana" w:cs="Times New Roman"/>
        </w:rPr>
      </w:pPr>
      <w:r w:rsidRPr="00924699">
        <w:rPr>
          <w:rFonts w:ascii="Verdana" w:eastAsia="Calibri" w:hAnsi="Verdana" w:cs="Times New Roman"/>
        </w:rPr>
        <w:t xml:space="preserve">Twitter: </w:t>
      </w:r>
      <w:r w:rsidRPr="00924699">
        <w:rPr>
          <w:rFonts w:ascii="Verdana" w:eastAsia="Calibri" w:hAnsi="Verdana" w:cs="Times New Roman"/>
          <w:color w:val="156082" w:themeColor="accent1"/>
          <w:u w:val="single"/>
        </w:rPr>
        <w:t>@colombiacompra</w:t>
      </w:r>
      <w:r w:rsidRPr="00924699">
        <w:rPr>
          <w:rFonts w:ascii="Verdana" w:eastAsia="Calibri" w:hAnsi="Verdana" w:cs="Times New Roman"/>
          <w:color w:val="156082" w:themeColor="accent1"/>
        </w:rPr>
        <w:t xml:space="preserve"> </w:t>
      </w:r>
    </w:p>
    <w:p w14:paraId="61D7C4D1" w14:textId="77777777" w:rsidR="002B0069" w:rsidRPr="00924699" w:rsidRDefault="002B0069" w:rsidP="002B0069">
      <w:pPr>
        <w:spacing w:after="0" w:line="276" w:lineRule="auto"/>
        <w:jc w:val="both"/>
        <w:rPr>
          <w:rFonts w:ascii="Verdana" w:eastAsia="Calibri" w:hAnsi="Verdana" w:cs="Times New Roman"/>
        </w:rPr>
      </w:pPr>
      <w:r w:rsidRPr="00924699">
        <w:rPr>
          <w:rFonts w:ascii="Verdana" w:eastAsia="Calibri" w:hAnsi="Verdana" w:cs="Times New Roman"/>
        </w:rPr>
        <w:t xml:space="preserve">Facebook: </w:t>
      </w:r>
      <w:proofErr w:type="spellStart"/>
      <w:r w:rsidRPr="00924699">
        <w:rPr>
          <w:rFonts w:ascii="Verdana" w:eastAsia="Calibri" w:hAnsi="Verdana" w:cs="Times New Roman"/>
          <w:color w:val="156082" w:themeColor="accent1"/>
          <w:u w:val="single"/>
        </w:rPr>
        <w:t>ColombiaCompraEficiente</w:t>
      </w:r>
      <w:proofErr w:type="spellEnd"/>
    </w:p>
    <w:p w14:paraId="2DA675F2" w14:textId="77777777" w:rsidR="002B0069" w:rsidRPr="00924699" w:rsidRDefault="002B0069" w:rsidP="002B0069">
      <w:pPr>
        <w:spacing w:after="0" w:line="276" w:lineRule="auto"/>
        <w:jc w:val="both"/>
        <w:rPr>
          <w:rFonts w:ascii="Verdana" w:eastAsia="Calibri" w:hAnsi="Verdana" w:cs="Times New Roman"/>
        </w:rPr>
      </w:pPr>
      <w:r w:rsidRPr="00924699">
        <w:rPr>
          <w:rFonts w:ascii="Verdana" w:eastAsia="Calibri" w:hAnsi="Verdana" w:cs="Times New Roman"/>
        </w:rPr>
        <w:t xml:space="preserve">LinkedIn: </w:t>
      </w:r>
      <w:r w:rsidRPr="00924699">
        <w:rPr>
          <w:rFonts w:ascii="Verdana" w:eastAsia="Calibri" w:hAnsi="Verdana" w:cs="Times New Roman"/>
          <w:color w:val="156082" w:themeColor="accent1"/>
          <w:u w:val="single"/>
        </w:rPr>
        <w:t>Agencia Nacional de Contratación Pública - Colombia Compra Eficiente</w:t>
      </w:r>
      <w:r w:rsidRPr="00924699">
        <w:rPr>
          <w:rFonts w:ascii="Verdana" w:eastAsia="Calibri" w:hAnsi="Verdana" w:cs="Times New Roman"/>
          <w:color w:val="156082" w:themeColor="accent1"/>
        </w:rPr>
        <w:t xml:space="preserve"> </w:t>
      </w:r>
      <w:r w:rsidRPr="00924699">
        <w:rPr>
          <w:rFonts w:ascii="Verdana" w:eastAsia="Calibri" w:hAnsi="Verdana" w:cs="Times New Roman"/>
        </w:rPr>
        <w:t xml:space="preserve">Instagram: </w:t>
      </w:r>
      <w:r w:rsidRPr="00924699">
        <w:rPr>
          <w:rFonts w:ascii="Verdana" w:eastAsia="Calibri" w:hAnsi="Verdana" w:cs="Times New Roman"/>
          <w:color w:val="156082" w:themeColor="accent1"/>
          <w:u w:val="single"/>
        </w:rPr>
        <w:t>@colombiacompraeficiente_cce</w:t>
      </w:r>
    </w:p>
    <w:p w14:paraId="66078D98" w14:textId="77777777" w:rsidR="002B0069" w:rsidRPr="00924699" w:rsidRDefault="002B0069" w:rsidP="002B0069">
      <w:pPr>
        <w:widowControl w:val="0"/>
        <w:autoSpaceDE w:val="0"/>
        <w:autoSpaceDN w:val="0"/>
        <w:spacing w:after="0" w:line="276" w:lineRule="auto"/>
        <w:jc w:val="both"/>
        <w:rPr>
          <w:rFonts w:ascii="Verdana" w:eastAsia="Calibri" w:hAnsi="Verdana" w:cs="Arial"/>
        </w:rPr>
      </w:pPr>
    </w:p>
    <w:p w14:paraId="4ACFE167" w14:textId="77777777" w:rsidR="002B0069" w:rsidRPr="00924699" w:rsidRDefault="002B0069" w:rsidP="002B0069">
      <w:pPr>
        <w:widowControl w:val="0"/>
        <w:autoSpaceDE w:val="0"/>
        <w:autoSpaceDN w:val="0"/>
        <w:spacing w:after="0" w:line="276" w:lineRule="auto"/>
        <w:jc w:val="both"/>
        <w:rPr>
          <w:rFonts w:ascii="Verdana" w:eastAsia="Calibri" w:hAnsi="Verdana" w:cs="Arial"/>
          <w:lang w:val="es-ES_tradnl"/>
        </w:rPr>
      </w:pPr>
      <w:r w:rsidRPr="00924699">
        <w:rPr>
          <w:rFonts w:ascii="Verdana" w:eastAsia="Calibri" w:hAnsi="Verdana" w:cs="Arial"/>
        </w:rPr>
        <w:t xml:space="preserve">Este concepto tiene el alcance previsto en el artículo 28 del Código de Procedimiento Administrativo y de lo Contencioso Administrativo </w:t>
      </w:r>
      <w:r w:rsidRPr="00924699">
        <w:rPr>
          <w:rFonts w:ascii="Verdana" w:eastAsia="Calibri" w:hAnsi="Verdana" w:cs="Arial"/>
          <w:lang w:val="es-ES_tradnl"/>
        </w:rPr>
        <w:t>y las expresiones aquí utilizadas con mayúscula inicial deben ser entendidas con el significado que les otorga el artículo 2.2.1.1.1.3.1. del Decreto 1082 de 2015.</w:t>
      </w:r>
    </w:p>
    <w:p w14:paraId="2406F673" w14:textId="77777777" w:rsidR="002B0069" w:rsidRPr="00593A5F" w:rsidRDefault="002B0069" w:rsidP="002B0069">
      <w:pPr>
        <w:widowControl w:val="0"/>
        <w:autoSpaceDE w:val="0"/>
        <w:autoSpaceDN w:val="0"/>
        <w:spacing w:after="0" w:line="276" w:lineRule="auto"/>
        <w:jc w:val="both"/>
        <w:rPr>
          <w:rFonts w:ascii="Verdana" w:hAnsi="Verdana" w:cs="Arial"/>
        </w:rPr>
      </w:pPr>
    </w:p>
    <w:p w14:paraId="3A295EF0" w14:textId="77777777" w:rsidR="002B0069" w:rsidRDefault="002B0069" w:rsidP="002B0069">
      <w:pPr>
        <w:spacing w:after="0" w:line="276" w:lineRule="auto"/>
        <w:jc w:val="both"/>
        <w:rPr>
          <w:rFonts w:ascii="Verdana" w:eastAsia="Times New Roman" w:hAnsi="Verdana" w:cs="Arial"/>
          <w:lang w:eastAsia="es-CO"/>
        </w:rPr>
      </w:pPr>
      <w:r w:rsidRPr="00152466">
        <w:rPr>
          <w:rFonts w:ascii="Verdana" w:eastAsia="Times New Roman" w:hAnsi="Verdana" w:cs="Arial"/>
          <w:lang w:eastAsia="es-CO"/>
        </w:rPr>
        <w:t>Atentamente,</w:t>
      </w:r>
      <w:bookmarkEnd w:id="1"/>
    </w:p>
    <w:p w14:paraId="602BE9C3" w14:textId="77777777" w:rsidR="002B0069" w:rsidRDefault="002B0069" w:rsidP="002B0069">
      <w:pPr>
        <w:spacing w:after="0" w:line="276" w:lineRule="auto"/>
        <w:jc w:val="both"/>
        <w:rPr>
          <w:rFonts w:ascii="Verdana" w:eastAsia="Times New Roman" w:hAnsi="Verdana" w:cs="Arial"/>
          <w:lang w:eastAsia="es-CO"/>
        </w:rPr>
      </w:pPr>
    </w:p>
    <w:p w14:paraId="34F038C1" w14:textId="77777777" w:rsidR="00CB338E" w:rsidRDefault="00CB338E" w:rsidP="002B0069">
      <w:pPr>
        <w:spacing w:after="0" w:line="276" w:lineRule="auto"/>
        <w:jc w:val="both"/>
        <w:rPr>
          <w:rFonts w:ascii="Verdana" w:eastAsia="Times New Roman" w:hAnsi="Verdana" w:cs="Arial"/>
          <w:lang w:eastAsia="es-CO"/>
        </w:rPr>
      </w:pPr>
    </w:p>
    <w:p w14:paraId="4B97DBB9" w14:textId="1BD52831" w:rsidR="00CB338E" w:rsidRPr="00152466" w:rsidRDefault="00CB338E" w:rsidP="00CB338E">
      <w:pPr>
        <w:spacing w:after="0" w:line="276" w:lineRule="auto"/>
        <w:jc w:val="center"/>
        <w:rPr>
          <w:rFonts w:ascii="Verdana" w:eastAsia="Times New Roman" w:hAnsi="Verdana" w:cs="Arial"/>
          <w:lang w:eastAsia="es-CO"/>
        </w:rPr>
      </w:pPr>
      <w:r w:rsidRPr="007A02DE">
        <w:rPr>
          <w:rFonts w:ascii="Verdana" w:hAnsi="Verdana" w:cs="Arial"/>
          <w:noProof/>
          <w:color w:val="000000"/>
          <w:lang w:eastAsia="es-CO"/>
        </w:rPr>
        <w:drawing>
          <wp:inline distT="0" distB="0" distL="0" distR="0" wp14:anchorId="5B73AD6D" wp14:editId="7FD10F54">
            <wp:extent cx="3771900" cy="1400175"/>
            <wp:effectExtent l="0" t="0" r="0" b="9525"/>
            <wp:docPr id="5647177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inline>
        </w:drawing>
      </w:r>
    </w:p>
    <w:p w14:paraId="004375BA" w14:textId="77777777" w:rsidR="002B0069" w:rsidRPr="001B3C5D" w:rsidRDefault="002B0069" w:rsidP="002B0069">
      <w:pPr>
        <w:tabs>
          <w:tab w:val="left" w:pos="1320"/>
        </w:tabs>
        <w:spacing w:after="0"/>
        <w:jc w:val="center"/>
        <w:rPr>
          <w:rFonts w:ascii="Verdana" w:eastAsia="Calibri" w:hAnsi="Verdana" w:cs="Times New Roman"/>
          <w:lang w:eastAsia="es-MX"/>
        </w:rPr>
      </w:pP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2B0069" w:rsidRPr="001B3C5D" w14:paraId="403F7599" w14:textId="77777777" w:rsidTr="000246A3">
        <w:trPr>
          <w:trHeight w:val="323"/>
        </w:trPr>
        <w:tc>
          <w:tcPr>
            <w:tcW w:w="1041" w:type="dxa"/>
            <w:vAlign w:val="center"/>
            <w:hideMark/>
          </w:tcPr>
          <w:p w14:paraId="370812D9" w14:textId="77777777" w:rsidR="002B0069" w:rsidRPr="001B3C5D" w:rsidRDefault="002B0069" w:rsidP="000246A3">
            <w:pPr>
              <w:rPr>
                <w:rFonts w:ascii="Verdana" w:eastAsia="Calibri" w:hAnsi="Verdana" w:cs="Arial"/>
                <w:sz w:val="16"/>
                <w:szCs w:val="16"/>
                <w:lang w:val="es-ES_tradnl" w:eastAsia="es-ES"/>
              </w:rPr>
            </w:pPr>
            <w:r w:rsidRPr="001B3C5D">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4BC7E41A" w14:textId="77777777" w:rsidR="002B0069" w:rsidRPr="001B3C5D" w:rsidRDefault="002B0069" w:rsidP="000246A3">
            <w:pPr>
              <w:rPr>
                <w:rFonts w:ascii="Verdana" w:eastAsia="Arial" w:hAnsi="Verdana" w:cs="Arial"/>
                <w:sz w:val="16"/>
                <w:szCs w:val="16"/>
                <w:lang w:val="es-ES" w:eastAsia="es-MX"/>
              </w:rPr>
            </w:pPr>
            <w:r>
              <w:rPr>
                <w:rFonts w:ascii="Verdana" w:eastAsia="Arial" w:hAnsi="Verdana" w:cs="Arial"/>
                <w:sz w:val="16"/>
                <w:szCs w:val="16"/>
                <w:lang w:val="es-ES" w:eastAsia="es-MX"/>
              </w:rPr>
              <w:t>Natalia Montoya Jiménez</w:t>
            </w:r>
          </w:p>
          <w:p w14:paraId="4E86966E" w14:textId="77777777" w:rsidR="002B0069" w:rsidRPr="001B3C5D" w:rsidRDefault="002B0069" w:rsidP="000246A3">
            <w:pPr>
              <w:rPr>
                <w:rFonts w:ascii="Verdana" w:eastAsia="Arial" w:hAnsi="Verdana" w:cs="Arial"/>
                <w:sz w:val="16"/>
                <w:szCs w:val="16"/>
                <w:lang w:val="es-ES_tradnl" w:eastAsia="es-MX"/>
              </w:rPr>
            </w:pPr>
            <w:r w:rsidRPr="001B3C5D">
              <w:rPr>
                <w:rFonts w:ascii="Verdana" w:eastAsia="Arial" w:hAnsi="Verdana" w:cs="Arial"/>
                <w:sz w:val="16"/>
                <w:szCs w:val="16"/>
                <w:lang w:val="es-ES_tradnl" w:eastAsia="es-MX"/>
              </w:rPr>
              <w:t>Gestor T1-15 de la Subdirección de Gestión Contractual</w:t>
            </w:r>
          </w:p>
          <w:p w14:paraId="1C45E3C3" w14:textId="77777777" w:rsidR="002B0069" w:rsidRPr="001B3C5D" w:rsidRDefault="002B0069" w:rsidP="000246A3">
            <w:pPr>
              <w:rPr>
                <w:rFonts w:ascii="Verdana" w:eastAsia="Arial" w:hAnsi="Verdana" w:cs="Arial"/>
                <w:sz w:val="16"/>
                <w:szCs w:val="16"/>
                <w:lang w:val="es-ES_tradnl" w:eastAsia="es-MX"/>
              </w:rPr>
            </w:pPr>
          </w:p>
        </w:tc>
      </w:tr>
      <w:tr w:rsidR="002B0069" w:rsidRPr="001B3C5D" w14:paraId="10F740DD" w14:textId="77777777" w:rsidTr="000246A3">
        <w:trPr>
          <w:trHeight w:val="338"/>
        </w:trPr>
        <w:tc>
          <w:tcPr>
            <w:tcW w:w="1041" w:type="dxa"/>
            <w:vAlign w:val="center"/>
            <w:hideMark/>
          </w:tcPr>
          <w:p w14:paraId="5D8F4C8A" w14:textId="77777777" w:rsidR="002B0069" w:rsidRPr="001B3C5D" w:rsidRDefault="002B0069" w:rsidP="000246A3">
            <w:pPr>
              <w:rPr>
                <w:rFonts w:ascii="Verdana" w:eastAsia="Calibri" w:hAnsi="Verdana" w:cs="Arial"/>
                <w:sz w:val="16"/>
                <w:szCs w:val="16"/>
                <w:lang w:val="es-ES_tradnl" w:eastAsia="es-ES"/>
              </w:rPr>
            </w:pPr>
            <w:r w:rsidRPr="001B3C5D">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5D7841CB" w14:textId="77777777" w:rsidR="002B0069" w:rsidRPr="001B3C5D" w:rsidRDefault="002B0069" w:rsidP="000246A3">
            <w:pPr>
              <w:rPr>
                <w:rFonts w:ascii="Verdana" w:eastAsia="Arial" w:hAnsi="Verdana" w:cs="Arial"/>
                <w:sz w:val="16"/>
                <w:szCs w:val="16"/>
                <w:lang w:val="es-ES" w:eastAsia="es-MX"/>
              </w:rPr>
            </w:pPr>
            <w:r>
              <w:rPr>
                <w:rFonts w:ascii="Verdana" w:eastAsia="Arial" w:hAnsi="Verdana" w:cs="Arial"/>
                <w:sz w:val="16"/>
                <w:szCs w:val="16"/>
                <w:lang w:val="es-ES" w:eastAsia="es-MX"/>
              </w:rPr>
              <w:t>Adriana Katherine López Rodriguez</w:t>
            </w:r>
          </w:p>
          <w:p w14:paraId="6980E5A8" w14:textId="77777777" w:rsidR="002B0069" w:rsidRPr="001B3C5D" w:rsidRDefault="002B0069" w:rsidP="000246A3">
            <w:pPr>
              <w:rPr>
                <w:rFonts w:ascii="Verdana" w:eastAsia="Arial" w:hAnsi="Verdana" w:cs="Arial"/>
                <w:sz w:val="16"/>
                <w:szCs w:val="16"/>
                <w:lang w:val="es-ES_tradnl" w:eastAsia="es-MX"/>
              </w:rPr>
            </w:pPr>
            <w:r w:rsidRPr="001B3C5D">
              <w:rPr>
                <w:rFonts w:ascii="Verdana" w:eastAsia="Arial" w:hAnsi="Verdana" w:cs="Arial"/>
                <w:sz w:val="16"/>
                <w:szCs w:val="16"/>
                <w:lang w:val="es-ES_tradnl" w:eastAsia="es-MX"/>
              </w:rPr>
              <w:t>Contratista de la Subdirección de Gestión Contractual</w:t>
            </w:r>
          </w:p>
        </w:tc>
      </w:tr>
      <w:tr w:rsidR="002B0069" w:rsidRPr="001B3C5D" w14:paraId="606B78E8" w14:textId="77777777" w:rsidTr="000246A3">
        <w:trPr>
          <w:trHeight w:val="308"/>
        </w:trPr>
        <w:tc>
          <w:tcPr>
            <w:tcW w:w="1041" w:type="dxa"/>
            <w:vAlign w:val="center"/>
          </w:tcPr>
          <w:p w14:paraId="78802829" w14:textId="77777777" w:rsidR="002B0069" w:rsidRPr="001B3C5D" w:rsidRDefault="002B0069" w:rsidP="000246A3">
            <w:pPr>
              <w:rPr>
                <w:rFonts w:ascii="Verdana" w:eastAsia="Calibri" w:hAnsi="Verdana" w:cs="Arial"/>
                <w:sz w:val="16"/>
                <w:szCs w:val="16"/>
                <w:lang w:val="es-ES_tradnl" w:eastAsia="es-ES"/>
              </w:rPr>
            </w:pPr>
            <w:r w:rsidRPr="001B3C5D">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6791B0D7" w14:textId="77777777" w:rsidR="002B0069" w:rsidRPr="001B3C5D" w:rsidRDefault="002B0069" w:rsidP="000246A3">
            <w:pPr>
              <w:rPr>
                <w:rFonts w:ascii="Verdana" w:eastAsia="Calibri" w:hAnsi="Verdana" w:cs="Arial"/>
                <w:sz w:val="16"/>
                <w:szCs w:val="16"/>
                <w:lang w:val="es-ES" w:eastAsia="es-ES"/>
              </w:rPr>
            </w:pPr>
            <w:r w:rsidRPr="001B3C5D">
              <w:rPr>
                <w:rFonts w:ascii="Verdana" w:eastAsia="Calibri" w:hAnsi="Verdana" w:cs="Arial"/>
                <w:sz w:val="16"/>
                <w:szCs w:val="16"/>
                <w:lang w:val="es-ES" w:eastAsia="es-ES"/>
              </w:rPr>
              <w:t>Carolina Quintero Gacharná</w:t>
            </w:r>
          </w:p>
          <w:p w14:paraId="5B3A235C" w14:textId="77777777" w:rsidR="002B0069" w:rsidRPr="001B3C5D" w:rsidRDefault="002B0069" w:rsidP="000246A3">
            <w:pPr>
              <w:rPr>
                <w:rFonts w:ascii="Verdana" w:eastAsia="Calibri" w:hAnsi="Verdana" w:cs="Arial"/>
                <w:sz w:val="16"/>
                <w:szCs w:val="16"/>
                <w:lang w:val="es-ES_tradnl" w:eastAsia="es-ES"/>
              </w:rPr>
            </w:pPr>
            <w:r w:rsidRPr="001B3C5D">
              <w:rPr>
                <w:rFonts w:ascii="Verdana" w:eastAsia="Calibri" w:hAnsi="Verdana" w:cs="Arial"/>
                <w:sz w:val="16"/>
                <w:szCs w:val="16"/>
                <w:lang w:val="es-ES_tradnl" w:eastAsia="es-ES"/>
              </w:rPr>
              <w:t>Subdirectora de Gestión Contractual ANCP – CCE</w:t>
            </w:r>
          </w:p>
        </w:tc>
      </w:tr>
    </w:tbl>
    <w:p w14:paraId="160A391F" w14:textId="77777777" w:rsidR="002B0069" w:rsidRPr="001B3C5D" w:rsidRDefault="002B0069" w:rsidP="002B0069">
      <w:pPr>
        <w:spacing w:after="0" w:line="240" w:lineRule="auto"/>
        <w:jc w:val="both"/>
        <w:textAlignment w:val="baseline"/>
        <w:rPr>
          <w:rFonts w:ascii="Verdana" w:eastAsia="Verdana" w:hAnsi="Verdana" w:cs="Verdana"/>
          <w:lang w:eastAsia="es-CO"/>
        </w:rPr>
      </w:pPr>
    </w:p>
    <w:p w14:paraId="213E0FC3" w14:textId="77777777" w:rsidR="002B0069" w:rsidRPr="00F16D67" w:rsidRDefault="002B0069" w:rsidP="002B0069">
      <w:pPr>
        <w:spacing w:after="0" w:line="240" w:lineRule="auto"/>
        <w:textAlignment w:val="baseline"/>
        <w:rPr>
          <w:rFonts w:ascii="Verdana" w:eastAsia="Verdana" w:hAnsi="Verdana" w:cs="Verdana"/>
          <w:lang w:eastAsia="es-CO"/>
        </w:rPr>
      </w:pPr>
    </w:p>
    <w:p w14:paraId="64EF79D7" w14:textId="76C3BBB8" w:rsidR="002B0069" w:rsidRDefault="002B0069" w:rsidP="002B0069"/>
    <w:bookmarkEnd w:id="0"/>
    <w:p w14:paraId="52220A51" w14:textId="77777777" w:rsidR="002B0069" w:rsidRPr="008D6F33" w:rsidRDefault="002B0069" w:rsidP="002B0069">
      <w:pPr>
        <w:spacing w:after="0" w:line="240" w:lineRule="auto"/>
        <w:textAlignment w:val="baseline"/>
        <w:rPr>
          <w:rFonts w:ascii="Verdana" w:eastAsia="Verdana" w:hAnsi="Verdana" w:cs="Verdana"/>
          <w:lang w:eastAsia="es-CO"/>
        </w:rPr>
      </w:pPr>
    </w:p>
    <w:p w14:paraId="7EF29DC3" w14:textId="77777777" w:rsidR="002B0069" w:rsidRPr="00A13901" w:rsidRDefault="002B0069" w:rsidP="002B0069"/>
    <w:p w14:paraId="23A1CA7E" w14:textId="77777777" w:rsidR="002B0069" w:rsidRDefault="002B0069"/>
    <w:sectPr w:rsidR="002B0069" w:rsidSect="002B0069">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25B7" w14:textId="77777777" w:rsidR="007B13C2" w:rsidRDefault="007B13C2" w:rsidP="002B0069">
      <w:pPr>
        <w:spacing w:after="0" w:line="240" w:lineRule="auto"/>
      </w:pPr>
      <w:r>
        <w:separator/>
      </w:r>
    </w:p>
  </w:endnote>
  <w:endnote w:type="continuationSeparator" w:id="0">
    <w:p w14:paraId="21C8BCB0" w14:textId="77777777" w:rsidR="007B13C2" w:rsidRDefault="007B13C2" w:rsidP="002B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7575" w14:textId="77777777" w:rsidR="002B0069" w:rsidRDefault="002B0069">
    <w:pPr>
      <w:pStyle w:val="Piedepgina"/>
    </w:pPr>
  </w:p>
  <w:p w14:paraId="53F1EC09" w14:textId="77777777" w:rsidR="002B0069" w:rsidRPr="00174B77" w:rsidRDefault="002B0069"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2F8E9A5" w14:textId="77777777" w:rsidR="002B0069" w:rsidRDefault="002B0069"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22280049" w14:textId="77777777" w:rsidR="002B0069" w:rsidRPr="00E41027" w:rsidRDefault="002B0069"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39FC3D7" w14:textId="77777777" w:rsidR="002B0069" w:rsidRDefault="002B0069"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19FF" w14:textId="77777777" w:rsidR="007B13C2" w:rsidRDefault="007B13C2" w:rsidP="002B0069">
      <w:pPr>
        <w:spacing w:after="0" w:line="240" w:lineRule="auto"/>
      </w:pPr>
      <w:r>
        <w:separator/>
      </w:r>
    </w:p>
  </w:footnote>
  <w:footnote w:type="continuationSeparator" w:id="0">
    <w:p w14:paraId="62BA0A6B" w14:textId="77777777" w:rsidR="007B13C2" w:rsidRDefault="007B13C2" w:rsidP="002B0069">
      <w:pPr>
        <w:spacing w:after="0" w:line="240" w:lineRule="auto"/>
      </w:pPr>
      <w:r>
        <w:continuationSeparator/>
      </w:r>
    </w:p>
  </w:footnote>
  <w:footnote w:id="1">
    <w:p w14:paraId="73C2BD3B" w14:textId="77777777" w:rsidR="002B0069" w:rsidRDefault="002B0069" w:rsidP="002B0069">
      <w:pPr>
        <w:pStyle w:val="Textonotapie"/>
        <w:ind w:firstLine="708"/>
        <w:jc w:val="both"/>
      </w:pPr>
      <w:r>
        <w:rPr>
          <w:rStyle w:val="Refdenotaalpie"/>
        </w:rPr>
        <w:footnoteRef/>
      </w:r>
      <w:r>
        <w:t xml:space="preserve"> </w:t>
      </w:r>
      <w:r w:rsidRPr="00ED14E2">
        <w:rPr>
          <w:rFonts w:ascii="Verdana" w:hAnsi="Verdana"/>
          <w:sz w:val="16"/>
          <w:szCs w:val="16"/>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footnote>
  <w:footnote w:id="2">
    <w:p w14:paraId="10E2818A" w14:textId="77777777" w:rsidR="002B0069" w:rsidRDefault="002B0069" w:rsidP="002B0069">
      <w:pPr>
        <w:pStyle w:val="Textonotapie"/>
        <w:ind w:firstLine="708"/>
        <w:rPr>
          <w:rFonts w:ascii="Verdana" w:hAnsi="Verdana"/>
          <w:sz w:val="16"/>
          <w:szCs w:val="16"/>
        </w:rPr>
      </w:pPr>
      <w:r>
        <w:rPr>
          <w:rStyle w:val="Refdenotaalpie"/>
        </w:rPr>
        <w:footnoteRef/>
      </w:r>
      <w:r>
        <w:t xml:space="preserve"> </w:t>
      </w:r>
      <w:r w:rsidRPr="00ED14E2">
        <w:rPr>
          <w:rFonts w:ascii="Verdana" w:hAnsi="Verdana"/>
          <w:sz w:val="16"/>
          <w:szCs w:val="16"/>
        </w:rPr>
        <w:t>Corte Constitucional. Sentencia C-154 de 1997. M.P. Hernando Herrera Vergara.</w:t>
      </w:r>
    </w:p>
    <w:p w14:paraId="5C903D69" w14:textId="77777777" w:rsidR="002B0069" w:rsidRDefault="002B0069" w:rsidP="002B0069">
      <w:pPr>
        <w:pStyle w:val="Textonotapie"/>
        <w:ind w:firstLine="708"/>
      </w:pPr>
    </w:p>
  </w:footnote>
  <w:footnote w:id="3">
    <w:p w14:paraId="2490BA6A" w14:textId="77777777" w:rsidR="002B0069" w:rsidRDefault="002B0069" w:rsidP="002B0069">
      <w:pPr>
        <w:pStyle w:val="Textonotapie"/>
        <w:ind w:firstLine="708"/>
        <w:rPr>
          <w:lang w:val="es-CO"/>
        </w:rPr>
      </w:pPr>
      <w:r>
        <w:rPr>
          <w:rStyle w:val="Refdenotaalpie"/>
        </w:rPr>
        <w:footnoteRef/>
      </w:r>
      <w:r>
        <w:t xml:space="preserve"> </w:t>
      </w:r>
      <w:r w:rsidRPr="00871A3E">
        <w:rPr>
          <w:rFonts w:ascii="Verdana" w:hAnsi="Verdana"/>
          <w:sz w:val="16"/>
          <w:szCs w:val="16"/>
          <w:lang w:val="es-CO"/>
        </w:rPr>
        <w:t>Consejo de Estado. Sección Tercera. Subsección C. Sentencia del 2 de diciembre de 2013. Exp. 41719. C.P. Jaime Orlando Santofimio Gamboa</w:t>
      </w:r>
      <w:r w:rsidRPr="00871A3E">
        <w:rPr>
          <w:lang w:val="es-CO"/>
        </w:rPr>
        <w:t>.</w:t>
      </w:r>
    </w:p>
    <w:p w14:paraId="5F4C431B" w14:textId="77777777" w:rsidR="002B0069" w:rsidRDefault="002B0069" w:rsidP="002B0069">
      <w:pPr>
        <w:pStyle w:val="Textonotapie"/>
        <w:ind w:firstLine="708"/>
      </w:pPr>
    </w:p>
  </w:footnote>
  <w:footnote w:id="4">
    <w:p w14:paraId="0BB75168" w14:textId="77777777" w:rsidR="002B0069" w:rsidRDefault="002B0069" w:rsidP="002B0069">
      <w:pPr>
        <w:pStyle w:val="Textonotapie"/>
        <w:ind w:firstLine="708"/>
        <w:rPr>
          <w:rFonts w:ascii="Verdana" w:hAnsi="Verdana"/>
          <w:sz w:val="16"/>
          <w:szCs w:val="16"/>
        </w:rPr>
      </w:pPr>
      <w:r>
        <w:rPr>
          <w:rStyle w:val="Refdenotaalpie"/>
        </w:rPr>
        <w:footnoteRef/>
      </w:r>
      <w:r>
        <w:t xml:space="preserve"> </w:t>
      </w:r>
      <w:r w:rsidRPr="005E13D6">
        <w:rPr>
          <w:rFonts w:ascii="Verdana" w:hAnsi="Verdana"/>
          <w:sz w:val="16"/>
          <w:szCs w:val="16"/>
        </w:rPr>
        <w:t>Corte Constitucional. Sentencia C-154 de 1997. M.P. Hernando Herrera Vergara.</w:t>
      </w:r>
    </w:p>
    <w:p w14:paraId="12BABA28" w14:textId="77777777" w:rsidR="002B0069" w:rsidRDefault="002B0069" w:rsidP="002B0069">
      <w:pPr>
        <w:pStyle w:val="Textonotapie"/>
        <w:ind w:firstLine="708"/>
      </w:pPr>
    </w:p>
  </w:footnote>
  <w:footnote w:id="5">
    <w:p w14:paraId="20844CED" w14:textId="77777777" w:rsidR="002B0069" w:rsidRDefault="002B0069" w:rsidP="002B0069">
      <w:pPr>
        <w:pStyle w:val="Textonotapie"/>
        <w:ind w:firstLine="708"/>
        <w:jc w:val="both"/>
        <w:rPr>
          <w:rFonts w:ascii="Verdana" w:hAnsi="Verdana"/>
          <w:sz w:val="16"/>
          <w:szCs w:val="16"/>
          <w:lang w:val="es-CO"/>
        </w:rPr>
      </w:pPr>
      <w:r w:rsidRPr="002B6954">
        <w:rPr>
          <w:rStyle w:val="Refdenotaalpie"/>
          <w:rFonts w:ascii="Verdana" w:hAnsi="Verdana"/>
          <w:sz w:val="16"/>
          <w:szCs w:val="16"/>
        </w:rPr>
        <w:footnoteRef/>
      </w:r>
      <w:r w:rsidRPr="002B6954">
        <w:rPr>
          <w:rFonts w:ascii="Verdana" w:hAnsi="Verdana"/>
          <w:sz w:val="16"/>
          <w:szCs w:val="16"/>
        </w:rPr>
        <w:t xml:space="preserve"> </w:t>
      </w:r>
      <w:r w:rsidRPr="002B6954">
        <w:rPr>
          <w:rFonts w:ascii="Verdana" w:hAnsi="Verdana"/>
          <w:sz w:val="16"/>
          <w:szCs w:val="16"/>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0E87E303" w14:textId="77777777" w:rsidR="002B0069" w:rsidRPr="002B6954" w:rsidRDefault="002B0069" w:rsidP="002B0069">
      <w:pPr>
        <w:pStyle w:val="Textonotapie"/>
        <w:ind w:firstLine="708"/>
        <w:jc w:val="both"/>
        <w:rPr>
          <w:rFonts w:ascii="Verdana" w:hAnsi="Verdana"/>
        </w:rPr>
      </w:pPr>
      <w:r w:rsidRPr="002B6954">
        <w:rPr>
          <w:rFonts w:ascii="Verdana" w:hAnsi="Verdana"/>
          <w:sz w:val="16"/>
          <w:szCs w:val="16"/>
          <w:lang w:val="es-CO"/>
        </w:rPr>
        <w:t xml:space="preserve"> </w:t>
      </w:r>
    </w:p>
  </w:footnote>
  <w:footnote w:id="6">
    <w:p w14:paraId="0E1CA570" w14:textId="77777777" w:rsidR="002B0069" w:rsidRDefault="002B0069" w:rsidP="002B0069">
      <w:pPr>
        <w:pStyle w:val="Textonotapie"/>
        <w:ind w:firstLine="708"/>
        <w:jc w:val="both"/>
        <w:rPr>
          <w:rFonts w:ascii="Verdana" w:hAnsi="Verdana"/>
          <w:sz w:val="16"/>
          <w:szCs w:val="16"/>
          <w:lang w:val="es-CO"/>
        </w:rPr>
      </w:pPr>
      <w:r>
        <w:rPr>
          <w:rStyle w:val="Refdenotaalpie"/>
        </w:rPr>
        <w:footnoteRef/>
      </w:r>
      <w:r>
        <w:t xml:space="preserve"> </w:t>
      </w:r>
      <w:r w:rsidRPr="00096516">
        <w:rPr>
          <w:rFonts w:ascii="Verdana" w:hAnsi="Verdana"/>
          <w:sz w:val="16"/>
          <w:szCs w:val="16"/>
          <w:lang w:val="es-CO"/>
        </w:rPr>
        <w:t>Consejo de Estado. Sección Tercera. Subsección C. Sentencia del 2 de diciembre de 2013. Exp. 41719. C.P. Jaime Orlando Santofimio Gamboa.</w:t>
      </w:r>
    </w:p>
    <w:p w14:paraId="7C0367C4" w14:textId="77777777" w:rsidR="002B0069" w:rsidRPr="00096516" w:rsidRDefault="002B0069" w:rsidP="002B0069">
      <w:pPr>
        <w:pStyle w:val="Textonotapie"/>
        <w:ind w:firstLine="708"/>
        <w:jc w:val="both"/>
        <w:rPr>
          <w:rFonts w:ascii="Verdana" w:hAnsi="Verdana"/>
          <w:sz w:val="16"/>
          <w:szCs w:val="16"/>
          <w:lang w:val="es-CO"/>
        </w:rPr>
      </w:pPr>
    </w:p>
  </w:footnote>
  <w:footnote w:id="7">
    <w:p w14:paraId="29B0BF3E" w14:textId="77777777" w:rsidR="002B0069" w:rsidRPr="00F65B56" w:rsidRDefault="002B0069" w:rsidP="002B0069">
      <w:pPr>
        <w:pStyle w:val="Textonotapie"/>
        <w:ind w:firstLine="708"/>
        <w:jc w:val="both"/>
        <w:rPr>
          <w:rFonts w:ascii="Verdana" w:hAnsi="Verdana"/>
          <w:sz w:val="16"/>
          <w:szCs w:val="16"/>
          <w:lang w:val="es-CO"/>
        </w:rPr>
      </w:pPr>
      <w:r>
        <w:rPr>
          <w:rStyle w:val="Refdenotaalpie"/>
        </w:rPr>
        <w:footnoteRef/>
      </w:r>
      <w:r>
        <w:t xml:space="preserve"> </w:t>
      </w:r>
      <w:r w:rsidRPr="00F65B56">
        <w:rPr>
          <w:rFonts w:ascii="Verdana" w:hAnsi="Verdana"/>
          <w:sz w:val="16"/>
          <w:szCs w:val="16"/>
          <w:lang w:val="es-CO"/>
        </w:rPr>
        <w:t xml:space="preserve">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w:t>
      </w:r>
      <w:r>
        <w:rPr>
          <w:rFonts w:ascii="Verdana" w:hAnsi="Verdana"/>
          <w:sz w:val="16"/>
          <w:szCs w:val="16"/>
          <w:lang w:val="es-CO"/>
        </w:rPr>
        <w:t>programas</w:t>
      </w:r>
      <w:r w:rsidRPr="00F65B56">
        <w:rPr>
          <w:rFonts w:ascii="Verdana" w:hAnsi="Verdana"/>
          <w:sz w:val="16"/>
          <w:szCs w:val="16"/>
          <w:lang w:val="es-CO"/>
        </w:rPr>
        <w:t xml:space="preserve"> o proyectos específicos, así como a las asesorías técnicas de coordinación, control y supervisión. </w:t>
      </w:r>
    </w:p>
    <w:p w14:paraId="7CA57CDE" w14:textId="77777777" w:rsidR="002B0069" w:rsidRPr="00F65B56" w:rsidRDefault="002B0069" w:rsidP="002B0069">
      <w:pPr>
        <w:pStyle w:val="Textonotapie"/>
        <w:jc w:val="both"/>
        <w:rPr>
          <w:rFonts w:ascii="Verdana" w:hAnsi="Verdana"/>
          <w:sz w:val="16"/>
          <w:szCs w:val="16"/>
          <w:lang w:val="es-CO"/>
        </w:rPr>
      </w:pPr>
      <w:r w:rsidRPr="00F65B56">
        <w:rPr>
          <w:rFonts w:ascii="Verdana" w:hAnsi="Verdana"/>
          <w:sz w:val="16"/>
          <w:szCs w:val="16"/>
          <w:lang w:val="es-CO"/>
        </w:rPr>
        <w:t xml:space="preserve">Son también contratos de consultoría los que tienen por objeto la interventoría, asesoría, gerencia de obra o de proyectos, dirección, programación y la ejecución de diseños, planos, anteproyectos y proyectos. </w:t>
      </w:r>
    </w:p>
    <w:p w14:paraId="73B45E8F" w14:textId="77777777" w:rsidR="002B0069" w:rsidRPr="00F65B56" w:rsidRDefault="002B0069" w:rsidP="002B0069">
      <w:pPr>
        <w:pStyle w:val="Textonotapie"/>
        <w:jc w:val="both"/>
        <w:rPr>
          <w:rFonts w:ascii="Verdana" w:hAnsi="Verdana"/>
          <w:sz w:val="16"/>
          <w:szCs w:val="16"/>
          <w:lang w:val="es-CO"/>
        </w:rPr>
      </w:pPr>
      <w:r w:rsidRPr="00F65B56">
        <w:rPr>
          <w:rFonts w:ascii="Verdana" w:hAnsi="Verdana"/>
          <w:sz w:val="16"/>
          <w:szCs w:val="16"/>
          <w:lang w:val="es-CO"/>
        </w:rPr>
        <w:t>Ninguna orden del interventor de una obra podrá darse verbalmente. Es obligatorio para el interventor entregar por escrito sus órdenes o sugerencias y ellas deben enmarcarse dentro de los términos del respectivo contrato”.</w:t>
      </w:r>
    </w:p>
  </w:footnote>
  <w:footnote w:id="8">
    <w:p w14:paraId="699C9559" w14:textId="77777777" w:rsidR="002B0069" w:rsidRPr="00BD42EF" w:rsidRDefault="002B0069" w:rsidP="002B0069">
      <w:pPr>
        <w:pStyle w:val="Textonotapie"/>
        <w:ind w:firstLine="708"/>
        <w:jc w:val="both"/>
        <w:rPr>
          <w:rFonts w:ascii="Verdana" w:hAnsi="Verdana"/>
          <w:sz w:val="16"/>
          <w:szCs w:val="16"/>
          <w:lang w:val="es-CO"/>
        </w:rPr>
      </w:pPr>
      <w:r>
        <w:rPr>
          <w:rStyle w:val="Refdenotaalpie"/>
        </w:rPr>
        <w:footnoteRef/>
      </w:r>
      <w:r>
        <w:t xml:space="preserve"> </w:t>
      </w:r>
      <w:r w:rsidRPr="00BD42EF">
        <w:rPr>
          <w:rFonts w:ascii="Verdana" w:hAnsi="Verdana"/>
          <w:sz w:val="16"/>
          <w:szCs w:val="16"/>
          <w:lang w:val="es-CO"/>
        </w:rPr>
        <w:t xml:space="preserve">Así lo prevé el artículo 2.2.1.2.1.4.1. del Decreto 1082 de 2015: “La Entidad Estatal debe señalar en un acto administrativo la justificación para contratar bajo la modalidad de contratación directa, el cual debe contener: </w:t>
      </w:r>
    </w:p>
    <w:p w14:paraId="371A6BD9" w14:textId="77777777" w:rsidR="002B0069" w:rsidRPr="00BD42EF" w:rsidRDefault="002B0069" w:rsidP="002B0069">
      <w:pPr>
        <w:pStyle w:val="Textonotapie"/>
        <w:ind w:left="851"/>
        <w:jc w:val="both"/>
        <w:rPr>
          <w:rFonts w:ascii="Verdana" w:hAnsi="Verdana"/>
          <w:sz w:val="16"/>
          <w:szCs w:val="16"/>
          <w:lang w:val="es-CO"/>
        </w:rPr>
      </w:pPr>
      <w:r w:rsidRPr="00BD42EF">
        <w:rPr>
          <w:rFonts w:ascii="Verdana" w:hAnsi="Verdana"/>
          <w:sz w:val="16"/>
          <w:szCs w:val="16"/>
          <w:lang w:val="es-CO"/>
        </w:rPr>
        <w:t xml:space="preserve">1. La causal que invoca para contratar directamente. </w:t>
      </w:r>
    </w:p>
    <w:p w14:paraId="0BA8289F" w14:textId="77777777" w:rsidR="002B0069" w:rsidRPr="00BD42EF" w:rsidRDefault="002B0069" w:rsidP="002B0069">
      <w:pPr>
        <w:pStyle w:val="Textonotapie"/>
        <w:ind w:left="851"/>
        <w:jc w:val="both"/>
        <w:rPr>
          <w:rFonts w:ascii="Verdana" w:hAnsi="Verdana"/>
          <w:sz w:val="16"/>
          <w:szCs w:val="16"/>
          <w:lang w:val="es-CO"/>
        </w:rPr>
      </w:pPr>
      <w:r w:rsidRPr="00BD42EF">
        <w:rPr>
          <w:rFonts w:ascii="Verdana" w:hAnsi="Verdana"/>
          <w:sz w:val="16"/>
          <w:szCs w:val="16"/>
          <w:lang w:val="es-CO"/>
        </w:rPr>
        <w:t xml:space="preserve">2. El objeto del contrato. </w:t>
      </w:r>
    </w:p>
    <w:p w14:paraId="4D2B057F" w14:textId="77777777" w:rsidR="002B0069" w:rsidRPr="00BD42EF" w:rsidRDefault="002B0069" w:rsidP="002B0069">
      <w:pPr>
        <w:pStyle w:val="Textonotapie"/>
        <w:ind w:left="851"/>
        <w:jc w:val="both"/>
        <w:rPr>
          <w:rFonts w:ascii="Verdana" w:hAnsi="Verdana"/>
          <w:sz w:val="16"/>
          <w:szCs w:val="16"/>
          <w:lang w:val="es-CO"/>
        </w:rPr>
      </w:pPr>
      <w:r w:rsidRPr="00BD42EF">
        <w:rPr>
          <w:rFonts w:ascii="Verdana" w:hAnsi="Verdana"/>
          <w:sz w:val="16"/>
          <w:szCs w:val="16"/>
          <w:lang w:val="es-CO"/>
        </w:rPr>
        <w:t xml:space="preserve">3. El presupuesto para la contratación y las condiciones que exigirá al contratista. </w:t>
      </w:r>
    </w:p>
    <w:p w14:paraId="067EB9A6" w14:textId="77777777" w:rsidR="002B0069" w:rsidRDefault="002B0069" w:rsidP="002B0069">
      <w:pPr>
        <w:pStyle w:val="Textonotapie"/>
        <w:ind w:left="851"/>
        <w:jc w:val="both"/>
        <w:rPr>
          <w:rFonts w:ascii="Verdana" w:hAnsi="Verdana"/>
          <w:sz w:val="16"/>
          <w:szCs w:val="16"/>
          <w:lang w:val="es-CO"/>
        </w:rPr>
      </w:pPr>
      <w:r w:rsidRPr="00BD42EF">
        <w:rPr>
          <w:rFonts w:ascii="Verdana" w:hAnsi="Verdana"/>
          <w:sz w:val="16"/>
          <w:szCs w:val="16"/>
          <w:lang w:val="es-CO"/>
        </w:rPr>
        <w:t>4. El lugar en el cual los interesados pueden consultar los estudios y documentos previos.</w:t>
      </w:r>
    </w:p>
    <w:p w14:paraId="46A4C6FB" w14:textId="77777777" w:rsidR="002B0069" w:rsidRDefault="002B0069" w:rsidP="002B0069">
      <w:pPr>
        <w:pStyle w:val="Textonotapie"/>
        <w:jc w:val="both"/>
        <w:rPr>
          <w:rFonts w:ascii="Verdana" w:hAnsi="Verdana"/>
          <w:sz w:val="16"/>
          <w:szCs w:val="16"/>
          <w:lang w:val="es-CO"/>
        </w:rPr>
      </w:pPr>
      <w:r w:rsidRPr="00320EB7">
        <w:rPr>
          <w:rFonts w:ascii="Verdana" w:hAnsi="Verdana"/>
          <w:sz w:val="16"/>
          <w:szCs w:val="16"/>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3A72756F" w14:textId="77777777" w:rsidR="002B0069" w:rsidRPr="00BD42EF" w:rsidRDefault="002B0069" w:rsidP="002B0069">
      <w:pPr>
        <w:pStyle w:val="Textonotapie"/>
        <w:ind w:left="851"/>
        <w:rPr>
          <w:rFonts w:ascii="Verdana" w:hAnsi="Verdana"/>
          <w:sz w:val="16"/>
          <w:szCs w:val="16"/>
        </w:rPr>
      </w:pPr>
    </w:p>
  </w:footnote>
  <w:footnote w:id="9">
    <w:p w14:paraId="540FEC87" w14:textId="77777777" w:rsidR="002B0069" w:rsidRPr="005D701F" w:rsidRDefault="002B0069" w:rsidP="002B0069">
      <w:pPr>
        <w:pStyle w:val="Textonotapie"/>
        <w:ind w:firstLine="708"/>
        <w:jc w:val="both"/>
        <w:rPr>
          <w:rFonts w:ascii="Verdana" w:hAnsi="Verdana"/>
          <w:sz w:val="16"/>
          <w:szCs w:val="16"/>
          <w:lang w:val="es-CO"/>
        </w:rPr>
      </w:pPr>
      <w:r>
        <w:rPr>
          <w:rStyle w:val="Refdenotaalpie"/>
        </w:rPr>
        <w:footnoteRef/>
      </w:r>
      <w:r>
        <w:t xml:space="preserve"> </w:t>
      </w:r>
      <w:r w:rsidRPr="005D701F">
        <w:rPr>
          <w:rFonts w:ascii="Verdana" w:hAnsi="Verdana"/>
          <w:sz w:val="16"/>
          <w:szCs w:val="16"/>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01F1E2A5" w14:textId="77777777" w:rsidR="002B0069" w:rsidRDefault="002B0069" w:rsidP="002B0069">
      <w:pPr>
        <w:pStyle w:val="Textonotapie"/>
        <w:jc w:val="both"/>
        <w:rPr>
          <w:rFonts w:ascii="Verdana" w:hAnsi="Verdana"/>
          <w:sz w:val="16"/>
          <w:szCs w:val="16"/>
          <w:lang w:val="es-CO"/>
        </w:rPr>
      </w:pPr>
      <w:r w:rsidRPr="005D701F">
        <w:rPr>
          <w:rFonts w:ascii="Verdana" w:hAnsi="Verdana"/>
          <w:sz w:val="16"/>
          <w:szCs w:val="16"/>
          <w:lang w:val="es-CO"/>
        </w:rPr>
        <w:t>Las entidades estatales podrán pactar estas cláusulas en los contratos de suministro y de</w:t>
      </w:r>
      <w:r>
        <w:rPr>
          <w:rFonts w:ascii="Verdana" w:hAnsi="Verdana"/>
          <w:sz w:val="16"/>
          <w:szCs w:val="16"/>
          <w:lang w:val="es-CO"/>
        </w:rPr>
        <w:t xml:space="preserve"> </w:t>
      </w:r>
      <w:r w:rsidRPr="005D701F">
        <w:rPr>
          <w:rFonts w:ascii="Verdana" w:hAnsi="Verdana"/>
          <w:sz w:val="16"/>
          <w:szCs w:val="16"/>
          <w:lang w:val="es-CO"/>
        </w:rPr>
        <w:t>prestación de servicios. […]”.</w:t>
      </w:r>
    </w:p>
    <w:p w14:paraId="37908120" w14:textId="77777777" w:rsidR="002B0069" w:rsidRPr="005D701F" w:rsidRDefault="002B0069" w:rsidP="002B0069">
      <w:pPr>
        <w:pStyle w:val="Textonotapie"/>
        <w:jc w:val="both"/>
        <w:rPr>
          <w:rFonts w:ascii="Verdana" w:hAnsi="Verdana"/>
          <w:sz w:val="16"/>
          <w:szCs w:val="16"/>
          <w:lang w:val="es-CO"/>
        </w:rPr>
      </w:pPr>
    </w:p>
  </w:footnote>
  <w:footnote w:id="10">
    <w:p w14:paraId="3DB67069" w14:textId="77777777" w:rsidR="002B0069" w:rsidRDefault="002B0069" w:rsidP="002B0069">
      <w:pPr>
        <w:pStyle w:val="Textonotapie"/>
        <w:ind w:firstLine="708"/>
        <w:rPr>
          <w:rFonts w:ascii="Verdana" w:hAnsi="Verdana"/>
          <w:sz w:val="16"/>
          <w:szCs w:val="16"/>
          <w:lang w:val="es-CO"/>
        </w:rPr>
      </w:pPr>
      <w:r>
        <w:rPr>
          <w:rStyle w:val="Refdenotaalpie"/>
        </w:rPr>
        <w:footnoteRef/>
      </w:r>
      <w:r>
        <w:t xml:space="preserve"> </w:t>
      </w:r>
      <w:r w:rsidRPr="00337C72">
        <w:rPr>
          <w:rFonts w:ascii="Verdana" w:hAnsi="Verdana"/>
          <w:sz w:val="16"/>
          <w:szCs w:val="16"/>
          <w:lang w:val="es-CO"/>
        </w:rPr>
        <w:t>La norma dispone: “La liquidación a que se refiere el presente artículo no será obligatoria en los contratos de prestación de servicios profesionales y de apoyo a la gestión”.</w:t>
      </w:r>
    </w:p>
    <w:p w14:paraId="1B033713" w14:textId="77777777" w:rsidR="002B0069" w:rsidRPr="00337C72" w:rsidRDefault="002B0069" w:rsidP="002B0069">
      <w:pPr>
        <w:pStyle w:val="Textonotapie"/>
        <w:ind w:firstLine="708"/>
        <w:rPr>
          <w:rFonts w:ascii="Verdana" w:hAnsi="Verdana"/>
          <w:sz w:val="16"/>
          <w:szCs w:val="16"/>
          <w:lang w:val="es-CO"/>
        </w:rPr>
      </w:pPr>
    </w:p>
  </w:footnote>
  <w:footnote w:id="11">
    <w:p w14:paraId="65649FF4" w14:textId="77777777" w:rsidR="002B0069" w:rsidRDefault="002B0069" w:rsidP="002B0069">
      <w:pPr>
        <w:pStyle w:val="Textonotapie"/>
        <w:ind w:firstLine="708"/>
        <w:jc w:val="both"/>
        <w:rPr>
          <w:rFonts w:ascii="Verdana" w:hAnsi="Verdana"/>
          <w:sz w:val="16"/>
          <w:szCs w:val="16"/>
          <w:lang w:val="es-CO"/>
        </w:rPr>
      </w:pPr>
      <w:r>
        <w:rPr>
          <w:rStyle w:val="Refdenotaalpie"/>
        </w:rPr>
        <w:footnoteRef/>
      </w:r>
      <w:r>
        <w:t xml:space="preserve"> </w:t>
      </w:r>
      <w:r w:rsidRPr="007C3C76">
        <w:rPr>
          <w:rFonts w:ascii="Verdana" w:hAnsi="Verdana"/>
          <w:sz w:val="16"/>
          <w:szCs w:val="16"/>
          <w:lang w:val="es-CO"/>
        </w:rPr>
        <w:t xml:space="preserve">Según dicho artículo “Todas las personas naturales o jurídicas nacionales o extranjeras domiciliadas o con </w:t>
      </w:r>
      <w:r w:rsidRPr="00C72595">
        <w:rPr>
          <w:rFonts w:ascii="Verdana" w:hAnsi="Verdana"/>
          <w:sz w:val="16"/>
          <w:szCs w:val="16"/>
          <w:lang w:val="es-CO"/>
        </w:rPr>
        <w:t>sucursal en Colombia, que aspiren a celebrar contratos con las entidades estatales, se inscribirán en el Registro Único de Proponentes del Registro Único Empresarial de la Cámara de Comercio con jurisdicción en su domicilio principal. […]”.</w:t>
      </w:r>
    </w:p>
    <w:p w14:paraId="60593B7D" w14:textId="77777777" w:rsidR="002B0069" w:rsidRPr="00C72595" w:rsidRDefault="002B0069" w:rsidP="002B0069">
      <w:pPr>
        <w:pStyle w:val="Textonotapie"/>
        <w:ind w:firstLine="708"/>
        <w:jc w:val="both"/>
        <w:rPr>
          <w:rFonts w:ascii="Verdana" w:hAnsi="Verdana"/>
          <w:sz w:val="16"/>
          <w:szCs w:val="16"/>
          <w:lang w:val="es-CO"/>
        </w:rPr>
      </w:pPr>
    </w:p>
  </w:footnote>
  <w:footnote w:id="12">
    <w:p w14:paraId="5A4C212C" w14:textId="77777777" w:rsidR="002B0069" w:rsidRDefault="002B0069" w:rsidP="002B0069">
      <w:pPr>
        <w:pStyle w:val="Textonotapie"/>
        <w:ind w:firstLine="708"/>
        <w:jc w:val="both"/>
        <w:rPr>
          <w:rFonts w:ascii="Verdana" w:hAnsi="Verdana"/>
          <w:sz w:val="16"/>
          <w:szCs w:val="16"/>
          <w:lang w:val="es-CO"/>
        </w:rPr>
      </w:pPr>
      <w:r>
        <w:rPr>
          <w:rStyle w:val="Refdenotaalpie"/>
        </w:rPr>
        <w:footnoteRef/>
      </w:r>
      <w:r>
        <w:t xml:space="preserve"> </w:t>
      </w:r>
      <w:r w:rsidRPr="000D35F8">
        <w:rPr>
          <w:rFonts w:ascii="Verdana" w:hAnsi="Verdana"/>
          <w:sz w:val="16"/>
          <w:szCs w:val="16"/>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35A16B01" w14:textId="77777777" w:rsidR="002B0069" w:rsidRPr="000D35F8" w:rsidRDefault="002B0069" w:rsidP="002B0069">
      <w:pPr>
        <w:pStyle w:val="Textonotapie"/>
        <w:ind w:firstLine="708"/>
        <w:jc w:val="both"/>
        <w:rPr>
          <w:rFonts w:ascii="Verdana" w:hAnsi="Verdana"/>
          <w:sz w:val="16"/>
          <w:szCs w:val="16"/>
          <w:lang w:val="es-CO"/>
        </w:rPr>
      </w:pPr>
    </w:p>
  </w:footnote>
  <w:footnote w:id="13">
    <w:p w14:paraId="0C92CCEC" w14:textId="77777777" w:rsidR="002B0069" w:rsidRPr="0006348E" w:rsidRDefault="002B0069" w:rsidP="002B0069">
      <w:pPr>
        <w:pBdr>
          <w:top w:val="nil"/>
          <w:left w:val="nil"/>
          <w:bottom w:val="nil"/>
          <w:right w:val="nil"/>
          <w:between w:val="nil"/>
        </w:pBdr>
        <w:ind w:firstLine="708"/>
        <w:rPr>
          <w:rFonts w:ascii="Verdana" w:eastAsia="Century Gothic" w:hAnsi="Verdana" w:cs="Century Gothic"/>
          <w:color w:val="000000"/>
          <w:sz w:val="18"/>
          <w:szCs w:val="18"/>
        </w:rPr>
      </w:pPr>
      <w:r w:rsidRPr="003150A9">
        <w:rPr>
          <w:rFonts w:ascii="Verdana" w:hAnsi="Verdana"/>
          <w:sz w:val="18"/>
          <w:szCs w:val="18"/>
          <w:vertAlign w:val="superscript"/>
        </w:rPr>
        <w:footnoteRef/>
      </w:r>
      <w:r w:rsidRPr="003150A9">
        <w:rPr>
          <w:rFonts w:ascii="Verdana" w:eastAsia="Century Gothic" w:hAnsi="Verdana" w:cs="Century Gothic"/>
          <w:color w:val="000000"/>
          <w:sz w:val="18"/>
          <w:szCs w:val="18"/>
        </w:rPr>
        <w:t xml:space="preserve"> Concepto C-975 del 08 de marzo del 2023</w:t>
      </w:r>
      <w:r>
        <w:rPr>
          <w:rFonts w:ascii="Verdana" w:eastAsia="Century Gothic" w:hAnsi="Verdana" w:cs="Century Gothic"/>
          <w:color w:val="000000"/>
          <w:sz w:val="18"/>
          <w:szCs w:val="18"/>
        </w:rPr>
        <w:t xml:space="preserve">. Colombia Compra Eficiente.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3F1D" w14:textId="77777777" w:rsidR="002B0069" w:rsidRDefault="002B0069"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37AC405D" wp14:editId="662E0D38">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0FBE0A98" wp14:editId="08A91641">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49E4362" w14:textId="77777777" w:rsidR="002B0069" w:rsidRDefault="002B0069">
    <w:pPr>
      <w:pStyle w:val="Encabezado"/>
    </w:pPr>
  </w:p>
  <w:p w14:paraId="168BC638" w14:textId="77777777" w:rsidR="002B0069" w:rsidRPr="004A305D" w:rsidRDefault="002B0069" w:rsidP="00B01B1A">
    <w:pPr>
      <w:spacing w:after="0" w:line="120" w:lineRule="auto"/>
      <w:rPr>
        <w:rFonts w:ascii="Century Gothic" w:eastAsia="Geo" w:hAnsi="Century Gothic" w:cs="Geo"/>
        <w:sz w:val="16"/>
        <w:szCs w:val="16"/>
        <w:lang w:eastAsia="es-CO"/>
      </w:rPr>
    </w:pPr>
  </w:p>
  <w:p w14:paraId="0B400DFD" w14:textId="77777777" w:rsidR="002B0069" w:rsidRDefault="002B0069" w:rsidP="00844AE9">
    <w:pPr>
      <w:spacing w:after="0" w:line="240" w:lineRule="auto"/>
      <w:rPr>
        <w:rFonts w:ascii="Verdana" w:hAnsi="Verdana"/>
        <w:sz w:val="24"/>
        <w:szCs w:val="24"/>
      </w:rPr>
    </w:pPr>
  </w:p>
  <w:p w14:paraId="33656CDE" w14:textId="77777777" w:rsidR="002B0069" w:rsidRPr="00C925AC" w:rsidRDefault="002B0069" w:rsidP="00844AE9">
    <w:pPr>
      <w:spacing w:after="0" w:line="240" w:lineRule="auto"/>
      <w:rPr>
        <w:rFonts w:ascii="Verdana" w:hAnsi="Verdana"/>
        <w:sz w:val="24"/>
        <w:szCs w:val="24"/>
      </w:rPr>
    </w:pPr>
  </w:p>
  <w:p w14:paraId="550E3ED7" w14:textId="77777777" w:rsidR="002B0069" w:rsidRPr="00C925AC" w:rsidRDefault="002B0069"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D8D"/>
    <w:multiLevelType w:val="hybridMultilevel"/>
    <w:tmpl w:val="A372D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C384C07"/>
    <w:multiLevelType w:val="hybridMultilevel"/>
    <w:tmpl w:val="D43ECFCC"/>
    <w:lvl w:ilvl="0" w:tplc="AAEE182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842860938">
    <w:abstractNumId w:val="2"/>
  </w:num>
  <w:num w:numId="2" w16cid:durableId="1048334292">
    <w:abstractNumId w:val="0"/>
  </w:num>
  <w:num w:numId="3" w16cid:durableId="515309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69"/>
    <w:rsid w:val="000C5174"/>
    <w:rsid w:val="001559DD"/>
    <w:rsid w:val="001D4698"/>
    <w:rsid w:val="002B0069"/>
    <w:rsid w:val="00406F12"/>
    <w:rsid w:val="0059347F"/>
    <w:rsid w:val="006436DC"/>
    <w:rsid w:val="007B13C2"/>
    <w:rsid w:val="008E06ED"/>
    <w:rsid w:val="009528AB"/>
    <w:rsid w:val="00AA4D55"/>
    <w:rsid w:val="00AE0721"/>
    <w:rsid w:val="00BA7C8D"/>
    <w:rsid w:val="00CB338E"/>
    <w:rsid w:val="00D55038"/>
    <w:rsid w:val="00F128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304C"/>
  <w15:chartTrackingRefBased/>
  <w15:docId w15:val="{58C851CD-E9F6-4CF5-AF38-E1F7CBCB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069"/>
    <w:pPr>
      <w:spacing w:line="259" w:lineRule="auto"/>
    </w:pPr>
    <w:rPr>
      <w:kern w:val="0"/>
      <w:sz w:val="22"/>
      <w:szCs w:val="22"/>
      <w14:ligatures w14:val="none"/>
    </w:rPr>
  </w:style>
  <w:style w:type="paragraph" w:styleId="Ttulo1">
    <w:name w:val="heading 1"/>
    <w:basedOn w:val="Normal"/>
    <w:next w:val="Normal"/>
    <w:link w:val="Ttulo1Car"/>
    <w:uiPriority w:val="9"/>
    <w:qFormat/>
    <w:rsid w:val="002B00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B00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B00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B00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B00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B00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00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00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006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B00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B00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B00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00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00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00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00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0069"/>
    <w:rPr>
      <w:rFonts w:eastAsiaTheme="majorEastAsia" w:cstheme="majorBidi"/>
      <w:color w:val="272727" w:themeColor="text1" w:themeTint="D8"/>
    </w:rPr>
  </w:style>
  <w:style w:type="paragraph" w:styleId="Ttulo">
    <w:name w:val="Title"/>
    <w:basedOn w:val="Normal"/>
    <w:next w:val="Normal"/>
    <w:link w:val="TtuloCar"/>
    <w:uiPriority w:val="10"/>
    <w:qFormat/>
    <w:rsid w:val="002B00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00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00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00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0069"/>
    <w:pPr>
      <w:spacing w:before="160"/>
      <w:jc w:val="center"/>
    </w:pPr>
    <w:rPr>
      <w:i/>
      <w:iCs/>
      <w:color w:val="404040" w:themeColor="text1" w:themeTint="BF"/>
    </w:rPr>
  </w:style>
  <w:style w:type="character" w:customStyle="1" w:styleId="CitaCar">
    <w:name w:val="Cita Car"/>
    <w:basedOn w:val="Fuentedeprrafopredeter"/>
    <w:link w:val="Cita"/>
    <w:uiPriority w:val="29"/>
    <w:rsid w:val="002B0069"/>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2B0069"/>
    <w:pPr>
      <w:ind w:left="720"/>
      <w:contextualSpacing/>
    </w:pPr>
  </w:style>
  <w:style w:type="character" w:styleId="nfasisintenso">
    <w:name w:val="Intense Emphasis"/>
    <w:basedOn w:val="Fuentedeprrafopredeter"/>
    <w:uiPriority w:val="21"/>
    <w:qFormat/>
    <w:rsid w:val="002B0069"/>
    <w:rPr>
      <w:i/>
      <w:iCs/>
      <w:color w:val="0F4761" w:themeColor="accent1" w:themeShade="BF"/>
    </w:rPr>
  </w:style>
  <w:style w:type="paragraph" w:styleId="Citadestacada">
    <w:name w:val="Intense Quote"/>
    <w:basedOn w:val="Normal"/>
    <w:next w:val="Normal"/>
    <w:link w:val="CitadestacadaCar"/>
    <w:uiPriority w:val="30"/>
    <w:qFormat/>
    <w:rsid w:val="002B00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0069"/>
    <w:rPr>
      <w:i/>
      <w:iCs/>
      <w:color w:val="0F4761" w:themeColor="accent1" w:themeShade="BF"/>
    </w:rPr>
  </w:style>
  <w:style w:type="character" w:styleId="Referenciaintensa">
    <w:name w:val="Intense Reference"/>
    <w:basedOn w:val="Fuentedeprrafopredeter"/>
    <w:uiPriority w:val="32"/>
    <w:qFormat/>
    <w:rsid w:val="002B0069"/>
    <w:rPr>
      <w:b/>
      <w:bCs/>
      <w:smallCaps/>
      <w:color w:val="0F4761" w:themeColor="accent1" w:themeShade="BF"/>
      <w:spacing w:val="5"/>
    </w:rPr>
  </w:style>
  <w:style w:type="paragraph" w:styleId="Encabezado">
    <w:name w:val="header"/>
    <w:basedOn w:val="Normal"/>
    <w:link w:val="EncabezadoCar"/>
    <w:uiPriority w:val="99"/>
    <w:unhideWhenUsed/>
    <w:rsid w:val="002B00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0069"/>
    <w:rPr>
      <w:kern w:val="0"/>
      <w:sz w:val="22"/>
      <w:szCs w:val="22"/>
      <w14:ligatures w14:val="none"/>
    </w:rPr>
  </w:style>
  <w:style w:type="paragraph" w:styleId="Piedepgina">
    <w:name w:val="footer"/>
    <w:basedOn w:val="Normal"/>
    <w:link w:val="PiedepginaCar"/>
    <w:uiPriority w:val="99"/>
    <w:unhideWhenUsed/>
    <w:rsid w:val="002B00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0069"/>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2B0069"/>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2B0069"/>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2B0069"/>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2B0069"/>
    <w:rPr>
      <w:vertAlign w:val="superscript"/>
    </w:rPr>
  </w:style>
  <w:style w:type="table" w:styleId="Tablaconcuadrcula">
    <w:name w:val="Table Grid"/>
    <w:basedOn w:val="Tablanormal"/>
    <w:uiPriority w:val="39"/>
    <w:qFormat/>
    <w:rsid w:val="002B006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B0069"/>
    <w:rPr>
      <w:color w:val="0000FF"/>
      <w:u w:val="single"/>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B0069"/>
  </w:style>
  <w:style w:type="paragraph" w:customStyle="1" w:styleId="Appelnotedebasde">
    <w:name w:val="Appel note de bas de..."/>
    <w:basedOn w:val="Normal"/>
    <w:link w:val="Refdenotaalpie"/>
    <w:uiPriority w:val="99"/>
    <w:rsid w:val="002B0069"/>
    <w:pPr>
      <w:spacing w:line="240" w:lineRule="exact"/>
    </w:pPr>
    <w:rPr>
      <w:kern w:val="2"/>
      <w:sz w:val="24"/>
      <w:szCs w:val="24"/>
      <w:vertAlign w:val="superscript"/>
      <w14:ligatures w14:val="standardContextual"/>
    </w:rPr>
  </w:style>
  <w:style w:type="paragraph" w:styleId="Textoindependiente">
    <w:name w:val="Body Text"/>
    <w:basedOn w:val="Normal"/>
    <w:link w:val="TextoindependienteCar"/>
    <w:uiPriority w:val="1"/>
    <w:unhideWhenUsed/>
    <w:qFormat/>
    <w:rsid w:val="002B0069"/>
    <w:pPr>
      <w:spacing w:after="120"/>
    </w:pPr>
  </w:style>
  <w:style w:type="character" w:customStyle="1" w:styleId="TextoindependienteCar">
    <w:name w:val="Texto independiente Car"/>
    <w:basedOn w:val="Fuentedeprrafopredeter"/>
    <w:link w:val="Textoindependiente"/>
    <w:uiPriority w:val="1"/>
    <w:rsid w:val="002B0069"/>
    <w:rPr>
      <w:kern w:val="0"/>
      <w:sz w:val="22"/>
      <w:szCs w:val="22"/>
      <w14:ligatures w14:val="none"/>
    </w:rPr>
  </w:style>
  <w:style w:type="table" w:customStyle="1" w:styleId="Tablaconcuadrcula2">
    <w:name w:val="Tabla con cuadrícula2"/>
    <w:basedOn w:val="Tablanormal"/>
    <w:next w:val="Tablaconcuadrcula"/>
    <w:uiPriority w:val="39"/>
    <w:qFormat/>
    <w:rsid w:val="002B006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espinosa495@gmail.com" TargetMode="External"/><Relationship Id="rId13" Type="http://schemas.openxmlformats.org/officeDocument/2006/relationships/hyperlink" Target="http://www.colombiacompra.gov.co"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mbiacompra.gov.co/normativa-y-relatoria/documentos-tip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formacionvirtual.colombiacompra.gov.co/mod/page/view.php?id=3718"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relatoria.colombiacompra.gov.co/"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A57884-98AF-43B8-BAFB-7147D00FAECD}"/>
</file>

<file path=customXml/itemProps2.xml><?xml version="1.0" encoding="utf-8"?>
<ds:datastoreItem xmlns:ds="http://schemas.openxmlformats.org/officeDocument/2006/customXml" ds:itemID="{6CB281B9-C9A6-498E-9D77-6F043AC8F832}"/>
</file>

<file path=customXml/itemProps3.xml><?xml version="1.0" encoding="utf-8"?>
<ds:datastoreItem xmlns:ds="http://schemas.openxmlformats.org/officeDocument/2006/customXml" ds:itemID="{1E8981CC-4FEE-4012-9244-F6DD6DC09775}"/>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12</TotalTime>
  <Pages>19</Pages>
  <Words>5834</Words>
  <Characters>32088</Characters>
  <Application>Microsoft Office Word</Application>
  <DocSecurity>0</DocSecurity>
  <Lines>267</Lines>
  <Paragraphs>75</Paragraphs>
  <ScaleCrop>false</ScaleCrop>
  <Company/>
  <LinksUpToDate>false</LinksUpToDate>
  <CharactersWithSpaces>37847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Natalia Montoya Jiménez</cp:lastModifiedBy>
  <cp:revision>12</cp:revision>
  <dcterms:created xsi:type="dcterms:W3CDTF">2026-07-27T20:40:00Z</dcterms:created>
  <dcterms:modified xsi:type="dcterms:W3CDTF">2026-07-31T17:39:00Z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