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7B4FB" w14:textId="77777777" w:rsidR="004511E1" w:rsidRDefault="004511E1" w:rsidP="004511E1">
      <w:pPr>
        <w:spacing w:after="0" w:line="240" w:lineRule="auto"/>
        <w:jc w:val="both"/>
        <w:rPr>
          <w:rFonts w:ascii="Verdana" w:eastAsia="Calibri" w:hAnsi="Verdana" w:cs="Arial"/>
          <w:b/>
          <w:bCs/>
          <w:lang w:val="es-ES_tradnl"/>
        </w:rPr>
      </w:pPr>
      <w:bookmarkStart w:id="0" w:name="_Hlk143780582"/>
      <w:r>
        <w:rPr>
          <w:rFonts w:ascii="Verdana" w:eastAsia="Calibri" w:hAnsi="Verdana" w:cs="Arial"/>
          <w:b/>
          <w:bCs/>
          <w:lang w:val="es-ES_tradnl"/>
        </w:rPr>
        <w:t xml:space="preserve">SISTEMA DE PREFERENCIA PARA PERSONAS CON DISCAPACIDAD </w:t>
      </w:r>
      <w:r w:rsidRPr="004C2794">
        <w:rPr>
          <w:rFonts w:ascii="Verdana" w:eastAsia="Calibri" w:hAnsi="Verdana" w:cs="Arial"/>
          <w:b/>
          <w:bCs/>
          <w:lang w:val="es-ES_tradnl"/>
        </w:rPr>
        <w:t>‒</w:t>
      </w:r>
      <w:r>
        <w:rPr>
          <w:rFonts w:ascii="Verdana" w:eastAsia="Calibri" w:hAnsi="Verdana" w:cs="Arial"/>
          <w:b/>
          <w:bCs/>
          <w:lang w:val="es-ES_tradnl"/>
        </w:rPr>
        <w:t xml:space="preserve"> Constitución Política </w:t>
      </w:r>
      <w:r w:rsidRPr="004C2794">
        <w:rPr>
          <w:rFonts w:ascii="Verdana" w:eastAsia="Calibri" w:hAnsi="Verdana" w:cs="Arial"/>
          <w:b/>
          <w:bCs/>
          <w:lang w:val="es-ES_tradnl"/>
        </w:rPr>
        <w:t>‒</w:t>
      </w:r>
      <w:r>
        <w:rPr>
          <w:rFonts w:ascii="Verdana" w:eastAsia="Calibri" w:hAnsi="Verdana" w:cs="Arial"/>
          <w:b/>
          <w:bCs/>
          <w:lang w:val="es-ES_tradnl"/>
        </w:rPr>
        <w:t xml:space="preserve"> Ley </w:t>
      </w:r>
      <w:r w:rsidRPr="00915323">
        <w:rPr>
          <w:rFonts w:ascii="Verdana" w:eastAsia="Calibri" w:hAnsi="Verdana" w:cs="Arial"/>
          <w:b/>
          <w:bCs/>
          <w:lang w:val="es-ES_tradnl"/>
        </w:rPr>
        <w:t>1618 de 2013</w:t>
      </w:r>
    </w:p>
    <w:p w14:paraId="2CC6ECC8" w14:textId="77777777" w:rsidR="004511E1" w:rsidRDefault="004511E1" w:rsidP="004511E1">
      <w:pPr>
        <w:spacing w:after="0" w:line="240" w:lineRule="auto"/>
        <w:jc w:val="both"/>
        <w:rPr>
          <w:rFonts w:ascii="Verdana" w:eastAsia="Calibri" w:hAnsi="Verdana" w:cs="Arial"/>
          <w:b/>
          <w:bCs/>
          <w:lang w:val="es-ES_tradnl"/>
        </w:rPr>
      </w:pPr>
    </w:p>
    <w:p w14:paraId="66768833" w14:textId="77777777" w:rsidR="004511E1" w:rsidRDefault="004511E1" w:rsidP="004511E1">
      <w:pPr>
        <w:spacing w:after="0" w:line="240" w:lineRule="auto"/>
        <w:jc w:val="both"/>
        <w:rPr>
          <w:rFonts w:ascii="Verdana" w:eastAsia="Calibri" w:hAnsi="Verdana" w:cs="Arial"/>
          <w:sz w:val="20"/>
          <w:szCs w:val="20"/>
          <w:lang w:val="es-ES"/>
        </w:rPr>
      </w:pPr>
      <w:r w:rsidRPr="5650A17C">
        <w:rPr>
          <w:rFonts w:ascii="Verdana" w:eastAsia="Calibri" w:hAnsi="Verdana" w:cs="Arial"/>
          <w:sz w:val="20"/>
          <w:szCs w:val="20"/>
          <w:lang w:val="es-ES"/>
        </w:rPr>
        <w:t>El fundamento del Sistema de Preferencias para Personas con Discapacidad (</w:t>
      </w:r>
      <w:proofErr w:type="spellStart"/>
      <w:r w:rsidRPr="5650A17C">
        <w:rPr>
          <w:rFonts w:ascii="Verdana" w:eastAsia="Calibri" w:hAnsi="Verdana" w:cs="Arial"/>
          <w:sz w:val="20"/>
          <w:szCs w:val="20"/>
          <w:lang w:val="es-ES"/>
        </w:rPr>
        <w:t>PcD</w:t>
      </w:r>
      <w:proofErr w:type="spellEnd"/>
      <w:r w:rsidRPr="5650A17C">
        <w:rPr>
          <w:rFonts w:ascii="Verdana" w:eastAsia="Calibri" w:hAnsi="Verdana" w:cs="Arial"/>
          <w:sz w:val="20"/>
          <w:szCs w:val="20"/>
          <w:lang w:val="es-ES"/>
        </w:rPr>
        <w:t xml:space="preserve">) en la contratación pública es el principio de igualdad real y efectiva consagrado en el artículo 13 de la Constitución Política de 1991, que impone al Estado el deber positivo de adoptar acciones afirmativas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w:t>
      </w:r>
      <w:proofErr w:type="spellStart"/>
      <w:r w:rsidRPr="5650A17C">
        <w:rPr>
          <w:rFonts w:ascii="Verdana" w:eastAsia="Calibri" w:hAnsi="Verdana" w:cs="Arial"/>
          <w:sz w:val="20"/>
          <w:szCs w:val="20"/>
          <w:lang w:val="es-ES"/>
        </w:rPr>
        <w:t>PcD</w:t>
      </w:r>
      <w:proofErr w:type="spellEnd"/>
      <w:r w:rsidRPr="5650A17C">
        <w:rPr>
          <w:rFonts w:ascii="Verdana" w:eastAsia="Calibri" w:hAnsi="Verdana" w:cs="Arial"/>
          <w:sz w:val="20"/>
          <w:szCs w:val="20"/>
          <w:lang w:val="es-ES"/>
        </w:rPr>
        <w:t>.</w:t>
      </w:r>
    </w:p>
    <w:p w14:paraId="6C53FAAB" w14:textId="77777777" w:rsidR="004511E1" w:rsidRDefault="004511E1" w:rsidP="004511E1">
      <w:pPr>
        <w:spacing w:after="0" w:line="240" w:lineRule="auto"/>
        <w:jc w:val="both"/>
        <w:rPr>
          <w:rFonts w:ascii="Verdana" w:eastAsia="Calibri" w:hAnsi="Verdana" w:cs="Arial"/>
          <w:sz w:val="20"/>
          <w:szCs w:val="20"/>
          <w:lang w:val="es-ES_tradnl"/>
        </w:rPr>
      </w:pPr>
    </w:p>
    <w:p w14:paraId="6CC472C5" w14:textId="77777777" w:rsidR="004511E1" w:rsidRPr="00915323" w:rsidRDefault="004511E1" w:rsidP="004511E1">
      <w:pPr>
        <w:spacing w:after="0" w:line="240" w:lineRule="auto"/>
        <w:jc w:val="both"/>
        <w:rPr>
          <w:rFonts w:ascii="Verdana" w:eastAsia="Calibri" w:hAnsi="Verdana" w:cs="Arial"/>
          <w:sz w:val="20"/>
          <w:szCs w:val="20"/>
          <w:lang w:val="es-ES"/>
        </w:rPr>
      </w:pPr>
      <w:r w:rsidRPr="5650A17C">
        <w:rPr>
          <w:rFonts w:ascii="Verdana" w:eastAsia="Calibri" w:hAnsi="Verdana" w:cs="Arial"/>
          <w:sz w:val="20"/>
          <w:szCs w:val="20"/>
          <w:lang w:val="es-ES"/>
        </w:rPr>
        <w:t xml:space="preserve">La Ley Estatutaria 1618 de 2013 representó un salto cualitativo en el marco jurídico de protección de las </w:t>
      </w:r>
      <w:proofErr w:type="spellStart"/>
      <w:r w:rsidRPr="5650A17C">
        <w:rPr>
          <w:rFonts w:ascii="Verdana" w:eastAsia="Calibri" w:hAnsi="Verdana" w:cs="Arial"/>
          <w:sz w:val="20"/>
          <w:szCs w:val="20"/>
          <w:lang w:val="es-ES"/>
        </w:rPr>
        <w:t>PcD</w:t>
      </w:r>
      <w:proofErr w:type="spellEnd"/>
      <w:r w:rsidRPr="5650A17C">
        <w:rPr>
          <w:rFonts w:ascii="Verdana" w:eastAsia="Calibri" w:hAnsi="Verdana" w:cs="Arial"/>
          <w:sz w:val="20"/>
          <w:szCs w:val="20"/>
          <w:lang w:val="es-ES"/>
        </w:rPr>
        <w:t>, al definir a estas como "aquellas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proofErr w:type="gramStart"/>
      <w:r w:rsidRPr="5650A17C">
        <w:rPr>
          <w:rFonts w:ascii="Verdana" w:eastAsia="Calibri" w:hAnsi="Verdana" w:cs="Arial"/>
          <w:sz w:val="20"/>
          <w:szCs w:val="20"/>
          <w:lang w:val="es-ES"/>
        </w:rPr>
        <w:t>" .</w:t>
      </w:r>
      <w:proofErr w:type="gramEnd"/>
      <w:r w:rsidRPr="5650A17C">
        <w:rPr>
          <w:rFonts w:ascii="Verdana" w:eastAsia="Calibri" w:hAnsi="Verdana" w:cs="Arial"/>
          <w:sz w:val="20"/>
          <w:szCs w:val="20"/>
          <w:lang w:val="es-ES"/>
        </w:rPr>
        <w:t xml:space="preserve"> Su artículo 13, en los numerales 1, 7 y 8, ordenó al Gobierno Nacional reglamentar: una puntuación adicional en licitación pública, concurso de méritos y contratación directa para empresas que vinculen </w:t>
      </w:r>
      <w:proofErr w:type="spellStart"/>
      <w:r w:rsidRPr="5650A17C">
        <w:rPr>
          <w:rFonts w:ascii="Verdana" w:eastAsia="Calibri" w:hAnsi="Verdana" w:cs="Arial"/>
          <w:sz w:val="20"/>
          <w:szCs w:val="20"/>
          <w:lang w:val="es-ES"/>
        </w:rPr>
        <w:t>PcD</w:t>
      </w:r>
      <w:proofErr w:type="spellEnd"/>
      <w:r w:rsidRPr="5650A17C">
        <w:rPr>
          <w:rFonts w:ascii="Verdana" w:eastAsia="Calibri" w:hAnsi="Verdana" w:cs="Arial"/>
          <w:sz w:val="20"/>
          <w:szCs w:val="20"/>
          <w:lang w:val="es-ES"/>
        </w:rPr>
        <w:t xml:space="preserve"> y para empresas de </w:t>
      </w:r>
      <w:proofErr w:type="spellStart"/>
      <w:r w:rsidRPr="5650A17C">
        <w:rPr>
          <w:rFonts w:ascii="Verdana" w:eastAsia="Calibri" w:hAnsi="Verdana" w:cs="Arial"/>
          <w:sz w:val="20"/>
          <w:szCs w:val="20"/>
          <w:lang w:val="es-ES"/>
        </w:rPr>
        <w:t>PcD</w:t>
      </w:r>
      <w:proofErr w:type="spellEnd"/>
      <w:r w:rsidRPr="5650A17C">
        <w:rPr>
          <w:rFonts w:ascii="Verdana" w:eastAsia="Calibri" w:hAnsi="Verdana" w:cs="Arial"/>
          <w:sz w:val="20"/>
          <w:szCs w:val="20"/>
          <w:lang w:val="es-ES"/>
        </w:rPr>
        <w:t xml:space="preserve">; un sistema de preferencias para empleadores de </w:t>
      </w:r>
      <w:proofErr w:type="spellStart"/>
      <w:r w:rsidRPr="5650A17C">
        <w:rPr>
          <w:rFonts w:ascii="Verdana" w:eastAsia="Calibri" w:hAnsi="Verdana" w:cs="Arial"/>
          <w:sz w:val="20"/>
          <w:szCs w:val="20"/>
          <w:lang w:val="es-ES"/>
        </w:rPr>
        <w:t>PcD</w:t>
      </w:r>
      <w:proofErr w:type="spellEnd"/>
      <w:r w:rsidRPr="5650A17C">
        <w:rPr>
          <w:rFonts w:ascii="Verdana" w:eastAsia="Calibri" w:hAnsi="Verdana" w:cs="Arial"/>
          <w:sz w:val="20"/>
          <w:szCs w:val="20"/>
          <w:lang w:val="es-ES"/>
        </w:rPr>
        <w:t xml:space="preserve"> en la adjudicación; y un sistema de preferencias en favor de las propias </w:t>
      </w:r>
      <w:proofErr w:type="spellStart"/>
      <w:r w:rsidRPr="5650A17C">
        <w:rPr>
          <w:rFonts w:ascii="Verdana" w:eastAsia="Calibri" w:hAnsi="Verdana" w:cs="Arial"/>
          <w:sz w:val="20"/>
          <w:szCs w:val="20"/>
          <w:lang w:val="es-ES"/>
        </w:rPr>
        <w:t>PcD</w:t>
      </w:r>
      <w:proofErr w:type="spellEnd"/>
      <w:r w:rsidRPr="5650A17C">
        <w:rPr>
          <w:rFonts w:ascii="Verdana" w:eastAsia="Calibri" w:hAnsi="Verdana" w:cs="Arial"/>
          <w:sz w:val="20"/>
          <w:szCs w:val="20"/>
          <w:lang w:val="es-ES"/>
        </w:rPr>
        <w:t xml:space="preserve"> como contratistas. Este último mandato fue especialmente significativo porque introdujo el concepto de "sistema de preferencias", que por definición no puede reducirse a una sola medida sino que implica un conjunto estructurado de instrumentos que actúen en las distintas fases del proceso contractual.</w:t>
      </w:r>
    </w:p>
    <w:p w14:paraId="4773EB1F" w14:textId="77777777" w:rsidR="004511E1" w:rsidRPr="001B3C5D" w:rsidRDefault="004511E1" w:rsidP="004511E1">
      <w:pPr>
        <w:spacing w:after="0" w:line="240" w:lineRule="auto"/>
        <w:jc w:val="both"/>
        <w:rPr>
          <w:rFonts w:ascii="Aptos" w:eastAsia="Aptos" w:hAnsi="Aptos" w:cs="Times New Roman"/>
          <w:sz w:val="20"/>
          <w:szCs w:val="20"/>
          <w:lang w:val="es-MX"/>
        </w:rPr>
      </w:pPr>
    </w:p>
    <w:p w14:paraId="450FF255" w14:textId="77777777" w:rsidR="004511E1" w:rsidRPr="00D11711" w:rsidRDefault="004511E1" w:rsidP="004511E1">
      <w:pPr>
        <w:spacing w:after="0" w:line="240" w:lineRule="auto"/>
        <w:jc w:val="both"/>
        <w:rPr>
          <w:rFonts w:ascii="Verdana" w:eastAsia="Calibri" w:hAnsi="Verdana" w:cs="Arial"/>
          <w:b/>
          <w:bCs/>
          <w:lang w:val="pt-BR" w:eastAsia="es-ES"/>
        </w:rPr>
      </w:pPr>
      <w:r w:rsidRPr="00D11711">
        <w:rPr>
          <w:rFonts w:ascii="Verdana" w:eastAsia="Calibri" w:hAnsi="Verdana" w:cs="Arial"/>
          <w:b/>
          <w:bCs/>
          <w:lang w:val="pt-BR" w:eastAsia="es-ES"/>
        </w:rPr>
        <w:t xml:space="preserve">DECRETO 287 DE 2026 ‒ Antecedentes normativos ‒ Decreto 392 de 2018 </w:t>
      </w:r>
    </w:p>
    <w:p w14:paraId="0FD07A34" w14:textId="77777777" w:rsidR="004511E1" w:rsidRPr="00D11711" w:rsidRDefault="004511E1" w:rsidP="004511E1">
      <w:pPr>
        <w:spacing w:after="0" w:line="240" w:lineRule="auto"/>
        <w:jc w:val="both"/>
        <w:rPr>
          <w:rFonts w:ascii="Verdana" w:eastAsia="Calibri" w:hAnsi="Verdana" w:cs="Arial"/>
          <w:b/>
          <w:bCs/>
          <w:lang w:val="pt-BR" w:eastAsia="es-ES"/>
        </w:rPr>
      </w:pPr>
    </w:p>
    <w:p w14:paraId="4BECCFC4" w14:textId="77777777" w:rsidR="004511E1" w:rsidRDefault="004511E1" w:rsidP="004511E1">
      <w:pPr>
        <w:spacing w:after="0" w:line="240" w:lineRule="auto"/>
        <w:jc w:val="both"/>
        <w:rPr>
          <w:rFonts w:ascii="Verdana" w:eastAsia="Calibri" w:hAnsi="Verdana" w:cs="Arial"/>
          <w:sz w:val="20"/>
          <w:szCs w:val="20"/>
          <w:lang w:eastAsia="es-ES"/>
        </w:rPr>
      </w:pPr>
      <w:r w:rsidRPr="00915323">
        <w:rPr>
          <w:rFonts w:ascii="Verdana" w:eastAsia="Calibri" w:hAnsi="Verdana" w:cs="Arial"/>
          <w:sz w:val="20"/>
          <w:szCs w:val="20"/>
          <w:lang w:eastAsia="es-ES"/>
        </w:rPr>
        <w:t xml:space="preserve">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pues solo contempló el 1% de puntaje para empleadores de </w:t>
      </w:r>
      <w:proofErr w:type="spellStart"/>
      <w:r w:rsidRPr="00915323">
        <w:rPr>
          <w:rFonts w:ascii="Verdana" w:eastAsia="Calibri" w:hAnsi="Verdana" w:cs="Arial"/>
          <w:sz w:val="20"/>
          <w:szCs w:val="20"/>
          <w:lang w:eastAsia="es-ES"/>
        </w:rPr>
        <w:t>PcD</w:t>
      </w:r>
      <w:proofErr w:type="spellEnd"/>
      <w:r w:rsidRPr="00915323">
        <w:rPr>
          <w:rFonts w:ascii="Verdana" w:eastAsia="Calibri" w:hAnsi="Verdana" w:cs="Arial"/>
          <w:sz w:val="20"/>
          <w:szCs w:val="20"/>
          <w:lang w:eastAsia="es-ES"/>
        </w:rPr>
        <w:t xml:space="preserve">, sin incluir a las empresas de </w:t>
      </w:r>
      <w:proofErr w:type="spellStart"/>
      <w:r w:rsidRPr="00915323">
        <w:rPr>
          <w:rFonts w:ascii="Verdana" w:eastAsia="Calibri" w:hAnsi="Verdana" w:cs="Arial"/>
          <w:sz w:val="20"/>
          <w:szCs w:val="20"/>
          <w:lang w:eastAsia="es-ES"/>
        </w:rPr>
        <w:t>PcD</w:t>
      </w:r>
      <w:proofErr w:type="spellEnd"/>
      <w:r w:rsidRPr="00915323">
        <w:rPr>
          <w:rFonts w:ascii="Verdana" w:eastAsia="Calibri" w:hAnsi="Verdana" w:cs="Arial"/>
          <w:sz w:val="20"/>
          <w:szCs w:val="20"/>
          <w:lang w:eastAsia="es-ES"/>
        </w:rPr>
        <w:t xml:space="preserve">,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sidRPr="00915323">
        <w:rPr>
          <w:rFonts w:ascii="Verdana" w:eastAsia="Calibri" w:hAnsi="Verdana" w:cs="Arial"/>
          <w:sz w:val="20"/>
          <w:szCs w:val="20"/>
          <w:lang w:eastAsia="es-ES"/>
        </w:rPr>
        <w:t>PcD</w:t>
      </w:r>
      <w:proofErr w:type="spellEnd"/>
      <w:r w:rsidRPr="00915323">
        <w:rPr>
          <w:rFonts w:ascii="Verdana" w:eastAsia="Calibri" w:hAnsi="Verdana" w:cs="Arial"/>
          <w:sz w:val="20"/>
          <w:szCs w:val="20"/>
          <w:lang w:eastAsia="es-ES"/>
        </w:rPr>
        <w:t xml:space="preserve"> como contratistas.</w:t>
      </w:r>
    </w:p>
    <w:p w14:paraId="56EB78DB" w14:textId="77777777" w:rsidR="004511E1" w:rsidRPr="00915323" w:rsidRDefault="004511E1" w:rsidP="004511E1">
      <w:pPr>
        <w:spacing w:after="0" w:line="240" w:lineRule="auto"/>
        <w:jc w:val="both"/>
        <w:rPr>
          <w:rFonts w:ascii="Verdana" w:eastAsia="Calibri" w:hAnsi="Verdana" w:cs="Arial"/>
          <w:sz w:val="20"/>
          <w:szCs w:val="20"/>
          <w:lang w:eastAsia="es-ES"/>
        </w:rPr>
      </w:pPr>
    </w:p>
    <w:p w14:paraId="22883D8E" w14:textId="77777777" w:rsidR="004511E1" w:rsidRPr="00915323" w:rsidRDefault="004511E1" w:rsidP="004511E1">
      <w:pPr>
        <w:spacing w:after="0" w:line="240" w:lineRule="auto"/>
        <w:jc w:val="both"/>
        <w:rPr>
          <w:rFonts w:ascii="Verdana" w:eastAsia="Calibri" w:hAnsi="Verdana" w:cs="Arial"/>
          <w:sz w:val="20"/>
          <w:szCs w:val="20"/>
          <w:lang w:eastAsia="es-ES"/>
        </w:rPr>
      </w:pPr>
      <w:r w:rsidRPr="00915323">
        <w:rPr>
          <w:rFonts w:ascii="Verdana" w:eastAsia="Calibri" w:hAnsi="Verdana" w:cs="Arial"/>
          <w:sz w:val="20"/>
          <w:szCs w:val="20"/>
          <w:lang w:eastAsia="es-ES"/>
        </w:rPr>
        <w:t>Lo anterior fue ratificado por el Consejo de Estado</w:t>
      </w:r>
      <w:r>
        <w:rPr>
          <w:rFonts w:ascii="Verdana" w:eastAsia="Calibri" w:hAnsi="Verdana" w:cs="Arial"/>
          <w:sz w:val="20"/>
          <w:szCs w:val="20"/>
          <w:lang w:eastAsia="es-ES"/>
        </w:rPr>
        <w:t xml:space="preserve"> </w:t>
      </w:r>
      <w:r w:rsidRPr="00915323">
        <w:rPr>
          <w:rFonts w:ascii="Verdana" w:eastAsia="Calibri" w:hAnsi="Verdana" w:cs="Arial"/>
          <w:sz w:val="20"/>
          <w:szCs w:val="20"/>
          <w:lang w:eastAsia="es-ES"/>
        </w:rPr>
        <w:t xml:space="preserve">que mediante una acción de cumplimiento, declaró el incumplimiento del deber de reglamentar integralmente el </w:t>
      </w:r>
      <w:r w:rsidRPr="00915323">
        <w:rPr>
          <w:rFonts w:ascii="Verdana" w:eastAsia="Calibri" w:hAnsi="Verdana" w:cs="Arial"/>
          <w:sz w:val="20"/>
          <w:szCs w:val="20"/>
          <w:lang w:eastAsia="es-ES"/>
        </w:rPr>
        <w:lastRenderedPageBreak/>
        <w:t>artículo 13 de la Ley 1618 de 2013 y ordenó al Gobierno Nacional expedir la regulación necesaria para hacer efectivo el sistema de preferencias en favor de las personas con discapacidad, sus emprendimientos y empresas que las contratan. La Sala calificó la obligación como imperativa, expresa e inobjetable, señalando que el Gobierno Nacional no contaba con margen de discrecionalidad para decidir si reglamentaba o no el sistema de preferencias.</w:t>
      </w:r>
    </w:p>
    <w:p w14:paraId="5FAE3BD0" w14:textId="77777777" w:rsidR="004511E1" w:rsidRDefault="004511E1" w:rsidP="004511E1">
      <w:pPr>
        <w:spacing w:after="0" w:line="240" w:lineRule="auto"/>
        <w:jc w:val="both"/>
        <w:rPr>
          <w:rFonts w:ascii="Verdana" w:eastAsia="Calibri" w:hAnsi="Verdana" w:cs="Arial"/>
          <w:lang w:eastAsia="es-ES"/>
        </w:rPr>
      </w:pPr>
    </w:p>
    <w:p w14:paraId="3A39827D" w14:textId="77777777" w:rsidR="004511E1" w:rsidRDefault="004511E1" w:rsidP="004511E1">
      <w:pPr>
        <w:spacing w:after="0" w:line="240" w:lineRule="auto"/>
        <w:jc w:val="both"/>
        <w:rPr>
          <w:rFonts w:ascii="Verdana" w:eastAsia="Calibri" w:hAnsi="Verdana" w:cs="Arial"/>
          <w:b/>
          <w:bCs/>
          <w:lang w:val="es-ES_tradnl"/>
        </w:rPr>
      </w:pPr>
      <w:r w:rsidRPr="004C2794">
        <w:rPr>
          <w:rFonts w:ascii="Verdana" w:eastAsia="Calibri" w:hAnsi="Verdana" w:cs="Arial"/>
          <w:b/>
          <w:bCs/>
          <w:lang w:val="es-ES_tradnl"/>
        </w:rPr>
        <w:t xml:space="preserve">DECRETO 0287 DE 2026 ‒ Sistema Integral de Preferencias ‒ Contratación pública inclusiva ‒ Personas con discapacidad </w:t>
      </w:r>
    </w:p>
    <w:p w14:paraId="4B4FCCC7" w14:textId="77777777" w:rsidR="004511E1" w:rsidRDefault="004511E1" w:rsidP="004511E1">
      <w:pPr>
        <w:spacing w:after="0" w:line="240" w:lineRule="auto"/>
        <w:jc w:val="both"/>
        <w:rPr>
          <w:rFonts w:ascii="Verdana" w:eastAsia="Calibri" w:hAnsi="Verdana" w:cs="Arial"/>
          <w:color w:val="000000"/>
          <w:kern w:val="2"/>
          <w:sz w:val="20"/>
          <w:szCs w:val="20"/>
          <w:lang w:val="es-MX"/>
          <w14:ligatures w14:val="standardContextual"/>
        </w:rPr>
      </w:pPr>
    </w:p>
    <w:p w14:paraId="4F6FC030" w14:textId="77777777" w:rsidR="004511E1" w:rsidRPr="001B3C5D" w:rsidRDefault="004511E1" w:rsidP="004511E1">
      <w:pPr>
        <w:spacing w:after="0" w:line="240" w:lineRule="auto"/>
        <w:jc w:val="both"/>
        <w:rPr>
          <w:rFonts w:ascii="Verdana" w:eastAsia="Calibri" w:hAnsi="Verdana" w:cs="Arial"/>
          <w:color w:val="000000"/>
          <w:kern w:val="2"/>
          <w:sz w:val="20"/>
          <w:szCs w:val="20"/>
          <w:lang w:val="es-MX"/>
          <w14:ligatures w14:val="standardContextual"/>
        </w:rPr>
      </w:pPr>
      <w:r w:rsidRPr="00915323">
        <w:rPr>
          <w:rFonts w:ascii="Verdana" w:eastAsia="Calibri" w:hAnsi="Verdana" w:cs="Arial"/>
          <w:color w:val="000000"/>
          <w:kern w:val="2"/>
          <w:sz w:val="20"/>
          <w:szCs w:val="20"/>
          <w14:ligatures w14:val="standardContextual"/>
        </w:rPr>
        <w:t xml:space="preserve">En cumplimiento de esa decisión fue expedido el Decreto 0287 de 2026, el cual establece un Sistema Integral de Preferencias compuesto por cinco medidas afirmativas que actúan en todas las fases del proceso contractual, planeación, selección, adjudicación y ejecución, y que benefician a dos sujetos diferenciados: los emprendimientos y empresas de </w:t>
      </w:r>
      <w:proofErr w:type="spellStart"/>
      <w:r w:rsidRPr="00915323">
        <w:rPr>
          <w:rFonts w:ascii="Verdana" w:eastAsia="Calibri" w:hAnsi="Verdana" w:cs="Arial"/>
          <w:color w:val="000000"/>
          <w:kern w:val="2"/>
          <w:sz w:val="20"/>
          <w:szCs w:val="20"/>
          <w14:ligatures w14:val="standardContextual"/>
        </w:rPr>
        <w:t>PcD</w:t>
      </w:r>
      <w:proofErr w:type="spellEnd"/>
      <w:r w:rsidRPr="00915323">
        <w:rPr>
          <w:rFonts w:ascii="Verdana" w:eastAsia="Calibri" w:hAnsi="Verdana" w:cs="Arial"/>
          <w:color w:val="000000"/>
          <w:kern w:val="2"/>
          <w:sz w:val="20"/>
          <w:szCs w:val="20"/>
          <w14:ligatures w14:val="standardContextual"/>
        </w:rPr>
        <w:t xml:space="preserve"> y los empleadores de </w:t>
      </w:r>
      <w:proofErr w:type="spellStart"/>
      <w:r w:rsidRPr="00915323">
        <w:rPr>
          <w:rFonts w:ascii="Verdana" w:eastAsia="Calibri" w:hAnsi="Verdana" w:cs="Arial"/>
          <w:color w:val="000000"/>
          <w:kern w:val="2"/>
          <w:sz w:val="20"/>
          <w:szCs w:val="20"/>
          <w14:ligatures w14:val="standardContextual"/>
        </w:rPr>
        <w:t>PcD</w:t>
      </w:r>
      <w:proofErr w:type="spellEnd"/>
      <w:r w:rsidRPr="00915323">
        <w:rPr>
          <w:rFonts w:ascii="Verdana" w:eastAsia="Calibri" w:hAnsi="Verdana" w:cs="Arial"/>
          <w:color w:val="000000"/>
          <w:kern w:val="2"/>
          <w:sz w:val="20"/>
          <w:szCs w:val="20"/>
          <w14:ligatures w14:val="standardContextual"/>
        </w:rPr>
        <w:t>. Mediante la expedición del mencionado decreto, en aplicación directa de la Constitución Política y para que exista una igualdad material para las personas con discapacidad, se pretende subsanar la falta de acciones afirmativas del Decreto 392 de 2018, modificando los artículos 2.2.1.2.4.2.6, 2.2.1.2.4.2.7. y 2.2.1.2.4.2.8. del Decreto 1082 de 2015</w:t>
      </w:r>
      <w:r>
        <w:rPr>
          <w:rFonts w:ascii="Verdana" w:eastAsia="Calibri" w:hAnsi="Verdana" w:cs="Arial"/>
          <w:color w:val="000000"/>
          <w:kern w:val="2"/>
          <w:sz w:val="20"/>
          <w:szCs w:val="20"/>
          <w14:ligatures w14:val="standardContextual"/>
        </w:rPr>
        <w:t>.</w:t>
      </w:r>
    </w:p>
    <w:p w14:paraId="0D2CDFBC" w14:textId="77777777" w:rsidR="004511E1" w:rsidRDefault="004511E1" w:rsidP="004511E1">
      <w:pPr>
        <w:spacing w:after="0" w:line="240" w:lineRule="auto"/>
        <w:jc w:val="both"/>
        <w:rPr>
          <w:rFonts w:ascii="Verdana" w:eastAsia="Calibri" w:hAnsi="Verdana" w:cs="Arial"/>
          <w:b/>
          <w:bCs/>
        </w:rPr>
      </w:pPr>
    </w:p>
    <w:p w14:paraId="0D8FF12A" w14:textId="63710542" w:rsidR="004511E1" w:rsidRPr="00D464B7" w:rsidRDefault="004511E1" w:rsidP="004511E1">
      <w:pPr>
        <w:widowControl w:val="0"/>
        <w:autoSpaceDE w:val="0"/>
        <w:autoSpaceDN w:val="0"/>
        <w:spacing w:line="276" w:lineRule="auto"/>
        <w:jc w:val="both"/>
        <w:rPr>
          <w:rFonts w:ascii="Verdana" w:eastAsia="Calibri" w:hAnsi="Verdana" w:cs="Arial"/>
          <w:b/>
          <w:bCs/>
          <w:lang w:eastAsia="es-ES"/>
        </w:rPr>
      </w:pPr>
      <w:r w:rsidRPr="00D464B7">
        <w:rPr>
          <w:rFonts w:ascii="Verdana" w:eastAsia="Calibri" w:hAnsi="Verdana" w:cs="Arial"/>
          <w:b/>
          <w:bCs/>
          <w:lang w:eastAsia="es-ES"/>
        </w:rPr>
        <w:t>DECRETO 0287 DE 2026 ‒ Definición de emprendimiento y empresa de personas</w:t>
      </w:r>
      <w:r w:rsidR="00092916">
        <w:rPr>
          <w:rFonts w:ascii="Verdana" w:eastAsia="Calibri" w:hAnsi="Verdana" w:cs="Arial"/>
          <w:b/>
          <w:bCs/>
          <w:lang w:eastAsia="es-ES"/>
        </w:rPr>
        <w:t xml:space="preserve"> con discapacidad</w:t>
      </w:r>
      <w:r w:rsidRPr="00D464B7">
        <w:rPr>
          <w:rFonts w:ascii="Verdana" w:eastAsia="Calibri" w:hAnsi="Verdana" w:cs="Arial"/>
          <w:b/>
          <w:bCs/>
          <w:lang w:eastAsia="es-ES"/>
        </w:rPr>
        <w:t xml:space="preserve"> ‒ Certificaciones ‒ Bajo la gravedad de juramento</w:t>
      </w:r>
    </w:p>
    <w:p w14:paraId="66237EC5" w14:textId="77777777" w:rsidR="004511E1" w:rsidRPr="00637B13" w:rsidRDefault="004511E1" w:rsidP="004511E1">
      <w:pPr>
        <w:spacing w:after="0" w:line="240" w:lineRule="auto"/>
        <w:rPr>
          <w:rFonts w:ascii="Verdana" w:eastAsia="Calibri" w:hAnsi="Verdana" w:cs="Arial"/>
          <w:color w:val="000000"/>
          <w:kern w:val="2"/>
          <w:sz w:val="20"/>
          <w:szCs w:val="20"/>
          <w14:ligatures w14:val="standardContextual"/>
        </w:rPr>
      </w:pPr>
    </w:p>
    <w:p w14:paraId="7AC33357" w14:textId="77777777" w:rsidR="004511E1" w:rsidRPr="00637B13" w:rsidRDefault="004511E1" w:rsidP="004511E1">
      <w:pPr>
        <w:jc w:val="both"/>
        <w:rPr>
          <w:rFonts w:ascii="Verdana" w:eastAsia="Calibri" w:hAnsi="Verdana" w:cs="Arial"/>
          <w:color w:val="000000"/>
          <w:kern w:val="2"/>
          <w:sz w:val="20"/>
          <w:szCs w:val="20"/>
          <w14:ligatures w14:val="standardContextual"/>
        </w:rPr>
      </w:pPr>
      <w:r w:rsidRPr="00637B13">
        <w:rPr>
          <w:rFonts w:ascii="Verdana" w:eastAsia="Calibri" w:hAnsi="Verdana" w:cs="Arial"/>
          <w:color w:val="000000"/>
          <w:kern w:val="2"/>
          <w:sz w:val="20"/>
          <w:szCs w:val="20"/>
          <w14:ligatures w14:val="standardContextual"/>
        </w:rPr>
        <w:t xml:space="preserve">El artículo 2.2.1.2.4.2.6 del Decreto 287 de 2026, incorpora la definición de emprendimientos y empresas de personas con discapacidad y consagra cuatro criterios alternativos en atención a los cuales una persona natural o jurídica puede acceder a los incentivos contractuales en favor de ellos, siendo suficiente la configuración de uno de estos criterios para que se materialice la respectiva definición respecto del sujeto en particular. </w:t>
      </w:r>
    </w:p>
    <w:p w14:paraId="2D958066" w14:textId="77777777" w:rsidR="004511E1" w:rsidRDefault="004511E1" w:rsidP="004511E1">
      <w:pPr>
        <w:spacing w:after="0" w:line="240" w:lineRule="auto"/>
        <w:jc w:val="both"/>
        <w:rPr>
          <w:rFonts w:ascii="Verdana" w:eastAsia="Calibri" w:hAnsi="Verdana" w:cs="Arial"/>
          <w:color w:val="000000"/>
          <w:kern w:val="2"/>
          <w:sz w:val="20"/>
          <w:szCs w:val="20"/>
          <w14:ligatures w14:val="standardContextual"/>
        </w:rPr>
      </w:pPr>
      <w:r w:rsidRPr="001D3E7D">
        <w:rPr>
          <w:rFonts w:ascii="Verdana" w:eastAsia="Calibri" w:hAnsi="Verdana" w:cs="Arial"/>
          <w:color w:val="000000"/>
          <w:kern w:val="2"/>
          <w:sz w:val="20"/>
          <w:szCs w:val="20"/>
          <w14:ligatures w14:val="standardContextual"/>
        </w:rPr>
        <w:t>[…]</w:t>
      </w:r>
    </w:p>
    <w:p w14:paraId="5B6BA331" w14:textId="77777777" w:rsidR="004511E1" w:rsidRPr="00637B13" w:rsidRDefault="004511E1" w:rsidP="004511E1">
      <w:pPr>
        <w:spacing w:after="0" w:line="240" w:lineRule="auto"/>
        <w:jc w:val="both"/>
        <w:rPr>
          <w:rFonts w:ascii="Verdana" w:eastAsia="Calibri" w:hAnsi="Verdana" w:cs="Arial"/>
          <w:color w:val="000000"/>
          <w:kern w:val="2"/>
          <w:sz w:val="20"/>
          <w:szCs w:val="20"/>
          <w14:ligatures w14:val="standardContextual"/>
        </w:rPr>
      </w:pPr>
    </w:p>
    <w:p w14:paraId="4B607C58" w14:textId="77777777" w:rsidR="004511E1" w:rsidRPr="00637B13" w:rsidRDefault="004511E1" w:rsidP="004511E1">
      <w:pPr>
        <w:spacing w:after="0" w:line="240" w:lineRule="auto"/>
        <w:jc w:val="both"/>
        <w:rPr>
          <w:rFonts w:ascii="Verdana" w:eastAsia="Calibri" w:hAnsi="Verdana" w:cs="Arial"/>
          <w:color w:val="000000"/>
          <w:kern w:val="2"/>
          <w:sz w:val="20"/>
          <w:szCs w:val="20"/>
          <w14:ligatures w14:val="standardContextual"/>
        </w:rPr>
      </w:pPr>
      <w:r>
        <w:rPr>
          <w:rFonts w:ascii="Verdana" w:eastAsia="Calibri" w:hAnsi="Verdana" w:cs="Arial"/>
          <w:color w:val="000000"/>
          <w:kern w:val="2"/>
          <w:sz w:val="20"/>
          <w:szCs w:val="20"/>
          <w14:ligatures w14:val="standardContextual"/>
        </w:rPr>
        <w:t>C</w:t>
      </w:r>
      <w:r w:rsidRPr="00637B13">
        <w:rPr>
          <w:rFonts w:ascii="Verdana" w:eastAsia="Calibri" w:hAnsi="Verdana" w:cs="Arial"/>
          <w:color w:val="000000"/>
          <w:kern w:val="2"/>
          <w:sz w:val="20"/>
          <w:szCs w:val="20"/>
          <w14:ligatures w14:val="standardContextual"/>
        </w:rPr>
        <w:t>uando la acreditación de la condición de emprendimientos y empresas de personas con discapacidad se presenta mediante un conjunto de documentos que integran una misma oferta y la manifestación principal realizada en un determinado formato cobija los soportes aportados para acreditar los supuestos previstos en los numerales 1, 2, 3 y 4 del artículo 2.2.1.2.4.2.6. del Decreto 1082 de 2015, se entiende que cumple con lo dispuesto en tal parágrafo. Debe destacarse que dicha disposición no impone que cada documento soporte reproduzca de forma autónoma la expresión "bajo la gravedad de juramento", pues el requisito se satisface en la medida en que las manifestaciones efectuadas para acreditar el incentivo se entiendan realizadas con ese alcance jurídico.</w:t>
      </w:r>
    </w:p>
    <w:p w14:paraId="4F8F2B3D" w14:textId="77777777" w:rsidR="004511E1" w:rsidRPr="00637B13" w:rsidRDefault="004511E1" w:rsidP="004511E1">
      <w:pPr>
        <w:spacing w:after="0" w:line="240" w:lineRule="auto"/>
        <w:jc w:val="both"/>
        <w:rPr>
          <w:rFonts w:ascii="Verdana" w:eastAsia="Calibri" w:hAnsi="Verdana" w:cs="Arial"/>
          <w:color w:val="000000"/>
          <w:kern w:val="2"/>
          <w:sz w:val="20"/>
          <w:szCs w:val="20"/>
          <w14:ligatures w14:val="standardContextual"/>
        </w:rPr>
      </w:pPr>
      <w:r w:rsidRPr="00637B13">
        <w:rPr>
          <w:rFonts w:ascii="Verdana" w:eastAsia="Calibri" w:hAnsi="Verdana" w:cs="Arial"/>
          <w:color w:val="000000"/>
          <w:kern w:val="2"/>
          <w:sz w:val="20"/>
          <w:szCs w:val="20"/>
          <w14:ligatures w14:val="standardContextual"/>
        </w:rPr>
        <w:t xml:space="preserve">Esta interpretación resulta consistente con el artículo 7 del Decreto Ley 019 de 2012 conforme al </w:t>
      </w:r>
      <w:proofErr w:type="gramStart"/>
      <w:r w:rsidRPr="00637B13">
        <w:rPr>
          <w:rFonts w:ascii="Verdana" w:eastAsia="Calibri" w:hAnsi="Verdana" w:cs="Arial"/>
          <w:color w:val="000000"/>
          <w:kern w:val="2"/>
          <w:sz w:val="20"/>
          <w:szCs w:val="20"/>
          <w14:ligatures w14:val="standardContextual"/>
        </w:rPr>
        <w:t>cual</w:t>
      </w:r>
      <w:proofErr w:type="gramEnd"/>
      <w:r w:rsidRPr="00637B13">
        <w:rPr>
          <w:rFonts w:ascii="Verdana" w:eastAsia="Calibri" w:hAnsi="Verdana" w:cs="Arial"/>
          <w:color w:val="000000"/>
          <w:kern w:val="2"/>
          <w:sz w:val="20"/>
          <w:szCs w:val="20"/>
          <w14:ligatures w14:val="standardContextual"/>
        </w:rPr>
        <w:t xml:space="preserve"> en las actuaciones administrativas, no pueden exigirse declaraciones </w:t>
      </w:r>
      <w:proofErr w:type="gramStart"/>
      <w:r w:rsidRPr="00637B13">
        <w:rPr>
          <w:rFonts w:ascii="Verdana" w:eastAsia="Calibri" w:hAnsi="Verdana" w:cs="Arial"/>
          <w:color w:val="000000"/>
          <w:kern w:val="2"/>
          <w:sz w:val="20"/>
          <w:szCs w:val="20"/>
          <w14:ligatures w14:val="standardContextual"/>
        </w:rPr>
        <w:lastRenderedPageBreak/>
        <w:t>extra juicio</w:t>
      </w:r>
      <w:proofErr w:type="gramEnd"/>
      <w:r w:rsidRPr="00637B13">
        <w:rPr>
          <w:rFonts w:ascii="Verdana" w:eastAsia="Calibri" w:hAnsi="Verdana" w:cs="Arial"/>
          <w:color w:val="000000"/>
          <w:kern w:val="2"/>
          <w:sz w:val="20"/>
          <w:szCs w:val="20"/>
          <w14:ligatures w14:val="standardContextual"/>
        </w:rPr>
        <w:t xml:space="preserve"> y basta la afirmación realizada por el particular ante la autoridad para que esta se entienda efectuada bajo la gravedad de juramento. Adicionalmente, es la que más se ajusta al principio del efecto útil de la norma, lo cual no riñe con lo dispuesto en el parágrafo del artículo 2.2.1.2.4.2.6 ibidem. No en vano, la Corte Constitucional ha señalado, al explicar el principio del efecto útil, que “debe considerarse, de entre varias interpretaciones de una disposición normativa, aquella que permita consecuencias jurídicas, sobre aquella que no las prevea o que contemple consecuencias superfluas o </w:t>
      </w:r>
      <w:proofErr w:type="gramStart"/>
      <w:r w:rsidRPr="00637B13">
        <w:rPr>
          <w:rFonts w:ascii="Verdana" w:eastAsia="Calibri" w:hAnsi="Verdana" w:cs="Arial"/>
          <w:color w:val="000000"/>
          <w:kern w:val="2"/>
          <w:sz w:val="20"/>
          <w:szCs w:val="20"/>
          <w14:ligatures w14:val="standardContextual"/>
        </w:rPr>
        <w:t>innecesarias ”</w:t>
      </w:r>
      <w:proofErr w:type="gramEnd"/>
      <w:r w:rsidRPr="00637B13">
        <w:rPr>
          <w:rFonts w:ascii="Verdana" w:eastAsia="Calibri" w:hAnsi="Verdana" w:cs="Arial"/>
          <w:color w:val="000000"/>
          <w:kern w:val="2"/>
          <w:sz w:val="20"/>
          <w:szCs w:val="20"/>
          <w14:ligatures w14:val="standardContextual"/>
        </w:rPr>
        <w:t>.</w:t>
      </w:r>
    </w:p>
    <w:p w14:paraId="427A92E2" w14:textId="77777777" w:rsidR="004511E1" w:rsidRDefault="004511E1" w:rsidP="004511E1">
      <w:pPr>
        <w:spacing w:after="0" w:line="240" w:lineRule="auto"/>
        <w:rPr>
          <w:rFonts w:ascii="Verdana" w:eastAsia="Geomanist Light" w:hAnsi="Verdana" w:cs="Arial"/>
          <w:color w:val="000000" w:themeColor="text1"/>
          <w:lang w:val="es-MX"/>
        </w:rPr>
      </w:pPr>
    </w:p>
    <w:p w14:paraId="7361CC21" w14:textId="77777777" w:rsidR="004511E1" w:rsidRDefault="004511E1" w:rsidP="004511E1">
      <w:pPr>
        <w:spacing w:after="0" w:line="240" w:lineRule="auto"/>
        <w:rPr>
          <w:rFonts w:ascii="Verdana" w:eastAsia="Geomanist Light" w:hAnsi="Verdana" w:cs="Arial"/>
          <w:color w:val="000000" w:themeColor="text1"/>
          <w:lang w:val="es-MX"/>
        </w:rPr>
      </w:pPr>
    </w:p>
    <w:p w14:paraId="206C7E50" w14:textId="77777777" w:rsidR="00771F03" w:rsidRDefault="00771F03" w:rsidP="004511E1">
      <w:pPr>
        <w:spacing w:after="0" w:line="240" w:lineRule="auto"/>
        <w:rPr>
          <w:rFonts w:ascii="Verdana" w:eastAsia="Geomanist Light" w:hAnsi="Verdana" w:cs="Arial"/>
          <w:color w:val="000000" w:themeColor="text1"/>
          <w:lang w:val="es-MX"/>
        </w:rPr>
      </w:pPr>
    </w:p>
    <w:p w14:paraId="3111B3E8" w14:textId="77777777" w:rsidR="00771F03" w:rsidRDefault="00771F03" w:rsidP="004511E1">
      <w:pPr>
        <w:spacing w:after="0" w:line="240" w:lineRule="auto"/>
        <w:rPr>
          <w:rFonts w:ascii="Verdana" w:eastAsia="Geomanist Light" w:hAnsi="Verdana" w:cs="Arial"/>
          <w:color w:val="000000" w:themeColor="text1"/>
          <w:lang w:val="es-MX"/>
        </w:rPr>
      </w:pPr>
    </w:p>
    <w:p w14:paraId="2D329DBC" w14:textId="77777777" w:rsidR="00771F03" w:rsidRDefault="00771F03" w:rsidP="004511E1">
      <w:pPr>
        <w:spacing w:after="0" w:line="240" w:lineRule="auto"/>
        <w:rPr>
          <w:rFonts w:ascii="Verdana" w:eastAsia="Geomanist Light" w:hAnsi="Verdana" w:cs="Arial"/>
          <w:color w:val="000000" w:themeColor="text1"/>
          <w:lang w:val="es-MX"/>
        </w:rPr>
      </w:pPr>
    </w:p>
    <w:p w14:paraId="0BA658DC" w14:textId="77777777" w:rsidR="00771F03" w:rsidRDefault="00771F03" w:rsidP="004511E1">
      <w:pPr>
        <w:spacing w:after="0" w:line="240" w:lineRule="auto"/>
        <w:rPr>
          <w:rFonts w:ascii="Verdana" w:eastAsia="Geomanist Light" w:hAnsi="Verdana" w:cs="Arial"/>
          <w:color w:val="000000" w:themeColor="text1"/>
          <w:lang w:val="es-MX"/>
        </w:rPr>
      </w:pPr>
    </w:p>
    <w:p w14:paraId="5D9FDD9F" w14:textId="77777777" w:rsidR="00771F03" w:rsidRDefault="00771F03" w:rsidP="004511E1">
      <w:pPr>
        <w:spacing w:after="0" w:line="240" w:lineRule="auto"/>
        <w:rPr>
          <w:rFonts w:ascii="Verdana" w:eastAsia="Geomanist Light" w:hAnsi="Verdana" w:cs="Arial"/>
          <w:color w:val="000000" w:themeColor="text1"/>
          <w:lang w:val="es-MX"/>
        </w:rPr>
      </w:pPr>
    </w:p>
    <w:p w14:paraId="59D449F0" w14:textId="77777777" w:rsidR="00771F03" w:rsidRDefault="00771F03" w:rsidP="004511E1">
      <w:pPr>
        <w:spacing w:after="0" w:line="240" w:lineRule="auto"/>
        <w:rPr>
          <w:rFonts w:ascii="Verdana" w:eastAsia="Geomanist Light" w:hAnsi="Verdana" w:cs="Arial"/>
          <w:color w:val="000000" w:themeColor="text1"/>
          <w:lang w:val="es-MX"/>
        </w:rPr>
      </w:pPr>
    </w:p>
    <w:p w14:paraId="73D5170A" w14:textId="77777777" w:rsidR="00771F03" w:rsidRDefault="00771F03" w:rsidP="004511E1">
      <w:pPr>
        <w:spacing w:after="0" w:line="240" w:lineRule="auto"/>
        <w:rPr>
          <w:rFonts w:ascii="Verdana" w:eastAsia="Geomanist Light" w:hAnsi="Verdana" w:cs="Arial"/>
          <w:color w:val="000000" w:themeColor="text1"/>
          <w:lang w:val="es-MX"/>
        </w:rPr>
      </w:pPr>
    </w:p>
    <w:p w14:paraId="01CEE9ED" w14:textId="77777777" w:rsidR="00771F03" w:rsidRDefault="00771F03" w:rsidP="004511E1">
      <w:pPr>
        <w:spacing w:after="0" w:line="240" w:lineRule="auto"/>
        <w:rPr>
          <w:rFonts w:ascii="Verdana" w:eastAsia="Geomanist Light" w:hAnsi="Verdana" w:cs="Arial"/>
          <w:color w:val="000000" w:themeColor="text1"/>
          <w:lang w:val="es-MX"/>
        </w:rPr>
      </w:pPr>
    </w:p>
    <w:p w14:paraId="291C9BA3" w14:textId="77777777" w:rsidR="00771F03" w:rsidRDefault="00771F03" w:rsidP="004511E1">
      <w:pPr>
        <w:spacing w:after="0" w:line="240" w:lineRule="auto"/>
        <w:rPr>
          <w:rFonts w:ascii="Verdana" w:eastAsia="Geomanist Light" w:hAnsi="Verdana" w:cs="Arial"/>
          <w:color w:val="000000" w:themeColor="text1"/>
          <w:lang w:val="es-MX"/>
        </w:rPr>
      </w:pPr>
    </w:p>
    <w:p w14:paraId="0992B993" w14:textId="77777777" w:rsidR="00771F03" w:rsidRDefault="00771F03" w:rsidP="004511E1">
      <w:pPr>
        <w:spacing w:after="0" w:line="240" w:lineRule="auto"/>
        <w:rPr>
          <w:rFonts w:ascii="Verdana" w:eastAsia="Geomanist Light" w:hAnsi="Verdana" w:cs="Arial"/>
          <w:color w:val="000000" w:themeColor="text1"/>
          <w:lang w:val="es-MX"/>
        </w:rPr>
      </w:pPr>
    </w:p>
    <w:p w14:paraId="7BEB5F83" w14:textId="77777777" w:rsidR="00771F03" w:rsidRDefault="00771F03" w:rsidP="004511E1">
      <w:pPr>
        <w:spacing w:after="0" w:line="240" w:lineRule="auto"/>
        <w:rPr>
          <w:rFonts w:ascii="Verdana" w:eastAsia="Geomanist Light" w:hAnsi="Verdana" w:cs="Arial"/>
          <w:color w:val="000000" w:themeColor="text1"/>
          <w:lang w:val="es-MX"/>
        </w:rPr>
      </w:pPr>
    </w:p>
    <w:p w14:paraId="3D5E2E34" w14:textId="77777777" w:rsidR="00771F03" w:rsidRDefault="00771F03" w:rsidP="004511E1">
      <w:pPr>
        <w:spacing w:after="0" w:line="240" w:lineRule="auto"/>
        <w:rPr>
          <w:rFonts w:ascii="Verdana" w:eastAsia="Geomanist Light" w:hAnsi="Verdana" w:cs="Arial"/>
          <w:color w:val="000000" w:themeColor="text1"/>
          <w:lang w:val="es-MX"/>
        </w:rPr>
      </w:pPr>
    </w:p>
    <w:p w14:paraId="0B026872" w14:textId="77777777" w:rsidR="00771F03" w:rsidRDefault="00771F03" w:rsidP="004511E1">
      <w:pPr>
        <w:spacing w:after="0" w:line="240" w:lineRule="auto"/>
        <w:rPr>
          <w:rFonts w:ascii="Verdana" w:eastAsia="Geomanist Light" w:hAnsi="Verdana" w:cs="Arial"/>
          <w:color w:val="000000" w:themeColor="text1"/>
          <w:lang w:val="es-MX"/>
        </w:rPr>
      </w:pPr>
    </w:p>
    <w:p w14:paraId="647BEB13" w14:textId="77777777" w:rsidR="00771F03" w:rsidRDefault="00771F03" w:rsidP="004511E1">
      <w:pPr>
        <w:spacing w:after="0" w:line="240" w:lineRule="auto"/>
        <w:rPr>
          <w:rFonts w:ascii="Verdana" w:eastAsia="Geomanist Light" w:hAnsi="Verdana" w:cs="Arial"/>
          <w:color w:val="000000" w:themeColor="text1"/>
          <w:lang w:val="es-MX"/>
        </w:rPr>
      </w:pPr>
    </w:p>
    <w:p w14:paraId="7FB98227" w14:textId="77777777" w:rsidR="00771F03" w:rsidRDefault="00771F03" w:rsidP="004511E1">
      <w:pPr>
        <w:spacing w:after="0" w:line="240" w:lineRule="auto"/>
        <w:rPr>
          <w:rFonts w:ascii="Verdana" w:eastAsia="Geomanist Light" w:hAnsi="Verdana" w:cs="Arial"/>
          <w:color w:val="000000" w:themeColor="text1"/>
          <w:lang w:val="es-MX"/>
        </w:rPr>
      </w:pPr>
    </w:p>
    <w:p w14:paraId="75DBC3DE" w14:textId="77777777" w:rsidR="00771F03" w:rsidRDefault="00771F03" w:rsidP="004511E1">
      <w:pPr>
        <w:spacing w:after="0" w:line="240" w:lineRule="auto"/>
        <w:rPr>
          <w:rFonts w:ascii="Verdana" w:eastAsia="Geomanist Light" w:hAnsi="Verdana" w:cs="Arial"/>
          <w:color w:val="000000" w:themeColor="text1"/>
          <w:lang w:val="es-MX"/>
        </w:rPr>
      </w:pPr>
    </w:p>
    <w:p w14:paraId="1D583A3A" w14:textId="77777777" w:rsidR="00771F03" w:rsidRDefault="00771F03" w:rsidP="004511E1">
      <w:pPr>
        <w:spacing w:after="0" w:line="240" w:lineRule="auto"/>
        <w:rPr>
          <w:rFonts w:ascii="Verdana" w:eastAsia="Geomanist Light" w:hAnsi="Verdana" w:cs="Arial"/>
          <w:color w:val="000000" w:themeColor="text1"/>
          <w:lang w:val="es-MX"/>
        </w:rPr>
      </w:pPr>
    </w:p>
    <w:p w14:paraId="1155505B" w14:textId="77777777" w:rsidR="00771F03" w:rsidRDefault="00771F03" w:rsidP="004511E1">
      <w:pPr>
        <w:spacing w:after="0" w:line="240" w:lineRule="auto"/>
        <w:rPr>
          <w:rFonts w:ascii="Verdana" w:eastAsia="Geomanist Light" w:hAnsi="Verdana" w:cs="Arial"/>
          <w:color w:val="000000" w:themeColor="text1"/>
          <w:lang w:val="es-MX"/>
        </w:rPr>
      </w:pPr>
    </w:p>
    <w:p w14:paraId="237CD336" w14:textId="77777777" w:rsidR="00771F03" w:rsidRDefault="00771F03" w:rsidP="004511E1">
      <w:pPr>
        <w:spacing w:after="0" w:line="240" w:lineRule="auto"/>
        <w:rPr>
          <w:rFonts w:ascii="Verdana" w:eastAsia="Geomanist Light" w:hAnsi="Verdana" w:cs="Arial"/>
          <w:color w:val="000000" w:themeColor="text1"/>
          <w:lang w:val="es-MX"/>
        </w:rPr>
      </w:pPr>
    </w:p>
    <w:p w14:paraId="7DECC1D2" w14:textId="77777777" w:rsidR="00771F03" w:rsidRDefault="00771F03" w:rsidP="004511E1">
      <w:pPr>
        <w:spacing w:after="0" w:line="240" w:lineRule="auto"/>
        <w:rPr>
          <w:rFonts w:ascii="Verdana" w:eastAsia="Geomanist Light" w:hAnsi="Verdana" w:cs="Arial"/>
          <w:color w:val="000000" w:themeColor="text1"/>
          <w:lang w:val="es-MX"/>
        </w:rPr>
      </w:pPr>
    </w:p>
    <w:p w14:paraId="3C63B55A" w14:textId="77777777" w:rsidR="00771F03" w:rsidRDefault="00771F03" w:rsidP="004511E1">
      <w:pPr>
        <w:spacing w:after="0" w:line="240" w:lineRule="auto"/>
        <w:rPr>
          <w:rFonts w:ascii="Verdana" w:eastAsia="Geomanist Light" w:hAnsi="Verdana" w:cs="Arial"/>
          <w:color w:val="000000" w:themeColor="text1"/>
          <w:lang w:val="es-MX"/>
        </w:rPr>
      </w:pPr>
    </w:p>
    <w:p w14:paraId="6CE54583" w14:textId="77777777" w:rsidR="00771F03" w:rsidRDefault="00771F03" w:rsidP="004511E1">
      <w:pPr>
        <w:spacing w:after="0" w:line="240" w:lineRule="auto"/>
        <w:rPr>
          <w:rFonts w:ascii="Verdana" w:eastAsia="Geomanist Light" w:hAnsi="Verdana" w:cs="Arial"/>
          <w:color w:val="000000" w:themeColor="text1"/>
          <w:lang w:val="es-MX"/>
        </w:rPr>
      </w:pPr>
    </w:p>
    <w:p w14:paraId="08175E97" w14:textId="77777777" w:rsidR="00771F03" w:rsidRDefault="00771F03" w:rsidP="004511E1">
      <w:pPr>
        <w:spacing w:after="0" w:line="240" w:lineRule="auto"/>
        <w:rPr>
          <w:rFonts w:ascii="Verdana" w:eastAsia="Geomanist Light" w:hAnsi="Verdana" w:cs="Arial"/>
          <w:color w:val="000000" w:themeColor="text1"/>
          <w:lang w:val="es-MX"/>
        </w:rPr>
      </w:pPr>
    </w:p>
    <w:p w14:paraId="71C14513" w14:textId="77777777" w:rsidR="00771F03" w:rsidRDefault="00771F03" w:rsidP="004511E1">
      <w:pPr>
        <w:spacing w:after="0" w:line="240" w:lineRule="auto"/>
        <w:rPr>
          <w:rFonts w:ascii="Verdana" w:eastAsia="Geomanist Light" w:hAnsi="Verdana" w:cs="Arial"/>
          <w:color w:val="000000" w:themeColor="text1"/>
          <w:lang w:val="es-MX"/>
        </w:rPr>
      </w:pPr>
    </w:p>
    <w:p w14:paraId="44461050" w14:textId="77777777" w:rsidR="00771F03" w:rsidRDefault="00771F03" w:rsidP="004511E1">
      <w:pPr>
        <w:spacing w:after="0" w:line="240" w:lineRule="auto"/>
        <w:rPr>
          <w:rFonts w:ascii="Verdana" w:eastAsia="Geomanist Light" w:hAnsi="Verdana" w:cs="Arial"/>
          <w:color w:val="000000" w:themeColor="text1"/>
          <w:lang w:val="es-MX"/>
        </w:rPr>
      </w:pPr>
    </w:p>
    <w:p w14:paraId="68FF4FC0" w14:textId="77777777" w:rsidR="00771F03" w:rsidRDefault="00771F03" w:rsidP="004511E1">
      <w:pPr>
        <w:spacing w:after="0" w:line="240" w:lineRule="auto"/>
        <w:rPr>
          <w:rFonts w:ascii="Verdana" w:eastAsia="Geomanist Light" w:hAnsi="Verdana" w:cs="Arial"/>
          <w:color w:val="000000" w:themeColor="text1"/>
          <w:lang w:val="es-MX"/>
        </w:rPr>
      </w:pPr>
    </w:p>
    <w:p w14:paraId="087B7BD0" w14:textId="77777777" w:rsidR="00771F03" w:rsidRDefault="00771F03" w:rsidP="004511E1">
      <w:pPr>
        <w:spacing w:after="0" w:line="240" w:lineRule="auto"/>
        <w:rPr>
          <w:rFonts w:ascii="Verdana" w:eastAsia="Geomanist Light" w:hAnsi="Verdana" w:cs="Arial"/>
          <w:color w:val="000000" w:themeColor="text1"/>
          <w:lang w:val="es-MX"/>
        </w:rPr>
      </w:pPr>
    </w:p>
    <w:p w14:paraId="13C413DA" w14:textId="77777777" w:rsidR="00771F03" w:rsidRDefault="00771F03" w:rsidP="004511E1">
      <w:pPr>
        <w:spacing w:after="0" w:line="240" w:lineRule="auto"/>
        <w:rPr>
          <w:rFonts w:ascii="Verdana" w:eastAsia="Geomanist Light" w:hAnsi="Verdana" w:cs="Arial"/>
          <w:color w:val="000000" w:themeColor="text1"/>
          <w:lang w:val="es-MX"/>
        </w:rPr>
      </w:pPr>
    </w:p>
    <w:p w14:paraId="2CE86E21" w14:textId="77777777" w:rsidR="00771F03" w:rsidRDefault="00771F03" w:rsidP="004511E1">
      <w:pPr>
        <w:spacing w:after="0" w:line="240" w:lineRule="auto"/>
        <w:rPr>
          <w:rFonts w:ascii="Verdana" w:eastAsia="Geomanist Light" w:hAnsi="Verdana" w:cs="Arial"/>
          <w:color w:val="000000" w:themeColor="text1"/>
          <w:lang w:val="es-MX"/>
        </w:rPr>
      </w:pPr>
    </w:p>
    <w:p w14:paraId="7FD07256" w14:textId="77777777" w:rsidR="00771F03" w:rsidRDefault="00771F03" w:rsidP="004511E1">
      <w:pPr>
        <w:spacing w:after="0" w:line="240" w:lineRule="auto"/>
        <w:rPr>
          <w:rFonts w:ascii="Verdana" w:eastAsia="Geomanist Light" w:hAnsi="Verdana" w:cs="Arial"/>
          <w:color w:val="000000" w:themeColor="text1"/>
          <w:lang w:val="es-MX"/>
        </w:rPr>
      </w:pPr>
    </w:p>
    <w:p w14:paraId="14E044A2" w14:textId="77777777" w:rsidR="00771F03" w:rsidRDefault="00771F03" w:rsidP="004511E1">
      <w:pPr>
        <w:spacing w:after="0" w:line="240" w:lineRule="auto"/>
        <w:rPr>
          <w:rFonts w:ascii="Verdana" w:eastAsia="Geomanist Light" w:hAnsi="Verdana" w:cs="Arial"/>
          <w:color w:val="000000" w:themeColor="text1"/>
          <w:lang w:val="es-MX"/>
        </w:rPr>
      </w:pPr>
    </w:p>
    <w:p w14:paraId="7486D06D" w14:textId="77777777" w:rsidR="00771F03" w:rsidRDefault="00771F03" w:rsidP="004511E1">
      <w:pPr>
        <w:spacing w:after="0" w:line="240" w:lineRule="auto"/>
        <w:rPr>
          <w:rFonts w:ascii="Verdana" w:eastAsia="Geomanist Light" w:hAnsi="Verdana" w:cs="Arial"/>
          <w:color w:val="000000" w:themeColor="text1"/>
          <w:lang w:val="es-MX"/>
        </w:rPr>
      </w:pPr>
    </w:p>
    <w:p w14:paraId="09E0FAA3" w14:textId="384EE0A8" w:rsidR="004511E1" w:rsidRPr="00241376" w:rsidRDefault="004511E1" w:rsidP="004511E1">
      <w:pPr>
        <w:spacing w:after="0" w:line="240" w:lineRule="auto"/>
        <w:rPr>
          <w:rFonts w:ascii="Verdana" w:eastAsia="Geomanist Light" w:hAnsi="Verdana" w:cs="Arial"/>
          <w:color w:val="201F1E"/>
          <w:lang w:val="es-MX"/>
        </w:rPr>
      </w:pPr>
      <w:r w:rsidRPr="00241376">
        <w:rPr>
          <w:rFonts w:ascii="Verdana" w:eastAsia="Geomanist Light" w:hAnsi="Verdana" w:cs="Arial"/>
          <w:color w:val="000000" w:themeColor="text1"/>
          <w:lang w:val="es-MX"/>
        </w:rPr>
        <w:lastRenderedPageBreak/>
        <w:t>Bogotá D.C., </w:t>
      </w:r>
      <w:r w:rsidR="00771F03">
        <w:rPr>
          <w:rFonts w:ascii="Verdana" w:eastAsia="Geomanist Light" w:hAnsi="Verdana" w:cs="Arial"/>
          <w:color w:val="201F1E"/>
        </w:rPr>
        <w:t>6 de julio de 2026</w:t>
      </w:r>
    </w:p>
    <w:p w14:paraId="16FC0161" w14:textId="77777777" w:rsidR="004511E1" w:rsidRDefault="004511E1" w:rsidP="004511E1">
      <w:pPr>
        <w:spacing w:after="0" w:line="278" w:lineRule="auto"/>
        <w:rPr>
          <w:rFonts w:ascii="Verdana" w:eastAsia="Aptos" w:hAnsi="Verdana" w:cs="Times New Roman"/>
          <w:kern w:val="2"/>
          <w14:ligatures w14:val="standardContextual"/>
        </w:rPr>
      </w:pPr>
    </w:p>
    <w:p w14:paraId="5CCDA8A0" w14:textId="67BC2D48" w:rsidR="004511E1" w:rsidRPr="001B3C5D" w:rsidRDefault="00FB0EE9" w:rsidP="004511E1">
      <w:pPr>
        <w:spacing w:after="0" w:line="278" w:lineRule="auto"/>
        <w:jc w:val="right"/>
        <w:rPr>
          <w:rFonts w:ascii="Verdana" w:eastAsia="Aptos" w:hAnsi="Verdana" w:cs="Times New Roman"/>
          <w:kern w:val="2"/>
          <w:sz w:val="24"/>
          <w:szCs w:val="24"/>
          <w14:ligatures w14:val="standardContextual"/>
        </w:rPr>
      </w:pPr>
      <w:r w:rsidRPr="00FB0EE9">
        <w:rPr>
          <w:rFonts w:ascii="Verdana" w:eastAsia="Aptos" w:hAnsi="Verdana" w:cs="Times New Roman"/>
          <w:noProof/>
          <w:kern w:val="2"/>
          <w:sz w:val="24"/>
          <w:szCs w:val="24"/>
          <w14:ligatures w14:val="standardContextual"/>
        </w:rPr>
        <w:drawing>
          <wp:anchor distT="0" distB="0" distL="114300" distR="114300" simplePos="0" relativeHeight="251658240" behindDoc="0" locked="0" layoutInCell="1" allowOverlap="1" wp14:anchorId="3784C387" wp14:editId="23A052E0">
            <wp:simplePos x="0" y="0"/>
            <wp:positionH relativeFrom="column">
              <wp:posOffset>3240405</wp:posOffset>
            </wp:positionH>
            <wp:positionV relativeFrom="paragraph">
              <wp:posOffset>-1270</wp:posOffset>
            </wp:positionV>
            <wp:extent cx="2369820" cy="876300"/>
            <wp:effectExtent l="0" t="0" r="0" b="0"/>
            <wp:wrapSquare wrapText="bothSides"/>
            <wp:docPr id="17839623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9820" cy="876300"/>
                    </a:xfrm>
                    <a:prstGeom prst="rect">
                      <a:avLst/>
                    </a:prstGeom>
                    <a:noFill/>
                    <a:ln>
                      <a:noFill/>
                    </a:ln>
                  </pic:spPr>
                </pic:pic>
              </a:graphicData>
            </a:graphic>
          </wp:anchor>
        </w:drawing>
      </w:r>
    </w:p>
    <w:p w14:paraId="58CAD96A" w14:textId="77777777" w:rsidR="004511E1" w:rsidRPr="001B3C5D" w:rsidRDefault="004511E1" w:rsidP="004511E1">
      <w:pPr>
        <w:spacing w:after="0" w:line="240" w:lineRule="auto"/>
        <w:rPr>
          <w:rFonts w:ascii="Verdana" w:eastAsia="Calibri" w:hAnsi="Verdana" w:cs="Arial"/>
          <w:kern w:val="2"/>
          <w:lang w:val="es-ES" w:eastAsia="es-ES"/>
          <w14:ligatures w14:val="standardContextual"/>
        </w:rPr>
      </w:pPr>
      <w:r w:rsidRPr="001B3C5D">
        <w:rPr>
          <w:rFonts w:ascii="Verdana" w:eastAsia="Calibri" w:hAnsi="Verdana" w:cs="Arial"/>
          <w:kern w:val="2"/>
          <w:lang w:val="es-ES" w:eastAsia="es-ES"/>
          <w14:ligatures w14:val="standardContextual"/>
        </w:rPr>
        <w:t>Señor</w:t>
      </w:r>
      <w:r>
        <w:rPr>
          <w:rFonts w:ascii="Verdana" w:eastAsia="Calibri" w:hAnsi="Verdana" w:cs="Arial"/>
          <w:kern w:val="2"/>
          <w:lang w:val="es-ES" w:eastAsia="es-ES"/>
          <w14:ligatures w14:val="standardContextual"/>
        </w:rPr>
        <w:t>a</w:t>
      </w:r>
    </w:p>
    <w:p w14:paraId="7903A8CC" w14:textId="77777777" w:rsidR="004511E1" w:rsidRPr="00E504B7" w:rsidRDefault="004511E1" w:rsidP="004511E1">
      <w:pPr>
        <w:spacing w:after="0" w:line="240" w:lineRule="auto"/>
        <w:rPr>
          <w:rFonts w:ascii="Verdana" w:eastAsia="Calibri" w:hAnsi="Verdana" w:cs="Arial"/>
          <w:b/>
          <w:bCs/>
          <w:kern w:val="2"/>
          <w:lang w:val="es-ES" w:eastAsia="es-ES"/>
          <w14:ligatures w14:val="standardContextual"/>
        </w:rPr>
      </w:pPr>
      <w:r w:rsidRPr="00E504B7">
        <w:rPr>
          <w:rFonts w:ascii="Verdana" w:eastAsia="Calibri" w:hAnsi="Verdana" w:cs="Arial"/>
          <w:b/>
          <w:bCs/>
          <w:kern w:val="2"/>
          <w:lang w:val="es-ES" w:eastAsia="es-ES"/>
          <w14:ligatures w14:val="standardContextual"/>
        </w:rPr>
        <w:t>Isabella Daniela Morales De La Cruz</w:t>
      </w:r>
    </w:p>
    <w:p w14:paraId="1C6F8C87" w14:textId="77777777" w:rsidR="004511E1" w:rsidRPr="00ED79AD" w:rsidRDefault="004511E1" w:rsidP="004511E1">
      <w:pPr>
        <w:spacing w:after="0" w:line="240" w:lineRule="auto"/>
        <w:rPr>
          <w:rFonts w:ascii="Verdana" w:eastAsia="Calibri" w:hAnsi="Verdana" w:cs="Arial"/>
          <w:kern w:val="2"/>
          <w:lang w:val="es-ES" w:eastAsia="es-ES"/>
          <w14:ligatures w14:val="standardContextual"/>
        </w:rPr>
      </w:pPr>
      <w:hyperlink r:id="rId12" w:history="1">
        <w:r w:rsidRPr="00ED79AD">
          <w:rPr>
            <w:rStyle w:val="Hipervnculo"/>
            <w:rFonts w:ascii="Verdana" w:hAnsi="Verdana"/>
          </w:rPr>
          <w:t>moralescruz_7@hotmail.com</w:t>
        </w:r>
      </w:hyperlink>
      <w:r w:rsidRPr="00ED79AD">
        <w:rPr>
          <w:rFonts w:ascii="Verdana" w:hAnsi="Verdana"/>
        </w:rPr>
        <w:t xml:space="preserve"> </w:t>
      </w:r>
    </w:p>
    <w:p w14:paraId="7E6ED89A" w14:textId="77777777" w:rsidR="004511E1" w:rsidRPr="001B3C5D" w:rsidRDefault="004511E1" w:rsidP="004511E1">
      <w:pPr>
        <w:spacing w:after="0" w:line="240" w:lineRule="auto"/>
        <w:rPr>
          <w:rFonts w:ascii="Verdana" w:eastAsia="Calibri" w:hAnsi="Verdana" w:cs="Arial"/>
          <w:lang w:val="es-ES_tradnl" w:eastAsia="es-ES_tradnl"/>
        </w:rPr>
      </w:pPr>
      <w:r>
        <w:rPr>
          <w:rFonts w:ascii="Verdana" w:eastAsia="Calibri" w:hAnsi="Verdana" w:cs="Arial"/>
          <w:kern w:val="2"/>
          <w:lang w:val="es-ES" w:eastAsia="es-ES"/>
          <w14:ligatures w14:val="standardContextual"/>
        </w:rPr>
        <w:t>Bogotá D.C.</w:t>
      </w:r>
    </w:p>
    <w:p w14:paraId="7D7889AC" w14:textId="77777777" w:rsidR="004511E1" w:rsidRDefault="004511E1" w:rsidP="004511E1">
      <w:pPr>
        <w:spacing w:after="0" w:line="240" w:lineRule="auto"/>
        <w:rPr>
          <w:rFonts w:ascii="Verdana" w:eastAsia="Calibri" w:hAnsi="Verdana" w:cs="Arial"/>
          <w:b/>
          <w:bCs/>
          <w:lang w:val="es-ES_tradnl" w:eastAsia="es-ES_tradnl"/>
        </w:rPr>
      </w:pPr>
    </w:p>
    <w:p w14:paraId="144683E6" w14:textId="77777777" w:rsidR="004511E1" w:rsidRPr="001B3C5D" w:rsidRDefault="004511E1" w:rsidP="004511E1">
      <w:pPr>
        <w:spacing w:after="0" w:line="240" w:lineRule="auto"/>
        <w:rPr>
          <w:rFonts w:ascii="Verdana" w:eastAsia="Calibri" w:hAnsi="Verdana" w:cs="Arial"/>
          <w:b/>
          <w:bCs/>
          <w:lang w:val="es-ES_tradnl" w:eastAsia="es-ES_tradnl"/>
        </w:rPr>
      </w:pPr>
    </w:p>
    <w:tbl>
      <w:tblPr>
        <w:tblStyle w:val="Tablaconcuadrcula1"/>
        <w:tblW w:w="8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50"/>
      </w:tblGrid>
      <w:tr w:rsidR="004511E1" w:rsidRPr="001B3C5D" w14:paraId="301ABAF5" w14:textId="77777777" w:rsidTr="0044414F">
        <w:trPr>
          <w:trHeight w:val="229"/>
        </w:trPr>
        <w:tc>
          <w:tcPr>
            <w:tcW w:w="2685" w:type="dxa"/>
          </w:tcPr>
          <w:p w14:paraId="703EBE22" w14:textId="77777777" w:rsidR="004511E1" w:rsidRPr="001B3C5D" w:rsidRDefault="004511E1" w:rsidP="0044414F">
            <w:pPr>
              <w:jc w:val="both"/>
              <w:rPr>
                <w:rFonts w:ascii="Verdana" w:eastAsia="Calibri" w:hAnsi="Verdana" w:cs="Arial"/>
                <w:b/>
                <w:bCs/>
                <w:lang w:val="es-ES_tradnl" w:eastAsia="es-ES_tradnl"/>
              </w:rPr>
            </w:pPr>
          </w:p>
        </w:tc>
        <w:tc>
          <w:tcPr>
            <w:tcW w:w="6250" w:type="dxa"/>
          </w:tcPr>
          <w:p w14:paraId="3211054E" w14:textId="77777777" w:rsidR="004511E1" w:rsidRPr="001B3C5D" w:rsidRDefault="004511E1" w:rsidP="0044414F">
            <w:pPr>
              <w:jc w:val="both"/>
              <w:rPr>
                <w:rFonts w:ascii="Verdana" w:eastAsia="Calibri" w:hAnsi="Verdana" w:cs="Arial"/>
                <w:b/>
                <w:bCs/>
                <w:lang w:val="es-ES" w:eastAsia="es-ES"/>
              </w:rPr>
            </w:pPr>
            <w:r w:rsidRPr="001B3C5D">
              <w:rPr>
                <w:rFonts w:ascii="Verdana" w:eastAsia="Calibri" w:hAnsi="Verdana" w:cs="Arial"/>
                <w:b/>
                <w:bCs/>
                <w:lang w:val="es-ES" w:eastAsia="es-ES"/>
              </w:rPr>
              <w:t>Concepto C–</w:t>
            </w:r>
            <w:r>
              <w:rPr>
                <w:rFonts w:ascii="Verdana" w:eastAsia="Calibri" w:hAnsi="Verdana" w:cs="Arial"/>
                <w:b/>
                <w:bCs/>
                <w:lang w:val="es-ES" w:eastAsia="es-ES"/>
              </w:rPr>
              <w:t>971</w:t>
            </w:r>
            <w:r w:rsidRPr="001B3C5D">
              <w:rPr>
                <w:rFonts w:ascii="Verdana" w:eastAsia="Calibri" w:hAnsi="Verdana" w:cs="Arial"/>
                <w:b/>
                <w:bCs/>
                <w:lang w:val="es-ES" w:eastAsia="es-ES"/>
              </w:rPr>
              <w:t xml:space="preserve"> de 2026</w:t>
            </w:r>
          </w:p>
          <w:p w14:paraId="52054AFD" w14:textId="77777777" w:rsidR="004511E1" w:rsidRPr="001B3C5D" w:rsidRDefault="004511E1" w:rsidP="0044414F">
            <w:pPr>
              <w:jc w:val="both"/>
              <w:rPr>
                <w:rFonts w:ascii="Verdana" w:eastAsia="Calibri" w:hAnsi="Verdana" w:cs="Arial"/>
                <w:b/>
                <w:bCs/>
                <w:lang w:val="es-ES" w:eastAsia="es-ES"/>
              </w:rPr>
            </w:pPr>
          </w:p>
        </w:tc>
      </w:tr>
      <w:tr w:rsidR="004511E1" w:rsidRPr="001B3C5D" w14:paraId="0A93F5E1" w14:textId="77777777" w:rsidTr="0044414F">
        <w:trPr>
          <w:trHeight w:val="884"/>
        </w:trPr>
        <w:tc>
          <w:tcPr>
            <w:tcW w:w="2685" w:type="dxa"/>
          </w:tcPr>
          <w:p w14:paraId="0C8303D3" w14:textId="77777777" w:rsidR="004511E1" w:rsidRPr="001B3C5D" w:rsidRDefault="004511E1" w:rsidP="0044414F">
            <w:pPr>
              <w:jc w:val="both"/>
              <w:rPr>
                <w:rFonts w:ascii="Verdana" w:eastAsia="Calibri" w:hAnsi="Verdana" w:cs="Arial"/>
                <w:lang w:val="es-ES_tradnl" w:eastAsia="es-ES_tradnl"/>
              </w:rPr>
            </w:pPr>
            <w:r w:rsidRPr="001B3C5D">
              <w:rPr>
                <w:rFonts w:ascii="Verdana" w:eastAsia="Calibri" w:hAnsi="Verdana" w:cs="Arial"/>
                <w:b/>
                <w:lang w:val="es-ES_tradnl" w:eastAsia="es-ES_tradnl"/>
              </w:rPr>
              <w:t>Temas:</w:t>
            </w:r>
            <w:r w:rsidRPr="001B3C5D">
              <w:rPr>
                <w:rFonts w:ascii="Verdana" w:eastAsia="Calibri" w:hAnsi="Verdana" w:cs="Arial"/>
                <w:lang w:val="es-ES_tradnl" w:eastAsia="es-ES_tradnl"/>
              </w:rPr>
              <w:t xml:space="preserve">                   </w:t>
            </w:r>
          </w:p>
        </w:tc>
        <w:tc>
          <w:tcPr>
            <w:tcW w:w="6250" w:type="dxa"/>
          </w:tcPr>
          <w:p w14:paraId="19367FAF" w14:textId="2B401A4D" w:rsidR="004511E1" w:rsidRPr="0093530E" w:rsidRDefault="004511E1" w:rsidP="0044414F">
            <w:pPr>
              <w:widowControl w:val="0"/>
              <w:autoSpaceDE w:val="0"/>
              <w:autoSpaceDN w:val="0"/>
              <w:spacing w:after="160" w:line="276" w:lineRule="auto"/>
              <w:jc w:val="both"/>
              <w:rPr>
                <w:rFonts w:ascii="Verdana" w:eastAsia="Calibri" w:hAnsi="Verdana" w:cs="Arial"/>
                <w:b/>
                <w:bCs/>
                <w:lang w:eastAsia="es-ES"/>
              </w:rPr>
            </w:pPr>
            <w:r w:rsidRPr="00915323">
              <w:rPr>
                <w:rFonts w:ascii="Verdana" w:eastAsia="Calibri" w:hAnsi="Verdana" w:cs="Arial"/>
                <w:lang w:eastAsia="es-ES"/>
              </w:rPr>
              <w:t>SISTEMA DE PREFERENCIA PARA PERSONAS CON DISCAPACIDAD ‒ Constitución Política ‒ Ley 1618 de 2013</w:t>
            </w:r>
            <w:r>
              <w:rPr>
                <w:rFonts w:ascii="Verdana" w:eastAsia="Calibri" w:hAnsi="Verdana" w:cs="Arial"/>
                <w:lang w:eastAsia="es-ES"/>
              </w:rPr>
              <w:t xml:space="preserve"> / </w:t>
            </w:r>
            <w:r w:rsidRPr="00777292">
              <w:rPr>
                <w:rFonts w:ascii="Verdana" w:eastAsia="Calibri" w:hAnsi="Verdana" w:cs="Arial"/>
                <w:lang w:eastAsia="es-ES"/>
              </w:rPr>
              <w:t xml:space="preserve">DECRETO 0287 DE 2026 ‒ Antecedentes normativos ‒ Decreto 392 de 2018 </w:t>
            </w:r>
            <w:r>
              <w:rPr>
                <w:rFonts w:ascii="Verdana" w:eastAsia="Calibri" w:hAnsi="Verdana" w:cs="Arial"/>
                <w:lang w:eastAsia="es-ES"/>
              </w:rPr>
              <w:t xml:space="preserve">/ </w:t>
            </w:r>
            <w:r w:rsidRPr="00777292">
              <w:rPr>
                <w:rFonts w:ascii="Verdana" w:eastAsia="Calibri" w:hAnsi="Verdana" w:cs="Arial"/>
                <w:lang w:eastAsia="es-ES"/>
              </w:rPr>
              <w:t>DECRETO 0287 DE 2026 ‒ Sistema Integral de Preferencias ‒ Contratación pública inclusiva ‒ Personas con discapacidad</w:t>
            </w:r>
            <w:r>
              <w:rPr>
                <w:rFonts w:ascii="Verdana" w:eastAsia="Calibri" w:hAnsi="Verdana" w:cs="Arial"/>
                <w:lang w:eastAsia="es-ES"/>
              </w:rPr>
              <w:t xml:space="preserve"> / </w:t>
            </w:r>
            <w:r w:rsidRPr="0093530E">
              <w:rPr>
                <w:rFonts w:ascii="Verdana" w:eastAsia="Calibri" w:hAnsi="Verdana" w:cs="Arial"/>
                <w:lang w:eastAsia="es-ES"/>
              </w:rPr>
              <w:t xml:space="preserve">DECRETO 0287 DE 2026 ‒ </w:t>
            </w:r>
            <w:r>
              <w:rPr>
                <w:rFonts w:ascii="Verdana" w:eastAsia="Calibri" w:hAnsi="Verdana" w:cs="Arial"/>
                <w:lang w:eastAsia="es-ES"/>
              </w:rPr>
              <w:t>Definición de emprendimiento y empresa de personas</w:t>
            </w:r>
            <w:r w:rsidR="00092916">
              <w:rPr>
                <w:rFonts w:ascii="Verdana" w:eastAsia="Calibri" w:hAnsi="Verdana" w:cs="Arial"/>
                <w:lang w:eastAsia="es-ES"/>
              </w:rPr>
              <w:t xml:space="preserve"> con discapacidad</w:t>
            </w:r>
            <w:r>
              <w:rPr>
                <w:rFonts w:ascii="Verdana" w:eastAsia="Calibri" w:hAnsi="Verdana" w:cs="Arial"/>
                <w:lang w:eastAsia="es-ES"/>
              </w:rPr>
              <w:t xml:space="preserve"> </w:t>
            </w:r>
            <w:r w:rsidRPr="0093530E">
              <w:rPr>
                <w:rFonts w:ascii="Verdana" w:eastAsia="Calibri" w:hAnsi="Verdana" w:cs="Arial"/>
                <w:lang w:eastAsia="es-ES"/>
              </w:rPr>
              <w:t>‒</w:t>
            </w:r>
            <w:r>
              <w:rPr>
                <w:rFonts w:ascii="Verdana" w:eastAsia="Calibri" w:hAnsi="Verdana" w:cs="Arial"/>
                <w:lang w:eastAsia="es-ES"/>
              </w:rPr>
              <w:t xml:space="preserve"> Certificaciones </w:t>
            </w:r>
            <w:r w:rsidRPr="0093530E">
              <w:rPr>
                <w:rFonts w:ascii="Verdana" w:eastAsia="Calibri" w:hAnsi="Verdana" w:cs="Arial"/>
                <w:lang w:eastAsia="es-ES"/>
              </w:rPr>
              <w:t>‒</w:t>
            </w:r>
            <w:r>
              <w:rPr>
                <w:rFonts w:ascii="Verdana" w:eastAsia="Calibri" w:hAnsi="Verdana" w:cs="Arial"/>
                <w:lang w:eastAsia="es-ES"/>
              </w:rPr>
              <w:t xml:space="preserve"> Bajo la gravedad de juramento</w:t>
            </w:r>
          </w:p>
          <w:p w14:paraId="5ACD21BB" w14:textId="77777777" w:rsidR="004511E1" w:rsidRPr="001B3C5D" w:rsidRDefault="004511E1" w:rsidP="0044414F">
            <w:pPr>
              <w:widowControl w:val="0"/>
              <w:autoSpaceDE w:val="0"/>
              <w:autoSpaceDN w:val="0"/>
              <w:jc w:val="both"/>
              <w:rPr>
                <w:rFonts w:ascii="Verdana" w:eastAsia="Calibri" w:hAnsi="Verdana" w:cs="Times New Roman"/>
                <w:highlight w:val="yellow"/>
                <w:lang w:val="es-ES"/>
              </w:rPr>
            </w:pPr>
          </w:p>
        </w:tc>
      </w:tr>
      <w:tr w:rsidR="004511E1" w:rsidRPr="001B3C5D" w14:paraId="1F9A2F65" w14:textId="77777777" w:rsidTr="0044414F">
        <w:tc>
          <w:tcPr>
            <w:tcW w:w="2685" w:type="dxa"/>
          </w:tcPr>
          <w:p w14:paraId="694C5E46" w14:textId="77777777" w:rsidR="004511E1" w:rsidRPr="001B3C5D" w:rsidRDefault="004511E1" w:rsidP="0044414F">
            <w:pPr>
              <w:jc w:val="both"/>
              <w:rPr>
                <w:rFonts w:ascii="Verdana" w:eastAsia="Calibri" w:hAnsi="Verdana" w:cs="Arial"/>
                <w:b/>
                <w:lang w:val="es-ES_tradnl" w:eastAsia="es-ES_tradnl"/>
              </w:rPr>
            </w:pPr>
            <w:r w:rsidRPr="001B3C5D">
              <w:rPr>
                <w:rFonts w:ascii="Verdana" w:eastAsia="Calibri" w:hAnsi="Verdana" w:cs="Arial"/>
                <w:b/>
                <w:lang w:val="es-ES_tradnl" w:eastAsia="es-ES_tradnl"/>
              </w:rPr>
              <w:t>Radicación:</w:t>
            </w:r>
            <w:r w:rsidRPr="001B3C5D">
              <w:rPr>
                <w:rFonts w:ascii="Verdana" w:eastAsia="Calibri" w:hAnsi="Verdana" w:cs="Arial"/>
                <w:lang w:val="es-ES_tradnl" w:eastAsia="es-ES_tradnl"/>
              </w:rPr>
              <w:t xml:space="preserve">               </w:t>
            </w:r>
          </w:p>
        </w:tc>
        <w:tc>
          <w:tcPr>
            <w:tcW w:w="6250" w:type="dxa"/>
          </w:tcPr>
          <w:p w14:paraId="31C9A3B5" w14:textId="77777777" w:rsidR="004511E1" w:rsidRPr="001B3C5D" w:rsidRDefault="004511E1" w:rsidP="0044414F">
            <w:pPr>
              <w:ind w:left="3" w:hanging="3"/>
              <w:jc w:val="both"/>
              <w:rPr>
                <w:rFonts w:ascii="Verdana" w:eastAsia="Calibri" w:hAnsi="Verdana" w:cs="Arial"/>
                <w:lang w:val="es-ES_tradnl" w:eastAsia="es-ES_tradnl"/>
              </w:rPr>
            </w:pPr>
            <w:r w:rsidRPr="001B3C5D">
              <w:rPr>
                <w:rFonts w:ascii="Verdana" w:eastAsia="Calibri" w:hAnsi="Verdana" w:cs="Arial"/>
                <w:lang w:val="es-ES_tradnl" w:eastAsia="es-ES_tradnl"/>
              </w:rPr>
              <w:t>Respuesta a consulta con radicado No.</w:t>
            </w:r>
            <w:r>
              <w:rPr>
                <w:rFonts w:ascii="Verdana" w:eastAsia="Calibri" w:hAnsi="Verdana" w:cs="Arial"/>
                <w:lang w:val="es-ES_tradnl" w:eastAsia="es-ES_tradnl"/>
              </w:rPr>
              <w:t xml:space="preserve"> </w:t>
            </w:r>
            <w:r w:rsidRPr="009B51AB">
              <w:rPr>
                <w:rFonts w:ascii="Verdana" w:eastAsia="Calibri" w:hAnsi="Verdana" w:cs="Arial"/>
                <w:lang w:val="es-ES_tradnl" w:eastAsia="es-ES_tradnl"/>
              </w:rPr>
              <w:t>1_2026_06_12_008015</w:t>
            </w:r>
          </w:p>
        </w:tc>
      </w:tr>
    </w:tbl>
    <w:p w14:paraId="79190AF5" w14:textId="77777777" w:rsidR="004511E1" w:rsidRPr="001B3C5D" w:rsidRDefault="004511E1" w:rsidP="004511E1">
      <w:pPr>
        <w:spacing w:after="0" w:line="240" w:lineRule="auto"/>
        <w:jc w:val="both"/>
        <w:rPr>
          <w:rFonts w:ascii="Verdana" w:eastAsia="Calibri" w:hAnsi="Verdana" w:cs="Arial"/>
          <w:lang w:val="es-ES_tradnl" w:eastAsia="es-ES_tradnl"/>
        </w:rPr>
      </w:pPr>
    </w:p>
    <w:p w14:paraId="50C64DF7" w14:textId="77777777" w:rsidR="004511E1" w:rsidRDefault="004511E1" w:rsidP="004511E1">
      <w:pPr>
        <w:spacing w:after="0" w:line="276" w:lineRule="auto"/>
        <w:jc w:val="both"/>
        <w:rPr>
          <w:rFonts w:ascii="Verdana" w:eastAsia="Calibri" w:hAnsi="Verdana" w:cs="Arial"/>
          <w:lang w:val="es-ES" w:eastAsia="es-ES"/>
        </w:rPr>
      </w:pPr>
    </w:p>
    <w:p w14:paraId="62A9EB66" w14:textId="77777777" w:rsidR="004511E1" w:rsidRPr="001B3C5D" w:rsidRDefault="004511E1" w:rsidP="004511E1">
      <w:pPr>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Estimad</w:t>
      </w:r>
      <w:r>
        <w:rPr>
          <w:rFonts w:ascii="Verdana" w:eastAsia="Calibri" w:hAnsi="Verdana" w:cs="Arial"/>
          <w:lang w:val="es-ES" w:eastAsia="es-ES"/>
        </w:rPr>
        <w:t xml:space="preserve">a </w:t>
      </w:r>
      <w:r w:rsidRPr="001B3C5D">
        <w:rPr>
          <w:rFonts w:ascii="Verdana" w:eastAsia="Calibri" w:hAnsi="Verdana" w:cs="Arial"/>
          <w:lang w:val="es-ES" w:eastAsia="es-ES"/>
        </w:rPr>
        <w:t>señor</w:t>
      </w:r>
      <w:r>
        <w:rPr>
          <w:rFonts w:ascii="Verdana" w:eastAsia="Calibri" w:hAnsi="Verdana" w:cs="Arial"/>
          <w:lang w:val="es-ES" w:eastAsia="es-ES"/>
        </w:rPr>
        <w:t>a Delgado</w:t>
      </w:r>
      <w:r w:rsidRPr="001B3C5D">
        <w:rPr>
          <w:rFonts w:ascii="Verdana" w:eastAsia="Calibri" w:hAnsi="Verdana" w:cs="Arial"/>
          <w:kern w:val="2"/>
          <w:lang w:eastAsia="es-ES_tradnl"/>
          <w14:ligatures w14:val="standardContextual"/>
        </w:rPr>
        <w:t>:</w:t>
      </w:r>
      <w:r w:rsidRPr="001B3C5D">
        <w:rPr>
          <w:rFonts w:ascii="Verdana" w:eastAsia="Calibri" w:hAnsi="Verdana" w:cs="Arial"/>
          <w:lang w:val="es-ES" w:eastAsia="es-ES"/>
        </w:rPr>
        <w:t xml:space="preserve"> </w:t>
      </w:r>
    </w:p>
    <w:p w14:paraId="2BB88CC3" w14:textId="77777777" w:rsidR="004511E1" w:rsidRPr="001B3C5D" w:rsidRDefault="004511E1" w:rsidP="004511E1">
      <w:pPr>
        <w:tabs>
          <w:tab w:val="left" w:pos="3768"/>
        </w:tabs>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 xml:space="preserve"> </w:t>
      </w:r>
    </w:p>
    <w:p w14:paraId="61FCCD1C" w14:textId="77777777" w:rsidR="004511E1" w:rsidRPr="001B3C5D" w:rsidRDefault="004511E1" w:rsidP="004511E1">
      <w:pPr>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En ejercicio de la competencia otorgada por los artículos 3, numeral 5º, y 11, numeral 8º, del Decreto Ley 4170 de 2011,</w:t>
      </w:r>
      <w:r w:rsidRPr="001B3C5D">
        <w:rPr>
          <w:rFonts w:ascii="Verdana" w:eastAsia="Arial MT" w:hAnsi="Verdana" w:cs="Arial MT"/>
          <w:lang w:val="es-ES" w:eastAsia="es-ES"/>
        </w:rPr>
        <w:t xml:space="preserve"> </w:t>
      </w:r>
      <w:r w:rsidRPr="001B3C5D">
        <w:rPr>
          <w:rFonts w:ascii="Verdana" w:eastAsia="Calibri" w:hAnsi="Verdana" w:cs="Arial"/>
        </w:rPr>
        <w:t xml:space="preserve">así como lo establecido en la Resolución No. 469 del 2025 expedida por esta Entidad, </w:t>
      </w:r>
      <w:r w:rsidRPr="001B3C5D">
        <w:rPr>
          <w:rFonts w:ascii="Verdana" w:eastAsia="Calibri" w:hAnsi="Verdana" w:cs="Arial"/>
          <w:lang w:val="es-ES" w:eastAsia="es-ES"/>
        </w:rPr>
        <w:t xml:space="preserve">la Agencia Nacional de Contratación Pública – Colombia Compra Eficiente– responde su solicitud de consulta del </w:t>
      </w:r>
      <w:r>
        <w:rPr>
          <w:rFonts w:ascii="Verdana" w:eastAsia="Calibri" w:hAnsi="Verdana" w:cs="Arial"/>
          <w:lang w:val="es-ES" w:eastAsia="es-ES"/>
        </w:rPr>
        <w:t>12</w:t>
      </w:r>
      <w:r w:rsidRPr="001B3C5D">
        <w:rPr>
          <w:rFonts w:ascii="Verdana" w:eastAsia="Calibri" w:hAnsi="Verdana" w:cs="Arial"/>
          <w:lang w:val="es-ES" w:eastAsia="es-ES"/>
        </w:rPr>
        <w:t xml:space="preserve"> de </w:t>
      </w:r>
      <w:r>
        <w:rPr>
          <w:rFonts w:ascii="Verdana" w:eastAsia="Calibri" w:hAnsi="Verdana" w:cs="Arial"/>
          <w:lang w:val="es-ES" w:eastAsia="es-ES"/>
        </w:rPr>
        <w:t>junio</w:t>
      </w:r>
      <w:r w:rsidRPr="001B3C5D">
        <w:rPr>
          <w:rFonts w:ascii="Verdana" w:eastAsia="Calibri" w:hAnsi="Verdana" w:cs="Arial"/>
          <w:lang w:val="es-ES" w:eastAsia="es-ES"/>
        </w:rPr>
        <w:t xml:space="preserve"> de 2026, en la cual</w:t>
      </w:r>
      <w:r>
        <w:rPr>
          <w:rFonts w:ascii="Verdana" w:eastAsia="Calibri" w:hAnsi="Verdana" w:cs="Arial"/>
          <w:lang w:val="es-ES" w:eastAsia="es-ES"/>
        </w:rPr>
        <w:t xml:space="preserve"> </w:t>
      </w:r>
      <w:r w:rsidRPr="001B3C5D">
        <w:rPr>
          <w:rFonts w:ascii="Verdana" w:eastAsia="Calibri" w:hAnsi="Verdana" w:cs="Arial"/>
          <w:lang w:val="es-ES" w:eastAsia="es-ES"/>
        </w:rPr>
        <w:t>manifiesta lo siguiente:</w:t>
      </w:r>
    </w:p>
    <w:p w14:paraId="3A5594D2" w14:textId="77777777" w:rsidR="004511E1" w:rsidRPr="001B3C5D" w:rsidRDefault="004511E1" w:rsidP="004511E1">
      <w:pPr>
        <w:spacing w:after="0" w:line="276" w:lineRule="auto"/>
        <w:jc w:val="both"/>
        <w:rPr>
          <w:rFonts w:ascii="Verdana" w:eastAsia="Calibri" w:hAnsi="Verdana" w:cs="Arial"/>
          <w:lang w:val="es-ES" w:eastAsia="es-ES"/>
        </w:rPr>
      </w:pPr>
    </w:p>
    <w:p w14:paraId="003B1A7A" w14:textId="77777777" w:rsidR="004511E1" w:rsidRDefault="004511E1" w:rsidP="004511E1">
      <w:pPr>
        <w:spacing w:after="0" w:line="240" w:lineRule="auto"/>
        <w:ind w:left="709" w:right="709"/>
        <w:jc w:val="both"/>
        <w:rPr>
          <w:rFonts w:ascii="Verdana" w:eastAsia="Calibri" w:hAnsi="Verdana" w:cs="Arial"/>
          <w:color w:val="000000"/>
          <w:kern w:val="2"/>
          <w:sz w:val="20"/>
          <w:szCs w:val="20"/>
          <w14:ligatures w14:val="standardContextual"/>
        </w:rPr>
      </w:pPr>
      <w:r w:rsidRPr="001D3E7D">
        <w:rPr>
          <w:rFonts w:ascii="Verdana" w:eastAsia="Aptos" w:hAnsi="Verdana" w:cs="Helvetica"/>
          <w:color w:val="000000"/>
          <w:sz w:val="20"/>
          <w:szCs w:val="20"/>
          <w14:ligatures w14:val="standardContextual"/>
        </w:rPr>
        <w:t>“</w:t>
      </w:r>
      <w:r w:rsidRPr="001D3E7D">
        <w:rPr>
          <w:rFonts w:ascii="Verdana" w:eastAsia="Calibri" w:hAnsi="Verdana" w:cs="Arial"/>
          <w:color w:val="000000"/>
          <w:kern w:val="2"/>
          <w:sz w:val="20"/>
          <w:szCs w:val="20"/>
          <w14:ligatures w14:val="standardContextual"/>
        </w:rPr>
        <w:t xml:space="preserve">[…] </w:t>
      </w:r>
    </w:p>
    <w:p w14:paraId="76737A28" w14:textId="77777777" w:rsidR="004511E1" w:rsidRDefault="004511E1" w:rsidP="004511E1">
      <w:pPr>
        <w:spacing w:after="0" w:line="240" w:lineRule="auto"/>
        <w:ind w:left="709" w:right="709"/>
        <w:jc w:val="both"/>
        <w:rPr>
          <w:rFonts w:ascii="Verdana" w:eastAsia="Calibri" w:hAnsi="Verdana" w:cs="Arial"/>
          <w:color w:val="000000"/>
          <w:kern w:val="2"/>
          <w:sz w:val="20"/>
          <w:szCs w:val="20"/>
          <w14:ligatures w14:val="standardContextual"/>
        </w:rPr>
      </w:pPr>
    </w:p>
    <w:p w14:paraId="47224772" w14:textId="77777777" w:rsidR="004511E1" w:rsidRDefault="004511E1" w:rsidP="004511E1">
      <w:pPr>
        <w:spacing w:after="0" w:line="240" w:lineRule="auto"/>
        <w:ind w:left="709" w:right="709"/>
        <w:jc w:val="both"/>
        <w:rPr>
          <w:rFonts w:ascii="Verdana" w:hAnsi="Verdana"/>
          <w:sz w:val="20"/>
          <w:szCs w:val="20"/>
        </w:rPr>
      </w:pPr>
      <w:r w:rsidRPr="00545091">
        <w:rPr>
          <w:rFonts w:ascii="Verdana" w:hAnsi="Verdana"/>
          <w:b/>
          <w:bCs/>
          <w:sz w:val="20"/>
          <w:szCs w:val="20"/>
        </w:rPr>
        <w:t>Primero.</w:t>
      </w:r>
      <w:r w:rsidRPr="001D3E7D">
        <w:rPr>
          <w:rFonts w:ascii="Verdana" w:hAnsi="Verdana"/>
          <w:sz w:val="20"/>
          <w:szCs w:val="20"/>
        </w:rPr>
        <w:t xml:space="preserve"> ¿La exigencia del parágrafo del artículo 2.2.1.2.4.2.6 del Decreto 0287 de 2026 de expedir las certificaciones bajo la gravedad de juramento constituye una fórmula sacramental de obligatoria transcripción </w:t>
      </w:r>
      <w:r w:rsidRPr="001D3E7D">
        <w:rPr>
          <w:rFonts w:ascii="Verdana" w:hAnsi="Verdana"/>
          <w:sz w:val="20"/>
          <w:szCs w:val="20"/>
        </w:rPr>
        <w:lastRenderedPageBreak/>
        <w:t xml:space="preserve">literal en cada uno de los documentos de soporte, o es una solemnidad sustancial que puede entenderse satisfecha cuando consta expresamente en el documento principal de acreditación del incentivo, en aplicación del principio de unidad de la oferta? </w:t>
      </w:r>
    </w:p>
    <w:p w14:paraId="091BAC78" w14:textId="77777777" w:rsidR="004511E1" w:rsidRDefault="004511E1" w:rsidP="004511E1">
      <w:pPr>
        <w:spacing w:after="0" w:line="240" w:lineRule="auto"/>
        <w:ind w:left="709" w:right="709"/>
        <w:jc w:val="both"/>
        <w:rPr>
          <w:rFonts w:ascii="Verdana" w:hAnsi="Verdana"/>
          <w:sz w:val="20"/>
          <w:szCs w:val="20"/>
        </w:rPr>
      </w:pPr>
    </w:p>
    <w:p w14:paraId="05B43916" w14:textId="77777777" w:rsidR="004511E1" w:rsidRDefault="004511E1" w:rsidP="004511E1">
      <w:pPr>
        <w:spacing w:after="0" w:line="240" w:lineRule="auto"/>
        <w:ind w:left="709" w:right="709"/>
        <w:jc w:val="both"/>
        <w:rPr>
          <w:rFonts w:ascii="Verdana" w:hAnsi="Verdana"/>
          <w:sz w:val="20"/>
          <w:szCs w:val="20"/>
        </w:rPr>
      </w:pPr>
      <w:r w:rsidRPr="00545091">
        <w:rPr>
          <w:rFonts w:ascii="Verdana" w:hAnsi="Verdana"/>
          <w:b/>
          <w:bCs/>
          <w:sz w:val="20"/>
          <w:szCs w:val="20"/>
        </w:rPr>
        <w:t>Segundo.</w:t>
      </w:r>
      <w:r w:rsidRPr="001D3E7D">
        <w:rPr>
          <w:rFonts w:ascii="Verdana" w:hAnsi="Verdana"/>
          <w:sz w:val="20"/>
          <w:szCs w:val="20"/>
        </w:rPr>
        <w:t xml:space="preserve"> ¿La manifestación expresa de actuar bajo la gravedad del juramento contenida en la carta de acreditación principal que encabeza la solicitud del incentivo cobija e integra formalmente los soportes de los numerales 1, 2, 3 y 4 del mismo artículo, o existe la obligación jurídica de que cada certificado individual reproduzca de forma autónoma dicha leyenda en su propio texto? </w:t>
      </w:r>
    </w:p>
    <w:p w14:paraId="6DFEAB06" w14:textId="77777777" w:rsidR="004511E1" w:rsidRDefault="004511E1" w:rsidP="004511E1">
      <w:pPr>
        <w:spacing w:after="0" w:line="240" w:lineRule="auto"/>
        <w:ind w:left="709" w:right="709"/>
        <w:jc w:val="both"/>
        <w:rPr>
          <w:rFonts w:ascii="Verdana" w:hAnsi="Verdana"/>
          <w:sz w:val="20"/>
          <w:szCs w:val="20"/>
        </w:rPr>
      </w:pPr>
    </w:p>
    <w:p w14:paraId="5DF4018F" w14:textId="77777777" w:rsidR="004511E1" w:rsidRPr="001D3E7D" w:rsidRDefault="004511E1" w:rsidP="004511E1">
      <w:pPr>
        <w:spacing w:after="0" w:line="240" w:lineRule="auto"/>
        <w:ind w:left="709" w:right="709"/>
        <w:jc w:val="both"/>
        <w:rPr>
          <w:rFonts w:ascii="Verdana" w:hAnsi="Verdana"/>
          <w:sz w:val="20"/>
          <w:szCs w:val="20"/>
        </w:rPr>
      </w:pPr>
      <w:r w:rsidRPr="00545091">
        <w:rPr>
          <w:rFonts w:ascii="Verdana" w:hAnsi="Verdana"/>
          <w:b/>
          <w:bCs/>
          <w:sz w:val="20"/>
          <w:szCs w:val="20"/>
        </w:rPr>
        <w:t>Tercero.</w:t>
      </w:r>
      <w:r w:rsidRPr="001D3E7D">
        <w:rPr>
          <w:rFonts w:ascii="Verdana" w:hAnsi="Verdana"/>
          <w:sz w:val="20"/>
          <w:szCs w:val="20"/>
        </w:rPr>
        <w:t xml:space="preserve"> En el evento en que la formalidad del juramento no conste de manera autónoma en alguno de los certificados de soporte, ¿opera la presunción legal del artículo 7 del Decreto Ley 019 de 2012 como mecanismo de integración normativa que suple dicha omisión formal, o por el contrario la especialidad del parágrafo del artículo 2.2.1.2.4.2.6 del Decreto 0287 de 2026 desplaza dicha presunción general por tratarse de una exigencia específica en materia de factores de ponderación?</w:t>
      </w:r>
      <w:r w:rsidRPr="001D3E7D">
        <w:rPr>
          <w:rFonts w:ascii="Verdana" w:eastAsia="Aptos" w:hAnsi="Verdana" w:cs="Helvetica"/>
          <w:color w:val="000000"/>
          <w:sz w:val="20"/>
          <w:szCs w:val="20"/>
          <w14:ligatures w14:val="standardContextual"/>
        </w:rPr>
        <w:t>”</w:t>
      </w:r>
    </w:p>
    <w:p w14:paraId="74ECB8DE" w14:textId="77777777" w:rsidR="004511E1" w:rsidRPr="001B3C5D" w:rsidRDefault="004511E1" w:rsidP="004511E1">
      <w:pPr>
        <w:spacing w:after="0" w:line="276" w:lineRule="auto"/>
        <w:jc w:val="both"/>
        <w:rPr>
          <w:rFonts w:ascii="Verdana" w:eastAsia="Calibri" w:hAnsi="Verdana" w:cs="Arial"/>
          <w:lang w:val="es-ES" w:eastAsia="es-ES"/>
        </w:rPr>
      </w:pPr>
    </w:p>
    <w:p w14:paraId="387D0865" w14:textId="77777777" w:rsidR="004511E1" w:rsidRPr="001B3C5D" w:rsidRDefault="004511E1" w:rsidP="004511E1">
      <w:pPr>
        <w:spacing w:after="120" w:line="276" w:lineRule="auto"/>
        <w:ind w:firstLine="709"/>
        <w:jc w:val="both"/>
        <w:rPr>
          <w:rFonts w:ascii="Verdana" w:eastAsia="Calibri" w:hAnsi="Verdana" w:cs="Arial"/>
          <w:color w:val="000000"/>
          <w:lang w:val="es-ES" w:eastAsia="es-ES"/>
        </w:rPr>
      </w:pPr>
      <w:r w:rsidRPr="001B3C5D">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2FB7EC53" w14:textId="77777777" w:rsidR="004511E1" w:rsidRPr="001B3C5D" w:rsidRDefault="004511E1" w:rsidP="004511E1">
      <w:pPr>
        <w:spacing w:after="0" w:line="276" w:lineRule="auto"/>
        <w:ind w:firstLine="709"/>
        <w:jc w:val="both"/>
        <w:rPr>
          <w:rFonts w:ascii="Verdana" w:eastAsia="Calibri" w:hAnsi="Verdana" w:cs="Arial"/>
          <w:color w:val="000000"/>
          <w:lang w:val="es-ES" w:eastAsia="es-ES"/>
        </w:rPr>
      </w:pPr>
      <w:r w:rsidRPr="001B3C5D">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problema</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jurídico</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 xml:space="preserve">de su consulta. </w:t>
      </w:r>
    </w:p>
    <w:p w14:paraId="3DF1F9A1" w14:textId="77777777" w:rsidR="004511E1" w:rsidRPr="001B3C5D" w:rsidRDefault="004511E1" w:rsidP="004511E1">
      <w:pPr>
        <w:tabs>
          <w:tab w:val="left" w:pos="142"/>
          <w:tab w:val="left" w:pos="284"/>
        </w:tabs>
        <w:spacing w:after="0" w:line="276" w:lineRule="auto"/>
        <w:contextualSpacing/>
        <w:jc w:val="both"/>
        <w:rPr>
          <w:rFonts w:ascii="Verdana" w:eastAsia="Century Gothic" w:hAnsi="Verdana" w:cs="Century Gothic"/>
          <w:b/>
          <w:bCs/>
          <w:lang w:val="es-ES"/>
        </w:rPr>
      </w:pPr>
    </w:p>
    <w:p w14:paraId="0702684A" w14:textId="77777777" w:rsidR="004511E1" w:rsidRPr="001B3C5D" w:rsidRDefault="004511E1" w:rsidP="004511E1">
      <w:pPr>
        <w:tabs>
          <w:tab w:val="left" w:pos="142"/>
          <w:tab w:val="left" w:pos="284"/>
        </w:tabs>
        <w:spacing w:after="0" w:line="276" w:lineRule="auto"/>
        <w:contextualSpacing/>
        <w:jc w:val="both"/>
        <w:rPr>
          <w:rFonts w:ascii="Verdana" w:eastAsia="Century Gothic" w:hAnsi="Verdana" w:cs="Century Gothic"/>
          <w:b/>
          <w:bCs/>
          <w:lang w:val="es-ES"/>
        </w:rPr>
      </w:pPr>
      <w:r w:rsidRPr="001B3C5D">
        <w:rPr>
          <w:rFonts w:ascii="Verdana" w:eastAsia="Century Gothic" w:hAnsi="Verdana" w:cs="Century Gothic"/>
          <w:b/>
          <w:bCs/>
          <w:lang w:val="es-ES"/>
        </w:rPr>
        <w:t>1. Problema planteado:</w:t>
      </w:r>
    </w:p>
    <w:p w14:paraId="02678759" w14:textId="77777777" w:rsidR="004511E1" w:rsidRPr="001B3C5D" w:rsidRDefault="004511E1" w:rsidP="004511E1">
      <w:pPr>
        <w:tabs>
          <w:tab w:val="left" w:pos="426"/>
        </w:tabs>
        <w:spacing w:after="0" w:line="276" w:lineRule="auto"/>
        <w:jc w:val="both"/>
        <w:rPr>
          <w:rFonts w:ascii="Verdana" w:eastAsia="Century Gothic" w:hAnsi="Verdana" w:cs="Century Gothic"/>
          <w:lang w:val="es-ES"/>
        </w:rPr>
      </w:pPr>
    </w:p>
    <w:p w14:paraId="58C0181A" w14:textId="77777777" w:rsidR="004511E1" w:rsidRPr="00293DAE" w:rsidRDefault="004511E1" w:rsidP="004511E1">
      <w:pPr>
        <w:spacing w:after="0" w:line="276" w:lineRule="auto"/>
        <w:jc w:val="both"/>
        <w:rPr>
          <w:rFonts w:ascii="Verdana" w:eastAsia="Century Gothic" w:hAnsi="Verdana" w:cs="Century Gothic"/>
        </w:rPr>
      </w:pPr>
      <w:r w:rsidRPr="001B3C5D">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1B3C5D">
        <w:rPr>
          <w:rFonts w:ascii="Verdana" w:eastAsia="Century Gothic" w:hAnsi="Verdana" w:cs="Century Gothic"/>
        </w:rPr>
        <w:t xml:space="preserve"> siguiente problema jurídico</w:t>
      </w:r>
      <w:r>
        <w:rPr>
          <w:rFonts w:ascii="Verdana" w:eastAsia="Century Gothic" w:hAnsi="Verdana" w:cs="Century Gothic"/>
        </w:rPr>
        <w:t xml:space="preserve">: </w:t>
      </w:r>
      <w:r w:rsidRPr="00AE0BE9">
        <w:rPr>
          <w:rFonts w:ascii="Verdana" w:eastAsia="Calibri" w:hAnsi="Verdana" w:cs="Arial"/>
          <w:bCs/>
          <w:lang w:val="es-ES_tradnl" w:eastAsia="es-ES_tradnl"/>
        </w:rPr>
        <w:t>¿</w:t>
      </w:r>
      <w:r>
        <w:rPr>
          <w:rFonts w:ascii="Verdana" w:eastAsia="Calibri" w:hAnsi="Verdana" w:cs="Arial"/>
          <w:bCs/>
          <w:lang w:val="es-ES_tradnl" w:eastAsia="es-ES_tradnl"/>
        </w:rPr>
        <w:t>De conformidad con lo señalado en el parágrafo</w:t>
      </w:r>
      <w:r w:rsidRPr="00AE0BE9">
        <w:rPr>
          <w:rFonts w:ascii="Verdana" w:eastAsia="Calibri" w:hAnsi="Verdana" w:cs="Arial"/>
          <w:bCs/>
          <w:lang w:eastAsia="es-ES_tradnl"/>
        </w:rPr>
        <w:t xml:space="preserve"> del artículo 2.2.1.2.4.2.6 del Decreto </w:t>
      </w:r>
      <w:r>
        <w:rPr>
          <w:rFonts w:ascii="Verdana" w:eastAsia="Calibri" w:hAnsi="Verdana" w:cs="Arial"/>
          <w:bCs/>
          <w:lang w:eastAsia="es-ES_tradnl"/>
        </w:rPr>
        <w:t xml:space="preserve">1082 de 2015, </w:t>
      </w:r>
      <w:r w:rsidRPr="00AE0BE9">
        <w:rPr>
          <w:rFonts w:ascii="Verdana" w:eastAsia="Calibri" w:hAnsi="Verdana" w:cs="Arial"/>
          <w:bCs/>
          <w:lang w:eastAsia="es-ES_tradnl"/>
        </w:rPr>
        <w:t>l</w:t>
      </w:r>
      <w:r>
        <w:rPr>
          <w:rFonts w:ascii="Verdana" w:eastAsia="Calibri" w:hAnsi="Verdana" w:cs="Arial"/>
          <w:bCs/>
          <w:lang w:eastAsia="es-ES_tradnl"/>
        </w:rPr>
        <w:t xml:space="preserve">os documentos soporte requeridos para acreditar la condición de emprendimiento y personas con discapacidad deben ser expedidos </w:t>
      </w:r>
      <w:r w:rsidRPr="00AE0BE9">
        <w:rPr>
          <w:rFonts w:ascii="Verdana" w:eastAsia="Calibri" w:hAnsi="Verdana" w:cs="Arial"/>
          <w:bCs/>
          <w:lang w:eastAsia="es-ES_tradnl"/>
        </w:rPr>
        <w:t>bajo la gravedad de juramento</w:t>
      </w:r>
      <w:r>
        <w:rPr>
          <w:rFonts w:ascii="Verdana" w:eastAsia="Calibri" w:hAnsi="Verdana" w:cs="Arial"/>
          <w:bCs/>
          <w:lang w:eastAsia="es-ES_tradnl"/>
        </w:rPr>
        <w:t>?</w:t>
      </w:r>
    </w:p>
    <w:p w14:paraId="5C69952F" w14:textId="77777777" w:rsidR="004511E1" w:rsidRPr="001B3C5D" w:rsidRDefault="004511E1" w:rsidP="004511E1">
      <w:pPr>
        <w:spacing w:after="0" w:line="276" w:lineRule="auto"/>
        <w:jc w:val="both"/>
        <w:rPr>
          <w:rFonts w:ascii="Verdana" w:eastAsia="Century Gothic" w:hAnsi="Verdana" w:cs="Century Gothic"/>
          <w:lang w:val="es-ES_tradnl"/>
        </w:rPr>
      </w:pPr>
    </w:p>
    <w:p w14:paraId="598D0098" w14:textId="77777777" w:rsidR="004511E1" w:rsidRPr="001B3C5D" w:rsidRDefault="004511E1" w:rsidP="004511E1">
      <w:pPr>
        <w:tabs>
          <w:tab w:val="left" w:pos="142"/>
          <w:tab w:val="left" w:pos="284"/>
        </w:tabs>
        <w:spacing w:after="0" w:line="276" w:lineRule="auto"/>
        <w:contextualSpacing/>
        <w:jc w:val="both"/>
        <w:rPr>
          <w:rFonts w:ascii="Verdana" w:eastAsia="Century Gothic" w:hAnsi="Verdana" w:cs="Century Gothic"/>
          <w:b/>
          <w:bCs/>
          <w:lang w:val="es-ES"/>
        </w:rPr>
      </w:pPr>
      <w:r w:rsidRPr="001B3C5D">
        <w:rPr>
          <w:rFonts w:ascii="Verdana" w:eastAsia="Century Gothic" w:hAnsi="Verdana" w:cs="Century Gothic"/>
          <w:b/>
          <w:bCs/>
          <w:lang w:val="es-ES"/>
        </w:rPr>
        <w:t>2. Respuestas:</w:t>
      </w:r>
    </w:p>
    <w:p w14:paraId="115C9CDD" w14:textId="77777777" w:rsidR="004511E1" w:rsidRPr="001B3C5D" w:rsidRDefault="004511E1" w:rsidP="004511E1">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511E1" w:rsidRPr="001B3C5D" w14:paraId="5F4F30F1" w14:textId="77777777" w:rsidTr="0044414F">
        <w:trPr>
          <w:trHeight w:val="40"/>
        </w:trPr>
        <w:tc>
          <w:tcPr>
            <w:tcW w:w="8828" w:type="dxa"/>
            <w:tcBorders>
              <w:top w:val="dotted" w:sz="4" w:space="0" w:color="auto"/>
              <w:left w:val="dotted" w:sz="4" w:space="0" w:color="auto"/>
              <w:bottom w:val="dotted" w:sz="4" w:space="0" w:color="auto"/>
              <w:right w:val="dotted" w:sz="4" w:space="0" w:color="auto"/>
            </w:tcBorders>
          </w:tcPr>
          <w:p w14:paraId="28FA955D" w14:textId="77777777" w:rsidR="004511E1" w:rsidRDefault="004511E1" w:rsidP="0044414F">
            <w:pPr>
              <w:spacing w:after="120" w:line="276" w:lineRule="auto"/>
              <w:jc w:val="both"/>
              <w:rPr>
                <w:rFonts w:ascii="Verdana" w:eastAsia="Calibri" w:hAnsi="Verdana" w:cs="Arial"/>
                <w:color w:val="000000"/>
                <w:lang w:val="es-ES" w:eastAsia="es-ES_tradnl"/>
              </w:rPr>
            </w:pPr>
            <w:r>
              <w:rPr>
                <w:rFonts w:ascii="Verdana" w:eastAsia="Aptos" w:hAnsi="Verdana" w:cs="Times New Roman"/>
                <w:kern w:val="2"/>
                <w14:ligatures w14:val="standardContextual"/>
              </w:rPr>
              <w:t xml:space="preserve">El artículo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del Decreto 287 de 2026, </w:t>
            </w:r>
            <w:r w:rsidRPr="001B3C5D">
              <w:rPr>
                <w:rFonts w:ascii="Verdana" w:eastAsia="Aptos" w:hAnsi="Verdana" w:cs="Times New Roman"/>
                <w:kern w:val="2"/>
                <w14:ligatures w14:val="standardContextual"/>
              </w:rPr>
              <w:t>incorpora la definición de emprendimientos y empresas de personas con discapacidad</w:t>
            </w:r>
            <w:r>
              <w:rPr>
                <w:rFonts w:ascii="Verdana" w:eastAsia="Calibri" w:hAnsi="Verdana" w:cs="Arial"/>
                <w:lang w:val="es-ES_tradnl"/>
              </w:rPr>
              <w:t xml:space="preserve"> y </w:t>
            </w:r>
            <w:r>
              <w:rPr>
                <w:rFonts w:ascii="Verdana" w:hAnsi="Verdana"/>
              </w:rPr>
              <w:t>consagra cuatro criterios alternativos en atención a los cuales una persona natural o jurídica puede acceder a los incentivos contractuales en favor de ellos</w:t>
            </w:r>
            <w:r>
              <w:rPr>
                <w:rFonts w:ascii="Verdana" w:eastAsia="Calibri" w:hAnsi="Verdana" w:cs="Arial"/>
                <w:lang w:val="es-ES_tradnl"/>
              </w:rPr>
              <w:t>, siendo suficiente la configuración de uno de estos criterios para que se materialice la respectiva definición respecto del sujeto en particular.</w:t>
            </w:r>
            <w:r w:rsidRPr="00FE639F">
              <w:rPr>
                <w:rFonts w:ascii="Verdana" w:eastAsia="Calibri" w:hAnsi="Verdana" w:cs="Arial"/>
                <w:color w:val="000000"/>
                <w:lang w:val="es-ES" w:eastAsia="es-ES_tradnl"/>
              </w:rPr>
              <w:t xml:space="preserve"> </w:t>
            </w:r>
          </w:p>
          <w:p w14:paraId="3040EAC6" w14:textId="77777777" w:rsidR="004511E1" w:rsidRDefault="004511E1" w:rsidP="0044414F">
            <w:pPr>
              <w:spacing w:after="120" w:line="276" w:lineRule="auto"/>
              <w:ind w:firstLine="709"/>
              <w:jc w:val="both"/>
              <w:rPr>
                <w:rFonts w:ascii="Verdana" w:eastAsia="Calibri" w:hAnsi="Verdana" w:cs="Arial"/>
                <w:lang w:val="es-ES" w:eastAsia="es-ES"/>
              </w:rPr>
            </w:pPr>
            <w:r w:rsidRPr="007149A1">
              <w:rPr>
                <w:rFonts w:ascii="Verdana" w:eastAsia="Calibri" w:hAnsi="Verdana" w:cs="Arial"/>
                <w:color w:val="000000"/>
                <w:lang w:val="es-ES" w:eastAsia="es-ES"/>
              </w:rPr>
              <w:t xml:space="preserve">De la revisión de todos los numerales </w:t>
            </w:r>
            <w:r w:rsidRPr="009C5FE6">
              <w:rPr>
                <w:rFonts w:ascii="Verdana" w:eastAsia="Calibri" w:hAnsi="Verdana" w:cs="Arial"/>
                <w:color w:val="000000"/>
                <w:lang w:val="es-ES" w:eastAsia="es-ES"/>
              </w:rPr>
              <w:t xml:space="preserve">del artículo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9C5FE6">
              <w:rPr>
                <w:rFonts w:ascii="Verdana" w:eastAsia="Calibri" w:hAnsi="Verdana" w:cs="Arial"/>
                <w:color w:val="000000"/>
                <w:lang w:val="es-ES" w:eastAsia="es-ES"/>
              </w:rPr>
              <w:t>es posible advertir que para cada uno de estos fueron expresamente establecidos los documentos que sirven como medio para su acreditación. De este modo</w:t>
            </w:r>
            <w:r>
              <w:rPr>
                <w:rFonts w:ascii="Verdana" w:eastAsia="Calibri" w:hAnsi="Verdana" w:cs="Arial"/>
                <w:color w:val="000000"/>
                <w:lang w:val="es-ES" w:eastAsia="es-ES"/>
              </w:rPr>
              <w:t>,</w:t>
            </w:r>
            <w:r w:rsidRPr="009C5FE6">
              <w:rPr>
                <w:rFonts w:ascii="Verdana" w:eastAsia="Calibri" w:hAnsi="Verdana" w:cs="Arial"/>
                <w:color w:val="000000"/>
                <w:lang w:val="es-ES" w:eastAsia="es-ES"/>
              </w:rPr>
              <w:t xml:space="preserve"> dichos </w:t>
            </w:r>
            <w:r w:rsidRPr="009C5FE6">
              <w:rPr>
                <w:rFonts w:ascii="Verdana" w:eastAsia="Calibri" w:hAnsi="Verdana" w:cs="Arial"/>
                <w:lang w:val="es-ES" w:eastAsia="es-ES"/>
              </w:rPr>
              <w:t xml:space="preserve">documentos constituyen una tarifa legal probatoria para demostrar que los proponentes son emprendimientos o empresas de </w:t>
            </w:r>
            <w:r>
              <w:rPr>
                <w:rFonts w:ascii="Verdana" w:eastAsia="Calibri" w:hAnsi="Verdana" w:cs="Arial"/>
                <w:lang w:val="es-ES" w:eastAsia="es-ES"/>
              </w:rPr>
              <w:t>personas con discapacidad</w:t>
            </w:r>
            <w:r w:rsidRPr="009C5FE6">
              <w:rPr>
                <w:rFonts w:ascii="Verdana" w:eastAsia="Calibri" w:hAnsi="Verdana" w:cs="Arial"/>
                <w:lang w:val="es-ES" w:eastAsia="es-ES"/>
              </w:rPr>
              <w:t xml:space="preserve"> que, por lo tanto, tienen derecho a la aplicación de l</w:t>
            </w:r>
            <w:r>
              <w:rPr>
                <w:rFonts w:ascii="Verdana" w:eastAsia="Calibri" w:hAnsi="Verdana" w:cs="Arial"/>
                <w:lang w:val="es-ES" w:eastAsia="es-ES"/>
              </w:rPr>
              <w:t>as medidas afirmativas</w:t>
            </w:r>
            <w:r w:rsidRPr="009C5FE6">
              <w:rPr>
                <w:rFonts w:ascii="Verdana" w:eastAsia="Calibri" w:hAnsi="Verdana" w:cs="Arial"/>
                <w:lang w:val="es-ES" w:eastAsia="es-ES"/>
              </w:rPr>
              <w:t xml:space="preserve"> reglamentados </w:t>
            </w:r>
            <w:r>
              <w:rPr>
                <w:rFonts w:ascii="Verdana" w:eastAsia="Calibri" w:hAnsi="Verdana" w:cs="Arial"/>
                <w:lang w:val="es-ES" w:eastAsia="es-ES"/>
              </w:rPr>
              <w:t xml:space="preserve">en el Decreto 287 de 2026. </w:t>
            </w:r>
          </w:p>
          <w:p w14:paraId="457B8D8A" w14:textId="77777777" w:rsidR="004511E1" w:rsidRDefault="004511E1" w:rsidP="0044414F">
            <w:pPr>
              <w:spacing w:after="120" w:line="276" w:lineRule="auto"/>
              <w:ind w:firstLine="708"/>
              <w:jc w:val="both"/>
              <w:rPr>
                <w:rFonts w:ascii="Verdana" w:eastAsia="Batang" w:hAnsi="Verdana" w:cs="Arial"/>
              </w:rPr>
            </w:pPr>
            <w:r w:rsidRPr="007149A1">
              <w:rPr>
                <w:rFonts w:ascii="Verdana" w:eastAsia="Arial" w:hAnsi="Verdana" w:cs="Arial"/>
              </w:rPr>
              <w:t xml:space="preserve">Concretamente, </w:t>
            </w:r>
            <w:r>
              <w:rPr>
                <w:rFonts w:ascii="Verdana" w:eastAsia="Arial" w:hAnsi="Verdana" w:cs="Arial"/>
              </w:rPr>
              <w:t xml:space="preserve">el parágrafo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artículo</w:t>
            </w:r>
            <w:r w:rsidRPr="007149A1">
              <w:rPr>
                <w:rFonts w:ascii="Verdana" w:eastAsia="Arial" w:hAnsi="Verdana" w:cs="Arial"/>
                <w:spacing w:val="-2"/>
              </w:rPr>
              <w:t xml:space="preserve">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Decreto</w:t>
            </w:r>
            <w:r w:rsidRPr="007149A1">
              <w:rPr>
                <w:rFonts w:ascii="Verdana" w:eastAsia="Arial" w:hAnsi="Verdana" w:cs="Arial"/>
                <w:spacing w:val="-3"/>
              </w:rPr>
              <w:t xml:space="preserve">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señala que,</w:t>
            </w:r>
            <w:r w:rsidRPr="00A21BBF">
              <w:t xml:space="preserve"> </w:t>
            </w:r>
            <w:r>
              <w:rPr>
                <w:rFonts w:ascii="Verdana" w:eastAsia="Arial" w:hAnsi="Verdana" w:cs="Arial"/>
              </w:rPr>
              <w:t>r</w:t>
            </w:r>
            <w:r w:rsidRPr="00A21BBF">
              <w:rPr>
                <w:rFonts w:ascii="Verdana" w:eastAsia="Arial" w:hAnsi="Verdana" w:cs="Arial"/>
              </w:rPr>
              <w:t>especto de los incentivos contractuales para los emprendimientos y empresas de personas con discapacidad</w:t>
            </w:r>
            <w:r>
              <w:rPr>
                <w:rFonts w:ascii="Verdana" w:eastAsia="Arial" w:hAnsi="Verdana" w:cs="Arial"/>
              </w:rPr>
              <w:t>,</w:t>
            </w:r>
            <w:r w:rsidRPr="0037573F">
              <w:rPr>
                <w:rFonts w:ascii="Verdana" w:eastAsia="Arial" w:hAnsi="Verdana" w:cs="Arial"/>
              </w:rPr>
              <w:t xml:space="preserve"> las certificaciones de que trata el presente artículo deben expedirse </w:t>
            </w:r>
            <w:r>
              <w:rPr>
                <w:rFonts w:ascii="Verdana" w:eastAsia="Arial" w:hAnsi="Verdana" w:cs="Arial"/>
              </w:rPr>
              <w:t>“</w:t>
            </w:r>
            <w:r w:rsidRPr="0037573F">
              <w:rPr>
                <w:rFonts w:ascii="Verdana" w:eastAsia="Arial" w:hAnsi="Verdana" w:cs="Arial"/>
              </w:rPr>
              <w:t>bajo la gravedad de juramento</w:t>
            </w:r>
            <w:r>
              <w:rPr>
                <w:rFonts w:ascii="Verdana" w:eastAsia="Arial" w:hAnsi="Verdana" w:cs="Arial"/>
              </w:rPr>
              <w:t>”</w:t>
            </w:r>
            <w:r w:rsidRPr="0037573F">
              <w:rPr>
                <w:rFonts w:ascii="Verdana" w:eastAsia="Arial" w:hAnsi="Verdana" w:cs="Arial"/>
              </w:rPr>
              <w:t>.</w:t>
            </w:r>
            <w:r>
              <w:rPr>
                <w:rFonts w:ascii="Verdana" w:eastAsia="Arial" w:hAnsi="Verdana" w:cs="Arial"/>
              </w:rPr>
              <w:t xml:space="preserve"> El alcance de esta expresión </w:t>
            </w:r>
            <w:r w:rsidRPr="00A31A19">
              <w:rPr>
                <w:rFonts w:ascii="Verdana" w:eastAsia="Arial" w:hAnsi="Verdana" w:cs="Arial"/>
              </w:rPr>
              <w:t xml:space="preserve">consiste en atribuir a </w:t>
            </w:r>
            <w:r>
              <w:rPr>
                <w:rFonts w:ascii="Verdana" w:eastAsia="Arial" w:hAnsi="Verdana" w:cs="Arial"/>
              </w:rPr>
              <w:t>las m</w:t>
            </w:r>
            <w:r w:rsidRPr="00A31A19">
              <w:rPr>
                <w:rFonts w:ascii="Verdana" w:eastAsia="Arial" w:hAnsi="Verdana" w:cs="Arial"/>
              </w:rPr>
              <w:t>anifestaciones contenidas en las certificaciones los efectos jurídicos propios del juramento, esto es, comprometer la responsabilidad de quien las suscribe respecto de la veracidad de la información suministrada</w:t>
            </w:r>
            <w:r w:rsidRPr="004B1F39">
              <w:rPr>
                <w:rFonts w:ascii="Verdana" w:eastAsia="Batang" w:hAnsi="Verdana" w:cs="Arial"/>
              </w:rPr>
              <w:t xml:space="preserve"> </w:t>
            </w:r>
            <w:r w:rsidRPr="00C24CA8">
              <w:rPr>
                <w:rFonts w:ascii="Verdana" w:eastAsia="Batang" w:hAnsi="Verdana" w:cs="Arial"/>
              </w:rPr>
              <w:t>sin necesidad de trámites adicionales</w:t>
            </w:r>
            <w:r>
              <w:rPr>
                <w:rFonts w:ascii="Verdana" w:eastAsia="Batang" w:hAnsi="Verdana" w:cs="Arial"/>
              </w:rPr>
              <w:t>.</w:t>
            </w:r>
          </w:p>
          <w:p w14:paraId="2FF1B848" w14:textId="77777777" w:rsidR="004511E1" w:rsidRDefault="004511E1" w:rsidP="0044414F">
            <w:pPr>
              <w:spacing w:after="120" w:line="276" w:lineRule="auto"/>
              <w:ind w:firstLine="708"/>
              <w:jc w:val="both"/>
              <w:rPr>
                <w:rFonts w:ascii="Verdana" w:eastAsia="Arial" w:hAnsi="Verdana" w:cs="Arial"/>
              </w:rPr>
            </w:pPr>
            <w:r w:rsidRPr="00A31A19">
              <w:rPr>
                <w:rFonts w:ascii="Verdana" w:eastAsia="Arial" w:hAnsi="Verdana" w:cs="Arial"/>
              </w:rPr>
              <w:t xml:space="preserve">En consecuencia, cuando el parágrafo dispone que las certificaciones deben expedirse bajo la gravedad de juramento, lo que exige es que las manifestaciones contenidas en ellas produzcan dicho efecto jurídico, sin que </w:t>
            </w:r>
            <w:r w:rsidRPr="00A31A19">
              <w:rPr>
                <w:rFonts w:ascii="Verdana" w:eastAsia="Arial" w:hAnsi="Verdana" w:cs="Arial"/>
              </w:rPr>
              <w:lastRenderedPageBreak/>
              <w:t>de ello se derive la necesidad de incorporar literalmente esa expresión en cada uno de los documentos</w:t>
            </w:r>
            <w:r>
              <w:rPr>
                <w:rFonts w:ascii="Verdana" w:eastAsia="Arial" w:hAnsi="Verdana" w:cs="Arial"/>
              </w:rPr>
              <w:t xml:space="preserve"> </w:t>
            </w:r>
            <w:r w:rsidRPr="00A31A19">
              <w:rPr>
                <w:rFonts w:ascii="Verdana" w:eastAsia="Arial" w:hAnsi="Verdana" w:cs="Arial"/>
              </w:rPr>
              <w:t>que soportan la acreditación</w:t>
            </w:r>
            <w:r>
              <w:rPr>
                <w:rFonts w:ascii="Verdana" w:eastAsia="Arial" w:hAnsi="Verdana" w:cs="Arial"/>
              </w:rPr>
              <w:t xml:space="preserve"> de dicha condición</w:t>
            </w:r>
            <w:r w:rsidRPr="00A31A19">
              <w:rPr>
                <w:rFonts w:ascii="Verdana" w:eastAsia="Arial" w:hAnsi="Verdana" w:cs="Arial"/>
              </w:rPr>
              <w:t>.</w:t>
            </w:r>
            <w:r>
              <w:rPr>
                <w:rFonts w:ascii="Verdana" w:eastAsia="Arial" w:hAnsi="Verdana" w:cs="Arial"/>
              </w:rPr>
              <w:t xml:space="preserve"> </w:t>
            </w:r>
          </w:p>
          <w:p w14:paraId="67377121" w14:textId="77777777" w:rsidR="004511E1" w:rsidRDefault="004511E1" w:rsidP="0044414F">
            <w:pPr>
              <w:spacing w:after="120" w:line="276" w:lineRule="auto"/>
              <w:ind w:firstLine="708"/>
              <w:jc w:val="both"/>
              <w:rPr>
                <w:rFonts w:ascii="Verdana" w:eastAsia="Arial" w:hAnsi="Verdana" w:cs="Arial"/>
              </w:rPr>
            </w:pPr>
            <w:r>
              <w:rPr>
                <w:rFonts w:ascii="Verdana" w:eastAsia="Arial" w:hAnsi="Verdana" w:cs="Arial"/>
              </w:rPr>
              <w:t>Así, c</w:t>
            </w:r>
            <w:r w:rsidRPr="001F74B0">
              <w:rPr>
                <w:rFonts w:ascii="Verdana" w:eastAsia="Arial" w:hAnsi="Verdana" w:cs="Arial"/>
              </w:rPr>
              <w:t>uando la acreditación de</w:t>
            </w:r>
            <w:r>
              <w:rPr>
                <w:rFonts w:ascii="Verdana" w:eastAsia="Arial" w:hAnsi="Verdana" w:cs="Arial"/>
              </w:rPr>
              <w:t xml:space="preserve"> la condición de emprendimientos y empresas de personas con discapacidad</w:t>
            </w:r>
            <w:r w:rsidRPr="001F74B0">
              <w:rPr>
                <w:rFonts w:ascii="Verdana" w:eastAsia="Arial" w:hAnsi="Verdana" w:cs="Arial"/>
              </w:rPr>
              <w:t xml:space="preserve"> se presenta mediante un conjunto de documentos que integran una misma oferta y la manifestación principal </w:t>
            </w:r>
            <w:r>
              <w:rPr>
                <w:rFonts w:ascii="Verdana" w:eastAsia="Arial" w:hAnsi="Verdana" w:cs="Arial"/>
              </w:rPr>
              <w:t xml:space="preserve">realizada en un determinado formato </w:t>
            </w:r>
            <w:r w:rsidRPr="001F74B0">
              <w:rPr>
                <w:rFonts w:ascii="Verdana" w:eastAsia="Arial" w:hAnsi="Verdana" w:cs="Arial"/>
              </w:rPr>
              <w:t>cobija los soportes aportados para acreditar los supuestos previstos en los numerales 1, 2, 3 y 4 del artículo 2.2.1.2.4.2.6</w:t>
            </w:r>
            <w:r>
              <w:rPr>
                <w:rFonts w:ascii="Verdana" w:eastAsia="Arial" w:hAnsi="Verdana" w:cs="Arial"/>
              </w:rPr>
              <w:t xml:space="preserve">. del Decreto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 entiende que cumple con lo dispuesto en tal parágrafo. Debe destacarse que dicha disposición </w:t>
            </w:r>
            <w:r w:rsidRPr="001F74B0">
              <w:rPr>
                <w:rFonts w:ascii="Verdana" w:eastAsia="Arial" w:hAnsi="Verdana" w:cs="Arial"/>
              </w:rPr>
              <w:t xml:space="preserve">no impone que cada </w:t>
            </w:r>
            <w:r>
              <w:rPr>
                <w:rFonts w:ascii="Verdana" w:eastAsia="Arial" w:hAnsi="Verdana" w:cs="Arial"/>
              </w:rPr>
              <w:t xml:space="preserve">documento soporte </w:t>
            </w:r>
            <w:r w:rsidRPr="001F74B0">
              <w:rPr>
                <w:rFonts w:ascii="Verdana" w:eastAsia="Arial" w:hAnsi="Verdana" w:cs="Arial"/>
              </w:rPr>
              <w:t>reproduzca de forma autónoma la expresión "bajo la gravedad de juramento", pues el requisito se satisface en la medida en que las manifestaciones efectuadas para acreditar el incentivo se entiendan realizadas con ese alcance jurídico.</w:t>
            </w:r>
          </w:p>
          <w:p w14:paraId="54FBEA0F" w14:textId="77777777" w:rsidR="004511E1" w:rsidRPr="00DB26C8" w:rsidRDefault="004511E1" w:rsidP="0044414F">
            <w:pPr>
              <w:spacing w:after="120" w:line="276" w:lineRule="auto"/>
              <w:ind w:firstLine="708"/>
              <w:jc w:val="both"/>
              <w:rPr>
                <w:rFonts w:ascii="Verdana" w:eastAsia="Times New Roman" w:hAnsi="Verdana" w:cs="Arial"/>
                <w:kern w:val="2"/>
                <w:lang w:eastAsia="es-CO"/>
                <w14:ligatures w14:val="standardContextual"/>
              </w:rPr>
            </w:pPr>
            <w:r w:rsidRPr="00A31A19">
              <w:rPr>
                <w:rFonts w:ascii="Verdana" w:eastAsia="Arial" w:hAnsi="Verdana" w:cs="Arial"/>
              </w:rPr>
              <w:t xml:space="preserve">Esta interpretación resulta consistente con el artículo 7 del Decreto Ley 019 de 2012, conforme al </w:t>
            </w:r>
            <w:proofErr w:type="gramStart"/>
            <w:r w:rsidRPr="00A31A19">
              <w:rPr>
                <w:rFonts w:ascii="Verdana" w:eastAsia="Arial" w:hAnsi="Verdana" w:cs="Arial"/>
              </w:rPr>
              <w:t>cual</w:t>
            </w:r>
            <w:proofErr w:type="gramEnd"/>
            <w:r w:rsidRPr="00A31A19">
              <w:rPr>
                <w:rFonts w:ascii="Verdana" w:eastAsia="Arial" w:hAnsi="Verdana" w:cs="Arial"/>
              </w:rPr>
              <w:t xml:space="preserve"> en las actuaciones administrativas, no pueden exigirse declaraciones </w:t>
            </w:r>
            <w:proofErr w:type="gramStart"/>
            <w:r w:rsidRPr="0037068F">
              <w:rPr>
                <w:rFonts w:ascii="Verdana" w:eastAsia="Arial" w:hAnsi="Verdana" w:cs="Arial"/>
                <w:i/>
                <w:iCs/>
              </w:rPr>
              <w:t>extra juicio</w:t>
            </w:r>
            <w:proofErr w:type="gramEnd"/>
            <w:r w:rsidRPr="00A31A19">
              <w:rPr>
                <w:rFonts w:ascii="Verdana" w:eastAsia="Arial" w:hAnsi="Verdana" w:cs="Arial"/>
              </w:rPr>
              <w:t xml:space="preserve"> y basta la afirmación realizada por el particular ante la autoridad para que esta se entienda efectuada bajo la gravedad de juramento.</w:t>
            </w:r>
            <w:r>
              <w:rPr>
                <w:rFonts w:ascii="Verdana" w:eastAsia="Arial" w:hAnsi="Verdana" w:cs="Arial"/>
              </w:rPr>
              <w:t xml:space="preserve"> Adicionalmente, es la que</w:t>
            </w:r>
            <w:r w:rsidRPr="00A31A19">
              <w:rPr>
                <w:rFonts w:ascii="Verdana" w:eastAsia="Arial" w:hAnsi="Verdana" w:cs="Arial"/>
              </w:rPr>
              <w:t xml:space="preserve"> </w:t>
            </w:r>
            <w:r w:rsidRPr="007149A1">
              <w:rPr>
                <w:rFonts w:ascii="Verdana" w:eastAsia="Times New Roman" w:hAnsi="Verdana" w:cs="Arial"/>
                <w:kern w:val="2"/>
                <w:lang w:eastAsia="es-CO"/>
                <w14:ligatures w14:val="standardContextual"/>
              </w:rPr>
              <w:t xml:space="preserve">más se ajusta al principio del efecto útil de la norma, lo cual no riñe con lo dispuesto en el parágrafo del artículo </w:t>
            </w:r>
            <w:r w:rsidRPr="001F74B0">
              <w:rPr>
                <w:rFonts w:ascii="Verdana" w:eastAsia="Arial" w:hAnsi="Verdana" w:cs="Arial"/>
              </w:rPr>
              <w:t>2.2.1.2.4.2.6</w:t>
            </w:r>
            <w:r>
              <w:rPr>
                <w:rFonts w:ascii="Verdana" w:eastAsia="Arial" w:hAnsi="Verdana" w:cs="Arial"/>
              </w:rPr>
              <w:t xml:space="preserve"> ibidem</w:t>
            </w:r>
            <w:r w:rsidRPr="007149A1">
              <w:rPr>
                <w:rFonts w:ascii="Verdana" w:eastAsia="Times New Roman" w:hAnsi="Verdana" w:cs="Arial"/>
                <w:kern w:val="2"/>
                <w:lang w:eastAsia="es-CO"/>
                <w14:ligatures w14:val="standardContextual"/>
              </w:rPr>
              <w:t>. No en vano, la Corte Constitucional ha señalado, al explicar el principio del efecto útil, que “debe considerarse, de entre varias interpretaciones de una disposición normativa, aquella que permita consecuencias jurídicas, sobre aquella que no las prevea o que contemple consecuencias superfluas o innecesarias”.</w:t>
            </w:r>
          </w:p>
        </w:tc>
      </w:tr>
    </w:tbl>
    <w:p w14:paraId="7C15722D" w14:textId="77777777" w:rsidR="004511E1" w:rsidRPr="001B3C5D" w:rsidRDefault="004511E1" w:rsidP="004511E1">
      <w:pPr>
        <w:tabs>
          <w:tab w:val="left" w:pos="142"/>
          <w:tab w:val="left" w:pos="284"/>
        </w:tabs>
        <w:spacing w:after="0" w:line="276" w:lineRule="auto"/>
        <w:jc w:val="both"/>
        <w:rPr>
          <w:rFonts w:ascii="Verdana" w:eastAsia="Century Gothic" w:hAnsi="Verdana" w:cs="Century Gothic"/>
          <w:b/>
          <w:bCs/>
          <w:lang w:val="es-ES"/>
        </w:rPr>
      </w:pPr>
    </w:p>
    <w:p w14:paraId="5DCA2660" w14:textId="77777777" w:rsidR="004511E1" w:rsidRPr="001B3C5D" w:rsidRDefault="004511E1" w:rsidP="004511E1">
      <w:pPr>
        <w:tabs>
          <w:tab w:val="left" w:pos="142"/>
          <w:tab w:val="left" w:pos="284"/>
        </w:tabs>
        <w:spacing w:after="0" w:line="276" w:lineRule="auto"/>
        <w:jc w:val="both"/>
        <w:rPr>
          <w:rFonts w:ascii="Verdana" w:eastAsia="Century Gothic" w:hAnsi="Verdana" w:cs="Century Gothic"/>
          <w:b/>
          <w:bCs/>
          <w:lang w:val="es-ES"/>
        </w:rPr>
      </w:pPr>
      <w:r w:rsidRPr="001B3C5D">
        <w:rPr>
          <w:rFonts w:ascii="Verdana" w:eastAsia="Century Gothic" w:hAnsi="Verdana" w:cs="Century Gothic"/>
          <w:b/>
          <w:bCs/>
          <w:lang w:val="es-ES"/>
        </w:rPr>
        <w:t>3. Razones de la respuesta:</w:t>
      </w:r>
    </w:p>
    <w:p w14:paraId="2F2F1ECC" w14:textId="77777777" w:rsidR="004511E1" w:rsidRPr="001B3C5D" w:rsidRDefault="004511E1" w:rsidP="004511E1">
      <w:pPr>
        <w:spacing w:after="0" w:line="276" w:lineRule="auto"/>
        <w:jc w:val="both"/>
        <w:rPr>
          <w:rFonts w:ascii="Verdana" w:eastAsia="Calibri" w:hAnsi="Verdana" w:cs="Arial"/>
          <w:lang w:val="es-ES"/>
        </w:rPr>
      </w:pPr>
    </w:p>
    <w:p w14:paraId="3DBD3D7E" w14:textId="77777777" w:rsidR="004511E1" w:rsidRPr="001B3C5D" w:rsidRDefault="004511E1" w:rsidP="004511E1">
      <w:pPr>
        <w:spacing w:after="0" w:line="276" w:lineRule="auto"/>
        <w:jc w:val="both"/>
        <w:rPr>
          <w:rFonts w:ascii="Verdana" w:eastAsia="Calibri" w:hAnsi="Verdana" w:cs="Arial"/>
          <w:lang w:val="es-ES"/>
        </w:rPr>
      </w:pPr>
      <w:r w:rsidRPr="001B3C5D">
        <w:rPr>
          <w:rFonts w:ascii="Verdana" w:eastAsia="Calibri" w:hAnsi="Verdana" w:cs="Arial"/>
          <w:lang w:val="es-ES"/>
        </w:rPr>
        <w:t xml:space="preserve">Lo anterior se sustenta en las siguientes consideraciones: </w:t>
      </w:r>
    </w:p>
    <w:p w14:paraId="1FECEC42" w14:textId="77777777" w:rsidR="004511E1" w:rsidRPr="001B3C5D" w:rsidRDefault="004511E1" w:rsidP="004511E1">
      <w:pPr>
        <w:widowControl w:val="0"/>
        <w:autoSpaceDE w:val="0"/>
        <w:autoSpaceDN w:val="0"/>
        <w:spacing w:after="0" w:line="276" w:lineRule="auto"/>
        <w:jc w:val="both"/>
        <w:rPr>
          <w:rFonts w:ascii="Verdana" w:eastAsia="Aptos" w:hAnsi="Verdana" w:cs="Times New Roman"/>
          <w:kern w:val="2"/>
          <w:sz w:val="24"/>
          <w:szCs w:val="24"/>
          <w14:ligatures w14:val="standardContextual"/>
        </w:rPr>
      </w:pPr>
      <w:bookmarkStart w:id="1" w:name="_Hlk113022941"/>
    </w:p>
    <w:p w14:paraId="5F305F84" w14:textId="77777777" w:rsidR="004511E1" w:rsidRDefault="004511E1" w:rsidP="004511E1">
      <w:pPr>
        <w:spacing w:after="120" w:line="276" w:lineRule="auto"/>
        <w:jc w:val="both"/>
        <w:rPr>
          <w:rFonts w:ascii="Verdana" w:eastAsia="Calibri" w:hAnsi="Verdana" w:cs="Arial"/>
        </w:rPr>
      </w:pPr>
      <w:r>
        <w:rPr>
          <w:rFonts w:ascii="Verdana" w:eastAsia="Aptos" w:hAnsi="Verdana" w:cs="Times New Roman"/>
          <w:kern w:val="2"/>
          <w14:ligatures w14:val="standardContextual"/>
        </w:rPr>
        <w:t xml:space="preserve">i. </w:t>
      </w:r>
      <w:r>
        <w:rPr>
          <w:rFonts w:ascii="Verdana" w:eastAsia="Calibri" w:hAnsi="Verdana" w:cs="Arial"/>
        </w:rPr>
        <w:t xml:space="preserve">Para resolver el problema jurídico planteado,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decreto impone a las entidades estatales y a los demás partícipes de la contratación pública. </w:t>
      </w:r>
    </w:p>
    <w:p w14:paraId="5DCD25FD" w14:textId="77777777" w:rsidR="004511E1" w:rsidRPr="00206556" w:rsidRDefault="004511E1" w:rsidP="004511E1">
      <w:pPr>
        <w:spacing w:after="120" w:line="276" w:lineRule="auto"/>
        <w:ind w:firstLine="709"/>
        <w:jc w:val="both"/>
        <w:rPr>
          <w:rFonts w:ascii="Verdana" w:hAnsi="Verdana"/>
        </w:rPr>
      </w:pPr>
      <w:r w:rsidRPr="00206556">
        <w:rPr>
          <w:rFonts w:ascii="Verdana" w:eastAsia="Times New Roman" w:hAnsi="Verdana" w:cs="Times New Roman"/>
        </w:rPr>
        <w:lastRenderedPageBreak/>
        <w:t>El fundamento del Sistema de Preferencias para P</w:t>
      </w:r>
      <w:r>
        <w:rPr>
          <w:rFonts w:ascii="Verdana" w:eastAsia="Times New Roman" w:hAnsi="Verdana" w:cs="Times New Roman"/>
        </w:rPr>
        <w:t xml:space="preserve">ersonas </w:t>
      </w:r>
      <w:r w:rsidRPr="00206556">
        <w:rPr>
          <w:rFonts w:ascii="Verdana" w:eastAsia="Times New Roman" w:hAnsi="Verdana" w:cs="Times New Roman"/>
        </w:rPr>
        <w:t>c</w:t>
      </w:r>
      <w:r>
        <w:rPr>
          <w:rFonts w:ascii="Verdana" w:eastAsia="Times New Roman" w:hAnsi="Verdana" w:cs="Times New Roman"/>
        </w:rPr>
        <w:t xml:space="preserve">on </w:t>
      </w:r>
      <w:r w:rsidRPr="00206556">
        <w:rPr>
          <w:rFonts w:ascii="Verdana" w:eastAsia="Times New Roman" w:hAnsi="Verdana" w:cs="Times New Roman"/>
        </w:rPr>
        <w:t>D</w:t>
      </w:r>
      <w:r>
        <w:rPr>
          <w:rFonts w:ascii="Verdana" w:eastAsia="Times New Roman" w:hAnsi="Verdana" w:cs="Times New Roman"/>
        </w:rPr>
        <w:t>iscapacidad (</w:t>
      </w:r>
      <w:proofErr w:type="spellStart"/>
      <w:r>
        <w:rPr>
          <w:rFonts w:ascii="Verdana" w:eastAsia="Times New Roman" w:hAnsi="Verdana" w:cs="Times New Roman"/>
        </w:rPr>
        <w:t>PcD</w:t>
      </w:r>
      <w:proofErr w:type="spellEnd"/>
      <w:r>
        <w:rPr>
          <w:rFonts w:ascii="Verdana" w:eastAsia="Times New Roman" w:hAnsi="Verdana" w:cs="Times New Roman"/>
        </w:rPr>
        <w:t>)</w:t>
      </w:r>
      <w:r w:rsidRPr="00206556">
        <w:rPr>
          <w:rFonts w:ascii="Verdana" w:eastAsia="Times New Roman" w:hAnsi="Verdana" w:cs="Times New Roman"/>
        </w:rPr>
        <w:t xml:space="preserve"> en la contratación pública es el principio de igualdad real y efectiva consagrado en el artículo 13 de la Constitución Política de 1991</w:t>
      </w:r>
      <w:r w:rsidRPr="00206556">
        <w:rPr>
          <w:rStyle w:val="Refdenotaalpie"/>
          <w:rFonts w:ascii="Verdana" w:eastAsia="Times New Roman" w:hAnsi="Verdana" w:cs="Times New Roman"/>
        </w:rPr>
        <w:footnoteReference w:id="1"/>
      </w:r>
      <w:r>
        <w:rPr>
          <w:rFonts w:ascii="Verdana" w:eastAsia="Times New Roman" w:hAnsi="Verdana" w:cs="Times New Roman"/>
        </w:rPr>
        <w:t>,</w:t>
      </w:r>
      <w:r w:rsidRPr="00206556">
        <w:rPr>
          <w:rFonts w:ascii="Verdana" w:eastAsia="Times New Roman" w:hAnsi="Verdana" w:cs="Times New Roman"/>
        </w:rPr>
        <w:t xml:space="preserve"> que impone al Estado el deber positivo de adoptar </w:t>
      </w:r>
      <w:r w:rsidRPr="00206556">
        <w:rPr>
          <w:rFonts w:ascii="Verdana" w:eastAsia="Times New Roman" w:hAnsi="Verdana" w:cs="Times New Roman"/>
          <w:i/>
          <w:iCs/>
        </w:rPr>
        <w:t>acciones afirmativas</w:t>
      </w:r>
      <w:r w:rsidRPr="00206556">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2"/>
      </w:r>
      <w:r>
        <w:rPr>
          <w:rFonts w:ascii="Verdana" w:eastAsia="Times New Roman" w:hAnsi="Verdana" w:cs="Times New Roman"/>
        </w:rPr>
        <w:t>.</w:t>
      </w:r>
    </w:p>
    <w:p w14:paraId="22374F5A" w14:textId="77777777" w:rsidR="004511E1" w:rsidRPr="00206556" w:rsidRDefault="004511E1" w:rsidP="004511E1">
      <w:pPr>
        <w:spacing w:after="120" w:line="276" w:lineRule="auto"/>
        <w:ind w:firstLine="708"/>
        <w:jc w:val="both"/>
        <w:rPr>
          <w:rFonts w:ascii="Verdana" w:hAnsi="Verdana"/>
        </w:rPr>
      </w:pPr>
      <w:r w:rsidRPr="00206556">
        <w:rPr>
          <w:rFonts w:ascii="Verdana" w:eastAsia="Times New Roman" w:hAnsi="Verdana" w:cs="Times New Roman"/>
        </w:rPr>
        <w:t>En el plano internacional, Colombia es Estado Parte de instrumentos que conforman el Bloque de Constitucionalidad en virtud del artículo 93 superior. La Convención sobre los Derechos de las Personas con Discapacidad de la ONU</w:t>
      </w:r>
      <w:r w:rsidRPr="00206556">
        <w:rPr>
          <w:rStyle w:val="Refdenotaalpie"/>
          <w:rFonts w:ascii="Verdana" w:eastAsia="Times New Roman" w:hAnsi="Verdana" w:cs="Times New Roman"/>
        </w:rPr>
        <w:footnoteReference w:id="3"/>
      </w:r>
      <w:r w:rsidRPr="00206556">
        <w:rPr>
          <w:rFonts w:ascii="Verdana" w:eastAsia="Times New Roman" w:hAnsi="Verdana" w:cs="Times New Roman"/>
        </w:rPr>
        <w:t xml:space="preserve"> reconoce el derecho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 trabajar en igualdad de condiciones y exige programas de acción afirmativa. La Convención Interamericana para la Eliminación de todas las Formas de Discriminación</w:t>
      </w:r>
      <w:r w:rsidRPr="00206556">
        <w:rPr>
          <w:rStyle w:val="Refdenotaalpie"/>
          <w:rFonts w:ascii="Verdana" w:eastAsia="Times New Roman" w:hAnsi="Verdana" w:cs="Times New Roman"/>
        </w:rPr>
        <w:footnoteReference w:id="4"/>
      </w:r>
      <w:r w:rsidRPr="00206556">
        <w:rPr>
          <w:rFonts w:ascii="Verdana" w:eastAsia="Times New Roman" w:hAnsi="Verdana" w:cs="Times New Roman"/>
        </w:rPr>
        <w:t xml:space="preserve"> ordena eliminar progresivamente la discriminación en la prestación de servicios, incluido el empleo. El Convenio 159 de la OIT</w:t>
      </w:r>
      <w:r w:rsidRPr="00206556">
        <w:rPr>
          <w:rStyle w:val="Refdenotaalpie"/>
          <w:rFonts w:ascii="Verdana" w:eastAsia="Times New Roman" w:hAnsi="Verdana" w:cs="Times New Roman"/>
        </w:rPr>
        <w:footnoteReference w:id="5"/>
      </w:r>
      <w:r w:rsidRPr="00206556">
        <w:rPr>
          <w:rFonts w:ascii="Verdana" w:eastAsia="Times New Roman" w:hAnsi="Verdana" w:cs="Times New Roman"/>
        </w:rPr>
        <w:t xml:space="preserve"> exige medidas orientadas a garantizar la igualdad de oportunidades de todas las categorías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materia de empleo.</w:t>
      </w:r>
    </w:p>
    <w:p w14:paraId="3EEBED83" w14:textId="77777777" w:rsidR="004511E1" w:rsidRPr="00206556" w:rsidRDefault="004511E1" w:rsidP="004511E1">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361 de 1997 estableció los primeros mecanismos de integración social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Su artículo 24 introdujo una preferencia en igualdad de condiciones en licitaciones y adjudicaciones de contratos para los empleadores </w:t>
      </w:r>
      <w:r w:rsidRPr="00206556">
        <w:rPr>
          <w:rFonts w:ascii="Verdana" w:eastAsia="Times New Roman" w:hAnsi="Verdana" w:cs="Times New Roman"/>
        </w:rPr>
        <w:lastRenderedPageBreak/>
        <w:t xml:space="preserve">que tuvieran al menos el 10% de su nómina compuesta por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6"/>
      </w:r>
      <w:r>
        <w:rPr>
          <w:rFonts w:ascii="Verdana" w:eastAsia="Times New Roman" w:hAnsi="Verdana" w:cs="Times New Roman"/>
        </w:rPr>
        <w:t>.</w:t>
      </w:r>
      <w:r w:rsidRPr="00206556">
        <w:rPr>
          <w:rFonts w:ascii="Verdana" w:eastAsia="Times New Roman" w:hAnsi="Verdana" w:cs="Times New Roman"/>
        </w:rPr>
        <w:t xml:space="preserve"> Esta norma vinculó por primera vez la contratación pública con la inclusión laboral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pero su alcance era limitado: una preferencia residual aplicable solo en caso de empate, que beneficiaba únicamente a los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sin considerar a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proponentes directos.</w:t>
      </w:r>
    </w:p>
    <w:p w14:paraId="7C038ECE" w14:textId="77777777" w:rsidR="004511E1" w:rsidRPr="00206556" w:rsidRDefault="004511E1" w:rsidP="004511E1">
      <w:pPr>
        <w:spacing w:after="120" w:line="276" w:lineRule="auto"/>
        <w:ind w:firstLine="709"/>
        <w:jc w:val="both"/>
        <w:rPr>
          <w:rFonts w:ascii="Verdana" w:hAnsi="Verdana"/>
        </w:rPr>
      </w:pPr>
      <w:r w:rsidRPr="00206556">
        <w:rPr>
          <w:rFonts w:ascii="Verdana" w:eastAsia="Times New Roman" w:hAnsi="Verdana" w:cs="Times New Roman"/>
        </w:rPr>
        <w:t xml:space="preserve">La Ley Estatutaria 1618 de 2013 representó un salto cualitativo en el marco jurídico de protección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al definir a estas como </w:t>
      </w:r>
      <w:r w:rsidRPr="00670DE8">
        <w:rPr>
          <w:rFonts w:ascii="Verdana" w:eastAsia="Times New Roman" w:hAnsi="Verdana" w:cs="Times New Roman"/>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206556">
        <w:rPr>
          <w:rStyle w:val="Refdenotaalpie"/>
          <w:rFonts w:ascii="Verdana" w:eastAsia="Times New Roman" w:hAnsi="Verdana" w:cs="Times New Roman"/>
          <w:i/>
          <w:iCs/>
        </w:rPr>
        <w:footnoteReference w:id="7"/>
      </w:r>
      <w:r>
        <w:rPr>
          <w:rFonts w:ascii="Verdana" w:eastAsia="Times New Roman" w:hAnsi="Verdana" w:cs="Times New Roman"/>
          <w:i/>
          <w:iCs/>
        </w:rPr>
        <w:t>.</w:t>
      </w:r>
      <w:r w:rsidRPr="00206556">
        <w:rPr>
          <w:rFonts w:ascii="Verdana" w:eastAsia="Times New Roman" w:hAnsi="Verdana" w:cs="Times New Roman"/>
        </w:rPr>
        <w:t xml:space="preserve"> Su artículo 13, en los numerales 1, 7 y 8, ordenó al Gobierno Nacional reglamentar: una puntuación adicional en licitación pública, concurso de méritos y contratación directa para empresas que vinculen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y para empresas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un sistema de preferencias para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la adjudicación; y un sistema de preferencias en favor de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contratistas</w:t>
      </w:r>
      <w:r w:rsidRPr="00206556">
        <w:rPr>
          <w:rStyle w:val="Refdenotaalpie"/>
          <w:rFonts w:ascii="Verdana" w:eastAsia="Times New Roman" w:hAnsi="Verdana" w:cs="Times New Roman"/>
        </w:rPr>
        <w:footnoteReference w:id="8"/>
      </w:r>
      <w:r>
        <w:rPr>
          <w:rFonts w:ascii="Verdana" w:eastAsia="Times New Roman" w:hAnsi="Verdana" w:cs="Times New Roman"/>
        </w:rPr>
        <w:t>.</w:t>
      </w:r>
      <w:r w:rsidRPr="00206556">
        <w:rPr>
          <w:rFonts w:ascii="Verdana" w:eastAsia="Times New Roman" w:hAnsi="Verdana" w:cs="Times New Roman"/>
        </w:rPr>
        <w:t xml:space="preserve"> Este último mandato fue especialmente significativo porque introdujo el concepto de </w:t>
      </w:r>
      <w:r w:rsidRPr="00206556">
        <w:rPr>
          <w:rFonts w:ascii="Verdana" w:eastAsia="Times New Roman" w:hAnsi="Verdana" w:cs="Times New Roman"/>
          <w:i/>
          <w:iCs/>
        </w:rPr>
        <w:t>"sistema de preferencias"</w:t>
      </w:r>
      <w:r w:rsidRPr="00206556">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2F8A7B55" w14:textId="77777777" w:rsidR="004511E1" w:rsidRPr="00E727F0" w:rsidRDefault="004511E1" w:rsidP="004511E1">
      <w:pPr>
        <w:spacing w:after="120" w:line="276" w:lineRule="auto"/>
        <w:ind w:firstLine="709"/>
        <w:jc w:val="both"/>
        <w:rPr>
          <w:rFonts w:ascii="Verdana" w:hAnsi="Verdana"/>
        </w:rPr>
      </w:pPr>
      <w:r w:rsidRPr="00E727F0">
        <w:rPr>
          <w:rFonts w:ascii="Verdana" w:hAnsi="Verdana"/>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w:t>
      </w:r>
      <w:r>
        <w:rPr>
          <w:rFonts w:ascii="Verdana" w:hAnsi="Verdana"/>
        </w:rPr>
        <w:t>, pues</w:t>
      </w:r>
      <w:r w:rsidRPr="00E727F0">
        <w:rPr>
          <w:rFonts w:ascii="Verdana" w:hAnsi="Verdana"/>
        </w:rPr>
        <w:t xml:space="preserve"> solo contempló el 1% de puntaje para empleadores de </w:t>
      </w:r>
      <w:proofErr w:type="spellStart"/>
      <w:r w:rsidRPr="00E727F0">
        <w:rPr>
          <w:rFonts w:ascii="Verdana" w:hAnsi="Verdana"/>
        </w:rPr>
        <w:t>PcD</w:t>
      </w:r>
      <w:proofErr w:type="spellEnd"/>
      <w:r w:rsidRPr="00E727F0">
        <w:rPr>
          <w:rFonts w:ascii="Verdana" w:hAnsi="Verdana"/>
        </w:rPr>
        <w:t xml:space="preserve">, sin incluir a las empresas de </w:t>
      </w:r>
      <w:proofErr w:type="spellStart"/>
      <w:r w:rsidRPr="00E727F0">
        <w:rPr>
          <w:rFonts w:ascii="Verdana" w:hAnsi="Verdana"/>
        </w:rPr>
        <w:t>PcD</w:t>
      </w:r>
      <w:proofErr w:type="spellEnd"/>
      <w:r>
        <w:rPr>
          <w:rFonts w:ascii="Verdana" w:hAnsi="Verdana"/>
        </w:rPr>
        <w:t>,</w:t>
      </w:r>
      <w:r w:rsidRPr="00E727F0">
        <w:rPr>
          <w:rFonts w:ascii="Verdana" w:hAnsi="Verdana"/>
        </w:rPr>
        <w:t xml:space="preserve"> redujo el "sistema de preferencias" a un único criterio de desempate y no previó medidas en planeación, criterios habilitantes diferenciales, condiciones especiales de ejecución ni abordó la contratación </w:t>
      </w:r>
      <w:r w:rsidRPr="00E727F0">
        <w:rPr>
          <w:rFonts w:ascii="Verdana" w:hAnsi="Verdana"/>
        </w:rPr>
        <w:lastRenderedPageBreak/>
        <w:t>directa como escenario de inclusión.</w:t>
      </w:r>
      <w:r>
        <w:rPr>
          <w:rFonts w:ascii="Verdana" w:hAnsi="Verdana"/>
        </w:rPr>
        <w:t xml:space="preserve"> </w:t>
      </w:r>
      <w:r w:rsidRPr="00A420A9">
        <w:rPr>
          <w:rFonts w:ascii="Verdana" w:hAnsi="Verdana"/>
        </w:rPr>
        <w:t xml:space="preserve">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sidRPr="00A420A9">
        <w:rPr>
          <w:rFonts w:ascii="Verdana" w:hAnsi="Verdana"/>
        </w:rPr>
        <w:t>PcD</w:t>
      </w:r>
      <w:proofErr w:type="spellEnd"/>
      <w:r w:rsidRPr="00A420A9">
        <w:rPr>
          <w:rFonts w:ascii="Verdana" w:hAnsi="Verdana"/>
        </w:rPr>
        <w:t xml:space="preserve"> como contratistas.</w:t>
      </w:r>
    </w:p>
    <w:p w14:paraId="6EAA4784" w14:textId="77777777" w:rsidR="004511E1" w:rsidRPr="00DF1F0B" w:rsidRDefault="004511E1" w:rsidP="004511E1">
      <w:pPr>
        <w:spacing w:after="120" w:line="276" w:lineRule="auto"/>
        <w:ind w:firstLine="709"/>
        <w:jc w:val="both"/>
        <w:rPr>
          <w:rFonts w:ascii="Verdana" w:eastAsia="Aptos" w:hAnsi="Verdana" w:cs="Times New Roman"/>
          <w:kern w:val="2"/>
          <w14:ligatures w14:val="standardContextual"/>
        </w:rPr>
      </w:pPr>
      <w:r w:rsidRPr="00A420A9">
        <w:rPr>
          <w:rFonts w:ascii="Verdana" w:hAnsi="Verdana"/>
        </w:rPr>
        <w:t>L</w:t>
      </w:r>
      <w:r>
        <w:rPr>
          <w:rFonts w:ascii="Verdana" w:hAnsi="Verdana"/>
        </w:rPr>
        <w:t>o anterior fue ratificado por el Consejo de Estado</w:t>
      </w:r>
      <w:r>
        <w:rPr>
          <w:rStyle w:val="Refdenotaalpie"/>
          <w:rFonts w:ascii="Verdana" w:hAnsi="Verdana"/>
        </w:rPr>
        <w:footnoteReference w:id="9"/>
      </w:r>
      <w:r>
        <w:rPr>
          <w:rFonts w:ascii="Verdana" w:hAnsi="Verdana"/>
        </w:rPr>
        <w:t>,</w:t>
      </w:r>
      <w:r w:rsidRPr="008332CA">
        <w:rPr>
          <w:rFonts w:ascii="Verdana" w:eastAsia="Aptos" w:hAnsi="Verdana" w:cs="Times New Roman"/>
          <w:kern w:val="2"/>
          <w14:ligatures w14:val="standardContextual"/>
        </w:rPr>
        <w:t xml:space="preserve"> </w:t>
      </w:r>
      <w:r w:rsidRPr="001B3C5D">
        <w:rPr>
          <w:rFonts w:ascii="Verdana" w:eastAsia="Aptos" w:hAnsi="Verdana" w:cs="Times New Roman"/>
          <w:kern w:val="2"/>
          <w14:ligatures w14:val="standardContextual"/>
        </w:rPr>
        <w:t>que mediante una acción de cumplimiento</w:t>
      </w:r>
      <w:r>
        <w:rPr>
          <w:rFonts w:ascii="Verdana" w:eastAsia="Aptos" w:hAnsi="Verdana" w:cs="Times New Roman"/>
          <w:kern w:val="2"/>
          <w14:ligatures w14:val="standardContextual"/>
        </w:rPr>
        <w:t xml:space="preserve">, </w:t>
      </w:r>
      <w:r w:rsidRPr="00A420A9">
        <w:rPr>
          <w:rFonts w:ascii="Verdana" w:hAnsi="Verdana"/>
        </w:rPr>
        <w:t xml:space="preserve">declaró el incumplimiento </w:t>
      </w:r>
      <w:r w:rsidRPr="001B3C5D">
        <w:rPr>
          <w:rFonts w:ascii="Verdana" w:eastAsia="Aptos" w:hAnsi="Verdana" w:cs="Times New Roman"/>
          <w:kern w:val="2"/>
          <w14:ligatures w14:val="standardContextual"/>
        </w:rPr>
        <w:t>del deber de reglamentar integralmente el artículo 13 de la Ley 1618 de 2013 y ordenó al Gobierno Nacional expedir la regulación necesaria para hacer efectivo el sistema de preferencias en favor de las personas con discapacidad, sus emprendimientos y empresas que las contratan.</w:t>
      </w:r>
      <w:r>
        <w:rPr>
          <w:rFonts w:ascii="Verdana" w:eastAsia="Aptos" w:hAnsi="Verdana" w:cs="Times New Roman"/>
          <w:kern w:val="2"/>
          <w14:ligatures w14:val="standardContextual"/>
        </w:rPr>
        <w:t xml:space="preserve"> </w:t>
      </w:r>
      <w:r w:rsidRPr="00A420A9">
        <w:rPr>
          <w:rFonts w:ascii="Verdana" w:hAnsi="Verdana"/>
        </w:rPr>
        <w:t>La Sala calificó la obligación como imperativa, expresa e inobjetable, señalando que el Gobierno Nacional no contaba con margen de discrecionalidad para decidir si reglamentaba o no el sistema de preferencias</w:t>
      </w:r>
      <w:r>
        <w:rPr>
          <w:rFonts w:ascii="Verdana" w:hAnsi="Verdana"/>
        </w:rPr>
        <w:t>.</w:t>
      </w:r>
    </w:p>
    <w:p w14:paraId="1586726A" w14:textId="77777777" w:rsidR="004511E1" w:rsidRPr="00C42155" w:rsidRDefault="004511E1" w:rsidP="004511E1">
      <w:pPr>
        <w:spacing w:after="120" w:line="276" w:lineRule="auto"/>
        <w:ind w:firstLine="709"/>
        <w:jc w:val="both"/>
        <w:rPr>
          <w:rFonts w:ascii="Verdana" w:hAnsi="Verdana"/>
        </w:rPr>
      </w:pPr>
      <w:r w:rsidRPr="00E727F0">
        <w:rPr>
          <w:rFonts w:ascii="Verdana" w:hAnsi="Verdana"/>
        </w:rPr>
        <w:t>En cumplimiento de esa decisión fue expedido el Decreto 0287 de 2026, el cual</w:t>
      </w:r>
      <w:r>
        <w:rPr>
          <w:rFonts w:ascii="Verdana" w:hAnsi="Verdana"/>
        </w:rPr>
        <w:t xml:space="preserve"> </w:t>
      </w:r>
      <w:r w:rsidRPr="00E727F0">
        <w:rPr>
          <w:rFonts w:ascii="Verdana" w:hAnsi="Verdana"/>
        </w:rPr>
        <w:t>establece un Sistema Integral de Preferencias compuesto por cinco medidas afirmativas que actúan en todas las fases del proceso contractual</w:t>
      </w:r>
      <w:r>
        <w:rPr>
          <w:rFonts w:ascii="Verdana" w:hAnsi="Verdana"/>
        </w:rPr>
        <w:t xml:space="preserve">, </w:t>
      </w:r>
      <w:r w:rsidRPr="00E727F0">
        <w:rPr>
          <w:rFonts w:ascii="Verdana" w:hAnsi="Verdana"/>
        </w:rPr>
        <w:t>planeación, selección, adjudicación y ejecución</w:t>
      </w:r>
      <w:r>
        <w:rPr>
          <w:rFonts w:ascii="Verdana" w:hAnsi="Verdana"/>
        </w:rPr>
        <w:t xml:space="preserve">, </w:t>
      </w:r>
      <w:r w:rsidRPr="00E727F0">
        <w:rPr>
          <w:rFonts w:ascii="Verdana" w:hAnsi="Verdana"/>
        </w:rPr>
        <w:t xml:space="preserve">y que benefician a dos sujetos diferenciados: los emprendimientos y empresas de </w:t>
      </w:r>
      <w:proofErr w:type="spellStart"/>
      <w:r w:rsidRPr="00E727F0">
        <w:rPr>
          <w:rFonts w:ascii="Verdana" w:hAnsi="Verdana"/>
        </w:rPr>
        <w:t>PcD</w:t>
      </w:r>
      <w:proofErr w:type="spellEnd"/>
      <w:r w:rsidRPr="00E727F0">
        <w:rPr>
          <w:rFonts w:ascii="Verdana" w:hAnsi="Verdana"/>
        </w:rPr>
        <w:t xml:space="preserve"> y los empleadores de </w:t>
      </w:r>
      <w:proofErr w:type="spellStart"/>
      <w:r w:rsidRPr="00E727F0">
        <w:rPr>
          <w:rFonts w:ascii="Verdana" w:hAnsi="Verdana"/>
        </w:rPr>
        <w:t>PcD</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M</w:t>
      </w:r>
      <w:r w:rsidRPr="001B3C5D">
        <w:rPr>
          <w:rFonts w:ascii="Verdana" w:eastAsia="Aptos" w:hAnsi="Verdana" w:cs="Times New Roman"/>
          <w:kern w:val="2"/>
          <w14:ligatures w14:val="standardContextual"/>
        </w:rPr>
        <w:t xml:space="preserve">ediante la expedición del mencionado decreto, </w:t>
      </w:r>
      <w:r>
        <w:rPr>
          <w:rFonts w:ascii="Verdana" w:eastAsia="Aptos" w:hAnsi="Verdana" w:cs="Times New Roman"/>
          <w:kern w:val="2"/>
          <w14:ligatures w14:val="standardContextual"/>
        </w:rPr>
        <w:t>se m</w:t>
      </w:r>
      <w:r w:rsidRPr="001B3C5D">
        <w:rPr>
          <w:rFonts w:ascii="Verdana" w:eastAsia="Aptos" w:hAnsi="Verdana" w:cs="Times New Roman"/>
          <w:kern w:val="2"/>
          <w14:ligatures w14:val="standardContextual"/>
        </w:rPr>
        <w:t>odific</w:t>
      </w:r>
      <w:r>
        <w:rPr>
          <w:rFonts w:ascii="Verdana" w:eastAsia="Aptos" w:hAnsi="Verdana" w:cs="Times New Roman"/>
          <w:kern w:val="2"/>
          <w14:ligatures w14:val="standardContextual"/>
        </w:rPr>
        <w:t>aron</w:t>
      </w:r>
      <w:r w:rsidRPr="001B3C5D">
        <w:rPr>
          <w:rFonts w:ascii="Verdana" w:eastAsia="Aptos" w:hAnsi="Verdana" w:cs="Times New Roman"/>
          <w:kern w:val="2"/>
          <w14:ligatures w14:val="standardContextual"/>
        </w:rPr>
        <w:t xml:space="preserve"> los artículos 2.2.1.2.4.2.6, 2.2.1.2.4.2.7. y 2.2.1.2.4.2.8. del Decreto 1082 de 2015</w:t>
      </w:r>
      <w:r>
        <w:rPr>
          <w:rFonts w:ascii="Verdana" w:eastAsia="Aptos" w:hAnsi="Verdana" w:cs="Times New Roman"/>
          <w:kern w:val="2"/>
          <w14:ligatures w14:val="standardContextual"/>
        </w:rPr>
        <w:t xml:space="preserve"> y se adicionan otras normas, cuyos aspectos más relevantes se resaltan a continuación</w:t>
      </w:r>
      <w:r w:rsidRPr="001B3C5D">
        <w:rPr>
          <w:rFonts w:ascii="Verdana" w:eastAsia="Aptos" w:hAnsi="Verdana" w:cs="Times New Roman"/>
          <w:kern w:val="2"/>
          <w14:ligatures w14:val="standardContextual"/>
        </w:rPr>
        <w:t xml:space="preserve">: </w:t>
      </w:r>
    </w:p>
    <w:p w14:paraId="61E00FDE"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 i) </w:t>
      </w:r>
      <w:r>
        <w:rPr>
          <w:rFonts w:ascii="Verdana" w:eastAsia="Aptos" w:hAnsi="Verdana" w:cs="Times New Roman"/>
          <w:kern w:val="2"/>
          <w14:ligatures w14:val="standardContextual"/>
        </w:rPr>
        <w:t xml:space="preserve">Se </w:t>
      </w:r>
      <w:r w:rsidRPr="001B3C5D">
        <w:rPr>
          <w:rFonts w:ascii="Verdana" w:eastAsia="Aptos" w:hAnsi="Verdana" w:cs="Times New Roman"/>
          <w:kern w:val="2"/>
          <w14:ligatures w14:val="standardContextual"/>
        </w:rPr>
        <w:t xml:space="preserve">modifica el artículo 2.2.1.2.4.2.6. </w:t>
      </w:r>
      <w:r>
        <w:rPr>
          <w:rFonts w:ascii="Verdana" w:eastAsia="Aptos" w:hAnsi="Verdana" w:cs="Times New Roman"/>
          <w:kern w:val="2"/>
          <w14:ligatures w14:val="standardContextual"/>
        </w:rPr>
        <w:t>d</w:t>
      </w:r>
      <w:r w:rsidRPr="001B3C5D">
        <w:rPr>
          <w:rFonts w:ascii="Verdana" w:eastAsia="Aptos" w:hAnsi="Verdana" w:cs="Times New Roman"/>
          <w:kern w:val="2"/>
          <w14:ligatures w14:val="standardContextual"/>
        </w:rPr>
        <w:t>el Decreto 1082 de 2015, incorporando la definición de emprendimientos y empresas de personas con discapacidad, con el propósito de adoptar medidas afirmativas que incentiven las personas en condición de discapacidad en el sistema de compras y contratación pública.</w:t>
      </w:r>
    </w:p>
    <w:p w14:paraId="6BCD9CCD"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ii</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 xml:space="preserve">Se </w:t>
      </w:r>
      <w:r w:rsidRPr="001B3C5D">
        <w:rPr>
          <w:rFonts w:ascii="Verdana" w:eastAsia="Aptos" w:hAnsi="Verdana" w:cs="Times New Roman"/>
          <w:kern w:val="2"/>
          <w14:ligatures w14:val="standardContextual"/>
        </w:rPr>
        <w:t xml:space="preserve">modifica el artículo 2.2.1.2.4.2.7. del Decreto 1082 de 2015, estableciendo un Sistema de Preferencias en Favor de las Personas con Discapacidad en el Sistema de Compras y Contratación Pública, mediante medidas afirmativas, que deben adoptar las Entidades Estatales en sus Procesos </w:t>
      </w:r>
      <w:r w:rsidRPr="001B3C5D">
        <w:rPr>
          <w:rFonts w:ascii="Verdana" w:eastAsia="Aptos" w:hAnsi="Verdana" w:cs="Times New Roman"/>
          <w:kern w:val="2"/>
          <w14:ligatures w14:val="standardContextual"/>
        </w:rPr>
        <w:lastRenderedPageBreak/>
        <w:t xml:space="preserve">de Contratación, para promover condiciones efectivas de igualdad para estas personas, corregir barreras estructurales de acceso y fomentar su participación como proponentes, contratistas o integrantes de la cadena de valor. </w:t>
      </w:r>
    </w:p>
    <w:p w14:paraId="4A05468E"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iii</w:t>
      </w:r>
      <w:proofErr w:type="spellEnd"/>
      <w:r w:rsidRPr="001B3C5D">
        <w:rPr>
          <w:rFonts w:ascii="Verdana" w:eastAsia="Aptos" w:hAnsi="Verdana" w:cs="Times New Roman"/>
          <w:kern w:val="2"/>
          <w14:ligatures w14:val="standardContextual"/>
        </w:rPr>
        <w:t>)</w:t>
      </w:r>
      <w:r>
        <w:rPr>
          <w:rFonts w:ascii="Verdana" w:eastAsia="Aptos" w:hAnsi="Verdana" w:cs="Times New Roman"/>
          <w:kern w:val="2"/>
          <w14:ligatures w14:val="standardContextual"/>
        </w:rPr>
        <w:t xml:space="preserve"> Se incluye</w:t>
      </w:r>
      <w:r w:rsidRPr="001B3C5D">
        <w:rPr>
          <w:rFonts w:ascii="Verdana" w:eastAsia="Aptos" w:hAnsi="Verdana" w:cs="Times New Roman"/>
          <w:kern w:val="2"/>
          <w14:ligatures w14:val="standardContextual"/>
        </w:rPr>
        <w:t xml:space="preserve"> el artículo 2.2.1.2.4.2.7.1. del Decreto 1082 de 2015, disponiendo que todas las entidades que manejen recursos públicos están obligadas a garantizar la accesibilidad para personas con discapacidad en sus procesos de contratación. </w:t>
      </w:r>
    </w:p>
    <w:p w14:paraId="47708695"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Aptos" w:eastAsia="Aptos" w:hAnsi="Aptos" w:cs="Times New Roman"/>
          <w:kern w:val="2"/>
          <w:sz w:val="24"/>
          <w:szCs w:val="24"/>
          <w14:ligatures w14:val="standardContextual"/>
        </w:rPr>
        <w:t>iv</w:t>
      </w:r>
      <w:proofErr w:type="spellEnd"/>
      <w:r w:rsidRPr="001B3C5D">
        <w:rPr>
          <w:rFonts w:ascii="Aptos" w:eastAsia="Aptos" w:hAnsi="Aptos" w:cs="Times New Roman"/>
          <w:kern w:val="2"/>
          <w:sz w:val="24"/>
          <w:szCs w:val="24"/>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w:t>
      </w:r>
      <w:r>
        <w:rPr>
          <w:rFonts w:ascii="Verdana" w:eastAsia="Aptos" w:hAnsi="Verdana" w:cs="Times New Roman"/>
          <w:kern w:val="2"/>
          <w14:ligatures w14:val="standardContextual"/>
        </w:rPr>
        <w:t xml:space="preserve">artículo </w:t>
      </w:r>
      <w:r w:rsidRPr="001B3C5D">
        <w:rPr>
          <w:rFonts w:ascii="Verdana" w:eastAsia="Aptos" w:hAnsi="Verdana" w:cs="Times New Roman"/>
          <w:kern w:val="2"/>
          <w14:ligatures w14:val="standardContextual"/>
        </w:rPr>
        <w:t>2.2.1.2.4.2.7.2. del Decreto 1082 de 2015</w:t>
      </w:r>
      <w:r>
        <w:rPr>
          <w:rFonts w:ascii="Verdana" w:eastAsia="Aptos" w:hAnsi="Verdana" w:cs="Times New Roman"/>
          <w:kern w:val="2"/>
          <w14:ligatures w14:val="standardContextual"/>
        </w:rPr>
        <w:t xml:space="preserve">, en el cual </w:t>
      </w:r>
      <w:r w:rsidRPr="001B3C5D">
        <w:rPr>
          <w:rFonts w:ascii="Verdana" w:eastAsia="Aptos" w:hAnsi="Verdana" w:cs="Times New Roman"/>
          <w:kern w:val="2"/>
          <w14:ligatures w14:val="standardContextual"/>
        </w:rPr>
        <w:t>se consagra que, en la planeación contractual, las Entidades Estatales deben implementar acciones concretas para promover la participación de emprendimientos y empresas de personas con discapacidad, asegurando igualdad de oportunidades en los procesos de contratación pública. Esto implica diseñar mecanismos que eliminen barreras de acceso y fomenten una participación más inclusiva desde las etapas iniciales del proceso.</w:t>
      </w:r>
    </w:p>
    <w:p w14:paraId="42E7E988"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v)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2.2.1.2.4.2.7.3. del Decreto 1082 de 2015, incorporando criterios diferenciales en favor de los emprendimientos y empresas de personas con discapacidad en la habilitación, como parte del sistema de preferencias para esta población en la contratación pública que impone reglamentar la Ley 1618 de 2013. Este aspecto considerando que “(…) es necesario flexibilizar los requisitos habilitantes de los procesos de contratación para facilitar la participación de las personas con discapacidad, debido a que sin esto el puntaje que también regula el presente Decreto (287 de 2026) se vuelve inocuo porque no se podría aplicar si las personas con discapacidad no superan el primer filtro, que resulta de la aplicación de los requisitos habilitantes que pueden resultar un impedimento para la posterior evaluación de su oferta y que pueda tener efectividad el puntaje”</w:t>
      </w:r>
      <w:r w:rsidRPr="001B3C5D">
        <w:rPr>
          <w:rFonts w:ascii="Verdana" w:eastAsia="Aptos" w:hAnsi="Verdana" w:cs="Times New Roman"/>
          <w:kern w:val="2"/>
          <w:vertAlign w:val="superscript"/>
          <w14:ligatures w14:val="standardContextual"/>
        </w:rPr>
        <w:footnoteReference w:id="10"/>
      </w:r>
      <w:r w:rsidRPr="001B3C5D">
        <w:rPr>
          <w:rFonts w:ascii="Verdana" w:eastAsia="Aptos" w:hAnsi="Verdana" w:cs="Times New Roman"/>
          <w:kern w:val="2"/>
          <w14:ligatures w14:val="standardContextual"/>
        </w:rPr>
        <w:t xml:space="preserve">. </w:t>
      </w:r>
    </w:p>
    <w:p w14:paraId="55F6D35B"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vi)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2.1.2.4.2.7.4 </w:t>
      </w:r>
      <w:r>
        <w:rPr>
          <w:rFonts w:ascii="Verdana" w:eastAsia="Aptos" w:hAnsi="Verdana" w:cs="Times New Roman"/>
          <w:kern w:val="2"/>
          <w14:ligatures w14:val="standardContextual"/>
        </w:rPr>
        <w:t xml:space="preserve">que </w:t>
      </w:r>
      <w:r w:rsidRPr="001B3C5D">
        <w:rPr>
          <w:rFonts w:ascii="Verdana" w:eastAsia="Aptos" w:hAnsi="Verdana" w:cs="Times New Roman"/>
          <w:kern w:val="2"/>
          <w14:ligatures w14:val="standardContextual"/>
        </w:rPr>
        <w:t xml:space="preserve">establece un puntaje adicional en favor de los empleadores de personas con discapacidad y de los emprendimientos y empresas de personas con discapacidad del dos por ciento (2%) del valor total de los puntos establecidos en el pliego de condiciones o documentos equivalentes, para promover la inclusión laboral de personas con discapacidad en los procedimientos de licitación pública y concurso de méritos que adelanten las entidades estatales, cuando se configuren las situaciones </w:t>
      </w:r>
      <w:r w:rsidRPr="001B3C5D">
        <w:rPr>
          <w:rFonts w:ascii="Verdana" w:eastAsia="Aptos" w:hAnsi="Verdana" w:cs="Times New Roman"/>
          <w:kern w:val="2"/>
          <w14:ligatures w14:val="standardContextual"/>
        </w:rPr>
        <w:lastRenderedPageBreak/>
        <w:t xml:space="preserve">previstas en ese artículo. </w:t>
      </w:r>
    </w:p>
    <w:p w14:paraId="791738CD"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vii</w:t>
      </w:r>
      <w:proofErr w:type="spellEnd"/>
      <w:r w:rsidRPr="001B3C5D">
        <w:rPr>
          <w:rFonts w:ascii="Verdana" w:eastAsia="Aptos" w:hAnsi="Verdana" w:cs="Times New Roman"/>
          <w:kern w:val="2"/>
          <w14:ligatures w14:val="standardContextual"/>
        </w:rPr>
        <w:t>)</w:t>
      </w:r>
      <w:r>
        <w:rPr>
          <w:rFonts w:ascii="Verdana" w:eastAsia="Aptos" w:hAnsi="Verdana" w:cs="Times New Roman"/>
          <w:kern w:val="2"/>
          <w14:ligatures w14:val="standardContextual"/>
        </w:rPr>
        <w:t xml:space="preserve"> Se incluye</w:t>
      </w:r>
      <w:r w:rsidRPr="001B3C5D">
        <w:rPr>
          <w:rFonts w:ascii="Verdana" w:eastAsia="Aptos" w:hAnsi="Verdana" w:cs="Times New Roman"/>
          <w:kern w:val="2"/>
          <w14:ligatures w14:val="standardContextual"/>
        </w:rPr>
        <w:t xml:space="preserve"> el artículo 2.2.1.2.4.2.7.5. del Decreto 1082 de 2015, indicando condiciones especiales de sujeción en favor de personas con discapacidad, que deberán incluir las entidades estatales como obligación contractual en los documentos del proceso, previo análisis de oportunidad y conveniencia. </w:t>
      </w:r>
    </w:p>
    <w:p w14:paraId="0AEAFC26" w14:textId="77777777" w:rsidR="004511E1" w:rsidRPr="001B3C5D"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viii</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2.2.1.2.4.2.7.6. del Decreto 1082 de 2015, </w:t>
      </w:r>
      <w:r>
        <w:rPr>
          <w:rFonts w:ascii="Verdana" w:eastAsia="Aptos" w:hAnsi="Verdana" w:cs="Times New Roman"/>
          <w:kern w:val="2"/>
          <w14:ligatures w14:val="standardContextual"/>
        </w:rPr>
        <w:t>contemplando</w:t>
      </w:r>
      <w:r w:rsidRPr="001B3C5D">
        <w:rPr>
          <w:rFonts w:ascii="Verdana" w:eastAsia="Aptos" w:hAnsi="Verdana" w:cs="Times New Roman"/>
          <w:kern w:val="2"/>
          <w14:ligatures w14:val="standardContextual"/>
        </w:rPr>
        <w:t xml:space="preserve"> que, las Entidades Estatales propenderán por la contratación de personas con discapacidad mediante la celebración de contratos de prestación de servicios profesionales y/o de apoyo a la gestión, de acuerdo con su planeación contractual, disponibilidad presupuestal y las necesidades del servicio.</w:t>
      </w:r>
    </w:p>
    <w:p w14:paraId="73D7F207" w14:textId="77777777" w:rsidR="004511E1"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ix</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w:t>
      </w:r>
      <w:r>
        <w:rPr>
          <w:rFonts w:ascii="Verdana" w:eastAsia="Aptos" w:hAnsi="Verdana" w:cs="Times New Roman"/>
          <w:kern w:val="2"/>
          <w14:ligatures w14:val="standardContextual"/>
        </w:rPr>
        <w:t>7</w:t>
      </w:r>
      <w:r w:rsidRPr="001B3C5D">
        <w:rPr>
          <w:rFonts w:ascii="Verdana" w:eastAsia="Aptos" w:hAnsi="Verdana" w:cs="Times New Roman"/>
          <w:kern w:val="2"/>
          <w14:ligatures w14:val="standardContextual"/>
        </w:rPr>
        <w:t>. del Decreto 1082 de 2015, que</w:t>
      </w:r>
      <w:r>
        <w:rPr>
          <w:rFonts w:ascii="Verdana" w:eastAsia="Aptos" w:hAnsi="Verdana" w:cs="Times New Roman"/>
          <w:kern w:val="2"/>
          <w14:ligatures w14:val="standardContextual"/>
        </w:rPr>
        <w:t xml:space="preserve"> incorpora el</w:t>
      </w:r>
      <w:r w:rsidRPr="004B7044">
        <w:t xml:space="preserve"> </w:t>
      </w:r>
      <w:r w:rsidRPr="004B7044">
        <w:rPr>
          <w:rFonts w:ascii="Verdana" w:eastAsia="Aptos" w:hAnsi="Verdana" w:cs="Times New Roman"/>
          <w:kern w:val="2"/>
          <w14:ligatures w14:val="standardContextual"/>
        </w:rPr>
        <w:t>seguimiento a la inclusión de personas con discapacidad a través de contratos de prestación de servicios profesionales y lo de apoyo a la gestión.</w:t>
      </w:r>
    </w:p>
    <w:p w14:paraId="3E6CE789" w14:textId="77777777" w:rsidR="004511E1"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r>
        <w:rPr>
          <w:rFonts w:ascii="Verdana" w:eastAsia="Aptos" w:hAnsi="Verdana" w:cs="Times New Roman"/>
          <w:kern w:val="2"/>
          <w14:ligatures w14:val="standardContextual"/>
        </w:rPr>
        <w:t xml:space="preserve">x) Se </w:t>
      </w:r>
      <w:r w:rsidRPr="001B3C5D">
        <w:rPr>
          <w:rFonts w:ascii="Verdana" w:eastAsia="Aptos" w:hAnsi="Verdana" w:cs="Times New Roman"/>
          <w:kern w:val="2"/>
          <w14:ligatures w14:val="standardContextual"/>
        </w:rPr>
        <w:t>modifica el artículo 2.2.1.2.4.2.7.8 del Decreto 1082 de 2015</w:t>
      </w:r>
      <w:r>
        <w:rPr>
          <w:rFonts w:ascii="Verdana" w:eastAsia="Aptos" w:hAnsi="Verdana" w:cs="Times New Roman"/>
          <w:kern w:val="2"/>
          <w14:ligatures w14:val="standardContextual"/>
        </w:rPr>
        <w:t xml:space="preserve"> y</w:t>
      </w:r>
      <w:r w:rsidRPr="001B3C5D">
        <w:rPr>
          <w:rFonts w:ascii="Verdana" w:eastAsia="Aptos" w:hAnsi="Verdana" w:cs="Times New Roman"/>
          <w:kern w:val="2"/>
          <w14:ligatures w14:val="standardContextual"/>
        </w:rPr>
        <w:t xml:space="preserve"> dispone que, la Agencia Nacional de Contratación Pública –Colombia Compra Eficiente garantizará la adopción permanente de las acciones necesarias para que las medidas señaladas en favor de las Personas con Discapacidad se incorporen a los documentos e instrumentos que genera. </w:t>
      </w:r>
    </w:p>
    <w:p w14:paraId="72FB494F" w14:textId="77777777" w:rsidR="004511E1" w:rsidRDefault="004511E1" w:rsidP="004511E1">
      <w:pPr>
        <w:widowControl w:val="0"/>
        <w:autoSpaceDE w:val="0"/>
        <w:autoSpaceDN w:val="0"/>
        <w:spacing w:after="120" w:line="276" w:lineRule="auto"/>
        <w:ind w:firstLine="708"/>
        <w:jc w:val="both"/>
        <w:rPr>
          <w:rFonts w:ascii="Verdana" w:eastAsia="Aptos" w:hAnsi="Verdana" w:cs="Times New Roman"/>
          <w:kern w:val="2"/>
          <w14:ligatures w14:val="standardContextual"/>
        </w:rPr>
      </w:pPr>
      <w:r>
        <w:rPr>
          <w:rFonts w:ascii="Verdana" w:eastAsia="Aptos" w:hAnsi="Verdana" w:cs="Times New Roman"/>
          <w:kern w:val="2"/>
          <w14:ligatures w14:val="standardContextual"/>
        </w:rPr>
        <w:t>xi)</w:t>
      </w:r>
      <w:r w:rsidRPr="007C6E53">
        <w:rPr>
          <w:rFonts w:ascii="Verdana" w:eastAsia="Aptos" w:hAnsi="Verdana" w:cs="Times New Roman"/>
          <w:kern w:val="2"/>
          <w14:ligatures w14:val="standardContextual"/>
        </w:rPr>
        <w:t xml:space="preserve"> </w:t>
      </w:r>
      <w:r>
        <w:rPr>
          <w:rFonts w:ascii="Verdana" w:eastAsia="Aptos" w:hAnsi="Verdana" w:cs="Times New Roman"/>
          <w:color w:val="000000" w:themeColor="text1"/>
          <w:kern w:val="2"/>
          <w14:ligatures w14:val="standardContextual"/>
        </w:rPr>
        <w:t xml:space="preserve">Se </w:t>
      </w:r>
      <w:r w:rsidRPr="0046297E">
        <w:rPr>
          <w:rFonts w:ascii="Verdana" w:eastAsia="Aptos" w:hAnsi="Verdana" w:cs="Times New Roman"/>
          <w:color w:val="000000" w:themeColor="text1"/>
          <w:kern w:val="2"/>
          <w14:ligatures w14:val="standardContextual"/>
        </w:rPr>
        <w:t>incluye el artículo 2.2.1.2.4.2.7.9 del Decreto 1082 de 2015</w:t>
      </w:r>
      <w:r w:rsidRPr="0046297E">
        <w:rPr>
          <w:rFonts w:ascii="Work Sans" w:hAnsi="Work Sans"/>
          <w:b/>
          <w:bCs/>
          <w:color w:val="000000" w:themeColor="text1"/>
          <w:sz w:val="25"/>
          <w:szCs w:val="25"/>
          <w:shd w:val="clear" w:color="auto" w:fill="FFFFFF"/>
        </w:rPr>
        <w:t xml:space="preserve"> </w:t>
      </w:r>
      <w:r w:rsidRPr="0046297E">
        <w:rPr>
          <w:rFonts w:ascii="Verdana" w:hAnsi="Verdana"/>
          <w:color w:val="000000" w:themeColor="text1"/>
          <w:shd w:val="clear" w:color="auto" w:fill="FFFFFF"/>
        </w:rPr>
        <w:t>que establece lo referente al</w:t>
      </w:r>
      <w:r w:rsidRPr="0046297E">
        <w:rPr>
          <w:rFonts w:ascii="Work Sans" w:hAnsi="Work Sans"/>
          <w:b/>
          <w:bCs/>
          <w:color w:val="000000" w:themeColor="text1"/>
          <w:sz w:val="25"/>
          <w:szCs w:val="25"/>
          <w:shd w:val="clear" w:color="auto" w:fill="FFFFFF"/>
        </w:rPr>
        <w:t xml:space="preserve"> </w:t>
      </w:r>
      <w:r w:rsidRPr="0046297E">
        <w:rPr>
          <w:rFonts w:ascii="Verdana" w:eastAsia="Aptos" w:hAnsi="Verdana" w:cs="Times New Roman"/>
          <w:color w:val="000000" w:themeColor="text1"/>
          <w:kern w:val="2"/>
          <w14:ligatures w14:val="standardContextual"/>
        </w:rPr>
        <w:t>acceso y accesibilidad del sistema electrónico de contratación pública - SECOP. </w:t>
      </w:r>
    </w:p>
    <w:p w14:paraId="2D385409" w14:textId="77777777" w:rsidR="004511E1" w:rsidRDefault="004511E1" w:rsidP="004511E1">
      <w:pPr>
        <w:widowControl w:val="0"/>
        <w:autoSpaceDE w:val="0"/>
        <w:autoSpaceDN w:val="0"/>
        <w:spacing w:after="120" w:line="276" w:lineRule="auto"/>
        <w:jc w:val="both"/>
        <w:rPr>
          <w:rFonts w:ascii="Verdana" w:eastAsia="Calibri" w:hAnsi="Verdana" w:cs="Arial"/>
          <w:color w:val="000000"/>
          <w:lang w:val="es-ES" w:eastAsia="es-ES_tradnl"/>
        </w:rPr>
      </w:pPr>
      <w:proofErr w:type="spellStart"/>
      <w:r>
        <w:rPr>
          <w:rFonts w:ascii="Verdana" w:eastAsia="Aptos" w:hAnsi="Verdana" w:cs="Times New Roman"/>
          <w:kern w:val="2"/>
          <w14:ligatures w14:val="standardContextual"/>
        </w:rPr>
        <w:t>ii</w:t>
      </w:r>
      <w:proofErr w:type="spellEnd"/>
      <w:r>
        <w:rPr>
          <w:rFonts w:ascii="Verdana" w:eastAsia="Aptos" w:hAnsi="Verdana" w:cs="Times New Roman"/>
          <w:kern w:val="2"/>
          <w14:ligatures w14:val="standardContextual"/>
        </w:rPr>
        <w:t xml:space="preserve">. Ahora bien, de acuerdo con las inquietudes planteadas, resulta necesario realizar algunas precisiones en relación con el artículo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del Decreto 287 de 2026, el cual </w:t>
      </w:r>
      <w:r w:rsidRPr="001B3C5D">
        <w:rPr>
          <w:rFonts w:ascii="Verdana" w:eastAsia="Aptos" w:hAnsi="Verdana" w:cs="Times New Roman"/>
          <w:kern w:val="2"/>
          <w14:ligatures w14:val="standardContextual"/>
        </w:rPr>
        <w:t>incorpora la definición de emprendimientos y empresas de personas con discapacidad</w:t>
      </w:r>
      <w:r>
        <w:rPr>
          <w:rFonts w:ascii="Verdana" w:eastAsia="Calibri" w:hAnsi="Verdana" w:cs="Arial"/>
          <w:lang w:val="es-ES_tradnl"/>
        </w:rPr>
        <w:t xml:space="preserve"> y </w:t>
      </w:r>
      <w:r>
        <w:rPr>
          <w:rFonts w:ascii="Verdana" w:hAnsi="Verdana"/>
        </w:rPr>
        <w:t>consagra cuatro criterios alternativos en atención a los cuales una persona natural o jurídica puede acceder a los incentivos contractuales en favor de ellos</w:t>
      </w:r>
      <w:r>
        <w:rPr>
          <w:rFonts w:ascii="Verdana" w:eastAsia="Calibri" w:hAnsi="Verdana" w:cs="Arial"/>
          <w:lang w:val="es-ES_tradnl"/>
        </w:rPr>
        <w:t>, siendo suficiente la configuración de uno de estos criterios para que se materialice la respectiva definición respecto del sujeto en particular.</w:t>
      </w:r>
      <w:r w:rsidRPr="00FE639F">
        <w:rPr>
          <w:rFonts w:ascii="Verdana" w:eastAsia="Calibri" w:hAnsi="Verdana" w:cs="Arial"/>
          <w:color w:val="000000"/>
          <w:lang w:val="es-ES" w:eastAsia="es-ES_tradnl"/>
        </w:rPr>
        <w:t xml:space="preserve"> </w:t>
      </w:r>
      <w:r w:rsidRPr="00E269F2">
        <w:rPr>
          <w:rFonts w:ascii="Verdana" w:eastAsia="Calibri" w:hAnsi="Verdana" w:cs="Arial"/>
          <w:color w:val="000000"/>
          <w:lang w:val="es-ES" w:eastAsia="es-ES_tradnl"/>
        </w:rPr>
        <w:t>Para estos efectos, cada uno de los numerales de la norma establecen unos requisitos que deben acreditarse a efectos de aplicar las medidas afirmativas</w:t>
      </w:r>
      <w:r>
        <w:rPr>
          <w:rFonts w:ascii="Verdana" w:eastAsia="Calibri" w:hAnsi="Verdana" w:cs="Arial"/>
          <w:color w:val="000000"/>
          <w:lang w:val="es-ES" w:eastAsia="es-ES_tradnl"/>
        </w:rPr>
        <w:t>. E</w:t>
      </w:r>
      <w:r w:rsidRPr="007149A1">
        <w:rPr>
          <w:rFonts w:ascii="Verdana" w:eastAsia="Calibri" w:hAnsi="Verdana" w:cs="Arial"/>
          <w:color w:val="000000"/>
          <w:lang w:val="es-ES" w:eastAsia="es-ES_tradnl"/>
        </w:rPr>
        <w:t xml:space="preserve">l citado artículo indica:  </w:t>
      </w:r>
    </w:p>
    <w:p w14:paraId="64FCAC51" w14:textId="77777777" w:rsidR="004511E1" w:rsidRDefault="004511E1" w:rsidP="004511E1">
      <w:pPr>
        <w:widowControl w:val="0"/>
        <w:autoSpaceDE w:val="0"/>
        <w:autoSpaceDN w:val="0"/>
        <w:spacing w:after="0" w:line="276" w:lineRule="auto"/>
        <w:jc w:val="both"/>
        <w:rPr>
          <w:rFonts w:ascii="Verdana" w:eastAsia="Calibri" w:hAnsi="Verdana" w:cs="Arial"/>
          <w:color w:val="000000"/>
          <w:lang w:val="es-ES" w:eastAsia="es-ES_tradnl"/>
        </w:rPr>
      </w:pPr>
    </w:p>
    <w:p w14:paraId="4C6B9177" w14:textId="77777777" w:rsidR="004511E1" w:rsidRPr="00B93888" w:rsidRDefault="004511E1" w:rsidP="004511E1">
      <w:pPr>
        <w:spacing w:after="0" w:line="240" w:lineRule="auto"/>
        <w:ind w:left="709" w:right="709"/>
        <w:jc w:val="both"/>
        <w:rPr>
          <w:rFonts w:ascii="Verdana" w:hAnsi="Verdana"/>
          <w:iCs/>
          <w:sz w:val="20"/>
          <w:szCs w:val="20"/>
        </w:rPr>
      </w:pPr>
      <w:r w:rsidRPr="008F5EB5">
        <w:rPr>
          <w:rFonts w:ascii="Verdana" w:hAnsi="Verdana"/>
          <w:iCs/>
          <w:sz w:val="20"/>
          <w:szCs w:val="20"/>
        </w:rPr>
        <w:lastRenderedPageBreak/>
        <w:t>“</w:t>
      </w:r>
      <w:r w:rsidRPr="00B93888">
        <w:rPr>
          <w:rFonts w:ascii="Verdana" w:hAnsi="Verdana"/>
          <w:iCs/>
          <w:sz w:val="20"/>
          <w:szCs w:val="20"/>
        </w:rPr>
        <w:t>ARTÍCULO 2.2.1.2.4.2.6. DEFINICIÓN DE EMPRENDIMIENTOS Y EMPRESAS DE PERSONAS CON DISCAPACIDAD. Con el propósito de adoptar medidas afirmativas que incentiven la participación de las personas con discapacidad en el sistema de compras y contratación Pública, mediante la reglamentación del puntaje al que se refiere el numeral 1 del artículo 13 de la Ley 1618 de 2013 y el desarrollo del sistema de preferencias del numeral 8 del mismo artículo, se entenderán com</w:t>
      </w:r>
      <w:r>
        <w:rPr>
          <w:rFonts w:ascii="Verdana" w:hAnsi="Verdana"/>
          <w:iCs/>
          <w:sz w:val="20"/>
          <w:szCs w:val="20"/>
        </w:rPr>
        <w:t>o</w:t>
      </w:r>
      <w:r w:rsidRPr="00B93888">
        <w:rPr>
          <w:rFonts w:ascii="Verdana" w:hAnsi="Verdana"/>
          <w:iCs/>
          <w:sz w:val="20"/>
          <w:szCs w:val="20"/>
        </w:rPr>
        <w:t xml:space="preserve"> emprendimientos y empresas de personas con discapacidad aquellos que cumplan con alguna de las siguientes condiciones:</w:t>
      </w:r>
    </w:p>
    <w:p w14:paraId="55B86D9A" w14:textId="77777777" w:rsidR="004511E1" w:rsidRPr="00B93888" w:rsidRDefault="004511E1" w:rsidP="004511E1">
      <w:pPr>
        <w:spacing w:after="0" w:line="240" w:lineRule="auto"/>
        <w:ind w:left="709" w:right="709"/>
        <w:jc w:val="both"/>
        <w:rPr>
          <w:rFonts w:ascii="Verdana" w:hAnsi="Verdana"/>
          <w:iCs/>
          <w:sz w:val="20"/>
          <w:szCs w:val="20"/>
        </w:rPr>
      </w:pPr>
    </w:p>
    <w:p w14:paraId="1F5191F3" w14:textId="77777777" w:rsidR="004511E1" w:rsidRPr="00B93888"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t>1) Personas naturales con discapacidad que ejerzan una profesión liberal. Esta circunstancia se acreditará mediante la copia de cedula de ciudadanía, la cedula de extranjería o el pasaporte, el certificado de discapacidad expedido de acuerdo con la normativa del Ministerio de Salud y Protección Social, así coma el título profesional correspondiente.</w:t>
      </w:r>
    </w:p>
    <w:p w14:paraId="1758EB6D" w14:textId="77777777" w:rsidR="004511E1" w:rsidRPr="00B93888" w:rsidRDefault="004511E1" w:rsidP="004511E1">
      <w:pPr>
        <w:spacing w:after="0" w:line="240" w:lineRule="auto"/>
        <w:ind w:left="709" w:right="709"/>
        <w:jc w:val="both"/>
        <w:rPr>
          <w:rFonts w:ascii="Verdana" w:hAnsi="Verdana"/>
          <w:iCs/>
          <w:sz w:val="20"/>
          <w:szCs w:val="20"/>
        </w:rPr>
      </w:pPr>
    </w:p>
    <w:p w14:paraId="494C6766" w14:textId="77777777" w:rsidR="004511E1" w:rsidRPr="00B93888"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t xml:space="preserve">2) Personas naturales con discapacidad que hayan realizado actividades comerciales a través de un establecimiento de comercio, durante al menos el </w:t>
      </w:r>
      <w:proofErr w:type="spellStart"/>
      <w:r w:rsidRPr="00B93888">
        <w:rPr>
          <w:rFonts w:ascii="Verdana" w:hAnsi="Verdana"/>
          <w:iCs/>
          <w:sz w:val="20"/>
          <w:szCs w:val="20"/>
        </w:rPr>
        <w:t>ultimo</w:t>
      </w:r>
      <w:proofErr w:type="spellEnd"/>
      <w:r w:rsidRPr="00B93888">
        <w:rPr>
          <w:rFonts w:ascii="Verdana" w:hAnsi="Verdana"/>
          <w:iCs/>
          <w:sz w:val="20"/>
          <w:szCs w:val="20"/>
        </w:rPr>
        <w:t xml:space="preserve"> año anterior a la fecha de cierre del proceso de selección. Esta circunstancia se acreditará mediante la copia de cedula de ciudadanía, la cedula de extranjera o el pasaporte, el certificado de discapacidad expedido de acuerdo con la normativa del Ministerio de Salud y Protección Social, así coma la copia del registro mercantil.</w:t>
      </w:r>
    </w:p>
    <w:p w14:paraId="132793BE" w14:textId="77777777" w:rsidR="004511E1" w:rsidRPr="00B93888" w:rsidRDefault="004511E1" w:rsidP="004511E1">
      <w:pPr>
        <w:spacing w:after="0" w:line="240" w:lineRule="auto"/>
        <w:ind w:right="709"/>
        <w:jc w:val="both"/>
        <w:rPr>
          <w:rFonts w:ascii="Verdana" w:hAnsi="Verdana"/>
          <w:iCs/>
          <w:sz w:val="20"/>
          <w:szCs w:val="20"/>
        </w:rPr>
      </w:pPr>
    </w:p>
    <w:p w14:paraId="705B91C6" w14:textId="77777777" w:rsidR="004511E1"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t xml:space="preserve">3) Personas jurídicas donde más del cincuenta por ciento (50%) de sus acciones, partes de interés o cuotas de participación pertenezcan a personas con discapacidad y </w:t>
      </w:r>
      <w:proofErr w:type="gramStart"/>
      <w:r w:rsidRPr="00B93888">
        <w:rPr>
          <w:rFonts w:ascii="Verdana" w:hAnsi="Verdana"/>
          <w:iCs/>
          <w:sz w:val="20"/>
          <w:szCs w:val="20"/>
        </w:rPr>
        <w:t>las derechos</w:t>
      </w:r>
      <w:proofErr w:type="gramEnd"/>
      <w:r w:rsidRPr="00B93888">
        <w:rPr>
          <w:rFonts w:ascii="Verdana" w:hAnsi="Verdana"/>
          <w:iCs/>
          <w:sz w:val="20"/>
          <w:szCs w:val="20"/>
        </w:rPr>
        <w:t xml:space="preserve"> de propiedad hayan pertenecido a estas durante al menos el </w:t>
      </w:r>
      <w:proofErr w:type="spellStart"/>
      <w:r w:rsidRPr="00B93888">
        <w:rPr>
          <w:rFonts w:ascii="Verdana" w:hAnsi="Verdana"/>
          <w:iCs/>
          <w:sz w:val="20"/>
          <w:szCs w:val="20"/>
        </w:rPr>
        <w:t>ultimo</w:t>
      </w:r>
      <w:proofErr w:type="spellEnd"/>
      <w:r w:rsidRPr="00B93888">
        <w:rPr>
          <w:rFonts w:ascii="Verdana" w:hAnsi="Verdana"/>
          <w:iCs/>
          <w:sz w:val="20"/>
          <w:szCs w:val="20"/>
        </w:rPr>
        <w:t xml:space="preserve"> año anterior a la fecha de cierre del Proceso de Selección.</w:t>
      </w:r>
    </w:p>
    <w:p w14:paraId="03F44A26" w14:textId="77777777" w:rsidR="004511E1" w:rsidRPr="00B93888" w:rsidRDefault="004511E1" w:rsidP="004511E1">
      <w:pPr>
        <w:spacing w:after="0" w:line="240" w:lineRule="auto"/>
        <w:ind w:left="709" w:right="709"/>
        <w:jc w:val="both"/>
        <w:rPr>
          <w:rFonts w:ascii="Verdana" w:hAnsi="Verdana"/>
          <w:iCs/>
          <w:sz w:val="20"/>
          <w:szCs w:val="20"/>
        </w:rPr>
      </w:pPr>
    </w:p>
    <w:p w14:paraId="4DCD58F7" w14:textId="77777777" w:rsidR="004511E1" w:rsidRPr="00B93888"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t xml:space="preserve">La circunstancia de la propiedad de la persona jurídica se acreditará mediante certificación expedida por el representante legal y el revisor fiscal, cuando exista, de acuerdo con </w:t>
      </w:r>
      <w:proofErr w:type="gramStart"/>
      <w:r w:rsidRPr="00B93888">
        <w:rPr>
          <w:rFonts w:ascii="Verdana" w:hAnsi="Verdana"/>
          <w:iCs/>
          <w:sz w:val="20"/>
          <w:szCs w:val="20"/>
        </w:rPr>
        <w:t>las requerimientos</w:t>
      </w:r>
      <w:proofErr w:type="gramEnd"/>
      <w:r w:rsidRPr="00B93888">
        <w:rPr>
          <w:rFonts w:ascii="Verdana" w:hAnsi="Verdana"/>
          <w:iCs/>
          <w:sz w:val="20"/>
          <w:szCs w:val="20"/>
        </w:rPr>
        <w:t xml:space="preserve"> de ley o, el contador, donde conste la distribución de </w:t>
      </w:r>
      <w:proofErr w:type="gramStart"/>
      <w:r w:rsidRPr="00B93888">
        <w:rPr>
          <w:rFonts w:ascii="Verdana" w:hAnsi="Verdana"/>
          <w:iCs/>
          <w:sz w:val="20"/>
          <w:szCs w:val="20"/>
        </w:rPr>
        <w:t>las derechos</w:t>
      </w:r>
      <w:proofErr w:type="gramEnd"/>
      <w:r w:rsidRPr="00B93888">
        <w:rPr>
          <w:rFonts w:ascii="Verdana" w:hAnsi="Verdana"/>
          <w:iCs/>
          <w:sz w:val="20"/>
          <w:szCs w:val="20"/>
        </w:rPr>
        <w:t xml:space="preserve"> en la sociedad y el tiempo en el que las personas con discapacidad han mantenido su participación. Adicionalmente se debe adjuntar la copia de cedula de ciudadanía, la cedula de extranjera o el pasaporte, el certificado de discapacidad expedido de acuerdo con la normativa del Ministerio de Salud y Protección Social, así como la copia del certificado de existencia y representación legal</w:t>
      </w:r>
      <w:r>
        <w:rPr>
          <w:rFonts w:ascii="Verdana" w:hAnsi="Verdana"/>
          <w:iCs/>
          <w:sz w:val="20"/>
          <w:szCs w:val="20"/>
        </w:rPr>
        <w:t>.</w:t>
      </w:r>
    </w:p>
    <w:p w14:paraId="59DAC84E" w14:textId="77777777" w:rsidR="004511E1" w:rsidRPr="00B93888" w:rsidRDefault="004511E1" w:rsidP="004511E1">
      <w:pPr>
        <w:spacing w:after="0" w:line="240" w:lineRule="auto"/>
        <w:ind w:left="709" w:right="709"/>
        <w:jc w:val="both"/>
        <w:rPr>
          <w:rFonts w:ascii="Verdana" w:hAnsi="Verdana"/>
          <w:iCs/>
          <w:sz w:val="20"/>
          <w:szCs w:val="20"/>
        </w:rPr>
      </w:pPr>
    </w:p>
    <w:p w14:paraId="39434A9A" w14:textId="77777777" w:rsidR="004511E1" w:rsidRPr="00B93888"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t xml:space="preserve">4) Personas jurídicas que tengan vinculadas laboralmente al menos una persona con discapacidad en empleos del nivel directivo de la empresa durante al menos el </w:t>
      </w:r>
      <w:proofErr w:type="spellStart"/>
      <w:r w:rsidRPr="00B93888">
        <w:rPr>
          <w:rFonts w:ascii="Verdana" w:hAnsi="Verdana"/>
          <w:iCs/>
          <w:sz w:val="20"/>
          <w:szCs w:val="20"/>
        </w:rPr>
        <w:t>ultimo</w:t>
      </w:r>
      <w:proofErr w:type="spellEnd"/>
      <w:r w:rsidRPr="00B93888">
        <w:rPr>
          <w:rFonts w:ascii="Verdana" w:hAnsi="Verdana"/>
          <w:iCs/>
          <w:sz w:val="20"/>
          <w:szCs w:val="20"/>
        </w:rPr>
        <w:t xml:space="preserve"> año anterior a la fecha de cierre del Proceso de Selección en el mismo cargo u otro del mismo nivel.</w:t>
      </w:r>
    </w:p>
    <w:p w14:paraId="6591CFDB" w14:textId="77777777" w:rsidR="004511E1" w:rsidRPr="00B93888" w:rsidRDefault="004511E1" w:rsidP="004511E1">
      <w:pPr>
        <w:spacing w:after="0" w:line="240" w:lineRule="auto"/>
        <w:ind w:right="709"/>
        <w:jc w:val="both"/>
        <w:rPr>
          <w:rFonts w:ascii="Verdana" w:hAnsi="Verdana"/>
          <w:iCs/>
          <w:sz w:val="20"/>
          <w:szCs w:val="20"/>
        </w:rPr>
      </w:pPr>
    </w:p>
    <w:p w14:paraId="25E00390" w14:textId="77777777" w:rsidR="004511E1" w:rsidRPr="00B93888"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lastRenderedPageBreak/>
        <w:t>Por otra parte,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1DF58095" w14:textId="77777777" w:rsidR="004511E1" w:rsidRPr="00B93888" w:rsidRDefault="004511E1" w:rsidP="004511E1">
      <w:pPr>
        <w:spacing w:after="0" w:line="240" w:lineRule="auto"/>
        <w:ind w:left="709" w:right="709"/>
        <w:jc w:val="both"/>
        <w:rPr>
          <w:rFonts w:ascii="Verdana" w:hAnsi="Verdana"/>
          <w:iCs/>
          <w:sz w:val="20"/>
          <w:szCs w:val="20"/>
        </w:rPr>
      </w:pPr>
    </w:p>
    <w:p w14:paraId="6E52A2BA" w14:textId="77777777" w:rsidR="004511E1" w:rsidRPr="00B93888"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t>Esta circunstancia se acreditará mediante certificación expedida por el representante legal y el revisor fiscal, cuando exista de acuerdo con los requerimientos de ley, o el contador, donde se señale de manera detallada las personas con discapacidad que ocupan cargos de nivel directivo del proponente y el tiempo de vinculación.</w:t>
      </w:r>
    </w:p>
    <w:p w14:paraId="7339A829" w14:textId="77777777" w:rsidR="004511E1" w:rsidRPr="00B93888" w:rsidRDefault="004511E1" w:rsidP="004511E1">
      <w:pPr>
        <w:spacing w:after="0" w:line="240" w:lineRule="auto"/>
        <w:ind w:right="709"/>
        <w:jc w:val="both"/>
        <w:rPr>
          <w:rFonts w:ascii="Verdana" w:hAnsi="Verdana"/>
          <w:iCs/>
          <w:sz w:val="20"/>
          <w:szCs w:val="20"/>
        </w:rPr>
      </w:pPr>
    </w:p>
    <w:p w14:paraId="05F530FF" w14:textId="77777777" w:rsidR="004511E1" w:rsidRPr="00B93888" w:rsidRDefault="004511E1" w:rsidP="004511E1">
      <w:pPr>
        <w:spacing w:after="0" w:line="240" w:lineRule="auto"/>
        <w:ind w:left="709" w:right="709"/>
        <w:jc w:val="both"/>
        <w:rPr>
          <w:rFonts w:ascii="Verdana" w:hAnsi="Verdana"/>
          <w:iCs/>
          <w:sz w:val="20"/>
          <w:szCs w:val="20"/>
        </w:rPr>
      </w:pPr>
      <w:r w:rsidRPr="00B93888">
        <w:rPr>
          <w:rFonts w:ascii="Verdana" w:hAnsi="Verdana"/>
          <w:iCs/>
          <w:sz w:val="20"/>
          <w:szCs w:val="20"/>
        </w:rPr>
        <w:t>La certificación deberá relacionar el nombre completo y el número de documento de identidad de las personas con discapacidad que ocupan cargos de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 y el certificado de discapacidad expedido de acuerdo con la normativa del Ministerio de Salud y Protección Social</w:t>
      </w:r>
      <w:r>
        <w:rPr>
          <w:rFonts w:ascii="Verdana" w:hAnsi="Verdana"/>
          <w:iCs/>
          <w:sz w:val="20"/>
          <w:szCs w:val="20"/>
        </w:rPr>
        <w:t>.</w:t>
      </w:r>
    </w:p>
    <w:p w14:paraId="2A65631B" w14:textId="77777777" w:rsidR="004511E1" w:rsidRPr="00B93888" w:rsidRDefault="004511E1" w:rsidP="004511E1">
      <w:pPr>
        <w:spacing w:after="0" w:line="240" w:lineRule="auto"/>
        <w:ind w:left="709" w:right="709"/>
        <w:jc w:val="both"/>
        <w:rPr>
          <w:rFonts w:ascii="Verdana" w:hAnsi="Verdana"/>
          <w:iCs/>
          <w:sz w:val="20"/>
          <w:szCs w:val="20"/>
        </w:rPr>
      </w:pPr>
    </w:p>
    <w:p w14:paraId="0E97CCB1" w14:textId="77777777" w:rsidR="004511E1" w:rsidRDefault="004511E1" w:rsidP="004511E1">
      <w:pPr>
        <w:spacing w:after="0" w:line="240" w:lineRule="auto"/>
        <w:ind w:left="709" w:right="709"/>
        <w:jc w:val="both"/>
        <w:rPr>
          <w:rFonts w:ascii="Verdana" w:eastAsia="Calibri" w:hAnsi="Verdana" w:cs="Arial"/>
          <w:color w:val="000000"/>
          <w:lang w:val="es-ES" w:eastAsia="es-ES_tradnl"/>
        </w:rPr>
      </w:pPr>
      <w:r w:rsidRPr="00B93888">
        <w:rPr>
          <w:rFonts w:ascii="Verdana" w:hAnsi="Verdana"/>
          <w:iCs/>
          <w:sz w:val="20"/>
          <w:szCs w:val="20"/>
        </w:rPr>
        <w:t>PARÁGRAFO. Respecto de los incentivos contractuales para los emprendimientos y empresas de personas con discapacidad, las certificaciones de que trata el presente artículo deben expedirse bajo la gravedad de juramento con una fecha de máxima treinta (30) días calendario anteriores a la prevista para el cierre del procedimiento de selección.</w:t>
      </w:r>
    </w:p>
    <w:p w14:paraId="70945985" w14:textId="77777777" w:rsidR="004511E1" w:rsidRDefault="004511E1" w:rsidP="004511E1">
      <w:pPr>
        <w:spacing w:after="120" w:line="276" w:lineRule="auto"/>
        <w:ind w:firstLine="709"/>
        <w:jc w:val="both"/>
        <w:rPr>
          <w:rFonts w:ascii="Verdana" w:eastAsia="Calibri" w:hAnsi="Verdana" w:cs="Arial"/>
          <w:color w:val="000000"/>
          <w:lang w:val="es-ES" w:eastAsia="es-ES_tradnl"/>
        </w:rPr>
      </w:pPr>
    </w:p>
    <w:p w14:paraId="063B3E81" w14:textId="77777777" w:rsidR="004511E1" w:rsidRPr="007149A1" w:rsidRDefault="004511E1" w:rsidP="004511E1">
      <w:pPr>
        <w:spacing w:after="120" w:line="276" w:lineRule="auto"/>
        <w:ind w:firstLine="709"/>
        <w:jc w:val="both"/>
        <w:rPr>
          <w:rFonts w:ascii="Verdana" w:eastAsia="Calibri" w:hAnsi="Verdana" w:cs="Arial"/>
          <w:color w:val="000000"/>
          <w:lang w:val="es-ES" w:eastAsia="es-ES_tradnl"/>
        </w:rPr>
      </w:pPr>
      <w:r w:rsidRPr="007149A1">
        <w:rPr>
          <w:rFonts w:ascii="Verdana" w:eastAsia="Calibri" w:hAnsi="Verdana" w:cs="Arial"/>
          <w:color w:val="000000"/>
          <w:lang w:val="es-ES" w:eastAsia="es-ES_tradnl"/>
        </w:rPr>
        <w:t xml:space="preserve">De acuerdo con lo establecido en este artículo, para efectos de la aplicación de </w:t>
      </w:r>
      <w:r>
        <w:rPr>
          <w:rFonts w:ascii="Verdana" w:eastAsia="Calibri" w:hAnsi="Verdana" w:cs="Arial"/>
          <w:color w:val="000000"/>
          <w:lang w:val="es-ES" w:eastAsia="es-ES_tradnl"/>
        </w:rPr>
        <w:t>estas medidas afirmativas</w:t>
      </w:r>
      <w:r w:rsidRPr="007149A1">
        <w:rPr>
          <w:rFonts w:ascii="Verdana" w:eastAsia="Calibri" w:hAnsi="Verdana" w:cs="Arial"/>
          <w:color w:val="000000"/>
          <w:lang w:val="es-ES" w:eastAsia="es-ES_tradnl"/>
        </w:rPr>
        <w:t xml:space="preserve">, son considerados emprendimientos y empresas de </w:t>
      </w:r>
      <w:r>
        <w:rPr>
          <w:rFonts w:ascii="Verdana" w:eastAsia="Calibri" w:hAnsi="Verdana" w:cs="Arial"/>
          <w:color w:val="000000"/>
          <w:lang w:val="es-ES" w:eastAsia="es-ES_tradnl"/>
        </w:rPr>
        <w:t>personas con discapacidad</w:t>
      </w:r>
      <w:r w:rsidRPr="007149A1">
        <w:rPr>
          <w:rFonts w:ascii="Verdana" w:eastAsia="Calibri" w:hAnsi="Verdana" w:cs="Arial"/>
          <w:color w:val="000000"/>
          <w:lang w:val="es-ES" w:eastAsia="es-ES_tradnl"/>
        </w:rPr>
        <w:t xml:space="preserve"> aquellas personas jurídicas o naturales que cumplan con alguno de los cuatro supuestos de hecho previstos en la norma citada y acrediten estos supuestos con los documentos previstos para ello. </w:t>
      </w:r>
    </w:p>
    <w:p w14:paraId="29D97FA8" w14:textId="77777777" w:rsidR="004511E1" w:rsidRDefault="004511E1" w:rsidP="004511E1">
      <w:pPr>
        <w:spacing w:after="120" w:line="276" w:lineRule="auto"/>
        <w:ind w:firstLine="709"/>
        <w:jc w:val="both"/>
        <w:rPr>
          <w:rFonts w:ascii="Verdana" w:eastAsia="Calibri" w:hAnsi="Verdana" w:cs="Arial"/>
          <w:color w:val="000000"/>
          <w:lang w:val="es-ES" w:eastAsia="es-ES"/>
        </w:rPr>
      </w:pPr>
      <w:r w:rsidRPr="007149A1">
        <w:rPr>
          <w:rFonts w:ascii="Verdana" w:eastAsia="Calibri" w:hAnsi="Verdana" w:cs="Arial"/>
          <w:color w:val="000000"/>
          <w:lang w:val="es-ES" w:eastAsia="es-ES"/>
        </w:rPr>
        <w:t xml:space="preserve">De la revisión de todos los numerales </w:t>
      </w:r>
      <w:r w:rsidRPr="009C5FE6">
        <w:rPr>
          <w:rFonts w:ascii="Verdana" w:eastAsia="Calibri" w:hAnsi="Verdana" w:cs="Arial"/>
          <w:color w:val="000000"/>
          <w:lang w:val="es-ES" w:eastAsia="es-ES"/>
        </w:rPr>
        <w:t xml:space="preserve">del artículo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9C5FE6">
        <w:rPr>
          <w:rFonts w:ascii="Verdana" w:eastAsia="Calibri" w:hAnsi="Verdana" w:cs="Arial"/>
          <w:color w:val="000000"/>
          <w:lang w:val="es-ES" w:eastAsia="es-ES"/>
        </w:rPr>
        <w:t>es posible advertir que para cada uno de estos fueron expresamente establecidos los documentos que sirven como medio para su acreditación. De este modo</w:t>
      </w:r>
      <w:r>
        <w:rPr>
          <w:rFonts w:ascii="Verdana" w:eastAsia="Calibri" w:hAnsi="Verdana" w:cs="Arial"/>
          <w:color w:val="000000"/>
          <w:lang w:val="es-ES" w:eastAsia="es-ES"/>
        </w:rPr>
        <w:t>,</w:t>
      </w:r>
      <w:r w:rsidRPr="009C5FE6">
        <w:rPr>
          <w:rFonts w:ascii="Verdana" w:eastAsia="Calibri" w:hAnsi="Verdana" w:cs="Arial"/>
          <w:color w:val="000000"/>
          <w:lang w:val="es-ES" w:eastAsia="es-ES"/>
        </w:rPr>
        <w:t xml:space="preserve"> dichos </w:t>
      </w:r>
      <w:r w:rsidRPr="009C5FE6">
        <w:rPr>
          <w:rFonts w:ascii="Verdana" w:eastAsia="Calibri" w:hAnsi="Verdana" w:cs="Arial"/>
          <w:lang w:val="es-ES" w:eastAsia="es-ES"/>
        </w:rPr>
        <w:t xml:space="preserve">documentos constituyen una tarifa legal probatoria para demostrar que los proponentes son emprendimientos o empresas de </w:t>
      </w:r>
      <w:r>
        <w:rPr>
          <w:rFonts w:ascii="Verdana" w:eastAsia="Calibri" w:hAnsi="Verdana" w:cs="Arial"/>
          <w:lang w:val="es-ES" w:eastAsia="es-ES"/>
        </w:rPr>
        <w:t>personas con discapacidad</w:t>
      </w:r>
      <w:r w:rsidRPr="009C5FE6">
        <w:rPr>
          <w:rFonts w:ascii="Verdana" w:eastAsia="Calibri" w:hAnsi="Verdana" w:cs="Arial"/>
          <w:lang w:val="es-ES" w:eastAsia="es-ES"/>
        </w:rPr>
        <w:t xml:space="preserve"> </w:t>
      </w:r>
      <w:r w:rsidRPr="009C5FE6">
        <w:rPr>
          <w:rFonts w:ascii="Verdana" w:eastAsia="Calibri" w:hAnsi="Verdana" w:cs="Arial"/>
          <w:lang w:val="es-ES" w:eastAsia="es-ES"/>
        </w:rPr>
        <w:lastRenderedPageBreak/>
        <w:t>que, por lo tanto, tienen derecho a la aplicación de l</w:t>
      </w:r>
      <w:r>
        <w:rPr>
          <w:rFonts w:ascii="Verdana" w:eastAsia="Calibri" w:hAnsi="Verdana" w:cs="Arial"/>
          <w:lang w:val="es-ES" w:eastAsia="es-ES"/>
        </w:rPr>
        <w:t>as medidas afirmativas</w:t>
      </w:r>
      <w:r w:rsidRPr="009C5FE6">
        <w:rPr>
          <w:rFonts w:ascii="Verdana" w:eastAsia="Calibri" w:hAnsi="Verdana" w:cs="Arial"/>
          <w:lang w:val="es-ES" w:eastAsia="es-ES"/>
        </w:rPr>
        <w:t xml:space="preserve"> reglamentados </w:t>
      </w:r>
      <w:r>
        <w:rPr>
          <w:rFonts w:ascii="Verdana" w:eastAsia="Calibri" w:hAnsi="Verdana" w:cs="Arial"/>
          <w:lang w:val="es-ES" w:eastAsia="es-ES"/>
        </w:rPr>
        <w:t xml:space="preserve">en el decreto 287 de 2026. </w:t>
      </w:r>
    </w:p>
    <w:p w14:paraId="18030AA1" w14:textId="77777777" w:rsidR="004511E1" w:rsidRPr="002C0A41" w:rsidRDefault="004511E1" w:rsidP="004511E1">
      <w:pPr>
        <w:spacing w:after="120" w:line="276" w:lineRule="auto"/>
        <w:ind w:firstLine="709"/>
        <w:jc w:val="both"/>
        <w:rPr>
          <w:rFonts w:ascii="Verdana" w:eastAsia="Calibri" w:hAnsi="Verdana" w:cs="Arial"/>
          <w:szCs w:val="24"/>
          <w:lang w:val="es-ES_tradnl" w:eastAsia="es-ES_tradnl"/>
        </w:rPr>
      </w:pPr>
      <w:r w:rsidRPr="009C5FE6">
        <w:rPr>
          <w:rFonts w:ascii="Verdana" w:eastAsia="Calibri" w:hAnsi="Verdana" w:cs="Arial"/>
          <w:szCs w:val="24"/>
          <w:lang w:val="es-ES_tradnl" w:eastAsia="es-ES_tradnl"/>
        </w:rPr>
        <w:t>Conforme con lo anterior, se puede concluir que</w:t>
      </w:r>
      <w:r w:rsidRPr="007149A1">
        <w:rPr>
          <w:rFonts w:ascii="Verdana" w:eastAsia="Calibri" w:hAnsi="Verdana" w:cs="Arial"/>
          <w:szCs w:val="24"/>
          <w:lang w:val="es-ES_tradnl" w:eastAsia="es-ES_tradnl"/>
        </w:rPr>
        <w:t xml:space="preserve">, el </w:t>
      </w:r>
      <w:r w:rsidRPr="007149A1">
        <w:rPr>
          <w:rFonts w:ascii="Verdana" w:eastAsia="Calibri" w:hAnsi="Verdana" w:cs="Arial"/>
          <w:bCs/>
          <w:szCs w:val="24"/>
          <w:lang w:val="es-ES_tradnl" w:eastAsia="es-ES_tradnl"/>
        </w:rPr>
        <w:t xml:space="preserve">artículo </w:t>
      </w:r>
      <w:r>
        <w:rPr>
          <w:rFonts w:ascii="Verdana" w:eastAsia="Calibri" w:hAnsi="Verdana" w:cs="Arial"/>
          <w:bCs/>
          <w:szCs w:val="24"/>
          <w:lang w:val="es-ES_tradnl" w:eastAsia="es-ES_tradnl"/>
        </w:rPr>
        <w:t>en comento</w:t>
      </w:r>
      <w:r w:rsidRPr="007149A1">
        <w:rPr>
          <w:rFonts w:ascii="Verdana" w:eastAsia="Calibri" w:hAnsi="Verdana" w:cs="Arial"/>
          <w:bCs/>
          <w:szCs w:val="24"/>
          <w:lang w:val="es-ES_tradnl" w:eastAsia="es-ES_tradnl"/>
        </w:rPr>
        <w:t xml:space="preserve"> </w:t>
      </w:r>
      <w:r w:rsidRPr="007149A1">
        <w:rPr>
          <w:rFonts w:ascii="Verdana" w:eastAsia="Calibri" w:hAnsi="Verdana" w:cs="Arial"/>
          <w:szCs w:val="24"/>
          <w:lang w:val="es-ES_tradnl" w:eastAsia="es-ES_tradnl"/>
        </w:rPr>
        <w:t xml:space="preserve">reglamentó </w:t>
      </w:r>
      <w:proofErr w:type="gramStart"/>
      <w:r w:rsidRPr="007149A1">
        <w:rPr>
          <w:rFonts w:ascii="Verdana" w:eastAsia="Calibri" w:hAnsi="Verdana" w:cs="Arial"/>
          <w:i/>
          <w:iCs/>
          <w:szCs w:val="24"/>
          <w:lang w:val="es-ES_tradnl" w:eastAsia="es-ES_tradnl"/>
        </w:rPr>
        <w:t>in extenso</w:t>
      </w:r>
      <w:proofErr w:type="gramEnd"/>
      <w:r w:rsidRPr="007149A1">
        <w:rPr>
          <w:rFonts w:ascii="Verdana" w:eastAsia="Calibri" w:hAnsi="Verdana" w:cs="Arial"/>
          <w:i/>
          <w:iCs/>
          <w:szCs w:val="24"/>
          <w:lang w:val="es-ES_tradnl" w:eastAsia="es-ES_tradnl"/>
        </w:rPr>
        <w:t xml:space="preserve"> </w:t>
      </w:r>
      <w:r w:rsidRPr="007149A1">
        <w:rPr>
          <w:rFonts w:ascii="Verdana" w:eastAsia="Calibri" w:hAnsi="Verdana" w:cs="Arial"/>
          <w:szCs w:val="24"/>
          <w:lang w:val="es-ES_tradnl" w:eastAsia="es-ES_tradnl"/>
        </w:rPr>
        <w:t xml:space="preserve">la forma de acreditar las circunstancias, los medios de prueba requeridos en cada evento y las autoridades que pueden emitir estos documentos, por lo que las entidades contratantes deberán acudir a su contenido detallado para la aplicación de cada </w:t>
      </w:r>
      <w:r>
        <w:rPr>
          <w:rFonts w:ascii="Verdana" w:eastAsia="Calibri" w:hAnsi="Verdana" w:cs="Arial"/>
          <w:szCs w:val="24"/>
          <w:lang w:val="es-ES_tradnl" w:eastAsia="es-ES_tradnl"/>
        </w:rPr>
        <w:t>medida afirmativa</w:t>
      </w:r>
      <w:r w:rsidRPr="007149A1">
        <w:rPr>
          <w:rFonts w:ascii="Verdana" w:eastAsia="Calibri" w:hAnsi="Verdana" w:cs="Arial"/>
          <w:szCs w:val="24"/>
          <w:lang w:val="es-ES_tradnl" w:eastAsia="es-ES_tradnl"/>
        </w:rPr>
        <w:t xml:space="preserve">. </w:t>
      </w:r>
      <w:r>
        <w:rPr>
          <w:rFonts w:ascii="Verdana" w:eastAsia="Calibri" w:hAnsi="Verdana" w:cs="Arial"/>
          <w:szCs w:val="24"/>
          <w:lang w:val="es-ES_tradnl" w:eastAsia="es-ES_tradnl"/>
        </w:rPr>
        <w:t xml:space="preserve">En efecto, </w:t>
      </w:r>
      <w:r w:rsidRPr="002C0A41">
        <w:rPr>
          <w:rFonts w:ascii="Verdana" w:eastAsia="Calibri" w:hAnsi="Verdana" w:cs="Arial"/>
          <w:szCs w:val="24"/>
          <w:lang w:val="es-ES_tradnl" w:eastAsia="es-ES_tradnl"/>
        </w:rPr>
        <w:t>los numerales 1 y 2 regulan los supuestos aplicables a las personas naturales con discapacidad. El numeral 1 se refiere a aquellas que ejerzan una profesión liberal, condición que se acredita mediante copia del documento de identidad (cédula de ciudadanía, cédula de extranjería o pasaporte), el certificado de discapacidad expedido conforme a la normativa del Ministerio de Salud y Protección Social y el correspondiente título profesional. Por su parte, el numeral 2 contempla a las personas naturales con discapacidad que hayan desarrollado actividades comerciales a través de un establecimiento de comercio durante, por lo menos, un (1) año anterior a la fecha de cierre del proceso de selección. Para acreditar esta condición se exige copia del documento de identidad, el certificado de discapacidad expedido conforme a la normativa del Ministerio de Salud y Protección Social y copia del registro mercantil.</w:t>
      </w:r>
    </w:p>
    <w:p w14:paraId="47BB779D" w14:textId="77777777" w:rsidR="004511E1" w:rsidRPr="002C0A41" w:rsidRDefault="004511E1" w:rsidP="004511E1">
      <w:pPr>
        <w:spacing w:after="120" w:line="276" w:lineRule="auto"/>
        <w:ind w:firstLine="709"/>
        <w:jc w:val="both"/>
        <w:rPr>
          <w:rFonts w:ascii="Verdana" w:eastAsia="Calibri" w:hAnsi="Verdana" w:cs="Arial"/>
          <w:szCs w:val="24"/>
          <w:lang w:val="es-ES_tradnl" w:eastAsia="es-ES_tradnl"/>
        </w:rPr>
      </w:pPr>
      <w:r w:rsidRPr="002C0A41">
        <w:rPr>
          <w:rFonts w:ascii="Verdana" w:eastAsia="Calibri" w:hAnsi="Verdana" w:cs="Arial"/>
          <w:szCs w:val="24"/>
          <w:lang w:val="es-ES_tradnl" w:eastAsia="es-ES_tradnl"/>
        </w:rPr>
        <w:t xml:space="preserve">En segundo lugar, los numerales 3 y 4 regulan los supuestos aplicables a las personas jurídicas. El numeral 3 comprende aquellas en las cuales más del cincuenta por ciento (50 %) de las acciones, partes de interés o cuotas de participación pertenezcan a personas con discapacidad y cuyos derechos de propiedad hayan </w:t>
      </w:r>
      <w:r>
        <w:rPr>
          <w:rFonts w:ascii="Verdana" w:eastAsia="Calibri" w:hAnsi="Verdana" w:cs="Arial"/>
          <w:szCs w:val="24"/>
          <w:lang w:val="es-ES_tradnl" w:eastAsia="es-ES_tradnl"/>
        </w:rPr>
        <w:t>pertenecido a estas</w:t>
      </w:r>
      <w:r w:rsidRPr="002C0A41">
        <w:rPr>
          <w:rFonts w:ascii="Verdana" w:eastAsia="Calibri" w:hAnsi="Verdana" w:cs="Arial"/>
          <w:szCs w:val="24"/>
          <w:lang w:val="es-ES_tradnl" w:eastAsia="es-ES_tradnl"/>
        </w:rPr>
        <w:t xml:space="preserve"> durante, al menos, el último año anterior a la fecha de cierre del proceso de selección. Esta circunstancia debe acreditarse mediante certificación expedida por el representante legal y el revisor fiscal, cuando exista, copia de los documentos de identidad de las personas con discapacidad, el correspondiente certificado de discapacidad expedido conforme a la normativa del Ministerio de Salud y Protección Social y copia del certificado de existencia y representación legal.</w:t>
      </w:r>
    </w:p>
    <w:p w14:paraId="7DE8938E" w14:textId="77777777" w:rsidR="004511E1" w:rsidRPr="00EB0A54" w:rsidRDefault="004511E1" w:rsidP="004511E1">
      <w:pPr>
        <w:spacing w:after="120" w:line="276" w:lineRule="auto"/>
        <w:ind w:firstLine="709"/>
        <w:jc w:val="both"/>
        <w:rPr>
          <w:rFonts w:ascii="Verdana" w:eastAsia="Calibri" w:hAnsi="Verdana" w:cs="Arial"/>
          <w:color w:val="000000"/>
          <w:lang w:val="es-ES" w:eastAsia="es-ES"/>
        </w:rPr>
      </w:pPr>
      <w:r w:rsidRPr="002C0A41">
        <w:rPr>
          <w:rFonts w:ascii="Verdana" w:eastAsia="Calibri" w:hAnsi="Verdana" w:cs="Arial"/>
          <w:szCs w:val="24"/>
          <w:lang w:val="es-ES_tradnl" w:eastAsia="es-ES_tradnl"/>
        </w:rPr>
        <w:t xml:space="preserve">Por su parte, el numeral 4 comprende a las personas jurídicas que tengan vinculada laboralmente, por lo menos, una persona con discapacidad en un cargo del nivel directivo durante el último año anterior a la fecha de cierre del proceso de selección. Para acreditar esta condición deberán aportar certificación expedida por el representante legal y el revisor fiscal, cuando exista, copia de </w:t>
      </w:r>
      <w:r w:rsidRPr="002C0A41">
        <w:rPr>
          <w:rFonts w:ascii="Verdana" w:eastAsia="Calibri" w:hAnsi="Verdana" w:cs="Arial"/>
          <w:szCs w:val="24"/>
          <w:lang w:val="es-ES_tradnl" w:eastAsia="es-ES_tradnl"/>
        </w:rPr>
        <w:lastRenderedPageBreak/>
        <w:t>los documentos de identidad correspondientes, copia de los contratos de trabajo o certificación laboral en la que consten las funciones desempeñadas, el certificado de aportes al sistema de seguridad social y el correspondiente certificado de discapacidad expedido conforme a la normativa del Ministerio de Salud y Protección Social.</w:t>
      </w:r>
    </w:p>
    <w:p w14:paraId="5E71A067" w14:textId="77777777" w:rsidR="004511E1" w:rsidRPr="007149A1" w:rsidRDefault="004511E1" w:rsidP="004511E1">
      <w:pPr>
        <w:spacing w:after="120" w:line="276" w:lineRule="auto"/>
        <w:ind w:firstLine="708"/>
        <w:jc w:val="both"/>
        <w:rPr>
          <w:rFonts w:ascii="Verdana" w:eastAsia="Arial" w:hAnsi="Verdana" w:cs="Arial"/>
        </w:rPr>
      </w:pPr>
      <w:r w:rsidRPr="007149A1">
        <w:rPr>
          <w:rFonts w:ascii="Verdana" w:eastAsia="Arial" w:hAnsi="Verdana" w:cs="Arial"/>
        </w:rPr>
        <w:t>Sin perjuicio de lo anterior,</w:t>
      </w:r>
      <w:r w:rsidRPr="007149A1">
        <w:rPr>
          <w:rFonts w:ascii="Verdana" w:eastAsia="Arial" w:hAnsi="Verdana" w:cs="Arial"/>
          <w:spacing w:val="1"/>
        </w:rPr>
        <w:t xml:space="preserve"> </w:t>
      </w:r>
      <w:r w:rsidRPr="007149A1">
        <w:rPr>
          <w:rFonts w:ascii="Verdana" w:eastAsia="Arial" w:hAnsi="Verdana" w:cs="Arial"/>
        </w:rPr>
        <w:t>la sola presentación</w:t>
      </w:r>
      <w:r w:rsidRPr="007149A1">
        <w:rPr>
          <w:rFonts w:ascii="Verdana" w:eastAsia="Arial" w:hAnsi="Verdana" w:cs="Arial"/>
          <w:spacing w:val="1"/>
        </w:rPr>
        <w:t xml:space="preserve"> </w:t>
      </w:r>
      <w:r w:rsidRPr="007149A1">
        <w:rPr>
          <w:rFonts w:ascii="Verdana" w:eastAsia="Arial" w:hAnsi="Verdana" w:cs="Arial"/>
        </w:rPr>
        <w:t>de l</w:t>
      </w:r>
      <w:r>
        <w:rPr>
          <w:rFonts w:ascii="Verdana" w:eastAsia="Arial" w:hAnsi="Verdana" w:cs="Arial"/>
        </w:rPr>
        <w:t xml:space="preserve">as certificaciones y documentos señalados </w:t>
      </w:r>
      <w:r w:rsidRPr="007149A1">
        <w:rPr>
          <w:rFonts w:ascii="Verdana" w:eastAsia="Arial" w:hAnsi="Verdana" w:cs="Arial"/>
        </w:rPr>
        <w:t>no confiere automáticamente el acceso a l</w:t>
      </w:r>
      <w:r>
        <w:rPr>
          <w:rFonts w:ascii="Verdana" w:eastAsia="Arial" w:hAnsi="Verdana" w:cs="Arial"/>
        </w:rPr>
        <w:t>as medidas afirmativas</w:t>
      </w:r>
      <w:r w:rsidRPr="007149A1">
        <w:rPr>
          <w:rFonts w:ascii="Verdana" w:eastAsia="Arial" w:hAnsi="Verdana" w:cs="Arial"/>
        </w:rPr>
        <w:t>. Esto por cuanto es deber</w:t>
      </w:r>
      <w:r w:rsidRPr="007149A1">
        <w:rPr>
          <w:rFonts w:ascii="Verdana" w:eastAsia="Arial" w:hAnsi="Verdana" w:cs="Arial"/>
          <w:spacing w:val="-7"/>
        </w:rPr>
        <w:t xml:space="preserve"> </w:t>
      </w:r>
      <w:r w:rsidRPr="007149A1">
        <w:rPr>
          <w:rFonts w:ascii="Verdana" w:eastAsia="Arial" w:hAnsi="Verdana" w:cs="Arial"/>
        </w:rPr>
        <w:t>de</w:t>
      </w:r>
      <w:r w:rsidRPr="007149A1">
        <w:rPr>
          <w:rFonts w:ascii="Verdana" w:eastAsia="Arial" w:hAnsi="Verdana" w:cs="Arial"/>
          <w:spacing w:val="-7"/>
        </w:rPr>
        <w:t xml:space="preserve"> </w:t>
      </w:r>
      <w:r w:rsidRPr="007149A1">
        <w:rPr>
          <w:rFonts w:ascii="Verdana" w:eastAsia="Arial" w:hAnsi="Verdana" w:cs="Arial"/>
        </w:rPr>
        <w:t>la</w:t>
      </w:r>
      <w:r w:rsidRPr="007149A1">
        <w:rPr>
          <w:rFonts w:ascii="Verdana" w:eastAsia="Arial" w:hAnsi="Verdana" w:cs="Arial"/>
          <w:spacing w:val="-7"/>
        </w:rPr>
        <w:t xml:space="preserve"> </w:t>
      </w:r>
      <w:r w:rsidRPr="007149A1">
        <w:rPr>
          <w:rFonts w:ascii="Verdana" w:eastAsia="Arial" w:hAnsi="Verdana" w:cs="Arial"/>
        </w:rPr>
        <w:t>entidad</w:t>
      </w:r>
      <w:r w:rsidRPr="007149A1">
        <w:rPr>
          <w:rFonts w:ascii="Verdana" w:eastAsia="Arial" w:hAnsi="Verdana" w:cs="Arial"/>
          <w:spacing w:val="-7"/>
        </w:rPr>
        <w:t xml:space="preserve"> </w:t>
      </w:r>
      <w:r w:rsidRPr="007149A1">
        <w:rPr>
          <w:rFonts w:ascii="Verdana" w:eastAsia="Arial" w:hAnsi="Verdana" w:cs="Arial"/>
        </w:rPr>
        <w:t>verificar</w:t>
      </w:r>
      <w:r w:rsidRPr="007149A1">
        <w:rPr>
          <w:rFonts w:ascii="Verdana" w:eastAsia="Arial" w:hAnsi="Verdana" w:cs="Arial"/>
          <w:spacing w:val="-7"/>
        </w:rPr>
        <w:t xml:space="preserve"> </w:t>
      </w:r>
      <w:r w:rsidRPr="007149A1">
        <w:rPr>
          <w:rFonts w:ascii="Verdana" w:eastAsia="Arial" w:hAnsi="Verdana" w:cs="Arial"/>
        </w:rPr>
        <w:t>que</w:t>
      </w:r>
      <w:r w:rsidRPr="007149A1">
        <w:rPr>
          <w:rFonts w:ascii="Verdana" w:eastAsia="Arial" w:hAnsi="Verdana" w:cs="Arial"/>
          <w:spacing w:val="-7"/>
        </w:rPr>
        <w:t xml:space="preserve"> </w:t>
      </w:r>
      <w:r w:rsidRPr="007149A1">
        <w:rPr>
          <w:rFonts w:ascii="Verdana" w:eastAsia="Arial" w:hAnsi="Verdana" w:cs="Arial"/>
        </w:rPr>
        <w:t>los</w:t>
      </w:r>
      <w:r w:rsidRPr="007149A1">
        <w:rPr>
          <w:rFonts w:ascii="Verdana" w:eastAsia="Arial" w:hAnsi="Verdana" w:cs="Arial"/>
          <w:spacing w:val="-7"/>
        </w:rPr>
        <w:t xml:space="preserve"> </w:t>
      </w:r>
      <w:r w:rsidRPr="007149A1">
        <w:rPr>
          <w:rFonts w:ascii="Verdana" w:eastAsia="Arial" w:hAnsi="Verdana" w:cs="Arial"/>
        </w:rPr>
        <w:t>documentos</w:t>
      </w:r>
      <w:r w:rsidRPr="007149A1">
        <w:rPr>
          <w:rFonts w:ascii="Verdana" w:eastAsia="Arial" w:hAnsi="Verdana" w:cs="Arial"/>
          <w:spacing w:val="-7"/>
        </w:rPr>
        <w:t xml:space="preserve"> </w:t>
      </w:r>
      <w:r w:rsidRPr="007149A1">
        <w:rPr>
          <w:rFonts w:ascii="Verdana" w:eastAsia="Arial" w:hAnsi="Verdana" w:cs="Arial"/>
        </w:rPr>
        <w:t>presentados</w:t>
      </w:r>
      <w:r w:rsidRPr="007149A1">
        <w:rPr>
          <w:rFonts w:ascii="Verdana" w:eastAsia="Arial" w:hAnsi="Verdana" w:cs="Arial"/>
          <w:spacing w:val="-7"/>
        </w:rPr>
        <w:t xml:space="preserve"> </w:t>
      </w:r>
      <w:r w:rsidRPr="007149A1">
        <w:rPr>
          <w:rFonts w:ascii="Verdana" w:eastAsia="Arial" w:hAnsi="Verdana" w:cs="Arial"/>
        </w:rPr>
        <w:t>acrediten</w:t>
      </w:r>
      <w:r w:rsidRPr="007149A1">
        <w:rPr>
          <w:rFonts w:ascii="Verdana" w:eastAsia="Arial" w:hAnsi="Verdana" w:cs="Arial"/>
          <w:spacing w:val="-7"/>
        </w:rPr>
        <w:t xml:space="preserve"> </w:t>
      </w:r>
      <w:r w:rsidRPr="007149A1">
        <w:rPr>
          <w:rFonts w:ascii="Verdana" w:eastAsia="Arial" w:hAnsi="Verdana" w:cs="Arial"/>
        </w:rPr>
        <w:t>las</w:t>
      </w:r>
      <w:r w:rsidRPr="007149A1">
        <w:rPr>
          <w:rFonts w:ascii="Verdana" w:eastAsia="Arial" w:hAnsi="Verdana" w:cs="Arial"/>
          <w:spacing w:val="-7"/>
        </w:rPr>
        <w:t xml:space="preserve"> </w:t>
      </w:r>
      <w:r w:rsidRPr="007149A1">
        <w:rPr>
          <w:rFonts w:ascii="Verdana" w:eastAsia="Arial" w:hAnsi="Verdana" w:cs="Arial"/>
        </w:rPr>
        <w:t>condiciones</w:t>
      </w:r>
      <w:r w:rsidRPr="007149A1">
        <w:rPr>
          <w:rFonts w:ascii="Verdana" w:eastAsia="Arial" w:hAnsi="Verdana" w:cs="Arial"/>
          <w:spacing w:val="-7"/>
        </w:rPr>
        <w:t xml:space="preserve"> </w:t>
      </w:r>
      <w:r w:rsidRPr="007149A1">
        <w:rPr>
          <w:rFonts w:ascii="Verdana" w:eastAsia="Arial" w:hAnsi="Verdana" w:cs="Arial"/>
        </w:rPr>
        <w:t>descritas en</w:t>
      </w:r>
      <w:r>
        <w:rPr>
          <w:rFonts w:ascii="Verdana" w:eastAsia="Arial" w:hAnsi="Verdana" w:cs="Arial"/>
        </w:rPr>
        <w:t xml:space="preserve"> cada uno de los numerales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artículo</w:t>
      </w:r>
      <w:r w:rsidRPr="007149A1">
        <w:rPr>
          <w:rFonts w:ascii="Verdana" w:eastAsia="Arial" w:hAnsi="Verdana" w:cs="Arial"/>
          <w:spacing w:val="-2"/>
        </w:rPr>
        <w:t xml:space="preserve">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Decreto</w:t>
      </w:r>
      <w:r w:rsidRPr="007149A1">
        <w:rPr>
          <w:rFonts w:ascii="Verdana" w:eastAsia="Arial" w:hAnsi="Verdana" w:cs="Arial"/>
          <w:spacing w:val="-3"/>
        </w:rPr>
        <w:t xml:space="preserve">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p>
    <w:p w14:paraId="482365F6" w14:textId="77777777" w:rsidR="004511E1" w:rsidRDefault="004511E1" w:rsidP="004511E1">
      <w:pPr>
        <w:spacing w:after="120" w:line="276" w:lineRule="auto"/>
        <w:ind w:firstLine="708"/>
        <w:jc w:val="both"/>
        <w:rPr>
          <w:rFonts w:ascii="Verdana" w:eastAsia="Batang" w:hAnsi="Verdana" w:cs="Arial"/>
        </w:rPr>
      </w:pPr>
      <w:r w:rsidRPr="007149A1">
        <w:rPr>
          <w:rFonts w:ascii="Verdana" w:eastAsia="Arial" w:hAnsi="Verdana" w:cs="Arial"/>
        </w:rPr>
        <w:t>Concretamente, para responder el problema jurídico planteado, debe indicarse que</w:t>
      </w:r>
      <w:r>
        <w:rPr>
          <w:rFonts w:ascii="Verdana" w:eastAsia="Arial" w:hAnsi="Verdana" w:cs="Arial"/>
        </w:rPr>
        <w:t xml:space="preserve"> el parágrafo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artículo</w:t>
      </w:r>
      <w:r w:rsidRPr="007149A1">
        <w:rPr>
          <w:rFonts w:ascii="Verdana" w:eastAsia="Arial" w:hAnsi="Verdana" w:cs="Arial"/>
          <w:spacing w:val="-2"/>
        </w:rPr>
        <w:t xml:space="preserve">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Decreto</w:t>
      </w:r>
      <w:r w:rsidRPr="007149A1">
        <w:rPr>
          <w:rFonts w:ascii="Verdana" w:eastAsia="Arial" w:hAnsi="Verdana" w:cs="Arial"/>
          <w:spacing w:val="-3"/>
        </w:rPr>
        <w:t xml:space="preserve">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señala que,</w:t>
      </w:r>
      <w:r w:rsidRPr="00A21BBF">
        <w:t xml:space="preserve"> </w:t>
      </w:r>
      <w:r>
        <w:rPr>
          <w:rFonts w:ascii="Verdana" w:eastAsia="Arial" w:hAnsi="Verdana" w:cs="Arial"/>
        </w:rPr>
        <w:t>r</w:t>
      </w:r>
      <w:r w:rsidRPr="00A21BBF">
        <w:rPr>
          <w:rFonts w:ascii="Verdana" w:eastAsia="Arial" w:hAnsi="Verdana" w:cs="Arial"/>
        </w:rPr>
        <w:t>especto de los incentivos contractuales para los emprendimientos y empresas de personas con discapacidad</w:t>
      </w:r>
      <w:r>
        <w:rPr>
          <w:rFonts w:ascii="Verdana" w:eastAsia="Arial" w:hAnsi="Verdana" w:cs="Arial"/>
        </w:rPr>
        <w:t>,</w:t>
      </w:r>
      <w:r w:rsidRPr="0037573F">
        <w:rPr>
          <w:rFonts w:ascii="Verdana" w:eastAsia="Arial" w:hAnsi="Verdana" w:cs="Arial"/>
        </w:rPr>
        <w:t xml:space="preserve"> las certificaciones de que trata el presente artículo deben expedirse </w:t>
      </w:r>
      <w:r>
        <w:rPr>
          <w:rFonts w:ascii="Verdana" w:eastAsia="Arial" w:hAnsi="Verdana" w:cs="Arial"/>
        </w:rPr>
        <w:t>“</w:t>
      </w:r>
      <w:r w:rsidRPr="0037573F">
        <w:rPr>
          <w:rFonts w:ascii="Verdana" w:eastAsia="Arial" w:hAnsi="Verdana" w:cs="Arial"/>
        </w:rPr>
        <w:t>bajo la gravedad de juramento</w:t>
      </w:r>
      <w:r>
        <w:rPr>
          <w:rFonts w:ascii="Verdana" w:eastAsia="Arial" w:hAnsi="Verdana" w:cs="Arial"/>
        </w:rPr>
        <w:t>”</w:t>
      </w:r>
      <w:r w:rsidRPr="0037573F">
        <w:rPr>
          <w:rFonts w:ascii="Verdana" w:eastAsia="Arial" w:hAnsi="Verdana" w:cs="Arial"/>
        </w:rPr>
        <w:t>.</w:t>
      </w:r>
      <w:r>
        <w:rPr>
          <w:rFonts w:ascii="Verdana" w:eastAsia="Arial" w:hAnsi="Verdana" w:cs="Arial"/>
        </w:rPr>
        <w:t xml:space="preserve"> El alcance de esta expresión </w:t>
      </w:r>
      <w:r w:rsidRPr="00A31A19">
        <w:rPr>
          <w:rFonts w:ascii="Verdana" w:eastAsia="Arial" w:hAnsi="Verdana" w:cs="Arial"/>
        </w:rPr>
        <w:t xml:space="preserve">consiste en atribuir a </w:t>
      </w:r>
      <w:r>
        <w:rPr>
          <w:rFonts w:ascii="Verdana" w:eastAsia="Arial" w:hAnsi="Verdana" w:cs="Arial"/>
        </w:rPr>
        <w:t>las m</w:t>
      </w:r>
      <w:r w:rsidRPr="00A31A19">
        <w:rPr>
          <w:rFonts w:ascii="Verdana" w:eastAsia="Arial" w:hAnsi="Verdana" w:cs="Arial"/>
        </w:rPr>
        <w:t>anifestaciones contenidas en las certificaciones los efectos jurídicos propios del juramento, esto es, comprometer la responsabilidad de quien las suscribe respecto de la veracidad de la información suministrada</w:t>
      </w:r>
      <w:r w:rsidRPr="004B1F39">
        <w:rPr>
          <w:rFonts w:ascii="Verdana" w:eastAsia="Batang" w:hAnsi="Verdana" w:cs="Arial"/>
        </w:rPr>
        <w:t xml:space="preserve"> </w:t>
      </w:r>
      <w:r w:rsidRPr="00C24CA8">
        <w:rPr>
          <w:rFonts w:ascii="Verdana" w:eastAsia="Batang" w:hAnsi="Verdana" w:cs="Arial"/>
        </w:rPr>
        <w:t>sin necesidad de trámites adicionales</w:t>
      </w:r>
      <w:r>
        <w:rPr>
          <w:rFonts w:ascii="Verdana" w:eastAsia="Batang" w:hAnsi="Verdana" w:cs="Arial"/>
        </w:rPr>
        <w:t>.</w:t>
      </w:r>
    </w:p>
    <w:p w14:paraId="110B6058" w14:textId="77777777" w:rsidR="004511E1" w:rsidRDefault="004511E1" w:rsidP="004511E1">
      <w:pPr>
        <w:spacing w:after="120" w:line="276" w:lineRule="auto"/>
        <w:ind w:firstLine="708"/>
        <w:jc w:val="both"/>
        <w:rPr>
          <w:rFonts w:ascii="Verdana" w:eastAsia="Arial" w:hAnsi="Verdana" w:cs="Arial"/>
        </w:rPr>
      </w:pPr>
      <w:r w:rsidRPr="00A31A19">
        <w:rPr>
          <w:rFonts w:ascii="Verdana" w:eastAsia="Arial" w:hAnsi="Verdana" w:cs="Arial"/>
        </w:rPr>
        <w:t>En consecuencia, cuando el parágrafo dispone que las certificaciones deben expedirse bajo la gravedad de juramento, lo que exige es que las manifestaciones contenidas en ellas produzcan dicho efecto jurídico, sin que de ello se derive la necesidad de incorporar literalmente esa expresión en cada uno de los documentos</w:t>
      </w:r>
      <w:r>
        <w:rPr>
          <w:rFonts w:ascii="Verdana" w:eastAsia="Arial" w:hAnsi="Verdana" w:cs="Arial"/>
        </w:rPr>
        <w:t xml:space="preserve"> </w:t>
      </w:r>
      <w:r w:rsidRPr="00A31A19">
        <w:rPr>
          <w:rFonts w:ascii="Verdana" w:eastAsia="Arial" w:hAnsi="Verdana" w:cs="Arial"/>
        </w:rPr>
        <w:t>que soportan la acreditación</w:t>
      </w:r>
      <w:r>
        <w:rPr>
          <w:rFonts w:ascii="Verdana" w:eastAsia="Arial" w:hAnsi="Verdana" w:cs="Arial"/>
        </w:rPr>
        <w:t xml:space="preserve"> de dicha condición</w:t>
      </w:r>
      <w:r w:rsidRPr="00A31A19">
        <w:rPr>
          <w:rFonts w:ascii="Verdana" w:eastAsia="Arial" w:hAnsi="Verdana" w:cs="Arial"/>
        </w:rPr>
        <w:t>.</w:t>
      </w:r>
      <w:r>
        <w:rPr>
          <w:rFonts w:ascii="Verdana" w:eastAsia="Arial" w:hAnsi="Verdana" w:cs="Arial"/>
        </w:rPr>
        <w:t xml:space="preserve"> </w:t>
      </w:r>
    </w:p>
    <w:p w14:paraId="7C7BB880" w14:textId="77777777" w:rsidR="004511E1" w:rsidRDefault="004511E1" w:rsidP="004511E1">
      <w:pPr>
        <w:spacing w:after="120" w:line="276" w:lineRule="auto"/>
        <w:ind w:firstLine="709"/>
        <w:jc w:val="both"/>
        <w:rPr>
          <w:rFonts w:ascii="Verdana" w:eastAsia="Arial" w:hAnsi="Verdana" w:cs="Arial"/>
        </w:rPr>
      </w:pPr>
      <w:r>
        <w:rPr>
          <w:rFonts w:ascii="Verdana" w:eastAsia="Arial" w:hAnsi="Verdana" w:cs="Arial"/>
        </w:rPr>
        <w:t>Así, c</w:t>
      </w:r>
      <w:r w:rsidRPr="001F74B0">
        <w:rPr>
          <w:rFonts w:ascii="Verdana" w:eastAsia="Arial" w:hAnsi="Verdana" w:cs="Arial"/>
        </w:rPr>
        <w:t>uando la acreditación de</w:t>
      </w:r>
      <w:r>
        <w:rPr>
          <w:rFonts w:ascii="Verdana" w:eastAsia="Arial" w:hAnsi="Verdana" w:cs="Arial"/>
        </w:rPr>
        <w:t xml:space="preserve"> la condición de emprendimientos y empresas de personas con discapacidad</w:t>
      </w:r>
      <w:r w:rsidRPr="001F74B0">
        <w:rPr>
          <w:rFonts w:ascii="Verdana" w:eastAsia="Arial" w:hAnsi="Verdana" w:cs="Arial"/>
        </w:rPr>
        <w:t xml:space="preserve"> se presenta mediante un conjunto de documentos que integran una misma oferta y la manifestación principal </w:t>
      </w:r>
      <w:r>
        <w:rPr>
          <w:rFonts w:ascii="Verdana" w:eastAsia="Arial" w:hAnsi="Verdana" w:cs="Arial"/>
        </w:rPr>
        <w:t xml:space="preserve">realizada en un determinado formato </w:t>
      </w:r>
      <w:r w:rsidRPr="001F74B0">
        <w:rPr>
          <w:rFonts w:ascii="Verdana" w:eastAsia="Arial" w:hAnsi="Verdana" w:cs="Arial"/>
        </w:rPr>
        <w:t>cobija los soportes aportados para acreditar los supuestos previstos en los numerales 1, 2, 3 y 4 del artículo 2.2.1.2.4.2.6</w:t>
      </w:r>
      <w:r>
        <w:rPr>
          <w:rFonts w:ascii="Verdana" w:eastAsia="Arial" w:hAnsi="Verdana" w:cs="Arial"/>
        </w:rPr>
        <w:t xml:space="preserve">. del Decreto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 entiende que cumple con lo dispuesto en tal parágrafo. Debe destacarse que dicha disposición </w:t>
      </w:r>
      <w:r w:rsidRPr="001F74B0">
        <w:rPr>
          <w:rFonts w:ascii="Verdana" w:eastAsia="Arial" w:hAnsi="Verdana" w:cs="Arial"/>
        </w:rPr>
        <w:t xml:space="preserve">no impone que cada </w:t>
      </w:r>
      <w:r>
        <w:rPr>
          <w:rFonts w:ascii="Verdana" w:eastAsia="Arial" w:hAnsi="Verdana" w:cs="Arial"/>
        </w:rPr>
        <w:t xml:space="preserve">documento soporte </w:t>
      </w:r>
      <w:r w:rsidRPr="001F74B0">
        <w:rPr>
          <w:rFonts w:ascii="Verdana" w:eastAsia="Arial" w:hAnsi="Verdana" w:cs="Arial"/>
        </w:rPr>
        <w:t>reproduzca de forma autónoma la expresión "bajo la gravedad de juramento", pues el requisito se satisface en la medida en que las manifestaciones efectuadas para acreditar el incentivo se entiendan realizadas con ese alcance jurídico.</w:t>
      </w:r>
    </w:p>
    <w:p w14:paraId="316210F8" w14:textId="77777777" w:rsidR="004511E1" w:rsidRPr="007149A1" w:rsidRDefault="004511E1" w:rsidP="004511E1">
      <w:pPr>
        <w:spacing w:after="120" w:line="276" w:lineRule="auto"/>
        <w:ind w:firstLine="708"/>
        <w:jc w:val="both"/>
        <w:rPr>
          <w:rFonts w:ascii="Verdana" w:eastAsia="Times New Roman" w:hAnsi="Verdana" w:cs="Arial"/>
          <w:kern w:val="2"/>
          <w:lang w:eastAsia="es-CO"/>
          <w14:ligatures w14:val="standardContextual"/>
        </w:rPr>
      </w:pPr>
      <w:r w:rsidRPr="00A31A19">
        <w:rPr>
          <w:rFonts w:ascii="Verdana" w:eastAsia="Arial" w:hAnsi="Verdana" w:cs="Arial"/>
        </w:rPr>
        <w:lastRenderedPageBreak/>
        <w:t>Esta interpretación resulta consistente con el artículo 7 del Decreto Ley 019 de 2012</w:t>
      </w:r>
      <w:r>
        <w:rPr>
          <w:rFonts w:ascii="Verdana" w:eastAsia="Arial" w:hAnsi="Verdana" w:cs="Arial"/>
        </w:rPr>
        <w:t xml:space="preserve"> </w:t>
      </w:r>
      <w:r w:rsidRPr="00A31A19">
        <w:rPr>
          <w:rFonts w:ascii="Verdana" w:eastAsia="Arial" w:hAnsi="Verdana" w:cs="Arial"/>
        </w:rPr>
        <w:t xml:space="preserve">conforme al </w:t>
      </w:r>
      <w:proofErr w:type="gramStart"/>
      <w:r w:rsidRPr="00A31A19">
        <w:rPr>
          <w:rFonts w:ascii="Verdana" w:eastAsia="Arial" w:hAnsi="Verdana" w:cs="Arial"/>
        </w:rPr>
        <w:t>cual</w:t>
      </w:r>
      <w:proofErr w:type="gramEnd"/>
      <w:r w:rsidRPr="00A31A19">
        <w:rPr>
          <w:rFonts w:ascii="Verdana" w:eastAsia="Arial" w:hAnsi="Verdana" w:cs="Arial"/>
        </w:rPr>
        <w:t xml:space="preserve"> en las actuaciones administrativas, no pueden exigirse declaraciones </w:t>
      </w:r>
      <w:proofErr w:type="gramStart"/>
      <w:r w:rsidRPr="00B228D3">
        <w:rPr>
          <w:rFonts w:ascii="Verdana" w:eastAsia="Arial" w:hAnsi="Verdana" w:cs="Arial"/>
          <w:i/>
          <w:iCs/>
        </w:rPr>
        <w:t>extra juicio</w:t>
      </w:r>
      <w:proofErr w:type="gramEnd"/>
      <w:r w:rsidRPr="00A31A19">
        <w:rPr>
          <w:rFonts w:ascii="Verdana" w:eastAsia="Arial" w:hAnsi="Verdana" w:cs="Arial"/>
        </w:rPr>
        <w:t xml:space="preserve"> y basta la afirmación realizada por el particular ante la autoridad para que esta se entienda efectuada bajo la gravedad de juramento.</w:t>
      </w:r>
      <w:r>
        <w:rPr>
          <w:rFonts w:ascii="Verdana" w:eastAsia="Arial" w:hAnsi="Verdana" w:cs="Arial"/>
        </w:rPr>
        <w:t xml:space="preserve"> Adicionalmente, es la que</w:t>
      </w:r>
      <w:r w:rsidRPr="00A31A19">
        <w:rPr>
          <w:rFonts w:ascii="Verdana" w:eastAsia="Arial" w:hAnsi="Verdana" w:cs="Arial"/>
        </w:rPr>
        <w:t xml:space="preserve"> </w:t>
      </w:r>
      <w:r w:rsidRPr="007149A1">
        <w:rPr>
          <w:rFonts w:ascii="Verdana" w:eastAsia="Times New Roman" w:hAnsi="Verdana" w:cs="Arial"/>
          <w:kern w:val="2"/>
          <w:lang w:eastAsia="es-CO"/>
          <w14:ligatures w14:val="standardContextual"/>
        </w:rPr>
        <w:t xml:space="preserve">más se ajusta al principio del efecto útil de la norma, lo cual no riñe con lo dispuesto en el parágrafo del artículo </w:t>
      </w:r>
      <w:r w:rsidRPr="001F74B0">
        <w:rPr>
          <w:rFonts w:ascii="Verdana" w:eastAsia="Arial" w:hAnsi="Verdana" w:cs="Arial"/>
        </w:rPr>
        <w:t>2.2.1.2.4.2.6</w:t>
      </w:r>
      <w:r>
        <w:rPr>
          <w:rFonts w:ascii="Verdana" w:eastAsia="Arial" w:hAnsi="Verdana" w:cs="Arial"/>
        </w:rPr>
        <w:t xml:space="preserve"> </w:t>
      </w:r>
      <w:r w:rsidRPr="00960FC0">
        <w:rPr>
          <w:rFonts w:ascii="Verdana" w:eastAsia="Arial" w:hAnsi="Verdana" w:cs="Arial"/>
          <w:i/>
          <w:iCs/>
        </w:rPr>
        <w:t>ibidem</w:t>
      </w:r>
      <w:r w:rsidRPr="007149A1">
        <w:rPr>
          <w:rFonts w:ascii="Verdana" w:eastAsia="Times New Roman" w:hAnsi="Verdana" w:cs="Arial"/>
          <w:kern w:val="2"/>
          <w:lang w:eastAsia="es-CO"/>
          <w14:ligatures w14:val="standardContextual"/>
        </w:rPr>
        <w:t>. No en vano, la Corte Constitucional ha señalado, al explicar el principio del efecto útil, que “debe considerarse, de entre varias interpretaciones de una disposición normativa, aquella que permita consecuencias jurídicas, sobre aquella que no las prevea o que contemple consecuencias superfluas o innecesarias</w:t>
      </w:r>
      <w:r>
        <w:rPr>
          <w:rStyle w:val="Refdenotaalpie"/>
          <w:rFonts w:ascii="Verdana" w:eastAsia="Times New Roman" w:hAnsi="Verdana" w:cs="Arial"/>
          <w:kern w:val="2"/>
          <w:lang w:eastAsia="es-CO"/>
          <w14:ligatures w14:val="standardContextual"/>
        </w:rPr>
        <w:footnoteReference w:id="11"/>
      </w:r>
      <w:r w:rsidRPr="007149A1">
        <w:rPr>
          <w:rFonts w:ascii="Verdana" w:eastAsia="Times New Roman" w:hAnsi="Verdana" w:cs="Arial"/>
          <w:kern w:val="2"/>
          <w:lang w:eastAsia="es-CO"/>
          <w14:ligatures w14:val="standardContextual"/>
        </w:rPr>
        <w:t>”.</w:t>
      </w:r>
    </w:p>
    <w:p w14:paraId="1A31C759" w14:textId="77777777" w:rsidR="004511E1" w:rsidRDefault="004511E1" w:rsidP="004511E1">
      <w:pPr>
        <w:spacing w:after="120" w:line="276" w:lineRule="auto"/>
        <w:ind w:firstLine="708"/>
        <w:jc w:val="both"/>
        <w:rPr>
          <w:rFonts w:ascii="Verdana" w:eastAsia="Calibri" w:hAnsi="Verdana" w:cs="Arial"/>
          <w:bCs/>
          <w:color w:val="000000"/>
        </w:rPr>
      </w:pPr>
      <w:r w:rsidRPr="007149A1">
        <w:rPr>
          <w:rFonts w:ascii="Verdana" w:eastAsia="Times New Roman" w:hAnsi="Verdana" w:cs="Arial"/>
          <w:kern w:val="2"/>
          <w:lang w:eastAsia="es-CO"/>
          <w14:ligatures w14:val="standardContextual"/>
        </w:rPr>
        <w:t xml:space="preserve">Adicionalmente, </w:t>
      </w:r>
      <w:r>
        <w:rPr>
          <w:rFonts w:ascii="Verdana" w:eastAsia="Times New Roman" w:hAnsi="Verdana" w:cs="Arial"/>
          <w:kern w:val="2"/>
          <w:lang w:eastAsia="es-CO"/>
          <w14:ligatures w14:val="standardContextual"/>
        </w:rPr>
        <w:t>esta</w:t>
      </w:r>
      <w:r w:rsidRPr="007149A1">
        <w:rPr>
          <w:rFonts w:ascii="Verdana" w:eastAsia="Times New Roman" w:hAnsi="Verdana" w:cs="Arial"/>
          <w:kern w:val="2"/>
          <w:lang w:eastAsia="es-CO"/>
          <w14:ligatures w14:val="standardContextual"/>
        </w:rPr>
        <w:t xml:space="preserve"> postura </w:t>
      </w:r>
      <w:r>
        <w:rPr>
          <w:rFonts w:ascii="Verdana" w:eastAsia="Times New Roman" w:hAnsi="Verdana" w:cs="Arial"/>
          <w:kern w:val="2"/>
          <w:lang w:eastAsia="es-CO"/>
          <w14:ligatures w14:val="standardContextual"/>
        </w:rPr>
        <w:t>es coherente con</w:t>
      </w:r>
      <w:r w:rsidRPr="007149A1">
        <w:rPr>
          <w:rFonts w:ascii="Verdana" w:eastAsia="Times New Roman" w:hAnsi="Verdana" w:cs="Arial"/>
          <w:kern w:val="2"/>
          <w:lang w:eastAsia="es-CO"/>
          <w14:ligatures w14:val="standardContextual"/>
        </w:rPr>
        <w:t xml:space="preserve"> el principio de economía contenido </w:t>
      </w:r>
      <w:r w:rsidRPr="007149A1">
        <w:rPr>
          <w:rFonts w:ascii="Verdana" w:eastAsia="Calibri" w:hAnsi="Verdana" w:cs="Arial"/>
          <w:bCs/>
          <w:color w:val="000000"/>
          <w:lang w:val="es-ES_tradnl"/>
        </w:rPr>
        <w:t xml:space="preserve">numeral 2 del artículo 25 de la Ley 80 de 1993 que “(…) </w:t>
      </w:r>
      <w:r w:rsidRPr="007149A1">
        <w:rPr>
          <w:rFonts w:ascii="Verdana" w:eastAsia="Calibri" w:hAnsi="Verdana" w:cs="Arial"/>
          <w:bCs/>
          <w:color w:val="000000"/>
        </w:rPr>
        <w:t>persigue eliminar trámites, requisitos y en general procedimientos innecesarios que entraben o dilaten injustificadamente el proceso de contratación”</w:t>
      </w:r>
      <w:r w:rsidRPr="007149A1">
        <w:rPr>
          <w:rFonts w:ascii="Verdana" w:eastAsia="Calibri" w:hAnsi="Verdana" w:cs="Arial"/>
          <w:bCs/>
          <w:color w:val="000000"/>
          <w:vertAlign w:val="superscript"/>
        </w:rPr>
        <w:footnoteReference w:id="12"/>
      </w:r>
      <w:r w:rsidRPr="007149A1">
        <w:rPr>
          <w:rFonts w:ascii="Verdana" w:eastAsia="Calibri" w:hAnsi="Verdana" w:cs="Arial"/>
          <w:bCs/>
          <w:color w:val="000000"/>
        </w:rPr>
        <w:t xml:space="preserve">. </w:t>
      </w:r>
    </w:p>
    <w:p w14:paraId="02B95F3A" w14:textId="77777777" w:rsidR="004511E1" w:rsidRPr="00AB414F" w:rsidRDefault="004511E1" w:rsidP="004511E1">
      <w:pPr>
        <w:spacing w:after="120" w:line="276" w:lineRule="auto"/>
        <w:ind w:firstLine="708"/>
        <w:jc w:val="both"/>
        <w:rPr>
          <w:rFonts w:ascii="Verdana" w:eastAsia="Calibri" w:hAnsi="Verdana" w:cs="Arial"/>
          <w:bCs/>
          <w:color w:val="000000"/>
        </w:rPr>
      </w:pPr>
      <w:r>
        <w:rPr>
          <w:rFonts w:ascii="Verdana" w:eastAsia="Calibri" w:hAnsi="Verdana" w:cs="Arial"/>
          <w:bCs/>
          <w:color w:val="000000"/>
        </w:rPr>
        <w:t xml:space="preserve">Por consiguiente, </w:t>
      </w:r>
      <w:r w:rsidRPr="008B2B7D">
        <w:rPr>
          <w:rFonts w:ascii="Verdana" w:eastAsia="Calibri" w:hAnsi="Verdana" w:cs="Arial"/>
          <w:bCs/>
          <w:color w:val="000000"/>
        </w:rPr>
        <w:t xml:space="preserve">la ausencia de la expresión "bajo la gravedad de juramento" en los documentos soporte </w:t>
      </w:r>
      <w:r>
        <w:rPr>
          <w:rFonts w:ascii="Verdana" w:eastAsia="Calibri" w:hAnsi="Verdana" w:cs="Arial"/>
          <w:bCs/>
          <w:color w:val="000000"/>
        </w:rPr>
        <w:t xml:space="preserve">para acreditar la condición de </w:t>
      </w:r>
      <w:r w:rsidRPr="00A21BBF">
        <w:rPr>
          <w:rFonts w:ascii="Verdana" w:eastAsia="Arial" w:hAnsi="Verdana" w:cs="Arial"/>
        </w:rPr>
        <w:t>emprendimientos y empresas de personas con discapacidad</w:t>
      </w:r>
      <w:r w:rsidRPr="008B2B7D">
        <w:rPr>
          <w:rFonts w:ascii="Verdana" w:eastAsia="Calibri" w:hAnsi="Verdana" w:cs="Arial"/>
          <w:bCs/>
          <w:color w:val="000000"/>
        </w:rPr>
        <w:t xml:space="preserve"> no conduce, por sí sola, a concluir que el requisito </w:t>
      </w:r>
      <w:r>
        <w:rPr>
          <w:rFonts w:ascii="Verdana" w:eastAsia="Calibri" w:hAnsi="Verdana" w:cs="Arial"/>
          <w:bCs/>
          <w:color w:val="000000"/>
        </w:rPr>
        <w:t xml:space="preserve">establecido en dicho parágrafo </w:t>
      </w:r>
      <w:r w:rsidRPr="008B2B7D">
        <w:rPr>
          <w:rFonts w:ascii="Verdana" w:eastAsia="Calibri" w:hAnsi="Verdana" w:cs="Arial"/>
          <w:bCs/>
          <w:color w:val="000000"/>
        </w:rPr>
        <w:t>fue incumplido.</w:t>
      </w:r>
      <w:r>
        <w:rPr>
          <w:rFonts w:ascii="Verdana" w:eastAsia="Calibri" w:hAnsi="Verdana" w:cs="Arial"/>
          <w:bCs/>
          <w:color w:val="000000"/>
        </w:rPr>
        <w:t xml:space="preserve"> </w:t>
      </w:r>
      <w:r w:rsidRPr="007149A1">
        <w:rPr>
          <w:rFonts w:ascii="Verdana" w:eastAsia="Calibri" w:hAnsi="Verdana" w:cs="Arial"/>
          <w:bCs/>
          <w:color w:val="000000"/>
          <w:lang w:val="es-ES_tradnl"/>
        </w:rPr>
        <w:t>Lo anterior, sin perjuicio del deber de verificación, ante las inconsistencias evidenciadas, o de denuncia de la posible falsedad de los documentos advertida durante el procedimiento contractual</w:t>
      </w:r>
      <w:r>
        <w:rPr>
          <w:rFonts w:ascii="Verdana" w:eastAsia="Calibri" w:hAnsi="Verdana" w:cs="Arial"/>
          <w:bCs/>
          <w:color w:val="000000"/>
          <w:lang w:val="es-ES_tradnl"/>
        </w:rPr>
        <w:t xml:space="preserve">. </w:t>
      </w:r>
    </w:p>
    <w:p w14:paraId="1C86E8E6" w14:textId="77777777" w:rsidR="004511E1" w:rsidRPr="007149A1" w:rsidRDefault="004511E1" w:rsidP="004511E1">
      <w:pPr>
        <w:snapToGrid w:val="0"/>
        <w:spacing w:after="120" w:line="276" w:lineRule="auto"/>
        <w:ind w:firstLine="708"/>
        <w:jc w:val="both"/>
        <w:rPr>
          <w:rFonts w:ascii="Verdana" w:eastAsia="Calibri" w:hAnsi="Verdana" w:cs="Arial"/>
          <w:kern w:val="2"/>
          <w14:ligatures w14:val="standardContextual"/>
        </w:rPr>
      </w:pPr>
      <w:r w:rsidRPr="007149A1">
        <w:rPr>
          <w:rFonts w:ascii="Verdana" w:eastAsia="Calibri" w:hAnsi="Verdana" w:cs="Arial"/>
          <w:kern w:val="2"/>
          <w14:ligatures w14:val="standardContextual"/>
        </w:rPr>
        <w:t>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EA17534" w14:textId="77777777" w:rsidR="004511E1" w:rsidRPr="007149A1" w:rsidRDefault="004511E1" w:rsidP="004511E1">
      <w:pPr>
        <w:snapToGrid w:val="0"/>
        <w:spacing w:after="0" w:line="276" w:lineRule="auto"/>
        <w:ind w:firstLine="708"/>
        <w:jc w:val="both"/>
        <w:rPr>
          <w:rFonts w:ascii="Verdana" w:eastAsia="Calibri" w:hAnsi="Verdana" w:cs="Arial"/>
          <w:kern w:val="2"/>
          <w14:ligatures w14:val="standardContextual"/>
        </w:rPr>
      </w:pPr>
      <w:r w:rsidRPr="007149A1">
        <w:rPr>
          <w:rFonts w:ascii="Verdana" w:eastAsia="Calibri" w:hAnsi="Verdana" w:cs="Arial"/>
          <w:kern w:val="2"/>
          <w14:ligatures w14:val="standardContextual"/>
        </w:rPr>
        <w:lastRenderedPageBreak/>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bookmarkEnd w:id="1"/>
    <w:p w14:paraId="131A3ED5" w14:textId="77777777" w:rsidR="004511E1" w:rsidRPr="001B3C5D" w:rsidRDefault="004511E1" w:rsidP="004511E1">
      <w:pPr>
        <w:widowControl w:val="0"/>
        <w:autoSpaceDE w:val="0"/>
        <w:autoSpaceDN w:val="0"/>
        <w:spacing w:after="0" w:line="276" w:lineRule="auto"/>
        <w:jc w:val="both"/>
        <w:rPr>
          <w:rFonts w:ascii="Verdana" w:eastAsia="Century Gothic" w:hAnsi="Verdana" w:cs="Century Gothic"/>
          <w:lang w:val="es-ES_tradnl"/>
        </w:rPr>
      </w:pPr>
    </w:p>
    <w:p w14:paraId="70E93D6E" w14:textId="77777777" w:rsidR="004511E1" w:rsidRPr="001B3C5D" w:rsidRDefault="004511E1" w:rsidP="004511E1">
      <w:pPr>
        <w:tabs>
          <w:tab w:val="left" w:pos="142"/>
          <w:tab w:val="left" w:pos="284"/>
        </w:tabs>
        <w:spacing w:after="0" w:line="276" w:lineRule="auto"/>
        <w:jc w:val="both"/>
        <w:rPr>
          <w:rFonts w:ascii="Verdana" w:eastAsia="Century Gothic" w:hAnsi="Verdana" w:cs="Century Gothic"/>
          <w:b/>
          <w:bCs/>
          <w:lang w:val="es-ES_tradnl"/>
        </w:rPr>
      </w:pPr>
      <w:r w:rsidRPr="001B3C5D">
        <w:rPr>
          <w:rFonts w:ascii="Verdana" w:eastAsia="Century Gothic" w:hAnsi="Verdana" w:cs="Century Gothic"/>
          <w:b/>
          <w:bCs/>
          <w:lang w:val="es-ES_tradnl"/>
        </w:rPr>
        <w:t>4. Referencias normativas, jurisprudenciales y otras fuentes:</w:t>
      </w:r>
    </w:p>
    <w:p w14:paraId="3EE68CD0" w14:textId="77777777" w:rsidR="004511E1" w:rsidRPr="001B3C5D" w:rsidRDefault="004511E1" w:rsidP="004511E1">
      <w:pPr>
        <w:spacing w:after="0"/>
        <w:ind w:left="-15840"/>
        <w:jc w:val="both"/>
        <w:rPr>
          <w:rFonts w:ascii="Verdana" w:eastAsia="Calibri" w:hAnsi="Verdana" w:cs="Arial"/>
          <w:b/>
          <w:bCs/>
        </w:rPr>
      </w:pPr>
      <w:r w:rsidRPr="001B3C5D">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4511E1" w:rsidRPr="001B3C5D" w14:paraId="4CD1DCF6" w14:textId="77777777" w:rsidTr="0044414F">
        <w:trPr>
          <w:trHeight w:val="870"/>
        </w:trPr>
        <w:tc>
          <w:tcPr>
            <w:tcW w:w="8647" w:type="dxa"/>
            <w:tcBorders>
              <w:top w:val="dotted" w:sz="4" w:space="0" w:color="auto"/>
              <w:left w:val="dotted" w:sz="4" w:space="0" w:color="auto"/>
              <w:bottom w:val="dotted" w:sz="4" w:space="0" w:color="auto"/>
              <w:right w:val="dotted" w:sz="4" w:space="0" w:color="auto"/>
            </w:tcBorders>
          </w:tcPr>
          <w:p w14:paraId="2DB4D81D" w14:textId="77777777" w:rsidR="004511E1" w:rsidRPr="00F82E0D" w:rsidRDefault="004511E1" w:rsidP="004511E1">
            <w:pPr>
              <w:widowControl w:val="0"/>
              <w:numPr>
                <w:ilvl w:val="0"/>
                <w:numId w:val="17"/>
              </w:numPr>
              <w:autoSpaceDE w:val="0"/>
              <w:autoSpaceDN w:val="0"/>
              <w:spacing w:line="276" w:lineRule="auto"/>
              <w:contextualSpacing/>
              <w:jc w:val="both"/>
              <w:rPr>
                <w:rFonts w:ascii="Verdana" w:eastAsia="Calibri" w:hAnsi="Verdana" w:cs="Arial"/>
              </w:rPr>
            </w:pPr>
            <w:r w:rsidRPr="00F82E0D">
              <w:rPr>
                <w:rFonts w:ascii="Verdana" w:eastAsia="Calibri" w:hAnsi="Verdana" w:cs="Arial"/>
              </w:rPr>
              <w:t>Ley 1618 de 2013</w:t>
            </w:r>
          </w:p>
          <w:p w14:paraId="0DD38E21" w14:textId="77777777" w:rsidR="004511E1" w:rsidRPr="00662625" w:rsidRDefault="004511E1" w:rsidP="004511E1">
            <w:pPr>
              <w:widowControl w:val="0"/>
              <w:numPr>
                <w:ilvl w:val="0"/>
                <w:numId w:val="16"/>
              </w:numPr>
              <w:autoSpaceDE w:val="0"/>
              <w:autoSpaceDN w:val="0"/>
              <w:spacing w:line="276" w:lineRule="auto"/>
              <w:contextualSpacing/>
              <w:jc w:val="both"/>
              <w:rPr>
                <w:rFonts w:ascii="Verdana" w:eastAsia="Calibri" w:hAnsi="Verdana" w:cs="Arial"/>
              </w:rPr>
            </w:pPr>
            <w:r w:rsidRPr="001B3C5D">
              <w:rPr>
                <w:rFonts w:ascii="Verdana" w:eastAsia="Calibri" w:hAnsi="Verdana" w:cs="Arial"/>
                <w:lang w:val="es-ES_tradnl"/>
              </w:rPr>
              <w:t>Decreto 287 de 2026: Artículo 1 y artículo 2.</w:t>
            </w:r>
          </w:p>
          <w:p w14:paraId="0800474E" w14:textId="77777777" w:rsidR="004511E1" w:rsidRPr="00662625" w:rsidRDefault="004511E1" w:rsidP="004511E1">
            <w:pPr>
              <w:widowControl w:val="0"/>
              <w:numPr>
                <w:ilvl w:val="0"/>
                <w:numId w:val="16"/>
              </w:numPr>
              <w:autoSpaceDE w:val="0"/>
              <w:autoSpaceDN w:val="0"/>
              <w:spacing w:line="276" w:lineRule="auto"/>
              <w:contextualSpacing/>
              <w:jc w:val="both"/>
              <w:rPr>
                <w:rFonts w:ascii="Verdana" w:eastAsia="Calibri" w:hAnsi="Verdana" w:cs="Arial"/>
              </w:rPr>
            </w:pPr>
            <w:r w:rsidRPr="00662625">
              <w:rPr>
                <w:rFonts w:ascii="Verdana" w:eastAsia="Calibri" w:hAnsi="Verdana" w:cs="Arial"/>
              </w:rPr>
              <w:t>Corte Constitucional. Sentencia C-569 de 2004. M.P. Rodrigo Uprimny Yepes.</w:t>
            </w:r>
          </w:p>
          <w:p w14:paraId="0DBC4179" w14:textId="77777777" w:rsidR="004511E1" w:rsidRPr="00F82E0D" w:rsidRDefault="004511E1" w:rsidP="004511E1">
            <w:pPr>
              <w:widowControl w:val="0"/>
              <w:numPr>
                <w:ilvl w:val="0"/>
                <w:numId w:val="16"/>
              </w:numPr>
              <w:autoSpaceDE w:val="0"/>
              <w:autoSpaceDN w:val="0"/>
              <w:spacing w:line="276" w:lineRule="auto"/>
              <w:contextualSpacing/>
              <w:jc w:val="both"/>
              <w:rPr>
                <w:rFonts w:ascii="Verdana" w:eastAsia="Calibri" w:hAnsi="Verdana" w:cs="Arial"/>
              </w:rPr>
            </w:pPr>
            <w:r w:rsidRPr="00662625">
              <w:rPr>
                <w:rFonts w:ascii="Verdana" w:eastAsia="Calibri" w:hAnsi="Verdana" w:cs="Arial"/>
              </w:rPr>
              <w:t>Consejo de Estado. Sala de Consulta y Servicio Civil. Concepto del 17 de abril de 1996. Rad. No. 811-1996. C.P. Roberto Suárez Franco.</w:t>
            </w:r>
          </w:p>
          <w:p w14:paraId="0A287309" w14:textId="77777777" w:rsidR="004511E1" w:rsidRPr="009855C4" w:rsidRDefault="004511E1" w:rsidP="004511E1">
            <w:pPr>
              <w:pStyle w:val="Prrafodelista"/>
              <w:numPr>
                <w:ilvl w:val="0"/>
                <w:numId w:val="16"/>
              </w:numPr>
              <w:jc w:val="both"/>
              <w:rPr>
                <w:rFonts w:ascii="Verdana" w:eastAsia="Calibri" w:hAnsi="Verdana" w:cs="Arial"/>
                <w:lang w:val="es-CO"/>
              </w:rPr>
            </w:pPr>
            <w:r w:rsidRPr="00F82E0D">
              <w:rPr>
                <w:rFonts w:ascii="Verdana" w:eastAsia="Calibri" w:hAnsi="Verdana" w:cs="Arial"/>
                <w:lang w:val="es-CO"/>
              </w:rPr>
              <w:t>Consejo de Estado, Sección Quinta, del 12 de diciembre de 2024 (Rad. 05001-23-33-000-2024-00847-01, M.P. Omar Joaquín Barreto Suárez)</w:t>
            </w:r>
            <w:r w:rsidRPr="009855C4">
              <w:rPr>
                <w:rFonts w:ascii="Verdana" w:eastAsia="Calibri" w:hAnsi="Verdana" w:cs="Arial"/>
              </w:rPr>
              <w:t xml:space="preserve"> </w:t>
            </w:r>
          </w:p>
        </w:tc>
      </w:tr>
    </w:tbl>
    <w:p w14:paraId="2A16A827" w14:textId="77777777" w:rsidR="004511E1" w:rsidRPr="001B3C5D" w:rsidRDefault="004511E1" w:rsidP="004511E1">
      <w:pPr>
        <w:tabs>
          <w:tab w:val="left" w:pos="142"/>
          <w:tab w:val="left" w:pos="284"/>
        </w:tabs>
        <w:spacing w:after="0" w:line="276" w:lineRule="auto"/>
        <w:jc w:val="both"/>
        <w:rPr>
          <w:rFonts w:ascii="Verdana" w:eastAsia="Calibri" w:hAnsi="Verdana" w:cs="Arial"/>
        </w:rPr>
      </w:pPr>
    </w:p>
    <w:p w14:paraId="423DB164" w14:textId="77777777" w:rsidR="004511E1" w:rsidRPr="001B3C5D" w:rsidRDefault="004511E1" w:rsidP="004511E1">
      <w:pPr>
        <w:tabs>
          <w:tab w:val="left" w:pos="142"/>
          <w:tab w:val="left" w:pos="284"/>
        </w:tabs>
        <w:spacing w:after="0" w:line="276" w:lineRule="auto"/>
        <w:jc w:val="both"/>
        <w:rPr>
          <w:rFonts w:ascii="Verdana" w:eastAsia="Century Gothic" w:hAnsi="Verdana" w:cs="Century Gothic"/>
          <w:b/>
          <w:bCs/>
          <w:lang w:val="es-ES"/>
        </w:rPr>
      </w:pPr>
      <w:r w:rsidRPr="001B3C5D">
        <w:rPr>
          <w:rFonts w:ascii="Verdana" w:eastAsia="Calibri" w:hAnsi="Verdana" w:cs="Arial"/>
          <w:b/>
          <w:bCs/>
        </w:rPr>
        <w:t>5</w:t>
      </w:r>
      <w:r w:rsidRPr="001B3C5D">
        <w:rPr>
          <w:rFonts w:ascii="Verdana" w:eastAsia="Calibri" w:hAnsi="Verdana" w:cs="Arial"/>
        </w:rPr>
        <w:t>.</w:t>
      </w:r>
      <w:r w:rsidRPr="001B3C5D">
        <w:rPr>
          <w:rFonts w:ascii="Verdana" w:eastAsia="Century Gothic" w:hAnsi="Verdana" w:cs="Century Gothic"/>
          <w:b/>
          <w:bCs/>
          <w:lang w:val="es-ES"/>
        </w:rPr>
        <w:t>Doctrina de la Agencia Nacional de Contratación Pública:</w:t>
      </w:r>
    </w:p>
    <w:p w14:paraId="53CB1F45" w14:textId="77777777" w:rsidR="004511E1" w:rsidRPr="001B3C5D" w:rsidRDefault="004511E1" w:rsidP="004511E1">
      <w:pPr>
        <w:widowControl w:val="0"/>
        <w:autoSpaceDE w:val="0"/>
        <w:autoSpaceDN w:val="0"/>
        <w:spacing w:after="0" w:line="276" w:lineRule="auto"/>
        <w:jc w:val="both"/>
        <w:rPr>
          <w:rFonts w:ascii="Verdana" w:eastAsia="Calibri" w:hAnsi="Verdana" w:cs="Arial"/>
        </w:rPr>
      </w:pPr>
    </w:p>
    <w:p w14:paraId="327B8105" w14:textId="77777777" w:rsidR="004511E1" w:rsidRPr="001B3C5D" w:rsidRDefault="004511E1" w:rsidP="004511E1">
      <w:pPr>
        <w:widowControl w:val="0"/>
        <w:autoSpaceDE w:val="0"/>
        <w:autoSpaceDN w:val="0"/>
        <w:spacing w:after="0" w:line="276" w:lineRule="auto"/>
        <w:jc w:val="both"/>
        <w:rPr>
          <w:rFonts w:ascii="Verdana" w:eastAsia="Times New Roman" w:hAnsi="Verdana" w:cs="Arial"/>
          <w:shd w:val="clear" w:color="auto" w:fill="FFFFFF"/>
          <w:lang w:val="es-ES"/>
        </w:rPr>
      </w:pPr>
      <w:r>
        <w:rPr>
          <w:rFonts w:ascii="Verdana" w:eastAsia="Calibri" w:hAnsi="Verdana" w:cs="Arial"/>
          <w:lang w:val="es-ES"/>
        </w:rPr>
        <w:t xml:space="preserve">La Agencia Nacional de Contratación Pública – Colombia Compra Eficiente se ha referido </w:t>
      </w:r>
      <w:r>
        <w:rPr>
          <w:rFonts w:ascii="Verdana" w:hAnsi="Verdana" w:cs="Arial"/>
          <w:shd w:val="clear" w:color="auto" w:fill="FFFFFF"/>
          <w:lang w:val="es-ES"/>
        </w:rPr>
        <w:t xml:space="preserve">sobre el alcance del Decreto 0287 de 2026 en el concepto C-473 del 7 de mayo de 2026, C-572 del 19 de mayo de 2025, C-629 del 11 de mayo 2026, C-648 del 15 de mayo de 2026, C-775 del 17 de junio de 2026, entre otros. </w:t>
      </w:r>
      <w:r>
        <w:rPr>
          <w:rFonts w:ascii="Verdana" w:eastAsia="Calibri" w:hAnsi="Verdana" w:cs="Arial"/>
          <w:lang w:val="es-ES"/>
        </w:rPr>
        <w:t xml:space="preserve">Estos </w:t>
      </w:r>
      <w:r w:rsidRPr="001B3C5D">
        <w:rPr>
          <w:rFonts w:ascii="Verdana" w:eastAsia="Calibri" w:hAnsi="Verdana" w:cs="Arial"/>
          <w:color w:val="000000"/>
          <w:shd w:val="clear" w:color="auto" w:fill="FFFFFF"/>
        </w:rPr>
        <w:t xml:space="preserve">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1B3C5D">
          <w:rPr>
            <w:rFonts w:ascii="Verdana" w:eastAsia="Aptos" w:hAnsi="Verdana" w:cs="Arial"/>
            <w:color w:val="0000FF"/>
            <w:kern w:val="2"/>
            <w:u w:val="single"/>
            <w:shd w:val="clear" w:color="auto" w:fill="FFFFFF"/>
            <w14:ligatures w14:val="standardContextual"/>
          </w:rPr>
          <w:t>https://relatoria.colombiacompra.gov.co/busqueda/conceptos</w:t>
        </w:r>
      </w:hyperlink>
      <w:r w:rsidRPr="001B3C5D">
        <w:rPr>
          <w:rFonts w:ascii="Verdana" w:eastAsia="Aptos" w:hAnsi="Verdana" w:cs="Arial"/>
          <w:kern w:val="2"/>
          <w:shd w:val="clear" w:color="auto" w:fill="FFFFFF"/>
          <w14:ligatures w14:val="standardContextual"/>
        </w:rPr>
        <w:t xml:space="preserve">. </w:t>
      </w:r>
      <w:r w:rsidRPr="001B3C5D">
        <w:rPr>
          <w:rFonts w:ascii="Verdana" w:eastAsia="Aptos" w:hAnsi="Verdana" w:cs="Arial"/>
          <w:color w:val="FF0000"/>
          <w:kern w:val="2"/>
          <w:shd w:val="clear" w:color="auto" w:fill="FFFFFF"/>
          <w:lang w:val="es-ES"/>
          <w14:ligatures w14:val="standardContextual"/>
        </w:rPr>
        <w:t xml:space="preserve">  </w:t>
      </w:r>
    </w:p>
    <w:p w14:paraId="47116652" w14:textId="77777777" w:rsidR="004511E1" w:rsidRPr="001B3C5D" w:rsidRDefault="004511E1" w:rsidP="004511E1">
      <w:pPr>
        <w:spacing w:after="0" w:line="240" w:lineRule="auto"/>
        <w:jc w:val="both"/>
        <w:rPr>
          <w:rFonts w:ascii="Verdana" w:eastAsia="Calibri" w:hAnsi="Verdana" w:cs="Arial"/>
          <w:color w:val="000000"/>
          <w:shd w:val="clear" w:color="auto" w:fill="FFFFFF"/>
        </w:rPr>
      </w:pPr>
    </w:p>
    <w:p w14:paraId="018F38E6" w14:textId="77777777" w:rsidR="004511E1" w:rsidRPr="001B3C5D" w:rsidRDefault="004511E1" w:rsidP="004511E1">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La sostenibilidad no es una opción, es una obligación. Por ello, la Agencia Nacional de Contratación Pública –Colombia Compra Eficiente– te invita a </w:t>
      </w:r>
      <w:r w:rsidRPr="001B3C5D">
        <w:rPr>
          <w:rFonts w:ascii="Verdana" w:eastAsia="Times New Roman" w:hAnsi="Verdana" w:cs="Arial"/>
          <w:lang w:eastAsia="es-MX"/>
        </w:rPr>
        <w:lastRenderedPageBreak/>
        <w:t xml:space="preserve">realizar el </w:t>
      </w:r>
      <w:r w:rsidRPr="001B3C5D">
        <w:rPr>
          <w:rFonts w:ascii="Verdana" w:eastAsia="Times New Roman" w:hAnsi="Verdana" w:cs="Arial"/>
          <w:b/>
          <w:bCs/>
          <w:lang w:eastAsia="es-MX"/>
        </w:rPr>
        <w:t>Curso de Contratación Pública Sostenible y Socialmente Responsable</w:t>
      </w:r>
      <w:r w:rsidRPr="001B3C5D">
        <w:rPr>
          <w:rFonts w:ascii="Verdana" w:eastAsia="Times New Roman" w:hAnsi="Verdana" w:cs="Arial"/>
          <w:lang w:eastAsia="es-MX"/>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1B3C5D">
        <w:rPr>
          <w:rFonts w:ascii="Verdana" w:eastAsia="Times New Roman" w:hAnsi="Verdana" w:cs="Arial"/>
          <w:lang w:eastAsia="es-MX"/>
        </w:rPr>
        <w:br/>
      </w:r>
      <w:hyperlink r:id="rId14" w:tgtFrame="_new" w:history="1">
        <w:r w:rsidRPr="001B3C5D">
          <w:rPr>
            <w:rFonts w:ascii="Verdana" w:eastAsia="Times New Roman" w:hAnsi="Verdana" w:cs="Arial"/>
            <w:color w:val="0000FF"/>
            <w:u w:val="single"/>
            <w:lang w:eastAsia="es-MX"/>
          </w:rPr>
          <w:t>https://formacionvirtual.colombiacompra.gov.co/mod/page/view.php?id=3718</w:t>
        </w:r>
      </w:hyperlink>
    </w:p>
    <w:p w14:paraId="6E86929D" w14:textId="77777777" w:rsidR="004511E1" w:rsidRPr="001B3C5D" w:rsidRDefault="004511E1" w:rsidP="004511E1">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De otro lado, te contamos que esta Agencia ha da un paso decisivo en la estandarización y modernización del </w:t>
      </w:r>
      <w:r w:rsidRPr="001B3C5D">
        <w:rPr>
          <w:rFonts w:ascii="Verdana" w:eastAsia="Times New Roman" w:hAnsi="Verdana" w:cs="Arial"/>
          <w:b/>
          <w:bCs/>
          <w:lang w:eastAsia="es-MX"/>
        </w:rPr>
        <w:t>sector  social</w:t>
      </w:r>
      <w:r w:rsidRPr="001B3C5D">
        <w:rPr>
          <w:rFonts w:ascii="Verdana" w:eastAsia="Times New Roman" w:hAnsi="Verdana" w:cs="Arial"/>
          <w:lang w:eastAsia="es-MX"/>
        </w:rPr>
        <w:t xml:space="preserve"> con la expedición de las </w:t>
      </w:r>
      <w:r w:rsidRPr="001B3C5D">
        <w:rPr>
          <w:rFonts w:ascii="Verdana" w:eastAsia="Times New Roman" w:hAnsi="Verdana" w:cs="Arial"/>
          <w:b/>
          <w:bCs/>
          <w:lang w:eastAsia="es-MX"/>
        </w:rPr>
        <w:t>Resoluciones 539, 540, 541, 952 y 953 de 2025</w:t>
      </w:r>
      <w:r w:rsidRPr="001B3C5D">
        <w:rPr>
          <w:rFonts w:ascii="Verdana" w:eastAsia="Times New Roman" w:hAnsi="Verdana" w:cs="Arial"/>
          <w:lang w:eastAsia="es-MX"/>
        </w:rPr>
        <w:t xml:space="preserve">, </w:t>
      </w:r>
      <w:r w:rsidRPr="001B3C5D">
        <w:rPr>
          <w:rFonts w:ascii="Verdana" w:eastAsia="Times New Roman" w:hAnsi="Verdana" w:cs="Arial"/>
          <w:b/>
          <w:bCs/>
          <w:lang w:eastAsia="es-MX"/>
        </w:rPr>
        <w:t>mediante las cuales adoptó Documentos Tipo</w:t>
      </w:r>
      <w:r w:rsidRPr="001B3C5D">
        <w:rPr>
          <w:rFonts w:ascii="Verdana" w:eastAsia="Times New Roman" w:hAnsi="Verdana" w:cs="Arial"/>
          <w:lang w:eastAsia="es-MX"/>
        </w:rPr>
        <w:t xml:space="preserve"> para las modalidades de selección de</w:t>
      </w:r>
      <w:r w:rsidRPr="001B3C5D">
        <w:rPr>
          <w:rFonts w:ascii="Verdana" w:eastAsia="Times New Roman" w:hAnsi="Verdana" w:cs="Arial"/>
          <w:b/>
          <w:bCs/>
          <w:lang w:eastAsia="es-MX"/>
        </w:rPr>
        <w:t xml:space="preserve"> licitación pública (versión 2), selección abreviada de menor cuantía, mínima cuantía, consultoría e interventoría</w:t>
      </w:r>
      <w:r w:rsidRPr="001B3C5D">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1B3C5D">
          <w:rPr>
            <w:rFonts w:ascii="Verdana" w:eastAsia="Times New Roman" w:hAnsi="Verdana" w:cs="Arial"/>
            <w:color w:val="0000FF"/>
            <w:u w:val="single"/>
            <w:lang w:eastAsia="es-MX"/>
          </w:rPr>
          <w:t>https://www.colombiacompra.gov.co/normativa-y-relatoria/documentos-tipo</w:t>
        </w:r>
      </w:hyperlink>
    </w:p>
    <w:p w14:paraId="3BB380AE" w14:textId="77777777" w:rsidR="004511E1" w:rsidRPr="001B3C5D" w:rsidRDefault="004511E1" w:rsidP="004511E1">
      <w:pPr>
        <w:spacing w:after="0" w:line="276" w:lineRule="auto"/>
        <w:jc w:val="both"/>
        <w:rPr>
          <w:rFonts w:ascii="Verdana" w:eastAsia="Times New Roman" w:hAnsi="Verdana" w:cs="Arial"/>
          <w:lang w:eastAsia="es-MX"/>
        </w:rPr>
      </w:pPr>
    </w:p>
    <w:p w14:paraId="705C6AF3" w14:textId="77777777" w:rsidR="004511E1" w:rsidRPr="001B3C5D" w:rsidRDefault="004511E1" w:rsidP="004511E1">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Si quieres conocer más sobre la aplicación de Documentos Tipo puedes consultar la última versión de la </w:t>
      </w:r>
      <w:r w:rsidRPr="001B3C5D">
        <w:rPr>
          <w:rFonts w:ascii="Verdana" w:eastAsia="Times New Roman" w:hAnsi="Verdana" w:cs="Arial"/>
          <w:b/>
          <w:bCs/>
          <w:lang w:eastAsia="es-MX"/>
        </w:rPr>
        <w:t>Guía para la comprensión e implementación de los Documentos Tipo de obra pública de infraestructura de transporte</w:t>
      </w:r>
      <w:r w:rsidRPr="001B3C5D">
        <w:rPr>
          <w:rFonts w:ascii="Verdana" w:eastAsia="Times New Roman" w:hAnsi="Verdana" w:cs="Arial"/>
          <w:lang w:eastAsia="es-MX"/>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B3C5D">
        <w:rPr>
          <w:rFonts w:ascii="Verdana" w:eastAsia="Times New Roman" w:hAnsi="Verdana" w:cs="Arial"/>
          <w:lang w:eastAsia="es-MX"/>
        </w:rPr>
        <w:br/>
      </w:r>
      <w:hyperlink r:id="rId16" w:tgtFrame="_new" w:history="1">
        <w:r w:rsidRPr="001B3C5D">
          <w:rPr>
            <w:rFonts w:ascii="Verdana" w:eastAsia="Times New Roman" w:hAnsi="Verdana" w:cs="Arial"/>
            <w:color w:val="0000FF"/>
            <w:u w:val="single"/>
            <w:lang w:eastAsia="es-MX"/>
          </w:rPr>
          <w:t>https://www.colombiacompra.gov.co/archivos/manual/guia-para-la-comprension-e-implementacion-de-los-documentos-tipo-de-obra-publica-de-infraestructura-de-transporte-bajo-las-diferentes-modalidades-de-contratacion-vigentes</w:t>
        </w:r>
      </w:hyperlink>
    </w:p>
    <w:p w14:paraId="247FE105" w14:textId="77777777" w:rsidR="004511E1" w:rsidRPr="001B3C5D" w:rsidRDefault="004511E1" w:rsidP="004511E1">
      <w:pPr>
        <w:spacing w:after="0"/>
        <w:jc w:val="both"/>
        <w:rPr>
          <w:rFonts w:ascii="Verdana" w:eastAsia="Aptos" w:hAnsi="Verdana" w:cs="Times New Roman"/>
          <w:color w:val="212121"/>
          <w:lang w:eastAsia="es-MX"/>
        </w:rPr>
      </w:pPr>
    </w:p>
    <w:p w14:paraId="58E8304A" w14:textId="77777777" w:rsidR="004511E1" w:rsidRPr="001B3C5D" w:rsidRDefault="004511E1" w:rsidP="004511E1">
      <w:pPr>
        <w:spacing w:after="0" w:line="240" w:lineRule="auto"/>
        <w:jc w:val="both"/>
        <w:rPr>
          <w:rFonts w:ascii="Verdana" w:eastAsia="Calibri" w:hAnsi="Verdana" w:cs="Times New Roman"/>
          <w:lang w:eastAsia="es-MX"/>
        </w:rPr>
      </w:pPr>
      <w:r w:rsidRPr="001B3C5D">
        <w:rPr>
          <w:rFonts w:ascii="Verdana" w:eastAsia="Aptos" w:hAnsi="Verdana" w:cs="Times New Roman"/>
          <w:lang w:eastAsia="es-MX"/>
        </w:rPr>
        <w:t xml:space="preserve">Por último, lo invitamos a seguirnos en las redes sociales en las cuales se difunde información institucional: </w:t>
      </w:r>
    </w:p>
    <w:p w14:paraId="5E917EEB" w14:textId="77777777" w:rsidR="004511E1" w:rsidRPr="001B3C5D" w:rsidRDefault="004511E1" w:rsidP="004511E1">
      <w:pPr>
        <w:spacing w:after="0" w:line="240" w:lineRule="auto"/>
        <w:jc w:val="both"/>
        <w:rPr>
          <w:rFonts w:ascii="Verdana" w:eastAsia="Aptos" w:hAnsi="Verdana" w:cs="Times New Roman"/>
          <w:lang w:eastAsia="es-MX"/>
        </w:rPr>
      </w:pPr>
    </w:p>
    <w:p w14:paraId="0EBED6C4" w14:textId="77777777" w:rsidR="004511E1" w:rsidRPr="001B3C5D" w:rsidRDefault="004511E1" w:rsidP="004511E1">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Twitter: </w:t>
      </w:r>
      <w:r w:rsidRPr="001B3C5D">
        <w:rPr>
          <w:rFonts w:ascii="Verdana" w:eastAsia="Calibri" w:hAnsi="Verdana" w:cs="Times New Roman"/>
          <w:color w:val="156082"/>
          <w:u w:val="single"/>
          <w:lang w:eastAsia="es-MX"/>
        </w:rPr>
        <w:t>@colombiacompra</w:t>
      </w:r>
      <w:r w:rsidRPr="001B3C5D">
        <w:rPr>
          <w:rFonts w:ascii="Verdana" w:eastAsia="Calibri" w:hAnsi="Verdana" w:cs="Times New Roman"/>
          <w:color w:val="156082"/>
          <w:lang w:eastAsia="es-MX"/>
        </w:rPr>
        <w:t xml:space="preserve"> </w:t>
      </w:r>
    </w:p>
    <w:p w14:paraId="4A41C511" w14:textId="77777777" w:rsidR="004511E1" w:rsidRPr="001B3C5D" w:rsidRDefault="004511E1" w:rsidP="004511E1">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Facebook: </w:t>
      </w:r>
      <w:proofErr w:type="spellStart"/>
      <w:r w:rsidRPr="001B3C5D">
        <w:rPr>
          <w:rFonts w:ascii="Verdana" w:eastAsia="Calibri" w:hAnsi="Verdana" w:cs="Times New Roman"/>
          <w:color w:val="156082"/>
          <w:u w:val="single"/>
          <w:lang w:eastAsia="es-MX"/>
        </w:rPr>
        <w:t>ColombiaCompraEficiente</w:t>
      </w:r>
      <w:proofErr w:type="spellEnd"/>
    </w:p>
    <w:p w14:paraId="5831E8ED" w14:textId="77777777" w:rsidR="004511E1" w:rsidRPr="001B3C5D" w:rsidRDefault="004511E1" w:rsidP="004511E1">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lastRenderedPageBreak/>
        <w:t xml:space="preserve">LinkedIn: </w:t>
      </w:r>
      <w:r w:rsidRPr="001B3C5D">
        <w:rPr>
          <w:rFonts w:ascii="Verdana" w:eastAsia="Calibri" w:hAnsi="Verdana" w:cs="Times New Roman"/>
          <w:color w:val="156082"/>
          <w:u w:val="single"/>
          <w:lang w:eastAsia="es-MX"/>
        </w:rPr>
        <w:t>Agencia Nacional de Contratación Pública - Colombia Compra Eficiente</w:t>
      </w:r>
      <w:r w:rsidRPr="001B3C5D">
        <w:rPr>
          <w:rFonts w:ascii="Verdana" w:eastAsia="Calibri" w:hAnsi="Verdana" w:cs="Times New Roman"/>
          <w:color w:val="156082"/>
          <w:lang w:eastAsia="es-MX"/>
        </w:rPr>
        <w:t xml:space="preserve"> </w:t>
      </w:r>
      <w:r w:rsidRPr="001B3C5D">
        <w:rPr>
          <w:rFonts w:ascii="Verdana" w:eastAsia="Aptos" w:hAnsi="Verdana" w:cs="Times New Roman"/>
          <w:lang w:eastAsia="es-MX"/>
        </w:rPr>
        <w:t xml:space="preserve">Instagram: </w:t>
      </w:r>
      <w:r w:rsidRPr="001B3C5D">
        <w:rPr>
          <w:rFonts w:ascii="Verdana" w:eastAsia="Calibri" w:hAnsi="Verdana" w:cs="Times New Roman"/>
          <w:color w:val="156082"/>
          <w:u w:val="single"/>
          <w:lang w:eastAsia="es-MX"/>
        </w:rPr>
        <w:t>@colombiacompraeficiente_cce</w:t>
      </w:r>
    </w:p>
    <w:p w14:paraId="0DC1BE71" w14:textId="77777777" w:rsidR="004511E1" w:rsidRPr="001B3C5D" w:rsidRDefault="004511E1" w:rsidP="004511E1">
      <w:pPr>
        <w:spacing w:after="0" w:line="276" w:lineRule="auto"/>
        <w:jc w:val="both"/>
        <w:rPr>
          <w:rFonts w:ascii="Verdana" w:eastAsia="Aptos" w:hAnsi="Verdana" w:cs="Times New Roman"/>
          <w:lang w:eastAsia="es-MX"/>
        </w:rPr>
      </w:pPr>
    </w:p>
    <w:p w14:paraId="5CB3AF91" w14:textId="77777777" w:rsidR="004511E1" w:rsidRPr="001B3C5D" w:rsidRDefault="004511E1" w:rsidP="004511E1">
      <w:pPr>
        <w:spacing w:after="0" w:line="276" w:lineRule="auto"/>
        <w:jc w:val="both"/>
        <w:rPr>
          <w:rFonts w:ascii="Verdana" w:eastAsia="Calibri" w:hAnsi="Verdana" w:cs="Times New Roman"/>
          <w:bCs/>
          <w:lang w:val="es-ES_tradnl" w:eastAsia="es-MX"/>
        </w:rPr>
      </w:pPr>
      <w:r w:rsidRPr="001B3C5D">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7463488E" w14:textId="77777777" w:rsidR="004511E1" w:rsidRPr="001B3C5D" w:rsidRDefault="004511E1" w:rsidP="004511E1">
      <w:pPr>
        <w:spacing w:after="0" w:line="276" w:lineRule="auto"/>
        <w:jc w:val="both"/>
        <w:rPr>
          <w:rFonts w:ascii="Verdana" w:eastAsia="Calibri" w:hAnsi="Verdana" w:cs="Times New Roman"/>
          <w:lang w:eastAsia="es-MX"/>
        </w:rPr>
      </w:pPr>
    </w:p>
    <w:p w14:paraId="1FE36B98" w14:textId="77777777" w:rsidR="004511E1" w:rsidRPr="001B3C5D" w:rsidRDefault="004511E1" w:rsidP="004511E1">
      <w:pPr>
        <w:spacing w:after="0" w:line="276" w:lineRule="auto"/>
        <w:jc w:val="both"/>
        <w:rPr>
          <w:rFonts w:ascii="Verdana" w:eastAsia="Calibri" w:hAnsi="Verdana" w:cs="Times New Roman"/>
          <w:lang w:eastAsia="es-MX"/>
        </w:rPr>
      </w:pPr>
      <w:r w:rsidRPr="001B3C5D">
        <w:rPr>
          <w:rFonts w:ascii="Verdana" w:eastAsia="Calibri" w:hAnsi="Verdana" w:cs="Times New Roman"/>
          <w:lang w:eastAsia="es-MX"/>
        </w:rPr>
        <w:t>Atentamente,</w:t>
      </w:r>
    </w:p>
    <w:p w14:paraId="72A3715E" w14:textId="77777777" w:rsidR="004511E1" w:rsidRPr="001B3C5D" w:rsidRDefault="004511E1" w:rsidP="004511E1">
      <w:pPr>
        <w:tabs>
          <w:tab w:val="left" w:pos="1320"/>
        </w:tabs>
        <w:spacing w:after="0"/>
        <w:jc w:val="center"/>
        <w:rPr>
          <w:rFonts w:ascii="Verdana" w:eastAsia="Calibri" w:hAnsi="Verdana" w:cs="Times New Roman"/>
          <w:lang w:eastAsia="es-MX"/>
        </w:rPr>
      </w:pPr>
    </w:p>
    <w:p w14:paraId="03412A79" w14:textId="3967CDDB" w:rsidR="004511E1" w:rsidRPr="00A27102" w:rsidRDefault="0037659A" w:rsidP="004511E1">
      <w:pPr>
        <w:spacing w:line="276" w:lineRule="auto"/>
        <w:jc w:val="center"/>
        <w:rPr>
          <w:rFonts w:ascii="Verdana" w:hAnsi="Verdana" w:cs="Arial"/>
          <w:color w:val="000000"/>
          <w:lang w:val="es-ES_tradnl" w:eastAsia="es-CO"/>
        </w:rPr>
      </w:pPr>
      <w:r>
        <w:rPr>
          <w:noProof/>
        </w:rPr>
        <w:drawing>
          <wp:inline distT="0" distB="0" distL="0" distR="0" wp14:anchorId="5E5113C3" wp14:editId="67700B6F">
            <wp:extent cx="3771265" cy="1399540"/>
            <wp:effectExtent l="0" t="0" r="635" b="0"/>
            <wp:docPr id="1496559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59145" name="Imagen 1"/>
                    <pic:cNvPicPr>
                      <a:picLocks noChangeAspect="1"/>
                    </pic:cNvPicPr>
                  </pic:nvPicPr>
                  <pic:blipFill>
                    <a:blip r:embed="rId17"/>
                    <a:stretch>
                      <a:fillRect/>
                    </a:stretch>
                  </pic:blipFill>
                  <pic:spPr>
                    <a:xfrm>
                      <a:off x="0" y="0"/>
                      <a:ext cx="3771265" cy="139954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511E1" w:rsidRPr="00A27102" w14:paraId="05B945CE" w14:textId="77777777" w:rsidTr="0044414F">
        <w:trPr>
          <w:trHeight w:val="315"/>
        </w:trPr>
        <w:tc>
          <w:tcPr>
            <w:tcW w:w="893" w:type="dxa"/>
            <w:vAlign w:val="center"/>
            <w:hideMark/>
          </w:tcPr>
          <w:p w14:paraId="7607193A" w14:textId="77777777" w:rsidR="004511E1" w:rsidRPr="00A27102" w:rsidRDefault="004511E1" w:rsidP="0044414F">
            <w:pPr>
              <w:contextualSpacing/>
              <w:rPr>
                <w:rFonts w:ascii="Verdana" w:hAnsi="Verdana" w:cs="Arial"/>
                <w:sz w:val="16"/>
                <w:szCs w:val="16"/>
                <w:lang w:val="es-ES" w:eastAsia="es-ES"/>
              </w:rPr>
            </w:pPr>
            <w:r w:rsidRPr="00A27102">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95FCBE6" w14:textId="77777777" w:rsidR="004511E1" w:rsidRPr="00A27102" w:rsidRDefault="004511E1" w:rsidP="0044414F">
            <w:pPr>
              <w:contextualSpacing/>
              <w:rPr>
                <w:rFonts w:ascii="Verdana" w:hAnsi="Verdana"/>
                <w:sz w:val="16"/>
                <w:szCs w:val="16"/>
              </w:rPr>
            </w:pPr>
            <w:r w:rsidRPr="00A27102">
              <w:rPr>
                <w:rFonts w:ascii="Verdana" w:hAnsi="Verdana"/>
                <w:sz w:val="16"/>
                <w:szCs w:val="16"/>
              </w:rPr>
              <w:t>Tatiana Baquero Iguarán</w:t>
            </w:r>
          </w:p>
          <w:p w14:paraId="3B1DEA7B" w14:textId="77777777" w:rsidR="004511E1" w:rsidRPr="00A27102" w:rsidRDefault="004511E1" w:rsidP="0044414F">
            <w:pPr>
              <w:contextualSpacing/>
              <w:rPr>
                <w:rFonts w:ascii="Verdana" w:eastAsia="Arial" w:hAnsi="Verdana" w:cs="Arial"/>
                <w:sz w:val="16"/>
                <w:szCs w:val="16"/>
              </w:rPr>
            </w:pPr>
            <w:r w:rsidRPr="00A27102">
              <w:rPr>
                <w:rFonts w:ascii="Verdana" w:hAnsi="Verdana"/>
                <w:sz w:val="16"/>
                <w:szCs w:val="16"/>
              </w:rPr>
              <w:t>Contratista de la Subdirección de Gestión Contractual</w:t>
            </w:r>
          </w:p>
        </w:tc>
      </w:tr>
      <w:tr w:rsidR="004511E1" w:rsidRPr="00A27102" w14:paraId="5BC10FD9" w14:textId="77777777" w:rsidTr="0044414F">
        <w:trPr>
          <w:trHeight w:val="330"/>
        </w:trPr>
        <w:tc>
          <w:tcPr>
            <w:tcW w:w="893" w:type="dxa"/>
            <w:vAlign w:val="center"/>
            <w:hideMark/>
          </w:tcPr>
          <w:p w14:paraId="2FB7B080" w14:textId="77777777" w:rsidR="004511E1" w:rsidRPr="00A27102" w:rsidRDefault="004511E1" w:rsidP="0044414F">
            <w:pPr>
              <w:contextualSpacing/>
              <w:rPr>
                <w:rFonts w:ascii="Verdana" w:hAnsi="Verdana" w:cs="Arial"/>
                <w:sz w:val="16"/>
                <w:szCs w:val="16"/>
                <w:lang w:val="es-ES" w:eastAsia="es-ES"/>
              </w:rPr>
            </w:pPr>
            <w:r w:rsidRPr="00A2710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4FAEEF9" w14:textId="77777777" w:rsidR="004511E1" w:rsidRPr="00A27102" w:rsidRDefault="004511E1" w:rsidP="0044414F">
            <w:pPr>
              <w:spacing w:before="100" w:beforeAutospacing="1" w:afterAutospacing="1"/>
              <w:contextualSpacing/>
              <w:textAlignment w:val="baseline"/>
              <w:rPr>
                <w:rFonts w:ascii="Verdana" w:eastAsia="Times New Roman" w:hAnsi="Verdana" w:cs="Arial"/>
                <w:sz w:val="16"/>
                <w:szCs w:val="16"/>
                <w:lang w:val="es-ES" w:eastAsia="es-ES_tradnl"/>
              </w:rPr>
            </w:pPr>
            <w:r w:rsidRPr="00A27102">
              <w:rPr>
                <w:rFonts w:ascii="Verdana" w:eastAsia="Times New Roman" w:hAnsi="Verdana" w:cs="Arial"/>
                <w:sz w:val="16"/>
                <w:szCs w:val="16"/>
                <w:lang w:val="es-ES" w:eastAsia="es-ES_tradnl"/>
              </w:rPr>
              <w:t>Alejandro Sarmiento Cantillo</w:t>
            </w:r>
          </w:p>
          <w:p w14:paraId="19AEA372" w14:textId="77777777" w:rsidR="004511E1" w:rsidRPr="00A27102" w:rsidRDefault="004511E1" w:rsidP="0044414F">
            <w:pPr>
              <w:contextualSpacing/>
              <w:textAlignment w:val="baseline"/>
              <w:rPr>
                <w:rFonts w:ascii="Verdana" w:eastAsia="Times New Roman" w:hAnsi="Verdana" w:cs="Segoe UI"/>
                <w:sz w:val="16"/>
                <w:szCs w:val="16"/>
                <w:lang w:eastAsia="es-ES_tradnl"/>
              </w:rPr>
            </w:pPr>
            <w:r w:rsidRPr="00A27102">
              <w:rPr>
                <w:rFonts w:ascii="Verdana" w:eastAsia="Times New Roman" w:hAnsi="Verdana" w:cs="Arial"/>
                <w:sz w:val="16"/>
                <w:szCs w:val="16"/>
                <w:lang w:val="es-ES" w:eastAsia="es-ES_tradnl"/>
              </w:rPr>
              <w:t>Gestor T1 ‒ 15 de la Subdirección de Gestión Contractual</w:t>
            </w:r>
            <w:r w:rsidRPr="00A27102">
              <w:rPr>
                <w:rFonts w:ascii="Verdana" w:eastAsia="Times New Roman" w:hAnsi="Verdana" w:cs="Arial"/>
                <w:sz w:val="16"/>
                <w:szCs w:val="16"/>
                <w:lang w:eastAsia="es-ES_tradnl"/>
              </w:rPr>
              <w:t> </w:t>
            </w:r>
          </w:p>
        </w:tc>
      </w:tr>
      <w:tr w:rsidR="004511E1" w:rsidRPr="00A27102" w14:paraId="022D2583" w14:textId="77777777" w:rsidTr="0044414F">
        <w:trPr>
          <w:trHeight w:val="300"/>
        </w:trPr>
        <w:tc>
          <w:tcPr>
            <w:tcW w:w="893" w:type="dxa"/>
            <w:vAlign w:val="center"/>
          </w:tcPr>
          <w:p w14:paraId="1889E3F5" w14:textId="77777777" w:rsidR="004511E1" w:rsidRPr="00A27102" w:rsidRDefault="004511E1" w:rsidP="0044414F">
            <w:pPr>
              <w:contextualSpacing/>
              <w:rPr>
                <w:rFonts w:ascii="Verdana" w:hAnsi="Verdana" w:cs="Arial"/>
                <w:sz w:val="16"/>
                <w:szCs w:val="16"/>
                <w:lang w:val="es-ES" w:eastAsia="es-ES"/>
              </w:rPr>
            </w:pPr>
            <w:r w:rsidRPr="00A2710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CFAE599" w14:textId="77777777" w:rsidR="004511E1" w:rsidRPr="00A27102" w:rsidRDefault="004511E1" w:rsidP="0044414F">
            <w:pPr>
              <w:contextualSpacing/>
              <w:rPr>
                <w:rFonts w:ascii="Verdana" w:eastAsia="Calibri" w:hAnsi="Verdana" w:cs="Arial"/>
                <w:sz w:val="16"/>
                <w:szCs w:val="16"/>
                <w:lang w:val="pt-BR" w:eastAsia="es-ES"/>
              </w:rPr>
            </w:pPr>
            <w:r w:rsidRPr="00A27102">
              <w:rPr>
                <w:rFonts w:ascii="Verdana" w:eastAsia="Calibri" w:hAnsi="Verdana" w:cs="Arial"/>
                <w:sz w:val="16"/>
                <w:szCs w:val="16"/>
                <w:lang w:val="pt-BR" w:eastAsia="es-ES"/>
              </w:rPr>
              <w:t xml:space="preserve">Carolina Quintero </w:t>
            </w:r>
            <w:proofErr w:type="spellStart"/>
            <w:r w:rsidRPr="00A27102">
              <w:rPr>
                <w:rFonts w:ascii="Verdana" w:eastAsia="Calibri" w:hAnsi="Verdana" w:cs="Arial"/>
                <w:sz w:val="16"/>
                <w:szCs w:val="16"/>
                <w:lang w:val="pt-BR" w:eastAsia="es-ES"/>
              </w:rPr>
              <w:t>Gacharná</w:t>
            </w:r>
            <w:proofErr w:type="spellEnd"/>
          </w:p>
          <w:p w14:paraId="4047163E" w14:textId="77777777" w:rsidR="004511E1" w:rsidRPr="00A27102" w:rsidRDefault="004511E1" w:rsidP="0044414F">
            <w:pPr>
              <w:contextualSpacing/>
              <w:rPr>
                <w:rFonts w:ascii="Verdana" w:eastAsia="Calibri" w:hAnsi="Verdana" w:cs="Arial"/>
                <w:sz w:val="16"/>
                <w:szCs w:val="16"/>
                <w:lang w:val="pt-BR" w:eastAsia="es-ES"/>
              </w:rPr>
            </w:pPr>
            <w:r w:rsidRPr="00A27102">
              <w:rPr>
                <w:rFonts w:ascii="Verdana" w:eastAsia="Calibri" w:hAnsi="Verdana" w:cs="Arial"/>
                <w:sz w:val="16"/>
                <w:szCs w:val="16"/>
                <w:lang w:eastAsia="es-ES"/>
              </w:rPr>
              <w:t>Subdirectora</w:t>
            </w:r>
            <w:r w:rsidRPr="00A27102">
              <w:rPr>
                <w:rFonts w:ascii="Verdana" w:eastAsia="Calibri" w:hAnsi="Verdana" w:cs="Arial"/>
                <w:sz w:val="16"/>
                <w:szCs w:val="16"/>
                <w:lang w:val="pt-BR" w:eastAsia="es-ES"/>
              </w:rPr>
              <w:t xml:space="preserve"> de Gestión Contratual ANCP – CCE</w:t>
            </w:r>
          </w:p>
        </w:tc>
      </w:tr>
    </w:tbl>
    <w:p w14:paraId="1904D607" w14:textId="77777777" w:rsidR="004511E1" w:rsidRPr="00F16D67" w:rsidRDefault="004511E1" w:rsidP="004511E1">
      <w:pPr>
        <w:spacing w:after="0" w:line="240" w:lineRule="auto"/>
        <w:textAlignment w:val="baseline"/>
        <w:rPr>
          <w:rFonts w:ascii="Verdana" w:eastAsia="Verdana" w:hAnsi="Verdana" w:cs="Verdana"/>
          <w:lang w:eastAsia="es-CO"/>
        </w:rPr>
      </w:pPr>
    </w:p>
    <w:p w14:paraId="6993904D" w14:textId="77777777" w:rsidR="004511E1" w:rsidRDefault="004511E1" w:rsidP="004511E1">
      <w:pPr>
        <w:spacing w:after="0" w:line="240" w:lineRule="auto"/>
        <w:jc w:val="both"/>
        <w:textAlignment w:val="baseline"/>
        <w:rPr>
          <w:rFonts w:ascii="Verdana" w:eastAsia="Verdana" w:hAnsi="Verdana" w:cs="Verdana"/>
          <w:lang w:eastAsia="es-CO"/>
        </w:rPr>
      </w:pPr>
    </w:p>
    <w:p w14:paraId="5D13CEEF" w14:textId="77777777" w:rsidR="004511E1" w:rsidRPr="000E2B93" w:rsidRDefault="004511E1" w:rsidP="004511E1">
      <w:pPr>
        <w:spacing w:after="0" w:line="240" w:lineRule="auto"/>
        <w:jc w:val="both"/>
        <w:textAlignment w:val="baseline"/>
        <w:rPr>
          <w:rFonts w:ascii="Verdana" w:eastAsia="Verdana" w:hAnsi="Verdana" w:cs="Verdana"/>
          <w:lang w:eastAsia="es-CO"/>
        </w:rPr>
      </w:pPr>
    </w:p>
    <w:p w14:paraId="5BF6956B" w14:textId="54B84300" w:rsidR="004511E1" w:rsidRPr="000E2B93" w:rsidRDefault="004511E1" w:rsidP="004511E1">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1DCF079C" w14:textId="77777777" w:rsidR="004511E1" w:rsidRPr="0015699B" w:rsidRDefault="004511E1" w:rsidP="004511E1">
      <w:pPr>
        <w:spacing w:after="0" w:line="240" w:lineRule="auto"/>
        <w:jc w:val="both"/>
        <w:textAlignment w:val="baseline"/>
        <w:rPr>
          <w:rFonts w:ascii="Verdana" w:eastAsia="Verdana" w:hAnsi="Verdana" w:cs="Verdana"/>
          <w:lang w:eastAsia="es-CO"/>
        </w:rPr>
      </w:pPr>
    </w:p>
    <w:p w14:paraId="2A63A811" w14:textId="77777777" w:rsidR="004511E1" w:rsidRPr="003C5CF2" w:rsidRDefault="004511E1" w:rsidP="004511E1"/>
    <w:p w14:paraId="4C335716" w14:textId="77777777" w:rsidR="004511E1" w:rsidRPr="00CE1719" w:rsidRDefault="004511E1" w:rsidP="004511E1"/>
    <w:p w14:paraId="0F293BF4" w14:textId="5EE29D61" w:rsidR="00127233" w:rsidRPr="004511E1" w:rsidRDefault="00127233" w:rsidP="004511E1"/>
    <w:sectPr w:rsidR="00127233" w:rsidRPr="004511E1"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869B" w14:textId="77777777" w:rsidR="00EB3B58" w:rsidRDefault="00EB3B58" w:rsidP="004A1847">
      <w:pPr>
        <w:spacing w:after="0" w:line="240" w:lineRule="auto"/>
      </w:pPr>
      <w:r>
        <w:separator/>
      </w:r>
    </w:p>
  </w:endnote>
  <w:endnote w:type="continuationSeparator" w:id="0">
    <w:p w14:paraId="7A0B4A26" w14:textId="77777777" w:rsidR="00EB3B58" w:rsidRDefault="00EB3B5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Work Sans">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F16D67"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F16D67">
      <w:rPr>
        <w:rFonts w:ascii="Verdana" w:eastAsia="Verdana" w:hAnsi="Verdana" w:cs="Verdana"/>
        <w:b/>
        <w:bCs/>
        <w:color w:val="000000"/>
        <w:sz w:val="18"/>
        <w:szCs w:val="18"/>
        <w:lang w:val="pt-BR" w:eastAsia="es-CO"/>
      </w:rPr>
      <w:t xml:space="preserve">Código: </w:t>
    </w:r>
    <w:r w:rsidRPr="00F16D67">
      <w:rPr>
        <w:rFonts w:ascii="Verdana" w:eastAsia="Verdana" w:hAnsi="Verdana" w:cs="Verdana"/>
        <w:color w:val="000000"/>
        <w:sz w:val="18"/>
        <w:szCs w:val="18"/>
        <w:lang w:val="pt-BR" w:eastAsia="es-CO"/>
      </w:rPr>
      <w:t xml:space="preserve">CCE-REC-FM-17 </w:t>
    </w:r>
    <w:r w:rsidRPr="00F16D67">
      <w:rPr>
        <w:rFonts w:ascii="Verdana" w:eastAsia="Verdana" w:hAnsi="Verdana" w:cs="Verdana"/>
        <w:b/>
        <w:bCs/>
        <w:color w:val="000000"/>
        <w:sz w:val="18"/>
        <w:szCs w:val="18"/>
        <w:lang w:val="pt-BR" w:eastAsia="es-CO"/>
      </w:rPr>
      <w:t xml:space="preserve">V: </w:t>
    </w:r>
    <w:r w:rsidRPr="00F16D67">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CE66F" w14:textId="77777777" w:rsidR="00EB3B58" w:rsidRDefault="00EB3B58" w:rsidP="004A1847">
      <w:pPr>
        <w:spacing w:after="0" w:line="240" w:lineRule="auto"/>
      </w:pPr>
      <w:r>
        <w:separator/>
      </w:r>
    </w:p>
  </w:footnote>
  <w:footnote w:type="continuationSeparator" w:id="0">
    <w:p w14:paraId="429F428D" w14:textId="77777777" w:rsidR="00EB3B58" w:rsidRDefault="00EB3B58" w:rsidP="004A1847">
      <w:pPr>
        <w:spacing w:after="0" w:line="240" w:lineRule="auto"/>
      </w:pPr>
      <w:r>
        <w:continuationSeparator/>
      </w:r>
    </w:p>
  </w:footnote>
  <w:footnote w:id="1">
    <w:p w14:paraId="6E458527" w14:textId="77777777" w:rsidR="004511E1" w:rsidRPr="00662625" w:rsidRDefault="004511E1" w:rsidP="004511E1">
      <w:pPr>
        <w:spacing w:after="80" w:line="240" w:lineRule="auto"/>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 xml:space="preserve">Colombia. Asamblea Nacional Constituyente. (1991). Constitución Política de Colombia. Artículo 13. </w:t>
      </w:r>
    </w:p>
    <w:p w14:paraId="7C120B05" w14:textId="77777777" w:rsidR="004511E1" w:rsidRPr="00662625" w:rsidRDefault="004511E1" w:rsidP="004511E1">
      <w:pPr>
        <w:spacing w:after="80" w:line="240" w:lineRule="auto"/>
        <w:ind w:firstLine="708"/>
        <w:jc w:val="both"/>
        <w:rPr>
          <w:rFonts w:ascii="Verdana" w:hAnsi="Verdana"/>
          <w:sz w:val="16"/>
          <w:szCs w:val="16"/>
        </w:rPr>
      </w:pPr>
    </w:p>
  </w:footnote>
  <w:footnote w:id="2">
    <w:p w14:paraId="5B3DC7B6" w14:textId="77777777" w:rsidR="004511E1" w:rsidRPr="00662625" w:rsidRDefault="004511E1" w:rsidP="004511E1">
      <w:pPr>
        <w:pStyle w:val="Textonotapie"/>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 xml:space="preserve">Colombia. Asamblea Nacional Constituyente. (1991). Constitución Política de Colombia. Artículos 47 y 54. </w:t>
      </w:r>
    </w:p>
    <w:p w14:paraId="6C23658F" w14:textId="77777777" w:rsidR="004511E1" w:rsidRPr="00662625" w:rsidRDefault="004511E1" w:rsidP="004511E1">
      <w:pPr>
        <w:pStyle w:val="Textonotapie"/>
        <w:ind w:firstLine="708"/>
        <w:jc w:val="both"/>
        <w:rPr>
          <w:rFonts w:ascii="Verdana" w:hAnsi="Verdana"/>
          <w:sz w:val="16"/>
          <w:szCs w:val="16"/>
          <w:lang w:val="es-ES"/>
        </w:rPr>
      </w:pPr>
    </w:p>
  </w:footnote>
  <w:footnote w:id="3">
    <w:p w14:paraId="24FC13FD" w14:textId="77777777" w:rsidR="004511E1" w:rsidRPr="00662625" w:rsidRDefault="004511E1" w:rsidP="004511E1">
      <w:pPr>
        <w:spacing w:after="80" w:line="240" w:lineRule="auto"/>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7597A042" w14:textId="77777777" w:rsidR="004511E1" w:rsidRPr="00662625" w:rsidRDefault="004511E1" w:rsidP="004511E1">
      <w:pPr>
        <w:spacing w:after="80" w:line="240" w:lineRule="auto"/>
        <w:ind w:firstLine="708"/>
        <w:jc w:val="both"/>
        <w:rPr>
          <w:rFonts w:ascii="Verdana" w:hAnsi="Verdana"/>
          <w:sz w:val="16"/>
          <w:szCs w:val="16"/>
        </w:rPr>
      </w:pPr>
    </w:p>
  </w:footnote>
  <w:footnote w:id="4">
    <w:p w14:paraId="54EBEB87" w14:textId="77777777" w:rsidR="004511E1" w:rsidRPr="00662625" w:rsidRDefault="004511E1" w:rsidP="004511E1">
      <w:pPr>
        <w:pStyle w:val="Textonotapie"/>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79B77514" w14:textId="77777777" w:rsidR="004511E1" w:rsidRPr="00662625" w:rsidRDefault="004511E1" w:rsidP="004511E1">
      <w:pPr>
        <w:pStyle w:val="Textonotapie"/>
        <w:ind w:firstLine="708"/>
        <w:jc w:val="both"/>
        <w:rPr>
          <w:rFonts w:ascii="Verdana" w:hAnsi="Verdana"/>
          <w:sz w:val="16"/>
          <w:szCs w:val="16"/>
          <w:lang w:val="es-ES"/>
        </w:rPr>
      </w:pPr>
    </w:p>
  </w:footnote>
  <w:footnote w:id="5">
    <w:p w14:paraId="0E1374B5" w14:textId="77777777" w:rsidR="004511E1" w:rsidRPr="00662625" w:rsidRDefault="004511E1" w:rsidP="004511E1">
      <w:pPr>
        <w:pStyle w:val="Textonotapie"/>
        <w:ind w:firstLine="708"/>
        <w:jc w:val="both"/>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1B7101B9" w14:textId="77777777" w:rsidR="004511E1" w:rsidRPr="00662625" w:rsidRDefault="004511E1" w:rsidP="004511E1">
      <w:pPr>
        <w:pStyle w:val="Textonotapie"/>
        <w:ind w:firstLine="708"/>
        <w:jc w:val="both"/>
        <w:rPr>
          <w:rFonts w:ascii="Verdana" w:hAnsi="Verdana"/>
          <w:sz w:val="16"/>
          <w:szCs w:val="16"/>
          <w:lang w:val="es-ES"/>
        </w:rPr>
      </w:pPr>
    </w:p>
  </w:footnote>
  <w:footnote w:id="6">
    <w:p w14:paraId="595BD200" w14:textId="77777777" w:rsidR="004511E1" w:rsidRPr="00662625" w:rsidRDefault="004511E1" w:rsidP="004511E1">
      <w:pPr>
        <w:pStyle w:val="Textonotapie"/>
        <w:ind w:firstLine="708"/>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329421E4" w14:textId="77777777" w:rsidR="004511E1" w:rsidRPr="00662625" w:rsidRDefault="004511E1" w:rsidP="004511E1">
      <w:pPr>
        <w:pStyle w:val="Textonotapie"/>
        <w:ind w:firstLine="708"/>
        <w:rPr>
          <w:rFonts w:ascii="Verdana" w:hAnsi="Verdana"/>
          <w:sz w:val="16"/>
          <w:szCs w:val="16"/>
          <w:lang w:val="es-ES"/>
        </w:rPr>
      </w:pPr>
    </w:p>
  </w:footnote>
  <w:footnote w:id="7">
    <w:p w14:paraId="77E50423" w14:textId="77777777" w:rsidR="004511E1" w:rsidRPr="00662625" w:rsidRDefault="004511E1" w:rsidP="004511E1">
      <w:pPr>
        <w:pStyle w:val="Textonotapie"/>
        <w:ind w:firstLine="708"/>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Colombia. Congreso de la República. (27 de febrero de 2013). Ley Estatutaria 1618 de 2013. Artículo 2, numeral 1. Diario Oficial 48717.</w:t>
      </w:r>
    </w:p>
    <w:p w14:paraId="27DCAA87" w14:textId="77777777" w:rsidR="004511E1" w:rsidRPr="00662625" w:rsidRDefault="004511E1" w:rsidP="004511E1">
      <w:pPr>
        <w:pStyle w:val="Textonotapie"/>
        <w:ind w:firstLine="708"/>
        <w:rPr>
          <w:rFonts w:ascii="Verdana" w:hAnsi="Verdana"/>
          <w:sz w:val="16"/>
          <w:szCs w:val="16"/>
          <w:lang w:val="es-ES"/>
        </w:rPr>
      </w:pPr>
    </w:p>
  </w:footnote>
  <w:footnote w:id="8">
    <w:p w14:paraId="5786C19A" w14:textId="77777777" w:rsidR="004511E1" w:rsidRPr="00662625" w:rsidRDefault="004511E1" w:rsidP="004511E1">
      <w:pPr>
        <w:pStyle w:val="Textonotapie"/>
        <w:ind w:firstLine="708"/>
        <w:rPr>
          <w:rFonts w:ascii="Verdana" w:hAnsi="Verdana"/>
          <w:sz w:val="16"/>
          <w:szCs w:val="16"/>
          <w:lang w:val="es-ES"/>
        </w:rPr>
      </w:pPr>
      <w:r w:rsidRPr="00662625">
        <w:rPr>
          <w:rStyle w:val="Refdenotaalpie"/>
          <w:rFonts w:ascii="Verdana" w:hAnsi="Verdana"/>
          <w:sz w:val="16"/>
          <w:szCs w:val="16"/>
        </w:rPr>
        <w:footnoteRef/>
      </w:r>
      <w:r w:rsidRPr="00662625">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 w:id="9">
    <w:p w14:paraId="67BE1280" w14:textId="77777777" w:rsidR="004511E1" w:rsidRPr="00662625" w:rsidRDefault="004511E1" w:rsidP="004511E1">
      <w:pPr>
        <w:pStyle w:val="Textonotapie"/>
        <w:ind w:firstLine="708"/>
        <w:jc w:val="both"/>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Consejo de Estado, Sección Quinta, del 12 de diciembre de 2024 (Rad. 05001-23-33-000-2024-00847-01, M.P. Omar Joaquín Barreto Suárez)</w:t>
      </w:r>
    </w:p>
    <w:p w14:paraId="01D8A560" w14:textId="77777777" w:rsidR="004511E1" w:rsidRPr="00662625" w:rsidRDefault="004511E1" w:rsidP="004511E1">
      <w:pPr>
        <w:pStyle w:val="Textonotapie"/>
        <w:rPr>
          <w:rFonts w:ascii="Verdana" w:hAnsi="Verdana"/>
          <w:sz w:val="16"/>
          <w:szCs w:val="16"/>
          <w:lang w:val="es-CO"/>
        </w:rPr>
      </w:pPr>
    </w:p>
  </w:footnote>
  <w:footnote w:id="10">
    <w:p w14:paraId="6F4D046D" w14:textId="77777777" w:rsidR="004511E1" w:rsidRPr="00662625" w:rsidRDefault="004511E1" w:rsidP="004511E1">
      <w:pPr>
        <w:pStyle w:val="Textonotapie"/>
        <w:ind w:firstLine="708"/>
        <w:jc w:val="both"/>
        <w:rPr>
          <w:rFonts w:ascii="Verdana" w:hAnsi="Verdana"/>
          <w:sz w:val="16"/>
          <w:szCs w:val="16"/>
          <w:lang w:val="es-ES_tradnl"/>
        </w:rPr>
      </w:pPr>
      <w:r w:rsidRPr="00662625">
        <w:rPr>
          <w:rStyle w:val="Refdenotaalpie"/>
          <w:rFonts w:ascii="Verdana" w:hAnsi="Verdana"/>
          <w:sz w:val="16"/>
          <w:szCs w:val="16"/>
        </w:rPr>
        <w:footnoteRef/>
      </w:r>
      <w:r w:rsidRPr="00662625">
        <w:rPr>
          <w:rFonts w:ascii="Verdana" w:hAnsi="Verdana"/>
          <w:sz w:val="16"/>
          <w:szCs w:val="16"/>
        </w:rPr>
        <w:t xml:space="preserve"> Parte considerativa del Decreto 287 de 2026.</w:t>
      </w:r>
    </w:p>
  </w:footnote>
  <w:footnote w:id="11">
    <w:p w14:paraId="78AFBE69" w14:textId="77777777" w:rsidR="004511E1" w:rsidRPr="00662625" w:rsidRDefault="004511E1" w:rsidP="004511E1">
      <w:pPr>
        <w:pStyle w:val="Textonotapie"/>
        <w:ind w:firstLine="709"/>
        <w:rPr>
          <w:rFonts w:ascii="Verdana" w:hAnsi="Verdana"/>
          <w:sz w:val="16"/>
          <w:szCs w:val="16"/>
          <w:lang w:val="es-CO"/>
        </w:rPr>
      </w:pPr>
      <w:r w:rsidRPr="00662625">
        <w:rPr>
          <w:rStyle w:val="Refdenotaalpie"/>
          <w:rFonts w:ascii="Verdana" w:hAnsi="Verdana"/>
          <w:sz w:val="16"/>
          <w:szCs w:val="16"/>
        </w:rPr>
        <w:footnoteRef/>
      </w:r>
      <w:r w:rsidRPr="00662625">
        <w:rPr>
          <w:rFonts w:ascii="Verdana" w:hAnsi="Verdana"/>
          <w:sz w:val="16"/>
          <w:szCs w:val="16"/>
        </w:rPr>
        <w:t xml:space="preserve">  Corte Constitucional. Sentencia C-569 de 2004. M.P. Rodrigo Uprimny Yepes.</w:t>
      </w:r>
    </w:p>
  </w:footnote>
  <w:footnote w:id="12">
    <w:p w14:paraId="0928B9CF" w14:textId="77777777" w:rsidR="004511E1" w:rsidRPr="00662625" w:rsidRDefault="004511E1" w:rsidP="004511E1">
      <w:pPr>
        <w:pStyle w:val="Textonotapie"/>
        <w:ind w:firstLine="708"/>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hAnsi="Verdana" w:cs="Arial"/>
          <w:color w:val="000000"/>
          <w:sz w:val="16"/>
          <w:szCs w:val="16"/>
        </w:rPr>
        <w:t>Consejo de Estado. Sala de Consulta y Servicio Civil. Concepto del 17 de abril de 1996. Rad. No. 811-1996. C.P. Roberto Suárez Franco.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A6D018E"/>
    <w:multiLevelType w:val="hybridMultilevel"/>
    <w:tmpl w:val="0B4CAD0C"/>
    <w:lvl w:ilvl="0" w:tplc="173EFC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C0E2B29"/>
    <w:multiLevelType w:val="multilevel"/>
    <w:tmpl w:val="F6B411A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04C2A5F"/>
    <w:multiLevelType w:val="hybridMultilevel"/>
    <w:tmpl w:val="622ED3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AC42B45"/>
    <w:multiLevelType w:val="hybridMultilevel"/>
    <w:tmpl w:val="7760FC0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7"/>
  </w:num>
  <w:num w:numId="7" w16cid:durableId="1946422806">
    <w:abstractNumId w:val="5"/>
  </w:num>
  <w:num w:numId="8" w16cid:durableId="152644682">
    <w:abstractNumId w:val="16"/>
  </w:num>
  <w:num w:numId="9" w16cid:durableId="1317221377">
    <w:abstractNumId w:val="7"/>
  </w:num>
  <w:num w:numId="10" w16cid:durableId="1471245386">
    <w:abstractNumId w:val="15"/>
  </w:num>
  <w:num w:numId="11" w16cid:durableId="289172385">
    <w:abstractNumId w:val="8"/>
  </w:num>
  <w:num w:numId="12" w16cid:durableId="1470781324">
    <w:abstractNumId w:val="0"/>
  </w:num>
  <w:num w:numId="13" w16cid:durableId="1512908409">
    <w:abstractNumId w:val="3"/>
  </w:num>
  <w:num w:numId="14" w16cid:durableId="895897244">
    <w:abstractNumId w:val="18"/>
  </w:num>
  <w:num w:numId="15" w16cid:durableId="390349800">
    <w:abstractNumId w:val="13"/>
  </w:num>
  <w:num w:numId="16" w16cid:durableId="679089576">
    <w:abstractNumId w:val="9"/>
  </w:num>
  <w:num w:numId="17" w16cid:durableId="1300108123">
    <w:abstractNumId w:val="11"/>
  </w:num>
  <w:num w:numId="18" w16cid:durableId="1069183687">
    <w:abstractNumId w:val="12"/>
  </w:num>
  <w:num w:numId="19" w16cid:durableId="992828691">
    <w:abstractNumId w:val="10"/>
  </w:num>
  <w:num w:numId="20" w16cid:durableId="1865904539">
    <w:abstractNumId w:val="2"/>
  </w:num>
  <w:num w:numId="21" w16cid:durableId="1348676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C56"/>
    <w:rsid w:val="000044E0"/>
    <w:rsid w:val="00004800"/>
    <w:rsid w:val="00004F27"/>
    <w:rsid w:val="000059C7"/>
    <w:rsid w:val="0000623B"/>
    <w:rsid w:val="0001207A"/>
    <w:rsid w:val="000129BD"/>
    <w:rsid w:val="00014503"/>
    <w:rsid w:val="00015B0F"/>
    <w:rsid w:val="00016E96"/>
    <w:rsid w:val="00016F78"/>
    <w:rsid w:val="00021AF8"/>
    <w:rsid w:val="00022C40"/>
    <w:rsid w:val="000237C0"/>
    <w:rsid w:val="00024309"/>
    <w:rsid w:val="00025026"/>
    <w:rsid w:val="000272FE"/>
    <w:rsid w:val="000305F3"/>
    <w:rsid w:val="00030C1E"/>
    <w:rsid w:val="00031FA0"/>
    <w:rsid w:val="0003312C"/>
    <w:rsid w:val="000339E5"/>
    <w:rsid w:val="0003557B"/>
    <w:rsid w:val="0003697D"/>
    <w:rsid w:val="00042E1B"/>
    <w:rsid w:val="00043D1A"/>
    <w:rsid w:val="00046526"/>
    <w:rsid w:val="00046945"/>
    <w:rsid w:val="000501D1"/>
    <w:rsid w:val="00052937"/>
    <w:rsid w:val="000570DB"/>
    <w:rsid w:val="0005750F"/>
    <w:rsid w:val="000603C6"/>
    <w:rsid w:val="00061B2A"/>
    <w:rsid w:val="00064699"/>
    <w:rsid w:val="00067E65"/>
    <w:rsid w:val="000705EB"/>
    <w:rsid w:val="00070788"/>
    <w:rsid w:val="000759FD"/>
    <w:rsid w:val="00081679"/>
    <w:rsid w:val="00082362"/>
    <w:rsid w:val="000875D7"/>
    <w:rsid w:val="00092916"/>
    <w:rsid w:val="00093AD5"/>
    <w:rsid w:val="00097144"/>
    <w:rsid w:val="000978B2"/>
    <w:rsid w:val="000A0436"/>
    <w:rsid w:val="000A604B"/>
    <w:rsid w:val="000A683E"/>
    <w:rsid w:val="000A7F73"/>
    <w:rsid w:val="000B19B9"/>
    <w:rsid w:val="000B4479"/>
    <w:rsid w:val="000B4777"/>
    <w:rsid w:val="000B7180"/>
    <w:rsid w:val="000B7AC4"/>
    <w:rsid w:val="000C0DDC"/>
    <w:rsid w:val="000C1C20"/>
    <w:rsid w:val="000C2918"/>
    <w:rsid w:val="000C79DC"/>
    <w:rsid w:val="000D0334"/>
    <w:rsid w:val="000D1CBA"/>
    <w:rsid w:val="000D5DA7"/>
    <w:rsid w:val="000E09E2"/>
    <w:rsid w:val="000E7846"/>
    <w:rsid w:val="000F6486"/>
    <w:rsid w:val="000F72D2"/>
    <w:rsid w:val="00100FCF"/>
    <w:rsid w:val="0010264D"/>
    <w:rsid w:val="00102DCC"/>
    <w:rsid w:val="001142C0"/>
    <w:rsid w:val="00116940"/>
    <w:rsid w:val="00123E0E"/>
    <w:rsid w:val="00125105"/>
    <w:rsid w:val="00127233"/>
    <w:rsid w:val="00135350"/>
    <w:rsid w:val="001361A1"/>
    <w:rsid w:val="001439A9"/>
    <w:rsid w:val="00143C98"/>
    <w:rsid w:val="001511E4"/>
    <w:rsid w:val="00152253"/>
    <w:rsid w:val="00152C22"/>
    <w:rsid w:val="00152EFE"/>
    <w:rsid w:val="001540AF"/>
    <w:rsid w:val="00155335"/>
    <w:rsid w:val="0015699B"/>
    <w:rsid w:val="00156D43"/>
    <w:rsid w:val="001642BF"/>
    <w:rsid w:val="00185D51"/>
    <w:rsid w:val="00196708"/>
    <w:rsid w:val="001A33BF"/>
    <w:rsid w:val="001A3911"/>
    <w:rsid w:val="001A4394"/>
    <w:rsid w:val="001A4B17"/>
    <w:rsid w:val="001B1156"/>
    <w:rsid w:val="001B3C5D"/>
    <w:rsid w:val="001B65B7"/>
    <w:rsid w:val="001C5150"/>
    <w:rsid w:val="001D3E7D"/>
    <w:rsid w:val="001D50D8"/>
    <w:rsid w:val="001E091C"/>
    <w:rsid w:val="001E166A"/>
    <w:rsid w:val="001E4177"/>
    <w:rsid w:val="001F0B24"/>
    <w:rsid w:val="001F61C0"/>
    <w:rsid w:val="001F6AE7"/>
    <w:rsid w:val="001F74B0"/>
    <w:rsid w:val="001F7DC6"/>
    <w:rsid w:val="00200074"/>
    <w:rsid w:val="00200374"/>
    <w:rsid w:val="00201242"/>
    <w:rsid w:val="00201758"/>
    <w:rsid w:val="00207570"/>
    <w:rsid w:val="0021009C"/>
    <w:rsid w:val="0021115E"/>
    <w:rsid w:val="00211953"/>
    <w:rsid w:val="00212160"/>
    <w:rsid w:val="00212451"/>
    <w:rsid w:val="00221C61"/>
    <w:rsid w:val="0022343A"/>
    <w:rsid w:val="00223F0A"/>
    <w:rsid w:val="0022400B"/>
    <w:rsid w:val="002323DF"/>
    <w:rsid w:val="00232DDC"/>
    <w:rsid w:val="00241423"/>
    <w:rsid w:val="00241D90"/>
    <w:rsid w:val="00241E65"/>
    <w:rsid w:val="002421BB"/>
    <w:rsid w:val="00242452"/>
    <w:rsid w:val="00242C03"/>
    <w:rsid w:val="002508EF"/>
    <w:rsid w:val="00252F69"/>
    <w:rsid w:val="00256F70"/>
    <w:rsid w:val="0025796E"/>
    <w:rsid w:val="00267922"/>
    <w:rsid w:val="002707A2"/>
    <w:rsid w:val="00270BA0"/>
    <w:rsid w:val="00270D03"/>
    <w:rsid w:val="00285AB0"/>
    <w:rsid w:val="0028718B"/>
    <w:rsid w:val="00291ABB"/>
    <w:rsid w:val="002923D2"/>
    <w:rsid w:val="00293DAE"/>
    <w:rsid w:val="002951A0"/>
    <w:rsid w:val="002962BC"/>
    <w:rsid w:val="002A093D"/>
    <w:rsid w:val="002A0DD0"/>
    <w:rsid w:val="002A20DD"/>
    <w:rsid w:val="002A3E74"/>
    <w:rsid w:val="002A4029"/>
    <w:rsid w:val="002A49AC"/>
    <w:rsid w:val="002A5618"/>
    <w:rsid w:val="002A64FD"/>
    <w:rsid w:val="002C0A41"/>
    <w:rsid w:val="002C0C08"/>
    <w:rsid w:val="002C1BBB"/>
    <w:rsid w:val="002C207B"/>
    <w:rsid w:val="002C4576"/>
    <w:rsid w:val="002C4BAB"/>
    <w:rsid w:val="002C7A84"/>
    <w:rsid w:val="002D22A7"/>
    <w:rsid w:val="002D24C3"/>
    <w:rsid w:val="002D76BC"/>
    <w:rsid w:val="002E2BF8"/>
    <w:rsid w:val="002E48C0"/>
    <w:rsid w:val="002E4FD9"/>
    <w:rsid w:val="002E6065"/>
    <w:rsid w:val="002E6211"/>
    <w:rsid w:val="002F070F"/>
    <w:rsid w:val="002F22AD"/>
    <w:rsid w:val="002F4DC4"/>
    <w:rsid w:val="00300FF2"/>
    <w:rsid w:val="00301018"/>
    <w:rsid w:val="00305D20"/>
    <w:rsid w:val="0030657A"/>
    <w:rsid w:val="00307054"/>
    <w:rsid w:val="0031461F"/>
    <w:rsid w:val="00315578"/>
    <w:rsid w:val="003174B9"/>
    <w:rsid w:val="0031759C"/>
    <w:rsid w:val="00317640"/>
    <w:rsid w:val="0032054B"/>
    <w:rsid w:val="0032083C"/>
    <w:rsid w:val="003211AC"/>
    <w:rsid w:val="00322A85"/>
    <w:rsid w:val="0032386A"/>
    <w:rsid w:val="00324168"/>
    <w:rsid w:val="00325197"/>
    <w:rsid w:val="003270EB"/>
    <w:rsid w:val="00330834"/>
    <w:rsid w:val="00331D08"/>
    <w:rsid w:val="00332493"/>
    <w:rsid w:val="00333E92"/>
    <w:rsid w:val="00336FF6"/>
    <w:rsid w:val="003402DD"/>
    <w:rsid w:val="00341ABD"/>
    <w:rsid w:val="003448F4"/>
    <w:rsid w:val="00344C7B"/>
    <w:rsid w:val="00345822"/>
    <w:rsid w:val="0034693C"/>
    <w:rsid w:val="003530D8"/>
    <w:rsid w:val="00353C74"/>
    <w:rsid w:val="00354BF4"/>
    <w:rsid w:val="00360AD4"/>
    <w:rsid w:val="00364966"/>
    <w:rsid w:val="00366CCF"/>
    <w:rsid w:val="00370640"/>
    <w:rsid w:val="0037068F"/>
    <w:rsid w:val="003724A1"/>
    <w:rsid w:val="00374F5E"/>
    <w:rsid w:val="00374FD2"/>
    <w:rsid w:val="0037573F"/>
    <w:rsid w:val="00376358"/>
    <w:rsid w:val="0037659A"/>
    <w:rsid w:val="00376DC9"/>
    <w:rsid w:val="00377E3E"/>
    <w:rsid w:val="00392E62"/>
    <w:rsid w:val="00394B90"/>
    <w:rsid w:val="003A00FC"/>
    <w:rsid w:val="003A779E"/>
    <w:rsid w:val="003B624C"/>
    <w:rsid w:val="003C458F"/>
    <w:rsid w:val="003C5CF2"/>
    <w:rsid w:val="003C5D1C"/>
    <w:rsid w:val="003D0F4D"/>
    <w:rsid w:val="003D5B0D"/>
    <w:rsid w:val="003D5CF1"/>
    <w:rsid w:val="003E0499"/>
    <w:rsid w:val="003E2BDD"/>
    <w:rsid w:val="003E4F80"/>
    <w:rsid w:val="003E6439"/>
    <w:rsid w:val="003F2A16"/>
    <w:rsid w:val="003F3941"/>
    <w:rsid w:val="004057C1"/>
    <w:rsid w:val="00406575"/>
    <w:rsid w:val="00406C62"/>
    <w:rsid w:val="00411C79"/>
    <w:rsid w:val="0041216B"/>
    <w:rsid w:val="00412A0D"/>
    <w:rsid w:val="0041387F"/>
    <w:rsid w:val="00414C74"/>
    <w:rsid w:val="00415096"/>
    <w:rsid w:val="00415772"/>
    <w:rsid w:val="004243CF"/>
    <w:rsid w:val="00426C2C"/>
    <w:rsid w:val="0042722E"/>
    <w:rsid w:val="00431CED"/>
    <w:rsid w:val="0043267F"/>
    <w:rsid w:val="004416CA"/>
    <w:rsid w:val="0044528D"/>
    <w:rsid w:val="00446CCD"/>
    <w:rsid w:val="00446E9F"/>
    <w:rsid w:val="004511E1"/>
    <w:rsid w:val="00454524"/>
    <w:rsid w:val="00456DDC"/>
    <w:rsid w:val="00461407"/>
    <w:rsid w:val="00462409"/>
    <w:rsid w:val="0046297E"/>
    <w:rsid w:val="00465900"/>
    <w:rsid w:val="00466E39"/>
    <w:rsid w:val="00472AD0"/>
    <w:rsid w:val="00482194"/>
    <w:rsid w:val="00484662"/>
    <w:rsid w:val="00490D98"/>
    <w:rsid w:val="00496671"/>
    <w:rsid w:val="004A1847"/>
    <w:rsid w:val="004A2AFC"/>
    <w:rsid w:val="004A305D"/>
    <w:rsid w:val="004B1F39"/>
    <w:rsid w:val="004B7044"/>
    <w:rsid w:val="004C0600"/>
    <w:rsid w:val="004C2794"/>
    <w:rsid w:val="004C2BC6"/>
    <w:rsid w:val="004C3BF7"/>
    <w:rsid w:val="004C6D25"/>
    <w:rsid w:val="004C7CF0"/>
    <w:rsid w:val="004D2107"/>
    <w:rsid w:val="004D4F05"/>
    <w:rsid w:val="004D5DD8"/>
    <w:rsid w:val="004D6032"/>
    <w:rsid w:val="004E3ABD"/>
    <w:rsid w:val="004E52D7"/>
    <w:rsid w:val="004E586F"/>
    <w:rsid w:val="004F21C4"/>
    <w:rsid w:val="004F25CF"/>
    <w:rsid w:val="004F3FEE"/>
    <w:rsid w:val="004F441B"/>
    <w:rsid w:val="004F685F"/>
    <w:rsid w:val="0050097B"/>
    <w:rsid w:val="005018A2"/>
    <w:rsid w:val="005019E3"/>
    <w:rsid w:val="0050556B"/>
    <w:rsid w:val="0050712A"/>
    <w:rsid w:val="00512C05"/>
    <w:rsid w:val="005205D1"/>
    <w:rsid w:val="005230A7"/>
    <w:rsid w:val="005267DE"/>
    <w:rsid w:val="0053024B"/>
    <w:rsid w:val="00533C31"/>
    <w:rsid w:val="00534146"/>
    <w:rsid w:val="0053468D"/>
    <w:rsid w:val="0053524F"/>
    <w:rsid w:val="00536739"/>
    <w:rsid w:val="00541851"/>
    <w:rsid w:val="00545091"/>
    <w:rsid w:val="00547E91"/>
    <w:rsid w:val="0055082D"/>
    <w:rsid w:val="00555EA5"/>
    <w:rsid w:val="005566A2"/>
    <w:rsid w:val="005566E8"/>
    <w:rsid w:val="00561978"/>
    <w:rsid w:val="00561A43"/>
    <w:rsid w:val="00573748"/>
    <w:rsid w:val="00574643"/>
    <w:rsid w:val="00574867"/>
    <w:rsid w:val="0057719F"/>
    <w:rsid w:val="005807A6"/>
    <w:rsid w:val="005862D4"/>
    <w:rsid w:val="00591460"/>
    <w:rsid w:val="005A24AF"/>
    <w:rsid w:val="005A65E0"/>
    <w:rsid w:val="005B0137"/>
    <w:rsid w:val="005B43A7"/>
    <w:rsid w:val="005B4DB5"/>
    <w:rsid w:val="005C3777"/>
    <w:rsid w:val="005C4DC4"/>
    <w:rsid w:val="005C5CDC"/>
    <w:rsid w:val="005D1550"/>
    <w:rsid w:val="005D476C"/>
    <w:rsid w:val="005D5656"/>
    <w:rsid w:val="005D5C24"/>
    <w:rsid w:val="005E3B80"/>
    <w:rsid w:val="005E40D6"/>
    <w:rsid w:val="005F1413"/>
    <w:rsid w:val="005F2032"/>
    <w:rsid w:val="005F3876"/>
    <w:rsid w:val="005F3DEF"/>
    <w:rsid w:val="005F5D71"/>
    <w:rsid w:val="00602BB9"/>
    <w:rsid w:val="00610AC3"/>
    <w:rsid w:val="00617608"/>
    <w:rsid w:val="006200BF"/>
    <w:rsid w:val="0062050D"/>
    <w:rsid w:val="006219F8"/>
    <w:rsid w:val="006227C1"/>
    <w:rsid w:val="00624C07"/>
    <w:rsid w:val="00625A5D"/>
    <w:rsid w:val="0062604A"/>
    <w:rsid w:val="006262B6"/>
    <w:rsid w:val="006302F7"/>
    <w:rsid w:val="006332FF"/>
    <w:rsid w:val="00633FB4"/>
    <w:rsid w:val="006351FC"/>
    <w:rsid w:val="006358B8"/>
    <w:rsid w:val="00637B13"/>
    <w:rsid w:val="0064233F"/>
    <w:rsid w:val="00643E18"/>
    <w:rsid w:val="00646B9F"/>
    <w:rsid w:val="00647206"/>
    <w:rsid w:val="006534ED"/>
    <w:rsid w:val="006547FD"/>
    <w:rsid w:val="00654953"/>
    <w:rsid w:val="00660B7B"/>
    <w:rsid w:val="00662625"/>
    <w:rsid w:val="00663328"/>
    <w:rsid w:val="00664217"/>
    <w:rsid w:val="00664617"/>
    <w:rsid w:val="00664DA6"/>
    <w:rsid w:val="00665D70"/>
    <w:rsid w:val="006670C6"/>
    <w:rsid w:val="0066789E"/>
    <w:rsid w:val="00670DE8"/>
    <w:rsid w:val="0067223D"/>
    <w:rsid w:val="00673803"/>
    <w:rsid w:val="00675C12"/>
    <w:rsid w:val="006836FE"/>
    <w:rsid w:val="0068418D"/>
    <w:rsid w:val="00684A43"/>
    <w:rsid w:val="00684BAF"/>
    <w:rsid w:val="00685A0A"/>
    <w:rsid w:val="00687913"/>
    <w:rsid w:val="00687E3D"/>
    <w:rsid w:val="006900D9"/>
    <w:rsid w:val="00690DB6"/>
    <w:rsid w:val="006965BE"/>
    <w:rsid w:val="00696B3E"/>
    <w:rsid w:val="00697080"/>
    <w:rsid w:val="006977E7"/>
    <w:rsid w:val="00697917"/>
    <w:rsid w:val="006A0406"/>
    <w:rsid w:val="006A4742"/>
    <w:rsid w:val="006A528A"/>
    <w:rsid w:val="006B0744"/>
    <w:rsid w:val="006B1C43"/>
    <w:rsid w:val="006B28CC"/>
    <w:rsid w:val="006B5C6C"/>
    <w:rsid w:val="006B5D20"/>
    <w:rsid w:val="006C22EA"/>
    <w:rsid w:val="006C3D85"/>
    <w:rsid w:val="006C4B1D"/>
    <w:rsid w:val="006C5904"/>
    <w:rsid w:val="006D1776"/>
    <w:rsid w:val="006D725F"/>
    <w:rsid w:val="006E12FC"/>
    <w:rsid w:val="006F3513"/>
    <w:rsid w:val="006F5EF2"/>
    <w:rsid w:val="007033DD"/>
    <w:rsid w:val="00706C16"/>
    <w:rsid w:val="007073AA"/>
    <w:rsid w:val="00713BC1"/>
    <w:rsid w:val="00720618"/>
    <w:rsid w:val="00723896"/>
    <w:rsid w:val="0072532B"/>
    <w:rsid w:val="007259BD"/>
    <w:rsid w:val="00725F48"/>
    <w:rsid w:val="007340C3"/>
    <w:rsid w:val="007363E2"/>
    <w:rsid w:val="00741F7C"/>
    <w:rsid w:val="00744F31"/>
    <w:rsid w:val="007452FF"/>
    <w:rsid w:val="00751753"/>
    <w:rsid w:val="0075235A"/>
    <w:rsid w:val="00752B17"/>
    <w:rsid w:val="00756841"/>
    <w:rsid w:val="00757A63"/>
    <w:rsid w:val="00760C9F"/>
    <w:rsid w:val="00761410"/>
    <w:rsid w:val="0076489E"/>
    <w:rsid w:val="007649AB"/>
    <w:rsid w:val="00765262"/>
    <w:rsid w:val="00766486"/>
    <w:rsid w:val="00767E76"/>
    <w:rsid w:val="0077000C"/>
    <w:rsid w:val="00771D0C"/>
    <w:rsid w:val="00771F03"/>
    <w:rsid w:val="00772972"/>
    <w:rsid w:val="00772F3B"/>
    <w:rsid w:val="007735DE"/>
    <w:rsid w:val="0077474C"/>
    <w:rsid w:val="00776EA9"/>
    <w:rsid w:val="00780032"/>
    <w:rsid w:val="00782E4A"/>
    <w:rsid w:val="007833AC"/>
    <w:rsid w:val="00784E6F"/>
    <w:rsid w:val="007852C5"/>
    <w:rsid w:val="00792A37"/>
    <w:rsid w:val="00793BD3"/>
    <w:rsid w:val="00794729"/>
    <w:rsid w:val="007A07C2"/>
    <w:rsid w:val="007A6AC8"/>
    <w:rsid w:val="007A70B9"/>
    <w:rsid w:val="007B268C"/>
    <w:rsid w:val="007B31F5"/>
    <w:rsid w:val="007B62D4"/>
    <w:rsid w:val="007B7171"/>
    <w:rsid w:val="007B75F9"/>
    <w:rsid w:val="007C0C0F"/>
    <w:rsid w:val="007C3DC2"/>
    <w:rsid w:val="007C6E53"/>
    <w:rsid w:val="007C7778"/>
    <w:rsid w:val="007D3D95"/>
    <w:rsid w:val="007D3E3D"/>
    <w:rsid w:val="007E2223"/>
    <w:rsid w:val="007E5497"/>
    <w:rsid w:val="007F5DA6"/>
    <w:rsid w:val="008007D9"/>
    <w:rsid w:val="00801331"/>
    <w:rsid w:val="00804AD3"/>
    <w:rsid w:val="00806F5F"/>
    <w:rsid w:val="00807681"/>
    <w:rsid w:val="008117D9"/>
    <w:rsid w:val="00811E15"/>
    <w:rsid w:val="00820278"/>
    <w:rsid w:val="0082081F"/>
    <w:rsid w:val="00820A1B"/>
    <w:rsid w:val="0082229D"/>
    <w:rsid w:val="008258C9"/>
    <w:rsid w:val="00826017"/>
    <w:rsid w:val="008332CA"/>
    <w:rsid w:val="00841504"/>
    <w:rsid w:val="008433AE"/>
    <w:rsid w:val="00844AE9"/>
    <w:rsid w:val="00851566"/>
    <w:rsid w:val="00854BD3"/>
    <w:rsid w:val="00856DA9"/>
    <w:rsid w:val="008576BF"/>
    <w:rsid w:val="00866221"/>
    <w:rsid w:val="00866DD0"/>
    <w:rsid w:val="00867F95"/>
    <w:rsid w:val="008763ED"/>
    <w:rsid w:val="00880CC7"/>
    <w:rsid w:val="00881C41"/>
    <w:rsid w:val="008834D7"/>
    <w:rsid w:val="008843B6"/>
    <w:rsid w:val="00884B18"/>
    <w:rsid w:val="00885569"/>
    <w:rsid w:val="00886F85"/>
    <w:rsid w:val="00890E0D"/>
    <w:rsid w:val="00891928"/>
    <w:rsid w:val="008969AF"/>
    <w:rsid w:val="00897B13"/>
    <w:rsid w:val="008A2EFE"/>
    <w:rsid w:val="008A446D"/>
    <w:rsid w:val="008B25F1"/>
    <w:rsid w:val="008B2B7D"/>
    <w:rsid w:val="008B2C76"/>
    <w:rsid w:val="008B7091"/>
    <w:rsid w:val="008B7765"/>
    <w:rsid w:val="008C138B"/>
    <w:rsid w:val="008C1460"/>
    <w:rsid w:val="008D0043"/>
    <w:rsid w:val="008D0137"/>
    <w:rsid w:val="008D025A"/>
    <w:rsid w:val="008D12DD"/>
    <w:rsid w:val="008D180B"/>
    <w:rsid w:val="008D2697"/>
    <w:rsid w:val="008E0213"/>
    <w:rsid w:val="008E2BC2"/>
    <w:rsid w:val="008E5128"/>
    <w:rsid w:val="008F0EA7"/>
    <w:rsid w:val="008F54B0"/>
    <w:rsid w:val="008F5CA5"/>
    <w:rsid w:val="008F5EB5"/>
    <w:rsid w:val="008F667B"/>
    <w:rsid w:val="00901496"/>
    <w:rsid w:val="00901EF5"/>
    <w:rsid w:val="00903305"/>
    <w:rsid w:val="00903F61"/>
    <w:rsid w:val="009046D2"/>
    <w:rsid w:val="0090650D"/>
    <w:rsid w:val="00910CD1"/>
    <w:rsid w:val="009110D3"/>
    <w:rsid w:val="00915323"/>
    <w:rsid w:val="0091569D"/>
    <w:rsid w:val="00916967"/>
    <w:rsid w:val="009179FE"/>
    <w:rsid w:val="00923A97"/>
    <w:rsid w:val="00923EEF"/>
    <w:rsid w:val="00924DB5"/>
    <w:rsid w:val="0093530E"/>
    <w:rsid w:val="00936576"/>
    <w:rsid w:val="009419F9"/>
    <w:rsid w:val="0094469E"/>
    <w:rsid w:val="009450CD"/>
    <w:rsid w:val="0095685E"/>
    <w:rsid w:val="00960FC0"/>
    <w:rsid w:val="00961B09"/>
    <w:rsid w:val="00963C82"/>
    <w:rsid w:val="00964A8C"/>
    <w:rsid w:val="00965334"/>
    <w:rsid w:val="00965782"/>
    <w:rsid w:val="0096590E"/>
    <w:rsid w:val="0097093E"/>
    <w:rsid w:val="00984D96"/>
    <w:rsid w:val="009855C4"/>
    <w:rsid w:val="00985B70"/>
    <w:rsid w:val="00987C13"/>
    <w:rsid w:val="009927E8"/>
    <w:rsid w:val="009967A3"/>
    <w:rsid w:val="009A055B"/>
    <w:rsid w:val="009A0AA5"/>
    <w:rsid w:val="009A0DFA"/>
    <w:rsid w:val="009A1C6F"/>
    <w:rsid w:val="009A36B0"/>
    <w:rsid w:val="009A7AFB"/>
    <w:rsid w:val="009B1653"/>
    <w:rsid w:val="009B2D26"/>
    <w:rsid w:val="009B4E6A"/>
    <w:rsid w:val="009B51AB"/>
    <w:rsid w:val="009B6C40"/>
    <w:rsid w:val="009C02AD"/>
    <w:rsid w:val="009C5FE6"/>
    <w:rsid w:val="009C6C16"/>
    <w:rsid w:val="009C71FA"/>
    <w:rsid w:val="009C72E7"/>
    <w:rsid w:val="009C7F7E"/>
    <w:rsid w:val="009D042A"/>
    <w:rsid w:val="009D3058"/>
    <w:rsid w:val="009D42AE"/>
    <w:rsid w:val="009D6BB9"/>
    <w:rsid w:val="009E136B"/>
    <w:rsid w:val="009E20FB"/>
    <w:rsid w:val="009E5872"/>
    <w:rsid w:val="009F2D96"/>
    <w:rsid w:val="009F3A13"/>
    <w:rsid w:val="00A01BE1"/>
    <w:rsid w:val="00A0248B"/>
    <w:rsid w:val="00A122D3"/>
    <w:rsid w:val="00A13A93"/>
    <w:rsid w:val="00A14468"/>
    <w:rsid w:val="00A17F13"/>
    <w:rsid w:val="00A20739"/>
    <w:rsid w:val="00A21BBF"/>
    <w:rsid w:val="00A21BC0"/>
    <w:rsid w:val="00A23AF9"/>
    <w:rsid w:val="00A26B4F"/>
    <w:rsid w:val="00A30FB8"/>
    <w:rsid w:val="00A31A19"/>
    <w:rsid w:val="00A33C78"/>
    <w:rsid w:val="00A3674A"/>
    <w:rsid w:val="00A3759A"/>
    <w:rsid w:val="00A4000E"/>
    <w:rsid w:val="00A410E9"/>
    <w:rsid w:val="00A41B71"/>
    <w:rsid w:val="00A421D3"/>
    <w:rsid w:val="00A426E7"/>
    <w:rsid w:val="00A53E5C"/>
    <w:rsid w:val="00A560D5"/>
    <w:rsid w:val="00A61475"/>
    <w:rsid w:val="00A62F8E"/>
    <w:rsid w:val="00A63419"/>
    <w:rsid w:val="00A6466A"/>
    <w:rsid w:val="00A66049"/>
    <w:rsid w:val="00A709D5"/>
    <w:rsid w:val="00A70BEA"/>
    <w:rsid w:val="00A72007"/>
    <w:rsid w:val="00A74B30"/>
    <w:rsid w:val="00A8032C"/>
    <w:rsid w:val="00A825CF"/>
    <w:rsid w:val="00A84C29"/>
    <w:rsid w:val="00A86033"/>
    <w:rsid w:val="00A87565"/>
    <w:rsid w:val="00A93044"/>
    <w:rsid w:val="00AA3D12"/>
    <w:rsid w:val="00AA5352"/>
    <w:rsid w:val="00AB0ADB"/>
    <w:rsid w:val="00AB414F"/>
    <w:rsid w:val="00AB4E6C"/>
    <w:rsid w:val="00AC0754"/>
    <w:rsid w:val="00AC3513"/>
    <w:rsid w:val="00AD1A05"/>
    <w:rsid w:val="00AD20E6"/>
    <w:rsid w:val="00AD229F"/>
    <w:rsid w:val="00AD323B"/>
    <w:rsid w:val="00AD58FD"/>
    <w:rsid w:val="00AD7BB1"/>
    <w:rsid w:val="00AE0BE9"/>
    <w:rsid w:val="00AE1BA6"/>
    <w:rsid w:val="00AE6150"/>
    <w:rsid w:val="00AE626F"/>
    <w:rsid w:val="00AF0656"/>
    <w:rsid w:val="00AF0D33"/>
    <w:rsid w:val="00AF1760"/>
    <w:rsid w:val="00AF3CEE"/>
    <w:rsid w:val="00B00C0E"/>
    <w:rsid w:val="00B00C5F"/>
    <w:rsid w:val="00B01B1A"/>
    <w:rsid w:val="00B034D8"/>
    <w:rsid w:val="00B0381D"/>
    <w:rsid w:val="00B040DD"/>
    <w:rsid w:val="00B05831"/>
    <w:rsid w:val="00B06F2D"/>
    <w:rsid w:val="00B10220"/>
    <w:rsid w:val="00B13146"/>
    <w:rsid w:val="00B21BB7"/>
    <w:rsid w:val="00B228D3"/>
    <w:rsid w:val="00B25B10"/>
    <w:rsid w:val="00B3133A"/>
    <w:rsid w:val="00B31F9B"/>
    <w:rsid w:val="00B33ABB"/>
    <w:rsid w:val="00B36620"/>
    <w:rsid w:val="00B372C3"/>
    <w:rsid w:val="00B41E9A"/>
    <w:rsid w:val="00B44A47"/>
    <w:rsid w:val="00B44AC0"/>
    <w:rsid w:val="00B45A4D"/>
    <w:rsid w:val="00B46620"/>
    <w:rsid w:val="00B46ED1"/>
    <w:rsid w:val="00B526F8"/>
    <w:rsid w:val="00B52F1C"/>
    <w:rsid w:val="00B53115"/>
    <w:rsid w:val="00B53264"/>
    <w:rsid w:val="00B54136"/>
    <w:rsid w:val="00B573AC"/>
    <w:rsid w:val="00B57BC2"/>
    <w:rsid w:val="00B64BB4"/>
    <w:rsid w:val="00B72CD3"/>
    <w:rsid w:val="00B72FFF"/>
    <w:rsid w:val="00B73617"/>
    <w:rsid w:val="00B774A7"/>
    <w:rsid w:val="00B8542D"/>
    <w:rsid w:val="00B90AC8"/>
    <w:rsid w:val="00B92A85"/>
    <w:rsid w:val="00B93888"/>
    <w:rsid w:val="00B95E4F"/>
    <w:rsid w:val="00B96996"/>
    <w:rsid w:val="00B976A2"/>
    <w:rsid w:val="00BA0E9F"/>
    <w:rsid w:val="00BA18E8"/>
    <w:rsid w:val="00BA2452"/>
    <w:rsid w:val="00BA6536"/>
    <w:rsid w:val="00BA67FD"/>
    <w:rsid w:val="00BA767E"/>
    <w:rsid w:val="00BB26E9"/>
    <w:rsid w:val="00BB33FB"/>
    <w:rsid w:val="00BB6C7B"/>
    <w:rsid w:val="00BC1EA0"/>
    <w:rsid w:val="00BC3D36"/>
    <w:rsid w:val="00BC6EEA"/>
    <w:rsid w:val="00BD0AE2"/>
    <w:rsid w:val="00BD2EF9"/>
    <w:rsid w:val="00BD3F1C"/>
    <w:rsid w:val="00BD54A6"/>
    <w:rsid w:val="00BD7F72"/>
    <w:rsid w:val="00BE5525"/>
    <w:rsid w:val="00BE5FA3"/>
    <w:rsid w:val="00BE7E5F"/>
    <w:rsid w:val="00BF4213"/>
    <w:rsid w:val="00BF7425"/>
    <w:rsid w:val="00C02240"/>
    <w:rsid w:val="00C04FB3"/>
    <w:rsid w:val="00C06539"/>
    <w:rsid w:val="00C07BA5"/>
    <w:rsid w:val="00C11D8B"/>
    <w:rsid w:val="00C15139"/>
    <w:rsid w:val="00C217D2"/>
    <w:rsid w:val="00C22E7D"/>
    <w:rsid w:val="00C26BD9"/>
    <w:rsid w:val="00C26D25"/>
    <w:rsid w:val="00C30A3D"/>
    <w:rsid w:val="00C330EB"/>
    <w:rsid w:val="00C33B4F"/>
    <w:rsid w:val="00C34278"/>
    <w:rsid w:val="00C368AA"/>
    <w:rsid w:val="00C37A9C"/>
    <w:rsid w:val="00C41D53"/>
    <w:rsid w:val="00C42155"/>
    <w:rsid w:val="00C432C3"/>
    <w:rsid w:val="00C44A74"/>
    <w:rsid w:val="00C50D69"/>
    <w:rsid w:val="00C52A84"/>
    <w:rsid w:val="00C5365C"/>
    <w:rsid w:val="00C54C43"/>
    <w:rsid w:val="00C6718E"/>
    <w:rsid w:val="00C70446"/>
    <w:rsid w:val="00C71EB6"/>
    <w:rsid w:val="00C754BE"/>
    <w:rsid w:val="00C76B1C"/>
    <w:rsid w:val="00C80535"/>
    <w:rsid w:val="00C83736"/>
    <w:rsid w:val="00C846F5"/>
    <w:rsid w:val="00C925AC"/>
    <w:rsid w:val="00C92A6B"/>
    <w:rsid w:val="00C97E3A"/>
    <w:rsid w:val="00CA1AF7"/>
    <w:rsid w:val="00CA640D"/>
    <w:rsid w:val="00CB49AB"/>
    <w:rsid w:val="00CB6357"/>
    <w:rsid w:val="00CB7CAA"/>
    <w:rsid w:val="00CC182C"/>
    <w:rsid w:val="00CC1B26"/>
    <w:rsid w:val="00CC1F75"/>
    <w:rsid w:val="00CC2C28"/>
    <w:rsid w:val="00CC5886"/>
    <w:rsid w:val="00CD37E2"/>
    <w:rsid w:val="00CD3A52"/>
    <w:rsid w:val="00CD563A"/>
    <w:rsid w:val="00CD6353"/>
    <w:rsid w:val="00CE0CD6"/>
    <w:rsid w:val="00CE5DB0"/>
    <w:rsid w:val="00CF1EE0"/>
    <w:rsid w:val="00CF4A16"/>
    <w:rsid w:val="00CF6779"/>
    <w:rsid w:val="00CF7370"/>
    <w:rsid w:val="00D05048"/>
    <w:rsid w:val="00D10509"/>
    <w:rsid w:val="00D10E9C"/>
    <w:rsid w:val="00D150C0"/>
    <w:rsid w:val="00D22313"/>
    <w:rsid w:val="00D22B19"/>
    <w:rsid w:val="00D25885"/>
    <w:rsid w:val="00D2749F"/>
    <w:rsid w:val="00D31406"/>
    <w:rsid w:val="00D35021"/>
    <w:rsid w:val="00D3535C"/>
    <w:rsid w:val="00D357FA"/>
    <w:rsid w:val="00D361FD"/>
    <w:rsid w:val="00D40887"/>
    <w:rsid w:val="00D423A2"/>
    <w:rsid w:val="00D44E26"/>
    <w:rsid w:val="00D464B7"/>
    <w:rsid w:val="00D4657C"/>
    <w:rsid w:val="00D4799C"/>
    <w:rsid w:val="00D5189B"/>
    <w:rsid w:val="00D518B6"/>
    <w:rsid w:val="00D520D8"/>
    <w:rsid w:val="00D5412B"/>
    <w:rsid w:val="00D54C3B"/>
    <w:rsid w:val="00D558A8"/>
    <w:rsid w:val="00D60C18"/>
    <w:rsid w:val="00D63AC2"/>
    <w:rsid w:val="00D66D81"/>
    <w:rsid w:val="00D7383B"/>
    <w:rsid w:val="00D73C8C"/>
    <w:rsid w:val="00D7788A"/>
    <w:rsid w:val="00D84F30"/>
    <w:rsid w:val="00D9068E"/>
    <w:rsid w:val="00D95793"/>
    <w:rsid w:val="00D96563"/>
    <w:rsid w:val="00D96956"/>
    <w:rsid w:val="00DA231B"/>
    <w:rsid w:val="00DA4CB6"/>
    <w:rsid w:val="00DA7750"/>
    <w:rsid w:val="00DB0051"/>
    <w:rsid w:val="00DB0CC7"/>
    <w:rsid w:val="00DB21C6"/>
    <w:rsid w:val="00DB26C8"/>
    <w:rsid w:val="00DC1D8B"/>
    <w:rsid w:val="00DC2756"/>
    <w:rsid w:val="00DC39FC"/>
    <w:rsid w:val="00DC62CC"/>
    <w:rsid w:val="00DD0A15"/>
    <w:rsid w:val="00DD4C7D"/>
    <w:rsid w:val="00DD7B83"/>
    <w:rsid w:val="00DF1F0B"/>
    <w:rsid w:val="00DF46A3"/>
    <w:rsid w:val="00DF5254"/>
    <w:rsid w:val="00E01DF9"/>
    <w:rsid w:val="00E02524"/>
    <w:rsid w:val="00E06AEC"/>
    <w:rsid w:val="00E1224B"/>
    <w:rsid w:val="00E16408"/>
    <w:rsid w:val="00E20894"/>
    <w:rsid w:val="00E21B47"/>
    <w:rsid w:val="00E245AB"/>
    <w:rsid w:val="00E269F2"/>
    <w:rsid w:val="00E273F6"/>
    <w:rsid w:val="00E2764C"/>
    <w:rsid w:val="00E27F2E"/>
    <w:rsid w:val="00E3524B"/>
    <w:rsid w:val="00E401E6"/>
    <w:rsid w:val="00E404F6"/>
    <w:rsid w:val="00E504B7"/>
    <w:rsid w:val="00E50AFE"/>
    <w:rsid w:val="00E513DB"/>
    <w:rsid w:val="00E60FF9"/>
    <w:rsid w:val="00E63384"/>
    <w:rsid w:val="00E63921"/>
    <w:rsid w:val="00E66891"/>
    <w:rsid w:val="00E75C92"/>
    <w:rsid w:val="00E771DC"/>
    <w:rsid w:val="00E84709"/>
    <w:rsid w:val="00E8772A"/>
    <w:rsid w:val="00E90F6B"/>
    <w:rsid w:val="00E92C27"/>
    <w:rsid w:val="00E9436F"/>
    <w:rsid w:val="00EA09E7"/>
    <w:rsid w:val="00EA0E3D"/>
    <w:rsid w:val="00EA113C"/>
    <w:rsid w:val="00EA2384"/>
    <w:rsid w:val="00EA4983"/>
    <w:rsid w:val="00EB0A1F"/>
    <w:rsid w:val="00EB0A54"/>
    <w:rsid w:val="00EB1983"/>
    <w:rsid w:val="00EB3B58"/>
    <w:rsid w:val="00EB5F37"/>
    <w:rsid w:val="00EC2F70"/>
    <w:rsid w:val="00EC38A7"/>
    <w:rsid w:val="00EC439B"/>
    <w:rsid w:val="00EC6602"/>
    <w:rsid w:val="00ED385E"/>
    <w:rsid w:val="00ED79AD"/>
    <w:rsid w:val="00EE1966"/>
    <w:rsid w:val="00EE1AA8"/>
    <w:rsid w:val="00EE6D78"/>
    <w:rsid w:val="00F00C3D"/>
    <w:rsid w:val="00F115C2"/>
    <w:rsid w:val="00F119B0"/>
    <w:rsid w:val="00F16D67"/>
    <w:rsid w:val="00F23FEA"/>
    <w:rsid w:val="00F24D17"/>
    <w:rsid w:val="00F301D9"/>
    <w:rsid w:val="00F31EDC"/>
    <w:rsid w:val="00F3264F"/>
    <w:rsid w:val="00F340EC"/>
    <w:rsid w:val="00F462B3"/>
    <w:rsid w:val="00F47452"/>
    <w:rsid w:val="00F51A1A"/>
    <w:rsid w:val="00F5206E"/>
    <w:rsid w:val="00F5664F"/>
    <w:rsid w:val="00F60365"/>
    <w:rsid w:val="00F60F4F"/>
    <w:rsid w:val="00F6398F"/>
    <w:rsid w:val="00F656FA"/>
    <w:rsid w:val="00F666C4"/>
    <w:rsid w:val="00F678F4"/>
    <w:rsid w:val="00F71369"/>
    <w:rsid w:val="00F718E2"/>
    <w:rsid w:val="00F72D67"/>
    <w:rsid w:val="00F7517A"/>
    <w:rsid w:val="00F7669A"/>
    <w:rsid w:val="00F76AFC"/>
    <w:rsid w:val="00F801E8"/>
    <w:rsid w:val="00F82B38"/>
    <w:rsid w:val="00F82E0D"/>
    <w:rsid w:val="00F83493"/>
    <w:rsid w:val="00F85C9B"/>
    <w:rsid w:val="00F874E9"/>
    <w:rsid w:val="00F919CB"/>
    <w:rsid w:val="00F92A88"/>
    <w:rsid w:val="00F92B63"/>
    <w:rsid w:val="00F93844"/>
    <w:rsid w:val="00F93B72"/>
    <w:rsid w:val="00F954F7"/>
    <w:rsid w:val="00F95702"/>
    <w:rsid w:val="00F9668D"/>
    <w:rsid w:val="00F978AA"/>
    <w:rsid w:val="00FA3608"/>
    <w:rsid w:val="00FA47C0"/>
    <w:rsid w:val="00FB0230"/>
    <w:rsid w:val="00FB0EE9"/>
    <w:rsid w:val="00FB45DF"/>
    <w:rsid w:val="00FB548E"/>
    <w:rsid w:val="00FB5DD1"/>
    <w:rsid w:val="00FB7ED4"/>
    <w:rsid w:val="00FC2B5D"/>
    <w:rsid w:val="00FC4673"/>
    <w:rsid w:val="00FD0E37"/>
    <w:rsid w:val="00FD1E4F"/>
    <w:rsid w:val="00FD5D2B"/>
    <w:rsid w:val="00FD67A8"/>
    <w:rsid w:val="00FD74CB"/>
    <w:rsid w:val="00FE3680"/>
    <w:rsid w:val="00FE639F"/>
    <w:rsid w:val="00FF1449"/>
    <w:rsid w:val="00FF35D0"/>
    <w:rsid w:val="00FF40FE"/>
    <w:rsid w:val="00FF4BE9"/>
    <w:rsid w:val="00FF7963"/>
    <w:rsid w:val="00FF797B"/>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BD5AF39-1E4D-43B2-A996-DC12C9E8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1B3C5D"/>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1B3C5D"/>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1B3C5D"/>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1B3C5D"/>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1B3C5D"/>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1B3C5D"/>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1B3C5D"/>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1B3C5D"/>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1B3C5D"/>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1B3C5D"/>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semiHidden/>
    <w:unhideWhenUsed/>
    <w:qFormat/>
    <w:rsid w:val="001B3C5D"/>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semiHidden/>
    <w:unhideWhenUsed/>
    <w:qFormat/>
    <w:rsid w:val="001B3C5D"/>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1B3C5D"/>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1B3C5D"/>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1B3C5D"/>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1B3C5D"/>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1B3C5D"/>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1B3C5D"/>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1B3C5D"/>
  </w:style>
  <w:style w:type="character" w:customStyle="1" w:styleId="Ttulo1Car">
    <w:name w:val="Título 1 Car"/>
    <w:basedOn w:val="Fuentedeprrafopredeter"/>
    <w:link w:val="Ttulo1"/>
    <w:uiPriority w:val="9"/>
    <w:rsid w:val="001B3C5D"/>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1B3C5D"/>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1B3C5D"/>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1B3C5D"/>
    <w:rPr>
      <w:rFonts w:eastAsia="Times New Roman" w:cs="Times New Roman"/>
      <w:i/>
      <w:iCs/>
      <w:color w:val="0F4761"/>
    </w:rPr>
  </w:style>
  <w:style w:type="character" w:customStyle="1" w:styleId="Ttulo5Car">
    <w:name w:val="Título 5 Car"/>
    <w:basedOn w:val="Fuentedeprrafopredeter"/>
    <w:link w:val="Ttulo5"/>
    <w:uiPriority w:val="9"/>
    <w:semiHidden/>
    <w:rsid w:val="001B3C5D"/>
    <w:rPr>
      <w:rFonts w:eastAsia="Times New Roman" w:cs="Times New Roman"/>
      <w:color w:val="0F4761"/>
    </w:rPr>
  </w:style>
  <w:style w:type="character" w:customStyle="1" w:styleId="Ttulo6Car">
    <w:name w:val="Título 6 Car"/>
    <w:basedOn w:val="Fuentedeprrafopredeter"/>
    <w:link w:val="Ttulo6"/>
    <w:uiPriority w:val="9"/>
    <w:semiHidden/>
    <w:rsid w:val="001B3C5D"/>
    <w:rPr>
      <w:rFonts w:eastAsia="Times New Roman" w:cs="Times New Roman"/>
      <w:i/>
      <w:iCs/>
      <w:color w:val="595959"/>
    </w:rPr>
  </w:style>
  <w:style w:type="character" w:customStyle="1" w:styleId="Ttulo7Car">
    <w:name w:val="Título 7 Car"/>
    <w:basedOn w:val="Fuentedeprrafopredeter"/>
    <w:link w:val="Ttulo7"/>
    <w:uiPriority w:val="9"/>
    <w:semiHidden/>
    <w:rsid w:val="001B3C5D"/>
    <w:rPr>
      <w:rFonts w:eastAsia="Times New Roman" w:cs="Times New Roman"/>
      <w:color w:val="595959"/>
    </w:rPr>
  </w:style>
  <w:style w:type="character" w:customStyle="1" w:styleId="Ttulo8Car">
    <w:name w:val="Título 8 Car"/>
    <w:basedOn w:val="Fuentedeprrafopredeter"/>
    <w:link w:val="Ttulo8"/>
    <w:uiPriority w:val="9"/>
    <w:semiHidden/>
    <w:rsid w:val="001B3C5D"/>
    <w:rPr>
      <w:rFonts w:eastAsia="Times New Roman" w:cs="Times New Roman"/>
      <w:i/>
      <w:iCs/>
      <w:color w:val="272727"/>
    </w:rPr>
  </w:style>
  <w:style w:type="character" w:customStyle="1" w:styleId="Ttulo9Car">
    <w:name w:val="Título 9 Car"/>
    <w:basedOn w:val="Fuentedeprrafopredeter"/>
    <w:link w:val="Ttulo9"/>
    <w:uiPriority w:val="9"/>
    <w:semiHidden/>
    <w:rsid w:val="001B3C5D"/>
    <w:rPr>
      <w:rFonts w:eastAsia="Times New Roman" w:cs="Times New Roman"/>
      <w:color w:val="272727"/>
    </w:rPr>
  </w:style>
  <w:style w:type="paragraph" w:customStyle="1" w:styleId="Subttulo1">
    <w:name w:val="Subtítulo1"/>
    <w:basedOn w:val="Normal"/>
    <w:next w:val="Normal"/>
    <w:uiPriority w:val="11"/>
    <w:qFormat/>
    <w:rsid w:val="001B3C5D"/>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1B3C5D"/>
    <w:rPr>
      <w:rFonts w:eastAsia="Times New Roman" w:cs="Times New Roman"/>
      <w:color w:val="595959"/>
      <w:spacing w:val="15"/>
      <w:sz w:val="28"/>
      <w:szCs w:val="28"/>
    </w:rPr>
  </w:style>
  <w:style w:type="paragraph" w:customStyle="1" w:styleId="Cita1">
    <w:name w:val="Cita1"/>
    <w:basedOn w:val="Normal"/>
    <w:next w:val="Normal"/>
    <w:uiPriority w:val="29"/>
    <w:qFormat/>
    <w:rsid w:val="001B3C5D"/>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1B3C5D"/>
    <w:rPr>
      <w:i/>
      <w:iCs/>
      <w:color w:val="404040"/>
    </w:rPr>
  </w:style>
  <w:style w:type="character" w:customStyle="1" w:styleId="nfasisintenso1">
    <w:name w:val="Énfasis intenso1"/>
    <w:basedOn w:val="Fuentedeprrafopredeter"/>
    <w:uiPriority w:val="21"/>
    <w:qFormat/>
    <w:rsid w:val="001B3C5D"/>
    <w:rPr>
      <w:i/>
      <w:iCs/>
      <w:color w:val="0F4761"/>
    </w:rPr>
  </w:style>
  <w:style w:type="paragraph" w:customStyle="1" w:styleId="Citadestacada1">
    <w:name w:val="Cita destacada1"/>
    <w:basedOn w:val="Normal"/>
    <w:next w:val="Normal"/>
    <w:uiPriority w:val="30"/>
    <w:qFormat/>
    <w:rsid w:val="001B3C5D"/>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1B3C5D"/>
    <w:rPr>
      <w:i/>
      <w:iCs/>
      <w:color w:val="0F4761"/>
    </w:rPr>
  </w:style>
  <w:style w:type="character" w:customStyle="1" w:styleId="Referenciaintensa1">
    <w:name w:val="Referencia intensa1"/>
    <w:basedOn w:val="Fuentedeprrafopredeter"/>
    <w:uiPriority w:val="32"/>
    <w:qFormat/>
    <w:rsid w:val="001B3C5D"/>
    <w:rPr>
      <w:b/>
      <w:bCs/>
      <w:smallCaps/>
      <w:color w:val="0F4761"/>
      <w:spacing w:val="5"/>
    </w:rPr>
  </w:style>
  <w:style w:type="paragraph" w:customStyle="1" w:styleId="Encabezado1">
    <w:name w:val="Encabezado1"/>
    <w:basedOn w:val="Normal"/>
    <w:next w:val="Encabezado"/>
    <w:uiPriority w:val="99"/>
    <w:unhideWhenUsed/>
    <w:rsid w:val="001B3C5D"/>
    <w:pPr>
      <w:tabs>
        <w:tab w:val="center" w:pos="4419"/>
        <w:tab w:val="right" w:pos="8838"/>
      </w:tabs>
      <w:spacing w:after="0" w:line="240" w:lineRule="auto"/>
    </w:pPr>
    <w:rPr>
      <w:kern w:val="2"/>
      <w:sz w:val="24"/>
      <w:szCs w:val="24"/>
      <w14:ligatures w14:val="standardContextual"/>
    </w:rPr>
  </w:style>
  <w:style w:type="paragraph" w:customStyle="1" w:styleId="Piedepgina1">
    <w:name w:val="Pie de página1"/>
    <w:basedOn w:val="Normal"/>
    <w:next w:val="Piedepgina"/>
    <w:uiPriority w:val="99"/>
    <w:unhideWhenUsed/>
    <w:rsid w:val="001B3C5D"/>
    <w:pPr>
      <w:tabs>
        <w:tab w:val="center" w:pos="4419"/>
        <w:tab w:val="right" w:pos="8838"/>
      </w:tabs>
      <w:spacing w:after="0" w:line="240" w:lineRule="auto"/>
    </w:pPr>
    <w:rPr>
      <w:kern w:val="2"/>
      <w:sz w:val="24"/>
      <w:szCs w:val="24"/>
      <w14:ligatures w14:val="standardContextual"/>
    </w:rPr>
  </w:style>
  <w:style w:type="paragraph" w:customStyle="1" w:styleId="fn1">
    <w:name w:val="fn1"/>
    <w:basedOn w:val="Normal"/>
    <w:next w:val="Textonotapie"/>
    <w:uiPriority w:val="99"/>
    <w:unhideWhenUsed/>
    <w:qFormat/>
    <w:rsid w:val="001B3C5D"/>
    <w:pPr>
      <w:spacing w:after="0" w:line="240" w:lineRule="auto"/>
    </w:pPr>
    <w:rPr>
      <w:sz w:val="20"/>
      <w:szCs w:val="20"/>
      <w:lang w:val="es-MX"/>
    </w:rPr>
  </w:style>
  <w:style w:type="table" w:customStyle="1" w:styleId="Tablaconcuadrcula1">
    <w:name w:val="Tabla con cuadrícula1"/>
    <w:basedOn w:val="Tablanormal"/>
    <w:next w:val="Tablaconcuadrcula"/>
    <w:uiPriority w:val="39"/>
    <w:qFormat/>
    <w:rsid w:val="001B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1B3C5D"/>
    <w:pPr>
      <w:spacing w:line="240" w:lineRule="exact"/>
    </w:pPr>
    <w:rPr>
      <w:vertAlign w:val="superscript"/>
    </w:rPr>
  </w:style>
  <w:style w:type="table" w:customStyle="1" w:styleId="Tablaconcuadrcula2">
    <w:name w:val="Tabla con cuadrícula2"/>
    <w:basedOn w:val="Tablanormal"/>
    <w:next w:val="Tablaconcuadrcula"/>
    <w:uiPriority w:val="39"/>
    <w:qFormat/>
    <w:rsid w:val="001B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basedOn w:val="Fuentedeprrafopredeter"/>
    <w:uiPriority w:val="99"/>
    <w:semiHidden/>
    <w:rsid w:val="001B3C5D"/>
  </w:style>
  <w:style w:type="character" w:customStyle="1" w:styleId="PiedepginaCar1">
    <w:name w:val="Pie de página Car1"/>
    <w:basedOn w:val="Fuentedeprrafopredeter"/>
    <w:uiPriority w:val="99"/>
    <w:semiHidden/>
    <w:rsid w:val="001B3C5D"/>
  </w:style>
  <w:style w:type="table" w:customStyle="1" w:styleId="Tablaconcuadrcula3">
    <w:name w:val="Tabla con cuadrícula3"/>
    <w:basedOn w:val="Tablanormal"/>
    <w:next w:val="Tablaconcuadrcula"/>
    <w:uiPriority w:val="39"/>
    <w:rsid w:val="001B3C5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qFormat/>
    <w:rsid w:val="001B3C5D"/>
    <w:rPr>
      <w:rFonts w:ascii="Geomanist Bold" w:eastAsia="Yu Mincho" w:hAnsi="Geomanist Bold" w:cs="Calibri"/>
      <w:color w:val="002060"/>
      <w:sz w:val="24"/>
      <w:lang w:val="es-ES" w:eastAsia="es-CO"/>
    </w:rPr>
  </w:style>
  <w:style w:type="character" w:styleId="Fuerte">
    <w:name w:val="Strong"/>
    <w:basedOn w:val="Fuentedeprrafopredeter"/>
    <w:uiPriority w:val="22"/>
    <w:qFormat/>
    <w:rsid w:val="001B3C5D"/>
    <w:rPr>
      <w:b/>
      <w:bCs/>
    </w:rPr>
  </w:style>
  <w:style w:type="character" w:styleId="Textodelmarcadordeposicin">
    <w:name w:val="Placeholder Text"/>
    <w:basedOn w:val="Fuentedeprrafopredeter"/>
    <w:uiPriority w:val="99"/>
    <w:semiHidden/>
    <w:rsid w:val="001B3C5D"/>
    <w:rPr>
      <w:color w:val="666666"/>
    </w:rPr>
  </w:style>
  <w:style w:type="paragraph" w:customStyle="1" w:styleId="Sinespaciado1">
    <w:name w:val="Sin espaciado1"/>
    <w:next w:val="Sinespaciado"/>
    <w:uiPriority w:val="1"/>
    <w:qFormat/>
    <w:rsid w:val="001B3C5D"/>
    <w:pPr>
      <w:spacing w:after="0" w:line="240" w:lineRule="auto"/>
    </w:pPr>
    <w:rPr>
      <w:kern w:val="2"/>
      <w:sz w:val="24"/>
      <w:szCs w:val="24"/>
      <w14:ligatures w14:val="standardContextual"/>
    </w:rPr>
  </w:style>
  <w:style w:type="character" w:customStyle="1" w:styleId="Ttulo1Car1">
    <w:name w:val="Título 1 Car1"/>
    <w:basedOn w:val="Fuentedeprrafopredeter"/>
    <w:uiPriority w:val="9"/>
    <w:rsid w:val="001B3C5D"/>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1B3C5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1B3C5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1B3C5D"/>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1B3C5D"/>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1B3C5D"/>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1B3C5D"/>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1B3C5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1B3C5D"/>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1B3C5D"/>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1B3C5D"/>
    <w:rPr>
      <w:rFonts w:eastAsiaTheme="minorEastAsia"/>
      <w:color w:val="5A5A5A" w:themeColor="text1" w:themeTint="A5"/>
      <w:spacing w:val="15"/>
    </w:rPr>
  </w:style>
  <w:style w:type="paragraph" w:styleId="Cita">
    <w:name w:val="Quote"/>
    <w:basedOn w:val="Normal"/>
    <w:next w:val="Normal"/>
    <w:link w:val="CitaCar"/>
    <w:uiPriority w:val="29"/>
    <w:qFormat/>
    <w:rsid w:val="001B3C5D"/>
    <w:pPr>
      <w:spacing w:before="200"/>
      <w:ind w:left="864" w:right="864"/>
      <w:jc w:val="center"/>
    </w:pPr>
    <w:rPr>
      <w:i/>
      <w:iCs/>
      <w:color w:val="404040"/>
    </w:rPr>
  </w:style>
  <w:style w:type="character" w:customStyle="1" w:styleId="CitaCar1">
    <w:name w:val="Cita Car1"/>
    <w:basedOn w:val="Fuentedeprrafopredeter"/>
    <w:uiPriority w:val="29"/>
    <w:rsid w:val="001B3C5D"/>
    <w:rPr>
      <w:i/>
      <w:iCs/>
      <w:color w:val="404040" w:themeColor="text1" w:themeTint="BF"/>
    </w:rPr>
  </w:style>
  <w:style w:type="character" w:styleId="nfasisintenso">
    <w:name w:val="Intense Emphasis"/>
    <w:basedOn w:val="Fuentedeprrafopredeter"/>
    <w:uiPriority w:val="21"/>
    <w:qFormat/>
    <w:rsid w:val="001B3C5D"/>
    <w:rPr>
      <w:i/>
      <w:iCs/>
      <w:color w:val="4472C4" w:themeColor="accent1"/>
    </w:rPr>
  </w:style>
  <w:style w:type="paragraph" w:styleId="Citadestacada">
    <w:name w:val="Intense Quote"/>
    <w:basedOn w:val="Normal"/>
    <w:next w:val="Normal"/>
    <w:link w:val="CitadestacadaCar"/>
    <w:uiPriority w:val="30"/>
    <w:qFormat/>
    <w:rsid w:val="001B3C5D"/>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1B3C5D"/>
    <w:rPr>
      <w:i/>
      <w:iCs/>
      <w:color w:val="4472C4" w:themeColor="accent1"/>
    </w:rPr>
  </w:style>
  <w:style w:type="character" w:styleId="Referenciaintensa">
    <w:name w:val="Intense Reference"/>
    <w:basedOn w:val="Fuentedeprrafopredeter"/>
    <w:uiPriority w:val="32"/>
    <w:qFormat/>
    <w:rsid w:val="001B3C5D"/>
    <w:rPr>
      <w:b/>
      <w:bCs/>
      <w:smallCaps/>
      <w:color w:val="4472C4" w:themeColor="accent1"/>
      <w:spacing w:val="5"/>
    </w:rPr>
  </w:style>
  <w:style w:type="paragraph" w:styleId="Sinespaciado">
    <w:name w:val="No Spacing"/>
    <w:uiPriority w:val="1"/>
    <w:qFormat/>
    <w:rsid w:val="001B3C5D"/>
    <w:pPr>
      <w:spacing w:after="0" w:line="240" w:lineRule="auto"/>
    </w:pPr>
  </w:style>
  <w:style w:type="character" w:styleId="Refdecomentario">
    <w:name w:val="annotation reference"/>
    <w:basedOn w:val="Fuentedeprrafopredeter"/>
    <w:uiPriority w:val="99"/>
    <w:semiHidden/>
    <w:unhideWhenUsed/>
    <w:rsid w:val="00CC182C"/>
    <w:rPr>
      <w:sz w:val="16"/>
      <w:szCs w:val="16"/>
    </w:rPr>
  </w:style>
  <w:style w:type="paragraph" w:styleId="Textocomentario">
    <w:name w:val="annotation text"/>
    <w:basedOn w:val="Normal"/>
    <w:link w:val="TextocomentarioCar"/>
    <w:uiPriority w:val="99"/>
    <w:unhideWhenUsed/>
    <w:rsid w:val="00CC182C"/>
    <w:pPr>
      <w:spacing w:line="240" w:lineRule="auto"/>
    </w:pPr>
    <w:rPr>
      <w:sz w:val="20"/>
      <w:szCs w:val="20"/>
    </w:rPr>
  </w:style>
  <w:style w:type="character" w:customStyle="1" w:styleId="TextocomentarioCar">
    <w:name w:val="Texto comentario Car"/>
    <w:basedOn w:val="Fuentedeprrafopredeter"/>
    <w:link w:val="Textocomentario"/>
    <w:uiPriority w:val="99"/>
    <w:rsid w:val="00CC182C"/>
    <w:rPr>
      <w:sz w:val="20"/>
      <w:szCs w:val="20"/>
    </w:rPr>
  </w:style>
  <w:style w:type="paragraph" w:styleId="Asuntodelcomentario">
    <w:name w:val="annotation subject"/>
    <w:basedOn w:val="Textocomentario"/>
    <w:next w:val="Textocomentario"/>
    <w:link w:val="AsuntodelcomentarioCar"/>
    <w:uiPriority w:val="99"/>
    <w:semiHidden/>
    <w:unhideWhenUsed/>
    <w:rsid w:val="00CC182C"/>
    <w:rPr>
      <w:b/>
      <w:bCs/>
    </w:rPr>
  </w:style>
  <w:style w:type="character" w:customStyle="1" w:styleId="AsuntodelcomentarioCar">
    <w:name w:val="Asunto del comentario Car"/>
    <w:basedOn w:val="TextocomentarioCar"/>
    <w:link w:val="Asuntodelcomentario"/>
    <w:uiPriority w:val="99"/>
    <w:semiHidden/>
    <w:rsid w:val="00CC182C"/>
    <w:rPr>
      <w:b/>
      <w:bCs/>
      <w:sz w:val="20"/>
      <w:szCs w:val="20"/>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85D51"/>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oralescruz_7@hotmail.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738AF-1971-45E9-9B42-26B230511F4F}">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6ADB9DF7-1B82-4762-BAA1-D3D33E984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20</Pages>
  <Words>6636</Words>
  <Characters>36500</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2023-01-10T18:18:00Z</cp:lastPrinted>
  <dcterms:created xsi:type="dcterms:W3CDTF">2026-07-08T22:06:00Z</dcterms:created>
  <dcterms:modified xsi:type="dcterms:W3CDTF">2026-07-08T23:41:00Z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