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C8B24" w14:textId="77777777" w:rsidR="000D3925" w:rsidRPr="00553A27" w:rsidRDefault="000D3925" w:rsidP="000D3925">
      <w:pPr>
        <w:spacing w:after="0" w:line="240" w:lineRule="auto"/>
        <w:jc w:val="both"/>
        <w:rPr>
          <w:rFonts w:ascii="Verdana" w:eastAsia="Calibri" w:hAnsi="Verdana" w:cs="Arial"/>
          <w:b/>
          <w:bCs/>
          <w:lang w:eastAsia="es-ES"/>
        </w:rPr>
      </w:pPr>
      <w:bookmarkStart w:id="0" w:name="_Hlk143780582"/>
      <w:r w:rsidRPr="00553A27">
        <w:rPr>
          <w:rFonts w:ascii="Verdana" w:eastAsia="Calibri" w:hAnsi="Verdana" w:cs="Arial"/>
          <w:b/>
          <w:bCs/>
          <w:lang w:eastAsia="es-ES"/>
        </w:rPr>
        <w:t>ESTABILIDAD OCUPACIONAL REFORZADA – Mujer embarazada y/o periodo de lactancia</w:t>
      </w:r>
    </w:p>
    <w:p w14:paraId="25A2EDF3" w14:textId="77777777" w:rsidR="000D3925" w:rsidRPr="00553A27" w:rsidRDefault="000D3925" w:rsidP="000D3925">
      <w:pPr>
        <w:spacing w:after="0" w:line="240" w:lineRule="auto"/>
        <w:jc w:val="both"/>
        <w:rPr>
          <w:rFonts w:ascii="Verdana" w:eastAsia="Calibri" w:hAnsi="Verdana" w:cs="Arial"/>
          <w:b/>
          <w:bCs/>
          <w:lang w:eastAsia="es-ES"/>
        </w:rPr>
      </w:pPr>
    </w:p>
    <w:p w14:paraId="768F3F24"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 la Corte Constitucional ha expuesto dos (2) posiciones frente a los cuales opera la protección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ii) cuando a pesar de no probarse la configuración de un contrato realidad la terminación del contrato de prestación de servicios se fundamenta en criterios discriminatorios, y no en motivos objetivos.</w:t>
      </w:r>
    </w:p>
    <w:p w14:paraId="70764D4C"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p>
    <w:p w14:paraId="05805B51" w14:textId="77777777" w:rsidR="000D3925" w:rsidRPr="00553A27" w:rsidRDefault="000D3925" w:rsidP="000D3925">
      <w:pPr>
        <w:spacing w:after="0" w:line="240" w:lineRule="auto"/>
        <w:jc w:val="both"/>
        <w:rPr>
          <w:rFonts w:ascii="Verdana" w:eastAsia="Calibri" w:hAnsi="Verdana" w:cs="Arial"/>
          <w:b/>
          <w:bCs/>
          <w:lang w:eastAsia="es-ES"/>
        </w:rPr>
      </w:pPr>
      <w:r w:rsidRPr="00553A27">
        <w:rPr>
          <w:rFonts w:ascii="Verdana" w:eastAsia="Calibri" w:hAnsi="Verdana" w:cs="Arial"/>
          <w:b/>
          <w:bCs/>
          <w:lang w:eastAsia="es-ES"/>
        </w:rPr>
        <w:t>CONTRATO DE PRESTACIÓN DE SERVICIOS – Protección por maternidad</w:t>
      </w:r>
    </w:p>
    <w:p w14:paraId="283BEBE6" w14:textId="77777777" w:rsidR="000D3925" w:rsidRPr="00553A27" w:rsidRDefault="000D3925" w:rsidP="000D3925">
      <w:pPr>
        <w:spacing w:after="0" w:line="240" w:lineRule="auto"/>
        <w:jc w:val="both"/>
        <w:rPr>
          <w:rFonts w:ascii="Verdana" w:eastAsia="Calibri" w:hAnsi="Verdana" w:cs="Arial"/>
          <w:b/>
          <w:bCs/>
          <w:lang w:eastAsia="es-ES"/>
        </w:rPr>
      </w:pPr>
    </w:p>
    <w:p w14:paraId="1DD5963F"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En este sentido, de conformidad con lo expuesto, les corresponde a las Entidades Estatales, en virtud de su autonomía, y de acuerdo con los lineamientos de la Corte Constitucional, determinar la mejor forma para garantizar la estabilidad ocupacional reforzada a favor de las mujeres en estado de embarazo o en período de lactancia, incluso cuando se encuentran vinculadas mediante contratos de prestación de servicios, orientado a impedir prácticas discriminatorias derivadas de la terminación o no renovación del vínculo contractual por causa o con ocasión de la maternidad. No obstante, el alcance y la forma de materialización de dicha protección deben analizarse a la luz del marco normativo aplicable a la actuación de las entidades estatales, en particular, cuando concurren restricciones legales que inciden en la gestión contractual.</w:t>
      </w:r>
      <w:r w:rsidRPr="00553A27">
        <w:rPr>
          <w:rFonts w:ascii="Verdana" w:hAnsi="Verdana"/>
        </w:rPr>
        <w:t xml:space="preserve"> </w:t>
      </w:r>
    </w:p>
    <w:p w14:paraId="25F1B180" w14:textId="77777777" w:rsidR="000D3925" w:rsidRPr="00553A27" w:rsidRDefault="000D3925" w:rsidP="000D3925">
      <w:pPr>
        <w:spacing w:after="0" w:line="240" w:lineRule="auto"/>
        <w:jc w:val="both"/>
        <w:rPr>
          <w:rFonts w:ascii="Verdana" w:eastAsia="Calibri" w:hAnsi="Verdana" w:cs="Arial"/>
          <w:b/>
          <w:bCs/>
          <w:color w:val="000000"/>
          <w:lang w:eastAsia="es-ES_tradnl"/>
        </w:rPr>
      </w:pPr>
    </w:p>
    <w:p w14:paraId="44334155" w14:textId="608EFC8B" w:rsidR="000D3925" w:rsidRPr="00553A27" w:rsidRDefault="000D3925" w:rsidP="000D3925">
      <w:pPr>
        <w:spacing w:after="0" w:line="240" w:lineRule="auto"/>
        <w:jc w:val="both"/>
        <w:rPr>
          <w:rFonts w:ascii="Verdana" w:eastAsia="Calibri" w:hAnsi="Verdana" w:cs="Arial"/>
          <w:b/>
          <w:bCs/>
          <w:lang w:eastAsia="es-ES"/>
        </w:rPr>
      </w:pPr>
      <w:r w:rsidRPr="00553A27">
        <w:rPr>
          <w:rFonts w:ascii="Verdana" w:eastAsia="Calibri" w:hAnsi="Verdana" w:cs="Arial"/>
          <w:b/>
          <w:bCs/>
          <w:lang w:eastAsia="es-ES"/>
        </w:rPr>
        <w:t>LEY DE GARANTÍAS ELECTORALES – Artículo 33 – Contratación directa</w:t>
      </w:r>
    </w:p>
    <w:p w14:paraId="7D5E3ECE" w14:textId="77777777" w:rsidR="000D3925" w:rsidRPr="00553A27" w:rsidRDefault="000D3925" w:rsidP="000D3925">
      <w:pPr>
        <w:spacing w:after="0" w:line="240" w:lineRule="auto"/>
        <w:jc w:val="both"/>
        <w:rPr>
          <w:rFonts w:ascii="Verdana" w:eastAsia="Calibri" w:hAnsi="Verdana" w:cs="Arial"/>
          <w:color w:val="000000"/>
          <w:sz w:val="20"/>
          <w:szCs w:val="20"/>
          <w:lang w:eastAsia="es-ES"/>
        </w:rPr>
      </w:pPr>
    </w:p>
    <w:p w14:paraId="239C5861"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De conformidad con lo anterior, la Ley 996 de 2005 establece dos (2) tipos de restricciones en materia de contratación, las cuales coinciden parcialmente. En primer lugar,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En segundo lugar,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 para los sujetos señalados en la disposición.</w:t>
      </w:r>
    </w:p>
    <w:p w14:paraId="3FF73850"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p>
    <w:p w14:paraId="0A381BF3"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w:t>
      </w:r>
    </w:p>
    <w:p w14:paraId="2594E650"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p>
    <w:p w14:paraId="5C5444E8"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lastRenderedPageBreak/>
        <w:t>Por tanto, las excepciones a la prohibición contenida en el inciso segundo de artículo 33 de la Ley de Garantías Electorales tienen por finalidad garantizar la realización ininterrumpida de ciertas actividades que, dada su importancia en el orden interno, se verían irrazonablemente afectadas por la restricción. De igual forma, la Sala de Consulta y Servicio Civil del Consejo de Estado, en concepto del 2 de septiembre de 2013, mencionó las excepciones a la prohibición del artículo 33 de la Ley de Garantías Electorales, resaltando su carácter taxativo, y señalando la independencia de los supuestos, así: “[…] Las excepciones aplicables a la restricción de contratación pública. Ahora bien, las únicas excepciones a las disposiciones previstas en la Ley de Garantías se encuentran numeradas taxativamente en el último inciso del artículo 33 de la ley 996 de 2005 […]”</w:t>
      </w:r>
    </w:p>
    <w:p w14:paraId="27E45AD0"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p>
    <w:p w14:paraId="7E7CB1EE"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 xml:space="preserve">Lo anterior implica que las excepciones al artículo 33 en comento deben interpretarse y aplicarse de manera estricta. En otras palabras, no es factible hacer interpretaciones extensivas para incluir otros supuestos de hecho similares a las circunstancias previstas en dicho artículo, pues el carácter taxativo implica que solo en los eventos consagrados expresamente en la norma permiten que ciertas entidades estatales se vean exceptuadas de la prohibición. </w:t>
      </w:r>
    </w:p>
    <w:p w14:paraId="10C2E589"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p>
    <w:p w14:paraId="1FEC65CE"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Particularmente, al confrontar el catálogo de excepciones con los contratos directos —particularmente los contratos de prestación de servicios profesionales y/o de apoyo a la gestión— a los que se hace referencia en la presente solicitud, se advierte que dichos contratos no encuadran en ninguno de los supuestos exceptuados por el inciso segundo del artículo 33 de la Ley 996 de 2005. Por lo tanto, al no estar expresamente excluidos del ámbito de la prohibición, tales contratos se encuentran comprendidos en la restricción general a la contratación directa durante los cuatro (4) meses previos a las elecciones, lo que implica que su celebración en ese periodo resulta jurídicamente improcedente.</w:t>
      </w:r>
      <w:r w:rsidRPr="00553A27">
        <w:rPr>
          <w:rFonts w:ascii="Verdana" w:hAnsi="Verdana"/>
          <w:sz w:val="20"/>
        </w:rPr>
        <w:t xml:space="preserve"> </w:t>
      </w:r>
    </w:p>
    <w:p w14:paraId="4B0A49AE" w14:textId="77777777" w:rsidR="000D3925" w:rsidRPr="00553A27" w:rsidRDefault="000D3925" w:rsidP="000D3925">
      <w:pPr>
        <w:spacing w:after="0" w:line="240" w:lineRule="auto"/>
        <w:jc w:val="both"/>
        <w:rPr>
          <w:rFonts w:ascii="Verdana" w:hAnsi="Verdana"/>
          <w:sz w:val="20"/>
        </w:rPr>
      </w:pPr>
    </w:p>
    <w:p w14:paraId="64B97ABD" w14:textId="77777777" w:rsidR="000D3925" w:rsidRPr="00553A27" w:rsidRDefault="000D3925" w:rsidP="000D3925">
      <w:pPr>
        <w:spacing w:after="0" w:line="240" w:lineRule="auto"/>
        <w:jc w:val="both"/>
        <w:rPr>
          <w:rFonts w:ascii="Verdana" w:eastAsia="Calibri" w:hAnsi="Verdana" w:cs="Arial"/>
          <w:b/>
          <w:bCs/>
          <w:lang w:eastAsia="es-ES"/>
        </w:rPr>
      </w:pPr>
      <w:r w:rsidRPr="00553A27">
        <w:rPr>
          <w:rFonts w:ascii="Verdana" w:eastAsia="Calibri" w:hAnsi="Verdana" w:cs="Arial"/>
          <w:b/>
          <w:bCs/>
          <w:lang w:eastAsia="es-ES"/>
        </w:rPr>
        <w:t>ENTIDADES TERRITORIALES – Restricciones preelectorales – Planeación contractual</w:t>
      </w:r>
    </w:p>
    <w:p w14:paraId="3AA69F65" w14:textId="77777777" w:rsidR="000D3925" w:rsidRPr="00553A27" w:rsidRDefault="000D3925" w:rsidP="000D3925">
      <w:pPr>
        <w:spacing w:after="0" w:line="240" w:lineRule="auto"/>
        <w:jc w:val="both"/>
        <w:rPr>
          <w:rFonts w:ascii="Verdana" w:eastAsia="Calibri" w:hAnsi="Verdana" w:cs="Arial"/>
          <w:b/>
          <w:bCs/>
          <w:lang w:eastAsia="es-ES"/>
        </w:rPr>
      </w:pPr>
    </w:p>
    <w:p w14:paraId="253DAD66"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Frente a las consideraciones específicas del presente concepto, es necesario precisar que la entidad consultante corresponde a una administración municipal, razón por la cual se encuentra comprendida dentro del ámbito subjetivo de aplicación de la restricción prevista en el artículo 33 de la Ley 996 de 2005, en tanto dicha disposición se dirige expresamente a “todos los entes del Estado”, sin distinción alguna respecto de su naturaleza, nivel territorial o régimen jurídico aplicable.</w:t>
      </w:r>
    </w:p>
    <w:p w14:paraId="4A31F560"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p>
    <w:p w14:paraId="799F3D1D"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 xml:space="preserve">Ahora bien, la prohibición consagrada en la norma citada recae sobre la contratación directa, entendida esta como la celebración de nuevos negocios jurídicos bajo modalidades que no impliquen convocatoria pública ni pluralidad de oferentes. En ese sentido, la restricción no se extiende, en principio, a las modificaciones, prórrogas o adiciones de contratos previamente suscritos, más allá de las limitaciones propias establecidas en el Estatuto General de Contratación de la Administración Pública, salvo </w:t>
      </w:r>
      <w:r w:rsidRPr="00553A27">
        <w:rPr>
          <w:rFonts w:ascii="Verdana" w:eastAsia="Calibri" w:hAnsi="Verdana" w:cs="Arial"/>
          <w:color w:val="000000"/>
          <w:sz w:val="20"/>
          <w:szCs w:val="20"/>
          <w:lang w:eastAsia="es-ES_tradnl"/>
        </w:rPr>
        <w:lastRenderedPageBreak/>
        <w:t>que el objeto contractual se subsuma en alguno de los supuestos expresamente exceptuados por el inciso segundo del artículo 33 de la Ley 996 de 2005, esto es:</w:t>
      </w:r>
    </w:p>
    <w:p w14:paraId="6CF8682F"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p>
    <w:p w14:paraId="10C1CD96" w14:textId="77777777" w:rsidR="000D3925" w:rsidRPr="00553A27" w:rsidRDefault="000D3925" w:rsidP="000D3925">
      <w:pPr>
        <w:spacing w:after="0" w:line="240" w:lineRule="auto"/>
        <w:ind w:left="709" w:right="709"/>
        <w:jc w:val="both"/>
        <w:rPr>
          <w:rFonts w:ascii="Verdana" w:eastAsia="Calibri" w:hAnsi="Verdana" w:cs="Arial"/>
          <w:color w:val="000000"/>
          <w:sz w:val="18"/>
          <w:szCs w:val="18"/>
          <w:lang w:eastAsia="es-ES_tradnl"/>
        </w:rPr>
      </w:pPr>
      <w:r w:rsidRPr="00553A27">
        <w:rPr>
          <w:rFonts w:ascii="Verdana" w:eastAsia="Calibri" w:hAnsi="Verdana" w:cs="Arial"/>
          <w:color w:val="000000"/>
          <w:sz w:val="18"/>
          <w:szCs w:val="18"/>
          <w:lang w:eastAsia="es-ES_tradnl"/>
        </w:rPr>
        <w:t>“[…]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75F8A65E"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p>
    <w:p w14:paraId="5F134ACC" w14:textId="77777777" w:rsidR="000D3925" w:rsidRPr="00553A27" w:rsidRDefault="000D3925" w:rsidP="000D3925">
      <w:pPr>
        <w:spacing w:after="0" w:line="240" w:lineRule="auto"/>
        <w:jc w:val="both"/>
        <w:rPr>
          <w:rFonts w:ascii="Verdana" w:eastAsia="Calibri" w:hAnsi="Verdana" w:cs="Arial"/>
          <w:color w:val="000000"/>
          <w:sz w:val="20"/>
          <w:szCs w:val="20"/>
          <w:lang w:eastAsia="es-ES_tradnl"/>
        </w:rPr>
      </w:pPr>
      <w:r w:rsidRPr="00553A27">
        <w:rPr>
          <w:rFonts w:ascii="Verdana" w:eastAsia="Calibri" w:hAnsi="Verdana" w:cs="Arial"/>
          <w:color w:val="000000"/>
          <w:sz w:val="20"/>
          <w:szCs w:val="20"/>
          <w:lang w:eastAsia="es-ES_tradnl"/>
        </w:rPr>
        <w:t>En este contexto, resulta fundamental que, en el marco del principio de planeación, como manifestación del principio de economía, cuyo propósito es asegurar que toda actuación contractual esté precedida de los estudios técnicos, financieros y jurídicos necesarios para determinar su viabilidad y conveniencia, y teniendo en cuenta las restricciones derivadas de la Ley de Garantías Electorales, la entidad estatal evalúe si resulta jurídicamente procedente, a la luz de los criterios desarrollados por la Corte Constitucional para la protección de los derechos de las mujeres en estado de embarazo o en período de lactancia, adelantar prórrogas, modificaciones o adiciones de los contratos celebrados con anterioridad a la entrada en vigencia de las prohibiciones mencionadas, así como la cesión de los mismos, actuaciones que, en principio, pueden tener lugar durante el período de aplicación de la Ley de Garantías, siempre que no se desnaturalice la prohibición de la contratación directa y se respeten los principios de planeación, transparencia y responsabilidad.</w:t>
      </w:r>
    </w:p>
    <w:p w14:paraId="6242D6A7" w14:textId="77777777" w:rsidR="000D3925" w:rsidRPr="00553A27" w:rsidRDefault="000D3925" w:rsidP="30821638">
      <w:pPr>
        <w:spacing w:after="0"/>
        <w:rPr>
          <w:rFonts w:ascii="Verdana" w:eastAsia="Verdana" w:hAnsi="Verdana" w:cs="Verdana"/>
        </w:rPr>
      </w:pPr>
    </w:p>
    <w:p w14:paraId="58CB1625" w14:textId="77777777" w:rsidR="000D3925" w:rsidRPr="00553A27" w:rsidRDefault="000D3925" w:rsidP="30821638">
      <w:pPr>
        <w:spacing w:after="0"/>
        <w:rPr>
          <w:rFonts w:ascii="Verdana" w:eastAsia="Verdana" w:hAnsi="Verdana" w:cs="Verdana"/>
        </w:rPr>
      </w:pPr>
    </w:p>
    <w:p w14:paraId="3CE98DA8" w14:textId="77777777" w:rsidR="000D3925" w:rsidRPr="00553A27" w:rsidRDefault="000D3925" w:rsidP="30821638">
      <w:pPr>
        <w:spacing w:after="0"/>
        <w:rPr>
          <w:rFonts w:ascii="Verdana" w:eastAsia="Verdana" w:hAnsi="Verdana" w:cs="Verdana"/>
        </w:rPr>
      </w:pPr>
    </w:p>
    <w:p w14:paraId="0E950B20" w14:textId="77777777" w:rsidR="000D3925" w:rsidRPr="00553A27" w:rsidRDefault="000D3925" w:rsidP="30821638">
      <w:pPr>
        <w:spacing w:after="0"/>
        <w:rPr>
          <w:rFonts w:ascii="Verdana" w:eastAsia="Verdana" w:hAnsi="Verdana" w:cs="Verdana"/>
        </w:rPr>
      </w:pPr>
    </w:p>
    <w:p w14:paraId="38D52F5A" w14:textId="77777777" w:rsidR="000D3925" w:rsidRPr="00553A27" w:rsidRDefault="000D3925" w:rsidP="30821638">
      <w:pPr>
        <w:spacing w:after="0"/>
        <w:rPr>
          <w:rFonts w:ascii="Verdana" w:eastAsia="Verdana" w:hAnsi="Verdana" w:cs="Verdana"/>
        </w:rPr>
      </w:pPr>
    </w:p>
    <w:p w14:paraId="7151D584" w14:textId="77777777" w:rsidR="000D3925" w:rsidRPr="00553A27" w:rsidRDefault="000D3925" w:rsidP="30821638">
      <w:pPr>
        <w:spacing w:after="0"/>
        <w:rPr>
          <w:rFonts w:ascii="Verdana" w:eastAsia="Verdana" w:hAnsi="Verdana" w:cs="Verdana"/>
        </w:rPr>
      </w:pPr>
    </w:p>
    <w:p w14:paraId="1FBCF16B" w14:textId="77777777" w:rsidR="000D3925" w:rsidRPr="00553A27" w:rsidRDefault="000D3925" w:rsidP="30821638">
      <w:pPr>
        <w:spacing w:after="0"/>
        <w:rPr>
          <w:rFonts w:ascii="Verdana" w:eastAsia="Verdana" w:hAnsi="Verdana" w:cs="Verdana"/>
        </w:rPr>
      </w:pPr>
    </w:p>
    <w:p w14:paraId="748A0108" w14:textId="77777777" w:rsidR="000D3925" w:rsidRPr="00553A27" w:rsidRDefault="000D3925" w:rsidP="30821638">
      <w:pPr>
        <w:spacing w:after="0"/>
        <w:rPr>
          <w:rFonts w:ascii="Verdana" w:eastAsia="Verdana" w:hAnsi="Verdana" w:cs="Verdana"/>
        </w:rPr>
      </w:pPr>
    </w:p>
    <w:p w14:paraId="29CFB75B" w14:textId="77777777" w:rsidR="000D3925" w:rsidRPr="00553A27" w:rsidRDefault="000D3925" w:rsidP="30821638">
      <w:pPr>
        <w:spacing w:after="0"/>
        <w:rPr>
          <w:rFonts w:ascii="Verdana" w:eastAsia="Verdana" w:hAnsi="Verdana" w:cs="Verdana"/>
        </w:rPr>
      </w:pPr>
    </w:p>
    <w:p w14:paraId="17235E5A" w14:textId="77777777" w:rsidR="000D3925" w:rsidRPr="00553A27" w:rsidRDefault="000D3925" w:rsidP="30821638">
      <w:pPr>
        <w:spacing w:after="0"/>
        <w:rPr>
          <w:rFonts w:ascii="Verdana" w:eastAsia="Verdana" w:hAnsi="Verdana" w:cs="Verdana"/>
        </w:rPr>
      </w:pPr>
    </w:p>
    <w:p w14:paraId="43D57A22" w14:textId="77777777" w:rsidR="000D3925" w:rsidRPr="00553A27" w:rsidRDefault="000D3925" w:rsidP="30821638">
      <w:pPr>
        <w:spacing w:after="0"/>
        <w:rPr>
          <w:rFonts w:ascii="Verdana" w:eastAsia="Verdana" w:hAnsi="Verdana" w:cs="Verdana"/>
        </w:rPr>
      </w:pPr>
    </w:p>
    <w:p w14:paraId="7F3691D4" w14:textId="77777777" w:rsidR="000D3925" w:rsidRPr="00553A27" w:rsidRDefault="000D3925" w:rsidP="30821638">
      <w:pPr>
        <w:spacing w:after="0"/>
        <w:rPr>
          <w:rFonts w:ascii="Verdana" w:eastAsia="Verdana" w:hAnsi="Verdana" w:cs="Verdana"/>
        </w:rPr>
      </w:pPr>
    </w:p>
    <w:p w14:paraId="7B530AE1" w14:textId="77777777" w:rsidR="000D3925" w:rsidRPr="00553A27" w:rsidRDefault="000D3925" w:rsidP="30821638">
      <w:pPr>
        <w:spacing w:after="0"/>
        <w:rPr>
          <w:rFonts w:ascii="Verdana" w:eastAsia="Verdana" w:hAnsi="Verdana" w:cs="Verdana"/>
        </w:rPr>
      </w:pPr>
    </w:p>
    <w:p w14:paraId="0058E1CA" w14:textId="77777777" w:rsidR="000D3925" w:rsidRPr="00553A27" w:rsidRDefault="000D3925" w:rsidP="30821638">
      <w:pPr>
        <w:spacing w:after="0"/>
        <w:rPr>
          <w:rFonts w:ascii="Verdana" w:eastAsia="Verdana" w:hAnsi="Verdana" w:cs="Verdana"/>
        </w:rPr>
      </w:pPr>
    </w:p>
    <w:p w14:paraId="1B8E40F9" w14:textId="77777777" w:rsidR="000D3925" w:rsidRPr="00553A27" w:rsidRDefault="000D3925" w:rsidP="30821638">
      <w:pPr>
        <w:spacing w:after="0"/>
        <w:rPr>
          <w:rFonts w:ascii="Verdana" w:eastAsia="Verdana" w:hAnsi="Verdana" w:cs="Verdana"/>
        </w:rPr>
      </w:pPr>
    </w:p>
    <w:p w14:paraId="50733CDC" w14:textId="77777777" w:rsidR="000D3925" w:rsidRPr="00553A27" w:rsidRDefault="000D3925" w:rsidP="30821638">
      <w:pPr>
        <w:spacing w:after="0"/>
        <w:rPr>
          <w:rFonts w:ascii="Verdana" w:eastAsia="Verdana" w:hAnsi="Verdana" w:cs="Verdana"/>
        </w:rPr>
      </w:pPr>
    </w:p>
    <w:p w14:paraId="0EFA7792" w14:textId="77777777" w:rsidR="000D3925" w:rsidRPr="00553A27" w:rsidRDefault="000D3925" w:rsidP="30821638">
      <w:pPr>
        <w:spacing w:after="0"/>
        <w:rPr>
          <w:rFonts w:ascii="Verdana" w:eastAsia="Verdana" w:hAnsi="Verdana" w:cs="Verdana"/>
        </w:rPr>
      </w:pPr>
    </w:p>
    <w:p w14:paraId="0A6032FC" w14:textId="77777777" w:rsidR="000D3925" w:rsidRPr="00553A27" w:rsidRDefault="000D3925" w:rsidP="30821638">
      <w:pPr>
        <w:spacing w:after="0"/>
        <w:rPr>
          <w:rFonts w:ascii="Verdana" w:eastAsia="Verdana" w:hAnsi="Verdana" w:cs="Verdana"/>
        </w:rPr>
      </w:pPr>
    </w:p>
    <w:p w14:paraId="168B488C" w14:textId="77777777" w:rsidR="008E6611" w:rsidRDefault="008E6611" w:rsidP="30821638">
      <w:pPr>
        <w:spacing w:after="0"/>
        <w:rPr>
          <w:rFonts w:ascii="Verdana" w:eastAsia="Verdana" w:hAnsi="Verdana" w:cs="Verdana"/>
        </w:rPr>
      </w:pPr>
    </w:p>
    <w:p w14:paraId="1468C46D" w14:textId="723280FC" w:rsidR="00C15139" w:rsidRPr="00553A27" w:rsidRDefault="00C15139" w:rsidP="30821638">
      <w:pPr>
        <w:spacing w:after="0"/>
        <w:rPr>
          <w:rFonts w:ascii="Verdana" w:eastAsia="Verdana" w:hAnsi="Verdana" w:cs="Verdana"/>
        </w:rPr>
      </w:pPr>
      <w:r w:rsidRPr="00553A27">
        <w:rPr>
          <w:rFonts w:ascii="Verdana" w:eastAsia="Verdana" w:hAnsi="Verdana" w:cs="Verdana"/>
        </w:rPr>
        <w:lastRenderedPageBreak/>
        <w:t xml:space="preserve">Bogotá D.C., </w:t>
      </w:r>
      <w:r w:rsidR="006279C7" w:rsidRPr="00553A27">
        <w:rPr>
          <w:rFonts w:ascii="Verdana" w:eastAsia="Verdana" w:hAnsi="Verdana" w:cs="Verdana"/>
        </w:rPr>
        <w:t>28 de julio del 2026</w:t>
      </w:r>
      <w:r w:rsidRPr="00553A27">
        <w:rPr>
          <w:rFonts w:ascii="Verdana" w:hAnsi="Verdana"/>
        </w:rPr>
        <w:tab/>
      </w:r>
      <w:r w:rsidRPr="00553A27">
        <w:rPr>
          <w:rFonts w:ascii="Verdana" w:hAnsi="Verdana"/>
        </w:rPr>
        <w:br/>
      </w:r>
    </w:p>
    <w:p w14:paraId="12443EE0" w14:textId="69788677" w:rsidR="00C15139" w:rsidRPr="00553A27" w:rsidRDefault="008727E3" w:rsidP="008727E3">
      <w:pPr>
        <w:spacing w:after="0"/>
        <w:jc w:val="right"/>
        <w:rPr>
          <w:rFonts w:ascii="Verdana" w:eastAsia="Verdana" w:hAnsi="Verdana" w:cs="Verdana"/>
        </w:rPr>
      </w:pPr>
      <w:r w:rsidRPr="00553A27">
        <w:rPr>
          <w:rFonts w:ascii="Verdana" w:eastAsia="Verdana" w:hAnsi="Verdana" w:cs="Verdana"/>
        </w:rPr>
        <w:drawing>
          <wp:inline distT="0" distB="0" distL="0" distR="0" wp14:anchorId="4FCB7725" wp14:editId="4BA6A035">
            <wp:extent cx="2495898" cy="695422"/>
            <wp:effectExtent l="0" t="0" r="0" b="9525"/>
            <wp:docPr id="10555148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14879" name=""/>
                    <pic:cNvPicPr/>
                  </pic:nvPicPr>
                  <pic:blipFill>
                    <a:blip r:embed="rId10"/>
                    <a:stretch>
                      <a:fillRect/>
                    </a:stretch>
                  </pic:blipFill>
                  <pic:spPr>
                    <a:xfrm>
                      <a:off x="0" y="0"/>
                      <a:ext cx="2495898" cy="695422"/>
                    </a:xfrm>
                    <a:prstGeom prst="rect">
                      <a:avLst/>
                    </a:prstGeom>
                  </pic:spPr>
                </pic:pic>
              </a:graphicData>
            </a:graphic>
          </wp:inline>
        </w:drawing>
      </w:r>
    </w:p>
    <w:p w14:paraId="5F2CD078" w14:textId="2EDFE9DC" w:rsidR="00C15139" w:rsidRPr="00553A27" w:rsidRDefault="00C15139" w:rsidP="30821638">
      <w:pPr>
        <w:spacing w:after="0"/>
        <w:rPr>
          <w:rFonts w:ascii="Verdana" w:eastAsia="Verdana" w:hAnsi="Verdana" w:cs="Verdana"/>
          <w:lang w:val="es-MX"/>
        </w:rPr>
      </w:pPr>
      <w:r w:rsidRPr="00553A27">
        <w:rPr>
          <w:rFonts w:ascii="Verdana" w:eastAsia="Verdana" w:hAnsi="Verdana" w:cs="Verdana"/>
          <w:lang w:val="es-MX"/>
        </w:rPr>
        <w:t>Señor</w:t>
      </w:r>
      <w:r w:rsidR="008A5D96" w:rsidRPr="00553A27">
        <w:rPr>
          <w:rFonts w:ascii="Verdana" w:eastAsia="Verdana" w:hAnsi="Verdana" w:cs="Verdana"/>
          <w:lang w:val="es-MX"/>
        </w:rPr>
        <w:t>a</w:t>
      </w:r>
    </w:p>
    <w:p w14:paraId="5546752B" w14:textId="7A1A39A4" w:rsidR="00C15139" w:rsidRPr="00553A27" w:rsidRDefault="002C33EB" w:rsidP="30821638">
      <w:pPr>
        <w:spacing w:after="0"/>
        <w:rPr>
          <w:rFonts w:ascii="Verdana" w:eastAsia="Verdana" w:hAnsi="Verdana" w:cs="Verdana"/>
          <w:b/>
          <w:bCs/>
        </w:rPr>
      </w:pPr>
      <w:r w:rsidRPr="00553A27">
        <w:rPr>
          <w:rFonts w:ascii="Verdana" w:eastAsia="Verdana" w:hAnsi="Verdana" w:cs="Verdana"/>
          <w:b/>
          <w:bCs/>
        </w:rPr>
        <w:t>Treisy Torrado</w:t>
      </w:r>
    </w:p>
    <w:p w14:paraId="4B03230F" w14:textId="2457594B" w:rsidR="00E245AB" w:rsidRPr="00553A27" w:rsidRDefault="00477809" w:rsidP="30821638">
      <w:pPr>
        <w:spacing w:after="0"/>
        <w:rPr>
          <w:rFonts w:ascii="Verdana" w:eastAsia="Verdana" w:hAnsi="Verdana" w:cs="Verdana"/>
        </w:rPr>
      </w:pPr>
      <w:hyperlink r:id="rId11" w:history="1">
        <w:r w:rsidRPr="00553A27">
          <w:rPr>
            <w:rStyle w:val="Hipervnculo"/>
            <w:rFonts w:ascii="Verdana" w:eastAsia="Verdana" w:hAnsi="Verdana" w:cs="Verdana"/>
          </w:rPr>
          <w:t>treisytoto@gmail.com</w:t>
        </w:r>
      </w:hyperlink>
      <w:r w:rsidRPr="00553A27">
        <w:rPr>
          <w:rFonts w:ascii="Verdana" w:eastAsia="Verdana" w:hAnsi="Verdana" w:cs="Verdana"/>
        </w:rPr>
        <w:t xml:space="preserve"> </w:t>
      </w:r>
    </w:p>
    <w:p w14:paraId="7B24E645" w14:textId="0C947F32" w:rsidR="00477809" w:rsidRPr="00553A27" w:rsidRDefault="00477809" w:rsidP="30821638">
      <w:pPr>
        <w:spacing w:after="0"/>
        <w:rPr>
          <w:rFonts w:ascii="Verdana" w:eastAsia="Verdana" w:hAnsi="Verdana" w:cs="Verdana"/>
        </w:rPr>
      </w:pPr>
      <w:r w:rsidRPr="00553A27">
        <w:rPr>
          <w:rFonts w:ascii="Verdana" w:eastAsia="Verdana" w:hAnsi="Verdana" w:cs="Verdana"/>
        </w:rPr>
        <w:t xml:space="preserve">Ocaña, Norte de Santander </w:t>
      </w:r>
    </w:p>
    <w:p w14:paraId="11ED9ADB" w14:textId="77777777" w:rsidR="002C33EB" w:rsidRPr="00553A27" w:rsidRDefault="002C33EB" w:rsidP="30821638">
      <w:pPr>
        <w:spacing w:after="0"/>
        <w:rPr>
          <w:rFonts w:ascii="Verdana" w:eastAsia="Verdana" w:hAnsi="Verdana" w:cs="Verdana"/>
        </w:rPr>
      </w:pPr>
    </w:p>
    <w:p w14:paraId="71B0131F" w14:textId="327604AC" w:rsidR="002429E2" w:rsidRPr="00553A27" w:rsidRDefault="002429E2" w:rsidP="002429E2">
      <w:pPr>
        <w:spacing w:after="0" w:line="240" w:lineRule="auto"/>
        <w:rPr>
          <w:rFonts w:ascii="Verdana" w:eastAsia="Calibri" w:hAnsi="Verdana" w:cs="Arial"/>
          <w:b/>
          <w:bCs/>
          <w:color w:val="000000" w:themeColor="text1"/>
          <w:lang w:val="es-ES_tradnl" w:eastAsia="es-ES_tradnl"/>
        </w:rPr>
      </w:pPr>
      <w:r w:rsidRPr="00553A27">
        <w:rPr>
          <w:rFonts w:ascii="Verdana" w:eastAsia="Calibri" w:hAnsi="Verdana" w:cs="Arial"/>
          <w:b/>
          <w:bCs/>
          <w:color w:val="000000" w:themeColor="text1"/>
          <w:lang w:val="es-ES_tradnl" w:eastAsia="es-ES_tradnl"/>
        </w:rPr>
        <w:t xml:space="preserve">                                   Concepto </w:t>
      </w:r>
      <w:r w:rsidR="000D0DDC" w:rsidRPr="00553A27">
        <w:rPr>
          <w:rFonts w:ascii="Verdana" w:eastAsia="Calibri" w:hAnsi="Verdana" w:cs="Arial"/>
          <w:b/>
          <w:bCs/>
          <w:color w:val="000000" w:themeColor="text1"/>
          <w:lang w:val="es-ES_tradnl" w:eastAsia="es-ES_tradnl"/>
        </w:rPr>
        <w:t>C-977</w:t>
      </w:r>
      <w:r w:rsidRPr="00553A27">
        <w:rPr>
          <w:rFonts w:ascii="Verdana" w:eastAsia="Calibri" w:hAnsi="Verdana" w:cs="Arial"/>
          <w:b/>
          <w:bCs/>
          <w:color w:val="000000" w:themeColor="text1"/>
          <w:lang w:val="es-ES_tradnl" w:eastAsia="es-ES_tradnl"/>
        </w:rPr>
        <w:t xml:space="preserve"> del 2026</w:t>
      </w:r>
    </w:p>
    <w:p w14:paraId="0ADA82CD" w14:textId="77777777" w:rsidR="002429E2" w:rsidRPr="00553A27" w:rsidRDefault="002429E2" w:rsidP="002429E2">
      <w:pPr>
        <w:spacing w:after="0" w:line="240" w:lineRule="auto"/>
        <w:rPr>
          <w:rFonts w:ascii="Verdana" w:eastAsia="Calibri" w:hAnsi="Verdana" w:cs="Arial"/>
          <w:b/>
          <w:bCs/>
          <w:color w:val="000000" w:themeColor="text1"/>
          <w:highlight w:val="cyan"/>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2429E2" w:rsidRPr="00553A27" w14:paraId="0D36B666" w14:textId="77777777" w:rsidTr="00B5587B">
        <w:trPr>
          <w:trHeight w:val="884"/>
        </w:trPr>
        <w:tc>
          <w:tcPr>
            <w:tcW w:w="2689" w:type="dxa"/>
          </w:tcPr>
          <w:p w14:paraId="7BD8B3BB" w14:textId="77777777" w:rsidR="002429E2" w:rsidRPr="00553A27" w:rsidRDefault="002429E2" w:rsidP="00B5587B">
            <w:pPr>
              <w:jc w:val="both"/>
              <w:rPr>
                <w:rFonts w:ascii="Verdana" w:eastAsia="Calibri" w:hAnsi="Verdana" w:cs="Arial"/>
                <w:color w:val="000000" w:themeColor="text1"/>
                <w:lang w:val="es-ES_tradnl" w:eastAsia="es-ES_tradnl"/>
              </w:rPr>
            </w:pPr>
            <w:r w:rsidRPr="00553A27">
              <w:rPr>
                <w:rFonts w:ascii="Verdana" w:eastAsia="Calibri" w:hAnsi="Verdana" w:cs="Arial"/>
                <w:b/>
                <w:color w:val="000000" w:themeColor="text1"/>
                <w:lang w:val="es-ES_tradnl" w:eastAsia="es-ES_tradnl"/>
              </w:rPr>
              <w:t>Temas:</w:t>
            </w:r>
            <w:r w:rsidRPr="00553A27">
              <w:rPr>
                <w:rFonts w:ascii="Verdana" w:eastAsia="Calibri" w:hAnsi="Verdana" w:cs="Arial"/>
                <w:color w:val="000000" w:themeColor="text1"/>
                <w:lang w:val="es-ES_tradnl" w:eastAsia="es-ES_tradnl"/>
              </w:rPr>
              <w:t xml:space="preserve">                   </w:t>
            </w:r>
          </w:p>
        </w:tc>
        <w:tc>
          <w:tcPr>
            <w:tcW w:w="6100" w:type="dxa"/>
          </w:tcPr>
          <w:p w14:paraId="2D1078D1" w14:textId="77777777" w:rsidR="009137AB" w:rsidRPr="00553A27" w:rsidRDefault="009137AB" w:rsidP="009137AB">
            <w:pPr>
              <w:jc w:val="both"/>
              <w:rPr>
                <w:rFonts w:ascii="Verdana" w:hAnsi="Verdana" w:cs="Arial"/>
                <w:lang w:eastAsia="es-ES"/>
              </w:rPr>
            </w:pPr>
            <w:r w:rsidRPr="00553A27">
              <w:rPr>
                <w:rFonts w:ascii="Verdana" w:hAnsi="Verdana" w:cs="Arial"/>
                <w:lang w:eastAsia="es-ES"/>
              </w:rPr>
              <w:t>ESTABILIDAD OCUPACIONAL REFORZADA – Mujer embarazada y/o periodo de lactancia / CONTRATO DE PRESTACIÓN DE SERVICIOS – Protección por maternidad / LEY DE GARANTÍAS ELECTORALES – Artículo 33 – Contratación directa / ENTIDADES TERRITORIALES – Restricciones preelectorales – Planeación contractual</w:t>
            </w:r>
          </w:p>
          <w:p w14:paraId="575C5BB3" w14:textId="77777777" w:rsidR="002429E2" w:rsidRPr="00553A27" w:rsidRDefault="002429E2" w:rsidP="00B5587B">
            <w:pPr>
              <w:jc w:val="both"/>
              <w:rPr>
                <w:rFonts w:ascii="Verdana" w:eastAsia="Calibri" w:hAnsi="Verdana" w:cs="Arial"/>
                <w:lang w:eastAsia="es-ES"/>
              </w:rPr>
            </w:pPr>
          </w:p>
        </w:tc>
      </w:tr>
      <w:tr w:rsidR="002429E2" w:rsidRPr="00553A27" w14:paraId="2A3B7823" w14:textId="77777777" w:rsidTr="00B5587B">
        <w:tc>
          <w:tcPr>
            <w:tcW w:w="2689" w:type="dxa"/>
          </w:tcPr>
          <w:p w14:paraId="07002EC4" w14:textId="77777777" w:rsidR="002429E2" w:rsidRPr="00553A27" w:rsidRDefault="002429E2" w:rsidP="00B5587B">
            <w:pPr>
              <w:jc w:val="both"/>
              <w:rPr>
                <w:rFonts w:ascii="Verdana" w:eastAsia="Calibri" w:hAnsi="Verdana" w:cs="Arial"/>
                <w:b/>
                <w:color w:val="000000" w:themeColor="text1"/>
                <w:lang w:val="es-ES_tradnl" w:eastAsia="es-ES_tradnl"/>
              </w:rPr>
            </w:pPr>
            <w:r w:rsidRPr="00553A27">
              <w:rPr>
                <w:rFonts w:ascii="Verdana" w:eastAsia="Calibri" w:hAnsi="Verdana" w:cs="Arial"/>
                <w:b/>
                <w:color w:val="000000" w:themeColor="text1"/>
                <w:lang w:val="es-ES_tradnl" w:eastAsia="es-ES_tradnl"/>
              </w:rPr>
              <w:t>Radicación:</w:t>
            </w:r>
            <w:r w:rsidRPr="00553A27">
              <w:rPr>
                <w:rFonts w:ascii="Verdana" w:eastAsia="Calibri" w:hAnsi="Verdana" w:cs="Arial"/>
                <w:color w:val="000000" w:themeColor="text1"/>
                <w:lang w:val="es-ES_tradnl" w:eastAsia="es-ES_tradnl"/>
              </w:rPr>
              <w:t xml:space="preserve">               </w:t>
            </w:r>
          </w:p>
        </w:tc>
        <w:tc>
          <w:tcPr>
            <w:tcW w:w="6100" w:type="dxa"/>
          </w:tcPr>
          <w:p w14:paraId="2D0EC229" w14:textId="118EE90D" w:rsidR="002429E2" w:rsidRPr="00553A27" w:rsidRDefault="002429E2" w:rsidP="00B5587B">
            <w:pPr>
              <w:jc w:val="both"/>
              <w:rPr>
                <w:rFonts w:ascii="Verdana" w:eastAsia="Calibri" w:hAnsi="Verdana" w:cs="Arial"/>
                <w:color w:val="000000" w:themeColor="text1"/>
                <w:lang w:eastAsia="es-ES_tradnl"/>
              </w:rPr>
            </w:pPr>
            <w:r w:rsidRPr="00553A27">
              <w:rPr>
                <w:rFonts w:ascii="Verdana" w:eastAsia="Calibri" w:hAnsi="Verdana" w:cs="Arial"/>
                <w:color w:val="000000" w:themeColor="text1"/>
                <w:lang w:val="es-ES_tradnl" w:eastAsia="es-ES_tradnl"/>
              </w:rPr>
              <w:t>Respuesta a consulta con radicado No.</w:t>
            </w:r>
            <w:r w:rsidRPr="00553A27">
              <w:rPr>
                <w:rFonts w:ascii="Verdana" w:hAnsi="Verdana"/>
              </w:rPr>
              <w:t xml:space="preserve"> </w:t>
            </w:r>
            <w:r w:rsidR="00D03251" w:rsidRPr="00553A27">
              <w:rPr>
                <w:rFonts w:ascii="Verdana" w:hAnsi="Verdana"/>
              </w:rPr>
              <w:t>1_2026_06_16_008064</w:t>
            </w:r>
          </w:p>
        </w:tc>
      </w:tr>
    </w:tbl>
    <w:p w14:paraId="467C9701" w14:textId="77777777" w:rsidR="002429E2" w:rsidRPr="00553A27" w:rsidRDefault="002429E2" w:rsidP="002429E2">
      <w:pPr>
        <w:spacing w:after="0" w:line="276" w:lineRule="auto"/>
        <w:jc w:val="both"/>
        <w:rPr>
          <w:rFonts w:ascii="Verdana" w:eastAsia="Calibri" w:hAnsi="Verdana" w:cs="Arial"/>
          <w:color w:val="000000" w:themeColor="text1"/>
          <w:highlight w:val="cyan"/>
          <w:lang w:val="es-ES" w:eastAsia="es-ES"/>
        </w:rPr>
      </w:pPr>
    </w:p>
    <w:p w14:paraId="34B9D55C" w14:textId="0DF4B2C3" w:rsidR="002429E2" w:rsidRPr="00553A27" w:rsidRDefault="002429E2" w:rsidP="008E2BE8">
      <w:pPr>
        <w:spacing w:after="0" w:line="276" w:lineRule="auto"/>
        <w:jc w:val="both"/>
        <w:rPr>
          <w:rFonts w:ascii="Verdana" w:eastAsia="Calibri" w:hAnsi="Verdana" w:cs="Arial"/>
          <w:color w:val="000000" w:themeColor="text1"/>
          <w:lang w:val="es-ES" w:eastAsia="es-ES"/>
        </w:rPr>
      </w:pPr>
      <w:r w:rsidRPr="00553A27">
        <w:rPr>
          <w:rFonts w:ascii="Verdana" w:eastAsia="Calibri" w:hAnsi="Verdana" w:cs="Arial"/>
          <w:color w:val="000000" w:themeColor="text1"/>
          <w:lang w:val="es-ES" w:eastAsia="es-ES"/>
        </w:rPr>
        <w:t>Estimad</w:t>
      </w:r>
      <w:r w:rsidR="00D03251" w:rsidRPr="00553A27">
        <w:rPr>
          <w:rFonts w:ascii="Verdana" w:eastAsia="Calibri" w:hAnsi="Verdana" w:cs="Arial"/>
          <w:color w:val="000000" w:themeColor="text1"/>
          <w:lang w:val="es-ES" w:eastAsia="es-ES"/>
        </w:rPr>
        <w:t>a</w:t>
      </w:r>
      <w:r w:rsidRPr="00553A27">
        <w:rPr>
          <w:rFonts w:ascii="Verdana" w:eastAsia="Calibri" w:hAnsi="Verdana" w:cs="Arial"/>
          <w:color w:val="000000" w:themeColor="text1"/>
          <w:lang w:val="es-ES" w:eastAsia="es-ES"/>
        </w:rPr>
        <w:t xml:space="preserve"> señor</w:t>
      </w:r>
      <w:r w:rsidR="00D03251" w:rsidRPr="00553A27">
        <w:rPr>
          <w:rFonts w:ascii="Verdana" w:eastAsia="Calibri" w:hAnsi="Verdana" w:cs="Arial"/>
          <w:color w:val="000000" w:themeColor="text1"/>
          <w:lang w:val="es-ES" w:eastAsia="es-ES"/>
        </w:rPr>
        <w:t>a</w:t>
      </w:r>
      <w:r w:rsidRPr="00553A27">
        <w:rPr>
          <w:rFonts w:ascii="Verdana" w:eastAsia="Calibri" w:hAnsi="Verdana" w:cs="Arial"/>
          <w:color w:val="000000" w:themeColor="text1"/>
          <w:lang w:val="es-ES" w:eastAsia="es-ES"/>
        </w:rPr>
        <w:t xml:space="preserve"> </w:t>
      </w:r>
      <w:r w:rsidR="00D03251" w:rsidRPr="00553A27">
        <w:rPr>
          <w:rFonts w:ascii="Verdana" w:eastAsia="Calibri" w:hAnsi="Verdana" w:cs="Arial"/>
          <w:color w:val="000000" w:themeColor="text1"/>
          <w:lang w:eastAsia="es-ES"/>
        </w:rPr>
        <w:t>Torrado</w:t>
      </w:r>
      <w:r w:rsidRPr="00553A27">
        <w:rPr>
          <w:rFonts w:ascii="Verdana" w:eastAsia="Calibri" w:hAnsi="Verdana" w:cs="Arial"/>
          <w:color w:val="000000" w:themeColor="text1"/>
          <w:lang w:val="es-ES" w:eastAsia="es-ES"/>
        </w:rPr>
        <w:t xml:space="preserve">: </w:t>
      </w:r>
    </w:p>
    <w:p w14:paraId="583AF5A6" w14:textId="77777777" w:rsidR="002429E2" w:rsidRPr="00553A27" w:rsidRDefault="002429E2">
      <w:pPr>
        <w:spacing w:after="0" w:line="276" w:lineRule="auto"/>
        <w:rPr>
          <w:rFonts w:ascii="Verdana" w:eastAsia="Times New Roman" w:hAnsi="Verdana" w:cs="Segoe UI"/>
          <w:highlight w:val="cyan"/>
          <w:lang w:eastAsia="es-CO"/>
        </w:rPr>
      </w:pPr>
    </w:p>
    <w:p w14:paraId="68EEC93A" w14:textId="143B093F" w:rsidR="002429E2" w:rsidRPr="00553A27" w:rsidRDefault="002429E2">
      <w:pPr>
        <w:spacing w:after="0" w:line="276" w:lineRule="auto"/>
        <w:jc w:val="both"/>
        <w:rPr>
          <w:rFonts w:ascii="Verdana" w:eastAsia="Calibri" w:hAnsi="Verdana" w:cs="Arial"/>
          <w:lang w:val="es-ES" w:eastAsia="es-ES"/>
        </w:rPr>
      </w:pPr>
      <w:r w:rsidRPr="00553A27">
        <w:rPr>
          <w:rFonts w:ascii="Verdana" w:eastAsia="Calibri" w:hAnsi="Verdana" w:cs="Arial"/>
          <w:lang w:val="es-ES" w:eastAsia="es-ES"/>
        </w:rPr>
        <w:t>En ejercicio de la competencia otorgada por los artículos 3, numeral 5º, y 11, numeral 8º, del Decreto Ley 4170 de 2011,</w:t>
      </w:r>
      <w:r w:rsidRPr="00553A27">
        <w:rPr>
          <w:rFonts w:ascii="Verdana" w:eastAsia="Arial MT" w:hAnsi="Verdana" w:cs="Arial"/>
          <w:lang w:val="es-ES" w:eastAsia="es-ES"/>
        </w:rPr>
        <w:t xml:space="preserve"> </w:t>
      </w:r>
      <w:r w:rsidRPr="00553A27">
        <w:rPr>
          <w:rFonts w:ascii="Verdana" w:hAnsi="Verdana" w:cs="Arial"/>
        </w:rPr>
        <w:t xml:space="preserve">así como lo establecido en el artículo 4 de la Resolución 1707 de 2018 expedida por esta Entidad, </w:t>
      </w:r>
      <w:r w:rsidRPr="00553A27">
        <w:rPr>
          <w:rFonts w:ascii="Verdana" w:eastAsia="Calibri" w:hAnsi="Verdana" w:cs="Arial"/>
          <w:lang w:val="es-ES" w:eastAsia="es-ES"/>
        </w:rPr>
        <w:t xml:space="preserve">la Agencia Nacional de Contratación Pública – Colombia Compra Eficiente– responde su solicitud radicada el </w:t>
      </w:r>
      <w:r w:rsidR="00012D77" w:rsidRPr="00553A27">
        <w:rPr>
          <w:rFonts w:ascii="Verdana" w:eastAsia="Calibri" w:hAnsi="Verdana" w:cs="Arial"/>
          <w:lang w:val="es-ES" w:eastAsia="es-ES"/>
        </w:rPr>
        <w:t>03 de junio del 2026</w:t>
      </w:r>
      <w:r w:rsidRPr="00553A27">
        <w:rPr>
          <w:rFonts w:ascii="Verdana" w:eastAsia="Calibri" w:hAnsi="Verdana" w:cs="Arial"/>
          <w:lang w:val="es-ES" w:eastAsia="es-ES"/>
        </w:rPr>
        <w:t>,</w:t>
      </w:r>
      <w:r w:rsidR="00B259C4" w:rsidRPr="00553A27">
        <w:rPr>
          <w:rFonts w:ascii="Verdana" w:eastAsia="Calibri" w:hAnsi="Verdana" w:cs="Arial"/>
          <w:lang w:val="es-ES" w:eastAsia="es-ES"/>
        </w:rPr>
        <w:t xml:space="preserve"> trasladada por el Departamento Administrativo de la Función Pública el 12 de junio del 2026,</w:t>
      </w:r>
      <w:r w:rsidRPr="00553A27">
        <w:rPr>
          <w:rFonts w:ascii="Verdana" w:eastAsia="Calibri" w:hAnsi="Verdana" w:cs="Arial"/>
          <w:lang w:val="es-ES" w:eastAsia="es-ES"/>
        </w:rPr>
        <w:t xml:space="preserve"> en la cual manifiesta lo siguiente: </w:t>
      </w:r>
    </w:p>
    <w:p w14:paraId="2BAAB3CD" w14:textId="77777777" w:rsidR="002429E2" w:rsidRPr="00553A27" w:rsidRDefault="002429E2">
      <w:pPr>
        <w:spacing w:after="0" w:line="276" w:lineRule="auto"/>
        <w:jc w:val="both"/>
        <w:rPr>
          <w:rFonts w:ascii="Verdana" w:eastAsia="Calibri" w:hAnsi="Verdana" w:cs="Arial"/>
          <w:highlight w:val="cyan"/>
          <w:lang w:val="es-ES" w:eastAsia="es-ES"/>
        </w:rPr>
      </w:pPr>
    </w:p>
    <w:p w14:paraId="4EC0915E" w14:textId="0376AD99" w:rsidR="002429E2" w:rsidRPr="00553A27" w:rsidRDefault="002429E2" w:rsidP="00012D77">
      <w:pPr>
        <w:spacing w:after="0" w:line="240" w:lineRule="auto"/>
        <w:ind w:left="709" w:right="709"/>
        <w:jc w:val="both"/>
        <w:rPr>
          <w:rFonts w:ascii="Verdana" w:eastAsia="Century Gothic" w:hAnsi="Verdana" w:cs="Arial"/>
          <w:sz w:val="20"/>
          <w:szCs w:val="20"/>
        </w:rPr>
      </w:pPr>
      <w:r w:rsidRPr="00553A27">
        <w:rPr>
          <w:rFonts w:ascii="Verdana" w:eastAsia="Century Gothic" w:hAnsi="Verdana" w:cs="Arial"/>
          <w:sz w:val="20"/>
          <w:szCs w:val="20"/>
          <w:lang w:val="es-ES"/>
        </w:rPr>
        <w:t xml:space="preserve">“[…] </w:t>
      </w:r>
      <w:r w:rsidR="00012D77" w:rsidRPr="00553A27">
        <w:rPr>
          <w:rFonts w:ascii="Verdana" w:eastAsia="Century Gothic" w:hAnsi="Verdana" w:cs="Arial"/>
          <w:sz w:val="20"/>
          <w:szCs w:val="20"/>
        </w:rPr>
        <w:t xml:space="preserve">Buenas tardes, deseo elevar una consulta para la emisión de un concepto frente a mi situación actual. Me encuentro en estado de embarazo y soy contratista de la Alcaldía municipal por medio de contrato de prestación de servicios, yo informe con antelación de mi estado, el contrato celebrado este año se venció y me hicieron un otrosí por 40 días el cual tiene fecha de vencimiento el 11 de junio 2026 y mi fecha probable de parto del 06 de agosto de 2026, a lo que la administración dice que no </w:t>
      </w:r>
      <w:r w:rsidR="00012D77" w:rsidRPr="00553A27">
        <w:rPr>
          <w:rFonts w:ascii="Verdana" w:eastAsia="Century Gothic" w:hAnsi="Verdana" w:cs="Arial"/>
          <w:sz w:val="20"/>
          <w:szCs w:val="20"/>
        </w:rPr>
        <w:lastRenderedPageBreak/>
        <w:t xml:space="preserve">me pueden dar continuidad contractual por la ley de garantías. Mi pregunta es que si estando en embarazo ellos pueden terminar mi contrato y esperar a que pase la ley de garantías o si existe una figura que permita dar continuidad a mi contrato a pesar de la ley de garantías con el fin de que mis derechos fundamentales no sean afectados </w:t>
      </w:r>
      <w:r w:rsidRPr="00553A27">
        <w:rPr>
          <w:rFonts w:ascii="Verdana" w:eastAsia="Century Gothic" w:hAnsi="Verdana" w:cs="Arial"/>
          <w:sz w:val="20"/>
          <w:szCs w:val="20"/>
        </w:rPr>
        <w:t>[…]”</w:t>
      </w:r>
    </w:p>
    <w:p w14:paraId="4C95B171" w14:textId="77777777" w:rsidR="002429E2" w:rsidRPr="00553A27" w:rsidRDefault="002429E2" w:rsidP="002429E2">
      <w:pPr>
        <w:spacing w:after="0"/>
        <w:jc w:val="both"/>
        <w:rPr>
          <w:rFonts w:ascii="Verdana" w:hAnsi="Verdana" w:cs="Arial"/>
        </w:rPr>
      </w:pPr>
    </w:p>
    <w:p w14:paraId="25C52447" w14:textId="77777777" w:rsidR="002429E2" w:rsidRPr="00553A27" w:rsidRDefault="002429E2" w:rsidP="002429E2">
      <w:pPr>
        <w:spacing w:after="120" w:line="276" w:lineRule="auto"/>
        <w:ind w:firstLine="709"/>
        <w:jc w:val="both"/>
        <w:rPr>
          <w:rFonts w:ascii="Verdana" w:eastAsia="Calibri" w:hAnsi="Verdana" w:cs="Arial"/>
          <w:color w:val="000000"/>
          <w:lang w:val="es-ES_tradnl" w:eastAsia="es-ES_tradnl"/>
        </w:rPr>
      </w:pPr>
      <w:r w:rsidRPr="00553A27">
        <w:rPr>
          <w:rFonts w:ascii="Verdana" w:eastAsia="Calibri" w:hAnsi="Verdana" w:cs="Arial"/>
          <w:color w:val="000000"/>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170D84AC" w14:textId="6719043B" w:rsidR="002429E2" w:rsidRPr="00553A27" w:rsidRDefault="002429E2" w:rsidP="002429E2">
      <w:pPr>
        <w:spacing w:after="0" w:line="276" w:lineRule="auto"/>
        <w:ind w:firstLine="709"/>
        <w:jc w:val="both"/>
        <w:rPr>
          <w:rFonts w:ascii="Verdana" w:eastAsia="Calibri" w:hAnsi="Verdana" w:cs="Arial"/>
          <w:color w:val="000000"/>
          <w:lang w:val="es-ES" w:eastAsia="es-ES"/>
        </w:rPr>
      </w:pPr>
      <w:r w:rsidRPr="00553A27">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sidR="001730B3" w:rsidRPr="00553A27">
        <w:rPr>
          <w:rFonts w:ascii="Verdana" w:eastAsia="Calibri" w:hAnsi="Verdana" w:cs="Arial"/>
          <w:color w:val="000000"/>
          <w:lang w:val="es-ES" w:eastAsia="es-ES"/>
        </w:rPr>
        <w:t>e</w:t>
      </w:r>
      <w:r w:rsidRPr="00553A27">
        <w:rPr>
          <w:rFonts w:ascii="Verdana" w:eastAsia="Calibri" w:hAnsi="Verdana" w:cs="Arial"/>
          <w:color w:val="000000"/>
          <w:lang w:val="es-ES" w:eastAsia="es-ES"/>
        </w:rPr>
        <w:t xml:space="preserve">l problema jurídico de su consulta.  </w:t>
      </w:r>
    </w:p>
    <w:p w14:paraId="7CA77BE5" w14:textId="77777777" w:rsidR="002429E2" w:rsidRPr="00553A27" w:rsidRDefault="002429E2" w:rsidP="00C30275">
      <w:pPr>
        <w:spacing w:after="0" w:line="276" w:lineRule="auto"/>
        <w:jc w:val="both"/>
        <w:rPr>
          <w:rStyle w:val="Hipervnculo"/>
          <w:rFonts w:ascii="Verdana" w:hAnsi="Verdana"/>
          <w:lang w:val="es-ES"/>
        </w:rPr>
      </w:pPr>
    </w:p>
    <w:p w14:paraId="4048EFFC" w14:textId="77777777" w:rsidR="002429E2" w:rsidRPr="00553A27" w:rsidRDefault="002429E2">
      <w:pPr>
        <w:pStyle w:val="Prrafodelista"/>
        <w:numPr>
          <w:ilvl w:val="0"/>
          <w:numId w:val="16"/>
        </w:numPr>
        <w:spacing w:after="0" w:line="276" w:lineRule="auto"/>
        <w:jc w:val="both"/>
        <w:rPr>
          <w:rFonts w:ascii="Verdana" w:eastAsia="Verdana" w:hAnsi="Verdana" w:cs="Verdana"/>
        </w:rPr>
      </w:pPr>
      <w:r w:rsidRPr="00553A27">
        <w:rPr>
          <w:rFonts w:ascii="Verdana" w:eastAsia="Century Gothic" w:hAnsi="Verdana" w:cs="Arial"/>
          <w:b/>
        </w:rPr>
        <w:t>Problemas planteados:</w:t>
      </w:r>
    </w:p>
    <w:p w14:paraId="492B70AF" w14:textId="77777777" w:rsidR="002429E2" w:rsidRPr="00553A27" w:rsidRDefault="002429E2">
      <w:pPr>
        <w:spacing w:after="0" w:line="276" w:lineRule="auto"/>
        <w:jc w:val="both"/>
        <w:rPr>
          <w:rFonts w:ascii="Verdana" w:eastAsia="Verdana" w:hAnsi="Verdana" w:cs="Verdana"/>
          <w:highlight w:val="cyan"/>
          <w:lang w:val="es-MX"/>
        </w:rPr>
      </w:pPr>
    </w:p>
    <w:p w14:paraId="5750098C" w14:textId="5B592D61" w:rsidR="007D2FCD" w:rsidRPr="00553A27" w:rsidRDefault="002429E2">
      <w:pPr>
        <w:spacing w:after="0" w:line="276" w:lineRule="auto"/>
        <w:jc w:val="both"/>
        <w:rPr>
          <w:rFonts w:ascii="Verdana" w:eastAsia="Century Gothic" w:hAnsi="Verdana" w:cs="Century Gothic"/>
        </w:rPr>
      </w:pPr>
      <w:r w:rsidRPr="00553A27">
        <w:rPr>
          <w:rFonts w:ascii="Verdana" w:eastAsia="Century Gothic" w:hAnsi="Verdana" w:cs="Century Gothic"/>
        </w:rPr>
        <w:t>De acuerdo con el contenido de su solicitud, esta Agencia resolverá el siguiente problema jurídico</w:t>
      </w:r>
      <w:r w:rsidR="007D2FCD" w:rsidRPr="00553A27">
        <w:rPr>
          <w:rFonts w:ascii="Verdana" w:eastAsia="Century Gothic" w:hAnsi="Verdana" w:cs="Century Gothic"/>
        </w:rPr>
        <w:t xml:space="preserve">: ¿De qué manera debe una </w:t>
      </w:r>
      <w:r w:rsidR="00075F27" w:rsidRPr="00553A27">
        <w:rPr>
          <w:rFonts w:ascii="Verdana" w:eastAsia="Century Gothic" w:hAnsi="Verdana" w:cs="Century Gothic"/>
        </w:rPr>
        <w:t>E</w:t>
      </w:r>
      <w:r w:rsidR="007D2FCD" w:rsidRPr="00553A27">
        <w:rPr>
          <w:rFonts w:ascii="Verdana" w:eastAsia="Century Gothic" w:hAnsi="Verdana" w:cs="Century Gothic"/>
        </w:rPr>
        <w:t xml:space="preserve">ntidad </w:t>
      </w:r>
      <w:r w:rsidR="00075F27" w:rsidRPr="00553A27">
        <w:rPr>
          <w:rFonts w:ascii="Verdana" w:eastAsia="Century Gothic" w:hAnsi="Verdana" w:cs="Century Gothic"/>
        </w:rPr>
        <w:t>E</w:t>
      </w:r>
      <w:r w:rsidR="007D2FCD" w:rsidRPr="00553A27">
        <w:rPr>
          <w:rFonts w:ascii="Verdana" w:eastAsia="Century Gothic" w:hAnsi="Verdana" w:cs="Century Gothic"/>
        </w:rPr>
        <w:t>statal armonizar la protección del derecho a la estabilidad ocupacional reforzada de las mujeres en estado de embarazo o en periodo de lactancia, vinculadas mediante contratos de prestación de servicios, con las restricciones a la contratación directa previstas en el artículo 33 de la Ley 996 de 2005</w:t>
      </w:r>
      <w:r w:rsidR="00F13988" w:rsidRPr="00553A27">
        <w:rPr>
          <w:rFonts w:ascii="Verdana" w:eastAsia="Century Gothic" w:hAnsi="Verdana" w:cs="Century Gothic"/>
        </w:rPr>
        <w:t xml:space="preserve"> aplicables</w:t>
      </w:r>
      <w:r w:rsidR="007D2FCD" w:rsidRPr="00553A27">
        <w:rPr>
          <w:rFonts w:ascii="Verdana" w:eastAsia="Century Gothic" w:hAnsi="Verdana" w:cs="Century Gothic"/>
        </w:rPr>
        <w:t xml:space="preserve"> durante el período preelectoral?</w:t>
      </w:r>
    </w:p>
    <w:p w14:paraId="5CDF892A" w14:textId="348B2D41" w:rsidR="002429E2" w:rsidRPr="00553A27" w:rsidRDefault="002429E2">
      <w:pPr>
        <w:pStyle w:val="TableParagraph"/>
        <w:spacing w:line="276" w:lineRule="auto"/>
        <w:ind w:left="0"/>
        <w:jc w:val="both"/>
        <w:rPr>
          <w:rFonts w:ascii="Verdana" w:eastAsia="Verdana" w:hAnsi="Verdana" w:cs="Verdana"/>
          <w:highlight w:val="cyan"/>
          <w:lang w:val="es-CO"/>
        </w:rPr>
      </w:pPr>
    </w:p>
    <w:p w14:paraId="069E0659" w14:textId="77777777" w:rsidR="002429E2" w:rsidRPr="00553A27" w:rsidRDefault="002429E2">
      <w:pPr>
        <w:pStyle w:val="Prrafodelista"/>
        <w:numPr>
          <w:ilvl w:val="0"/>
          <w:numId w:val="16"/>
        </w:numPr>
        <w:spacing w:after="0" w:line="276" w:lineRule="auto"/>
        <w:jc w:val="both"/>
        <w:rPr>
          <w:rFonts w:ascii="Verdana" w:eastAsia="Century Gothic" w:hAnsi="Verdana" w:cs="Arial"/>
          <w:b/>
        </w:rPr>
      </w:pPr>
      <w:r w:rsidRPr="00553A27">
        <w:rPr>
          <w:rFonts w:ascii="Verdana" w:eastAsia="Century Gothic" w:hAnsi="Verdana" w:cs="Arial"/>
          <w:b/>
        </w:rPr>
        <w:t>Respuesta:</w:t>
      </w:r>
    </w:p>
    <w:p w14:paraId="776641FF" w14:textId="77777777" w:rsidR="002429E2" w:rsidRPr="00553A27" w:rsidRDefault="002429E2">
      <w:pPr>
        <w:spacing w:after="0" w:line="276" w:lineRule="auto"/>
        <w:rPr>
          <w:rFonts w:ascii="Verdana" w:eastAsia="Aptos" w:hAnsi="Verdana" w:cs="Arial"/>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429E2" w:rsidRPr="00553A27" w14:paraId="7297CF65" w14:textId="77777777" w:rsidTr="00B5587B">
        <w:tc>
          <w:tcPr>
            <w:tcW w:w="8828" w:type="dxa"/>
          </w:tcPr>
          <w:p w14:paraId="28FEC049" w14:textId="77777777" w:rsidR="002429E2" w:rsidRPr="00553A27" w:rsidRDefault="002429E2">
            <w:pPr>
              <w:spacing w:after="120" w:line="276" w:lineRule="auto"/>
              <w:jc w:val="both"/>
              <w:rPr>
                <w:rFonts w:ascii="Verdana" w:hAnsi="Verdana" w:cs="Arial"/>
                <w:color w:val="000000" w:themeColor="text1"/>
              </w:rPr>
            </w:pPr>
            <w:bookmarkStart w:id="1" w:name="_Hlk171067516"/>
            <w:r w:rsidRPr="00553A27">
              <w:rPr>
                <w:rFonts w:ascii="Verdana" w:hAnsi="Verdana" w:cs="Arial"/>
                <w:color w:val="000000" w:themeColor="text1"/>
              </w:rPr>
              <w:lastRenderedPageBreak/>
              <w:t>En respuesta a al problema antes planteado esta Subdirección manifiesta lo siguiente:</w:t>
            </w:r>
          </w:p>
          <w:p w14:paraId="7AF365F5" w14:textId="45C43A41" w:rsidR="002429E2" w:rsidRPr="00553A27" w:rsidRDefault="003F0D75">
            <w:pPr>
              <w:pStyle w:val="Textoindependiente"/>
              <w:spacing w:after="120" w:line="276" w:lineRule="auto"/>
              <w:jc w:val="both"/>
              <w:rPr>
                <w:rFonts w:eastAsia="Century Gothic" w:cs="Arial"/>
              </w:rPr>
            </w:pPr>
            <w:r w:rsidRPr="00553A27">
              <w:rPr>
                <w:rFonts w:eastAsia="Century Gothic" w:cs="Arial"/>
              </w:rPr>
              <w:t xml:space="preserve">De conformidad con el marco constitucional y jurisprudencial vigente, las mujeres en estado de embarazo o en período de lactancia vinculadas mediante contratos de prestación de servicios son titulares del derecho a la estabilidad ocupacional reforzada, cuya finalidad es impedir cualquier forma de discriminación derivada de la terminación o no renovación del vínculo contractual por causa o con ocasión de la maternidad. Esta protección resulta exigible frente a las </w:t>
            </w:r>
            <w:r w:rsidR="00483A7D" w:rsidRPr="00553A27">
              <w:rPr>
                <w:rFonts w:eastAsia="Century Gothic" w:cs="Arial"/>
              </w:rPr>
              <w:t>E</w:t>
            </w:r>
            <w:r w:rsidRPr="00553A27">
              <w:rPr>
                <w:rFonts w:eastAsia="Century Gothic" w:cs="Arial"/>
              </w:rPr>
              <w:t xml:space="preserve">ntidades </w:t>
            </w:r>
            <w:r w:rsidR="00483A7D" w:rsidRPr="00553A27">
              <w:rPr>
                <w:rFonts w:eastAsia="Century Gothic" w:cs="Arial"/>
              </w:rPr>
              <w:t>E</w:t>
            </w:r>
            <w:r w:rsidRPr="00553A27">
              <w:rPr>
                <w:rFonts w:eastAsia="Century Gothic" w:cs="Arial"/>
              </w:rPr>
              <w:t xml:space="preserve">statales, aun cuando la relación se haya estructurado bajo una modalidad contractual de naturaleza temporal, y su alcance debe determinarse atendiendo a las reglas fijadas por la Corte Constitucional, particularmente en lo relativo a la existencia de una relación de prestación de servicios, el conocimiento del estado de embarazo por parte de la </w:t>
            </w:r>
            <w:r w:rsidR="00C30275" w:rsidRPr="00553A27">
              <w:rPr>
                <w:rFonts w:eastAsia="Century Gothic" w:cs="Arial"/>
              </w:rPr>
              <w:t>E</w:t>
            </w:r>
            <w:r w:rsidRPr="00553A27">
              <w:rPr>
                <w:rFonts w:eastAsia="Century Gothic" w:cs="Arial"/>
              </w:rPr>
              <w:t>ntidad y la ausencia de motivos objetivos que justifiquen la terminación del vínculo.</w:t>
            </w:r>
          </w:p>
          <w:p w14:paraId="2DECB0C3" w14:textId="0CACF89F" w:rsidR="00E77C90" w:rsidRPr="00553A27" w:rsidRDefault="00E77C90" w:rsidP="00293164">
            <w:pPr>
              <w:spacing w:after="120" w:line="276" w:lineRule="auto"/>
              <w:ind w:firstLine="709"/>
              <w:jc w:val="both"/>
              <w:rPr>
                <w:rFonts w:ascii="Verdana" w:eastAsia="Arial" w:hAnsi="Verdana" w:cs="Arial"/>
                <w:lang w:eastAsia="es-ES" w:bidi="es-ES"/>
              </w:rPr>
            </w:pPr>
            <w:r w:rsidRPr="00553A27">
              <w:rPr>
                <w:rFonts w:ascii="Verdana" w:eastAsia="Arial" w:hAnsi="Verdana" w:cs="Arial"/>
                <w:lang w:eastAsia="es-ES" w:bidi="es-ES"/>
              </w:rPr>
              <w:t xml:space="preserve">No obstante, tal y como fue expuesto en </w:t>
            </w:r>
            <w:r w:rsidR="00D414E2" w:rsidRPr="00553A27">
              <w:rPr>
                <w:rFonts w:ascii="Verdana" w:eastAsia="Arial" w:hAnsi="Verdana" w:cs="Arial"/>
                <w:lang w:eastAsia="es-ES" w:bidi="es-ES"/>
              </w:rPr>
              <w:t xml:space="preserve">el </w:t>
            </w:r>
            <w:r w:rsidRPr="00553A27">
              <w:rPr>
                <w:rFonts w:ascii="Verdana" w:eastAsia="Arial" w:hAnsi="Verdana" w:cs="Arial"/>
                <w:lang w:eastAsia="es-ES" w:bidi="es-ES"/>
              </w:rPr>
              <w:t>concepto C-1676 del 22 de diciembre de 2025</w:t>
            </w:r>
            <w:r w:rsidR="00293164" w:rsidRPr="00553A27">
              <w:rPr>
                <w:rFonts w:ascii="Verdana" w:eastAsia="Arial" w:hAnsi="Verdana" w:cs="Arial"/>
                <w:lang w:eastAsia="es-ES" w:bidi="es-ES"/>
              </w:rPr>
              <w:t xml:space="preserve"> </w:t>
            </w:r>
            <w:r w:rsidR="00D414E2" w:rsidRPr="00553A27">
              <w:rPr>
                <w:rFonts w:ascii="Verdana" w:eastAsia="Arial" w:hAnsi="Verdana" w:cs="Arial"/>
                <w:lang w:eastAsia="es-ES" w:bidi="es-ES"/>
              </w:rPr>
              <w:t>emitido por esta Agencia</w:t>
            </w:r>
            <w:r w:rsidRPr="00553A27">
              <w:rPr>
                <w:rFonts w:ascii="Verdana" w:eastAsia="Arial" w:hAnsi="Verdana" w:cs="Arial"/>
                <w:lang w:eastAsia="es-ES" w:bidi="es-ES"/>
              </w:rPr>
              <w:t xml:space="preserve">, la garantía de dicho derecho no opera de manera aislada, sino que debe armonizarse con el conjunto de disposiciones legales que regulan la actividad contractual de las </w:t>
            </w:r>
            <w:r w:rsidR="001D16E5" w:rsidRPr="00553A27">
              <w:rPr>
                <w:rFonts w:ascii="Verdana" w:eastAsia="Arial" w:hAnsi="Verdana" w:cs="Arial"/>
                <w:lang w:eastAsia="es-ES" w:bidi="es-ES"/>
              </w:rPr>
              <w:t>E</w:t>
            </w:r>
            <w:r w:rsidRPr="00553A27">
              <w:rPr>
                <w:rFonts w:ascii="Verdana" w:eastAsia="Arial" w:hAnsi="Verdana" w:cs="Arial"/>
                <w:lang w:eastAsia="es-ES" w:bidi="es-ES"/>
              </w:rPr>
              <w:t xml:space="preserve">ntidades </w:t>
            </w:r>
            <w:r w:rsidR="001D16E5" w:rsidRPr="00553A27">
              <w:rPr>
                <w:rFonts w:ascii="Verdana" w:eastAsia="Arial" w:hAnsi="Verdana" w:cs="Arial"/>
                <w:lang w:eastAsia="es-ES" w:bidi="es-ES"/>
              </w:rPr>
              <w:t>E</w:t>
            </w:r>
            <w:r w:rsidRPr="00553A27">
              <w:rPr>
                <w:rFonts w:ascii="Verdana" w:eastAsia="Arial" w:hAnsi="Verdana" w:cs="Arial"/>
                <w:lang w:eastAsia="es-ES" w:bidi="es-ES"/>
              </w:rPr>
              <w:t>statales</w:t>
            </w:r>
            <w:r w:rsidR="005B2557" w:rsidRPr="00553A27">
              <w:rPr>
                <w:rFonts w:ascii="Verdana" w:eastAsia="Arial" w:hAnsi="Verdana" w:cs="Arial"/>
                <w:lang w:eastAsia="es-ES" w:bidi="es-ES"/>
              </w:rPr>
              <w:t>, entre ellas las restricciones establecidas en la Ley de Garantías Electorales</w:t>
            </w:r>
            <w:r w:rsidRPr="00553A27">
              <w:rPr>
                <w:rFonts w:ascii="Verdana" w:eastAsia="Arial" w:hAnsi="Verdana" w:cs="Arial"/>
                <w:lang w:eastAsia="es-ES" w:bidi="es-ES"/>
              </w:rPr>
              <w:t xml:space="preserve">. En este sentido, durante los períodos preelectorales para la elección de Presidente de la República, el artículo 33 de la Ley 996 de 2005 establece una prohibición general de contratación directa aplicable a todos los entes del Estado, la cual debe ser interpretada y aplicada de manera estricta, en atención a su carácter excepcional y a la finalidad de preservar la igualdad y transparencia en la contienda electoral. Dicha restricción comprende la celebración de nuevos contratos bajo modalidades que no impliquen convocatoria pública ni pluralidad de oferentes, y únicamente admite las excepciones expresamente previstas por el legislador o cuando </w:t>
            </w:r>
            <w:r w:rsidRPr="00553A27">
              <w:rPr>
                <w:rFonts w:ascii="Verdana" w:eastAsia="Times New Roman" w:hAnsi="Verdana" w:cs="Arial"/>
                <w:lang w:eastAsia="es-CO" w:bidi="es-ES"/>
              </w:rPr>
              <w:t>deben celebrarse en virtud de un fallo judicial o por mandato legal.</w:t>
            </w:r>
          </w:p>
          <w:p w14:paraId="611DC862" w14:textId="77777777" w:rsidR="00726239" w:rsidRPr="00553A27" w:rsidRDefault="00726239" w:rsidP="00293164">
            <w:pPr>
              <w:spacing w:after="120" w:line="276" w:lineRule="auto"/>
              <w:ind w:firstLine="709"/>
              <w:jc w:val="both"/>
              <w:rPr>
                <w:rFonts w:ascii="Verdana" w:eastAsia="Arial" w:hAnsi="Verdana" w:cs="Arial"/>
                <w:lang w:eastAsia="es-ES" w:bidi="es-ES"/>
              </w:rPr>
            </w:pPr>
            <w:r w:rsidRPr="00553A27">
              <w:rPr>
                <w:rFonts w:ascii="Verdana" w:eastAsia="Arial" w:hAnsi="Verdana" w:cs="Arial"/>
                <w:lang w:eastAsia="es-ES" w:bidi="es-ES"/>
              </w:rPr>
              <w:t xml:space="preserve">En consecuencia, tratándose de entidades territoriales, la adopción de decisiones orientadas a garantizar la estabilidad ocupacional reforzada de las mujeres embarazadas vinculadas mediante contratos de prestación de servicios debe realizarse en el marco del principio de planeación y de los principios que gobiernan la función administrativa y la contratación estatal, </w:t>
            </w:r>
            <w:r w:rsidRPr="00553A27">
              <w:rPr>
                <w:rFonts w:ascii="Verdana" w:eastAsia="Arial" w:hAnsi="Verdana" w:cs="Arial"/>
                <w:lang w:eastAsia="es-ES" w:bidi="es-ES"/>
              </w:rPr>
              <w:lastRenderedPageBreak/>
              <w:t xml:space="preserve">evaluando, en cada caso, las alternativas jurídicas disponibles que no desconozcan las restricciones legales vigentes. </w:t>
            </w:r>
          </w:p>
          <w:p w14:paraId="7E855CB7" w14:textId="13FB9BE5" w:rsidR="007146B3" w:rsidRPr="00553A27" w:rsidRDefault="007146B3" w:rsidP="00293164">
            <w:pPr>
              <w:spacing w:after="120" w:line="276" w:lineRule="auto"/>
              <w:ind w:firstLine="709"/>
              <w:jc w:val="both"/>
              <w:rPr>
                <w:rFonts w:ascii="Verdana" w:eastAsia="Arial" w:hAnsi="Verdana" w:cs="Arial"/>
                <w:lang w:eastAsia="es-ES" w:bidi="es-ES"/>
              </w:rPr>
            </w:pPr>
            <w:r w:rsidRPr="00553A27">
              <w:rPr>
                <w:rFonts w:ascii="Verdana" w:eastAsia="Arial" w:hAnsi="Verdana" w:cs="Arial"/>
                <w:lang w:eastAsia="es-ES" w:bidi="es-ES"/>
              </w:rPr>
              <w:t xml:space="preserve">En particular, corresponde a la </w:t>
            </w:r>
            <w:r w:rsidR="00AE79C8" w:rsidRPr="00553A27">
              <w:rPr>
                <w:rFonts w:ascii="Verdana" w:eastAsia="Arial" w:hAnsi="Verdana" w:cs="Arial"/>
                <w:lang w:eastAsia="es-ES" w:bidi="es-ES"/>
              </w:rPr>
              <w:t>E</w:t>
            </w:r>
            <w:r w:rsidRPr="00553A27">
              <w:rPr>
                <w:rFonts w:ascii="Verdana" w:eastAsia="Arial" w:hAnsi="Verdana" w:cs="Arial"/>
                <w:lang w:eastAsia="es-ES" w:bidi="es-ES"/>
              </w:rPr>
              <w:t>ntidad determinar, de manera autónoma y debidamente motivada, si resulta jurídicamente viable acudir a figuras como la prórroga, modificación o adición de contratos celebrados con anterioridad a la entrada en vigencia de las prohibiciones previstas en la Ley de Garantías Electorales, siempre que dichas actuaciones no impliquen la celebración de un nuevo negocio jurídico ni desnaturalicen la restricción a la contratación directa, y se ajusten a los principios de planeación, transparencia y responsabilidad.</w:t>
            </w:r>
          </w:p>
          <w:p w14:paraId="669B65A8" w14:textId="1609E2E4" w:rsidR="002429E2" w:rsidRPr="00553A27" w:rsidRDefault="00582B7A" w:rsidP="003844C9">
            <w:pPr>
              <w:pStyle w:val="Textoindependiente"/>
              <w:spacing w:after="120" w:line="276" w:lineRule="auto"/>
              <w:jc w:val="both"/>
              <w:rPr>
                <w:rFonts w:eastAsia="Century Gothic" w:cs="Arial"/>
                <w:lang w:val="es-CO"/>
              </w:rPr>
            </w:pPr>
            <w:r w:rsidRPr="00553A27">
              <w:rPr>
                <w:rFonts w:eastAsia="Arial" w:cs="Arial"/>
                <w:lang w:eastAsia="es-ES" w:bidi="es-ES"/>
              </w:rPr>
              <w:t xml:space="preserve">En todo caso, </w:t>
            </w:r>
            <w:r w:rsidR="003844C9" w:rsidRPr="00553A27">
              <w:rPr>
                <w:rFonts w:eastAsia="Arial" w:cs="Arial"/>
                <w:lang w:eastAsia="es-ES" w:bidi="es-ES"/>
              </w:rPr>
              <w:t xml:space="preserve">debe señalarse que </w:t>
            </w:r>
            <w:r w:rsidRPr="00553A27">
              <w:rPr>
                <w:rFonts w:eastAsia="Arial" w:cs="Arial"/>
                <w:lang w:eastAsia="es-ES" w:bidi="es-ES"/>
              </w:rPr>
              <w:t>el alcance del presente concepto es de carácter general y abstracto, por lo que no corresponde a esta instancia definir la procedencia de una actuación contractual específica ni resolver situaciones particulares, las cuales deben ser analizadas por cada entidad estatal con base en las circunstancias concretas del caso, los lineamientos jurisprudenciales aplicables y el marco normativo vigente.</w:t>
            </w:r>
          </w:p>
        </w:tc>
      </w:tr>
      <w:bookmarkEnd w:id="1"/>
    </w:tbl>
    <w:p w14:paraId="44FC4F13" w14:textId="77777777" w:rsidR="002429E2" w:rsidRPr="00553A27" w:rsidRDefault="002429E2" w:rsidP="003844C9">
      <w:pPr>
        <w:widowControl w:val="0"/>
        <w:autoSpaceDE w:val="0"/>
        <w:autoSpaceDN w:val="0"/>
        <w:spacing w:after="0" w:line="276" w:lineRule="auto"/>
        <w:ind w:left="360" w:hanging="360"/>
        <w:outlineLvl w:val="0"/>
        <w:rPr>
          <w:rFonts w:ascii="Verdana" w:eastAsia="Arial" w:hAnsi="Verdana" w:cs="Arial"/>
          <w:b/>
          <w:bCs/>
          <w:highlight w:val="cyan"/>
        </w:rPr>
      </w:pPr>
    </w:p>
    <w:p w14:paraId="1E726FA2" w14:textId="77777777" w:rsidR="002429E2" w:rsidRPr="00553A27" w:rsidRDefault="002429E2">
      <w:pPr>
        <w:widowControl w:val="0"/>
        <w:autoSpaceDE w:val="0"/>
        <w:autoSpaceDN w:val="0"/>
        <w:spacing w:after="0" w:line="276" w:lineRule="auto"/>
        <w:ind w:left="360" w:hanging="360"/>
        <w:outlineLvl w:val="0"/>
        <w:rPr>
          <w:rFonts w:ascii="Verdana" w:eastAsia="Arial" w:hAnsi="Verdana" w:cs="Arial"/>
          <w:b/>
          <w:bCs/>
          <w:lang w:val="es-ES"/>
        </w:rPr>
      </w:pPr>
      <w:r w:rsidRPr="00553A27">
        <w:rPr>
          <w:rFonts w:ascii="Verdana" w:eastAsia="Arial" w:hAnsi="Verdana" w:cs="Arial"/>
          <w:b/>
          <w:bCs/>
          <w:lang w:val="es-ES"/>
        </w:rPr>
        <w:t>3. Razones de la respuesta:</w:t>
      </w:r>
    </w:p>
    <w:p w14:paraId="27316AA0" w14:textId="77777777" w:rsidR="002429E2" w:rsidRPr="00553A27" w:rsidRDefault="002429E2">
      <w:pPr>
        <w:spacing w:after="0" w:line="276" w:lineRule="auto"/>
        <w:jc w:val="both"/>
        <w:rPr>
          <w:rFonts w:ascii="Verdana" w:eastAsia="Calibri" w:hAnsi="Verdana" w:cs="Arial"/>
          <w:lang w:val="es-ES"/>
        </w:rPr>
      </w:pPr>
    </w:p>
    <w:p w14:paraId="2DD44E9F" w14:textId="77777777" w:rsidR="002429E2" w:rsidRPr="00553A27" w:rsidRDefault="002429E2">
      <w:pPr>
        <w:spacing w:after="0" w:line="276" w:lineRule="auto"/>
        <w:jc w:val="both"/>
        <w:rPr>
          <w:rFonts w:ascii="Verdana" w:eastAsia="Calibri" w:hAnsi="Verdana" w:cs="Arial"/>
          <w:lang w:val="es-ES"/>
        </w:rPr>
      </w:pPr>
      <w:r w:rsidRPr="00553A27">
        <w:rPr>
          <w:rFonts w:ascii="Verdana" w:eastAsia="Calibri" w:hAnsi="Verdana" w:cs="Arial"/>
          <w:lang w:val="es-ES"/>
        </w:rPr>
        <w:t xml:space="preserve">La respuesta anterior se sustenta en las siguientes consideraciones: </w:t>
      </w:r>
    </w:p>
    <w:p w14:paraId="178C0532" w14:textId="77777777" w:rsidR="002429E2" w:rsidRPr="00553A27" w:rsidRDefault="002429E2" w:rsidP="00293164">
      <w:pPr>
        <w:spacing w:after="0" w:line="276" w:lineRule="auto"/>
        <w:rPr>
          <w:rFonts w:ascii="Verdana" w:eastAsia="Verdana" w:hAnsi="Verdana" w:cs="Verdana"/>
          <w:lang w:val="es-ES"/>
        </w:rPr>
      </w:pPr>
    </w:p>
    <w:p w14:paraId="08B47321" w14:textId="77777777" w:rsidR="00BD0A14" w:rsidRPr="00553A27" w:rsidRDefault="00BD0A14" w:rsidP="003844C9">
      <w:pPr>
        <w:tabs>
          <w:tab w:val="left" w:pos="0"/>
        </w:tabs>
        <w:spacing w:after="120" w:line="276" w:lineRule="auto"/>
        <w:jc w:val="both"/>
        <w:rPr>
          <w:rFonts w:ascii="Verdana" w:hAnsi="Verdana" w:cs="Arial"/>
          <w:noProof/>
          <w:lang w:val="es-ES_tradnl"/>
        </w:rPr>
      </w:pPr>
      <w:r w:rsidRPr="00553A27">
        <w:rPr>
          <w:rFonts w:ascii="Verdana" w:hAnsi="Verdana" w:cs="Arial"/>
          <w:noProof/>
          <w:lang w:val="es-ES_tradnl"/>
        </w:rPr>
        <w:t>i. El fuero de maternidad es una figura que otorga una protección reforzada a la futura madre y a la que acaba de serlo, es decir, a la mujer que se encuentre en estado de embarazo, en licencia de maternidad y en periodo de lactancia, con el fin de que el proceso de gestación no interfiera en la estabilidad laboral que, como trabajadora, le asiste. El propósito es que las aspiraciones familiares y profesionales de la mujer no se excluyan y puedan armonizarse, al punto de desarrollar su proyecto de vida y su personalidad en condiciones de dignidad y libertad, pues históricamente el estado de gravidez ha constituido un motivo de exclusión de la mujer en el trabajo, en el que es preciso “impedir la discriminación constituida por el despido, la terminación o la no renovación del contrato por causa o con ocasión del embarazo o la lactancia”</w:t>
      </w:r>
      <w:r w:rsidRPr="00553A27">
        <w:rPr>
          <w:rFonts w:ascii="Verdana" w:eastAsia="Calibri" w:hAnsi="Verdana" w:cs="Arial"/>
          <w:bCs/>
          <w:vertAlign w:val="superscript"/>
        </w:rPr>
        <w:t xml:space="preserve"> </w:t>
      </w:r>
      <w:r w:rsidRPr="00553A27">
        <w:rPr>
          <w:rFonts w:ascii="Verdana" w:eastAsia="Calibri" w:hAnsi="Verdana" w:cs="Arial"/>
          <w:bCs/>
          <w:vertAlign w:val="superscript"/>
        </w:rPr>
        <w:footnoteReference w:id="1"/>
      </w:r>
      <w:r w:rsidRPr="00553A27">
        <w:rPr>
          <w:rFonts w:ascii="Verdana" w:eastAsia="Calibri" w:hAnsi="Verdana" w:cs="Arial"/>
          <w:bCs/>
        </w:rPr>
        <w:t>.</w:t>
      </w:r>
    </w:p>
    <w:p w14:paraId="0DB17443" w14:textId="77777777" w:rsidR="00BD0A14" w:rsidRPr="00553A27" w:rsidRDefault="00BD0A14" w:rsidP="00BD0A14">
      <w:pPr>
        <w:spacing w:after="120" w:line="276" w:lineRule="auto"/>
        <w:ind w:firstLine="708"/>
        <w:jc w:val="both"/>
        <w:rPr>
          <w:rFonts w:ascii="Verdana" w:hAnsi="Verdana"/>
        </w:rPr>
      </w:pPr>
      <w:r w:rsidRPr="00553A27">
        <w:rPr>
          <w:rFonts w:ascii="Verdana" w:hAnsi="Verdana"/>
        </w:rPr>
        <w:lastRenderedPageBreak/>
        <w:t xml:space="preserve">Con el fin de aclarar el objeto bajo consulta, se explicarán las dos (2) posiciones que ha definido al Corte Constitucional para proteger el fuero de maternidad a una mujer que está vinculada a través de un contrato de prestación de servicios. Lo anterior, para determinar cuál es la posición del Alto Tribunal Constitucional en la defensa del derecho a la estabilidad ocupacional reforzada. </w:t>
      </w:r>
    </w:p>
    <w:p w14:paraId="6BC5D573" w14:textId="36985039" w:rsidR="00BD0A14" w:rsidRPr="00553A27" w:rsidRDefault="00BD0A14" w:rsidP="00BD0A14">
      <w:pPr>
        <w:tabs>
          <w:tab w:val="left" w:pos="0"/>
        </w:tabs>
        <w:spacing w:after="120" w:line="276" w:lineRule="auto"/>
        <w:jc w:val="both"/>
        <w:rPr>
          <w:rFonts w:ascii="Verdana" w:hAnsi="Verdana" w:cs="Arial"/>
        </w:rPr>
      </w:pPr>
      <w:r w:rsidRPr="00553A27">
        <w:rPr>
          <w:rFonts w:ascii="Verdana" w:eastAsia="Arial" w:hAnsi="Verdana" w:cs="Arial"/>
          <w:color w:val="000000"/>
        </w:rPr>
        <w:tab/>
        <w:t xml:space="preserve">La Corte Constitucional, en la Sentencia SU-070 de 2013, con ponencia de la Magistrada Gloria Stella Ortiz Delgado, fijó la primera posición frente </w:t>
      </w:r>
      <w:r w:rsidR="00666479" w:rsidRPr="00553A27">
        <w:rPr>
          <w:rFonts w:ascii="Verdana" w:eastAsia="Arial" w:hAnsi="Verdana" w:cs="Arial"/>
          <w:color w:val="000000"/>
        </w:rPr>
        <w:t>a</w:t>
      </w:r>
      <w:r w:rsidRPr="00553A27">
        <w:rPr>
          <w:rFonts w:ascii="Verdana" w:eastAsia="Arial" w:hAnsi="Verdana" w:cs="Arial"/>
          <w:color w:val="000000"/>
        </w:rPr>
        <w:t>l tema, indicando que la protección al fuero de maternidad excluye a las trabajadoras que laboran de manera independiente, y sólo procede su protección si el juez de tutela, al analizar las condiciones propias del contrato de prestación de servicios, comprueba que las partes están vinculadas a través de un contrato de trabajo</w:t>
      </w:r>
      <w:r w:rsidRPr="00553A27">
        <w:rPr>
          <w:rFonts w:ascii="Verdana" w:hAnsi="Verdana" w:cs="Arial"/>
          <w:vertAlign w:val="superscript"/>
        </w:rPr>
        <w:footnoteReference w:id="2"/>
      </w:r>
      <w:r w:rsidRPr="00553A27">
        <w:rPr>
          <w:rFonts w:ascii="Verdana" w:hAnsi="Verdana" w:cs="Arial"/>
        </w:rPr>
        <w:t>. De esta forma, según el criterio fijado por la Corte en la Sentencia SU-070 de 2023, la protección a la estabilidad laboral reforzada de mujeres vinculadas a través de un contrato de prestación de servicios sólo procede frente aquellos casos donde se verifique la concurrencia de los tres (3) elementos</w:t>
      </w:r>
      <w:r w:rsidR="005F348C" w:rsidRPr="00553A27">
        <w:rPr>
          <w:rFonts w:ascii="Verdana" w:hAnsi="Verdana" w:cs="Arial"/>
        </w:rPr>
        <w:t xml:space="preserve"> esenciales</w:t>
      </w:r>
      <w:r w:rsidRPr="00553A27">
        <w:rPr>
          <w:rFonts w:ascii="Verdana" w:hAnsi="Verdana" w:cs="Arial"/>
        </w:rPr>
        <w:t xml:space="preserve"> del contrato de trabajo. </w:t>
      </w:r>
    </w:p>
    <w:p w14:paraId="1F9A95F0" w14:textId="77777777" w:rsidR="00BD0A14" w:rsidRPr="00553A27" w:rsidRDefault="00BD0A14" w:rsidP="00BD0A14">
      <w:pPr>
        <w:tabs>
          <w:tab w:val="left" w:pos="0"/>
        </w:tabs>
        <w:spacing w:after="120" w:line="276" w:lineRule="auto"/>
        <w:jc w:val="both"/>
        <w:rPr>
          <w:rFonts w:ascii="Verdana" w:hAnsi="Verdana" w:cs="Arial"/>
        </w:rPr>
      </w:pPr>
      <w:r w:rsidRPr="00553A27">
        <w:rPr>
          <w:rFonts w:ascii="Verdana" w:hAnsi="Verdana" w:cs="Arial"/>
        </w:rPr>
        <w:tab/>
        <w:t>Ahora bien, el Alto Tribunal Constitucional, en las sentencias T-102 de 2016</w:t>
      </w:r>
      <w:r w:rsidRPr="00553A27">
        <w:rPr>
          <w:rStyle w:val="Refdenotaalpie"/>
          <w:rFonts w:ascii="Verdana" w:hAnsi="Verdana" w:cs="Arial"/>
        </w:rPr>
        <w:footnoteReference w:id="3"/>
      </w:r>
      <w:r w:rsidRPr="00553A27">
        <w:rPr>
          <w:rFonts w:ascii="Verdana" w:hAnsi="Verdana" w:cs="Arial"/>
        </w:rPr>
        <w:t xml:space="preserve"> y T-564 de 2017</w:t>
      </w:r>
      <w:r w:rsidRPr="00553A27">
        <w:rPr>
          <w:rStyle w:val="Refdenotaalpie"/>
          <w:rFonts w:ascii="Verdana" w:hAnsi="Verdana" w:cs="Arial"/>
        </w:rPr>
        <w:footnoteReference w:id="4"/>
      </w:r>
      <w:r w:rsidRPr="00553A27">
        <w:rPr>
          <w:rFonts w:ascii="Verdana" w:hAnsi="Verdana" w:cs="Arial"/>
        </w:rPr>
        <w:t xml:space="preserve"> estableció otra posición, en los eventos donde no se </w:t>
      </w:r>
      <w:r w:rsidRPr="00553A27">
        <w:rPr>
          <w:rFonts w:ascii="Verdana" w:hAnsi="Verdana" w:cs="Arial"/>
        </w:rPr>
        <w:lastRenderedPageBreak/>
        <w:t>prueba la configuración del contrato realidad en el contrato de prestación de servicios, señalando que este no es un motivo suficiente para desproteger los derechos de la estabilidad ocupacional reforzada de la mujer embarazada, si se comprueba que la terminación del contrato es discriminatoria y no atiende a un motivo objetivo.</w:t>
      </w:r>
    </w:p>
    <w:p w14:paraId="0876E717" w14:textId="77777777" w:rsidR="00BD0A14" w:rsidRPr="00553A27" w:rsidRDefault="00BD0A14" w:rsidP="00BD0A14">
      <w:pPr>
        <w:tabs>
          <w:tab w:val="left" w:pos="0"/>
        </w:tabs>
        <w:spacing w:after="120" w:line="276" w:lineRule="auto"/>
        <w:jc w:val="both"/>
        <w:rPr>
          <w:rFonts w:ascii="Verdana" w:hAnsi="Verdana" w:cs="Arial"/>
        </w:rPr>
      </w:pPr>
      <w:r w:rsidRPr="00553A27">
        <w:rPr>
          <w:rFonts w:ascii="Verdana" w:hAnsi="Verdana" w:cs="Arial"/>
        </w:rPr>
        <w:tab/>
        <w:t>De acuerdo con la sentencia T-564 de 2017, a pesar de no probarse la configuración del contrato realidad, se debe proteger a la mujer en estado embarazo, vinculada a través de un contrato de prestación de servicios, porque a pesar de que la trabajadora informó al empleador de su estado de gestación, éste terminó anticipadamente su contrato, configurándose una terminación por motivos discriminatorios. Por su parte, la sentencia T-102 de 2016, si bien reconoce la existencia del contrato realidad, reitera que el empleador no demostró ningún motivo objetivo que justificara la terminación del contrato, ya sea porque la actividad que venía realizando ya no era necesaria, o porque no probó que las causas que originaron la contratación desaparecieron, entre otros.</w:t>
      </w:r>
    </w:p>
    <w:p w14:paraId="548C1B18" w14:textId="77777777" w:rsidR="00BD0A14" w:rsidRPr="00553A27" w:rsidRDefault="00BD0A14" w:rsidP="00BD0A14">
      <w:pPr>
        <w:spacing w:after="0" w:line="276" w:lineRule="auto"/>
        <w:ind w:firstLine="709"/>
        <w:jc w:val="both"/>
        <w:rPr>
          <w:rFonts w:ascii="Verdana" w:eastAsiaTheme="minorEastAsia" w:hAnsi="Verdana" w:cs="Arial"/>
          <w:lang w:eastAsia="es-CO"/>
        </w:rPr>
      </w:pPr>
      <w:r w:rsidRPr="00553A27">
        <w:rPr>
          <w:rFonts w:ascii="Verdana" w:eastAsiaTheme="minorEastAsia" w:hAnsi="Verdana" w:cs="Arial"/>
          <w:lang w:eastAsia="es-CO"/>
        </w:rPr>
        <w:t>En el mismo sentido, en el salvamento de voto a la sentencia T-743 de 2017, se reiteró que la protección a la mujer en estado de embarazo, vinculada por un contrato de prestación de servicios, no sólo se realiza cuando se prueba la configuración de contrato realidad, sino, además, cuando se demuestre que la decisión de la terminación es discriminatoria y no atiende a un motivo objetivo:</w:t>
      </w:r>
    </w:p>
    <w:p w14:paraId="1DF85B56" w14:textId="77777777" w:rsidR="00BD0A14" w:rsidRPr="00553A27" w:rsidRDefault="00BD0A14" w:rsidP="00BD0A14">
      <w:pPr>
        <w:spacing w:after="0" w:line="276" w:lineRule="auto"/>
        <w:ind w:left="709" w:right="709"/>
        <w:jc w:val="both"/>
        <w:rPr>
          <w:rFonts w:ascii="Verdana" w:hAnsi="Verdana" w:cs="Arial"/>
        </w:rPr>
      </w:pPr>
    </w:p>
    <w:p w14:paraId="5BD4B022" w14:textId="77777777" w:rsidR="00BD0A14" w:rsidRPr="00553A27" w:rsidRDefault="00BD0A14" w:rsidP="00293164">
      <w:pPr>
        <w:spacing w:after="0" w:line="240" w:lineRule="auto"/>
        <w:ind w:left="709" w:right="709"/>
        <w:contextualSpacing/>
        <w:jc w:val="both"/>
        <w:rPr>
          <w:rFonts w:ascii="Verdana" w:hAnsi="Verdana" w:cs="Arial"/>
          <w:i/>
          <w:sz w:val="20"/>
          <w:szCs w:val="20"/>
        </w:rPr>
      </w:pPr>
      <w:r w:rsidRPr="00553A27">
        <w:rPr>
          <w:rFonts w:ascii="Verdana" w:eastAsia="Yu Gothic UI Semibold" w:hAnsi="Verdana" w:cs="Arial"/>
          <w:iCs/>
          <w:sz w:val="20"/>
          <w:szCs w:val="20"/>
          <w:lang w:eastAsia="es-MX"/>
        </w:rPr>
        <w:t>“</w:t>
      </w:r>
      <w:r w:rsidRPr="00553A27">
        <w:rPr>
          <w:rFonts w:ascii="Verdana" w:hAnsi="Verdana" w:cs="Arial"/>
          <w:sz w:val="20"/>
          <w:szCs w:val="20"/>
        </w:rPr>
        <w:t xml:space="preserve">Pues bien, el objeto de la aclaración que presento es la necesidad de subrayar la línea jurisprudencial vigente en materia estabilidad laboral reforzada de mujer embarazada en el marco de un contrato de prestación de servicios. A diferencia de las consideraciones de la sentencia, en las cuales se concluye que si no se comprueban los elementos del contrato </w:t>
      </w:r>
      <w:r w:rsidRPr="00553A27">
        <w:rPr>
          <w:rFonts w:ascii="Verdana" w:hAnsi="Verdana" w:cs="Arial"/>
          <w:sz w:val="20"/>
          <w:szCs w:val="20"/>
        </w:rPr>
        <w:lastRenderedPageBreak/>
        <w:t xml:space="preserve">laboral en la relación contractual no es posible alegar la violación del derecho a la estabilidad laboral reforzada, considero que existen sentencias recientes de las diferentes Salas de Revisión que han establecido que en el marco de relaciones de prestación de servicios, el juez de tutela, </w:t>
      </w:r>
      <w:r w:rsidRPr="00553A27">
        <w:rPr>
          <w:rFonts w:ascii="Verdana" w:hAnsi="Verdana" w:cs="Arial"/>
          <w:i/>
          <w:sz w:val="20"/>
          <w:szCs w:val="20"/>
        </w:rPr>
        <w:t>a pesar de no encontrar probados los elementos del contrato realidad, sí puede garantizar la estabilidad laboral reforzada de la mujer embarazada, siempre y cuando se demuestre que la decisión de la desvinculación es discriminatoria y no atiende a un motivo</w:t>
      </w:r>
      <w:r w:rsidRPr="00553A27">
        <w:rPr>
          <w:rFonts w:ascii="Verdana" w:hAnsi="Verdana" w:cs="Arial"/>
          <w:i/>
          <w:spacing w:val="-5"/>
          <w:sz w:val="20"/>
          <w:szCs w:val="20"/>
        </w:rPr>
        <w:t xml:space="preserve"> </w:t>
      </w:r>
      <w:r w:rsidRPr="00553A27">
        <w:rPr>
          <w:rFonts w:ascii="Verdana" w:hAnsi="Verdana" w:cs="Arial"/>
          <w:i/>
          <w:sz w:val="20"/>
          <w:szCs w:val="20"/>
        </w:rPr>
        <w:t>objetivo.</w:t>
      </w:r>
    </w:p>
    <w:p w14:paraId="0975E38B" w14:textId="77777777" w:rsidR="00BD0A14" w:rsidRPr="00553A27" w:rsidRDefault="00BD0A14" w:rsidP="00293164">
      <w:pPr>
        <w:spacing w:after="0" w:line="240" w:lineRule="auto"/>
        <w:ind w:left="709" w:right="709"/>
        <w:contextualSpacing/>
        <w:jc w:val="both"/>
        <w:rPr>
          <w:rFonts w:ascii="Verdana" w:hAnsi="Verdana" w:cs="Arial"/>
          <w:i/>
          <w:sz w:val="20"/>
          <w:szCs w:val="20"/>
        </w:rPr>
      </w:pPr>
    </w:p>
    <w:p w14:paraId="0AA70126" w14:textId="77777777" w:rsidR="00BD0A14" w:rsidRPr="00553A27" w:rsidRDefault="00BD0A14" w:rsidP="0060069A">
      <w:pPr>
        <w:spacing w:after="0" w:line="240" w:lineRule="auto"/>
        <w:ind w:left="709" w:right="709"/>
        <w:contextualSpacing/>
        <w:jc w:val="both"/>
        <w:rPr>
          <w:rFonts w:ascii="Verdana" w:hAnsi="Verdana" w:cs="Arial"/>
          <w:sz w:val="20"/>
          <w:szCs w:val="20"/>
        </w:rPr>
      </w:pPr>
      <w:r w:rsidRPr="00553A27">
        <w:rPr>
          <w:rFonts w:ascii="Verdana" w:hAnsi="Verdana" w:cs="Arial"/>
          <w:sz w:val="20"/>
          <w:szCs w:val="20"/>
        </w:rPr>
        <w:t>Son un ejemplo de esta tesis jurisprudencial las sentencias T-102 de 2016, T-350 de 2016 y T-564 de 2017, que sostienen que en el marco de relaciones de contratos de prestación de servicios independientemente de la prueba sobre los elementos del contrato realidad, si se demuestra la necesidad de la función o continuidad del objeto del contrato, se presume que la desvinculación fue en razón del estado de embarazo, y en consecuencia, procede con todos sus efectos el numeral 2º del artículo 239 del Código Sustantivo de Trabajo</w:t>
      </w:r>
      <w:r w:rsidRPr="00553A27">
        <w:rPr>
          <w:rFonts w:ascii="Verdana" w:hAnsi="Verdana" w:cs="Arial"/>
          <w:noProof/>
          <w:sz w:val="20"/>
          <w:szCs w:val="20"/>
          <w:lang w:val="es-ES_tradnl"/>
        </w:rPr>
        <w:t>”</w:t>
      </w:r>
      <w:r w:rsidRPr="00553A27">
        <w:rPr>
          <w:rFonts w:ascii="Verdana" w:hAnsi="Verdana" w:cs="Arial"/>
          <w:sz w:val="20"/>
          <w:szCs w:val="20"/>
        </w:rPr>
        <w:t>. (Énfasis fuera del</w:t>
      </w:r>
      <w:r w:rsidRPr="00553A27">
        <w:rPr>
          <w:rFonts w:ascii="Verdana" w:hAnsi="Verdana" w:cs="Arial"/>
          <w:spacing w:val="-16"/>
          <w:sz w:val="20"/>
          <w:szCs w:val="20"/>
        </w:rPr>
        <w:t xml:space="preserve"> </w:t>
      </w:r>
      <w:r w:rsidRPr="00553A27">
        <w:rPr>
          <w:rFonts w:ascii="Verdana" w:hAnsi="Verdana" w:cs="Arial"/>
          <w:sz w:val="20"/>
          <w:szCs w:val="20"/>
        </w:rPr>
        <w:t>texto).</w:t>
      </w:r>
    </w:p>
    <w:p w14:paraId="43E3C461" w14:textId="77777777" w:rsidR="00BD0A14" w:rsidRPr="00553A27" w:rsidRDefault="00BD0A14" w:rsidP="00293164">
      <w:pPr>
        <w:spacing w:after="0" w:line="276" w:lineRule="auto"/>
        <w:ind w:left="709" w:right="709"/>
        <w:rPr>
          <w:rFonts w:ascii="Verdana" w:eastAsia="Yu Gothic UI Semibold" w:hAnsi="Verdana" w:cs="Arial"/>
          <w:b/>
          <w:lang w:eastAsia="es-CO"/>
        </w:rPr>
      </w:pPr>
    </w:p>
    <w:p w14:paraId="13F19236" w14:textId="77777777" w:rsidR="00BD0A14" w:rsidRPr="00553A27" w:rsidRDefault="00BD0A14" w:rsidP="00BD0A14">
      <w:pPr>
        <w:spacing w:after="120" w:line="276" w:lineRule="auto"/>
        <w:ind w:right="108"/>
        <w:jc w:val="both"/>
        <w:rPr>
          <w:rFonts w:ascii="Verdana" w:eastAsia="Yu Gothic UI Semibold" w:hAnsi="Verdana" w:cs="Arial"/>
          <w:i/>
          <w:lang w:eastAsia="es-MX"/>
        </w:rPr>
      </w:pPr>
      <w:r w:rsidRPr="00553A27">
        <w:rPr>
          <w:rFonts w:ascii="Verdana" w:eastAsia="Yu Gothic UI Semibold" w:hAnsi="Verdana" w:cs="Arial"/>
          <w:lang w:eastAsia="es-CO"/>
        </w:rPr>
        <w:tab/>
        <w:t>Finalmente, la Corte Constitucional profirió la sentencia de unificación SU-075 de 2018, en la cual recoge, entre otras, las sentencias T-030 de 2018 y T-350 del 2016. En esta providencia, el Alto Tribunal estableció unos criterios con el fin de impedir la discriminación que puede presentarse frente a una mujer en estado de embarazo o lactancia, específicamente, respecto a la terminación o la no renovación del contrato. Dicha providencia dio paso a establecer que, el denominado</w:t>
      </w:r>
      <w:r w:rsidRPr="00553A27">
        <w:rPr>
          <w:rFonts w:ascii="Verdana" w:eastAsia="Yu Gothic UI Semibold" w:hAnsi="Verdana" w:cs="Arial"/>
          <w:i/>
          <w:lang w:eastAsia="es-CO"/>
        </w:rPr>
        <w:t xml:space="preserve"> </w:t>
      </w:r>
      <w:r w:rsidRPr="00553A27">
        <w:rPr>
          <w:rFonts w:ascii="Verdana" w:eastAsia="Yu Gothic UI Semibold" w:hAnsi="Verdana" w:cs="Arial"/>
          <w:i/>
          <w:lang w:eastAsia="es-MX"/>
        </w:rPr>
        <w:t>“</w:t>
      </w:r>
      <w:r w:rsidRPr="00553A27">
        <w:rPr>
          <w:rFonts w:ascii="Verdana" w:eastAsia="Yu Gothic UI Semibold" w:hAnsi="Verdana" w:cs="Arial"/>
          <w:i/>
          <w:lang w:eastAsia="es-CO"/>
        </w:rPr>
        <w:t>fuero de maternidad</w:t>
      </w:r>
      <w:r w:rsidRPr="00553A27">
        <w:rPr>
          <w:rFonts w:ascii="Verdana" w:eastAsia="Yu Gothic UI Semibold" w:hAnsi="Verdana" w:cs="Arial"/>
          <w:i/>
          <w:lang w:eastAsia="es-MX"/>
        </w:rPr>
        <w:t>”</w:t>
      </w:r>
      <w:r w:rsidRPr="00553A27">
        <w:rPr>
          <w:rFonts w:ascii="Verdana" w:eastAsia="Yu Gothic UI Semibold" w:hAnsi="Verdana" w:cs="Arial"/>
          <w:lang w:eastAsia="es-CO"/>
        </w:rPr>
        <w:t xml:space="preserve"> encuentra también su sustento en la cláusula general de igualdad de la Constitución </w:t>
      </w:r>
      <w:r w:rsidRPr="00553A27">
        <w:rPr>
          <w:rFonts w:ascii="Verdana" w:eastAsia="Yu Gothic UI Semibold" w:hAnsi="Verdana" w:cs="Arial"/>
          <w:i/>
          <w:lang w:eastAsia="es-MX"/>
        </w:rPr>
        <w:t>“</w:t>
      </w:r>
      <w:r w:rsidRPr="00553A27">
        <w:rPr>
          <w:rFonts w:ascii="Verdana" w:eastAsia="Yu Gothic UI Semibold" w:hAnsi="Verdana" w:cs="Arial"/>
          <w:i/>
          <w:lang w:eastAsia="es-CO"/>
        </w:rPr>
        <w:t>que proscribe la discriminación por razones de sexo, así como en el ya mencionado artículo 43 Superior, que dispone la igualdad de derechos y oportunidades entre hombres y mujeres</w:t>
      </w:r>
      <w:r w:rsidRPr="00553A27">
        <w:rPr>
          <w:rFonts w:ascii="Verdana" w:eastAsia="Yu Gothic UI Semibold" w:hAnsi="Verdana" w:cs="Arial"/>
          <w:i/>
          <w:lang w:eastAsia="es-MX"/>
        </w:rPr>
        <w:t>”</w:t>
      </w:r>
      <w:r w:rsidRPr="00553A27">
        <w:rPr>
          <w:rFonts w:ascii="Verdana" w:eastAsia="Yu Gothic UI Semibold" w:hAnsi="Verdana" w:cs="Arial"/>
          <w:i/>
          <w:vertAlign w:val="superscript"/>
          <w:lang w:eastAsia="es-MX"/>
        </w:rPr>
        <w:footnoteReference w:id="5"/>
      </w:r>
      <w:r w:rsidRPr="00553A27">
        <w:rPr>
          <w:rFonts w:ascii="Verdana" w:eastAsia="Yu Gothic UI Semibold" w:hAnsi="Verdana" w:cs="Arial"/>
          <w:i/>
          <w:lang w:eastAsia="es-MX"/>
        </w:rPr>
        <w:t xml:space="preserve">. </w:t>
      </w:r>
    </w:p>
    <w:p w14:paraId="3582D458" w14:textId="77777777" w:rsidR="00BD0A14" w:rsidRPr="00553A27" w:rsidRDefault="00BD0A14" w:rsidP="00BD0A14">
      <w:pPr>
        <w:spacing w:after="0" w:line="276" w:lineRule="auto"/>
        <w:ind w:right="108" w:firstLine="708"/>
        <w:jc w:val="both"/>
        <w:rPr>
          <w:rFonts w:ascii="Verdana" w:eastAsia="Yu Gothic UI Semibold" w:hAnsi="Verdana" w:cs="Arial"/>
          <w:lang w:eastAsia="es-CO"/>
        </w:rPr>
      </w:pPr>
      <w:r w:rsidRPr="00553A27">
        <w:rPr>
          <w:rFonts w:ascii="Verdana" w:eastAsia="Yu Gothic UI Semibold" w:hAnsi="Verdana" w:cs="Arial"/>
          <w:lang w:eastAsia="es-CO"/>
        </w:rPr>
        <w:t xml:space="preserve">La sentencia citada determina el tratamiento que deberían darles las entidades a sus trabajadoras o contratistas cuando se encuentren en estado de embarazo o lactancia, estableciendo su procedencia en los siguientes términos: </w:t>
      </w:r>
    </w:p>
    <w:p w14:paraId="77190CAE" w14:textId="77777777" w:rsidR="00BD0A14" w:rsidRPr="00553A27" w:rsidRDefault="00BD0A14" w:rsidP="00BD0A14">
      <w:pPr>
        <w:shd w:val="clear" w:color="auto" w:fill="FFFFFF"/>
        <w:spacing w:after="120" w:line="276" w:lineRule="auto"/>
        <w:ind w:left="709" w:right="709"/>
        <w:contextualSpacing/>
        <w:jc w:val="both"/>
        <w:rPr>
          <w:rFonts w:ascii="Verdana" w:eastAsia="Yu Gothic UI Semibold" w:hAnsi="Verdana" w:cs="Arial"/>
          <w:highlight w:val="red"/>
          <w:lang w:eastAsia="es-CO"/>
        </w:rPr>
      </w:pPr>
    </w:p>
    <w:p w14:paraId="170871D0"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iCs/>
          <w:sz w:val="20"/>
          <w:szCs w:val="20"/>
          <w:lang w:eastAsia="es-MX"/>
        </w:rPr>
        <w:t>“</w:t>
      </w:r>
      <w:r w:rsidRPr="00553A27">
        <w:rPr>
          <w:rFonts w:ascii="Verdana" w:eastAsia="Yu Gothic UI Semibold" w:hAnsi="Verdana" w:cs="Arial"/>
          <w:sz w:val="20"/>
          <w:szCs w:val="20"/>
          <w:lang w:eastAsia="es-CO"/>
        </w:rPr>
        <w:t>La protección reforzada a la maternidad y la lactancia en el ámbito del trabajo procede cuando se demuestre, sin ninguna otra exigencia adicional, lo siguiente:</w:t>
      </w:r>
    </w:p>
    <w:p w14:paraId="3A03031E"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p>
    <w:p w14:paraId="209B6579"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sz w:val="20"/>
          <w:szCs w:val="20"/>
          <w:lang w:eastAsia="es-CO"/>
        </w:rPr>
        <w:t>(a) La existencia de una relación laboral o de prestación de servicios y;</w:t>
      </w:r>
    </w:p>
    <w:p w14:paraId="0490A90E"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p>
    <w:p w14:paraId="3CB2263F"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sz w:val="20"/>
          <w:szCs w:val="20"/>
          <w:lang w:eastAsia="es-CO"/>
        </w:rPr>
        <w:lastRenderedPageBreak/>
        <w:t>(b) Que la mujer se encuentra en estado de embarazo o dentro de los tres meses siguientes al parto, en vigencia de dicha relación laboral o de prestación.</w:t>
      </w:r>
    </w:p>
    <w:p w14:paraId="19722684"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sz w:val="20"/>
          <w:szCs w:val="20"/>
          <w:lang w:eastAsia="es-CO"/>
        </w:rPr>
        <w:t> </w:t>
      </w:r>
    </w:p>
    <w:p w14:paraId="4B3C5172"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sz w:val="20"/>
          <w:szCs w:val="20"/>
          <w:lang w:eastAsia="es-CO"/>
        </w:rPr>
        <w:t>No obstante, el alcance de la protección se debe determinar a partir de dos factores:</w:t>
      </w:r>
    </w:p>
    <w:p w14:paraId="640D64CB"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sz w:val="20"/>
          <w:szCs w:val="20"/>
          <w:lang w:eastAsia="es-CO"/>
        </w:rPr>
        <w:t> </w:t>
      </w:r>
    </w:p>
    <w:p w14:paraId="70E0AC8A"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sz w:val="20"/>
          <w:szCs w:val="20"/>
          <w:lang w:eastAsia="es-CO"/>
        </w:rPr>
        <w:t>(a) El conocimiento del embarazo por parte del empleador; y</w:t>
      </w:r>
    </w:p>
    <w:p w14:paraId="76482071"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sz w:val="20"/>
          <w:szCs w:val="20"/>
          <w:lang w:eastAsia="es-CO"/>
        </w:rPr>
        <w:t> </w:t>
      </w:r>
    </w:p>
    <w:p w14:paraId="4811880F" w14:textId="77777777" w:rsidR="00BD0A14" w:rsidRPr="00553A27" w:rsidRDefault="00BD0A14" w:rsidP="00BD0A14">
      <w:pPr>
        <w:shd w:val="clear" w:color="auto" w:fill="FFFFFF"/>
        <w:spacing w:line="240" w:lineRule="auto"/>
        <w:ind w:left="709" w:right="709"/>
        <w:contextualSpacing/>
        <w:jc w:val="both"/>
        <w:rPr>
          <w:rFonts w:ascii="Verdana" w:eastAsia="Yu Gothic UI Semibold" w:hAnsi="Verdana" w:cs="Arial"/>
          <w:sz w:val="20"/>
          <w:szCs w:val="20"/>
          <w:lang w:eastAsia="es-CO"/>
        </w:rPr>
      </w:pPr>
      <w:r w:rsidRPr="00553A27">
        <w:rPr>
          <w:rFonts w:ascii="Verdana" w:eastAsia="Yu Gothic UI Semibold" w:hAnsi="Verdana" w:cs="Arial"/>
          <w:sz w:val="20"/>
          <w:szCs w:val="20"/>
          <w:lang w:eastAsia="es-CO"/>
        </w:rPr>
        <w:t>(b) La alternativa laboral mediante la cual se encontraba vinculada la mujer embarazada</w:t>
      </w:r>
      <w:r w:rsidRPr="00553A27">
        <w:rPr>
          <w:rFonts w:ascii="Verdana" w:hAnsi="Verdana" w:cs="Arial"/>
          <w:noProof/>
          <w:sz w:val="20"/>
          <w:szCs w:val="20"/>
          <w:lang w:val="es-ES_tradnl"/>
        </w:rPr>
        <w:t>”.</w:t>
      </w:r>
    </w:p>
    <w:p w14:paraId="639D8EC6" w14:textId="77777777" w:rsidR="00BD0A14" w:rsidRPr="00553A27" w:rsidRDefault="00BD0A14" w:rsidP="00BD0A14">
      <w:pPr>
        <w:shd w:val="clear" w:color="auto" w:fill="FFFFFF"/>
        <w:spacing w:after="0" w:line="276" w:lineRule="auto"/>
        <w:ind w:right="49" w:firstLine="708"/>
        <w:jc w:val="both"/>
        <w:rPr>
          <w:rFonts w:ascii="Verdana" w:eastAsia="Yu Gothic UI Semibold" w:hAnsi="Verdana" w:cs="Arial"/>
          <w:lang w:eastAsia="es-CO"/>
        </w:rPr>
      </w:pPr>
    </w:p>
    <w:p w14:paraId="2E7B2E47" w14:textId="77777777" w:rsidR="00BD0A14" w:rsidRPr="00553A27" w:rsidRDefault="00BD0A14" w:rsidP="00BD0A14">
      <w:pPr>
        <w:shd w:val="clear" w:color="auto" w:fill="FFFFFF"/>
        <w:spacing w:after="0" w:line="276" w:lineRule="auto"/>
        <w:ind w:right="51" w:firstLine="709"/>
        <w:jc w:val="both"/>
        <w:rPr>
          <w:rFonts w:ascii="Verdana" w:eastAsia="Yu Gothic UI Semibold" w:hAnsi="Verdana" w:cs="Arial"/>
          <w:lang w:eastAsia="es-CO"/>
        </w:rPr>
      </w:pPr>
      <w:r w:rsidRPr="00553A27">
        <w:rPr>
          <w:rFonts w:ascii="Verdana" w:eastAsia="Yu Gothic UI Semibold" w:hAnsi="Verdana" w:cs="Arial"/>
          <w:lang w:eastAsia="es-CO"/>
        </w:rPr>
        <w:t xml:space="preserve">Como se evidencia en el texto referido, el criterio de la Corte establece que solo se requiere acreditar la relación laboral o la existencia de un contrato de prestación de servicios y el estado de embarazo o lactancia para acceder a la protección denominada estabilidad ocupacional reforzada de mujer embarazada, en licencia de maternidad o en periodo de lactancia. Para el caso concreto de los contratos de prestación de servicios, la sentencia en mención determina:   </w:t>
      </w:r>
    </w:p>
    <w:p w14:paraId="46AB264B" w14:textId="77777777" w:rsidR="00BD0A14" w:rsidRPr="00553A27" w:rsidRDefault="00BD0A14" w:rsidP="00BD0A14">
      <w:pPr>
        <w:shd w:val="clear" w:color="auto" w:fill="FFFFFF"/>
        <w:spacing w:after="0" w:line="276" w:lineRule="auto"/>
        <w:ind w:left="709" w:right="49"/>
        <w:jc w:val="both"/>
        <w:rPr>
          <w:rFonts w:ascii="Verdana" w:eastAsia="Yu Gothic UI Semibold" w:hAnsi="Verdana" w:cs="Arial"/>
          <w:lang w:eastAsia="es-CO"/>
        </w:rPr>
      </w:pPr>
    </w:p>
    <w:p w14:paraId="2EE8F68B" w14:textId="77777777" w:rsidR="00BD0A14" w:rsidRPr="00553A27" w:rsidRDefault="00BD0A14" w:rsidP="00BD0A14">
      <w:pPr>
        <w:shd w:val="clear" w:color="auto" w:fill="FFFFFF"/>
        <w:spacing w:line="240" w:lineRule="auto"/>
        <w:ind w:left="709" w:right="709"/>
        <w:contextualSpacing/>
        <w:jc w:val="both"/>
        <w:rPr>
          <w:rFonts w:ascii="Verdana" w:hAnsi="Verdana" w:cs="Arial"/>
          <w:noProof/>
          <w:sz w:val="20"/>
          <w:szCs w:val="20"/>
          <w:lang w:val="es-ES_tradnl"/>
        </w:rPr>
      </w:pPr>
      <w:r w:rsidRPr="00553A27">
        <w:rPr>
          <w:rFonts w:ascii="Verdana" w:eastAsia="Yu Gothic UI Semibold" w:hAnsi="Verdana" w:cs="Arial"/>
          <w:iCs/>
          <w:sz w:val="20"/>
          <w:szCs w:val="20"/>
          <w:lang w:eastAsia="es-MX"/>
        </w:rPr>
        <w:t>“</w:t>
      </w:r>
      <w:r w:rsidRPr="00553A27">
        <w:rPr>
          <w:rFonts w:ascii="Verdana" w:eastAsia="Yu Gothic UI Semibold" w:hAnsi="Verdana" w:cs="Arial"/>
          <w:sz w:val="20"/>
          <w:szCs w:val="20"/>
          <w:lang w:eastAsia="es-CO"/>
        </w:rPr>
        <w:t>[…] en el supuesto en que la trabajadora gestante o lactante haya estado vinculada mediante un contrato de prestación de servicios y logre demostrar la existencia de un contrato realidad, se deberán aplicar las reglas propuestas para los contratos a término fijo, toda vez que, “dentro las características del contrato de prestación de servicios, según lo ha entendido esta Corporación, se encuentran que se trata de un contrato temporal, cuya duración es por un tiempo limitado, que es además el indispensable para ejecutar el objeto contractual convenido […]</w:t>
      </w:r>
      <w:r w:rsidRPr="00553A27">
        <w:rPr>
          <w:rFonts w:ascii="Verdana" w:hAnsi="Verdana" w:cs="Arial"/>
          <w:noProof/>
          <w:sz w:val="20"/>
          <w:szCs w:val="20"/>
          <w:lang w:val="es-ES_tradnl"/>
        </w:rPr>
        <w:t>”.</w:t>
      </w:r>
    </w:p>
    <w:p w14:paraId="3A471088" w14:textId="77777777" w:rsidR="00BD0A14" w:rsidRPr="00553A27" w:rsidRDefault="00BD0A14" w:rsidP="00BD0A14">
      <w:pPr>
        <w:shd w:val="clear" w:color="auto" w:fill="FFFFFF"/>
        <w:spacing w:line="240" w:lineRule="auto"/>
        <w:ind w:right="709"/>
        <w:contextualSpacing/>
        <w:jc w:val="both"/>
        <w:rPr>
          <w:rFonts w:ascii="Verdana" w:hAnsi="Verdana" w:cs="Arial"/>
          <w:noProof/>
          <w:lang w:val="es-ES_tradnl"/>
        </w:rPr>
      </w:pPr>
    </w:p>
    <w:p w14:paraId="535209AC" w14:textId="77777777" w:rsidR="00BD0A14" w:rsidRPr="00553A27" w:rsidRDefault="00BD0A14" w:rsidP="00BD0A14">
      <w:pPr>
        <w:shd w:val="clear" w:color="auto" w:fill="FFFFFF"/>
        <w:spacing w:after="120" w:line="276" w:lineRule="auto"/>
        <w:jc w:val="both"/>
        <w:rPr>
          <w:rFonts w:ascii="Verdana" w:eastAsia="Yu Gothic UI Semibold" w:hAnsi="Verdana" w:cs="Arial"/>
          <w:lang w:eastAsia="es-CO"/>
        </w:rPr>
      </w:pPr>
      <w:r w:rsidRPr="00553A27">
        <w:rPr>
          <w:rFonts w:ascii="Verdana" w:hAnsi="Verdana" w:cs="Arial"/>
          <w:noProof/>
          <w:lang w:val="es-ES_tradnl"/>
        </w:rPr>
        <w:tab/>
        <w:t>Conforme a lo anterior, la Corte Constitucional ha expuesto dos (2) posiciones frente a los cuales opera la protección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ii) cuando a pesar de no probarse la configuración de un contrato realidad la terminación del contrato de prestación de servicios se fundamenta en criterios discriminatorios, y no en motivos objetivos.</w:t>
      </w:r>
    </w:p>
    <w:p w14:paraId="0D49E447" w14:textId="77777777" w:rsidR="00BD0A14" w:rsidRPr="00553A27" w:rsidRDefault="00BD0A14" w:rsidP="00BD0A14">
      <w:pPr>
        <w:tabs>
          <w:tab w:val="left" w:pos="0"/>
        </w:tabs>
        <w:spacing w:after="120" w:line="276" w:lineRule="auto"/>
        <w:jc w:val="both"/>
        <w:rPr>
          <w:rFonts w:ascii="Verdana" w:hAnsi="Verdana" w:cs="Arial"/>
        </w:rPr>
      </w:pPr>
      <w:r w:rsidRPr="00553A27">
        <w:rPr>
          <w:rFonts w:ascii="Verdana" w:hAnsi="Verdana" w:cs="Arial"/>
        </w:rPr>
        <w:lastRenderedPageBreak/>
        <w:tab/>
        <w:t>Asimismo, se resalta que el Alto Tribunal Constitucional, en la sentencia T-743 de 2017, reiteró que la protección a la mujer en estado de embarazo y en periodo de lactancia está sustentada en cuatro presupuestos de origen constitucional: i) el deber de protección especial a la mujer gestante, ii) la contención de prácticas discriminatorias en el escenario laboral contra la mujer con ocasión del estado de embarazo, iii) la protección a la vida y a la mujer como su gestora y iv) la relevancia de la familia en el ordenamiento social colombiano.</w:t>
      </w:r>
    </w:p>
    <w:p w14:paraId="66C734A2" w14:textId="77777777" w:rsidR="00BD0A14" w:rsidRPr="00553A27" w:rsidRDefault="00BD0A14" w:rsidP="00BD0A14">
      <w:pPr>
        <w:widowControl w:val="0"/>
        <w:autoSpaceDE w:val="0"/>
        <w:autoSpaceDN w:val="0"/>
        <w:spacing w:after="0" w:line="276" w:lineRule="auto"/>
        <w:ind w:firstLine="709"/>
        <w:jc w:val="both"/>
        <w:rPr>
          <w:rFonts w:ascii="Verdana" w:eastAsia="Arial" w:hAnsi="Verdana" w:cs="Arial"/>
          <w:lang w:val="es-ES"/>
        </w:rPr>
      </w:pPr>
      <w:r w:rsidRPr="00553A27">
        <w:rPr>
          <w:rFonts w:ascii="Verdana" w:eastAsia="Arial" w:hAnsi="Verdana" w:cs="Arial"/>
          <w:lang w:val="es-ES"/>
        </w:rPr>
        <w:t xml:space="preserve">Adicionalmente, la Corte Constitucional profirió la sentencia T-329 de 2022, con ponencia de la magistrada </w:t>
      </w:r>
      <w:r w:rsidRPr="00553A27">
        <w:rPr>
          <w:rFonts w:ascii="Verdana" w:hAnsi="Verdana" w:cs="Arial"/>
        </w:rPr>
        <w:t>Natalia Ángel Cabo</w:t>
      </w:r>
      <w:r w:rsidRPr="00553A27">
        <w:rPr>
          <w:rFonts w:ascii="Verdana" w:eastAsia="Arial" w:hAnsi="Verdana" w:cs="Arial"/>
          <w:lang w:val="es-ES"/>
        </w:rPr>
        <w:t xml:space="preserve">, en la cual reiteró el precedente sobre </w:t>
      </w:r>
      <w:bookmarkStart w:id="2" w:name="_Hlk108422441"/>
      <w:r w:rsidRPr="00553A27">
        <w:rPr>
          <w:rFonts w:ascii="Verdana" w:eastAsia="Arial" w:hAnsi="Verdana" w:cs="Arial"/>
          <w:lang w:val="es-ES"/>
        </w:rPr>
        <w:t>la protección de la mujer embarazada y en período de lactancia en contratos de prestación de servicios</w:t>
      </w:r>
      <w:bookmarkEnd w:id="2"/>
      <w:r w:rsidRPr="00553A27">
        <w:rPr>
          <w:rFonts w:ascii="Verdana" w:eastAsia="Arial" w:hAnsi="Verdana" w:cs="Arial"/>
          <w:lang w:val="es-ES"/>
        </w:rPr>
        <w:t xml:space="preserve"> establecido en la Sentencia S-070 de 2013, al indicar lo siguiente: </w:t>
      </w:r>
    </w:p>
    <w:p w14:paraId="033B1794" w14:textId="77777777" w:rsidR="00BD0A14" w:rsidRPr="00553A27" w:rsidRDefault="00BD0A14" w:rsidP="00BD0A14">
      <w:pPr>
        <w:widowControl w:val="0"/>
        <w:autoSpaceDE w:val="0"/>
        <w:autoSpaceDN w:val="0"/>
        <w:spacing w:after="0" w:line="276" w:lineRule="auto"/>
        <w:ind w:firstLine="709"/>
        <w:contextualSpacing/>
        <w:jc w:val="both"/>
        <w:rPr>
          <w:rFonts w:ascii="Verdana" w:eastAsia="Arial" w:hAnsi="Verdana" w:cs="Arial"/>
          <w:lang w:val="es-ES"/>
        </w:rPr>
      </w:pPr>
    </w:p>
    <w:p w14:paraId="0D042B63" w14:textId="77777777" w:rsidR="00BD0A14" w:rsidRPr="00553A27" w:rsidRDefault="00BD0A14" w:rsidP="006A739A">
      <w:pPr>
        <w:spacing w:after="0" w:line="240" w:lineRule="auto"/>
        <w:ind w:left="709" w:right="709"/>
        <w:contextualSpacing/>
        <w:jc w:val="both"/>
        <w:rPr>
          <w:rFonts w:ascii="Verdana" w:eastAsia="Times New Roman" w:hAnsi="Verdana" w:cs="Arial"/>
          <w:sz w:val="20"/>
          <w:szCs w:val="20"/>
          <w:lang w:eastAsia="es-ES"/>
        </w:rPr>
      </w:pPr>
      <w:r w:rsidRPr="00553A27">
        <w:rPr>
          <w:rFonts w:ascii="Verdana" w:eastAsia="Yu Gothic UI Semibold" w:hAnsi="Verdana" w:cs="Arial"/>
          <w:iCs/>
          <w:sz w:val="20"/>
          <w:szCs w:val="20"/>
          <w:lang w:eastAsia="es-MX"/>
        </w:rPr>
        <w:t>“</w:t>
      </w:r>
      <w:r w:rsidRPr="00553A27">
        <w:rPr>
          <w:rFonts w:ascii="Verdana" w:eastAsia="Yu Gothic UI Semibold" w:hAnsi="Verdana" w:cs="Arial"/>
          <w:sz w:val="20"/>
          <w:szCs w:val="20"/>
          <w:lang w:eastAsia="es-CO"/>
        </w:rPr>
        <w:t xml:space="preserve">[…] </w:t>
      </w:r>
      <w:r w:rsidRPr="00553A27">
        <w:rPr>
          <w:rFonts w:ascii="Verdana" w:eastAsia="Times New Roman" w:hAnsi="Verdana" w:cs="Arial"/>
          <w:sz w:val="20"/>
          <w:szCs w:val="20"/>
          <w:lang w:eastAsia="es-ES"/>
        </w:rPr>
        <w:t>En la Sentencia SU-070 de 2013, la Corte reconoció la protección de la mujer embarazada en otras alternativas laborales. En relación con el contrato de prestación de servicios indicó que el juez de tutela debe evaluar si existe un inminente riesgo de afectación al mínimo vital o a otros derechos fundamentales de la accionante. En caso afirmativo, el juez de tutela está obligado a evaluar las circunstancias fácticas particulares para determinar si tras esa figura contractual está oculta una relación laboral o si efectivamente se trata de un contrato de prestación de servicios. En los casos en los que se encuentre que el contrato de prestación de servicios oculta una relación laboral, se deben aplicar las reglas establecidas para el contrato laboral a término fijo</w:t>
      </w:r>
      <w:r w:rsidRPr="00553A27">
        <w:rPr>
          <w:rFonts w:ascii="Verdana" w:eastAsia="Times New Roman" w:hAnsi="Verdana" w:cs="Arial"/>
          <w:noProof/>
          <w:sz w:val="20"/>
          <w:szCs w:val="20"/>
          <w:lang w:val="es-ES_tradnl" w:eastAsia="es-ES"/>
        </w:rPr>
        <w:t>”.</w:t>
      </w:r>
    </w:p>
    <w:p w14:paraId="7401254B" w14:textId="77777777" w:rsidR="00BD0A14" w:rsidRPr="00553A27" w:rsidRDefault="00BD0A14" w:rsidP="00BD0A14">
      <w:pPr>
        <w:widowControl w:val="0"/>
        <w:autoSpaceDE w:val="0"/>
        <w:autoSpaceDN w:val="0"/>
        <w:spacing w:after="0" w:line="276" w:lineRule="auto"/>
        <w:ind w:firstLine="709"/>
        <w:jc w:val="both"/>
        <w:rPr>
          <w:rFonts w:ascii="Verdana" w:eastAsia="Arial" w:hAnsi="Verdana" w:cs="Arial"/>
          <w:lang w:val="es-ES"/>
        </w:rPr>
      </w:pPr>
    </w:p>
    <w:p w14:paraId="6B00A525" w14:textId="77777777" w:rsidR="00BD0A14" w:rsidRPr="00553A27" w:rsidRDefault="00BD0A14" w:rsidP="00BD0A14">
      <w:pPr>
        <w:widowControl w:val="0"/>
        <w:autoSpaceDE w:val="0"/>
        <w:autoSpaceDN w:val="0"/>
        <w:spacing w:after="120" w:line="276" w:lineRule="auto"/>
        <w:ind w:firstLine="709"/>
        <w:jc w:val="both"/>
        <w:rPr>
          <w:rFonts w:ascii="Verdana" w:hAnsi="Verdana" w:cs="Arial"/>
          <w:shd w:val="clear" w:color="auto" w:fill="FFFFFF"/>
        </w:rPr>
      </w:pPr>
      <w:r w:rsidRPr="00553A27">
        <w:rPr>
          <w:rFonts w:ascii="Verdana" w:eastAsia="Arial" w:hAnsi="Verdana" w:cs="Arial"/>
          <w:lang w:val="es-ES"/>
        </w:rPr>
        <w:t xml:space="preserve">En dicha providencia la Corte consideró que, </w:t>
      </w:r>
      <w:r w:rsidRPr="00553A27">
        <w:rPr>
          <w:rFonts w:ascii="Verdana" w:hAnsi="Verdana" w:cs="Arial"/>
        </w:rPr>
        <w:t xml:space="preserve">en los casos de vinculación mediante contrato de prestación de servicios, aun cuando en el trámite de tutela no se logren acreditar los elementos del contrato realidad, hay lugar a la protección derivada de del fuero de maternidad. Lo anterior, en palabras de la Corte encuentra sustento en las siguientes razones: </w:t>
      </w:r>
      <w:r w:rsidRPr="00553A27">
        <w:rPr>
          <w:rFonts w:ascii="Verdana" w:eastAsia="Yu Gothic UI Semibold" w:hAnsi="Verdana" w:cs="Arial"/>
          <w:iCs/>
          <w:lang w:eastAsia="es-MX"/>
        </w:rPr>
        <w:t>“</w:t>
      </w:r>
      <w:r w:rsidRPr="00553A27">
        <w:rPr>
          <w:rFonts w:ascii="Verdana" w:hAnsi="Verdana" w:cs="Arial"/>
        </w:rPr>
        <w:t xml:space="preserve">(i) la protección de la mujer gestante o en periodo de lactancia se deriva de, entre otros, los artículos 43, 53 y 13 de la Constitución Nacional; (ii) la Sentencia SU-070 de 2013 reiteró la protección a la mujer embarazada en todas las alternativas laborales o de trabajo en las que se incluye el contrato de prestación de servicios; (iii) la Sentencia SU-075 de 2018 reiteró que las condiciones para la protección de la mujer embarazada son la existencia de una relación laboral o de prestación de servicios y que </w:t>
      </w:r>
      <w:r w:rsidRPr="00553A27">
        <w:rPr>
          <w:rFonts w:ascii="Verdana" w:hAnsi="Verdana" w:cs="Arial"/>
          <w:shd w:val="clear" w:color="auto" w:fill="FFFFFF"/>
        </w:rPr>
        <w:t xml:space="preserve">la mujer se encuentre en estado de embarazo o dentro de los tres meses siguientes al parto, en vigencia de dicha relación laboral o de </w:t>
      </w:r>
      <w:r w:rsidRPr="00553A27">
        <w:rPr>
          <w:rFonts w:ascii="Verdana" w:hAnsi="Verdana" w:cs="Arial"/>
          <w:shd w:val="clear" w:color="auto" w:fill="FFFFFF"/>
        </w:rPr>
        <w:lastRenderedPageBreak/>
        <w:t>prestación de servicios</w:t>
      </w:r>
      <w:r w:rsidRPr="00553A27">
        <w:rPr>
          <w:rFonts w:ascii="Verdana" w:hAnsi="Verdana" w:cs="Arial"/>
        </w:rPr>
        <w:t xml:space="preserve">; y (iv) las salas de revisión de la Corte Constitucional </w:t>
      </w:r>
      <w:r w:rsidRPr="00553A27">
        <w:rPr>
          <w:rFonts w:ascii="Verdana" w:hAnsi="Verdana" w:cs="Arial"/>
          <w:shd w:val="clear" w:color="auto" w:fill="FFFFFF"/>
        </w:rPr>
        <w:t>reconocen la protección derivada del fuero de maternidad en los contratos de prestación de servicios</w:t>
      </w:r>
      <w:r w:rsidRPr="00553A27">
        <w:rPr>
          <w:rFonts w:ascii="Verdana" w:hAnsi="Verdana" w:cs="Arial"/>
          <w:noProof/>
          <w:lang w:val="es-ES_tradnl"/>
        </w:rPr>
        <w:t>”</w:t>
      </w:r>
      <w:r w:rsidRPr="00553A27">
        <w:rPr>
          <w:rFonts w:ascii="Verdana" w:hAnsi="Verdana" w:cs="Arial"/>
          <w:noProof/>
          <w:vertAlign w:val="superscript"/>
          <w:lang w:val="es-ES_tradnl"/>
        </w:rPr>
        <w:footnoteReference w:id="6"/>
      </w:r>
      <w:r w:rsidRPr="00553A27">
        <w:rPr>
          <w:rFonts w:ascii="Verdana" w:hAnsi="Verdana" w:cs="Arial"/>
          <w:shd w:val="clear" w:color="auto" w:fill="FFFFFF"/>
        </w:rPr>
        <w:t xml:space="preserve">. </w:t>
      </w:r>
    </w:p>
    <w:p w14:paraId="12CC778D" w14:textId="77777777" w:rsidR="00BD0A14" w:rsidRPr="00553A27" w:rsidRDefault="00BD0A14" w:rsidP="00BD0A14">
      <w:pPr>
        <w:widowControl w:val="0"/>
        <w:autoSpaceDE w:val="0"/>
        <w:autoSpaceDN w:val="0"/>
        <w:spacing w:after="0" w:line="276" w:lineRule="auto"/>
        <w:ind w:firstLine="709"/>
        <w:jc w:val="both"/>
        <w:rPr>
          <w:rFonts w:ascii="Verdana" w:hAnsi="Verdana" w:cs="Arial"/>
          <w:shd w:val="clear" w:color="auto" w:fill="FFFFFF"/>
        </w:rPr>
      </w:pPr>
      <w:r w:rsidRPr="00553A27">
        <w:rPr>
          <w:rFonts w:ascii="Verdana" w:hAnsi="Verdana" w:cs="Arial"/>
          <w:shd w:val="clear" w:color="auto" w:fill="FFFFFF"/>
        </w:rPr>
        <w:t xml:space="preserve">En línea con lo anterior, resulta relevante relacionar las reglas establecidas en la jurisprudencia constitucional para la protección de las mujeres vinculadas mediante contrato de prestación de servicios a quienes no se les renueva dicho contrato mientras se encuentran en estado de embarazo o lactancia: </w:t>
      </w:r>
    </w:p>
    <w:p w14:paraId="4913207B" w14:textId="77777777" w:rsidR="00BD0A14" w:rsidRPr="00553A27" w:rsidRDefault="00BD0A14" w:rsidP="00BD0A14">
      <w:pPr>
        <w:widowControl w:val="0"/>
        <w:autoSpaceDE w:val="0"/>
        <w:autoSpaceDN w:val="0"/>
        <w:spacing w:after="0" w:line="276" w:lineRule="auto"/>
        <w:ind w:firstLine="709"/>
        <w:jc w:val="both"/>
        <w:rPr>
          <w:rFonts w:ascii="Verdana" w:hAnsi="Verdana" w:cs="Arial"/>
          <w:shd w:val="clear" w:color="auto" w:fill="FFFFFF"/>
        </w:rPr>
      </w:pPr>
    </w:p>
    <w:tbl>
      <w:tblPr>
        <w:tblStyle w:val="Tablaconcuadrcula"/>
        <w:tblW w:w="5000" w:type="pct"/>
        <w:tblLook w:val="04A0" w:firstRow="1" w:lastRow="0" w:firstColumn="1" w:lastColumn="0" w:noHBand="0" w:noVBand="1"/>
      </w:tblPr>
      <w:tblGrid>
        <w:gridCol w:w="2548"/>
        <w:gridCol w:w="6280"/>
      </w:tblGrid>
      <w:tr w:rsidR="00BD0A14" w:rsidRPr="00553A27" w14:paraId="5F1F8F97" w14:textId="77777777" w:rsidTr="00B5587B">
        <w:tc>
          <w:tcPr>
            <w:tcW w:w="1443" w:type="pct"/>
            <w:shd w:val="clear" w:color="auto" w:fill="D9E2F3" w:themeFill="accent1" w:themeFillTint="33"/>
            <w:vAlign w:val="center"/>
          </w:tcPr>
          <w:p w14:paraId="7DD1FABA" w14:textId="77777777" w:rsidR="00BD0A14" w:rsidRPr="00553A27" w:rsidRDefault="00BD0A14" w:rsidP="00B5587B">
            <w:pPr>
              <w:jc w:val="center"/>
              <w:rPr>
                <w:rFonts w:ascii="Verdana" w:hAnsi="Verdana" w:cs="Arial"/>
                <w:b/>
                <w:bCs/>
                <w:sz w:val="21"/>
                <w:szCs w:val="21"/>
                <w:lang w:val="es-MX"/>
              </w:rPr>
            </w:pPr>
            <w:r w:rsidRPr="00553A27">
              <w:rPr>
                <w:rFonts w:ascii="Verdana" w:hAnsi="Verdana" w:cs="Arial"/>
                <w:b/>
                <w:bCs/>
                <w:sz w:val="21"/>
                <w:szCs w:val="21"/>
                <w:lang w:val="es-MX"/>
              </w:rPr>
              <w:t>Tipo de relación material</w:t>
            </w:r>
          </w:p>
        </w:tc>
        <w:tc>
          <w:tcPr>
            <w:tcW w:w="3557" w:type="pct"/>
            <w:shd w:val="clear" w:color="auto" w:fill="D9E2F3" w:themeFill="accent1" w:themeFillTint="33"/>
            <w:vAlign w:val="center"/>
          </w:tcPr>
          <w:p w14:paraId="7B8CAEEC" w14:textId="77777777" w:rsidR="00BD0A14" w:rsidRPr="00553A27" w:rsidRDefault="00BD0A14" w:rsidP="00B5587B">
            <w:pPr>
              <w:jc w:val="center"/>
              <w:rPr>
                <w:rFonts w:ascii="Verdana" w:hAnsi="Verdana" w:cs="Arial"/>
                <w:b/>
                <w:bCs/>
                <w:sz w:val="21"/>
                <w:szCs w:val="21"/>
                <w:lang w:val="es-MX"/>
              </w:rPr>
            </w:pPr>
            <w:r w:rsidRPr="00553A27">
              <w:rPr>
                <w:rFonts w:ascii="Verdana" w:hAnsi="Verdana" w:cs="Arial"/>
                <w:b/>
                <w:bCs/>
                <w:sz w:val="21"/>
                <w:szCs w:val="21"/>
                <w:lang w:val="es-MX"/>
              </w:rPr>
              <w:t>Alcance de la protección</w:t>
            </w:r>
          </w:p>
        </w:tc>
      </w:tr>
      <w:tr w:rsidR="00BD0A14" w:rsidRPr="00553A27" w14:paraId="3B2ADD6B" w14:textId="77777777" w:rsidTr="00B5587B">
        <w:tc>
          <w:tcPr>
            <w:tcW w:w="1443" w:type="pct"/>
            <w:tcBorders>
              <w:bottom w:val="single" w:sz="4" w:space="0" w:color="auto"/>
            </w:tcBorders>
            <w:vAlign w:val="center"/>
          </w:tcPr>
          <w:p w14:paraId="58D4776F" w14:textId="77777777" w:rsidR="00BD0A14" w:rsidRPr="00553A27" w:rsidRDefault="00BD0A14" w:rsidP="00B5587B">
            <w:pPr>
              <w:jc w:val="center"/>
              <w:rPr>
                <w:rFonts w:ascii="Verdana" w:hAnsi="Verdana" w:cs="Arial"/>
                <w:b/>
                <w:bCs/>
                <w:sz w:val="21"/>
                <w:szCs w:val="21"/>
                <w:lang w:val="es-MX"/>
              </w:rPr>
            </w:pPr>
            <w:r w:rsidRPr="00553A27">
              <w:rPr>
                <w:rFonts w:ascii="Verdana" w:hAnsi="Verdana" w:cs="Arial"/>
                <w:b/>
                <w:bCs/>
                <w:sz w:val="21"/>
                <w:szCs w:val="21"/>
                <w:lang w:val="es-MX"/>
              </w:rPr>
              <w:t>Se configura un contrato realidad</w:t>
            </w:r>
          </w:p>
        </w:tc>
        <w:tc>
          <w:tcPr>
            <w:tcW w:w="3557" w:type="pct"/>
          </w:tcPr>
          <w:p w14:paraId="69F6C685" w14:textId="77777777" w:rsidR="00BD0A14" w:rsidRPr="00553A27" w:rsidRDefault="00BD0A14" w:rsidP="00B5587B">
            <w:pPr>
              <w:jc w:val="both"/>
              <w:rPr>
                <w:rFonts w:ascii="Verdana" w:hAnsi="Verdana" w:cs="Arial"/>
                <w:sz w:val="21"/>
                <w:szCs w:val="21"/>
                <w:lang w:val="es-MX"/>
              </w:rPr>
            </w:pPr>
            <w:r w:rsidRPr="00553A27">
              <w:rPr>
                <w:rFonts w:ascii="Verdana" w:hAnsi="Verdana" w:cs="Arial"/>
                <w:sz w:val="21"/>
                <w:szCs w:val="21"/>
                <w:lang w:val="es-MX"/>
              </w:rPr>
              <w:t>El juez de tutela deberá aplicar las reglas establecidas para el contrato laboral a término fijo, debido a que este contrato, por sus características de temporalidad, es el que mejor se asemeja al contrato de prestación de servicios</w:t>
            </w:r>
            <w:r w:rsidRPr="00553A27">
              <w:rPr>
                <w:rFonts w:ascii="Verdana" w:hAnsi="Verdana" w:cs="Arial"/>
                <w:sz w:val="21"/>
                <w:szCs w:val="21"/>
                <w:vertAlign w:val="superscript"/>
                <w:lang w:val="es-MX"/>
              </w:rPr>
              <w:t xml:space="preserve"> </w:t>
            </w:r>
            <w:r w:rsidRPr="00553A27">
              <w:rPr>
                <w:rFonts w:ascii="Verdana" w:hAnsi="Verdana" w:cs="Arial"/>
                <w:sz w:val="21"/>
                <w:szCs w:val="21"/>
                <w:vertAlign w:val="superscript"/>
                <w:lang w:val="es-MX"/>
              </w:rPr>
              <w:footnoteReference w:id="7"/>
            </w:r>
            <w:r w:rsidRPr="00553A27">
              <w:rPr>
                <w:rFonts w:ascii="Verdana" w:hAnsi="Verdana" w:cs="Arial"/>
                <w:sz w:val="21"/>
                <w:szCs w:val="21"/>
                <w:lang w:val="es-MX"/>
              </w:rPr>
              <w:t>.</w:t>
            </w:r>
          </w:p>
        </w:tc>
      </w:tr>
      <w:tr w:rsidR="00BD0A14" w:rsidRPr="00553A27" w14:paraId="527C04D1" w14:textId="77777777" w:rsidTr="00B5587B">
        <w:trPr>
          <w:trHeight w:val="269"/>
        </w:trPr>
        <w:tc>
          <w:tcPr>
            <w:tcW w:w="1443" w:type="pct"/>
            <w:tcBorders>
              <w:top w:val="single" w:sz="4" w:space="0" w:color="auto"/>
              <w:left w:val="single" w:sz="4" w:space="0" w:color="auto"/>
              <w:bottom w:val="single" w:sz="4" w:space="0" w:color="auto"/>
              <w:right w:val="single" w:sz="4" w:space="0" w:color="auto"/>
            </w:tcBorders>
            <w:vAlign w:val="center"/>
          </w:tcPr>
          <w:p w14:paraId="767D2A6F" w14:textId="77777777" w:rsidR="00BD0A14" w:rsidRPr="00553A27" w:rsidRDefault="00BD0A14" w:rsidP="00B5587B">
            <w:pPr>
              <w:jc w:val="center"/>
              <w:rPr>
                <w:rFonts w:ascii="Verdana" w:hAnsi="Verdana" w:cs="Arial"/>
                <w:b/>
                <w:bCs/>
                <w:sz w:val="21"/>
                <w:szCs w:val="21"/>
                <w:lang w:val="es-MX"/>
              </w:rPr>
            </w:pPr>
            <w:r w:rsidRPr="00553A27">
              <w:rPr>
                <w:rFonts w:ascii="Verdana" w:hAnsi="Verdana" w:cs="Arial"/>
                <w:b/>
                <w:bCs/>
                <w:sz w:val="21"/>
                <w:szCs w:val="21"/>
                <w:lang w:val="es-MX"/>
              </w:rPr>
              <w:t>No se configura un contrato realidad</w:t>
            </w:r>
          </w:p>
        </w:tc>
        <w:tc>
          <w:tcPr>
            <w:tcW w:w="3557" w:type="pct"/>
            <w:tcBorders>
              <w:left w:val="single" w:sz="4" w:space="0" w:color="auto"/>
            </w:tcBorders>
            <w:vAlign w:val="center"/>
          </w:tcPr>
          <w:p w14:paraId="3AD1D8FD" w14:textId="77777777" w:rsidR="00BD0A14" w:rsidRPr="00553A27" w:rsidRDefault="00BD0A14" w:rsidP="00B5587B">
            <w:pPr>
              <w:jc w:val="both"/>
              <w:rPr>
                <w:rFonts w:ascii="Verdana" w:hAnsi="Verdana" w:cs="Arial"/>
                <w:sz w:val="21"/>
                <w:szCs w:val="21"/>
                <w:lang w:val="es-MX"/>
              </w:rPr>
            </w:pPr>
            <w:r w:rsidRPr="00553A27">
              <w:rPr>
                <w:rFonts w:ascii="Verdana" w:hAnsi="Verdana" w:cs="Arial"/>
                <w:sz w:val="21"/>
                <w:szCs w:val="21"/>
                <w:lang w:val="es-MX"/>
              </w:rPr>
              <w:t>Si (i) el contratante conoce el estado de embarazo de la contratista, (ii) subsiste la causa del contrato y (iii) no cuenta con permiso del inspector del trabajo para terminar el contrato, el juez deberá ordenar:</w:t>
            </w:r>
          </w:p>
          <w:p w14:paraId="1F7E34B5" w14:textId="77777777" w:rsidR="00BD0A14" w:rsidRPr="00553A27" w:rsidRDefault="00BD0A14" w:rsidP="00B5587B">
            <w:pPr>
              <w:rPr>
                <w:rFonts w:ascii="Verdana" w:hAnsi="Verdana" w:cs="Arial"/>
                <w:sz w:val="21"/>
                <w:szCs w:val="21"/>
                <w:lang w:val="es-MX"/>
              </w:rPr>
            </w:pPr>
          </w:p>
          <w:p w14:paraId="47B8D294" w14:textId="77777777" w:rsidR="00BD0A14" w:rsidRPr="00553A27" w:rsidRDefault="00BD0A14" w:rsidP="00BD0A14">
            <w:pPr>
              <w:numPr>
                <w:ilvl w:val="0"/>
                <w:numId w:val="17"/>
              </w:numPr>
              <w:jc w:val="both"/>
              <w:rPr>
                <w:rFonts w:ascii="Verdana" w:hAnsi="Verdana" w:cs="Arial"/>
                <w:sz w:val="21"/>
                <w:szCs w:val="21"/>
                <w:lang w:val="es-MX"/>
              </w:rPr>
            </w:pPr>
            <w:r w:rsidRPr="00553A27">
              <w:rPr>
                <w:rFonts w:ascii="Verdana" w:hAnsi="Verdana" w:cs="Arial"/>
                <w:sz w:val="21"/>
                <w:szCs w:val="21"/>
                <w:lang w:val="es-MX"/>
              </w:rPr>
              <w:t xml:space="preserve">La renovación de la relación contractual, la cual se dará hasta por el término del periodo de lactancia. </w:t>
            </w:r>
          </w:p>
          <w:p w14:paraId="187354E7" w14:textId="77777777" w:rsidR="00BD0A14" w:rsidRPr="00553A27" w:rsidRDefault="00BD0A14" w:rsidP="00BD0A14">
            <w:pPr>
              <w:numPr>
                <w:ilvl w:val="0"/>
                <w:numId w:val="17"/>
              </w:numPr>
              <w:jc w:val="both"/>
              <w:rPr>
                <w:rFonts w:ascii="Verdana" w:hAnsi="Verdana" w:cs="Arial"/>
                <w:sz w:val="21"/>
                <w:szCs w:val="21"/>
                <w:lang w:val="es-MX"/>
              </w:rPr>
            </w:pPr>
            <w:r w:rsidRPr="00553A27">
              <w:rPr>
                <w:rFonts w:ascii="Verdana" w:hAnsi="Verdana" w:cs="Arial"/>
                <w:sz w:val="21"/>
                <w:szCs w:val="21"/>
                <w:lang w:val="es-MX"/>
              </w:rPr>
              <w:t>El pago de los honorarios dejados de percibir desde la fecha de no renovación del contrato, hasta la renovación del mismo;</w:t>
            </w:r>
          </w:p>
          <w:p w14:paraId="1B8CF34B" w14:textId="77777777" w:rsidR="00BD0A14" w:rsidRPr="00553A27" w:rsidRDefault="00BD0A14" w:rsidP="00BD0A14">
            <w:pPr>
              <w:numPr>
                <w:ilvl w:val="0"/>
                <w:numId w:val="17"/>
              </w:numPr>
              <w:jc w:val="both"/>
              <w:rPr>
                <w:rFonts w:ascii="Verdana" w:hAnsi="Verdana" w:cs="Arial"/>
                <w:sz w:val="21"/>
                <w:szCs w:val="21"/>
                <w:lang w:val="es-MX"/>
              </w:rPr>
            </w:pPr>
            <w:r w:rsidRPr="00553A27">
              <w:rPr>
                <w:rFonts w:ascii="Verdana" w:hAnsi="Verdana" w:cs="Arial"/>
                <w:sz w:val="21"/>
                <w:szCs w:val="21"/>
                <w:lang w:val="es-MX"/>
              </w:rPr>
              <w:t>El pago por concepto de la indemnización por despido discriminatorio</w:t>
            </w:r>
            <w:r w:rsidRPr="00553A27">
              <w:rPr>
                <w:rFonts w:ascii="Verdana" w:hAnsi="Verdana" w:cs="Arial"/>
                <w:sz w:val="21"/>
                <w:szCs w:val="21"/>
                <w:vertAlign w:val="superscript"/>
                <w:lang w:val="es-MX"/>
              </w:rPr>
              <w:footnoteReference w:id="8"/>
            </w:r>
            <w:r w:rsidRPr="00553A27">
              <w:rPr>
                <w:rFonts w:ascii="Verdana" w:hAnsi="Verdana" w:cs="Arial"/>
                <w:sz w:val="21"/>
                <w:szCs w:val="21"/>
                <w:lang w:val="es-MX"/>
              </w:rPr>
              <w:t>; y</w:t>
            </w:r>
          </w:p>
          <w:p w14:paraId="095E41C4" w14:textId="77777777" w:rsidR="00BD0A14" w:rsidRPr="00553A27" w:rsidRDefault="00BD0A14" w:rsidP="00BD0A14">
            <w:pPr>
              <w:numPr>
                <w:ilvl w:val="0"/>
                <w:numId w:val="17"/>
              </w:numPr>
              <w:jc w:val="both"/>
              <w:rPr>
                <w:rFonts w:ascii="Verdana" w:hAnsi="Verdana" w:cs="Arial"/>
                <w:sz w:val="21"/>
                <w:szCs w:val="21"/>
                <w:lang w:val="es-MX"/>
              </w:rPr>
            </w:pPr>
            <w:r w:rsidRPr="00553A27">
              <w:rPr>
                <w:rFonts w:ascii="Verdana" w:hAnsi="Verdana" w:cs="Arial"/>
                <w:sz w:val="21"/>
                <w:szCs w:val="21"/>
                <w:lang w:val="es-MX"/>
              </w:rPr>
              <w:t>El pago de la licencia de maternidad. Este pago no se realizará si en el caso se acredita que la madre disfrutó de la licencia de maternidad</w:t>
            </w:r>
            <w:r w:rsidRPr="00553A27">
              <w:rPr>
                <w:rFonts w:ascii="Verdana" w:hAnsi="Verdana" w:cs="Arial"/>
                <w:sz w:val="21"/>
                <w:szCs w:val="21"/>
                <w:vertAlign w:val="superscript"/>
                <w:lang w:val="es-MX"/>
              </w:rPr>
              <w:footnoteReference w:id="9"/>
            </w:r>
            <w:r w:rsidRPr="00553A27">
              <w:rPr>
                <w:rFonts w:ascii="Verdana" w:hAnsi="Verdana" w:cs="Arial"/>
                <w:sz w:val="21"/>
                <w:szCs w:val="21"/>
                <w:lang w:val="es-MX"/>
              </w:rPr>
              <w:t>.</w:t>
            </w:r>
          </w:p>
          <w:p w14:paraId="000DB48E" w14:textId="77777777" w:rsidR="00BD0A14" w:rsidRPr="00553A27" w:rsidRDefault="00BD0A14" w:rsidP="00BD0A14">
            <w:pPr>
              <w:numPr>
                <w:ilvl w:val="0"/>
                <w:numId w:val="17"/>
              </w:numPr>
              <w:jc w:val="both"/>
              <w:rPr>
                <w:rFonts w:ascii="Verdana" w:hAnsi="Verdana" w:cs="Arial"/>
                <w:sz w:val="21"/>
                <w:szCs w:val="21"/>
                <w:lang w:val="es-MX"/>
              </w:rPr>
            </w:pPr>
            <w:r w:rsidRPr="00553A27">
              <w:rPr>
                <w:rFonts w:ascii="Verdana" w:hAnsi="Verdana" w:cs="Arial"/>
                <w:sz w:val="21"/>
                <w:szCs w:val="21"/>
                <w:lang w:val="es-MX"/>
              </w:rPr>
              <w:t xml:space="preserve">En el evento en el que el término del periodo de lactancia ya haya terminado, procederá el reconocimiento de los honorarios dejados de </w:t>
            </w:r>
            <w:r w:rsidRPr="00553A27">
              <w:rPr>
                <w:rFonts w:ascii="Verdana" w:hAnsi="Verdana" w:cs="Arial"/>
                <w:sz w:val="21"/>
                <w:szCs w:val="21"/>
                <w:lang w:val="es-MX"/>
              </w:rPr>
              <w:lastRenderedPageBreak/>
              <w:t>percibir hasta la terminación de periodo de lactancia</w:t>
            </w:r>
            <w:r w:rsidRPr="00553A27">
              <w:rPr>
                <w:rFonts w:ascii="Verdana" w:hAnsi="Verdana" w:cs="Arial"/>
                <w:sz w:val="21"/>
                <w:szCs w:val="21"/>
                <w:vertAlign w:val="superscript"/>
                <w:lang w:val="es-MX"/>
              </w:rPr>
              <w:footnoteReference w:id="10"/>
            </w:r>
            <w:r w:rsidRPr="00553A27">
              <w:rPr>
                <w:rFonts w:ascii="Verdana" w:hAnsi="Verdana" w:cs="Arial"/>
                <w:sz w:val="21"/>
                <w:szCs w:val="21"/>
                <w:lang w:val="es-MX"/>
              </w:rPr>
              <w:t>.</w:t>
            </w:r>
          </w:p>
          <w:p w14:paraId="28D44F7A" w14:textId="77777777" w:rsidR="00BD0A14" w:rsidRPr="00553A27" w:rsidRDefault="00BD0A14" w:rsidP="00B5587B">
            <w:pPr>
              <w:rPr>
                <w:rFonts w:ascii="Verdana" w:hAnsi="Verdana" w:cs="Arial"/>
                <w:sz w:val="21"/>
                <w:szCs w:val="21"/>
                <w:lang w:val="es-MX"/>
              </w:rPr>
            </w:pPr>
          </w:p>
          <w:p w14:paraId="73F9D562" w14:textId="77777777" w:rsidR="00BD0A14" w:rsidRPr="00553A27" w:rsidRDefault="00BD0A14" w:rsidP="00B5587B">
            <w:pPr>
              <w:keepNext/>
              <w:jc w:val="both"/>
              <w:rPr>
                <w:rFonts w:ascii="Verdana" w:hAnsi="Verdana" w:cs="Arial"/>
                <w:sz w:val="21"/>
                <w:szCs w:val="21"/>
                <w:lang w:val="es-MX"/>
              </w:rPr>
            </w:pPr>
            <w:r w:rsidRPr="00553A27">
              <w:rPr>
                <w:rFonts w:ascii="Verdana" w:hAnsi="Verdana" w:cs="Arial"/>
                <w:sz w:val="21"/>
                <w:szCs w:val="21"/>
                <w:lang w:val="es-MX"/>
              </w:rPr>
              <w:t>En todo caso, el juez deberá estudiar la procedencia de cada una de estas medidas de protección para lo cual tendrá en cuenta las particularidades del caso</w:t>
            </w:r>
            <w:r w:rsidRPr="00553A27">
              <w:rPr>
                <w:rFonts w:ascii="Verdana" w:hAnsi="Verdana" w:cs="Arial"/>
                <w:sz w:val="21"/>
                <w:szCs w:val="21"/>
                <w:vertAlign w:val="superscript"/>
                <w:lang w:val="es-MX"/>
              </w:rPr>
              <w:footnoteReference w:id="11"/>
            </w:r>
            <w:r w:rsidRPr="00553A27">
              <w:rPr>
                <w:rFonts w:ascii="Verdana" w:hAnsi="Verdana" w:cs="Arial"/>
                <w:sz w:val="21"/>
                <w:szCs w:val="21"/>
                <w:lang w:val="es-MX"/>
              </w:rPr>
              <w:t>.</w:t>
            </w:r>
          </w:p>
        </w:tc>
      </w:tr>
    </w:tbl>
    <w:p w14:paraId="7AD19546" w14:textId="77777777" w:rsidR="00BD0A14" w:rsidRPr="00553A27" w:rsidRDefault="00BD0A14" w:rsidP="00BD0A14">
      <w:pPr>
        <w:spacing w:after="0" w:line="240" w:lineRule="auto"/>
        <w:jc w:val="center"/>
        <w:rPr>
          <w:rFonts w:ascii="Verdana" w:eastAsia="Times New Roman" w:hAnsi="Verdana" w:cs="Arial"/>
          <w:iCs/>
          <w:sz w:val="16"/>
          <w:szCs w:val="16"/>
        </w:rPr>
      </w:pPr>
      <w:r w:rsidRPr="00553A27">
        <w:rPr>
          <w:rFonts w:ascii="Verdana" w:eastAsia="Times New Roman" w:hAnsi="Verdana" w:cs="Arial"/>
          <w:iCs/>
          <w:sz w:val="16"/>
          <w:szCs w:val="16"/>
        </w:rPr>
        <w:lastRenderedPageBreak/>
        <w:t xml:space="preserve">Tabla: Reglas para la protección de la mujer embarazada en contratos de prestación de servicios. – Tomada de la Sentencia T-329 de 2022. </w:t>
      </w:r>
    </w:p>
    <w:p w14:paraId="555885FB" w14:textId="77777777" w:rsidR="00BD0A14" w:rsidRPr="00553A27" w:rsidRDefault="00BD0A14" w:rsidP="00BD0A14">
      <w:pPr>
        <w:tabs>
          <w:tab w:val="left" w:pos="0"/>
        </w:tabs>
        <w:spacing w:after="0" w:line="276" w:lineRule="auto"/>
        <w:jc w:val="both"/>
        <w:rPr>
          <w:rFonts w:ascii="Verdana" w:hAnsi="Verdana" w:cs="Arial"/>
          <w:highlight w:val="yellow"/>
          <w:shd w:val="clear" w:color="auto" w:fill="FFFFFF"/>
        </w:rPr>
      </w:pPr>
    </w:p>
    <w:p w14:paraId="4018C939" w14:textId="77777777" w:rsidR="00BD0A14" w:rsidRPr="00553A27" w:rsidRDefault="00BD0A14" w:rsidP="00BD0A14">
      <w:pPr>
        <w:widowControl w:val="0"/>
        <w:autoSpaceDE w:val="0"/>
        <w:autoSpaceDN w:val="0"/>
        <w:spacing w:after="120" w:line="276" w:lineRule="auto"/>
        <w:ind w:firstLine="709"/>
        <w:jc w:val="both"/>
        <w:rPr>
          <w:rFonts w:ascii="Verdana" w:hAnsi="Verdana" w:cs="Arial"/>
          <w:shd w:val="clear" w:color="auto" w:fill="FFFFFF"/>
        </w:rPr>
      </w:pPr>
      <w:r w:rsidRPr="00553A27">
        <w:rPr>
          <w:rFonts w:ascii="Verdana" w:hAnsi="Verdana" w:cs="Arial"/>
          <w:shd w:val="clear" w:color="auto" w:fill="FFFFFF"/>
        </w:rPr>
        <w:t>En este sentido, de conformidad con lo expuesto, les corresponde a las Entidades Estatales, en virtud de su autonomía, y de acuerdo con los lineamientos de la Corte Constitucional, determinar la mejor forma para garantizar la estabilidad ocupacional reforzada a favor de las mujeres en estado de embarazo o en período de lactancia, incluso cuando se encuentran vinculadas mediante contratos de prestación de servicios, orientado a impedir prácticas discriminatorias derivadas de la terminación o no renovación del vínculo contractual por causa o con ocasión de la maternidad. No obstante, el alcance y la forma de materialización de dicha protección deben analizarse a la luz del marco normativo aplicable a la actuación de las Entidades Estatales, en particular, cuando concurren restricciones legales que inciden en la gestión contractual.</w:t>
      </w:r>
    </w:p>
    <w:p w14:paraId="11EC5DC9" w14:textId="1C21762B" w:rsidR="00BD0A14" w:rsidRPr="00553A27" w:rsidRDefault="00BD0A14" w:rsidP="00BD0A14">
      <w:pPr>
        <w:widowControl w:val="0"/>
        <w:autoSpaceDE w:val="0"/>
        <w:autoSpaceDN w:val="0"/>
        <w:spacing w:after="0" w:line="276" w:lineRule="auto"/>
        <w:ind w:firstLine="708"/>
        <w:jc w:val="both"/>
        <w:rPr>
          <w:rFonts w:ascii="Verdana" w:hAnsi="Verdana" w:cs="Arial"/>
        </w:rPr>
      </w:pPr>
      <w:r w:rsidRPr="00553A27">
        <w:rPr>
          <w:rFonts w:ascii="Verdana" w:hAnsi="Verdana" w:cs="Arial"/>
          <w:shd w:val="clear" w:color="auto" w:fill="FFFFFF"/>
        </w:rPr>
        <w:t xml:space="preserve">Ahora bien, para resolver el problema jurídico propuesto, resulta necesario examinar las restricciones que el ordenamiento jurídico impone a la actividad contractual de las </w:t>
      </w:r>
      <w:r w:rsidR="00296173" w:rsidRPr="00553A27">
        <w:rPr>
          <w:rFonts w:ascii="Verdana" w:hAnsi="Verdana" w:cs="Arial"/>
          <w:shd w:val="clear" w:color="auto" w:fill="FFFFFF"/>
        </w:rPr>
        <w:t>E</w:t>
      </w:r>
      <w:r w:rsidRPr="00553A27">
        <w:rPr>
          <w:rFonts w:ascii="Verdana" w:hAnsi="Verdana" w:cs="Arial"/>
          <w:shd w:val="clear" w:color="auto" w:fill="FFFFFF"/>
        </w:rPr>
        <w:t xml:space="preserve">ntidades </w:t>
      </w:r>
      <w:r w:rsidR="00296173" w:rsidRPr="00553A27">
        <w:rPr>
          <w:rFonts w:ascii="Verdana" w:hAnsi="Verdana" w:cs="Arial"/>
          <w:shd w:val="clear" w:color="auto" w:fill="FFFFFF"/>
        </w:rPr>
        <w:t>E</w:t>
      </w:r>
      <w:r w:rsidRPr="00553A27">
        <w:rPr>
          <w:rFonts w:ascii="Verdana" w:hAnsi="Verdana" w:cs="Arial"/>
          <w:shd w:val="clear" w:color="auto" w:fill="FFFFFF"/>
        </w:rPr>
        <w:t>statales durante los períodos preelectorales, específicamente aquellas previstas en la Ley 996 de 2005 —Ley de Garantías Electorales—, con el fin de determinar en qué medida tales limitaciones condicionan o delimitan las alternativas jurídicas disponibles para garantizar la estabilidad ocupacional reforzada de las mujeres embarazadas vinculadas mediante contratos de prestación de servicios.</w:t>
      </w:r>
      <w:r w:rsidRPr="00553A27">
        <w:rPr>
          <w:rFonts w:ascii="Verdana" w:hAnsi="Verdana" w:cs="Arial"/>
          <w:shd w:val="clear" w:color="auto" w:fill="FFFFFF"/>
        </w:rPr>
        <w:tab/>
      </w:r>
    </w:p>
    <w:p w14:paraId="33D6A5D6" w14:textId="77777777" w:rsidR="00BD0A14" w:rsidRPr="00553A27" w:rsidRDefault="00BD0A14" w:rsidP="00BD0A14">
      <w:pPr>
        <w:spacing w:after="0" w:line="276" w:lineRule="auto"/>
        <w:ind w:firstLine="709"/>
        <w:jc w:val="both"/>
        <w:rPr>
          <w:rFonts w:ascii="Verdana" w:hAnsi="Verdana" w:cs="Arial"/>
          <w:color w:val="000000" w:themeColor="text1"/>
        </w:rPr>
      </w:pPr>
    </w:p>
    <w:p w14:paraId="4CA4D6F6" w14:textId="77777777" w:rsidR="00BD0A14" w:rsidRPr="00553A27" w:rsidRDefault="00BD0A14" w:rsidP="00BD0A14">
      <w:pPr>
        <w:tabs>
          <w:tab w:val="left" w:pos="426"/>
        </w:tabs>
        <w:spacing w:after="120" w:line="276" w:lineRule="auto"/>
        <w:jc w:val="both"/>
        <w:rPr>
          <w:rFonts w:ascii="Verdana" w:eastAsia="Times New Roman" w:hAnsi="Verdana" w:cs="Arial"/>
          <w:lang w:val="es-ES" w:eastAsia="es-CO"/>
        </w:rPr>
      </w:pPr>
      <w:r w:rsidRPr="00553A27">
        <w:rPr>
          <w:rFonts w:ascii="Verdana" w:hAnsi="Verdana" w:cs="Arial"/>
          <w:color w:val="000000" w:themeColor="text1"/>
          <w:lang w:val="es-ES"/>
        </w:rPr>
        <w:t>ii.</w:t>
      </w:r>
      <w:r w:rsidRPr="00553A27">
        <w:rPr>
          <w:rFonts w:ascii="Verdana" w:eastAsia="Verdana" w:hAnsi="Verdana" w:cs="Verdana"/>
          <w:lang w:val="es-ES"/>
        </w:rPr>
        <w:t xml:space="preserve"> </w:t>
      </w:r>
      <w:r w:rsidRPr="00553A27">
        <w:rPr>
          <w:rFonts w:ascii="Verdana" w:hAnsi="Verdana" w:cs="Arial"/>
          <w:lang w:val="es-ES"/>
        </w:rPr>
        <w:t>El ordenamiento jurídico colombiano contempla medidas para evitar la obtención de beneficios personales en asuntos propios de la administración pública</w:t>
      </w:r>
      <w:r w:rsidRPr="00553A27">
        <w:rPr>
          <w:rFonts w:ascii="Verdana" w:hAnsi="Verdana" w:cs="Arial"/>
          <w:i/>
          <w:lang w:val="es-ES"/>
        </w:rPr>
        <w:t xml:space="preserve">. </w:t>
      </w:r>
      <w:r w:rsidRPr="00553A27">
        <w:rPr>
          <w:rFonts w:ascii="Verdana" w:hAnsi="Verdana" w:cs="Arial"/>
          <w:lang w:val="es-ES"/>
        </w:rPr>
        <w:t xml:space="preserve">Por ejemplo, el artículo 127 de la Constitución Política establece una </w:t>
      </w:r>
      <w:r w:rsidRPr="00553A27">
        <w:rPr>
          <w:rFonts w:ascii="Verdana" w:hAnsi="Verdana" w:cs="Arial"/>
          <w:lang w:val="es-ES"/>
        </w:rPr>
        <w:lastRenderedPageBreak/>
        <w:t>prohibición contractual a los servidores públicos y, en cuanto a aspectos políticos, señala restricciones a ciertos empleados del Estado, incluso en época no electoral</w:t>
      </w:r>
      <w:r w:rsidRPr="00553A27">
        <w:rPr>
          <w:rFonts w:ascii="Verdana" w:hAnsi="Verdana"/>
          <w:vertAlign w:val="superscript"/>
          <w:lang w:val="es-ES"/>
        </w:rPr>
        <w:footnoteReference w:id="12"/>
      </w:r>
      <w:r w:rsidRPr="00553A27">
        <w:rPr>
          <w:rFonts w:ascii="Verdana" w:hAnsi="Verdana" w:cs="Arial"/>
          <w:lang w:val="es-ES"/>
        </w:rPr>
        <w:t xml:space="preserve">. </w:t>
      </w:r>
    </w:p>
    <w:p w14:paraId="6AD77B7F" w14:textId="77777777" w:rsidR="00BD0A14" w:rsidRPr="00553A27" w:rsidRDefault="00BD0A14" w:rsidP="00BD0A14">
      <w:pPr>
        <w:tabs>
          <w:tab w:val="left" w:pos="426"/>
        </w:tabs>
        <w:spacing w:after="120" w:line="276" w:lineRule="auto"/>
        <w:ind w:firstLine="709"/>
        <w:jc w:val="both"/>
        <w:rPr>
          <w:rFonts w:ascii="Verdana" w:hAnsi="Verdana" w:cs="Arial"/>
          <w:lang w:val="es-ES"/>
        </w:rPr>
      </w:pPr>
      <w:r w:rsidRPr="00553A27">
        <w:rPr>
          <w:rFonts w:ascii="Verdana" w:eastAsia="Times New Roman" w:hAnsi="Verdana" w:cs="Arial"/>
          <w:lang w:val="es-ES" w:eastAsia="es-CO"/>
        </w:rPr>
        <w:t>En el mismo sentido, la Ley 996 de 2005, conocida como “Ley de Garantías Electorales”, se suma al andamiaje constitucional y legal que busca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553A27">
        <w:rPr>
          <w:rFonts w:ascii="Verdana" w:eastAsia="Times New Roman" w:hAnsi="Verdana" w:cs="Arial"/>
          <w:vertAlign w:val="superscript"/>
          <w:lang w:val="es-ES" w:eastAsia="es-CO"/>
        </w:rPr>
        <w:footnoteReference w:id="13"/>
      </w:r>
      <w:r w:rsidRPr="00553A27">
        <w:rPr>
          <w:rFonts w:ascii="Verdana" w:eastAsia="Times New Roman" w:hAnsi="Verdana" w:cs="Arial"/>
          <w:lang w:val="es-ES" w:eastAsia="es-CO"/>
        </w:rPr>
        <w:t>. En esta medida, introduce limitaciones para realizar nombramientos, postulaciones, contrataciones o cualquier otro tipo de actividad que implique destinación de recursos públicos bajo el devenir propio de las Entidades Estatales.</w:t>
      </w:r>
      <w:r w:rsidRPr="00553A27">
        <w:rPr>
          <w:rFonts w:ascii="Verdana" w:hAnsi="Verdana" w:cs="Arial"/>
          <w:lang w:val="es-ES"/>
        </w:rPr>
        <w:t xml:space="preserve"> </w:t>
      </w:r>
    </w:p>
    <w:p w14:paraId="67A9B90F" w14:textId="77777777" w:rsidR="00BD0A14" w:rsidRPr="00553A27" w:rsidRDefault="00BD0A14" w:rsidP="00BD0A14">
      <w:pPr>
        <w:tabs>
          <w:tab w:val="left" w:pos="426"/>
        </w:tabs>
        <w:spacing w:after="0" w:line="276" w:lineRule="auto"/>
        <w:ind w:firstLine="709"/>
        <w:jc w:val="both"/>
        <w:rPr>
          <w:rFonts w:ascii="Verdana" w:hAnsi="Verdana" w:cs="Arial"/>
          <w:lang w:val="es-ES"/>
        </w:rPr>
      </w:pPr>
      <w:r w:rsidRPr="00553A27">
        <w:rPr>
          <w:rFonts w:ascii="Verdana" w:eastAsia="Times New Roman" w:hAnsi="Verdana" w:cs="Arial"/>
          <w:lang w:val="es-ES" w:eastAsia="es-CO"/>
        </w:rPr>
        <w:t>En armonía con lo anterior, la Corte Constitucional ha abordado la definición de la Ley de Garantías Electorales. De esta manera, explica que tiene como propósito:</w:t>
      </w:r>
    </w:p>
    <w:p w14:paraId="752D7373" w14:textId="77777777" w:rsidR="00BD0A14" w:rsidRPr="00553A27" w:rsidRDefault="00BD0A14" w:rsidP="00BD0A14">
      <w:pPr>
        <w:spacing w:after="0" w:line="276" w:lineRule="auto"/>
        <w:ind w:right="709"/>
        <w:jc w:val="both"/>
        <w:rPr>
          <w:rFonts w:ascii="Verdana" w:eastAsia="Times New Roman" w:hAnsi="Verdana" w:cs="Arial"/>
          <w:lang w:val="es-ES" w:eastAsia="es-CO"/>
        </w:rPr>
      </w:pPr>
    </w:p>
    <w:p w14:paraId="6BB2FE68" w14:textId="77777777" w:rsidR="00BD0A14" w:rsidRPr="00553A27" w:rsidRDefault="00BD0A14" w:rsidP="00BD0A14">
      <w:pPr>
        <w:spacing w:after="0" w:line="240" w:lineRule="auto"/>
        <w:ind w:left="709" w:right="709"/>
        <w:contextualSpacing/>
        <w:jc w:val="both"/>
        <w:rPr>
          <w:rFonts w:ascii="Verdana" w:eastAsia="Times New Roman" w:hAnsi="Verdana" w:cs="Arial"/>
          <w:sz w:val="20"/>
          <w:szCs w:val="20"/>
          <w:lang w:val="es-ES" w:eastAsia="es-CO"/>
        </w:rPr>
      </w:pPr>
      <w:r w:rsidRPr="00553A27">
        <w:rPr>
          <w:rFonts w:ascii="Verdana" w:eastAsia="Times New Roman" w:hAnsi="Verdana" w:cs="Arial"/>
          <w:sz w:val="20"/>
          <w:szCs w:val="20"/>
          <w:lang w:val="es-ES" w:eastAsia="es-CO"/>
        </w:rPr>
        <w:t>“[…] la definición de reglas claras que permitan acceder a los canales de expresión democrática de manera efectiva e igualitaria. El objetivo de una ley de garantías es definir esas reglas.</w:t>
      </w:r>
    </w:p>
    <w:p w14:paraId="4CD6D0E5" w14:textId="77777777" w:rsidR="00BD0A14" w:rsidRPr="00553A27" w:rsidRDefault="00BD0A14" w:rsidP="00BD0A14">
      <w:pPr>
        <w:spacing w:after="0" w:line="240" w:lineRule="auto"/>
        <w:ind w:left="709" w:right="709"/>
        <w:contextualSpacing/>
        <w:jc w:val="both"/>
        <w:rPr>
          <w:rFonts w:ascii="Verdana" w:eastAsia="Times New Roman" w:hAnsi="Verdana" w:cs="Arial"/>
          <w:sz w:val="20"/>
          <w:szCs w:val="20"/>
          <w:lang w:val="es-ES" w:eastAsia="es-CO"/>
        </w:rPr>
      </w:pPr>
    </w:p>
    <w:p w14:paraId="6818B76F" w14:textId="77777777" w:rsidR="00BD0A14" w:rsidRPr="00553A27" w:rsidRDefault="00BD0A14" w:rsidP="00BD0A14">
      <w:pPr>
        <w:spacing w:after="0" w:line="240" w:lineRule="auto"/>
        <w:ind w:left="709" w:right="709"/>
        <w:contextualSpacing/>
        <w:jc w:val="both"/>
        <w:rPr>
          <w:rFonts w:ascii="Verdana" w:eastAsia="Times New Roman" w:hAnsi="Verdana" w:cs="Arial"/>
          <w:sz w:val="20"/>
          <w:szCs w:val="20"/>
          <w:lang w:val="es-ES" w:eastAsia="es-CO"/>
        </w:rPr>
      </w:pPr>
      <w:r w:rsidRPr="00553A27">
        <w:rPr>
          <w:rFonts w:ascii="Verdana" w:eastAsia="Times New Roman" w:hAnsi="Verdana" w:cs="Arial"/>
          <w:sz w:val="20"/>
          <w:szCs w:val="20"/>
          <w:lang w:val="es-ES" w:eastAsia="es-CO"/>
        </w:rPr>
        <w:t xml:space="preserve">[…] </w:t>
      </w:r>
    </w:p>
    <w:p w14:paraId="1741F9CA" w14:textId="77777777" w:rsidR="00BD0A14" w:rsidRPr="00553A27" w:rsidRDefault="00BD0A14" w:rsidP="00BD0A14">
      <w:pPr>
        <w:spacing w:after="0" w:line="240" w:lineRule="auto"/>
        <w:ind w:left="709" w:right="709"/>
        <w:contextualSpacing/>
        <w:jc w:val="both"/>
        <w:rPr>
          <w:rFonts w:ascii="Verdana" w:eastAsia="Times New Roman" w:hAnsi="Verdana" w:cs="Arial"/>
          <w:sz w:val="20"/>
          <w:szCs w:val="20"/>
          <w:lang w:val="es-ES" w:eastAsia="es-CO"/>
        </w:rPr>
      </w:pPr>
    </w:p>
    <w:p w14:paraId="59187367" w14:textId="77777777" w:rsidR="00BD0A14" w:rsidRPr="00553A27" w:rsidRDefault="00BD0A14" w:rsidP="00BD0A14">
      <w:pPr>
        <w:spacing w:after="0" w:line="240" w:lineRule="auto"/>
        <w:ind w:left="709" w:right="709"/>
        <w:contextualSpacing/>
        <w:jc w:val="both"/>
        <w:rPr>
          <w:rFonts w:ascii="Verdana" w:eastAsia="Times New Roman" w:hAnsi="Verdana" w:cs="Arial"/>
          <w:sz w:val="20"/>
          <w:szCs w:val="20"/>
          <w:lang w:val="es-ES" w:eastAsia="es-CO"/>
        </w:rPr>
      </w:pPr>
      <w:r w:rsidRPr="00553A27">
        <w:rPr>
          <w:rFonts w:ascii="Verdana" w:eastAsia="Times New Roman" w:hAnsi="Verdana" w:cs="Arial"/>
          <w:sz w:val="20"/>
          <w:szCs w:val="20"/>
          <w:lang w:val="es-ES" w:eastAsia="es-CO"/>
        </w:rPr>
        <w:t xml:space="preserve">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w:t>
      </w:r>
      <w:r w:rsidRPr="00553A27">
        <w:rPr>
          <w:rFonts w:ascii="Verdana" w:eastAsia="Times New Roman" w:hAnsi="Verdana" w:cs="Arial"/>
          <w:sz w:val="20"/>
          <w:szCs w:val="20"/>
          <w:lang w:val="es-ES" w:eastAsia="es-CO"/>
        </w:rPr>
        <w:lastRenderedPageBreak/>
        <w:t>las ideas y las propuestas las que definan el ascenso al poder, y no el músculo económico de los que se lo disputan”.</w:t>
      </w:r>
      <w:r w:rsidRPr="00553A27">
        <w:rPr>
          <w:rFonts w:ascii="Verdana" w:hAnsi="Verdana" w:cs="Arial"/>
          <w:sz w:val="20"/>
          <w:szCs w:val="20"/>
          <w:vertAlign w:val="superscript"/>
          <w:lang w:val="es-ES"/>
        </w:rPr>
        <w:footnoteReference w:id="14"/>
      </w:r>
    </w:p>
    <w:p w14:paraId="1A101907" w14:textId="77777777" w:rsidR="00BD0A14" w:rsidRPr="00553A27" w:rsidRDefault="00BD0A14" w:rsidP="00BD0A14">
      <w:pPr>
        <w:spacing w:after="0" w:line="276" w:lineRule="auto"/>
        <w:ind w:firstLine="709"/>
        <w:jc w:val="both"/>
        <w:rPr>
          <w:rFonts w:ascii="Verdana" w:eastAsia="Times New Roman" w:hAnsi="Verdana" w:cs="Arial"/>
          <w:lang w:val="es-ES" w:eastAsia="es-CO"/>
        </w:rPr>
      </w:pPr>
    </w:p>
    <w:p w14:paraId="66E4BA33" w14:textId="77777777" w:rsidR="003045E9" w:rsidRPr="00553A27" w:rsidRDefault="00BD0A14" w:rsidP="00BD0A14">
      <w:pPr>
        <w:spacing w:after="0" w:line="276" w:lineRule="auto"/>
        <w:ind w:firstLine="709"/>
        <w:jc w:val="both"/>
        <w:rPr>
          <w:rFonts w:ascii="Verdana" w:eastAsia="Times New Roman" w:hAnsi="Verdana" w:cs="Arial"/>
          <w:lang w:val="es-ES" w:eastAsia="es-CO"/>
        </w:rPr>
      </w:pPr>
      <w:r w:rsidRPr="00553A27">
        <w:rPr>
          <w:rFonts w:ascii="Verdana" w:eastAsia="Times New Roman" w:hAnsi="Verdana" w:cs="Arial"/>
          <w:lang w:val="es-ES" w:eastAsia="es-CO"/>
        </w:rPr>
        <w:t xml:space="preserve">En este contexto, la Ley de Garantías Electorales establece el marco jurídico para el desarrollo de las elecciones, procurando condiciones de igualdad y transparencia para los aspirantes. Paralelamente, incluye restricciones en las actuaciones de los servidores públicos, evitando interferencias en la contienda electoral, así como la posible desviación de recursos públicos en aspiraciones electorales. Por ello, varias disposiciones de la Ley 996 de 2005, al contener normas prohibitivas, deben interpretarse restrictivamente. </w:t>
      </w:r>
    </w:p>
    <w:p w14:paraId="769CD684" w14:textId="2F478C79" w:rsidR="00BD0A14" w:rsidRPr="00553A27" w:rsidRDefault="00BD0A14" w:rsidP="00BD0A14">
      <w:pPr>
        <w:spacing w:after="0" w:line="276" w:lineRule="auto"/>
        <w:ind w:firstLine="709"/>
        <w:jc w:val="both"/>
        <w:rPr>
          <w:rFonts w:ascii="Verdana" w:eastAsia="Times New Roman" w:hAnsi="Verdana" w:cs="Arial"/>
          <w:lang w:val="es-ES" w:eastAsia="es-CO"/>
        </w:rPr>
      </w:pPr>
      <w:r w:rsidRPr="00553A27">
        <w:rPr>
          <w:rFonts w:ascii="Verdana" w:eastAsia="Times New Roman" w:hAnsi="Verdana" w:cs="Arial"/>
          <w:lang w:val="es-ES" w:eastAsia="es-CO"/>
        </w:rPr>
        <w:t>En efecto, la Sala de Consulta y Servicio Civil del Consejo de Estado, precisó:</w:t>
      </w:r>
    </w:p>
    <w:p w14:paraId="79DE6FE6" w14:textId="77777777" w:rsidR="00BD0A14" w:rsidRPr="00553A27" w:rsidRDefault="00BD0A14" w:rsidP="00BD0A14">
      <w:pPr>
        <w:spacing w:after="0" w:line="276" w:lineRule="auto"/>
        <w:ind w:firstLine="709"/>
        <w:jc w:val="both"/>
        <w:rPr>
          <w:rFonts w:ascii="Verdana" w:eastAsia="Times New Roman" w:hAnsi="Verdana" w:cs="Arial"/>
          <w:lang w:val="es-ES" w:eastAsia="es-CO"/>
        </w:rPr>
      </w:pPr>
    </w:p>
    <w:p w14:paraId="6577C4C3" w14:textId="77777777" w:rsidR="00BD0A14" w:rsidRPr="00553A27" w:rsidRDefault="00BD0A14" w:rsidP="00BD0A14">
      <w:pPr>
        <w:spacing w:after="0" w:line="240" w:lineRule="auto"/>
        <w:ind w:left="709" w:right="709"/>
        <w:jc w:val="both"/>
        <w:rPr>
          <w:rFonts w:ascii="Verdana" w:eastAsia="Times New Roman" w:hAnsi="Verdana" w:cs="Arial"/>
          <w:sz w:val="20"/>
          <w:szCs w:val="20"/>
          <w:lang w:val="es-ES" w:eastAsia="es-CO"/>
        </w:rPr>
      </w:pPr>
      <w:r w:rsidRPr="00553A27">
        <w:rPr>
          <w:rFonts w:ascii="Verdana" w:eastAsia="Times New Roman" w:hAnsi="Verdana" w:cs="Arial"/>
          <w:sz w:val="20"/>
          <w:szCs w:val="20"/>
          <w:lang w:val="es-ES"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3EC45092" w14:textId="77777777" w:rsidR="00BD0A14" w:rsidRPr="00553A27" w:rsidRDefault="00BD0A14" w:rsidP="00BD0A14">
      <w:pPr>
        <w:spacing w:after="0" w:line="240" w:lineRule="auto"/>
        <w:ind w:right="709"/>
        <w:jc w:val="both"/>
        <w:rPr>
          <w:rFonts w:ascii="Verdana" w:eastAsia="Times New Roman" w:hAnsi="Verdana" w:cs="Arial"/>
          <w:lang w:val="es-ES" w:eastAsia="es-CO"/>
        </w:rPr>
      </w:pPr>
    </w:p>
    <w:p w14:paraId="0C53C1D1" w14:textId="77777777" w:rsidR="00BD0A14" w:rsidRPr="00553A27" w:rsidRDefault="00BD0A14" w:rsidP="00BD0A14">
      <w:pPr>
        <w:spacing w:after="0" w:line="240" w:lineRule="auto"/>
        <w:ind w:left="709" w:right="709"/>
        <w:jc w:val="both"/>
        <w:rPr>
          <w:rFonts w:ascii="Verdana" w:eastAsia="Times New Roman" w:hAnsi="Verdana" w:cs="Arial"/>
          <w:sz w:val="20"/>
          <w:szCs w:val="20"/>
          <w:lang w:val="es-ES" w:eastAsia="es-CO"/>
        </w:rPr>
      </w:pPr>
      <w:r w:rsidRPr="00553A27">
        <w:rPr>
          <w:rFonts w:ascii="Verdana" w:eastAsia="Times New Roman" w:hAnsi="Verdana" w:cs="Arial"/>
          <w:sz w:val="20"/>
          <w:szCs w:val="20"/>
          <w:lang w:val="es-ES" w:eastAsia="es-CO"/>
        </w:rPr>
        <w:t>La jurisprudencia de la Corte Constitucional</w:t>
      </w:r>
      <w:r w:rsidRPr="00553A27">
        <w:rPr>
          <w:rFonts w:ascii="Verdana" w:eastAsia="Times New Roman" w:hAnsi="Verdana" w:cs="Arial"/>
          <w:sz w:val="20"/>
          <w:szCs w:val="20"/>
          <w:vertAlign w:val="superscript"/>
          <w:lang w:val="es-ES" w:eastAsia="es-CO"/>
        </w:rPr>
        <w:footnoteReference w:id="15"/>
      </w:r>
      <w:r w:rsidRPr="00553A27">
        <w:rPr>
          <w:rFonts w:ascii="Verdana" w:eastAsia="Times New Roman" w:hAnsi="Verdana" w:cs="Arial"/>
          <w:sz w:val="20"/>
          <w:szCs w:val="20"/>
          <w:lang w:val="es-ES" w:eastAsia="es-CO"/>
        </w:rPr>
        <w:t> y del Consejo de Estado</w:t>
      </w:r>
      <w:r w:rsidRPr="00553A27">
        <w:rPr>
          <w:rFonts w:ascii="Verdana" w:eastAsia="Times New Roman" w:hAnsi="Verdana" w:cs="Arial"/>
          <w:sz w:val="20"/>
          <w:szCs w:val="20"/>
          <w:vertAlign w:val="superscript"/>
          <w:lang w:val="es-ES" w:eastAsia="es-CO"/>
        </w:rPr>
        <w:footnoteReference w:id="16"/>
      </w:r>
      <w:r w:rsidRPr="00553A27">
        <w:rPr>
          <w:rFonts w:ascii="Verdana" w:eastAsia="Times New Roman" w:hAnsi="Verdana" w:cs="Arial"/>
          <w:sz w:val="20"/>
          <w:szCs w:val="20"/>
          <w:lang w:val="es-ES" w:eastAsia="es-CO"/>
        </w:rPr>
        <w:t xml:space="preserve">,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w:t>
      </w:r>
      <w:r w:rsidRPr="00553A27">
        <w:rPr>
          <w:rFonts w:ascii="Verdana" w:eastAsia="Times New Roman" w:hAnsi="Verdana" w:cs="Arial"/>
          <w:sz w:val="20"/>
          <w:szCs w:val="20"/>
          <w:lang w:val="es-ES" w:eastAsia="es-CO"/>
        </w:rPr>
        <w:lastRenderedPageBreak/>
        <w:t>o capacidad de obrar, sobrepasar sus precisos términos comporta el desconocimiento de la voluntad del legislador”</w:t>
      </w:r>
      <w:r w:rsidRPr="00553A27">
        <w:rPr>
          <w:rFonts w:ascii="Verdana" w:eastAsia="Times New Roman" w:hAnsi="Verdana" w:cs="Arial"/>
          <w:sz w:val="20"/>
          <w:szCs w:val="20"/>
          <w:vertAlign w:val="superscript"/>
          <w:lang w:val="es-ES" w:eastAsia="es-CO"/>
        </w:rPr>
        <w:footnoteReference w:id="17"/>
      </w:r>
      <w:r w:rsidRPr="00553A27">
        <w:rPr>
          <w:rFonts w:ascii="Verdana" w:eastAsia="Times New Roman" w:hAnsi="Verdana" w:cs="Arial"/>
          <w:sz w:val="20"/>
          <w:szCs w:val="20"/>
          <w:lang w:val="es-ES" w:eastAsia="es-CO"/>
        </w:rPr>
        <w:t>.</w:t>
      </w:r>
    </w:p>
    <w:p w14:paraId="043F1B10" w14:textId="77777777" w:rsidR="00BD0A14" w:rsidRPr="00553A27" w:rsidRDefault="00BD0A14" w:rsidP="00BD0A14">
      <w:pPr>
        <w:spacing w:after="0" w:line="276" w:lineRule="auto"/>
        <w:jc w:val="both"/>
        <w:rPr>
          <w:rFonts w:ascii="Verdana" w:hAnsi="Verdana" w:cs="Arial"/>
          <w:bCs/>
          <w:lang w:val="es-ES"/>
        </w:rPr>
      </w:pPr>
    </w:p>
    <w:p w14:paraId="03FDE7C5" w14:textId="77777777" w:rsidR="00BD0A14" w:rsidRPr="00553A27" w:rsidRDefault="00BD0A14" w:rsidP="00BD0A14">
      <w:pPr>
        <w:spacing w:after="120" w:line="276" w:lineRule="auto"/>
        <w:ind w:firstLine="708"/>
        <w:jc w:val="both"/>
        <w:rPr>
          <w:rFonts w:ascii="Verdana" w:eastAsia="Arial" w:hAnsi="Verdana" w:cs="Arial"/>
          <w:lang w:val="es-ES" w:eastAsia="es-ES" w:bidi="es-ES"/>
        </w:rPr>
      </w:pPr>
      <w:r w:rsidRPr="00553A27">
        <w:rPr>
          <w:rFonts w:ascii="Verdana" w:eastAsia="Times New Roman" w:hAnsi="Verdana" w:cs="Arial"/>
          <w:lang w:val="es-ES" w:eastAsia="es-CO"/>
        </w:rPr>
        <w:t>De</w:t>
      </w:r>
      <w:r w:rsidRPr="00553A27">
        <w:rPr>
          <w:rFonts w:ascii="Verdana" w:eastAsia="Arial" w:hAnsi="Verdana" w:cs="Arial"/>
          <w:lang w:val="es-ES" w:eastAsia="es-ES" w:bidi="es-ES"/>
        </w:rPr>
        <w:t xml:space="preserve"> conformidad con lo anterior, 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alteren las condiciones de igualdad entre los candidatos. </w:t>
      </w:r>
    </w:p>
    <w:p w14:paraId="3EB11176" w14:textId="77777777" w:rsidR="00BD0A14" w:rsidRPr="00553A27" w:rsidRDefault="00BD0A14" w:rsidP="00BD0A14">
      <w:pPr>
        <w:spacing w:after="120" w:line="276" w:lineRule="auto"/>
        <w:ind w:firstLine="708"/>
        <w:jc w:val="both"/>
        <w:rPr>
          <w:rFonts w:ascii="Verdana" w:eastAsia="Arial" w:hAnsi="Verdana" w:cs="Arial"/>
          <w:lang w:val="es-ES" w:eastAsia="es-ES" w:bidi="es-ES"/>
        </w:rPr>
      </w:pPr>
      <w:r w:rsidRPr="00553A27">
        <w:rPr>
          <w:rFonts w:ascii="Verdana" w:eastAsia="Arial" w:hAnsi="Verdana" w:cs="Arial"/>
          <w:lang w:val="es-ES" w:eastAsia="es-ES" w:bidi="es-ES"/>
        </w:rPr>
        <w:t>Las restricciones consagradas en la Ley de Garantías Electorales se dirigen a dos (2) tipos de campañas electorales diferenciadas: las presidenciales y las que se adelanten para la elección de los demás cargos de elección popular, tanto a nivel nacional como territorial.</w:t>
      </w:r>
    </w:p>
    <w:p w14:paraId="29F7ABBE" w14:textId="77777777" w:rsidR="00BD0A14" w:rsidRPr="00553A27" w:rsidRDefault="00BD0A14" w:rsidP="00BD0A14">
      <w:pPr>
        <w:spacing w:after="120" w:line="276" w:lineRule="auto"/>
        <w:ind w:firstLine="708"/>
        <w:jc w:val="both"/>
        <w:rPr>
          <w:rFonts w:ascii="Verdana" w:hAnsi="Verdana" w:cs="Arial"/>
          <w:lang w:val="es-ES"/>
        </w:rPr>
      </w:pPr>
      <w:r w:rsidRPr="00553A27">
        <w:rPr>
          <w:rFonts w:ascii="Verdana" w:hAnsi="Verdana" w:cs="Arial"/>
          <w:lang w:val="es-ES"/>
        </w:rPr>
        <w:t xml:space="preserve">Por un lado, el </w:t>
      </w:r>
      <w:r w:rsidRPr="00553A27">
        <w:rPr>
          <w:rFonts w:ascii="Verdana" w:hAnsi="Verdana" w:cs="Arial"/>
          <w:i/>
          <w:iCs/>
          <w:lang w:val="es-ES"/>
        </w:rPr>
        <w:t xml:space="preserve">artículo 33 </w:t>
      </w:r>
      <w:r w:rsidRPr="00553A27">
        <w:rPr>
          <w:rFonts w:ascii="Verdana" w:hAnsi="Verdana" w:cs="Arial"/>
          <w:lang w:val="es-ES"/>
        </w:rPr>
        <w:t xml:space="preserve">de la Ley 996 de 2005 prohíbe “[…] la contratación directa por parte de </w:t>
      </w:r>
      <w:r w:rsidRPr="00553A27">
        <w:rPr>
          <w:rFonts w:ascii="Verdana" w:hAnsi="Verdana" w:cs="Arial"/>
          <w:i/>
          <w:iCs/>
          <w:lang w:val="es-ES"/>
        </w:rPr>
        <w:t>todos los entes del Estado</w:t>
      </w:r>
      <w:r w:rsidRPr="00553A27">
        <w:rPr>
          <w:rFonts w:ascii="Verdana" w:hAnsi="Verdana" w:cs="Arial"/>
          <w:lang w:val="es-ES"/>
        </w:rPr>
        <w:t xml:space="preserve">” durante los cuatro (4) meses anteriores a las </w:t>
      </w:r>
      <w:r w:rsidRPr="00553A27">
        <w:rPr>
          <w:rFonts w:ascii="Verdana" w:hAnsi="Verdana" w:cs="Arial"/>
          <w:i/>
          <w:iCs/>
          <w:lang w:val="es-ES"/>
        </w:rPr>
        <w:t>elecciones presidenciales</w:t>
      </w:r>
      <w:r w:rsidRPr="00553A27">
        <w:rPr>
          <w:rFonts w:ascii="Verdana" w:hAnsi="Verdana" w:cs="Arial"/>
          <w:lang w:val="es-ES"/>
        </w:rPr>
        <w:t>,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553A27">
        <w:rPr>
          <w:rFonts w:ascii="Verdana" w:hAnsi="Verdana" w:cs="Arial"/>
          <w:vertAlign w:val="superscript"/>
          <w:lang w:val="es-ES"/>
        </w:rPr>
        <w:footnoteReference w:id="18"/>
      </w:r>
      <w:r w:rsidRPr="00553A27">
        <w:rPr>
          <w:rFonts w:ascii="Verdana" w:hAnsi="Verdana" w:cs="Arial"/>
          <w:lang w:val="es-ES"/>
        </w:rPr>
        <w:t>.</w:t>
      </w:r>
    </w:p>
    <w:p w14:paraId="1D8463A1" w14:textId="77777777" w:rsidR="00BD0A14" w:rsidRPr="00553A27" w:rsidRDefault="00BD0A14" w:rsidP="00BD0A14">
      <w:pPr>
        <w:widowControl w:val="0"/>
        <w:autoSpaceDE w:val="0"/>
        <w:autoSpaceDN w:val="0"/>
        <w:spacing w:after="120" w:line="276" w:lineRule="auto"/>
        <w:ind w:right="113" w:firstLine="709"/>
        <w:jc w:val="both"/>
        <w:rPr>
          <w:rFonts w:ascii="Verdana" w:eastAsia="Arial" w:hAnsi="Verdana" w:cs="Arial"/>
          <w:lang w:val="es-ES" w:eastAsia="es-ES" w:bidi="es-ES"/>
        </w:rPr>
      </w:pPr>
      <w:r w:rsidRPr="00553A27">
        <w:rPr>
          <w:rFonts w:ascii="Verdana" w:hAnsi="Verdana" w:cs="Arial"/>
          <w:lang w:val="es-ES"/>
        </w:rPr>
        <w:t xml:space="preserve">Por otro lado, </w:t>
      </w:r>
      <w:r w:rsidRPr="00553A27">
        <w:rPr>
          <w:rFonts w:ascii="Verdana" w:hAnsi="Verdana" w:cs="Arial"/>
          <w:i/>
          <w:iCs/>
          <w:lang w:val="es-ES"/>
        </w:rPr>
        <w:t xml:space="preserve">el parágrafo del artículo 38 </w:t>
      </w:r>
      <w:r w:rsidRPr="00553A27">
        <w:rPr>
          <w:rFonts w:ascii="Verdana" w:hAnsi="Verdana" w:cs="Arial"/>
          <w:lang w:val="es-ES"/>
        </w:rPr>
        <w:t xml:space="preserve">de la Ley 996 de 2005 prevé una restricción, aplicable respecto de </w:t>
      </w:r>
      <w:r w:rsidRPr="00553A27">
        <w:rPr>
          <w:rFonts w:ascii="Verdana" w:hAnsi="Verdana" w:cs="Arial"/>
          <w:i/>
          <w:iCs/>
          <w:lang w:val="es-ES"/>
        </w:rPr>
        <w:t>cualquier tipo de contienda electoral</w:t>
      </w:r>
      <w:r w:rsidRPr="00553A27">
        <w:rPr>
          <w:rFonts w:ascii="Verdana" w:hAnsi="Verdana" w:cs="Arial"/>
          <w:lang w:val="es-ES"/>
        </w:rPr>
        <w:t xml:space="preserve">,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w:t>
      </w:r>
      <w:r w:rsidRPr="00553A27">
        <w:rPr>
          <w:rFonts w:ascii="Verdana" w:hAnsi="Verdana" w:cs="Arial"/>
          <w:lang w:val="es-ES"/>
        </w:rPr>
        <w:lastRenderedPageBreak/>
        <w:t>públicos de las entidades a su cargo, como tampoco de las que participen como miembros de sus juntas directivas, en o para reuniones de carácter proselitista”</w:t>
      </w:r>
      <w:r w:rsidRPr="00553A27">
        <w:rPr>
          <w:rFonts w:ascii="Verdana" w:hAnsi="Verdana" w:cs="Arial"/>
          <w:vertAlign w:val="superscript"/>
          <w:lang w:val="es-ES"/>
        </w:rPr>
        <w:footnoteReference w:id="19"/>
      </w:r>
      <w:r w:rsidRPr="00553A27">
        <w:rPr>
          <w:rFonts w:ascii="Verdana" w:hAnsi="Verdana" w:cs="Arial"/>
          <w:lang w:val="es-ES"/>
        </w:rPr>
        <w:t>.</w:t>
      </w:r>
      <w:r w:rsidRPr="00553A27">
        <w:rPr>
          <w:rFonts w:ascii="Verdana" w:eastAsia="Arial" w:hAnsi="Verdana" w:cs="Arial"/>
          <w:lang w:val="es-ES" w:eastAsia="es-ES" w:bidi="es-ES"/>
        </w:rPr>
        <w:t xml:space="preserve"> </w:t>
      </w:r>
    </w:p>
    <w:p w14:paraId="7AEED587" w14:textId="77777777" w:rsidR="00BD0A14" w:rsidRPr="00553A27" w:rsidRDefault="00BD0A14" w:rsidP="00BD0A14">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sidRPr="00553A27">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señala:</w:t>
      </w:r>
    </w:p>
    <w:p w14:paraId="3782852B" w14:textId="77777777" w:rsidR="00BD0A14" w:rsidRPr="00553A27" w:rsidRDefault="00BD0A14" w:rsidP="00BD0A14">
      <w:pPr>
        <w:widowControl w:val="0"/>
        <w:autoSpaceDE w:val="0"/>
        <w:autoSpaceDN w:val="0"/>
        <w:spacing w:after="0" w:line="240" w:lineRule="auto"/>
        <w:ind w:left="805" w:right="812"/>
        <w:contextualSpacing/>
        <w:jc w:val="both"/>
        <w:rPr>
          <w:rFonts w:ascii="Verdana" w:eastAsia="Arial" w:hAnsi="Verdana" w:cs="Arial"/>
          <w:lang w:val="es-ES" w:eastAsia="es-ES" w:bidi="es-ES"/>
        </w:rPr>
      </w:pPr>
    </w:p>
    <w:p w14:paraId="253B9678" w14:textId="77777777" w:rsidR="00BD0A14" w:rsidRPr="00553A27" w:rsidRDefault="00BD0A14" w:rsidP="00BD0A14">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553A27">
        <w:rPr>
          <w:rFonts w:ascii="Verdana" w:eastAsia="Arial" w:hAnsi="Verdana" w:cs="Arial"/>
          <w:sz w:val="20"/>
          <w:szCs w:val="20"/>
          <w:lang w:val="es-ES" w:eastAsia="es-ES" w:bidi="es-ES"/>
        </w:rPr>
        <w:t>“La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553A27">
        <w:rPr>
          <w:rFonts w:ascii="Verdana" w:eastAsia="Arial" w:hAnsi="Verdana" w:cs="Arial"/>
          <w:sz w:val="20"/>
          <w:szCs w:val="20"/>
          <w:vertAlign w:val="superscript"/>
          <w:lang w:val="es-ES" w:eastAsia="es-ES" w:bidi="es-ES"/>
        </w:rPr>
        <w:footnoteReference w:id="20"/>
      </w:r>
      <w:r w:rsidRPr="00553A27">
        <w:rPr>
          <w:rFonts w:ascii="Verdana" w:eastAsia="Arial" w:hAnsi="Verdana" w:cs="Arial"/>
          <w:sz w:val="20"/>
          <w:szCs w:val="20"/>
          <w:lang w:val="es-ES" w:eastAsia="es-ES" w:bidi="es-ES"/>
        </w:rPr>
        <w:t>”.</w:t>
      </w:r>
    </w:p>
    <w:p w14:paraId="7A0836E2" w14:textId="77777777" w:rsidR="00BD0A14" w:rsidRPr="00553A27" w:rsidRDefault="00BD0A14" w:rsidP="00BD0A14">
      <w:pPr>
        <w:widowControl w:val="0"/>
        <w:autoSpaceDE w:val="0"/>
        <w:autoSpaceDN w:val="0"/>
        <w:spacing w:after="0" w:line="276" w:lineRule="auto"/>
        <w:contextualSpacing/>
        <w:rPr>
          <w:rFonts w:ascii="Verdana" w:eastAsia="Arial" w:hAnsi="Verdana" w:cs="Arial"/>
          <w:lang w:val="es-ES" w:eastAsia="es-ES" w:bidi="es-ES"/>
        </w:rPr>
      </w:pPr>
    </w:p>
    <w:p w14:paraId="282E6C45" w14:textId="77777777" w:rsidR="00BD0A14" w:rsidRPr="00553A27" w:rsidRDefault="00BD0A14" w:rsidP="00BD0A14">
      <w:pPr>
        <w:spacing w:after="120" w:line="276" w:lineRule="auto"/>
        <w:ind w:firstLine="709"/>
        <w:jc w:val="both"/>
        <w:rPr>
          <w:rFonts w:ascii="Verdana" w:eastAsia="Arial" w:hAnsi="Verdana" w:cs="Arial"/>
          <w:lang w:val="es-ES" w:eastAsia="es-ES" w:bidi="es-ES"/>
        </w:rPr>
      </w:pPr>
      <w:r w:rsidRPr="00553A27">
        <w:rPr>
          <w:rFonts w:ascii="Verdana" w:eastAsia="Arial" w:hAnsi="Verdana" w:cs="Arial"/>
          <w:lang w:val="es-ES" w:eastAsia="es-ES" w:bidi="es-ES"/>
        </w:rPr>
        <w:t xml:space="preserve">De conformidad con lo anterior, la Ley 996 de 2005 establece dos (2) tipos de restricciones en materia de contratación, las cuales coinciden parcialmente. </w:t>
      </w:r>
      <w:r w:rsidRPr="00553A27">
        <w:rPr>
          <w:rFonts w:ascii="Verdana" w:eastAsia="Arial" w:hAnsi="Verdana" w:cs="Arial"/>
          <w:i/>
          <w:lang w:val="es-ES" w:eastAsia="es-ES" w:bidi="es-ES"/>
        </w:rPr>
        <w:t>En primer lugar</w:t>
      </w:r>
      <w:r w:rsidRPr="00553A27">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w:t>
      </w:r>
      <w:r w:rsidRPr="00553A27">
        <w:rPr>
          <w:rFonts w:ascii="Verdana" w:eastAsia="Arial" w:hAnsi="Verdana" w:cs="Arial"/>
          <w:lang w:val="es-ES" w:eastAsia="es-ES" w:bidi="es-ES"/>
        </w:rPr>
        <w:lastRenderedPageBreak/>
        <w:t xml:space="preserve">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553A27">
        <w:rPr>
          <w:rFonts w:ascii="Verdana" w:eastAsia="Arial" w:hAnsi="Verdana" w:cs="Arial"/>
          <w:i/>
          <w:lang w:val="es-ES" w:eastAsia="es-ES" w:bidi="es-ES"/>
        </w:rPr>
        <w:t>En segundo lugar</w:t>
      </w:r>
      <w:r w:rsidRPr="00553A27">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 para los sujetos señalados en la disposición.</w:t>
      </w:r>
    </w:p>
    <w:p w14:paraId="17FC69C3" w14:textId="77777777" w:rsidR="00BD0A14" w:rsidRPr="00553A27" w:rsidRDefault="00BD0A14" w:rsidP="00BD0A14">
      <w:pPr>
        <w:spacing w:after="120" w:line="276" w:lineRule="auto"/>
        <w:ind w:firstLine="709"/>
        <w:jc w:val="both"/>
        <w:rPr>
          <w:rFonts w:ascii="Verdana" w:eastAsia="Arial" w:hAnsi="Verdana" w:cs="Arial"/>
          <w:lang w:val="es-ES" w:eastAsia="es-ES" w:bidi="es-ES"/>
        </w:rPr>
      </w:pPr>
      <w:r w:rsidRPr="00553A27">
        <w:rPr>
          <w:rFonts w:ascii="Verdana" w:eastAsia="Arial" w:hAnsi="Verdana" w:cs="Arial"/>
          <w:lang w:val="es-ES" w:eastAsia="es-ES" w:bidi="es-ES"/>
        </w:rPr>
        <w:t>Ambas restricciones no son excluyentes, lo que permite concluir que, en el período preelectoral para elección de Presidente de la República, aplican las restricciones del artículo 33 con sus excepciones, así como las del parágrafo del artículo 38, a todos los entes del Estado. En cambio, tratándose de elecciones en general, excluyendo las correspondientes al Presidente de la República, las autoridades allí mencionadas sólo deben aplicar las restricciones contenidas en el parágrafo del artículo 38.</w:t>
      </w:r>
    </w:p>
    <w:p w14:paraId="49721762" w14:textId="77777777" w:rsidR="00BD0A14" w:rsidRPr="00553A27" w:rsidRDefault="00BD0A14" w:rsidP="00BD0A14">
      <w:pPr>
        <w:spacing w:after="120" w:line="276" w:lineRule="auto"/>
        <w:ind w:firstLine="709"/>
        <w:jc w:val="both"/>
        <w:rPr>
          <w:rFonts w:ascii="Verdana" w:eastAsia="Arial" w:hAnsi="Verdana" w:cs="Arial"/>
          <w:lang w:val="es-ES" w:eastAsia="es-ES" w:bidi="es-ES"/>
        </w:rPr>
      </w:pPr>
      <w:r w:rsidRPr="00553A27">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ejercido por un tiempo inferior a tres (3) meses durante el respectivo cuatrienio, en forma continua o discontinua, conforme al artículo 197 de la Constitución Política. </w:t>
      </w:r>
    </w:p>
    <w:p w14:paraId="38F7F79F" w14:textId="77777777" w:rsidR="00BD0A14" w:rsidRPr="00553A27" w:rsidRDefault="00BD0A14" w:rsidP="00BD0A14">
      <w:pPr>
        <w:spacing w:after="0" w:line="276" w:lineRule="auto"/>
        <w:ind w:firstLine="708"/>
        <w:jc w:val="both"/>
        <w:rPr>
          <w:rFonts w:ascii="Verdana" w:eastAsia="Times New Roman" w:hAnsi="Verdana" w:cs="Arial"/>
          <w:lang w:val="es-ES" w:eastAsia="es-CO"/>
        </w:rPr>
      </w:pPr>
      <w:r w:rsidRPr="00553A27">
        <w:rPr>
          <w:rFonts w:ascii="Verdana" w:hAnsi="Verdana" w:cs="Arial"/>
          <w:lang w:val="es-ES"/>
        </w:rPr>
        <w:t>Frente al</w:t>
      </w:r>
      <w:r w:rsidRPr="00553A27">
        <w:rPr>
          <w:rFonts w:ascii="Verdana" w:hAnsi="Verdana" w:cs="Arial"/>
          <w:lang w:val="es-ES" w:eastAsia="es-ES" w:bidi="es-ES"/>
        </w:rPr>
        <w:t xml:space="preserve"> alcance de la prohibición </w:t>
      </w:r>
      <w:r w:rsidRPr="00553A27">
        <w:rPr>
          <w:rFonts w:ascii="Verdana" w:eastAsia="Arial" w:hAnsi="Verdana" w:cs="Arial"/>
          <w:lang w:val="es-ES" w:eastAsia="es-ES" w:bidi="es-ES"/>
        </w:rPr>
        <w:t>establecida en e</w:t>
      </w:r>
      <w:r w:rsidRPr="00553A27">
        <w:rPr>
          <w:rFonts w:ascii="Verdana" w:hAnsi="Verdana" w:cs="Arial"/>
          <w:lang w:val="es-ES"/>
        </w:rPr>
        <w:t xml:space="preserve">l </w:t>
      </w:r>
      <w:r w:rsidRPr="00553A27">
        <w:rPr>
          <w:rFonts w:ascii="Verdana" w:eastAsia="Times New Roman" w:hAnsi="Verdana" w:cs="Arial"/>
          <w:lang w:val="es-ES"/>
        </w:rPr>
        <w:t xml:space="preserve">artículo 33 de la Ley 996 de 2005 y sus excepciones, se precisa que el </w:t>
      </w:r>
      <w:r w:rsidRPr="00553A27">
        <w:rPr>
          <w:rFonts w:ascii="Verdana" w:eastAsia="Times New Roman" w:hAnsi="Verdana" w:cs="Arial"/>
          <w:i/>
          <w:iCs/>
          <w:lang w:val="es-ES"/>
        </w:rPr>
        <w:t>ámbito material</w:t>
      </w:r>
      <w:r w:rsidRPr="00553A27">
        <w:rPr>
          <w:rFonts w:ascii="Verdana" w:eastAsia="Times New Roman" w:hAnsi="Verdana" w:cs="Arial"/>
          <w:lang w:val="es-ES"/>
        </w:rPr>
        <w:t xml:space="preserve"> de esta prohibición está delimitado por la expresión </w:t>
      </w:r>
      <w:r w:rsidRPr="00553A27">
        <w:rPr>
          <w:rFonts w:ascii="Verdana" w:hAnsi="Verdana" w:cs="Arial"/>
          <w:bCs/>
          <w:lang w:val="es-ES"/>
        </w:rPr>
        <w:t>“</w:t>
      </w:r>
      <w:r w:rsidRPr="00553A27">
        <w:rPr>
          <w:rFonts w:ascii="Verdana" w:eastAsia="Times New Roman" w:hAnsi="Verdana" w:cs="Arial"/>
          <w:lang w:val="es-ES"/>
        </w:rPr>
        <w:t xml:space="preserve">queda prohibida la contratación </w:t>
      </w:r>
      <w:r w:rsidRPr="00553A27">
        <w:rPr>
          <w:rFonts w:ascii="Verdana" w:eastAsia="Times New Roman" w:hAnsi="Verdana" w:cs="Arial"/>
          <w:lang w:val="es-ES"/>
        </w:rPr>
        <w:lastRenderedPageBreak/>
        <w:t>directa</w:t>
      </w:r>
      <w:r w:rsidRPr="00553A27">
        <w:rPr>
          <w:rFonts w:ascii="Verdana" w:hAnsi="Verdana" w:cs="Arial"/>
          <w:lang w:val="es-ES"/>
        </w:rPr>
        <w:t>”</w:t>
      </w:r>
      <w:r w:rsidRPr="00553A27">
        <w:rPr>
          <w:rFonts w:ascii="Verdana" w:eastAsia="Times New Roman" w:hAnsi="Verdana" w:cs="Arial"/>
          <w:lang w:val="es-ES"/>
        </w:rPr>
        <w:t xml:space="preserve">. </w:t>
      </w:r>
      <w:r w:rsidRPr="00553A27">
        <w:rPr>
          <w:rFonts w:ascii="Verdana" w:eastAsia="Times New Roman" w:hAnsi="Verdana" w:cs="Arial"/>
          <w:lang w:val="es-ES" w:eastAsia="es-CO"/>
        </w:rPr>
        <w:t>A propósito de esta restricción de la Ley de Garantías Electorales, la Sala de Consulta y Servicio Civil del Consejo de Estado ha considerado que:</w:t>
      </w:r>
    </w:p>
    <w:p w14:paraId="1BE3739E" w14:textId="77777777" w:rsidR="00BD0A14" w:rsidRPr="00553A27" w:rsidRDefault="00BD0A14" w:rsidP="00BD0A14">
      <w:pPr>
        <w:spacing w:after="0" w:line="276" w:lineRule="auto"/>
        <w:jc w:val="both"/>
        <w:rPr>
          <w:rFonts w:ascii="Verdana" w:eastAsia="Arial" w:hAnsi="Verdana" w:cs="Arial"/>
          <w:lang w:val="es-ES" w:eastAsia="es-ES" w:bidi="es-ES"/>
        </w:rPr>
      </w:pPr>
    </w:p>
    <w:p w14:paraId="7FD73A9A" w14:textId="77777777" w:rsidR="00BD0A14" w:rsidRPr="00553A27" w:rsidRDefault="00BD0A14" w:rsidP="00BD0A14">
      <w:pPr>
        <w:spacing w:after="0" w:line="240" w:lineRule="auto"/>
        <w:ind w:left="709" w:right="709"/>
        <w:jc w:val="both"/>
        <w:rPr>
          <w:rFonts w:ascii="Verdana" w:hAnsi="Verdana" w:cs="Arial"/>
          <w:sz w:val="20"/>
          <w:szCs w:val="20"/>
          <w:lang w:val="es-ES"/>
        </w:rPr>
      </w:pPr>
      <w:r w:rsidRPr="00553A27">
        <w:rPr>
          <w:rFonts w:ascii="Verdana" w:hAnsi="Verdana" w:cs="Arial"/>
          <w:sz w:val="20"/>
          <w:szCs w:val="20"/>
          <w:lang w:val="es-ES"/>
        </w:rPr>
        <w:t>“[…] 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553A27">
        <w:rPr>
          <w:rFonts w:ascii="Verdana" w:eastAsia="Times New Roman" w:hAnsi="Verdana" w:cs="Arial"/>
          <w:sz w:val="20"/>
          <w:szCs w:val="20"/>
          <w:vertAlign w:val="superscript"/>
          <w:lang w:val="es-ES"/>
        </w:rPr>
        <w:footnoteReference w:id="21"/>
      </w:r>
      <w:r w:rsidRPr="00553A27">
        <w:rPr>
          <w:rFonts w:ascii="Verdana" w:eastAsia="Times New Roman" w:hAnsi="Verdana" w:cs="Arial"/>
          <w:sz w:val="20"/>
          <w:szCs w:val="20"/>
          <w:vertAlign w:val="superscript"/>
          <w:lang w:val="es-ES"/>
        </w:rPr>
        <w:t>.</w:t>
      </w:r>
      <w:r w:rsidRPr="00553A27">
        <w:rPr>
          <w:rFonts w:ascii="Verdana" w:hAnsi="Verdana" w:cs="Arial"/>
          <w:sz w:val="20"/>
          <w:szCs w:val="20"/>
          <w:lang w:val="es-ES"/>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553A27">
        <w:rPr>
          <w:rFonts w:ascii="Verdana" w:eastAsia="Times New Roman" w:hAnsi="Verdana" w:cs="Arial"/>
          <w:sz w:val="20"/>
          <w:szCs w:val="20"/>
          <w:vertAlign w:val="superscript"/>
          <w:lang w:val="es-ES" w:eastAsia="es-CO"/>
        </w:rPr>
        <w:footnoteReference w:id="22"/>
      </w:r>
      <w:r w:rsidRPr="00553A27">
        <w:rPr>
          <w:rFonts w:ascii="Verdana" w:hAnsi="Verdana" w:cs="Arial"/>
          <w:sz w:val="20"/>
          <w:szCs w:val="20"/>
          <w:lang w:val="es-ES"/>
        </w:rPr>
        <w:t xml:space="preserve"> .</w:t>
      </w:r>
    </w:p>
    <w:p w14:paraId="7EF02DB6" w14:textId="77777777" w:rsidR="00BD0A14" w:rsidRPr="00553A27" w:rsidRDefault="00BD0A14" w:rsidP="00BD0A14">
      <w:pPr>
        <w:shd w:val="clear" w:color="auto" w:fill="FFFFFF" w:themeFill="background1"/>
        <w:spacing w:after="0" w:line="276" w:lineRule="auto"/>
        <w:ind w:firstLine="709"/>
        <w:jc w:val="both"/>
        <w:rPr>
          <w:rFonts w:ascii="Verdana" w:eastAsia="Times New Roman" w:hAnsi="Verdana" w:cs="Arial"/>
          <w:lang w:val="es-ES" w:eastAsia="x-none"/>
        </w:rPr>
      </w:pPr>
    </w:p>
    <w:p w14:paraId="5F16A46A" w14:textId="77777777" w:rsidR="00BD0A14" w:rsidRPr="00553A27" w:rsidRDefault="00BD0A14" w:rsidP="00BD0A14">
      <w:pPr>
        <w:spacing w:after="120" w:line="276" w:lineRule="auto"/>
        <w:ind w:firstLine="708"/>
        <w:jc w:val="both"/>
        <w:rPr>
          <w:rFonts w:ascii="Verdana" w:eastAsia="Times New Roman" w:hAnsi="Verdana" w:cs="Arial"/>
          <w:bCs/>
          <w:lang w:val="es-ES" w:eastAsia="x-none"/>
        </w:rPr>
      </w:pPr>
      <w:r w:rsidRPr="00553A27">
        <w:rPr>
          <w:rFonts w:ascii="Verdana" w:eastAsia="Times New Roman" w:hAnsi="Verdana" w:cs="Arial"/>
          <w:lang w:val="es-ES" w:eastAsia="x-none"/>
        </w:rPr>
        <w:t xml:space="preserve">De acuerdo con este concepto, la prohibición del artículo 33 de la Ley de Garantías Electorales se refiere a </w:t>
      </w:r>
      <w:r w:rsidRPr="00553A27">
        <w:rPr>
          <w:rFonts w:ascii="Verdana" w:eastAsia="Times New Roman" w:hAnsi="Verdana" w:cs="Arial"/>
          <w:sz w:val="19"/>
          <w:szCs w:val="19"/>
          <w:lang w:val="es-ES" w:eastAsia="en-GB"/>
        </w:rPr>
        <w:t>“</w:t>
      </w:r>
      <w:r w:rsidRPr="00553A27">
        <w:rPr>
          <w:rFonts w:ascii="Verdana" w:eastAsia="Times New Roman" w:hAnsi="Verdana" w:cs="Arial"/>
          <w:lang w:val="es-ES" w:eastAsia="x-none"/>
        </w:rPr>
        <w:t>cualquier sistema que no implique convocatoria pública y posibilidad de pluralidad de oferentes</w:t>
      </w:r>
      <w:r w:rsidRPr="00553A27">
        <w:rPr>
          <w:rFonts w:ascii="Verdana" w:eastAsia="Times New Roman" w:hAnsi="Verdana" w:cs="Arial"/>
          <w:lang w:val="es-ES" w:eastAsia="en-GB"/>
        </w:rPr>
        <w:t>”</w:t>
      </w:r>
      <w:r w:rsidRPr="00553A27">
        <w:rPr>
          <w:rFonts w:ascii="Verdana" w:eastAsia="Times New Roman" w:hAnsi="Verdana" w:cs="Arial"/>
          <w:lang w:val="es-ES" w:eastAsia="x-none"/>
        </w:rPr>
        <w:t xml:space="preserve">, por lo que excluye las demás modalidades de contratación previstas en la Ley 1150 de 2007, es decir, la licitación pública, la selección abreviada, el concurso de méritos </w:t>
      </w:r>
      <w:r w:rsidRPr="00553A27">
        <w:rPr>
          <w:rFonts w:ascii="Verdana" w:eastAsia="Times New Roman" w:hAnsi="Verdana" w:cs="Arial"/>
          <w:lang w:val="es-ES"/>
        </w:rPr>
        <w:t>y la mínima cuantía</w:t>
      </w:r>
      <w:r w:rsidRPr="00553A27" w:rsidDel="00A85D9F">
        <w:rPr>
          <w:rFonts w:ascii="Verdana" w:eastAsia="Times New Roman" w:hAnsi="Verdana" w:cs="Arial"/>
          <w:lang w:val="es-ES" w:eastAsia="x-none"/>
        </w:rPr>
        <w:t xml:space="preserve"> </w:t>
      </w:r>
      <w:r w:rsidRPr="00553A27">
        <w:rPr>
          <w:rFonts w:ascii="Verdana" w:eastAsia="Times New Roman" w:hAnsi="Verdana" w:cs="Arial"/>
          <w:lang w:val="es-ES"/>
        </w:rPr>
        <w:t xml:space="preserve">u otros previstos en normas especiales. </w:t>
      </w:r>
      <w:r w:rsidRPr="00553A27">
        <w:rPr>
          <w:rFonts w:ascii="Verdana" w:eastAsia="Times New Roman" w:hAnsi="Verdana" w:cs="Arial"/>
          <w:lang w:val="es-ES" w:eastAsia="x-none"/>
        </w:rPr>
        <w:t>Esta posición es congruente con la expedición de la Ley 1150 de 2007 que, entre otras reformas, introdujo la selección abreviada, rediseñó el concurso de méritos</w:t>
      </w:r>
      <w:r w:rsidRPr="00553A27">
        <w:rPr>
          <w:rFonts w:ascii="Verdana" w:eastAsia="Times New Roman" w:hAnsi="Verdana" w:cs="Arial"/>
          <w:vertAlign w:val="superscript"/>
          <w:lang w:val="es-ES" w:eastAsia="x-none"/>
        </w:rPr>
        <w:footnoteReference w:id="23"/>
      </w:r>
      <w:r w:rsidRPr="00553A27">
        <w:rPr>
          <w:rFonts w:ascii="Verdana" w:eastAsia="Times New Roman" w:hAnsi="Verdana" w:cs="Arial"/>
          <w:lang w:val="es-ES" w:eastAsia="x-none"/>
        </w:rPr>
        <w:t xml:space="preserve"> y sistematizó las causales de contratación directa</w:t>
      </w:r>
      <w:r w:rsidRPr="00553A27">
        <w:rPr>
          <w:rFonts w:ascii="Verdana" w:eastAsia="Times New Roman" w:hAnsi="Verdana" w:cs="Arial"/>
          <w:vertAlign w:val="superscript"/>
          <w:lang w:val="es-ES" w:eastAsia="x-none"/>
        </w:rPr>
        <w:footnoteReference w:id="24"/>
      </w:r>
      <w:r w:rsidRPr="00553A27">
        <w:rPr>
          <w:rFonts w:ascii="Verdana" w:eastAsia="Times New Roman" w:hAnsi="Verdana" w:cs="Arial"/>
          <w:lang w:val="es-ES" w:eastAsia="x-none"/>
        </w:rPr>
        <w:t xml:space="preserve">, </w:t>
      </w:r>
      <w:r w:rsidRPr="00553A27">
        <w:rPr>
          <w:rFonts w:ascii="Verdana" w:hAnsi="Verdana" w:cs="Arial"/>
          <w:lang w:val="es-ES" w:eastAsia="x-none"/>
        </w:rPr>
        <w:t>además lo es con la posterior creación de la modalidad de mínima cuantía establecida actualmente en el numeral 5 del artículo 2 de la Ley 1150 de 2007, de acuerdo con las modificaciones realizadas por leyes posteriores.</w:t>
      </w:r>
    </w:p>
    <w:p w14:paraId="02AE55BF" w14:textId="77777777" w:rsidR="00BD0A14" w:rsidRPr="00553A27" w:rsidRDefault="00BD0A14" w:rsidP="00BD0A14">
      <w:pPr>
        <w:spacing w:after="120" w:line="276" w:lineRule="auto"/>
        <w:ind w:firstLine="708"/>
        <w:jc w:val="both"/>
        <w:rPr>
          <w:rFonts w:ascii="Verdana" w:eastAsia="Times New Roman" w:hAnsi="Verdana" w:cs="Arial"/>
          <w:bCs/>
          <w:lang w:val="es-ES" w:eastAsia="es-CO"/>
        </w:rPr>
      </w:pPr>
      <w:r w:rsidRPr="00553A27">
        <w:rPr>
          <w:rFonts w:ascii="Verdana" w:eastAsia="Times New Roman" w:hAnsi="Verdana" w:cs="Arial"/>
          <w:bCs/>
          <w:lang w:val="es-ES" w:eastAsia="es-CO"/>
        </w:rPr>
        <w:t>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w:t>
      </w:r>
      <w:r w:rsidRPr="00553A27">
        <w:rPr>
          <w:rFonts w:ascii="Verdana" w:eastAsia="Times New Roman" w:hAnsi="Verdana" w:cs="Arial"/>
          <w:bCs/>
          <w:i/>
          <w:iCs/>
          <w:lang w:val="es-ES" w:eastAsia="es-CO"/>
        </w:rPr>
        <w:t xml:space="preserve">, sino también frente a las entidades que tengan un </w:t>
      </w:r>
      <w:r w:rsidRPr="00553A27">
        <w:rPr>
          <w:rFonts w:ascii="Verdana" w:eastAsia="Times New Roman" w:hAnsi="Verdana" w:cs="Arial"/>
          <w:bCs/>
          <w:i/>
          <w:iCs/>
          <w:lang w:val="es-ES" w:eastAsia="es-CO"/>
        </w:rPr>
        <w:lastRenderedPageBreak/>
        <w:t>régimen especial de contratación</w:t>
      </w:r>
      <w:r w:rsidRPr="00553A27">
        <w:rPr>
          <w:rFonts w:ascii="Verdana" w:eastAsia="Times New Roman" w:hAnsi="Verdana" w:cs="Arial"/>
          <w:bCs/>
          <w:lang w:val="es-ES" w:eastAsia="es-CO"/>
        </w:rPr>
        <w:t xml:space="preserve">. No obstante, también se observa que luego de la expedición de Ley 1150 de 2007, el Consejo de Estado comenzó a delimitar con mayor precisión el término de “contratación directa”. </w:t>
      </w:r>
      <w:r w:rsidRPr="00553A27">
        <w:rPr>
          <w:rFonts w:ascii="Verdana" w:eastAsia="Times New Roman" w:hAnsi="Verdana" w:cs="Arial"/>
          <w:lang w:val="es-ES"/>
        </w:rPr>
        <w:t xml:space="preserve">Así, para la prohibición o restricción temporal contenida en su artículo 33, “contratación directa” es </w:t>
      </w:r>
      <w:r w:rsidRPr="00553A27">
        <w:rPr>
          <w:rFonts w:ascii="Verdana" w:eastAsia="Times New Roman" w:hAnsi="Verdana" w:cs="Arial"/>
          <w:i/>
          <w:iCs/>
          <w:lang w:val="es-ES"/>
        </w:rPr>
        <w:t>cualquier</w:t>
      </w:r>
      <w:r w:rsidRPr="00553A27">
        <w:rPr>
          <w:rFonts w:ascii="Verdana" w:eastAsia="Times New Roman" w:hAnsi="Verdana" w:cs="Arial"/>
          <w:lang w:val="es-ES"/>
        </w:rPr>
        <w:t xml:space="preserve"> sistema de selección o procedimiento de contratación utilizado por las entidades estatales que no incluya la convocatoria pública en alguna de sus etapas, ni permita la participación de una pluralidad de oferentes</w:t>
      </w:r>
      <w:r w:rsidRPr="00553A27">
        <w:rPr>
          <w:rFonts w:ascii="Verdana" w:eastAsia="Times New Roman" w:hAnsi="Verdana" w:cs="Arial"/>
          <w:vertAlign w:val="superscript"/>
          <w:lang w:val="es-ES" w:eastAsia="x-none"/>
        </w:rPr>
        <w:footnoteReference w:id="25"/>
      </w:r>
      <w:r w:rsidRPr="00553A27">
        <w:rPr>
          <w:rFonts w:ascii="Verdana" w:eastAsia="Times New Roman" w:hAnsi="Verdana" w:cs="Arial"/>
          <w:lang w:val="es-ES"/>
        </w:rPr>
        <w:t>.</w:t>
      </w:r>
      <w:r w:rsidRPr="00553A27">
        <w:rPr>
          <w:rFonts w:ascii="Verdana" w:eastAsia="Times New Roman" w:hAnsi="Verdana" w:cs="Arial"/>
          <w:vertAlign w:val="superscript"/>
          <w:lang w:val="es-ES" w:eastAsia="x-none"/>
        </w:rPr>
        <w:t xml:space="preserve"> </w:t>
      </w:r>
    </w:p>
    <w:p w14:paraId="751C2EB1" w14:textId="77777777" w:rsidR="00BD0A14" w:rsidRPr="00553A27" w:rsidRDefault="00BD0A14" w:rsidP="00BD0A14">
      <w:pPr>
        <w:spacing w:after="120" w:line="276" w:lineRule="auto"/>
        <w:ind w:firstLine="708"/>
        <w:jc w:val="both"/>
        <w:rPr>
          <w:rFonts w:ascii="Verdana" w:eastAsia="Times New Roman" w:hAnsi="Verdana" w:cs="Arial"/>
          <w:lang w:val="es-ES"/>
        </w:rPr>
      </w:pPr>
      <w:r w:rsidRPr="00553A27">
        <w:rPr>
          <w:rFonts w:ascii="Verdana" w:eastAsia="Times New Roman" w:hAnsi="Verdana" w:cs="Arial"/>
          <w:lang w:val="es-ES"/>
        </w:rPr>
        <w:t xml:space="preserve">De lo anterior se desprende que la restricción aplica, sin perjuicio de las excepciones establecidas en la misma ley, para celebrar </w:t>
      </w:r>
      <w:r w:rsidRPr="00553A27">
        <w:rPr>
          <w:rFonts w:ascii="Verdana" w:eastAsia="Times New Roman" w:hAnsi="Verdana" w:cs="Arial"/>
          <w:i/>
          <w:iCs/>
          <w:lang w:val="es-ES"/>
        </w:rPr>
        <w:t>cualquier contrato o convenio de forma directa</w:t>
      </w:r>
      <w:r w:rsidRPr="00553A27">
        <w:rPr>
          <w:rFonts w:ascii="Verdana" w:eastAsia="Times New Roman" w:hAnsi="Verdana" w:cs="Arial"/>
          <w:lang w:val="es-ES"/>
        </w:rPr>
        <w:t>, esto es, sin que exista un proceso abierto y competitivo.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55381FE2" w14:textId="77777777" w:rsidR="00BD0A14" w:rsidRPr="00553A27" w:rsidRDefault="00BD0A14" w:rsidP="00BD0A14">
      <w:pPr>
        <w:spacing w:after="0" w:line="276" w:lineRule="auto"/>
        <w:ind w:firstLine="708"/>
        <w:jc w:val="both"/>
        <w:rPr>
          <w:rFonts w:ascii="Verdana" w:eastAsia="Times New Roman" w:hAnsi="Verdana" w:cs="Arial"/>
          <w:lang w:val="es-ES"/>
        </w:rPr>
      </w:pPr>
      <w:r w:rsidRPr="00553A27">
        <w:rPr>
          <w:rFonts w:ascii="Verdana" w:eastAsia="Times New Roman" w:hAnsi="Verdana" w:cs="Arial"/>
          <w:bCs/>
          <w:lang w:val="es-ES" w:eastAsia="es-CO"/>
        </w:rPr>
        <w:t xml:space="preserve">Con respecto a los </w:t>
      </w:r>
      <w:r w:rsidRPr="00553A27">
        <w:rPr>
          <w:rFonts w:ascii="Verdana" w:eastAsia="Times New Roman" w:hAnsi="Verdana" w:cs="Arial"/>
          <w:bCs/>
          <w:i/>
          <w:iCs/>
          <w:lang w:val="es-ES" w:eastAsia="es-CO"/>
        </w:rPr>
        <w:t>sujetos</w:t>
      </w:r>
      <w:r w:rsidRPr="00553A27">
        <w:rPr>
          <w:rFonts w:ascii="Verdana" w:eastAsia="Times New Roman" w:hAnsi="Verdana" w:cs="Arial"/>
          <w:bCs/>
          <w:lang w:val="es-ES" w:eastAsia="es-CO"/>
        </w:rPr>
        <w:t xml:space="preserve"> que se encuentran enmarcados en la prohibición del artículo 33, </w:t>
      </w:r>
      <w:r w:rsidRPr="00553A27">
        <w:rPr>
          <w:rFonts w:ascii="Verdana" w:eastAsia="Times New Roman" w:hAnsi="Verdana" w:cs="Arial"/>
          <w:lang w:val="es-ES"/>
        </w:rPr>
        <w:t>la Ley 996 de 2005 señala expresamente que son “</w:t>
      </w:r>
      <w:r w:rsidRPr="00553A27">
        <w:rPr>
          <w:rFonts w:ascii="Verdana" w:eastAsia="Times New Roman" w:hAnsi="Verdana" w:cs="Arial"/>
          <w:i/>
          <w:iCs/>
          <w:u w:val="single"/>
          <w:lang w:val="es-ES"/>
        </w:rPr>
        <w:t>todos</w:t>
      </w:r>
      <w:r w:rsidRPr="00553A27">
        <w:rPr>
          <w:rFonts w:ascii="Verdana" w:eastAsia="Times New Roman" w:hAnsi="Verdana" w:cs="Arial"/>
          <w:i/>
          <w:iCs/>
          <w:lang w:val="es-ES"/>
        </w:rPr>
        <w:t xml:space="preserve"> los entes del Estado</w:t>
      </w:r>
      <w:r w:rsidRPr="00553A27">
        <w:rPr>
          <w:rFonts w:ascii="Verdana" w:eastAsia="Times New Roman" w:hAnsi="Verdana" w:cs="Arial"/>
          <w:lang w:val="es-ES"/>
        </w:rPr>
        <w:t>” [énfasis propio]. Al respecto la Sala De Consulta y Servicio Civil del Consejo de Estado señaló lo siguiente:</w:t>
      </w:r>
    </w:p>
    <w:p w14:paraId="652BFAF0" w14:textId="77777777" w:rsidR="00BD0A14" w:rsidRPr="00553A27" w:rsidRDefault="00BD0A14" w:rsidP="00BD0A14">
      <w:pPr>
        <w:spacing w:after="0" w:line="276" w:lineRule="auto"/>
        <w:ind w:firstLine="708"/>
        <w:jc w:val="both"/>
        <w:rPr>
          <w:rFonts w:ascii="Verdana" w:eastAsia="Times New Roman" w:hAnsi="Verdana" w:cs="Arial"/>
          <w:lang w:val="es-ES"/>
        </w:rPr>
      </w:pPr>
    </w:p>
    <w:p w14:paraId="6346C139" w14:textId="77777777" w:rsidR="00BD0A14" w:rsidRPr="00553A27" w:rsidRDefault="00BD0A14" w:rsidP="00BD0A14">
      <w:pPr>
        <w:spacing w:after="0" w:line="240" w:lineRule="auto"/>
        <w:ind w:left="709" w:right="709"/>
        <w:jc w:val="both"/>
        <w:rPr>
          <w:rFonts w:ascii="Verdana" w:eastAsia="Times New Roman" w:hAnsi="Verdana" w:cs="Arial"/>
          <w:bCs/>
          <w:sz w:val="20"/>
          <w:szCs w:val="20"/>
          <w:lang w:val="es-ES" w:eastAsia="es-CO"/>
        </w:rPr>
      </w:pPr>
      <w:r w:rsidRPr="00553A27">
        <w:rPr>
          <w:rFonts w:ascii="Verdana" w:eastAsia="Times New Roman" w:hAnsi="Verdana" w:cs="Arial"/>
          <w:bCs/>
          <w:sz w:val="20"/>
          <w:szCs w:val="20"/>
          <w:lang w:val="es-ES" w:eastAsia="es-CO"/>
        </w:rPr>
        <w:t>“El vocablo "todos" que utilizó el legislador, comprende, en consecuencia, sin distinción del "régimen jurídico, forma de organización o naturaleza, su pertenencia a una u otra rama del poder público o su autonomía, a la totalidad de los entes del Estado. Es decir, la prohibición cobija a cualquier ente público que eventualmente pueda a través de la contratación directa romper el equilibrio entre los partidos y los candidatos a las elecciones presidenciales […]”</w:t>
      </w:r>
      <w:r w:rsidRPr="00553A27">
        <w:rPr>
          <w:rFonts w:ascii="Verdana" w:eastAsia="Times New Roman" w:hAnsi="Verdana" w:cs="Arial"/>
          <w:bCs/>
          <w:sz w:val="20"/>
          <w:szCs w:val="20"/>
          <w:vertAlign w:val="superscript"/>
          <w:lang w:val="es-ES" w:eastAsia="es-CO"/>
        </w:rPr>
        <w:footnoteReference w:id="26"/>
      </w:r>
      <w:r w:rsidRPr="00553A27">
        <w:rPr>
          <w:rFonts w:ascii="Verdana" w:eastAsia="Times New Roman" w:hAnsi="Verdana" w:cs="Arial"/>
          <w:bCs/>
          <w:sz w:val="20"/>
          <w:szCs w:val="20"/>
          <w:lang w:val="es-ES" w:eastAsia="es-CO"/>
        </w:rPr>
        <w:t>.</w:t>
      </w:r>
    </w:p>
    <w:p w14:paraId="2C6F8119" w14:textId="77777777" w:rsidR="00BD0A14" w:rsidRPr="00553A27" w:rsidRDefault="00BD0A14" w:rsidP="00BD0A14">
      <w:pPr>
        <w:spacing w:after="0" w:line="240" w:lineRule="auto"/>
        <w:ind w:left="709" w:right="709"/>
        <w:jc w:val="both"/>
        <w:rPr>
          <w:rFonts w:ascii="Verdana" w:eastAsia="Times New Roman" w:hAnsi="Verdana" w:cs="Arial"/>
          <w:bCs/>
          <w:lang w:val="es-ES" w:eastAsia="es-CO"/>
        </w:rPr>
      </w:pPr>
    </w:p>
    <w:p w14:paraId="4CB86A4F" w14:textId="77777777" w:rsidR="00BD0A14" w:rsidRPr="00553A27" w:rsidRDefault="00BD0A14" w:rsidP="00BD0A14">
      <w:pPr>
        <w:spacing w:after="120" w:line="276" w:lineRule="auto"/>
        <w:ind w:firstLine="708"/>
        <w:jc w:val="both"/>
        <w:rPr>
          <w:rFonts w:ascii="Verdana" w:hAnsi="Verdana" w:cs="Arial"/>
          <w:bCs/>
          <w:sz w:val="20"/>
          <w:szCs w:val="20"/>
          <w:lang w:val="es-ES" w:eastAsia="es-CO"/>
        </w:rPr>
      </w:pPr>
      <w:r w:rsidRPr="00553A27">
        <w:rPr>
          <w:rFonts w:ascii="Verdana" w:hAnsi="Verdana" w:cs="Arial"/>
          <w:bCs/>
          <w:lang w:val="es-ES" w:eastAsia="x-none"/>
        </w:rPr>
        <w:t>En consecuencia, el artículo 33 de la Ley 996 de 2005 señala expresamente que los destinatarios de la prohibición son “todos los entes del Estado”, expresión que contempla a los diferentes organismos o entidades autorizadas por la ley para suscribir contratos.</w:t>
      </w:r>
      <w:r w:rsidRPr="00553A27">
        <w:rPr>
          <w:rFonts w:ascii="Verdana" w:hAnsi="Verdana"/>
          <w:lang w:val="es-ES"/>
        </w:rPr>
        <w:t xml:space="preserve"> </w:t>
      </w:r>
      <w:r w:rsidRPr="00553A27">
        <w:rPr>
          <w:rFonts w:ascii="Verdana" w:hAnsi="Verdana" w:cs="Arial"/>
          <w:bCs/>
          <w:lang w:val="es-ES" w:eastAsia="x-none"/>
        </w:rPr>
        <w:t xml:space="preserve">En efecto, tal como lo ha sostenido el Consejo de Estado, el vocablo “todos” utilizado por el legislador </w:t>
      </w:r>
      <w:r w:rsidRPr="00553A27">
        <w:rPr>
          <w:rFonts w:ascii="Verdana" w:hAnsi="Verdana" w:cs="Arial"/>
          <w:bCs/>
          <w:lang w:val="es-ES" w:eastAsia="x-none"/>
        </w:rPr>
        <w:lastRenderedPageBreak/>
        <w:t>comprende</w:t>
      </w:r>
      <w:r w:rsidRPr="00553A27">
        <w:rPr>
          <w:rFonts w:ascii="Verdana" w:hAnsi="Verdana"/>
          <w:lang w:val="es-ES"/>
        </w:rPr>
        <w:t xml:space="preserve"> </w:t>
      </w:r>
      <w:r w:rsidRPr="00553A27">
        <w:rPr>
          <w:rFonts w:ascii="Verdana" w:hAnsi="Verdana" w:cs="Arial"/>
          <w:bCs/>
          <w:lang w:val="es-ES" w:eastAsia="x-none"/>
        </w:rPr>
        <w:t>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w:t>
      </w:r>
      <w:r w:rsidRPr="00553A27">
        <w:rPr>
          <w:rFonts w:ascii="Verdana" w:hAnsi="Verdana" w:cs="Arial"/>
          <w:bCs/>
          <w:sz w:val="20"/>
          <w:szCs w:val="20"/>
          <w:vertAlign w:val="superscript"/>
          <w:lang w:val="es-ES" w:eastAsia="x-none"/>
        </w:rPr>
        <w:footnoteReference w:id="27"/>
      </w:r>
      <w:r w:rsidRPr="00553A27">
        <w:rPr>
          <w:rFonts w:ascii="Verdana" w:hAnsi="Verdana" w:cs="Arial"/>
          <w:bCs/>
          <w:sz w:val="20"/>
          <w:szCs w:val="20"/>
          <w:lang w:val="es-ES" w:eastAsia="x-none"/>
        </w:rPr>
        <w:t>.</w:t>
      </w:r>
      <w:r w:rsidRPr="00553A27">
        <w:rPr>
          <w:rFonts w:ascii="Verdana" w:hAnsi="Verdana" w:cs="Arial"/>
          <w:bCs/>
          <w:sz w:val="20"/>
          <w:szCs w:val="20"/>
          <w:lang w:val="es-ES" w:eastAsia="es-CO"/>
        </w:rPr>
        <w:t>”</w:t>
      </w:r>
    </w:p>
    <w:p w14:paraId="59D32473" w14:textId="77777777" w:rsidR="00BD0A14" w:rsidRPr="00553A27" w:rsidRDefault="00BD0A14" w:rsidP="00BD0A14">
      <w:pPr>
        <w:spacing w:after="120" w:line="276" w:lineRule="auto"/>
        <w:ind w:firstLine="709"/>
        <w:jc w:val="both"/>
        <w:rPr>
          <w:rFonts w:ascii="Verdana" w:eastAsia="Arial" w:hAnsi="Verdana" w:cs="Arial"/>
          <w:bCs/>
          <w:color w:val="000000" w:themeColor="text1"/>
          <w:lang w:val="es-ES"/>
        </w:rPr>
      </w:pPr>
      <w:r w:rsidRPr="00553A27">
        <w:rPr>
          <w:rFonts w:ascii="Verdana" w:eastAsia="Arial" w:hAnsi="Verdana" w:cs="Arial"/>
          <w:color w:val="000000" w:themeColor="text1"/>
          <w:lang w:val="es-ES"/>
        </w:rPr>
        <w:t>Por lo tanto, la restricción del artículo 33 prevista en la Ley 996 de 2005, teniendo en cuenta la finalidad de la ley de garantías electorales, cobija a cualquier ente público que pueda a través de la contratación directa romper el equilibrio entre los partidos y los candidatos en las elecciones presidenciales. Tampoco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se puede presentar tanto en la contratación regulada por la Ley 80 de 1993 como en la regida por el derecho privado o normas especiales.</w:t>
      </w:r>
    </w:p>
    <w:p w14:paraId="142A421F" w14:textId="77777777" w:rsidR="00BD0A14" w:rsidRPr="00553A27" w:rsidRDefault="00BD0A14" w:rsidP="00BD0A14">
      <w:pPr>
        <w:spacing w:after="120" w:line="276" w:lineRule="auto"/>
        <w:ind w:firstLine="709"/>
        <w:jc w:val="both"/>
        <w:rPr>
          <w:rFonts w:ascii="Verdana" w:hAnsi="Verdana" w:cs="Arial"/>
          <w:bCs/>
          <w:color w:val="000000" w:themeColor="text1"/>
          <w:lang w:val="es-ES"/>
        </w:rPr>
      </w:pPr>
      <w:r w:rsidRPr="00553A27">
        <w:rPr>
          <w:rFonts w:ascii="Verdana" w:eastAsia="Arial" w:hAnsi="Verdana" w:cs="Arial"/>
          <w:bCs/>
          <w:color w:val="000000" w:themeColor="text1"/>
          <w:lang w:val="es-ES"/>
        </w:rPr>
        <w:t xml:space="preserve">En este punto, debe tenerse en cuenta que, en principio, todos los entes del Estado están cobijados por la prohibición para contratar directamente establecida en el artículo 33 de la Ley de Garantías Electorales. Sin embargo, es importante reiterar que </w:t>
      </w:r>
      <w:r w:rsidRPr="00553A27">
        <w:rPr>
          <w:rFonts w:ascii="Verdana" w:hAnsi="Verdana" w:cs="Arial"/>
          <w:bCs/>
          <w:color w:val="000000" w:themeColor="text1"/>
          <w:lang w:val="es-ES"/>
        </w:rPr>
        <w:t>el segundo inciso de la misma disposición consagró las excepciones aplicables a la prohibición de contratación directa establecida en el mismo artículo. Como se indicó, las excepciones a la prohibición del artículo 33 de la norma mencionada son las siguientes:</w:t>
      </w:r>
    </w:p>
    <w:p w14:paraId="343759C8" w14:textId="77777777" w:rsidR="00BD0A14" w:rsidRPr="00553A27" w:rsidRDefault="00BD0A14" w:rsidP="00BD0A14">
      <w:pPr>
        <w:tabs>
          <w:tab w:val="left" w:pos="709"/>
        </w:tabs>
        <w:spacing w:before="120" w:line="276" w:lineRule="auto"/>
        <w:jc w:val="both"/>
        <w:rPr>
          <w:rFonts w:ascii="Verdana" w:hAnsi="Verdana" w:cs="Arial"/>
          <w:bCs/>
          <w:color w:val="000000" w:themeColor="text1"/>
          <w:lang w:val="es-ES"/>
        </w:rPr>
      </w:pPr>
      <w:r w:rsidRPr="00553A27">
        <w:rPr>
          <w:rFonts w:ascii="Verdana" w:hAnsi="Verdana" w:cs="Arial"/>
          <w:bCs/>
          <w:color w:val="000000" w:themeColor="text1"/>
          <w:lang w:val="es-ES"/>
        </w:rPr>
        <w:tab/>
        <w:t>1) La contratación referente a la defensa y seguridad del Estado;</w:t>
      </w:r>
    </w:p>
    <w:p w14:paraId="4A7C222D" w14:textId="77777777" w:rsidR="00BD0A14" w:rsidRPr="00553A27" w:rsidRDefault="00BD0A14" w:rsidP="00BD0A14">
      <w:pPr>
        <w:tabs>
          <w:tab w:val="left" w:pos="709"/>
        </w:tabs>
        <w:spacing w:before="120" w:line="276" w:lineRule="auto"/>
        <w:jc w:val="both"/>
        <w:rPr>
          <w:rFonts w:ascii="Verdana" w:hAnsi="Verdana" w:cs="Arial"/>
          <w:bCs/>
          <w:color w:val="000000" w:themeColor="text1"/>
          <w:lang w:val="es-ES"/>
        </w:rPr>
      </w:pPr>
      <w:r w:rsidRPr="00553A27">
        <w:rPr>
          <w:rFonts w:ascii="Verdana" w:hAnsi="Verdana" w:cs="Arial"/>
          <w:bCs/>
          <w:color w:val="000000" w:themeColor="text1"/>
          <w:lang w:val="es-ES"/>
        </w:rPr>
        <w:tab/>
        <w:t>2) Los contratos de crédito público;</w:t>
      </w:r>
    </w:p>
    <w:p w14:paraId="1737EDFE" w14:textId="77777777" w:rsidR="00BD0A14" w:rsidRPr="00553A27" w:rsidRDefault="00BD0A14" w:rsidP="00BD0A14">
      <w:pPr>
        <w:tabs>
          <w:tab w:val="left" w:pos="709"/>
        </w:tabs>
        <w:spacing w:before="120" w:line="276" w:lineRule="auto"/>
        <w:jc w:val="both"/>
        <w:rPr>
          <w:rFonts w:ascii="Verdana" w:hAnsi="Verdana" w:cs="Arial"/>
          <w:bCs/>
          <w:color w:val="000000" w:themeColor="text1"/>
          <w:lang w:val="es-ES"/>
        </w:rPr>
      </w:pPr>
      <w:r w:rsidRPr="00553A27">
        <w:rPr>
          <w:rFonts w:ascii="Verdana" w:hAnsi="Verdana" w:cs="Arial"/>
          <w:bCs/>
          <w:color w:val="000000" w:themeColor="text1"/>
          <w:lang w:val="es-ES"/>
        </w:rPr>
        <w:tab/>
        <w:t xml:space="preserve">3) Los contratos requeridos para cubrir las emergencias educativas, sanitarias y desastres; </w:t>
      </w:r>
    </w:p>
    <w:p w14:paraId="57B1F45A" w14:textId="77777777" w:rsidR="00BD0A14" w:rsidRPr="00553A27" w:rsidRDefault="00BD0A14" w:rsidP="00BD0A14">
      <w:pPr>
        <w:tabs>
          <w:tab w:val="left" w:pos="709"/>
        </w:tabs>
        <w:spacing w:before="120" w:line="276" w:lineRule="auto"/>
        <w:jc w:val="both"/>
        <w:rPr>
          <w:rFonts w:ascii="Verdana" w:hAnsi="Verdana" w:cs="Arial"/>
          <w:bCs/>
          <w:color w:val="000000" w:themeColor="text1"/>
          <w:lang w:val="es-ES"/>
        </w:rPr>
      </w:pPr>
      <w:r w:rsidRPr="00553A27">
        <w:rPr>
          <w:rFonts w:ascii="Verdana" w:hAnsi="Verdana" w:cs="Arial"/>
          <w:bCs/>
          <w:color w:val="000000" w:themeColor="text1"/>
          <w:lang w:val="es-ES"/>
        </w:rPr>
        <w:tab/>
        <w:t xml:space="preserve">4) La contratación para la reconstrucción de vías, puentes, carreteras, infraestructura energética y de comunicaciones, en caso de que hayan sido </w:t>
      </w:r>
      <w:r w:rsidRPr="00553A27">
        <w:rPr>
          <w:rFonts w:ascii="Verdana" w:hAnsi="Verdana" w:cs="Arial"/>
          <w:bCs/>
          <w:color w:val="000000" w:themeColor="text1"/>
          <w:lang w:val="es-ES"/>
        </w:rPr>
        <w:lastRenderedPageBreak/>
        <w:t>objeto de atentados, acciones terroristas, desastres naturales o casos de fuerza mayor y;</w:t>
      </w:r>
    </w:p>
    <w:p w14:paraId="60F7FAAF" w14:textId="77777777" w:rsidR="00BD0A14" w:rsidRPr="00553A27" w:rsidRDefault="00BD0A14" w:rsidP="00BD0A14">
      <w:pPr>
        <w:tabs>
          <w:tab w:val="left" w:pos="709"/>
        </w:tabs>
        <w:spacing w:before="120" w:line="276" w:lineRule="auto"/>
        <w:jc w:val="both"/>
        <w:rPr>
          <w:rFonts w:ascii="Verdana" w:hAnsi="Verdana" w:cs="Arial"/>
          <w:bCs/>
          <w:color w:val="000000" w:themeColor="text1"/>
          <w:lang w:val="es-ES"/>
        </w:rPr>
      </w:pPr>
      <w:r w:rsidRPr="00553A27">
        <w:rPr>
          <w:rFonts w:ascii="Verdana" w:hAnsi="Verdana" w:cs="Arial"/>
          <w:bCs/>
          <w:color w:val="000000" w:themeColor="text1"/>
          <w:lang w:val="es-ES"/>
        </w:rPr>
        <w:tab/>
        <w:t xml:space="preserve">5) La contratación que deban realizar las entidades sanitarias y hospitalarias. </w:t>
      </w:r>
    </w:p>
    <w:p w14:paraId="2458EB2F" w14:textId="77777777" w:rsidR="00BD0A14" w:rsidRPr="00553A27" w:rsidRDefault="00BD0A14" w:rsidP="00BD0A14">
      <w:pPr>
        <w:tabs>
          <w:tab w:val="left" w:pos="426"/>
        </w:tabs>
        <w:spacing w:before="120" w:after="0" w:line="276" w:lineRule="auto"/>
        <w:ind w:firstLine="709"/>
        <w:jc w:val="both"/>
        <w:rPr>
          <w:rFonts w:ascii="Verdana" w:hAnsi="Verdana" w:cs="Arial"/>
          <w:bCs/>
          <w:color w:val="000000" w:themeColor="text1"/>
          <w:lang w:val="es-ES"/>
        </w:rPr>
      </w:pPr>
      <w:r w:rsidRPr="00553A27">
        <w:rPr>
          <w:rFonts w:ascii="Verdana" w:hAnsi="Verdana" w:cs="Arial"/>
          <w:bCs/>
          <w:color w:val="000000" w:themeColor="text1"/>
          <w:lang w:val="es-ES"/>
        </w:rPr>
        <w:t xml:space="preserve">La Sala de Consulta y Servicio Civil del Consejo de Estado, en concepto del 4 de febrero de 2010, se pronunció frente a las razones por las que el legislador consagró excepciones al artículo 33 de la Ley de Garantías Electorales en los siguientes términos: </w:t>
      </w:r>
    </w:p>
    <w:p w14:paraId="02433B3A" w14:textId="77777777" w:rsidR="00BD0A14" w:rsidRPr="00553A27" w:rsidRDefault="00BD0A14" w:rsidP="00BD0A14">
      <w:pPr>
        <w:tabs>
          <w:tab w:val="left" w:pos="426"/>
        </w:tabs>
        <w:spacing w:after="0" w:line="240" w:lineRule="auto"/>
        <w:ind w:firstLine="709"/>
        <w:jc w:val="both"/>
        <w:rPr>
          <w:rFonts w:ascii="Verdana" w:hAnsi="Verdana" w:cs="Arial"/>
          <w:bCs/>
          <w:color w:val="000000" w:themeColor="text1"/>
          <w:lang w:val="es-ES"/>
        </w:rPr>
      </w:pPr>
    </w:p>
    <w:p w14:paraId="6843C8AE" w14:textId="77777777" w:rsidR="00BD0A14" w:rsidRPr="00553A27" w:rsidRDefault="00BD0A14" w:rsidP="00BD0A14">
      <w:pPr>
        <w:shd w:val="clear" w:color="auto" w:fill="FFFFFF"/>
        <w:spacing w:after="0" w:line="240" w:lineRule="auto"/>
        <w:ind w:left="709" w:right="709"/>
        <w:jc w:val="both"/>
        <w:rPr>
          <w:rFonts w:ascii="Verdana" w:hAnsi="Verdana" w:cs="Arial"/>
          <w:color w:val="000000" w:themeColor="text1"/>
          <w:sz w:val="20"/>
          <w:szCs w:val="20"/>
          <w:lang w:val="es-ES" w:eastAsia="es-CO"/>
        </w:rPr>
      </w:pPr>
      <w:r w:rsidRPr="00553A27">
        <w:rPr>
          <w:rFonts w:ascii="Verdana" w:hAnsi="Verdana" w:cs="Arial"/>
          <w:color w:val="000000" w:themeColor="text1"/>
          <w:sz w:val="20"/>
          <w:szCs w:val="20"/>
          <w:lang w:val="es-ES" w:eastAsia="es-CO"/>
        </w:rPr>
        <w:t>“[…] Las excepciones establecidas en los artículos 32 y 33 en comento, guardan relación, exclusivamente, con algunos servicios públicos que por su naturaleza no admiten postergaciones en la atención de sus necesidades de personal, bienes y servicios [...]</w:t>
      </w:r>
      <w:r w:rsidRPr="00553A27">
        <w:rPr>
          <w:rFonts w:ascii="Verdana" w:hAnsi="Verdana" w:cs="Arial"/>
          <w:color w:val="000000" w:themeColor="text1"/>
          <w:sz w:val="20"/>
          <w:szCs w:val="20"/>
          <w:vertAlign w:val="superscript"/>
          <w:lang w:val="es-ES" w:eastAsia="es-CO"/>
        </w:rPr>
        <w:footnoteReference w:id="28"/>
      </w:r>
      <w:r w:rsidRPr="00553A27">
        <w:rPr>
          <w:rFonts w:ascii="Verdana" w:hAnsi="Verdana" w:cs="Arial"/>
          <w:color w:val="000000" w:themeColor="text1"/>
          <w:sz w:val="20"/>
          <w:szCs w:val="20"/>
          <w:lang w:val="es-ES" w:eastAsia="es-CO"/>
        </w:rPr>
        <w:t xml:space="preserve">”. </w:t>
      </w:r>
    </w:p>
    <w:p w14:paraId="0B76A64A" w14:textId="77777777" w:rsidR="00BD0A14" w:rsidRPr="00553A27" w:rsidRDefault="00BD0A14" w:rsidP="00BD0A14">
      <w:pPr>
        <w:shd w:val="clear" w:color="auto" w:fill="FFFFFF"/>
        <w:spacing w:after="0" w:line="240" w:lineRule="auto"/>
        <w:ind w:left="709" w:right="709"/>
        <w:jc w:val="both"/>
        <w:rPr>
          <w:rFonts w:ascii="Verdana" w:hAnsi="Verdana" w:cs="Arial"/>
          <w:color w:val="000000" w:themeColor="text1"/>
          <w:sz w:val="20"/>
          <w:szCs w:val="20"/>
          <w:highlight w:val="cyan"/>
          <w:lang w:val="es-ES" w:eastAsia="es-CO"/>
        </w:rPr>
      </w:pPr>
    </w:p>
    <w:p w14:paraId="61D61EA7" w14:textId="77777777" w:rsidR="00BD0A14" w:rsidRPr="00553A27" w:rsidRDefault="00BD0A14" w:rsidP="00BD0A14">
      <w:pPr>
        <w:tabs>
          <w:tab w:val="left" w:pos="426"/>
          <w:tab w:val="left" w:pos="3402"/>
        </w:tabs>
        <w:spacing w:after="120" w:line="276" w:lineRule="auto"/>
        <w:ind w:firstLine="709"/>
        <w:jc w:val="both"/>
        <w:rPr>
          <w:rFonts w:ascii="Verdana" w:hAnsi="Verdana" w:cs="Arial"/>
          <w:color w:val="000000" w:themeColor="text1"/>
          <w:highlight w:val="cyan"/>
          <w:shd w:val="clear" w:color="auto" w:fill="FFFFFF"/>
          <w:lang w:val="es-ES"/>
        </w:rPr>
      </w:pPr>
      <w:r w:rsidRPr="00553A27">
        <w:rPr>
          <w:rFonts w:ascii="Verdana" w:hAnsi="Verdana" w:cs="Arial"/>
          <w:bCs/>
          <w:color w:val="000000" w:themeColor="text1"/>
          <w:lang w:val="es-ES"/>
        </w:rPr>
        <w:t>Por tanto, las excepciones a la prohibición contenida en el inciso segundo de artículo 33 de la Ley de Garantías Electorales tienen por finalidad garantizar la realización ininterrumpida de ciertas actividades que, dada su importancia en el orden interno, se verían irrazonablemente afectadas por la restricción. De igual forma, la Sala de Consulta y Servicio Civil del Consejo de Estado, en concepto del 2 de septiembre de 2013</w:t>
      </w:r>
      <w:r w:rsidRPr="00553A27">
        <w:rPr>
          <w:rFonts w:ascii="Verdana" w:hAnsi="Verdana" w:cs="Arial"/>
          <w:color w:val="000000" w:themeColor="text1"/>
          <w:lang w:val="es-ES"/>
        </w:rPr>
        <w:t xml:space="preserve">, mencionó las excepciones a la prohibición del artículo 33 de la Ley de Garantías Electorales, resaltando su carácter taxativo, y señalando la independencia de los supuestos, así: “[…] </w:t>
      </w:r>
      <w:r w:rsidRPr="00553A27">
        <w:rPr>
          <w:rFonts w:ascii="Verdana" w:hAnsi="Verdana" w:cs="Arial"/>
          <w:i/>
          <w:color w:val="000000" w:themeColor="text1"/>
          <w:lang w:val="es-ES"/>
        </w:rPr>
        <w:t xml:space="preserve">Las excepciones aplicables a la restricción de contratación pública. </w:t>
      </w:r>
      <w:r w:rsidRPr="00553A27">
        <w:rPr>
          <w:rFonts w:ascii="Verdana" w:hAnsi="Verdana" w:cs="Arial"/>
          <w:color w:val="000000" w:themeColor="text1"/>
          <w:shd w:val="clear" w:color="auto" w:fill="FFFFFF"/>
          <w:lang w:val="es-ES"/>
        </w:rPr>
        <w:t>Ahora bien, las únicas excepciones a las disposiciones previstas en la Ley de Garantías se encuentran numeradas taxativamente en el último inciso del artículo 33 de la ley 996 de 2005 […]”</w:t>
      </w:r>
      <w:r w:rsidRPr="00553A27">
        <w:rPr>
          <w:rFonts w:ascii="Verdana" w:hAnsi="Verdana" w:cs="Arial"/>
          <w:color w:val="000000" w:themeColor="text1"/>
          <w:shd w:val="clear" w:color="auto" w:fill="FFFFFF"/>
          <w:vertAlign w:val="superscript"/>
          <w:lang w:val="es-ES"/>
        </w:rPr>
        <w:footnoteReference w:id="29"/>
      </w:r>
      <w:r w:rsidRPr="00553A27">
        <w:rPr>
          <w:rFonts w:ascii="Verdana" w:hAnsi="Verdana" w:cs="Arial"/>
          <w:color w:val="000000" w:themeColor="text1"/>
          <w:shd w:val="clear" w:color="auto" w:fill="FFFFFF"/>
          <w:lang w:val="es-ES"/>
        </w:rPr>
        <w:t>.</w:t>
      </w:r>
    </w:p>
    <w:p w14:paraId="6E62C83A" w14:textId="77777777" w:rsidR="00BD0A14" w:rsidRPr="00553A27" w:rsidRDefault="00BD0A14" w:rsidP="00BD0A14">
      <w:pPr>
        <w:tabs>
          <w:tab w:val="left" w:pos="426"/>
          <w:tab w:val="left" w:pos="3402"/>
        </w:tabs>
        <w:spacing w:after="120" w:line="276" w:lineRule="auto"/>
        <w:ind w:firstLine="709"/>
        <w:jc w:val="both"/>
        <w:rPr>
          <w:rFonts w:ascii="Verdana" w:hAnsi="Verdana" w:cs="Arial"/>
          <w:bCs/>
          <w:color w:val="000000" w:themeColor="text1"/>
          <w:lang w:val="es-ES"/>
        </w:rPr>
      </w:pPr>
      <w:r w:rsidRPr="00553A27">
        <w:rPr>
          <w:rFonts w:ascii="Verdana" w:hAnsi="Verdana" w:cs="Arial"/>
          <w:bCs/>
          <w:color w:val="000000" w:themeColor="text1"/>
          <w:lang w:val="es-ES"/>
        </w:rPr>
        <w:t xml:space="preserve">Lo anterior implica que las excepciones al artículo 33 en comento deben interpretarse y aplicarse de manera </w:t>
      </w:r>
      <w:r w:rsidRPr="00553A27">
        <w:rPr>
          <w:rFonts w:ascii="Verdana" w:hAnsi="Verdana" w:cs="Arial"/>
          <w:bCs/>
          <w:i/>
          <w:iCs/>
          <w:color w:val="000000" w:themeColor="text1"/>
          <w:lang w:val="es-ES"/>
        </w:rPr>
        <w:t>estricta</w:t>
      </w:r>
      <w:r w:rsidRPr="00553A27">
        <w:rPr>
          <w:rFonts w:ascii="Verdana" w:hAnsi="Verdana" w:cs="Arial"/>
          <w:bCs/>
          <w:color w:val="000000" w:themeColor="text1"/>
          <w:lang w:val="es-ES"/>
        </w:rPr>
        <w:t>. En otras palabras, no es factible hacer interpretaciones extensivas</w:t>
      </w:r>
      <w:r w:rsidRPr="00553A27">
        <w:rPr>
          <w:rFonts w:ascii="Verdana" w:hAnsi="Verdana" w:cs="Arial"/>
          <w:bCs/>
          <w:i/>
          <w:iCs/>
          <w:color w:val="000000" w:themeColor="text1"/>
          <w:lang w:val="es-ES"/>
        </w:rPr>
        <w:t xml:space="preserve"> </w:t>
      </w:r>
      <w:r w:rsidRPr="00553A27">
        <w:rPr>
          <w:rFonts w:ascii="Verdana" w:hAnsi="Verdana" w:cs="Arial"/>
          <w:bCs/>
          <w:color w:val="000000" w:themeColor="text1"/>
          <w:lang w:val="es-ES"/>
        </w:rPr>
        <w:t xml:space="preserve">para incluir otros supuestos de hecho similares a las circunstancias previstas en dicho artículo, pues el carácter taxativo implica </w:t>
      </w:r>
      <w:r w:rsidRPr="00553A27">
        <w:rPr>
          <w:rFonts w:ascii="Verdana" w:hAnsi="Verdana" w:cs="Arial"/>
          <w:bCs/>
          <w:color w:val="000000" w:themeColor="text1"/>
          <w:lang w:val="es-ES"/>
        </w:rPr>
        <w:lastRenderedPageBreak/>
        <w:t xml:space="preserve">que solo en los eventos consagrados expresamente en la norma permiten que ciertas entidades estatales se vean exceptuadas de la prohibición. </w:t>
      </w:r>
    </w:p>
    <w:p w14:paraId="5EA857EC" w14:textId="77777777" w:rsidR="00BD0A14" w:rsidRPr="00553A27" w:rsidRDefault="00BD0A14" w:rsidP="00BD0A14">
      <w:pPr>
        <w:spacing w:after="0" w:line="276" w:lineRule="auto"/>
        <w:ind w:firstLine="709"/>
        <w:jc w:val="both"/>
        <w:rPr>
          <w:rFonts w:ascii="Verdana" w:hAnsi="Verdana" w:cs="Arial"/>
          <w:bCs/>
          <w:color w:val="000000" w:themeColor="text1"/>
        </w:rPr>
      </w:pPr>
      <w:r w:rsidRPr="00553A27">
        <w:rPr>
          <w:rFonts w:ascii="Verdana" w:hAnsi="Verdana" w:cs="Arial"/>
          <w:bCs/>
          <w:color w:val="000000" w:themeColor="text1"/>
          <w:lang w:val="es-ES"/>
        </w:rPr>
        <w:t xml:space="preserve">Particularmente, </w:t>
      </w:r>
      <w:r w:rsidRPr="00553A27">
        <w:rPr>
          <w:rFonts w:ascii="Verdana" w:hAnsi="Verdana" w:cs="Arial"/>
          <w:bCs/>
          <w:color w:val="000000" w:themeColor="text1"/>
        </w:rPr>
        <w:t xml:space="preserve">al confrontar el catálogo de excepciones con </w:t>
      </w:r>
      <w:r w:rsidRPr="00553A27">
        <w:rPr>
          <w:rFonts w:ascii="Verdana" w:hAnsi="Verdana" w:cs="Arial"/>
          <w:bCs/>
          <w:color w:val="000000" w:themeColor="text1"/>
          <w:lang w:val="es-ES"/>
        </w:rPr>
        <w:t xml:space="preserve">los contratos </w:t>
      </w:r>
      <w:r w:rsidRPr="00553A27">
        <w:rPr>
          <w:rFonts w:ascii="Verdana" w:hAnsi="Verdana" w:cs="Arial"/>
          <w:bCs/>
          <w:color w:val="000000" w:themeColor="text1"/>
        </w:rPr>
        <w:t>directos —particularmente los contratos de prestación de servicios profesionales y/o de apoyo a la gestión— a los que se hace referencia en la presente solicitud, se advierte que dichos contratos no encuadran en ninguno de los supuestos exceptuados por el inciso segundo del artículo 33 de la Ley 996 de 2005. Nótese que la circunstancia particular de una mujer que se encuentra en estado de embarazo tampoco está dentro de las excepcione antes mencionadas. Por lo tanto, al no estar expresamente excluidos del ámbito de la prohibición, tales contratos se encuentran comprendidos en la restricción general a la contratación directa durante los cuatro (4) meses previos a las elecciones, lo que implica que su celebración en ese periodo resulta jurídicamente improcedente.</w:t>
      </w:r>
    </w:p>
    <w:p w14:paraId="7B41E680" w14:textId="77777777" w:rsidR="00BD0A14" w:rsidRPr="00553A27" w:rsidRDefault="00BD0A14" w:rsidP="00BD0A14">
      <w:pPr>
        <w:spacing w:after="0" w:line="276" w:lineRule="auto"/>
        <w:ind w:firstLine="709"/>
        <w:jc w:val="both"/>
        <w:rPr>
          <w:rFonts w:ascii="Verdana" w:hAnsi="Verdana" w:cs="Arial"/>
          <w:bCs/>
          <w:color w:val="000000" w:themeColor="text1"/>
          <w:lang w:val="es-ES"/>
        </w:rPr>
      </w:pPr>
    </w:p>
    <w:p w14:paraId="2A34C0AD" w14:textId="77777777" w:rsidR="00BD0A14" w:rsidRPr="00553A27" w:rsidRDefault="00BD0A14" w:rsidP="00BD0A14">
      <w:pPr>
        <w:spacing w:after="120" w:line="276" w:lineRule="auto"/>
        <w:jc w:val="both"/>
        <w:rPr>
          <w:rFonts w:ascii="Verdana" w:hAnsi="Verdana" w:cs="Arial"/>
          <w:bCs/>
          <w:color w:val="000000" w:themeColor="text1"/>
        </w:rPr>
      </w:pPr>
      <w:r w:rsidRPr="00553A27">
        <w:rPr>
          <w:rFonts w:ascii="Verdana" w:hAnsi="Verdana" w:cs="Arial"/>
          <w:bCs/>
          <w:color w:val="000000" w:themeColor="text1"/>
          <w:lang w:val="es-ES"/>
        </w:rPr>
        <w:t xml:space="preserve">iii. </w:t>
      </w:r>
      <w:r w:rsidRPr="00553A27">
        <w:rPr>
          <w:rFonts w:ascii="Verdana" w:hAnsi="Verdana" w:cs="Arial"/>
          <w:bCs/>
          <w:color w:val="000000" w:themeColor="text1"/>
        </w:rPr>
        <w:t>Así las cosas, una vez delimitado, de un lado, el alcance constitucional de la estabilidad ocupacional reforzada de la mujer embarazada y/o en periodo de lactancia y, de otro, las restricciones a la contratación directa aplicables en período preelectoral, particularmente la restricción del artículo 33 de la Ley 996 de 2005, corresponde analizar cómo deben articularse ambos regímenes en el ámbito de actuación de las entidades territoriales, a fin de adoptar decisiones que, sin desconocer las prohibiciones legales vigentes, permitan garantizar efectivamente los derechos fundamentales comprometidos.</w:t>
      </w:r>
    </w:p>
    <w:p w14:paraId="44D07035" w14:textId="4ABF0C9D" w:rsidR="00BD0A14" w:rsidRPr="00553A27" w:rsidRDefault="00BD0A14" w:rsidP="00BD0A14">
      <w:pPr>
        <w:tabs>
          <w:tab w:val="left" w:pos="426"/>
          <w:tab w:val="left" w:pos="3402"/>
        </w:tabs>
        <w:spacing w:after="120" w:line="276" w:lineRule="auto"/>
        <w:ind w:firstLine="709"/>
        <w:jc w:val="both"/>
        <w:rPr>
          <w:rFonts w:ascii="Verdana" w:hAnsi="Verdana" w:cs="Arial"/>
          <w:bCs/>
          <w:color w:val="000000" w:themeColor="text1"/>
        </w:rPr>
      </w:pPr>
      <w:r w:rsidRPr="00553A27">
        <w:rPr>
          <w:rFonts w:ascii="Verdana" w:hAnsi="Verdana" w:cs="Arial"/>
          <w:bCs/>
          <w:color w:val="000000" w:themeColor="text1"/>
        </w:rPr>
        <w:t xml:space="preserve">Frente a las consideraciones específicas del presente concepto, es necesario precisar que la </w:t>
      </w:r>
      <w:r w:rsidR="003045E9" w:rsidRPr="00553A27">
        <w:rPr>
          <w:rFonts w:ascii="Verdana" w:hAnsi="Verdana" w:cs="Arial"/>
          <w:bCs/>
          <w:color w:val="000000" w:themeColor="text1"/>
        </w:rPr>
        <w:t>E</w:t>
      </w:r>
      <w:r w:rsidRPr="00553A27">
        <w:rPr>
          <w:rFonts w:ascii="Verdana" w:hAnsi="Verdana" w:cs="Arial"/>
          <w:bCs/>
          <w:color w:val="000000" w:themeColor="text1"/>
        </w:rPr>
        <w:t>ntidad respecto de la cual se consulta corresponde a una entidad territorial, razón por la cual se encuentra comprendida dentro del ámbito subjetivo de aplicación de la restricción prevista en el artículo 33 de la Ley 996 de 2005, en tanto dicha disposición se dirige expresamente a “todos los entes del Estado”, sin distinción alguna respecto de su naturaleza, nivel territorial o régimen jurídico aplicable.</w:t>
      </w:r>
    </w:p>
    <w:p w14:paraId="0B6D8669" w14:textId="77777777" w:rsidR="00BD0A14" w:rsidRPr="00553A27" w:rsidRDefault="00BD0A14" w:rsidP="00BD0A14">
      <w:pPr>
        <w:tabs>
          <w:tab w:val="left" w:pos="426"/>
        </w:tabs>
        <w:spacing w:after="0" w:line="276" w:lineRule="auto"/>
        <w:ind w:firstLine="709"/>
        <w:jc w:val="both"/>
        <w:rPr>
          <w:rFonts w:ascii="Verdana" w:hAnsi="Verdana" w:cs="Arial"/>
          <w:bCs/>
          <w:color w:val="000000" w:themeColor="text1"/>
        </w:rPr>
      </w:pPr>
      <w:r w:rsidRPr="00553A27">
        <w:rPr>
          <w:rFonts w:ascii="Verdana" w:hAnsi="Verdana" w:cs="Arial"/>
          <w:bCs/>
          <w:color w:val="000000" w:themeColor="text1"/>
        </w:rPr>
        <w:t xml:space="preserve">Ahora bien, la prohibición consagrada en la norma citada recae sobre la contratación directa, entendida esta como la celebración de nuevos negocios jurídicos bajo modalidades que no impliquen convocatoria pública ni pluralidad de oferentes. En ese sentido, la restricción no se extiende, en principio, a las modificaciones, prórrogas o adiciones de contratos previamente suscritos, más </w:t>
      </w:r>
      <w:r w:rsidRPr="00553A27">
        <w:rPr>
          <w:rFonts w:ascii="Verdana" w:hAnsi="Verdana" w:cs="Arial"/>
          <w:bCs/>
          <w:color w:val="000000" w:themeColor="text1"/>
        </w:rPr>
        <w:lastRenderedPageBreak/>
        <w:t>allá de las limitaciones propias establecidas en el Estatuto General de Contratación de la Administración Pública, salvo que el objeto contractual se subsuma en alguno de los supuestos expresamente exceptuados por el inciso segundo del artículo 33 de la Ley 996 de 2005, esto es:</w:t>
      </w:r>
    </w:p>
    <w:p w14:paraId="03CA25DE" w14:textId="77777777" w:rsidR="00BD0A14" w:rsidRPr="00553A27" w:rsidRDefault="00BD0A14" w:rsidP="003736FE">
      <w:pPr>
        <w:tabs>
          <w:tab w:val="left" w:pos="426"/>
        </w:tabs>
        <w:spacing w:after="0" w:line="240" w:lineRule="auto"/>
        <w:ind w:left="709" w:right="709" w:firstLine="709"/>
        <w:jc w:val="both"/>
        <w:rPr>
          <w:rFonts w:ascii="Verdana" w:hAnsi="Verdana" w:cs="Arial"/>
          <w:bCs/>
          <w:color w:val="000000" w:themeColor="text1"/>
          <w:sz w:val="20"/>
          <w:szCs w:val="20"/>
        </w:rPr>
      </w:pPr>
      <w:r w:rsidRPr="00553A27">
        <w:rPr>
          <w:rFonts w:ascii="Verdana" w:hAnsi="Verdana" w:cs="Arial"/>
          <w:bCs/>
          <w:color w:val="000000" w:themeColor="text1"/>
          <w:sz w:val="20"/>
          <w:szCs w:val="20"/>
        </w:rPr>
        <w:br/>
        <w:t>“[…]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7D1B6034" w14:textId="77777777" w:rsidR="00BD0A14" w:rsidRPr="00553A27" w:rsidRDefault="00BD0A14" w:rsidP="00BD0A14">
      <w:pPr>
        <w:tabs>
          <w:tab w:val="left" w:pos="426"/>
        </w:tabs>
        <w:spacing w:after="0" w:line="276" w:lineRule="auto"/>
        <w:ind w:firstLine="709"/>
        <w:jc w:val="both"/>
        <w:rPr>
          <w:rFonts w:ascii="Verdana" w:hAnsi="Verdana" w:cs="Arial"/>
          <w:bCs/>
          <w:color w:val="000000" w:themeColor="text1"/>
        </w:rPr>
      </w:pPr>
    </w:p>
    <w:p w14:paraId="1E46B1B0" w14:textId="77777777" w:rsidR="00BD0A14" w:rsidRPr="00553A27" w:rsidRDefault="00BD0A14" w:rsidP="00BD0A14">
      <w:pPr>
        <w:tabs>
          <w:tab w:val="left" w:pos="426"/>
          <w:tab w:val="left" w:pos="3402"/>
        </w:tabs>
        <w:spacing w:after="120" w:line="276" w:lineRule="auto"/>
        <w:ind w:firstLine="709"/>
        <w:jc w:val="both"/>
        <w:rPr>
          <w:rFonts w:ascii="Verdana" w:hAnsi="Verdana" w:cs="Arial"/>
          <w:bCs/>
          <w:color w:val="000000" w:themeColor="text1"/>
        </w:rPr>
      </w:pPr>
      <w:r w:rsidRPr="00553A27">
        <w:rPr>
          <w:rFonts w:ascii="Verdana" w:hAnsi="Verdana" w:cs="Arial"/>
          <w:bCs/>
          <w:color w:val="000000" w:themeColor="text1"/>
        </w:rPr>
        <w:t>En este contexto, resulta fundamental que, en el marco del principio de planeación, como manifestación del principio de economía, cuyo propósito es asegurar que toda actuación contractual esté precedida de los estudios técnicos, financieros y jurídicos necesarios para determinar su viabilidad y conveniencia, y teniendo en cuenta las restricciones derivadas de la Ley de Garantías Electorales, la entidad estatal evalúe si resulta jurídicamente procedente, a la luz de los criterios desarrollados por la Corte Constitucional para la protección de los derechos de las mujeres en estado de embarazo o en período de lactancia, adelantar prórrogas, modificaciones o adiciones de los contratos celebrados con anterioridad a la entrada en vigencia de las prohibiciones mencionadas, así como la cesión de los mismos, actuaciones que, en principio, pueden tener lugar durante el período de aplicación de la Ley de Garantías, siempre que no se desnaturalice la prohibición de la contratación directa y se respeten los principios de planeación, transparencia y responsabilidad.</w:t>
      </w:r>
    </w:p>
    <w:p w14:paraId="1FF74D0E" w14:textId="18DECFDE" w:rsidR="002C33EB" w:rsidRPr="00553A27" w:rsidRDefault="00BD0A14" w:rsidP="006A739A">
      <w:pPr>
        <w:tabs>
          <w:tab w:val="left" w:pos="426"/>
          <w:tab w:val="left" w:pos="3402"/>
        </w:tabs>
        <w:spacing w:after="0" w:line="276" w:lineRule="auto"/>
        <w:ind w:firstLine="709"/>
        <w:jc w:val="both"/>
        <w:rPr>
          <w:rFonts w:ascii="Verdana" w:hAnsi="Verdana" w:cs="Arial"/>
          <w:bCs/>
          <w:color w:val="000000" w:themeColor="text1"/>
        </w:rPr>
      </w:pPr>
      <w:r w:rsidRPr="00553A27">
        <w:rPr>
          <w:rFonts w:ascii="Verdana" w:hAnsi="Verdana" w:cs="Arial"/>
          <w:bCs/>
          <w:color w:val="000000" w:themeColor="text1"/>
        </w:rPr>
        <w:t>No obstante, debe advertirse que dicho análisis corresponde ser realizado por cada entidad estatal en ejercicio de su autonomía, atendiendo a las particularidades del caso concreto, en la medida en que el alcance del presente concepto no permite resolver de manera específica la situación planteada.</w:t>
      </w:r>
    </w:p>
    <w:p w14:paraId="0379EB35" w14:textId="77777777" w:rsidR="00C30714" w:rsidRPr="00553A27" w:rsidRDefault="00C30714" w:rsidP="00C30714">
      <w:pPr>
        <w:pBdr>
          <w:top w:val="nil"/>
          <w:left w:val="nil"/>
          <w:bottom w:val="nil"/>
          <w:right w:val="nil"/>
          <w:between w:val="nil"/>
        </w:pBdr>
        <w:spacing w:after="0" w:line="276" w:lineRule="auto"/>
        <w:jc w:val="both"/>
        <w:rPr>
          <w:rFonts w:ascii="Verdana" w:eastAsia="Calibri" w:hAnsi="Verdana" w:cs="Arial"/>
          <w:bCs/>
          <w:color w:val="000000" w:themeColor="text1"/>
          <w:lang w:val="es-ES_tradnl"/>
        </w:rPr>
      </w:pPr>
    </w:p>
    <w:p w14:paraId="7741109D" w14:textId="77777777" w:rsidR="00C30714" w:rsidRPr="00553A27" w:rsidRDefault="00C30714" w:rsidP="00C30714">
      <w:pPr>
        <w:pStyle w:val="Prrafodelista"/>
        <w:numPr>
          <w:ilvl w:val="0"/>
          <w:numId w:val="19"/>
        </w:numPr>
        <w:tabs>
          <w:tab w:val="left" w:pos="142"/>
          <w:tab w:val="left" w:pos="284"/>
        </w:tabs>
        <w:spacing w:after="0" w:line="276" w:lineRule="auto"/>
        <w:ind w:left="360"/>
        <w:contextualSpacing w:val="0"/>
        <w:jc w:val="both"/>
        <w:rPr>
          <w:rFonts w:ascii="Verdana" w:eastAsia="Century Gothic" w:hAnsi="Verdana" w:cs="Century Gothic"/>
          <w:b/>
          <w:bCs/>
        </w:rPr>
      </w:pPr>
      <w:r w:rsidRPr="00553A27">
        <w:rPr>
          <w:rFonts w:ascii="Verdana" w:eastAsia="Century Gothic" w:hAnsi="Verdana" w:cs="Century Gothic"/>
          <w:b/>
          <w:bCs/>
        </w:rPr>
        <w:t>Referencias normativas, jurisprudenciales y otras fuentes:</w:t>
      </w:r>
    </w:p>
    <w:p w14:paraId="1627585D" w14:textId="77777777" w:rsidR="00C30714" w:rsidRPr="00553A27" w:rsidRDefault="00C30714" w:rsidP="00C30714">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30714" w:rsidRPr="00553A27" w14:paraId="0FB6278A" w14:textId="77777777" w:rsidTr="00B5587B">
        <w:trPr>
          <w:trHeight w:val="311"/>
        </w:trPr>
        <w:tc>
          <w:tcPr>
            <w:tcW w:w="8647" w:type="dxa"/>
          </w:tcPr>
          <w:p w14:paraId="34B070B1"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Constitución Política, artículo 127.</w:t>
            </w:r>
          </w:p>
          <w:p w14:paraId="6FE01708"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 xml:space="preserve">Ley 996 de 2005 artículo 33 y artículo 38. </w:t>
            </w:r>
          </w:p>
          <w:p w14:paraId="02E07ADB"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Gaceta del Congreso de la República No. 71 del 2005.</w:t>
            </w:r>
          </w:p>
          <w:p w14:paraId="78D5DB3A"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lastRenderedPageBreak/>
              <w:t>Corte Constitucional, en la Sentencia SU-070 de 2013, con ponencia de la Magistrada Gloria Stella Ortiz Delgado.</w:t>
            </w:r>
          </w:p>
          <w:p w14:paraId="3F483EB4"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Corte Constitucional. Sentencia SU-075 de 2018. Magistrado Ponente: Gloria Stella Ortiz Delgado.</w:t>
            </w:r>
          </w:p>
          <w:p w14:paraId="519A48E5"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lang w:val="pt-BR"/>
              </w:rPr>
            </w:pPr>
            <w:r w:rsidRPr="00553A27">
              <w:rPr>
                <w:rFonts w:ascii="Verdana" w:hAnsi="Verdana" w:cs="Arial"/>
                <w:lang w:val="pt-BR"/>
              </w:rPr>
              <w:t>Corte Constitucional, sentencia T-743 de 2017, Exp. T-6.366.648 Magistrada Ponente Cristina Pardo Schlesinger.</w:t>
            </w:r>
          </w:p>
          <w:p w14:paraId="26EB5A4D"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Corte Constitucional en la sentencia T-102 del 1 de marzo de 2016 (M.P: María Victoria Calle Correa.</w:t>
            </w:r>
          </w:p>
          <w:p w14:paraId="2DF3FF09"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lang w:val="pt-BR"/>
              </w:rPr>
            </w:pPr>
            <w:r w:rsidRPr="00553A27">
              <w:rPr>
                <w:rFonts w:ascii="Verdana" w:hAnsi="Verdana" w:cs="Arial"/>
                <w:lang w:val="pt-BR"/>
              </w:rPr>
              <w:t>Corte Constitucional sentencia T-743 de 2017.</w:t>
            </w:r>
          </w:p>
          <w:p w14:paraId="048BC58E"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lang w:val="pt-BR"/>
              </w:rPr>
            </w:pPr>
            <w:r w:rsidRPr="00553A27">
              <w:rPr>
                <w:rFonts w:ascii="Verdana" w:hAnsi="Verdana" w:cs="Arial"/>
                <w:lang w:val="pt-BR"/>
              </w:rPr>
              <w:t xml:space="preserve">Corte Constitucional sentencia T-030 de 2018.  </w:t>
            </w:r>
          </w:p>
          <w:p w14:paraId="01267E6E"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lang w:val="pt-BR"/>
              </w:rPr>
              <w:t>Corte Constitucional</w:t>
            </w:r>
            <w:r w:rsidRPr="00553A27">
              <w:rPr>
                <w:rFonts w:ascii="Verdana" w:hAnsi="Verdana" w:cs="Arial"/>
              </w:rPr>
              <w:t xml:space="preserve"> T-350 del 2016.</w:t>
            </w:r>
          </w:p>
          <w:p w14:paraId="3CCCEB06"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Corte Constitucional. Sentencia T-329 del 19 de septiembre de 2022. Expediente T-8.517.984. Magistrada Ponente: Natalia Ángel Cabo</w:t>
            </w:r>
          </w:p>
          <w:p w14:paraId="1C610D57"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Corte Constitucional, Sentencia C- 1153 de 2005, M.P. Marco Gerardo Monroy Cabra.</w:t>
            </w:r>
          </w:p>
          <w:p w14:paraId="52497E79"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p w14:paraId="6885C6D0"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p w14:paraId="6F29181D"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Consejo de Estado, Sala de Consulta y Servicio Civil de fecha 24 de julio de 2013, Rad. 2166, C. P. Álvaro Namén Vargas.</w:t>
            </w:r>
          </w:p>
          <w:p w14:paraId="168F08B9"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Consejo de Estado. Sala de Consulta y Servicio Civil. Concepto del 17 de febrero de 2015. C.P. William Zambrano Cetina. Radicación No. 11001-03-06-000-2015-00164-00(2269)</w:t>
            </w:r>
          </w:p>
          <w:p w14:paraId="084E622C"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Corte Constitucional, en la Sentencia C-1153 del 11 de noviembre de 2005</w:t>
            </w:r>
          </w:p>
          <w:p w14:paraId="4218F7F8"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 xml:space="preserve">Consejo de Estado Sala de Consulta y Servicio Civil, Concepto 1712 de 2 de febrero de 2006. </w:t>
            </w:r>
          </w:p>
          <w:p w14:paraId="52EDB198"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 xml:space="preserve">Consejo de Estado. Sala de Consulta y Servicio Civil. Concepto del 2 </w:t>
            </w:r>
            <w:r w:rsidRPr="00553A27">
              <w:rPr>
                <w:rFonts w:ascii="Verdana" w:hAnsi="Verdana" w:cs="Arial"/>
              </w:rPr>
              <w:lastRenderedPageBreak/>
              <w:t>de septiembre de 2013. Radicación número: 11001-03-06-000-2013-00412-00 (2168). Consejero Ponente: Álvaro Namén Vargas.</w:t>
            </w:r>
          </w:p>
          <w:p w14:paraId="03C2FF85"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Consejo de Estado. Sala de Consulta y Servicio Civil. Concepto del 08 de mayo de 2018. Exp. 2.382. C.P. Álvaro Namén Vargas.</w:t>
            </w:r>
          </w:p>
          <w:p w14:paraId="6AD148FC"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Consejo de Estado. Sala de Consulta y Servicio Civil. Concepto de 20 de febrero de 2006. Radicación Número: 11001-03-06-000-2006-00026-00(1727)</w:t>
            </w:r>
          </w:p>
          <w:p w14:paraId="35E87A42" w14:textId="77777777"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Consejo de Estado. Sala de Consulta y Servicio Civil. Concepto del 18 de febrero 2010. Rad. 11001-03-06-000-2010-00006-00 (1985). C.P. Enrique José Arboleda Perdomo</w:t>
            </w:r>
          </w:p>
          <w:p w14:paraId="5BA623BE" w14:textId="1E5820A1" w:rsidR="00DF0791" w:rsidRPr="00553A27" w:rsidRDefault="00DF0791" w:rsidP="00DF0791">
            <w:pPr>
              <w:widowControl w:val="0"/>
              <w:numPr>
                <w:ilvl w:val="0"/>
                <w:numId w:val="18"/>
              </w:numPr>
              <w:autoSpaceDE w:val="0"/>
              <w:autoSpaceDN w:val="0"/>
              <w:spacing w:line="276" w:lineRule="auto"/>
              <w:jc w:val="both"/>
              <w:rPr>
                <w:rFonts w:ascii="Verdana" w:hAnsi="Verdana" w:cs="Arial"/>
              </w:rPr>
            </w:pPr>
            <w:r w:rsidRPr="00553A27">
              <w:rPr>
                <w:rFonts w:ascii="Verdana" w:hAnsi="Verdana" w:cs="Arial"/>
              </w:rPr>
              <w:t>Consejo de Estado. Sala de Consulta y Servicio Civil. Concepto del 02 de septiembre de 2013. Rad. 11001-03-06-000-2013-00412-00 (2168). C.P. Álvaro Namén Vargas</w:t>
            </w:r>
          </w:p>
        </w:tc>
      </w:tr>
    </w:tbl>
    <w:p w14:paraId="5A1781BE" w14:textId="77777777" w:rsidR="00C30714" w:rsidRPr="00553A27" w:rsidRDefault="00C30714" w:rsidP="00C30714">
      <w:pPr>
        <w:widowControl w:val="0"/>
        <w:autoSpaceDE w:val="0"/>
        <w:autoSpaceDN w:val="0"/>
        <w:spacing w:after="0" w:line="276" w:lineRule="auto"/>
        <w:jc w:val="both"/>
        <w:rPr>
          <w:rFonts w:ascii="Verdana" w:hAnsi="Verdana" w:cs="Arial"/>
        </w:rPr>
      </w:pPr>
    </w:p>
    <w:p w14:paraId="52D94118" w14:textId="77777777" w:rsidR="00C30714" w:rsidRPr="00553A27" w:rsidRDefault="00C30714" w:rsidP="00C30714">
      <w:pPr>
        <w:pStyle w:val="Prrafodelista"/>
        <w:numPr>
          <w:ilvl w:val="0"/>
          <w:numId w:val="19"/>
        </w:numPr>
        <w:tabs>
          <w:tab w:val="left" w:pos="142"/>
          <w:tab w:val="left" w:pos="284"/>
        </w:tabs>
        <w:spacing w:after="0" w:line="276" w:lineRule="auto"/>
        <w:ind w:left="0" w:firstLine="0"/>
        <w:contextualSpacing w:val="0"/>
        <w:jc w:val="both"/>
        <w:rPr>
          <w:rFonts w:ascii="Verdana" w:eastAsia="Century Gothic" w:hAnsi="Verdana" w:cs="Arial"/>
          <w:b/>
          <w:bCs/>
        </w:rPr>
      </w:pPr>
      <w:r w:rsidRPr="00553A27">
        <w:rPr>
          <w:rFonts w:ascii="Verdana" w:eastAsia="Century Gothic" w:hAnsi="Verdana" w:cs="Arial"/>
          <w:b/>
          <w:bCs/>
        </w:rPr>
        <w:t>Doctrina de la Agencia Nacional de Contratación Pública:</w:t>
      </w:r>
    </w:p>
    <w:p w14:paraId="73A32536" w14:textId="77777777" w:rsidR="00C30714" w:rsidRPr="00553A27" w:rsidRDefault="00C30714" w:rsidP="00C30714">
      <w:pPr>
        <w:widowControl w:val="0"/>
        <w:autoSpaceDE w:val="0"/>
        <w:autoSpaceDN w:val="0"/>
        <w:spacing w:after="0" w:line="276" w:lineRule="auto"/>
        <w:jc w:val="both"/>
        <w:rPr>
          <w:rFonts w:ascii="Verdana" w:hAnsi="Verdana" w:cs="Arial"/>
        </w:rPr>
      </w:pPr>
    </w:p>
    <w:p w14:paraId="231717E9" w14:textId="4C186503" w:rsidR="00B16083" w:rsidRPr="00553A27" w:rsidRDefault="00B16083" w:rsidP="00B16083">
      <w:pPr>
        <w:widowControl w:val="0"/>
        <w:autoSpaceDE w:val="0"/>
        <w:autoSpaceDN w:val="0"/>
        <w:spacing w:after="240" w:line="276" w:lineRule="auto"/>
        <w:jc w:val="both"/>
        <w:rPr>
          <w:rFonts w:ascii="Verdana" w:hAnsi="Verdana" w:cs="Arial"/>
          <w:shd w:val="clear" w:color="auto" w:fill="FFFFFF"/>
        </w:rPr>
      </w:pPr>
      <w:r w:rsidRPr="00553A27">
        <w:rPr>
          <w:rFonts w:ascii="Verdana" w:hAnsi="Verdana" w:cs="Arial"/>
          <w:bCs/>
          <w:shd w:val="clear" w:color="auto" w:fill="FFFFFF"/>
        </w:rPr>
        <w:t>Sobre la estabilidad laboral reforzada en mujer embarazada que tiene un vínculo a través de un contrato de prestación de servicios, esta Subdirección se ha pronunciado en los conceptos 2201913000009150 del 11 de diciembre de 2019, 2201913000009571 del 24 de diciembre de 2019, C-712 del 7 de diciembre de 2022, C-789 del 22 de noviembre de 2022, C-920 del 14 de febrero de 2023, C-031 del 17 de marzo de 2023, C-213 de 26 de junio de 2023, C-463 del 11 de noviembre de 2023, C- 015 del 13 de febrero de 2024, C-076 del 8 de julio de 2024, C-300 del 21 de agosto de 2024, C-922 del 8 de diciembre de 2024, C-142 del 14 de marzo de 2025, C- 192 del 25 de marzo de 2025, C- 414 del 12 de mayo de 2025, C-1271 del 17 de octubre de 2025</w:t>
      </w:r>
      <w:r w:rsidRPr="00553A27">
        <w:rPr>
          <w:rFonts w:ascii="Verdana" w:hAnsi="Verdana" w:cs="Arial"/>
          <w:shd w:val="clear" w:color="auto" w:fill="FFFFFF"/>
        </w:rPr>
        <w:t>, C-1415 del 11 de noviembre de 2025 y C-</w:t>
      </w:r>
      <w:r w:rsidR="00D32228" w:rsidRPr="00553A27">
        <w:rPr>
          <w:rFonts w:ascii="Verdana" w:hAnsi="Verdana" w:cs="Arial"/>
          <w:shd w:val="clear" w:color="auto" w:fill="FFFFFF"/>
        </w:rPr>
        <w:t>346 del 14 de abril del 2026</w:t>
      </w:r>
      <w:r w:rsidRPr="00553A27">
        <w:rPr>
          <w:rFonts w:ascii="Verdana" w:hAnsi="Verdana" w:cs="Arial"/>
          <w:shd w:val="clear" w:color="auto" w:fill="FFFFFF"/>
        </w:rPr>
        <w:t>, entre otros</w:t>
      </w:r>
      <w:r w:rsidRPr="00553A27">
        <w:rPr>
          <w:rFonts w:ascii="Verdana" w:hAnsi="Verdana" w:cs="Arial"/>
          <w:shd w:val="clear" w:color="auto" w:fill="FFFFFF"/>
          <w:lang w:val="es-ES"/>
        </w:rPr>
        <w:t>.</w:t>
      </w:r>
      <w:r w:rsidRPr="00553A27">
        <w:rPr>
          <w:rStyle w:val="normaltextrun"/>
          <w:rFonts w:ascii="Verdana" w:hAnsi="Verdana" w:cs="Arial"/>
          <w:shd w:val="clear" w:color="auto" w:fill="FFFFFF"/>
          <w:lang w:val="es-ES"/>
        </w:rPr>
        <w:t xml:space="preserve"> Así mismo, </w:t>
      </w:r>
      <w:r w:rsidRPr="00553A27">
        <w:rPr>
          <w:rFonts w:ascii="Verdana" w:hAnsi="Verdana" w:cs="Arial"/>
          <w:shd w:val="clear" w:color="auto" w:fill="FFFFFF"/>
        </w:rPr>
        <w:t xml:space="preserve">esta Subdirección se ha pronunciado sobre la finalidad y propósito de la Ley de Garantías Electorales en los Conceptos C-227 del 24 de mayo de 2021, C-396 del 13 de agosto de 2021, C-439 del 27 de agosto de 2021, C-481 del 9 de septiembre de 2021, C-528 del 27 de septiembre de 2021, C-550 del 5 de octubre de 2021, C-523 del 10 de octubre de 2021, C-606 del 28 de octubre de 2021, C-614 del 2 de noviembre de 2021, C-634 del 11 de noviembre de 2021, C-636 del 16 de noviembre de 2021, C-681 del 7 de diciembre de 2021, C-686 del 21 de diciembre de 2021, C-054 del 22 de marzo de 2022, C-179 del 8 de abril de 2022, C-161 del 17 de mayo de 2022, C- 180 del 21 de marzo de 2025, </w:t>
      </w:r>
      <w:r w:rsidRPr="00553A27">
        <w:rPr>
          <w:rFonts w:ascii="Verdana" w:hAnsi="Verdana" w:cs="Arial"/>
          <w:shd w:val="clear" w:color="auto" w:fill="FFFFFF"/>
        </w:rPr>
        <w:lastRenderedPageBreak/>
        <w:t xml:space="preserve">C-696 del 11 de julio de 2025, C-708 del 15 de julio de 2025, C-1186 del 17 de septiembre de 2025, C-1350 del 1˚ de octubre de 2025, C-1430 del 12 de noviembre de 2025, C-1568 del 14 de noviembre de 2025 y C-1676 del 22 de diciembre de 2026, entre otros. Estos conceptos se encuentran disponibles para consulta en el Sistema de relatoría de la Agencia, al cual puede accederse a través del siguiente enlace: </w:t>
      </w:r>
      <w:hyperlink r:id="rId12" w:history="1">
        <w:r w:rsidRPr="00553A27">
          <w:rPr>
            <w:rStyle w:val="Hipervnculo"/>
            <w:rFonts w:ascii="Verdana" w:hAnsi="Verdana" w:cs="Arial"/>
            <w:shd w:val="clear" w:color="auto" w:fill="FFFFFF"/>
          </w:rPr>
          <w:t>https://relatoria.colombiacompra.gov.co/busqueda/conceptos</w:t>
        </w:r>
      </w:hyperlink>
      <w:r w:rsidRPr="00553A27">
        <w:rPr>
          <w:rFonts w:ascii="Verdana" w:hAnsi="Verdana" w:cs="Arial"/>
          <w:shd w:val="clear" w:color="auto" w:fill="FFFFFF"/>
        </w:rPr>
        <w:t xml:space="preserve">. </w:t>
      </w:r>
      <w:r w:rsidRPr="00553A27">
        <w:rPr>
          <w:rFonts w:ascii="Verdana" w:hAnsi="Verdana" w:cs="Arial"/>
          <w:color w:val="FF0000"/>
          <w:shd w:val="clear" w:color="auto" w:fill="FFFFFF"/>
        </w:rPr>
        <w:t xml:space="preserve"> </w:t>
      </w:r>
    </w:p>
    <w:p w14:paraId="6786E1A0" w14:textId="77777777" w:rsidR="00C30714" w:rsidRPr="00553A27" w:rsidRDefault="00C30714" w:rsidP="00C30714">
      <w:pPr>
        <w:spacing w:after="0" w:line="276" w:lineRule="auto"/>
        <w:jc w:val="both"/>
        <w:rPr>
          <w:rFonts w:ascii="Verdana" w:hAnsi="Verdana" w:cs="Arial"/>
        </w:rPr>
      </w:pPr>
      <w:r w:rsidRPr="00553A27">
        <w:rPr>
          <w:rFonts w:ascii="Verdana" w:hAnsi="Verdana" w:cs="Arial"/>
        </w:rPr>
        <w:t xml:space="preserve">La sostenibilidad no es una opción, es una obligación. Por ello, la Agencia Nacional de Contratación Pública –Colombia Compra Eficiente– te invita a realizar el </w:t>
      </w:r>
      <w:r w:rsidRPr="00553A27">
        <w:rPr>
          <w:rFonts w:ascii="Verdana" w:hAnsi="Verdana" w:cs="Arial"/>
          <w:b/>
          <w:bCs/>
        </w:rPr>
        <w:t>Curso de Contratación Pública Sostenible y Socialmente Responsable</w:t>
      </w:r>
      <w:r w:rsidRPr="00553A27">
        <w:rPr>
          <w:rFonts w:ascii="Verdana"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553A27">
        <w:rPr>
          <w:rFonts w:ascii="Verdana" w:hAnsi="Verdana" w:cs="Arial"/>
        </w:rPr>
        <w:br/>
      </w:r>
      <w:hyperlink r:id="rId13" w:tgtFrame="_new" w:history="1">
        <w:r w:rsidRPr="00553A27">
          <w:rPr>
            <w:rStyle w:val="Hipervnculo"/>
            <w:rFonts w:ascii="Verdana" w:hAnsi="Verdana" w:cs="Arial"/>
          </w:rPr>
          <w:t>https://formacionvirtual.colombiacompra.gov.co/mod/page/view.php?id=3718</w:t>
        </w:r>
      </w:hyperlink>
    </w:p>
    <w:p w14:paraId="3C8AABDD" w14:textId="77777777" w:rsidR="00C30714" w:rsidRPr="00553A27" w:rsidRDefault="00C30714" w:rsidP="00C30714">
      <w:pPr>
        <w:spacing w:after="0" w:line="276" w:lineRule="auto"/>
        <w:jc w:val="both"/>
        <w:rPr>
          <w:rFonts w:ascii="Verdana" w:hAnsi="Verdana" w:cs="Arial"/>
        </w:rPr>
      </w:pPr>
    </w:p>
    <w:p w14:paraId="2EF016FA" w14:textId="77777777" w:rsidR="00C30714" w:rsidRPr="00553A27" w:rsidRDefault="00C30714" w:rsidP="00C30714">
      <w:pPr>
        <w:spacing w:after="0" w:line="276" w:lineRule="auto"/>
        <w:jc w:val="both"/>
        <w:rPr>
          <w:rFonts w:ascii="Verdana" w:hAnsi="Verdana" w:cs="Arial"/>
        </w:rPr>
      </w:pPr>
      <w:r w:rsidRPr="00553A27">
        <w:rPr>
          <w:rFonts w:ascii="Verdana" w:hAnsi="Verdana" w:cs="Arial"/>
        </w:rPr>
        <w:t xml:space="preserve">De otro lado, te contamos que esta Agencia ha da un paso decisivo en la estandarización y modernización del </w:t>
      </w:r>
      <w:r w:rsidRPr="00553A27">
        <w:rPr>
          <w:rFonts w:ascii="Verdana" w:hAnsi="Verdana" w:cs="Arial"/>
          <w:b/>
          <w:bCs/>
        </w:rPr>
        <w:t>sector  social</w:t>
      </w:r>
      <w:r w:rsidRPr="00553A27">
        <w:rPr>
          <w:rFonts w:ascii="Verdana" w:hAnsi="Verdana" w:cs="Arial"/>
        </w:rPr>
        <w:t xml:space="preserve"> con la expedición de las </w:t>
      </w:r>
      <w:r w:rsidRPr="00553A27">
        <w:rPr>
          <w:rFonts w:ascii="Verdana" w:hAnsi="Verdana" w:cs="Arial"/>
          <w:b/>
          <w:bCs/>
        </w:rPr>
        <w:t>Resoluciones 539, 540, 541, 952 y 953 de 2025</w:t>
      </w:r>
      <w:r w:rsidRPr="00553A27">
        <w:rPr>
          <w:rFonts w:ascii="Verdana" w:hAnsi="Verdana" w:cs="Arial"/>
        </w:rPr>
        <w:t xml:space="preserve">, </w:t>
      </w:r>
      <w:r w:rsidRPr="00553A27">
        <w:rPr>
          <w:rFonts w:ascii="Verdana" w:hAnsi="Verdana" w:cs="Arial"/>
          <w:b/>
          <w:bCs/>
        </w:rPr>
        <w:t>mediante las cuales adoptó Documentos Tipo</w:t>
      </w:r>
      <w:r w:rsidRPr="00553A27">
        <w:rPr>
          <w:rFonts w:ascii="Verdana" w:hAnsi="Verdana" w:cs="Arial"/>
        </w:rPr>
        <w:t xml:space="preserve"> para las modalidades de selección de</w:t>
      </w:r>
      <w:r w:rsidRPr="00553A27">
        <w:rPr>
          <w:rFonts w:ascii="Verdana" w:hAnsi="Verdana" w:cs="Arial"/>
          <w:b/>
          <w:bCs/>
        </w:rPr>
        <w:t xml:space="preserve"> licitación pública (versión 2), selección abreviada de menor cuantía, mínima cuantía, consultoría e interventoría</w:t>
      </w:r>
      <w:r w:rsidRPr="00553A27">
        <w:rPr>
          <w:rFonts w:ascii="Verdana"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553A27">
          <w:rPr>
            <w:rStyle w:val="Hipervnculo"/>
            <w:rFonts w:ascii="Verdana" w:hAnsi="Verdana" w:cs="Arial"/>
          </w:rPr>
          <w:t>https://www.colombiacompra.gov.co/normativa-y-relatoria/documentos-tipo</w:t>
        </w:r>
      </w:hyperlink>
    </w:p>
    <w:p w14:paraId="4BAE388E" w14:textId="77777777" w:rsidR="00C30714" w:rsidRPr="00553A27" w:rsidRDefault="00C30714" w:rsidP="00C30714">
      <w:pPr>
        <w:spacing w:after="0" w:line="276" w:lineRule="auto"/>
        <w:jc w:val="both"/>
        <w:rPr>
          <w:rFonts w:ascii="Verdana" w:hAnsi="Verdana" w:cs="Arial"/>
        </w:rPr>
      </w:pPr>
    </w:p>
    <w:p w14:paraId="75BC8137" w14:textId="77777777" w:rsidR="00C30714" w:rsidRPr="00553A27" w:rsidRDefault="00C30714" w:rsidP="00C30714">
      <w:pPr>
        <w:spacing w:after="0" w:line="276" w:lineRule="auto"/>
        <w:jc w:val="both"/>
        <w:rPr>
          <w:rFonts w:ascii="Verdana" w:hAnsi="Verdana" w:cs="Arial"/>
        </w:rPr>
      </w:pPr>
      <w:r w:rsidRPr="00553A27">
        <w:rPr>
          <w:rFonts w:ascii="Verdana" w:hAnsi="Verdana" w:cs="Arial"/>
        </w:rPr>
        <w:t xml:space="preserve">Si quieres conocer más sobre la aplicación de Documentos Tipo puedes consultar la última versión de la </w:t>
      </w:r>
      <w:r w:rsidRPr="00553A27">
        <w:rPr>
          <w:rFonts w:ascii="Verdana" w:hAnsi="Verdana" w:cs="Arial"/>
          <w:b/>
          <w:bCs/>
        </w:rPr>
        <w:t>Guía para la comprensión e implementación de los Documentos Tipo de obra pública de infraestructura de transporte</w:t>
      </w:r>
      <w:r w:rsidRPr="00553A27">
        <w:rPr>
          <w:rFonts w:ascii="Verdana" w:hAnsi="Verdana" w:cs="Ari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553A27">
        <w:rPr>
          <w:rFonts w:ascii="Verdana" w:hAnsi="Verdana" w:cs="Arial"/>
        </w:rPr>
        <w:br/>
      </w:r>
      <w:hyperlink r:id="rId15" w:tgtFrame="_new" w:history="1">
        <w:r w:rsidRPr="00553A27">
          <w:rPr>
            <w:rStyle w:val="Hipervnculo"/>
            <w:rFonts w:ascii="Verdana" w:hAnsi="Verdana" w:cs="Arial"/>
          </w:rPr>
          <w:t>https://www.colombiacompra.gov.co/archivos/manual/guia-para-la-comprension-e-implementacion-de-los-documentos-tipo-de-obra-publica-de-infraestructura-de-transporte-bajo-las-diferentes-modalidades-de-contratacion-vigentes</w:t>
        </w:r>
      </w:hyperlink>
    </w:p>
    <w:p w14:paraId="5BB60ED1" w14:textId="77777777" w:rsidR="00C30714" w:rsidRPr="00553A27" w:rsidRDefault="00C30714" w:rsidP="00C30714">
      <w:pPr>
        <w:spacing w:after="0" w:line="276" w:lineRule="auto"/>
        <w:jc w:val="both"/>
        <w:rPr>
          <w:rFonts w:ascii="Verdana" w:hAnsi="Verdana" w:cs="Arial"/>
        </w:rPr>
      </w:pPr>
    </w:p>
    <w:p w14:paraId="7263613B" w14:textId="77777777" w:rsidR="00C30714" w:rsidRPr="00553A27" w:rsidRDefault="00C30714" w:rsidP="00C30714">
      <w:pPr>
        <w:spacing w:after="0" w:line="276" w:lineRule="auto"/>
        <w:jc w:val="both"/>
        <w:rPr>
          <w:rFonts w:ascii="Verdana" w:hAnsi="Verdana" w:cs="Arial"/>
        </w:rPr>
      </w:pPr>
      <w:r w:rsidRPr="00553A27">
        <w:rPr>
          <w:rFonts w:ascii="Verdana" w:hAnsi="Verdana" w:cs="Arial"/>
        </w:rPr>
        <w:t xml:space="preserve">Por último, lo invitamos a seguirnos en las redes sociales en las cuales se difunde información institucional: </w:t>
      </w:r>
    </w:p>
    <w:p w14:paraId="6996178E" w14:textId="77777777" w:rsidR="00C30714" w:rsidRPr="00553A27" w:rsidRDefault="00C30714" w:rsidP="00C30714">
      <w:pPr>
        <w:spacing w:after="0" w:line="276" w:lineRule="auto"/>
        <w:jc w:val="both"/>
        <w:rPr>
          <w:rFonts w:ascii="Verdana" w:hAnsi="Verdana" w:cs="Arial"/>
        </w:rPr>
      </w:pPr>
    </w:p>
    <w:p w14:paraId="3E129DFE" w14:textId="77777777" w:rsidR="00C30714" w:rsidRPr="00553A27" w:rsidRDefault="00C30714" w:rsidP="00C30714">
      <w:pPr>
        <w:spacing w:after="0" w:line="276" w:lineRule="auto"/>
        <w:jc w:val="both"/>
        <w:rPr>
          <w:rFonts w:ascii="Verdana" w:hAnsi="Verdana" w:cs="Arial"/>
        </w:rPr>
      </w:pPr>
      <w:r w:rsidRPr="00553A27">
        <w:rPr>
          <w:rFonts w:ascii="Verdana" w:hAnsi="Verdana" w:cs="Arial"/>
        </w:rPr>
        <w:t xml:space="preserve">Twitter: </w:t>
      </w:r>
      <w:r w:rsidRPr="00553A27">
        <w:rPr>
          <w:rStyle w:val="Hipervnculo"/>
          <w:rFonts w:ascii="Verdana" w:hAnsi="Verdana" w:cs="Arial"/>
          <w:color w:val="4472C4" w:themeColor="accent1"/>
        </w:rPr>
        <w:t>@colombiacompra</w:t>
      </w:r>
      <w:r w:rsidRPr="00553A27">
        <w:rPr>
          <w:rFonts w:ascii="Verdana" w:hAnsi="Verdana" w:cs="Arial"/>
          <w:color w:val="4472C4" w:themeColor="accent1"/>
        </w:rPr>
        <w:t xml:space="preserve"> </w:t>
      </w:r>
    </w:p>
    <w:p w14:paraId="6B43F954" w14:textId="77777777" w:rsidR="00C30714" w:rsidRPr="00553A27" w:rsidRDefault="00C30714" w:rsidP="00C30714">
      <w:pPr>
        <w:spacing w:after="0" w:line="276" w:lineRule="auto"/>
        <w:jc w:val="both"/>
        <w:rPr>
          <w:rFonts w:ascii="Verdana" w:hAnsi="Verdana" w:cs="Arial"/>
        </w:rPr>
      </w:pPr>
      <w:r w:rsidRPr="00553A27">
        <w:rPr>
          <w:rFonts w:ascii="Verdana" w:hAnsi="Verdana" w:cs="Arial"/>
        </w:rPr>
        <w:t xml:space="preserve">Facebook: </w:t>
      </w:r>
      <w:r w:rsidRPr="00553A27">
        <w:rPr>
          <w:rStyle w:val="Hipervnculo"/>
          <w:rFonts w:ascii="Verdana" w:hAnsi="Verdana" w:cs="Arial"/>
          <w:color w:val="4472C4" w:themeColor="accent1"/>
        </w:rPr>
        <w:t>ColombiaCompraEficiente</w:t>
      </w:r>
    </w:p>
    <w:p w14:paraId="29C1067A" w14:textId="77777777" w:rsidR="00C30714" w:rsidRPr="00553A27" w:rsidRDefault="00C30714" w:rsidP="00C30714">
      <w:pPr>
        <w:spacing w:after="0" w:line="276" w:lineRule="auto"/>
        <w:jc w:val="both"/>
        <w:rPr>
          <w:rStyle w:val="Hipervnculo"/>
          <w:rFonts w:ascii="Verdana" w:hAnsi="Verdana" w:cs="Arial"/>
          <w:color w:val="4472C4" w:themeColor="accent1"/>
        </w:rPr>
      </w:pPr>
      <w:r w:rsidRPr="00553A27">
        <w:rPr>
          <w:rFonts w:ascii="Verdana" w:hAnsi="Verdana" w:cs="Arial"/>
        </w:rPr>
        <w:t xml:space="preserve">LinkedIn: </w:t>
      </w:r>
      <w:r w:rsidRPr="00553A27">
        <w:rPr>
          <w:rStyle w:val="Hipervnculo"/>
          <w:rFonts w:ascii="Verdana" w:hAnsi="Verdana" w:cs="Arial"/>
          <w:color w:val="4472C4" w:themeColor="accent1"/>
        </w:rPr>
        <w:t>Agencia Nacional de Contratación Pública - Colombia Compra Eficiente</w:t>
      </w:r>
      <w:r w:rsidRPr="00553A27">
        <w:rPr>
          <w:rFonts w:ascii="Verdana" w:hAnsi="Verdana" w:cs="Arial"/>
          <w:color w:val="4472C4" w:themeColor="accent1"/>
        </w:rPr>
        <w:t xml:space="preserve"> </w:t>
      </w:r>
      <w:r w:rsidRPr="00553A27">
        <w:rPr>
          <w:rFonts w:ascii="Verdana" w:hAnsi="Verdana" w:cs="Arial"/>
        </w:rPr>
        <w:t xml:space="preserve">Instagram: </w:t>
      </w:r>
      <w:r w:rsidRPr="00553A27">
        <w:rPr>
          <w:rStyle w:val="Hipervnculo"/>
          <w:rFonts w:ascii="Verdana" w:hAnsi="Verdana" w:cs="Arial"/>
          <w:color w:val="4472C4" w:themeColor="accent1"/>
        </w:rPr>
        <w:t>@colombiacompraeficiente_cce</w:t>
      </w:r>
    </w:p>
    <w:p w14:paraId="6D222CA4" w14:textId="77777777" w:rsidR="00C30714" w:rsidRPr="00553A27" w:rsidRDefault="00C30714" w:rsidP="00C30714">
      <w:pPr>
        <w:spacing w:after="0" w:line="276" w:lineRule="auto"/>
        <w:jc w:val="both"/>
        <w:rPr>
          <w:rStyle w:val="Hipervnculo"/>
          <w:rFonts w:ascii="Verdana" w:hAnsi="Verdana" w:cs="Arial"/>
          <w:color w:val="4472C4" w:themeColor="accent1"/>
        </w:rPr>
      </w:pPr>
    </w:p>
    <w:p w14:paraId="531783DE" w14:textId="77777777" w:rsidR="00C30714" w:rsidRPr="00553A27" w:rsidRDefault="00C30714" w:rsidP="00C30714">
      <w:pPr>
        <w:widowControl w:val="0"/>
        <w:autoSpaceDE w:val="0"/>
        <w:autoSpaceDN w:val="0"/>
        <w:spacing w:after="0" w:line="276" w:lineRule="auto"/>
        <w:jc w:val="both"/>
        <w:rPr>
          <w:rFonts w:ascii="Verdana" w:hAnsi="Verdana" w:cs="Arial"/>
          <w:lang w:val="es-ES_tradnl"/>
        </w:rPr>
      </w:pPr>
      <w:r w:rsidRPr="00553A27">
        <w:rPr>
          <w:rFonts w:ascii="Verdana" w:hAnsi="Verdana" w:cs="Arial"/>
        </w:rPr>
        <w:t xml:space="preserve">Este concepto tiene el alcance previsto en el artículo 28 del Código de Procedimiento Administrativo y de lo Contencioso Administrativo </w:t>
      </w:r>
      <w:r w:rsidRPr="00553A27">
        <w:rPr>
          <w:rFonts w:ascii="Verdana" w:hAnsi="Verdana" w:cs="Arial"/>
          <w:lang w:val="es-ES_tradnl"/>
        </w:rPr>
        <w:t>y las expresiones aquí utilizadas con mayúscula inicial deben ser entendidas con el significado que les otorga el artículo 2.2.1.1.1.3.1. del Decreto 1082 de 2015.</w:t>
      </w:r>
    </w:p>
    <w:p w14:paraId="482AB1E4" w14:textId="77777777" w:rsidR="00C30714" w:rsidRPr="00553A27" w:rsidRDefault="00C30714" w:rsidP="00C30714">
      <w:pPr>
        <w:widowControl w:val="0"/>
        <w:autoSpaceDE w:val="0"/>
        <w:autoSpaceDN w:val="0"/>
        <w:spacing w:after="0" w:line="276" w:lineRule="auto"/>
        <w:jc w:val="both"/>
        <w:rPr>
          <w:rFonts w:ascii="Verdana" w:hAnsi="Verdana" w:cs="Arial"/>
        </w:rPr>
      </w:pPr>
    </w:p>
    <w:p w14:paraId="28F7544B" w14:textId="77777777" w:rsidR="00C30714" w:rsidRPr="00553A27" w:rsidRDefault="00C30714" w:rsidP="00C30714">
      <w:pPr>
        <w:spacing w:after="0" w:line="276" w:lineRule="auto"/>
        <w:jc w:val="both"/>
        <w:rPr>
          <w:rFonts w:ascii="Verdana" w:hAnsi="Verdana" w:cs="Arial"/>
          <w:lang w:eastAsia="es-CO"/>
        </w:rPr>
      </w:pPr>
      <w:r w:rsidRPr="00553A27">
        <w:rPr>
          <w:rFonts w:ascii="Verdana" w:eastAsia="Times New Roman" w:hAnsi="Verdana" w:cs="Arial"/>
          <w:lang w:eastAsia="es-CO"/>
        </w:rPr>
        <w:t>Atentamente,</w:t>
      </w:r>
      <w:r w:rsidRPr="00553A27">
        <w:rPr>
          <w:rFonts w:ascii="Verdana" w:hAnsi="Verdana" w:cs="Arial"/>
          <w:lang w:eastAsia="es-CO"/>
        </w:rPr>
        <w:t xml:space="preserve"> </w:t>
      </w:r>
    </w:p>
    <w:p w14:paraId="33697A45" w14:textId="12DBF927" w:rsidR="00C30714" w:rsidRPr="00553A27" w:rsidRDefault="00DB629D" w:rsidP="003360AE">
      <w:pPr>
        <w:spacing w:after="0" w:line="276" w:lineRule="auto"/>
        <w:jc w:val="center"/>
        <w:rPr>
          <w:rFonts w:ascii="Verdana" w:hAnsi="Verdana" w:cs="Arial"/>
          <w:lang w:eastAsia="es-CO"/>
        </w:rPr>
      </w:pPr>
      <w:r w:rsidRPr="00553A27">
        <w:rPr>
          <w:rFonts w:ascii="Verdana" w:hAnsi="Verdana"/>
          <w:noProof/>
        </w:rPr>
        <w:drawing>
          <wp:inline distT="0" distB="0" distL="0" distR="0" wp14:anchorId="1BF21567" wp14:editId="312BC7CB">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6"/>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C30714" w:rsidRPr="00553A27" w14:paraId="3D8429E9" w14:textId="77777777" w:rsidTr="00B5587B">
        <w:trPr>
          <w:trHeight w:val="315"/>
        </w:trPr>
        <w:tc>
          <w:tcPr>
            <w:tcW w:w="893" w:type="dxa"/>
            <w:vAlign w:val="center"/>
            <w:hideMark/>
          </w:tcPr>
          <w:p w14:paraId="7084654E" w14:textId="77777777" w:rsidR="00C30714" w:rsidRPr="00553A27" w:rsidRDefault="00C30714" w:rsidP="00B5587B">
            <w:pPr>
              <w:contextualSpacing/>
              <w:rPr>
                <w:rFonts w:ascii="Verdana" w:hAnsi="Verdana" w:cs="Arial"/>
                <w:sz w:val="16"/>
                <w:szCs w:val="16"/>
                <w:lang w:val="es-ES" w:eastAsia="es-ES"/>
              </w:rPr>
            </w:pPr>
            <w:r w:rsidRPr="00553A2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22F630A" w14:textId="77777777" w:rsidR="00C30714" w:rsidRPr="00553A27" w:rsidRDefault="00C30714" w:rsidP="00B5587B">
            <w:pPr>
              <w:contextualSpacing/>
              <w:rPr>
                <w:rFonts w:ascii="Verdana" w:eastAsia="Arial" w:hAnsi="Verdana" w:cs="Arial"/>
                <w:sz w:val="16"/>
                <w:szCs w:val="16"/>
              </w:rPr>
            </w:pPr>
            <w:r w:rsidRPr="00553A27">
              <w:rPr>
                <w:rFonts w:ascii="Verdana" w:eastAsia="Arial" w:hAnsi="Verdana" w:cs="Arial"/>
                <w:sz w:val="16"/>
                <w:szCs w:val="16"/>
              </w:rPr>
              <w:t>Ana María Ortiz Ballesteros</w:t>
            </w:r>
          </w:p>
          <w:p w14:paraId="0EF73A4C" w14:textId="77777777" w:rsidR="00C30714" w:rsidRPr="00553A27" w:rsidRDefault="00C30714" w:rsidP="00B5587B">
            <w:pPr>
              <w:contextualSpacing/>
              <w:rPr>
                <w:rFonts w:ascii="Verdana" w:eastAsia="Arial" w:hAnsi="Verdana" w:cs="Arial"/>
                <w:sz w:val="16"/>
                <w:szCs w:val="16"/>
              </w:rPr>
            </w:pPr>
            <w:r w:rsidRPr="00553A27">
              <w:rPr>
                <w:rStyle w:val="normaltextrun"/>
                <w:rFonts w:ascii="Verdana" w:eastAsia="Arial" w:hAnsi="Verdana" w:cs="Arial"/>
                <w:sz w:val="16"/>
                <w:szCs w:val="16"/>
              </w:rPr>
              <w:t>C</w:t>
            </w:r>
            <w:r w:rsidRPr="00553A27">
              <w:rPr>
                <w:rStyle w:val="normaltextrun"/>
                <w:rFonts w:ascii="Verdana" w:hAnsi="Verdana"/>
                <w:sz w:val="16"/>
                <w:szCs w:val="16"/>
              </w:rPr>
              <w:t>ontratista</w:t>
            </w:r>
            <w:r w:rsidRPr="00553A27">
              <w:rPr>
                <w:rStyle w:val="normaltextrun"/>
                <w:rFonts w:ascii="Verdana" w:eastAsia="Arial" w:hAnsi="Verdana" w:cs="Arial"/>
                <w:sz w:val="16"/>
                <w:szCs w:val="16"/>
              </w:rPr>
              <w:t xml:space="preserve"> de la Subdirección de Gestión Contractual</w:t>
            </w:r>
          </w:p>
        </w:tc>
      </w:tr>
      <w:tr w:rsidR="00C30714" w:rsidRPr="00553A27" w14:paraId="0C6AF4B9" w14:textId="77777777" w:rsidTr="00B5587B">
        <w:trPr>
          <w:trHeight w:val="330"/>
        </w:trPr>
        <w:tc>
          <w:tcPr>
            <w:tcW w:w="893" w:type="dxa"/>
            <w:vAlign w:val="center"/>
            <w:hideMark/>
          </w:tcPr>
          <w:p w14:paraId="1248A13F" w14:textId="77777777" w:rsidR="00C30714" w:rsidRPr="00553A27" w:rsidRDefault="00C30714" w:rsidP="00B5587B">
            <w:pPr>
              <w:contextualSpacing/>
              <w:rPr>
                <w:rFonts w:ascii="Verdana" w:hAnsi="Verdana" w:cs="Arial"/>
                <w:sz w:val="16"/>
                <w:szCs w:val="16"/>
                <w:lang w:val="es-ES" w:eastAsia="es-ES"/>
              </w:rPr>
            </w:pPr>
            <w:r w:rsidRPr="00553A2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0EBB786" w14:textId="77777777" w:rsidR="00D80D6F" w:rsidRPr="00553A27" w:rsidRDefault="00D80D6F" w:rsidP="00D80D6F">
            <w:pPr>
              <w:spacing w:before="100" w:beforeAutospacing="1" w:after="100" w:afterAutospacing="1"/>
              <w:contextualSpacing/>
              <w:textAlignment w:val="baseline"/>
              <w:rPr>
                <w:rFonts w:ascii="Verdana" w:eastAsia="Times New Roman" w:hAnsi="Verdana" w:cs="Arial"/>
                <w:sz w:val="16"/>
                <w:szCs w:val="16"/>
                <w:lang w:val="es-ES" w:eastAsia="es-ES_tradnl"/>
              </w:rPr>
            </w:pPr>
            <w:r w:rsidRPr="00553A27">
              <w:rPr>
                <w:rFonts w:ascii="Verdana" w:eastAsia="Times New Roman" w:hAnsi="Verdana" w:cs="Arial"/>
                <w:sz w:val="16"/>
                <w:szCs w:val="16"/>
                <w:lang w:val="es-ES" w:eastAsia="es-ES_tradnl"/>
              </w:rPr>
              <w:t>Diana Lucía Saavedra Castañeda</w:t>
            </w:r>
          </w:p>
          <w:p w14:paraId="5344AB42" w14:textId="45080D1C" w:rsidR="00C30714" w:rsidRPr="00553A27" w:rsidRDefault="00C30714" w:rsidP="00D80D6F">
            <w:pPr>
              <w:spacing w:before="100" w:beforeAutospacing="1" w:after="100" w:afterAutospacing="1"/>
              <w:contextualSpacing/>
              <w:textAlignment w:val="baseline"/>
              <w:rPr>
                <w:rFonts w:ascii="Verdana" w:eastAsia="Times New Roman" w:hAnsi="Verdana" w:cs="Arial"/>
                <w:sz w:val="16"/>
                <w:szCs w:val="16"/>
                <w:lang w:val="es-ES" w:eastAsia="es-ES_tradnl"/>
              </w:rPr>
            </w:pPr>
            <w:r w:rsidRPr="00553A27">
              <w:rPr>
                <w:rStyle w:val="normaltextrun"/>
                <w:rFonts w:ascii="Verdana" w:eastAsia="Arial" w:hAnsi="Verdana" w:cs="Arial"/>
                <w:sz w:val="16"/>
                <w:szCs w:val="16"/>
              </w:rPr>
              <w:t>C</w:t>
            </w:r>
            <w:r w:rsidRPr="00553A27">
              <w:rPr>
                <w:rStyle w:val="normaltextrun"/>
                <w:rFonts w:ascii="Verdana" w:hAnsi="Verdana"/>
                <w:sz w:val="16"/>
                <w:szCs w:val="16"/>
              </w:rPr>
              <w:t>ontratista</w:t>
            </w:r>
            <w:r w:rsidRPr="00553A27">
              <w:rPr>
                <w:rStyle w:val="normaltextrun"/>
                <w:rFonts w:ascii="Verdana" w:eastAsia="Arial" w:hAnsi="Verdana" w:cs="Arial"/>
                <w:sz w:val="16"/>
                <w:szCs w:val="16"/>
              </w:rPr>
              <w:t xml:space="preserve"> de la Subdirección de Gestión Contractual</w:t>
            </w:r>
          </w:p>
        </w:tc>
      </w:tr>
      <w:tr w:rsidR="00C30714" w:rsidRPr="00553A27" w14:paraId="1F770B0A" w14:textId="77777777" w:rsidTr="00B5587B">
        <w:trPr>
          <w:trHeight w:val="300"/>
        </w:trPr>
        <w:tc>
          <w:tcPr>
            <w:tcW w:w="893" w:type="dxa"/>
            <w:vAlign w:val="center"/>
          </w:tcPr>
          <w:p w14:paraId="7E3B0657" w14:textId="77777777" w:rsidR="00C30714" w:rsidRPr="00553A27" w:rsidRDefault="00C30714" w:rsidP="00B5587B">
            <w:pPr>
              <w:contextualSpacing/>
              <w:rPr>
                <w:rFonts w:ascii="Verdana" w:hAnsi="Verdana" w:cs="Arial"/>
                <w:sz w:val="16"/>
                <w:szCs w:val="16"/>
                <w:lang w:val="es-ES" w:eastAsia="es-ES"/>
              </w:rPr>
            </w:pPr>
            <w:r w:rsidRPr="00553A2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96F2D18" w14:textId="77777777" w:rsidR="00C30714" w:rsidRPr="00553A27" w:rsidRDefault="00C30714" w:rsidP="00B5587B">
            <w:pPr>
              <w:contextualSpacing/>
              <w:rPr>
                <w:rFonts w:ascii="Verdana" w:eastAsia="Calibri" w:hAnsi="Verdana" w:cs="Arial"/>
                <w:sz w:val="16"/>
                <w:szCs w:val="16"/>
                <w:lang w:val="pt-BR" w:eastAsia="es-ES"/>
              </w:rPr>
            </w:pPr>
            <w:r w:rsidRPr="00553A27">
              <w:rPr>
                <w:rFonts w:ascii="Verdana" w:eastAsia="Calibri" w:hAnsi="Verdana" w:cs="Arial"/>
                <w:sz w:val="16"/>
                <w:szCs w:val="16"/>
                <w:lang w:val="pt-BR" w:eastAsia="es-ES"/>
              </w:rPr>
              <w:t>Carolina Quintero Gacharná</w:t>
            </w:r>
          </w:p>
          <w:p w14:paraId="7921C45D" w14:textId="77777777" w:rsidR="00C30714" w:rsidRPr="00553A27" w:rsidRDefault="00C30714" w:rsidP="00B5587B">
            <w:pPr>
              <w:contextualSpacing/>
              <w:rPr>
                <w:rFonts w:ascii="Verdana" w:eastAsia="Calibri" w:hAnsi="Verdana" w:cs="Arial"/>
                <w:sz w:val="16"/>
                <w:szCs w:val="16"/>
                <w:lang w:val="pt-BR" w:eastAsia="es-ES"/>
              </w:rPr>
            </w:pPr>
            <w:r w:rsidRPr="00553A27">
              <w:rPr>
                <w:rFonts w:ascii="Verdana" w:eastAsia="Calibri" w:hAnsi="Verdana" w:cs="Arial"/>
                <w:sz w:val="16"/>
                <w:szCs w:val="16"/>
                <w:lang w:eastAsia="es-ES"/>
              </w:rPr>
              <w:t>Subdirectora</w:t>
            </w:r>
            <w:r w:rsidRPr="00553A27">
              <w:rPr>
                <w:rFonts w:ascii="Verdana" w:eastAsia="Calibri" w:hAnsi="Verdana" w:cs="Arial"/>
                <w:sz w:val="16"/>
                <w:szCs w:val="16"/>
                <w:lang w:val="pt-BR" w:eastAsia="es-ES"/>
              </w:rPr>
              <w:t xml:space="preserve"> de Gestión Contractual ANCP – CCE</w:t>
            </w:r>
          </w:p>
        </w:tc>
      </w:tr>
    </w:tbl>
    <w:p w14:paraId="0F293BF4" w14:textId="4A4A6981" w:rsidR="00127233" w:rsidRPr="00553A27" w:rsidRDefault="00C30714" w:rsidP="00BD0A14">
      <w:pPr>
        <w:spacing w:after="0" w:line="240" w:lineRule="auto"/>
        <w:textAlignment w:val="baseline"/>
        <w:rPr>
          <w:rFonts w:ascii="Verdana" w:eastAsia="Verdana" w:hAnsi="Verdana" w:cs="Verdana"/>
          <w:b/>
          <w:bCs/>
          <w:lang w:val="es-MX"/>
        </w:rPr>
      </w:pPr>
      <w:r w:rsidRPr="00553A27">
        <w:rPr>
          <w:rFonts w:ascii="Verdana" w:eastAsia="Verdana" w:hAnsi="Verdana" w:cs="Verdana"/>
          <w:lang w:eastAsia="es-CO"/>
        </w:rPr>
        <w:t> </w:t>
      </w:r>
      <w:r w:rsidR="00C15139" w:rsidRPr="00553A27">
        <w:rPr>
          <w:rFonts w:ascii="Verdana" w:eastAsia="Verdana" w:hAnsi="Verdana" w:cs="Verdana"/>
          <w:lang w:eastAsia="es-CO"/>
        </w:rPr>
        <w:t> </w:t>
      </w:r>
      <w:bookmarkEnd w:id="0"/>
    </w:p>
    <w:sectPr w:rsidR="00127233" w:rsidRPr="00553A27"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9B373" w14:textId="77777777" w:rsidR="00664F38" w:rsidRDefault="00664F38" w:rsidP="004A1847">
      <w:pPr>
        <w:spacing w:after="0" w:line="240" w:lineRule="auto"/>
      </w:pPr>
      <w:r>
        <w:separator/>
      </w:r>
    </w:p>
  </w:endnote>
  <w:endnote w:type="continuationSeparator" w:id="0">
    <w:p w14:paraId="278ADCCA" w14:textId="77777777" w:rsidR="00664F38" w:rsidRDefault="00664F3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Yu Gothic UI Semibold">
    <w:panose1 w:val="020B0700000000000000"/>
    <w:charset w:val="80"/>
    <w:family w:val="swiss"/>
    <w:pitch w:val="variable"/>
    <w:sig w:usb0="E00002FF" w:usb1="2AC7FDFF" w:usb2="00000016"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1585C" w14:textId="77777777" w:rsidR="00664F38" w:rsidRDefault="00664F38" w:rsidP="004A1847">
      <w:pPr>
        <w:spacing w:after="0" w:line="240" w:lineRule="auto"/>
      </w:pPr>
      <w:r>
        <w:separator/>
      </w:r>
    </w:p>
  </w:footnote>
  <w:footnote w:type="continuationSeparator" w:id="0">
    <w:p w14:paraId="4EBCB1CB" w14:textId="77777777" w:rsidR="00664F38" w:rsidRDefault="00664F38" w:rsidP="004A1847">
      <w:pPr>
        <w:spacing w:after="0" w:line="240" w:lineRule="auto"/>
      </w:pPr>
      <w:r>
        <w:continuationSeparator/>
      </w:r>
    </w:p>
  </w:footnote>
  <w:footnote w:id="1">
    <w:p w14:paraId="58834ECD" w14:textId="6A114EC1" w:rsidR="00BD0A14" w:rsidRPr="006A739A" w:rsidRDefault="00BD0A14" w:rsidP="006A739A">
      <w:pPr>
        <w:pStyle w:val="Textonotapie"/>
        <w:ind w:firstLine="709"/>
        <w:contextualSpacing/>
        <w:jc w:val="both"/>
        <w:rPr>
          <w:rFonts w:ascii="Verdana" w:hAnsi="Verdana" w:cs="Arial"/>
          <w:sz w:val="16"/>
          <w:szCs w:val="16"/>
          <w:lang w:val="it-IT"/>
        </w:rPr>
      </w:pPr>
      <w:r w:rsidRPr="006A739A">
        <w:rPr>
          <w:rStyle w:val="Refdenotaalpie"/>
          <w:rFonts w:ascii="Verdana" w:hAnsi="Verdana" w:cs="Arial"/>
          <w:sz w:val="16"/>
          <w:szCs w:val="16"/>
        </w:rPr>
        <w:footnoteRef/>
      </w:r>
      <w:r w:rsidRPr="006A739A">
        <w:rPr>
          <w:rFonts w:ascii="Verdana" w:hAnsi="Verdana" w:cs="Arial"/>
          <w:sz w:val="16"/>
          <w:szCs w:val="16"/>
          <w:lang w:val="pt-BR"/>
        </w:rPr>
        <w:t xml:space="preserve"> Corte Constitucional, sentencia T-743 de 2017, Exp. </w:t>
      </w:r>
      <w:r w:rsidRPr="006A739A">
        <w:rPr>
          <w:rFonts w:ascii="Verdana" w:hAnsi="Verdana" w:cs="Arial"/>
          <w:sz w:val="16"/>
          <w:szCs w:val="16"/>
          <w:lang w:val="it-IT"/>
        </w:rPr>
        <w:t>T-6.366.648 Magistrada Ponente Cristina Pardo Schlesinger.</w:t>
      </w:r>
    </w:p>
  </w:footnote>
  <w:footnote w:id="2">
    <w:p w14:paraId="4072FDF7" w14:textId="77777777" w:rsidR="00BD0A14" w:rsidRPr="006A739A" w:rsidRDefault="00BD0A14" w:rsidP="00E7641C">
      <w:pPr>
        <w:spacing w:after="0" w:line="240" w:lineRule="auto"/>
        <w:ind w:firstLine="709"/>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La sentencia explica lo siguiente: “En el supuesto de vinculación de la mujer gestante o lactante mediante contrato de prestación de servicios, el juez de tutela deberá analizar las circunstancias fácticas que rodean cada caso, para determinar si bajo dicha figura contractual no se está ocultando la existencia de una auténtica relación laboral.</w:t>
      </w:r>
    </w:p>
    <w:p w14:paraId="1685D15D" w14:textId="77777777" w:rsidR="00BD0A14" w:rsidRPr="006A739A" w:rsidRDefault="00BD0A14" w:rsidP="00E7641C">
      <w:pPr>
        <w:spacing w:after="0" w:line="240" w:lineRule="auto"/>
        <w:ind w:firstLine="709"/>
        <w:contextualSpacing/>
        <w:jc w:val="both"/>
        <w:rPr>
          <w:rFonts w:ascii="Verdana" w:hAnsi="Verdana" w:cs="Arial"/>
          <w:sz w:val="16"/>
          <w:szCs w:val="16"/>
        </w:rPr>
      </w:pPr>
      <w:r w:rsidRPr="006A739A">
        <w:rPr>
          <w:rFonts w:ascii="Verdana" w:hAnsi="Verdana" w:cs="Arial"/>
          <w:sz w:val="16"/>
          <w:szCs w:val="16"/>
        </w:rPr>
        <w:t>[…]</w:t>
      </w:r>
    </w:p>
    <w:p w14:paraId="5100CFC3" w14:textId="4C8603A2" w:rsidR="00BD0A14" w:rsidRPr="006A739A" w:rsidRDefault="00BD0A14" w:rsidP="00E7641C">
      <w:pPr>
        <w:spacing w:after="0" w:line="240" w:lineRule="auto"/>
        <w:ind w:firstLine="709"/>
        <w:contextualSpacing/>
        <w:jc w:val="both"/>
        <w:rPr>
          <w:rFonts w:ascii="Verdana" w:hAnsi="Verdana" w:cs="Arial"/>
          <w:sz w:val="16"/>
          <w:szCs w:val="16"/>
        </w:rPr>
      </w:pPr>
      <w:r w:rsidRPr="006A739A">
        <w:rPr>
          <w:rFonts w:ascii="Verdana" w:hAnsi="Verdana" w:cs="Arial"/>
          <w:sz w:val="16"/>
          <w:szCs w:val="16"/>
        </w:rPr>
        <w:t>“Bajo esta lógica, deberá verificarse la estructuración material de los elementos fundamentales de un contrato de trabajo, ‘independientemente de la vinculación o denominación que el empleador adopte para el tipo de contrato que suscriba con el trabajador´. Así, la jurisprudencia de la Corte ha reconocido que los elementos que configuran la existencia de un contrato de trabajo son (i) el salario, (ii) la continua subordinación o dependencia y (iii) la prestación personal del servicio. Por lo tanto, si el juez de tutela concluye la concurrencia de estos tres elementos en una vinculación mediante contrato de prestación de servicios de una trabajadora gestante o lactante, podrá concluirse que se está en presencia de un verdadero contrato de</w:t>
      </w:r>
      <w:r w:rsidRPr="006A739A">
        <w:rPr>
          <w:rFonts w:ascii="Verdana" w:hAnsi="Verdana" w:cs="Arial"/>
          <w:spacing w:val="-17"/>
          <w:sz w:val="16"/>
          <w:szCs w:val="16"/>
        </w:rPr>
        <w:t xml:space="preserve"> </w:t>
      </w:r>
      <w:r w:rsidRPr="006A739A">
        <w:rPr>
          <w:rFonts w:ascii="Verdana" w:hAnsi="Verdana" w:cs="Arial"/>
          <w:sz w:val="16"/>
          <w:szCs w:val="16"/>
        </w:rPr>
        <w:t>trabajo”.</w:t>
      </w:r>
    </w:p>
  </w:footnote>
  <w:footnote w:id="3">
    <w:p w14:paraId="272F49A7" w14:textId="77777777" w:rsidR="00BD0A14" w:rsidRPr="006A739A" w:rsidRDefault="00BD0A14" w:rsidP="00E7641C">
      <w:pPr>
        <w:spacing w:after="0" w:line="240" w:lineRule="auto"/>
        <w:ind w:firstLine="709"/>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La Corte Constitucional en la sentencia T-102 del 1 de marzo de 2016 (M.P: María Victoria Calle Correa) protegió el derecho a la estabilidad laboral reforzada a dos mujeres que se encontraban en fuero de maternidad por demostrarse la existencia de un contrato realidad. En el expediente T-5.208.798 la Sala asumió la existencia de un contrato laboral de cara a la subordinación, pues estaba demostrado que la accionante, entre otras, cumplía un horario establecido por el contratante: ´Obsérvese que el empleador no demostró, por ningún medio, la existencia de una causal objetiva relevante que justificara la terminación del contrato, por ejemplo, que la actividad que venía realizando la trabajadora ya no fuera necesaria para la asociación sindical, o de una justa causa de terminación de la relación laboral. Por el contrario, la labor asignada como asistente administrativa hace parte de las tareas cotidianas del sindicato’”.</w:t>
      </w:r>
    </w:p>
    <w:p w14:paraId="5C294F07" w14:textId="77777777" w:rsidR="00BD0A14" w:rsidRPr="006A739A" w:rsidRDefault="00BD0A14" w:rsidP="00E7641C">
      <w:pPr>
        <w:pStyle w:val="Textonotapie"/>
        <w:contextualSpacing/>
        <w:jc w:val="both"/>
        <w:rPr>
          <w:rFonts w:ascii="Verdana" w:hAnsi="Verdana" w:cs="Arial"/>
          <w:sz w:val="16"/>
          <w:szCs w:val="16"/>
        </w:rPr>
      </w:pPr>
    </w:p>
  </w:footnote>
  <w:footnote w:id="4">
    <w:p w14:paraId="37C9A4B2" w14:textId="77777777" w:rsidR="00BD0A14" w:rsidRPr="006A739A" w:rsidRDefault="00BD0A14" w:rsidP="00E7641C">
      <w:pPr>
        <w:spacing w:after="0" w:line="240" w:lineRule="auto"/>
        <w:ind w:firstLine="562"/>
        <w:contextualSpacing/>
        <w:jc w:val="both"/>
        <w:rPr>
          <w:rFonts w:ascii="Verdana" w:hAnsi="Verdana" w:cs="Arial"/>
          <w:sz w:val="16"/>
          <w:szCs w:val="16"/>
        </w:rPr>
      </w:pPr>
      <w:r w:rsidRPr="006A739A">
        <w:rPr>
          <w:rFonts w:ascii="Verdana" w:hAnsi="Verdana" w:cs="Arial"/>
          <w:sz w:val="16"/>
          <w:szCs w:val="16"/>
        </w:rPr>
        <w:t xml:space="preserve">  </w:t>
      </w:r>
      <w:r w:rsidRPr="006A739A">
        <w:rPr>
          <w:rStyle w:val="Refdenotaalpie"/>
          <w:rFonts w:ascii="Verdana" w:hAnsi="Verdana" w:cs="Arial"/>
          <w:sz w:val="16"/>
          <w:szCs w:val="16"/>
        </w:rPr>
        <w:footnoteRef/>
      </w:r>
      <w:r w:rsidRPr="006A739A">
        <w:rPr>
          <w:rFonts w:ascii="Verdana" w:hAnsi="Verdana" w:cs="Arial"/>
          <w:sz w:val="16"/>
          <w:szCs w:val="16"/>
        </w:rPr>
        <w:t xml:space="preserve"> Corte Constitucional, sentencia T-564 del 6 de septiembre de 2017, M.P: Cristina Pardo Schlesinger: “La Sala advierte, que ante las contradicciones respecto a los hechos en las cuales incurren las partes involucradas en el asunto de la referencia, en el presente caso no existen suficientes elementos de juicio para la demostración de la relación de trabajo afirmada por la accionante en el escrito de impugnación. La precariedad de las pruebas, los indicios sobre un contrato realidad encubierto y la validez de los documentos aportados al proceso, son asuntos que necesariamente deben ser estudiados por el juez ordinario</w:t>
      </w:r>
      <w:r w:rsidRPr="006A739A">
        <w:rPr>
          <w:rFonts w:ascii="Verdana" w:hAnsi="Verdana" w:cs="Arial"/>
          <w:spacing w:val="-6"/>
          <w:sz w:val="16"/>
          <w:szCs w:val="16"/>
        </w:rPr>
        <w:t xml:space="preserve"> </w:t>
      </w:r>
      <w:r w:rsidRPr="006A739A">
        <w:rPr>
          <w:rFonts w:ascii="Verdana" w:hAnsi="Verdana" w:cs="Arial"/>
          <w:sz w:val="16"/>
          <w:szCs w:val="16"/>
        </w:rPr>
        <w:t>laboral”.</w:t>
      </w:r>
    </w:p>
    <w:p w14:paraId="4DC022BF" w14:textId="77777777" w:rsidR="00BD0A14" w:rsidRPr="006A739A" w:rsidRDefault="00BD0A14" w:rsidP="00E7641C">
      <w:pPr>
        <w:spacing w:after="0" w:line="240" w:lineRule="auto"/>
        <w:ind w:firstLine="708"/>
        <w:contextualSpacing/>
        <w:jc w:val="both"/>
        <w:rPr>
          <w:rFonts w:ascii="Verdana" w:hAnsi="Verdana" w:cs="Arial"/>
          <w:sz w:val="16"/>
          <w:szCs w:val="16"/>
        </w:rPr>
      </w:pPr>
      <w:r w:rsidRPr="006A739A">
        <w:rPr>
          <w:rFonts w:ascii="Verdana" w:hAnsi="Verdana" w:cs="Arial"/>
          <w:sz w:val="16"/>
          <w:szCs w:val="16"/>
        </w:rPr>
        <w:t>[…]</w:t>
      </w:r>
    </w:p>
    <w:p w14:paraId="3EBFFE6D" w14:textId="5B7F1342" w:rsidR="00BD0A14" w:rsidRPr="006A739A" w:rsidRDefault="00BD0A14" w:rsidP="006A739A">
      <w:pPr>
        <w:spacing w:after="0" w:line="240" w:lineRule="auto"/>
        <w:ind w:firstLine="708"/>
        <w:contextualSpacing/>
        <w:jc w:val="both"/>
        <w:rPr>
          <w:rFonts w:ascii="Verdana" w:hAnsi="Verdana" w:cs="Arial"/>
          <w:sz w:val="16"/>
          <w:szCs w:val="16"/>
        </w:rPr>
      </w:pPr>
      <w:r w:rsidRPr="006A739A">
        <w:rPr>
          <w:rFonts w:ascii="Verdana" w:hAnsi="Verdana" w:cs="Arial"/>
          <w:sz w:val="16"/>
          <w:szCs w:val="16"/>
        </w:rPr>
        <w:t>“Así las cosas, encuentra la Sala que se cumplen los criterios determinados por la Corporación para proceder al amparo de los derechos fundamentales de la contratista: (i) existió una relación de prestación de servicios entre las partes; (ii) la accionante se encontraba en estado de embarazo y dicha situación fue informada a la accionada en el mes de noviembre de 2016, y (iii) a pocos días de conocerse el estado de gestación de la peticionaria, la relación contractual que había sido continua durante ocho (8) meses aproximadamente, se terminó por decisión de la parte contratante y sin que mediara autorización del inspector del trabajo, requisito necesario  en el  presente  caso concreto,  aun cuando se trate de un contrato de prestación de servicios, pues el amparo constitucional de la estabilidad laboral reforzada de las mujeres embarazadas también es aplicable a este tipo de vinculación contractual, acudiendo a la asimilación de estas alternativas a una relación laboral sin condiciones específicas de</w:t>
      </w:r>
      <w:r w:rsidRPr="006A739A">
        <w:rPr>
          <w:rFonts w:ascii="Verdana" w:hAnsi="Verdana" w:cs="Arial"/>
          <w:spacing w:val="2"/>
          <w:sz w:val="16"/>
          <w:szCs w:val="16"/>
        </w:rPr>
        <w:t xml:space="preserve"> </w:t>
      </w:r>
      <w:r w:rsidRPr="006A739A">
        <w:rPr>
          <w:rFonts w:ascii="Verdana" w:hAnsi="Verdana" w:cs="Arial"/>
          <w:sz w:val="16"/>
          <w:szCs w:val="16"/>
        </w:rPr>
        <w:t>terminación”.</w:t>
      </w:r>
    </w:p>
  </w:footnote>
  <w:footnote w:id="5">
    <w:p w14:paraId="4C49FA23" w14:textId="1E8641E8" w:rsidR="00BD0A14" w:rsidRPr="00A017B7" w:rsidRDefault="00BD0A14" w:rsidP="00A017B7">
      <w:pPr>
        <w:pStyle w:val="Textonotapie"/>
        <w:ind w:firstLine="708"/>
        <w:contextualSpacing/>
        <w:jc w:val="both"/>
        <w:rPr>
          <w:rFonts w:ascii="Verdana" w:hAnsi="Verdana" w:cs="Arial"/>
          <w:sz w:val="16"/>
          <w:szCs w:val="16"/>
          <w:lang w:val="es-ES"/>
        </w:rPr>
      </w:pPr>
      <w:r w:rsidRPr="006A739A">
        <w:rPr>
          <w:rStyle w:val="Refdenotaalpie"/>
          <w:rFonts w:ascii="Verdana" w:hAnsi="Verdana" w:cs="Arial"/>
          <w:sz w:val="16"/>
          <w:szCs w:val="16"/>
        </w:rPr>
        <w:footnoteRef/>
      </w:r>
      <w:r w:rsidRPr="006A739A">
        <w:rPr>
          <w:rFonts w:ascii="Verdana" w:hAnsi="Verdana" w:cs="Arial"/>
          <w:sz w:val="16"/>
          <w:szCs w:val="16"/>
        </w:rPr>
        <w:t xml:space="preserve"> </w:t>
      </w:r>
      <w:r w:rsidRPr="006A739A">
        <w:rPr>
          <w:rFonts w:ascii="Verdana" w:hAnsi="Verdana" w:cs="Arial"/>
          <w:sz w:val="16"/>
          <w:szCs w:val="16"/>
          <w:lang w:val="es-ES"/>
        </w:rPr>
        <w:t xml:space="preserve">Corte Constitucional. Sentencia SU-075 de 2018. Magistrado Ponente: Gloria Stella Ortiz Delgado. </w:t>
      </w:r>
    </w:p>
  </w:footnote>
  <w:footnote w:id="6">
    <w:p w14:paraId="4D0DFFD5" w14:textId="77777777" w:rsidR="00BD0A14" w:rsidRPr="006A739A" w:rsidRDefault="00BD0A14" w:rsidP="00E7641C">
      <w:pPr>
        <w:pStyle w:val="Sinespaciado"/>
        <w:ind w:firstLine="682"/>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Corte Constitucional. Sentencia T-329 del 19 de septiembre de 2022. Expediente </w:t>
      </w:r>
      <w:bookmarkStart w:id="3" w:name="_Hlk113364075"/>
      <w:r w:rsidRPr="006A739A">
        <w:rPr>
          <w:rFonts w:ascii="Verdana" w:hAnsi="Verdana" w:cs="Arial"/>
          <w:sz w:val="16"/>
          <w:szCs w:val="16"/>
        </w:rPr>
        <w:t>T-8.517.984</w:t>
      </w:r>
      <w:bookmarkEnd w:id="3"/>
      <w:r w:rsidRPr="006A739A">
        <w:rPr>
          <w:rFonts w:ascii="Verdana" w:hAnsi="Verdana" w:cs="Arial"/>
          <w:sz w:val="16"/>
          <w:szCs w:val="16"/>
        </w:rPr>
        <w:t>. Magistrada Ponente: Natalia Ángel Cabo</w:t>
      </w:r>
    </w:p>
    <w:p w14:paraId="2D1C7688" w14:textId="77777777" w:rsidR="00BD0A14" w:rsidRPr="006A739A" w:rsidRDefault="00BD0A14" w:rsidP="00E7641C">
      <w:pPr>
        <w:pStyle w:val="Textonotapie"/>
        <w:contextualSpacing/>
        <w:jc w:val="both"/>
        <w:rPr>
          <w:rFonts w:ascii="Verdana" w:hAnsi="Verdana" w:cs="Arial"/>
          <w:sz w:val="16"/>
          <w:szCs w:val="16"/>
        </w:rPr>
      </w:pPr>
    </w:p>
  </w:footnote>
  <w:footnote w:id="7">
    <w:p w14:paraId="5A64B9F5" w14:textId="3088F9D1" w:rsidR="00BD0A14" w:rsidRPr="006A739A" w:rsidRDefault="00BD0A14" w:rsidP="006A739A">
      <w:pPr>
        <w:pStyle w:val="Textonotapie"/>
        <w:ind w:firstLine="708"/>
        <w:contextualSpacing/>
        <w:jc w:val="both"/>
        <w:rPr>
          <w:rFonts w:ascii="Verdana" w:hAnsi="Verdana" w:cs="Arial"/>
          <w:sz w:val="16"/>
          <w:szCs w:val="16"/>
          <w:lang w:val="es-ES_tradnl"/>
        </w:rPr>
      </w:pPr>
      <w:r w:rsidRPr="006A739A">
        <w:rPr>
          <w:rStyle w:val="Refdenotaalpie"/>
          <w:rFonts w:ascii="Verdana" w:hAnsi="Verdana" w:cs="Arial"/>
          <w:sz w:val="16"/>
          <w:szCs w:val="16"/>
        </w:rPr>
        <w:footnoteRef/>
      </w:r>
      <w:r w:rsidRPr="006A739A">
        <w:rPr>
          <w:rFonts w:ascii="Verdana" w:hAnsi="Verdana" w:cs="Arial"/>
          <w:sz w:val="16"/>
          <w:szCs w:val="16"/>
        </w:rPr>
        <w:t xml:space="preserve"> Sentencia SU-070 de 2013. Fund. 6. Reiterado en las</w:t>
      </w:r>
      <w:r w:rsidRPr="006A739A">
        <w:rPr>
          <w:rFonts w:ascii="Verdana" w:hAnsi="Verdana" w:cs="Arial"/>
          <w:sz w:val="16"/>
          <w:szCs w:val="16"/>
          <w:lang w:val="es-ES_tradnl"/>
        </w:rPr>
        <w:t xml:space="preserve"> sentencias SU-040 de 2018 y SU-075 de 2018.</w:t>
      </w:r>
    </w:p>
  </w:footnote>
  <w:footnote w:id="8">
    <w:p w14:paraId="37749BE5" w14:textId="77777777" w:rsidR="00BD0A14" w:rsidRPr="006A739A" w:rsidRDefault="00BD0A14" w:rsidP="006A739A">
      <w:pPr>
        <w:pStyle w:val="Textonotapie"/>
        <w:ind w:firstLine="708"/>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Esta indemnización se ha reconocido en contratos de prestación de servicios, entre otras, en las sentencias T-564 de 2017, T-350 de 2016, 316 de 2016, T-102 de 2016 y T-346 de 2013.</w:t>
      </w:r>
    </w:p>
  </w:footnote>
  <w:footnote w:id="9">
    <w:p w14:paraId="0F8D7BFB" w14:textId="77777777" w:rsidR="00BD0A14" w:rsidRPr="006A739A" w:rsidRDefault="00BD0A14" w:rsidP="00E7641C">
      <w:pPr>
        <w:pStyle w:val="Textonotapie"/>
        <w:contextualSpacing/>
        <w:jc w:val="both"/>
        <w:rPr>
          <w:rFonts w:ascii="Verdana" w:hAnsi="Verdana" w:cs="Arial"/>
          <w:sz w:val="16"/>
          <w:szCs w:val="16"/>
        </w:rPr>
      </w:pPr>
    </w:p>
    <w:p w14:paraId="41DA1337" w14:textId="77777777" w:rsidR="00BD0A14" w:rsidRPr="006A739A" w:rsidRDefault="00BD0A14" w:rsidP="00E7641C">
      <w:pPr>
        <w:pStyle w:val="Textonotapie"/>
        <w:ind w:firstLine="708"/>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En las sentencias T-238 de 2015 y T-350 de 2016 la Corte determinó que no procede el pago de la licencia de maternidad cuando en el caso se observe que la licencia de maternidad ya fue disfrutada. </w:t>
      </w:r>
    </w:p>
  </w:footnote>
  <w:footnote w:id="10">
    <w:p w14:paraId="759F0306" w14:textId="77777777" w:rsidR="00BD0A14" w:rsidRPr="006A739A" w:rsidRDefault="00BD0A14" w:rsidP="00F36167">
      <w:pPr>
        <w:pStyle w:val="Textonotapie"/>
        <w:ind w:firstLine="708"/>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Esta media fue aplicada en la Sentencia T-030 de 2018 respecto del caso estudiado bajo el expediente T-6.425.691.</w:t>
      </w:r>
    </w:p>
  </w:footnote>
  <w:footnote w:id="11">
    <w:p w14:paraId="704406D2" w14:textId="77777777" w:rsidR="00BD0A14" w:rsidRPr="006A739A" w:rsidRDefault="00BD0A14" w:rsidP="00E7641C">
      <w:pPr>
        <w:pStyle w:val="Textonotapie"/>
        <w:ind w:firstLine="708"/>
        <w:contextualSpacing/>
        <w:jc w:val="both"/>
        <w:rPr>
          <w:rFonts w:ascii="Verdana" w:hAnsi="Verdana" w:cs="Arial"/>
          <w:sz w:val="16"/>
          <w:szCs w:val="16"/>
        </w:rPr>
      </w:pPr>
    </w:p>
    <w:p w14:paraId="7CC69A0D" w14:textId="77777777" w:rsidR="00BD0A14" w:rsidRPr="006A739A" w:rsidRDefault="00BD0A14" w:rsidP="00E7641C">
      <w:pPr>
        <w:pStyle w:val="Textonotapie"/>
        <w:ind w:firstLine="708"/>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En algunas oportunidades las salas de revisión han reconocido el pago de las prestaciones en materia de seguridad social en salud. Sentencia T-102 de 2016.</w:t>
      </w:r>
    </w:p>
  </w:footnote>
  <w:footnote w:id="12">
    <w:p w14:paraId="6A10D6FC" w14:textId="77777777" w:rsidR="00BD0A14" w:rsidRPr="006A739A" w:rsidRDefault="00BD0A14" w:rsidP="00E7641C">
      <w:pPr>
        <w:pStyle w:val="Textonotapie"/>
        <w:ind w:firstLine="709"/>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231481E7" w14:textId="77777777" w:rsidR="00BD0A14" w:rsidRPr="006A739A" w:rsidRDefault="00BD0A14" w:rsidP="00E7641C">
      <w:pPr>
        <w:pStyle w:val="Textonotapie"/>
        <w:ind w:firstLine="709"/>
        <w:contextualSpacing/>
        <w:jc w:val="both"/>
        <w:rPr>
          <w:rFonts w:ascii="Verdana" w:hAnsi="Verdana" w:cs="Arial"/>
          <w:sz w:val="16"/>
          <w:szCs w:val="16"/>
        </w:rPr>
      </w:pPr>
      <w:r w:rsidRPr="006A739A">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14:paraId="64C83429" w14:textId="77777777" w:rsidR="00BD0A14" w:rsidRPr="006A739A" w:rsidRDefault="00BD0A14" w:rsidP="00E7641C">
      <w:pPr>
        <w:pStyle w:val="Textonotapie"/>
        <w:ind w:firstLine="709"/>
        <w:contextualSpacing/>
        <w:jc w:val="both"/>
        <w:rPr>
          <w:rFonts w:ascii="Verdana" w:hAnsi="Verdana" w:cs="Arial"/>
          <w:sz w:val="16"/>
          <w:szCs w:val="16"/>
        </w:rPr>
      </w:pPr>
    </w:p>
  </w:footnote>
  <w:footnote w:id="13">
    <w:p w14:paraId="02CA64C2" w14:textId="41E5E70F" w:rsidR="00BD0A14" w:rsidRPr="006A739A" w:rsidRDefault="00BD0A14" w:rsidP="006A739A">
      <w:pPr>
        <w:pStyle w:val="Textonotapie"/>
        <w:ind w:firstLine="709"/>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Gaceta del Congreso de la República No. 71 del 2005.</w:t>
      </w:r>
    </w:p>
  </w:footnote>
  <w:footnote w:id="14">
    <w:p w14:paraId="67F3594F" w14:textId="16991C1E" w:rsidR="00BD0A14" w:rsidRDefault="00BD0A14" w:rsidP="006A739A">
      <w:pPr>
        <w:pStyle w:val="Textonotapie"/>
        <w:ind w:firstLine="709"/>
        <w:contextualSpacing/>
        <w:jc w:val="both"/>
        <w:rPr>
          <w:rFonts w:ascii="Verdana" w:hAnsi="Verdana" w:cs="Arial"/>
          <w:sz w:val="16"/>
          <w:szCs w:val="16"/>
          <w:lang w:val="pt-BR"/>
        </w:rPr>
      </w:pPr>
      <w:r w:rsidRPr="006A739A">
        <w:rPr>
          <w:rStyle w:val="Refdenotaalpie"/>
          <w:rFonts w:ascii="Verdana" w:hAnsi="Verdana" w:cs="Arial"/>
          <w:sz w:val="16"/>
          <w:szCs w:val="16"/>
        </w:rPr>
        <w:footnoteRef/>
      </w:r>
      <w:r w:rsidRPr="006A739A">
        <w:rPr>
          <w:rFonts w:ascii="Verdana" w:hAnsi="Verdana" w:cs="Arial"/>
          <w:sz w:val="16"/>
          <w:szCs w:val="16"/>
          <w:lang w:val="pt-BR"/>
        </w:rPr>
        <w:t xml:space="preserve"> Corte Constitucional, Sentencia C- 1153 de 2005, M.P. Marco Gerardo Monroy Cabra.</w:t>
      </w:r>
    </w:p>
    <w:p w14:paraId="604D815B" w14:textId="77777777" w:rsidR="00294FFB" w:rsidRPr="006A739A" w:rsidRDefault="00294FFB" w:rsidP="006A739A">
      <w:pPr>
        <w:pStyle w:val="Textonotapie"/>
        <w:ind w:firstLine="709"/>
        <w:contextualSpacing/>
        <w:jc w:val="both"/>
        <w:rPr>
          <w:rFonts w:ascii="Verdana" w:hAnsi="Verdana" w:cs="Arial"/>
          <w:sz w:val="16"/>
          <w:szCs w:val="16"/>
          <w:lang w:val="pt-BR"/>
        </w:rPr>
      </w:pPr>
    </w:p>
  </w:footnote>
  <w:footnote w:id="15">
    <w:p w14:paraId="7DB61F16" w14:textId="77777777" w:rsidR="00BD0A14" w:rsidRPr="006A739A" w:rsidRDefault="00BD0A14" w:rsidP="00E7641C">
      <w:pPr>
        <w:pStyle w:val="Textonotapie"/>
        <w:ind w:firstLine="709"/>
        <w:contextualSpacing/>
        <w:jc w:val="both"/>
        <w:rPr>
          <w:rFonts w:ascii="Verdana" w:hAnsi="Verdana" w:cs="Arial"/>
          <w:sz w:val="16"/>
          <w:szCs w:val="16"/>
          <w:lang w:val="pt-BR"/>
        </w:rPr>
      </w:pPr>
      <w:r w:rsidRPr="006A739A">
        <w:rPr>
          <w:rStyle w:val="Refdenotaalpie"/>
          <w:rFonts w:ascii="Verdana" w:hAnsi="Verdana" w:cs="Arial"/>
          <w:sz w:val="16"/>
          <w:szCs w:val="16"/>
        </w:rPr>
        <w:footnoteRef/>
      </w:r>
      <w:r w:rsidRPr="006A739A">
        <w:rPr>
          <w:rFonts w:ascii="Verdana" w:hAnsi="Verdana" w:cs="Arial"/>
          <w:sz w:val="16"/>
          <w:szCs w:val="16"/>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p w14:paraId="4ED384B4" w14:textId="77777777" w:rsidR="00BD0A14" w:rsidRPr="006A739A" w:rsidRDefault="00BD0A14" w:rsidP="00E7641C">
      <w:pPr>
        <w:pStyle w:val="Textonotapie"/>
        <w:ind w:firstLine="709"/>
        <w:contextualSpacing/>
        <w:jc w:val="both"/>
        <w:rPr>
          <w:rFonts w:ascii="Verdana" w:hAnsi="Verdana" w:cs="Arial"/>
          <w:sz w:val="16"/>
          <w:szCs w:val="16"/>
          <w:lang w:val="pt-BR"/>
        </w:rPr>
      </w:pPr>
    </w:p>
  </w:footnote>
  <w:footnote w:id="16">
    <w:p w14:paraId="6C76DC4F" w14:textId="304B3040" w:rsidR="00BD0A14" w:rsidRPr="006A739A" w:rsidRDefault="00BD0A14" w:rsidP="00A017B7">
      <w:pPr>
        <w:pStyle w:val="Textonotapie"/>
        <w:ind w:firstLine="709"/>
        <w:contextualSpacing/>
        <w:jc w:val="both"/>
        <w:rPr>
          <w:rFonts w:ascii="Verdana" w:hAnsi="Verdana" w:cs="Arial"/>
          <w:sz w:val="16"/>
          <w:szCs w:val="16"/>
          <w:lang w:val="es-CO"/>
        </w:rPr>
      </w:pPr>
      <w:r w:rsidRPr="006A739A">
        <w:rPr>
          <w:rStyle w:val="Refdenotaalpie"/>
          <w:rFonts w:ascii="Verdana" w:hAnsi="Verdana" w:cs="Arial"/>
          <w:sz w:val="16"/>
          <w:szCs w:val="16"/>
        </w:rPr>
        <w:footnoteRef/>
      </w:r>
      <w:r w:rsidRPr="006A739A">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17">
    <w:p w14:paraId="2C3FDD23" w14:textId="7838EC9D" w:rsidR="00BD0A14" w:rsidRDefault="00BD0A14" w:rsidP="006A739A">
      <w:pPr>
        <w:pStyle w:val="Textonotapie"/>
        <w:ind w:firstLine="709"/>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Consejo de Estado, Sala de Consulta y Servicio Civil de fecha 24 de julio de 2013, Rad. 2166, C. P. Álvaro Namén Vargas. </w:t>
      </w:r>
    </w:p>
    <w:p w14:paraId="77DA4C60" w14:textId="77777777" w:rsidR="00294FFB" w:rsidRPr="006A739A" w:rsidRDefault="00294FFB" w:rsidP="006A739A">
      <w:pPr>
        <w:pStyle w:val="Textonotapie"/>
        <w:ind w:firstLine="709"/>
        <w:contextualSpacing/>
        <w:jc w:val="both"/>
        <w:rPr>
          <w:rFonts w:ascii="Verdana" w:hAnsi="Verdana" w:cs="Arial"/>
          <w:sz w:val="16"/>
          <w:szCs w:val="16"/>
        </w:rPr>
      </w:pPr>
    </w:p>
  </w:footnote>
  <w:footnote w:id="18">
    <w:p w14:paraId="29135EA2" w14:textId="77777777" w:rsidR="00BD0A14" w:rsidRPr="006A739A" w:rsidRDefault="00BD0A14" w:rsidP="00E7641C">
      <w:pPr>
        <w:spacing w:after="0" w:line="240" w:lineRule="auto"/>
        <w:ind w:firstLine="709"/>
        <w:contextualSpacing/>
        <w:jc w:val="both"/>
        <w:rPr>
          <w:rFonts w:ascii="Verdana" w:eastAsia="Times New Roman"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w:t>
      </w:r>
      <w:r w:rsidRPr="006A739A">
        <w:rPr>
          <w:rFonts w:ascii="Verdana" w:hAnsi="Verdana" w:cs="Arial"/>
          <w:color w:val="000000"/>
          <w:sz w:val="16"/>
          <w:szCs w:val="16"/>
        </w:rPr>
        <w:t>“</w:t>
      </w:r>
      <w:r w:rsidRPr="006A739A">
        <w:rPr>
          <w:rFonts w:ascii="Verdana" w:eastAsia="Times New Roman" w:hAnsi="Verdana" w:cs="Arial"/>
          <w:sz w:val="16"/>
          <w:szCs w:val="16"/>
        </w:rPr>
        <w:t>Artículo 33. Restricciones a la contratación pública. Durante los cuatro (4) meses anteriores a la elección presidencial y hasta la realización de la elección en la segunda vuelta, si fuere el caso, queda prohibida la contratación directa por parte de todos los entes del Estado.</w:t>
      </w:r>
    </w:p>
    <w:p w14:paraId="2749D9A2" w14:textId="36F3271B" w:rsidR="00BD0A14" w:rsidRPr="006A739A" w:rsidRDefault="00BD0A14" w:rsidP="00A017B7">
      <w:pPr>
        <w:spacing w:after="0" w:line="240" w:lineRule="auto"/>
        <w:ind w:firstLine="709"/>
        <w:contextualSpacing/>
        <w:jc w:val="both"/>
        <w:rPr>
          <w:rFonts w:ascii="Verdana" w:eastAsia="Times New Roman" w:hAnsi="Verdana" w:cs="Arial"/>
          <w:sz w:val="16"/>
          <w:szCs w:val="16"/>
        </w:rPr>
      </w:pPr>
      <w:r w:rsidRPr="006A739A">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6A739A">
        <w:rPr>
          <w:rFonts w:ascii="Verdana" w:hAnsi="Verdana" w:cs="Arial"/>
          <w:color w:val="000000"/>
          <w:sz w:val="16"/>
          <w:szCs w:val="16"/>
        </w:rPr>
        <w:t>”</w:t>
      </w:r>
      <w:r w:rsidRPr="006A739A">
        <w:rPr>
          <w:rFonts w:ascii="Verdana" w:eastAsia="Times New Roman" w:hAnsi="Verdana" w:cs="Arial"/>
          <w:sz w:val="16"/>
          <w:szCs w:val="16"/>
        </w:rPr>
        <w:t>.</w:t>
      </w:r>
    </w:p>
  </w:footnote>
  <w:footnote w:id="19">
    <w:p w14:paraId="572EDB77" w14:textId="77777777" w:rsidR="00BD0A14" w:rsidRPr="006A739A" w:rsidRDefault="00BD0A14" w:rsidP="00E7641C">
      <w:pPr>
        <w:spacing w:after="0" w:line="240" w:lineRule="auto"/>
        <w:ind w:firstLine="709"/>
        <w:contextualSpacing/>
        <w:jc w:val="both"/>
        <w:rPr>
          <w:rFonts w:ascii="Verdana" w:hAnsi="Verdana" w:cs="Arial"/>
          <w:sz w:val="16"/>
          <w:szCs w:val="16"/>
          <w:lang w:val="es-MX"/>
        </w:rPr>
      </w:pPr>
      <w:r w:rsidRPr="006A739A">
        <w:rPr>
          <w:rStyle w:val="Refdenotaalpie"/>
          <w:rFonts w:ascii="Verdana" w:hAnsi="Verdana" w:cs="Arial"/>
          <w:sz w:val="16"/>
          <w:szCs w:val="16"/>
        </w:rPr>
        <w:footnoteRef/>
      </w:r>
      <w:r w:rsidRPr="006A739A">
        <w:rPr>
          <w:rFonts w:ascii="Verdana" w:hAnsi="Verdana" w:cs="Arial"/>
          <w:sz w:val="16"/>
          <w:szCs w:val="16"/>
        </w:rPr>
        <w:t xml:space="preserve"> </w:t>
      </w:r>
      <w:r w:rsidRPr="006A739A">
        <w:rPr>
          <w:rFonts w:ascii="Verdana" w:eastAsia="Calibri" w:hAnsi="Verdana" w:cs="Arial"/>
          <w:color w:val="000000"/>
          <w:sz w:val="16"/>
          <w:szCs w:val="16"/>
        </w:rPr>
        <w:t>“</w:t>
      </w:r>
      <w:r w:rsidRPr="006A739A">
        <w:rPr>
          <w:rFonts w:ascii="Verdana" w:hAnsi="Verdana" w:cs="Arial"/>
          <w:sz w:val="16"/>
          <w:szCs w:val="16"/>
          <w:lang w:val="es-MX"/>
        </w:rPr>
        <w:t xml:space="preserve">Artículo 38. Prohibiciones para los servidores públicos. A los empleados del Estado les está prohibido: </w:t>
      </w:r>
    </w:p>
    <w:p w14:paraId="3BA6463D" w14:textId="77777777" w:rsidR="00BD0A14" w:rsidRPr="006A739A" w:rsidRDefault="00BD0A14" w:rsidP="00E7641C">
      <w:pPr>
        <w:spacing w:after="0" w:line="240" w:lineRule="auto"/>
        <w:ind w:firstLine="709"/>
        <w:contextualSpacing/>
        <w:jc w:val="both"/>
        <w:rPr>
          <w:rFonts w:ascii="Verdana" w:hAnsi="Verdana" w:cs="Arial"/>
          <w:sz w:val="16"/>
          <w:szCs w:val="16"/>
          <w:lang w:val="es-MX"/>
        </w:rPr>
      </w:pPr>
      <w:r w:rsidRPr="006A739A">
        <w:rPr>
          <w:rFonts w:ascii="Verdana" w:hAnsi="Verdana" w:cs="Arial"/>
          <w:sz w:val="16"/>
          <w:szCs w:val="16"/>
          <w:lang w:val="es-MX"/>
        </w:rPr>
        <w:t>[…]</w:t>
      </w:r>
    </w:p>
    <w:p w14:paraId="0497A918" w14:textId="5CADB7A3" w:rsidR="00BD0A14" w:rsidRDefault="00BD0A14" w:rsidP="006A739A">
      <w:pPr>
        <w:spacing w:after="0" w:line="240" w:lineRule="auto"/>
        <w:ind w:firstLine="709"/>
        <w:contextualSpacing/>
        <w:jc w:val="both"/>
        <w:rPr>
          <w:rFonts w:ascii="Verdana" w:eastAsia="Calibri" w:hAnsi="Verdana" w:cs="Arial"/>
          <w:color w:val="000000"/>
          <w:sz w:val="16"/>
          <w:szCs w:val="16"/>
        </w:rPr>
      </w:pPr>
      <w:r w:rsidRPr="006A739A">
        <w:rPr>
          <w:rStyle w:val="baj"/>
          <w:rFonts w:ascii="Verdana" w:hAnsi="Verdana" w:cs="Arial"/>
          <w:sz w:val="16"/>
          <w:szCs w:val="16"/>
          <w:lang w:val="es-MX"/>
        </w:rPr>
        <w:t>Parágrafo.</w:t>
      </w:r>
      <w:r w:rsidRPr="006A739A">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6A739A">
        <w:rPr>
          <w:rFonts w:ascii="Verdana" w:eastAsia="Calibri" w:hAnsi="Verdana" w:cs="Arial"/>
          <w:color w:val="000000"/>
          <w:sz w:val="16"/>
          <w:szCs w:val="16"/>
        </w:rPr>
        <w:t>”</w:t>
      </w:r>
    </w:p>
    <w:p w14:paraId="32915246" w14:textId="77777777" w:rsidR="00A017B7" w:rsidRPr="006A739A" w:rsidRDefault="00A017B7" w:rsidP="006A739A">
      <w:pPr>
        <w:spacing w:after="0" w:line="240" w:lineRule="auto"/>
        <w:ind w:firstLine="709"/>
        <w:contextualSpacing/>
        <w:jc w:val="both"/>
        <w:rPr>
          <w:rFonts w:ascii="Verdana" w:hAnsi="Verdana" w:cs="Arial"/>
          <w:sz w:val="16"/>
          <w:szCs w:val="16"/>
          <w:lang w:val="es-MX"/>
        </w:rPr>
      </w:pPr>
    </w:p>
  </w:footnote>
  <w:footnote w:id="20">
    <w:p w14:paraId="03C7AC5C" w14:textId="1F3C7FE2" w:rsidR="00BD0A14" w:rsidRPr="006A739A" w:rsidRDefault="00BD0A14" w:rsidP="006A739A">
      <w:pPr>
        <w:pStyle w:val="NormalWeb"/>
        <w:spacing w:before="0" w:beforeAutospacing="0" w:after="0"/>
        <w:ind w:firstLine="709"/>
        <w:contextualSpacing/>
        <w:jc w:val="both"/>
        <w:rPr>
          <w:rFonts w:ascii="Verdana" w:hAnsi="Verdana" w:cs="Arial"/>
          <w:sz w:val="16"/>
          <w:szCs w:val="16"/>
        </w:rPr>
      </w:pPr>
      <w:r w:rsidRPr="006A739A">
        <w:rPr>
          <w:rStyle w:val="Refdenotaalpie"/>
          <w:rFonts w:ascii="Verdana" w:eastAsiaTheme="majorEastAsia" w:hAnsi="Verdana" w:cs="Arial"/>
          <w:sz w:val="16"/>
          <w:szCs w:val="16"/>
        </w:rPr>
        <w:footnoteRef/>
      </w:r>
      <w:r w:rsidRPr="006A739A">
        <w:rPr>
          <w:rFonts w:ascii="Verdana" w:hAnsi="Verdana" w:cs="Arial"/>
          <w:sz w:val="16"/>
          <w:szCs w:val="16"/>
        </w:rPr>
        <w:t xml:space="preserve"> Consejo de Estado. Sala de Consulta y Servicio Civil. Concepto del 17 de febrero de 2015. C.P. William Zambrano Cetina. Radicación No. 11001-03-06-000-2015-00164-00(2269).</w:t>
      </w:r>
    </w:p>
  </w:footnote>
  <w:footnote w:id="21">
    <w:p w14:paraId="1E2BF441" w14:textId="77777777" w:rsidR="00BD0A14" w:rsidRPr="006A739A" w:rsidRDefault="00BD0A14" w:rsidP="00E7641C">
      <w:pPr>
        <w:pStyle w:val="Textonotapie"/>
        <w:ind w:right="51" w:firstLine="709"/>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w:t>
      </w:r>
      <w:r w:rsidRPr="006A739A">
        <w:rPr>
          <w:rFonts w:ascii="Verdana" w:hAnsi="Verdana" w:cs="Arial"/>
          <w:sz w:val="16"/>
          <w:szCs w:val="16"/>
          <w:lang w:val="es-ES"/>
        </w:rPr>
        <w:t xml:space="preserve">[26] </w:t>
      </w:r>
      <w:r w:rsidRPr="006A739A">
        <w:rPr>
          <w:rFonts w:ascii="Verdana" w:hAnsi="Verdana" w:cs="Arial"/>
          <w:sz w:val="16"/>
          <w:szCs w:val="16"/>
        </w:rPr>
        <w:t>Al respecto ver el concepto 1712 de 2 de febrero de 2006. Consejo de Estado Sala de Consulta y Servicio Civil”.</w:t>
      </w:r>
    </w:p>
    <w:p w14:paraId="1746293F" w14:textId="77777777" w:rsidR="00BD0A14" w:rsidRPr="006A739A" w:rsidRDefault="00BD0A14" w:rsidP="00E7641C">
      <w:pPr>
        <w:pStyle w:val="Textonotapie"/>
        <w:ind w:right="51" w:firstLine="709"/>
        <w:contextualSpacing/>
        <w:jc w:val="both"/>
        <w:rPr>
          <w:rFonts w:ascii="Verdana" w:hAnsi="Verdana" w:cs="Arial"/>
          <w:sz w:val="16"/>
          <w:szCs w:val="16"/>
        </w:rPr>
      </w:pPr>
    </w:p>
  </w:footnote>
  <w:footnote w:id="22">
    <w:p w14:paraId="79A9223C" w14:textId="77777777" w:rsidR="00BD0A14" w:rsidRPr="006A739A" w:rsidRDefault="00BD0A14" w:rsidP="00E7641C">
      <w:pPr>
        <w:pStyle w:val="Textonotapie"/>
        <w:ind w:firstLine="709"/>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Consejo de Estado. Sala de Consulta y Servicio Civil. Concepto del 2 de septiembre de 2013. Radicación número: 11001-03-06-000-2013-00412-00 (2168). Consejero Ponente: Álvaro Namén Vargas.</w:t>
      </w:r>
    </w:p>
    <w:p w14:paraId="68935B85" w14:textId="77777777" w:rsidR="00BD0A14" w:rsidRPr="006A739A" w:rsidRDefault="00BD0A14" w:rsidP="00E7641C">
      <w:pPr>
        <w:pStyle w:val="Textonotapie"/>
        <w:ind w:firstLine="709"/>
        <w:contextualSpacing/>
        <w:jc w:val="both"/>
        <w:rPr>
          <w:rFonts w:ascii="Verdana" w:hAnsi="Verdana" w:cs="Arial"/>
          <w:sz w:val="16"/>
          <w:szCs w:val="16"/>
        </w:rPr>
      </w:pPr>
    </w:p>
  </w:footnote>
  <w:footnote w:id="23">
    <w:p w14:paraId="782AE3BE" w14:textId="77777777" w:rsidR="00BD0A14" w:rsidRPr="006A739A" w:rsidRDefault="00BD0A14" w:rsidP="00E7641C">
      <w:pPr>
        <w:pStyle w:val="Textonotapie"/>
        <w:ind w:firstLine="709"/>
        <w:contextualSpacing/>
        <w:jc w:val="both"/>
        <w:rPr>
          <w:rFonts w:ascii="Verdana" w:hAnsi="Verdana" w:cs="Arial"/>
          <w:sz w:val="16"/>
          <w:szCs w:val="16"/>
          <w:lang w:val="es-ES"/>
        </w:rPr>
      </w:pPr>
      <w:r w:rsidRPr="006A739A">
        <w:rPr>
          <w:rStyle w:val="Refdenotaalpie"/>
          <w:rFonts w:ascii="Verdana" w:hAnsi="Verdana" w:cs="Arial"/>
          <w:sz w:val="16"/>
          <w:szCs w:val="16"/>
        </w:rPr>
        <w:footnoteRef/>
      </w:r>
      <w:r w:rsidRPr="006A739A">
        <w:rPr>
          <w:rFonts w:ascii="Verdana" w:hAnsi="Verdana" w:cs="Arial"/>
          <w:sz w:val="16"/>
          <w:szCs w:val="16"/>
        </w:rPr>
        <w:t xml:space="preserve"> </w:t>
      </w:r>
      <w:r w:rsidRPr="006A739A">
        <w:rPr>
          <w:rFonts w:ascii="Verdana" w:hAnsi="Verdana" w:cs="Arial"/>
          <w:sz w:val="16"/>
          <w:szCs w:val="16"/>
          <w:lang w:val="es-ES"/>
        </w:rPr>
        <w:t xml:space="preserve">Artículo 2. </w:t>
      </w:r>
    </w:p>
    <w:p w14:paraId="206FD57B" w14:textId="77777777" w:rsidR="00BD0A14" w:rsidRPr="006A739A" w:rsidRDefault="00BD0A14" w:rsidP="00E7641C">
      <w:pPr>
        <w:pStyle w:val="Textonotapie"/>
        <w:ind w:firstLine="709"/>
        <w:contextualSpacing/>
        <w:jc w:val="both"/>
        <w:rPr>
          <w:rFonts w:ascii="Verdana" w:hAnsi="Verdana" w:cs="Arial"/>
          <w:sz w:val="16"/>
          <w:szCs w:val="16"/>
          <w:lang w:val="es-ES"/>
        </w:rPr>
      </w:pPr>
    </w:p>
  </w:footnote>
  <w:footnote w:id="24">
    <w:p w14:paraId="072D1131" w14:textId="4BDAAFBA" w:rsidR="00BD0A14" w:rsidRPr="006A739A" w:rsidRDefault="00BD0A14" w:rsidP="00A017B7">
      <w:pPr>
        <w:pStyle w:val="Textonotapie"/>
        <w:ind w:firstLine="709"/>
        <w:contextualSpacing/>
        <w:jc w:val="both"/>
        <w:rPr>
          <w:rFonts w:ascii="Verdana" w:hAnsi="Verdana" w:cs="Arial"/>
          <w:sz w:val="16"/>
          <w:szCs w:val="16"/>
          <w:lang w:val="es-ES"/>
        </w:rPr>
      </w:pPr>
      <w:r w:rsidRPr="006A739A">
        <w:rPr>
          <w:rStyle w:val="Refdenotaalpie"/>
          <w:rFonts w:ascii="Verdana" w:hAnsi="Verdana" w:cs="Arial"/>
          <w:sz w:val="16"/>
          <w:szCs w:val="16"/>
        </w:rPr>
        <w:footnoteRef/>
      </w:r>
      <w:r w:rsidRPr="006A739A">
        <w:rPr>
          <w:rFonts w:ascii="Verdana" w:hAnsi="Verdana" w:cs="Arial"/>
          <w:sz w:val="16"/>
          <w:szCs w:val="16"/>
        </w:rPr>
        <w:t xml:space="preserve"> </w:t>
      </w:r>
      <w:r w:rsidRPr="006A739A">
        <w:rPr>
          <w:rFonts w:ascii="Verdana" w:hAnsi="Verdana" w:cs="Arial"/>
          <w:i/>
          <w:sz w:val="16"/>
          <w:szCs w:val="16"/>
          <w:lang w:val="es-ES"/>
        </w:rPr>
        <w:t>Ídem</w:t>
      </w:r>
      <w:r w:rsidRPr="006A739A">
        <w:rPr>
          <w:rFonts w:ascii="Verdana" w:hAnsi="Verdana" w:cs="Arial"/>
          <w:sz w:val="16"/>
          <w:szCs w:val="16"/>
          <w:lang w:val="es-ES"/>
        </w:rPr>
        <w:t>.</w:t>
      </w:r>
    </w:p>
  </w:footnote>
  <w:footnote w:id="25">
    <w:p w14:paraId="01F0CD78" w14:textId="6F3F841C" w:rsidR="00BD0A14" w:rsidRDefault="00BD0A14" w:rsidP="006A739A">
      <w:pPr>
        <w:pStyle w:val="Textonotapie"/>
        <w:ind w:firstLine="709"/>
        <w:contextualSpacing/>
        <w:jc w:val="both"/>
        <w:rPr>
          <w:rFonts w:ascii="Verdana" w:hAnsi="Verdana" w:cs="Arial"/>
          <w:sz w:val="16"/>
          <w:szCs w:val="16"/>
        </w:rPr>
      </w:pPr>
      <w:r w:rsidRPr="006A739A">
        <w:rPr>
          <w:rStyle w:val="Refdenotaalpie"/>
          <w:rFonts w:ascii="Verdana" w:hAnsi="Verdana" w:cs="Arial"/>
          <w:sz w:val="16"/>
          <w:szCs w:val="16"/>
        </w:rPr>
        <w:footnoteRef/>
      </w:r>
      <w:r w:rsidRPr="006A739A">
        <w:rPr>
          <w:rFonts w:ascii="Verdana" w:hAnsi="Verdana" w:cs="Arial"/>
          <w:sz w:val="16"/>
          <w:szCs w:val="16"/>
        </w:rPr>
        <w:t xml:space="preserve"> Consejo de Estado. Sala de Consulta y Servicio Civil. Concepto del 08 de mayo de 2018. Exp. 2.382. C.P. Álvaro Namén Vargas.</w:t>
      </w:r>
    </w:p>
    <w:p w14:paraId="1912F4FF" w14:textId="77777777" w:rsidR="00A017B7" w:rsidRPr="006A739A" w:rsidRDefault="00A017B7" w:rsidP="006A739A">
      <w:pPr>
        <w:pStyle w:val="Textonotapie"/>
        <w:ind w:firstLine="709"/>
        <w:contextualSpacing/>
        <w:jc w:val="both"/>
        <w:rPr>
          <w:rFonts w:ascii="Verdana" w:hAnsi="Verdana" w:cs="Arial"/>
          <w:sz w:val="16"/>
          <w:szCs w:val="16"/>
        </w:rPr>
      </w:pPr>
    </w:p>
  </w:footnote>
  <w:footnote w:id="26">
    <w:p w14:paraId="4387CCFD" w14:textId="57EC61D4" w:rsidR="00BD0A14" w:rsidRPr="00A017B7" w:rsidRDefault="00BD0A14" w:rsidP="00A017B7">
      <w:pPr>
        <w:pStyle w:val="Textonotapie"/>
        <w:ind w:firstLine="708"/>
        <w:contextualSpacing/>
        <w:jc w:val="both"/>
        <w:rPr>
          <w:rFonts w:ascii="Verdana" w:hAnsi="Verdana"/>
          <w:sz w:val="16"/>
          <w:szCs w:val="16"/>
          <w:lang w:val="es-CO"/>
        </w:rPr>
      </w:pPr>
      <w:r w:rsidRPr="006A739A">
        <w:rPr>
          <w:rStyle w:val="Refdenotaalpie"/>
          <w:rFonts w:ascii="Verdana" w:hAnsi="Verdana"/>
          <w:sz w:val="16"/>
          <w:szCs w:val="16"/>
        </w:rPr>
        <w:footnoteRef/>
      </w:r>
      <w:r w:rsidRPr="006A739A">
        <w:rPr>
          <w:rFonts w:ascii="Verdana" w:hAnsi="Verdana"/>
          <w:sz w:val="16"/>
          <w:szCs w:val="16"/>
        </w:rPr>
        <w:t xml:space="preserve"> </w:t>
      </w:r>
      <w:r w:rsidRPr="006A739A">
        <w:rPr>
          <w:rFonts w:ascii="Verdana" w:hAnsi="Verdana" w:cs="Arial"/>
          <w:sz w:val="16"/>
          <w:szCs w:val="16"/>
          <w:lang w:val="es-ES"/>
        </w:rPr>
        <w:t xml:space="preserve">Consejo de Estado, Sala de Consulta y Servicio Civil, Concepto de fecha 8 de mayo de 2018, No. </w:t>
      </w:r>
      <w:r w:rsidRPr="006A739A">
        <w:rPr>
          <w:rFonts w:ascii="Verdana" w:hAnsi="Verdana"/>
          <w:sz w:val="16"/>
          <w:szCs w:val="16"/>
          <w:lang w:val="es-CO"/>
        </w:rPr>
        <w:t>2382.</w:t>
      </w:r>
      <w:r w:rsidRPr="006A739A">
        <w:rPr>
          <w:rFonts w:ascii="Verdana" w:hAnsi="Verdana"/>
          <w:sz w:val="16"/>
          <w:szCs w:val="16"/>
        </w:rPr>
        <w:t xml:space="preserve"> </w:t>
      </w:r>
      <w:r w:rsidRPr="006A739A">
        <w:rPr>
          <w:rFonts w:ascii="Verdana" w:hAnsi="Verdana"/>
          <w:sz w:val="16"/>
          <w:szCs w:val="16"/>
          <w:lang w:val="es-CO"/>
        </w:rPr>
        <w:t>C. P. Álvaro Namén Vargas.</w:t>
      </w:r>
    </w:p>
  </w:footnote>
  <w:footnote w:id="27">
    <w:p w14:paraId="021DAB09" w14:textId="20D9002B" w:rsidR="00BD0A14" w:rsidRPr="006A739A" w:rsidRDefault="00BD0A14" w:rsidP="006A739A">
      <w:pPr>
        <w:spacing w:after="0" w:line="240" w:lineRule="auto"/>
        <w:ind w:firstLine="709"/>
        <w:contextualSpacing/>
        <w:jc w:val="both"/>
        <w:rPr>
          <w:rFonts w:ascii="Verdana" w:hAnsi="Verdana" w:cs="Arial"/>
          <w:color w:val="000000" w:themeColor="text1"/>
          <w:sz w:val="16"/>
          <w:szCs w:val="16"/>
        </w:rPr>
      </w:pPr>
      <w:r w:rsidRPr="006A739A">
        <w:rPr>
          <w:rStyle w:val="Refdenotaalpie"/>
          <w:rFonts w:ascii="Verdana" w:hAnsi="Verdana" w:cs="Arial"/>
          <w:color w:val="000000" w:themeColor="text1"/>
          <w:sz w:val="16"/>
          <w:szCs w:val="16"/>
        </w:rPr>
        <w:footnoteRef/>
      </w:r>
      <w:r w:rsidRPr="006A739A">
        <w:rPr>
          <w:rFonts w:ascii="Verdana" w:hAnsi="Verdana" w:cs="Arial"/>
          <w:color w:val="000000" w:themeColor="text1"/>
          <w:sz w:val="16"/>
          <w:szCs w:val="16"/>
        </w:rPr>
        <w:t xml:space="preserve"> Consejo de Estado. Sala de Consulta y Servicio Civil. Concepto de 20 de febrero de 2006. Radicación Número: 11001-03-06-000-2006-00026-00(1727). Consejero Ponente: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28">
    <w:p w14:paraId="4737339D" w14:textId="04B4EFEA" w:rsidR="00BD0A14" w:rsidRPr="006A739A" w:rsidRDefault="00BD0A14" w:rsidP="00E7641C">
      <w:pPr>
        <w:pStyle w:val="Textonotapie"/>
        <w:ind w:firstLine="708"/>
        <w:contextualSpacing/>
        <w:jc w:val="both"/>
        <w:rPr>
          <w:rFonts w:ascii="Verdana" w:hAnsi="Verdana" w:cs="Arial"/>
          <w:color w:val="000000" w:themeColor="text1"/>
          <w:sz w:val="16"/>
          <w:szCs w:val="16"/>
        </w:rPr>
      </w:pPr>
      <w:r w:rsidRPr="006A739A">
        <w:rPr>
          <w:rStyle w:val="Refdenotaalpie"/>
          <w:rFonts w:ascii="Verdana" w:hAnsi="Verdana" w:cs="Arial"/>
          <w:color w:val="000000" w:themeColor="text1"/>
          <w:sz w:val="16"/>
          <w:szCs w:val="16"/>
        </w:rPr>
        <w:footnoteRef/>
      </w:r>
      <w:r w:rsidRPr="006A739A">
        <w:rPr>
          <w:rFonts w:ascii="Verdana" w:hAnsi="Verdana" w:cs="Arial"/>
          <w:color w:val="000000" w:themeColor="text1"/>
          <w:sz w:val="16"/>
          <w:szCs w:val="16"/>
        </w:rPr>
        <w:t xml:space="preserve"> </w:t>
      </w:r>
      <w:r w:rsidR="00A017B7" w:rsidRPr="006A739A">
        <w:rPr>
          <w:rFonts w:ascii="Verdana" w:hAnsi="Verdana" w:cs="Arial"/>
          <w:color w:val="000000" w:themeColor="text1"/>
          <w:sz w:val="16"/>
          <w:szCs w:val="16"/>
        </w:rPr>
        <w:t>Consejo de Estado</w:t>
      </w:r>
      <w:r w:rsidRPr="006A739A">
        <w:rPr>
          <w:rFonts w:ascii="Verdana" w:hAnsi="Verdana" w:cs="Arial"/>
          <w:color w:val="000000" w:themeColor="text1"/>
          <w:sz w:val="16"/>
          <w:szCs w:val="16"/>
        </w:rPr>
        <w:t>. Sala de Consulta y Servicio Civil. Concepto del 18 de febrero 2010. Rad. 11001-03-06-000-2010-00006-00 (1985). C.P. Enrique José Arboleda Perdomo.</w:t>
      </w:r>
    </w:p>
    <w:p w14:paraId="2BC3E27C" w14:textId="77777777" w:rsidR="00BD0A14" w:rsidRPr="006A739A" w:rsidRDefault="00BD0A14" w:rsidP="00E7641C">
      <w:pPr>
        <w:pStyle w:val="Textonotapie"/>
        <w:ind w:firstLine="708"/>
        <w:contextualSpacing/>
        <w:jc w:val="both"/>
        <w:rPr>
          <w:rFonts w:ascii="Verdana" w:hAnsi="Verdana" w:cs="Arial"/>
          <w:color w:val="000000" w:themeColor="text1"/>
          <w:sz w:val="16"/>
          <w:szCs w:val="16"/>
        </w:rPr>
      </w:pPr>
    </w:p>
  </w:footnote>
  <w:footnote w:id="29">
    <w:p w14:paraId="349AABEB" w14:textId="44ED893D" w:rsidR="00BD0A14" w:rsidRPr="002B7171" w:rsidRDefault="00BD0A14" w:rsidP="00E7641C">
      <w:pPr>
        <w:pStyle w:val="Textonotapie"/>
        <w:ind w:firstLine="708"/>
        <w:contextualSpacing/>
        <w:jc w:val="both"/>
        <w:rPr>
          <w:rFonts w:ascii="Verdana" w:hAnsi="Verdana" w:cs="Arial"/>
          <w:color w:val="000000" w:themeColor="text1"/>
          <w:sz w:val="14"/>
          <w:szCs w:val="14"/>
        </w:rPr>
      </w:pPr>
      <w:r w:rsidRPr="006A739A">
        <w:rPr>
          <w:rStyle w:val="Refdenotaalpie"/>
          <w:rFonts w:ascii="Verdana" w:hAnsi="Verdana" w:cs="Arial"/>
          <w:color w:val="000000" w:themeColor="text1"/>
          <w:sz w:val="16"/>
          <w:szCs w:val="16"/>
        </w:rPr>
        <w:footnoteRef/>
      </w:r>
      <w:r w:rsidRPr="006A739A">
        <w:rPr>
          <w:rFonts w:ascii="Verdana" w:hAnsi="Verdana" w:cs="Arial"/>
          <w:color w:val="000000" w:themeColor="text1"/>
          <w:sz w:val="16"/>
          <w:szCs w:val="16"/>
        </w:rPr>
        <w:t xml:space="preserve"> Consejo de Estado. Sala de Consulta y Servicio Civil. Concepto del 02 de septiembre de 2013. Rad. 11001-03-06-000-2013-00412-00 (2168). C.P. Álvaro Namén Vargas.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8B9449D"/>
    <w:multiLevelType w:val="hybridMultilevel"/>
    <w:tmpl w:val="F5EE4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A07E45"/>
    <w:multiLevelType w:val="hybridMultilevel"/>
    <w:tmpl w:val="B052C350"/>
    <w:lvl w:ilvl="0" w:tplc="919E07C0">
      <w:start w:val="1"/>
      <w:numFmt w:val="decimal"/>
      <w:lvlText w:val="%1."/>
      <w:lvlJc w:val="left"/>
      <w:pPr>
        <w:ind w:left="720" w:hanging="360"/>
      </w:pPr>
      <w:rPr>
        <w:rFonts w:eastAsia="Century Gothic"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3244075"/>
    <w:multiLevelType w:val="hybridMultilevel"/>
    <w:tmpl w:val="99FC0930"/>
    <w:lvl w:ilvl="0" w:tplc="6DD292B4">
      <w:start w:val="4"/>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2823607">
    <w:abstractNumId w:val="6"/>
  </w:num>
  <w:num w:numId="2" w16cid:durableId="564148676">
    <w:abstractNumId w:val="1"/>
  </w:num>
  <w:num w:numId="3" w16cid:durableId="525799843">
    <w:abstractNumId w:val="4"/>
  </w:num>
  <w:num w:numId="4" w16cid:durableId="18141341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5809800">
    <w:abstractNumId w:val="1"/>
  </w:num>
  <w:num w:numId="6" w16cid:durableId="465242446">
    <w:abstractNumId w:val="15"/>
  </w:num>
  <w:num w:numId="7" w16cid:durableId="628709584">
    <w:abstractNumId w:val="5"/>
  </w:num>
  <w:num w:numId="8" w16cid:durableId="1843010229">
    <w:abstractNumId w:val="14"/>
  </w:num>
  <w:num w:numId="9" w16cid:durableId="1951669708">
    <w:abstractNumId w:val="7"/>
  </w:num>
  <w:num w:numId="10" w16cid:durableId="1882207084">
    <w:abstractNumId w:val="13"/>
  </w:num>
  <w:num w:numId="11" w16cid:durableId="257955299">
    <w:abstractNumId w:val="8"/>
  </w:num>
  <w:num w:numId="12" w16cid:durableId="677462106">
    <w:abstractNumId w:val="0"/>
  </w:num>
  <w:num w:numId="13" w16cid:durableId="938018">
    <w:abstractNumId w:val="3"/>
  </w:num>
  <w:num w:numId="14" w16cid:durableId="973366265">
    <w:abstractNumId w:val="16"/>
  </w:num>
  <w:num w:numId="15" w16cid:durableId="1250702207">
    <w:abstractNumId w:val="12"/>
  </w:num>
  <w:num w:numId="16" w16cid:durableId="994451659">
    <w:abstractNumId w:val="10"/>
  </w:num>
  <w:num w:numId="17" w16cid:durableId="492069123">
    <w:abstractNumId w:val="2"/>
  </w:num>
  <w:num w:numId="18" w16cid:durableId="1162353016">
    <w:abstractNumId w:val="9"/>
  </w:num>
  <w:num w:numId="19" w16cid:durableId="123431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2D77"/>
    <w:rsid w:val="00016F78"/>
    <w:rsid w:val="00046945"/>
    <w:rsid w:val="00061B2A"/>
    <w:rsid w:val="00075F27"/>
    <w:rsid w:val="00082362"/>
    <w:rsid w:val="000A683E"/>
    <w:rsid w:val="000B19B9"/>
    <w:rsid w:val="000D0334"/>
    <w:rsid w:val="000D0DDC"/>
    <w:rsid w:val="000D3925"/>
    <w:rsid w:val="000D5DA7"/>
    <w:rsid w:val="000F6486"/>
    <w:rsid w:val="00100434"/>
    <w:rsid w:val="00116940"/>
    <w:rsid w:val="00120204"/>
    <w:rsid w:val="00125105"/>
    <w:rsid w:val="00127233"/>
    <w:rsid w:val="0015699B"/>
    <w:rsid w:val="001730B3"/>
    <w:rsid w:val="00173A4E"/>
    <w:rsid w:val="001A33BF"/>
    <w:rsid w:val="001D16E5"/>
    <w:rsid w:val="001E4177"/>
    <w:rsid w:val="001F0B24"/>
    <w:rsid w:val="001F7DC6"/>
    <w:rsid w:val="0022400B"/>
    <w:rsid w:val="00235CD1"/>
    <w:rsid w:val="002364A3"/>
    <w:rsid w:val="002421BB"/>
    <w:rsid w:val="002429E2"/>
    <w:rsid w:val="0025796E"/>
    <w:rsid w:val="002707A2"/>
    <w:rsid w:val="00293164"/>
    <w:rsid w:val="00294FFB"/>
    <w:rsid w:val="002951A0"/>
    <w:rsid w:val="00296173"/>
    <w:rsid w:val="002962BC"/>
    <w:rsid w:val="002A093D"/>
    <w:rsid w:val="002A0DD0"/>
    <w:rsid w:val="002A49AC"/>
    <w:rsid w:val="002A64FD"/>
    <w:rsid w:val="002C33EB"/>
    <w:rsid w:val="002C7A84"/>
    <w:rsid w:val="002E2BF8"/>
    <w:rsid w:val="002E4FD9"/>
    <w:rsid w:val="003045E9"/>
    <w:rsid w:val="0030657A"/>
    <w:rsid w:val="00322A85"/>
    <w:rsid w:val="00324168"/>
    <w:rsid w:val="00330834"/>
    <w:rsid w:val="003360AE"/>
    <w:rsid w:val="003448F4"/>
    <w:rsid w:val="003736FE"/>
    <w:rsid w:val="00374F5E"/>
    <w:rsid w:val="00377E3E"/>
    <w:rsid w:val="003844C9"/>
    <w:rsid w:val="003A779E"/>
    <w:rsid w:val="003D0F4D"/>
    <w:rsid w:val="003D5B0D"/>
    <w:rsid w:val="003E0499"/>
    <w:rsid w:val="003E4F80"/>
    <w:rsid w:val="003E6439"/>
    <w:rsid w:val="003F0D75"/>
    <w:rsid w:val="003F3941"/>
    <w:rsid w:val="00406575"/>
    <w:rsid w:val="00414C74"/>
    <w:rsid w:val="0042230F"/>
    <w:rsid w:val="0042722E"/>
    <w:rsid w:val="0044528D"/>
    <w:rsid w:val="00466E39"/>
    <w:rsid w:val="00477809"/>
    <w:rsid w:val="00483A7D"/>
    <w:rsid w:val="004A1847"/>
    <w:rsid w:val="004A305D"/>
    <w:rsid w:val="004C21E3"/>
    <w:rsid w:val="004C4334"/>
    <w:rsid w:val="004D2C26"/>
    <w:rsid w:val="004E02B8"/>
    <w:rsid w:val="004F21C4"/>
    <w:rsid w:val="004F3DD8"/>
    <w:rsid w:val="004F685F"/>
    <w:rsid w:val="00553A27"/>
    <w:rsid w:val="005566E8"/>
    <w:rsid w:val="00574867"/>
    <w:rsid w:val="00582B7A"/>
    <w:rsid w:val="00591460"/>
    <w:rsid w:val="005A65E0"/>
    <w:rsid w:val="005B2287"/>
    <w:rsid w:val="005B2557"/>
    <w:rsid w:val="005C3777"/>
    <w:rsid w:val="005C5CDC"/>
    <w:rsid w:val="005D476C"/>
    <w:rsid w:val="005F348C"/>
    <w:rsid w:val="0060069A"/>
    <w:rsid w:val="006200BF"/>
    <w:rsid w:val="006219F8"/>
    <w:rsid w:val="006279C7"/>
    <w:rsid w:val="006302F7"/>
    <w:rsid w:val="00646B9F"/>
    <w:rsid w:val="00664F38"/>
    <w:rsid w:val="00665D70"/>
    <w:rsid w:val="00666479"/>
    <w:rsid w:val="006900D9"/>
    <w:rsid w:val="006A739A"/>
    <w:rsid w:val="00706C16"/>
    <w:rsid w:val="007146B3"/>
    <w:rsid w:val="00726239"/>
    <w:rsid w:val="007340C3"/>
    <w:rsid w:val="0075235A"/>
    <w:rsid w:val="00756841"/>
    <w:rsid w:val="007649AB"/>
    <w:rsid w:val="00771D0C"/>
    <w:rsid w:val="007833AC"/>
    <w:rsid w:val="007B268C"/>
    <w:rsid w:val="007B35F8"/>
    <w:rsid w:val="007B7171"/>
    <w:rsid w:val="007C0C0F"/>
    <w:rsid w:val="007C3DC2"/>
    <w:rsid w:val="007D1319"/>
    <w:rsid w:val="007D2FCD"/>
    <w:rsid w:val="007E5497"/>
    <w:rsid w:val="00806F5F"/>
    <w:rsid w:val="00820278"/>
    <w:rsid w:val="008258C9"/>
    <w:rsid w:val="00844AE9"/>
    <w:rsid w:val="00854EC9"/>
    <w:rsid w:val="00867F95"/>
    <w:rsid w:val="008727E3"/>
    <w:rsid w:val="008843B6"/>
    <w:rsid w:val="00891928"/>
    <w:rsid w:val="008923FB"/>
    <w:rsid w:val="008A446D"/>
    <w:rsid w:val="008A5D96"/>
    <w:rsid w:val="008B25F1"/>
    <w:rsid w:val="008D180B"/>
    <w:rsid w:val="008E2BE8"/>
    <w:rsid w:val="008E6611"/>
    <w:rsid w:val="008F0EA7"/>
    <w:rsid w:val="009137AB"/>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017B7"/>
    <w:rsid w:val="00A122D3"/>
    <w:rsid w:val="00A14468"/>
    <w:rsid w:val="00A17F13"/>
    <w:rsid w:val="00A20739"/>
    <w:rsid w:val="00A23AF9"/>
    <w:rsid w:val="00A33C78"/>
    <w:rsid w:val="00AB0ADB"/>
    <w:rsid w:val="00AE79C8"/>
    <w:rsid w:val="00B00C0E"/>
    <w:rsid w:val="00B01B1A"/>
    <w:rsid w:val="00B0381D"/>
    <w:rsid w:val="00B16083"/>
    <w:rsid w:val="00B259C4"/>
    <w:rsid w:val="00B44A47"/>
    <w:rsid w:val="00B72CD3"/>
    <w:rsid w:val="00B72FFF"/>
    <w:rsid w:val="00BC3D36"/>
    <w:rsid w:val="00BD0A14"/>
    <w:rsid w:val="00BD54A6"/>
    <w:rsid w:val="00BD7F72"/>
    <w:rsid w:val="00BF12F5"/>
    <w:rsid w:val="00BF5BFD"/>
    <w:rsid w:val="00BF7425"/>
    <w:rsid w:val="00C04FB3"/>
    <w:rsid w:val="00C11D8B"/>
    <w:rsid w:val="00C15139"/>
    <w:rsid w:val="00C30275"/>
    <w:rsid w:val="00C30714"/>
    <w:rsid w:val="00C330EB"/>
    <w:rsid w:val="00C50D69"/>
    <w:rsid w:val="00C5365C"/>
    <w:rsid w:val="00C754BE"/>
    <w:rsid w:val="00C76B1C"/>
    <w:rsid w:val="00C925AC"/>
    <w:rsid w:val="00CB6357"/>
    <w:rsid w:val="00CC1B26"/>
    <w:rsid w:val="00D023D4"/>
    <w:rsid w:val="00D03251"/>
    <w:rsid w:val="00D32228"/>
    <w:rsid w:val="00D361FD"/>
    <w:rsid w:val="00D414E2"/>
    <w:rsid w:val="00D423A2"/>
    <w:rsid w:val="00D44E26"/>
    <w:rsid w:val="00D520D8"/>
    <w:rsid w:val="00D63AC2"/>
    <w:rsid w:val="00D7383B"/>
    <w:rsid w:val="00D7788A"/>
    <w:rsid w:val="00D80D6F"/>
    <w:rsid w:val="00DA231B"/>
    <w:rsid w:val="00DB629D"/>
    <w:rsid w:val="00DC39FC"/>
    <w:rsid w:val="00DF0791"/>
    <w:rsid w:val="00DF5254"/>
    <w:rsid w:val="00E02524"/>
    <w:rsid w:val="00E16408"/>
    <w:rsid w:val="00E20894"/>
    <w:rsid w:val="00E245AB"/>
    <w:rsid w:val="00E2764C"/>
    <w:rsid w:val="00E27F2E"/>
    <w:rsid w:val="00E50AFE"/>
    <w:rsid w:val="00E75C92"/>
    <w:rsid w:val="00E7641C"/>
    <w:rsid w:val="00E771DC"/>
    <w:rsid w:val="00E77C90"/>
    <w:rsid w:val="00E8772A"/>
    <w:rsid w:val="00E90F6B"/>
    <w:rsid w:val="00E92C27"/>
    <w:rsid w:val="00EA0E3D"/>
    <w:rsid w:val="00EC19C6"/>
    <w:rsid w:val="00EC38A7"/>
    <w:rsid w:val="00EE1AA8"/>
    <w:rsid w:val="00F13988"/>
    <w:rsid w:val="00F16E65"/>
    <w:rsid w:val="00F23FEA"/>
    <w:rsid w:val="00F31EDC"/>
    <w:rsid w:val="00F36167"/>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Textoindependiente">
    <w:name w:val="Body Text"/>
    <w:basedOn w:val="Normal"/>
    <w:link w:val="TextoindependienteCar"/>
    <w:uiPriority w:val="1"/>
    <w:qFormat/>
    <w:rsid w:val="002429E2"/>
    <w:pPr>
      <w:widowControl w:val="0"/>
      <w:autoSpaceDE w:val="0"/>
      <w:autoSpaceDN w:val="0"/>
      <w:spacing w:after="0" w:line="240" w:lineRule="auto"/>
      <w:ind w:firstLine="709"/>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2429E2"/>
    <w:rPr>
      <w:rFonts w:ascii="Verdana" w:eastAsia="Verdana" w:hAnsi="Verdana" w:cs="Verdana"/>
      <w:lang w:val="es-ES"/>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429E2"/>
    <w:rPr>
      <w:rFonts w:ascii="Geomanist Light" w:hAnsi="Geomanist Light"/>
      <w:lang w:val="es-ES"/>
    </w:rPr>
  </w:style>
  <w:style w:type="paragraph" w:customStyle="1" w:styleId="TableParagraph">
    <w:name w:val="Table Paragraph"/>
    <w:basedOn w:val="Normal"/>
    <w:uiPriority w:val="1"/>
    <w:qFormat/>
    <w:rsid w:val="002429E2"/>
    <w:pPr>
      <w:widowControl w:val="0"/>
      <w:autoSpaceDE w:val="0"/>
      <w:autoSpaceDN w:val="0"/>
      <w:spacing w:after="0" w:line="208" w:lineRule="exact"/>
      <w:ind w:left="119"/>
    </w:pPr>
    <w:rPr>
      <w:rFonts w:ascii="Calibri" w:eastAsia="Calibri" w:hAnsi="Calibri" w:cs="Calibri"/>
      <w:lang w:val="es-ES"/>
    </w:rPr>
  </w:style>
  <w:style w:type="paragraph" w:customStyle="1" w:styleId="Appelnotedebasde">
    <w:name w:val="Appel note de bas de..."/>
    <w:basedOn w:val="Normal"/>
    <w:link w:val="Refdenotaalpie"/>
    <w:uiPriority w:val="99"/>
    <w:rsid w:val="00BD0A14"/>
    <w:pPr>
      <w:spacing w:line="240" w:lineRule="exact"/>
    </w:pPr>
    <w:rPr>
      <w:vertAlign w:val="superscript"/>
    </w:rPr>
  </w:style>
  <w:style w:type="character" w:customStyle="1" w:styleId="baj">
    <w:name w:val="b_aj"/>
    <w:basedOn w:val="Fuentedeprrafopredeter"/>
    <w:rsid w:val="00BD0A14"/>
  </w:style>
  <w:style w:type="character" w:customStyle="1" w:styleId="NormalWebCar">
    <w:name w:val="Normal (Web) Car"/>
    <w:link w:val="NormalWeb"/>
    <w:uiPriority w:val="99"/>
    <w:locked/>
    <w:rsid w:val="00BD0A14"/>
    <w:rPr>
      <w:rFonts w:ascii="Times New Roman" w:eastAsia="Times New Roman" w:hAnsi="Times New Roman" w:cs="Times New Roman"/>
      <w:sz w:val="24"/>
      <w:szCs w:val="24"/>
      <w:lang w:eastAsia="es-CO"/>
    </w:rPr>
  </w:style>
  <w:style w:type="paragraph" w:styleId="Sinespaciado">
    <w:name w:val="No Spacing"/>
    <w:uiPriority w:val="1"/>
    <w:qFormat/>
    <w:rsid w:val="00BD0A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eisytoto@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6B98D8-785B-49AA-8F0C-0498BF0E0A78}"/>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19</TotalTime>
  <Pages>29</Pages>
  <Words>9546</Words>
  <Characters>52504</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43</cp:revision>
  <cp:lastPrinted>2023-01-10T21:18:00Z</cp:lastPrinted>
  <dcterms:created xsi:type="dcterms:W3CDTF">2026-07-28T14:00:00Z</dcterms:created>
  <dcterms:modified xsi:type="dcterms:W3CDTF">2026-07-28T15:27:00Z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