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643BE" w:rsidR="00AC2823" w:rsidP="00AC2823" w:rsidRDefault="00AC2823" w14:paraId="6B5C2D89" w14:textId="77777777">
      <w:pPr>
        <w:spacing w:after="0" w:line="240" w:lineRule="auto"/>
        <w:contextualSpacing/>
        <w:jc w:val="both"/>
        <w:rPr>
          <w:rFonts w:ascii="Verdana" w:hAnsi="Verdana" w:eastAsia="Calibri" w:cs="Arial"/>
          <w:b/>
          <w:bCs/>
          <w:color w:val="000000" w:themeColor="text1"/>
          <w:lang w:val="es-ES_tradnl"/>
        </w:rPr>
      </w:pPr>
      <w:r w:rsidRPr="000643BE">
        <w:rPr>
          <w:rFonts w:ascii="Verdana" w:hAnsi="Verdana" w:eastAsia="Calibri" w:cs="Arial"/>
          <w:b/>
          <w:bCs/>
          <w:color w:val="000000" w:themeColor="text1"/>
          <w:lang w:val="es-ES_tradnl"/>
        </w:rPr>
        <w:t>CONTRATO DE CONCESIÓN ― Contrato estatal ― Concepto</w:t>
      </w:r>
    </w:p>
    <w:p w:rsidRPr="00252D4B" w:rsidR="00AC2823" w:rsidP="00AC2823" w:rsidRDefault="00AC2823" w14:paraId="4A4BDC7A" w14:textId="77777777">
      <w:pPr>
        <w:spacing w:after="0" w:line="240" w:lineRule="auto"/>
        <w:contextualSpacing/>
        <w:rPr>
          <w:rFonts w:ascii="Verdana" w:hAnsi="Verdana" w:eastAsia="Calibri" w:cs="Arial"/>
          <w:b/>
          <w:bCs/>
          <w:color w:val="000000" w:themeColor="text1"/>
          <w:sz w:val="20"/>
          <w:szCs w:val="20"/>
          <w:lang w:val="es-ES_tradnl"/>
        </w:rPr>
      </w:pPr>
    </w:p>
    <w:p w:rsidRPr="00252D4B" w:rsidR="00AC2823" w:rsidP="00AC2823" w:rsidRDefault="00AC2823" w14:paraId="5B5609F6" w14:textId="77777777">
      <w:pPr>
        <w:spacing w:line="240" w:lineRule="auto"/>
        <w:contextualSpacing/>
        <w:jc w:val="both"/>
        <w:rPr>
          <w:rFonts w:ascii="Verdana" w:hAnsi="Verdana" w:eastAsia="Calibri" w:cs="Arial"/>
          <w:color w:val="000000" w:themeColor="text1"/>
          <w:sz w:val="20"/>
          <w:szCs w:val="20"/>
          <w:lang w:val="es-ES"/>
        </w:rPr>
      </w:pPr>
      <w:r w:rsidRPr="00252D4B">
        <w:rPr>
          <w:rFonts w:ascii="Verdana" w:hAnsi="Verdana" w:eastAsia="Calibri" w:cs="Arial"/>
          <w:bCs/>
          <w:color w:val="000000" w:themeColor="text1"/>
          <w:sz w:val="20"/>
          <w:szCs w:val="20"/>
          <w:lang w:val="es-ES_tradnl"/>
        </w:rPr>
        <w:t xml:space="preserve">El contrato de concesión ha sido tradicionalmente uno de los contratos estatales paradigmáticos. Esto debido a que, a través de él las Entidades Públicas reciben el apoyo de los particulares para el cumplimiento de los fines del Estado, permitiendo que aquellos exploten, operen, organicen, construyan, conserven o gestionen un determinado bien o servicio de propiedad estatal, en la medida de lo posible con sus propios recursos privados y con la oportunidad de recuperar su inversión durante el plazo del contrato. </w:t>
      </w:r>
      <w:r w:rsidRPr="00252D4B">
        <w:rPr>
          <w:rFonts w:ascii="Verdana" w:hAnsi="Verdana" w:eastAsia="Calibri" w:cs="Arial"/>
          <w:color w:val="000000" w:themeColor="text1"/>
          <w:sz w:val="20"/>
          <w:szCs w:val="20"/>
          <w:lang w:val="es-ES"/>
        </w:rPr>
        <w:t xml:space="preserve"> […].</w:t>
      </w:r>
    </w:p>
    <w:p w:rsidRPr="00252D4B" w:rsidR="00AC2823" w:rsidP="00AC2823" w:rsidRDefault="00AC2823" w14:paraId="0EC913D0" w14:textId="77777777">
      <w:pPr>
        <w:spacing w:after="0" w:line="240" w:lineRule="auto"/>
        <w:contextualSpacing/>
        <w:jc w:val="both"/>
        <w:rPr>
          <w:rFonts w:ascii="Verdana" w:hAnsi="Verdana" w:eastAsia="Calibri" w:cs="Arial"/>
          <w:color w:val="000000" w:themeColor="text1"/>
          <w:sz w:val="20"/>
          <w:szCs w:val="20"/>
          <w:lang w:val="es-ES"/>
        </w:rPr>
      </w:pPr>
    </w:p>
    <w:p w:rsidRPr="00252D4B" w:rsidR="00AC2823" w:rsidP="00AC2823" w:rsidRDefault="00AC2823" w14:paraId="5309C630" w14:textId="77777777">
      <w:pPr>
        <w:tabs>
          <w:tab w:val="left" w:pos="0"/>
        </w:tabs>
        <w:spacing w:after="0" w:line="240" w:lineRule="auto"/>
        <w:contextualSpacing/>
        <w:jc w:val="both"/>
        <w:rPr>
          <w:rFonts w:ascii="Verdana" w:hAnsi="Verdana" w:eastAsia="Calibri" w:cs="Arial"/>
          <w:bCs/>
          <w:color w:val="000000" w:themeColor="text1"/>
          <w:sz w:val="20"/>
          <w:szCs w:val="20"/>
        </w:rPr>
      </w:pPr>
      <w:r w:rsidRPr="00252D4B">
        <w:rPr>
          <w:rFonts w:ascii="Verdana" w:hAnsi="Verdana" w:eastAsia="Calibri" w:cs="Arial"/>
          <w:bCs/>
          <w:color w:val="000000" w:themeColor="text1"/>
          <w:sz w:val="20"/>
          <w:szCs w:val="20"/>
        </w:rPr>
        <w:t xml:space="preserve">Tal como está tipificado el contrato de concesión en la Ley 80 de 1993, el Estado es el titular de la actividad o del bien y lo otorga a una persona que se denominará </w:t>
      </w:r>
      <w:r w:rsidRPr="00252D4B">
        <w:rPr>
          <w:rFonts w:ascii="Verdana" w:hAnsi="Verdana" w:eastAsia="Calibri" w:cs="Arial"/>
          <w:bCs/>
          <w:i/>
          <w:iCs/>
          <w:color w:val="000000" w:themeColor="text1"/>
          <w:sz w:val="20"/>
          <w:szCs w:val="20"/>
        </w:rPr>
        <w:t>concesionario</w:t>
      </w:r>
      <w:r w:rsidRPr="00252D4B">
        <w:rPr>
          <w:rFonts w:ascii="Verdana" w:hAnsi="Verdana" w:eastAsia="Calibri" w:cs="Arial"/>
          <w:bCs/>
          <w:color w:val="000000" w:themeColor="text1"/>
          <w:sz w:val="20"/>
          <w:szCs w:val="20"/>
        </w:rPr>
        <w:t xml:space="preserve">, para que este asuma el ejercicio del servicio público o la realización y explotación de una obra, por su propia cuenta y riesgo, pero con la permanente vigilancia de la entidad </w:t>
      </w:r>
      <w:r w:rsidRPr="00252D4B">
        <w:rPr>
          <w:rFonts w:ascii="Verdana" w:hAnsi="Verdana" w:eastAsia="Calibri" w:cs="Arial"/>
          <w:bCs/>
          <w:i/>
          <w:iCs/>
          <w:color w:val="000000" w:themeColor="text1"/>
          <w:sz w:val="20"/>
          <w:szCs w:val="20"/>
        </w:rPr>
        <w:t>concedente</w:t>
      </w:r>
      <w:r w:rsidRPr="00252D4B">
        <w:rPr>
          <w:rFonts w:ascii="Verdana" w:hAnsi="Verdana" w:eastAsia="Calibri" w:cs="Arial"/>
          <w:bCs/>
          <w:color w:val="000000" w:themeColor="text1"/>
          <w:sz w:val="20"/>
          <w:szCs w:val="20"/>
        </w:rPr>
        <w:t xml:space="preserve"> y como contraprestación recibirá un incentivo económico. La entidad concedente no se desprende de la potestad de dirección y control de la ejecución del contrato y debe ejercer la permanente vigilancia de la actividad que desarrolla el concesionario. </w:t>
      </w:r>
      <w:r w:rsidRPr="00252D4B">
        <w:rPr>
          <w:rFonts w:ascii="Verdana" w:hAnsi="Verdana" w:eastAsia="Calibri" w:cs="Arial"/>
          <w:bCs/>
          <w:color w:val="000000" w:themeColor="text1"/>
          <w:sz w:val="20"/>
          <w:szCs w:val="20"/>
          <w:lang w:val="es-ES_tradnl"/>
        </w:rPr>
        <w:t>Como se observa, en este tipo de contratos el contratista es, en principio, quien por su cuenta y riesgo ejecuta la prestación, operación, explotación u organización del servicio, así como la construcción, explotación o conservación del bien, a cambio de una remuneración. […]</w:t>
      </w:r>
    </w:p>
    <w:p w:rsidRPr="00861B91" w:rsidR="00AC2823" w:rsidP="00AC2823" w:rsidRDefault="00AC2823" w14:paraId="3904FF0C" w14:textId="77777777">
      <w:pPr>
        <w:spacing w:after="0"/>
        <w:jc w:val="both"/>
        <w:rPr>
          <w:rFonts w:ascii="Verdana" w:hAnsi="Verdana" w:eastAsia="Verdana" w:cs="Verdana"/>
          <w:b/>
          <w:color w:val="7030A0"/>
          <w:highlight w:val="lightGray"/>
        </w:rPr>
      </w:pPr>
    </w:p>
    <w:p w:rsidRPr="000643BE" w:rsidR="00AC2823" w:rsidP="00AC2823" w:rsidRDefault="00AC2823" w14:paraId="0FB94083" w14:textId="77777777">
      <w:pPr>
        <w:spacing w:after="0" w:line="240" w:lineRule="auto"/>
        <w:contextualSpacing/>
        <w:jc w:val="both"/>
        <w:rPr>
          <w:rFonts w:ascii="Verdana" w:hAnsi="Verdana" w:eastAsia="Calibri" w:cs="Arial"/>
          <w:b/>
          <w:bCs/>
          <w:color w:val="000000" w:themeColor="text1"/>
          <w:lang w:val="es-ES_tradnl"/>
        </w:rPr>
      </w:pPr>
      <w:r w:rsidRPr="000643BE">
        <w:rPr>
          <w:rFonts w:ascii="Verdana" w:hAnsi="Verdana" w:eastAsia="Calibri" w:cs="Arial"/>
          <w:b/>
          <w:bCs/>
          <w:color w:val="000000" w:themeColor="text1"/>
          <w:lang w:val="es-ES_tradnl"/>
        </w:rPr>
        <w:t>CONTRATO DE CONCESIÓN ― Colaboración público - privada ― No exclusiva</w:t>
      </w:r>
    </w:p>
    <w:p w:rsidR="00AC2823" w:rsidP="00AC2823" w:rsidRDefault="00AC2823" w14:paraId="50EC8A33" w14:textId="77777777">
      <w:pPr>
        <w:contextualSpacing/>
        <w:jc w:val="both"/>
        <w:rPr>
          <w:rFonts w:ascii="Verdana" w:hAnsi="Verdana" w:eastAsia="Calibri" w:cs="Arial"/>
          <w:b/>
          <w:bCs/>
          <w:color w:val="000000" w:themeColor="text1"/>
          <w:sz w:val="20"/>
          <w:szCs w:val="20"/>
          <w:lang w:val="es-ES_tradnl"/>
        </w:rPr>
      </w:pPr>
    </w:p>
    <w:p w:rsidR="00AC2823" w:rsidP="00AC2823" w:rsidRDefault="00AC2823" w14:paraId="1D7EB19A" w14:textId="77777777">
      <w:pPr>
        <w:spacing w:after="0" w:line="240" w:lineRule="auto"/>
        <w:contextualSpacing/>
        <w:jc w:val="both"/>
        <w:rPr>
          <w:rFonts w:ascii="Verdana" w:hAnsi="Verdana" w:eastAsia="Calibri" w:cs="Arial"/>
          <w:color w:val="000000" w:themeColor="text1"/>
          <w:sz w:val="20"/>
          <w:szCs w:val="20"/>
          <w:lang w:val="es-ES" w:eastAsia="es-ES_tradnl"/>
        </w:rPr>
      </w:pPr>
      <w:r w:rsidRPr="000643BE">
        <w:rPr>
          <w:rFonts w:ascii="Verdana" w:hAnsi="Verdana" w:eastAsia="Calibri" w:cs="Arial"/>
          <w:color w:val="000000" w:themeColor="text1"/>
          <w:sz w:val="20"/>
          <w:szCs w:val="20"/>
          <w:lang w:val="es-ES"/>
        </w:rPr>
        <w:t xml:space="preserve">A partir de la tipificación de este contrato, en el artículo citado, y sin perjuicio de la existencia de regímenes especiales, las disposiciones del Estatuto General de Contratación de la Administración Pública – en adelante EGCAP – eran las que aplicaban principalmente las Entidades Públicas en la celebración de los contratos de concesión. Sin embargo, con posterioridad se expidió la Ley 1508 de 2012, “Por la cual se establece el régimen jurídico de las Asociaciones Público-Privadas, se dictan normas orgánicas de presupuesto y se dictan otras disposiciones”, normativa que se menciona en su consulta […]. </w:t>
      </w:r>
    </w:p>
    <w:p w:rsidRPr="003E1BCD" w:rsidR="00AC2823" w:rsidP="00AC2823" w:rsidRDefault="00AC2823" w14:paraId="20702A14" w14:textId="77777777">
      <w:pPr>
        <w:spacing w:after="0" w:line="240" w:lineRule="auto"/>
        <w:contextualSpacing/>
        <w:jc w:val="both"/>
        <w:rPr>
          <w:rFonts w:ascii="Verdana" w:hAnsi="Verdana" w:eastAsia="Calibri" w:cs="Arial"/>
          <w:color w:val="000000" w:themeColor="text1"/>
          <w:sz w:val="20"/>
          <w:szCs w:val="20"/>
          <w:lang w:val="es-ES" w:eastAsia="es-ES_tradnl"/>
        </w:rPr>
      </w:pPr>
    </w:p>
    <w:p w:rsidRPr="000643BE" w:rsidR="00AC2823" w:rsidP="00AC2823" w:rsidRDefault="00AC2823" w14:paraId="0A0AFF89" w14:textId="77777777">
      <w:pPr>
        <w:tabs>
          <w:tab w:val="left" w:pos="0"/>
        </w:tabs>
        <w:spacing w:after="0" w:line="240" w:lineRule="auto"/>
        <w:contextualSpacing/>
        <w:jc w:val="both"/>
        <w:rPr>
          <w:rFonts w:ascii="Verdana" w:hAnsi="Verdana" w:eastAsia="Calibri" w:cs="Arial"/>
          <w:bCs/>
          <w:strike/>
          <w:color w:val="000000" w:themeColor="text1"/>
          <w:sz w:val="20"/>
          <w:szCs w:val="20"/>
          <w:lang w:val="es-ES_tradnl"/>
        </w:rPr>
      </w:pPr>
      <w:r w:rsidRPr="000643BE">
        <w:rPr>
          <w:rFonts w:ascii="Verdana" w:hAnsi="Verdana" w:eastAsia="Calibri" w:cs="Arial"/>
          <w:bCs/>
          <w:color w:val="000000" w:themeColor="text1"/>
          <w:sz w:val="20"/>
          <w:szCs w:val="20"/>
          <w:lang w:val="es-ES_tradnl"/>
        </w:rPr>
        <w:t xml:space="preserve">Con fundamento en dicha noción, el legislador entiende la concesión como una forma de colaboración público-privada, es decir, como un mecanismo a través del cual el sector privado participa en la gestión pública, representada en la ejecución de actividades de infraestructura o de otros servicios, vinculando capital, conocimientos y experiencia, así como un mayor riesgo que el que ordinariamente se asume en otras tipologías contractuales. </w:t>
      </w:r>
    </w:p>
    <w:p w:rsidRPr="003E1BCD" w:rsidR="00AC2823" w:rsidP="00AC2823" w:rsidRDefault="00AC2823" w14:paraId="62F9DC12" w14:textId="77777777">
      <w:pPr>
        <w:spacing w:after="0"/>
        <w:rPr>
          <w:rFonts w:ascii="Verdana" w:hAnsi="Verdana"/>
          <w:color w:val="7030A0"/>
          <w:highlight w:val="lightGray"/>
          <w:lang w:val="es-ES_tradnl"/>
        </w:rPr>
      </w:pPr>
    </w:p>
    <w:p w:rsidR="00AC2823" w:rsidP="00AC2823" w:rsidRDefault="00AC2823" w14:paraId="267C8C50" w14:textId="77777777">
      <w:pPr>
        <w:spacing w:after="0" w:line="240" w:lineRule="auto"/>
        <w:rPr>
          <w:rFonts w:ascii="Verdana" w:hAnsi="Verdana" w:eastAsia="Calibri" w:cs="Arial"/>
          <w:b/>
          <w:bCs/>
          <w:lang w:val="es-ES_tradnl" w:eastAsia="es-ES"/>
        </w:rPr>
      </w:pPr>
      <w:r w:rsidRPr="00F80FB7">
        <w:rPr>
          <w:rFonts w:ascii="Verdana" w:hAnsi="Verdana" w:eastAsia="Calibri" w:cs="Arial"/>
          <w:b/>
          <w:bCs/>
          <w:lang w:val="es-ES_tradnl" w:eastAsia="es-ES"/>
        </w:rPr>
        <w:t>CONTRATOS Y CONVENIOS INTERADMINISTRATIVOS – Definición – Sujetos – Entidades Estatales</w:t>
      </w:r>
    </w:p>
    <w:p w:rsidR="00AC2823" w:rsidP="00AC2823" w:rsidRDefault="00AC2823" w14:paraId="131F9083" w14:textId="77777777">
      <w:pPr>
        <w:spacing w:after="120" w:line="276" w:lineRule="auto"/>
        <w:jc w:val="both"/>
        <w:rPr>
          <w:rFonts w:ascii="Verdana" w:hAnsi="Verdana" w:eastAsia="Calibri" w:cs="Arial"/>
          <w:b/>
          <w:bCs/>
          <w:lang w:val="es-ES_tradnl" w:eastAsia="es-ES"/>
        </w:rPr>
      </w:pPr>
    </w:p>
    <w:p w:rsidRPr="00111D1C" w:rsidR="00AC2823" w:rsidP="00AC2823" w:rsidRDefault="00AC2823" w14:paraId="3CF7B4F3" w14:textId="77777777">
      <w:pPr>
        <w:spacing w:after="120" w:line="240" w:lineRule="auto"/>
        <w:jc w:val="both"/>
        <w:rPr>
          <w:rFonts w:ascii="Verdana" w:hAnsi="Verdana" w:eastAsia="Calibri" w:cs="Arial"/>
          <w:sz w:val="20"/>
          <w:szCs w:val="20"/>
          <w:lang w:eastAsia="es-ES"/>
        </w:rPr>
      </w:pPr>
      <w:r w:rsidRPr="00111D1C">
        <w:rPr>
          <w:rFonts w:ascii="Verdana" w:hAnsi="Verdana" w:eastAsia="Calibri" w:cs="Arial"/>
          <w:sz w:val="20"/>
          <w:szCs w:val="20"/>
          <w:lang w:val="es-ES_tradnl" w:eastAsia="es-ES"/>
        </w:rPr>
        <w:t xml:space="preserve">[…] </w:t>
      </w:r>
      <w:r w:rsidRPr="00111D1C">
        <w:rPr>
          <w:rFonts w:ascii="Verdana" w:hAnsi="Verdana" w:eastAsia="Times New Roman" w:cs="Arial"/>
          <w:color w:val="000000" w:themeColor="text1"/>
          <w:sz w:val="20"/>
          <w:szCs w:val="20"/>
          <w:lang w:val="es-ES" w:eastAsia="es-CO"/>
        </w:rPr>
        <w:t xml:space="preserve">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w:t>
      </w:r>
      <w:r w:rsidRPr="00111D1C">
        <w:rPr>
          <w:rFonts w:ascii="Verdana" w:hAnsi="Verdana" w:eastAsia="Calibri" w:cs="Arial"/>
          <w:sz w:val="20"/>
          <w:szCs w:val="20"/>
          <w:lang w:eastAsia="es-ES"/>
        </w:rPr>
        <w:t xml:space="preserve">sin que importen las normas que regulan la relación contractual. </w:t>
      </w:r>
    </w:p>
    <w:p w:rsidRPr="00111D1C" w:rsidR="00AC2823" w:rsidP="00AC2823" w:rsidRDefault="00AC2823" w14:paraId="05E5B36F" w14:textId="77777777">
      <w:pPr>
        <w:spacing w:after="120" w:line="240" w:lineRule="auto"/>
        <w:jc w:val="both"/>
        <w:rPr>
          <w:rFonts w:ascii="Verdana" w:hAnsi="Verdana" w:eastAsia="Calibri" w:cs="Arial"/>
          <w:bCs/>
          <w:color w:val="000000" w:themeColor="text1"/>
          <w:sz w:val="20"/>
          <w:szCs w:val="20"/>
          <w:lang w:eastAsia="es-ES_tradnl" w:bidi="es-ES"/>
        </w:rPr>
      </w:pPr>
      <w:r w:rsidRPr="00111D1C">
        <w:rPr>
          <w:rFonts w:ascii="Verdana" w:hAnsi="Verdana" w:eastAsia="Calibri" w:cs="Arial"/>
          <w:bCs/>
          <w:color w:val="000000" w:themeColor="text1"/>
          <w:sz w:val="20"/>
          <w:szCs w:val="20"/>
          <w:lang w:eastAsia="es-ES_tradnl" w:bidi="es-ES"/>
        </w:rPr>
        <w:t xml:space="preserve">[…] En esa línea, una interpretación sistemática de las Leyes 80 de 1993, 1150 de 2007 y 1474 de 2011 permite considerar el </w:t>
      </w:r>
      <w:r w:rsidRPr="00111D1C">
        <w:rPr>
          <w:rFonts w:ascii="Verdana" w:hAnsi="Verdana" w:eastAsia="Calibri" w:cs="Arial"/>
          <w:bCs/>
          <w:i/>
          <w:iCs/>
          <w:color w:val="000000" w:themeColor="text1"/>
          <w:sz w:val="20"/>
          <w:szCs w:val="20"/>
          <w:lang w:eastAsia="es-ES_tradnl" w:bidi="es-ES"/>
        </w:rPr>
        <w:t>contrato interadministrativo</w:t>
      </w:r>
      <w:r w:rsidRPr="00111D1C">
        <w:rPr>
          <w:rFonts w:ascii="Verdana" w:hAnsi="Verdana" w:eastAsia="Calibri" w:cs="Arial"/>
          <w:bCs/>
          <w:color w:val="000000" w:themeColor="text1"/>
          <w:sz w:val="20"/>
          <w:szCs w:val="20"/>
          <w:lang w:eastAsia="es-ES_tradnl" w:bidi="es-ES"/>
        </w:rPr>
        <w:t xml:space="preserve"> como una relación jurídica patrimonial, onerosa y conmutativa, cuya naturaleza y esencia es distinta a la de los convenios interadministrativos. De esta forma, el </w:t>
      </w:r>
      <w:r w:rsidRPr="00111D1C">
        <w:rPr>
          <w:rFonts w:ascii="Verdana" w:hAnsi="Verdana" w:eastAsia="Calibri" w:cs="Arial"/>
          <w:bCs/>
          <w:i/>
          <w:iCs/>
          <w:color w:val="000000" w:themeColor="text1"/>
          <w:sz w:val="20"/>
          <w:szCs w:val="20"/>
          <w:lang w:eastAsia="es-ES_tradnl" w:bidi="es-ES"/>
        </w:rPr>
        <w:t>convenio interadministrativo</w:t>
      </w:r>
      <w:r w:rsidRPr="00111D1C">
        <w:rPr>
          <w:rFonts w:ascii="Verdana" w:hAnsi="Verdana" w:eastAsia="Calibri" w:cs="Arial"/>
          <w:bCs/>
          <w:color w:val="000000" w:themeColor="text1"/>
          <w:sz w:val="20"/>
          <w:szCs w:val="20"/>
          <w:lang w:eastAsia="es-ES_tradnl" w:bidi="es-ES"/>
        </w:rPr>
        <w:t xml:space="preserve"> es un negocio jurídico entre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Por su parte, el </w:t>
      </w:r>
      <w:r w:rsidRPr="00111D1C">
        <w:rPr>
          <w:rFonts w:ascii="Verdana" w:hAnsi="Verdana" w:eastAsia="Calibri" w:cs="Arial"/>
          <w:bCs/>
          <w:i/>
          <w:iCs/>
          <w:color w:val="000000" w:themeColor="text1"/>
          <w:sz w:val="20"/>
          <w:szCs w:val="20"/>
          <w:lang w:eastAsia="es-ES_tradnl" w:bidi="es-ES"/>
        </w:rPr>
        <w:t>contrato interadministrativo</w:t>
      </w:r>
      <w:r w:rsidRPr="00111D1C">
        <w:rPr>
          <w:rFonts w:ascii="Verdana" w:hAnsi="Verdana" w:eastAsia="Calibri" w:cs="Arial"/>
          <w:bCs/>
          <w:color w:val="000000" w:themeColor="text1"/>
          <w:sz w:val="20"/>
          <w:szCs w:val="20"/>
          <w:lang w:eastAsia="es-ES_tradnl" w:bidi="es-ES"/>
        </w:rPr>
        <w:t xml:space="preserve">, aunque también es celebrado entre Entidades Públicas, es un negocio jurídico generador de obligaciones al cual las partes acuden con intereses divergentes, y en el que existe una contraprestación directa a favor de la entidad contratista que ha entregado el bien, prestado el servicio o realizado la obra a favor de la entidad contratante. </w:t>
      </w:r>
    </w:p>
    <w:p w:rsidRPr="00E02524" w:rsidR="0022400B" w:rsidP="734EF5D3" w:rsidRDefault="34654822" w14:paraId="5821650A"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142E27EC" w14:textId="77777777">
      <w:pPr>
        <w:spacing w:after="0" w:line="240" w:lineRule="auto"/>
        <w:jc w:val="both"/>
        <w:textAlignment w:val="baseline"/>
      </w:pPr>
      <w:r w:rsidRPr="734EF5D3">
        <w:rPr>
          <w:rFonts w:ascii="Verdana" w:hAnsi="Verdana" w:eastAsia="Verdana" w:cs="Verdana"/>
          <w:b/>
          <w:bCs/>
        </w:rPr>
        <w:t>CLÁUSULAS EXORBITANTES – Noción – Alcance</w:t>
      </w:r>
      <w:r w:rsidRPr="734EF5D3">
        <w:rPr>
          <w:rFonts w:ascii="Verdana" w:hAnsi="Verdana" w:eastAsia="Verdana" w:cs="Verdana"/>
        </w:rPr>
        <w:t xml:space="preserve"> </w:t>
      </w:r>
    </w:p>
    <w:p w:rsidRPr="00E02524" w:rsidR="0022400B" w:rsidP="734EF5D3" w:rsidRDefault="34654822" w14:paraId="49BE42CE"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2315A9E9" w14:textId="77777777">
      <w:pPr>
        <w:spacing w:after="0" w:line="240" w:lineRule="auto"/>
        <w:jc w:val="both"/>
        <w:textAlignment w:val="baseline"/>
      </w:pPr>
      <w:r w:rsidRPr="734EF5D3">
        <w:rPr>
          <w:rFonts w:ascii="Verdana" w:hAnsi="Verdana" w:eastAsia="Verdana" w:cs="Verdana"/>
          <w:color w:val="000000" w:themeColor="text1"/>
          <w:sz w:val="20"/>
          <w:szCs w:val="20"/>
          <w:lang w:val="es-ES"/>
        </w:rPr>
        <w:t xml:space="preserve">Las entidades estatales sometidas al EGCAP usualmente cuentan con distintas potestades exorbitantes o excepcionales, con base en las cuales ejercen la dirección general del contrato y realizan las actividades propias de vigilancia y control. Entre dichas potestades se encuentran: </w:t>
      </w:r>
    </w:p>
    <w:p w:rsidRPr="00E02524" w:rsidR="0022400B" w:rsidP="734EF5D3" w:rsidRDefault="34654822" w14:paraId="112417A7"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30AC2A80"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a) Las cláusulas excepcionales del </w:t>
      </w:r>
      <w:r w:rsidRPr="734EF5D3">
        <w:rPr>
          <w:rFonts w:ascii="Verdana" w:hAnsi="Verdana" w:eastAsia="Verdana" w:cs="Verdana"/>
          <w:i/>
          <w:iCs/>
          <w:color w:val="000000" w:themeColor="text1"/>
          <w:sz w:val="20"/>
          <w:szCs w:val="20"/>
          <w:lang w:val="es"/>
        </w:rPr>
        <w:t>artículo 14</w:t>
      </w:r>
      <w:r w:rsidRPr="734EF5D3">
        <w:rPr>
          <w:rFonts w:ascii="Verdana" w:hAnsi="Verdana" w:eastAsia="Verdana" w:cs="Verdana"/>
          <w:color w:val="000000" w:themeColor="text1"/>
          <w:sz w:val="20"/>
          <w:szCs w:val="20"/>
          <w:lang w:val="es"/>
        </w:rPr>
        <w:t xml:space="preserve"> de la Ley 80 de 1993, concepto que incluye la terminación unilateral, la interpretación unilateral, la modificación unilateral, la caducidad y la reversión. Dichas prerrogativas se desarrollan en los artículos 15 a 19 </w:t>
      </w:r>
      <w:r w:rsidRPr="734EF5D3">
        <w:rPr>
          <w:rFonts w:ascii="Verdana" w:hAnsi="Verdana" w:eastAsia="Verdana" w:cs="Verdana"/>
          <w:i/>
          <w:iCs/>
          <w:color w:val="000000" w:themeColor="text1"/>
          <w:sz w:val="20"/>
          <w:szCs w:val="20"/>
          <w:lang w:val="es"/>
        </w:rPr>
        <w:t>ibidem</w:t>
      </w:r>
      <w:r w:rsidRPr="734EF5D3">
        <w:rPr>
          <w:rFonts w:ascii="Verdana" w:hAnsi="Verdana" w:eastAsia="Verdana" w:cs="Verdana"/>
          <w:color w:val="000000" w:themeColor="text1"/>
          <w:sz w:val="20"/>
          <w:szCs w:val="20"/>
          <w:lang w:val="es"/>
        </w:rPr>
        <w:t xml:space="preserve">; </w:t>
      </w:r>
    </w:p>
    <w:p w:rsidRPr="00E02524" w:rsidR="0022400B" w:rsidP="734EF5D3" w:rsidRDefault="34654822" w14:paraId="57E73941"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b) Las cláusulas excepcionales de </w:t>
      </w:r>
      <w:r w:rsidRPr="734EF5D3">
        <w:rPr>
          <w:rFonts w:ascii="Verdana" w:hAnsi="Verdana" w:eastAsia="Verdana" w:cs="Verdana"/>
          <w:i/>
          <w:iCs/>
          <w:color w:val="000000" w:themeColor="text1"/>
          <w:sz w:val="20"/>
          <w:szCs w:val="20"/>
          <w:lang w:val="es"/>
        </w:rPr>
        <w:t>imposición unilateral de las cláusulas penales y de multas</w:t>
      </w:r>
      <w:r w:rsidRPr="734EF5D3">
        <w:rPr>
          <w:rFonts w:ascii="Verdana" w:hAnsi="Verdana" w:eastAsia="Verdana" w:cs="Verdana"/>
          <w:color w:val="000000" w:themeColor="text1"/>
          <w:sz w:val="20"/>
          <w:szCs w:val="20"/>
          <w:lang w:val="es"/>
        </w:rPr>
        <w:t xml:space="preserve">, según lo establecido en el artículo 17 de la Ley 1150 de 2007. En este caso su exorbitancia se refiere a la facultad de imposición unilateral, no a su pacto, que es posible en virtud de las normas civiles y comerciales; </w:t>
      </w:r>
    </w:p>
    <w:p w:rsidRPr="00E02524" w:rsidR="0022400B" w:rsidP="734EF5D3" w:rsidRDefault="34654822" w14:paraId="5C8C5AC3"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0F82D71D"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c) Las potestades establecidas en otras disposiciones como la liquidación unilateral y la </w:t>
      </w:r>
      <w:r w:rsidRPr="734EF5D3">
        <w:rPr>
          <w:rFonts w:ascii="Verdana" w:hAnsi="Verdana" w:eastAsia="Verdana" w:cs="Verdana"/>
          <w:i/>
          <w:iCs/>
          <w:color w:val="000000" w:themeColor="text1"/>
          <w:sz w:val="20"/>
          <w:szCs w:val="20"/>
          <w:lang w:val="es"/>
        </w:rPr>
        <w:t>declaratoria unilateral del siniestro</w:t>
      </w:r>
      <w:r w:rsidRPr="734EF5D3">
        <w:rPr>
          <w:rFonts w:ascii="Verdana" w:hAnsi="Verdana" w:eastAsia="Verdana" w:cs="Verdana"/>
          <w:color w:val="000000" w:themeColor="text1"/>
          <w:sz w:val="20"/>
          <w:szCs w:val="20"/>
          <w:lang w:val="es"/>
        </w:rPr>
        <w:t xml:space="preserve"> –artículos 7 y 11 de la Ley 1150 de 2007–.</w:t>
      </w:r>
    </w:p>
    <w:p w:rsidRPr="00E02524" w:rsidR="0022400B" w:rsidP="734EF5D3" w:rsidRDefault="34654822" w14:paraId="29833912"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2A313099" w14:textId="77777777">
      <w:pPr>
        <w:spacing w:after="0" w:line="240" w:lineRule="auto"/>
        <w:jc w:val="both"/>
        <w:textAlignment w:val="baseline"/>
      </w:pPr>
      <w:r w:rsidRPr="734EF5D3">
        <w:rPr>
          <w:rFonts w:ascii="Verdana" w:hAnsi="Verdana" w:eastAsia="Verdana" w:cs="Verdana"/>
          <w:b/>
          <w:bCs/>
        </w:rPr>
        <w:t xml:space="preserve">CLAÚSULAS EXORBITANTES – Contratos interadministrativos – Ley 80 de 1993 artículo 14 parágrafo </w:t>
      </w:r>
    </w:p>
    <w:p w:rsidRPr="00E02524" w:rsidR="0022400B" w:rsidP="734EF5D3" w:rsidRDefault="34654822" w14:paraId="3C2214E1" w14:textId="77777777">
      <w:pPr>
        <w:spacing w:after="0" w:line="240" w:lineRule="auto"/>
        <w:jc w:val="both"/>
        <w:textAlignment w:val="baseline"/>
      </w:pPr>
      <w:r w:rsidRPr="734EF5D3">
        <w:rPr>
          <w:rFonts w:ascii="Verdana" w:hAnsi="Verdana" w:eastAsia="Verdana" w:cs="Verdana"/>
          <w:color w:val="000000" w:themeColor="text1"/>
          <w:lang w:val="es"/>
        </w:rPr>
        <w:t xml:space="preserve"> </w:t>
      </w:r>
    </w:p>
    <w:p w:rsidRPr="00E02524" w:rsidR="0022400B" w:rsidP="734EF5D3" w:rsidRDefault="34654822" w14:paraId="0287D788" w14:textId="77777777">
      <w:pPr>
        <w:spacing w:after="0" w:line="240" w:lineRule="auto"/>
        <w:jc w:val="both"/>
        <w:textAlignment w:val="baseline"/>
      </w:pPr>
      <w:r w:rsidRPr="734EF5D3">
        <w:rPr>
          <w:rFonts w:ascii="Verdana" w:hAnsi="Verdana" w:eastAsia="Verdana" w:cs="Verdana"/>
          <w:color w:val="000000" w:themeColor="text1"/>
          <w:lang w:val="es"/>
        </w:rPr>
        <w:t xml:space="preserve">[…] el parágrafo del artículo 14 de la Ley 80 de 1993 consagra lo siguiente: </w:t>
      </w:r>
    </w:p>
    <w:p w:rsidRPr="00E02524" w:rsidR="0022400B" w:rsidP="734EF5D3" w:rsidRDefault="34654822" w14:paraId="30641D14" w14:textId="77777777">
      <w:pPr>
        <w:spacing w:after="0" w:line="240" w:lineRule="auto"/>
        <w:ind w:left="851" w:right="760"/>
        <w:jc w:val="both"/>
        <w:textAlignment w:val="baseline"/>
      </w:pPr>
      <w:r w:rsidRPr="734EF5D3">
        <w:rPr>
          <w:rFonts w:ascii="Verdana" w:hAnsi="Verdana" w:eastAsia="Verdana" w:cs="Verdana"/>
          <w:b/>
          <w:bCs/>
          <w:color w:val="000000" w:themeColor="text1"/>
          <w:sz w:val="20"/>
          <w:szCs w:val="20"/>
        </w:rPr>
        <w:t xml:space="preserve"> </w:t>
      </w:r>
    </w:p>
    <w:p w:rsidRPr="00E02524" w:rsidR="0022400B" w:rsidP="734EF5D3" w:rsidRDefault="34654822" w14:paraId="0BBC433D" w14:textId="77777777">
      <w:pPr>
        <w:spacing w:after="0" w:line="240" w:lineRule="auto"/>
        <w:ind w:left="709" w:right="709"/>
        <w:jc w:val="both"/>
        <w:textAlignment w:val="baseline"/>
      </w:pPr>
      <w:r w:rsidRPr="734EF5D3">
        <w:rPr>
          <w:rFonts w:ascii="Verdana" w:hAnsi="Verdana" w:eastAsia="Verdana" w:cs="Verdana"/>
          <w:b/>
          <w:bCs/>
          <w:color w:val="000000" w:themeColor="text1"/>
          <w:sz w:val="20"/>
          <w:szCs w:val="20"/>
        </w:rPr>
        <w:t xml:space="preserve">PARÁGRAFO. </w:t>
      </w:r>
      <w:r w:rsidRPr="734EF5D3">
        <w:rPr>
          <w:rFonts w:ascii="Verdana" w:hAnsi="Verdana" w:eastAsia="Verdana" w:cs="Verdana"/>
          <w:color w:val="000000" w:themeColor="text1"/>
          <w:sz w:val="20"/>
          <w:szCs w:val="20"/>
        </w:rPr>
        <w:t xml:space="preserve">En los contratos que se celebren con personas públicas internacionales, o de cooperación, ayuda o asistencia; </w:t>
      </w:r>
      <w:r w:rsidRPr="734EF5D3">
        <w:rPr>
          <w:rFonts w:ascii="Verdana" w:hAnsi="Verdana" w:eastAsia="Verdana" w:cs="Verdana"/>
          <w:b/>
          <w:bCs/>
          <w:color w:val="000000" w:themeColor="text1"/>
          <w:sz w:val="20"/>
          <w:szCs w:val="20"/>
        </w:rPr>
        <w:t>en los interadministrativos</w:t>
      </w:r>
      <w:r w:rsidRPr="734EF5D3">
        <w:rPr>
          <w:rFonts w:ascii="Verdana" w:hAnsi="Verdana" w:eastAsia="Verdana" w:cs="Verdana"/>
          <w:color w:val="000000" w:themeColor="text1"/>
          <w:sz w:val="20"/>
          <w:szCs w:val="20"/>
        </w:rPr>
        <w:t xml:space="preserve">; en los de empréstito, donación y arrendamiento y en los contratos que tengan por objeto actividades comerciales o industriales de las entidades estatales que no correspondan a las señaladas en el numeral 2o. de este artículo, o que tengan por objeto el desarrollo directo de actividades científicas o tecnológicas, así como en los contratos de seguro tomados por las entidades estatales, </w:t>
      </w:r>
      <w:r w:rsidRPr="734EF5D3">
        <w:rPr>
          <w:rFonts w:ascii="Verdana" w:hAnsi="Verdana" w:eastAsia="Verdana" w:cs="Verdana"/>
          <w:b/>
          <w:bCs/>
          <w:color w:val="000000" w:themeColor="text1"/>
          <w:sz w:val="20"/>
          <w:szCs w:val="20"/>
        </w:rPr>
        <w:t>se prescindirá de la utilización de las cláusulas o estipulaciones excepcionales.</w:t>
      </w:r>
      <w:r w:rsidRPr="734EF5D3">
        <w:rPr>
          <w:rFonts w:ascii="Verdana" w:hAnsi="Verdana" w:eastAsia="Verdana" w:cs="Verdana"/>
          <w:color w:val="000000" w:themeColor="text1"/>
          <w:sz w:val="20"/>
          <w:szCs w:val="20"/>
        </w:rPr>
        <w:t xml:space="preserve"> (Resaltado fuera de texto)</w:t>
      </w:r>
    </w:p>
    <w:p w:rsidRPr="00E02524" w:rsidR="0022400B" w:rsidP="734EF5D3" w:rsidRDefault="34654822" w14:paraId="506C43C4" w14:textId="77777777">
      <w:pPr>
        <w:spacing w:after="0" w:line="240" w:lineRule="auto"/>
        <w:ind w:left="709" w:right="709"/>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6470906A"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Lo anterior implica que en los contratos interadministrativos se deberá prescindir de la inclusión de las cláusulas excepcionales, de tal manera que se considerarán ineficaces de pleno derecho si son incluidas. </w:t>
      </w:r>
    </w:p>
    <w:p w:rsidRPr="00E02524" w:rsidR="0022400B" w:rsidP="734EF5D3" w:rsidRDefault="34654822" w14:paraId="4D612705"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2322D5F7" w14:textId="77777777">
      <w:pPr>
        <w:spacing w:after="0" w:line="240" w:lineRule="auto"/>
        <w:jc w:val="both"/>
        <w:textAlignment w:val="baseline"/>
      </w:pPr>
      <w:r w:rsidRPr="734EF5D3">
        <w:rPr>
          <w:rFonts w:ascii="Verdana" w:hAnsi="Verdana" w:eastAsia="Verdana" w:cs="Verdana"/>
          <w:color w:val="000000" w:themeColor="text1"/>
          <w:sz w:val="20"/>
          <w:szCs w:val="20"/>
          <w:lang w:val="es"/>
        </w:rPr>
        <w:t xml:space="preserve">Para mayor claridad, el Consejo de Estado ha sostenido que </w:t>
      </w:r>
      <w:r w:rsidRPr="734EF5D3">
        <w:rPr>
          <w:rFonts w:ascii="Verdana" w:hAnsi="Verdana" w:eastAsia="Verdana" w:cs="Verdana"/>
          <w:color w:val="000000" w:themeColor="text1"/>
          <w:sz w:val="20"/>
          <w:szCs w:val="20"/>
        </w:rPr>
        <w:t>“el artículo 14 de la Ley 80 de 1993 es taxativo, por lo que solo son poderes excepcionales (i) la terminación unilateral, (</w:t>
      </w:r>
      <w:proofErr w:type="spellStart"/>
      <w:r w:rsidRPr="734EF5D3">
        <w:rPr>
          <w:rFonts w:ascii="Verdana" w:hAnsi="Verdana" w:eastAsia="Verdana" w:cs="Verdana"/>
          <w:color w:val="000000" w:themeColor="text1"/>
          <w:sz w:val="20"/>
          <w:szCs w:val="20"/>
        </w:rPr>
        <w:t>ii</w:t>
      </w:r>
      <w:proofErr w:type="spellEnd"/>
      <w:r w:rsidRPr="734EF5D3">
        <w:rPr>
          <w:rFonts w:ascii="Verdana" w:hAnsi="Verdana" w:eastAsia="Verdana" w:cs="Verdana"/>
          <w:color w:val="000000" w:themeColor="text1"/>
          <w:sz w:val="20"/>
          <w:szCs w:val="20"/>
        </w:rPr>
        <w:t>) la interpretación unilateral, (</w:t>
      </w:r>
      <w:proofErr w:type="spellStart"/>
      <w:r w:rsidRPr="734EF5D3">
        <w:rPr>
          <w:rFonts w:ascii="Verdana" w:hAnsi="Verdana" w:eastAsia="Verdana" w:cs="Verdana"/>
          <w:color w:val="000000" w:themeColor="text1"/>
          <w:sz w:val="20"/>
          <w:szCs w:val="20"/>
        </w:rPr>
        <w:t>iii</w:t>
      </w:r>
      <w:proofErr w:type="spellEnd"/>
      <w:r w:rsidRPr="734EF5D3">
        <w:rPr>
          <w:rFonts w:ascii="Verdana" w:hAnsi="Verdana" w:eastAsia="Verdana" w:cs="Verdana"/>
          <w:color w:val="000000" w:themeColor="text1"/>
          <w:sz w:val="20"/>
          <w:szCs w:val="20"/>
        </w:rPr>
        <w:t>) la modificación unilateral, (</w:t>
      </w:r>
      <w:proofErr w:type="spellStart"/>
      <w:r w:rsidRPr="734EF5D3">
        <w:rPr>
          <w:rFonts w:ascii="Verdana" w:hAnsi="Verdana" w:eastAsia="Verdana" w:cs="Verdana"/>
          <w:color w:val="000000" w:themeColor="text1"/>
          <w:sz w:val="20"/>
          <w:szCs w:val="20"/>
        </w:rPr>
        <w:t>iv</w:t>
      </w:r>
      <w:proofErr w:type="spellEnd"/>
      <w:r w:rsidRPr="734EF5D3">
        <w:rPr>
          <w:rFonts w:ascii="Verdana" w:hAnsi="Verdana" w:eastAsia="Verdana" w:cs="Verdana"/>
          <w:color w:val="000000" w:themeColor="text1"/>
          <w:sz w:val="20"/>
          <w:szCs w:val="20"/>
        </w:rPr>
        <w:t>) el sometimiento a las leyes nacionales, (v) la caducidad y (vi) la reversión. De esta forma, cualquier otra unilateralidad, como la liquidación unilateral o la imposición de multas y la declaratoria de incumplimiento, no constituirá un poder excepcional al derecho común.</w:t>
      </w:r>
    </w:p>
    <w:p w:rsidRPr="00E02524" w:rsidR="0022400B" w:rsidP="734EF5D3" w:rsidRDefault="34654822" w14:paraId="0A7734D5" w14:textId="77777777">
      <w:pPr>
        <w:spacing w:after="0" w:line="240" w:lineRule="auto"/>
        <w:jc w:val="both"/>
        <w:textAlignment w:val="baseline"/>
      </w:pPr>
      <w:r w:rsidRPr="734EF5D3">
        <w:rPr>
          <w:rFonts w:ascii="Verdana" w:hAnsi="Verdana" w:eastAsia="Verdana" w:cs="Verdana"/>
          <w:color w:val="000000" w:themeColor="text1"/>
          <w:sz w:val="20"/>
          <w:szCs w:val="20"/>
        </w:rPr>
        <w:t xml:space="preserve"> </w:t>
      </w:r>
    </w:p>
    <w:p w:rsidRPr="00E02524" w:rsidR="0022400B" w:rsidP="734EF5D3" w:rsidRDefault="34654822" w14:paraId="1A328987" w14:textId="77777777">
      <w:pPr>
        <w:spacing w:after="0" w:line="240" w:lineRule="auto"/>
        <w:jc w:val="both"/>
        <w:textAlignment w:val="baseline"/>
      </w:pPr>
      <w:r w:rsidRPr="734EF5D3">
        <w:rPr>
          <w:rFonts w:ascii="Verdana" w:hAnsi="Verdana" w:eastAsia="Verdana" w:cs="Verdana"/>
          <w:color w:val="000000" w:themeColor="text1"/>
          <w:sz w:val="20"/>
          <w:szCs w:val="20"/>
          <w:lang w:val="es"/>
        </w:rPr>
        <w:t>[…] atendiendo la literalidad del parágrafo del artículo 14 de la Ley 80 de 1993, las facultades excepcionales de la terminación unilateral, la interpretación unilateral, la modificación unilateral, el sometimiento a las leyes nacionales, la caducidad y la reversión no son aplicables en los contratos interadministrativos.</w:t>
      </w:r>
    </w:p>
    <w:p w:rsidR="0022400B" w:rsidP="734EF5D3" w:rsidRDefault="34654822" w14:paraId="1FD2B1B9" w14:textId="77777777">
      <w:pPr>
        <w:spacing w:line="257" w:lineRule="auto"/>
        <w:jc w:val="both"/>
        <w:textAlignment w:val="baseline"/>
        <w:rPr>
          <w:rFonts w:ascii="Verdana" w:hAnsi="Verdana" w:eastAsia="Verdana" w:cs="Verdana"/>
          <w:lang w:val="es"/>
        </w:rPr>
      </w:pPr>
      <w:r w:rsidRPr="734EF5D3">
        <w:rPr>
          <w:rFonts w:ascii="Verdana" w:hAnsi="Verdana" w:eastAsia="Verdana" w:cs="Verdana"/>
          <w:lang w:val="es"/>
        </w:rPr>
        <w:t xml:space="preserve"> </w:t>
      </w:r>
    </w:p>
    <w:p w:rsidR="00AC2823" w:rsidP="00AC2823" w:rsidRDefault="00AC2823" w14:paraId="70F8CA17" w14:textId="77777777">
      <w:pPr>
        <w:spacing w:line="257" w:lineRule="auto"/>
        <w:jc w:val="both"/>
        <w:textAlignment w:val="baseline"/>
        <w:rPr>
          <w:rFonts w:ascii="Verdana" w:hAnsi="Verdana" w:eastAsia="Verdana" w:cs="Verdana"/>
          <w:lang w:val="es"/>
        </w:rPr>
      </w:pPr>
    </w:p>
    <w:p w:rsidR="00AC2823" w:rsidP="00AC2823" w:rsidRDefault="00AC2823" w14:paraId="136DC3ED" w14:textId="77777777">
      <w:pPr>
        <w:spacing w:line="257" w:lineRule="auto"/>
        <w:jc w:val="both"/>
        <w:textAlignment w:val="baseline"/>
        <w:rPr>
          <w:rFonts w:ascii="Verdana" w:hAnsi="Verdana" w:eastAsia="Verdana" w:cs="Verdana"/>
          <w:lang w:val="es"/>
        </w:rPr>
      </w:pPr>
    </w:p>
    <w:p w:rsidR="00AC2823" w:rsidP="00AC2823" w:rsidRDefault="00AC2823" w14:paraId="75022067" w14:textId="77777777">
      <w:pPr>
        <w:spacing w:line="257" w:lineRule="auto"/>
        <w:jc w:val="both"/>
        <w:textAlignment w:val="baseline"/>
        <w:rPr>
          <w:rFonts w:ascii="Verdana" w:hAnsi="Verdana" w:eastAsia="Verdana" w:cs="Verdana"/>
          <w:lang w:val="es"/>
        </w:rPr>
      </w:pPr>
    </w:p>
    <w:p w:rsidR="00AC2823" w:rsidP="00AC2823" w:rsidRDefault="00AC2823" w14:paraId="6DA2104B" w14:textId="77777777">
      <w:pPr>
        <w:spacing w:line="257" w:lineRule="auto"/>
        <w:jc w:val="both"/>
        <w:textAlignment w:val="baseline"/>
        <w:rPr>
          <w:rFonts w:ascii="Verdana" w:hAnsi="Verdana" w:eastAsia="Verdana" w:cs="Verdana"/>
          <w:lang w:val="es"/>
        </w:rPr>
      </w:pPr>
    </w:p>
    <w:p w:rsidR="00AC2823" w:rsidP="00AC2823" w:rsidRDefault="00AC2823" w14:paraId="7D57F744" w14:textId="77777777">
      <w:pPr>
        <w:spacing w:line="257" w:lineRule="auto"/>
        <w:jc w:val="both"/>
        <w:textAlignment w:val="baseline"/>
        <w:rPr>
          <w:rFonts w:ascii="Verdana" w:hAnsi="Verdana" w:eastAsia="Verdana" w:cs="Verdana"/>
          <w:lang w:val="es"/>
        </w:rPr>
      </w:pPr>
    </w:p>
    <w:p w:rsidR="00AC2823" w:rsidP="00AC2823" w:rsidRDefault="00AC2823" w14:paraId="32B5ECCE" w14:textId="77777777">
      <w:pPr>
        <w:spacing w:line="257" w:lineRule="auto"/>
        <w:jc w:val="both"/>
        <w:textAlignment w:val="baseline"/>
        <w:rPr>
          <w:rFonts w:ascii="Verdana" w:hAnsi="Verdana" w:eastAsia="Verdana" w:cs="Verdana"/>
          <w:lang w:val="es"/>
        </w:rPr>
      </w:pPr>
    </w:p>
    <w:p w:rsidR="00AC2823" w:rsidP="00AC2823" w:rsidRDefault="00AC2823" w14:paraId="084A737B" w14:textId="77777777">
      <w:pPr>
        <w:spacing w:line="257" w:lineRule="auto"/>
        <w:jc w:val="both"/>
        <w:textAlignment w:val="baseline"/>
        <w:rPr>
          <w:rFonts w:ascii="Verdana" w:hAnsi="Verdana" w:eastAsia="Verdana" w:cs="Verdana"/>
          <w:lang w:val="es"/>
        </w:rPr>
      </w:pPr>
    </w:p>
    <w:p w:rsidR="00AC2823" w:rsidP="00AC2823" w:rsidRDefault="00AC2823" w14:paraId="2B3CE497" w14:textId="77777777">
      <w:pPr>
        <w:spacing w:line="257" w:lineRule="auto"/>
        <w:jc w:val="both"/>
        <w:textAlignment w:val="baseline"/>
        <w:rPr>
          <w:rFonts w:ascii="Verdana" w:hAnsi="Verdana" w:eastAsia="Verdana" w:cs="Verdana"/>
          <w:lang w:val="es"/>
        </w:rPr>
      </w:pPr>
    </w:p>
    <w:p w:rsidR="00AC2823" w:rsidP="00AC2823" w:rsidRDefault="00AC2823" w14:paraId="5A1A4374" w14:textId="77777777">
      <w:pPr>
        <w:spacing w:line="257" w:lineRule="auto"/>
        <w:jc w:val="both"/>
        <w:textAlignment w:val="baseline"/>
        <w:rPr>
          <w:rFonts w:ascii="Verdana" w:hAnsi="Verdana" w:eastAsia="Verdana" w:cs="Verdana"/>
          <w:lang w:val="es"/>
        </w:rPr>
      </w:pPr>
    </w:p>
    <w:p w:rsidRPr="00E02524" w:rsidR="00AC2823" w:rsidP="00AC2823" w:rsidRDefault="00AC2823" w14:paraId="3C9AA7BC" w14:textId="77777777">
      <w:pPr>
        <w:spacing w:line="257" w:lineRule="auto"/>
        <w:jc w:val="both"/>
        <w:textAlignment w:val="baseline"/>
      </w:pPr>
    </w:p>
    <w:p w:rsidRPr="00E02524" w:rsidR="0022400B" w:rsidP="734EF5D3" w:rsidRDefault="34654822" w14:paraId="1421B509" w14:textId="77777777">
      <w:pPr>
        <w:spacing w:after="0" w:line="240" w:lineRule="auto"/>
        <w:jc w:val="both"/>
        <w:textAlignment w:val="baseline"/>
      </w:pPr>
      <w:r w:rsidRPr="3FD6E17E">
        <w:rPr>
          <w:rFonts w:ascii="Verdana" w:hAnsi="Verdana" w:eastAsia="Verdana" w:cs="Verdana"/>
          <w:color w:val="000000" w:themeColor="text1"/>
          <w:lang w:val="es"/>
        </w:rPr>
        <w:t xml:space="preserve">Bogotá D.C., </w:t>
      </w:r>
      <w:r w:rsidRPr="734EF5D3" w:rsidR="00AC2823">
        <w:rPr>
          <w:rFonts w:ascii="Verdana" w:hAnsi="Verdana" w:eastAsia="Verdana" w:cs="Verdana"/>
          <w:color w:val="000000" w:themeColor="text1"/>
          <w:lang w:val="es"/>
        </w:rPr>
        <w:t>2</w:t>
      </w:r>
      <w:r w:rsidR="00AC2823">
        <w:rPr>
          <w:rFonts w:ascii="Verdana" w:hAnsi="Verdana" w:eastAsia="Verdana" w:cs="Verdana"/>
          <w:color w:val="000000" w:themeColor="text1"/>
          <w:lang w:val="es"/>
        </w:rPr>
        <w:t>8</w:t>
      </w:r>
      <w:r w:rsidRPr="3FD6E17E">
        <w:rPr>
          <w:rFonts w:ascii="Verdana" w:hAnsi="Verdana" w:eastAsia="Verdana" w:cs="Verdana"/>
          <w:color w:val="000000" w:themeColor="text1"/>
          <w:lang w:val="es"/>
        </w:rPr>
        <w:t xml:space="preserve"> de julio de 2026</w:t>
      </w:r>
    </w:p>
    <w:p w:rsidR="0022400B" w:rsidP="734EF5D3" w:rsidRDefault="34654822" w14:paraId="6C2AD6A9" w14:textId="77777777">
      <w:pPr>
        <w:spacing w:after="0" w:line="240" w:lineRule="auto"/>
        <w:jc w:val="both"/>
        <w:textAlignment w:val="baseline"/>
        <w:rPr>
          <w:rFonts w:ascii="Verdana" w:hAnsi="Verdana" w:eastAsia="Verdana" w:cs="Verdana"/>
          <w:color w:val="000000" w:themeColor="text1"/>
        </w:rPr>
      </w:pPr>
      <w:r w:rsidRPr="734EF5D3">
        <w:rPr>
          <w:rFonts w:ascii="Verdana" w:hAnsi="Verdana" w:eastAsia="Verdana" w:cs="Verdana"/>
          <w:color w:val="000000" w:themeColor="text1"/>
        </w:rPr>
        <w:t xml:space="preserve"> </w:t>
      </w:r>
    </w:p>
    <w:p w:rsidR="003B66E0" w:rsidP="003B66E0" w:rsidRDefault="003B66E0" w14:paraId="7B1DC548" w14:textId="02194FFC">
      <w:pPr>
        <w:spacing w:after="0" w:line="240" w:lineRule="auto"/>
        <w:jc w:val="right"/>
        <w:textAlignment w:val="baseline"/>
        <w:rPr>
          <w:rFonts w:ascii="Verdana" w:hAnsi="Verdana" w:eastAsia="Verdana" w:cs="Verdana"/>
          <w:color w:val="000000" w:themeColor="text1"/>
        </w:rPr>
      </w:pPr>
      <w:r>
        <w:rPr>
          <w:rFonts w:ascii="Verdana" w:hAnsi="Verdana" w:eastAsia="Verdana" w:cs="Verdana"/>
          <w:noProof/>
          <w:color w:val="000000" w:themeColor="text1"/>
        </w:rPr>
        <w:drawing>
          <wp:inline distT="0" distB="0" distL="0" distR="0" wp14:anchorId="3AEF2291" wp14:editId="76144148">
            <wp:extent cx="2524125" cy="762000"/>
            <wp:effectExtent l="0" t="0" r="9525" b="0"/>
            <wp:docPr id="8638726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762000"/>
                    </a:xfrm>
                    <a:prstGeom prst="rect">
                      <a:avLst/>
                    </a:prstGeom>
                    <a:noFill/>
                    <a:ln>
                      <a:noFill/>
                    </a:ln>
                  </pic:spPr>
                </pic:pic>
              </a:graphicData>
            </a:graphic>
          </wp:inline>
        </w:drawing>
      </w:r>
    </w:p>
    <w:p w:rsidRPr="00E02524" w:rsidR="003B66E0" w:rsidP="734EF5D3" w:rsidRDefault="003B66E0" w14:paraId="1AC80761" w14:textId="77777777">
      <w:pPr>
        <w:spacing w:after="0" w:line="240" w:lineRule="auto"/>
        <w:jc w:val="both"/>
        <w:textAlignment w:val="baseline"/>
      </w:pPr>
    </w:p>
    <w:p w:rsidRPr="00E02524" w:rsidR="0022400B" w:rsidP="734EF5D3" w:rsidRDefault="34654822" w14:paraId="5C9253E7" w14:textId="4DBEE54C">
      <w:pPr>
        <w:spacing w:after="0" w:line="240" w:lineRule="auto"/>
        <w:jc w:val="both"/>
        <w:textAlignment w:val="baseline"/>
      </w:pPr>
      <w:r w:rsidRPr="734EF5D3">
        <w:rPr>
          <w:rFonts w:ascii="Verdana" w:hAnsi="Verdana" w:eastAsia="Verdana" w:cs="Verdana"/>
          <w:color w:val="000000" w:themeColor="text1"/>
        </w:rPr>
        <w:t xml:space="preserve"> </w:t>
      </w:r>
      <w:r w:rsidRPr="734EF5D3">
        <w:rPr>
          <w:rFonts w:ascii="Verdana" w:hAnsi="Verdana" w:eastAsia="Verdana" w:cs="Verdana"/>
          <w:color w:val="000000" w:themeColor="text1"/>
          <w:lang w:val="es"/>
        </w:rPr>
        <w:t>Señora</w:t>
      </w:r>
    </w:p>
    <w:p w:rsidRPr="00E02524" w:rsidR="0022400B" w:rsidP="734EF5D3" w:rsidRDefault="34654822" w14:paraId="74A9A054" w14:textId="77777777">
      <w:pPr>
        <w:spacing w:after="0" w:line="240" w:lineRule="auto"/>
        <w:jc w:val="both"/>
        <w:textAlignment w:val="baseline"/>
      </w:pPr>
      <w:r w:rsidRPr="734EF5D3">
        <w:rPr>
          <w:rFonts w:ascii="Verdana" w:hAnsi="Verdana" w:eastAsia="Verdana" w:cs="Verdana"/>
          <w:b/>
          <w:bCs/>
        </w:rPr>
        <w:t>LAURA VANESSA VEGA BARRIOS</w:t>
      </w:r>
    </w:p>
    <w:p w:rsidRPr="0095222D" w:rsidR="0022400B" w:rsidP="734EF5D3" w:rsidRDefault="34654822" w14:paraId="2A78A76F" w14:textId="77777777">
      <w:pPr>
        <w:spacing w:after="0" w:line="240" w:lineRule="auto"/>
        <w:jc w:val="both"/>
        <w:textAlignment w:val="baseline"/>
        <w:rPr>
          <w:rFonts w:ascii="Verdana" w:hAnsi="Verdana"/>
        </w:rPr>
      </w:pPr>
      <w:hyperlink r:id="rId11">
        <w:r w:rsidRPr="0095222D">
          <w:rPr>
            <w:rStyle w:val="Hipervnculo"/>
            <w:rFonts w:ascii="Verdana" w:hAnsi="Verdana"/>
          </w:rPr>
          <w:t>lauravanesavega@hotmail.com</w:t>
        </w:r>
      </w:hyperlink>
      <w:r w:rsidRPr="734EF5D3">
        <w:rPr>
          <w:rFonts w:ascii="Verdana" w:hAnsi="Verdana" w:eastAsia="Verdana" w:cs="Verdana"/>
        </w:rPr>
        <w:t xml:space="preserve"> </w:t>
      </w:r>
      <w:r w:rsidRPr="734EF5D3">
        <w:rPr>
          <w:rFonts w:ascii="Verdana" w:hAnsi="Verdana" w:eastAsia="Verdana" w:cs="Verdana"/>
          <w:lang w:val="es"/>
        </w:rPr>
        <w:t xml:space="preserve">  </w:t>
      </w:r>
    </w:p>
    <w:p w:rsidRPr="00E02524" w:rsidR="0022400B" w:rsidP="734EF5D3" w:rsidRDefault="34654822" w14:paraId="71BC1CF8" w14:textId="77777777">
      <w:pPr>
        <w:spacing w:after="0" w:line="240" w:lineRule="auto"/>
        <w:jc w:val="both"/>
        <w:textAlignment w:val="baseline"/>
      </w:pPr>
      <w:r w:rsidRPr="734EF5D3">
        <w:rPr>
          <w:rFonts w:ascii="Verdana" w:hAnsi="Verdana" w:eastAsia="Verdana" w:cs="Verdana"/>
          <w:lang w:val="es-ES"/>
        </w:rPr>
        <w:t>Cartagena (</w:t>
      </w:r>
      <w:proofErr w:type="spellStart"/>
      <w:r w:rsidRPr="734EF5D3">
        <w:rPr>
          <w:rFonts w:ascii="Verdana" w:hAnsi="Verdana" w:eastAsia="Verdana" w:cs="Verdana"/>
          <w:lang w:val="es-ES"/>
        </w:rPr>
        <w:t>Bolivar</w:t>
      </w:r>
      <w:proofErr w:type="spellEnd"/>
      <w:r w:rsidRPr="734EF5D3">
        <w:rPr>
          <w:rFonts w:ascii="Verdana" w:hAnsi="Verdana" w:eastAsia="Verdana" w:cs="Verdana"/>
          <w:lang w:val="es-ES"/>
        </w:rPr>
        <w:t>)</w:t>
      </w:r>
    </w:p>
    <w:p w:rsidRPr="00E02524" w:rsidR="0022400B" w:rsidP="734EF5D3" w:rsidRDefault="34654822" w14:paraId="58B05984" w14:textId="77777777">
      <w:pPr>
        <w:spacing w:after="0" w:line="240" w:lineRule="auto"/>
        <w:jc w:val="both"/>
        <w:textAlignment w:val="baseline"/>
      </w:pPr>
      <w:r w:rsidRPr="734EF5D3">
        <w:rPr>
          <w:rFonts w:ascii="Verdana" w:hAnsi="Verdana" w:eastAsia="Verdana" w:cs="Verdana"/>
          <w:b/>
          <w:bCs/>
          <w:color w:val="000000" w:themeColor="text1"/>
        </w:rPr>
        <w:t xml:space="preserve"> </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5"/>
        <w:gridCol w:w="6540"/>
      </w:tblGrid>
      <w:tr w:rsidR="006B595D" w:rsidTr="1145B29E" w14:paraId="3C310301" w14:textId="77777777">
        <w:trPr>
          <w:trHeight w:val="615"/>
        </w:trPr>
        <w:tc>
          <w:tcPr>
            <w:tcW w:w="2265" w:type="dxa"/>
            <w:tcMar/>
          </w:tcPr>
          <w:p w:rsidR="006B595D" w:rsidP="00D00D4D" w:rsidRDefault="006B595D" w14:paraId="221E45BF" w14:textId="77777777">
            <w:pPr>
              <w:jc w:val="both"/>
            </w:pPr>
          </w:p>
        </w:tc>
        <w:tc>
          <w:tcPr>
            <w:tcW w:w="6540" w:type="dxa"/>
            <w:tcMar/>
          </w:tcPr>
          <w:p w:rsidR="006B595D" w:rsidP="00D00D4D" w:rsidRDefault="006B595D" w14:paraId="7E6678B0" w14:textId="77777777">
            <w:pPr>
              <w:jc w:val="both"/>
            </w:pPr>
            <w:r w:rsidRPr="15A4969B">
              <w:rPr>
                <w:rFonts w:ascii="Verdana" w:hAnsi="Verdana" w:eastAsia="Verdana" w:cs="Verdana"/>
                <w:b/>
                <w:bCs/>
                <w:color w:val="000000" w:themeColor="text1"/>
                <w:lang w:val="es"/>
              </w:rPr>
              <w:t>Concepto C- 9</w:t>
            </w:r>
            <w:r>
              <w:rPr>
                <w:rFonts w:ascii="Verdana" w:hAnsi="Verdana" w:eastAsia="Verdana" w:cs="Verdana"/>
                <w:b/>
                <w:bCs/>
                <w:color w:val="000000" w:themeColor="text1"/>
                <w:lang w:val="es"/>
              </w:rPr>
              <w:t>78</w:t>
            </w:r>
            <w:r w:rsidRPr="15A4969B">
              <w:rPr>
                <w:rFonts w:ascii="Verdana" w:hAnsi="Verdana" w:eastAsia="Verdana" w:cs="Verdana"/>
                <w:b/>
                <w:bCs/>
                <w:color w:val="000000" w:themeColor="text1"/>
                <w:lang w:val="es"/>
              </w:rPr>
              <w:t xml:space="preserve"> de 2026</w:t>
            </w:r>
          </w:p>
        </w:tc>
      </w:tr>
      <w:tr w:rsidR="006B595D" w:rsidTr="1145B29E" w14:paraId="2FBF5C98" w14:textId="77777777">
        <w:trPr>
          <w:trHeight w:val="1065"/>
        </w:trPr>
        <w:tc>
          <w:tcPr>
            <w:tcW w:w="2265" w:type="dxa"/>
            <w:tcMar/>
          </w:tcPr>
          <w:p w:rsidR="006B595D" w:rsidP="00D00D4D" w:rsidRDefault="006B595D" w14:paraId="3F4D1C00" w14:textId="77777777">
            <w:pPr>
              <w:jc w:val="both"/>
            </w:pPr>
            <w:r w:rsidRPr="15A4969B">
              <w:rPr>
                <w:rFonts w:ascii="Verdana" w:hAnsi="Verdana" w:eastAsia="Verdana" w:cs="Verdana"/>
                <w:b/>
                <w:bCs/>
                <w:color w:val="000000" w:themeColor="text1"/>
              </w:rPr>
              <w:t>Temas:</w:t>
            </w:r>
            <w:r w:rsidRPr="15A4969B">
              <w:rPr>
                <w:rFonts w:ascii="Verdana" w:hAnsi="Verdana" w:eastAsia="Verdana" w:cs="Verdana"/>
                <w:color w:val="000000" w:themeColor="text1"/>
              </w:rPr>
              <w:t xml:space="preserve">                   </w:t>
            </w:r>
          </w:p>
        </w:tc>
        <w:tc>
          <w:tcPr>
            <w:tcW w:w="6540" w:type="dxa"/>
            <w:tcMar/>
          </w:tcPr>
          <w:p w:rsidR="424AA16D" w:rsidP="1145B29E" w:rsidRDefault="424AA16D" w14:paraId="55B081E2" w14:textId="3FE32BD3">
            <w:pPr>
              <w:jc w:val="both"/>
            </w:pPr>
            <w:r w:rsidRPr="1145B29E" w:rsidR="424AA16D">
              <w:rPr>
                <w:rFonts w:ascii="Verdana" w:hAnsi="Verdana" w:eastAsia="Verdana" w:cs="Verdana"/>
              </w:rPr>
              <w:t>CONTRATO DE CONCESIÓN ― Contrato estatal ― Concepto / CONTRATO DE CONCESIÓN ― Colaboración público - privada ― No exclusiva / CONTRATOS Y CONVENIOS INTERADMINISTRATIVOS – Definición – Sujetos – Entidades Estatales / CLÁUSULAS EXORBITANTES – Noción – Alcance – CLAÚSULAS EXORBITANTES – Contratos interadministrativos – Ley 80 de 1993 artículo 14 parágrafo</w:t>
            </w:r>
          </w:p>
          <w:p w:rsidR="006B595D" w:rsidP="00D00D4D" w:rsidRDefault="006B595D" w14:paraId="58E3A1B4" w14:textId="77777777">
            <w:pPr>
              <w:jc w:val="both"/>
            </w:pPr>
            <w:r w:rsidRPr="15A4969B">
              <w:rPr>
                <w:rFonts w:ascii="Verdana" w:hAnsi="Verdana" w:eastAsia="Verdana" w:cs="Verdana"/>
                <w:lang w:val="es"/>
              </w:rPr>
              <w:t xml:space="preserve"> </w:t>
            </w:r>
          </w:p>
        </w:tc>
      </w:tr>
      <w:tr w:rsidR="006B595D" w:rsidTr="1145B29E" w14:paraId="40689636" w14:textId="77777777">
        <w:trPr>
          <w:trHeight w:val="660"/>
        </w:trPr>
        <w:tc>
          <w:tcPr>
            <w:tcW w:w="2265" w:type="dxa"/>
            <w:tcMar/>
          </w:tcPr>
          <w:p w:rsidR="006B595D" w:rsidP="00D00D4D" w:rsidRDefault="006B595D" w14:paraId="5B5003C4" w14:textId="77777777">
            <w:pPr>
              <w:jc w:val="both"/>
            </w:pPr>
            <w:r w:rsidRPr="15A4969B">
              <w:rPr>
                <w:rFonts w:ascii="Verdana" w:hAnsi="Verdana" w:eastAsia="Verdana" w:cs="Verdana"/>
                <w:b/>
                <w:bCs/>
                <w:color w:val="000000" w:themeColor="text1"/>
              </w:rPr>
              <w:t>Radicación:</w:t>
            </w:r>
            <w:r w:rsidRPr="15A4969B">
              <w:rPr>
                <w:rFonts w:ascii="Verdana" w:hAnsi="Verdana" w:eastAsia="Verdana" w:cs="Verdana"/>
                <w:color w:val="000000" w:themeColor="text1"/>
              </w:rPr>
              <w:t xml:space="preserve">           </w:t>
            </w:r>
          </w:p>
        </w:tc>
        <w:tc>
          <w:tcPr>
            <w:tcW w:w="6540" w:type="dxa"/>
            <w:tcMar/>
          </w:tcPr>
          <w:p w:rsidR="006B595D" w:rsidP="00D00D4D" w:rsidRDefault="006B595D" w14:paraId="27AD5A29" w14:textId="77777777">
            <w:pPr>
              <w:ind w:right="1"/>
              <w:jc w:val="both"/>
            </w:pPr>
            <w:r w:rsidRPr="15A4969B">
              <w:rPr>
                <w:rFonts w:ascii="Verdana" w:hAnsi="Verdana" w:eastAsia="Verdana" w:cs="Verdana"/>
                <w:color w:val="000000" w:themeColor="text1"/>
              </w:rPr>
              <w:t xml:space="preserve">Respuesta a consulta con radicado N.º </w:t>
            </w:r>
            <w:r w:rsidRPr="00E458D2">
              <w:rPr>
                <w:rFonts w:ascii="Verdana" w:hAnsi="Verdana" w:eastAsia="Verdana" w:cs="Verdana"/>
                <w:color w:val="000000" w:themeColor="text1"/>
              </w:rPr>
              <w:t>1_2026_06_16_008069</w:t>
            </w:r>
            <w:r w:rsidRPr="15A4969B">
              <w:rPr>
                <w:rFonts w:ascii="Verdana" w:hAnsi="Verdana" w:eastAsia="Verdana" w:cs="Verdana"/>
                <w:color w:val="000000" w:themeColor="text1"/>
              </w:rPr>
              <w:t>.</w:t>
            </w:r>
          </w:p>
        </w:tc>
      </w:tr>
    </w:tbl>
    <w:p w:rsidRPr="00E02524" w:rsidR="006B595D" w:rsidP="734EF5D3" w:rsidRDefault="006B595D" w14:paraId="3072CAD2" w14:textId="77777777">
      <w:pPr>
        <w:spacing w:after="0" w:line="276" w:lineRule="auto"/>
        <w:jc w:val="both"/>
        <w:textAlignment w:val="baseline"/>
        <w:rPr>
          <w:rFonts w:ascii="Verdana" w:hAnsi="Verdana" w:eastAsia="Verdana" w:cs="Verdana"/>
          <w:color w:val="000000" w:themeColor="text1"/>
          <w:lang w:val="es"/>
        </w:rPr>
      </w:pPr>
    </w:p>
    <w:p w:rsidRPr="00E02524" w:rsidR="0022400B" w:rsidP="734EF5D3" w:rsidRDefault="34654822" w14:paraId="4593EADE" w14:textId="77777777">
      <w:pPr>
        <w:spacing w:after="0" w:line="276" w:lineRule="auto"/>
        <w:jc w:val="both"/>
        <w:textAlignment w:val="baseline"/>
      </w:pPr>
      <w:r w:rsidRPr="734EF5D3">
        <w:rPr>
          <w:rFonts w:ascii="Verdana" w:hAnsi="Verdana" w:eastAsia="Verdana" w:cs="Verdana"/>
          <w:color w:val="000000" w:themeColor="text1"/>
          <w:lang w:val="es"/>
        </w:rPr>
        <w:t>Estimada señora Vega;</w:t>
      </w:r>
    </w:p>
    <w:p w:rsidRPr="00E02524" w:rsidR="0022400B" w:rsidP="734EF5D3" w:rsidRDefault="34654822" w14:paraId="56A624AF" w14:textId="77777777">
      <w:pPr>
        <w:spacing w:after="0" w:line="276" w:lineRule="auto"/>
        <w:jc w:val="both"/>
        <w:textAlignment w:val="baseline"/>
      </w:pPr>
      <w:r w:rsidRPr="734EF5D3">
        <w:rPr>
          <w:rFonts w:ascii="Calibri" w:hAnsi="Calibri" w:eastAsia="Calibri" w:cs="Calibri"/>
        </w:rPr>
        <w:t xml:space="preserve"> </w:t>
      </w:r>
    </w:p>
    <w:p w:rsidRPr="00E02524" w:rsidR="0022400B" w:rsidP="734EF5D3" w:rsidRDefault="34654822" w14:paraId="3EDA25D7" w14:textId="77777777">
      <w:pPr>
        <w:spacing w:after="0" w:line="276" w:lineRule="auto"/>
        <w:jc w:val="both"/>
        <w:textAlignment w:val="baseline"/>
      </w:pPr>
      <w:r w:rsidRPr="734EF5D3">
        <w:rPr>
          <w:rFonts w:ascii="Verdana" w:hAnsi="Verdana" w:eastAsia="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16 de junio de 2026 en la cual manifiesta lo siguiente: </w:t>
      </w:r>
    </w:p>
    <w:p w:rsidRPr="00E02524" w:rsidR="0022400B" w:rsidP="734EF5D3" w:rsidRDefault="34654822" w14:paraId="51EA81E5" w14:textId="77777777">
      <w:pPr>
        <w:spacing w:after="0" w:line="240" w:lineRule="auto"/>
        <w:ind w:left="709" w:right="900"/>
        <w:jc w:val="both"/>
        <w:textAlignment w:val="baseline"/>
      </w:pPr>
      <w:r w:rsidRPr="734EF5D3">
        <w:rPr>
          <w:rFonts w:ascii="Verdana" w:hAnsi="Verdana" w:eastAsia="Verdana" w:cs="Verdana"/>
          <w:i/>
          <w:iCs/>
          <w:color w:val="000000" w:themeColor="text1"/>
          <w:sz w:val="20"/>
          <w:szCs w:val="20"/>
        </w:rPr>
        <w:t xml:space="preserve"> </w:t>
      </w:r>
    </w:p>
    <w:p w:rsidRPr="00E02524" w:rsidR="0022400B" w:rsidP="734EF5D3" w:rsidRDefault="34654822" w14:paraId="2C861166" w14:textId="77777777">
      <w:pPr>
        <w:spacing w:after="0" w:line="240" w:lineRule="auto"/>
        <w:ind w:left="851" w:right="900"/>
        <w:jc w:val="both"/>
        <w:textAlignment w:val="baseline"/>
      </w:pPr>
      <w:r w:rsidRPr="734EF5D3">
        <w:rPr>
          <w:rFonts w:ascii="Verdana" w:hAnsi="Verdana" w:eastAsia="Verdana" w:cs="Verdana"/>
          <w:i/>
          <w:iCs/>
          <w:color w:val="000000" w:themeColor="text1"/>
          <w:sz w:val="21"/>
          <w:szCs w:val="21"/>
          <w:lang w:val="es"/>
        </w:rPr>
        <w:t>“</w:t>
      </w:r>
      <w:r w:rsidRPr="734EF5D3">
        <w:rPr>
          <w:rFonts w:ascii="Verdana" w:hAnsi="Verdana" w:eastAsia="Verdana" w:cs="Verdana"/>
          <w:i/>
          <w:iCs/>
          <w:color w:val="000000" w:themeColor="text1"/>
          <w:sz w:val="21"/>
          <w:szCs w:val="21"/>
        </w:rPr>
        <w:t>¿Se pueden pactar clausulas excepcionales en los contratos de concesión o en los de prestación de servicios públicos que tengan la naturaleza de contratos o convenios interadministrativos?</w:t>
      </w:r>
      <w:r w:rsidRPr="734EF5D3">
        <w:rPr>
          <w:rFonts w:ascii="Verdana" w:hAnsi="Verdana" w:eastAsia="Verdana" w:cs="Verdana"/>
          <w:i/>
          <w:iCs/>
          <w:color w:val="000000" w:themeColor="text1"/>
          <w:sz w:val="21"/>
          <w:szCs w:val="21"/>
          <w:lang w:val="es"/>
        </w:rPr>
        <w:t>”</w:t>
      </w:r>
    </w:p>
    <w:p w:rsidRPr="00E02524" w:rsidR="0022400B" w:rsidP="734EF5D3" w:rsidRDefault="34654822" w14:paraId="2E563C6A" w14:textId="77777777">
      <w:pPr>
        <w:spacing w:after="0" w:line="240" w:lineRule="auto"/>
        <w:ind w:left="567" w:right="333"/>
        <w:jc w:val="both"/>
        <w:textAlignment w:val="baseline"/>
      </w:pPr>
      <w:r w:rsidRPr="734EF5D3">
        <w:rPr>
          <w:rFonts w:ascii="Verdana" w:hAnsi="Verdana" w:eastAsia="Verdana" w:cs="Verdana"/>
          <w:i/>
          <w:iCs/>
          <w:color w:val="000000" w:themeColor="text1"/>
          <w:sz w:val="20"/>
          <w:szCs w:val="20"/>
        </w:rPr>
        <w:t xml:space="preserve"> </w:t>
      </w:r>
    </w:p>
    <w:p w:rsidRPr="00E02524" w:rsidR="0022400B" w:rsidP="734EF5D3" w:rsidRDefault="34654822" w14:paraId="3D58777D" w14:textId="77777777">
      <w:pPr>
        <w:spacing w:after="0" w:line="276" w:lineRule="auto"/>
        <w:ind w:right="51" w:firstLine="709"/>
        <w:jc w:val="both"/>
        <w:textAlignment w:val="baseline"/>
      </w:pPr>
      <w:r w:rsidRPr="734EF5D3">
        <w:rPr>
          <w:rFonts w:ascii="Verdana" w:hAnsi="Verdana" w:eastAsia="Verdana" w:cs="Verdana"/>
          <w:color w:val="000000" w:themeColor="text1"/>
          <w:lang w:val="es"/>
        </w:rPr>
        <w:t xml:space="preserve">De manera preliminar, resulta necesario acotar que esta entidad solo tiene competencia para responder consultas sobre la aplicación de normas de </w:t>
      </w:r>
      <w:r w:rsidRPr="734EF5D3">
        <w:rPr>
          <w:rFonts w:ascii="Verdana" w:hAnsi="Verdana" w:eastAsia="Verdana" w:cs="Verdana"/>
          <w:color w:val="000000" w:themeColor="text1"/>
          <w:lang w:val="es"/>
        </w:rPr>
        <w:t xml:space="preserve">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734EF5D3">
        <w:rPr>
          <w:rFonts w:ascii="Calibri" w:hAnsi="Calibri" w:eastAsia="Calibri" w:cs="Calibri"/>
        </w:rPr>
        <w:t xml:space="preserve">      </w:t>
      </w:r>
    </w:p>
    <w:p w:rsidRPr="00E02524" w:rsidR="0022400B" w:rsidP="734EF5D3" w:rsidRDefault="34654822" w14:paraId="05ECCD1B" w14:textId="77777777">
      <w:pPr>
        <w:spacing w:after="0" w:line="240" w:lineRule="auto"/>
        <w:ind w:right="49"/>
        <w:jc w:val="both"/>
        <w:textAlignment w:val="baseline"/>
      </w:pPr>
      <w:r w:rsidRPr="734EF5D3">
        <w:rPr>
          <w:rFonts w:ascii="Verdana" w:hAnsi="Verdana" w:eastAsia="Verdana" w:cs="Verdana"/>
          <w:color w:val="000000" w:themeColor="text1"/>
          <w:lang w:val="es"/>
        </w:rPr>
        <w:t xml:space="preserve"> </w:t>
      </w:r>
    </w:p>
    <w:p w:rsidRPr="00E02524" w:rsidR="0022400B" w:rsidP="734EF5D3" w:rsidRDefault="34654822" w14:paraId="68853E5A" w14:textId="77777777">
      <w:pPr>
        <w:spacing w:after="0" w:line="276" w:lineRule="auto"/>
        <w:ind w:firstLine="709"/>
        <w:jc w:val="both"/>
        <w:textAlignment w:val="baseline"/>
      </w:pPr>
      <w:r w:rsidRPr="734EF5D3">
        <w:rPr>
          <w:rFonts w:ascii="Verdana" w:hAnsi="Verdana" w:eastAsia="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rsidRPr="00E02524" w:rsidR="0022400B" w:rsidP="734EF5D3" w:rsidRDefault="34654822" w14:paraId="5AB5EFB7" w14:textId="77777777">
      <w:pPr>
        <w:spacing w:after="0" w:line="276" w:lineRule="auto"/>
        <w:ind w:firstLine="709"/>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10BA2456" w14:textId="77777777">
      <w:pPr>
        <w:pStyle w:val="Prrafodelista"/>
        <w:numPr>
          <w:ilvl w:val="0"/>
          <w:numId w:val="2"/>
        </w:numPr>
        <w:spacing w:after="0" w:line="276" w:lineRule="auto"/>
        <w:ind w:left="1080" w:hanging="720"/>
        <w:jc w:val="both"/>
        <w:textAlignment w:val="baseline"/>
        <w:rPr>
          <w:rFonts w:ascii="Verdana" w:hAnsi="Verdana" w:eastAsia="Verdana" w:cs="Verdana"/>
          <w:b/>
          <w:bCs/>
          <w:color w:val="000000" w:themeColor="text1"/>
          <w:lang w:val="es"/>
        </w:rPr>
      </w:pPr>
      <w:r w:rsidRPr="734EF5D3">
        <w:rPr>
          <w:rFonts w:ascii="Verdana" w:hAnsi="Verdana" w:eastAsia="Verdana" w:cs="Verdana"/>
          <w:b/>
          <w:bCs/>
          <w:color w:val="000000" w:themeColor="text1"/>
          <w:lang w:val="es"/>
        </w:rPr>
        <w:t>Problema planteado:</w:t>
      </w:r>
    </w:p>
    <w:p w:rsidRPr="00E02524" w:rsidR="0022400B" w:rsidP="734EF5D3" w:rsidRDefault="34654822" w14:paraId="5010BD73" w14:textId="77777777">
      <w:pPr>
        <w:tabs>
          <w:tab w:val="left" w:pos="426"/>
        </w:tabs>
        <w:spacing w:after="0" w:line="276" w:lineRule="auto"/>
        <w:jc w:val="both"/>
        <w:textAlignment w:val="baseline"/>
      </w:pPr>
      <w:r w:rsidRPr="734EF5D3">
        <w:rPr>
          <w:rFonts w:ascii="Verdana" w:hAnsi="Verdana" w:eastAsia="Verdana" w:cs="Verdana"/>
          <w:color w:val="000000" w:themeColor="text1"/>
          <w:lang w:val="es"/>
        </w:rPr>
        <w:t xml:space="preserve"> </w:t>
      </w:r>
    </w:p>
    <w:p w:rsidRPr="00E02524" w:rsidR="0022400B" w:rsidP="734EF5D3" w:rsidRDefault="34654822" w14:paraId="2D40C630" w14:textId="77777777">
      <w:pPr>
        <w:spacing w:after="0" w:line="276" w:lineRule="auto"/>
        <w:jc w:val="both"/>
        <w:textAlignment w:val="baseline"/>
      </w:pPr>
      <w:r w:rsidRPr="734EF5D3">
        <w:rPr>
          <w:rFonts w:ascii="Verdana" w:hAnsi="Verdana" w:eastAsia="Verdana" w:cs="Verdana"/>
          <w:color w:val="000000" w:themeColor="text1"/>
          <w:lang w:val="es"/>
        </w:rPr>
        <w:t xml:space="preserve">De acuerdo con el contenido de su solicitud, esta Agencia resolverá el siguiente problema jurídico: </w:t>
      </w:r>
      <w:r w:rsidRPr="734EF5D3">
        <w:rPr>
          <w:rFonts w:ascii="Verdana" w:hAnsi="Verdana" w:eastAsia="Verdana" w:cs="Verdana"/>
          <w:color w:val="000000" w:themeColor="text1"/>
        </w:rPr>
        <w:t>¿Es jurídicamente procedente pactar cláusulas excepcionales en contratos de concesión o en contratos para la prestación de servicios públicos cuando estos tienen la naturaleza de contratos o convenios interadministrativos celebrados entre entidades estatales?</w:t>
      </w:r>
    </w:p>
    <w:p w:rsidRPr="00E02524" w:rsidR="0022400B" w:rsidP="734EF5D3" w:rsidRDefault="34654822" w14:paraId="28FFD803" w14:textId="77777777">
      <w:pPr>
        <w:spacing w:after="0" w:line="276" w:lineRule="auto"/>
        <w:jc w:val="both"/>
        <w:textAlignment w:val="baseline"/>
      </w:pPr>
      <w:r w:rsidRPr="734EF5D3">
        <w:rPr>
          <w:rFonts w:ascii="Verdana" w:hAnsi="Verdana" w:eastAsia="Verdana" w:cs="Verdana"/>
          <w:color w:val="000000" w:themeColor="text1"/>
          <w:lang w:val="es"/>
        </w:rPr>
        <w:t xml:space="preserve"> </w:t>
      </w:r>
    </w:p>
    <w:p w:rsidRPr="00E02524" w:rsidR="0022400B" w:rsidP="734EF5D3" w:rsidRDefault="34654822" w14:paraId="7A0EA3E2" w14:textId="77777777">
      <w:pPr>
        <w:pStyle w:val="Prrafodelista"/>
        <w:numPr>
          <w:ilvl w:val="0"/>
          <w:numId w:val="2"/>
        </w:numPr>
        <w:spacing w:after="0" w:line="257" w:lineRule="auto"/>
        <w:ind w:left="1080" w:hanging="720"/>
        <w:jc w:val="both"/>
        <w:textAlignment w:val="baseline"/>
        <w:rPr>
          <w:rFonts w:ascii="Verdana" w:hAnsi="Verdana" w:eastAsia="Verdana" w:cs="Verdana"/>
          <w:b/>
          <w:bCs/>
          <w:lang w:val="es"/>
        </w:rPr>
      </w:pPr>
      <w:r w:rsidRPr="734EF5D3">
        <w:rPr>
          <w:rFonts w:ascii="Verdana" w:hAnsi="Verdana" w:eastAsia="Verdana" w:cs="Verdana"/>
          <w:b/>
          <w:bCs/>
          <w:lang w:val="es"/>
        </w:rPr>
        <w:t>Respuesta:</w:t>
      </w:r>
    </w:p>
    <w:p w:rsidRPr="00E02524" w:rsidR="00AC2823" w:rsidP="00AC2823" w:rsidRDefault="00AC2823" w14:paraId="1EB2092B" w14:textId="77777777">
      <w:pPr>
        <w:pStyle w:val="Prrafodelista"/>
        <w:spacing w:after="0" w:line="257" w:lineRule="auto"/>
        <w:ind w:left="1080"/>
        <w:jc w:val="both"/>
        <w:textAlignment w:val="baseline"/>
        <w:rPr>
          <w:rFonts w:ascii="Verdana" w:hAnsi="Verdana" w:eastAsia="Verdana" w:cs="Verdana"/>
          <w:b/>
          <w:bCs/>
          <w:lang w:val="es"/>
        </w:rPr>
      </w:pPr>
    </w:p>
    <w:tbl>
      <w:tblPr>
        <w:tblStyle w:val="Tablaconcuadrcula"/>
        <w:tblW w:w="0" w:type="auto"/>
        <w:tblLook w:val="04A0" w:firstRow="1" w:lastRow="0" w:firstColumn="1" w:lastColumn="0" w:noHBand="0" w:noVBand="1"/>
      </w:tblPr>
      <w:tblGrid>
        <w:gridCol w:w="8818"/>
      </w:tblGrid>
      <w:tr w:rsidR="00AC2823" w:rsidTr="0048031D" w14:paraId="29DDD512" w14:textId="77777777">
        <w:trPr>
          <w:trHeight w:val="780"/>
        </w:trPr>
        <w:tc>
          <w:tcPr>
            <w:tcW w:w="8820" w:type="dxa"/>
            <w:tcBorders>
              <w:top w:val="dotted" w:color="auto" w:sz="8" w:space="0"/>
              <w:left w:val="dotted" w:color="auto" w:sz="8" w:space="0"/>
              <w:bottom w:val="dotted" w:color="auto" w:sz="8" w:space="0"/>
              <w:right w:val="dotted" w:color="auto" w:sz="8" w:space="0"/>
            </w:tcBorders>
            <w:tcMar>
              <w:left w:w="108" w:type="dxa"/>
              <w:right w:w="108" w:type="dxa"/>
            </w:tcMar>
          </w:tcPr>
          <w:p w:rsidRPr="00B17AC9" w:rsidR="00AC2823" w:rsidP="0048031D" w:rsidRDefault="00AC2823" w14:paraId="2F167809" w14:textId="77777777">
            <w:pPr>
              <w:spacing w:after="120" w:line="276" w:lineRule="auto"/>
              <w:jc w:val="both"/>
              <w:rPr>
                <w:rFonts w:ascii="Verdana" w:hAnsi="Verdana"/>
              </w:rPr>
            </w:pPr>
            <w:r w:rsidRPr="00B17AC9">
              <w:rPr>
                <w:rFonts w:ascii="Verdana" w:hAnsi="Verdana"/>
              </w:rPr>
              <w:t>Los contratos o convenios interadministrativos son acuerdos celebrados entre entidades estatales para el cumplimiento coordinado de funciones administrativas y la satisfacción de los fines del Estado. Su configuración obedece a un criterio orgánico, derivado de la calidad de entidades estatales de las partes que intervienen en la relación contractual.</w:t>
            </w:r>
          </w:p>
          <w:p w:rsidRPr="00B17AC9" w:rsidR="00AC2823" w:rsidP="0048031D" w:rsidRDefault="00AC2823" w14:paraId="0C07BAB4" w14:textId="77777777">
            <w:pPr>
              <w:spacing w:after="120" w:line="276" w:lineRule="auto"/>
              <w:jc w:val="both"/>
              <w:rPr>
                <w:rFonts w:ascii="Verdana" w:hAnsi="Verdana"/>
              </w:rPr>
            </w:pPr>
            <w:r>
              <w:rPr>
                <w:rFonts w:ascii="Verdana" w:hAnsi="Verdana"/>
              </w:rPr>
              <w:t xml:space="preserve">         </w:t>
            </w:r>
            <w:r w:rsidRPr="00B17AC9">
              <w:rPr>
                <w:rFonts w:ascii="Verdana" w:hAnsi="Verdana"/>
              </w:rPr>
              <w:t xml:space="preserve">Por su parte, el contrato de concesión no se define a partir de la naturaleza de los sujetos contratantes, sino de los elementos sustanciales que lo caracterizan. Al respecto, la Agencia Nacional de Contratación Pública – </w:t>
            </w:r>
            <w:r w:rsidRPr="00B17AC9">
              <w:rPr>
                <w:rFonts w:ascii="Verdana" w:hAnsi="Verdana"/>
              </w:rPr>
              <w:t>Colombia Compra Eficiente, en el Concepto C-676 del 4 de junio de 2026, precisó que el contrato de concesión se configura en función de su objeto, su finalidad económica y la distribución de riesgos entre las partes, siendo determinante la transferencia al concesionario de la prestación, operación, explotación o gestión de un bien, obra o servicio por su cuenta y riesgo y a cambio de una remuneración.</w:t>
            </w:r>
          </w:p>
          <w:p w:rsidRPr="00B17AC9" w:rsidR="00AC2823" w:rsidP="0048031D" w:rsidRDefault="00AC2823" w14:paraId="1F923F2B" w14:textId="77777777">
            <w:pPr>
              <w:spacing w:after="120" w:line="276" w:lineRule="auto"/>
              <w:jc w:val="both"/>
              <w:rPr>
                <w:rFonts w:ascii="Verdana" w:hAnsi="Verdana"/>
              </w:rPr>
            </w:pPr>
            <w:r>
              <w:rPr>
                <w:rFonts w:ascii="Verdana" w:hAnsi="Verdana"/>
              </w:rPr>
              <w:t xml:space="preserve">         </w:t>
            </w:r>
            <w:r w:rsidRPr="00B17AC9">
              <w:rPr>
                <w:rFonts w:ascii="Verdana" w:hAnsi="Verdana"/>
              </w:rPr>
              <w:t>De igual manera, los contratos para la prestación de servicios públicos se identifican por su objeto contractual. En consecuencia, las categorías de contrato de concesión, contrato para la prestación de servicios públicos y contrato interadministrativo responden a criterios jurídicos distintos, razón por la cual la determinación de la naturaleza del negocio jurídico exige analizar las circunstancias particulares de cada caso.</w:t>
            </w:r>
          </w:p>
          <w:p w:rsidRPr="00B17AC9" w:rsidR="00AC2823" w:rsidP="0048031D" w:rsidRDefault="00AC2823" w14:paraId="488E1BCE" w14:textId="77777777">
            <w:pPr>
              <w:spacing w:after="120" w:line="276" w:lineRule="auto"/>
              <w:jc w:val="both"/>
              <w:rPr>
                <w:rFonts w:ascii="Verdana" w:hAnsi="Verdana"/>
              </w:rPr>
            </w:pPr>
            <w:r>
              <w:rPr>
                <w:rFonts w:ascii="Verdana" w:hAnsi="Verdana"/>
              </w:rPr>
              <w:t xml:space="preserve">         </w:t>
            </w:r>
            <w:r w:rsidRPr="00B17AC9">
              <w:rPr>
                <w:rFonts w:ascii="Verdana" w:hAnsi="Verdana"/>
              </w:rPr>
              <w:t>Ahora bien, el artículo 14 de la Ley 80 de 1993 regula las cláusulas excepcionales al derecho común y dispone, en su numeral 2, que estas son obligatorias en los contratos de concesión, en los contratos de obra, en aquellos cuyo objeto sea la prestación de servicios públicos, en los relacionados con actividades que constituyan monopolio estatal y en los demás eventos previstos por la ley. En estos casos, las cláusulas excepcionales se entienden incorporadas al contrato por ministerio de la ley.</w:t>
            </w:r>
          </w:p>
          <w:p w:rsidRPr="00B17AC9" w:rsidR="00AC2823" w:rsidP="0048031D" w:rsidRDefault="00AC2823" w14:paraId="0ECD76BF" w14:textId="77777777">
            <w:pPr>
              <w:spacing w:after="120" w:line="276" w:lineRule="auto"/>
              <w:jc w:val="both"/>
              <w:rPr>
                <w:rFonts w:ascii="Verdana" w:hAnsi="Verdana"/>
              </w:rPr>
            </w:pPr>
            <w:r>
              <w:rPr>
                <w:rFonts w:ascii="Verdana" w:hAnsi="Verdana"/>
              </w:rPr>
              <w:t xml:space="preserve">         </w:t>
            </w:r>
            <w:r w:rsidRPr="00B17AC9">
              <w:rPr>
                <w:rFonts w:ascii="Verdana" w:hAnsi="Verdana"/>
              </w:rPr>
              <w:t>Sin embargo, el parágrafo del mismo artículo establece expresamente que en los contratos interadministrativos deberá prescindirse de la utilización de cláusulas o estipulaciones excepcionales. Esta disposición constituye una regla especial que limita la aplicación de las facultades excepcionales en esta modalidad contractual.</w:t>
            </w:r>
          </w:p>
          <w:p w:rsidRPr="00B17AC9" w:rsidR="00AC2823" w:rsidP="0048031D" w:rsidRDefault="00AC2823" w14:paraId="7B5126BE" w14:textId="77777777">
            <w:pPr>
              <w:spacing w:after="120" w:line="276" w:lineRule="auto"/>
              <w:jc w:val="both"/>
              <w:rPr>
                <w:rFonts w:ascii="Verdana" w:hAnsi="Verdana"/>
              </w:rPr>
            </w:pPr>
            <w:r>
              <w:rPr>
                <w:rFonts w:ascii="Verdana" w:hAnsi="Verdana"/>
              </w:rPr>
              <w:t xml:space="preserve">       </w:t>
            </w:r>
            <w:r w:rsidRPr="00B17AC9">
              <w:rPr>
                <w:rFonts w:ascii="Verdana" w:hAnsi="Verdana"/>
              </w:rPr>
              <w:t>Sobre el particular, la Agencia Nacional de Contratación Pública – Colombia Compra Eficiente, mediante Concepto C-849 del 3 de julio de 2026, indicó que las facultades excepcionales previstas en el artículo 14 de la Ley 80 de 1993 no resultan aplicables a los contratos interadministrativos, en atención a la prohibición expresa contenida en el parágrafo de dicha norma y a la naturaleza de colaboración institucional que caracteriza este tipo de acuerdos.</w:t>
            </w:r>
          </w:p>
          <w:p w:rsidRPr="00425BC1" w:rsidR="00AC2823" w:rsidP="0048031D" w:rsidRDefault="00AC2823" w14:paraId="7348516A" w14:textId="77777777">
            <w:pPr>
              <w:spacing w:after="120" w:line="276" w:lineRule="auto"/>
              <w:jc w:val="both"/>
              <w:rPr>
                <w:rFonts w:ascii="Verdana" w:hAnsi="Verdana"/>
              </w:rPr>
            </w:pPr>
            <w:r>
              <w:rPr>
                <w:rFonts w:ascii="Verdana" w:hAnsi="Verdana"/>
              </w:rPr>
              <w:t xml:space="preserve">         </w:t>
            </w:r>
            <w:r w:rsidRPr="00425BC1">
              <w:rPr>
                <w:rFonts w:ascii="Verdana" w:hAnsi="Verdana"/>
              </w:rPr>
              <w:t xml:space="preserve">Finalmente, debe advertirse que el análisis para resolver problemas específicos en torno a los procesos de contratación debe ser realizado por quienes tengan interés en ello. De esta forma, las afirmaciones aquí realizadas </w:t>
            </w:r>
            <w:r w:rsidRPr="00425BC1">
              <w:rPr>
                <w:rFonts w:ascii="Verdana" w:hAnsi="Verdana"/>
              </w:rPr>
              <w:t>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rsidRPr="00425BC1" w:rsidR="00AC2823" w:rsidP="0048031D" w:rsidRDefault="00AC2823" w14:paraId="38683C3B" w14:textId="77777777">
            <w:pPr>
              <w:spacing w:after="120" w:line="276" w:lineRule="auto"/>
              <w:jc w:val="both"/>
              <w:rPr>
                <w:rFonts w:ascii="Verdana" w:hAnsi="Verdana"/>
              </w:rPr>
            </w:pPr>
            <w:r>
              <w:rPr>
                <w:rFonts w:ascii="Verdana" w:hAnsi="Verdana"/>
              </w:rPr>
              <w:t xml:space="preserve">         </w:t>
            </w:r>
            <w:r w:rsidRPr="00425BC1">
              <w:rPr>
                <w:rFonts w:ascii="Verdana"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rsidR="00AC2823" w:rsidP="0048031D" w:rsidRDefault="00AC2823" w14:paraId="11DB6C7E" w14:textId="77777777">
            <w:pPr>
              <w:spacing w:after="120" w:line="276" w:lineRule="auto"/>
              <w:jc w:val="both"/>
            </w:pPr>
          </w:p>
        </w:tc>
      </w:tr>
    </w:tbl>
    <w:p w:rsidRPr="00E02524" w:rsidR="0022400B" w:rsidP="734EF5D3" w:rsidRDefault="34654822" w14:paraId="3E43EF54" w14:textId="77777777">
      <w:pPr>
        <w:tabs>
          <w:tab w:val="left" w:pos="142"/>
          <w:tab w:val="left" w:pos="284"/>
        </w:tabs>
        <w:spacing w:after="0" w:line="276" w:lineRule="auto"/>
        <w:jc w:val="both"/>
        <w:textAlignment w:val="baseline"/>
      </w:pPr>
      <w:r w:rsidRPr="734EF5D3">
        <w:rPr>
          <w:rFonts w:ascii="Verdana" w:hAnsi="Verdana" w:eastAsia="Verdana" w:cs="Verdana"/>
          <w:b/>
          <w:bCs/>
          <w:color w:val="000000" w:themeColor="text1"/>
        </w:rPr>
        <w:t xml:space="preserve"> </w:t>
      </w:r>
    </w:p>
    <w:p w:rsidRPr="00E02524" w:rsidR="0022400B" w:rsidP="734EF5D3" w:rsidRDefault="34654822" w14:paraId="4F41308C" w14:textId="77777777">
      <w:pPr>
        <w:pStyle w:val="Prrafodelista"/>
        <w:numPr>
          <w:ilvl w:val="0"/>
          <w:numId w:val="2"/>
        </w:numPr>
        <w:spacing w:after="0" w:line="276" w:lineRule="auto"/>
        <w:ind w:left="1080" w:hanging="720"/>
        <w:jc w:val="both"/>
        <w:textAlignment w:val="baseline"/>
        <w:rPr>
          <w:rFonts w:ascii="Verdana" w:hAnsi="Verdana" w:eastAsia="Verdana" w:cs="Verdana"/>
          <w:b/>
          <w:bCs/>
          <w:color w:val="000000" w:themeColor="text1"/>
          <w:lang w:val="es"/>
        </w:rPr>
      </w:pPr>
      <w:r w:rsidRPr="734EF5D3">
        <w:rPr>
          <w:rFonts w:ascii="Verdana" w:hAnsi="Verdana" w:eastAsia="Verdana" w:cs="Verdana"/>
          <w:b/>
          <w:bCs/>
          <w:color w:val="000000" w:themeColor="text1"/>
          <w:lang w:val="es"/>
        </w:rPr>
        <w:t>Razones de la respuesta:</w:t>
      </w:r>
    </w:p>
    <w:p w:rsidRPr="00E02524" w:rsidR="0022400B" w:rsidP="734EF5D3" w:rsidRDefault="34654822" w14:paraId="12F04C32" w14:textId="77777777">
      <w:pPr>
        <w:tabs>
          <w:tab w:val="left" w:pos="142"/>
          <w:tab w:val="left" w:pos="284"/>
        </w:tabs>
        <w:spacing w:after="0" w:line="276" w:lineRule="auto"/>
        <w:jc w:val="both"/>
        <w:textAlignment w:val="baseline"/>
      </w:pPr>
      <w:r w:rsidRPr="734EF5D3">
        <w:rPr>
          <w:rFonts w:ascii="Verdana" w:hAnsi="Verdana" w:eastAsia="Verdana" w:cs="Verdana"/>
          <w:b/>
          <w:bCs/>
          <w:color w:val="000000" w:themeColor="text1"/>
          <w:lang w:val="es"/>
        </w:rPr>
        <w:t xml:space="preserve"> </w:t>
      </w:r>
    </w:p>
    <w:p w:rsidRPr="00E02524" w:rsidR="0022400B" w:rsidP="734EF5D3" w:rsidRDefault="34654822" w14:paraId="27A7CBC5" w14:textId="77777777">
      <w:pPr>
        <w:spacing w:after="0" w:line="276" w:lineRule="auto"/>
        <w:jc w:val="both"/>
        <w:textAlignment w:val="baseline"/>
      </w:pPr>
      <w:r w:rsidRPr="734EF5D3">
        <w:rPr>
          <w:rFonts w:ascii="Verdana" w:hAnsi="Verdana" w:eastAsia="Verdana" w:cs="Verdana"/>
          <w:lang w:val="es"/>
        </w:rPr>
        <w:t xml:space="preserve">Lo anterior se sustenta en las siguientes consideraciones: </w:t>
      </w:r>
    </w:p>
    <w:p w:rsidRPr="00E02524" w:rsidR="0022400B" w:rsidP="734EF5D3" w:rsidRDefault="34654822" w14:paraId="6B41017B" w14:textId="77777777">
      <w:pPr>
        <w:spacing w:after="0" w:line="276" w:lineRule="auto"/>
        <w:jc w:val="both"/>
        <w:textAlignment w:val="baseline"/>
      </w:pPr>
      <w:r w:rsidRPr="734EF5D3">
        <w:rPr>
          <w:rFonts w:ascii="Verdana" w:hAnsi="Verdana" w:eastAsia="Verdana" w:cs="Verdana"/>
          <w:lang w:val="es"/>
        </w:rPr>
        <w:t xml:space="preserve"> </w:t>
      </w:r>
    </w:p>
    <w:p w:rsidRPr="00E02524" w:rsidR="0022400B" w:rsidP="734EF5D3" w:rsidRDefault="34654822" w14:paraId="37E2BF60" w14:textId="77777777">
      <w:pPr>
        <w:spacing w:after="0" w:line="276" w:lineRule="auto"/>
        <w:ind w:firstLine="708"/>
        <w:jc w:val="both"/>
        <w:textAlignment w:val="baseline"/>
      </w:pPr>
      <w:r w:rsidRPr="734EF5D3">
        <w:rPr>
          <w:rFonts w:ascii="Verdana" w:hAnsi="Verdana" w:eastAsia="Verdana" w:cs="Verdana"/>
        </w:rPr>
        <w:t>De manera preliminar resulta pertinente indicar que el régimen de contratación la contratación Estatal constituye un instrumento a través del cual las entidades públicas realizan el aprovisionamiento de sus bienes, obras y servicios, con el propósito de satisfacer las necesidades e intereses colectivos</w:t>
      </w:r>
      <w:r w:rsidRPr="734EF5D3" w:rsidR="00322A85">
        <w:rPr>
          <w:rFonts w:ascii="Verdana" w:hAnsi="Verdana" w:eastAsia="Verdana" w:cs="Verdana"/>
          <w:sz w:val="18"/>
          <w:szCs w:val="18"/>
          <w:vertAlign w:val="superscript"/>
        </w:rPr>
        <w:footnoteReference w:id="2"/>
      </w:r>
      <w:r w:rsidRPr="734EF5D3">
        <w:rPr>
          <w:rFonts w:ascii="Verdana" w:hAnsi="Verdana" w:eastAsia="Verdana" w:cs="Verdana"/>
        </w:rPr>
        <w:t>. Para este propósito se sirve de la colaboración de los particulares o de otras entidades que integran la administración pública.</w:t>
      </w:r>
    </w:p>
    <w:p w:rsidRPr="00E02524" w:rsidR="0022400B" w:rsidP="734EF5D3" w:rsidRDefault="34654822" w14:paraId="10D48ABD" w14:textId="77777777">
      <w:pPr>
        <w:spacing w:after="0" w:line="276" w:lineRule="auto"/>
        <w:ind w:firstLine="708"/>
        <w:jc w:val="both"/>
        <w:textAlignment w:val="baseline"/>
      </w:pPr>
      <w:r w:rsidRPr="734EF5D3">
        <w:rPr>
          <w:rFonts w:ascii="Verdana" w:hAnsi="Verdana" w:eastAsia="Verdana" w:cs="Verdana"/>
        </w:rPr>
        <w:t xml:space="preserve"> </w:t>
      </w:r>
    </w:p>
    <w:p w:rsidRPr="00711651" w:rsidR="00AC2823" w:rsidP="00AC2823" w:rsidRDefault="00AC2823" w14:paraId="44DB255D" w14:textId="77777777">
      <w:pPr>
        <w:spacing w:after="120" w:line="276" w:lineRule="auto"/>
        <w:ind w:firstLine="708"/>
        <w:jc w:val="both"/>
        <w:rPr>
          <w:rFonts w:ascii="Verdana" w:hAnsi="Verdana" w:eastAsia="Calibri" w:cs="Arial"/>
          <w:color w:val="000000" w:themeColor="text1"/>
          <w:lang w:val="es-ES"/>
        </w:rPr>
      </w:pPr>
      <w:r w:rsidRPr="00711651">
        <w:rPr>
          <w:rFonts w:ascii="Verdana" w:hAnsi="Verdana" w:eastAsia="Calibri" w:cs="Arial"/>
          <w:color w:val="000000" w:themeColor="text1"/>
          <w:lang w:val="es-ES"/>
        </w:rPr>
        <w:t>El artículo 32 de la Ley 80 de 1993 contempla un listado enunciativo de los contratos que las Entidades Estatales, en virtud del principio de autonomía de la voluntad, pueden celebrar para el cumplimiento de sus fines. Dentro de dichos contratos se encuentra el contrato de concesión, al cual hace referencia en su consulta.</w:t>
      </w:r>
    </w:p>
    <w:p w:rsidRPr="00711651" w:rsidR="00AC2823" w:rsidP="00AC2823" w:rsidRDefault="00AC2823" w14:paraId="26353D2C" w14:textId="77777777">
      <w:pPr>
        <w:tabs>
          <w:tab w:val="left" w:pos="0"/>
        </w:tabs>
        <w:spacing w:after="0" w:line="276" w:lineRule="auto"/>
        <w:jc w:val="both"/>
        <w:rPr>
          <w:rFonts w:ascii="Verdana" w:hAnsi="Verdana" w:eastAsia="Calibri" w:cs="Arial"/>
          <w:bCs/>
          <w:color w:val="000000" w:themeColor="text1"/>
          <w:lang w:val="es-ES_tradnl"/>
        </w:rPr>
      </w:pPr>
      <w:r w:rsidRPr="00711651">
        <w:rPr>
          <w:rFonts w:ascii="Verdana" w:hAnsi="Verdana" w:eastAsia="Calibri" w:cs="Arial"/>
          <w:bCs/>
          <w:color w:val="000000" w:themeColor="text1"/>
          <w:lang w:val="es-ES_tradnl"/>
        </w:rPr>
        <w:tab/>
      </w:r>
      <w:r w:rsidRPr="00711651">
        <w:rPr>
          <w:rFonts w:ascii="Verdana" w:hAnsi="Verdana" w:eastAsia="Calibri" w:cs="Arial"/>
          <w:bCs/>
          <w:color w:val="000000" w:themeColor="text1"/>
          <w:lang w:val="es-ES_tradnl"/>
        </w:rPr>
        <w:t xml:space="preserve">El contrato de concesión ha sido tradicionalmente uno de los contratos estatales paradigmáticos. Esto debido a que, a través de él las Entidades Públicas reciben el apoyo de los particulares para el cumplimiento de los fines del Estado, permitiendo que aquellos exploten, operen, organicen, construyan, conserven o gestionen un determinado bien o servicio de propiedad estatal, en la medida de lo posible con sus propios recursos privados y con la oportunidad de recuperar su inversión durante el plazo del contrato. En tal sentido, el </w:t>
      </w:r>
      <w:bookmarkStart w:name="_Hlk182373185" w:id="0"/>
      <w:r w:rsidRPr="00711651">
        <w:rPr>
          <w:rFonts w:ascii="Verdana" w:hAnsi="Verdana" w:eastAsia="Calibri" w:cs="Arial"/>
          <w:bCs/>
          <w:color w:val="000000" w:themeColor="text1"/>
          <w:lang w:val="es-ES_tradnl"/>
        </w:rPr>
        <w:t>numeral 4° del artículo 32 de la Ley 80 de 1993</w:t>
      </w:r>
      <w:bookmarkEnd w:id="0"/>
      <w:r w:rsidRPr="00711651">
        <w:rPr>
          <w:rFonts w:ascii="Verdana" w:hAnsi="Verdana" w:eastAsia="Calibri" w:cs="Arial"/>
          <w:bCs/>
          <w:color w:val="000000" w:themeColor="text1"/>
          <w:lang w:val="es-ES_tradnl"/>
        </w:rPr>
        <w:t>, los define así:</w:t>
      </w:r>
    </w:p>
    <w:p w:rsidRPr="00B973A0" w:rsidR="00AC2823" w:rsidP="00AC2823" w:rsidRDefault="00AC2823" w14:paraId="63789966" w14:textId="77777777">
      <w:pPr>
        <w:tabs>
          <w:tab w:val="left" w:pos="0"/>
        </w:tabs>
        <w:spacing w:after="0" w:line="276" w:lineRule="auto"/>
        <w:jc w:val="both"/>
        <w:rPr>
          <w:rFonts w:ascii="Verdana" w:hAnsi="Verdana" w:eastAsia="Calibri" w:cs="Arial"/>
          <w:bCs/>
          <w:color w:val="000000" w:themeColor="text1"/>
          <w:highlight w:val="lightGray"/>
          <w:lang w:val="es-ES_tradnl"/>
        </w:rPr>
      </w:pPr>
    </w:p>
    <w:p w:rsidRPr="00711651" w:rsidR="00AC2823" w:rsidP="00AC2823" w:rsidRDefault="00AC2823" w14:paraId="24A1C4C9" w14:textId="77777777">
      <w:pPr>
        <w:tabs>
          <w:tab w:val="left" w:pos="0"/>
        </w:tabs>
        <w:spacing w:after="0" w:line="240" w:lineRule="auto"/>
        <w:ind w:left="709" w:right="709"/>
        <w:jc w:val="both"/>
        <w:rPr>
          <w:rFonts w:ascii="Verdana" w:hAnsi="Verdana" w:eastAsia="Calibri" w:cs="Arial"/>
          <w:bCs/>
          <w:color w:val="000000" w:themeColor="text1"/>
          <w:sz w:val="20"/>
          <w:szCs w:val="20"/>
          <w:lang w:val="es-ES_tradnl"/>
        </w:rPr>
      </w:pPr>
      <w:r w:rsidRPr="00711651">
        <w:rPr>
          <w:rFonts w:ascii="Verdana" w:hAnsi="Verdana" w:eastAsia="Calibri" w:cs="Arial"/>
          <w:bCs/>
          <w:color w:val="000000" w:themeColor="text1"/>
          <w:sz w:val="20"/>
          <w:szCs w:val="20"/>
          <w:lang w:val="es-ES_tradnl"/>
        </w:rPr>
        <w:t>“4. Son contratos de concesión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la explotación del bien, o en una suma periódica, única o porcentual y, en general, en cualquier otra modalidad de contraprestación que las partes acuerden”.</w:t>
      </w:r>
    </w:p>
    <w:p w:rsidRPr="00B973A0" w:rsidR="00AC2823" w:rsidP="00AC2823" w:rsidRDefault="00AC2823" w14:paraId="6D07079E" w14:textId="77777777">
      <w:pPr>
        <w:tabs>
          <w:tab w:val="left" w:pos="0"/>
        </w:tabs>
        <w:spacing w:after="0" w:line="276" w:lineRule="auto"/>
        <w:jc w:val="both"/>
        <w:rPr>
          <w:rFonts w:ascii="Verdana" w:hAnsi="Verdana" w:eastAsia="Calibri" w:cs="Arial"/>
          <w:bCs/>
          <w:color w:val="000000" w:themeColor="text1"/>
          <w:highlight w:val="lightGray"/>
          <w:lang w:val="es-ES_tradnl"/>
        </w:rPr>
      </w:pPr>
    </w:p>
    <w:p w:rsidRPr="00751C68" w:rsidR="00AC2823" w:rsidP="00AC2823" w:rsidRDefault="00AC2823" w14:paraId="41BC25DE" w14:textId="77777777">
      <w:pPr>
        <w:tabs>
          <w:tab w:val="left" w:pos="0"/>
        </w:tabs>
        <w:spacing w:after="120" w:line="276" w:lineRule="auto"/>
        <w:ind w:firstLine="709"/>
        <w:jc w:val="both"/>
        <w:rPr>
          <w:rFonts w:ascii="Verdana" w:hAnsi="Verdana" w:eastAsia="Calibri" w:cs="Arial"/>
          <w:bCs/>
          <w:color w:val="000000" w:themeColor="text1"/>
        </w:rPr>
      </w:pPr>
      <w:r w:rsidRPr="00751C68">
        <w:rPr>
          <w:rFonts w:ascii="Verdana" w:hAnsi="Verdana" w:eastAsia="Calibri" w:cs="Arial"/>
          <w:bCs/>
          <w:color w:val="000000" w:themeColor="text1"/>
        </w:rPr>
        <w:t xml:space="preserve">Tal como está tipificado el contrato de concesión en la Ley 80 de 1993, el Estado es el titular de la actividad o del bien y lo otorga a una persona que se denominará </w:t>
      </w:r>
      <w:r w:rsidRPr="00751C68">
        <w:rPr>
          <w:rFonts w:ascii="Verdana" w:hAnsi="Verdana" w:eastAsia="Calibri" w:cs="Arial"/>
          <w:bCs/>
          <w:i/>
          <w:iCs/>
          <w:color w:val="000000" w:themeColor="text1"/>
        </w:rPr>
        <w:t>concesionario</w:t>
      </w:r>
      <w:r w:rsidRPr="00751C68">
        <w:rPr>
          <w:rFonts w:ascii="Verdana" w:hAnsi="Verdana" w:eastAsia="Calibri" w:cs="Arial"/>
          <w:bCs/>
          <w:color w:val="000000" w:themeColor="text1"/>
        </w:rPr>
        <w:t xml:space="preserve">, para que este asuma el ejercicio del servicio público o la realización y explotación de una obra, por su propia cuenta y riesgo, pero con la permanente vigilancia de la entidad </w:t>
      </w:r>
      <w:r w:rsidRPr="00751C68">
        <w:rPr>
          <w:rFonts w:ascii="Verdana" w:hAnsi="Verdana" w:eastAsia="Calibri" w:cs="Arial"/>
          <w:bCs/>
          <w:i/>
          <w:iCs/>
          <w:color w:val="000000" w:themeColor="text1"/>
        </w:rPr>
        <w:t>concedente</w:t>
      </w:r>
      <w:r w:rsidRPr="00751C68">
        <w:rPr>
          <w:rFonts w:ascii="Verdana" w:hAnsi="Verdana" w:eastAsia="Calibri" w:cs="Arial"/>
          <w:bCs/>
          <w:color w:val="000000" w:themeColor="text1"/>
        </w:rPr>
        <w:t xml:space="preserve"> y como contraprestación recibirá un incentivo económico. La entidad concedente no se desprende de la potestad de dirección y control de la ejecución del contrato y debe ejercer la permanente vigilancia de la actividad que desarrolla el concesionario</w:t>
      </w:r>
      <w:r w:rsidRPr="00751C68">
        <w:rPr>
          <w:rStyle w:val="Refdenotaalpie"/>
          <w:rFonts w:ascii="Verdana" w:hAnsi="Verdana" w:eastAsia="Calibri" w:cs="Arial"/>
          <w:bCs/>
          <w:color w:val="000000" w:themeColor="text1"/>
        </w:rPr>
        <w:footnoteReference w:id="3"/>
      </w:r>
      <w:r w:rsidRPr="00751C68">
        <w:rPr>
          <w:rFonts w:ascii="Verdana" w:hAnsi="Verdana" w:eastAsia="Calibri" w:cs="Arial"/>
          <w:bCs/>
          <w:color w:val="000000" w:themeColor="text1"/>
        </w:rPr>
        <w:t xml:space="preserve">. </w:t>
      </w:r>
      <w:r w:rsidRPr="00751C68">
        <w:rPr>
          <w:rFonts w:ascii="Verdana" w:hAnsi="Verdana" w:eastAsia="Calibri" w:cs="Arial"/>
          <w:bCs/>
          <w:color w:val="000000" w:themeColor="text1"/>
          <w:lang w:val="es-ES_tradnl"/>
        </w:rPr>
        <w:t xml:space="preserve">Como se observa, en este tipo de contratos el contratista es, en principio, quien por su cuenta y riesgo ejecuta la prestación, operación, explotación u organización del </w:t>
      </w:r>
      <w:r w:rsidRPr="00751C68">
        <w:rPr>
          <w:rFonts w:ascii="Verdana" w:hAnsi="Verdana" w:eastAsia="Calibri" w:cs="Arial"/>
          <w:bCs/>
          <w:color w:val="000000" w:themeColor="text1"/>
          <w:lang w:val="es-ES_tradnl"/>
        </w:rPr>
        <w:t>servicio, así como la construcción, explotación o conservación del bien, a cambio de una remuneración</w:t>
      </w:r>
      <w:r w:rsidRPr="00751C68">
        <w:rPr>
          <w:rFonts w:ascii="Verdana" w:hAnsi="Verdana" w:eastAsia="Calibri" w:cs="Arial"/>
          <w:bCs/>
          <w:color w:val="000000" w:themeColor="text1"/>
          <w:vertAlign w:val="superscript"/>
          <w:lang w:val="es-ES_tradnl"/>
        </w:rPr>
        <w:footnoteReference w:id="4"/>
      </w:r>
      <w:r w:rsidRPr="00751C68">
        <w:rPr>
          <w:rFonts w:ascii="Verdana" w:hAnsi="Verdana" w:eastAsia="Calibri" w:cs="Arial"/>
          <w:bCs/>
          <w:color w:val="000000" w:themeColor="text1"/>
          <w:lang w:val="es-ES_tradnl"/>
        </w:rPr>
        <w:t xml:space="preserve">. </w:t>
      </w:r>
    </w:p>
    <w:p w:rsidRPr="00772771" w:rsidR="00AC2823" w:rsidP="00AC2823" w:rsidRDefault="00AC2823" w14:paraId="6A059E05" w14:textId="77777777">
      <w:pPr>
        <w:tabs>
          <w:tab w:val="left" w:pos="0"/>
        </w:tabs>
        <w:spacing w:after="0" w:line="276" w:lineRule="auto"/>
        <w:ind w:firstLine="709"/>
        <w:jc w:val="both"/>
        <w:rPr>
          <w:rFonts w:ascii="Verdana" w:hAnsi="Verdana" w:eastAsia="Calibri" w:cs="Arial"/>
          <w:bCs/>
          <w:color w:val="000000" w:themeColor="text1"/>
        </w:rPr>
      </w:pPr>
      <w:r w:rsidRPr="00772771">
        <w:rPr>
          <w:rFonts w:ascii="Verdana" w:hAnsi="Verdana" w:eastAsia="Calibri" w:cs="Arial"/>
          <w:bCs/>
          <w:color w:val="000000" w:themeColor="text1"/>
          <w:lang w:val="es-ES_tradnl"/>
        </w:rPr>
        <w:t>De esta manera, como característica fundamental de estos contratos se resalta “</w:t>
      </w:r>
      <w:r w:rsidRPr="00772771">
        <w:rPr>
          <w:rFonts w:ascii="Verdana" w:hAnsi="Verdana" w:eastAsia="Calibri" w:cs="Arial"/>
          <w:bCs/>
          <w:color w:val="000000" w:themeColor="text1"/>
        </w:rPr>
        <w:t>la vinculación de recursos del sector privado, a manera de inversión, en proyectos de interés público que permitan maximizar el gasto estatal en la satisfacción de otras necesidades”</w:t>
      </w:r>
      <w:r w:rsidRPr="00772771">
        <w:rPr>
          <w:rStyle w:val="Refdenotaalpie"/>
          <w:rFonts w:ascii="Verdana" w:hAnsi="Verdana" w:eastAsia="Calibri" w:cs="Arial"/>
          <w:bCs/>
          <w:color w:val="000000" w:themeColor="text1"/>
          <w:lang w:val="es-ES_tradnl"/>
        </w:rPr>
        <w:footnoteReference w:id="5"/>
      </w:r>
      <w:r w:rsidRPr="00772771">
        <w:rPr>
          <w:rFonts w:ascii="Verdana" w:hAnsi="Verdana" w:eastAsia="Calibri" w:cs="Arial"/>
          <w:bCs/>
          <w:color w:val="000000" w:themeColor="text1"/>
        </w:rPr>
        <w:t xml:space="preserve">. Así mismo, es de la esencia del contrato de concesión la asunción de riesgos por parte del concesionario, lo que significa que tendrá derecho a la utilidad generada pero también asumirá las pérdidas derivadas de la gestión del servicio o bien concesionado. </w:t>
      </w:r>
      <w:r w:rsidRPr="00772771">
        <w:rPr>
          <w:rFonts w:ascii="Verdana" w:hAnsi="Verdana" w:eastAsia="Calibri" w:cs="Arial"/>
          <w:bCs/>
          <w:color w:val="000000" w:themeColor="text1"/>
          <w:lang w:val="es-ES_tradnl"/>
        </w:rPr>
        <w:t>En palabras de la Corte Constitucional:</w:t>
      </w:r>
    </w:p>
    <w:p w:rsidRPr="00772771" w:rsidR="00AC2823" w:rsidP="00AC2823" w:rsidRDefault="00AC2823" w14:paraId="748C26FD" w14:textId="77777777">
      <w:pPr>
        <w:shd w:val="clear" w:color="auto" w:fill="FFFFFF"/>
        <w:spacing w:after="0" w:line="276" w:lineRule="auto"/>
        <w:ind w:left="720"/>
        <w:jc w:val="both"/>
        <w:rPr>
          <w:rFonts w:ascii="Verdana" w:hAnsi="Verdana" w:eastAsia="Calibri" w:cs="Arial"/>
          <w:bCs/>
          <w:color w:val="000000" w:themeColor="text1"/>
          <w:lang w:val="es-ES_tradnl"/>
        </w:rPr>
      </w:pPr>
    </w:p>
    <w:p w:rsidRPr="00772771" w:rsidR="00AC2823" w:rsidP="00AC2823" w:rsidRDefault="00AC2823" w14:paraId="3FC0BDCF" w14:textId="77777777">
      <w:pPr>
        <w:spacing w:after="0" w:line="240" w:lineRule="auto"/>
        <w:ind w:left="709" w:right="709"/>
        <w:jc w:val="both"/>
        <w:rPr>
          <w:rFonts w:ascii="Verdana" w:hAnsi="Verdana" w:eastAsia="Calibri" w:cs="Arial"/>
          <w:color w:val="000000" w:themeColor="text1"/>
          <w:sz w:val="20"/>
          <w:szCs w:val="20"/>
          <w:lang w:val="es-ES"/>
        </w:rPr>
      </w:pPr>
      <w:r w:rsidRPr="00772771">
        <w:rPr>
          <w:rFonts w:ascii="Verdana" w:hAnsi="Verdana" w:eastAsia="Calibri" w:cs="Arial"/>
          <w:color w:val="000000" w:themeColor="text1"/>
          <w:sz w:val="20"/>
          <w:szCs w:val="20"/>
          <w:lang w:val="es-ES"/>
        </w:rPr>
        <w:t>“Los contratos de concesión son entonces instrumentos a través de los cuales el Estado promueve el concurso de la inversión privada para el cumplimiento de sus fines. Estos contratos adquieren especial importancia en contextos en los que existen restricciones presupuestales, pues permiten la realización de importantes obras de infraestructura (vial, energética, de transporte, de telecomunicaciones, etc.) con el apoyo de los recursos y conocimientos privados; de este modo facilitan que los recursos públicos se enfoquen en otras necesidades de la actuación estatal”</w:t>
      </w:r>
      <w:r w:rsidRPr="00772771">
        <w:rPr>
          <w:rFonts w:ascii="Verdana" w:hAnsi="Verdana" w:eastAsia="Calibri" w:cs="Arial"/>
          <w:color w:val="000000" w:themeColor="text1"/>
          <w:sz w:val="20"/>
          <w:szCs w:val="20"/>
          <w:vertAlign w:val="superscript"/>
          <w:lang w:val="es-ES"/>
        </w:rPr>
        <w:footnoteReference w:id="6"/>
      </w:r>
      <w:r w:rsidRPr="00772771">
        <w:rPr>
          <w:rFonts w:ascii="Verdana" w:hAnsi="Verdana" w:eastAsia="Calibri" w:cs="Arial"/>
          <w:color w:val="000000" w:themeColor="text1"/>
          <w:sz w:val="20"/>
          <w:szCs w:val="20"/>
          <w:lang w:val="es-ES"/>
        </w:rPr>
        <w:t xml:space="preserve">. </w:t>
      </w:r>
    </w:p>
    <w:p w:rsidRPr="00B973A0" w:rsidR="00AC2823" w:rsidP="00AC2823" w:rsidRDefault="00AC2823" w14:paraId="603E7874" w14:textId="77777777">
      <w:pPr>
        <w:tabs>
          <w:tab w:val="left" w:pos="0"/>
        </w:tabs>
        <w:spacing w:after="0" w:line="276" w:lineRule="auto"/>
        <w:ind w:firstLine="709"/>
        <w:jc w:val="both"/>
        <w:rPr>
          <w:rFonts w:ascii="Verdana" w:hAnsi="Verdana" w:eastAsia="Calibri" w:cs="Arial"/>
          <w:bCs/>
          <w:color w:val="000000" w:themeColor="text1"/>
          <w:highlight w:val="lightGray"/>
          <w:lang w:val="es-ES"/>
        </w:rPr>
      </w:pPr>
    </w:p>
    <w:p w:rsidR="00AC2823" w:rsidP="00AC2823" w:rsidRDefault="00AC2823" w14:paraId="579FD434" w14:textId="77777777">
      <w:pPr>
        <w:spacing w:after="0" w:line="276" w:lineRule="auto"/>
        <w:ind w:firstLine="709"/>
        <w:jc w:val="both"/>
        <w:textAlignment w:val="baseline"/>
        <w:rPr>
          <w:rFonts w:ascii="Verdana" w:hAnsi="Verdana" w:eastAsia="Calibri" w:cs="Arial"/>
          <w:color w:val="000000" w:themeColor="text1"/>
          <w:lang w:val="es-ES"/>
        </w:rPr>
      </w:pPr>
      <w:r w:rsidRPr="006C37E2">
        <w:rPr>
          <w:rFonts w:ascii="Verdana" w:hAnsi="Verdana" w:eastAsia="Calibri" w:cs="Arial"/>
          <w:color w:val="000000" w:themeColor="text1"/>
          <w:lang w:val="es-ES"/>
        </w:rPr>
        <w:t xml:space="preserve">A partir de la tipificación de este contrato, en el artículo citado, y sin perjuicio de la existencia de regímenes especiales, las disposiciones del Estatuto General de Contratación de la Administración Pública – en adelante EGCAP – eran las que aplicaban principalmente las Entidades Públicas en la celebración de los contratos de concesión. Sin embargo, con posterioridad se expidió la Ley 1508 de 2012, “Por la cual se establece el régimen jurídico de las Asociaciones </w:t>
      </w:r>
      <w:r w:rsidRPr="006C37E2">
        <w:rPr>
          <w:rFonts w:ascii="Verdana" w:hAnsi="Verdana" w:eastAsia="Calibri" w:cs="Arial"/>
          <w:color w:val="000000" w:themeColor="text1"/>
          <w:lang w:val="es-ES"/>
        </w:rPr>
        <w:t xml:space="preserve">Público-Privadas, se dictan normas orgánicas de presupuesto y se dictan otras </w:t>
      </w:r>
      <w:r w:rsidRPr="00C5370B">
        <w:rPr>
          <w:rFonts w:ascii="Verdana" w:hAnsi="Verdana" w:eastAsia="Calibri" w:cs="Arial"/>
          <w:color w:val="000000" w:themeColor="text1"/>
          <w:lang w:val="es-ES"/>
        </w:rPr>
        <w:t>disposiciones”</w:t>
      </w:r>
    </w:p>
    <w:p w:rsidR="00AC2823" w:rsidP="00AC2823" w:rsidRDefault="00AC2823" w14:paraId="299CB578" w14:textId="77777777">
      <w:pPr>
        <w:spacing w:after="0" w:line="276" w:lineRule="auto"/>
        <w:ind w:firstLine="709"/>
        <w:jc w:val="both"/>
        <w:textAlignment w:val="baseline"/>
        <w:rPr>
          <w:rFonts w:ascii="Verdana" w:hAnsi="Verdana" w:eastAsia="Calibri" w:cs="Arial"/>
          <w:color w:val="000000" w:themeColor="text1"/>
          <w:lang w:val="es-ES"/>
        </w:rPr>
      </w:pPr>
    </w:p>
    <w:p w:rsidR="00AC2823" w:rsidP="00AC2823" w:rsidRDefault="00AC2823" w14:paraId="7BEA899E" w14:textId="77777777">
      <w:pPr>
        <w:spacing w:after="0" w:line="276" w:lineRule="auto"/>
        <w:ind w:firstLine="709"/>
        <w:jc w:val="both"/>
        <w:textAlignment w:val="baseline"/>
        <w:rPr>
          <w:rFonts w:ascii="Verdana" w:hAnsi="Verdana" w:eastAsia="Calibri" w:cs="Arial"/>
          <w:color w:val="000000" w:themeColor="text1"/>
          <w:lang w:val="es-ES"/>
        </w:rPr>
      </w:pPr>
    </w:p>
    <w:p w:rsidR="00AC2823" w:rsidP="00AC2823" w:rsidRDefault="00AC2823" w14:paraId="6FAE681C" w14:textId="77777777">
      <w:pPr>
        <w:spacing w:after="0" w:line="276" w:lineRule="auto"/>
        <w:ind w:firstLine="709"/>
        <w:jc w:val="both"/>
        <w:textAlignment w:val="baseline"/>
        <w:rPr>
          <w:rFonts w:ascii="Verdana" w:hAnsi="Verdana" w:eastAsia="Calibri" w:cs="Arial"/>
          <w:color w:val="000000" w:themeColor="text1"/>
          <w:lang w:val="es-ES"/>
        </w:rPr>
      </w:pPr>
    </w:p>
    <w:p w:rsidRPr="00E02524" w:rsidR="0022400B" w:rsidP="734EF5D3" w:rsidRDefault="00AC2823" w14:paraId="10DCE1CD" w14:textId="77777777">
      <w:pPr>
        <w:spacing w:after="120" w:line="276" w:lineRule="auto"/>
        <w:ind w:firstLine="709"/>
        <w:jc w:val="both"/>
        <w:textAlignment w:val="baseline"/>
      </w:pPr>
      <w:r>
        <w:rPr>
          <w:rFonts w:ascii="Verdana" w:hAnsi="Verdana" w:eastAsia="Verdana" w:cs="Verdana"/>
          <w:color w:val="000000" w:themeColor="text1"/>
        </w:rPr>
        <w:t>Ahora bien, una vez definido la naturaleza jurídica de los contratos de concesión resulta pertinente precisar que c</w:t>
      </w:r>
      <w:r w:rsidRPr="734EF5D3">
        <w:rPr>
          <w:rFonts w:ascii="Verdana" w:hAnsi="Verdana" w:eastAsia="Verdana" w:cs="Verdana"/>
          <w:color w:val="000000" w:themeColor="text1"/>
        </w:rPr>
        <w:t>uando</w:t>
      </w:r>
      <w:r w:rsidRPr="734EF5D3" w:rsidR="34654822">
        <w:rPr>
          <w:rFonts w:ascii="Verdana" w:hAnsi="Verdana" w:eastAsia="Verdana" w:cs="Verdana"/>
          <w:color w:val="000000" w:themeColor="text1"/>
        </w:rPr>
        <w:t xml:space="preserve">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w:t>
      </w:r>
      <w:r w:rsidRPr="734EF5D3" w:rsidR="00322A85">
        <w:rPr>
          <w:rFonts w:ascii="Verdana" w:hAnsi="Verdana" w:eastAsia="Verdana" w:cs="Verdana"/>
          <w:color w:val="000000" w:themeColor="text1"/>
          <w:sz w:val="18"/>
          <w:szCs w:val="18"/>
          <w:vertAlign w:val="superscript"/>
        </w:rPr>
        <w:footnoteReference w:id="7"/>
      </w:r>
      <w:r w:rsidRPr="734EF5D3" w:rsidR="34654822">
        <w:rPr>
          <w:rFonts w:ascii="Verdana" w:hAnsi="Verdana" w:eastAsia="Verdana" w:cs="Verdana"/>
          <w:color w:val="000000" w:themeColor="text1"/>
        </w:rPr>
        <w:t>. Sobre la tipología de contrato interadministrativo, conviene señalar que, aunque la Ley 80 de 1993 no lo definió ni desarrolló, el Decreto 1082 de 2015, “Por medio del cual se expide el Decreto único reglamentario del sector administrativo de planeación nacional”, califica a los convenios o contratos interadministrativos como aquella contratación entre entidades estatales</w:t>
      </w:r>
      <w:r w:rsidRPr="734EF5D3" w:rsidR="00322A85">
        <w:rPr>
          <w:rFonts w:ascii="Verdana" w:hAnsi="Verdana" w:eastAsia="Verdana" w:cs="Verdana"/>
          <w:color w:val="000000" w:themeColor="text1"/>
          <w:sz w:val="18"/>
          <w:szCs w:val="18"/>
          <w:vertAlign w:val="superscript"/>
        </w:rPr>
        <w:footnoteReference w:id="8"/>
      </w:r>
      <w:r w:rsidRPr="734EF5D3" w:rsidR="34654822">
        <w:rPr>
          <w:rFonts w:ascii="Verdana" w:hAnsi="Verdana" w:eastAsia="Verdana" w:cs="Verdana"/>
          <w:color w:val="000000" w:themeColor="text1"/>
        </w:rPr>
        <w:t>. De acuerdo con lo anterior,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entidades estatales.</w:t>
      </w:r>
    </w:p>
    <w:p w:rsidRPr="00E02524" w:rsidR="0022400B" w:rsidP="734EF5D3" w:rsidRDefault="34654822" w14:paraId="04CF310B" w14:textId="77777777">
      <w:pPr>
        <w:spacing w:after="120" w:line="276" w:lineRule="auto"/>
        <w:ind w:firstLine="708"/>
        <w:jc w:val="both"/>
        <w:textAlignment w:val="baseline"/>
      </w:pPr>
      <w:r w:rsidRPr="734EF5D3">
        <w:rPr>
          <w:rFonts w:ascii="Verdana" w:hAnsi="Verdana" w:eastAsia="Verdana" w:cs="Verdana"/>
          <w:color w:val="000000" w:themeColor="text1"/>
        </w:rPr>
        <w:t xml:space="preserve">Si bien los contratos o convenios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de Ley 80 de 1993 celebrar esta clase de convenios con una entidad </w:t>
      </w:r>
      <w:r w:rsidRPr="734EF5D3">
        <w:rPr>
          <w:rFonts w:ascii="Verdana" w:hAnsi="Verdana" w:eastAsia="Verdana" w:cs="Verdana"/>
          <w:color w:val="000000" w:themeColor="text1"/>
        </w:rPr>
        <w:t>estatal de régimen especial y no por ello dejará de ser un contrato o convenio interadministrativo, caso en el cual su ejecución estará sometida a la Ley 80 de 1993.</w:t>
      </w:r>
    </w:p>
    <w:p w:rsidRPr="00E02524" w:rsidR="0022400B" w:rsidP="734EF5D3" w:rsidRDefault="34654822" w14:paraId="1B9935FC" w14:textId="77777777">
      <w:pPr>
        <w:spacing w:after="120" w:line="276" w:lineRule="auto"/>
        <w:ind w:firstLine="708"/>
        <w:jc w:val="both"/>
        <w:textAlignment w:val="baseline"/>
      </w:pPr>
      <w:r w:rsidRPr="734EF5D3">
        <w:rPr>
          <w:rFonts w:ascii="Verdana" w:hAnsi="Verdana" w:eastAsia="Verdana" w:cs="Verdana"/>
          <w:color w:val="000000" w:themeColor="text1"/>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734EF5D3" w:rsidR="00322A85">
        <w:rPr>
          <w:rFonts w:ascii="Verdana" w:hAnsi="Verdana" w:eastAsia="Verdana" w:cs="Verdana"/>
          <w:color w:val="000000" w:themeColor="text1"/>
          <w:sz w:val="18"/>
          <w:szCs w:val="18"/>
          <w:vertAlign w:val="superscript"/>
        </w:rPr>
        <w:footnoteReference w:id="9"/>
      </w:r>
      <w:r w:rsidRPr="734EF5D3">
        <w:rPr>
          <w:rFonts w:ascii="Verdana" w:hAnsi="Verdana" w:eastAsia="Verdana" w:cs="Verdana"/>
          <w:color w:val="000000" w:themeColor="text1"/>
        </w:rPr>
        <w:t>. Nótese que, en este caso, lo que cambia es la modalidad de selección y no la naturaleza de contrato interadministrativo.</w:t>
      </w:r>
    </w:p>
    <w:p w:rsidRPr="00E02524" w:rsidR="0022400B" w:rsidP="734EF5D3" w:rsidRDefault="34654822" w14:paraId="5FB8C6DB" w14:textId="77777777">
      <w:pPr>
        <w:spacing w:after="120" w:line="276" w:lineRule="auto"/>
        <w:ind w:firstLine="708"/>
        <w:jc w:val="both"/>
        <w:textAlignment w:val="baseline"/>
      </w:pPr>
      <w:r w:rsidRPr="734EF5D3">
        <w:rPr>
          <w:rFonts w:ascii="Verdana" w:hAnsi="Verdana" w:eastAsia="Verdana" w:cs="Verdana"/>
          <w:color w:val="000000" w:themeColor="text1"/>
        </w:rPr>
        <w:t>Además, es necesario tener en cuenta que para que un contrato o convenio interadministrativo exista debe cumplir con los siguientes elementos: acuerdo sobre el objeto y la contraprestación y que conste por escrito</w:t>
      </w:r>
      <w:r w:rsidRPr="734EF5D3" w:rsidR="00322A85">
        <w:rPr>
          <w:rFonts w:ascii="Verdana" w:hAnsi="Verdana" w:eastAsia="Verdana" w:cs="Verdana"/>
          <w:color w:val="000000" w:themeColor="text1"/>
          <w:sz w:val="18"/>
          <w:szCs w:val="18"/>
          <w:vertAlign w:val="superscript"/>
        </w:rPr>
        <w:footnoteReference w:id="10"/>
      </w:r>
      <w:r w:rsidRPr="734EF5D3" w:rsidR="3ED67D41">
        <w:rPr>
          <w:rFonts w:ascii="Verdana" w:hAnsi="Verdana" w:eastAsia="Verdana" w:cs="Verdana"/>
          <w:color w:val="000000" w:themeColor="text1"/>
        </w:rPr>
        <w:t>.</w:t>
      </w:r>
      <w:r w:rsidRPr="734EF5D3">
        <w:rPr>
          <w:rFonts w:ascii="Verdana" w:hAnsi="Verdana" w:eastAsia="Verdana" w:cs="Verdana"/>
          <w:color w:val="000000" w:themeColor="text1"/>
        </w:rPr>
        <w:t xml:space="preserve"> </w:t>
      </w:r>
      <w:r w:rsidRPr="00E238DF" w:rsidR="00AC2823">
        <w:rPr>
          <w:rFonts w:ascii="Verdana" w:hAnsi="Verdana" w:eastAsia="Verdana" w:cs="Verdana"/>
          <w:color w:val="000000" w:themeColor="text1"/>
        </w:rPr>
        <w:t>Entonces, si ambas partes son entidades estatales y se satisfacen los presupuestos previstos por el ordenamiento jurídico para esta modalidad contractual —entre ellos la relación entre el objeto del negocio y las competencias de la entidad ejecutora cuando ello resulte exigible— podrán celebrar contratos o convenios interadministrativos, puesto que esta tipología se caracteriza por la concurrencia de entidades estatales en ambos extremos de la relación jurídica</w:t>
      </w:r>
      <w:r w:rsidRPr="734EF5D3">
        <w:rPr>
          <w:rFonts w:ascii="Verdana" w:hAnsi="Verdana" w:eastAsia="Verdana" w:cs="Verdana"/>
          <w:color w:val="000000" w:themeColor="text1"/>
        </w:rPr>
        <w:t>.</w:t>
      </w:r>
    </w:p>
    <w:p w:rsidRPr="00E02524" w:rsidR="0022400B" w:rsidP="734EF5D3" w:rsidRDefault="34654822" w14:paraId="4EB1B63F" w14:textId="77777777">
      <w:pPr>
        <w:spacing w:after="120" w:line="276" w:lineRule="auto"/>
        <w:ind w:firstLine="708"/>
        <w:jc w:val="both"/>
        <w:textAlignment w:val="baseline"/>
      </w:pPr>
      <w:r w:rsidRPr="734EF5D3">
        <w:rPr>
          <w:rFonts w:ascii="Verdana" w:hAnsi="Verdana" w:eastAsia="Verdana" w:cs="Verdana"/>
          <w:color w:val="000000" w:themeColor="text1"/>
        </w:rPr>
        <w:t xml:space="preserve">La Corte Constitucional expresó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w:t>
      </w:r>
      <w:r w:rsidRPr="734EF5D3">
        <w:rPr>
          <w:rFonts w:ascii="Verdana" w:hAnsi="Verdana" w:eastAsia="Verdana" w:cs="Verdana"/>
          <w:color w:val="000000" w:themeColor="text1"/>
        </w:rPr>
        <w:t>cabe una interpretación diferente</w:t>
      </w:r>
      <w:r w:rsidRPr="734EF5D3" w:rsidR="00322A85">
        <w:rPr>
          <w:rFonts w:ascii="Verdana" w:hAnsi="Verdana" w:eastAsia="Verdana" w:cs="Verdana"/>
          <w:color w:val="000000" w:themeColor="text1"/>
          <w:sz w:val="18"/>
          <w:szCs w:val="18"/>
          <w:vertAlign w:val="superscript"/>
        </w:rPr>
        <w:footnoteReference w:id="11"/>
      </w:r>
      <w:r w:rsidRPr="734EF5D3">
        <w:rPr>
          <w:rFonts w:ascii="Verdana" w:hAnsi="Verdana" w:eastAsia="Verdana" w:cs="Verdana"/>
          <w:color w:val="000000" w:themeColor="text1"/>
        </w:rPr>
        <w:t xml:space="preserve">, pues, de acuerdo con lo anotado, esta clase de acuerdos de voluntades se definen por un criterio orgánico, por lo que uno de sus elementos esenciales es que en los extremos de la relación jurídico negocial concurran personas de derecho público. </w:t>
      </w:r>
    </w:p>
    <w:p w:rsidRPr="00E02524" w:rsidR="0022400B" w:rsidP="734EF5D3" w:rsidRDefault="34654822" w14:paraId="12A95DF0" w14:textId="77777777">
      <w:pPr>
        <w:spacing w:after="0" w:line="276" w:lineRule="auto"/>
        <w:ind w:firstLine="708"/>
        <w:jc w:val="both"/>
        <w:textAlignment w:val="baseline"/>
      </w:pPr>
      <w:r w:rsidRPr="734EF5D3">
        <w:rPr>
          <w:rFonts w:ascii="Verdana" w:hAnsi="Verdana" w:eastAsia="Verdana" w:cs="Verdana"/>
          <w:color w:val="000000" w:themeColor="text1"/>
        </w:rPr>
        <w:t xml:space="preserve">En el mismo sentido, el Consejo de Estado ha establecido que: </w:t>
      </w:r>
    </w:p>
    <w:p w:rsidRPr="00E02524" w:rsidR="0022400B" w:rsidP="734EF5D3" w:rsidRDefault="34654822" w14:paraId="06858BDE" w14:textId="77777777">
      <w:pPr>
        <w:spacing w:after="0" w:line="276" w:lineRule="auto"/>
        <w:ind w:firstLine="708"/>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4C5388A8" w14:textId="77777777">
      <w:pPr>
        <w:spacing w:after="0" w:line="240" w:lineRule="auto"/>
        <w:ind w:left="709" w:right="709"/>
        <w:jc w:val="both"/>
        <w:textAlignment w:val="baseline"/>
      </w:pPr>
      <w:r w:rsidRPr="734EF5D3">
        <w:rPr>
          <w:rFonts w:ascii="Verdana" w:hAnsi="Verdana" w:eastAsia="Verdana" w:cs="Verdana"/>
          <w:sz w:val="20"/>
          <w:szCs w:val="20"/>
        </w:rPr>
        <w:t>“(…) e. La noción contrato interadministrativo en manera alguna está supeditada a los procedimientos de selección empleados para su celebración, específicamente el de contratación directa, pues la naturaleza jurídica de tales contratos corresponde a la calidad pública de las partes contrayentes y los elementos analizados en precedencia, es decir, un acuerdo de voluntades celebrado entre dos entidades de carácter estatal, productor de efectos jurídicos en el marco de una relación jurídica patrimonial para el cumplimiento de los fines estatales, sin que para deducir esa naturaleza sea relevante el medio previsto por el legislador para seleccionar al contratista;</w:t>
      </w:r>
    </w:p>
    <w:p w:rsidRPr="00E02524" w:rsidR="0022400B" w:rsidP="734EF5D3" w:rsidRDefault="34654822" w14:paraId="3BAE7A09"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2F8C7F6A" w14:textId="77777777">
      <w:pPr>
        <w:spacing w:after="0" w:line="240" w:lineRule="auto"/>
        <w:ind w:left="709" w:right="709"/>
        <w:jc w:val="both"/>
        <w:textAlignment w:val="baseline"/>
      </w:pPr>
      <w:r w:rsidRPr="734EF5D3">
        <w:rPr>
          <w:rFonts w:ascii="Verdana" w:hAnsi="Verdana" w:eastAsia="Verdana" w:cs="Verdana"/>
          <w:sz w:val="20"/>
          <w:szCs w:val="20"/>
        </w:rPr>
        <w:t>f. Bajo la Ley 80 de 1993, la regla general es la libre competencia en un mercado que sería el de la contratación estatal por lo que quienes aspiren a ser colaboradores de la Administración como contratistas deben encontrarse en igualdad de condiciones; de allí que, si una entidad estatal voluntariamente participa en dicho mercado, no puede tener privilegios en razón de su calidad (…)”</w:t>
      </w:r>
      <w:r w:rsidRPr="734EF5D3" w:rsidR="00322A85">
        <w:rPr>
          <w:rFonts w:ascii="Verdana" w:hAnsi="Verdana" w:eastAsia="Verdana" w:cs="Verdana"/>
          <w:sz w:val="18"/>
          <w:szCs w:val="18"/>
          <w:vertAlign w:val="superscript"/>
        </w:rPr>
        <w:footnoteReference w:id="12"/>
      </w:r>
      <w:r w:rsidRPr="734EF5D3">
        <w:rPr>
          <w:rFonts w:ascii="Verdana" w:hAnsi="Verdana" w:eastAsia="Verdana" w:cs="Verdana"/>
          <w:sz w:val="20"/>
          <w:szCs w:val="20"/>
        </w:rPr>
        <w:t>.</w:t>
      </w:r>
    </w:p>
    <w:p w:rsidRPr="00E02524" w:rsidR="0022400B" w:rsidP="734EF5D3" w:rsidRDefault="34654822" w14:paraId="3C00DEAC" w14:textId="77777777">
      <w:pPr>
        <w:spacing w:after="0" w:line="276"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086B4C2C" w14:textId="77777777">
      <w:pPr>
        <w:spacing w:after="0" w:line="276" w:lineRule="auto"/>
        <w:ind w:firstLine="709"/>
        <w:jc w:val="both"/>
        <w:textAlignment w:val="baseline"/>
      </w:pPr>
      <w:r w:rsidRPr="734EF5D3">
        <w:rPr>
          <w:rFonts w:ascii="Verdana" w:hAnsi="Verdana" w:eastAsia="Verdana" w:cs="Verdana"/>
          <w:color w:val="000000" w:themeColor="text1"/>
          <w:lang w:val="es"/>
        </w:rPr>
        <w:t xml:space="preserve">En relación con la modalidad de selección aplicable a la celebración de contratos interadministrativos, la Ley 1150 de 2007 establece que las entidades estatales pueden suscribirlos de manera directa, siempre que las obligaciones derivadas de los mismos tengan relación con el objeto de la entidad ejecutora. Sin embargo, esa misma ley establece excepciones concretas a esta facultad, aplicable a los supuestos en que ciertas tipologías contractuales sean ejecutadas por alguna de las entidades estatales enlistadas en dicha restricción. De esta manera, el artículo 2, numeral 4, literal c), de la mencionada ley –modificado por el artículo 92 de la Ley 1474 de 2011–, estableció lo siguiente: </w:t>
      </w:r>
    </w:p>
    <w:p w:rsidRPr="00E02524" w:rsidR="0022400B" w:rsidP="734EF5D3" w:rsidRDefault="34654822" w14:paraId="1755E5BD"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555B4E83" w14:textId="77777777">
      <w:pPr>
        <w:spacing w:after="0" w:line="240" w:lineRule="auto"/>
        <w:ind w:left="709" w:right="709"/>
        <w:jc w:val="both"/>
        <w:textAlignment w:val="baseline"/>
      </w:pPr>
      <w:r w:rsidRPr="734EF5D3">
        <w:rPr>
          <w:rFonts w:ascii="Verdana" w:hAnsi="Verdana" w:eastAsia="Verdana" w:cs="Verdana"/>
          <w:sz w:val="20"/>
          <w:szCs w:val="20"/>
        </w:rPr>
        <w:t>“c) Contratos interadministrativos, siempre que las obligaciones derivadas del mismo tengan relación directa con el objeto de la entidad ejecutora señalado en la ley o en sus reglamentos.</w:t>
      </w:r>
      <w:r w:rsidRPr="734EF5D3">
        <w:rPr>
          <w:rFonts w:ascii="Verdana" w:hAnsi="Verdana" w:eastAsia="Verdana" w:cs="Verdana"/>
          <w:color w:val="FF0000"/>
          <w:sz w:val="20"/>
          <w:szCs w:val="20"/>
        </w:rPr>
        <w:t xml:space="preserve"> </w:t>
      </w:r>
    </w:p>
    <w:p w:rsidRPr="00E02524" w:rsidR="0022400B" w:rsidP="734EF5D3" w:rsidRDefault="34654822" w14:paraId="2ADFE30A"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6A15BC3D" w14:textId="77777777">
      <w:pPr>
        <w:spacing w:after="0" w:line="240" w:lineRule="auto"/>
        <w:ind w:left="709" w:right="709"/>
        <w:jc w:val="both"/>
        <w:textAlignment w:val="baseline"/>
      </w:pPr>
      <w:r w:rsidRPr="734EF5D3">
        <w:rPr>
          <w:rFonts w:ascii="Verdana" w:hAnsi="Verdana" w:eastAsia="Verdana" w:cs="Verdana"/>
          <w:sz w:val="20"/>
          <w:szCs w:val="20"/>
        </w:rPr>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rsidRPr="00E02524" w:rsidR="0022400B" w:rsidP="734EF5D3" w:rsidRDefault="34654822" w14:paraId="5EE3668C"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54E1E266" w14:textId="77777777">
      <w:pPr>
        <w:spacing w:after="0" w:line="240" w:lineRule="auto"/>
        <w:ind w:left="709" w:right="709"/>
        <w:jc w:val="both"/>
        <w:textAlignment w:val="baseline"/>
      </w:pPr>
      <w:r w:rsidRPr="734EF5D3">
        <w:rPr>
          <w:rFonts w:ascii="Verdana" w:hAnsi="Verdana" w:eastAsia="Verdana" w:cs="Verdana"/>
          <w:sz w:val="20"/>
          <w:szCs w:val="20"/>
        </w:rPr>
        <w:t xml:space="preserve">En aquellos eventos en que el régimen aplicable a la contratación de la entidad ejecutora no sea el de la Ley </w:t>
      </w:r>
      <w:hyperlink w:anchor="1" r:id="rId12">
        <w:r w:rsidRPr="734EF5D3">
          <w:rPr>
            <w:rStyle w:val="Hipervnculo"/>
          </w:rPr>
          <w:t>80</w:t>
        </w:r>
      </w:hyperlink>
      <w:r w:rsidRPr="734EF5D3">
        <w:rPr>
          <w:rFonts w:ascii="Verdana" w:hAnsi="Verdana" w:eastAsia="Verdana" w:cs="Verdana"/>
          <w:sz w:val="20"/>
          <w:szCs w:val="20"/>
        </w:rPr>
        <w:t xml:space="preserve"> 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w:t>
      </w:r>
    </w:p>
    <w:p w:rsidRPr="00E02524" w:rsidR="0022400B" w:rsidP="734EF5D3" w:rsidRDefault="34654822" w14:paraId="78B73F37"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29010ADB" w14:textId="77777777">
      <w:pPr>
        <w:spacing w:after="0" w:line="240" w:lineRule="auto"/>
        <w:ind w:left="709" w:right="709"/>
        <w:jc w:val="both"/>
        <w:textAlignment w:val="baseline"/>
      </w:pPr>
      <w:r w:rsidRPr="734EF5D3">
        <w:rPr>
          <w:rFonts w:ascii="Verdana" w:hAnsi="Verdana" w:eastAsia="Verdana" w:cs="Verdana"/>
          <w:sz w:val="20"/>
          <w:szCs w:val="20"/>
        </w:rPr>
        <w:t>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p w:rsidRPr="00E02524" w:rsidR="0022400B" w:rsidP="734EF5D3" w:rsidRDefault="34654822" w14:paraId="280A405D" w14:textId="77777777">
      <w:pPr>
        <w:spacing w:after="0" w:line="240" w:lineRule="auto"/>
        <w:ind w:left="709" w:right="709"/>
        <w:jc w:val="both"/>
        <w:textAlignment w:val="baseline"/>
      </w:pPr>
      <w:r w:rsidRPr="734EF5D3">
        <w:rPr>
          <w:rFonts w:ascii="Verdana" w:hAnsi="Verdana" w:eastAsia="Verdana" w:cs="Verdana"/>
          <w:sz w:val="20"/>
          <w:szCs w:val="20"/>
        </w:rPr>
        <w:t xml:space="preserve"> </w:t>
      </w:r>
    </w:p>
    <w:p w:rsidRPr="00E02524" w:rsidR="0022400B" w:rsidP="734EF5D3" w:rsidRDefault="34654822" w14:paraId="2C53EA3B" w14:textId="77777777">
      <w:pPr>
        <w:spacing w:after="0" w:line="240" w:lineRule="auto"/>
        <w:ind w:left="709" w:right="709"/>
        <w:jc w:val="both"/>
        <w:textAlignment w:val="baseline"/>
      </w:pPr>
      <w:r w:rsidRPr="734EF5D3">
        <w:rPr>
          <w:rFonts w:ascii="Verdana" w:hAnsi="Verdana" w:eastAsia="Verdana" w:cs="Verdana"/>
          <w:sz w:val="20"/>
          <w:szCs w:val="20"/>
        </w:rPr>
        <w:t>Estarán exceptuados de la figura del contrato interadministrativo, los contratos de seguro de las entidades estatales”.</w:t>
      </w:r>
    </w:p>
    <w:p w:rsidRPr="00E02524" w:rsidR="0022400B" w:rsidP="734EF5D3" w:rsidRDefault="34654822" w14:paraId="2A4DA6FC" w14:textId="77777777">
      <w:pPr>
        <w:spacing w:after="0" w:line="276" w:lineRule="auto"/>
        <w:ind w:right="709"/>
        <w:jc w:val="both"/>
        <w:textAlignment w:val="baseline"/>
      </w:pPr>
      <w:r w:rsidRPr="734EF5D3">
        <w:rPr>
          <w:rFonts w:ascii="Verdana" w:hAnsi="Verdana" w:eastAsia="Verdana" w:cs="Verdana"/>
          <w:color w:val="FF0000"/>
          <w:sz w:val="21"/>
          <w:szCs w:val="21"/>
        </w:rPr>
        <w:t xml:space="preserve"> </w:t>
      </w:r>
    </w:p>
    <w:p w:rsidRPr="00E02524" w:rsidR="0022400B" w:rsidP="734EF5D3" w:rsidRDefault="34654822" w14:paraId="000BEB51" w14:textId="77777777">
      <w:pPr>
        <w:spacing w:after="120" w:line="276" w:lineRule="auto"/>
        <w:ind w:firstLine="709"/>
        <w:jc w:val="both"/>
        <w:textAlignment w:val="baseline"/>
      </w:pPr>
      <w:r w:rsidRPr="734EF5D3">
        <w:rPr>
          <w:rFonts w:ascii="Verdana" w:hAnsi="Verdana" w:eastAsia="Verdana" w:cs="Verdana"/>
          <w:color w:val="000000" w:themeColor="text1"/>
        </w:rPr>
        <w:t xml:space="preserve">Según el inciso primero del literal trascrito, la suscripción de contratos interadministrativos de forma directa, conforme a dicha causal, está sujeta a que las obligaciones del negocio jurídico tengan relación directa con el objeto de la entidad ejecutora, establecido en la ley o en sus reglamentos. La condición impuesta por el legislador para la suscripción de estos contratos se establece a efectos de constatar que el ejecutante cuente con la capacidad jurídica para contraer las obligaciones establecidas en el contrato.    </w:t>
      </w:r>
    </w:p>
    <w:p w:rsidRPr="00E02524" w:rsidR="0022400B" w:rsidP="734EF5D3" w:rsidRDefault="34654822" w14:paraId="644F26C4" w14:textId="77777777">
      <w:pPr>
        <w:spacing w:before="120" w:after="120" w:line="276" w:lineRule="auto"/>
        <w:ind w:firstLine="709"/>
        <w:jc w:val="both"/>
        <w:textAlignment w:val="baseline"/>
      </w:pPr>
      <w:r w:rsidRPr="734EF5D3">
        <w:rPr>
          <w:rFonts w:ascii="Verdana" w:hAnsi="Verdana" w:eastAsia="Verdana" w:cs="Verdana"/>
          <w:color w:val="000000" w:themeColor="text1"/>
          <w:lang w:val="es"/>
        </w:rPr>
        <w:t xml:space="preserve">De otro lado, se encuentra que el inciso segundo establece una limitación a la contratación directa mediante la causal del literal c) –transcrito anteriormente– dirigido a los supuestos en que las “instituciones de educación </w:t>
      </w:r>
      <w:r w:rsidRPr="734EF5D3">
        <w:rPr>
          <w:rFonts w:ascii="Verdana" w:hAnsi="Verdana" w:eastAsia="Verdana" w:cs="Verdana"/>
          <w:color w:val="000000" w:themeColor="text1"/>
          <w:lang w:val="es"/>
        </w:rPr>
        <w:t>superior públicas o las Sociedades de Economía Mixta con participación mayoritaria del Estado, o las personas jurídicas sin ánimo de lucro conformadas por la asociación de entidades públicas, o las federaciones de entidades territoriales sean las ejecutoras”. De manera que, cuando dichas entidades sean las ejecutoras, no se pueden celebrar contratos interadministrativos de manera directa, utilizando la causal del literal c), tratándose de “contratos de obra, suministro, prestación de servicios de evaluación de conformidad respecto de las normas o reglamentos técnicos, encargos fiduciarios y fiducia pública”. En esos supuestos específicos deberán adelantarse procesos competitivos, de acuerdo con las demás modalidades de selección establecidas en el EGCAP, como es la licitación pública o selección abreviada, en los cuales dichas entidades podrían participar en igualdad de condiciones e, incluso, resultar adjudicatarias.</w:t>
      </w:r>
    </w:p>
    <w:p w:rsidRPr="00E02524" w:rsidR="0022400B" w:rsidP="734EF5D3" w:rsidRDefault="34654822" w14:paraId="4B8F0AB7" w14:textId="77777777">
      <w:pPr>
        <w:spacing w:after="120" w:line="276" w:lineRule="auto"/>
        <w:ind w:firstLine="708"/>
        <w:jc w:val="both"/>
        <w:textAlignment w:val="baseline"/>
      </w:pPr>
      <w:r w:rsidRPr="734EF5D3">
        <w:rPr>
          <w:rFonts w:ascii="Verdana" w:hAnsi="Verdana" w:eastAsia="Verdana" w:cs="Verdana"/>
          <w:color w:val="000000" w:themeColor="text1"/>
        </w:rPr>
        <w:t xml:space="preserve">Ahora bien, en relación al problema jurídico planteado es de precisar que las </w:t>
      </w:r>
      <w:r w:rsidRPr="734EF5D3">
        <w:rPr>
          <w:rFonts w:ascii="Verdana" w:hAnsi="Verdana" w:eastAsia="Verdana" w:cs="Verdana"/>
          <w:color w:val="000000" w:themeColor="text1"/>
          <w:lang w:val="es"/>
        </w:rPr>
        <w:t xml:space="preserve">entidades estatales sometidas al EGCAP usualmente cuentan con distintas potestades exorbitantes o excepcionales, con base en las cuales ejercen la dirección general del contrato y realizan las actividades propias de vigilancia y control. Entre dichas potestades se encuentran: </w:t>
      </w:r>
    </w:p>
    <w:p w:rsidRPr="00E02524" w:rsidR="0022400B" w:rsidP="734EF5D3" w:rsidRDefault="34654822" w14:paraId="499AE9F8" w14:textId="77777777">
      <w:pPr>
        <w:spacing w:after="120" w:line="276" w:lineRule="auto"/>
        <w:ind w:firstLine="709"/>
        <w:jc w:val="both"/>
        <w:textAlignment w:val="baseline"/>
      </w:pPr>
      <w:r w:rsidRPr="734EF5D3">
        <w:rPr>
          <w:rFonts w:ascii="Verdana" w:hAnsi="Verdana" w:eastAsia="Verdana" w:cs="Verdana"/>
          <w:color w:val="000000" w:themeColor="text1"/>
          <w:lang w:val="es"/>
        </w:rPr>
        <w:t xml:space="preserve">a) Las cláusulas excepcionales del </w:t>
      </w:r>
      <w:r w:rsidRPr="734EF5D3">
        <w:rPr>
          <w:rFonts w:ascii="Verdana" w:hAnsi="Verdana" w:eastAsia="Verdana" w:cs="Verdana"/>
          <w:i/>
          <w:iCs/>
          <w:color w:val="000000" w:themeColor="text1"/>
          <w:lang w:val="es"/>
        </w:rPr>
        <w:t>artículo 14</w:t>
      </w:r>
      <w:r w:rsidRPr="734EF5D3">
        <w:rPr>
          <w:rFonts w:ascii="Verdana" w:hAnsi="Verdana" w:eastAsia="Verdana" w:cs="Verdana"/>
          <w:color w:val="000000" w:themeColor="text1"/>
          <w:lang w:val="es"/>
        </w:rPr>
        <w:t xml:space="preserve"> de la Ley 80 de 1993, concepto que incluye la terminación unilateral, la interpretación unilateral, la modificación unilateral, la caducidad y la reversión. Dichas prerrogativas se desarrollan en los artículos 15 a 19 </w:t>
      </w:r>
      <w:r w:rsidRPr="734EF5D3">
        <w:rPr>
          <w:rFonts w:ascii="Verdana" w:hAnsi="Verdana" w:eastAsia="Verdana" w:cs="Verdana"/>
          <w:i/>
          <w:iCs/>
          <w:color w:val="000000" w:themeColor="text1"/>
          <w:lang w:val="es"/>
        </w:rPr>
        <w:t>ibidem</w:t>
      </w:r>
      <w:r w:rsidRPr="734EF5D3">
        <w:rPr>
          <w:rFonts w:ascii="Verdana" w:hAnsi="Verdana" w:eastAsia="Verdana" w:cs="Verdana"/>
          <w:color w:val="000000" w:themeColor="text1"/>
          <w:lang w:val="es"/>
        </w:rPr>
        <w:t xml:space="preserve">; </w:t>
      </w:r>
    </w:p>
    <w:p w:rsidRPr="00E02524" w:rsidR="0022400B" w:rsidP="734EF5D3" w:rsidRDefault="34654822" w14:paraId="570EA09D" w14:textId="77777777">
      <w:pPr>
        <w:spacing w:after="120" w:line="276" w:lineRule="auto"/>
        <w:ind w:firstLine="709"/>
        <w:jc w:val="both"/>
        <w:textAlignment w:val="baseline"/>
      </w:pPr>
      <w:r w:rsidRPr="734EF5D3">
        <w:rPr>
          <w:rFonts w:ascii="Verdana" w:hAnsi="Verdana" w:eastAsia="Verdana" w:cs="Verdana"/>
          <w:color w:val="000000" w:themeColor="text1"/>
          <w:lang w:val="es"/>
        </w:rPr>
        <w:t xml:space="preserve">b) Las cláusulas excepcionales de </w:t>
      </w:r>
      <w:r w:rsidRPr="734EF5D3">
        <w:rPr>
          <w:rFonts w:ascii="Verdana" w:hAnsi="Verdana" w:eastAsia="Verdana" w:cs="Verdana"/>
          <w:i/>
          <w:iCs/>
          <w:color w:val="000000" w:themeColor="text1"/>
          <w:lang w:val="es"/>
        </w:rPr>
        <w:t>imposición unilateral de las cláusulas penales y de multas</w:t>
      </w:r>
      <w:r w:rsidRPr="734EF5D3">
        <w:rPr>
          <w:rFonts w:ascii="Verdana" w:hAnsi="Verdana" w:eastAsia="Verdana" w:cs="Verdana"/>
          <w:color w:val="000000" w:themeColor="text1"/>
          <w:lang w:val="es"/>
        </w:rPr>
        <w:t xml:space="preserve">, según lo establecido en el artículo 17 de la Ley 1150 de 2007. En este caso su exorbitancia se refiere a la facultad de imposición unilateral, no a su pacto, que es posible en virtud de las normas civiles y comerciales; </w:t>
      </w:r>
    </w:p>
    <w:p w:rsidRPr="00E02524" w:rsidR="0022400B" w:rsidP="734EF5D3" w:rsidRDefault="34654822" w14:paraId="673498D9" w14:textId="77777777">
      <w:pPr>
        <w:spacing w:after="120" w:line="276" w:lineRule="auto"/>
        <w:ind w:firstLine="709"/>
        <w:jc w:val="both"/>
        <w:textAlignment w:val="baseline"/>
      </w:pPr>
      <w:r w:rsidRPr="734EF5D3">
        <w:rPr>
          <w:rFonts w:ascii="Verdana" w:hAnsi="Verdana" w:eastAsia="Verdana" w:cs="Verdana"/>
          <w:color w:val="000000" w:themeColor="text1"/>
          <w:lang w:val="es"/>
        </w:rPr>
        <w:t xml:space="preserve">c) Las potestades establecidas en otras disposiciones como la liquidación unilateral y la </w:t>
      </w:r>
      <w:r w:rsidRPr="734EF5D3">
        <w:rPr>
          <w:rFonts w:ascii="Verdana" w:hAnsi="Verdana" w:eastAsia="Verdana" w:cs="Verdana"/>
          <w:i/>
          <w:iCs/>
          <w:color w:val="000000" w:themeColor="text1"/>
          <w:lang w:val="es"/>
        </w:rPr>
        <w:t>declaratoria unilateral del siniestro</w:t>
      </w:r>
      <w:r w:rsidRPr="734EF5D3">
        <w:rPr>
          <w:rFonts w:ascii="Verdana" w:hAnsi="Verdana" w:eastAsia="Verdana" w:cs="Verdana"/>
          <w:color w:val="000000" w:themeColor="text1"/>
          <w:lang w:val="es"/>
        </w:rPr>
        <w:t xml:space="preserve"> –artículos 7 y 11 de la Ley 1150 de 2007–.</w:t>
      </w:r>
    </w:p>
    <w:p w:rsidRPr="00E02524" w:rsidR="0022400B" w:rsidP="734EF5D3" w:rsidRDefault="34654822" w14:paraId="67D8B9A9" w14:textId="77777777">
      <w:pPr>
        <w:spacing w:after="120" w:line="276" w:lineRule="auto"/>
        <w:ind w:firstLine="709"/>
        <w:jc w:val="both"/>
        <w:textAlignment w:val="baseline"/>
      </w:pPr>
      <w:r w:rsidRPr="734EF5D3">
        <w:rPr>
          <w:rFonts w:ascii="Verdana" w:hAnsi="Verdana" w:eastAsia="Verdana" w:cs="Verdana"/>
          <w:color w:val="000000" w:themeColor="text1"/>
          <w:lang w:val="es"/>
        </w:rPr>
        <w:t xml:space="preserve">Las primeras, esto es, las cláusulas excepcionales del artículo 14 de la Ley 80 de 1993, son estipulaciones virtuales y obligatorias en los contratos de concesión, obra, prestación de servicios públicos, aquellos que tengan por objeto el ejercicio de una actividad que constituya monopolio estatal y los relacionados con el programa de alimentación escolar –según lo dispuso la modificación del </w:t>
      </w:r>
      <w:r w:rsidRPr="734EF5D3">
        <w:rPr>
          <w:rFonts w:ascii="Verdana" w:hAnsi="Verdana" w:eastAsia="Verdana" w:cs="Verdana"/>
          <w:color w:val="000000" w:themeColor="text1"/>
          <w:lang w:val="es"/>
        </w:rPr>
        <w:t>artículo 52 de la Ley 2195 de 2022–. En tales contratos, sin importar si se incorporaron o no dentro de estos, las cláusulas excepcionales se entienden incluidas por el ministerio de la ley, como lo dispone el artículo 14 de la Ley 80 de 1993.</w:t>
      </w:r>
    </w:p>
    <w:p w:rsidRPr="00E02524" w:rsidR="0022400B" w:rsidP="734EF5D3" w:rsidRDefault="34654822" w14:paraId="005779C4" w14:textId="77777777">
      <w:pPr>
        <w:spacing w:before="120" w:after="120" w:line="276" w:lineRule="auto"/>
        <w:ind w:firstLine="709"/>
        <w:jc w:val="both"/>
        <w:textAlignment w:val="baseline"/>
      </w:pPr>
      <w:r w:rsidRPr="734EF5D3">
        <w:rPr>
          <w:rFonts w:ascii="Verdana" w:hAnsi="Verdana" w:eastAsia="Verdana" w:cs="Verdana"/>
          <w:color w:val="000000" w:themeColor="text1"/>
          <w:lang w:val="es-ES"/>
        </w:rPr>
        <w:t>Así mismo, la Administración cuenta con la facultad exorbitante de declarar unilateralmente el siniestro, imponer multas y hacer exigible la cláusula penal. El ejercicio de estas potestades se materializa mediante la expedición de un acto administrativo, producto del procedimiento establecido en el artículo 86 de la Ley 1474 de 2011, el cual establece sus reglas con el fin de asegurar el cumplimiento de los derechos y garantías derivadas del debido proceso en materia sancionatoria contractual. De conformidad con esta disposición, las “entidades sometidas al Estatuto General de Contratación de la Administración Pública podrán declarar el incumplimiento, cuantificando los perjuicios del mismo, imponer las multas y sanciones pactadas en el contrato, y hacer efectiva la cláusula penal</w:t>
      </w:r>
      <w:r w:rsidRPr="734EF5D3">
        <w:rPr>
          <w:rFonts w:ascii="Verdana" w:hAnsi="Verdana" w:eastAsia="Verdana" w:cs="Verdana"/>
          <w:i/>
          <w:iCs/>
          <w:color w:val="000000" w:themeColor="text1"/>
          <w:lang w:val="es-ES"/>
        </w:rPr>
        <w:t xml:space="preserve"> </w:t>
      </w:r>
      <w:r w:rsidRPr="734EF5D3">
        <w:rPr>
          <w:rFonts w:ascii="Verdana" w:hAnsi="Verdana" w:eastAsia="Verdana" w:cs="Verdana"/>
          <w:color w:val="000000" w:themeColor="text1"/>
          <w:lang w:val="es-ES"/>
        </w:rPr>
        <w:t xml:space="preserve">[…]”. </w:t>
      </w:r>
    </w:p>
    <w:p w:rsidRPr="00E02524" w:rsidR="0022400B" w:rsidP="734EF5D3" w:rsidRDefault="34654822" w14:paraId="36E700DC" w14:textId="77777777">
      <w:pPr>
        <w:spacing w:before="120" w:after="120" w:line="276" w:lineRule="auto"/>
        <w:ind w:firstLine="709"/>
        <w:jc w:val="both"/>
        <w:textAlignment w:val="baseline"/>
      </w:pPr>
      <w:r w:rsidRPr="734EF5D3">
        <w:rPr>
          <w:rFonts w:ascii="Verdana" w:hAnsi="Verdana" w:eastAsia="Verdana" w:cs="Verdana"/>
          <w:color w:val="000000" w:themeColor="text1"/>
          <w:lang w:val="es"/>
        </w:rPr>
        <w:t>Las potestades exorbitantes del segundo grupo –imposición unilateral de la multa o la cláusula penal– son el resultado de una particular combinación entre el principio de legalidad y la autonomía de la voluntad, de tal suerte que,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734EF5D3" w:rsidR="00322A85">
        <w:rPr>
          <w:rFonts w:ascii="Verdana" w:hAnsi="Verdana" w:eastAsia="Verdana" w:cs="Verdana"/>
          <w:color w:val="000000" w:themeColor="text1"/>
          <w:sz w:val="18"/>
          <w:szCs w:val="18"/>
          <w:vertAlign w:val="superscript"/>
          <w:lang w:val="es"/>
        </w:rPr>
        <w:footnoteReference w:id="13"/>
      </w:r>
      <w:r w:rsidRPr="734EF5D3">
        <w:rPr>
          <w:rFonts w:ascii="Verdana" w:hAnsi="Verdana" w:eastAsia="Verdana" w:cs="Verdana"/>
          <w:color w:val="000000" w:themeColor="text1"/>
          <w:lang w:val="es"/>
        </w:rPr>
        <w:t>. No obstante, cumplido el requisito del pacto en el contrato, las entidades estatales sometidas al EGCAP –Leyes 80 de 1993 y 1150 de 2007, y sus modificaciones–, por ministerio de la ley –artículo 17 de la Ley 1150 de 2007– se entienden investidas de la prerrogativa de imposición unilateral. Se reitera que la exorbitancia de las dos cláusulas transcritas –cláusula penal y multas– se refiere a su imposición unilateral, no a su pacto. Esto último en la medida en que dichas cláusulas son posibles y pueden pactarse en virtud de la autonomía de la voluntad y a la regulación de las normas civiles y comerciales.</w:t>
      </w:r>
    </w:p>
    <w:p w:rsidRPr="00E02524" w:rsidR="0022400B" w:rsidP="734EF5D3" w:rsidRDefault="34654822" w14:paraId="5718DBA7" w14:textId="77777777">
      <w:pPr>
        <w:spacing w:before="120" w:after="0" w:line="276" w:lineRule="auto"/>
        <w:ind w:firstLine="709"/>
        <w:jc w:val="both"/>
        <w:textAlignment w:val="baseline"/>
      </w:pPr>
      <w:r w:rsidRPr="734EF5D3">
        <w:rPr>
          <w:rFonts w:ascii="Verdana" w:hAnsi="Verdana" w:eastAsia="Verdana" w:cs="Verdana"/>
          <w:color w:val="000000" w:themeColor="text1"/>
          <w:lang w:val="es"/>
        </w:rPr>
        <w:t xml:space="preserve">Ahora bien, el parágrafo del artículo 14 de la Ley 80 de 1993 consagra lo siguiente: </w:t>
      </w:r>
    </w:p>
    <w:p w:rsidRPr="00E02524" w:rsidR="0022400B" w:rsidP="734EF5D3" w:rsidRDefault="34654822" w14:paraId="6FAF74D3" w14:textId="77777777">
      <w:pPr>
        <w:spacing w:after="0" w:line="240" w:lineRule="auto"/>
        <w:ind w:left="851" w:right="760"/>
        <w:jc w:val="both"/>
        <w:textAlignment w:val="baseline"/>
      </w:pPr>
      <w:r w:rsidRPr="734EF5D3">
        <w:rPr>
          <w:rFonts w:ascii="Verdana" w:hAnsi="Verdana" w:eastAsia="Verdana" w:cs="Verdana"/>
          <w:b/>
          <w:bCs/>
          <w:color w:val="000000" w:themeColor="text1"/>
          <w:sz w:val="20"/>
          <w:szCs w:val="20"/>
        </w:rPr>
        <w:t xml:space="preserve"> </w:t>
      </w:r>
    </w:p>
    <w:p w:rsidRPr="00E02524" w:rsidR="0022400B" w:rsidP="734EF5D3" w:rsidRDefault="34654822" w14:paraId="3921B6B8" w14:textId="77777777">
      <w:pPr>
        <w:spacing w:after="0" w:line="240" w:lineRule="auto"/>
        <w:ind w:left="709" w:right="709"/>
        <w:jc w:val="both"/>
        <w:textAlignment w:val="baseline"/>
      </w:pPr>
      <w:r w:rsidRPr="734EF5D3">
        <w:rPr>
          <w:rFonts w:ascii="Verdana" w:hAnsi="Verdana" w:eastAsia="Verdana" w:cs="Verdana"/>
          <w:b/>
          <w:bCs/>
          <w:color w:val="000000" w:themeColor="text1"/>
          <w:sz w:val="20"/>
          <w:szCs w:val="20"/>
        </w:rPr>
        <w:t xml:space="preserve">PARÁGRAFO. </w:t>
      </w:r>
      <w:r w:rsidRPr="734EF5D3">
        <w:rPr>
          <w:rFonts w:ascii="Verdana" w:hAnsi="Verdana" w:eastAsia="Verdana" w:cs="Verdana"/>
          <w:color w:val="000000" w:themeColor="text1"/>
          <w:sz w:val="20"/>
          <w:szCs w:val="20"/>
        </w:rPr>
        <w:t xml:space="preserve">En los contratos que se celebren con personas públicas internacionales, o de cooperación, ayuda o asistencia; </w:t>
      </w:r>
      <w:r w:rsidRPr="734EF5D3">
        <w:rPr>
          <w:rFonts w:ascii="Verdana" w:hAnsi="Verdana" w:eastAsia="Verdana" w:cs="Verdana"/>
          <w:b/>
          <w:bCs/>
          <w:color w:val="000000" w:themeColor="text1"/>
          <w:sz w:val="20"/>
          <w:szCs w:val="20"/>
        </w:rPr>
        <w:t>en los interadministrativos</w:t>
      </w:r>
      <w:r w:rsidRPr="734EF5D3">
        <w:rPr>
          <w:rFonts w:ascii="Verdana" w:hAnsi="Verdana" w:eastAsia="Verdana" w:cs="Verdana"/>
          <w:color w:val="000000" w:themeColor="text1"/>
          <w:sz w:val="20"/>
          <w:szCs w:val="20"/>
        </w:rPr>
        <w:t xml:space="preserve">; en los de empréstito, donación y arrendamiento y en los contratos que tengan por objeto actividades comerciales o industriales de las entidades estatales que no correspondan a las señaladas en el numeral 2o. de este artículo, o que tengan por objeto el desarrollo directo de actividades científicas o tecnológicas, así como en los contratos de seguro tomados por las entidades estatales, </w:t>
      </w:r>
      <w:r w:rsidRPr="734EF5D3">
        <w:rPr>
          <w:rFonts w:ascii="Verdana" w:hAnsi="Verdana" w:eastAsia="Verdana" w:cs="Verdana"/>
          <w:b/>
          <w:bCs/>
          <w:color w:val="000000" w:themeColor="text1"/>
          <w:sz w:val="20"/>
          <w:szCs w:val="20"/>
        </w:rPr>
        <w:t>se prescindirá de la utilización de las cláusulas o estipulaciones excepcionales.</w:t>
      </w:r>
      <w:r w:rsidRPr="734EF5D3">
        <w:rPr>
          <w:rFonts w:ascii="Verdana" w:hAnsi="Verdana" w:eastAsia="Verdana" w:cs="Verdana"/>
          <w:color w:val="000000" w:themeColor="text1"/>
          <w:sz w:val="20"/>
          <w:szCs w:val="20"/>
        </w:rPr>
        <w:t xml:space="preserve"> (Resaltado fuera de texto)</w:t>
      </w:r>
    </w:p>
    <w:p w:rsidRPr="00E02524" w:rsidR="0022400B" w:rsidP="734EF5D3" w:rsidRDefault="34654822" w14:paraId="5D6B7241" w14:textId="77777777">
      <w:pPr>
        <w:spacing w:after="0" w:line="240" w:lineRule="auto"/>
        <w:ind w:left="709" w:right="709"/>
        <w:jc w:val="both"/>
        <w:textAlignment w:val="baseline"/>
      </w:pPr>
      <w:r w:rsidRPr="734EF5D3">
        <w:rPr>
          <w:rFonts w:ascii="Verdana" w:hAnsi="Verdana" w:eastAsia="Verdana" w:cs="Verdana"/>
          <w:color w:val="000000" w:themeColor="text1"/>
          <w:sz w:val="20"/>
          <w:szCs w:val="20"/>
          <w:lang w:val="es"/>
        </w:rPr>
        <w:t xml:space="preserve"> </w:t>
      </w:r>
    </w:p>
    <w:p w:rsidRPr="00E02524" w:rsidR="0022400B" w:rsidP="734EF5D3" w:rsidRDefault="34654822" w14:paraId="7E0B1767" w14:textId="77777777">
      <w:pPr>
        <w:spacing w:after="120" w:line="276" w:lineRule="auto"/>
        <w:ind w:firstLine="709"/>
        <w:jc w:val="both"/>
        <w:textAlignment w:val="baseline"/>
      </w:pPr>
      <w:r w:rsidRPr="734EF5D3">
        <w:rPr>
          <w:rFonts w:ascii="Verdana" w:hAnsi="Verdana" w:eastAsia="Verdana" w:cs="Verdana"/>
          <w:color w:val="000000" w:themeColor="text1"/>
          <w:lang w:val="es"/>
        </w:rPr>
        <w:t>Lo anterior implica que en los contratos interadministrativos se deberá prescindir de la inclusión de las cláusulas excepcionales, de tal manera que se considerarán ineficaces de pleno derecho si son incluidas</w:t>
      </w:r>
      <w:r w:rsidRPr="734EF5D3" w:rsidR="00322A85">
        <w:rPr>
          <w:rFonts w:ascii="Verdana" w:hAnsi="Verdana" w:eastAsia="Verdana" w:cs="Verdana"/>
          <w:color w:val="000000" w:themeColor="text1"/>
          <w:sz w:val="18"/>
          <w:szCs w:val="18"/>
          <w:vertAlign w:val="superscript"/>
          <w:lang w:val="es"/>
        </w:rPr>
        <w:footnoteReference w:id="14"/>
      </w:r>
      <w:r w:rsidRPr="734EF5D3">
        <w:rPr>
          <w:rFonts w:ascii="Verdana" w:hAnsi="Verdana" w:eastAsia="Verdana" w:cs="Verdana"/>
          <w:color w:val="000000" w:themeColor="text1"/>
          <w:lang w:val="es"/>
        </w:rPr>
        <w:t xml:space="preserve">. </w:t>
      </w:r>
    </w:p>
    <w:p w:rsidRPr="00E02524" w:rsidR="0022400B" w:rsidP="734EF5D3" w:rsidRDefault="34654822" w14:paraId="0A8DCAEC" w14:textId="77777777">
      <w:pPr>
        <w:spacing w:after="120" w:line="276" w:lineRule="auto"/>
        <w:ind w:firstLine="709"/>
        <w:jc w:val="both"/>
        <w:textAlignment w:val="baseline"/>
      </w:pPr>
      <w:r w:rsidRPr="734EF5D3">
        <w:rPr>
          <w:rFonts w:ascii="Verdana" w:hAnsi="Verdana" w:eastAsia="Verdana" w:cs="Verdana"/>
          <w:color w:val="000000" w:themeColor="text1"/>
          <w:lang w:val="es"/>
        </w:rPr>
        <w:t xml:space="preserve">Para mayor claridad, el Consejo de Estado ha sostenido que </w:t>
      </w:r>
      <w:r w:rsidRPr="734EF5D3">
        <w:rPr>
          <w:rFonts w:ascii="Verdana" w:hAnsi="Verdana" w:eastAsia="Verdana" w:cs="Verdana"/>
          <w:color w:val="000000" w:themeColor="text1"/>
        </w:rPr>
        <w:t>“el artículo 14 de la Ley 80 de 1993 es taxativo, por lo que solo son poderes excepcionales (i) la terminación unilateral, (</w:t>
      </w:r>
      <w:proofErr w:type="spellStart"/>
      <w:r w:rsidRPr="734EF5D3">
        <w:rPr>
          <w:rFonts w:ascii="Verdana" w:hAnsi="Verdana" w:eastAsia="Verdana" w:cs="Verdana"/>
          <w:color w:val="000000" w:themeColor="text1"/>
        </w:rPr>
        <w:t>ii</w:t>
      </w:r>
      <w:proofErr w:type="spellEnd"/>
      <w:r w:rsidRPr="734EF5D3">
        <w:rPr>
          <w:rFonts w:ascii="Verdana" w:hAnsi="Verdana" w:eastAsia="Verdana" w:cs="Verdana"/>
          <w:color w:val="000000" w:themeColor="text1"/>
        </w:rPr>
        <w:t>) la interpretación unilateral, (</w:t>
      </w:r>
      <w:proofErr w:type="spellStart"/>
      <w:r w:rsidRPr="734EF5D3">
        <w:rPr>
          <w:rFonts w:ascii="Verdana" w:hAnsi="Verdana" w:eastAsia="Verdana" w:cs="Verdana"/>
          <w:color w:val="000000" w:themeColor="text1"/>
        </w:rPr>
        <w:t>iii</w:t>
      </w:r>
      <w:proofErr w:type="spellEnd"/>
      <w:r w:rsidRPr="734EF5D3">
        <w:rPr>
          <w:rFonts w:ascii="Verdana" w:hAnsi="Verdana" w:eastAsia="Verdana" w:cs="Verdana"/>
          <w:color w:val="000000" w:themeColor="text1"/>
        </w:rPr>
        <w:t>) la modificación unilateral, (</w:t>
      </w:r>
      <w:proofErr w:type="spellStart"/>
      <w:r w:rsidRPr="734EF5D3">
        <w:rPr>
          <w:rFonts w:ascii="Verdana" w:hAnsi="Verdana" w:eastAsia="Verdana" w:cs="Verdana"/>
          <w:color w:val="000000" w:themeColor="text1"/>
        </w:rPr>
        <w:t>iv</w:t>
      </w:r>
      <w:proofErr w:type="spellEnd"/>
      <w:r w:rsidRPr="734EF5D3">
        <w:rPr>
          <w:rFonts w:ascii="Verdana" w:hAnsi="Verdana" w:eastAsia="Verdana" w:cs="Verdana"/>
          <w:color w:val="000000" w:themeColor="text1"/>
        </w:rPr>
        <w:t>) el sometimiento a las leyes nacionales, (v) la caducidad y (vi) la reversión. De esta forma, cualquier otra unilateralidad, como la liquidación unilateral o la imposición de multas y la declaratoria de incumplimiento, no constituirá un poder excepcional al derecho común</w:t>
      </w:r>
      <w:r w:rsidRPr="734EF5D3" w:rsidR="00322A85">
        <w:rPr>
          <w:rFonts w:ascii="Verdana" w:hAnsi="Verdana" w:eastAsia="Verdana" w:cs="Verdana"/>
          <w:color w:val="000000" w:themeColor="text1"/>
          <w:sz w:val="18"/>
          <w:szCs w:val="18"/>
          <w:vertAlign w:val="superscript"/>
        </w:rPr>
        <w:footnoteReference w:id="15"/>
      </w:r>
      <w:r w:rsidRPr="734EF5D3">
        <w:rPr>
          <w:rFonts w:ascii="Verdana" w:hAnsi="Verdana" w:eastAsia="Verdana" w:cs="Verdana"/>
          <w:color w:val="000000" w:themeColor="text1"/>
        </w:rPr>
        <w:t>.</w:t>
      </w:r>
    </w:p>
    <w:p w:rsidRPr="00E02524" w:rsidR="0022400B" w:rsidP="734EF5D3" w:rsidRDefault="34654822" w14:paraId="7CAE86FD" w14:textId="77777777">
      <w:pPr>
        <w:spacing w:before="120" w:after="120" w:line="276" w:lineRule="auto"/>
        <w:ind w:firstLine="709"/>
        <w:jc w:val="both"/>
        <w:textAlignment w:val="baseline"/>
      </w:pPr>
      <w:r w:rsidRPr="734EF5D3">
        <w:rPr>
          <w:rFonts w:ascii="Verdana" w:hAnsi="Verdana" w:eastAsia="Verdana" w:cs="Verdana"/>
          <w:color w:val="000000" w:themeColor="text1"/>
          <w:lang w:val="es"/>
        </w:rPr>
        <w:t>La doctrina ha expuesto una posición distinta. El profesor Jorge Santos</w:t>
      </w:r>
      <w:r w:rsidRPr="734EF5D3" w:rsidR="00322A85">
        <w:rPr>
          <w:rFonts w:ascii="Verdana" w:hAnsi="Verdana" w:eastAsia="Verdana" w:cs="Verdana"/>
          <w:color w:val="000000" w:themeColor="text1"/>
          <w:sz w:val="18"/>
          <w:szCs w:val="18"/>
          <w:vertAlign w:val="superscript"/>
          <w:lang w:val="es"/>
        </w:rPr>
        <w:footnoteReference w:id="16"/>
      </w:r>
      <w:r w:rsidRPr="734EF5D3">
        <w:rPr>
          <w:rFonts w:ascii="Verdana" w:hAnsi="Verdana" w:eastAsia="Verdana" w:cs="Verdana"/>
          <w:color w:val="000000" w:themeColor="text1"/>
          <w:lang w:val="es"/>
        </w:rPr>
        <w:t xml:space="preserve"> presenta un interrogante según el cual la norma antes transcrita no hace una distinción alguna entre convenio o contrato, lo cual se concluiría que cobija tanto al convenio como al contrato interadministrativo. Sin embargo, si se analiza el objeto del contrato podría existir una matización de la lectura del parágrafo al sostener que solo se excluye de la aplicación de las potestades excepcionales al convenio interadministrativo por cuanto “</w:t>
      </w:r>
      <w:r w:rsidRPr="734EF5D3">
        <w:rPr>
          <w:rFonts w:ascii="Verdana" w:hAnsi="Verdana" w:eastAsia="Verdana" w:cs="Verdana"/>
          <w:color w:val="000000" w:themeColor="text1"/>
        </w:rPr>
        <w:t xml:space="preserve">como lo señala </w:t>
      </w:r>
      <w:proofErr w:type="spellStart"/>
      <w:r w:rsidRPr="734EF5D3">
        <w:rPr>
          <w:rFonts w:ascii="Verdana" w:hAnsi="Verdana" w:eastAsia="Verdana" w:cs="Verdana"/>
          <w:color w:val="000000" w:themeColor="text1"/>
        </w:rPr>
        <w:t>Berçaitz</w:t>
      </w:r>
      <w:proofErr w:type="spellEnd"/>
      <w:r w:rsidRPr="734EF5D3">
        <w:rPr>
          <w:rFonts w:ascii="Verdana" w:hAnsi="Verdana" w:eastAsia="Verdana" w:cs="Verdana"/>
          <w:color w:val="000000" w:themeColor="text1"/>
        </w:rPr>
        <w:t xml:space="preserve">, “en los contratos administrativos la subordinación no se produce entre personas sino entre el fin que motiva a cada persona a celebrar el contrato, de tal manera que </w:t>
      </w:r>
      <w:r w:rsidRPr="734EF5D3">
        <w:rPr>
          <w:rFonts w:ascii="Verdana" w:hAnsi="Verdana" w:eastAsia="Verdana" w:cs="Verdana"/>
          <w:color w:val="000000" w:themeColor="text1"/>
        </w:rPr>
        <w:t>si son dispares, el fin del lucro se encuentra subordinado al interés general que se piensa satisfacer con la celebración del contrato”.</w:t>
      </w:r>
    </w:p>
    <w:p w:rsidRPr="00E02524" w:rsidR="0022400B" w:rsidP="734EF5D3" w:rsidRDefault="34654822" w14:paraId="4E7D8E25" w14:textId="77777777">
      <w:pPr>
        <w:spacing w:before="120" w:after="120" w:line="276" w:lineRule="auto"/>
        <w:ind w:firstLine="709"/>
        <w:jc w:val="both"/>
        <w:textAlignment w:val="baseline"/>
      </w:pPr>
      <w:r w:rsidRPr="734EF5D3">
        <w:rPr>
          <w:rFonts w:ascii="Verdana" w:hAnsi="Verdana" w:eastAsia="Verdana" w:cs="Verdana"/>
          <w:color w:val="000000" w:themeColor="text1"/>
        </w:rPr>
        <w:t>De esta manera, concluye el doctor Santos Rodríguez “la prohibición de las cláusulas excepcionales en los contratos y convenios interadministrativos sólo se refiere a la terminación, interpretación y modificación unilaterales, así como a la caducidad administrativa, y no se extiende a otros poderes unilaterales como la liquidación unilateral, por lo cual no estamos de acuerdo con la posición esgrimida por la jurisprudencia administrativa al respecto”</w:t>
      </w:r>
      <w:r w:rsidRPr="734EF5D3" w:rsidR="00322A85">
        <w:rPr>
          <w:rFonts w:ascii="Verdana" w:hAnsi="Verdana" w:eastAsia="Verdana" w:cs="Verdana"/>
          <w:color w:val="000000" w:themeColor="text1"/>
          <w:sz w:val="18"/>
          <w:szCs w:val="18"/>
          <w:vertAlign w:val="superscript"/>
        </w:rPr>
        <w:footnoteReference w:id="17"/>
      </w:r>
      <w:r w:rsidRPr="734EF5D3">
        <w:rPr>
          <w:rFonts w:ascii="Verdana" w:hAnsi="Verdana" w:eastAsia="Verdana" w:cs="Verdana"/>
          <w:color w:val="000000" w:themeColor="text1"/>
        </w:rPr>
        <w:t xml:space="preserve">. </w:t>
      </w:r>
    </w:p>
    <w:p w:rsidRPr="00B17AC9" w:rsidR="00AC2823" w:rsidP="00AC2823" w:rsidRDefault="00AC2823" w14:paraId="41C3138F" w14:textId="77777777">
      <w:pPr>
        <w:spacing w:after="120" w:line="276" w:lineRule="auto"/>
        <w:jc w:val="both"/>
        <w:rPr>
          <w:rFonts w:ascii="Verdana" w:hAnsi="Verdana"/>
        </w:rPr>
      </w:pPr>
      <w:r>
        <w:rPr>
          <w:rFonts w:ascii="Verdana" w:hAnsi="Verdana"/>
        </w:rPr>
        <w:t xml:space="preserve">         En conclusión</w:t>
      </w:r>
      <w:r w:rsidRPr="00B17AC9">
        <w:rPr>
          <w:rFonts w:ascii="Verdana" w:hAnsi="Verdana"/>
        </w:rPr>
        <w:t>, el artículo 14 de la Ley 80 de 1993 regula las cláusulas excepcionales al derecho común y dispone, en su numeral 2, que estas son obligatorias en los contratos de concesión, en los contratos de obra, en aquellos cuyo objeto sea la prestación de servicios públicos, en los relacionados con actividades que constituyan monopolio estatal y en los demás eventos previstos por la ley. En estos casos, las cláusulas excepcionales se entienden incorporadas al contrato por ministerio de la ley.</w:t>
      </w:r>
    </w:p>
    <w:p w:rsidRPr="00B17AC9" w:rsidR="00AC2823" w:rsidP="00AC2823" w:rsidRDefault="00AC2823" w14:paraId="73D220EC" w14:textId="77777777">
      <w:pPr>
        <w:spacing w:after="120" w:line="276" w:lineRule="auto"/>
        <w:jc w:val="both"/>
        <w:rPr>
          <w:rFonts w:ascii="Verdana" w:hAnsi="Verdana"/>
        </w:rPr>
      </w:pPr>
      <w:r>
        <w:rPr>
          <w:rFonts w:ascii="Verdana" w:hAnsi="Verdana"/>
        </w:rPr>
        <w:t xml:space="preserve">         </w:t>
      </w:r>
      <w:r w:rsidRPr="00B17AC9">
        <w:rPr>
          <w:rFonts w:ascii="Verdana" w:hAnsi="Verdana"/>
        </w:rPr>
        <w:t>Sin embargo, el parágrafo del mismo artículo establece expresamente que en los contratos interadministrativos deberá prescindirse de la utilización de cláusulas o estipulaciones excepcionales. Esta disposición constituye una regla especial que limita la aplicación de las facultades excepcionales en esta modalidad contractual.</w:t>
      </w:r>
    </w:p>
    <w:p w:rsidRPr="00B17AC9" w:rsidR="00AC2823" w:rsidP="00AC2823" w:rsidRDefault="00AC2823" w14:paraId="5F4604FA" w14:textId="77777777">
      <w:pPr>
        <w:spacing w:after="120" w:line="276" w:lineRule="auto"/>
        <w:jc w:val="both"/>
        <w:rPr>
          <w:rFonts w:ascii="Verdana" w:hAnsi="Verdana"/>
        </w:rPr>
      </w:pPr>
      <w:r>
        <w:rPr>
          <w:rFonts w:ascii="Verdana" w:hAnsi="Verdana"/>
        </w:rPr>
        <w:t xml:space="preserve">       </w:t>
      </w:r>
      <w:r w:rsidRPr="00B17AC9">
        <w:rPr>
          <w:rFonts w:ascii="Verdana" w:hAnsi="Verdana"/>
        </w:rPr>
        <w:t>Sobre el particular, la Agencia Nacional de Contratación Pública – Colombia Compra Eficiente, mediante Concepto C-849 del 3 de julio de 2026, indicó que las facultades excepcionales previstas en el artículo 14 de la Ley 80 de 1993 no resultan aplicables a los contratos interadministrativos, en atención a la prohibición expresa contenida en el parágrafo de dicha norma y a la naturaleza de colaboración institucional que caracteriza este tipo de acuerdos.</w:t>
      </w:r>
    </w:p>
    <w:p w:rsidRPr="00E02524" w:rsidR="0022400B" w:rsidP="734EF5D3" w:rsidRDefault="34654822" w14:paraId="1C39E5C8" w14:textId="77777777">
      <w:pPr>
        <w:spacing w:after="0" w:line="276" w:lineRule="auto"/>
        <w:ind w:firstLine="708"/>
        <w:jc w:val="both"/>
        <w:textAlignment w:val="baseline"/>
      </w:pPr>
      <w:r w:rsidRPr="734EF5D3">
        <w:rPr>
          <w:rFonts w:ascii="Verdana" w:hAnsi="Verdana" w:eastAsia="Verdana" w:cs="Verdana"/>
          <w:lang w:val="es-ES"/>
        </w:rPr>
        <w:t xml:space="preserve">Finalmente, debe advertirse que el análisis para resolver problemas específicos en torno a los procesos de contratación debe ser realizado por </w:t>
      </w:r>
      <w:r w:rsidRPr="734EF5D3">
        <w:rPr>
          <w:rFonts w:ascii="Verdana" w:hAnsi="Verdana" w:eastAsia="Verdana" w:cs="Verdana"/>
          <w:lang w:val="es-ES"/>
        </w:rPr>
        <w:t>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rsidRPr="00E02524" w:rsidR="0022400B" w:rsidP="734EF5D3" w:rsidRDefault="34654822" w14:paraId="7430DFE7" w14:textId="77777777">
      <w:pPr>
        <w:spacing w:after="0" w:line="276" w:lineRule="auto"/>
        <w:ind w:firstLine="708"/>
        <w:jc w:val="both"/>
        <w:textAlignment w:val="baseline"/>
      </w:pPr>
      <w:r w:rsidRPr="734EF5D3">
        <w:rPr>
          <w:rFonts w:ascii="Verdana" w:hAnsi="Verdana" w:eastAsia="Verdana" w:cs="Verdana"/>
          <w:lang w:val="es"/>
        </w:rPr>
        <w:t xml:space="preserve"> </w:t>
      </w:r>
    </w:p>
    <w:p w:rsidRPr="00E02524" w:rsidR="0022400B" w:rsidP="734EF5D3" w:rsidRDefault="34654822" w14:paraId="120A8E3E" w14:textId="77777777">
      <w:pPr>
        <w:spacing w:after="0" w:line="276" w:lineRule="auto"/>
        <w:ind w:firstLine="708"/>
        <w:jc w:val="both"/>
        <w:textAlignment w:val="baseline"/>
      </w:pPr>
      <w:r w:rsidRPr="734EF5D3">
        <w:rPr>
          <w:rFonts w:ascii="Verdana" w:hAnsi="Verdana" w:eastAsia="Verdana" w:cs="Verdana"/>
          <w:lang w:val="es"/>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rsidRPr="00E02524" w:rsidR="0022400B" w:rsidP="734EF5D3" w:rsidRDefault="34654822" w14:paraId="39FF9499" w14:textId="77777777">
      <w:pPr>
        <w:spacing w:after="0" w:line="276" w:lineRule="auto"/>
        <w:ind w:firstLine="708"/>
        <w:jc w:val="both"/>
        <w:textAlignment w:val="baseline"/>
      </w:pPr>
      <w:r w:rsidRPr="734EF5D3">
        <w:rPr>
          <w:rFonts w:ascii="Verdana" w:hAnsi="Verdana" w:eastAsia="Verdana" w:cs="Verdana"/>
        </w:rPr>
        <w:t xml:space="preserve"> </w:t>
      </w:r>
    </w:p>
    <w:p w:rsidRPr="00E02524" w:rsidR="0022400B" w:rsidP="734EF5D3" w:rsidRDefault="34654822" w14:paraId="1CF494A4" w14:textId="77777777">
      <w:pPr>
        <w:pStyle w:val="Prrafodelista"/>
        <w:numPr>
          <w:ilvl w:val="0"/>
          <w:numId w:val="2"/>
        </w:numPr>
        <w:spacing w:after="0" w:line="240" w:lineRule="auto"/>
        <w:ind w:left="1080" w:hanging="720"/>
        <w:jc w:val="both"/>
        <w:textAlignment w:val="baseline"/>
        <w:rPr>
          <w:rFonts w:ascii="Verdana" w:hAnsi="Verdana" w:eastAsia="Verdana" w:cs="Verdana"/>
          <w:b/>
          <w:bCs/>
          <w:lang w:val="es"/>
        </w:rPr>
      </w:pPr>
      <w:r w:rsidRPr="734EF5D3">
        <w:rPr>
          <w:rFonts w:ascii="Verdana" w:hAnsi="Verdana" w:eastAsia="Verdana" w:cs="Verdana"/>
          <w:b/>
          <w:bCs/>
          <w:lang w:val="es"/>
        </w:rPr>
        <w:t>Referencias normativas, jurisprudenciales y otras fuentes:</w:t>
      </w:r>
    </w:p>
    <w:p w:rsidRPr="00E02524" w:rsidR="0022400B" w:rsidP="734EF5D3" w:rsidRDefault="34654822" w14:paraId="6DF70FFF" w14:textId="77777777">
      <w:pPr>
        <w:spacing w:after="0" w:line="276" w:lineRule="auto"/>
        <w:jc w:val="both"/>
        <w:textAlignment w:val="baseline"/>
      </w:pPr>
      <w:r w:rsidRPr="734EF5D3">
        <w:rPr>
          <w:rFonts w:ascii="Verdana" w:hAnsi="Verdana" w:eastAsia="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AC2823" w:rsidTr="0048031D" w14:paraId="5839ED2A" w14:textId="77777777">
        <w:trPr>
          <w:trHeight w:val="870"/>
        </w:trPr>
        <w:tc>
          <w:tcPr>
            <w:tcW w:w="8640" w:type="dxa"/>
            <w:tcBorders>
              <w:top w:val="dotted" w:color="auto" w:sz="8" w:space="0"/>
              <w:left w:val="dotted" w:color="auto" w:sz="8" w:space="0"/>
              <w:bottom w:val="dotted" w:color="auto" w:sz="8" w:space="0"/>
              <w:right w:val="dotted" w:color="auto" w:sz="8" w:space="0"/>
            </w:tcBorders>
            <w:tcMar>
              <w:left w:w="108" w:type="dxa"/>
              <w:right w:w="108" w:type="dxa"/>
            </w:tcMar>
          </w:tcPr>
          <w:p w:rsidR="00AC2823" w:rsidP="00AC2823" w:rsidRDefault="00AC2823" w14:paraId="3A2DA139"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 xml:space="preserve">Código Civil. Artículo 27. </w:t>
            </w:r>
          </w:p>
          <w:p w:rsidR="00AC2823" w:rsidP="00AC2823" w:rsidRDefault="00AC2823" w14:paraId="038EDDA7"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 xml:space="preserve">Ley 80 de 1993. Artículos </w:t>
            </w:r>
            <w:r>
              <w:rPr>
                <w:rFonts w:ascii="Verdana" w:hAnsi="Verdana" w:eastAsia="Verdana" w:cs="Verdana"/>
                <w:lang w:val="es"/>
              </w:rPr>
              <w:t>2,</w:t>
            </w:r>
            <w:r w:rsidRPr="734EF5D3">
              <w:rPr>
                <w:rFonts w:ascii="Verdana" w:hAnsi="Verdana" w:eastAsia="Verdana" w:cs="Verdana"/>
                <w:lang w:val="es"/>
              </w:rPr>
              <w:t>14,</w:t>
            </w:r>
            <w:r>
              <w:rPr>
                <w:rFonts w:ascii="Verdana" w:hAnsi="Verdana" w:eastAsia="Verdana" w:cs="Verdana"/>
                <w:lang w:val="es"/>
              </w:rPr>
              <w:t>32,</w:t>
            </w:r>
            <w:r w:rsidRPr="734EF5D3">
              <w:rPr>
                <w:rFonts w:ascii="Verdana" w:hAnsi="Verdana" w:eastAsia="Verdana" w:cs="Verdana"/>
                <w:lang w:val="es"/>
              </w:rPr>
              <w:t xml:space="preserve"> 41. </w:t>
            </w:r>
          </w:p>
          <w:p w:rsidR="00AC2823" w:rsidP="00AC2823" w:rsidRDefault="00AC2823" w14:paraId="1ADA1042"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 xml:space="preserve">Ley 1150 de 2007. Artículos 2 numeral 4 literal c, 7, 11, 17. </w:t>
            </w:r>
          </w:p>
          <w:p w:rsidR="00AC2823" w:rsidP="00AC2823" w:rsidRDefault="00AC2823" w14:paraId="3AAE7D7B"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Ley 1474 de 2011. Artículo 92.</w:t>
            </w:r>
          </w:p>
          <w:p w:rsidRPr="004F1199" w:rsidR="00AC2823" w:rsidP="00AC2823" w:rsidRDefault="00AC2823" w14:paraId="5310B8CA" w14:textId="77777777">
            <w:pPr>
              <w:widowControl w:val="0"/>
              <w:numPr>
                <w:ilvl w:val="0"/>
                <w:numId w:val="1"/>
              </w:numPr>
              <w:autoSpaceDE w:val="0"/>
              <w:autoSpaceDN w:val="0"/>
              <w:spacing w:line="276" w:lineRule="auto"/>
              <w:jc w:val="both"/>
              <w:rPr>
                <w:rFonts w:ascii="Verdana" w:hAnsi="Verdana" w:eastAsia="Calibri" w:cs="Arial"/>
                <w:lang w:val="es-ES"/>
              </w:rPr>
            </w:pPr>
            <w:r w:rsidRPr="004F1199">
              <w:rPr>
                <w:rFonts w:ascii="Verdana" w:hAnsi="Verdana" w:eastAsia="Calibri" w:cs="Arial"/>
                <w:lang w:val="es-ES"/>
              </w:rPr>
              <w:t>Ley 1508 de 2012. Artículo 1</w:t>
            </w:r>
            <w:r>
              <w:rPr>
                <w:rFonts w:ascii="Verdana" w:hAnsi="Verdana" w:eastAsia="Calibri" w:cs="Arial"/>
                <w:lang w:val="es-ES"/>
              </w:rPr>
              <w:t>.</w:t>
            </w:r>
          </w:p>
          <w:p w:rsidR="00AC2823" w:rsidP="00AC2823" w:rsidRDefault="00AC2823" w14:paraId="438E06CF"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Decreto 1082 de 2015. Artículo 2.2.1.2.1.4.4.</w:t>
            </w:r>
          </w:p>
          <w:p w:rsidR="00AC2823" w:rsidP="00AC2823" w:rsidRDefault="00AC2823" w14:paraId="3AA7FC7B" w14:textId="77777777">
            <w:pPr>
              <w:pStyle w:val="Prrafodelista"/>
              <w:numPr>
                <w:ilvl w:val="0"/>
                <w:numId w:val="1"/>
              </w:numPr>
              <w:spacing w:line="276" w:lineRule="auto"/>
              <w:jc w:val="both"/>
              <w:rPr>
                <w:rFonts w:ascii="Verdana" w:hAnsi="Verdana" w:eastAsia="Verdana" w:cs="Verdana"/>
              </w:rPr>
            </w:pPr>
            <w:r w:rsidRPr="734EF5D3">
              <w:rPr>
                <w:rFonts w:ascii="Verdana" w:hAnsi="Verdana" w:eastAsia="Verdana" w:cs="Verdana"/>
              </w:rPr>
              <w:t>Consejo de Estado. Sala de lo Contencioso administrativo. Sección Tercera. Auto del 13 de noviembre de 2003, expediente 22840, C. P:  Ricardo Hoyos Duque.</w:t>
            </w:r>
          </w:p>
          <w:p w:rsidR="00AC2823" w:rsidP="00AC2823" w:rsidRDefault="00AC2823" w14:paraId="598DC6E2"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Consejo de Estado. Sala de Consulta y Servicio Civil. Concepto No. 2257 del 26 de julio de 2016. C.P: Álvaro Namén Vargas.</w:t>
            </w:r>
          </w:p>
          <w:p w:rsidR="00AC2823" w:rsidP="00AC2823" w:rsidRDefault="00AC2823" w14:paraId="2F13C1E4"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Consejo de Estado. Sala de lo Contencioso Administrativo. Sección Tercera. Subsección A. Sentencia del 31 de marzo del 2023. Radicado: 25000-23-36-000-2014-00674-01 (56.002) C.P: María Adriana Marín.</w:t>
            </w:r>
          </w:p>
          <w:p w:rsidR="00AC2823" w:rsidP="00AC2823" w:rsidRDefault="00AC2823" w14:paraId="24020FFC"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Corte Constitucional, Sentencia C-449 de 1992.</w:t>
            </w:r>
          </w:p>
          <w:p w:rsidR="00AC2823" w:rsidP="00AC2823" w:rsidRDefault="00AC2823" w14:paraId="7E2C0D4F" w14:textId="77777777">
            <w:pPr>
              <w:pStyle w:val="Prrafodelista"/>
              <w:numPr>
                <w:ilvl w:val="0"/>
                <w:numId w:val="1"/>
              </w:numPr>
              <w:spacing w:line="276" w:lineRule="auto"/>
              <w:jc w:val="both"/>
              <w:rPr>
                <w:rFonts w:ascii="Verdana" w:hAnsi="Verdana" w:eastAsia="Verdana" w:cs="Verdana"/>
                <w:lang w:val="es"/>
              </w:rPr>
            </w:pPr>
            <w:r w:rsidRPr="734EF5D3">
              <w:rPr>
                <w:rFonts w:ascii="Verdana" w:hAnsi="Verdana" w:eastAsia="Verdana" w:cs="Verdana"/>
                <w:lang w:val="es"/>
              </w:rPr>
              <w:t>DÁVILA VINUEZA. Luis Guillermo. Régimen jurídico de la contratación estatal. 3ª ed. Bogotá: Temis, 2016.</w:t>
            </w:r>
          </w:p>
          <w:p w:rsidR="00AC2823" w:rsidP="00AC2823" w:rsidRDefault="00AC2823" w14:paraId="7B079CF0" w14:textId="77777777">
            <w:pPr>
              <w:pStyle w:val="Prrafodelista"/>
              <w:numPr>
                <w:ilvl w:val="0"/>
                <w:numId w:val="1"/>
              </w:numPr>
              <w:spacing w:line="276" w:lineRule="auto"/>
              <w:jc w:val="both"/>
              <w:rPr>
                <w:rFonts w:ascii="Verdana" w:hAnsi="Verdana" w:eastAsia="Verdana" w:cs="Verdana"/>
                <w:color w:val="0000FF"/>
                <w:u w:val="single"/>
              </w:rPr>
            </w:pPr>
            <w:r w:rsidRPr="734EF5D3">
              <w:rPr>
                <w:rFonts w:ascii="Verdana" w:hAnsi="Verdana" w:eastAsia="Verdana" w:cs="Verdana"/>
                <w:lang w:val="es"/>
              </w:rPr>
              <w:t xml:space="preserve">SANTOS RODRÍGUEZ, Jorge Enrique. Consideraciones sobre los contratos y convenios interadministrativos. </w:t>
            </w:r>
            <w:r w:rsidRPr="734EF5D3">
              <w:rPr>
                <w:rFonts w:ascii="Verdana" w:hAnsi="Verdana" w:eastAsia="Verdana" w:cs="Verdana"/>
              </w:rPr>
              <w:t xml:space="preserve">Revista Digital de Derecho Administrativo, Universidad Externado de Colombia. Bogotá – Colombia. </w:t>
            </w:r>
            <w:proofErr w:type="spellStart"/>
            <w:r w:rsidRPr="734EF5D3">
              <w:rPr>
                <w:rFonts w:ascii="Verdana" w:hAnsi="Verdana" w:eastAsia="Verdana" w:cs="Verdana"/>
              </w:rPr>
              <w:t>Num</w:t>
            </w:r>
            <w:proofErr w:type="spellEnd"/>
            <w:r w:rsidRPr="734EF5D3">
              <w:rPr>
                <w:rFonts w:ascii="Verdana" w:hAnsi="Verdana" w:eastAsia="Verdana" w:cs="Verdana"/>
              </w:rPr>
              <w:t xml:space="preserve">. 1 enero-junio, 2009, pp. 1-24 </w:t>
            </w:r>
            <w:r w:rsidRPr="734EF5D3">
              <w:rPr>
                <w:rFonts w:ascii="Verdana" w:hAnsi="Verdana" w:eastAsia="Verdana" w:cs="Verdana"/>
                <w:lang w:val="es"/>
              </w:rPr>
              <w:t xml:space="preserve">Disponible en </w:t>
            </w:r>
            <w:hyperlink r:id="rId13">
              <w:proofErr w:type="spellStart"/>
              <w:r w:rsidRPr="734EF5D3">
                <w:rPr>
                  <w:rStyle w:val="Hipervnculo"/>
                </w:rPr>
                <w:t>Redalyc.Consideraciones</w:t>
              </w:r>
              <w:proofErr w:type="spellEnd"/>
              <w:r w:rsidRPr="734EF5D3">
                <w:rPr>
                  <w:rStyle w:val="Hipervnculo"/>
                </w:rPr>
                <w:t xml:space="preserve"> sobre los contratos y convenios interadministrativos</w:t>
              </w:r>
            </w:hyperlink>
          </w:p>
          <w:p w:rsidR="00AC2823" w:rsidP="0048031D" w:rsidRDefault="00AC2823" w14:paraId="6E1C8C29" w14:textId="77777777">
            <w:pPr>
              <w:spacing w:line="276" w:lineRule="auto"/>
              <w:ind w:left="720"/>
              <w:jc w:val="both"/>
            </w:pPr>
            <w:r w:rsidRPr="734EF5D3">
              <w:rPr>
                <w:rFonts w:ascii="Verdana" w:hAnsi="Verdana" w:eastAsia="Verdana" w:cs="Verdana"/>
                <w:lang w:val="es"/>
              </w:rPr>
              <w:t xml:space="preserve"> </w:t>
            </w:r>
          </w:p>
        </w:tc>
      </w:tr>
    </w:tbl>
    <w:p w:rsidRPr="00E02524" w:rsidR="0022400B" w:rsidP="734EF5D3" w:rsidRDefault="34654822" w14:paraId="414C503B" w14:textId="77777777">
      <w:pPr>
        <w:spacing w:after="0" w:line="276" w:lineRule="auto"/>
        <w:jc w:val="both"/>
        <w:textAlignment w:val="baseline"/>
      </w:pPr>
      <w:r w:rsidRPr="734EF5D3">
        <w:rPr>
          <w:rFonts w:ascii="Verdana" w:hAnsi="Verdana" w:eastAsia="Verdana" w:cs="Verdana"/>
        </w:rPr>
        <w:t xml:space="preserve"> </w:t>
      </w:r>
    </w:p>
    <w:p w:rsidRPr="00E02524" w:rsidR="0022400B" w:rsidP="734EF5D3" w:rsidRDefault="34654822" w14:paraId="27AEB775" w14:textId="77777777">
      <w:pPr>
        <w:spacing w:before="1" w:after="0" w:line="240" w:lineRule="auto"/>
        <w:jc w:val="both"/>
        <w:textAlignment w:val="baseline"/>
      </w:pPr>
      <w:r w:rsidRPr="734EF5D3">
        <w:rPr>
          <w:rFonts w:ascii="Verdana" w:hAnsi="Verdana" w:eastAsia="Verdana" w:cs="Verdana"/>
          <w:b/>
          <w:bCs/>
          <w:lang w:val="es"/>
        </w:rPr>
        <w:t>V.  Doctrina de la Agencia Nacional de Contratación Pública:</w:t>
      </w:r>
    </w:p>
    <w:p w:rsidRPr="00E02524" w:rsidR="0022400B" w:rsidP="734EF5D3" w:rsidRDefault="34654822" w14:paraId="74C0DD0A" w14:textId="77777777">
      <w:pPr>
        <w:spacing w:after="0" w:line="276" w:lineRule="auto"/>
        <w:jc w:val="both"/>
        <w:textAlignment w:val="baseline"/>
      </w:pPr>
      <w:r w:rsidRPr="734EF5D3">
        <w:rPr>
          <w:rFonts w:ascii="Verdana" w:hAnsi="Verdana" w:eastAsia="Verdana" w:cs="Verdana"/>
        </w:rPr>
        <w:t xml:space="preserve"> </w:t>
      </w:r>
    </w:p>
    <w:p w:rsidRPr="00E02524" w:rsidR="0022400B" w:rsidP="734EF5D3" w:rsidRDefault="34654822" w14:paraId="25ECCB29" w14:textId="77777777">
      <w:pPr>
        <w:spacing w:after="0" w:line="276" w:lineRule="auto"/>
        <w:jc w:val="both"/>
        <w:textAlignment w:val="baseline"/>
      </w:pPr>
      <w:r w:rsidRPr="734EF5D3">
        <w:rPr>
          <w:rFonts w:ascii="Verdana" w:hAnsi="Verdana" w:eastAsia="Verdana" w:cs="Verdana"/>
        </w:rPr>
        <w:t xml:space="preserve">La Agencia Nacional de Contratación Pública se ha pronunciado la tipología del contrato interadministrativo en los conceptos </w:t>
      </w:r>
      <w:r w:rsidRPr="734EF5D3">
        <w:rPr>
          <w:rFonts w:ascii="Verdana" w:hAnsi="Verdana" w:eastAsia="Verdana" w:cs="Verdana"/>
          <w:color w:val="000000" w:themeColor="text1"/>
        </w:rPr>
        <w:t xml:space="preserve">4201913000004536 del 27 de julio de 2019, C-023 del 3 de febrero de 2020, C-702 del 11 de diciembre de 2020, C-097 de 23 de marzo de 202, C-350 del 16 de julio de 2021, C-352 del 27 de julio de 2021, C-508 del 20 de septiembre de 2021, C-616 del 3 de noviembre de 2021, C-662 del 1 de diciembre de 2022, C-147 del 25 de julio de 2023, C-369 del 12 de septiembre de 2022. </w:t>
      </w:r>
      <w:r w:rsidR="00AC2823">
        <w:rPr>
          <w:rFonts w:ascii="Verdana" w:hAnsi="Verdana" w:eastAsia="Verdana" w:cs="Verdana"/>
          <w:color w:val="000000" w:themeColor="text1"/>
        </w:rPr>
        <w:t xml:space="preserve">En </w:t>
      </w:r>
      <w:r w:rsidRPr="00285E8E" w:rsidR="00AC2823">
        <w:rPr>
          <w:rFonts w:ascii="Verdana" w:hAnsi="Verdana" w:eastAsia="Calibri" w:cs="Arial"/>
          <w:lang w:val="es-ES" w:eastAsia="es-ES"/>
        </w:rPr>
        <w:t>temas asociados al contrato de concesión</w:t>
      </w:r>
      <w:r w:rsidRPr="00285E8E" w:rsidR="00AC2823">
        <w:rPr>
          <w:rFonts w:ascii="Verdana" w:hAnsi="Verdana" w:cs="Arial"/>
          <w:bCs/>
          <w:shd w:val="clear" w:color="auto" w:fill="FFFFFF"/>
        </w:rPr>
        <w:t xml:space="preserve"> </w:t>
      </w:r>
      <w:r w:rsidRPr="00285E8E" w:rsidR="00AC2823">
        <w:rPr>
          <w:rFonts w:ascii="Verdana" w:hAnsi="Verdana" w:cs="Arial"/>
          <w:lang w:val="es-ES"/>
        </w:rPr>
        <w:t xml:space="preserve">en los conceptos, </w:t>
      </w:r>
      <w:r w:rsidRPr="00285E8E" w:rsidR="00AC2823">
        <w:rPr>
          <w:rFonts w:ascii="Verdana" w:hAnsi="Verdana" w:eastAsia="Calibri" w:cs="Arial"/>
          <w:lang w:val="es-ES" w:eastAsia="es-ES"/>
        </w:rPr>
        <w:t>C-251 del 27 de mayo de 2020, C-400 del 30 de junio de 2020, C-507 del 13 de agosto de 2020, C-718 del 20 de diciembre de 2020, C-077 del 16 de marzo de 2021, C-186 del 31 de julio de 2024, C-566 del 13 de noviembre de 2024</w:t>
      </w:r>
      <w:r w:rsidRPr="00285E8E" w:rsidR="00AC2823">
        <w:rPr>
          <w:rFonts w:ascii="Verdana" w:hAnsi="Verdana" w:cs="Arial"/>
          <w:bCs/>
          <w:shd w:val="clear" w:color="auto" w:fill="FFFFFF"/>
        </w:rPr>
        <w:t>, C-763 del 05 de diciembre de 2024, C-403 del 23 de abril de 2026</w:t>
      </w:r>
      <w:r w:rsidR="00AC2823">
        <w:rPr>
          <w:rFonts w:ascii="Verdana" w:hAnsi="Verdana" w:cs="Arial"/>
          <w:bCs/>
          <w:shd w:val="clear" w:color="auto" w:fill="FFFFFF"/>
        </w:rPr>
        <w:t>, s</w:t>
      </w:r>
      <w:r w:rsidRPr="734EF5D3" w:rsidR="00AC2823">
        <w:rPr>
          <w:rFonts w:ascii="Verdana" w:hAnsi="Verdana" w:eastAsia="Verdana" w:cs="Verdana"/>
          <w:color w:val="000000" w:themeColor="text1"/>
        </w:rPr>
        <w:t>obre</w:t>
      </w:r>
      <w:r w:rsidRPr="734EF5D3">
        <w:rPr>
          <w:rFonts w:ascii="Verdana" w:hAnsi="Verdana" w:eastAsia="Verdana" w:cs="Verdana"/>
        </w:rPr>
        <w:t xml:space="preserve"> las potestades exorbitantes en los Conceptos C-053 del 30 de enero de 2025, C- 1503 del 26 de noviembre de 2025 y Concepto C-849 del 3 de julio de 2026, entre otros</w:t>
      </w:r>
      <w:r w:rsidRPr="734EF5D3">
        <w:rPr>
          <w:rFonts w:ascii="Verdana" w:hAnsi="Verdana" w:eastAsia="Verdana" w:cs="Verdana"/>
          <w:color w:val="000000" w:themeColor="text1"/>
        </w:rPr>
        <w:t xml:space="preserve">, </w:t>
      </w:r>
      <w:r w:rsidRPr="734EF5D3">
        <w:rPr>
          <w:rFonts w:ascii="Verdana" w:hAnsi="Verdana" w:eastAsia="Verdana" w:cs="Verdana"/>
          <w:color w:val="000000" w:themeColor="text1"/>
          <w:lang w:val="es"/>
        </w:rPr>
        <w:t>estos se encuentran disponibles para consulta en el Sistema de relatoría de la Agencia</w:t>
      </w:r>
      <w:r w:rsidRPr="734EF5D3">
        <w:rPr>
          <w:rFonts w:ascii="Verdana" w:hAnsi="Verdana" w:eastAsia="Verdana" w:cs="Verdana"/>
          <w:lang w:val="es"/>
        </w:rPr>
        <w:t>, al cual puede accederse a través del siguiente enlace:</w:t>
      </w:r>
      <w:r w:rsidRPr="734EF5D3">
        <w:rPr>
          <w:rFonts w:ascii="Verdana" w:hAnsi="Verdana" w:eastAsia="Verdana" w:cs="Verdana"/>
          <w:color w:val="000000" w:themeColor="text1"/>
          <w:lang w:val="es"/>
        </w:rPr>
        <w:t xml:space="preserve"> </w:t>
      </w:r>
      <w:hyperlink r:id="rId14">
        <w:r w:rsidRPr="00C80604">
          <w:rPr>
            <w:rStyle w:val="Hipervnculo"/>
            <w:rFonts w:ascii="Verdana" w:hAnsi="Verdana"/>
            <w:lang w:val="es"/>
          </w:rPr>
          <w:t>https://relatoria.colombiacompra.gov.co/busqueda/conceptos</w:t>
        </w:r>
      </w:hyperlink>
      <w:r w:rsidRPr="734EF5D3">
        <w:rPr>
          <w:rFonts w:ascii="Verdana" w:hAnsi="Verdana" w:eastAsia="Verdana" w:cs="Verdana"/>
          <w:color w:val="000000" w:themeColor="text1"/>
          <w:lang w:val="es"/>
        </w:rPr>
        <w:t xml:space="preserve">. </w:t>
      </w:r>
      <w:r w:rsidRPr="734EF5D3">
        <w:rPr>
          <w:rFonts w:ascii="Verdana" w:hAnsi="Verdana" w:eastAsia="Verdana" w:cs="Verdana"/>
          <w:color w:val="FF0000"/>
          <w:lang w:val="es"/>
        </w:rPr>
        <w:t xml:space="preserve"> </w:t>
      </w:r>
    </w:p>
    <w:p w:rsidRPr="00E02524" w:rsidR="0022400B" w:rsidP="734EF5D3" w:rsidRDefault="34654822" w14:paraId="083AA78F" w14:textId="77777777">
      <w:pPr>
        <w:spacing w:after="0" w:line="276" w:lineRule="auto"/>
        <w:jc w:val="both"/>
        <w:textAlignment w:val="baseline"/>
      </w:pPr>
      <w:r w:rsidRPr="734EF5D3">
        <w:rPr>
          <w:rFonts w:ascii="Verdana" w:hAnsi="Verdana" w:eastAsia="Verdana" w:cs="Verdana"/>
          <w:color w:val="000000" w:themeColor="text1"/>
          <w:lang w:val="es"/>
        </w:rPr>
        <w:t xml:space="preserve">  </w:t>
      </w:r>
    </w:p>
    <w:p w:rsidRPr="00E02524" w:rsidR="0022400B" w:rsidP="734EF5D3" w:rsidRDefault="34654822" w14:paraId="4D3ACD40" w14:textId="77777777">
      <w:pPr>
        <w:spacing w:line="257" w:lineRule="auto"/>
        <w:jc w:val="both"/>
        <w:textAlignment w:val="baseline"/>
      </w:pPr>
      <w:r w:rsidRPr="734EF5D3">
        <w:rPr>
          <w:rFonts w:ascii="Verdana" w:hAnsi="Verdana" w:eastAsia="Verdana" w:cs="Verdana"/>
          <w:lang w:val="es"/>
        </w:rPr>
        <w:t xml:space="preserve">La sostenibilidad no es una opción, es una obligación. Por ello, la Agencia Nacional de Contratación Pública –Colombia Compra Eficiente– te invita a realizar el </w:t>
      </w:r>
      <w:r w:rsidRPr="734EF5D3">
        <w:rPr>
          <w:rFonts w:ascii="Verdana" w:hAnsi="Verdana" w:eastAsia="Verdana" w:cs="Verdana"/>
          <w:b/>
          <w:bCs/>
          <w:lang w:val="es"/>
        </w:rPr>
        <w:t>Curso de Contratación Pública Sostenible y Socialmente Responsable</w:t>
      </w:r>
      <w:r w:rsidRPr="734EF5D3">
        <w:rPr>
          <w:rFonts w:ascii="Verdana" w:hAnsi="Verdana" w:eastAsia="Verdana" w:cs="Verdana"/>
          <w:lang w:val="es"/>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00322A85">
        <w:br/>
      </w:r>
      <w:r w:rsidRPr="734EF5D3">
        <w:rPr>
          <w:rFonts w:ascii="Calibri" w:hAnsi="Calibri" w:eastAsia="Calibri" w:cs="Calibri"/>
        </w:rPr>
        <w:t xml:space="preserve"> </w:t>
      </w:r>
      <w:r w:rsidRPr="734EF5D3">
        <w:rPr>
          <w:rFonts w:ascii="Verdana" w:hAnsi="Verdana" w:eastAsia="Verdana" w:cs="Verdana"/>
        </w:rPr>
        <w:t xml:space="preserve"> </w:t>
      </w:r>
      <w:hyperlink r:id="rId15">
        <w:r w:rsidRPr="734EF5D3">
          <w:rPr>
            <w:rStyle w:val="Hipervnculo"/>
            <w:lang w:val="es"/>
          </w:rPr>
          <w:t>https://formacionvirtual.colombiacompra.gov.co/mod/page/view.php?id=3718</w:t>
        </w:r>
      </w:hyperlink>
    </w:p>
    <w:p w:rsidRPr="00E02524" w:rsidR="0022400B" w:rsidP="734EF5D3" w:rsidRDefault="34654822" w14:paraId="63E0E1D8" w14:textId="77777777">
      <w:pPr>
        <w:spacing w:line="257" w:lineRule="auto"/>
        <w:jc w:val="both"/>
        <w:textAlignment w:val="baseline"/>
      </w:pPr>
      <w:r w:rsidRPr="734EF5D3">
        <w:rPr>
          <w:rFonts w:ascii="Verdana" w:hAnsi="Verdana" w:eastAsia="Verdana" w:cs="Verdana"/>
          <w:lang w:val="es"/>
        </w:rPr>
        <w:t xml:space="preserve">De otro lado, te contamos que esta Agencia ha da un paso decisivo en la estandarización y modernización del </w:t>
      </w:r>
      <w:r w:rsidRPr="734EF5D3">
        <w:rPr>
          <w:rFonts w:ascii="Verdana" w:hAnsi="Verdana" w:eastAsia="Verdana" w:cs="Verdana"/>
          <w:b/>
          <w:bCs/>
          <w:lang w:val="es"/>
        </w:rPr>
        <w:t>sector  social</w:t>
      </w:r>
      <w:r w:rsidRPr="734EF5D3">
        <w:rPr>
          <w:rFonts w:ascii="Verdana" w:hAnsi="Verdana" w:eastAsia="Verdana" w:cs="Verdana"/>
          <w:lang w:val="es"/>
        </w:rPr>
        <w:t xml:space="preserve"> con la expedición de las </w:t>
      </w:r>
      <w:r w:rsidRPr="734EF5D3">
        <w:rPr>
          <w:rFonts w:ascii="Verdana" w:hAnsi="Verdana" w:eastAsia="Verdana" w:cs="Verdana"/>
          <w:b/>
          <w:bCs/>
          <w:lang w:val="es"/>
        </w:rPr>
        <w:t>Resoluciones 539, 540, 541, 952 y 953 de 2025</w:t>
      </w:r>
      <w:r w:rsidRPr="734EF5D3">
        <w:rPr>
          <w:rFonts w:ascii="Verdana" w:hAnsi="Verdana" w:eastAsia="Verdana" w:cs="Verdana"/>
          <w:lang w:val="es"/>
        </w:rPr>
        <w:t xml:space="preserve">, </w:t>
      </w:r>
      <w:r w:rsidRPr="734EF5D3">
        <w:rPr>
          <w:rFonts w:ascii="Verdana" w:hAnsi="Verdana" w:eastAsia="Verdana" w:cs="Verdana"/>
          <w:b/>
          <w:bCs/>
          <w:lang w:val="es"/>
        </w:rPr>
        <w:t>mediante las cuales adoptó Documentos Tipo</w:t>
      </w:r>
      <w:r w:rsidRPr="734EF5D3">
        <w:rPr>
          <w:rFonts w:ascii="Verdana" w:hAnsi="Verdana" w:eastAsia="Verdana" w:cs="Verdana"/>
          <w:lang w:val="es"/>
        </w:rPr>
        <w:t xml:space="preserve"> para las modalidades de selección de</w:t>
      </w:r>
      <w:r w:rsidRPr="734EF5D3">
        <w:rPr>
          <w:rFonts w:ascii="Verdana" w:hAnsi="Verdana" w:eastAsia="Verdana" w:cs="Verdana"/>
          <w:b/>
          <w:bCs/>
          <w:lang w:val="es"/>
        </w:rPr>
        <w:t xml:space="preserve"> licitación pública (versión 2), selección abreviada de menor cuantía, mínima cuantía, consultoría e interventoría</w:t>
      </w:r>
      <w:r w:rsidRPr="734EF5D3">
        <w:rPr>
          <w:rFonts w:ascii="Verdana" w:hAnsi="Verdana" w:eastAsia="Verdana" w:cs="Verdana"/>
          <w:lang w:val="es"/>
        </w:rPr>
        <w:t xml:space="preserve">, promoviendo procesos más transparentes, eficientes  competitivos y sostenibles en sectores estratégicos como educación, salud, cultura, recreación, deporte, institucional y vivienda. Consulta y descarga los documentos aquí: </w:t>
      </w:r>
      <w:hyperlink r:id="rId16">
        <w:r w:rsidRPr="734EF5D3">
          <w:rPr>
            <w:rStyle w:val="Hipervnculo"/>
            <w:lang w:val="es"/>
          </w:rPr>
          <w:t>https://www.colombiacompra.gov.co/normativa-y-relatoria/documentos-tipo</w:t>
        </w:r>
      </w:hyperlink>
    </w:p>
    <w:p w:rsidRPr="00E02524" w:rsidR="0022400B" w:rsidP="734EF5D3" w:rsidRDefault="34654822" w14:paraId="45451441" w14:textId="77777777">
      <w:pPr>
        <w:spacing w:line="257" w:lineRule="auto"/>
        <w:jc w:val="both"/>
        <w:textAlignment w:val="baseline"/>
      </w:pPr>
      <w:r w:rsidRPr="734EF5D3">
        <w:rPr>
          <w:rFonts w:ascii="Verdana" w:hAnsi="Verdana" w:eastAsia="Verdana" w:cs="Verdana"/>
          <w:lang w:val="es"/>
        </w:rPr>
        <w:t xml:space="preserve">Si quieres conocer más sobre la aplicación de Documentos Tipo puedes consultar la última versión de la </w:t>
      </w:r>
      <w:r w:rsidRPr="734EF5D3">
        <w:rPr>
          <w:rFonts w:ascii="Verdana" w:hAnsi="Verdana" w:eastAsia="Verdana" w:cs="Verdana"/>
          <w:b/>
          <w:bCs/>
          <w:lang w:val="es"/>
        </w:rPr>
        <w:t>Guía para la comprensión e implementación de los Documentos Tipo de obra pública de infraestructura de transporte</w:t>
      </w:r>
      <w:r w:rsidRPr="734EF5D3">
        <w:rPr>
          <w:rFonts w:ascii="Verdana" w:hAnsi="Verdana" w:eastAsia="Verdana" w:cs="Verdana"/>
          <w:lang w:val="es"/>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00322A85">
        <w:br/>
      </w:r>
      <w:r w:rsidRPr="734EF5D3">
        <w:rPr>
          <w:rFonts w:ascii="Calibri" w:hAnsi="Calibri" w:eastAsia="Calibri" w:cs="Calibri"/>
        </w:rPr>
        <w:t xml:space="preserve"> </w:t>
      </w:r>
      <w:r w:rsidRPr="734EF5D3">
        <w:rPr>
          <w:rFonts w:ascii="Verdana" w:hAnsi="Verdana" w:eastAsia="Verdana" w:cs="Verdana"/>
        </w:rPr>
        <w:t xml:space="preserve"> </w:t>
      </w:r>
      <w:hyperlink r:id="rId17">
        <w:r w:rsidRPr="734EF5D3">
          <w:rPr>
            <w:rStyle w:val="Hipervnculo"/>
            <w:lang w:val="es"/>
          </w:rPr>
          <w:t>https://www.colombiacompra.gov.co/archivos/manual/guia-para-la-comprension-e-implementacion-de-los-documentos-tipo-de-obra-publica-de-infraestructura-de-transporte-bajo-las-diferentes-modalidades-de-contratacion-vigentes</w:t>
        </w:r>
      </w:hyperlink>
    </w:p>
    <w:p w:rsidRPr="00E02524" w:rsidR="0022400B" w:rsidP="734EF5D3" w:rsidRDefault="34654822" w14:paraId="0626D3F7" w14:textId="77777777">
      <w:pPr>
        <w:spacing w:after="0" w:line="240" w:lineRule="auto"/>
        <w:jc w:val="both"/>
        <w:textAlignment w:val="baseline"/>
      </w:pPr>
      <w:r w:rsidRPr="734EF5D3">
        <w:rPr>
          <w:rFonts w:ascii="Verdana" w:hAnsi="Verdana" w:eastAsia="Verdana" w:cs="Verdana"/>
          <w:color w:val="000000" w:themeColor="text1"/>
          <w:lang w:val="es"/>
        </w:rPr>
        <w:t xml:space="preserve">Lo invitamos a seguirnos en las redes sociales en las cuales se difunde información institucional: </w:t>
      </w:r>
    </w:p>
    <w:p w:rsidRPr="00E02524" w:rsidR="0022400B" w:rsidP="734EF5D3" w:rsidRDefault="34654822" w14:paraId="1A9E4FBF" w14:textId="77777777">
      <w:pPr>
        <w:spacing w:after="0" w:line="240" w:lineRule="auto"/>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466621E3" w14:textId="77777777">
      <w:pPr>
        <w:spacing w:after="0" w:line="240" w:lineRule="auto"/>
        <w:jc w:val="both"/>
        <w:textAlignment w:val="baseline"/>
      </w:pPr>
      <w:r w:rsidRPr="4BBCD551">
        <w:rPr>
          <w:rFonts w:ascii="Verdana" w:hAnsi="Verdana" w:eastAsia="Verdana" w:cs="Verdana"/>
          <w:color w:val="000000" w:themeColor="text1"/>
          <w:lang w:val="es-ES"/>
        </w:rPr>
        <w:t xml:space="preserve">Twitter: </w:t>
      </w:r>
      <w:r w:rsidRPr="4BBCD551">
        <w:rPr>
          <w:rFonts w:ascii="Verdana" w:hAnsi="Verdana" w:eastAsia="Verdana" w:cs="Verdana"/>
          <w:color w:val="000000" w:themeColor="text1"/>
          <w:u w:val="single"/>
          <w:lang w:val="es-ES"/>
        </w:rPr>
        <w:t>@colombiacompra</w:t>
      </w:r>
      <w:r w:rsidRPr="4BBCD551">
        <w:rPr>
          <w:rFonts w:ascii="Verdana" w:hAnsi="Verdana" w:eastAsia="Verdana" w:cs="Verdana"/>
          <w:color w:val="000000" w:themeColor="text1"/>
          <w:lang w:val="es-ES"/>
        </w:rPr>
        <w:t xml:space="preserve"> </w:t>
      </w:r>
    </w:p>
    <w:p w:rsidRPr="00E02524" w:rsidR="0022400B" w:rsidP="734EF5D3" w:rsidRDefault="34654822" w14:paraId="572ED097" w14:textId="77777777">
      <w:pPr>
        <w:spacing w:after="0" w:line="240" w:lineRule="auto"/>
        <w:jc w:val="both"/>
        <w:textAlignment w:val="baseline"/>
      </w:pPr>
      <w:r w:rsidRPr="734EF5D3">
        <w:rPr>
          <w:rFonts w:ascii="Verdana" w:hAnsi="Verdana" w:eastAsia="Verdana" w:cs="Verdana"/>
          <w:color w:val="000000" w:themeColor="text1"/>
          <w:lang w:val="es-ES"/>
        </w:rPr>
        <w:t xml:space="preserve">Facebook: </w:t>
      </w:r>
      <w:proofErr w:type="spellStart"/>
      <w:r w:rsidRPr="734EF5D3">
        <w:rPr>
          <w:rFonts w:ascii="Verdana" w:hAnsi="Verdana" w:eastAsia="Verdana" w:cs="Verdana"/>
          <w:color w:val="000000" w:themeColor="text1"/>
          <w:u w:val="single"/>
          <w:lang w:val="es-ES"/>
        </w:rPr>
        <w:t>ColombiaCompraEficiente</w:t>
      </w:r>
      <w:proofErr w:type="spellEnd"/>
    </w:p>
    <w:p w:rsidRPr="00E02524" w:rsidR="0022400B" w:rsidP="734EF5D3" w:rsidRDefault="34654822" w14:paraId="3A050381" w14:textId="77777777">
      <w:pPr>
        <w:spacing w:after="0" w:line="240" w:lineRule="auto"/>
        <w:jc w:val="both"/>
        <w:textAlignment w:val="baseline"/>
      </w:pPr>
      <w:r w:rsidRPr="4BBCD551">
        <w:rPr>
          <w:rFonts w:ascii="Verdana" w:hAnsi="Verdana" w:eastAsia="Verdana" w:cs="Verdana"/>
          <w:color w:val="000000" w:themeColor="text1"/>
          <w:lang w:val="es-ES"/>
        </w:rPr>
        <w:t xml:space="preserve">LinkedIn: </w:t>
      </w:r>
      <w:r w:rsidRPr="4BBCD551">
        <w:rPr>
          <w:rFonts w:ascii="Verdana" w:hAnsi="Verdana" w:eastAsia="Verdana" w:cs="Verdana"/>
          <w:color w:val="000000" w:themeColor="text1"/>
          <w:u w:val="single"/>
          <w:lang w:val="es-ES"/>
        </w:rPr>
        <w:t>Agencia Nacional de Contratación Pública - Colombia Compra Eficiente</w:t>
      </w:r>
      <w:r w:rsidRPr="4BBCD551">
        <w:rPr>
          <w:rFonts w:ascii="Verdana" w:hAnsi="Verdana" w:eastAsia="Verdana" w:cs="Verdana"/>
          <w:color w:val="000000" w:themeColor="text1"/>
          <w:lang w:val="es-ES"/>
        </w:rPr>
        <w:t xml:space="preserve"> Instagram: </w:t>
      </w:r>
      <w:r w:rsidRPr="4BBCD551">
        <w:rPr>
          <w:rFonts w:ascii="Verdana" w:hAnsi="Verdana" w:eastAsia="Verdana" w:cs="Verdana"/>
          <w:color w:val="000000" w:themeColor="text1"/>
          <w:u w:val="single"/>
          <w:lang w:val="es-ES"/>
        </w:rPr>
        <w:t>@colombiacompraeficiente_cce</w:t>
      </w:r>
    </w:p>
    <w:p w:rsidRPr="00E02524" w:rsidR="0022400B" w:rsidP="734EF5D3" w:rsidRDefault="34654822" w14:paraId="6D642CC0" w14:textId="77777777">
      <w:pPr>
        <w:spacing w:after="0" w:line="276" w:lineRule="auto"/>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3715A721" w14:textId="77777777">
      <w:pPr>
        <w:spacing w:after="0" w:line="276" w:lineRule="auto"/>
        <w:jc w:val="both"/>
        <w:textAlignment w:val="baseline"/>
      </w:pPr>
      <w:r w:rsidRPr="734EF5D3">
        <w:rPr>
          <w:rFonts w:ascii="Verdana" w:hAnsi="Verdana" w:eastAsia="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rsidRPr="00E02524" w:rsidR="0022400B" w:rsidP="734EF5D3" w:rsidRDefault="34654822" w14:paraId="54B96DAF" w14:textId="77777777">
      <w:pPr>
        <w:spacing w:after="0" w:line="240" w:lineRule="auto"/>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68B1C477" w14:textId="77777777">
      <w:pPr>
        <w:spacing w:after="0" w:line="240" w:lineRule="auto"/>
        <w:jc w:val="both"/>
        <w:textAlignment w:val="baseline"/>
      </w:pPr>
      <w:r w:rsidRPr="734EF5D3">
        <w:rPr>
          <w:rFonts w:ascii="Verdana" w:hAnsi="Verdana" w:eastAsia="Verdana" w:cs="Verdana"/>
          <w:color w:val="000000" w:themeColor="text1"/>
        </w:rPr>
        <w:t xml:space="preserve"> </w:t>
      </w:r>
    </w:p>
    <w:p w:rsidRPr="00E02524" w:rsidR="0022400B" w:rsidP="734EF5D3" w:rsidRDefault="34654822" w14:paraId="06CAE6AB" w14:textId="77777777">
      <w:pPr>
        <w:spacing w:after="0" w:line="240" w:lineRule="auto"/>
        <w:jc w:val="both"/>
        <w:textAlignment w:val="baseline"/>
      </w:pPr>
      <w:r w:rsidRPr="734EF5D3">
        <w:rPr>
          <w:rFonts w:ascii="Verdana" w:hAnsi="Verdana" w:eastAsia="Verdana" w:cs="Verdana"/>
          <w:color w:val="000000" w:themeColor="text1"/>
          <w:lang w:val="es"/>
        </w:rPr>
        <w:t xml:space="preserve">Atentamente, </w:t>
      </w:r>
    </w:p>
    <w:p w:rsidRPr="00E02524" w:rsidR="0022400B" w:rsidP="734EF5D3" w:rsidRDefault="34654822" w14:paraId="30FFF501" w14:textId="77777777">
      <w:pPr>
        <w:spacing w:line="276" w:lineRule="auto"/>
        <w:jc w:val="center"/>
        <w:textAlignment w:val="baseline"/>
      </w:pPr>
      <w:r w:rsidRPr="734EF5D3">
        <w:rPr>
          <w:rFonts w:ascii="Century Gothic" w:hAnsi="Century Gothic" w:eastAsia="Century Gothic" w:cs="Century Gothic"/>
        </w:rPr>
        <w:t xml:space="preserve"> </w:t>
      </w:r>
    </w:p>
    <w:p w:rsidR="0022400B" w:rsidP="734EF5D3" w:rsidRDefault="34654822" w14:paraId="6666FAC2" w14:textId="201E3A0F">
      <w:pPr>
        <w:spacing w:line="276" w:lineRule="auto"/>
        <w:jc w:val="center"/>
        <w:textAlignment w:val="baseline"/>
        <w:rPr>
          <w:noProof/>
        </w:rPr>
      </w:pPr>
      <w:r w:rsidRPr="734EF5D3">
        <w:rPr>
          <w:rFonts w:ascii="Calibri" w:hAnsi="Calibri" w:eastAsia="Calibri" w:cs="Calibri"/>
        </w:rPr>
        <w:t xml:space="preserve"> </w:t>
      </w:r>
    </w:p>
    <w:p w:rsidR="003B66E0" w:rsidP="734EF5D3" w:rsidRDefault="00A51B9C" w14:paraId="79E09530" w14:textId="47C09760">
      <w:pPr>
        <w:spacing w:line="276" w:lineRule="auto"/>
        <w:jc w:val="center"/>
        <w:textAlignment w:val="baseline"/>
        <w:rPr>
          <w:noProof/>
        </w:rPr>
      </w:pPr>
      <w:r>
        <w:rPr>
          <w:noProof/>
        </w:rPr>
        <w:drawing>
          <wp:inline distT="0" distB="0" distL="0" distR="0" wp14:anchorId="07FFF00E" wp14:editId="1F71044E">
            <wp:extent cx="3821430" cy="1640474"/>
            <wp:effectExtent l="0" t="0" r="7620" b="0"/>
            <wp:docPr id="422628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9608" cy="1643985"/>
                    </a:xfrm>
                    <a:prstGeom prst="rect">
                      <a:avLst/>
                    </a:prstGeom>
                    <a:noFill/>
                    <a:ln>
                      <a:noFill/>
                    </a:ln>
                  </pic:spPr>
                </pic:pic>
              </a:graphicData>
            </a:graphic>
          </wp:inline>
        </w:drawing>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00"/>
        <w:gridCol w:w="5925"/>
      </w:tblGrid>
      <w:tr w:rsidR="006B595D" w:rsidTr="00D00D4D" w14:paraId="10B3EC3D" w14:textId="77777777">
        <w:trPr>
          <w:trHeight w:val="315"/>
        </w:trPr>
        <w:tc>
          <w:tcPr>
            <w:tcW w:w="1200" w:type="dxa"/>
            <w:tcMar>
              <w:left w:w="108" w:type="dxa"/>
              <w:right w:w="108" w:type="dxa"/>
            </w:tcMar>
            <w:vAlign w:val="center"/>
          </w:tcPr>
          <w:p w:rsidR="006B595D" w:rsidP="00D00D4D" w:rsidRDefault="006B595D" w14:paraId="7FD60804" w14:textId="77777777">
            <w:r w:rsidRPr="15A4969B">
              <w:rPr>
                <w:rFonts w:ascii="Verdana" w:hAnsi="Verdana" w:eastAsia="Verdana" w:cs="Verdana"/>
                <w:color w:val="000000" w:themeColor="text1"/>
                <w:sz w:val="16"/>
                <w:szCs w:val="16"/>
                <w:lang w:val="es"/>
              </w:rPr>
              <w:t>Elaboró:</w:t>
            </w:r>
          </w:p>
        </w:tc>
        <w:tc>
          <w:tcPr>
            <w:tcW w:w="5925" w:type="dxa"/>
            <w:tcMar>
              <w:left w:w="108" w:type="dxa"/>
              <w:right w:w="108" w:type="dxa"/>
            </w:tcMar>
            <w:vAlign w:val="center"/>
          </w:tcPr>
          <w:p w:rsidR="006B595D" w:rsidP="00D00D4D" w:rsidRDefault="006B595D" w14:paraId="50FE86D3" w14:textId="77777777">
            <w:r w:rsidRPr="15A4969B">
              <w:rPr>
                <w:rFonts w:ascii="Verdana" w:hAnsi="Verdana" w:eastAsia="Verdana" w:cs="Verdana"/>
                <w:color w:val="000000" w:themeColor="text1"/>
                <w:sz w:val="16"/>
                <w:szCs w:val="16"/>
              </w:rPr>
              <w:t xml:space="preserve">Daniel Eduardo Rojas </w:t>
            </w:r>
          </w:p>
          <w:p w:rsidR="006B595D" w:rsidP="00D00D4D" w:rsidRDefault="006B595D" w14:paraId="4F8732C7" w14:textId="77777777">
            <w:r w:rsidRPr="15A4969B">
              <w:rPr>
                <w:rFonts w:ascii="Verdana" w:hAnsi="Verdana" w:eastAsia="Verdana" w:cs="Verdana"/>
                <w:color w:val="000000" w:themeColor="text1"/>
                <w:sz w:val="16"/>
                <w:szCs w:val="16"/>
              </w:rPr>
              <w:t>C</w:t>
            </w:r>
            <w:r w:rsidRPr="15A4969B">
              <w:rPr>
                <w:rFonts w:ascii="Verdana" w:hAnsi="Verdana" w:eastAsia="Verdana" w:cs="Verdana"/>
                <w:sz w:val="16"/>
                <w:szCs w:val="16"/>
              </w:rPr>
              <w:t xml:space="preserve">ontratista </w:t>
            </w:r>
            <w:r w:rsidRPr="15A4969B">
              <w:rPr>
                <w:rFonts w:ascii="Verdana" w:hAnsi="Verdana" w:eastAsia="Verdana" w:cs="Verdana"/>
                <w:color w:val="000000" w:themeColor="text1"/>
                <w:sz w:val="16"/>
                <w:szCs w:val="16"/>
              </w:rPr>
              <w:t>de la Subdirección de Gestión Contractual</w:t>
            </w:r>
          </w:p>
        </w:tc>
      </w:tr>
      <w:tr w:rsidR="006B595D" w:rsidTr="00D00D4D" w14:paraId="46E5FC4F" w14:textId="77777777">
        <w:trPr>
          <w:trHeight w:val="330"/>
        </w:trPr>
        <w:tc>
          <w:tcPr>
            <w:tcW w:w="1200" w:type="dxa"/>
            <w:tcMar>
              <w:left w:w="108" w:type="dxa"/>
              <w:right w:w="108" w:type="dxa"/>
            </w:tcMar>
            <w:vAlign w:val="center"/>
          </w:tcPr>
          <w:p w:rsidR="006B595D" w:rsidP="00D00D4D" w:rsidRDefault="006B595D" w14:paraId="617AA1DF" w14:textId="77777777">
            <w:pPr>
              <w:spacing w:after="255"/>
            </w:pPr>
            <w:r w:rsidRPr="15A4969B">
              <w:rPr>
                <w:rFonts w:ascii="Verdana" w:hAnsi="Verdana" w:eastAsia="Verdana" w:cs="Verdana"/>
                <w:color w:val="000000" w:themeColor="text1"/>
                <w:sz w:val="16"/>
                <w:szCs w:val="16"/>
                <w:lang w:val="es"/>
              </w:rPr>
              <w:t>Revisó:</w:t>
            </w:r>
          </w:p>
        </w:tc>
        <w:tc>
          <w:tcPr>
            <w:tcW w:w="5925" w:type="dxa"/>
            <w:tcMar>
              <w:left w:w="108" w:type="dxa"/>
              <w:right w:w="108" w:type="dxa"/>
            </w:tcMar>
            <w:vAlign w:val="center"/>
          </w:tcPr>
          <w:p w:rsidR="006B595D" w:rsidP="00D00D4D" w:rsidRDefault="006B595D" w14:paraId="38A0CD51" w14:textId="77777777">
            <w:r>
              <w:rPr>
                <w:rFonts w:ascii="Verdana" w:hAnsi="Verdana" w:eastAsia="Verdana" w:cs="Verdana"/>
                <w:color w:val="000000" w:themeColor="text1"/>
                <w:sz w:val="16"/>
                <w:szCs w:val="16"/>
              </w:rPr>
              <w:t>Adriana López</w:t>
            </w:r>
          </w:p>
          <w:p w:rsidR="006B595D" w:rsidP="00D00D4D" w:rsidRDefault="006B595D" w14:paraId="0BF16615" w14:textId="77777777">
            <w:r w:rsidRPr="15A4969B">
              <w:rPr>
                <w:rFonts w:ascii="Verdana" w:hAnsi="Verdana" w:eastAsia="Verdana" w:cs="Verdana"/>
                <w:color w:val="000000" w:themeColor="text1"/>
                <w:sz w:val="16"/>
                <w:szCs w:val="16"/>
              </w:rPr>
              <w:t>C</w:t>
            </w:r>
            <w:r w:rsidRPr="15A4969B">
              <w:rPr>
                <w:rFonts w:ascii="Verdana" w:hAnsi="Verdana" w:eastAsia="Verdana" w:cs="Verdana"/>
                <w:sz w:val="16"/>
                <w:szCs w:val="16"/>
              </w:rPr>
              <w:t xml:space="preserve">ontratista </w:t>
            </w:r>
            <w:r w:rsidRPr="15A4969B">
              <w:rPr>
                <w:rFonts w:ascii="Verdana" w:hAnsi="Verdana" w:eastAsia="Verdana" w:cs="Verdana"/>
                <w:color w:val="000000" w:themeColor="text1"/>
                <w:sz w:val="16"/>
                <w:szCs w:val="16"/>
              </w:rPr>
              <w:t>de la Subdirección de Gestión Contractual</w:t>
            </w:r>
          </w:p>
        </w:tc>
      </w:tr>
      <w:tr w:rsidR="006B595D" w:rsidTr="00D00D4D" w14:paraId="4EAFFBD2" w14:textId="77777777">
        <w:trPr>
          <w:trHeight w:val="300"/>
        </w:trPr>
        <w:tc>
          <w:tcPr>
            <w:tcW w:w="1200" w:type="dxa"/>
            <w:tcMar>
              <w:left w:w="108" w:type="dxa"/>
              <w:right w:w="108" w:type="dxa"/>
            </w:tcMar>
            <w:vAlign w:val="center"/>
          </w:tcPr>
          <w:p w:rsidR="006B595D" w:rsidP="00D00D4D" w:rsidRDefault="006B595D" w14:paraId="000D43E3" w14:textId="77777777">
            <w:r w:rsidRPr="15A4969B">
              <w:rPr>
                <w:rFonts w:ascii="Verdana" w:hAnsi="Verdana" w:eastAsia="Verdana" w:cs="Verdana"/>
                <w:color w:val="000000" w:themeColor="text1"/>
                <w:sz w:val="16"/>
                <w:szCs w:val="16"/>
                <w:lang w:val="es"/>
              </w:rPr>
              <w:t>Aprobó:</w:t>
            </w:r>
          </w:p>
        </w:tc>
        <w:tc>
          <w:tcPr>
            <w:tcW w:w="5925" w:type="dxa"/>
            <w:tcMar>
              <w:left w:w="108" w:type="dxa"/>
              <w:right w:w="108" w:type="dxa"/>
            </w:tcMar>
            <w:vAlign w:val="center"/>
          </w:tcPr>
          <w:p w:rsidR="006B595D" w:rsidP="00D00D4D" w:rsidRDefault="006B595D" w14:paraId="17F1FF22" w14:textId="77777777">
            <w:r w:rsidRPr="15A4969B">
              <w:rPr>
                <w:rFonts w:ascii="Verdana" w:hAnsi="Verdana" w:eastAsia="Verdana" w:cs="Verdana"/>
                <w:color w:val="000000" w:themeColor="text1"/>
                <w:sz w:val="16"/>
                <w:szCs w:val="16"/>
                <w:lang w:val="pt-BR"/>
              </w:rPr>
              <w:t xml:space="preserve">Carolina Quintero </w:t>
            </w:r>
            <w:proofErr w:type="spellStart"/>
            <w:r w:rsidRPr="15A4969B">
              <w:rPr>
                <w:rFonts w:ascii="Verdana" w:hAnsi="Verdana" w:eastAsia="Verdana" w:cs="Verdana"/>
                <w:color w:val="000000" w:themeColor="text1"/>
                <w:sz w:val="16"/>
                <w:szCs w:val="16"/>
                <w:lang w:val="pt-BR"/>
              </w:rPr>
              <w:t>Gacharná</w:t>
            </w:r>
            <w:proofErr w:type="spellEnd"/>
          </w:p>
          <w:p w:rsidR="006B595D" w:rsidP="00D00D4D" w:rsidRDefault="006B595D" w14:paraId="39D58083" w14:textId="77777777">
            <w:r w:rsidRPr="15A4969B">
              <w:rPr>
                <w:rFonts w:ascii="Verdana" w:hAnsi="Verdana" w:eastAsia="Verdana" w:cs="Verdana"/>
                <w:color w:val="000000" w:themeColor="text1"/>
                <w:sz w:val="16"/>
                <w:szCs w:val="16"/>
              </w:rPr>
              <w:t>Subdirectora</w:t>
            </w:r>
            <w:r w:rsidRPr="15A4969B">
              <w:rPr>
                <w:rFonts w:ascii="Verdana" w:hAnsi="Verdana" w:eastAsia="Verdana" w:cs="Verdana"/>
                <w:color w:val="000000" w:themeColor="text1"/>
                <w:sz w:val="16"/>
                <w:szCs w:val="16"/>
                <w:lang w:val="pt-BR"/>
              </w:rPr>
              <w:t xml:space="preserve"> de Gestión </w:t>
            </w:r>
            <w:proofErr w:type="spellStart"/>
            <w:r w:rsidRPr="15A4969B">
              <w:rPr>
                <w:rFonts w:ascii="Verdana" w:hAnsi="Verdana" w:eastAsia="Verdana" w:cs="Verdana"/>
                <w:color w:val="000000" w:themeColor="text1"/>
                <w:sz w:val="16"/>
                <w:szCs w:val="16"/>
                <w:lang w:val="pt-BR"/>
              </w:rPr>
              <w:t>Contractual</w:t>
            </w:r>
            <w:proofErr w:type="spellEnd"/>
            <w:r w:rsidRPr="15A4969B">
              <w:rPr>
                <w:rFonts w:ascii="Verdana" w:hAnsi="Verdana" w:eastAsia="Verdana" w:cs="Verdana"/>
                <w:color w:val="000000" w:themeColor="text1"/>
                <w:sz w:val="16"/>
                <w:szCs w:val="16"/>
                <w:lang w:val="pt-BR"/>
              </w:rPr>
              <w:t xml:space="preserve"> ANCP – CCE</w:t>
            </w:r>
          </w:p>
        </w:tc>
      </w:tr>
    </w:tbl>
    <w:p w:rsidRPr="00E02524" w:rsidR="0022400B" w:rsidP="734EF5D3" w:rsidRDefault="34654822" w14:paraId="184378C1" w14:textId="77777777">
      <w:pPr>
        <w:spacing w:line="257" w:lineRule="auto"/>
        <w:jc w:val="both"/>
        <w:textAlignment w:val="baseline"/>
      </w:pPr>
      <w:r w:rsidRPr="734EF5D3">
        <w:rPr>
          <w:rFonts w:ascii="Calibri" w:hAnsi="Calibri" w:eastAsia="Calibri" w:cs="Calibri"/>
        </w:rPr>
        <w:t xml:space="preserve"> </w:t>
      </w:r>
    </w:p>
    <w:p w:rsidRPr="00E02524" w:rsidR="00AC2823" w:rsidP="00AC2823" w:rsidRDefault="34654822" w14:paraId="6F7C4599" w14:textId="0A58138A">
      <w:pPr>
        <w:spacing w:after="0" w:line="240" w:lineRule="auto"/>
        <w:jc w:val="both"/>
        <w:textAlignment w:val="baseline"/>
      </w:pPr>
      <w:r w:rsidRPr="734EF5D3">
        <w:rPr>
          <w:rFonts w:ascii="Verdana" w:hAnsi="Verdana" w:eastAsia="Verdana" w:cs="Verdana"/>
          <w:color w:val="000000" w:themeColor="text1"/>
          <w:sz w:val="16"/>
          <w:szCs w:val="16"/>
          <w:lang w:val="es-MX"/>
        </w:rPr>
        <w:t xml:space="preserve"> </w:t>
      </w:r>
    </w:p>
    <w:p w:rsidRPr="00E02524" w:rsidR="0022400B" w:rsidP="00AC2823" w:rsidRDefault="0022400B" w14:paraId="1EBED8E7" w14:textId="1ECE4211"/>
    <w:sectPr w:rsidRPr="00E02524" w:rsidR="0022400B" w:rsidSect="007C0C0F">
      <w:headerReference w:type="default" r:id="rId19"/>
      <w:footerReference w:type="default" r:id="rId20"/>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6A7" w:rsidP="004A1847" w:rsidRDefault="000546A7" w14:paraId="004ADE17" w14:textId="77777777">
      <w:pPr>
        <w:spacing w:after="0" w:line="240" w:lineRule="auto"/>
      </w:pPr>
      <w:r>
        <w:separator/>
      </w:r>
    </w:p>
  </w:endnote>
  <w:endnote w:type="continuationSeparator" w:id="0">
    <w:p w:rsidR="000546A7" w:rsidP="004A1847" w:rsidRDefault="000546A7" w14:paraId="765671A6" w14:textId="77777777">
      <w:pPr>
        <w:spacing w:after="0" w:line="240" w:lineRule="auto"/>
      </w:pPr>
      <w:r>
        <w:continuationSeparator/>
      </w:r>
    </w:p>
  </w:endnote>
  <w:endnote w:type="continuationNotice" w:id="1">
    <w:p w:rsidR="000546A7" w:rsidRDefault="000546A7" w14:paraId="1D6C343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6A7" w:rsidP="004A1847" w:rsidRDefault="000546A7" w14:paraId="273BF928" w14:textId="77777777">
      <w:pPr>
        <w:spacing w:after="0" w:line="240" w:lineRule="auto"/>
      </w:pPr>
      <w:r>
        <w:separator/>
      </w:r>
    </w:p>
  </w:footnote>
  <w:footnote w:type="continuationSeparator" w:id="0">
    <w:p w:rsidR="000546A7" w:rsidP="004A1847" w:rsidRDefault="000546A7" w14:paraId="13C1E2CE" w14:textId="77777777">
      <w:pPr>
        <w:spacing w:after="0" w:line="240" w:lineRule="auto"/>
      </w:pPr>
      <w:r>
        <w:continuationSeparator/>
      </w:r>
    </w:p>
  </w:footnote>
  <w:footnote w:type="continuationNotice" w:id="1">
    <w:p w:rsidR="000546A7" w:rsidRDefault="000546A7" w14:paraId="399B88FB" w14:textId="77777777">
      <w:pPr>
        <w:spacing w:after="0" w:line="240" w:lineRule="auto"/>
      </w:pPr>
    </w:p>
  </w:footnote>
  <w:footnote w:id="2">
    <w:p w:rsidR="734EF5D3" w:rsidP="734EF5D3" w:rsidRDefault="734EF5D3" w14:paraId="51CF7F81" w14:textId="77777777">
      <w:pPr>
        <w:jc w:val="both"/>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Corte Constitucional, Sentencia C-449 de 1992, y Consejo de Estado. Sala de lo Contencioso Administrativo, Sección Tercera, Sentencia del 3 de diciembre de 2007, expedientes acumulados: (25206, 25409, 24524, 27834, 25410, 26105, 28244, 31447).</w:t>
      </w:r>
    </w:p>
  </w:footnote>
  <w:footnote w:id="3">
    <w:p w:rsidR="00AC2823" w:rsidP="00AC2823" w:rsidRDefault="00AC2823" w14:paraId="205B5A3F" w14:textId="77777777">
      <w:pPr>
        <w:pStyle w:val="Textonotapie"/>
        <w:ind w:firstLine="708"/>
        <w:contextualSpacing/>
        <w:rPr>
          <w:rFonts w:ascii="Verdana" w:hAnsi="Verdana"/>
          <w:sz w:val="16"/>
          <w:szCs w:val="16"/>
          <w:lang w:val="es-CO"/>
        </w:rPr>
      </w:pPr>
      <w:r w:rsidRPr="0061450D">
        <w:rPr>
          <w:rStyle w:val="Refdenotaalpie"/>
          <w:rFonts w:ascii="Verdana" w:hAnsi="Verdana"/>
          <w:sz w:val="16"/>
          <w:szCs w:val="16"/>
        </w:rPr>
        <w:footnoteRef/>
      </w:r>
      <w:r w:rsidRPr="0061450D">
        <w:rPr>
          <w:rFonts w:ascii="Verdana" w:hAnsi="Verdana"/>
          <w:sz w:val="16"/>
          <w:szCs w:val="16"/>
        </w:rPr>
        <w:t xml:space="preserve"> </w:t>
      </w:r>
      <w:r w:rsidRPr="0061450D">
        <w:rPr>
          <w:rFonts w:ascii="Verdana" w:hAnsi="Verdana"/>
          <w:sz w:val="16"/>
          <w:szCs w:val="16"/>
          <w:lang w:val="es-CO"/>
        </w:rPr>
        <w:t xml:space="preserve">Osorio Arturo, Edna Lorena. Asociaciones Público – Privadas en Colombia. El contrato de APP. Una mirada legal – Infraestructura Social – Hospitales. Página 183. </w:t>
      </w:r>
    </w:p>
    <w:p w:rsidRPr="0061450D" w:rsidR="00AC2823" w:rsidP="00AC2823" w:rsidRDefault="00AC2823" w14:paraId="6BA1E951" w14:textId="77777777">
      <w:pPr>
        <w:pStyle w:val="Textonotapie"/>
        <w:ind w:firstLine="708"/>
        <w:contextualSpacing/>
        <w:rPr>
          <w:rFonts w:ascii="Verdana" w:hAnsi="Verdana"/>
          <w:sz w:val="16"/>
          <w:szCs w:val="16"/>
          <w:lang w:val="es-CO"/>
        </w:rPr>
      </w:pPr>
    </w:p>
  </w:footnote>
  <w:footnote w:id="4">
    <w:p w:rsidRPr="00BE5A9D" w:rsidR="00AC2823" w:rsidP="00AC2823" w:rsidRDefault="00AC2823" w14:paraId="3D80BEBD" w14:textId="77777777">
      <w:pPr>
        <w:tabs>
          <w:tab w:val="left" w:pos="0"/>
        </w:tabs>
        <w:spacing w:after="0" w:line="240" w:lineRule="auto"/>
        <w:ind w:firstLine="709"/>
        <w:contextualSpacing/>
        <w:jc w:val="both"/>
        <w:rPr>
          <w:rFonts w:ascii="Verdana" w:hAnsi="Verdana" w:eastAsia="Calibri" w:cs="Arial"/>
          <w:bCs/>
          <w:color w:val="000000" w:themeColor="text1"/>
          <w:sz w:val="12"/>
          <w:szCs w:val="12"/>
          <w:lang w:val="es-ES_tradnl"/>
        </w:rPr>
      </w:pPr>
      <w:r w:rsidRPr="0061450D">
        <w:rPr>
          <w:rStyle w:val="Refdenotaalpie"/>
          <w:rFonts w:ascii="Verdana" w:hAnsi="Verdana" w:cs="Arial"/>
          <w:sz w:val="16"/>
          <w:szCs w:val="16"/>
          <w:lang w:val="es-ES_tradnl"/>
        </w:rPr>
        <w:footnoteRef/>
      </w:r>
      <w:r w:rsidRPr="0061450D">
        <w:rPr>
          <w:rFonts w:ascii="Verdana" w:hAnsi="Verdana" w:cs="Arial"/>
          <w:sz w:val="16"/>
          <w:szCs w:val="16"/>
          <w:lang w:val="es-ES_tradnl"/>
        </w:rPr>
        <w:t xml:space="preserve"> </w:t>
      </w:r>
      <w:r w:rsidRPr="0061450D">
        <w:rPr>
          <w:rFonts w:ascii="Verdana" w:hAnsi="Verdana" w:eastAsia="Calibri" w:cs="Arial"/>
          <w:bCs/>
          <w:color w:val="000000" w:themeColor="text1"/>
          <w:sz w:val="16"/>
          <w:szCs w:val="16"/>
          <w:lang w:val="es-ES_tradnl"/>
        </w:rPr>
        <w:t>El Consejo de Estado ha destacado sus características: “</w:t>
      </w:r>
      <w:r w:rsidRPr="0061450D">
        <w:rPr>
          <w:rFonts w:ascii="Verdana" w:hAnsi="Verdana" w:cs="Arial"/>
          <w:sz w:val="16"/>
          <w:szCs w:val="16"/>
          <w:lang w:val="es-ES_tradnl"/>
        </w:rPr>
        <w:t xml:space="preserve">[…] </w:t>
      </w:r>
      <w:r w:rsidRPr="0061450D">
        <w:rPr>
          <w:rFonts w:ascii="Verdana" w:hAnsi="Verdana" w:eastAsia="Calibri" w:cs="Arial"/>
          <w:bCs/>
          <w:color w:val="000000" w:themeColor="text1"/>
          <w:sz w:val="16"/>
          <w:szCs w:val="16"/>
          <w:lang w:val="es-ES_tradnl"/>
        </w:rPr>
        <w:t>la jurisprudencia de la Sección Tercera de esta Corporación ha señalado como características propias del contrato de concesión que: i) dentro de su celebración interviene una entidad estatal que actúa como concedente y una persona natural o jurídica denominada concesionario; ii) El concesionario es quien asume la gestión y riesgo de un servicio que corresponde al Estado sustituyendo a éste en el cumplimiento de dicha carga; iii) La entidad estatal mantiene durante la ejecución del contrato la inspección, vigilancia y control de la labor a ejecutar por parte del concesionario; iv) el concesionario recibe una remuneración o contraprestación, la cual se pacta, de diversas maneras (tasas, tarifas, derechos, participación en la explotación del bien, entre otros); y que v) los bienes construidos o adecuados durante la concesión deben revertirse al Estado, aunque ello no se pacte expresamente en el contrato”. Consejo de Estado. Sección Tercera. Sentencia del 23 de octubre de 2017. Consejero Ponente: Jaime Orlando Santofimio Gamboa. Exp. 53.477.</w:t>
      </w:r>
    </w:p>
  </w:footnote>
  <w:footnote w:id="5">
    <w:p w:rsidR="00AC2823" w:rsidP="00AC2823" w:rsidRDefault="00AC2823" w14:paraId="0F222B4F" w14:textId="77777777">
      <w:pPr>
        <w:pStyle w:val="Textonotapie"/>
        <w:ind w:firstLine="709"/>
        <w:contextualSpacing/>
        <w:jc w:val="both"/>
        <w:rPr>
          <w:rFonts w:ascii="Verdana" w:hAnsi="Verdana" w:cs="Arial"/>
          <w:sz w:val="16"/>
          <w:szCs w:val="16"/>
          <w:lang w:val="pt-BR"/>
        </w:rPr>
      </w:pPr>
      <w:r w:rsidRPr="00772771">
        <w:rPr>
          <w:rStyle w:val="Refdenotaalpie"/>
          <w:rFonts w:ascii="Verdana" w:hAnsi="Verdana" w:cs="Arial"/>
          <w:sz w:val="16"/>
          <w:szCs w:val="16"/>
        </w:rPr>
        <w:footnoteRef/>
      </w:r>
      <w:r w:rsidRPr="00772771">
        <w:rPr>
          <w:rFonts w:ascii="Verdana" w:hAnsi="Verdana" w:cs="Arial"/>
          <w:sz w:val="16"/>
          <w:szCs w:val="16"/>
        </w:rPr>
        <w:t xml:space="preserve"> Quiñones Guzmán, Juan Carlos. Contratos de Asociación Publico – Privada e Infraestructura de Transporte. </w:t>
      </w:r>
      <w:r w:rsidRPr="00772771">
        <w:rPr>
          <w:rFonts w:ascii="Verdana" w:hAnsi="Verdana" w:cs="Arial"/>
          <w:sz w:val="16"/>
          <w:szCs w:val="16"/>
          <w:lang w:val="es-ES_tradnl"/>
        </w:rPr>
        <w:t xml:space="preserve">Primera edición 20202. </w:t>
      </w:r>
      <w:r w:rsidRPr="00772771">
        <w:rPr>
          <w:rFonts w:ascii="Verdana" w:hAnsi="Verdana" w:cs="Arial"/>
          <w:sz w:val="16"/>
          <w:szCs w:val="16"/>
          <w:lang w:val="pt-BR"/>
        </w:rPr>
        <w:t>Página 6.</w:t>
      </w:r>
    </w:p>
    <w:p w:rsidRPr="00772771" w:rsidR="00AC2823" w:rsidP="00AC2823" w:rsidRDefault="00AC2823" w14:paraId="2CE43697" w14:textId="77777777">
      <w:pPr>
        <w:pStyle w:val="Textonotapie"/>
        <w:ind w:firstLine="709"/>
        <w:contextualSpacing/>
        <w:jc w:val="both"/>
        <w:rPr>
          <w:rFonts w:ascii="Verdana" w:hAnsi="Verdana" w:cs="Arial"/>
          <w:sz w:val="16"/>
          <w:szCs w:val="16"/>
          <w:lang w:val="pt-BR"/>
        </w:rPr>
      </w:pPr>
    </w:p>
  </w:footnote>
  <w:footnote w:id="6">
    <w:p w:rsidRPr="00BE5A9D" w:rsidR="00AC2823" w:rsidP="00AC2823" w:rsidRDefault="00AC2823" w14:paraId="4A0EFDDF" w14:textId="77777777">
      <w:pPr>
        <w:spacing w:after="0" w:line="240" w:lineRule="auto"/>
        <w:ind w:firstLine="709"/>
        <w:contextualSpacing/>
        <w:jc w:val="both"/>
        <w:rPr>
          <w:rFonts w:ascii="Verdana" w:hAnsi="Verdana" w:cs="Arial"/>
          <w:sz w:val="12"/>
          <w:szCs w:val="12"/>
          <w:lang w:val="pt-BR"/>
        </w:rPr>
      </w:pPr>
      <w:r w:rsidRPr="00772771">
        <w:rPr>
          <w:rStyle w:val="Refdenotaalpie"/>
          <w:rFonts w:ascii="Verdana" w:hAnsi="Verdana" w:cs="Arial"/>
          <w:sz w:val="16"/>
          <w:szCs w:val="16"/>
        </w:rPr>
        <w:footnoteRef/>
      </w:r>
      <w:r w:rsidRPr="00772771">
        <w:rPr>
          <w:rFonts w:ascii="Verdana" w:hAnsi="Verdana" w:cs="Arial"/>
          <w:sz w:val="16"/>
          <w:szCs w:val="16"/>
          <w:lang w:val="pt-BR"/>
        </w:rPr>
        <w:t xml:space="preserve"> </w:t>
      </w:r>
      <w:bookmarkStart w:name="_Hlk182373531" w:id="1"/>
      <w:r w:rsidRPr="00772771">
        <w:rPr>
          <w:rFonts w:ascii="Verdana" w:hAnsi="Verdana" w:cs="Arial"/>
          <w:sz w:val="16"/>
          <w:szCs w:val="16"/>
          <w:lang w:val="pt-BR"/>
        </w:rPr>
        <w:t>Corte Constitucional. Sentencia C-300 de 2012. Magistrado Ponente: Jorge Ignacio Pretelt Chaljub.</w:t>
      </w:r>
      <w:bookmarkEnd w:id="1"/>
    </w:p>
  </w:footnote>
  <w:footnote w:id="7">
    <w:p w:rsidR="734EF5D3" w:rsidP="734EF5D3" w:rsidRDefault="734EF5D3" w14:paraId="3C2E24A3" w14:textId="77777777">
      <w:pPr>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DÁVILA VINUEZA. Luis Guillermo. Régimen jurídico de la contratación estatal. 3ª ed. Bogotá: Temis, 2016. p. 494.</w:t>
      </w:r>
    </w:p>
  </w:footnote>
  <w:footnote w:id="8">
    <w:p w:rsidR="734EF5D3" w:rsidP="4A1F7902" w:rsidRDefault="734EF5D3" w14:paraId="514045C6" w14:textId="77777777">
      <w:pPr>
        <w:spacing w:after="0"/>
        <w:jc w:val="both"/>
        <w:rPr>
          <w:rFonts w:ascii="Verdana" w:hAnsi="Verdana" w:eastAsia="Verdana" w:cs="Verdana"/>
          <w:color w:val="000000" w:themeColor="text1"/>
          <w:sz w:val="16"/>
          <w:szCs w:val="16"/>
          <w:lang w:val="es-MX"/>
        </w:rPr>
      </w:pPr>
      <w:r w:rsidRPr="734EF5D3">
        <w:rPr>
          <w:rFonts w:ascii="Verdana" w:hAnsi="Verdana" w:eastAsia="Verdana" w:cs="Verdana"/>
          <w:sz w:val="16"/>
          <w:szCs w:val="16"/>
        </w:rPr>
        <w:footnoteRef/>
      </w:r>
      <w:r w:rsidRPr="734EF5D3" w:rsidR="4A1F7902">
        <w:rPr>
          <w:rFonts w:ascii="Verdana" w:hAnsi="Verdana" w:eastAsia="Verdana" w:cs="Verdana"/>
          <w:sz w:val="16"/>
          <w:szCs w:val="16"/>
        </w:rPr>
        <w:t xml:space="preserve"> </w:t>
      </w:r>
      <w:r w:rsidRPr="734EF5D3" w:rsidR="4A1F7902">
        <w:rPr>
          <w:rFonts w:ascii="Verdana" w:hAnsi="Verdana" w:eastAsia="Verdana" w:cs="Verdana"/>
          <w:color w:val="000000" w:themeColor="text1"/>
          <w:sz w:val="16"/>
          <w:szCs w:val="16"/>
          <w:lang w:val="es-MX"/>
        </w:rPr>
        <w:t>Decreto 1082 de 2015: «Artículo 2.2.1.2.1.4.4. Convenios o contratos interadministrativos. La modalidad de selección para la contratación entre Entidades Estatales es la contratación directa; y en consecuencia, le es aplicable lo establecido en el artículo 2.2.1.2.1.4.1 del presente decreto.</w:t>
      </w:r>
    </w:p>
    <w:p w:rsidR="734EF5D3" w:rsidP="734EF5D3" w:rsidRDefault="734EF5D3" w14:paraId="29C19E7D" w14:textId="77777777">
      <w:pPr>
        <w:spacing w:after="0"/>
        <w:ind w:firstLine="709"/>
        <w:jc w:val="both"/>
        <w:rPr>
          <w:rFonts w:ascii="Verdana" w:hAnsi="Verdana" w:eastAsia="Verdana" w:cs="Verdana"/>
          <w:color w:val="000000" w:themeColor="text1"/>
          <w:sz w:val="16"/>
          <w:szCs w:val="16"/>
          <w:lang w:val="es-MX"/>
        </w:rPr>
      </w:pPr>
      <w:r w:rsidRPr="734EF5D3">
        <w:rPr>
          <w:rFonts w:ascii="Verdana" w:hAnsi="Verdana" w:eastAsia="Verdana" w:cs="Verdana"/>
          <w:color w:val="000000" w:themeColor="text1"/>
          <w:sz w:val="16"/>
          <w:szCs w:val="16"/>
          <w:lang w:val="es-MX"/>
        </w:rPr>
        <w:t>»Cuando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p w:rsidR="734EF5D3" w:rsidP="734EF5D3" w:rsidRDefault="734EF5D3" w14:paraId="03E9E7EC" w14:textId="77777777">
      <w:pPr>
        <w:rPr>
          <w:rFonts w:ascii="Verdana" w:hAnsi="Verdana" w:eastAsia="Verdana" w:cs="Verdana"/>
          <w:sz w:val="16"/>
          <w:szCs w:val="16"/>
        </w:rPr>
      </w:pPr>
    </w:p>
  </w:footnote>
  <w:footnote w:id="9">
    <w:p w:rsidR="734EF5D3" w:rsidP="734EF5D3" w:rsidRDefault="734EF5D3" w14:paraId="3F72F94A" w14:textId="77777777">
      <w:pPr>
        <w:jc w:val="both"/>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w:t>
      </w:r>
      <w:r w:rsidRPr="734EF5D3">
        <w:rPr>
          <w:rFonts w:ascii="Verdana" w:hAnsi="Verdana" w:eastAsia="Verdana" w:cs="Verdana"/>
          <w:color w:val="000000" w:themeColor="text1"/>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footnote>
  <w:footnote w:id="10">
    <w:p w:rsidR="734EF5D3" w:rsidP="4A1F7902" w:rsidRDefault="734EF5D3" w14:paraId="38D25A55" w14:textId="77777777">
      <w:pPr>
        <w:spacing w:after="0"/>
        <w:rPr>
          <w:rFonts w:ascii="Verdana" w:hAnsi="Verdana" w:eastAsia="Verdana" w:cs="Verdana"/>
          <w:color w:val="000000" w:themeColor="text1"/>
          <w:sz w:val="16"/>
          <w:szCs w:val="16"/>
          <w:lang w:val="es-MX"/>
        </w:rPr>
      </w:pPr>
      <w:r w:rsidRPr="4A1F7902">
        <w:rPr>
          <w:rFonts w:ascii="Verdana" w:hAnsi="Verdana" w:eastAsia="Verdana" w:cs="Verdana"/>
          <w:sz w:val="16"/>
          <w:szCs w:val="16"/>
        </w:rPr>
        <w:footnoteRef/>
      </w:r>
      <w:r w:rsidRPr="4A1F7902" w:rsidR="4A1F7902">
        <w:rPr>
          <w:rFonts w:ascii="Verdana" w:hAnsi="Verdana" w:eastAsia="Verdana" w:cs="Verdana"/>
          <w:sz w:val="16"/>
          <w:szCs w:val="16"/>
        </w:rPr>
        <w:t xml:space="preserve"> </w:t>
      </w:r>
      <w:r w:rsidRPr="4A1F7902" w:rsidR="4A1F7902">
        <w:rPr>
          <w:rFonts w:ascii="Verdana" w:hAnsi="Verdana" w:eastAsia="Verdana" w:cs="Verdana"/>
          <w:color w:val="000000" w:themeColor="text1"/>
          <w:sz w:val="16"/>
          <w:szCs w:val="16"/>
          <w:lang w:val="es-MX"/>
        </w:rPr>
        <w:t>Ley 80 de 1993: «Artículo 41. Del perfeccionamiento del contrato. Los contratos del Estado se perfeccionan cuando se logre acuerdo sobre el objeto y la contraprestación y éste se eleve a escrito.</w:t>
      </w:r>
    </w:p>
    <w:p w:rsidR="734EF5D3" w:rsidP="734EF5D3" w:rsidRDefault="734EF5D3" w14:paraId="78E04F89" w14:textId="77777777">
      <w:pPr>
        <w:spacing w:after="0"/>
        <w:ind w:firstLine="709"/>
        <w:rPr>
          <w:rFonts w:ascii="Verdana" w:hAnsi="Verdana" w:eastAsia="Verdana" w:cs="Verdana"/>
          <w:color w:val="000000" w:themeColor="text1"/>
          <w:sz w:val="16"/>
          <w:szCs w:val="16"/>
          <w:lang w:val="es-MX"/>
        </w:rPr>
      </w:pPr>
      <w:r w:rsidRPr="734EF5D3">
        <w:rPr>
          <w:rFonts w:ascii="Verdana" w:hAnsi="Verdana" w:eastAsia="Verdana" w:cs="Verdana"/>
          <w:color w:val="000000" w:themeColor="text1"/>
          <w:sz w:val="16"/>
          <w:szCs w:val="16"/>
          <w:lang w:val="es-MX"/>
        </w:rPr>
        <w:t>[…]».</w:t>
      </w:r>
    </w:p>
    <w:p w:rsidR="734EF5D3" w:rsidRDefault="734EF5D3" w14:paraId="505820BF" w14:textId="77777777"/>
  </w:footnote>
  <w:footnote w:id="11">
    <w:p w:rsidR="734EF5D3" w:rsidP="734EF5D3" w:rsidRDefault="734EF5D3" w14:paraId="5FED2177" w14:textId="77777777">
      <w:pPr>
        <w:jc w:val="both"/>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w:t>
      </w:r>
      <w:r w:rsidRPr="734EF5D3">
        <w:rPr>
          <w:rFonts w:ascii="Verdana" w:hAnsi="Verdana" w:eastAsia="Verdana" w:cs="Verdana"/>
          <w:color w:val="000000" w:themeColor="text1"/>
          <w:sz w:val="16"/>
          <w:szCs w:val="16"/>
        </w:rPr>
        <w:t>Código Civil: «Artículo 27. Cuando el sentido de la ley sea claro, no se desatenderá su tenor a pretexto de consultar su espíritu».</w:t>
      </w:r>
    </w:p>
  </w:footnote>
  <w:footnote w:id="12">
    <w:p w:rsidR="734EF5D3" w:rsidP="734EF5D3" w:rsidRDefault="734EF5D3" w14:paraId="2729C985" w14:textId="77777777">
      <w:pPr>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Consejo de Estado. Sala de Consulta y Servicio Civil. Concepto No. 2257 del 26 de julio de 2016. C.P: Álvaro Namén Vargas.</w:t>
      </w:r>
    </w:p>
  </w:footnote>
  <w:footnote w:id="13">
    <w:p w:rsidR="734EF5D3" w:rsidP="734EF5D3" w:rsidRDefault="734EF5D3" w14:paraId="0924AD64" w14:textId="77777777">
      <w:pPr>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Motivo por el cual son típicas cláusulas accidentales dentro de los contratos estatales, en los términos del artículo 1501 del Código Civil.</w:t>
      </w:r>
    </w:p>
  </w:footnote>
  <w:footnote w:id="14">
    <w:p w:rsidR="734EF5D3" w:rsidP="00AC2823" w:rsidRDefault="734EF5D3" w14:paraId="5F1C8009" w14:textId="325FC529">
      <w:pPr>
        <w:spacing w:after="0" w:line="240" w:lineRule="auto"/>
        <w:contextualSpacing/>
        <w:jc w:val="both"/>
      </w:pPr>
      <w:r w:rsidRPr="4A1F7902">
        <w:rPr>
          <w:rFonts w:ascii="Verdana" w:hAnsi="Verdana" w:eastAsia="Verdana" w:cs="Verdana"/>
          <w:sz w:val="16"/>
          <w:szCs w:val="16"/>
        </w:rPr>
        <w:footnoteRef/>
      </w:r>
      <w:r w:rsidRPr="4A1F7902" w:rsidR="4A1F7902">
        <w:rPr>
          <w:rFonts w:ascii="Verdana" w:hAnsi="Verdana" w:eastAsia="Verdana" w:cs="Verdana"/>
          <w:sz w:val="16"/>
          <w:szCs w:val="16"/>
        </w:rPr>
        <w:t xml:space="preserve"> Consejo de Estado. Sala de lo Contencioso administrativo. Sección Tercera. Auto del 13 de noviembre de 2003, expediente 22840, C. P:  Ricardo Hoyos Duque.</w:t>
      </w:r>
    </w:p>
  </w:footnote>
  <w:footnote w:id="15">
    <w:p w:rsidR="734EF5D3" w:rsidP="00AC2823" w:rsidRDefault="734EF5D3" w14:paraId="6368C7A3" w14:textId="46CFF110">
      <w:pPr>
        <w:spacing w:after="0" w:line="240" w:lineRule="auto"/>
        <w:contextualSpacing/>
        <w:jc w:val="both"/>
      </w:pPr>
      <w:r w:rsidRPr="734EF5D3">
        <w:rPr>
          <w:rFonts w:ascii="Verdana" w:hAnsi="Verdana" w:eastAsia="Verdana" w:cs="Verdana"/>
          <w:sz w:val="16"/>
          <w:szCs w:val="16"/>
        </w:rPr>
        <w:footnoteRef/>
      </w:r>
      <w:r w:rsidRPr="734EF5D3" w:rsidR="4A1F7902">
        <w:rPr>
          <w:rFonts w:ascii="Verdana" w:hAnsi="Verdana" w:eastAsia="Verdana" w:cs="Verdana"/>
          <w:sz w:val="16"/>
          <w:szCs w:val="16"/>
        </w:rPr>
        <w:t xml:space="preserve"> </w:t>
      </w:r>
      <w:r w:rsidRPr="734EF5D3" w:rsidR="4A1F7902">
        <w:rPr>
          <w:rFonts w:ascii="Verdana" w:hAnsi="Verdana" w:eastAsia="Verdana" w:cs="Verdana"/>
          <w:sz w:val="16"/>
          <w:szCs w:val="16"/>
          <w:lang w:val="es-MX"/>
        </w:rPr>
        <w:t>Consejo de Estado. Sala de lo Contencioso Administrativo. Sección Tercera. Subsección A. Sentencia del 31 de marzo del 2023. Radicado: 25000-23-36-000-2014-00674-01 (56.002) C.P: María Adriana Marín.</w:t>
      </w:r>
    </w:p>
  </w:footnote>
  <w:footnote w:id="16">
    <w:p w:rsidR="734EF5D3" w:rsidP="00AC2823" w:rsidRDefault="734EF5D3" w14:paraId="45BFA769" w14:textId="77777777">
      <w:pPr>
        <w:spacing w:after="0" w:line="240" w:lineRule="auto"/>
        <w:contextualSpacing/>
        <w:jc w:val="both"/>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SANTOS RODRÍGUEZ, Jorge Enrique. Consideraciones sobre los contratos y convenios interadministrativos. Revista Digital de Derecho Administrativo, Universidad Externado de Colombia. Bogotá – Colombia. Num. 1 enero-junio, 2009, pp. 1-24 </w:t>
      </w:r>
      <w:r w:rsidRPr="734EF5D3">
        <w:rPr>
          <w:rFonts w:ascii="Verdana" w:hAnsi="Verdana" w:eastAsia="Verdana" w:cs="Verdana"/>
          <w:sz w:val="16"/>
          <w:szCs w:val="16"/>
          <w:lang w:val="es"/>
        </w:rPr>
        <w:t xml:space="preserve">Disponible en </w:t>
      </w:r>
      <w:hyperlink r:id="rId1">
        <w:r w:rsidRPr="734EF5D3">
          <w:rPr>
            <w:rStyle w:val="Hipervnculo"/>
            <w:rFonts w:ascii="Verdana" w:hAnsi="Verdana" w:eastAsia="Verdana" w:cs="Verdana"/>
            <w:sz w:val="16"/>
            <w:szCs w:val="16"/>
          </w:rPr>
          <w:t>Redalyc.Consideraciones sobre los contratos y convenios interadministrativos</w:t>
        </w:r>
      </w:hyperlink>
    </w:p>
  </w:footnote>
  <w:footnote w:id="17">
    <w:p w:rsidR="734EF5D3" w:rsidP="00AC2823" w:rsidRDefault="734EF5D3" w14:paraId="64862FE6" w14:textId="77777777">
      <w:pPr>
        <w:spacing w:after="0" w:line="240" w:lineRule="auto"/>
        <w:contextualSpacing/>
        <w:jc w:val="both"/>
        <w:rPr>
          <w:rFonts w:ascii="Verdana" w:hAnsi="Verdana" w:eastAsia="Verdana" w:cs="Verdana"/>
          <w:sz w:val="16"/>
          <w:szCs w:val="16"/>
        </w:rPr>
      </w:pPr>
      <w:r w:rsidRPr="734EF5D3">
        <w:rPr>
          <w:rFonts w:ascii="Verdana" w:hAnsi="Verdana" w:eastAsia="Verdana" w:cs="Verdana"/>
          <w:sz w:val="16"/>
          <w:szCs w:val="16"/>
        </w:rPr>
        <w:footnoteRef/>
      </w:r>
      <w:r w:rsidRPr="734EF5D3">
        <w:rPr>
          <w:rFonts w:ascii="Verdana" w:hAnsi="Verdana" w:eastAsia="Verdana" w:cs="Verdana"/>
          <w:sz w:val="16"/>
          <w:szCs w:val="16"/>
        </w:rPr>
        <w:t xml:space="preserve"> </w:t>
      </w:r>
      <w:r w:rsidRPr="734EF5D3">
        <w:rPr>
          <w:rFonts w:ascii="Verdana" w:hAnsi="Verdana" w:eastAsia="Verdana" w:cs="Verdana"/>
          <w:sz w:val="16"/>
          <w:szCs w:val="16"/>
          <w:lang w:val="es"/>
        </w:rPr>
        <w:t>Sostiene el profesor Santos que “</w:t>
      </w:r>
      <w:r w:rsidRPr="734EF5D3">
        <w:rPr>
          <w:rFonts w:ascii="Verdana" w:hAnsi="Verdana" w:eastAsia="Verdana" w:cs="Verdana"/>
          <w:sz w:val="16"/>
          <w:szCs w:val="16"/>
        </w:rPr>
        <w:t>En la aplicación de la tesis que se propone, tomando en consideración que la capacidad de las personas públicas y los órganos administrativos con capacidad de contratación debe ser entendida como competencia y que dicha competencia se encuentra dada, de manera general, por la Ley 80 de 1993 y por las normas orgánicas del presupuesto, en los contratos interadministrativos, la declaración de caducidad del contrato genera todas las consecuencias legales con excepción de la inhabilidad de los cinco años para contratar puesto que esta limitación a la capacidad (en este caso a la competencia) viene dada por un acto administrativo que aplica una consecuencia legal, pero que, en todo caso, no puede limitar las situaciones jurídicas fijadas por una ley orgánica.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 o:bullet="t" type="#_x0000_t75">
        <v:imagedata o:title="mso1B13" r:id="rId1"/>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47858"/>
    <w:multiLevelType w:val="hybridMultilevel"/>
    <w:tmpl w:val="1210505C"/>
    <w:lvl w:ilvl="0" w:tplc="49301B30">
      <w:start w:val="1"/>
      <w:numFmt w:val="upperRoman"/>
      <w:lvlText w:val="%1."/>
      <w:lvlJc w:val="right"/>
      <w:pPr>
        <w:ind w:left="720" w:hanging="360"/>
      </w:pPr>
    </w:lvl>
    <w:lvl w:ilvl="1" w:tplc="6F767484">
      <w:start w:val="1"/>
      <w:numFmt w:val="lowerLetter"/>
      <w:lvlText w:val="%2."/>
      <w:lvlJc w:val="left"/>
      <w:pPr>
        <w:ind w:left="1440" w:hanging="360"/>
      </w:pPr>
    </w:lvl>
    <w:lvl w:ilvl="2" w:tplc="7A301C9E">
      <w:start w:val="1"/>
      <w:numFmt w:val="lowerRoman"/>
      <w:lvlText w:val="%3."/>
      <w:lvlJc w:val="right"/>
      <w:pPr>
        <w:ind w:left="2160" w:hanging="180"/>
      </w:pPr>
    </w:lvl>
    <w:lvl w:ilvl="3" w:tplc="43BACBD2">
      <w:start w:val="1"/>
      <w:numFmt w:val="decimal"/>
      <w:lvlText w:val="%4."/>
      <w:lvlJc w:val="left"/>
      <w:pPr>
        <w:ind w:left="2880" w:hanging="360"/>
      </w:pPr>
    </w:lvl>
    <w:lvl w:ilvl="4" w:tplc="C8F61DBC">
      <w:start w:val="1"/>
      <w:numFmt w:val="lowerLetter"/>
      <w:lvlText w:val="%5."/>
      <w:lvlJc w:val="left"/>
      <w:pPr>
        <w:ind w:left="3600" w:hanging="360"/>
      </w:pPr>
    </w:lvl>
    <w:lvl w:ilvl="5" w:tplc="25CA4144">
      <w:start w:val="1"/>
      <w:numFmt w:val="lowerRoman"/>
      <w:lvlText w:val="%6."/>
      <w:lvlJc w:val="right"/>
      <w:pPr>
        <w:ind w:left="4320" w:hanging="180"/>
      </w:pPr>
    </w:lvl>
    <w:lvl w:ilvl="6" w:tplc="59769E72">
      <w:start w:val="1"/>
      <w:numFmt w:val="decimal"/>
      <w:lvlText w:val="%7."/>
      <w:lvlJc w:val="left"/>
      <w:pPr>
        <w:ind w:left="5040" w:hanging="360"/>
      </w:pPr>
    </w:lvl>
    <w:lvl w:ilvl="7" w:tplc="EE1C3294">
      <w:start w:val="1"/>
      <w:numFmt w:val="lowerLetter"/>
      <w:lvlText w:val="%8."/>
      <w:lvlJc w:val="left"/>
      <w:pPr>
        <w:ind w:left="5760" w:hanging="360"/>
      </w:pPr>
    </w:lvl>
    <w:lvl w:ilvl="8" w:tplc="D2A6D19C">
      <w:start w:val="1"/>
      <w:numFmt w:val="lowerRoman"/>
      <w:lvlText w:val="%9."/>
      <w:lvlJc w:val="right"/>
      <w:pPr>
        <w:ind w:left="6480" w:hanging="18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9F2C1E"/>
    <w:multiLevelType w:val="hybridMultilevel"/>
    <w:tmpl w:val="A38CD588"/>
    <w:lvl w:ilvl="0" w:tplc="569287F6">
      <w:start w:val="1"/>
      <w:numFmt w:val="upperRoman"/>
      <w:lvlText w:val="%1."/>
      <w:lvlJc w:val="right"/>
      <w:pPr>
        <w:ind w:left="720" w:hanging="360"/>
      </w:pPr>
    </w:lvl>
    <w:lvl w:ilvl="1" w:tplc="86E0A876">
      <w:start w:val="1"/>
      <w:numFmt w:val="lowerLetter"/>
      <w:lvlText w:val="%2."/>
      <w:lvlJc w:val="left"/>
      <w:pPr>
        <w:ind w:left="1440" w:hanging="360"/>
      </w:pPr>
    </w:lvl>
    <w:lvl w:ilvl="2" w:tplc="3134195C">
      <w:start w:val="1"/>
      <w:numFmt w:val="lowerRoman"/>
      <w:lvlText w:val="%3."/>
      <w:lvlJc w:val="right"/>
      <w:pPr>
        <w:ind w:left="2160" w:hanging="180"/>
      </w:pPr>
    </w:lvl>
    <w:lvl w:ilvl="3" w:tplc="36FE170E">
      <w:start w:val="1"/>
      <w:numFmt w:val="decimal"/>
      <w:lvlText w:val="%4."/>
      <w:lvlJc w:val="left"/>
      <w:pPr>
        <w:ind w:left="2880" w:hanging="360"/>
      </w:pPr>
    </w:lvl>
    <w:lvl w:ilvl="4" w:tplc="D108C5CE">
      <w:start w:val="1"/>
      <w:numFmt w:val="lowerLetter"/>
      <w:lvlText w:val="%5."/>
      <w:lvlJc w:val="left"/>
      <w:pPr>
        <w:ind w:left="3600" w:hanging="360"/>
      </w:pPr>
    </w:lvl>
    <w:lvl w:ilvl="5" w:tplc="0B866374">
      <w:start w:val="1"/>
      <w:numFmt w:val="lowerRoman"/>
      <w:lvlText w:val="%6."/>
      <w:lvlJc w:val="right"/>
      <w:pPr>
        <w:ind w:left="4320" w:hanging="180"/>
      </w:pPr>
    </w:lvl>
    <w:lvl w:ilvl="6" w:tplc="B8EA5CD8">
      <w:start w:val="1"/>
      <w:numFmt w:val="decimal"/>
      <w:lvlText w:val="%7."/>
      <w:lvlJc w:val="left"/>
      <w:pPr>
        <w:ind w:left="5040" w:hanging="360"/>
      </w:pPr>
    </w:lvl>
    <w:lvl w:ilvl="7" w:tplc="58067A5A">
      <w:start w:val="1"/>
      <w:numFmt w:val="lowerLetter"/>
      <w:lvlText w:val="%8."/>
      <w:lvlJc w:val="left"/>
      <w:pPr>
        <w:ind w:left="5760" w:hanging="360"/>
      </w:pPr>
    </w:lvl>
    <w:lvl w:ilvl="8" w:tplc="36ACC988">
      <w:start w:val="1"/>
      <w:numFmt w:val="lowerRoman"/>
      <w:lvlText w:val="%9."/>
      <w:lvlJc w:val="right"/>
      <w:pPr>
        <w:ind w:left="6480" w:hanging="180"/>
      </w:pPr>
    </w:lvl>
  </w:abstractNum>
  <w:abstractNum w:abstractNumId="15" w15:restartNumberingAfterBreak="0">
    <w:nsid w:val="76FDF5FD"/>
    <w:multiLevelType w:val="hybridMultilevel"/>
    <w:tmpl w:val="4A6EAB4A"/>
    <w:lvl w:ilvl="0" w:tplc="A13E3984">
      <w:start w:val="1"/>
      <w:numFmt w:val="bullet"/>
      <w:lvlText w:val="·"/>
      <w:lvlJc w:val="left"/>
      <w:pPr>
        <w:ind w:left="720" w:hanging="360"/>
      </w:pPr>
      <w:rPr>
        <w:rFonts w:hint="default" w:ascii="Symbol" w:hAnsi="Symbol"/>
      </w:rPr>
    </w:lvl>
    <w:lvl w:ilvl="1" w:tplc="DBBEC1E0">
      <w:start w:val="1"/>
      <w:numFmt w:val="bullet"/>
      <w:lvlText w:val="o"/>
      <w:lvlJc w:val="left"/>
      <w:pPr>
        <w:ind w:left="1440" w:hanging="360"/>
      </w:pPr>
      <w:rPr>
        <w:rFonts w:hint="default" w:ascii="Courier New" w:hAnsi="Courier New"/>
      </w:rPr>
    </w:lvl>
    <w:lvl w:ilvl="2" w:tplc="211ECA14">
      <w:start w:val="1"/>
      <w:numFmt w:val="bullet"/>
      <w:lvlText w:val=""/>
      <w:lvlJc w:val="left"/>
      <w:pPr>
        <w:ind w:left="2160" w:hanging="360"/>
      </w:pPr>
      <w:rPr>
        <w:rFonts w:hint="default" w:ascii="Wingdings" w:hAnsi="Wingdings"/>
      </w:rPr>
    </w:lvl>
    <w:lvl w:ilvl="3" w:tplc="159A1B6C">
      <w:start w:val="1"/>
      <w:numFmt w:val="bullet"/>
      <w:lvlText w:val=""/>
      <w:lvlJc w:val="left"/>
      <w:pPr>
        <w:ind w:left="2880" w:hanging="360"/>
      </w:pPr>
      <w:rPr>
        <w:rFonts w:hint="default" w:ascii="Symbol" w:hAnsi="Symbol"/>
      </w:rPr>
    </w:lvl>
    <w:lvl w:ilvl="4" w:tplc="526EB198">
      <w:start w:val="1"/>
      <w:numFmt w:val="bullet"/>
      <w:lvlText w:val="o"/>
      <w:lvlJc w:val="left"/>
      <w:pPr>
        <w:ind w:left="3600" w:hanging="360"/>
      </w:pPr>
      <w:rPr>
        <w:rFonts w:hint="default" w:ascii="Courier New" w:hAnsi="Courier New"/>
      </w:rPr>
    </w:lvl>
    <w:lvl w:ilvl="5" w:tplc="A0986C1E">
      <w:start w:val="1"/>
      <w:numFmt w:val="bullet"/>
      <w:lvlText w:val=""/>
      <w:lvlJc w:val="left"/>
      <w:pPr>
        <w:ind w:left="4320" w:hanging="360"/>
      </w:pPr>
      <w:rPr>
        <w:rFonts w:hint="default" w:ascii="Wingdings" w:hAnsi="Wingdings"/>
      </w:rPr>
    </w:lvl>
    <w:lvl w:ilvl="6" w:tplc="24B4781E">
      <w:start w:val="1"/>
      <w:numFmt w:val="bullet"/>
      <w:lvlText w:val=""/>
      <w:lvlJc w:val="left"/>
      <w:pPr>
        <w:ind w:left="5040" w:hanging="360"/>
      </w:pPr>
      <w:rPr>
        <w:rFonts w:hint="default" w:ascii="Symbol" w:hAnsi="Symbol"/>
      </w:rPr>
    </w:lvl>
    <w:lvl w:ilvl="7" w:tplc="76947B40">
      <w:start w:val="1"/>
      <w:numFmt w:val="bullet"/>
      <w:lvlText w:val="o"/>
      <w:lvlJc w:val="left"/>
      <w:pPr>
        <w:ind w:left="5760" w:hanging="360"/>
      </w:pPr>
      <w:rPr>
        <w:rFonts w:hint="default" w:ascii="Courier New" w:hAnsi="Courier New"/>
      </w:rPr>
    </w:lvl>
    <w:lvl w:ilvl="8" w:tplc="CECE59F8">
      <w:start w:val="1"/>
      <w:numFmt w:val="bullet"/>
      <w:lvlText w:val=""/>
      <w:lvlJc w:val="left"/>
      <w:pPr>
        <w:ind w:left="6480" w:hanging="360"/>
      </w:pPr>
      <w:rPr>
        <w:rFonts w:hint="default" w:ascii="Wingdings" w:hAnsi="Wingdings"/>
      </w:rPr>
    </w:lvl>
  </w:abstractNum>
  <w:abstractNum w:abstractNumId="16" w15:restartNumberingAfterBreak="0">
    <w:nsid w:val="7B9D7C47"/>
    <w:multiLevelType w:val="hybridMultilevel"/>
    <w:tmpl w:val="941A3FE0"/>
    <w:lvl w:ilvl="0" w:tplc="DE7CDE20">
      <w:start w:val="1"/>
      <w:numFmt w:val="bullet"/>
      <w:lvlText w:val="·"/>
      <w:lvlJc w:val="left"/>
      <w:pPr>
        <w:ind w:left="720" w:hanging="360"/>
      </w:pPr>
      <w:rPr>
        <w:rFonts w:hint="default" w:ascii="Symbol" w:hAnsi="Symbol"/>
      </w:rPr>
    </w:lvl>
    <w:lvl w:ilvl="1" w:tplc="0E2E62A8">
      <w:start w:val="1"/>
      <w:numFmt w:val="bullet"/>
      <w:lvlText w:val="o"/>
      <w:lvlJc w:val="left"/>
      <w:pPr>
        <w:ind w:left="1440" w:hanging="360"/>
      </w:pPr>
      <w:rPr>
        <w:rFonts w:hint="default" w:ascii="Courier New" w:hAnsi="Courier New"/>
      </w:rPr>
    </w:lvl>
    <w:lvl w:ilvl="2" w:tplc="2680859C">
      <w:start w:val="1"/>
      <w:numFmt w:val="bullet"/>
      <w:lvlText w:val=""/>
      <w:lvlJc w:val="left"/>
      <w:pPr>
        <w:ind w:left="2160" w:hanging="360"/>
      </w:pPr>
      <w:rPr>
        <w:rFonts w:hint="default" w:ascii="Wingdings" w:hAnsi="Wingdings"/>
      </w:rPr>
    </w:lvl>
    <w:lvl w:ilvl="3" w:tplc="58F4DADC">
      <w:start w:val="1"/>
      <w:numFmt w:val="bullet"/>
      <w:lvlText w:val=""/>
      <w:lvlJc w:val="left"/>
      <w:pPr>
        <w:ind w:left="2880" w:hanging="360"/>
      </w:pPr>
      <w:rPr>
        <w:rFonts w:hint="default" w:ascii="Symbol" w:hAnsi="Symbol"/>
      </w:rPr>
    </w:lvl>
    <w:lvl w:ilvl="4" w:tplc="B54254EC">
      <w:start w:val="1"/>
      <w:numFmt w:val="bullet"/>
      <w:lvlText w:val="o"/>
      <w:lvlJc w:val="left"/>
      <w:pPr>
        <w:ind w:left="3600" w:hanging="360"/>
      </w:pPr>
      <w:rPr>
        <w:rFonts w:hint="default" w:ascii="Courier New" w:hAnsi="Courier New"/>
      </w:rPr>
    </w:lvl>
    <w:lvl w:ilvl="5" w:tplc="48C87496">
      <w:start w:val="1"/>
      <w:numFmt w:val="bullet"/>
      <w:lvlText w:val=""/>
      <w:lvlJc w:val="left"/>
      <w:pPr>
        <w:ind w:left="4320" w:hanging="360"/>
      </w:pPr>
      <w:rPr>
        <w:rFonts w:hint="default" w:ascii="Wingdings" w:hAnsi="Wingdings"/>
      </w:rPr>
    </w:lvl>
    <w:lvl w:ilvl="6" w:tplc="0AC47438">
      <w:start w:val="1"/>
      <w:numFmt w:val="bullet"/>
      <w:lvlText w:val=""/>
      <w:lvlJc w:val="left"/>
      <w:pPr>
        <w:ind w:left="5040" w:hanging="360"/>
      </w:pPr>
      <w:rPr>
        <w:rFonts w:hint="default" w:ascii="Symbol" w:hAnsi="Symbol"/>
      </w:rPr>
    </w:lvl>
    <w:lvl w:ilvl="7" w:tplc="103AC590">
      <w:start w:val="1"/>
      <w:numFmt w:val="bullet"/>
      <w:lvlText w:val="o"/>
      <w:lvlJc w:val="left"/>
      <w:pPr>
        <w:ind w:left="5760" w:hanging="360"/>
      </w:pPr>
      <w:rPr>
        <w:rFonts w:hint="default" w:ascii="Courier New" w:hAnsi="Courier New"/>
      </w:rPr>
    </w:lvl>
    <w:lvl w:ilvl="8" w:tplc="B71897D8">
      <w:start w:val="1"/>
      <w:numFmt w:val="bullet"/>
      <w:lvlText w:val=""/>
      <w:lvlJc w:val="left"/>
      <w:pPr>
        <w:ind w:left="6480" w:hanging="360"/>
      </w:pPr>
      <w:rPr>
        <w:rFonts w:hint="default" w:ascii="Wingdings" w:hAnsi="Wingdings"/>
      </w:rPr>
    </w:lvl>
  </w:abstractNum>
  <w:num w:numId="1" w16cid:durableId="1846624319">
    <w:abstractNumId w:val="16"/>
  </w:num>
  <w:num w:numId="2" w16cid:durableId="1798715669">
    <w:abstractNumId w:val="14"/>
  </w:num>
  <w:num w:numId="3" w16cid:durableId="1734891850">
    <w:abstractNumId w:val="5"/>
  </w:num>
  <w:num w:numId="4" w16cid:durableId="360016696">
    <w:abstractNumId w:val="1"/>
  </w:num>
  <w:num w:numId="5" w16cid:durableId="849951142">
    <w:abstractNumId w:val="3"/>
  </w:num>
  <w:num w:numId="6" w16cid:durableId="549146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112761">
    <w:abstractNumId w:val="1"/>
  </w:num>
  <w:num w:numId="8" w16cid:durableId="1271203081">
    <w:abstractNumId w:val="12"/>
  </w:num>
  <w:num w:numId="9" w16cid:durableId="1910651579">
    <w:abstractNumId w:val="4"/>
  </w:num>
  <w:num w:numId="10" w16cid:durableId="647781068">
    <w:abstractNumId w:val="11"/>
  </w:num>
  <w:num w:numId="11" w16cid:durableId="1899126212">
    <w:abstractNumId w:val="6"/>
  </w:num>
  <w:num w:numId="12" w16cid:durableId="1541700823">
    <w:abstractNumId w:val="10"/>
  </w:num>
  <w:num w:numId="13" w16cid:durableId="1881164194">
    <w:abstractNumId w:val="7"/>
  </w:num>
  <w:num w:numId="14" w16cid:durableId="2112237138">
    <w:abstractNumId w:val="0"/>
  </w:num>
  <w:num w:numId="15" w16cid:durableId="1425297904">
    <w:abstractNumId w:val="2"/>
  </w:num>
  <w:num w:numId="16" w16cid:durableId="305279804">
    <w:abstractNumId w:val="13"/>
  </w:num>
  <w:num w:numId="17" w16cid:durableId="108012964">
    <w:abstractNumId w:val="9"/>
  </w:num>
  <w:num w:numId="18" w16cid:durableId="947852459">
    <w:abstractNumId w:val="15"/>
  </w:num>
  <w:num w:numId="19" w16cid:durableId="48994860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3FA8"/>
    <w:rsid w:val="00046945"/>
    <w:rsid w:val="000546A7"/>
    <w:rsid w:val="00061B2A"/>
    <w:rsid w:val="00082362"/>
    <w:rsid w:val="000A683E"/>
    <w:rsid w:val="000B19B9"/>
    <w:rsid w:val="000C311D"/>
    <w:rsid w:val="000D0334"/>
    <w:rsid w:val="000D5DA7"/>
    <w:rsid w:val="000F6486"/>
    <w:rsid w:val="00110D12"/>
    <w:rsid w:val="00112BD2"/>
    <w:rsid w:val="00116940"/>
    <w:rsid w:val="00125105"/>
    <w:rsid w:val="00127233"/>
    <w:rsid w:val="0015699B"/>
    <w:rsid w:val="00177E58"/>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5BEF"/>
    <w:rsid w:val="00377E3E"/>
    <w:rsid w:val="003A779E"/>
    <w:rsid w:val="003B66E0"/>
    <w:rsid w:val="003D0F4D"/>
    <w:rsid w:val="003D5B0D"/>
    <w:rsid w:val="003E0499"/>
    <w:rsid w:val="003E4F80"/>
    <w:rsid w:val="003E6439"/>
    <w:rsid w:val="003F3941"/>
    <w:rsid w:val="00406575"/>
    <w:rsid w:val="00414C74"/>
    <w:rsid w:val="00422F9C"/>
    <w:rsid w:val="0042722E"/>
    <w:rsid w:val="0044528D"/>
    <w:rsid w:val="00466E39"/>
    <w:rsid w:val="004A1847"/>
    <w:rsid w:val="004A305D"/>
    <w:rsid w:val="004E43FA"/>
    <w:rsid w:val="004F21C4"/>
    <w:rsid w:val="004F685F"/>
    <w:rsid w:val="005566E8"/>
    <w:rsid w:val="00574867"/>
    <w:rsid w:val="00591460"/>
    <w:rsid w:val="005A65E0"/>
    <w:rsid w:val="005C3777"/>
    <w:rsid w:val="005C5CDC"/>
    <w:rsid w:val="005D476C"/>
    <w:rsid w:val="006200BF"/>
    <w:rsid w:val="006219F8"/>
    <w:rsid w:val="006302F7"/>
    <w:rsid w:val="00646B9F"/>
    <w:rsid w:val="0066341E"/>
    <w:rsid w:val="00665D70"/>
    <w:rsid w:val="006900D9"/>
    <w:rsid w:val="006B595D"/>
    <w:rsid w:val="00706C16"/>
    <w:rsid w:val="007340C3"/>
    <w:rsid w:val="0075235A"/>
    <w:rsid w:val="00756841"/>
    <w:rsid w:val="007649AB"/>
    <w:rsid w:val="00771D0C"/>
    <w:rsid w:val="00777C27"/>
    <w:rsid w:val="007833AC"/>
    <w:rsid w:val="007A182F"/>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01E4"/>
    <w:rsid w:val="00A122D3"/>
    <w:rsid w:val="00A14468"/>
    <w:rsid w:val="00A17F13"/>
    <w:rsid w:val="00A20739"/>
    <w:rsid w:val="00A23AF9"/>
    <w:rsid w:val="00A33C78"/>
    <w:rsid w:val="00A51B9C"/>
    <w:rsid w:val="00AB0ADB"/>
    <w:rsid w:val="00AC2823"/>
    <w:rsid w:val="00B00C0E"/>
    <w:rsid w:val="00B01B1A"/>
    <w:rsid w:val="00B0381D"/>
    <w:rsid w:val="00B3592A"/>
    <w:rsid w:val="00B44A47"/>
    <w:rsid w:val="00B54963"/>
    <w:rsid w:val="00B6263B"/>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17C3D"/>
    <w:rsid w:val="00E20894"/>
    <w:rsid w:val="00E245AB"/>
    <w:rsid w:val="00E2764C"/>
    <w:rsid w:val="00E27F2E"/>
    <w:rsid w:val="00E50AFE"/>
    <w:rsid w:val="00E75C92"/>
    <w:rsid w:val="00E771DC"/>
    <w:rsid w:val="00E8772A"/>
    <w:rsid w:val="00E90F6B"/>
    <w:rsid w:val="00E92C27"/>
    <w:rsid w:val="00EA0E3D"/>
    <w:rsid w:val="00EC38A7"/>
    <w:rsid w:val="00EE175E"/>
    <w:rsid w:val="00EE1AA8"/>
    <w:rsid w:val="00F23FEA"/>
    <w:rsid w:val="00F31EDC"/>
    <w:rsid w:val="00F40A68"/>
    <w:rsid w:val="00F462B3"/>
    <w:rsid w:val="00F5664F"/>
    <w:rsid w:val="00F666C4"/>
    <w:rsid w:val="00F76AFC"/>
    <w:rsid w:val="00F81223"/>
    <w:rsid w:val="00FA47C0"/>
    <w:rsid w:val="00FB5DD1"/>
    <w:rsid w:val="00FC2B5D"/>
    <w:rsid w:val="00FF1449"/>
    <w:rsid w:val="00FF3383"/>
    <w:rsid w:val="00FF7963"/>
    <w:rsid w:val="05D9C8FC"/>
    <w:rsid w:val="064CA721"/>
    <w:rsid w:val="071B8F93"/>
    <w:rsid w:val="07C73DD1"/>
    <w:rsid w:val="09908A09"/>
    <w:rsid w:val="0DBF11D5"/>
    <w:rsid w:val="0DD66FC4"/>
    <w:rsid w:val="0E0AF0F4"/>
    <w:rsid w:val="0EFE6349"/>
    <w:rsid w:val="0F97E2E8"/>
    <w:rsid w:val="0FF4CCA8"/>
    <w:rsid w:val="1145B29E"/>
    <w:rsid w:val="1162AD67"/>
    <w:rsid w:val="13CFC91B"/>
    <w:rsid w:val="194A5740"/>
    <w:rsid w:val="19A2EC2C"/>
    <w:rsid w:val="2151DF03"/>
    <w:rsid w:val="21779BE6"/>
    <w:rsid w:val="22EEFFB0"/>
    <w:rsid w:val="22FD31A6"/>
    <w:rsid w:val="23A1F476"/>
    <w:rsid w:val="244FEC2C"/>
    <w:rsid w:val="2859CA1B"/>
    <w:rsid w:val="2875EDDA"/>
    <w:rsid w:val="2C4D2425"/>
    <w:rsid w:val="2EE1E026"/>
    <w:rsid w:val="2F44F38F"/>
    <w:rsid w:val="30821638"/>
    <w:rsid w:val="32A4F9CF"/>
    <w:rsid w:val="33193B15"/>
    <w:rsid w:val="33A1FF93"/>
    <w:rsid w:val="34654822"/>
    <w:rsid w:val="356CEDFD"/>
    <w:rsid w:val="3AC6443C"/>
    <w:rsid w:val="3AD40B8A"/>
    <w:rsid w:val="3C591AFD"/>
    <w:rsid w:val="3ED67D41"/>
    <w:rsid w:val="3F45C857"/>
    <w:rsid w:val="3FD6E17E"/>
    <w:rsid w:val="42183F0A"/>
    <w:rsid w:val="424AA16D"/>
    <w:rsid w:val="4531485A"/>
    <w:rsid w:val="48B4945D"/>
    <w:rsid w:val="4A1F7902"/>
    <w:rsid w:val="4BBCD551"/>
    <w:rsid w:val="4DFC9A13"/>
    <w:rsid w:val="50116F7C"/>
    <w:rsid w:val="53E83529"/>
    <w:rsid w:val="545B112A"/>
    <w:rsid w:val="54950CF7"/>
    <w:rsid w:val="5611F965"/>
    <w:rsid w:val="59BD3DEB"/>
    <w:rsid w:val="5B6B7793"/>
    <w:rsid w:val="5BEB1497"/>
    <w:rsid w:val="5C6FC1CE"/>
    <w:rsid w:val="6313D980"/>
    <w:rsid w:val="64FDAE67"/>
    <w:rsid w:val="69614A15"/>
    <w:rsid w:val="6DC51A8F"/>
    <w:rsid w:val="70BEBBBE"/>
    <w:rsid w:val="734EF5D3"/>
    <w:rsid w:val="741DF84B"/>
    <w:rsid w:val="74BA017B"/>
    <w:rsid w:val="7677286E"/>
    <w:rsid w:val="781020B2"/>
    <w:rsid w:val="79A64A20"/>
    <w:rsid w:val="7BB183BC"/>
    <w:rsid w:val="7EFDDA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styleId="Refdecomentario">
    <w:name w:val="annotation reference"/>
    <w:basedOn w:val="Fuentedeprrafopredeter"/>
    <w:uiPriority w:val="99"/>
    <w:semiHidden/>
    <w:unhideWhenUsed/>
    <w:rsid w:val="00375BEF"/>
    <w:rPr>
      <w:sz w:val="16"/>
      <w:szCs w:val="16"/>
    </w:rPr>
  </w:style>
  <w:style w:type="paragraph" w:styleId="Textocomentario">
    <w:name w:val="annotation text"/>
    <w:basedOn w:val="Normal"/>
    <w:link w:val="TextocomentarioCar"/>
    <w:uiPriority w:val="99"/>
    <w:semiHidden/>
    <w:unhideWhenUsed/>
    <w:rsid w:val="00375BEF"/>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375BEF"/>
    <w:rPr>
      <w:sz w:val="20"/>
      <w:szCs w:val="20"/>
    </w:rPr>
  </w:style>
  <w:style w:type="paragraph" w:styleId="Asuntodelcomentario">
    <w:name w:val="annotation subject"/>
    <w:basedOn w:val="Textocomentario"/>
    <w:next w:val="Textocomentario"/>
    <w:link w:val="AsuntodelcomentarioCar"/>
    <w:uiPriority w:val="99"/>
    <w:semiHidden/>
    <w:unhideWhenUsed/>
    <w:rsid w:val="00375BEF"/>
    <w:rPr>
      <w:b/>
      <w:bCs/>
    </w:rPr>
  </w:style>
  <w:style w:type="character" w:styleId="AsuntodelcomentarioCar" w:customStyle="1">
    <w:name w:val="Asunto del comentario Car"/>
    <w:basedOn w:val="TextocomentarioCar"/>
    <w:link w:val="Asuntodelcomentario"/>
    <w:uiPriority w:val="99"/>
    <w:semiHidden/>
    <w:rsid w:val="00375BEF"/>
    <w:rPr>
      <w:b/>
      <w:bCs/>
      <w:sz w:val="20"/>
      <w:szCs w:val="20"/>
    </w:rPr>
  </w:style>
  <w:style w:type="paragraph" w:styleId="Appelnotedebasde" w:customStyle="1">
    <w:name w:val="Appel note de bas de..."/>
    <w:basedOn w:val="Normal"/>
    <w:link w:val="Refdenotaalpie"/>
    <w:uiPriority w:val="99"/>
    <w:rsid w:val="00B54963"/>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redalyc.org/pdf/5038/503856222004.pdf" TargetMode="External" Id="rId13" /><Relationship Type="http://schemas.openxmlformats.org/officeDocument/2006/relationships/image" Target="media/image3.jpe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www.secretariasenado.gov.co/senado/basedoc/ley_0080_1993.html" TargetMode="External" Id="rId12" /><Relationship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 Id="rId17" /><Relationship Type="http://schemas.openxmlformats.org/officeDocument/2006/relationships/customXml" Target="../customXml/item2.xml" Id="rId2" /><Relationship Type="http://schemas.openxmlformats.org/officeDocument/2006/relationships/hyperlink" Target="https://www.colombiacompra.gov.co/normativa-y-relatoria/documentos-tipo"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lauravanesavega@hotmail.com" TargetMode="External" Id="rId11" /><Relationship Type="http://schemas.openxmlformats.org/officeDocument/2006/relationships/styles" Target="styles.xml" Id="rId5" /><Relationship Type="http://schemas.openxmlformats.org/officeDocument/2006/relationships/hyperlink" Target="https://formacionvirtual.colombiacompra.gov.co/mod/page/view.php?id=3718" TargetMode="External" Id="rId15" /><Relationship Type="http://schemas.openxmlformats.org/officeDocument/2006/relationships/image" Target="media/image2.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relatoria.colombiacompra.gov.co/busqueda/conceptos"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redalyc.org/pdf/5038/503856222004.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DE825E-87B6-4FE1-83CD-EB327EA209F7}"/>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Daniel Eduardo Rojas Poveda</lastModifiedBy>
  <revision>7</revision>
  <lastPrinted>2023-01-10T21:18:00.0000000Z</lastPrinted>
  <dcterms:created xsi:type="dcterms:W3CDTF">2026-07-28T21:24:00.0000000Z</dcterms:created>
  <dcterms:modified xsi:type="dcterms:W3CDTF">2026-07-30T17:37:14.2117956Z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