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08ED" w14:textId="77777777" w:rsidR="000A1B45" w:rsidRPr="001C7CDF" w:rsidRDefault="000A1B45" w:rsidP="00C85342">
      <w:pPr>
        <w:spacing w:line="240" w:lineRule="auto"/>
        <w:jc w:val="both"/>
        <w:rPr>
          <w:rFonts w:ascii="Verdana" w:eastAsia="Calibri" w:hAnsi="Verdana" w:cs="Arial"/>
          <w:b/>
          <w:lang w:val="es-MX"/>
        </w:rPr>
      </w:pPr>
      <w:bookmarkStart w:id="0" w:name="_Hlk143780582"/>
      <w:r w:rsidRPr="001C7CDF">
        <w:rPr>
          <w:rFonts w:ascii="Verdana" w:eastAsia="Calibri" w:hAnsi="Verdana" w:cs="Arial"/>
          <w:b/>
          <w:lang w:val="es-MX"/>
        </w:rPr>
        <w:t xml:space="preserve">ACTA DE INICIO – Definición – Marco normativo </w:t>
      </w:r>
    </w:p>
    <w:p w14:paraId="08951D1D" w14:textId="77777777" w:rsidR="000A1B45" w:rsidRPr="001C7CDF" w:rsidRDefault="000A1B45" w:rsidP="00C85342">
      <w:pPr>
        <w:spacing w:after="240" w:line="240" w:lineRule="auto"/>
        <w:jc w:val="both"/>
        <w:rPr>
          <w:rFonts w:ascii="Verdana" w:eastAsia="Calibri" w:hAnsi="Verdana" w:cs="Arial"/>
          <w:sz w:val="20"/>
          <w:szCs w:val="20"/>
          <w:lang w:val="es-ES" w:eastAsia="es-ES"/>
        </w:rPr>
      </w:pPr>
      <w:r w:rsidRPr="001C7CDF">
        <w:rPr>
          <w:rFonts w:ascii="Verdana" w:eastAsia="Calibri" w:hAnsi="Verdana" w:cs="Arial"/>
          <w:sz w:val="20"/>
          <w:szCs w:val="20"/>
          <w:lang w:val="es-ES" w:eastAsia="es-ES"/>
        </w:rPr>
        <w:t>El acta de inicio constituye un requisito de ejecución convencional, que se pacta en la minuta del contrato o que el contratista acepta, adhiriéndose al clausulado del pliego de condiciones o documento equivalente. Sin embargo, en el lenguaje de la contratación estatal, el acta de inicio es un documento en el que se fija la fecha en la que comienza el cómputo del plazo del contrato, una vez cumplidos los requisitos legales para el inicio de la ejecución del contrato. Es por ello, que la suscripción del acta de inicio usualmente se pacta en la cláusula del plazo, estableciendo que la fecha de la firma de tal documento será el hito que determinará desde cuándo comenzarán a contabilizarse los días, meses o años que se hayan estipulado como período para el cumplimiento del objeto del contrato. El fundamento legal que habilita a las partes para establecer la suscripción del acta de inicio como un requisito de ejecución convencional, se encuentra en el segundo inciso del artículo 40 de la Ley 80 de 1993.</w:t>
      </w:r>
    </w:p>
    <w:p w14:paraId="6DA32FD9" w14:textId="77777777" w:rsidR="000A1B45" w:rsidRPr="001C7CDF" w:rsidRDefault="000A1B45" w:rsidP="00C85342">
      <w:pPr>
        <w:spacing w:after="100" w:afterAutospacing="1" w:line="240" w:lineRule="auto"/>
        <w:jc w:val="both"/>
        <w:rPr>
          <w:rFonts w:ascii="Verdana" w:eastAsia="Calibri" w:hAnsi="Verdana" w:cs="Arial"/>
          <w:b/>
          <w:lang w:val="es-MX"/>
        </w:rPr>
      </w:pPr>
      <w:r w:rsidRPr="001C7CDF">
        <w:rPr>
          <w:rFonts w:ascii="Verdana" w:eastAsia="Calibri" w:hAnsi="Verdana" w:cs="Arial"/>
          <w:b/>
          <w:lang w:val="es-MX"/>
        </w:rPr>
        <w:t>REQUISITOS DE EJECUCIÓN – Diferencias entre requisitos de perfeccionamiento y ejecución – Requisitos de ejecución legales y convencionales.</w:t>
      </w:r>
    </w:p>
    <w:p w14:paraId="286F7FC2" w14:textId="0B60A5D0" w:rsidR="000A1B45" w:rsidRPr="001C7CDF" w:rsidRDefault="000A1B45" w:rsidP="00C85342">
      <w:pPr>
        <w:spacing w:after="0" w:line="240" w:lineRule="auto"/>
        <w:jc w:val="both"/>
        <w:rPr>
          <w:rFonts w:ascii="Verdana" w:eastAsia="Calibri" w:hAnsi="Verdana" w:cs="Arial"/>
          <w:sz w:val="20"/>
          <w:szCs w:val="20"/>
          <w:lang w:val="es-ES" w:eastAsia="es-ES"/>
        </w:rPr>
      </w:pPr>
      <w:r w:rsidRPr="001C7CDF">
        <w:rPr>
          <w:rFonts w:ascii="Verdana" w:eastAsia="Calibri" w:hAnsi="Verdana" w:cs="Arial"/>
          <w:sz w:val="20"/>
          <w:szCs w:val="20"/>
          <w:lang w:val="es-ES" w:eastAsia="es-ES"/>
        </w:rPr>
        <w:t xml:space="preserve">En consecuencia, a pesar de que están facultadas para acordar cláusulas accidentales en el negocio jurídico, estas no pueden ir en contra de los mandatos contenidos en el Estatuto General de Contratación de la Administración Pública. En tal sentido, teniendo en cuenta que el artículo 41 de la Ley 80 de 1993 establece que los requisitos legales de ejecución de los contratos estatales son la aprobación de las garantías, la apropiación presupuestal y la acreditación del cumplimiento de las obligaciones con el Sistema de Seguridad Social Integral, las partes no pueden establecer que el contrato estatal comenzará su ejecución cuando se firme el acta de inicio pretermitiendo las tres exigencias legales. </w:t>
      </w:r>
    </w:p>
    <w:p w14:paraId="58850CEB" w14:textId="77777777" w:rsidR="000A1B45" w:rsidRPr="001C7CDF" w:rsidRDefault="000A1B45" w:rsidP="00C85342">
      <w:pPr>
        <w:spacing w:after="0" w:line="240" w:lineRule="auto"/>
        <w:jc w:val="both"/>
        <w:rPr>
          <w:rFonts w:ascii="Verdana" w:eastAsia="Calibri" w:hAnsi="Verdana" w:cs="Arial"/>
          <w:sz w:val="20"/>
          <w:szCs w:val="20"/>
          <w:lang w:val="es-ES" w:eastAsia="es-ES"/>
        </w:rPr>
      </w:pPr>
    </w:p>
    <w:p w14:paraId="034D6C3D" w14:textId="2A31CEBC" w:rsidR="000A1B45" w:rsidRPr="001C7CDF" w:rsidRDefault="000A1B45" w:rsidP="00C85342">
      <w:pPr>
        <w:spacing w:after="0" w:line="240" w:lineRule="auto"/>
        <w:jc w:val="both"/>
        <w:rPr>
          <w:rFonts w:ascii="Verdana" w:eastAsia="Calibri" w:hAnsi="Verdana" w:cs="Arial"/>
          <w:sz w:val="20"/>
          <w:szCs w:val="20"/>
          <w:lang w:val="es-ES" w:eastAsia="es-ES"/>
        </w:rPr>
      </w:pPr>
      <w:r w:rsidRPr="001C7CDF">
        <w:rPr>
          <w:rFonts w:ascii="Verdana" w:eastAsia="Calibri" w:hAnsi="Verdana" w:cs="Arial"/>
          <w:sz w:val="20"/>
          <w:szCs w:val="20"/>
          <w:lang w:val="es-ES" w:eastAsia="es-ES"/>
        </w:rPr>
        <w:t>Además, el artículo 6 de la Constitución dispone que “Los particulares sólo son responsables ante las autoridades por infringir la Constitución y las leyes” y que “Los servidores públicos lo son por la misma causa y por omisión o extralimitación en el ejercicio de sus funciones”. Por tanto, no se puede suscribir el acta de inicio, estableciendo como fecha de inicio del contrato un día en el que aún no se hayan cumplido los requisitos de ejecución establecidos en el artículo 41 de la Ley 80 de 1993, porque ello implica una infracción de la ley.</w:t>
      </w:r>
    </w:p>
    <w:p w14:paraId="7C2B3E61" w14:textId="77777777" w:rsidR="000A1B45" w:rsidRPr="001C7CDF" w:rsidRDefault="000A1B45" w:rsidP="00C85342">
      <w:pPr>
        <w:pStyle w:val="Textoindependiente"/>
        <w:tabs>
          <w:tab w:val="left" w:pos="2949"/>
          <w:tab w:val="left" w:pos="4967"/>
          <w:tab w:val="left" w:pos="5543"/>
          <w:tab w:val="left" w:pos="7128"/>
          <w:tab w:val="left" w:pos="7535"/>
          <w:tab w:val="left" w:pos="8950"/>
        </w:tabs>
        <w:ind w:right="49"/>
        <w:jc w:val="both"/>
        <w:rPr>
          <w:rFonts w:ascii="Verdana" w:hAnsi="Verdana"/>
          <w:b/>
          <w:bCs/>
        </w:rPr>
      </w:pPr>
    </w:p>
    <w:p w14:paraId="4E2C9815" w14:textId="23A7EC91" w:rsidR="00EE5D6A" w:rsidRPr="001C7CDF" w:rsidRDefault="00EE5D6A" w:rsidP="00C85342">
      <w:pPr>
        <w:pStyle w:val="Textoindependiente"/>
        <w:tabs>
          <w:tab w:val="left" w:pos="2949"/>
          <w:tab w:val="left" w:pos="4967"/>
          <w:tab w:val="left" w:pos="5543"/>
          <w:tab w:val="left" w:pos="7128"/>
          <w:tab w:val="left" w:pos="7535"/>
          <w:tab w:val="left" w:pos="8950"/>
        </w:tabs>
        <w:spacing w:after="240"/>
        <w:ind w:right="49"/>
        <w:jc w:val="both"/>
        <w:rPr>
          <w:rFonts w:ascii="Verdana" w:hAnsi="Verdana"/>
          <w:b/>
          <w:bCs/>
        </w:rPr>
      </w:pPr>
      <w:r w:rsidRPr="001C7CDF">
        <w:rPr>
          <w:rFonts w:ascii="Verdana" w:hAnsi="Verdana"/>
          <w:b/>
          <w:bCs/>
        </w:rPr>
        <w:t>EJECUCIÓN</w:t>
      </w:r>
      <w:r w:rsidRPr="001C7CDF">
        <w:rPr>
          <w:rFonts w:ascii="Verdana" w:hAnsi="Verdana"/>
          <w:b/>
          <w:bCs/>
          <w:spacing w:val="36"/>
        </w:rPr>
        <w:t xml:space="preserve"> </w:t>
      </w:r>
      <w:r w:rsidRPr="001C7CDF">
        <w:rPr>
          <w:rFonts w:ascii="Verdana" w:hAnsi="Verdana"/>
          <w:b/>
          <w:bCs/>
        </w:rPr>
        <w:t>DEL</w:t>
      </w:r>
      <w:r w:rsidRPr="001C7CDF">
        <w:rPr>
          <w:rFonts w:ascii="Verdana" w:hAnsi="Verdana"/>
          <w:b/>
          <w:bCs/>
          <w:spacing w:val="36"/>
        </w:rPr>
        <w:t xml:space="preserve"> </w:t>
      </w:r>
      <w:r w:rsidRPr="001C7CDF">
        <w:rPr>
          <w:rFonts w:ascii="Verdana" w:hAnsi="Verdana"/>
          <w:b/>
          <w:bCs/>
        </w:rPr>
        <w:t>CONTRATO</w:t>
      </w:r>
      <w:r w:rsidRPr="001C7CDF">
        <w:rPr>
          <w:rFonts w:ascii="Verdana" w:hAnsi="Verdana"/>
          <w:b/>
          <w:bCs/>
          <w:spacing w:val="36"/>
        </w:rPr>
        <w:t xml:space="preserve"> </w:t>
      </w:r>
      <w:r w:rsidRPr="001C7CDF">
        <w:rPr>
          <w:rFonts w:ascii="Verdana" w:hAnsi="Verdana"/>
          <w:b/>
          <w:bCs/>
        </w:rPr>
        <w:t>ESTATAL</w:t>
      </w:r>
      <w:r w:rsidRPr="001C7CDF">
        <w:rPr>
          <w:rFonts w:ascii="Verdana" w:hAnsi="Verdana"/>
          <w:b/>
          <w:bCs/>
          <w:spacing w:val="36"/>
        </w:rPr>
        <w:t xml:space="preserve"> </w:t>
      </w:r>
      <w:r w:rsidRPr="001C7CDF">
        <w:rPr>
          <w:rFonts w:ascii="Verdana" w:hAnsi="Verdana"/>
          <w:b/>
          <w:bCs/>
        </w:rPr>
        <w:t>–</w:t>
      </w:r>
      <w:r w:rsidRPr="001C7CDF">
        <w:rPr>
          <w:rFonts w:ascii="Verdana" w:hAnsi="Verdana"/>
          <w:b/>
          <w:bCs/>
          <w:spacing w:val="35"/>
        </w:rPr>
        <w:t xml:space="preserve"> </w:t>
      </w:r>
      <w:r w:rsidRPr="001C7CDF">
        <w:rPr>
          <w:rFonts w:ascii="Verdana" w:hAnsi="Verdana"/>
          <w:b/>
          <w:bCs/>
        </w:rPr>
        <w:t>Requisitos</w:t>
      </w:r>
      <w:r w:rsidRPr="001C7CDF">
        <w:rPr>
          <w:rFonts w:ascii="Verdana" w:hAnsi="Verdana"/>
          <w:b/>
          <w:bCs/>
          <w:spacing w:val="36"/>
        </w:rPr>
        <w:t xml:space="preserve"> </w:t>
      </w:r>
      <w:r w:rsidRPr="001C7CDF">
        <w:rPr>
          <w:rFonts w:ascii="Verdana" w:hAnsi="Verdana"/>
          <w:b/>
          <w:bCs/>
          <w:spacing w:val="-10"/>
        </w:rPr>
        <w:t>–</w:t>
      </w:r>
      <w:r w:rsidRPr="001C7CDF">
        <w:rPr>
          <w:rFonts w:ascii="Verdana" w:hAnsi="Verdana"/>
          <w:b/>
          <w:bCs/>
        </w:rPr>
        <w:t xml:space="preserve"> Artículo</w:t>
      </w:r>
      <w:r w:rsidRPr="001C7CDF">
        <w:rPr>
          <w:rFonts w:ascii="Verdana" w:hAnsi="Verdana"/>
          <w:b/>
          <w:bCs/>
          <w:spacing w:val="33"/>
        </w:rPr>
        <w:t xml:space="preserve"> </w:t>
      </w:r>
      <w:r w:rsidRPr="001C7CDF">
        <w:rPr>
          <w:rFonts w:ascii="Verdana" w:hAnsi="Verdana"/>
          <w:b/>
          <w:bCs/>
        </w:rPr>
        <w:t>41</w:t>
      </w:r>
      <w:r w:rsidRPr="001C7CDF">
        <w:rPr>
          <w:rFonts w:ascii="Verdana" w:hAnsi="Verdana"/>
          <w:b/>
          <w:bCs/>
          <w:spacing w:val="30"/>
        </w:rPr>
        <w:t xml:space="preserve"> </w:t>
      </w:r>
      <w:r w:rsidRPr="001C7CDF">
        <w:rPr>
          <w:rFonts w:ascii="Verdana" w:hAnsi="Verdana"/>
          <w:b/>
          <w:bCs/>
        </w:rPr>
        <w:t>de</w:t>
      </w:r>
      <w:r w:rsidRPr="001C7CDF">
        <w:rPr>
          <w:rFonts w:ascii="Verdana" w:hAnsi="Verdana"/>
          <w:b/>
          <w:bCs/>
          <w:spacing w:val="30"/>
        </w:rPr>
        <w:t xml:space="preserve"> </w:t>
      </w:r>
      <w:r w:rsidRPr="001C7CDF">
        <w:rPr>
          <w:rFonts w:ascii="Verdana" w:hAnsi="Verdana"/>
          <w:b/>
          <w:bCs/>
        </w:rPr>
        <w:t>la</w:t>
      </w:r>
      <w:r w:rsidRPr="001C7CDF">
        <w:rPr>
          <w:rFonts w:ascii="Verdana" w:hAnsi="Verdana"/>
          <w:b/>
          <w:bCs/>
          <w:spacing w:val="30"/>
        </w:rPr>
        <w:t xml:space="preserve"> </w:t>
      </w:r>
      <w:r w:rsidRPr="001C7CDF">
        <w:rPr>
          <w:rFonts w:ascii="Verdana" w:hAnsi="Verdana"/>
          <w:b/>
          <w:bCs/>
        </w:rPr>
        <w:t>Ley 80</w:t>
      </w:r>
      <w:r w:rsidRPr="001C7CDF">
        <w:rPr>
          <w:rFonts w:ascii="Verdana" w:hAnsi="Verdana"/>
          <w:b/>
          <w:bCs/>
          <w:spacing w:val="30"/>
        </w:rPr>
        <w:t xml:space="preserve"> </w:t>
      </w:r>
      <w:r w:rsidRPr="001C7CDF">
        <w:rPr>
          <w:rFonts w:ascii="Verdana" w:hAnsi="Verdana"/>
          <w:b/>
          <w:bCs/>
        </w:rPr>
        <w:t>de</w:t>
      </w:r>
      <w:r w:rsidRPr="001C7CDF">
        <w:rPr>
          <w:rFonts w:ascii="Verdana" w:hAnsi="Verdana"/>
          <w:b/>
          <w:bCs/>
          <w:spacing w:val="30"/>
        </w:rPr>
        <w:t xml:space="preserve"> </w:t>
      </w:r>
      <w:r w:rsidRPr="001C7CDF">
        <w:rPr>
          <w:rFonts w:ascii="Verdana" w:hAnsi="Verdana"/>
          <w:b/>
          <w:bCs/>
        </w:rPr>
        <w:t>1993</w:t>
      </w:r>
      <w:r w:rsidRPr="001C7CDF">
        <w:rPr>
          <w:rFonts w:ascii="Verdana" w:hAnsi="Verdana"/>
          <w:b/>
          <w:bCs/>
          <w:spacing w:val="31"/>
        </w:rPr>
        <w:t xml:space="preserve"> </w:t>
      </w:r>
    </w:p>
    <w:p w14:paraId="224C311A" w14:textId="265D252E" w:rsidR="007844DC" w:rsidRPr="001C7CDF" w:rsidRDefault="00EE5D6A" w:rsidP="00C85342">
      <w:pPr>
        <w:pStyle w:val="Textoindependiente"/>
        <w:spacing w:before="160" w:after="240"/>
        <w:ind w:right="49"/>
        <w:jc w:val="both"/>
        <w:rPr>
          <w:rFonts w:ascii="Verdana" w:eastAsia="Calibri" w:hAnsi="Verdana"/>
          <w:color w:val="000000" w:themeColor="text1"/>
          <w:sz w:val="20"/>
          <w:szCs w:val="20"/>
        </w:rPr>
      </w:pPr>
      <w:r w:rsidRPr="001C7CDF">
        <w:rPr>
          <w:rFonts w:ascii="Verdana" w:eastAsia="Calibri" w:hAnsi="Verdana"/>
          <w:color w:val="000000" w:themeColor="text1"/>
          <w:sz w:val="20"/>
          <w:szCs w:val="20"/>
        </w:rPr>
        <w:t xml:space="preserve">Los anteriores y otros aspectos desarrollados por el Decreto 1082 de 2015 deben ser verificados por las </w:t>
      </w:r>
      <w:r w:rsidR="00FC2F42" w:rsidRPr="001C7CDF">
        <w:rPr>
          <w:rFonts w:ascii="Verdana" w:eastAsia="Calibri" w:hAnsi="Verdana"/>
          <w:color w:val="000000" w:themeColor="text1"/>
          <w:sz w:val="20"/>
          <w:szCs w:val="20"/>
        </w:rPr>
        <w:t>E</w:t>
      </w:r>
      <w:r w:rsidRPr="001C7CDF">
        <w:rPr>
          <w:rFonts w:ascii="Verdana" w:eastAsia="Calibri" w:hAnsi="Verdana"/>
          <w:color w:val="000000" w:themeColor="text1"/>
          <w:sz w:val="20"/>
          <w:szCs w:val="20"/>
        </w:rPr>
        <w:t xml:space="preserve">ntidades </w:t>
      </w:r>
      <w:r w:rsidR="00FC2F42" w:rsidRPr="001C7CDF">
        <w:rPr>
          <w:rFonts w:ascii="Verdana" w:eastAsia="Calibri" w:hAnsi="Verdana"/>
          <w:color w:val="000000" w:themeColor="text1"/>
          <w:sz w:val="20"/>
          <w:szCs w:val="20"/>
        </w:rPr>
        <w:t>E</w:t>
      </w:r>
      <w:r w:rsidRPr="001C7CDF">
        <w:rPr>
          <w:rFonts w:ascii="Verdana" w:eastAsia="Calibri" w:hAnsi="Verdana"/>
          <w:color w:val="000000" w:themeColor="text1"/>
          <w:sz w:val="20"/>
          <w:szCs w:val="20"/>
        </w:rPr>
        <w:t xml:space="preserve">statales, para determinar si los amparos constituidos por sus contratistas en cumplimiento de la obligación derivada del artículo 7 de la Ley 1150 de 2007 se ajustan o no a lo exigido por el reglamento respecto del objeto y valor del contrato. Lo expuesto resulta de especial relevancia, teniendo en cuenta que el </w:t>
      </w:r>
      <w:r w:rsidRPr="001C7CDF">
        <w:rPr>
          <w:rFonts w:ascii="Verdana" w:eastAsia="Calibri" w:hAnsi="Verdana"/>
          <w:color w:val="000000" w:themeColor="text1"/>
          <w:sz w:val="20"/>
          <w:szCs w:val="20"/>
        </w:rPr>
        <w:lastRenderedPageBreak/>
        <w:t>cumplimiento de la obligación de los contratistas de constituir las correspondientes garantías, y el deber de las entidades estatales de aprobarlas, una vez verificados los requisitos mínimos exigidos, son presupuestos para la ejecución del contrato, de conformidad con el artículo 41 de la Ley 80 de 1993.</w:t>
      </w:r>
    </w:p>
    <w:p w14:paraId="0CC84736" w14:textId="77777777" w:rsidR="0093181C" w:rsidRPr="001C7CDF" w:rsidRDefault="0093181C" w:rsidP="00C85342">
      <w:pPr>
        <w:spacing w:after="0" w:line="240" w:lineRule="auto"/>
        <w:jc w:val="both"/>
        <w:rPr>
          <w:rFonts w:ascii="Verdana" w:eastAsia="Times New Roman" w:hAnsi="Verdana" w:cs="Arial"/>
          <w:b/>
          <w:lang w:val="es-ES" w:eastAsia="es-CO"/>
        </w:rPr>
      </w:pPr>
      <w:r w:rsidRPr="001C7CDF">
        <w:rPr>
          <w:rFonts w:ascii="Verdana" w:eastAsia="Times New Roman" w:hAnsi="Verdana" w:cs="Arial"/>
          <w:b/>
          <w:lang w:val="es-ES" w:eastAsia="es-CO"/>
        </w:rPr>
        <w:t>APROBACIÓN DE LAS GARANTÍAS – Requisito de ejecución - Finalidad</w:t>
      </w:r>
    </w:p>
    <w:p w14:paraId="7A60A0E1" w14:textId="77777777" w:rsidR="0093181C" w:rsidRPr="001C7CDF" w:rsidRDefault="0093181C" w:rsidP="00C85342">
      <w:pPr>
        <w:spacing w:after="0" w:line="240" w:lineRule="auto"/>
        <w:jc w:val="both"/>
        <w:rPr>
          <w:rFonts w:ascii="Verdana" w:eastAsia="Times New Roman" w:hAnsi="Verdana" w:cs="Arial"/>
          <w:bCs/>
          <w:sz w:val="20"/>
          <w:szCs w:val="20"/>
          <w:lang w:val="es-ES" w:eastAsia="es-CO"/>
        </w:rPr>
      </w:pPr>
    </w:p>
    <w:p w14:paraId="6808D5C4" w14:textId="77777777" w:rsidR="0093181C" w:rsidRPr="001C7CDF" w:rsidRDefault="0093181C" w:rsidP="00C85342">
      <w:pPr>
        <w:spacing w:after="0" w:line="240" w:lineRule="auto"/>
        <w:jc w:val="both"/>
        <w:rPr>
          <w:rFonts w:ascii="Verdana" w:eastAsia="Times New Roman" w:hAnsi="Verdana" w:cs="Arial"/>
          <w:bCs/>
          <w:sz w:val="20"/>
          <w:szCs w:val="20"/>
          <w:lang w:val="es-ES" w:eastAsia="es-CO"/>
        </w:rPr>
      </w:pPr>
      <w:r w:rsidRPr="001C7CDF">
        <w:rPr>
          <w:rFonts w:ascii="Verdana" w:eastAsia="Times New Roman" w:hAnsi="Verdana" w:cs="Arial"/>
          <w:bCs/>
          <w:sz w:val="20"/>
          <w:szCs w:val="20"/>
          <w:lang w:val="es-ES" w:eastAsia="es-CO"/>
        </w:rPr>
        <w:t>Para proceder con la ejecución del contrato, el contratista debe cumplir con la obligación de constituir las garantías, para lo cual deberá presentar el respectivo instrumento para la verificación por parte de la entidad estatal, quien procederá a su aprobación siempre que se cumplan con las condiciones pactadas en el contrato. Cabe aclarar que las garantías que debe presentar el contratista para aprobación de la entidad en el marco del artículo 41 de la ley 80 de 1993, corresponden a las garantías contractuales que cubren los riesgos asociados al contrato celebrado y a las obligaciones posteriores a su ejecución, esto es, la garantía única de cumplimiento –con sus respectivos amparos– y la garantía de responsabilidad civil extracontractual.</w:t>
      </w:r>
    </w:p>
    <w:p w14:paraId="35FDAE20" w14:textId="77777777" w:rsidR="0093181C" w:rsidRPr="001C7CDF" w:rsidRDefault="0093181C" w:rsidP="00C85342">
      <w:pPr>
        <w:spacing w:after="0" w:line="240" w:lineRule="auto"/>
        <w:jc w:val="both"/>
        <w:rPr>
          <w:rFonts w:ascii="Verdana" w:eastAsia="Times New Roman" w:hAnsi="Verdana" w:cs="Arial"/>
          <w:bCs/>
          <w:sz w:val="20"/>
          <w:szCs w:val="20"/>
          <w:lang w:val="es-ES" w:eastAsia="es-CO"/>
        </w:rPr>
      </w:pPr>
    </w:p>
    <w:p w14:paraId="600DC702" w14:textId="77777777" w:rsidR="0093181C" w:rsidRPr="001C7CDF" w:rsidRDefault="0093181C" w:rsidP="00C85342">
      <w:pPr>
        <w:spacing w:after="0" w:line="240" w:lineRule="auto"/>
        <w:jc w:val="both"/>
        <w:rPr>
          <w:rFonts w:ascii="Verdana" w:eastAsia="Times New Roman" w:hAnsi="Verdana" w:cs="Arial"/>
          <w:bCs/>
          <w:sz w:val="20"/>
          <w:szCs w:val="20"/>
          <w:lang w:val="es-ES" w:eastAsia="es-CO"/>
        </w:rPr>
      </w:pPr>
      <w:r w:rsidRPr="001C7CDF">
        <w:rPr>
          <w:rFonts w:ascii="Verdana" w:eastAsia="Times New Roman" w:hAnsi="Verdana" w:cs="Arial"/>
          <w:bCs/>
          <w:sz w:val="20"/>
          <w:szCs w:val="20"/>
          <w:lang w:val="es-ES" w:eastAsia="es-CO"/>
        </w:rPr>
        <w:t>En este contexto, la obligación de constituir las garantías contractuales y su aprobación tiene como propósito cumplir con el requisito de ejecución del contrato, pues estas se erigen como un “instrumento para salvaguardar intereses de carácter general, garantizar el adecuado cumplimiento del objeto contractual y proteger el patrimonio público de los detrimentos que se puedan causar con ocasión de eventuales incumplimientos en que incurra el contratista”. En este sentido, previo a la aprobación de las garantías pactadas en el contrato, la entidad debe realizar la respectiva verificación de los amparos y suficiencia de las garantías exigidas, con la finalidad de asegurar que estas protejan el patrimonio del Estado de los perjuicios que eventualmente se derivarían de la materialización de los riesgos amparados.</w:t>
      </w:r>
    </w:p>
    <w:p w14:paraId="2173A871" w14:textId="05B0E854" w:rsidR="00E05FF0" w:rsidRPr="001C7CDF" w:rsidRDefault="00E05FF0" w:rsidP="00C85342">
      <w:pPr>
        <w:pStyle w:val="Textoindependiente"/>
        <w:spacing w:before="160" w:after="240"/>
        <w:ind w:right="49"/>
        <w:jc w:val="both"/>
        <w:rPr>
          <w:rFonts w:ascii="Verdana" w:eastAsia="Calibri" w:hAnsi="Verdana"/>
          <w:color w:val="000000" w:themeColor="text1"/>
          <w:sz w:val="20"/>
          <w:szCs w:val="20"/>
        </w:rPr>
      </w:pPr>
      <w:r w:rsidRPr="001C7CDF">
        <w:rPr>
          <w:rFonts w:ascii="Verdana" w:hAnsi="Verdana"/>
          <w:b/>
          <w:lang w:val="es-ES_tradnl"/>
        </w:rPr>
        <w:t xml:space="preserve">GARANTÍA DE ÚNICA DE CUMPLIMIENTO – Definición – Fundamento normativo </w:t>
      </w:r>
      <w:r w:rsidR="00FE398C" w:rsidRPr="001C7CDF">
        <w:rPr>
          <w:rFonts w:ascii="Verdana" w:hAnsi="Verdana"/>
          <w:b/>
          <w:lang w:val="es-ES_tradnl"/>
        </w:rPr>
        <w:t>- Suficiencia</w:t>
      </w:r>
    </w:p>
    <w:p w14:paraId="17A2BAD6" w14:textId="77777777" w:rsidR="00E05FF0" w:rsidRPr="001C7CDF" w:rsidRDefault="00E05FF0" w:rsidP="00C85342">
      <w:pPr>
        <w:pStyle w:val="Textoindependiente"/>
        <w:spacing w:after="120"/>
        <w:jc w:val="both"/>
        <w:rPr>
          <w:rFonts w:ascii="Verdana" w:hAnsi="Verdana"/>
          <w:sz w:val="20"/>
          <w:szCs w:val="20"/>
          <w:lang w:val="es-ES_tradnl"/>
        </w:rPr>
      </w:pPr>
      <w:r w:rsidRPr="001C7CDF">
        <w:rPr>
          <w:rFonts w:ascii="Verdana" w:hAnsi="Verdana"/>
          <w:sz w:val="20"/>
          <w:szCs w:val="20"/>
          <w:lang w:val="es-ES_tradnl"/>
        </w:rPr>
        <w:t xml:space="preserve">[…] mediante la </w:t>
      </w:r>
      <w:r w:rsidRPr="001C7CDF">
        <w:rPr>
          <w:rFonts w:ascii="Verdana" w:hAnsi="Verdana"/>
          <w:i/>
          <w:iCs/>
          <w:sz w:val="20"/>
          <w:szCs w:val="20"/>
          <w:lang w:val="es-ES_tradnl"/>
        </w:rPr>
        <w:t>garantía de única de cumplimiento</w:t>
      </w:r>
      <w:r w:rsidRPr="001C7CDF">
        <w:rPr>
          <w:rFonts w:ascii="Verdana" w:hAnsi="Verdana"/>
          <w:sz w:val="20"/>
          <w:szCs w:val="20"/>
          <w:lang w:val="es-ES_tradnl"/>
        </w:rPr>
        <w:t xml:space="preserve">, el contratista ampara los perjuicios que le pueda generar a la entidad el incumplimiento de las obligaciones derivadas del contrato. En esta medida, tienen como objetivo reparar los perjuicios causados por conductas atribuibles al contratista, por lo que estos últimos son un presupuesto necesario para el pago que cubre la garantía. Para estos efectos es única, ya que “[…] La prioridad […] es que no haya garantías separadas para los diferentes riesgos, aunque existan varias garantías para diferentes proporciones del interés asegurado […]”.   </w:t>
      </w:r>
    </w:p>
    <w:p w14:paraId="6FA8D709" w14:textId="77777777" w:rsidR="000A1B45" w:rsidRPr="001C7CDF" w:rsidRDefault="00E05FF0" w:rsidP="00C85342">
      <w:pPr>
        <w:pStyle w:val="Textoindependiente"/>
        <w:spacing w:after="240"/>
        <w:jc w:val="both"/>
        <w:rPr>
          <w:rFonts w:ascii="Verdana" w:hAnsi="Verdana"/>
          <w:sz w:val="20"/>
          <w:szCs w:val="20"/>
          <w:lang w:val="es-ES_tradnl"/>
        </w:rPr>
      </w:pPr>
      <w:r w:rsidRPr="001C7CDF">
        <w:rPr>
          <w:rFonts w:ascii="Verdana" w:hAnsi="Verdana"/>
          <w:sz w:val="20"/>
          <w:szCs w:val="20"/>
        </w:rPr>
        <w:t xml:space="preserve">Desde esta perspectiva, ambas garantías constituyen una obligación de seguridad, es decir, aquella donde el interés del acreedor no consiste en una utilidad específica y tangible, sino en la tranquilidad frente a ciertos riesgos por la cobertura de sus consecuencias nocivas. Conforme al inciso segundo del artículo 7 de la Ley 1150 de 2007, pueden otorgarse a través de: i) contratos de seguro, </w:t>
      </w:r>
      <w:proofErr w:type="spellStart"/>
      <w:r w:rsidRPr="001C7CDF">
        <w:rPr>
          <w:rFonts w:ascii="Verdana" w:hAnsi="Verdana"/>
          <w:sz w:val="20"/>
          <w:szCs w:val="20"/>
        </w:rPr>
        <w:t>ii</w:t>
      </w:r>
      <w:proofErr w:type="spellEnd"/>
      <w:r w:rsidRPr="001C7CDF">
        <w:rPr>
          <w:rFonts w:ascii="Verdana" w:hAnsi="Verdana"/>
          <w:sz w:val="20"/>
          <w:szCs w:val="20"/>
        </w:rPr>
        <w:t xml:space="preserve">) garantías bancarias o </w:t>
      </w:r>
      <w:proofErr w:type="spellStart"/>
      <w:r w:rsidRPr="001C7CDF">
        <w:rPr>
          <w:rFonts w:ascii="Verdana" w:hAnsi="Verdana"/>
          <w:sz w:val="20"/>
          <w:szCs w:val="20"/>
        </w:rPr>
        <w:t>iii</w:t>
      </w:r>
      <w:proofErr w:type="spellEnd"/>
      <w:r w:rsidRPr="001C7CDF">
        <w:rPr>
          <w:rFonts w:ascii="Verdana" w:hAnsi="Verdana"/>
          <w:sz w:val="20"/>
          <w:szCs w:val="20"/>
        </w:rPr>
        <w:t xml:space="preserve">) los demás mecanismos de cobertura del riesgo que disponga el reglamento. Igualmente establece que “[…] tratándose de pólizas, las mismas no expirarán por falta de pago de </w:t>
      </w:r>
      <w:r w:rsidRPr="001C7CDF">
        <w:rPr>
          <w:rFonts w:ascii="Verdana" w:hAnsi="Verdana"/>
          <w:sz w:val="20"/>
          <w:szCs w:val="20"/>
        </w:rPr>
        <w:lastRenderedPageBreak/>
        <w:t>la prima o por revocatoria unilateral […]”. Esta norma es una excepción a la terminación automática del contrato de seguro prevista en los artículos 1068 y 1071 del Código de Comercio. De esta manera, las garantías previstas en la ley tienen como objetivo asegurar la solvencia del garante.</w:t>
      </w:r>
    </w:p>
    <w:p w14:paraId="5E560370" w14:textId="5BA8A402" w:rsidR="00FE398C" w:rsidRPr="001C7CDF" w:rsidRDefault="00FE398C" w:rsidP="00C85342">
      <w:pPr>
        <w:pStyle w:val="Textoindependiente"/>
        <w:spacing w:after="240"/>
        <w:jc w:val="both"/>
        <w:rPr>
          <w:rFonts w:ascii="Verdana" w:hAnsi="Verdana"/>
          <w:sz w:val="20"/>
          <w:szCs w:val="20"/>
          <w:lang w:val="es-ES_tradnl"/>
        </w:rPr>
      </w:pPr>
      <w:r w:rsidRPr="001C7CDF">
        <w:rPr>
          <w:rFonts w:ascii="Verdana" w:hAnsi="Verdana"/>
          <w:sz w:val="20"/>
          <w:szCs w:val="20"/>
          <w:lang w:val="es-ES_tradnl"/>
        </w:rPr>
        <w:t>[…]</w:t>
      </w:r>
    </w:p>
    <w:p w14:paraId="15CC53C0" w14:textId="2CCF0B6D" w:rsidR="00AE41B3" w:rsidRPr="001C7CDF" w:rsidRDefault="00E05FF0" w:rsidP="00C85342">
      <w:pPr>
        <w:pStyle w:val="Textoindependiente"/>
        <w:spacing w:after="120"/>
        <w:jc w:val="both"/>
        <w:rPr>
          <w:rFonts w:ascii="Verdana" w:hAnsi="Verdana"/>
          <w:sz w:val="20"/>
          <w:szCs w:val="20"/>
        </w:rPr>
      </w:pPr>
      <w:r w:rsidRPr="001C7CDF">
        <w:rPr>
          <w:rFonts w:ascii="Verdana" w:hAnsi="Verdana"/>
          <w:sz w:val="20"/>
          <w:szCs w:val="20"/>
        </w:rPr>
        <w:t xml:space="preserve">El artículo 2.2.1.2.3.1.12 regula la suficiencia de la garantía de cumplimiento. Esta debe tener una vigencia mínima hasta la liquidación y, por regla general un valor de por lo menos el diez por ciento (10%) del total del contrato, siempre que este sea inferior a un millón (1.000.000) de </w:t>
      </w:r>
      <w:proofErr w:type="spellStart"/>
      <w:r w:rsidRPr="001C7CDF">
        <w:rPr>
          <w:rFonts w:ascii="Verdana" w:hAnsi="Verdana"/>
          <w:sz w:val="20"/>
          <w:szCs w:val="20"/>
        </w:rPr>
        <w:t>smmlv</w:t>
      </w:r>
      <w:proofErr w:type="spellEnd"/>
      <w:r w:rsidRPr="001C7CDF">
        <w:rPr>
          <w:rFonts w:ascii="Verdana" w:hAnsi="Verdana"/>
          <w:sz w:val="20"/>
          <w:szCs w:val="20"/>
        </w:rPr>
        <w:t>. Conforme la norma citada, el amparo cubre tanto el plazo de ejecución como el plazo de vigencia del contrato. Así, la cobertura mínima del amparo de cumplimiento cubre el plazo de ejecución y el plazo de vigencia, el cual finaliza con la liquidación. En palabras de la doctrina, “[…] el contratista deberá otorgarla con una vigencia igual al plazo del contrato garantizado más el plazo contractual previsto para la liquidación de aquel. En caso de no haberse convenido por las partes un término para la liquidación del contrato, la garantía deberá mantenerse vigente por el término legal previsto para este efecto […]”.</w:t>
      </w:r>
    </w:p>
    <w:p w14:paraId="045B3EA9" w14:textId="77777777" w:rsidR="00EB258D" w:rsidRPr="001C7CDF" w:rsidRDefault="00EB258D" w:rsidP="00EB258D">
      <w:pPr>
        <w:pStyle w:val="Textoindependiente"/>
        <w:spacing w:after="120"/>
        <w:jc w:val="both"/>
        <w:rPr>
          <w:rFonts w:ascii="Verdana" w:hAnsi="Verdana"/>
          <w:sz w:val="20"/>
          <w:szCs w:val="20"/>
        </w:rPr>
      </w:pPr>
    </w:p>
    <w:p w14:paraId="29DB7B33" w14:textId="77777777" w:rsidR="00EB258D" w:rsidRPr="001C7CDF" w:rsidRDefault="00EB258D" w:rsidP="00EB258D">
      <w:pPr>
        <w:pStyle w:val="Textoindependiente"/>
        <w:spacing w:after="120"/>
        <w:jc w:val="both"/>
        <w:rPr>
          <w:rFonts w:ascii="Verdana" w:hAnsi="Verdana"/>
          <w:sz w:val="20"/>
          <w:szCs w:val="20"/>
        </w:rPr>
      </w:pPr>
    </w:p>
    <w:p w14:paraId="248A44DE" w14:textId="77777777" w:rsidR="000A1B45" w:rsidRPr="001C7CDF" w:rsidRDefault="000A1B45" w:rsidP="00EB258D">
      <w:pPr>
        <w:pStyle w:val="Textoindependiente"/>
        <w:spacing w:after="120"/>
        <w:jc w:val="both"/>
        <w:rPr>
          <w:rFonts w:ascii="Verdana" w:hAnsi="Verdana"/>
          <w:sz w:val="20"/>
          <w:szCs w:val="20"/>
        </w:rPr>
      </w:pPr>
    </w:p>
    <w:p w14:paraId="51DBD0D1" w14:textId="77777777" w:rsidR="000A1B45" w:rsidRPr="001C7CDF" w:rsidRDefault="000A1B45" w:rsidP="00EB258D">
      <w:pPr>
        <w:pStyle w:val="Textoindependiente"/>
        <w:spacing w:after="120"/>
        <w:jc w:val="both"/>
        <w:rPr>
          <w:rFonts w:ascii="Verdana" w:hAnsi="Verdana"/>
          <w:sz w:val="20"/>
          <w:szCs w:val="20"/>
        </w:rPr>
      </w:pPr>
    </w:p>
    <w:p w14:paraId="48D7A7B1" w14:textId="77777777" w:rsidR="000A1B45" w:rsidRPr="001C7CDF" w:rsidRDefault="000A1B45" w:rsidP="00EB258D">
      <w:pPr>
        <w:pStyle w:val="Textoindependiente"/>
        <w:spacing w:after="120"/>
        <w:jc w:val="both"/>
        <w:rPr>
          <w:rFonts w:ascii="Verdana" w:hAnsi="Verdana"/>
          <w:sz w:val="20"/>
          <w:szCs w:val="20"/>
        </w:rPr>
      </w:pPr>
    </w:p>
    <w:p w14:paraId="50AD7C37" w14:textId="77777777" w:rsidR="000A1B45" w:rsidRPr="001C7CDF" w:rsidRDefault="000A1B45" w:rsidP="00EB258D">
      <w:pPr>
        <w:pStyle w:val="Textoindependiente"/>
        <w:spacing w:after="120"/>
        <w:jc w:val="both"/>
        <w:rPr>
          <w:rFonts w:ascii="Verdana" w:hAnsi="Verdana"/>
          <w:sz w:val="20"/>
          <w:szCs w:val="20"/>
        </w:rPr>
      </w:pPr>
    </w:p>
    <w:p w14:paraId="067FCF59" w14:textId="77777777" w:rsidR="00AE41B3" w:rsidRPr="001C7CDF" w:rsidRDefault="00AE41B3" w:rsidP="30821638">
      <w:pPr>
        <w:spacing w:after="0"/>
        <w:rPr>
          <w:rFonts w:ascii="Verdana" w:eastAsia="Verdana" w:hAnsi="Verdana" w:cs="Verdana"/>
          <w:lang w:val="es-ES"/>
        </w:rPr>
      </w:pPr>
    </w:p>
    <w:p w14:paraId="376BAB26" w14:textId="77777777" w:rsidR="00AE41B3" w:rsidRPr="001C7CDF" w:rsidRDefault="00AE41B3" w:rsidP="30821638">
      <w:pPr>
        <w:spacing w:after="0"/>
        <w:rPr>
          <w:rFonts w:ascii="Verdana" w:eastAsia="Verdana" w:hAnsi="Verdana" w:cs="Verdana"/>
          <w:lang w:val="es-ES"/>
        </w:rPr>
      </w:pPr>
    </w:p>
    <w:p w14:paraId="4688D668" w14:textId="77777777" w:rsidR="00AE41B3" w:rsidRPr="001C7CDF" w:rsidRDefault="00AE41B3" w:rsidP="30821638">
      <w:pPr>
        <w:spacing w:after="0"/>
        <w:rPr>
          <w:rFonts w:ascii="Verdana" w:eastAsia="Verdana" w:hAnsi="Verdana" w:cs="Verdana"/>
          <w:lang w:val="es-ES"/>
        </w:rPr>
      </w:pPr>
    </w:p>
    <w:p w14:paraId="40102B09" w14:textId="77777777" w:rsidR="00AE41B3" w:rsidRPr="001C7CDF" w:rsidRDefault="00AE41B3" w:rsidP="30821638">
      <w:pPr>
        <w:spacing w:after="0"/>
        <w:rPr>
          <w:rFonts w:ascii="Verdana" w:eastAsia="Verdana" w:hAnsi="Verdana" w:cs="Verdana"/>
          <w:lang w:val="es-ES"/>
        </w:rPr>
      </w:pPr>
    </w:p>
    <w:p w14:paraId="5B84561F" w14:textId="77777777" w:rsidR="00AE41B3" w:rsidRPr="001C7CDF" w:rsidRDefault="00AE41B3" w:rsidP="30821638">
      <w:pPr>
        <w:spacing w:after="0"/>
        <w:rPr>
          <w:rFonts w:ascii="Verdana" w:eastAsia="Verdana" w:hAnsi="Verdana" w:cs="Verdana"/>
          <w:lang w:val="es-ES"/>
        </w:rPr>
      </w:pPr>
    </w:p>
    <w:p w14:paraId="40E2292C" w14:textId="77777777" w:rsidR="00AE41B3" w:rsidRPr="001C7CDF" w:rsidRDefault="00AE41B3" w:rsidP="30821638">
      <w:pPr>
        <w:spacing w:after="0"/>
        <w:rPr>
          <w:rFonts w:ascii="Verdana" w:eastAsia="Verdana" w:hAnsi="Verdana" w:cs="Verdana"/>
          <w:lang w:val="es-ES"/>
        </w:rPr>
      </w:pPr>
    </w:p>
    <w:p w14:paraId="52054EEA" w14:textId="77777777" w:rsidR="00AE41B3" w:rsidRPr="001C7CDF" w:rsidRDefault="00AE41B3" w:rsidP="30821638">
      <w:pPr>
        <w:spacing w:after="0"/>
        <w:rPr>
          <w:rFonts w:ascii="Verdana" w:eastAsia="Verdana" w:hAnsi="Verdana" w:cs="Verdana"/>
          <w:lang w:val="es-ES"/>
        </w:rPr>
      </w:pPr>
    </w:p>
    <w:p w14:paraId="1B67D2A0" w14:textId="77777777" w:rsidR="00AE41B3" w:rsidRPr="001C7CDF" w:rsidRDefault="00AE41B3" w:rsidP="30821638">
      <w:pPr>
        <w:spacing w:after="0"/>
        <w:rPr>
          <w:rFonts w:ascii="Verdana" w:eastAsia="Verdana" w:hAnsi="Verdana" w:cs="Verdana"/>
          <w:lang w:val="es-ES"/>
        </w:rPr>
      </w:pPr>
    </w:p>
    <w:p w14:paraId="004CE82D" w14:textId="77777777" w:rsidR="00E05FF0" w:rsidRPr="001C7CDF" w:rsidRDefault="00E05FF0" w:rsidP="30821638">
      <w:pPr>
        <w:spacing w:after="0"/>
        <w:rPr>
          <w:rFonts w:ascii="Verdana" w:eastAsia="Verdana" w:hAnsi="Verdana" w:cs="Verdana"/>
          <w:lang w:val="es-ES"/>
        </w:rPr>
      </w:pPr>
    </w:p>
    <w:p w14:paraId="4E6BE267" w14:textId="77777777" w:rsidR="007153B7" w:rsidRPr="001C7CDF" w:rsidRDefault="007153B7" w:rsidP="30821638">
      <w:pPr>
        <w:spacing w:after="0"/>
        <w:rPr>
          <w:rFonts w:ascii="Verdana" w:eastAsia="Verdana" w:hAnsi="Verdana" w:cs="Verdana"/>
          <w:lang w:val="es-ES"/>
        </w:rPr>
      </w:pPr>
    </w:p>
    <w:p w14:paraId="7CDBB6FE" w14:textId="77777777" w:rsidR="007153B7" w:rsidRPr="001C7CDF" w:rsidRDefault="007153B7" w:rsidP="30821638">
      <w:pPr>
        <w:spacing w:after="0"/>
        <w:rPr>
          <w:rFonts w:ascii="Verdana" w:eastAsia="Verdana" w:hAnsi="Verdana" w:cs="Verdana"/>
          <w:lang w:val="es-ES"/>
        </w:rPr>
      </w:pPr>
    </w:p>
    <w:p w14:paraId="1684ABBF" w14:textId="77777777" w:rsidR="007153B7" w:rsidRDefault="007153B7" w:rsidP="30821638">
      <w:pPr>
        <w:spacing w:after="0"/>
        <w:rPr>
          <w:rFonts w:ascii="Verdana" w:eastAsia="Verdana" w:hAnsi="Verdana" w:cs="Verdana"/>
          <w:lang w:val="es-ES"/>
        </w:rPr>
      </w:pPr>
    </w:p>
    <w:p w14:paraId="5DB66074" w14:textId="77777777" w:rsidR="00B61012" w:rsidRPr="001C7CDF" w:rsidRDefault="00B61012" w:rsidP="30821638">
      <w:pPr>
        <w:spacing w:after="0"/>
        <w:rPr>
          <w:rFonts w:ascii="Verdana" w:eastAsia="Verdana" w:hAnsi="Verdana" w:cs="Verdana"/>
          <w:lang w:val="es-ES"/>
        </w:rPr>
      </w:pPr>
    </w:p>
    <w:p w14:paraId="51AED27B" w14:textId="77777777" w:rsidR="007153B7" w:rsidRPr="001C7CDF" w:rsidRDefault="007153B7" w:rsidP="30821638">
      <w:pPr>
        <w:spacing w:after="0"/>
        <w:rPr>
          <w:rFonts w:ascii="Verdana" w:eastAsia="Verdana" w:hAnsi="Verdana" w:cs="Verdana"/>
          <w:lang w:val="es-ES"/>
        </w:rPr>
      </w:pPr>
    </w:p>
    <w:p w14:paraId="7D245D35" w14:textId="77777777" w:rsidR="007153B7" w:rsidRPr="001C7CDF" w:rsidRDefault="007153B7" w:rsidP="30821638">
      <w:pPr>
        <w:spacing w:after="0"/>
        <w:rPr>
          <w:rFonts w:ascii="Verdana" w:eastAsia="Verdana" w:hAnsi="Verdana" w:cs="Verdana"/>
          <w:lang w:val="es-ES"/>
        </w:rPr>
      </w:pPr>
    </w:p>
    <w:p w14:paraId="40A6B0E5" w14:textId="77777777" w:rsidR="00EC77AC" w:rsidRPr="001C7CDF" w:rsidRDefault="00EC77AC" w:rsidP="30821638">
      <w:pPr>
        <w:spacing w:after="0"/>
        <w:rPr>
          <w:rFonts w:ascii="Verdana" w:eastAsia="Verdana" w:hAnsi="Verdana" w:cs="Verdana"/>
          <w:lang w:val="es-ES"/>
        </w:rPr>
      </w:pPr>
    </w:p>
    <w:p w14:paraId="1468C46D" w14:textId="6BDF5F16" w:rsidR="00C15139" w:rsidRDefault="00C15139" w:rsidP="00343B1A">
      <w:pPr>
        <w:spacing w:after="0" w:line="240" w:lineRule="auto"/>
        <w:rPr>
          <w:rFonts w:ascii="Verdana" w:hAnsi="Verdana"/>
        </w:rPr>
      </w:pPr>
      <w:r w:rsidRPr="001515A0">
        <w:rPr>
          <w:rFonts w:ascii="Verdana" w:eastAsia="Verdana" w:hAnsi="Verdana" w:cs="Verdana"/>
        </w:rPr>
        <w:lastRenderedPageBreak/>
        <w:t xml:space="preserve">Bogotá D.C., </w:t>
      </w:r>
      <w:r w:rsidR="00B61012">
        <w:rPr>
          <w:rFonts w:ascii="Verdana" w:eastAsia="Verdana" w:hAnsi="Verdana" w:cs="Verdana"/>
        </w:rPr>
        <w:t>27 de julio del 2026</w:t>
      </w:r>
    </w:p>
    <w:p w14:paraId="5434AC4B" w14:textId="77777777" w:rsidR="00B61012" w:rsidRDefault="00B61012" w:rsidP="00343B1A">
      <w:pPr>
        <w:spacing w:after="0" w:line="240" w:lineRule="auto"/>
        <w:rPr>
          <w:rFonts w:ascii="Verdana" w:eastAsia="Verdana" w:hAnsi="Verdana" w:cs="Verdana"/>
        </w:rPr>
      </w:pPr>
    </w:p>
    <w:p w14:paraId="4A7D03CE" w14:textId="4D987330" w:rsidR="00B61012" w:rsidRDefault="00B61012" w:rsidP="00B61012">
      <w:pPr>
        <w:spacing w:after="0" w:line="240" w:lineRule="auto"/>
        <w:jc w:val="right"/>
        <w:rPr>
          <w:rFonts w:ascii="Verdana" w:eastAsia="Verdana" w:hAnsi="Verdana" w:cs="Verdana"/>
        </w:rPr>
      </w:pPr>
      <w:r w:rsidRPr="00B61012">
        <w:rPr>
          <w:rFonts w:ascii="Verdana" w:eastAsia="Verdana" w:hAnsi="Verdana" w:cs="Verdana"/>
        </w:rPr>
        <w:drawing>
          <wp:inline distT="0" distB="0" distL="0" distR="0" wp14:anchorId="6C87D87E" wp14:editId="328954BB">
            <wp:extent cx="2467319" cy="685896"/>
            <wp:effectExtent l="0" t="0" r="0" b="0"/>
            <wp:docPr id="19673505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350577" name=""/>
                    <pic:cNvPicPr/>
                  </pic:nvPicPr>
                  <pic:blipFill>
                    <a:blip r:embed="rId11"/>
                    <a:stretch>
                      <a:fillRect/>
                    </a:stretch>
                  </pic:blipFill>
                  <pic:spPr>
                    <a:xfrm>
                      <a:off x="0" y="0"/>
                      <a:ext cx="2467319" cy="685896"/>
                    </a:xfrm>
                    <a:prstGeom prst="rect">
                      <a:avLst/>
                    </a:prstGeom>
                  </pic:spPr>
                </pic:pic>
              </a:graphicData>
            </a:graphic>
          </wp:inline>
        </w:drawing>
      </w:r>
    </w:p>
    <w:p w14:paraId="7B4F762C" w14:textId="77777777" w:rsidR="00B61012" w:rsidRPr="001515A0" w:rsidRDefault="00B61012" w:rsidP="00343B1A">
      <w:pPr>
        <w:spacing w:after="0" w:line="240" w:lineRule="auto"/>
        <w:rPr>
          <w:rFonts w:ascii="Verdana" w:eastAsia="Verdana" w:hAnsi="Verdana" w:cs="Verdana"/>
        </w:rPr>
      </w:pPr>
    </w:p>
    <w:p w14:paraId="402EC883" w14:textId="77777777" w:rsidR="00A654D6" w:rsidRPr="001515A0" w:rsidRDefault="00A654D6" w:rsidP="001515A0">
      <w:pPr>
        <w:spacing w:after="0" w:line="240" w:lineRule="auto"/>
        <w:rPr>
          <w:rFonts w:ascii="Verdana" w:hAnsi="Verdana"/>
        </w:rPr>
      </w:pPr>
      <w:r w:rsidRPr="001515A0">
        <w:rPr>
          <w:rFonts w:ascii="Verdana" w:eastAsia="Calibri" w:hAnsi="Verdana" w:cs="Arial"/>
          <w:color w:val="000000" w:themeColor="text1"/>
          <w:lang w:val="es-ES" w:eastAsia="es-ES"/>
        </w:rPr>
        <w:t>Señor:</w:t>
      </w:r>
    </w:p>
    <w:p w14:paraId="5DCF2E38" w14:textId="7FE34A81" w:rsidR="00A654D6" w:rsidRPr="001515A0" w:rsidRDefault="00EB6387" w:rsidP="001515A0">
      <w:pPr>
        <w:spacing w:after="0" w:line="240" w:lineRule="auto"/>
        <w:jc w:val="both"/>
        <w:rPr>
          <w:rFonts w:ascii="Verdana" w:eastAsia="Calibri" w:hAnsi="Verdana" w:cs="Arial"/>
          <w:b/>
          <w:bCs/>
          <w:color w:val="000000" w:themeColor="text1"/>
          <w:lang w:eastAsia="es-ES"/>
        </w:rPr>
      </w:pPr>
      <w:r w:rsidRPr="001515A0">
        <w:rPr>
          <w:rFonts w:ascii="Verdana" w:eastAsia="Calibri" w:hAnsi="Verdana" w:cs="Arial"/>
          <w:b/>
          <w:bCs/>
          <w:color w:val="000000" w:themeColor="text1"/>
          <w:lang w:eastAsia="es-ES"/>
        </w:rPr>
        <w:t>Andrés Felipe Toro Castrillo</w:t>
      </w:r>
    </w:p>
    <w:p w14:paraId="0A92A3B7" w14:textId="264D0BB1" w:rsidR="00CC2338" w:rsidRPr="001515A0" w:rsidRDefault="00CC2338" w:rsidP="001515A0">
      <w:pPr>
        <w:spacing w:after="0" w:line="240" w:lineRule="auto"/>
        <w:rPr>
          <w:rFonts w:ascii="Verdana" w:hAnsi="Verdana"/>
        </w:rPr>
      </w:pPr>
      <w:hyperlink r:id="rId12" w:history="1">
        <w:r w:rsidRPr="001515A0">
          <w:rPr>
            <w:rStyle w:val="Hipervnculo"/>
            <w:rFonts w:ascii="Verdana" w:hAnsi="Verdana"/>
          </w:rPr>
          <w:t>andrestoroc1@gmail.com</w:t>
        </w:r>
      </w:hyperlink>
    </w:p>
    <w:p w14:paraId="074D2480" w14:textId="77777777" w:rsidR="00A654D6" w:rsidRPr="001515A0" w:rsidRDefault="00A654D6" w:rsidP="001515A0">
      <w:pPr>
        <w:spacing w:after="0" w:line="240" w:lineRule="auto"/>
        <w:rPr>
          <w:rFonts w:ascii="Verdana" w:eastAsia="Calibri" w:hAnsi="Verdana" w:cs="Arial"/>
          <w:color w:val="000000" w:themeColor="text1"/>
          <w:lang w:val="es-ES_tradnl" w:eastAsia="es-ES"/>
        </w:rPr>
      </w:pPr>
      <w:r w:rsidRPr="001515A0">
        <w:rPr>
          <w:rFonts w:ascii="Verdana" w:eastAsia="Calibri" w:hAnsi="Verdana" w:cs="Arial"/>
          <w:color w:val="000000" w:themeColor="text1"/>
          <w:lang w:val="es-ES_tradnl" w:eastAsia="es-ES"/>
        </w:rPr>
        <w:t>Bogotá D.C.</w:t>
      </w:r>
    </w:p>
    <w:p w14:paraId="357DFA06" w14:textId="77777777" w:rsidR="00A654D6" w:rsidRPr="001515A0" w:rsidRDefault="00A654D6" w:rsidP="001515A0">
      <w:pPr>
        <w:spacing w:after="0" w:line="240" w:lineRule="auto"/>
        <w:rPr>
          <w:rFonts w:ascii="Verdana" w:eastAsia="Calibri" w:hAnsi="Verdana" w:cs="Arial"/>
          <w:b/>
          <w:bCs/>
          <w:color w:val="000000" w:themeColor="text1"/>
          <w:highlight w:val="cyan"/>
          <w:lang w:val="es-ES_tradnl" w:eastAsia="es-ES_tradnl"/>
        </w:rPr>
      </w:pPr>
    </w:p>
    <w:p w14:paraId="3CED8282" w14:textId="46154091" w:rsidR="00A654D6" w:rsidRPr="001515A0" w:rsidRDefault="00A654D6" w:rsidP="001515A0">
      <w:pPr>
        <w:spacing w:after="0" w:line="240" w:lineRule="auto"/>
        <w:rPr>
          <w:rFonts w:ascii="Verdana" w:eastAsia="Calibri" w:hAnsi="Verdana" w:cs="Arial"/>
          <w:b/>
          <w:bCs/>
          <w:color w:val="000000" w:themeColor="text1"/>
          <w:lang w:val="es-ES_tradnl" w:eastAsia="es-ES_tradnl"/>
        </w:rPr>
      </w:pPr>
      <w:r w:rsidRPr="001515A0">
        <w:rPr>
          <w:rFonts w:ascii="Verdana" w:eastAsia="Calibri" w:hAnsi="Verdana" w:cs="Arial"/>
          <w:b/>
          <w:bCs/>
          <w:color w:val="000000" w:themeColor="text1"/>
          <w:lang w:val="es-ES_tradnl" w:eastAsia="es-ES_tradnl"/>
        </w:rPr>
        <w:t xml:space="preserve">                                   Concepto </w:t>
      </w:r>
      <w:r w:rsidR="00643C9E" w:rsidRPr="001515A0">
        <w:rPr>
          <w:rFonts w:ascii="Verdana" w:eastAsia="Calibri" w:hAnsi="Verdana" w:cs="Arial"/>
          <w:b/>
          <w:bCs/>
          <w:color w:val="000000" w:themeColor="text1"/>
          <w:lang w:val="es-ES_tradnl" w:eastAsia="es-ES_tradnl"/>
        </w:rPr>
        <w:t>C-980</w:t>
      </w:r>
      <w:r w:rsidRPr="001515A0">
        <w:rPr>
          <w:rFonts w:ascii="Verdana" w:eastAsia="Calibri" w:hAnsi="Verdana" w:cs="Arial"/>
          <w:b/>
          <w:bCs/>
          <w:color w:val="000000" w:themeColor="text1"/>
          <w:lang w:val="es-ES_tradnl" w:eastAsia="es-ES_tradnl"/>
        </w:rPr>
        <w:t xml:space="preserve"> del 2026</w:t>
      </w:r>
    </w:p>
    <w:p w14:paraId="7EB49641" w14:textId="77777777" w:rsidR="00A654D6" w:rsidRPr="001515A0" w:rsidRDefault="00A654D6" w:rsidP="001515A0">
      <w:pPr>
        <w:spacing w:after="0" w:line="240" w:lineRule="auto"/>
        <w:rPr>
          <w:rFonts w:ascii="Verdana" w:eastAsia="Calibri" w:hAnsi="Verdana" w:cs="Arial"/>
          <w:b/>
          <w:bCs/>
          <w:color w:val="000000" w:themeColor="text1"/>
          <w:highlight w:val="cyan"/>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654D6" w:rsidRPr="001515A0" w14:paraId="12CD69A8" w14:textId="77777777">
        <w:trPr>
          <w:trHeight w:val="884"/>
        </w:trPr>
        <w:tc>
          <w:tcPr>
            <w:tcW w:w="2689" w:type="dxa"/>
          </w:tcPr>
          <w:p w14:paraId="70F5446E" w14:textId="77777777" w:rsidR="00A654D6" w:rsidRPr="001515A0" w:rsidRDefault="00A654D6" w:rsidP="001515A0">
            <w:pPr>
              <w:jc w:val="both"/>
              <w:rPr>
                <w:rFonts w:ascii="Verdana" w:eastAsia="Calibri" w:hAnsi="Verdana" w:cs="Arial"/>
                <w:color w:val="000000" w:themeColor="text1"/>
                <w:highlight w:val="cyan"/>
                <w:lang w:val="es-ES_tradnl" w:eastAsia="es-ES_tradnl"/>
              </w:rPr>
            </w:pPr>
            <w:r w:rsidRPr="001515A0">
              <w:rPr>
                <w:rFonts w:ascii="Verdana" w:eastAsia="Calibri" w:hAnsi="Verdana" w:cs="Arial"/>
                <w:b/>
                <w:color w:val="000000" w:themeColor="text1"/>
                <w:lang w:val="es-ES_tradnl" w:eastAsia="es-ES_tradnl"/>
              </w:rPr>
              <w:t>Temas:</w:t>
            </w:r>
            <w:r w:rsidRPr="001515A0">
              <w:rPr>
                <w:rFonts w:ascii="Verdana" w:eastAsia="Calibri" w:hAnsi="Verdana" w:cs="Arial"/>
                <w:color w:val="000000" w:themeColor="text1"/>
                <w:lang w:val="es-ES_tradnl" w:eastAsia="es-ES_tradnl"/>
              </w:rPr>
              <w:t xml:space="preserve">                   </w:t>
            </w:r>
          </w:p>
        </w:tc>
        <w:tc>
          <w:tcPr>
            <w:tcW w:w="6100" w:type="dxa"/>
          </w:tcPr>
          <w:p w14:paraId="76455989" w14:textId="667AB339" w:rsidR="00EE5D6A" w:rsidRPr="001515A0" w:rsidRDefault="00C85342" w:rsidP="00343B1A">
            <w:pPr>
              <w:jc w:val="both"/>
              <w:rPr>
                <w:rFonts w:ascii="Verdana" w:eastAsia="Times New Roman" w:hAnsi="Verdana" w:cs="Arial"/>
                <w:bCs/>
                <w:lang w:val="es-ES" w:eastAsia="es-CO"/>
              </w:rPr>
            </w:pPr>
            <w:r w:rsidRPr="001515A0">
              <w:rPr>
                <w:rFonts w:ascii="Verdana" w:eastAsia="Calibri" w:hAnsi="Verdana" w:cs="Arial"/>
                <w:bCs/>
                <w:lang w:val="es-MX"/>
              </w:rPr>
              <w:t>ACTA DE INICIO – Definición – Marco normativo</w:t>
            </w:r>
            <w:r w:rsidR="009B2DDE" w:rsidRPr="001515A0">
              <w:rPr>
                <w:rFonts w:ascii="Verdana" w:eastAsia="Calibri" w:hAnsi="Verdana" w:cs="Arial"/>
                <w:bCs/>
                <w:lang w:val="es-MX"/>
              </w:rPr>
              <w:t xml:space="preserve"> / REQUISITOS DE EJECUCIÓN – Diferencias entre requisitos de perfeccionamiento y ejecución – Requisitos de ejecución legales y convencionales / </w:t>
            </w:r>
            <w:r w:rsidR="009B2DDE" w:rsidRPr="001515A0">
              <w:rPr>
                <w:rFonts w:ascii="Verdana" w:hAnsi="Verdana"/>
                <w:bCs/>
              </w:rPr>
              <w:t>EJECUCIÓN</w:t>
            </w:r>
            <w:r w:rsidR="009B2DDE" w:rsidRPr="001515A0">
              <w:rPr>
                <w:rFonts w:ascii="Verdana" w:hAnsi="Verdana"/>
                <w:bCs/>
                <w:spacing w:val="36"/>
              </w:rPr>
              <w:t xml:space="preserve"> </w:t>
            </w:r>
            <w:r w:rsidR="009B2DDE" w:rsidRPr="001515A0">
              <w:rPr>
                <w:rFonts w:ascii="Verdana" w:hAnsi="Verdana"/>
                <w:bCs/>
              </w:rPr>
              <w:t>DEL</w:t>
            </w:r>
            <w:r w:rsidR="009B2DDE" w:rsidRPr="001515A0">
              <w:rPr>
                <w:rFonts w:ascii="Verdana" w:hAnsi="Verdana"/>
                <w:bCs/>
                <w:spacing w:val="36"/>
              </w:rPr>
              <w:t xml:space="preserve"> </w:t>
            </w:r>
            <w:r w:rsidR="009B2DDE" w:rsidRPr="001515A0">
              <w:rPr>
                <w:rFonts w:ascii="Verdana" w:hAnsi="Verdana"/>
                <w:bCs/>
              </w:rPr>
              <w:t>CONTRATO</w:t>
            </w:r>
            <w:r w:rsidR="009B2DDE" w:rsidRPr="001515A0">
              <w:rPr>
                <w:rFonts w:ascii="Verdana" w:hAnsi="Verdana"/>
                <w:bCs/>
                <w:spacing w:val="36"/>
              </w:rPr>
              <w:t xml:space="preserve"> </w:t>
            </w:r>
            <w:r w:rsidR="009B2DDE" w:rsidRPr="001515A0">
              <w:rPr>
                <w:rFonts w:ascii="Verdana" w:hAnsi="Verdana"/>
                <w:bCs/>
              </w:rPr>
              <w:t>ESTATAL</w:t>
            </w:r>
            <w:r w:rsidR="009B2DDE" w:rsidRPr="001515A0">
              <w:rPr>
                <w:rFonts w:ascii="Verdana" w:hAnsi="Verdana"/>
                <w:bCs/>
                <w:spacing w:val="36"/>
              </w:rPr>
              <w:t xml:space="preserve"> </w:t>
            </w:r>
            <w:r w:rsidR="009B2DDE" w:rsidRPr="001515A0">
              <w:rPr>
                <w:rFonts w:ascii="Verdana" w:hAnsi="Verdana"/>
                <w:bCs/>
              </w:rPr>
              <w:t>–</w:t>
            </w:r>
            <w:r w:rsidR="009B2DDE" w:rsidRPr="001515A0">
              <w:rPr>
                <w:rFonts w:ascii="Verdana" w:hAnsi="Verdana"/>
                <w:bCs/>
                <w:spacing w:val="35"/>
              </w:rPr>
              <w:t xml:space="preserve"> </w:t>
            </w:r>
            <w:r w:rsidR="009B2DDE" w:rsidRPr="001515A0">
              <w:rPr>
                <w:rFonts w:ascii="Verdana" w:hAnsi="Verdana"/>
                <w:bCs/>
              </w:rPr>
              <w:t>Requisitos</w:t>
            </w:r>
            <w:r w:rsidR="009B2DDE" w:rsidRPr="001515A0">
              <w:rPr>
                <w:rFonts w:ascii="Verdana" w:hAnsi="Verdana"/>
                <w:bCs/>
                <w:spacing w:val="36"/>
              </w:rPr>
              <w:t xml:space="preserve"> </w:t>
            </w:r>
            <w:r w:rsidR="009B2DDE" w:rsidRPr="001515A0">
              <w:rPr>
                <w:rFonts w:ascii="Verdana" w:hAnsi="Verdana"/>
                <w:bCs/>
                <w:spacing w:val="-10"/>
              </w:rPr>
              <w:t>–</w:t>
            </w:r>
            <w:r w:rsidR="009B2DDE" w:rsidRPr="001515A0">
              <w:rPr>
                <w:rFonts w:ascii="Verdana" w:hAnsi="Verdana"/>
                <w:bCs/>
              </w:rPr>
              <w:t xml:space="preserve"> Artículo</w:t>
            </w:r>
            <w:r w:rsidR="009B2DDE" w:rsidRPr="001515A0">
              <w:rPr>
                <w:rFonts w:ascii="Verdana" w:hAnsi="Verdana"/>
                <w:bCs/>
                <w:spacing w:val="33"/>
              </w:rPr>
              <w:t xml:space="preserve"> </w:t>
            </w:r>
            <w:r w:rsidR="009B2DDE" w:rsidRPr="001515A0">
              <w:rPr>
                <w:rFonts w:ascii="Verdana" w:hAnsi="Verdana"/>
                <w:bCs/>
              </w:rPr>
              <w:t>41</w:t>
            </w:r>
            <w:r w:rsidR="009B2DDE" w:rsidRPr="001515A0">
              <w:rPr>
                <w:rFonts w:ascii="Verdana" w:hAnsi="Verdana"/>
                <w:bCs/>
                <w:spacing w:val="30"/>
              </w:rPr>
              <w:t xml:space="preserve"> </w:t>
            </w:r>
            <w:r w:rsidR="009B2DDE" w:rsidRPr="001515A0">
              <w:rPr>
                <w:rFonts w:ascii="Verdana" w:hAnsi="Verdana"/>
                <w:bCs/>
              </w:rPr>
              <w:t>de</w:t>
            </w:r>
            <w:r w:rsidR="009B2DDE" w:rsidRPr="001515A0">
              <w:rPr>
                <w:rFonts w:ascii="Verdana" w:hAnsi="Verdana"/>
                <w:bCs/>
                <w:spacing w:val="30"/>
              </w:rPr>
              <w:t xml:space="preserve"> </w:t>
            </w:r>
            <w:r w:rsidR="009B2DDE" w:rsidRPr="001515A0">
              <w:rPr>
                <w:rFonts w:ascii="Verdana" w:hAnsi="Verdana"/>
                <w:bCs/>
              </w:rPr>
              <w:t>la</w:t>
            </w:r>
            <w:r w:rsidR="009B2DDE" w:rsidRPr="001515A0">
              <w:rPr>
                <w:rFonts w:ascii="Verdana" w:hAnsi="Verdana"/>
                <w:bCs/>
                <w:spacing w:val="30"/>
              </w:rPr>
              <w:t xml:space="preserve"> </w:t>
            </w:r>
            <w:r w:rsidR="009B2DDE" w:rsidRPr="001515A0">
              <w:rPr>
                <w:rFonts w:ascii="Verdana" w:hAnsi="Verdana"/>
                <w:bCs/>
              </w:rPr>
              <w:t>Ley 80</w:t>
            </w:r>
            <w:r w:rsidR="009B2DDE" w:rsidRPr="001515A0">
              <w:rPr>
                <w:rFonts w:ascii="Verdana" w:hAnsi="Verdana"/>
                <w:bCs/>
                <w:spacing w:val="30"/>
              </w:rPr>
              <w:t xml:space="preserve"> </w:t>
            </w:r>
            <w:r w:rsidR="009B2DDE" w:rsidRPr="001515A0">
              <w:rPr>
                <w:rFonts w:ascii="Verdana" w:hAnsi="Verdana"/>
                <w:bCs/>
              </w:rPr>
              <w:t>de</w:t>
            </w:r>
            <w:r w:rsidR="009B2DDE" w:rsidRPr="001515A0">
              <w:rPr>
                <w:rFonts w:ascii="Verdana" w:hAnsi="Verdana"/>
                <w:bCs/>
                <w:spacing w:val="30"/>
              </w:rPr>
              <w:t xml:space="preserve"> </w:t>
            </w:r>
            <w:r w:rsidR="009B2DDE" w:rsidRPr="001515A0">
              <w:rPr>
                <w:rFonts w:ascii="Verdana" w:hAnsi="Verdana"/>
                <w:bCs/>
              </w:rPr>
              <w:t>1993</w:t>
            </w:r>
            <w:r w:rsidR="009B2DDE" w:rsidRPr="001515A0">
              <w:rPr>
                <w:rFonts w:ascii="Verdana" w:hAnsi="Verdana"/>
                <w:bCs/>
                <w:spacing w:val="31"/>
              </w:rPr>
              <w:t xml:space="preserve"> /</w:t>
            </w:r>
            <w:r w:rsidR="009B2DDE" w:rsidRPr="001515A0">
              <w:rPr>
                <w:rFonts w:ascii="Verdana" w:eastAsia="Times New Roman" w:hAnsi="Verdana" w:cs="Arial"/>
                <w:bCs/>
                <w:lang w:val="es-ES" w:eastAsia="es-CO"/>
              </w:rPr>
              <w:t xml:space="preserve"> APROBACIÓN DE LAS GARANTÍAS – Requisito de ejecución – Finalidad / GARANTÍA DE ÚNICA DE CUMPLIMIENTO – Definición – Fundamento normativo – Suficiencia</w:t>
            </w:r>
          </w:p>
          <w:p w14:paraId="53202237" w14:textId="03090A75" w:rsidR="009B2DDE" w:rsidRPr="001515A0" w:rsidRDefault="009B2DDE" w:rsidP="001515A0">
            <w:pPr>
              <w:jc w:val="both"/>
              <w:rPr>
                <w:rFonts w:ascii="Verdana" w:eastAsia="Times New Roman" w:hAnsi="Verdana" w:cs="Arial"/>
                <w:bCs/>
                <w:lang w:val="es-ES" w:eastAsia="es-CO"/>
              </w:rPr>
            </w:pPr>
          </w:p>
        </w:tc>
      </w:tr>
      <w:tr w:rsidR="00A654D6" w:rsidRPr="001515A0" w14:paraId="75B45E99" w14:textId="77777777">
        <w:tc>
          <w:tcPr>
            <w:tcW w:w="2689" w:type="dxa"/>
          </w:tcPr>
          <w:p w14:paraId="6D5B050E" w14:textId="77777777" w:rsidR="00A654D6" w:rsidRPr="001515A0" w:rsidRDefault="00A654D6" w:rsidP="001515A0">
            <w:pPr>
              <w:jc w:val="both"/>
              <w:rPr>
                <w:rFonts w:ascii="Verdana" w:eastAsia="Calibri" w:hAnsi="Verdana" w:cs="Arial"/>
                <w:b/>
                <w:color w:val="000000" w:themeColor="text1"/>
                <w:lang w:val="es-ES_tradnl" w:eastAsia="es-ES_tradnl"/>
              </w:rPr>
            </w:pPr>
            <w:r w:rsidRPr="001515A0">
              <w:rPr>
                <w:rFonts w:ascii="Verdana" w:eastAsia="Calibri" w:hAnsi="Verdana" w:cs="Arial"/>
                <w:b/>
                <w:color w:val="000000" w:themeColor="text1"/>
                <w:lang w:val="es-ES_tradnl" w:eastAsia="es-ES_tradnl"/>
              </w:rPr>
              <w:t>Radicación:</w:t>
            </w:r>
            <w:r w:rsidRPr="001515A0">
              <w:rPr>
                <w:rFonts w:ascii="Verdana" w:eastAsia="Calibri" w:hAnsi="Verdana" w:cs="Arial"/>
                <w:color w:val="000000" w:themeColor="text1"/>
                <w:lang w:val="es-ES_tradnl" w:eastAsia="es-ES_tradnl"/>
              </w:rPr>
              <w:t xml:space="preserve">               </w:t>
            </w:r>
          </w:p>
        </w:tc>
        <w:tc>
          <w:tcPr>
            <w:tcW w:w="6100" w:type="dxa"/>
          </w:tcPr>
          <w:p w14:paraId="57DDDEAC" w14:textId="03B2B970" w:rsidR="00A654D6" w:rsidRPr="001515A0" w:rsidRDefault="00A654D6" w:rsidP="00343B1A">
            <w:pPr>
              <w:jc w:val="both"/>
              <w:rPr>
                <w:rFonts w:ascii="Verdana" w:eastAsia="Calibri" w:hAnsi="Verdana" w:cs="Arial"/>
                <w:color w:val="000000" w:themeColor="text1"/>
                <w:lang w:eastAsia="es-ES_tradnl"/>
              </w:rPr>
            </w:pPr>
            <w:r w:rsidRPr="001515A0">
              <w:rPr>
                <w:rFonts w:ascii="Verdana" w:eastAsia="Calibri" w:hAnsi="Verdana" w:cs="Arial"/>
                <w:color w:val="000000" w:themeColor="text1"/>
                <w:lang w:val="es-ES_tradnl" w:eastAsia="es-ES_tradnl"/>
              </w:rPr>
              <w:t>Respuesta a consulta con radicado No.</w:t>
            </w:r>
            <w:r w:rsidRPr="001515A0">
              <w:rPr>
                <w:rFonts w:ascii="Verdana" w:hAnsi="Verdana"/>
              </w:rPr>
              <w:t xml:space="preserve"> </w:t>
            </w:r>
            <w:r w:rsidR="009041EC" w:rsidRPr="001515A0">
              <w:rPr>
                <w:rFonts w:ascii="Verdana" w:hAnsi="Verdana"/>
              </w:rPr>
              <w:t>1_2026_06_16_008113</w:t>
            </w:r>
          </w:p>
        </w:tc>
      </w:tr>
    </w:tbl>
    <w:p w14:paraId="239E05ED" w14:textId="77777777" w:rsidR="00A654D6" w:rsidRDefault="00A654D6" w:rsidP="001515A0">
      <w:pPr>
        <w:spacing w:after="0" w:line="240" w:lineRule="auto"/>
        <w:jc w:val="both"/>
        <w:rPr>
          <w:rFonts w:ascii="Verdana" w:eastAsia="Calibri" w:hAnsi="Verdana" w:cs="Arial"/>
          <w:color w:val="000000" w:themeColor="text1"/>
          <w:highlight w:val="cyan"/>
          <w:lang w:val="es-ES" w:eastAsia="es-ES"/>
        </w:rPr>
      </w:pPr>
    </w:p>
    <w:p w14:paraId="4124655B" w14:textId="77777777" w:rsidR="001515A0" w:rsidRPr="001515A0" w:rsidRDefault="001515A0" w:rsidP="00343B1A">
      <w:pPr>
        <w:spacing w:after="0" w:line="240" w:lineRule="auto"/>
        <w:jc w:val="both"/>
        <w:rPr>
          <w:rFonts w:ascii="Verdana" w:eastAsia="Calibri" w:hAnsi="Verdana" w:cs="Arial"/>
          <w:color w:val="000000" w:themeColor="text1"/>
          <w:highlight w:val="cyan"/>
          <w:lang w:val="es-ES" w:eastAsia="es-ES"/>
        </w:rPr>
      </w:pPr>
    </w:p>
    <w:p w14:paraId="00560FC5" w14:textId="620CBB25" w:rsidR="00A654D6" w:rsidRPr="001515A0" w:rsidRDefault="00A654D6" w:rsidP="001515A0">
      <w:pPr>
        <w:spacing w:after="0" w:line="276" w:lineRule="auto"/>
        <w:jc w:val="both"/>
        <w:rPr>
          <w:rFonts w:ascii="Verdana" w:eastAsia="Calibri" w:hAnsi="Verdana" w:cs="Arial"/>
          <w:color w:val="000000" w:themeColor="text1"/>
          <w:lang w:val="es-ES" w:eastAsia="es-ES"/>
        </w:rPr>
      </w:pPr>
      <w:r w:rsidRPr="001515A0">
        <w:rPr>
          <w:rFonts w:ascii="Verdana" w:eastAsia="Calibri" w:hAnsi="Verdana" w:cs="Arial"/>
          <w:color w:val="000000" w:themeColor="text1"/>
          <w:lang w:val="es-ES" w:eastAsia="es-ES"/>
        </w:rPr>
        <w:t xml:space="preserve">Estimado señor </w:t>
      </w:r>
      <w:r w:rsidR="00CC2338" w:rsidRPr="001515A0">
        <w:rPr>
          <w:rFonts w:ascii="Verdana" w:eastAsia="Calibri" w:hAnsi="Verdana" w:cs="Arial"/>
          <w:color w:val="000000" w:themeColor="text1"/>
          <w:lang w:eastAsia="es-ES"/>
        </w:rPr>
        <w:t>Toro Castrillo</w:t>
      </w:r>
      <w:r w:rsidRPr="001515A0">
        <w:rPr>
          <w:rFonts w:ascii="Verdana" w:eastAsia="Calibri" w:hAnsi="Verdana" w:cs="Arial"/>
          <w:color w:val="000000" w:themeColor="text1"/>
          <w:lang w:val="es-ES" w:eastAsia="es-ES"/>
        </w:rPr>
        <w:t xml:space="preserve">: </w:t>
      </w:r>
    </w:p>
    <w:p w14:paraId="00A7B4AA" w14:textId="77777777" w:rsidR="00A654D6" w:rsidRPr="001C7CDF" w:rsidRDefault="00A654D6" w:rsidP="001515A0">
      <w:pPr>
        <w:spacing w:after="0" w:line="276" w:lineRule="auto"/>
        <w:rPr>
          <w:rFonts w:ascii="Verdana" w:eastAsia="Times New Roman" w:hAnsi="Verdana" w:cs="Segoe UI"/>
          <w:highlight w:val="cyan"/>
          <w:lang w:eastAsia="es-CO"/>
        </w:rPr>
      </w:pPr>
    </w:p>
    <w:p w14:paraId="3CCA84CC" w14:textId="1F5D37F5" w:rsidR="00A654D6" w:rsidRPr="001C7CDF" w:rsidRDefault="00A654D6" w:rsidP="001515A0">
      <w:pPr>
        <w:spacing w:after="0" w:line="276" w:lineRule="auto"/>
        <w:jc w:val="both"/>
        <w:rPr>
          <w:rFonts w:ascii="Verdana" w:eastAsia="Calibri" w:hAnsi="Verdana" w:cs="Arial"/>
          <w:lang w:val="es-ES" w:eastAsia="es-ES"/>
        </w:rPr>
      </w:pPr>
      <w:r w:rsidRPr="001C7CDF">
        <w:rPr>
          <w:rFonts w:ascii="Verdana" w:eastAsia="Calibri" w:hAnsi="Verdana" w:cs="Arial"/>
          <w:lang w:val="es-ES" w:eastAsia="es-ES"/>
        </w:rPr>
        <w:t>En ejercicio de la competencia otorgada por los artículos 3, numeral 5º, y 11, numeral 8º, del Decreto Ley 4170 de 2011,</w:t>
      </w:r>
      <w:r w:rsidRPr="001C7CDF">
        <w:rPr>
          <w:rFonts w:ascii="Verdana" w:eastAsia="Arial MT" w:hAnsi="Verdana" w:cs="Arial"/>
          <w:lang w:val="es-ES" w:eastAsia="es-ES"/>
        </w:rPr>
        <w:t xml:space="preserve"> </w:t>
      </w:r>
      <w:r w:rsidRPr="001C7CDF">
        <w:rPr>
          <w:rFonts w:ascii="Verdana" w:hAnsi="Verdana" w:cs="Arial"/>
        </w:rPr>
        <w:t xml:space="preserve">así como lo establecido en el artículo 4 de la Resolución 1707 de 2018 expedida por esta Entidad, </w:t>
      </w:r>
      <w:r w:rsidRPr="001C7CDF">
        <w:rPr>
          <w:rFonts w:ascii="Verdana" w:eastAsia="Calibri" w:hAnsi="Verdana" w:cs="Arial"/>
          <w:lang w:val="es-ES" w:eastAsia="es-ES"/>
        </w:rPr>
        <w:t xml:space="preserve">la Agencia Nacional de Contratación Pública – Colombia Compra Eficiente– responde su solicitud radicada el </w:t>
      </w:r>
      <w:r w:rsidR="003C4CA2" w:rsidRPr="001C7CDF">
        <w:rPr>
          <w:rFonts w:ascii="Verdana" w:eastAsia="Calibri" w:hAnsi="Verdana" w:cs="Arial"/>
          <w:lang w:val="es-ES" w:eastAsia="es-ES"/>
        </w:rPr>
        <w:t>16 de junio del 2026</w:t>
      </w:r>
      <w:r w:rsidRPr="001C7CDF">
        <w:rPr>
          <w:rFonts w:ascii="Verdana" w:eastAsia="Calibri" w:hAnsi="Verdana" w:cs="Arial"/>
          <w:lang w:val="es-ES" w:eastAsia="es-ES"/>
        </w:rPr>
        <w:t xml:space="preserve">, en la cual manifiesta lo siguiente: </w:t>
      </w:r>
    </w:p>
    <w:p w14:paraId="4055604F" w14:textId="77777777" w:rsidR="00A654D6" w:rsidRPr="001C7CDF" w:rsidRDefault="00A654D6" w:rsidP="001515A0">
      <w:pPr>
        <w:spacing w:after="0" w:line="276" w:lineRule="auto"/>
        <w:jc w:val="both"/>
        <w:rPr>
          <w:rFonts w:ascii="Verdana" w:eastAsia="Calibri" w:hAnsi="Verdana" w:cs="Arial"/>
          <w:highlight w:val="cyan"/>
          <w:lang w:val="es-ES" w:eastAsia="es-ES"/>
        </w:rPr>
      </w:pPr>
    </w:p>
    <w:p w14:paraId="3552EBDD" w14:textId="57F56CA1" w:rsidR="00A654D6" w:rsidRPr="001C7CDF" w:rsidRDefault="00A654D6" w:rsidP="00A4388C">
      <w:pPr>
        <w:spacing w:after="0" w:line="240" w:lineRule="auto"/>
        <w:ind w:left="709" w:right="709"/>
        <w:jc w:val="both"/>
        <w:rPr>
          <w:rFonts w:ascii="Verdana" w:eastAsia="Century Gothic" w:hAnsi="Verdana" w:cs="Arial"/>
          <w:sz w:val="20"/>
          <w:szCs w:val="20"/>
        </w:rPr>
      </w:pPr>
      <w:r w:rsidRPr="001C7CDF">
        <w:rPr>
          <w:rFonts w:ascii="Verdana" w:eastAsia="Century Gothic" w:hAnsi="Verdana" w:cs="Arial"/>
          <w:sz w:val="20"/>
          <w:szCs w:val="20"/>
          <w:lang w:val="es-ES"/>
        </w:rPr>
        <w:t xml:space="preserve">“[…] </w:t>
      </w:r>
      <w:r w:rsidR="00A4388C" w:rsidRPr="001C7CDF">
        <w:rPr>
          <w:rFonts w:ascii="Verdana" w:eastAsia="Century Gothic" w:hAnsi="Verdana" w:cs="Arial"/>
          <w:sz w:val="20"/>
          <w:szCs w:val="20"/>
        </w:rPr>
        <w:t xml:space="preserve">El Decreto 1082 en su artículo 2.2.1.2.3.1.12. establece la suficiencia de la garantía de cumplimiento. La garantía de cumplimiento del contrato debe tener una vigencia mínima hasta la liquidación del contrato. En ese orden de ideas, se pregunta ¿la fecha de inicio de la cobertura de la garantía de cumplimiento debe ser desde la firma del contrato, desde la </w:t>
      </w:r>
      <w:r w:rsidR="00A4388C" w:rsidRPr="001C7CDF">
        <w:rPr>
          <w:rFonts w:ascii="Verdana" w:eastAsia="Century Gothic" w:hAnsi="Verdana" w:cs="Arial"/>
          <w:sz w:val="20"/>
          <w:szCs w:val="20"/>
        </w:rPr>
        <w:lastRenderedPageBreak/>
        <w:t>fecha de aprobación de las garantías, desde la fecha del cumplimiento de los requisitos ejecución (expedición de RP, aprobación de garantías y fecha del acta de inicio cuando aplique)? Es viable, solicitar la modificación de las garantías a partir de la fecha de la suscripción del acta de inicio cuando se establezca como requisito de ejecución, y estarían garantizadas las obligaciones previas del contratista, para suscribir el acta de inicio, como (hojas de vida del personal a contratar, permisos de autoridades, etc.)</w:t>
      </w:r>
      <w:r w:rsidRPr="001C7CDF">
        <w:rPr>
          <w:rFonts w:ascii="Verdana" w:eastAsia="Century Gothic" w:hAnsi="Verdana" w:cs="Arial"/>
          <w:sz w:val="20"/>
          <w:szCs w:val="20"/>
        </w:rPr>
        <w:t>? […]”</w:t>
      </w:r>
    </w:p>
    <w:p w14:paraId="492F5327" w14:textId="77777777" w:rsidR="00A654D6" w:rsidRPr="001C7CDF" w:rsidRDefault="00A654D6" w:rsidP="00343B1A">
      <w:pPr>
        <w:spacing w:after="0" w:line="276" w:lineRule="auto"/>
        <w:jc w:val="both"/>
        <w:rPr>
          <w:rFonts w:ascii="Verdana" w:hAnsi="Verdana" w:cs="Arial"/>
          <w:highlight w:val="cyan"/>
          <w:lang w:val="es-ES"/>
        </w:rPr>
      </w:pPr>
    </w:p>
    <w:p w14:paraId="3795DF27" w14:textId="77777777" w:rsidR="00A654D6" w:rsidRPr="001C7CDF" w:rsidRDefault="00A654D6" w:rsidP="00A654D6">
      <w:pPr>
        <w:spacing w:after="120" w:line="276" w:lineRule="auto"/>
        <w:ind w:firstLine="709"/>
        <w:jc w:val="both"/>
        <w:rPr>
          <w:rFonts w:ascii="Verdana" w:eastAsia="Calibri" w:hAnsi="Verdana" w:cs="Arial"/>
          <w:color w:val="000000"/>
          <w:lang w:val="es-ES_tradnl" w:eastAsia="es-ES_tradnl"/>
        </w:rPr>
      </w:pPr>
      <w:r w:rsidRPr="001C7CDF">
        <w:rPr>
          <w:rFonts w:ascii="Verdana" w:eastAsia="Calibri" w:hAnsi="Verdana" w:cs="Arial"/>
          <w:color w:val="000000"/>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p>
    <w:p w14:paraId="0B9EA8CC" w14:textId="77777777" w:rsidR="00A654D6" w:rsidRPr="001C7CDF" w:rsidRDefault="00A654D6" w:rsidP="00A654D6">
      <w:pPr>
        <w:spacing w:after="0" w:line="276" w:lineRule="auto"/>
        <w:ind w:firstLine="709"/>
        <w:jc w:val="both"/>
        <w:rPr>
          <w:rFonts w:ascii="Verdana" w:eastAsia="Calibri" w:hAnsi="Verdana" w:cs="Arial"/>
          <w:color w:val="000000"/>
          <w:lang w:val="es-ES" w:eastAsia="es-ES"/>
        </w:rPr>
      </w:pPr>
      <w:r w:rsidRPr="001C7CDF">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60BE547A" w14:textId="77777777" w:rsidR="00A654D6" w:rsidRPr="001C7CDF" w:rsidRDefault="00A654D6" w:rsidP="00A654D6">
      <w:pPr>
        <w:spacing w:after="0" w:line="276" w:lineRule="auto"/>
        <w:jc w:val="both"/>
        <w:rPr>
          <w:rStyle w:val="Hipervnculo"/>
          <w:rFonts w:ascii="Verdana" w:hAnsi="Verdana"/>
          <w:highlight w:val="cyan"/>
          <w:u w:val="none"/>
          <w:lang w:val="es-ES"/>
        </w:rPr>
      </w:pPr>
    </w:p>
    <w:p w14:paraId="00BBB945" w14:textId="77777777" w:rsidR="00A654D6" w:rsidRPr="001C7CDF" w:rsidRDefault="00A654D6" w:rsidP="00A654D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Arial"/>
          <w:b/>
          <w:bCs/>
        </w:rPr>
      </w:pPr>
      <w:r w:rsidRPr="001C7CDF">
        <w:rPr>
          <w:rFonts w:ascii="Verdana" w:eastAsia="Century Gothic" w:hAnsi="Verdana" w:cs="Arial"/>
          <w:b/>
          <w:bCs/>
        </w:rPr>
        <w:t>Problemas planteados:</w:t>
      </w:r>
    </w:p>
    <w:p w14:paraId="3CBF4397" w14:textId="77777777" w:rsidR="00A654D6" w:rsidRPr="001C7CDF" w:rsidRDefault="00A654D6" w:rsidP="00A654D6">
      <w:pPr>
        <w:spacing w:after="0" w:line="276" w:lineRule="auto"/>
        <w:jc w:val="both"/>
        <w:rPr>
          <w:rStyle w:val="Hipervnculo"/>
          <w:rFonts w:ascii="Verdana" w:hAnsi="Verdana" w:cs="Arial"/>
          <w:highlight w:val="cyan"/>
        </w:rPr>
      </w:pPr>
    </w:p>
    <w:p w14:paraId="75999D19" w14:textId="6E729359" w:rsidR="002E7B12" w:rsidRPr="001C7CDF" w:rsidRDefault="00A654D6" w:rsidP="002E7B12">
      <w:pPr>
        <w:spacing w:after="0" w:line="276" w:lineRule="auto"/>
        <w:jc w:val="both"/>
        <w:rPr>
          <w:rFonts w:ascii="Verdana" w:eastAsia="Century Gothic" w:hAnsi="Verdana" w:cs="Arial"/>
        </w:rPr>
      </w:pPr>
      <w:r w:rsidRPr="001C7CDF">
        <w:rPr>
          <w:rFonts w:ascii="Verdana" w:eastAsia="Century Gothic" w:hAnsi="Verdana" w:cs="Arial"/>
        </w:rPr>
        <w:t xml:space="preserve">De acuerdo con el contenido de su solicitud, esta Agencia resolverá </w:t>
      </w:r>
      <w:r w:rsidR="00196725" w:rsidRPr="001C7CDF">
        <w:rPr>
          <w:rFonts w:ascii="Verdana" w:eastAsia="Century Gothic" w:hAnsi="Verdana" w:cs="Arial"/>
        </w:rPr>
        <w:t>el</w:t>
      </w:r>
      <w:r w:rsidRPr="001C7CDF">
        <w:rPr>
          <w:rFonts w:ascii="Verdana" w:eastAsia="Century Gothic" w:hAnsi="Verdana" w:cs="Arial"/>
        </w:rPr>
        <w:t xml:space="preserve"> siguiente problema jurídico:</w:t>
      </w:r>
      <w:r w:rsidR="00BD0967" w:rsidRPr="001C7CDF">
        <w:rPr>
          <w:rFonts w:ascii="Verdana" w:eastAsia="Century Gothic" w:hAnsi="Verdana" w:cs="Arial"/>
        </w:rPr>
        <w:t xml:space="preserve"> </w:t>
      </w:r>
      <w:r w:rsidR="002E7B12" w:rsidRPr="001C7CDF">
        <w:rPr>
          <w:rFonts w:ascii="Verdana" w:eastAsia="Century Gothic" w:hAnsi="Verdana" w:cs="Arial"/>
        </w:rPr>
        <w:t>¿La fecha de inicio de cobertura de la garantía de cumplimiento debe fijarse desde la suscripción del contrato, desde la aprobación de las garantías, o desde la firma del acta de inicio cuando esta se establece como requisito de ejecución, y cuáles son las implicaciones jurídicas de cada alternativa en relación con la protección de las obligaciones del contratista?</w:t>
      </w:r>
    </w:p>
    <w:p w14:paraId="1C767193" w14:textId="77777777" w:rsidR="00A654D6" w:rsidRPr="001C7CDF" w:rsidRDefault="00A654D6" w:rsidP="00A654D6">
      <w:pPr>
        <w:spacing w:after="0" w:line="276" w:lineRule="auto"/>
        <w:jc w:val="both"/>
        <w:rPr>
          <w:rStyle w:val="Hipervnculo"/>
          <w:rFonts w:ascii="Verdana" w:hAnsi="Verdana" w:cs="Arial"/>
          <w:highlight w:val="cyan"/>
        </w:rPr>
      </w:pPr>
    </w:p>
    <w:p w14:paraId="06EFC87B" w14:textId="77777777" w:rsidR="00A654D6" w:rsidRPr="001C7CDF" w:rsidRDefault="00A654D6" w:rsidP="00A654D6">
      <w:pPr>
        <w:pStyle w:val="Prrafodelista"/>
        <w:widowControl w:val="0"/>
        <w:numPr>
          <w:ilvl w:val="0"/>
          <w:numId w:val="16"/>
        </w:numPr>
        <w:autoSpaceDE w:val="0"/>
        <w:autoSpaceDN w:val="0"/>
        <w:spacing w:after="0" w:line="276" w:lineRule="auto"/>
        <w:ind w:left="360"/>
        <w:contextualSpacing w:val="0"/>
        <w:jc w:val="both"/>
        <w:outlineLvl w:val="0"/>
        <w:rPr>
          <w:rFonts w:ascii="Verdana" w:eastAsia="Arial" w:hAnsi="Verdana" w:cs="Arial"/>
          <w:b/>
          <w:bCs/>
        </w:rPr>
      </w:pPr>
      <w:r w:rsidRPr="001C7CDF">
        <w:rPr>
          <w:rFonts w:ascii="Verdana" w:eastAsia="Arial" w:hAnsi="Verdana" w:cs="Arial"/>
          <w:b/>
          <w:bCs/>
        </w:rPr>
        <w:lastRenderedPageBreak/>
        <w:t>Respuesta:</w:t>
      </w:r>
    </w:p>
    <w:p w14:paraId="37EAD360" w14:textId="77777777" w:rsidR="00A654D6" w:rsidRPr="001C7CDF" w:rsidRDefault="00A654D6" w:rsidP="00A654D6">
      <w:pPr>
        <w:spacing w:after="0" w:line="276" w:lineRule="auto"/>
        <w:rPr>
          <w:rFonts w:ascii="Verdana" w:eastAsia="Aptos" w:hAnsi="Verdana" w:cs="Arial"/>
          <w:highlight w:val="cy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654D6" w:rsidRPr="001C7CDF" w14:paraId="1B2B4FE9" w14:textId="77777777">
        <w:tc>
          <w:tcPr>
            <w:tcW w:w="8828" w:type="dxa"/>
          </w:tcPr>
          <w:p w14:paraId="46BBE8A9" w14:textId="2040F101" w:rsidR="00A654D6" w:rsidRPr="001C7CDF" w:rsidRDefault="00A654D6">
            <w:pPr>
              <w:spacing w:after="120" w:line="276" w:lineRule="auto"/>
              <w:jc w:val="both"/>
              <w:rPr>
                <w:rFonts w:ascii="Verdana" w:hAnsi="Verdana" w:cs="Arial"/>
              </w:rPr>
            </w:pPr>
            <w:bookmarkStart w:id="1" w:name="_Hlk171067516"/>
            <w:r w:rsidRPr="001C7CDF">
              <w:rPr>
                <w:rFonts w:ascii="Verdana" w:hAnsi="Verdana" w:cs="Arial"/>
              </w:rPr>
              <w:t>En respuesta a</w:t>
            </w:r>
            <w:r w:rsidR="003D5648" w:rsidRPr="001C7CDF">
              <w:rPr>
                <w:rFonts w:ascii="Verdana" w:hAnsi="Verdana" w:cs="Arial"/>
              </w:rPr>
              <w:t>l</w:t>
            </w:r>
            <w:r w:rsidRPr="001C7CDF">
              <w:rPr>
                <w:rFonts w:ascii="Verdana" w:hAnsi="Verdana" w:cs="Arial"/>
              </w:rPr>
              <w:t xml:space="preserve"> problema ante planteado esta Subdirección manifiesta lo siguiente:</w:t>
            </w:r>
          </w:p>
          <w:p w14:paraId="7104D72C" w14:textId="18890AF4" w:rsidR="00C53932" w:rsidRPr="001C7CDF" w:rsidRDefault="00C53932">
            <w:pPr>
              <w:spacing w:after="120" w:line="276" w:lineRule="auto"/>
              <w:ind w:firstLine="737"/>
              <w:jc w:val="both"/>
              <w:rPr>
                <w:rFonts w:ascii="Verdana" w:hAnsi="Verdana"/>
              </w:rPr>
            </w:pPr>
            <w:r w:rsidRPr="001C7CDF">
              <w:rPr>
                <w:rFonts w:ascii="Verdana" w:hAnsi="Verdana"/>
              </w:rPr>
              <w:t xml:space="preserve">En </w:t>
            </w:r>
            <w:r w:rsidRPr="001C7CDF">
              <w:rPr>
                <w:rFonts w:ascii="Verdana" w:hAnsi="Verdana"/>
                <w:i/>
                <w:iCs/>
              </w:rPr>
              <w:t>primer lugar</w:t>
            </w:r>
            <w:r w:rsidRPr="001C7CDF">
              <w:rPr>
                <w:rFonts w:ascii="Verdana" w:hAnsi="Verdana"/>
              </w:rPr>
              <w:t xml:space="preserve">, debe señalarse que el artículo 2.2.1.2.3.1.12 del Decreto 1082 de 2015 establece como límite final de la vigencia de la </w:t>
            </w:r>
            <w:r w:rsidRPr="001C7CDF">
              <w:rPr>
                <w:rFonts w:ascii="Verdana" w:hAnsi="Verdana"/>
                <w:i/>
                <w:iCs/>
              </w:rPr>
              <w:t xml:space="preserve">garantía de cumplimiento </w:t>
            </w:r>
            <w:r w:rsidRPr="001C7CDF">
              <w:rPr>
                <w:rFonts w:ascii="Verdana" w:hAnsi="Verdana"/>
              </w:rPr>
              <w:t xml:space="preserve">la liquidación del contrato, </w:t>
            </w:r>
            <w:r w:rsidRPr="001C7CDF">
              <w:rPr>
                <w:rFonts w:ascii="Verdana" w:hAnsi="Verdana"/>
                <w:i/>
                <w:iCs/>
              </w:rPr>
              <w:t>pero no determina expresamente el momento de inicio de la cobertura</w:t>
            </w:r>
            <w:r w:rsidRPr="001C7CDF">
              <w:rPr>
                <w:rFonts w:ascii="Verdana" w:hAnsi="Verdana"/>
              </w:rPr>
              <w:t xml:space="preserve">. En consecuencia, corresponde a las </w:t>
            </w:r>
            <w:r w:rsidR="00F16D93" w:rsidRPr="001C7CDF">
              <w:rPr>
                <w:rFonts w:ascii="Verdana" w:hAnsi="Verdana"/>
              </w:rPr>
              <w:t>E</w:t>
            </w:r>
            <w:r w:rsidRPr="001C7CDF">
              <w:rPr>
                <w:rFonts w:ascii="Verdana" w:hAnsi="Verdana"/>
              </w:rPr>
              <w:t xml:space="preserve">ntidades </w:t>
            </w:r>
            <w:r w:rsidR="00F16D93" w:rsidRPr="001C7CDF">
              <w:rPr>
                <w:rFonts w:ascii="Verdana" w:hAnsi="Verdana"/>
              </w:rPr>
              <w:t>E</w:t>
            </w:r>
            <w:r w:rsidRPr="001C7CDF">
              <w:rPr>
                <w:rFonts w:ascii="Verdana" w:hAnsi="Verdana"/>
              </w:rPr>
              <w:t xml:space="preserve">statales definirlo, teniendo en cuenta </w:t>
            </w:r>
            <w:r w:rsidR="00F32267" w:rsidRPr="001C7CDF">
              <w:rPr>
                <w:rFonts w:ascii="Verdana" w:hAnsi="Verdana"/>
              </w:rPr>
              <w:t xml:space="preserve">para ello </w:t>
            </w:r>
            <w:r w:rsidRPr="001C7CDF">
              <w:rPr>
                <w:rFonts w:ascii="Verdana" w:hAnsi="Verdana"/>
              </w:rPr>
              <w:t>que los contratos se perfeccionan con el acuerdo sobre el objeto y la contraprestación elevado a escrito (art. 41, Ley 80 de 1993), y que para su ejecución se requiere la aprobación de la</w:t>
            </w:r>
            <w:r w:rsidR="006C6348">
              <w:rPr>
                <w:rFonts w:ascii="Verdana" w:hAnsi="Verdana"/>
              </w:rPr>
              <w:t>s</w:t>
            </w:r>
            <w:r w:rsidRPr="001C7CDF">
              <w:rPr>
                <w:rFonts w:ascii="Verdana" w:hAnsi="Verdana"/>
              </w:rPr>
              <w:t xml:space="preserve"> garantía</w:t>
            </w:r>
            <w:r w:rsidR="006C6348">
              <w:rPr>
                <w:rFonts w:ascii="Verdana" w:hAnsi="Verdana"/>
              </w:rPr>
              <w:t>s</w:t>
            </w:r>
            <w:r w:rsidRPr="001C7CDF">
              <w:rPr>
                <w:rFonts w:ascii="Verdana" w:hAnsi="Verdana"/>
              </w:rPr>
              <w:t xml:space="preserve"> y, cuando aplique, la existencia de disponibilidad presupuestal. </w:t>
            </w:r>
            <w:r w:rsidR="00AE1B6F">
              <w:rPr>
                <w:rFonts w:ascii="Verdana" w:hAnsi="Verdana"/>
              </w:rPr>
              <w:t>En ese sentido, es importante mencionar que, p</w:t>
            </w:r>
            <w:r w:rsidRPr="001C7CDF">
              <w:rPr>
                <w:rFonts w:ascii="Verdana" w:hAnsi="Verdana"/>
              </w:rPr>
              <w:t>or regla general, el plazo de ejecución comienza con la expedición del registro presupuestal y la aprobación de la póliza; no obstante, si las partes pactan que el término se cuenta desde la suscripción del acta de inicio, dicha estipulación debe respetarse, en tanto el contrato es ley para las partes</w:t>
            </w:r>
            <w:r w:rsidR="00807D04" w:rsidRPr="001C7CDF">
              <w:rPr>
                <w:rFonts w:ascii="Verdana" w:hAnsi="Verdana"/>
              </w:rPr>
              <w:t xml:space="preserve"> (requisito de ejecución convencional).</w:t>
            </w:r>
          </w:p>
          <w:p w14:paraId="579D447D" w14:textId="77BBAF6F" w:rsidR="0001091F" w:rsidRPr="001C7CDF" w:rsidRDefault="0001091F" w:rsidP="0001091F">
            <w:pPr>
              <w:spacing w:after="120" w:line="276" w:lineRule="auto"/>
              <w:ind w:firstLine="737"/>
              <w:jc w:val="both"/>
              <w:rPr>
                <w:rFonts w:ascii="Verdana" w:hAnsi="Verdana"/>
              </w:rPr>
            </w:pPr>
            <w:r w:rsidRPr="001C7CDF">
              <w:rPr>
                <w:rFonts w:ascii="Verdana" w:hAnsi="Verdana"/>
              </w:rPr>
              <w:t xml:space="preserve">Así, la fecha de inicio de la cobertura debe coincidir con el momento en que empieza a correr el plazo de ejecución: i) cuando no se exige acta de inicio, desde el cumplimiento de los requisitos de ejecución (RP y aprobación de garantías); </w:t>
            </w:r>
            <w:proofErr w:type="spellStart"/>
            <w:r w:rsidRPr="001C7CDF">
              <w:rPr>
                <w:rFonts w:ascii="Verdana" w:hAnsi="Verdana"/>
              </w:rPr>
              <w:t>ii</w:t>
            </w:r>
            <w:proofErr w:type="spellEnd"/>
            <w:r w:rsidRPr="001C7CDF">
              <w:rPr>
                <w:rFonts w:ascii="Verdana" w:hAnsi="Verdana"/>
              </w:rPr>
              <w:t>) cuando sí se exige acta de inicio, desde la suscripción de esta, conforme al artículo 40 de la Ley 80 de 1993</w:t>
            </w:r>
            <w:r w:rsidR="00891CBE">
              <w:rPr>
                <w:rFonts w:ascii="Verdana" w:hAnsi="Verdana"/>
              </w:rPr>
              <w:t xml:space="preserve"> o incluso antes</w:t>
            </w:r>
            <w:r w:rsidRPr="001C7CDF">
              <w:rPr>
                <w:rFonts w:ascii="Verdana" w:hAnsi="Verdana"/>
              </w:rPr>
              <w:t xml:space="preserve">. </w:t>
            </w:r>
            <w:r w:rsidRPr="001C7CDF">
              <w:rPr>
                <w:rFonts w:ascii="Verdana" w:hAnsi="Verdana"/>
                <w:i/>
                <w:iCs/>
              </w:rPr>
              <w:t>En todo caso, la garantía debe estar aprobada antes de iniciar la ejecución</w:t>
            </w:r>
            <w:r w:rsidRPr="001C7CDF">
              <w:rPr>
                <w:rFonts w:ascii="Verdana" w:hAnsi="Verdana"/>
              </w:rPr>
              <w:t xml:space="preserve"> (art. 23, Ley 1150 de 2007), por lo que no es admisible que su vigencia comience en una fecha posterior.</w:t>
            </w:r>
          </w:p>
          <w:p w14:paraId="7397ADFF" w14:textId="77777777" w:rsidR="009535CB" w:rsidRPr="009535CB" w:rsidRDefault="0001091F" w:rsidP="009535CB">
            <w:pPr>
              <w:spacing w:after="120" w:line="276" w:lineRule="auto"/>
              <w:ind w:firstLine="737"/>
              <w:jc w:val="both"/>
              <w:rPr>
                <w:rFonts w:ascii="Verdana" w:hAnsi="Verdana"/>
              </w:rPr>
            </w:pPr>
            <w:r w:rsidRPr="001C7CDF">
              <w:rPr>
                <w:rFonts w:ascii="Verdana" w:hAnsi="Verdana"/>
              </w:rPr>
              <w:t xml:space="preserve">Respecto a la modificación de las garantías a partir del acta de inicio, no sería procedente ajustar la fecha de cobertura si ello deja sin amparo las obligaciones previas que el contratista debe cumplir para suscribir dicha acta (como entrega de hojas de vida o permisos). Estas obligaciones, aunque preparatorias, derivan del contrato perfeccionado y su incumplimiento puede generar perjuicios a la entidad. Por lo tanto, se recomienda que la </w:t>
            </w:r>
            <w:r w:rsidRPr="001C7CDF">
              <w:rPr>
                <w:rFonts w:ascii="Verdana" w:hAnsi="Verdana"/>
                <w:i/>
                <w:iCs/>
              </w:rPr>
              <w:t>garantía de cumplimiento</w:t>
            </w:r>
            <w:r w:rsidRPr="001C7CDF">
              <w:rPr>
                <w:rFonts w:ascii="Verdana" w:hAnsi="Verdana"/>
              </w:rPr>
              <w:t xml:space="preserve"> ampare desde el momento en que las obligaciones del contratista se hacen exigibles, incluidas las previas al acta de inicio, evitando vacíos de cobertura.</w:t>
            </w:r>
            <w:r w:rsidR="00C32E77">
              <w:rPr>
                <w:rFonts w:ascii="Verdana" w:hAnsi="Verdana"/>
              </w:rPr>
              <w:t xml:space="preserve"> </w:t>
            </w:r>
            <w:r w:rsidR="009535CB" w:rsidRPr="009535CB">
              <w:rPr>
                <w:rFonts w:ascii="Verdana" w:hAnsi="Verdana"/>
              </w:rPr>
              <w:t xml:space="preserve">No obstante, si la suscripción del acta de inicio ocurre con </w:t>
            </w:r>
            <w:r w:rsidR="009535CB" w:rsidRPr="009535CB">
              <w:rPr>
                <w:rFonts w:ascii="Verdana" w:hAnsi="Verdana"/>
              </w:rPr>
              <w:lastRenderedPageBreak/>
              <w:t>posterioridad a la constitución y aprobación de la garantía, y la cobertura de esta comenzó a correr desde una fecha anterior, deberá evaluarse la necesidad de ampliar su vigencia, con el propósito de garantizar que el amparo cubra integralmente el período de ejecución contractual y se extienda hasta la liquidación del contrato.</w:t>
            </w:r>
          </w:p>
          <w:p w14:paraId="2DC289C0" w14:textId="5E1F4772" w:rsidR="00A654D6" w:rsidRPr="001C7CDF" w:rsidRDefault="00A654D6">
            <w:pPr>
              <w:spacing w:after="120" w:line="276" w:lineRule="auto"/>
              <w:ind w:firstLine="737"/>
              <w:jc w:val="both"/>
              <w:rPr>
                <w:rFonts w:ascii="Verdana" w:hAnsi="Verdana"/>
              </w:rPr>
            </w:pPr>
            <w:r w:rsidRPr="001C7CDF">
              <w:rPr>
                <w:rFonts w:ascii="Verdana" w:hAnsi="Verdana" w:cs="Arial"/>
                <w:bCs/>
                <w:color w:val="000000" w:themeColor="text1"/>
              </w:rPr>
              <w:t>De cualquier modo, se reitera que al tratarse de un análisis que se debe realizar en cada caso concreto, la Agencia,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lo anterior, previo concepto de sus órganos asesores, la solución de casos particulares corresponde a la entidad que debe adoptar la decisión correspondiente para atender las necesidades de la entidad pública.</w:t>
            </w:r>
          </w:p>
        </w:tc>
      </w:tr>
      <w:bookmarkEnd w:id="1"/>
    </w:tbl>
    <w:p w14:paraId="67A56A38" w14:textId="77777777" w:rsidR="00A654D6" w:rsidRPr="001C7CDF" w:rsidRDefault="00A654D6" w:rsidP="00A654D6">
      <w:pPr>
        <w:widowControl w:val="0"/>
        <w:autoSpaceDE w:val="0"/>
        <w:autoSpaceDN w:val="0"/>
        <w:spacing w:after="0" w:line="276" w:lineRule="auto"/>
        <w:ind w:left="360" w:hanging="360"/>
        <w:outlineLvl w:val="0"/>
        <w:rPr>
          <w:rFonts w:ascii="Verdana" w:eastAsia="Arial" w:hAnsi="Verdana" w:cs="Arial"/>
          <w:b/>
          <w:bCs/>
          <w:highlight w:val="cyan"/>
        </w:rPr>
      </w:pPr>
    </w:p>
    <w:p w14:paraId="4FE8D89C" w14:textId="77777777" w:rsidR="00A654D6" w:rsidRPr="001C7CDF" w:rsidRDefault="00A654D6" w:rsidP="00A654D6">
      <w:pPr>
        <w:widowControl w:val="0"/>
        <w:autoSpaceDE w:val="0"/>
        <w:autoSpaceDN w:val="0"/>
        <w:spacing w:after="0" w:line="276" w:lineRule="auto"/>
        <w:ind w:left="360" w:hanging="360"/>
        <w:outlineLvl w:val="0"/>
        <w:rPr>
          <w:rFonts w:ascii="Verdana" w:eastAsia="Arial" w:hAnsi="Verdana" w:cs="Arial"/>
          <w:b/>
          <w:bCs/>
          <w:lang w:val="es-ES"/>
        </w:rPr>
      </w:pPr>
      <w:r w:rsidRPr="001C7CDF">
        <w:rPr>
          <w:rFonts w:ascii="Verdana" w:eastAsia="Arial" w:hAnsi="Verdana" w:cs="Arial"/>
          <w:b/>
          <w:bCs/>
          <w:lang w:val="es-ES"/>
        </w:rPr>
        <w:t>3. Razones de la respuesta:</w:t>
      </w:r>
    </w:p>
    <w:p w14:paraId="32CAB296" w14:textId="77777777" w:rsidR="00A654D6" w:rsidRPr="001C7CDF" w:rsidRDefault="00A654D6" w:rsidP="00A654D6">
      <w:pPr>
        <w:spacing w:after="0" w:line="276" w:lineRule="auto"/>
        <w:jc w:val="both"/>
        <w:rPr>
          <w:rFonts w:ascii="Verdana" w:eastAsia="Calibri" w:hAnsi="Verdana" w:cs="Arial"/>
          <w:lang w:val="es-ES"/>
        </w:rPr>
      </w:pPr>
    </w:p>
    <w:p w14:paraId="2531FD22" w14:textId="77777777" w:rsidR="00A654D6" w:rsidRPr="001C7CDF" w:rsidRDefault="00A654D6" w:rsidP="00A654D6">
      <w:pPr>
        <w:spacing w:after="0" w:line="276" w:lineRule="auto"/>
        <w:jc w:val="both"/>
        <w:rPr>
          <w:rFonts w:ascii="Verdana" w:eastAsia="Calibri" w:hAnsi="Verdana" w:cs="Arial"/>
          <w:lang w:val="es-ES"/>
        </w:rPr>
      </w:pPr>
      <w:r w:rsidRPr="001C7CDF">
        <w:rPr>
          <w:rFonts w:ascii="Verdana" w:eastAsia="Calibri" w:hAnsi="Verdana" w:cs="Arial"/>
          <w:lang w:val="es-ES"/>
        </w:rPr>
        <w:t xml:space="preserve">La respuesta anterior se sustenta en las siguientes consideraciones: </w:t>
      </w:r>
    </w:p>
    <w:p w14:paraId="2555A950" w14:textId="77777777" w:rsidR="00223AB7" w:rsidRPr="001C7CDF" w:rsidRDefault="00223AB7" w:rsidP="00A654D6">
      <w:pPr>
        <w:spacing w:after="0" w:line="276" w:lineRule="auto"/>
        <w:jc w:val="both"/>
        <w:rPr>
          <w:rFonts w:ascii="Verdana" w:eastAsia="Calibri" w:hAnsi="Verdana" w:cs="Arial"/>
          <w:lang w:val="es-ES"/>
        </w:rPr>
      </w:pPr>
    </w:p>
    <w:p w14:paraId="4263841A" w14:textId="77777777" w:rsidR="00AF3113" w:rsidRPr="001C7CDF" w:rsidRDefault="00AF3113" w:rsidP="00AF3113">
      <w:pPr>
        <w:spacing w:after="120" w:line="276" w:lineRule="auto"/>
        <w:jc w:val="both"/>
        <w:rPr>
          <w:rFonts w:ascii="Verdana" w:eastAsia="Calibri" w:hAnsi="Verdana" w:cs="Arial"/>
          <w:color w:val="000000"/>
          <w:lang w:val="es-ES" w:eastAsia="en-GB"/>
        </w:rPr>
      </w:pPr>
      <w:r w:rsidRPr="001C7CDF">
        <w:rPr>
          <w:rFonts w:ascii="Verdana" w:eastAsia="Calibri" w:hAnsi="Verdana" w:cs="Arial"/>
          <w:color w:val="000000" w:themeColor="text1"/>
          <w:lang w:val="es-ES" w:eastAsia="en-GB"/>
        </w:rPr>
        <w:t xml:space="preserve">i) El Estatuto General de Contratación de la Administración Pública – en adelante EGCAP – prevé dos tipos de exigencias en relación con los contratos estatales: i) las relacionadas con el perfeccionamiento y </w:t>
      </w:r>
      <w:proofErr w:type="spellStart"/>
      <w:r w:rsidRPr="001C7CDF">
        <w:rPr>
          <w:rFonts w:ascii="Verdana" w:eastAsia="Calibri" w:hAnsi="Verdana" w:cs="Arial"/>
          <w:color w:val="000000" w:themeColor="text1"/>
          <w:lang w:val="es-ES" w:eastAsia="en-GB"/>
        </w:rPr>
        <w:t>ii</w:t>
      </w:r>
      <w:proofErr w:type="spellEnd"/>
      <w:r w:rsidRPr="001C7CDF">
        <w:rPr>
          <w:rFonts w:ascii="Verdana" w:eastAsia="Calibri" w:hAnsi="Verdana" w:cs="Arial"/>
          <w:color w:val="000000" w:themeColor="text1"/>
          <w:lang w:val="es-ES" w:eastAsia="en-GB"/>
        </w:rPr>
        <w:t xml:space="preserve">) las que tienen que ver con la ejecución. Si bien ambas se complementan y marcan el origen de la fase contractual –o de ejecución–, es importante distinguirlas, ya que las consecuencias jurídicas que generan son diferentes. </w:t>
      </w:r>
    </w:p>
    <w:p w14:paraId="7ECFBB26" w14:textId="77777777" w:rsidR="00AF3113" w:rsidRPr="001C7CDF" w:rsidRDefault="00AF3113" w:rsidP="00AF3113">
      <w:pPr>
        <w:spacing w:after="120" w:line="276" w:lineRule="auto"/>
        <w:ind w:firstLine="709"/>
        <w:jc w:val="both"/>
        <w:rPr>
          <w:rFonts w:ascii="Verdana" w:eastAsia="Calibri" w:hAnsi="Verdana" w:cs="Arial"/>
          <w:color w:val="000000"/>
          <w:lang w:val="es-ES" w:eastAsia="en-GB"/>
        </w:rPr>
      </w:pPr>
      <w:r w:rsidRPr="001C7CDF">
        <w:rPr>
          <w:rFonts w:ascii="Verdana" w:eastAsia="Calibri" w:hAnsi="Verdana" w:cs="Arial"/>
          <w:color w:val="000000"/>
          <w:lang w:val="es-ES" w:eastAsia="en-GB"/>
        </w:rPr>
        <w:t xml:space="preserve">Los </w:t>
      </w:r>
      <w:r w:rsidRPr="001C7CDF">
        <w:rPr>
          <w:rFonts w:ascii="Verdana" w:eastAsia="Calibri" w:hAnsi="Verdana" w:cs="Arial"/>
          <w:i/>
          <w:iCs/>
          <w:color w:val="000000"/>
          <w:lang w:val="es-ES" w:eastAsia="en-GB"/>
        </w:rPr>
        <w:t>requisitos de perfeccionamiento</w:t>
      </w:r>
      <w:r w:rsidRPr="001C7CDF">
        <w:rPr>
          <w:rFonts w:ascii="Verdana" w:eastAsia="Calibri" w:hAnsi="Verdana" w:cs="Arial"/>
          <w:color w:val="000000"/>
          <w:lang w:val="es-ES" w:eastAsia="en-GB"/>
        </w:rPr>
        <w:t xml:space="preserve"> del contrato estatal son mandatos normativos que determinan cuándo se entiende celebrado. Es decir, se trata de prescripciones que establecen en qué momento existe el contrato. Según el artículo 1.501 del Código Civil, todo contrato se caracteriza por tener tres elementos: los de la esencia, los de la naturaleza y los accidentales. Los de la esencia son aquellos que, al cumplirse, marcan la existencia del contrato y le otorgan su identidad o tipología, permitiendo que no se confunda con otro contrato. Los de la naturaleza son aquellos que, no siendo esenciales al contrato, se entienden incorporados por ministerio de la ley, aun ante el silencio de las partes. Y los accidentales son los que las partes agregan en ejercicio de su autonomía de la voluntad, ya que no son ni esenciales, ni de la naturaleza del </w:t>
      </w:r>
      <w:r w:rsidRPr="001C7CDF">
        <w:rPr>
          <w:rFonts w:ascii="Verdana" w:eastAsia="Calibri" w:hAnsi="Verdana" w:cs="Arial"/>
          <w:color w:val="000000"/>
          <w:lang w:val="es-ES" w:eastAsia="en-GB"/>
        </w:rPr>
        <w:lastRenderedPageBreak/>
        <w:t>contrato</w:t>
      </w:r>
      <w:r w:rsidRPr="001C7CDF">
        <w:rPr>
          <w:rStyle w:val="Refdenotaalpie"/>
          <w:rFonts w:ascii="Verdana" w:eastAsia="Calibri" w:hAnsi="Verdana" w:cs="Arial"/>
          <w:color w:val="000000"/>
          <w:lang w:val="es-ES_tradnl" w:eastAsia="en-GB"/>
        </w:rPr>
        <w:footnoteReference w:id="1"/>
      </w:r>
      <w:r w:rsidRPr="001C7CDF">
        <w:rPr>
          <w:rFonts w:ascii="Verdana" w:eastAsia="Calibri" w:hAnsi="Verdana" w:cs="Arial"/>
          <w:color w:val="000000"/>
          <w:lang w:val="es-ES" w:eastAsia="en-GB"/>
        </w:rPr>
        <w:t>. Los requisitos de perfeccionamiento del contrato estatal ingresan dentro de los elementos de la esencia.</w:t>
      </w:r>
    </w:p>
    <w:p w14:paraId="024B9B9E" w14:textId="77777777" w:rsidR="00AF3113" w:rsidRPr="001C7CDF" w:rsidRDefault="00AF3113" w:rsidP="00AF3113">
      <w:pPr>
        <w:spacing w:after="120" w:line="276" w:lineRule="auto"/>
        <w:ind w:firstLine="709"/>
        <w:jc w:val="both"/>
        <w:rPr>
          <w:rFonts w:ascii="Verdana" w:eastAsia="Calibri" w:hAnsi="Verdana" w:cs="Arial"/>
          <w:color w:val="000000"/>
          <w:lang w:val="es-ES" w:eastAsia="en-GB"/>
        </w:rPr>
      </w:pPr>
      <w:r w:rsidRPr="001C7CDF">
        <w:rPr>
          <w:rFonts w:ascii="Verdana" w:eastAsia="Calibri" w:hAnsi="Verdana" w:cs="Arial"/>
          <w:color w:val="000000"/>
          <w:lang w:val="es-ES" w:eastAsia="en-GB"/>
        </w:rPr>
        <w:t xml:space="preserve">Por otra parte, los contratos –en términos generales– pueden ser: consensuales, reales o solemnes. Son </w:t>
      </w:r>
      <w:r w:rsidRPr="001C7CDF">
        <w:rPr>
          <w:rFonts w:ascii="Verdana" w:eastAsia="Calibri" w:hAnsi="Verdana" w:cs="Arial"/>
          <w:i/>
          <w:iCs/>
          <w:color w:val="000000"/>
          <w:lang w:val="es-ES" w:eastAsia="en-GB"/>
        </w:rPr>
        <w:t>consensuales</w:t>
      </w:r>
      <w:r w:rsidRPr="001C7CDF">
        <w:rPr>
          <w:rFonts w:ascii="Verdana" w:eastAsia="Calibri" w:hAnsi="Verdana" w:cs="Arial"/>
          <w:color w:val="000000"/>
          <w:lang w:val="es-ES" w:eastAsia="en-GB"/>
        </w:rPr>
        <w:t xml:space="preserve"> los que se perfeccionan con el consentimiento informal, pues no requieren de formalidades especiales. Son </w:t>
      </w:r>
      <w:r w:rsidRPr="001C7CDF">
        <w:rPr>
          <w:rFonts w:ascii="Verdana" w:eastAsia="Calibri" w:hAnsi="Verdana" w:cs="Arial"/>
          <w:i/>
          <w:iCs/>
          <w:color w:val="000000"/>
          <w:lang w:val="es-ES" w:eastAsia="en-GB"/>
        </w:rPr>
        <w:t>reales</w:t>
      </w:r>
      <w:r w:rsidRPr="001C7CDF">
        <w:rPr>
          <w:rFonts w:ascii="Verdana" w:eastAsia="Calibri" w:hAnsi="Verdana" w:cs="Arial"/>
          <w:color w:val="000000"/>
          <w:lang w:val="es-ES" w:eastAsia="en-GB"/>
        </w:rPr>
        <w:t xml:space="preserve"> aquellos que existen solo con la tradición o entrega de una cosa. Por su parte, son </w:t>
      </w:r>
      <w:r w:rsidRPr="001C7CDF">
        <w:rPr>
          <w:rFonts w:ascii="Verdana" w:eastAsia="Calibri" w:hAnsi="Verdana" w:cs="Arial"/>
          <w:i/>
          <w:iCs/>
          <w:color w:val="000000"/>
          <w:lang w:val="es-ES" w:eastAsia="en-GB"/>
        </w:rPr>
        <w:t>solemnes</w:t>
      </w:r>
      <w:r w:rsidRPr="001C7CDF">
        <w:rPr>
          <w:rFonts w:ascii="Verdana" w:eastAsia="Calibri" w:hAnsi="Verdana" w:cs="Arial"/>
          <w:color w:val="000000"/>
          <w:lang w:val="es-ES" w:eastAsia="en-GB"/>
        </w:rPr>
        <w:t>, en cambio, aquellos contratos cuyo perfeccionamiento está revestido del cumplimiento de exigencias formales o ritualidades específicas</w:t>
      </w:r>
      <w:r w:rsidRPr="001C7CDF">
        <w:rPr>
          <w:rStyle w:val="Refdenotaalpie"/>
          <w:rFonts w:ascii="Verdana" w:eastAsia="Calibri" w:hAnsi="Verdana" w:cs="Arial"/>
          <w:color w:val="000000"/>
          <w:lang w:val="es-ES" w:eastAsia="en-GB"/>
        </w:rPr>
        <w:footnoteReference w:id="2"/>
      </w:r>
      <w:r w:rsidRPr="001C7CDF">
        <w:rPr>
          <w:rFonts w:ascii="Verdana" w:eastAsia="Calibri" w:hAnsi="Verdana" w:cs="Arial"/>
          <w:color w:val="000000"/>
          <w:lang w:val="es-ES" w:eastAsia="en-GB"/>
        </w:rPr>
        <w:t>. Pues bien, los contratos estatales regulados por el ECGAP, por regla general, son solemnes, ya que solo se entienden celebrados si se cumplen ciertas formalidades. Esta regla general solo tiene una excepción, como se explicará.</w:t>
      </w:r>
    </w:p>
    <w:p w14:paraId="299DA4C9" w14:textId="77777777" w:rsidR="00AF3113" w:rsidRPr="001C7CDF" w:rsidRDefault="00AF3113" w:rsidP="00AF3113">
      <w:pPr>
        <w:spacing w:after="120" w:line="276" w:lineRule="auto"/>
        <w:ind w:firstLine="709"/>
        <w:jc w:val="both"/>
        <w:rPr>
          <w:rFonts w:ascii="Verdana" w:eastAsia="Calibri" w:hAnsi="Verdana" w:cs="Arial"/>
          <w:color w:val="000000"/>
          <w:lang w:val="es-ES" w:eastAsia="en-GB"/>
        </w:rPr>
      </w:pPr>
      <w:r w:rsidRPr="001C7CDF">
        <w:rPr>
          <w:rFonts w:ascii="Verdana" w:eastAsia="Calibri" w:hAnsi="Verdana" w:cs="Arial"/>
          <w:color w:val="000000"/>
          <w:lang w:val="es-ES" w:eastAsia="en-GB"/>
        </w:rPr>
        <w:t xml:space="preserve">En efecto, el primer inciso del artículo 41 de la Ley 80 de 1993 establece que “Los contratos del Estado se perfeccionan cuando se logre acuerdo sobre el objeto y la contraprestación y éste se eleve a escrito”. Como se advierte, el legislador dispuso que para que el contrato estatal exista, no solo debe haber un acuerdo sobra la obligación principal del negocio –es decir, sobre el “objeto”– y sobre la contraprestación, sino que se debe plasmar por escrito. Tal circunstancia le ha permitido a la doctrina concluir que el contrato estatal regulado en el EGCAP es “[…] principalmente, </w:t>
      </w:r>
      <w:r w:rsidRPr="001C7CDF">
        <w:rPr>
          <w:rFonts w:ascii="Verdana" w:eastAsia="Calibri" w:hAnsi="Verdana" w:cs="Arial"/>
          <w:i/>
          <w:iCs/>
          <w:color w:val="000000"/>
          <w:lang w:val="es-ES" w:eastAsia="en-GB"/>
        </w:rPr>
        <w:t>solemne,</w:t>
      </w:r>
      <w:r w:rsidRPr="001C7CDF">
        <w:rPr>
          <w:rFonts w:ascii="Verdana" w:eastAsia="Calibri" w:hAnsi="Verdana" w:cs="Arial"/>
          <w:color w:val="000000"/>
          <w:lang w:val="es-ES" w:eastAsia="en-GB"/>
        </w:rPr>
        <w:t xml:space="preserve"> ya que la manifestación de voluntad, si no se expresa bajo la forma </w:t>
      </w:r>
      <w:r w:rsidRPr="001C7CDF">
        <w:rPr>
          <w:rFonts w:ascii="Verdana" w:eastAsia="Calibri" w:hAnsi="Verdana" w:cs="Arial"/>
          <w:i/>
          <w:iCs/>
          <w:color w:val="000000"/>
          <w:lang w:val="es-ES" w:eastAsia="en-GB"/>
        </w:rPr>
        <w:t xml:space="preserve">ad </w:t>
      </w:r>
      <w:proofErr w:type="spellStart"/>
      <w:r w:rsidRPr="001C7CDF">
        <w:rPr>
          <w:rFonts w:ascii="Verdana" w:eastAsia="Calibri" w:hAnsi="Verdana" w:cs="Arial"/>
          <w:i/>
          <w:iCs/>
          <w:color w:val="000000"/>
          <w:lang w:val="es-ES" w:eastAsia="en-GB"/>
        </w:rPr>
        <w:t>solemnitatem</w:t>
      </w:r>
      <w:proofErr w:type="spellEnd"/>
      <w:r w:rsidRPr="001C7CDF">
        <w:rPr>
          <w:rFonts w:ascii="Verdana" w:eastAsia="Calibri" w:hAnsi="Verdana" w:cs="Arial"/>
          <w:color w:val="000000"/>
          <w:lang w:val="es-ES" w:eastAsia="en-GB"/>
        </w:rPr>
        <w:t xml:space="preserve"> o </w:t>
      </w:r>
      <w:r w:rsidRPr="001C7CDF">
        <w:rPr>
          <w:rFonts w:ascii="Verdana" w:eastAsia="Calibri" w:hAnsi="Verdana" w:cs="Arial"/>
          <w:i/>
          <w:iCs/>
          <w:color w:val="000000"/>
          <w:lang w:val="es-ES" w:eastAsia="en-GB"/>
        </w:rPr>
        <w:t xml:space="preserve">ad </w:t>
      </w:r>
      <w:proofErr w:type="spellStart"/>
      <w:r w:rsidRPr="001C7CDF">
        <w:rPr>
          <w:rFonts w:ascii="Verdana" w:eastAsia="Calibri" w:hAnsi="Verdana" w:cs="Arial"/>
          <w:i/>
          <w:iCs/>
          <w:color w:val="000000"/>
          <w:lang w:val="es-ES" w:eastAsia="en-GB"/>
        </w:rPr>
        <w:t>substantiam</w:t>
      </w:r>
      <w:proofErr w:type="spellEnd"/>
      <w:r w:rsidRPr="001C7CDF">
        <w:rPr>
          <w:rFonts w:ascii="Verdana" w:eastAsia="Calibri" w:hAnsi="Verdana" w:cs="Arial"/>
          <w:i/>
          <w:iCs/>
          <w:color w:val="000000"/>
          <w:lang w:val="es-ES" w:eastAsia="en-GB"/>
        </w:rPr>
        <w:t xml:space="preserve"> </w:t>
      </w:r>
      <w:proofErr w:type="spellStart"/>
      <w:r w:rsidRPr="001C7CDF">
        <w:rPr>
          <w:rFonts w:ascii="Verdana" w:eastAsia="Calibri" w:hAnsi="Verdana" w:cs="Arial"/>
          <w:i/>
          <w:iCs/>
          <w:color w:val="000000"/>
          <w:lang w:val="es-ES" w:eastAsia="en-GB"/>
        </w:rPr>
        <w:t>actus</w:t>
      </w:r>
      <w:proofErr w:type="spellEnd"/>
      <w:r w:rsidRPr="001C7CDF">
        <w:rPr>
          <w:rFonts w:ascii="Verdana" w:eastAsia="Calibri" w:hAnsi="Verdana" w:cs="Arial"/>
          <w:color w:val="000000"/>
          <w:lang w:val="es-ES" w:eastAsia="en-GB"/>
        </w:rPr>
        <w:t xml:space="preserve"> exigida por la ley, es inexistente, es decir, se entiende que el contrato jamás ha sido creado para el mundo jurídico”</w:t>
      </w:r>
      <w:r w:rsidRPr="001C7CDF">
        <w:rPr>
          <w:rStyle w:val="Refdenotaalpie"/>
          <w:rFonts w:ascii="Verdana" w:eastAsia="Calibri" w:hAnsi="Verdana" w:cs="Arial"/>
          <w:color w:val="000000"/>
          <w:lang w:val="es-ES_tradnl" w:eastAsia="en-GB"/>
        </w:rPr>
        <w:footnoteReference w:id="3"/>
      </w:r>
      <w:r w:rsidRPr="001C7CDF">
        <w:rPr>
          <w:rFonts w:ascii="Verdana" w:eastAsia="Calibri" w:hAnsi="Verdana" w:cs="Arial"/>
          <w:color w:val="000000"/>
          <w:lang w:val="es-ES" w:eastAsia="en-GB"/>
        </w:rPr>
        <w:t xml:space="preserve">. </w:t>
      </w:r>
    </w:p>
    <w:p w14:paraId="1FC78931" w14:textId="77777777" w:rsidR="00AF3113" w:rsidRPr="001C7CDF" w:rsidRDefault="00AF3113" w:rsidP="00AF3113">
      <w:pPr>
        <w:spacing w:after="120" w:line="276" w:lineRule="auto"/>
        <w:ind w:firstLine="709"/>
        <w:jc w:val="both"/>
        <w:rPr>
          <w:rFonts w:ascii="Verdana" w:eastAsia="Calibri" w:hAnsi="Verdana" w:cs="Arial"/>
          <w:color w:val="000000"/>
          <w:lang w:val="es-ES" w:eastAsia="en-GB"/>
        </w:rPr>
      </w:pPr>
      <w:r w:rsidRPr="001C7CDF">
        <w:rPr>
          <w:rFonts w:ascii="Verdana" w:eastAsia="Calibri" w:hAnsi="Verdana" w:cs="Arial"/>
          <w:color w:val="000000"/>
          <w:lang w:val="es-ES" w:eastAsia="en-GB"/>
        </w:rPr>
        <w:t xml:space="preserve">La excepción a esta regla se encuentra en el cuarto inciso del mismo artículo, según el cual, “En caso de situaciones de urgencia manifiesta a que se refiere el artículo </w:t>
      </w:r>
      <w:hyperlink r:id="rId13" w:anchor="42" w:history="1">
        <w:r w:rsidRPr="001C7CDF">
          <w:rPr>
            <w:rFonts w:ascii="Verdana" w:hAnsi="Verdana" w:cs="Arial"/>
            <w:color w:val="000000"/>
            <w:lang w:val="es-ES" w:eastAsia="en-GB"/>
          </w:rPr>
          <w:t>42</w:t>
        </w:r>
      </w:hyperlink>
      <w:r w:rsidRPr="001C7CDF">
        <w:rPr>
          <w:rFonts w:ascii="Verdana" w:eastAsia="Calibri" w:hAnsi="Verdana" w:cs="Arial"/>
          <w:color w:val="000000"/>
          <w:lang w:val="es-ES" w:eastAsia="en-GB"/>
        </w:rPr>
        <w:t xml:space="preserve"> de esta ley que no permitan la suscripción de contrato </w:t>
      </w:r>
      <w:r w:rsidRPr="001C7CDF">
        <w:rPr>
          <w:rFonts w:ascii="Verdana" w:eastAsia="Calibri" w:hAnsi="Verdana" w:cs="Arial"/>
          <w:color w:val="000000"/>
          <w:lang w:val="es-ES" w:eastAsia="en-GB"/>
        </w:rPr>
        <w:lastRenderedPageBreak/>
        <w:t xml:space="preserve">escrito, se prescindirá de éste y aún del acuerdo acerca de la remuneración, no obstante, deberá dejarse constancia escrita de la autorización impartida por la entidad estatal contratante”. </w:t>
      </w:r>
      <w:r w:rsidRPr="001C7CDF">
        <w:rPr>
          <w:rFonts w:ascii="Verdana" w:eastAsia="Calibri" w:hAnsi="Verdana" w:cs="Arial"/>
          <w:color w:val="000000" w:themeColor="text1"/>
          <w:lang w:val="es-ES" w:eastAsia="en-GB"/>
        </w:rPr>
        <w:t>En otras palabras, por regla general, los contratos estatales deben constar por escrito, salvo que se presente una situación de urgencia manifiesta en la que no haya tiempo de cumplir con esta formalidad.</w:t>
      </w:r>
    </w:p>
    <w:p w14:paraId="44E6E2EF" w14:textId="77777777" w:rsidR="00AF3113" w:rsidRPr="001C7CDF" w:rsidRDefault="00AF3113" w:rsidP="00AF3113">
      <w:pPr>
        <w:spacing w:after="120" w:line="276" w:lineRule="auto"/>
        <w:ind w:firstLine="709"/>
        <w:jc w:val="both"/>
        <w:rPr>
          <w:rFonts w:ascii="Verdana" w:eastAsia="Calibri" w:hAnsi="Verdana" w:cs="Arial"/>
          <w:color w:val="000000"/>
          <w:lang w:val="es-ES" w:eastAsia="en-GB"/>
        </w:rPr>
      </w:pPr>
      <w:r w:rsidRPr="001C7CDF">
        <w:rPr>
          <w:rFonts w:ascii="Verdana" w:eastAsia="Calibri" w:hAnsi="Verdana" w:cs="Arial"/>
          <w:color w:val="000000" w:themeColor="text1"/>
          <w:lang w:val="es-ES" w:eastAsia="en-GB"/>
        </w:rPr>
        <w:t xml:space="preserve">Analizados con anterioridad los requisitos para el perfeccionamiento del contrato estatal, es necesario diferenciarlos, por tanto, de los </w:t>
      </w:r>
      <w:r w:rsidRPr="001C7CDF">
        <w:rPr>
          <w:rFonts w:ascii="Verdana" w:eastAsia="Calibri" w:hAnsi="Verdana" w:cs="Arial"/>
          <w:i/>
          <w:iCs/>
          <w:color w:val="000000" w:themeColor="text1"/>
          <w:lang w:val="es-ES" w:eastAsia="en-GB"/>
        </w:rPr>
        <w:t>requisitos de ejecución</w:t>
      </w:r>
      <w:r w:rsidRPr="001C7CDF">
        <w:rPr>
          <w:rFonts w:ascii="Verdana" w:eastAsia="Calibri" w:hAnsi="Verdana" w:cs="Arial"/>
          <w:color w:val="000000" w:themeColor="text1"/>
          <w:lang w:val="es-ES" w:eastAsia="en-GB"/>
        </w:rPr>
        <w:t xml:space="preserve">, e indicar cuáles son las exigencias de esta segunda clase establecidas en el EGCAP. Si el cumplimiento de los requisitos de perfeccionamiento permite que el contrato exista, la observancia de los requisitos de ejecución posibilita el inicio de la fase de realización de las actividades pactadas en el contrato, es decir, el cumplimiento del objeto del negocio jurídico. A partir de esta distinción, es posible encontrar contratos estatales –perfeccionados–, que hayan cumplido con los requisitos de ejecución y contratos estatales respecto de los cuales aún falte satisfacer uno o varios requisitos de ejecución. </w:t>
      </w:r>
    </w:p>
    <w:p w14:paraId="689CC543" w14:textId="77777777" w:rsidR="00AF3113" w:rsidRPr="001C7CDF" w:rsidRDefault="00AF3113" w:rsidP="00AF3113">
      <w:pPr>
        <w:spacing w:after="0" w:line="276" w:lineRule="auto"/>
        <w:ind w:firstLine="709"/>
        <w:jc w:val="both"/>
        <w:rPr>
          <w:rFonts w:ascii="Verdana" w:eastAsia="Calibri" w:hAnsi="Verdana" w:cs="Arial"/>
          <w:color w:val="000000"/>
          <w:lang w:val="es-ES" w:eastAsia="en-GB"/>
        </w:rPr>
      </w:pPr>
      <w:r w:rsidRPr="001C7CDF">
        <w:rPr>
          <w:rFonts w:ascii="Verdana" w:eastAsia="Calibri" w:hAnsi="Verdana" w:cs="Arial"/>
          <w:color w:val="000000" w:themeColor="text1"/>
          <w:lang w:val="es-ES" w:eastAsia="en-GB"/>
        </w:rPr>
        <w:t>Los requisitos de ejecución de los contratos estatales pueden ser “legales” o “convencionales”. Los primeros son aquellos que se encuentran previstos en la ley. Los segundos son estipulados por las partes. En otros términos, los requisitos legales de ejecución son elementos de la naturaleza, mientras que los requisitos convencionales de ejecución son elementos accidentales. Teniendo en cuenta que en la consulta se indaga por el acta de inicio y por las garantías, es importante precisar si se trata de requisitos de ejecución legales o convencionales. Para dilucidar lo anterior, conviene hacer referencia al segundo inciso del artículo 41 de la Ley 80 de 1993</w:t>
      </w:r>
      <w:r w:rsidRPr="001C7CDF">
        <w:rPr>
          <w:rFonts w:ascii="Verdana" w:eastAsia="Calibri" w:hAnsi="Verdana" w:cs="Arial"/>
          <w:color w:val="000000" w:themeColor="text1"/>
          <w:lang w:eastAsia="en-GB"/>
        </w:rPr>
        <w:t xml:space="preserve">, modificado por el </w:t>
      </w:r>
      <w:r w:rsidRPr="001C7CDF">
        <w:rPr>
          <w:rFonts w:ascii="Verdana" w:eastAsia="Calibri" w:hAnsi="Verdana" w:cs="Arial"/>
          <w:i/>
          <w:iCs/>
          <w:color w:val="000000" w:themeColor="text1"/>
          <w:lang w:eastAsia="en-GB"/>
        </w:rPr>
        <w:t>artículo 23 de la Ley 1150 de 2007</w:t>
      </w:r>
      <w:r w:rsidRPr="001C7CDF">
        <w:rPr>
          <w:rFonts w:ascii="Verdana" w:eastAsia="Calibri" w:hAnsi="Verdana" w:cs="Arial"/>
          <w:i/>
          <w:iCs/>
          <w:color w:val="000000" w:themeColor="text1"/>
          <w:lang w:val="es-ES" w:eastAsia="en-GB"/>
        </w:rPr>
        <w:t xml:space="preserve">. </w:t>
      </w:r>
      <w:r w:rsidRPr="001C7CDF">
        <w:rPr>
          <w:rFonts w:ascii="Verdana" w:eastAsia="Calibri" w:hAnsi="Verdana" w:cs="Arial"/>
          <w:color w:val="000000" w:themeColor="text1"/>
          <w:lang w:val="es-ES" w:eastAsia="en-GB"/>
        </w:rPr>
        <w:t>Esta disposición normativa establece:</w:t>
      </w:r>
    </w:p>
    <w:p w14:paraId="61487E65" w14:textId="77777777" w:rsidR="00AF3113" w:rsidRPr="001C7CDF" w:rsidRDefault="00AF3113" w:rsidP="00AF3113">
      <w:pPr>
        <w:spacing w:after="0"/>
        <w:ind w:left="709" w:right="709"/>
        <w:jc w:val="both"/>
        <w:rPr>
          <w:rFonts w:ascii="Verdana" w:eastAsia="Calibri" w:hAnsi="Verdana" w:cs="Arial"/>
          <w:color w:val="000000"/>
          <w:sz w:val="21"/>
          <w:szCs w:val="21"/>
          <w:lang w:eastAsia="en-GB"/>
        </w:rPr>
      </w:pPr>
    </w:p>
    <w:p w14:paraId="3525C77A" w14:textId="77777777" w:rsidR="00AF3113" w:rsidRPr="001C7CDF" w:rsidRDefault="00AF3113" w:rsidP="00AF3113">
      <w:pPr>
        <w:spacing w:after="0" w:line="240" w:lineRule="auto"/>
        <w:ind w:left="709" w:right="709"/>
        <w:jc w:val="both"/>
        <w:rPr>
          <w:rFonts w:ascii="Verdana" w:eastAsia="Calibri" w:hAnsi="Verdana" w:cs="Arial"/>
          <w:color w:val="000000"/>
          <w:sz w:val="20"/>
          <w:szCs w:val="20"/>
          <w:lang w:val="es-ES" w:eastAsia="en-GB"/>
        </w:rPr>
      </w:pPr>
      <w:r w:rsidRPr="001C7CDF">
        <w:rPr>
          <w:rFonts w:ascii="Verdana" w:eastAsia="Calibri" w:hAnsi="Verdana" w:cs="Arial"/>
          <w:color w:val="000000" w:themeColor="text1"/>
          <w:sz w:val="20"/>
          <w:szCs w:val="20"/>
          <w:lang w:eastAsia="en-GB"/>
        </w:rPr>
        <w:t>“Para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w:t>
      </w:r>
    </w:p>
    <w:p w14:paraId="0562648C" w14:textId="77777777" w:rsidR="00AF3113" w:rsidRPr="001C7CDF" w:rsidRDefault="00AF3113" w:rsidP="00AF3113">
      <w:pPr>
        <w:spacing w:after="0" w:line="276" w:lineRule="auto"/>
        <w:ind w:firstLine="709"/>
        <w:jc w:val="both"/>
        <w:rPr>
          <w:rFonts w:ascii="Verdana" w:eastAsia="Calibri" w:hAnsi="Verdana" w:cs="Arial"/>
          <w:color w:val="000000"/>
          <w:lang w:val="es-ES" w:eastAsia="en-GB"/>
        </w:rPr>
      </w:pPr>
    </w:p>
    <w:p w14:paraId="2AB7FE71" w14:textId="77777777" w:rsidR="00AF3113" w:rsidRPr="001C7CDF" w:rsidRDefault="00AF3113" w:rsidP="00AF3113">
      <w:pPr>
        <w:spacing w:after="120" w:line="276" w:lineRule="auto"/>
        <w:ind w:firstLine="709"/>
        <w:jc w:val="both"/>
        <w:rPr>
          <w:rFonts w:ascii="Verdana" w:eastAsia="Calibri" w:hAnsi="Verdana" w:cs="Arial"/>
          <w:color w:val="000000"/>
          <w:lang w:val="es-ES" w:eastAsia="en-GB"/>
        </w:rPr>
      </w:pPr>
      <w:r w:rsidRPr="001C7CDF">
        <w:rPr>
          <w:rFonts w:ascii="Verdana" w:eastAsia="Calibri" w:hAnsi="Verdana" w:cs="Arial"/>
          <w:color w:val="000000" w:themeColor="text1"/>
          <w:lang w:val="es-ES" w:eastAsia="en-GB"/>
        </w:rPr>
        <w:t xml:space="preserve">Como puede observarse, los requisitos legales de ejecución son: i) la aprobación de las garantías exigidas en el contrato, </w:t>
      </w:r>
      <w:proofErr w:type="spellStart"/>
      <w:r w:rsidRPr="001C7CDF">
        <w:rPr>
          <w:rFonts w:ascii="Verdana" w:eastAsia="Calibri" w:hAnsi="Verdana" w:cs="Arial"/>
          <w:color w:val="000000" w:themeColor="text1"/>
          <w:lang w:val="es-ES" w:eastAsia="en-GB"/>
        </w:rPr>
        <w:t>ii</w:t>
      </w:r>
      <w:proofErr w:type="spellEnd"/>
      <w:r w:rsidRPr="001C7CDF">
        <w:rPr>
          <w:rFonts w:ascii="Verdana" w:eastAsia="Calibri" w:hAnsi="Verdana" w:cs="Arial"/>
          <w:color w:val="000000" w:themeColor="text1"/>
          <w:lang w:val="es-ES" w:eastAsia="en-GB"/>
        </w:rPr>
        <w:t xml:space="preserve">) la existencia de la </w:t>
      </w:r>
      <w:r w:rsidRPr="001C7CDF">
        <w:rPr>
          <w:rFonts w:ascii="Verdana" w:eastAsia="Calibri" w:hAnsi="Verdana" w:cs="Arial"/>
          <w:color w:val="000000" w:themeColor="text1"/>
          <w:lang w:val="es-ES" w:eastAsia="en-GB"/>
        </w:rPr>
        <w:lastRenderedPageBreak/>
        <w:t xml:space="preserve">apropiación presupuestal correspondiente y </w:t>
      </w:r>
      <w:proofErr w:type="spellStart"/>
      <w:r w:rsidRPr="001C7CDF">
        <w:rPr>
          <w:rFonts w:ascii="Verdana" w:eastAsia="Calibri" w:hAnsi="Verdana" w:cs="Arial"/>
          <w:color w:val="000000" w:themeColor="text1"/>
          <w:lang w:val="es-ES" w:eastAsia="en-GB"/>
        </w:rPr>
        <w:t>iii</w:t>
      </w:r>
      <w:proofErr w:type="spellEnd"/>
      <w:r w:rsidRPr="001C7CDF">
        <w:rPr>
          <w:rFonts w:ascii="Verdana" w:eastAsia="Calibri" w:hAnsi="Verdana" w:cs="Arial"/>
          <w:color w:val="000000" w:themeColor="text1"/>
          <w:lang w:val="es-ES" w:eastAsia="en-GB"/>
        </w:rPr>
        <w:t xml:space="preserve">) la acreditación del cumplimiento de las obligaciones con el Sistema de Seguridad Social Integral. </w:t>
      </w:r>
    </w:p>
    <w:p w14:paraId="6FA8F5A3" w14:textId="77777777" w:rsidR="00AF3113" w:rsidRPr="001C7CDF" w:rsidRDefault="00AF3113" w:rsidP="00AF3113">
      <w:pPr>
        <w:spacing w:after="120" w:line="276" w:lineRule="auto"/>
        <w:ind w:firstLine="709"/>
        <w:jc w:val="both"/>
        <w:rPr>
          <w:rFonts w:ascii="Verdana" w:eastAsia="Calibri" w:hAnsi="Verdana" w:cs="Arial"/>
          <w:color w:val="000000"/>
          <w:lang w:val="es-ES" w:eastAsia="en-GB"/>
        </w:rPr>
      </w:pPr>
      <w:r w:rsidRPr="001C7CDF">
        <w:rPr>
          <w:rFonts w:ascii="Verdana" w:eastAsia="Calibri" w:hAnsi="Verdana" w:cs="Arial"/>
          <w:color w:val="000000" w:themeColor="text1"/>
          <w:lang w:val="es-ES" w:eastAsia="en-GB"/>
        </w:rPr>
        <w:t xml:space="preserve">Lo que tienen en común tales requisitos es que deben cumplirse para que inicie el contrato, sin que por ello puedan considerarse elementos de la esencia –de perfeccionamiento– del negocio jurídico, ni de validez </w:t>
      </w:r>
      <w:proofErr w:type="gramStart"/>
      <w:r w:rsidRPr="001C7CDF">
        <w:rPr>
          <w:rFonts w:ascii="Verdana" w:eastAsia="Calibri" w:hAnsi="Verdana" w:cs="Arial"/>
          <w:color w:val="000000" w:themeColor="text1"/>
          <w:lang w:val="es-ES" w:eastAsia="en-GB"/>
        </w:rPr>
        <w:t>del mismo</w:t>
      </w:r>
      <w:proofErr w:type="gramEnd"/>
      <w:r w:rsidRPr="001C7CDF">
        <w:rPr>
          <w:rFonts w:ascii="Verdana" w:eastAsia="Calibri" w:hAnsi="Verdana" w:cs="Arial"/>
          <w:color w:val="000000" w:themeColor="text1"/>
          <w:lang w:val="es-ES" w:eastAsia="en-GB"/>
        </w:rPr>
        <w:t>. En otras palabras, un contrato estatal existe, así no se haya aprobado las garantías, o expedido el registro presupuestal, o a pesar de que el contratista no esté al día en el cumplimiento de sus obligaciones con el Sistema de Seguridad Social Integral, pero no puede comenzar a ejecutarse. Si aun así el contrato estatal inicia, se incurre en un incumplimiento de obligaciones normativas –que son elementos de la naturaleza del contrato–, lo cual puede generar responsabilidades subjetivas en los servidores públicos, pero no por ello el contrato estatal deja de existir o queda viciado de nulidad.</w:t>
      </w:r>
    </w:p>
    <w:p w14:paraId="3FE45E15" w14:textId="77777777" w:rsidR="00AF3113" w:rsidRPr="001C7CDF" w:rsidRDefault="00AF3113" w:rsidP="00AF3113">
      <w:pPr>
        <w:spacing w:after="0" w:line="276" w:lineRule="auto"/>
        <w:ind w:firstLine="709"/>
        <w:jc w:val="both"/>
        <w:rPr>
          <w:rFonts w:ascii="Verdana" w:eastAsia="Calibri" w:hAnsi="Verdana" w:cs="Arial"/>
          <w:color w:val="000000"/>
          <w:lang w:val="es-ES" w:eastAsia="en-GB"/>
        </w:rPr>
      </w:pPr>
      <w:r w:rsidRPr="001C7CDF">
        <w:rPr>
          <w:rFonts w:ascii="Verdana" w:eastAsia="Calibri" w:hAnsi="Verdana" w:cs="Arial"/>
          <w:color w:val="000000"/>
          <w:lang w:val="es-ES" w:eastAsia="en-GB"/>
        </w:rPr>
        <w:t>A esta conclusión llegó la Sección Tercera del Consejo de Estado en la sentencia del 12 de agosto de 2014, luego de distinguir los requisitos de perfeccionamiento respecto de los requisitos de ejecución de los contratos estatales. En tal oportunidad el órgano judicial se preguntó, dentro de las consideraciones, si la ausencia de registro presupuestal tenía como efecto que un contrato de prestación de servicios profesionales se considerara inexistente o viciado de nulidad absoluta. La respuesta del alto tribunal es que no se genera inexistencia ni vicio de nulidad absoluta, sino una eventual responsabilidad en los servidores públicos que incumplieron tal requisito presupuestal</w:t>
      </w:r>
      <w:r w:rsidRPr="001C7CDF">
        <w:rPr>
          <w:rStyle w:val="Refdenotaalpie"/>
          <w:rFonts w:ascii="Verdana" w:eastAsia="Calibri" w:hAnsi="Verdana" w:cs="Arial"/>
          <w:color w:val="000000"/>
          <w:lang w:val="es-ES_tradnl" w:eastAsia="en-GB"/>
        </w:rPr>
        <w:footnoteReference w:id="4"/>
      </w:r>
      <w:r w:rsidRPr="001C7CDF">
        <w:rPr>
          <w:rFonts w:ascii="Verdana" w:eastAsia="Calibri" w:hAnsi="Verdana" w:cs="Arial"/>
          <w:color w:val="000000"/>
          <w:lang w:val="es-ES" w:eastAsia="en-GB"/>
        </w:rPr>
        <w:t>.</w:t>
      </w:r>
    </w:p>
    <w:p w14:paraId="36FA2CD0" w14:textId="77777777" w:rsidR="00AF3113" w:rsidRPr="001C7CDF" w:rsidRDefault="00AF3113" w:rsidP="00AF3113">
      <w:pPr>
        <w:spacing w:after="0" w:line="276" w:lineRule="auto"/>
        <w:jc w:val="both"/>
        <w:rPr>
          <w:rFonts w:ascii="Verdana" w:eastAsia="Calibri" w:hAnsi="Verdana" w:cs="Arial"/>
          <w:color w:val="000000"/>
          <w:lang w:val="es-ES" w:eastAsia="en-GB"/>
        </w:rPr>
      </w:pPr>
    </w:p>
    <w:p w14:paraId="3695F198" w14:textId="77777777" w:rsidR="00AF3113" w:rsidRPr="001C7CDF" w:rsidRDefault="00AF3113" w:rsidP="00AF3113">
      <w:pPr>
        <w:spacing w:after="120" w:line="276" w:lineRule="auto"/>
        <w:jc w:val="both"/>
        <w:rPr>
          <w:rFonts w:ascii="Verdana" w:eastAsia="Calibri" w:hAnsi="Verdana" w:cs="Arial"/>
          <w:color w:val="000000"/>
          <w:lang w:val="es-ES" w:eastAsia="en-GB"/>
        </w:rPr>
      </w:pPr>
      <w:proofErr w:type="spellStart"/>
      <w:r w:rsidRPr="001C7CDF">
        <w:rPr>
          <w:rFonts w:ascii="Verdana" w:eastAsia="Calibri" w:hAnsi="Verdana" w:cs="Arial"/>
          <w:color w:val="000000"/>
          <w:lang w:val="es-ES" w:eastAsia="en-GB"/>
        </w:rPr>
        <w:t>ii</w:t>
      </w:r>
      <w:proofErr w:type="spellEnd"/>
      <w:r w:rsidRPr="001C7CDF">
        <w:rPr>
          <w:rFonts w:ascii="Verdana" w:eastAsia="Calibri" w:hAnsi="Verdana" w:cs="Arial"/>
          <w:color w:val="000000"/>
          <w:lang w:val="es-ES" w:eastAsia="en-GB"/>
        </w:rPr>
        <w:t xml:space="preserve">) Según se indicó, uno de los </w:t>
      </w:r>
      <w:r w:rsidRPr="001C7CDF">
        <w:rPr>
          <w:rFonts w:ascii="Verdana" w:eastAsia="Calibri" w:hAnsi="Verdana" w:cs="Arial"/>
          <w:i/>
          <w:iCs/>
          <w:color w:val="000000"/>
          <w:lang w:val="es-ES" w:eastAsia="en-GB"/>
        </w:rPr>
        <w:t>requisitos de ejecución</w:t>
      </w:r>
      <w:r w:rsidRPr="001C7CDF">
        <w:rPr>
          <w:rFonts w:ascii="Verdana" w:eastAsia="Calibri" w:hAnsi="Verdana" w:cs="Arial"/>
          <w:color w:val="000000"/>
          <w:lang w:val="es-ES" w:eastAsia="en-GB"/>
        </w:rPr>
        <w:t xml:space="preserve"> de orden legal, establecido en el artículo 41 de la Ley 80 de 1993, </w:t>
      </w:r>
      <w:r w:rsidRPr="001C7CDF">
        <w:rPr>
          <w:rFonts w:ascii="Verdana" w:eastAsia="Calibri" w:hAnsi="Verdana" w:cs="Arial"/>
          <w:i/>
          <w:iCs/>
          <w:color w:val="000000"/>
          <w:lang w:val="es-ES" w:eastAsia="en-GB"/>
        </w:rPr>
        <w:t>es la aprobación de las garantías.</w:t>
      </w:r>
      <w:r w:rsidRPr="001C7CDF">
        <w:rPr>
          <w:rFonts w:ascii="Verdana" w:eastAsia="Calibri" w:hAnsi="Verdana" w:cs="Arial"/>
          <w:color w:val="000000"/>
          <w:lang w:val="es-ES" w:eastAsia="en-GB"/>
        </w:rPr>
        <w:t xml:space="preserve"> Como lo ha explicado la doctrina, atendiendo a la consulta planteada, este “requisito de ejecución del contrato estatal no se cumple con la simple expedición de la garantía única por parte del contratista, sino que la formalidad se configura en el momento en que la garantía ha sido aprobada por parte de la entidad pública contratante”</w:t>
      </w:r>
      <w:r w:rsidRPr="001C7CDF">
        <w:rPr>
          <w:rStyle w:val="Refdenotaalpie"/>
          <w:rFonts w:ascii="Verdana" w:eastAsia="Calibri" w:hAnsi="Verdana" w:cs="Arial"/>
          <w:color w:val="000000"/>
          <w:lang w:val="es-ES_tradnl" w:eastAsia="en-GB"/>
        </w:rPr>
        <w:footnoteReference w:id="5"/>
      </w:r>
      <w:r w:rsidRPr="001C7CDF">
        <w:rPr>
          <w:rFonts w:ascii="Verdana" w:eastAsia="Calibri" w:hAnsi="Verdana" w:cs="Arial"/>
          <w:color w:val="000000"/>
          <w:lang w:val="es-ES" w:eastAsia="en-GB"/>
        </w:rPr>
        <w:t xml:space="preserve">. Así también lo ha considerado de tiempo atrás la Sección Tercera </w:t>
      </w:r>
      <w:r w:rsidRPr="001C7CDF">
        <w:rPr>
          <w:rFonts w:ascii="Verdana" w:eastAsia="Calibri" w:hAnsi="Verdana" w:cs="Arial"/>
          <w:color w:val="000000"/>
          <w:lang w:val="es-ES" w:eastAsia="en-GB"/>
        </w:rPr>
        <w:lastRenderedPageBreak/>
        <w:t>del Consejo de Estado, señalando que el inicio de la ejecución del contrato estatal se encuentra supeditado a la aprobación de las garantías exigidas</w:t>
      </w:r>
      <w:r w:rsidRPr="001C7CDF">
        <w:rPr>
          <w:rStyle w:val="Refdenotaalpie"/>
          <w:rFonts w:ascii="Verdana" w:eastAsia="Calibri" w:hAnsi="Verdana" w:cs="Arial"/>
          <w:color w:val="000000"/>
          <w:lang w:val="es-ES_tradnl" w:eastAsia="en-GB"/>
        </w:rPr>
        <w:footnoteReference w:id="6"/>
      </w:r>
      <w:r w:rsidRPr="001C7CDF">
        <w:rPr>
          <w:rFonts w:ascii="Verdana" w:eastAsia="Calibri" w:hAnsi="Verdana" w:cs="Arial"/>
          <w:color w:val="000000"/>
          <w:lang w:val="es-ES" w:eastAsia="en-GB"/>
        </w:rPr>
        <w:t>.</w:t>
      </w:r>
    </w:p>
    <w:p w14:paraId="480C316D" w14:textId="596FE9E5" w:rsidR="00221393" w:rsidRPr="001C7CDF" w:rsidRDefault="00AF3113" w:rsidP="000A53F8">
      <w:pPr>
        <w:spacing w:after="0" w:line="276" w:lineRule="auto"/>
        <w:ind w:firstLine="709"/>
        <w:jc w:val="both"/>
        <w:rPr>
          <w:rFonts w:ascii="Verdana" w:eastAsia="Calibri" w:hAnsi="Verdana" w:cs="Arial"/>
          <w:color w:val="000000"/>
          <w:lang w:val="es-ES" w:eastAsia="en-GB"/>
        </w:rPr>
      </w:pPr>
      <w:r w:rsidRPr="001C7CDF">
        <w:rPr>
          <w:rFonts w:ascii="Verdana" w:eastAsia="Calibri" w:hAnsi="Verdana" w:cs="Arial"/>
          <w:color w:val="000000"/>
          <w:lang w:val="es-ES" w:eastAsia="en-GB"/>
        </w:rPr>
        <w:t xml:space="preserve">Las garantías en la contratación estatal son obligaciones adquiridas por terceros –compañías aseguradoras o financieras–, ante eventos nocivos para la entidad pública, que puedan acaecer durante las fases </w:t>
      </w:r>
      <w:proofErr w:type="spellStart"/>
      <w:r w:rsidRPr="001C7CDF">
        <w:rPr>
          <w:rFonts w:ascii="Verdana" w:eastAsia="Calibri" w:hAnsi="Verdana" w:cs="Arial"/>
          <w:color w:val="000000"/>
          <w:lang w:val="es-ES" w:eastAsia="en-GB"/>
        </w:rPr>
        <w:t>pre-contractual</w:t>
      </w:r>
      <w:proofErr w:type="spellEnd"/>
      <w:r w:rsidRPr="001C7CDF">
        <w:rPr>
          <w:rFonts w:ascii="Verdana" w:eastAsia="Calibri" w:hAnsi="Verdana" w:cs="Arial"/>
          <w:color w:val="000000"/>
          <w:lang w:val="es-ES" w:eastAsia="en-GB"/>
        </w:rPr>
        <w:t xml:space="preserve">, contractual o </w:t>
      </w:r>
      <w:proofErr w:type="spellStart"/>
      <w:r w:rsidRPr="001C7CDF">
        <w:rPr>
          <w:rFonts w:ascii="Verdana" w:eastAsia="Calibri" w:hAnsi="Verdana" w:cs="Arial"/>
          <w:color w:val="000000"/>
          <w:lang w:val="es-ES" w:eastAsia="en-GB"/>
        </w:rPr>
        <w:t>post-contractual</w:t>
      </w:r>
      <w:proofErr w:type="spellEnd"/>
      <w:r w:rsidRPr="001C7CDF">
        <w:rPr>
          <w:rFonts w:ascii="Verdana" w:eastAsia="Calibri" w:hAnsi="Verdana" w:cs="Arial"/>
          <w:color w:val="000000"/>
          <w:lang w:val="es-ES" w:eastAsia="en-GB"/>
        </w:rPr>
        <w:t xml:space="preserve">, según el análisis de riesgos efectuado dentro de los estudios previos. En la fase </w:t>
      </w:r>
      <w:proofErr w:type="spellStart"/>
      <w:r w:rsidRPr="001C7CDF">
        <w:rPr>
          <w:rFonts w:ascii="Verdana" w:eastAsia="Calibri" w:hAnsi="Verdana" w:cs="Arial"/>
          <w:color w:val="000000"/>
          <w:lang w:val="es-ES" w:eastAsia="en-GB"/>
        </w:rPr>
        <w:t>pre-contractual</w:t>
      </w:r>
      <w:proofErr w:type="spellEnd"/>
      <w:r w:rsidRPr="001C7CDF">
        <w:rPr>
          <w:rFonts w:ascii="Verdana" w:eastAsia="Calibri" w:hAnsi="Verdana" w:cs="Arial"/>
          <w:color w:val="000000"/>
          <w:lang w:val="es-ES" w:eastAsia="en-GB"/>
        </w:rPr>
        <w:t>, la garantía que, por regla general, debe exigirse es la de seriedad de la oferta. Para las dos fases posteriores, el ordenamiento prevé la garantía única de cumplimiento y la garantía de responsabilidad civil extracontractual, cuya procedencia, así como la inclusión de sus amparos depende de las circunstancias previstas en el artículo 7 de la Ley 1150 de 2007</w:t>
      </w:r>
      <w:r w:rsidRPr="001C7CDF">
        <w:rPr>
          <w:rStyle w:val="Refdenotaalpie"/>
          <w:rFonts w:ascii="Verdana" w:eastAsia="Calibri" w:hAnsi="Verdana" w:cs="Arial"/>
          <w:color w:val="000000"/>
          <w:lang w:val="es-ES" w:eastAsia="en-GB"/>
        </w:rPr>
        <w:footnoteReference w:id="7"/>
      </w:r>
      <w:r w:rsidRPr="001C7CDF">
        <w:rPr>
          <w:rFonts w:ascii="Verdana" w:eastAsia="Calibri" w:hAnsi="Verdana" w:cs="Arial"/>
          <w:color w:val="000000" w:themeColor="text1"/>
          <w:lang w:val="es-ES" w:eastAsia="en-GB"/>
        </w:rPr>
        <w:t xml:space="preserve"> y en la Subsección 3 del Decreto 1082 de 2015. </w:t>
      </w:r>
      <w:r w:rsidRPr="001C7CDF">
        <w:rPr>
          <w:rFonts w:ascii="Verdana" w:eastAsia="Calibri" w:hAnsi="Verdana" w:cs="Arial"/>
          <w:color w:val="000000"/>
          <w:lang w:val="es-ES" w:eastAsia="en-GB"/>
        </w:rPr>
        <w:t xml:space="preserve">Tales </w:t>
      </w:r>
      <w:r w:rsidRPr="001C7CDF">
        <w:rPr>
          <w:rFonts w:ascii="Verdana" w:eastAsia="Calibri" w:hAnsi="Verdana" w:cs="Arial"/>
          <w:color w:val="000000" w:themeColor="text1"/>
          <w:lang w:val="es-ES" w:eastAsia="en-GB"/>
        </w:rPr>
        <w:t>disposiciones normativas establecen los contratos en los que resultan obligatorias tales garantías, la suficiencia de sus amparos y la manera de hacerlas efectivas.</w:t>
      </w:r>
      <w:r w:rsidRPr="001C7CDF">
        <w:rPr>
          <w:rFonts w:ascii="Verdana" w:eastAsia="Calibri" w:hAnsi="Verdana" w:cs="Arial"/>
          <w:color w:val="000000"/>
          <w:lang w:val="es-ES" w:eastAsia="en-GB"/>
        </w:rPr>
        <w:t xml:space="preserve"> Las partes, por autonomía de la voluntad, y según las características del contrato, podrían exigir garantías adicionales.</w:t>
      </w:r>
    </w:p>
    <w:p w14:paraId="1B746AD1" w14:textId="77777777" w:rsidR="00AF3113" w:rsidRPr="001C7CDF" w:rsidRDefault="00AF3113" w:rsidP="00AF3113">
      <w:pPr>
        <w:spacing w:after="0"/>
        <w:jc w:val="both"/>
        <w:rPr>
          <w:rFonts w:ascii="Verdana" w:eastAsia="Calibri" w:hAnsi="Verdana" w:cs="Arial"/>
          <w:lang w:val="es-MX" w:eastAsia="es-ES"/>
        </w:rPr>
      </w:pPr>
    </w:p>
    <w:p w14:paraId="5C329FD4" w14:textId="77777777" w:rsidR="00AF3113" w:rsidRPr="001C7CDF" w:rsidRDefault="00AF3113" w:rsidP="00AF3113">
      <w:pPr>
        <w:spacing w:after="120" w:line="276" w:lineRule="auto"/>
        <w:jc w:val="both"/>
        <w:rPr>
          <w:rFonts w:ascii="Verdana" w:eastAsia="Calibri" w:hAnsi="Verdana" w:cs="Arial"/>
          <w:lang w:val="es-MX" w:eastAsia="es-ES"/>
        </w:rPr>
      </w:pPr>
      <w:proofErr w:type="spellStart"/>
      <w:r w:rsidRPr="001C7CDF">
        <w:rPr>
          <w:rFonts w:ascii="Verdana" w:eastAsia="Calibri" w:hAnsi="Verdana" w:cs="Arial"/>
          <w:lang w:val="es-MX" w:eastAsia="es-ES"/>
        </w:rPr>
        <w:t>iii</w:t>
      </w:r>
      <w:proofErr w:type="spellEnd"/>
      <w:r w:rsidRPr="001C7CDF">
        <w:rPr>
          <w:rFonts w:ascii="Verdana" w:eastAsia="Calibri" w:hAnsi="Verdana" w:cs="Arial"/>
          <w:lang w:val="es-MX" w:eastAsia="es-ES"/>
        </w:rPr>
        <w:t xml:space="preserve">) Ahora bien, en relación con el acta de inicio, </w:t>
      </w:r>
      <w:r w:rsidRPr="001C7CDF">
        <w:rPr>
          <w:rFonts w:ascii="Verdana" w:eastAsia="Calibri" w:hAnsi="Verdana" w:cs="Arial"/>
          <w:lang w:val="es-ES" w:eastAsia="es-ES"/>
        </w:rPr>
        <w:t xml:space="preserve">al no ser un requisito legal de ejecución de los contratos estatales –pues no se encuentra consagrado en la </w:t>
      </w:r>
      <w:r w:rsidRPr="001C7CDF">
        <w:rPr>
          <w:rFonts w:ascii="Verdana" w:eastAsia="Calibri" w:hAnsi="Verdana" w:cs="Arial"/>
          <w:lang w:val="es-ES" w:eastAsia="es-ES"/>
        </w:rPr>
        <w:lastRenderedPageBreak/>
        <w:t xml:space="preserve">ley–, el acta de inicio constituye un requisito de ejecución convencional, que se pacta en la minuta del contrato o que el contratista acepta, adhiriéndose al clausulado del pliego de condiciones o documento equivalente. </w:t>
      </w:r>
    </w:p>
    <w:p w14:paraId="1D2A61EF" w14:textId="77777777" w:rsidR="00AF3113" w:rsidRPr="001C7CDF" w:rsidRDefault="00AF3113" w:rsidP="00AF3113">
      <w:pPr>
        <w:spacing w:after="120" w:line="276" w:lineRule="auto"/>
        <w:ind w:firstLine="708"/>
        <w:jc w:val="both"/>
        <w:rPr>
          <w:rFonts w:ascii="Verdana" w:eastAsia="Calibri" w:hAnsi="Verdana" w:cs="Arial"/>
          <w:lang w:val="es-ES" w:eastAsia="es-ES"/>
        </w:rPr>
      </w:pPr>
      <w:r w:rsidRPr="001C7CDF">
        <w:rPr>
          <w:rFonts w:ascii="Verdana" w:eastAsia="Calibri" w:hAnsi="Verdana" w:cs="Arial"/>
          <w:lang w:val="es-ES" w:eastAsia="es-ES"/>
        </w:rPr>
        <w:t xml:space="preserve">En el lenguaje de la contratación estatal, el acta de inicio es un documento en el que se fija la fecha en la que comienza el cómputo del plazo del contrato, una vez cumplido los requisitos legales para la ejecución del contrato. Por tanto, si bien no la exige la ley ni el reglamento, obedece a una buena práctica contractual, ya que brinda certeza acerca del inicio de la ejecución del contrato. Es por ello </w:t>
      </w:r>
      <w:proofErr w:type="gramStart"/>
      <w:r w:rsidRPr="001C7CDF">
        <w:rPr>
          <w:rFonts w:ascii="Verdana" w:eastAsia="Calibri" w:hAnsi="Verdana" w:cs="Arial"/>
          <w:lang w:val="es-ES" w:eastAsia="es-ES"/>
        </w:rPr>
        <w:t>que</w:t>
      </w:r>
      <w:proofErr w:type="gramEnd"/>
      <w:r w:rsidRPr="001C7CDF">
        <w:rPr>
          <w:rFonts w:ascii="Verdana" w:eastAsia="Calibri" w:hAnsi="Verdana" w:cs="Arial"/>
          <w:lang w:val="es-ES" w:eastAsia="es-ES"/>
        </w:rPr>
        <w:t xml:space="preserve"> la suscripción del acta de inicio usualmente se pacta en la cláusula del plazo, estableciendo que la fecha de la firma de tal documento será el hito que determinará desde cuándo comenzarán a contabilizarse los días, meses o años que se hayan estipulado como período para el cumplimiento del objeto del contrato. </w:t>
      </w:r>
    </w:p>
    <w:p w14:paraId="7DFBC019" w14:textId="77777777" w:rsidR="00AF3113" w:rsidRPr="001C7CDF" w:rsidRDefault="00AF3113" w:rsidP="00AF3113">
      <w:pPr>
        <w:spacing w:after="120" w:line="276" w:lineRule="auto"/>
        <w:ind w:firstLine="708"/>
        <w:jc w:val="both"/>
        <w:rPr>
          <w:rFonts w:ascii="Verdana" w:eastAsia="Calibri" w:hAnsi="Verdana" w:cs="Arial"/>
          <w:lang w:val="es-ES" w:eastAsia="es-ES"/>
        </w:rPr>
      </w:pPr>
      <w:r w:rsidRPr="001C7CDF">
        <w:rPr>
          <w:rFonts w:ascii="Verdana" w:eastAsia="Calibri" w:hAnsi="Verdana" w:cs="Arial"/>
          <w:lang w:val="es-ES" w:eastAsia="es-ES"/>
        </w:rPr>
        <w:t xml:space="preserve">El fundamento legal que habilita a las partes para establecer la suscripción del acta de inicio como un requisito de ejecución convencional se encuentra en el segundo inciso del artículo 40 de la Ley 80 de 1993, el cual indica que “Las entidades podrán celebrar los contratos y acuerdos que permitan la autonomía de la voluntad y requieran el cumplimiento de los fines estatales”. Sin embargo, en el ejercicio de la autonomía de la voluntad las partes del contrato deben respetar las normas de orden público. En consecuencia, a pesar de que están facultadas para acordar cláusulas accidentales en el negocio jurídico, estas no pueden ir en contra de los mandatos contenidos en el EGCAP. En tal sentido, teniendo en cuenta que el artículo 41 de la Ley 80 de 1993 establece que los requisitos legales de ejecución de los contratos estatales son la aprobación de las garantías, la apropiación presupuestal y la acreditación del cumplimiento de las obligaciones con el Sistema de Seguridad Social Integral, las partes no pueden establecer que el contrato estatal comenzará su ejecución cuando se firme el acta de inicio pretermitiendo las tres exigencias legales antes señaladas. </w:t>
      </w:r>
    </w:p>
    <w:p w14:paraId="3E057AB7" w14:textId="77777777" w:rsidR="00AF3113" w:rsidRPr="001C7CDF" w:rsidRDefault="00AF3113" w:rsidP="00AF3113">
      <w:pPr>
        <w:spacing w:after="120" w:line="276" w:lineRule="auto"/>
        <w:ind w:firstLine="708"/>
        <w:jc w:val="both"/>
        <w:rPr>
          <w:rFonts w:ascii="Verdana" w:eastAsia="Calibri" w:hAnsi="Verdana" w:cs="Arial"/>
          <w:lang w:val="es-ES" w:eastAsia="es-ES"/>
        </w:rPr>
      </w:pPr>
      <w:r w:rsidRPr="001C7CDF">
        <w:rPr>
          <w:rFonts w:ascii="Verdana" w:eastAsia="Calibri" w:hAnsi="Verdana" w:cs="Arial"/>
          <w:lang w:val="es-ES" w:eastAsia="es-ES"/>
        </w:rPr>
        <w:t xml:space="preserve">Dicho de otra manera, el acta de inicio puede ser pactada como requisito para el comienzo del cómputo del plazo, pero la fecha que se defina en ella para iniciar la ejecución del contrato no puede ser anterior al cumplimiento de los requisitos de ejecución establecidos en la ley. Verbigracia, si las garantías no han sido aprobadas por la entidad estatal, aún no se puede suscribir el acta de inicio, pues de lo contrario las partes estarían contrariando normas de orden público, que, como bien se ha señalado, son indisponibles. O si la fecha de </w:t>
      </w:r>
      <w:r w:rsidRPr="001C7CDF">
        <w:rPr>
          <w:rFonts w:ascii="Verdana" w:eastAsia="Calibri" w:hAnsi="Verdana" w:cs="Arial"/>
          <w:lang w:val="es-ES" w:eastAsia="es-ES"/>
        </w:rPr>
        <w:lastRenderedPageBreak/>
        <w:t>expedición del registro presupuestal es el día de hoy, no puede establecerse como fecha de inicio de ejecución del contrato el día de ayer, porque lo que eso estaría indicando es que el contrato estatal comenzó su ejecución sin la apropiación presupuestal suficiente.</w:t>
      </w:r>
    </w:p>
    <w:p w14:paraId="73418D3A" w14:textId="77777777" w:rsidR="00AF3113" w:rsidRPr="001C7CDF" w:rsidRDefault="00AF3113" w:rsidP="00AF3113">
      <w:pPr>
        <w:spacing w:after="120" w:line="276" w:lineRule="auto"/>
        <w:ind w:firstLine="708"/>
        <w:jc w:val="both"/>
        <w:rPr>
          <w:rFonts w:ascii="Verdana" w:eastAsia="Calibri" w:hAnsi="Verdana" w:cs="Arial"/>
          <w:lang w:val="es-ES" w:eastAsia="es-ES"/>
        </w:rPr>
      </w:pPr>
      <w:r w:rsidRPr="001C7CDF">
        <w:rPr>
          <w:rFonts w:ascii="Verdana" w:eastAsia="Calibri" w:hAnsi="Verdana" w:cs="Arial"/>
          <w:lang w:val="es-ES" w:eastAsia="es-ES"/>
        </w:rPr>
        <w:t>Además, el artículo 6 de la Constitución dispone que “Los particulares sólo son responsables ante las autoridades por infringir la Constitución y las leyes” y que “Los servidores públicos lo son por la misma causa y por omisión o extralimitación en el ejercicio de sus funciones”. Por tanto, no se puede suscribir el acta de inicio, estableciendo como fecha de inicio del contrato un día en el que aún no se hayan cumplido los requisitos de ejecución establecidos en el artículo 41 de la Ley 80 de 1993, porque ello implica una infracción de la ley.</w:t>
      </w:r>
    </w:p>
    <w:p w14:paraId="40427797" w14:textId="75169EF7" w:rsidR="00AF3113" w:rsidRPr="001C7CDF" w:rsidRDefault="00AF3113" w:rsidP="002A5DB9">
      <w:pPr>
        <w:spacing w:after="240" w:line="276" w:lineRule="auto"/>
        <w:ind w:firstLine="708"/>
        <w:jc w:val="both"/>
        <w:rPr>
          <w:rFonts w:ascii="Verdana" w:eastAsia="Calibri" w:hAnsi="Verdana" w:cs="Arial"/>
          <w:lang w:val="es-ES" w:eastAsia="es-ES"/>
        </w:rPr>
      </w:pPr>
      <w:r w:rsidRPr="001C7CDF">
        <w:rPr>
          <w:rFonts w:ascii="Verdana" w:eastAsia="Calibri" w:hAnsi="Verdana" w:cs="Arial"/>
          <w:lang w:val="es-ES" w:eastAsia="es-ES"/>
        </w:rPr>
        <w:t>Finalmente, a juicio del Consejo de Estado, una vez se pacte el acta de inicio como requisito de ejecución del contrato, su ausencia tiene como consecuencia la falta de autorización para desplegar cualquier actividad contractual. Por ende, concluye el alto tribunal en sentencia del 3 de abril de 2020</w:t>
      </w:r>
      <w:r w:rsidRPr="001C7CDF">
        <w:rPr>
          <w:rFonts w:ascii="Verdana" w:eastAsia="Calibri" w:hAnsi="Verdana"/>
          <w:lang w:val="es-ES" w:eastAsia="es-ES"/>
        </w:rPr>
        <w:footnoteReference w:id="8"/>
      </w:r>
      <w:r w:rsidRPr="001C7CDF">
        <w:rPr>
          <w:rFonts w:ascii="Verdana" w:eastAsia="Calibri" w:hAnsi="Verdana" w:cs="Arial"/>
          <w:lang w:val="es-ES" w:eastAsia="es-ES"/>
        </w:rPr>
        <w:t>, la eventual ejecución del contrato en estos casos no merecería reconocimiento pecuniario:</w:t>
      </w:r>
    </w:p>
    <w:p w14:paraId="07FAF8D1" w14:textId="3D6E6B41" w:rsidR="00AF3113" w:rsidRPr="001C7CDF" w:rsidRDefault="00AF3113" w:rsidP="002A5DB9">
      <w:pPr>
        <w:spacing w:after="240" w:line="240" w:lineRule="auto"/>
        <w:ind w:left="708" w:right="709"/>
        <w:jc w:val="both"/>
        <w:rPr>
          <w:rFonts w:ascii="Verdana" w:eastAsia="Calibri" w:hAnsi="Verdana" w:cs="Arial"/>
          <w:sz w:val="20"/>
          <w:szCs w:val="20"/>
          <w:lang w:val="es-ES" w:eastAsia="es-ES"/>
        </w:rPr>
      </w:pPr>
      <w:r w:rsidRPr="001C7CDF">
        <w:rPr>
          <w:rFonts w:ascii="Verdana" w:eastAsia="Calibri" w:hAnsi="Verdana" w:cs="Arial"/>
          <w:sz w:val="20"/>
          <w:szCs w:val="20"/>
          <w:lang w:val="es-ES" w:eastAsia="es-ES"/>
        </w:rPr>
        <w:t xml:space="preserve">“Pese a declararse en esta oportunidad la nulidad del acto de terminación unilateral del convenio, la Sala encuentra que no está llamada a prosperar la pretensión de incumplimiento ni el consecuencial reconocimiento de los perjuicios reclamados por la parte demandante […] [L]as partes no suscribieron el acta para dar inicio a la ejecución del convenio y la entidad demandada no impartió autorización que avalara las actividades de la fundación cooperante encaminadas a la ejecución prematura de sus obligaciones. </w:t>
      </w:r>
      <w:proofErr w:type="gramStart"/>
      <w:r w:rsidRPr="001C7CDF">
        <w:rPr>
          <w:rFonts w:ascii="Verdana" w:eastAsia="Calibri" w:hAnsi="Verdana" w:cs="Arial"/>
          <w:sz w:val="20"/>
          <w:szCs w:val="20"/>
          <w:lang w:val="es-ES" w:eastAsia="es-ES"/>
        </w:rPr>
        <w:t>En razón de</w:t>
      </w:r>
      <w:proofErr w:type="gramEnd"/>
      <w:r w:rsidRPr="001C7CDF">
        <w:rPr>
          <w:rFonts w:ascii="Verdana" w:eastAsia="Calibri" w:hAnsi="Verdana" w:cs="Arial"/>
          <w:sz w:val="20"/>
          <w:szCs w:val="20"/>
          <w:lang w:val="es-ES" w:eastAsia="es-ES"/>
        </w:rPr>
        <w:t xml:space="preserve"> lo anterior, pese a la declaratoria de nulidad del acta de terminación unilateral del convenio 497 de 2007, no es dable acceder a la pretensión de incumplimiento, en tanto no se suscribió el acta de inicio convenida por las partes como requisito para su ejecución, lo cual significa que al momento de la terminación unilateral, no contaba el demandante con autorización para ejecutar las obligaciones contraídas con ocasión del contrato. En este orden, ante la ausencia de autorización, cualquier actividad desplegada por el cooperante no resultaría merecedora de reconocimiento pecuniario.”</w:t>
      </w:r>
    </w:p>
    <w:p w14:paraId="4228232C" w14:textId="77777777" w:rsidR="00AF3113" w:rsidRPr="001C7CDF" w:rsidRDefault="00AF3113" w:rsidP="00AF3113">
      <w:pPr>
        <w:spacing w:after="0" w:line="276" w:lineRule="auto"/>
        <w:ind w:firstLine="708"/>
        <w:jc w:val="both"/>
        <w:rPr>
          <w:rFonts w:ascii="Verdana" w:eastAsia="Calibri" w:hAnsi="Verdana" w:cs="Arial"/>
          <w:lang w:val="es-ES" w:eastAsia="es-ES"/>
        </w:rPr>
      </w:pPr>
      <w:r w:rsidRPr="001C7CDF">
        <w:rPr>
          <w:rFonts w:ascii="Verdana" w:eastAsia="Calibri" w:hAnsi="Verdana" w:cs="Arial"/>
          <w:lang w:val="es-ES" w:eastAsia="es-ES"/>
        </w:rPr>
        <w:lastRenderedPageBreak/>
        <w:t>No obstante, lo anterior, si se cumplen los requisitos legales consagrados en el mencionado el artículo 41 y se inicia la ejecución sin firmar el acta de inicio, bajo una justa causa, nada obsta para que la entidad contratante determine según sean las circunstancias del caso concreto, omitir el requisito y continuar con la ejecución. Lo anterior, en atención a que se trata de un requisito que más que exigir una condición o calidad adicional por parte del contratista, solo pretende dar claridad del momento en que inicia la ejecución del contrato de cara a sus efectos jurídicos y prácticos, lo cual también cuenta con otros medios de prueba. Será la entidad estatal entonces la que en principio defina, conforme a las circunstancias del caso en concreto, si el incumplimiento es relevante y si es susceptible de alguna medida sancionatoria que se encuentre previamente pactada.</w:t>
      </w:r>
    </w:p>
    <w:p w14:paraId="17492B5B" w14:textId="77777777" w:rsidR="00AF3113" w:rsidRPr="001C7CDF" w:rsidRDefault="00AF3113" w:rsidP="00A654D6">
      <w:pPr>
        <w:spacing w:after="0" w:line="276" w:lineRule="auto"/>
        <w:jc w:val="both"/>
        <w:rPr>
          <w:rFonts w:ascii="Verdana" w:eastAsia="Calibri" w:hAnsi="Verdana" w:cs="Arial"/>
          <w:lang w:val="es-ES"/>
        </w:rPr>
      </w:pPr>
    </w:p>
    <w:p w14:paraId="42175638" w14:textId="32CF4E72" w:rsidR="008F0004" w:rsidRPr="001C7CDF" w:rsidRDefault="000A53F8" w:rsidP="008F0004">
      <w:pPr>
        <w:spacing w:after="120" w:line="276" w:lineRule="auto"/>
        <w:jc w:val="both"/>
        <w:rPr>
          <w:rFonts w:ascii="Verdana" w:eastAsia="Times New Roman" w:hAnsi="Verdana" w:cs="Arial"/>
          <w:lang w:eastAsia="es-CO"/>
        </w:rPr>
      </w:pPr>
      <w:proofErr w:type="spellStart"/>
      <w:r w:rsidRPr="001C7CDF">
        <w:rPr>
          <w:rFonts w:ascii="Verdana" w:hAnsi="Verdana" w:cs="Arial"/>
          <w:bCs/>
          <w:lang w:val="es-ES"/>
        </w:rPr>
        <w:t>iv</w:t>
      </w:r>
      <w:proofErr w:type="spellEnd"/>
      <w:r w:rsidR="004E3CE5" w:rsidRPr="001C7CDF">
        <w:rPr>
          <w:rFonts w:ascii="Verdana" w:hAnsi="Verdana" w:cs="Arial"/>
          <w:bCs/>
        </w:rPr>
        <w:t xml:space="preserve">) </w:t>
      </w:r>
      <w:r w:rsidR="009217A3" w:rsidRPr="001C7CDF">
        <w:rPr>
          <w:rFonts w:ascii="Verdana" w:eastAsia="Calibri" w:hAnsi="Verdana" w:cs="Arial"/>
          <w:bCs/>
          <w:lang w:eastAsia="es-ES_tradnl"/>
        </w:rPr>
        <w:t xml:space="preserve">En complemento con lo expuesto, y para dar claridad al objeto de consulta en lo relativo a la </w:t>
      </w:r>
      <w:r w:rsidR="009217A3" w:rsidRPr="001C7CDF">
        <w:rPr>
          <w:rFonts w:ascii="Verdana" w:eastAsia="Calibri" w:hAnsi="Verdana" w:cs="Arial"/>
          <w:bCs/>
          <w:i/>
          <w:iCs/>
          <w:lang w:eastAsia="es-ES_tradnl"/>
        </w:rPr>
        <w:t>garantía de cumplimiento</w:t>
      </w:r>
      <w:r w:rsidR="009217A3" w:rsidRPr="001C7CDF">
        <w:rPr>
          <w:rFonts w:ascii="Verdana" w:eastAsia="Calibri" w:hAnsi="Verdana" w:cs="Arial"/>
          <w:bCs/>
          <w:lang w:eastAsia="es-ES_tradnl"/>
        </w:rPr>
        <w:t xml:space="preserve">, resulta pertinente señalar que, </w:t>
      </w:r>
      <w:r w:rsidR="008F0004" w:rsidRPr="001C7CDF">
        <w:rPr>
          <w:rFonts w:ascii="Verdana" w:eastAsia="Calibri" w:hAnsi="Verdana" w:cs="Arial"/>
          <w:bCs/>
          <w:lang w:eastAsia="es-ES_tradnl"/>
        </w:rPr>
        <w:t xml:space="preserve">el artículo 2.2.1.2.3.1.12 del Decreto 1082 de 2015 regula la suficiencia de la </w:t>
      </w:r>
      <w:r w:rsidR="008F0004" w:rsidRPr="001C7CDF">
        <w:rPr>
          <w:rFonts w:ascii="Verdana" w:eastAsia="Calibri" w:hAnsi="Verdana" w:cs="Arial"/>
          <w:bCs/>
          <w:i/>
          <w:iCs/>
          <w:lang w:eastAsia="es-ES_tradnl"/>
        </w:rPr>
        <w:t>garantía única de cumplimiento</w:t>
      </w:r>
      <w:r w:rsidR="008F0004" w:rsidRPr="001C7CDF">
        <w:rPr>
          <w:rFonts w:ascii="Verdana" w:eastAsia="Calibri" w:hAnsi="Verdana" w:cs="Arial"/>
          <w:bCs/>
          <w:lang w:eastAsia="es-ES_tradnl"/>
        </w:rPr>
        <w:t>, estableciendo que esta debe cubrir los diversos riesgos asociados a la contratación. Es fundamental aclarar que la vigencia y el valor amparado no son uniformes, sino que varían según la naturaleza de cada amparo contenido en la póliza. Así, mientras que el amparo de cumplimiento debe extenderse, por regla general, hasta la liquidación del contrato o el agotamiento del plazo para ello, otros riesgos como el de salarios y prestaciones sociales deben cubrir el plazo de ejecución y tres años más, y el de calidad del servicio o de los bienes debe activarse a partir de la entrega para cubrir el término de garantía técnica pactado. En el caso de la Responsabilidad Civil Extracontractual (RCE), esta opera como un amparo autónomo cuya vigencia se sujeta al plazo de ejecución de las actividades riesgosas.</w:t>
      </w:r>
    </w:p>
    <w:p w14:paraId="1453725F" w14:textId="77777777" w:rsidR="008F0004" w:rsidRPr="001C7CDF" w:rsidRDefault="008F0004" w:rsidP="00C012A6">
      <w:pPr>
        <w:spacing w:before="120" w:after="240" w:line="276" w:lineRule="auto"/>
        <w:ind w:firstLine="708"/>
        <w:jc w:val="both"/>
        <w:rPr>
          <w:rFonts w:ascii="Verdana" w:eastAsia="Times New Roman" w:hAnsi="Verdana" w:cs="Arial"/>
          <w:lang w:eastAsia="es-CO"/>
        </w:rPr>
      </w:pPr>
      <w:r w:rsidRPr="001C7CDF">
        <w:rPr>
          <w:rFonts w:ascii="Verdana" w:eastAsia="Times New Roman" w:hAnsi="Verdana" w:cs="Arial"/>
          <w:lang w:eastAsia="es-CO"/>
        </w:rPr>
        <w:t>Es preciso aclarar que el cumplimiento de los términos de suficiencia de la garantía no es una facultad discrecional de la entidad o del contratista, sino una obligación legal de estricto cumplimiento. El Decreto 1082 de 2015, en su artículo 2.2.1.2.3.1.12, establece parámetros mínimos que deben ser observados para asegurar la protección del patrimonio público.</w:t>
      </w:r>
    </w:p>
    <w:p w14:paraId="605759B0" w14:textId="77777777" w:rsidR="008F0004" w:rsidRPr="001C7CDF" w:rsidRDefault="008F0004" w:rsidP="00C012A6">
      <w:pPr>
        <w:spacing w:after="240" w:line="240" w:lineRule="auto"/>
        <w:ind w:left="709" w:right="1041"/>
        <w:jc w:val="both"/>
        <w:rPr>
          <w:rFonts w:ascii="Verdana" w:eastAsia="Times New Roman" w:hAnsi="Verdana" w:cs="Arial"/>
          <w:sz w:val="20"/>
          <w:szCs w:val="20"/>
          <w:lang w:eastAsia="es-CO"/>
        </w:rPr>
      </w:pPr>
      <w:r w:rsidRPr="001C7CDF">
        <w:rPr>
          <w:rFonts w:ascii="Verdana" w:eastAsia="Times New Roman" w:hAnsi="Verdana" w:cs="Arial"/>
          <w:b/>
          <w:bCs/>
          <w:sz w:val="20"/>
          <w:szCs w:val="20"/>
          <w:lang w:eastAsia="es-CO"/>
        </w:rPr>
        <w:t>Artículo 2.2.1.2.3.1.12.</w:t>
      </w:r>
      <w:r w:rsidRPr="001C7CDF">
        <w:rPr>
          <w:rFonts w:ascii="Verdana" w:eastAsia="Times New Roman" w:hAnsi="Verdana" w:cs="Arial"/>
          <w:sz w:val="20"/>
          <w:szCs w:val="20"/>
          <w:lang w:eastAsia="es-CO"/>
        </w:rPr>
        <w:t xml:space="preserve"> Suficiencia de los amparos. La garantía única de cumplimiento debe cubrir los Riesgos en la cuantía y vigencia que se señala a continuación: [...] 1. Amparo de cumplimiento. El valor de este amparo debe ser de por lo menos el diez por ciento (10%) del </w:t>
      </w:r>
      <w:r w:rsidRPr="001C7CDF">
        <w:rPr>
          <w:rFonts w:ascii="Verdana" w:eastAsia="Times New Roman" w:hAnsi="Verdana" w:cs="Arial"/>
          <w:sz w:val="20"/>
          <w:szCs w:val="20"/>
          <w:lang w:eastAsia="es-CO"/>
        </w:rPr>
        <w:lastRenderedPageBreak/>
        <w:t>valor del contrato, y su vigencia debe ser por lo menos igual a la del contrato y cuatro (4) meses más. En los contratos con un valor superior a un millón (1.000.000) de SMMLV, el valor del amparo de cumplimiento debe ser el diez por ciento (10%) del valor del contrato hasta un millón (1.000.000) de SMMLV, y el cinco por ciento (5%) del valor que exceda un millón (1.000.000) de SMMLV.</w:t>
      </w:r>
    </w:p>
    <w:p w14:paraId="1218911A" w14:textId="77777777" w:rsidR="008F0004" w:rsidRPr="001C7CDF" w:rsidRDefault="008F0004" w:rsidP="008F0004">
      <w:pPr>
        <w:spacing w:before="120" w:after="0" w:line="276" w:lineRule="auto"/>
        <w:ind w:firstLine="708"/>
        <w:jc w:val="both"/>
        <w:rPr>
          <w:rFonts w:ascii="Verdana" w:eastAsia="Calibri" w:hAnsi="Verdana" w:cs="Arial"/>
        </w:rPr>
      </w:pPr>
      <w:r w:rsidRPr="001C7CDF">
        <w:rPr>
          <w:rFonts w:ascii="Verdana" w:eastAsia="Calibri" w:hAnsi="Verdana" w:cs="Arial"/>
        </w:rPr>
        <w:t xml:space="preserve">Al respecto, la jurisprudencia define el </w:t>
      </w:r>
      <w:r w:rsidRPr="001C7CDF">
        <w:rPr>
          <w:rFonts w:ascii="Verdana" w:eastAsia="Calibri" w:hAnsi="Verdana" w:cs="Arial"/>
          <w:i/>
          <w:iCs/>
        </w:rPr>
        <w:t>plazo de ejecución</w:t>
      </w:r>
      <w:r w:rsidRPr="001C7CDF">
        <w:rPr>
          <w:rFonts w:ascii="Verdana" w:eastAsia="Calibri" w:hAnsi="Verdana" w:cs="Arial"/>
        </w:rPr>
        <w:t xml:space="preserve"> como el establecido para la realización de las prestaciones contractuales y, de igual forma, considera que el </w:t>
      </w:r>
      <w:r w:rsidRPr="001C7CDF">
        <w:rPr>
          <w:rFonts w:ascii="Verdana" w:eastAsia="Calibri" w:hAnsi="Verdana" w:cs="Arial"/>
          <w:i/>
          <w:iCs/>
        </w:rPr>
        <w:t>plazo de vigencia</w:t>
      </w:r>
      <w:r w:rsidRPr="001C7CDF">
        <w:rPr>
          <w:rFonts w:ascii="Verdana" w:eastAsia="Calibri" w:hAnsi="Verdana" w:cs="Arial"/>
        </w:rPr>
        <w:t xml:space="preserve"> de este no ha finalizado mientras subsista la obligación para las partes de liquidar el contrato</w:t>
      </w:r>
      <w:r w:rsidRPr="001C7CDF">
        <w:rPr>
          <w:rFonts w:ascii="Verdana" w:eastAsia="Calibri" w:hAnsi="Verdana" w:cs="Arial"/>
          <w:vertAlign w:val="superscript"/>
        </w:rPr>
        <w:footnoteReference w:id="9"/>
      </w:r>
      <w:r w:rsidRPr="001C7CDF">
        <w:rPr>
          <w:rFonts w:ascii="Verdana" w:eastAsia="Calibri" w:hAnsi="Verdana" w:cs="Arial"/>
        </w:rPr>
        <w:t>. Por ello, explica lo siguiente:</w:t>
      </w:r>
    </w:p>
    <w:p w14:paraId="538355F4" w14:textId="77777777" w:rsidR="008F0004" w:rsidRPr="001C7CDF" w:rsidRDefault="008F0004" w:rsidP="008F0004">
      <w:pPr>
        <w:spacing w:after="0" w:line="276" w:lineRule="auto"/>
        <w:ind w:firstLine="708"/>
        <w:jc w:val="both"/>
        <w:rPr>
          <w:rFonts w:ascii="Verdana" w:eastAsia="Calibri" w:hAnsi="Verdana" w:cs="Arial"/>
        </w:rPr>
      </w:pPr>
    </w:p>
    <w:p w14:paraId="708564BA" w14:textId="77777777" w:rsidR="008F0004" w:rsidRPr="001C7CDF" w:rsidRDefault="008F0004" w:rsidP="00F00B0E">
      <w:pPr>
        <w:spacing w:after="0" w:line="240" w:lineRule="auto"/>
        <w:ind w:left="709" w:right="709"/>
        <w:jc w:val="both"/>
        <w:rPr>
          <w:rFonts w:ascii="Verdana" w:eastAsia="Times New Roman" w:hAnsi="Verdana" w:cs="Arial"/>
          <w:sz w:val="20"/>
          <w:szCs w:val="20"/>
          <w:lang w:eastAsia="es-CO"/>
        </w:rPr>
      </w:pPr>
      <w:r w:rsidRPr="001C7CDF">
        <w:rPr>
          <w:rFonts w:ascii="Verdana" w:eastAsia="Times New Roman" w:hAnsi="Verdana" w:cs="Arial"/>
          <w:sz w:val="20"/>
          <w:szCs w:val="20"/>
          <w:lang w:eastAsia="es-CO"/>
        </w:rPr>
        <w:t>“[…] si bien es cierto en la mayoría de los casos el plazo del contrato coincide con el de ejecución de la obra, con la entrega del suministro, con la prestación del servicio, también lo es, que este plazo no constituye propiamente hablando el periodo de ejecución del contrato porque al finalizar el plazo que se ha destinado para el cumplimiento de la obligación principal por parte del contratista las partes no quedan liberadas de pleno derecho mientras no se extingan todas las obligaciones adquiridas, lo cual se cumple necesariamente en la etapa de liquidación del contrato en la cual es donde la administración puede valorar el cumplimiento total de las obligaciones a cargo del contratista y es la que le pone término a la vinculación de las partes”</w:t>
      </w:r>
      <w:r w:rsidRPr="001C7CDF">
        <w:rPr>
          <w:rFonts w:ascii="Verdana" w:eastAsia="Times New Roman" w:hAnsi="Verdana" w:cs="Arial"/>
          <w:sz w:val="20"/>
          <w:szCs w:val="20"/>
          <w:vertAlign w:val="superscript"/>
          <w:lang w:eastAsia="es-CO"/>
        </w:rPr>
        <w:footnoteReference w:id="10"/>
      </w:r>
      <w:r w:rsidRPr="001C7CDF">
        <w:rPr>
          <w:rFonts w:ascii="Verdana" w:eastAsia="Times New Roman" w:hAnsi="Verdana" w:cs="Arial"/>
          <w:sz w:val="20"/>
          <w:szCs w:val="20"/>
          <w:lang w:eastAsia="es-CO"/>
        </w:rPr>
        <w:t>.</w:t>
      </w:r>
    </w:p>
    <w:p w14:paraId="487633C6" w14:textId="77777777" w:rsidR="008F0004" w:rsidRPr="001C7CDF" w:rsidRDefault="008F0004" w:rsidP="008F0004">
      <w:pPr>
        <w:spacing w:after="0" w:line="276" w:lineRule="auto"/>
        <w:jc w:val="both"/>
        <w:rPr>
          <w:rFonts w:ascii="Verdana" w:eastAsia="Times New Roman" w:hAnsi="Verdana" w:cs="Arial"/>
          <w:lang w:eastAsia="es-CO"/>
        </w:rPr>
      </w:pPr>
    </w:p>
    <w:p w14:paraId="52653F77" w14:textId="77777777" w:rsidR="008963CA" w:rsidRPr="001C7CDF" w:rsidRDefault="008F0004" w:rsidP="008963CA">
      <w:pPr>
        <w:spacing w:after="120" w:line="276" w:lineRule="auto"/>
        <w:ind w:right="-68" w:firstLine="708"/>
        <w:jc w:val="both"/>
        <w:rPr>
          <w:rFonts w:ascii="Verdana" w:eastAsia="Times New Roman" w:hAnsi="Verdana" w:cs="Arial"/>
          <w:lang w:eastAsia="es-CO"/>
        </w:rPr>
      </w:pPr>
      <w:r w:rsidRPr="001C7CDF">
        <w:rPr>
          <w:rFonts w:ascii="Verdana" w:eastAsia="Times New Roman" w:hAnsi="Verdana" w:cs="Arial"/>
          <w:lang w:eastAsia="es-CO"/>
        </w:rPr>
        <w:t xml:space="preserve">Así, la cobertura mínima del amparo de cumplimiento cubre el </w:t>
      </w:r>
      <w:r w:rsidRPr="001C7CDF">
        <w:rPr>
          <w:rFonts w:ascii="Verdana" w:eastAsia="Times New Roman" w:hAnsi="Verdana" w:cs="Arial"/>
          <w:i/>
          <w:iCs/>
          <w:lang w:eastAsia="es-CO"/>
        </w:rPr>
        <w:t>plazo de ejecución</w:t>
      </w:r>
      <w:r w:rsidRPr="001C7CDF">
        <w:rPr>
          <w:rFonts w:ascii="Verdana" w:eastAsia="Times New Roman" w:hAnsi="Verdana" w:cs="Arial"/>
          <w:lang w:eastAsia="es-CO"/>
        </w:rPr>
        <w:t xml:space="preserve"> y el </w:t>
      </w:r>
      <w:r w:rsidRPr="001C7CDF">
        <w:rPr>
          <w:rFonts w:ascii="Verdana" w:eastAsia="Times New Roman" w:hAnsi="Verdana" w:cs="Arial"/>
          <w:i/>
          <w:iCs/>
          <w:lang w:eastAsia="es-CO"/>
        </w:rPr>
        <w:t>plazo de vigencia</w:t>
      </w:r>
      <w:r w:rsidRPr="001C7CDF">
        <w:rPr>
          <w:rFonts w:ascii="Verdana" w:eastAsia="Times New Roman" w:hAnsi="Verdana" w:cs="Arial"/>
          <w:lang w:eastAsia="es-CO"/>
        </w:rPr>
        <w:t>, el cual finaliza con la liquidación. En palabras de la doctrina, “[…] el contratista deberá otorgarla con una vigencia igual al plazo del contrato garantizado más el plazo contractual previsto para la liquidación de aquel. En caso de no haberse convenido por las partes un término para la liquidación del contrato, la garantía deberá mantenerse vigente por el término legal previsto para este efecto […]”</w:t>
      </w:r>
      <w:r w:rsidRPr="001C7CDF">
        <w:rPr>
          <w:rFonts w:ascii="Verdana" w:eastAsia="Times New Roman" w:hAnsi="Verdana" w:cs="Arial"/>
          <w:vertAlign w:val="superscript"/>
          <w:lang w:eastAsia="es-CO"/>
        </w:rPr>
        <w:footnoteReference w:id="11"/>
      </w:r>
      <w:r w:rsidRPr="001C7CDF">
        <w:rPr>
          <w:rFonts w:ascii="Verdana" w:eastAsia="Times New Roman" w:hAnsi="Verdana" w:cs="Arial"/>
          <w:lang w:eastAsia="es-CO"/>
        </w:rPr>
        <w:t xml:space="preserve">. </w:t>
      </w:r>
    </w:p>
    <w:p w14:paraId="19E44E53" w14:textId="68153E1C" w:rsidR="00F00B0E" w:rsidRPr="001C7CDF" w:rsidRDefault="003219A7" w:rsidP="008963CA">
      <w:pPr>
        <w:spacing w:after="120" w:line="276" w:lineRule="auto"/>
        <w:ind w:right="-68" w:firstLine="708"/>
        <w:jc w:val="both"/>
        <w:rPr>
          <w:rFonts w:ascii="Verdana" w:eastAsia="Times New Roman" w:hAnsi="Verdana" w:cs="Arial"/>
          <w:lang w:eastAsia="es-CO"/>
        </w:rPr>
      </w:pPr>
      <w:r w:rsidRPr="001C7CDF">
        <w:rPr>
          <w:rFonts w:ascii="Verdana" w:eastAsia="Times New Roman" w:hAnsi="Verdana" w:cs="Arial"/>
          <w:lang w:eastAsia="es-CO"/>
        </w:rPr>
        <w:lastRenderedPageBreak/>
        <w:t>En ese orden</w:t>
      </w:r>
      <w:r w:rsidR="008963CA" w:rsidRPr="001C7CDF">
        <w:rPr>
          <w:rFonts w:ascii="Verdana" w:eastAsia="Times New Roman" w:hAnsi="Verdana" w:cs="Arial"/>
          <w:lang w:eastAsia="es-CO"/>
        </w:rPr>
        <w:t>,</w:t>
      </w:r>
      <w:r w:rsidR="00F00B0E" w:rsidRPr="001C7CDF">
        <w:rPr>
          <w:rFonts w:ascii="Verdana" w:eastAsia="Times New Roman" w:hAnsi="Verdana" w:cs="Arial"/>
          <w:lang w:eastAsia="es-CO"/>
        </w:rPr>
        <w:t xml:space="preserve"> </w:t>
      </w:r>
      <w:r w:rsidR="008963CA" w:rsidRPr="001C7CDF">
        <w:rPr>
          <w:rFonts w:ascii="Verdana" w:hAnsi="Verdana"/>
        </w:rPr>
        <w:t>se evidencia</w:t>
      </w:r>
      <w:r w:rsidR="00F00B0E" w:rsidRPr="001C7CDF">
        <w:rPr>
          <w:rFonts w:ascii="Verdana" w:hAnsi="Verdana"/>
        </w:rPr>
        <w:t xml:space="preserve"> que el artículo 2.2.1.2.3.1.12 del Decreto 1082 de 2015 establece como límite final de la vigencia de la </w:t>
      </w:r>
      <w:r w:rsidR="00F00B0E" w:rsidRPr="001C7CDF">
        <w:rPr>
          <w:rFonts w:ascii="Verdana" w:hAnsi="Verdana"/>
          <w:i/>
          <w:iCs/>
        </w:rPr>
        <w:t xml:space="preserve">garantía de cumplimiento </w:t>
      </w:r>
      <w:r w:rsidR="00F00B0E" w:rsidRPr="001C7CDF">
        <w:rPr>
          <w:rFonts w:ascii="Verdana" w:hAnsi="Verdana"/>
        </w:rPr>
        <w:t>la liquidación del contrato, pero no determina expresamente el momento de inicio de la cobertura. En consecuencia,</w:t>
      </w:r>
      <w:r w:rsidR="005359CB" w:rsidRPr="001C7CDF">
        <w:rPr>
          <w:rFonts w:ascii="Verdana" w:hAnsi="Verdana"/>
        </w:rPr>
        <w:t xml:space="preserve"> y de cara a la consulta elevada,</w:t>
      </w:r>
      <w:r w:rsidR="00F00B0E" w:rsidRPr="001C7CDF">
        <w:rPr>
          <w:rFonts w:ascii="Verdana" w:hAnsi="Verdana"/>
        </w:rPr>
        <w:t xml:space="preserve"> corresponde a las Entidades Estatales definirlo, teniendo en cuenta </w:t>
      </w:r>
      <w:r w:rsidR="00DF7890" w:rsidRPr="001C7CDF">
        <w:rPr>
          <w:rFonts w:ascii="Verdana" w:hAnsi="Verdana"/>
        </w:rPr>
        <w:t xml:space="preserve">para ello </w:t>
      </w:r>
      <w:r w:rsidR="00F00B0E" w:rsidRPr="001C7CDF">
        <w:rPr>
          <w:rFonts w:ascii="Verdana" w:hAnsi="Verdana"/>
        </w:rPr>
        <w:t>que los contratos se perfeccionan con el acuerdo sobre el objeto y la contraprestación elevado a escrito (art. 41, Ley 80 de 1993), y que para su ejecución se requiere la aprobación de la garantía y, cuando aplique, la existencia de disponibilidad presupuestal. Por regla general, el plazo de ejecución comienza con la expedición del registro presupuestal y la aprobación de la póliza; no obstante, si las partes pactan que el término se cuenta desde la suscripción del acta de inicio, dicha estipulación debe respetarse, en tanto el contrato es ley para las partes.</w:t>
      </w:r>
    </w:p>
    <w:p w14:paraId="669D8D8F" w14:textId="77777777" w:rsidR="00F00B0E" w:rsidRPr="001C7CDF" w:rsidRDefault="00F00B0E" w:rsidP="00F00B0E">
      <w:pPr>
        <w:spacing w:after="120" w:line="276" w:lineRule="auto"/>
        <w:ind w:firstLine="737"/>
        <w:jc w:val="both"/>
        <w:rPr>
          <w:rFonts w:ascii="Verdana" w:hAnsi="Verdana"/>
        </w:rPr>
      </w:pPr>
      <w:r w:rsidRPr="001C7CDF">
        <w:rPr>
          <w:rFonts w:ascii="Verdana" w:hAnsi="Verdana"/>
        </w:rPr>
        <w:t xml:space="preserve">Así, la fecha de inicio de la cobertura debe coincidir con el momento en que empieza a correr el plazo de ejecución: i) cuando no se exige acta de inicio, desde el cumplimiento de los requisitos de ejecución (RP y aprobación de garantías); </w:t>
      </w:r>
      <w:proofErr w:type="spellStart"/>
      <w:r w:rsidRPr="001C7CDF">
        <w:rPr>
          <w:rFonts w:ascii="Verdana" w:hAnsi="Verdana"/>
        </w:rPr>
        <w:t>ii</w:t>
      </w:r>
      <w:proofErr w:type="spellEnd"/>
      <w:r w:rsidRPr="001C7CDF">
        <w:rPr>
          <w:rFonts w:ascii="Verdana" w:hAnsi="Verdana"/>
        </w:rPr>
        <w:t xml:space="preserve">) cuando sí se exige acta de inicio, desde la suscripción de esta, conforme al artículo 40 de la Ley 80 de 1993. </w:t>
      </w:r>
      <w:r w:rsidRPr="001C7CDF">
        <w:rPr>
          <w:rFonts w:ascii="Verdana" w:hAnsi="Verdana"/>
          <w:i/>
          <w:iCs/>
        </w:rPr>
        <w:t>En todo caso, la garantía debe estar aprobada antes de iniciar la ejecución</w:t>
      </w:r>
      <w:r w:rsidRPr="001C7CDF">
        <w:rPr>
          <w:rFonts w:ascii="Verdana" w:hAnsi="Verdana"/>
        </w:rPr>
        <w:t xml:space="preserve"> (art. 23, Ley 1150 de 2007), por lo que no es admisible que su vigencia comience en una fecha posterior.</w:t>
      </w:r>
    </w:p>
    <w:p w14:paraId="79363947" w14:textId="77777777" w:rsidR="00845F6C" w:rsidRPr="00845F6C" w:rsidRDefault="00F00B0E" w:rsidP="00845F6C">
      <w:pPr>
        <w:spacing w:after="120" w:line="276" w:lineRule="auto"/>
        <w:ind w:firstLine="737"/>
        <w:jc w:val="both"/>
        <w:rPr>
          <w:rFonts w:ascii="Verdana" w:hAnsi="Verdana"/>
        </w:rPr>
      </w:pPr>
      <w:r w:rsidRPr="001C7CDF">
        <w:rPr>
          <w:rFonts w:ascii="Verdana" w:hAnsi="Verdana"/>
        </w:rPr>
        <w:t xml:space="preserve">Respecto a la modificación de las garantías a partir del acta de inicio, no sería procedente ajustar la fecha de cobertura si ello deja sin amparo las obligaciones previas que el contratista debe cumplir para suscribir dicha acta (como entrega de hojas de vida o permisos). Estas obligaciones, aunque preparatorias, derivan del contrato perfeccionado y su incumplimiento puede generar perjuicios a la entidad. Por lo tanto, se recomienda que la </w:t>
      </w:r>
      <w:r w:rsidRPr="001C7CDF">
        <w:rPr>
          <w:rFonts w:ascii="Verdana" w:hAnsi="Verdana"/>
          <w:i/>
          <w:iCs/>
        </w:rPr>
        <w:t>garantía de cumplimiento</w:t>
      </w:r>
      <w:r w:rsidRPr="001C7CDF">
        <w:rPr>
          <w:rFonts w:ascii="Verdana" w:hAnsi="Verdana"/>
        </w:rPr>
        <w:t xml:space="preserve"> ampare desde el momento en que las obligaciones del contratista se hacen exigibles, incluidas las previas al acta de inicio, evitando vacíos de cobertura.</w:t>
      </w:r>
      <w:r w:rsidR="00845F6C">
        <w:rPr>
          <w:rFonts w:ascii="Verdana" w:hAnsi="Verdana"/>
        </w:rPr>
        <w:t xml:space="preserve"> </w:t>
      </w:r>
      <w:r w:rsidR="00845F6C" w:rsidRPr="00845F6C">
        <w:rPr>
          <w:rFonts w:ascii="Verdana" w:hAnsi="Verdana"/>
        </w:rPr>
        <w:t>No obstante, si la suscripción del acta de inicio ocurre con posterioridad a la constitución y aprobación de la garantía, y la cobertura de esta comenzó a correr desde una fecha anterior, deberá evaluarse la necesidad de ampliar su vigencia, con el propósito de garantizar que el amparo cubra integralmente el período de ejecución contractual y se extienda hasta la liquidación del contrato.</w:t>
      </w:r>
    </w:p>
    <w:p w14:paraId="47C3814E" w14:textId="696013B3" w:rsidR="00223AB7" w:rsidRPr="001C7CDF" w:rsidRDefault="00C539E6" w:rsidP="00C539E6">
      <w:pPr>
        <w:widowControl w:val="0"/>
        <w:autoSpaceDE w:val="0"/>
        <w:autoSpaceDN w:val="0"/>
        <w:spacing w:after="120" w:line="276" w:lineRule="auto"/>
        <w:ind w:firstLine="708"/>
        <w:jc w:val="both"/>
        <w:rPr>
          <w:rFonts w:ascii="Verdana" w:eastAsia="Arial MT" w:hAnsi="Verdana" w:cs="Arial"/>
          <w:color w:val="000000" w:themeColor="text1"/>
          <w:lang w:val="es-ES"/>
        </w:rPr>
      </w:pPr>
      <w:r w:rsidRPr="001C7CDF">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w:t>
      </w:r>
      <w:r w:rsidRPr="001C7CDF">
        <w:rPr>
          <w:rFonts w:ascii="Verdana" w:eastAsia="Calibri" w:hAnsi="Verdana" w:cs="Arial"/>
          <w:bCs/>
          <w:color w:val="000000" w:themeColor="text1"/>
        </w:rPr>
        <w:lastRenderedPageBreak/>
        <w:t>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2443EE0" w14:textId="007DD44B" w:rsidR="00C15139" w:rsidRPr="001C7CDF" w:rsidRDefault="00DA625A" w:rsidP="00DA625A">
      <w:pPr>
        <w:spacing w:after="240" w:line="276" w:lineRule="auto"/>
        <w:ind w:firstLine="709"/>
        <w:jc w:val="both"/>
        <w:rPr>
          <w:rFonts w:ascii="Verdana" w:hAnsi="Verdana" w:cs="Arial"/>
          <w:bCs/>
          <w:color w:val="000000" w:themeColor="text1"/>
        </w:rPr>
      </w:pPr>
      <w:r w:rsidRPr="001C7CDF">
        <w:rPr>
          <w:rFonts w:ascii="Verdana"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586D6CA6" w14:textId="77777777" w:rsidR="00191A34" w:rsidRPr="001C7CDF" w:rsidRDefault="00191A34" w:rsidP="00191A34">
      <w:pPr>
        <w:pStyle w:val="Prrafodelista"/>
        <w:numPr>
          <w:ilvl w:val="0"/>
          <w:numId w:val="18"/>
        </w:numPr>
        <w:tabs>
          <w:tab w:val="left" w:pos="142"/>
          <w:tab w:val="left" w:pos="284"/>
        </w:tabs>
        <w:spacing w:after="0" w:line="276" w:lineRule="auto"/>
        <w:ind w:left="360"/>
        <w:contextualSpacing w:val="0"/>
        <w:jc w:val="both"/>
        <w:rPr>
          <w:rFonts w:ascii="Verdana" w:eastAsia="Century Gothic" w:hAnsi="Verdana" w:cs="Century Gothic"/>
          <w:b/>
          <w:bCs/>
        </w:rPr>
      </w:pPr>
      <w:r w:rsidRPr="001C7CDF">
        <w:rPr>
          <w:rFonts w:ascii="Verdana" w:eastAsia="Century Gothic" w:hAnsi="Verdana" w:cs="Century Gothic"/>
          <w:b/>
          <w:bCs/>
        </w:rPr>
        <w:t>Referencias normativas, jurisprudenciales y otras fuentes:</w:t>
      </w:r>
    </w:p>
    <w:p w14:paraId="78EE087F" w14:textId="77777777" w:rsidR="00191A34" w:rsidRPr="001C7CDF" w:rsidRDefault="00191A34" w:rsidP="00191A34">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91A34" w:rsidRPr="001C7CDF" w14:paraId="69D4B156" w14:textId="77777777">
        <w:trPr>
          <w:trHeight w:val="870"/>
        </w:trPr>
        <w:tc>
          <w:tcPr>
            <w:tcW w:w="8647" w:type="dxa"/>
          </w:tcPr>
          <w:p w14:paraId="5EC8FB6D" w14:textId="7E835BB8" w:rsidR="00191A34" w:rsidRPr="001C7CDF" w:rsidRDefault="00B87059" w:rsidP="00191A34">
            <w:pPr>
              <w:pStyle w:val="Prrafodelista"/>
              <w:numPr>
                <w:ilvl w:val="0"/>
                <w:numId w:val="17"/>
              </w:numPr>
              <w:spacing w:line="276" w:lineRule="auto"/>
              <w:jc w:val="both"/>
              <w:rPr>
                <w:rFonts w:ascii="Verdana" w:hAnsi="Verdana" w:cs="Arial"/>
              </w:rPr>
            </w:pPr>
            <w:r w:rsidRPr="001C7CDF">
              <w:rPr>
                <w:rFonts w:ascii="Verdana" w:hAnsi="Verdana" w:cs="Arial"/>
              </w:rPr>
              <w:t>Código Civil. Artículo 1501</w:t>
            </w:r>
            <w:r w:rsidR="00191A34" w:rsidRPr="001C7CDF">
              <w:rPr>
                <w:rFonts w:ascii="Verdana" w:hAnsi="Verdana" w:cs="Arial"/>
              </w:rPr>
              <w:t xml:space="preserve"> </w:t>
            </w:r>
          </w:p>
          <w:p w14:paraId="4F00C06E" w14:textId="7C66F660" w:rsidR="00470F95" w:rsidRPr="001C7CDF" w:rsidRDefault="00470F95" w:rsidP="00191A34">
            <w:pPr>
              <w:pStyle w:val="Prrafodelista"/>
              <w:numPr>
                <w:ilvl w:val="0"/>
                <w:numId w:val="17"/>
              </w:numPr>
              <w:spacing w:line="276" w:lineRule="auto"/>
              <w:jc w:val="both"/>
              <w:rPr>
                <w:rFonts w:ascii="Verdana" w:hAnsi="Verdana" w:cs="Arial"/>
              </w:rPr>
            </w:pPr>
            <w:r w:rsidRPr="001C7CDF">
              <w:rPr>
                <w:rFonts w:ascii="Verdana" w:eastAsia="Calibri" w:hAnsi="Verdana" w:cs="Arial"/>
                <w:color w:val="000000"/>
                <w:lang w:eastAsia="en-GB"/>
              </w:rPr>
              <w:t>Ley 80 de 1993. Artículos 40 y 41.</w:t>
            </w:r>
          </w:p>
          <w:p w14:paraId="04BBFD63" w14:textId="72C77081" w:rsidR="00197F3D" w:rsidRPr="001C7CDF" w:rsidRDefault="00197F3D" w:rsidP="00191A34">
            <w:pPr>
              <w:pStyle w:val="Prrafodelista"/>
              <w:numPr>
                <w:ilvl w:val="0"/>
                <w:numId w:val="17"/>
              </w:numPr>
              <w:spacing w:line="276" w:lineRule="auto"/>
              <w:jc w:val="both"/>
              <w:rPr>
                <w:rFonts w:ascii="Verdana" w:hAnsi="Verdana" w:cs="Arial"/>
              </w:rPr>
            </w:pPr>
            <w:r w:rsidRPr="001C7CDF">
              <w:rPr>
                <w:rFonts w:ascii="Verdana" w:eastAsia="Calibri" w:hAnsi="Verdana" w:cs="Arial"/>
                <w:color w:val="000000" w:themeColor="text1"/>
                <w:lang w:eastAsia="en-GB"/>
              </w:rPr>
              <w:t>Ley 1150 de 2007. Artículos 7 y 23</w:t>
            </w:r>
          </w:p>
          <w:p w14:paraId="21ADC6F1" w14:textId="0151AF36" w:rsidR="00917F66" w:rsidRPr="001C7CDF" w:rsidRDefault="00917F66" w:rsidP="00191A34">
            <w:pPr>
              <w:pStyle w:val="Prrafodelista"/>
              <w:numPr>
                <w:ilvl w:val="0"/>
                <w:numId w:val="17"/>
              </w:numPr>
              <w:spacing w:line="276" w:lineRule="auto"/>
              <w:contextualSpacing w:val="0"/>
              <w:jc w:val="both"/>
              <w:rPr>
                <w:rFonts w:ascii="Verdana" w:hAnsi="Verdana" w:cs="Arial"/>
              </w:rPr>
            </w:pPr>
            <w:r w:rsidRPr="001C7CDF">
              <w:rPr>
                <w:rFonts w:ascii="Verdana" w:eastAsia="Calibri" w:hAnsi="Verdana" w:cs="Arial"/>
                <w:color w:val="000000" w:themeColor="text1"/>
                <w:lang w:eastAsia="en-GB"/>
              </w:rPr>
              <w:t>Decreto 1082 de 2015</w:t>
            </w:r>
            <w:r w:rsidR="00254FC8" w:rsidRPr="001C7CDF">
              <w:rPr>
                <w:rFonts w:ascii="Verdana" w:eastAsia="Calibri" w:hAnsi="Verdana" w:cs="Arial"/>
                <w:color w:val="000000" w:themeColor="text1"/>
                <w:lang w:eastAsia="en-GB"/>
              </w:rPr>
              <w:t xml:space="preserve">. Artículo </w:t>
            </w:r>
            <w:r w:rsidR="00254FC8" w:rsidRPr="001C7CDF">
              <w:rPr>
                <w:rFonts w:ascii="Verdana" w:eastAsia="Calibri" w:hAnsi="Verdana" w:cs="Arial"/>
                <w:bCs/>
                <w:lang w:eastAsia="es-ES_tradnl"/>
              </w:rPr>
              <w:t>2.2.1.2.3.1.12</w:t>
            </w:r>
          </w:p>
          <w:p w14:paraId="44776C28" w14:textId="77777777" w:rsidR="00E549FE" w:rsidRPr="001C7CDF" w:rsidRDefault="00D557D3" w:rsidP="00254FC8">
            <w:pPr>
              <w:pStyle w:val="Prrafodelista"/>
              <w:numPr>
                <w:ilvl w:val="0"/>
                <w:numId w:val="17"/>
              </w:numPr>
              <w:spacing w:line="276" w:lineRule="auto"/>
              <w:jc w:val="both"/>
              <w:rPr>
                <w:rFonts w:ascii="Verdana" w:hAnsi="Verdana" w:cs="Arial"/>
              </w:rPr>
            </w:pPr>
            <w:r w:rsidRPr="001C7CDF">
              <w:rPr>
                <w:rFonts w:ascii="Verdana" w:hAnsi="Verdana" w:cs="Arial"/>
              </w:rPr>
              <w:t>Consejo de Estado. Sección Tercera. Subsección C. Sentencia del 12 de agosto de 2014. Consejero Ponente: Enrique Gil Botero. Expediente: 28.565.</w:t>
            </w:r>
          </w:p>
          <w:p w14:paraId="66DA5594" w14:textId="77777777" w:rsidR="001365D9" w:rsidRPr="001C7CDF" w:rsidRDefault="001365D9" w:rsidP="00254FC8">
            <w:pPr>
              <w:pStyle w:val="Prrafodelista"/>
              <w:numPr>
                <w:ilvl w:val="0"/>
                <w:numId w:val="17"/>
              </w:numPr>
              <w:spacing w:line="276" w:lineRule="auto"/>
              <w:jc w:val="both"/>
              <w:rPr>
                <w:rFonts w:ascii="Verdana" w:hAnsi="Verdana" w:cs="Arial"/>
              </w:rPr>
            </w:pPr>
            <w:r w:rsidRPr="001C7CDF">
              <w:rPr>
                <w:rFonts w:ascii="Verdana" w:hAnsi="Verdana" w:cs="Arial"/>
              </w:rPr>
              <w:t>Consejo de Estado. Sección Tercera. Subsección A. Sentencia del 10 de julio de 2013. Consejero Ponente: Mauricio Fajardo Gómez. Expediente: 27.816.</w:t>
            </w:r>
          </w:p>
          <w:p w14:paraId="331E209E" w14:textId="77777777" w:rsidR="00C6074F" w:rsidRPr="001C7CDF" w:rsidRDefault="00C6074F" w:rsidP="00254FC8">
            <w:pPr>
              <w:pStyle w:val="Prrafodelista"/>
              <w:numPr>
                <w:ilvl w:val="0"/>
                <w:numId w:val="17"/>
              </w:numPr>
              <w:spacing w:line="276" w:lineRule="auto"/>
              <w:jc w:val="both"/>
              <w:rPr>
                <w:rFonts w:ascii="Verdana" w:hAnsi="Verdana" w:cs="Arial"/>
              </w:rPr>
            </w:pPr>
            <w:r w:rsidRPr="001C7CDF">
              <w:rPr>
                <w:rFonts w:ascii="Verdana" w:hAnsi="Verdana" w:cs="Arial"/>
              </w:rPr>
              <w:t>Consejo de Estado. Sección Tercera. Subsección B. Sentencia del 3 de abril de 2020. Consejero Ponente: Ramiro Pazos Guerrero. Expediente: 46.963.</w:t>
            </w:r>
          </w:p>
          <w:p w14:paraId="045F6719" w14:textId="45107811" w:rsidR="00D53E37" w:rsidRPr="001C7CDF" w:rsidRDefault="00D53E37" w:rsidP="00254FC8">
            <w:pPr>
              <w:pStyle w:val="Prrafodelista"/>
              <w:numPr>
                <w:ilvl w:val="0"/>
                <w:numId w:val="17"/>
              </w:numPr>
              <w:spacing w:line="276" w:lineRule="auto"/>
              <w:jc w:val="both"/>
              <w:rPr>
                <w:rFonts w:ascii="Verdana" w:hAnsi="Verdana" w:cs="Arial"/>
              </w:rPr>
            </w:pPr>
            <w:r w:rsidRPr="001C7CDF">
              <w:rPr>
                <w:rFonts w:ascii="Verdana" w:hAnsi="Verdana" w:cs="Arial"/>
              </w:rPr>
              <w:t xml:space="preserve">Consejo de Estado. Sección Tercera. Sentencia del 29 de julio de 2015. </w:t>
            </w:r>
            <w:r w:rsidR="00115698" w:rsidRPr="001C7CDF">
              <w:rPr>
                <w:rFonts w:ascii="Verdana" w:hAnsi="Verdana" w:cs="Arial"/>
              </w:rPr>
              <w:t>Expediente</w:t>
            </w:r>
            <w:r w:rsidRPr="001C7CDF">
              <w:rPr>
                <w:rFonts w:ascii="Verdana" w:hAnsi="Verdana" w:cs="Arial"/>
              </w:rPr>
              <w:t>. 42.494. C.P. Jaime Orlando Santofimio Gamboa.</w:t>
            </w:r>
          </w:p>
          <w:p w14:paraId="3F013096" w14:textId="2377EF51" w:rsidR="00EE5110" w:rsidRPr="001C7CDF" w:rsidRDefault="00EE5110" w:rsidP="00254FC8">
            <w:pPr>
              <w:pStyle w:val="Prrafodelista"/>
              <w:numPr>
                <w:ilvl w:val="0"/>
                <w:numId w:val="17"/>
              </w:numPr>
              <w:spacing w:line="276" w:lineRule="auto"/>
              <w:jc w:val="both"/>
              <w:rPr>
                <w:rFonts w:ascii="Verdana" w:hAnsi="Verdana" w:cs="Arial"/>
              </w:rPr>
            </w:pPr>
            <w:r w:rsidRPr="001C7CDF">
              <w:rPr>
                <w:rFonts w:ascii="Verdana" w:hAnsi="Verdana" w:cs="Arial"/>
              </w:rPr>
              <w:lastRenderedPageBreak/>
              <w:t xml:space="preserve">Consejo de Estado. Sección Tercera. Sentencia del 13 de septiembre de 1999. </w:t>
            </w:r>
            <w:r w:rsidR="00115698" w:rsidRPr="001C7CDF">
              <w:rPr>
                <w:rFonts w:ascii="Verdana" w:hAnsi="Verdana" w:cs="Arial"/>
              </w:rPr>
              <w:t>Expediente</w:t>
            </w:r>
            <w:r w:rsidRPr="001C7CDF">
              <w:rPr>
                <w:rFonts w:ascii="Verdana" w:hAnsi="Verdana" w:cs="Arial"/>
              </w:rPr>
              <w:t>. 10.264. C.P. Ricardo Hoyos Duque.</w:t>
            </w:r>
          </w:p>
          <w:p w14:paraId="0FCDEB9D" w14:textId="5613E92F" w:rsidR="00EE5110" w:rsidRPr="00816BB9" w:rsidRDefault="00816BB9" w:rsidP="000E141F">
            <w:pPr>
              <w:pStyle w:val="Prrafodelista"/>
              <w:numPr>
                <w:ilvl w:val="0"/>
                <w:numId w:val="17"/>
              </w:numPr>
              <w:spacing w:after="120" w:line="276" w:lineRule="auto"/>
              <w:jc w:val="both"/>
              <w:rPr>
                <w:rFonts w:ascii="Verdana" w:hAnsi="Verdana" w:cs="Arial"/>
                <w:lang w:val="es-CO"/>
              </w:rPr>
            </w:pPr>
            <w:r w:rsidRPr="00816BB9">
              <w:rPr>
                <w:rFonts w:ascii="Verdana" w:hAnsi="Verdana" w:cs="Arial"/>
                <w:lang w:val="es-CO"/>
              </w:rPr>
              <w:t>Guía de garantías en Procesos de Contratación</w:t>
            </w:r>
            <w:r>
              <w:rPr>
                <w:rFonts w:ascii="Verdana" w:hAnsi="Verdana" w:cs="Arial"/>
                <w:lang w:val="es-CO"/>
              </w:rPr>
              <w:t xml:space="preserve">. Disponible en el siguiente enlace: </w:t>
            </w:r>
            <w:hyperlink r:id="rId14" w:history="1">
              <w:r w:rsidR="000E141F">
                <w:rPr>
                  <w:rStyle w:val="Hipervnculo"/>
                  <w:rFonts w:ascii="Verdana" w:hAnsi="Verdana" w:cs="Arial"/>
                  <w:lang w:val="es-CO"/>
                </w:rPr>
                <w:t>Guía de garantías en Procesos de Contratación</w:t>
              </w:r>
            </w:hyperlink>
            <w:r w:rsidR="000E141F">
              <w:rPr>
                <w:rFonts w:ascii="Verdana" w:hAnsi="Verdana" w:cs="Arial"/>
                <w:lang w:val="es-CO"/>
              </w:rPr>
              <w:t xml:space="preserve"> </w:t>
            </w:r>
          </w:p>
        </w:tc>
      </w:tr>
    </w:tbl>
    <w:p w14:paraId="1FA41F23" w14:textId="77777777" w:rsidR="00191A34" w:rsidRPr="001C7CDF" w:rsidRDefault="00191A34" w:rsidP="00191A34">
      <w:pPr>
        <w:widowControl w:val="0"/>
        <w:autoSpaceDE w:val="0"/>
        <w:autoSpaceDN w:val="0"/>
        <w:spacing w:after="0" w:line="276" w:lineRule="auto"/>
        <w:jc w:val="both"/>
        <w:rPr>
          <w:rFonts w:ascii="Verdana" w:hAnsi="Verdana" w:cs="Arial"/>
        </w:rPr>
      </w:pPr>
    </w:p>
    <w:p w14:paraId="764B54F5" w14:textId="77777777" w:rsidR="00191A34" w:rsidRPr="001C7CDF" w:rsidRDefault="00191A34" w:rsidP="00191A34">
      <w:pPr>
        <w:pStyle w:val="Prrafodelista"/>
        <w:numPr>
          <w:ilvl w:val="0"/>
          <w:numId w:val="18"/>
        </w:numPr>
        <w:tabs>
          <w:tab w:val="left" w:pos="142"/>
          <w:tab w:val="left" w:pos="284"/>
        </w:tabs>
        <w:spacing w:after="0" w:line="276" w:lineRule="auto"/>
        <w:ind w:left="0" w:firstLine="0"/>
        <w:contextualSpacing w:val="0"/>
        <w:jc w:val="both"/>
        <w:rPr>
          <w:rFonts w:ascii="Verdana" w:eastAsia="Century Gothic" w:hAnsi="Verdana" w:cs="Arial"/>
          <w:b/>
          <w:bCs/>
        </w:rPr>
      </w:pPr>
      <w:r w:rsidRPr="001C7CDF">
        <w:rPr>
          <w:rFonts w:ascii="Verdana" w:eastAsia="Century Gothic" w:hAnsi="Verdana" w:cs="Arial"/>
          <w:b/>
          <w:bCs/>
        </w:rPr>
        <w:t>Doctrina de la Agencia Nacional de Contratación Pública:</w:t>
      </w:r>
    </w:p>
    <w:p w14:paraId="430733A3" w14:textId="77777777" w:rsidR="00191A34" w:rsidRPr="001C7CDF" w:rsidRDefault="00191A34" w:rsidP="00191A34">
      <w:pPr>
        <w:widowControl w:val="0"/>
        <w:autoSpaceDE w:val="0"/>
        <w:autoSpaceDN w:val="0"/>
        <w:spacing w:after="0" w:line="276" w:lineRule="auto"/>
        <w:jc w:val="both"/>
        <w:rPr>
          <w:rFonts w:ascii="Verdana" w:hAnsi="Verdana" w:cs="Arial"/>
          <w:highlight w:val="cyan"/>
        </w:rPr>
      </w:pPr>
    </w:p>
    <w:p w14:paraId="0654DF24" w14:textId="14B2AA63" w:rsidR="00191A34" w:rsidRPr="001C7CDF" w:rsidRDefault="009C6A9F" w:rsidP="00191A34">
      <w:pPr>
        <w:widowControl w:val="0"/>
        <w:autoSpaceDE w:val="0"/>
        <w:autoSpaceDN w:val="0"/>
        <w:spacing w:after="0" w:line="276" w:lineRule="auto"/>
        <w:jc w:val="both"/>
        <w:rPr>
          <w:rStyle w:val="normaltextrun"/>
          <w:rFonts w:ascii="Verdana" w:hAnsi="Verdana" w:cs="Arial"/>
          <w:bCs/>
          <w:shd w:val="clear" w:color="auto" w:fill="FFFFFF"/>
        </w:rPr>
      </w:pPr>
      <w:r w:rsidRPr="001C7CDF">
        <w:rPr>
          <w:rFonts w:ascii="Verdana" w:eastAsia="Calibri" w:hAnsi="Verdana" w:cs="Arial"/>
          <w:lang w:val="es-ES_tradnl" w:eastAsia="es-ES_tradnl"/>
        </w:rPr>
        <w:t>La Agencia Nacional de Contratación Pública – Colombia Compra Eficiente se ha pronunciado s</w:t>
      </w:r>
      <w:r w:rsidRPr="001C7CDF">
        <w:rPr>
          <w:rFonts w:ascii="Verdana" w:eastAsia="Calibri" w:hAnsi="Verdana" w:cs="Arial"/>
          <w:shd w:val="clear" w:color="auto" w:fill="FFFFFF"/>
          <w:lang w:val="es-ES"/>
        </w:rPr>
        <w:t>obre las garantías en la contratación estatal en los conceptos 2201913000009075 del 9 de diciembre de 2019, C-080 del 8 de abril de 2021, C-525 del 24 de septiembre de 2021, C-584 del 26 de septiembre de 2022 y C-066 del 21 de abril de 2024, entre otros. También se ha pronunciado sobre la liquidación de los contratos estatales en los conceptos 4201912000004908 del 27 de septiembre de 2019, CU-028 de 25 de febrero de 2020, C-221 de 21 de abril de 2020, C-078 del 17 de marzo de 2021, C-220 del 18 de mayo de 2021, C-548 del 5 de octubre de 2021 y C-739 del 29 de noviembre de 2022, C-144 del 9 de julio de 2024 y C-129 del 29 de julio de 2024, C-335 del 26 de agosto de 2024</w:t>
      </w:r>
      <w:r w:rsidRPr="001C7CDF">
        <w:rPr>
          <w:rFonts w:ascii="Verdana" w:eastAsia="Calibri" w:hAnsi="Verdana" w:cs="Arial"/>
          <w:shd w:val="clear" w:color="auto" w:fill="FFFFFF"/>
          <w:lang w:val="es-ES_tradnl"/>
        </w:rPr>
        <w:t xml:space="preserve">, Concepto c-078 de 2025, </w:t>
      </w:r>
      <w:r w:rsidRPr="001C7CDF">
        <w:rPr>
          <w:rFonts w:ascii="Verdana" w:eastAsia="Calibri" w:hAnsi="Verdana" w:cs="Arial"/>
          <w:lang w:val="es-ES_tradnl" w:eastAsia="es-ES"/>
        </w:rPr>
        <w:t>C-330 del 24 de abril de 2025 y C-</w:t>
      </w:r>
      <w:r w:rsidR="00AF4CEC" w:rsidRPr="001C7CDF">
        <w:rPr>
          <w:rFonts w:ascii="Verdana" w:hAnsi="Verdana"/>
        </w:rPr>
        <w:t xml:space="preserve"> </w:t>
      </w:r>
      <w:r w:rsidR="00AF4CEC" w:rsidRPr="001C7CDF">
        <w:rPr>
          <w:rFonts w:ascii="Verdana" w:eastAsia="Calibri" w:hAnsi="Verdana" w:cs="Arial"/>
          <w:lang w:val="es-ES_tradnl" w:eastAsia="es-ES"/>
        </w:rPr>
        <w:t>016 del 17 de febrero del 2026</w:t>
      </w:r>
      <w:r w:rsidRPr="001C7CDF">
        <w:rPr>
          <w:rFonts w:ascii="Verdana" w:eastAsia="Calibri" w:hAnsi="Verdana" w:cs="Arial"/>
          <w:lang w:val="es-ES_tradnl" w:eastAsia="es-ES"/>
        </w:rPr>
        <w:t xml:space="preserve">, </w:t>
      </w:r>
      <w:r w:rsidRPr="001C7CDF">
        <w:rPr>
          <w:rFonts w:ascii="Verdana" w:eastAsia="Calibri" w:hAnsi="Verdana" w:cs="Arial"/>
          <w:shd w:val="clear" w:color="auto" w:fill="FFFFFF"/>
          <w:lang w:val="es-ES"/>
        </w:rPr>
        <w:t>entre otros</w:t>
      </w:r>
      <w:r w:rsidRPr="001C7CDF">
        <w:rPr>
          <w:rStyle w:val="normaltextrun"/>
          <w:rFonts w:ascii="Verdana" w:hAnsi="Verdana" w:cs="Arial"/>
          <w:shd w:val="clear" w:color="auto" w:fill="FFFFFF"/>
          <w:lang w:val="es-ES"/>
        </w:rPr>
        <w:t xml:space="preserve">. </w:t>
      </w:r>
      <w:r w:rsidRPr="001C7CDF">
        <w:rPr>
          <w:rFonts w:ascii="Verdana" w:eastAsia="Calibri" w:hAnsi="Verdana" w:cs="Times New Roman"/>
        </w:rPr>
        <w:t>Estos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hyperlink r:id="rId15" w:history="1">
        <w:r w:rsidR="00191A34" w:rsidRPr="001C7CDF">
          <w:rPr>
            <w:rStyle w:val="Hipervnculo"/>
            <w:rFonts w:ascii="Verdana" w:hAnsi="Verdana" w:cs="Arial"/>
            <w:shd w:val="clear" w:color="auto" w:fill="FFFFFF"/>
          </w:rPr>
          <w:t>https://relatoria.colombiacompra.gov.co/busqueda/conceptos</w:t>
        </w:r>
      </w:hyperlink>
      <w:r w:rsidR="00191A34" w:rsidRPr="001C7CDF">
        <w:rPr>
          <w:rStyle w:val="normaltextrun"/>
          <w:rFonts w:ascii="Verdana" w:hAnsi="Verdana" w:cs="Arial"/>
          <w:shd w:val="clear" w:color="auto" w:fill="FFFFFF"/>
        </w:rPr>
        <w:t xml:space="preserve">. </w:t>
      </w:r>
      <w:r w:rsidR="00191A34" w:rsidRPr="001C7CDF">
        <w:rPr>
          <w:rStyle w:val="normaltextrun"/>
          <w:rFonts w:ascii="Verdana" w:hAnsi="Verdana" w:cs="Arial"/>
          <w:color w:val="FF0000"/>
          <w:shd w:val="clear" w:color="auto" w:fill="FFFFFF"/>
          <w:lang w:val="es-ES"/>
        </w:rPr>
        <w:t xml:space="preserve"> </w:t>
      </w:r>
    </w:p>
    <w:p w14:paraId="01012347" w14:textId="77777777" w:rsidR="00191A34" w:rsidRPr="001C7CDF" w:rsidRDefault="00191A34" w:rsidP="00191A34">
      <w:pPr>
        <w:widowControl w:val="0"/>
        <w:autoSpaceDE w:val="0"/>
        <w:autoSpaceDN w:val="0"/>
        <w:spacing w:after="0" w:line="276" w:lineRule="auto"/>
        <w:jc w:val="both"/>
        <w:rPr>
          <w:rStyle w:val="normaltextrun"/>
          <w:rFonts w:ascii="Verdana" w:hAnsi="Verdana" w:cs="Arial"/>
          <w:shd w:val="clear" w:color="auto" w:fill="FFFFFF"/>
        </w:rPr>
      </w:pPr>
    </w:p>
    <w:p w14:paraId="23B2FAF0" w14:textId="77777777" w:rsidR="00191A34" w:rsidRPr="001C7CDF" w:rsidRDefault="00191A34" w:rsidP="00191A34">
      <w:pPr>
        <w:widowControl w:val="0"/>
        <w:autoSpaceDE w:val="0"/>
        <w:autoSpaceDN w:val="0"/>
        <w:spacing w:after="0" w:line="276" w:lineRule="auto"/>
        <w:jc w:val="both"/>
        <w:rPr>
          <w:rFonts w:ascii="Verdana" w:hAnsi="Verdana"/>
        </w:rPr>
      </w:pPr>
      <w:r w:rsidRPr="001C7CDF">
        <w:rPr>
          <w:rFonts w:ascii="Verdana" w:hAnsi="Verdana" w:cs="Arial"/>
        </w:rPr>
        <w:t xml:space="preserve">La sostenibilidad no es una opción, es una obligación. Por ello, la Agencia Nacional de Contratación Pública –Colombia Compra Eficiente– te invita a realizar el </w:t>
      </w:r>
      <w:r w:rsidRPr="001C7CDF">
        <w:rPr>
          <w:rFonts w:ascii="Verdana" w:hAnsi="Verdana" w:cs="Arial"/>
          <w:b/>
          <w:bCs/>
        </w:rPr>
        <w:t>Curso de Contratación Pública Sostenible y Socialmente Responsable</w:t>
      </w:r>
      <w:r w:rsidRPr="001C7CDF">
        <w:rPr>
          <w:rFonts w:ascii="Verdana" w:hAnsi="Verdana" w:cs="Ari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1C7CDF">
        <w:rPr>
          <w:rFonts w:ascii="Verdana" w:hAnsi="Verdana" w:cs="Arial"/>
        </w:rPr>
        <w:br/>
      </w:r>
      <w:hyperlink r:id="rId16" w:tgtFrame="_new" w:history="1">
        <w:r w:rsidRPr="001C7CDF">
          <w:rPr>
            <w:rStyle w:val="Hipervnculo"/>
            <w:rFonts w:ascii="Verdana" w:hAnsi="Verdana" w:cs="Arial"/>
          </w:rPr>
          <w:t>https://formacionvirtual.colombiacompra.gov.co/mod/page/view.php?id=3718</w:t>
        </w:r>
      </w:hyperlink>
    </w:p>
    <w:p w14:paraId="2451A01C" w14:textId="77777777" w:rsidR="00191A34" w:rsidRPr="001C7CDF" w:rsidRDefault="00191A34" w:rsidP="00191A34">
      <w:pPr>
        <w:widowControl w:val="0"/>
        <w:autoSpaceDE w:val="0"/>
        <w:autoSpaceDN w:val="0"/>
        <w:spacing w:after="0" w:line="276" w:lineRule="auto"/>
        <w:jc w:val="both"/>
        <w:rPr>
          <w:rFonts w:ascii="Verdana" w:hAnsi="Verdana"/>
        </w:rPr>
      </w:pPr>
    </w:p>
    <w:p w14:paraId="6A7805C2" w14:textId="77777777" w:rsidR="00191A34" w:rsidRPr="001C7CDF" w:rsidRDefault="00191A34" w:rsidP="00191A34">
      <w:pPr>
        <w:widowControl w:val="0"/>
        <w:autoSpaceDE w:val="0"/>
        <w:autoSpaceDN w:val="0"/>
        <w:spacing w:after="0" w:line="276" w:lineRule="auto"/>
        <w:jc w:val="both"/>
        <w:rPr>
          <w:rFonts w:ascii="Verdana" w:hAnsi="Verdana"/>
        </w:rPr>
      </w:pPr>
      <w:r w:rsidRPr="001C7CDF">
        <w:rPr>
          <w:rFonts w:ascii="Verdana" w:hAnsi="Verdana" w:cs="Arial"/>
        </w:rPr>
        <w:t xml:space="preserve">De otro lado, te contamos que esta Agencia ha da un paso decisivo en la estandarización y modernización del </w:t>
      </w:r>
      <w:r w:rsidRPr="001C7CDF">
        <w:rPr>
          <w:rFonts w:ascii="Verdana" w:hAnsi="Verdana" w:cs="Arial"/>
          <w:b/>
          <w:bCs/>
        </w:rPr>
        <w:t>sector  social</w:t>
      </w:r>
      <w:r w:rsidRPr="001C7CDF">
        <w:rPr>
          <w:rFonts w:ascii="Verdana" w:hAnsi="Verdana" w:cs="Arial"/>
        </w:rPr>
        <w:t xml:space="preserve"> con la expedición de las </w:t>
      </w:r>
      <w:r w:rsidRPr="001C7CDF">
        <w:rPr>
          <w:rFonts w:ascii="Verdana" w:hAnsi="Verdana" w:cs="Arial"/>
          <w:b/>
          <w:bCs/>
        </w:rPr>
        <w:lastRenderedPageBreak/>
        <w:t>Resoluciones 539, 540, 541, 952 y 953 de 2025</w:t>
      </w:r>
      <w:r w:rsidRPr="001C7CDF">
        <w:rPr>
          <w:rFonts w:ascii="Verdana" w:hAnsi="Verdana" w:cs="Arial"/>
        </w:rPr>
        <w:t xml:space="preserve">, </w:t>
      </w:r>
      <w:r w:rsidRPr="001C7CDF">
        <w:rPr>
          <w:rFonts w:ascii="Verdana" w:hAnsi="Verdana" w:cs="Arial"/>
          <w:b/>
          <w:bCs/>
        </w:rPr>
        <w:t>mediante las cuales adoptó Documentos Tipo</w:t>
      </w:r>
      <w:r w:rsidRPr="001C7CDF">
        <w:rPr>
          <w:rFonts w:ascii="Verdana" w:hAnsi="Verdana" w:cs="Arial"/>
        </w:rPr>
        <w:t xml:space="preserve"> para las modalidades de selección de</w:t>
      </w:r>
      <w:r w:rsidRPr="001C7CDF">
        <w:rPr>
          <w:rFonts w:ascii="Verdana" w:hAnsi="Verdana" w:cs="Arial"/>
          <w:b/>
          <w:bCs/>
        </w:rPr>
        <w:t xml:space="preserve"> licitación pública (versión 2), selección abreviada de menor cuantía, mínima cuantía, consultoría e interventoría</w:t>
      </w:r>
      <w:r w:rsidRPr="001C7CDF">
        <w:rPr>
          <w:rFonts w:ascii="Verdana"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7" w:tgtFrame="_new" w:history="1">
        <w:r w:rsidRPr="001C7CDF">
          <w:rPr>
            <w:rStyle w:val="Hipervnculo"/>
            <w:rFonts w:ascii="Verdana" w:hAnsi="Verdana" w:cs="Arial"/>
          </w:rPr>
          <w:t>https://www.colombiacompra.gov.co/normativa-y-relatoria/documentos-tipo</w:t>
        </w:r>
      </w:hyperlink>
    </w:p>
    <w:p w14:paraId="1981D2C9" w14:textId="77777777" w:rsidR="00191A34" w:rsidRPr="001C7CDF" w:rsidRDefault="00191A34" w:rsidP="00191A34">
      <w:pPr>
        <w:widowControl w:val="0"/>
        <w:autoSpaceDE w:val="0"/>
        <w:autoSpaceDN w:val="0"/>
        <w:spacing w:after="0" w:line="276" w:lineRule="auto"/>
        <w:jc w:val="both"/>
        <w:rPr>
          <w:rFonts w:ascii="Verdana" w:hAnsi="Verdana" w:cs="Arial"/>
          <w:shd w:val="clear" w:color="auto" w:fill="FFFFFF"/>
        </w:rPr>
      </w:pPr>
    </w:p>
    <w:p w14:paraId="24802903" w14:textId="77777777" w:rsidR="00191A34" w:rsidRPr="001C7CDF" w:rsidRDefault="00191A34" w:rsidP="00191A34">
      <w:pPr>
        <w:spacing w:after="120" w:line="276" w:lineRule="auto"/>
        <w:jc w:val="both"/>
        <w:rPr>
          <w:rFonts w:ascii="Verdana" w:hAnsi="Verdana" w:cs="Arial"/>
        </w:rPr>
      </w:pPr>
      <w:r w:rsidRPr="001C7CDF">
        <w:rPr>
          <w:rFonts w:ascii="Verdana" w:hAnsi="Verdana" w:cs="Arial"/>
        </w:rPr>
        <w:t xml:space="preserve">Si quieres conocer más sobre la aplicación de Documentos Tipo puedes consultar la última versión de la </w:t>
      </w:r>
      <w:r w:rsidRPr="001C7CDF">
        <w:rPr>
          <w:rFonts w:ascii="Verdana" w:hAnsi="Verdana" w:cs="Arial"/>
          <w:b/>
          <w:bCs/>
        </w:rPr>
        <w:t>Guía para la comprensión e implementación de los Documentos Tipo de obra pública de infraestructura de transporte</w:t>
      </w:r>
      <w:r w:rsidRPr="001C7CDF">
        <w:rPr>
          <w:rFonts w:ascii="Verdana" w:hAnsi="Verdana" w:cs="Ari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1C7CDF">
        <w:rPr>
          <w:rFonts w:ascii="Verdana" w:hAnsi="Verdana" w:cs="Arial"/>
        </w:rPr>
        <w:br/>
      </w:r>
      <w:hyperlink r:id="rId18" w:tgtFrame="_new" w:history="1">
        <w:r w:rsidRPr="001C7CDF">
          <w:rPr>
            <w:rStyle w:val="Hipervnculo"/>
            <w:rFonts w:ascii="Verdana" w:hAnsi="Verdana" w:cs="Arial"/>
          </w:rPr>
          <w:t>https://www.colombiacompra.gov.co/archivos/manual/guia-para-la-comprension-e-implementacion-de-los-documentos-tipo-de-obra-publica-de-infraestructura-de-transporte-bajo-las-diferentes-modalidades-de-contratacion-vigentes</w:t>
        </w:r>
      </w:hyperlink>
    </w:p>
    <w:p w14:paraId="63B21036" w14:textId="77777777" w:rsidR="00191A34" w:rsidRPr="001C7CDF" w:rsidRDefault="00191A34" w:rsidP="00191A34">
      <w:pPr>
        <w:spacing w:after="0" w:line="276" w:lineRule="auto"/>
        <w:jc w:val="both"/>
        <w:rPr>
          <w:rFonts w:ascii="Verdana" w:hAnsi="Verdana" w:cs="Arial"/>
        </w:rPr>
      </w:pPr>
      <w:r w:rsidRPr="001C7CDF">
        <w:rPr>
          <w:rFonts w:ascii="Verdana" w:hAnsi="Verdana" w:cs="Arial"/>
        </w:rPr>
        <w:t xml:space="preserve">Por último, lo invitamos a seguirnos en las redes sociales en las cuales se difunde información institucional: </w:t>
      </w:r>
    </w:p>
    <w:p w14:paraId="4124C354" w14:textId="77777777" w:rsidR="00191A34" w:rsidRPr="001C7CDF" w:rsidRDefault="00191A34" w:rsidP="00191A34">
      <w:pPr>
        <w:spacing w:after="0" w:line="276" w:lineRule="auto"/>
        <w:jc w:val="both"/>
        <w:rPr>
          <w:rFonts w:ascii="Verdana" w:hAnsi="Verdana" w:cs="Arial"/>
        </w:rPr>
      </w:pPr>
    </w:p>
    <w:p w14:paraId="3A6653F1" w14:textId="77777777" w:rsidR="00191A34" w:rsidRPr="001C7CDF" w:rsidRDefault="00191A34" w:rsidP="00191A34">
      <w:pPr>
        <w:spacing w:after="0" w:line="276" w:lineRule="auto"/>
        <w:jc w:val="both"/>
        <w:rPr>
          <w:rFonts w:ascii="Verdana" w:hAnsi="Verdana" w:cs="Arial"/>
        </w:rPr>
      </w:pPr>
      <w:r w:rsidRPr="001C7CDF">
        <w:rPr>
          <w:rFonts w:ascii="Verdana" w:hAnsi="Verdana" w:cs="Arial"/>
        </w:rPr>
        <w:t xml:space="preserve">Twitter: </w:t>
      </w:r>
      <w:r w:rsidRPr="001C7CDF">
        <w:rPr>
          <w:rStyle w:val="Hipervnculo"/>
          <w:rFonts w:ascii="Verdana" w:hAnsi="Verdana" w:cs="Arial"/>
          <w:color w:val="4472C4" w:themeColor="accent1"/>
        </w:rPr>
        <w:t>@colombiacompra</w:t>
      </w:r>
      <w:r w:rsidRPr="001C7CDF">
        <w:rPr>
          <w:rFonts w:ascii="Verdana" w:hAnsi="Verdana" w:cs="Arial"/>
          <w:color w:val="4472C4" w:themeColor="accent1"/>
        </w:rPr>
        <w:t xml:space="preserve"> </w:t>
      </w:r>
    </w:p>
    <w:p w14:paraId="02AF2A02" w14:textId="77777777" w:rsidR="00191A34" w:rsidRPr="001C7CDF" w:rsidRDefault="00191A34" w:rsidP="00191A34">
      <w:pPr>
        <w:spacing w:after="0" w:line="276" w:lineRule="auto"/>
        <w:jc w:val="both"/>
        <w:rPr>
          <w:rFonts w:ascii="Verdana" w:hAnsi="Verdana" w:cs="Arial"/>
        </w:rPr>
      </w:pPr>
      <w:r w:rsidRPr="001C7CDF">
        <w:rPr>
          <w:rFonts w:ascii="Verdana" w:hAnsi="Verdana" w:cs="Arial"/>
        </w:rPr>
        <w:t xml:space="preserve">Facebook: </w:t>
      </w:r>
      <w:proofErr w:type="spellStart"/>
      <w:r w:rsidRPr="001C7CDF">
        <w:rPr>
          <w:rStyle w:val="Hipervnculo"/>
          <w:rFonts w:ascii="Verdana" w:hAnsi="Verdana" w:cs="Arial"/>
          <w:color w:val="4472C4" w:themeColor="accent1"/>
        </w:rPr>
        <w:t>ColombiaCompraEficiente</w:t>
      </w:r>
      <w:proofErr w:type="spellEnd"/>
    </w:p>
    <w:p w14:paraId="14EB3FF5" w14:textId="77777777" w:rsidR="00191A34" w:rsidRPr="001C7CDF" w:rsidRDefault="00191A34" w:rsidP="00191A34">
      <w:pPr>
        <w:spacing w:after="0" w:line="276" w:lineRule="auto"/>
        <w:jc w:val="both"/>
        <w:rPr>
          <w:rStyle w:val="Hipervnculo"/>
          <w:rFonts w:ascii="Verdana" w:hAnsi="Verdana" w:cs="Arial"/>
          <w:color w:val="4472C4" w:themeColor="accent1"/>
        </w:rPr>
      </w:pPr>
      <w:r w:rsidRPr="001C7CDF">
        <w:rPr>
          <w:rFonts w:ascii="Verdana" w:hAnsi="Verdana" w:cs="Arial"/>
        </w:rPr>
        <w:t xml:space="preserve">LinkedIn: </w:t>
      </w:r>
      <w:r w:rsidRPr="001C7CDF">
        <w:rPr>
          <w:rStyle w:val="Hipervnculo"/>
          <w:rFonts w:ascii="Verdana" w:hAnsi="Verdana" w:cs="Arial"/>
          <w:color w:val="4472C4" w:themeColor="accent1"/>
        </w:rPr>
        <w:t>Agencia Nacional de Contratación Pública - Colombia Compra Eficiente</w:t>
      </w:r>
      <w:r w:rsidRPr="001C7CDF">
        <w:rPr>
          <w:rFonts w:ascii="Verdana" w:hAnsi="Verdana" w:cs="Arial"/>
          <w:color w:val="4472C4" w:themeColor="accent1"/>
        </w:rPr>
        <w:t xml:space="preserve"> </w:t>
      </w:r>
      <w:r w:rsidRPr="001C7CDF">
        <w:rPr>
          <w:rFonts w:ascii="Verdana" w:hAnsi="Verdana" w:cs="Arial"/>
        </w:rPr>
        <w:t xml:space="preserve">Instagram: </w:t>
      </w:r>
      <w:r w:rsidRPr="001C7CDF">
        <w:rPr>
          <w:rStyle w:val="Hipervnculo"/>
          <w:rFonts w:ascii="Verdana" w:hAnsi="Verdana" w:cs="Arial"/>
          <w:color w:val="4472C4" w:themeColor="accent1"/>
        </w:rPr>
        <w:t>@colombiacompraeficiente_cce</w:t>
      </w:r>
    </w:p>
    <w:p w14:paraId="20015A72" w14:textId="77777777" w:rsidR="00191A34" w:rsidRPr="001C7CDF" w:rsidRDefault="00191A34" w:rsidP="00191A34">
      <w:pPr>
        <w:spacing w:after="0" w:line="276" w:lineRule="auto"/>
        <w:jc w:val="both"/>
        <w:rPr>
          <w:rStyle w:val="Hipervnculo"/>
          <w:rFonts w:ascii="Verdana" w:hAnsi="Verdana" w:cs="Arial"/>
          <w:color w:val="4472C4" w:themeColor="accent1"/>
        </w:rPr>
      </w:pPr>
    </w:p>
    <w:p w14:paraId="6EF799FC" w14:textId="77777777" w:rsidR="00191A34" w:rsidRPr="001C7CDF" w:rsidRDefault="00191A34" w:rsidP="00191A34">
      <w:pPr>
        <w:widowControl w:val="0"/>
        <w:autoSpaceDE w:val="0"/>
        <w:autoSpaceDN w:val="0"/>
        <w:spacing w:after="0" w:line="276" w:lineRule="auto"/>
        <w:jc w:val="both"/>
        <w:rPr>
          <w:rFonts w:ascii="Verdana" w:hAnsi="Verdana" w:cs="Arial"/>
          <w:lang w:val="es-ES_tradnl"/>
        </w:rPr>
      </w:pPr>
      <w:r w:rsidRPr="001C7CDF">
        <w:rPr>
          <w:rFonts w:ascii="Verdana" w:hAnsi="Verdana" w:cs="Arial"/>
        </w:rPr>
        <w:t xml:space="preserve">Este concepto tiene el alcance previsto en el artículo 28 del Código de Procedimiento Administrativo y de lo Contencioso Administrativo </w:t>
      </w:r>
      <w:r w:rsidRPr="001C7CDF">
        <w:rPr>
          <w:rFonts w:ascii="Verdana" w:hAnsi="Verdana" w:cs="Arial"/>
          <w:lang w:val="es-ES_tradnl"/>
        </w:rPr>
        <w:t>y las expresiones aquí utilizadas con mayúscula inicial deben ser entendidas con el significado que les otorga el artículo 2.2.1.1.1.3.1. del Decreto 1082 de 2015.</w:t>
      </w:r>
    </w:p>
    <w:p w14:paraId="2BDB38D5" w14:textId="77777777" w:rsidR="00191A34" w:rsidRPr="001C7CDF" w:rsidRDefault="00191A34" w:rsidP="00191A34">
      <w:pPr>
        <w:widowControl w:val="0"/>
        <w:autoSpaceDE w:val="0"/>
        <w:autoSpaceDN w:val="0"/>
        <w:spacing w:after="0" w:line="276" w:lineRule="auto"/>
        <w:jc w:val="both"/>
        <w:rPr>
          <w:rFonts w:ascii="Verdana" w:hAnsi="Verdana" w:cs="Arial"/>
        </w:rPr>
      </w:pPr>
    </w:p>
    <w:p w14:paraId="14200698" w14:textId="77777777" w:rsidR="00191A34" w:rsidRPr="001C7CDF" w:rsidRDefault="00191A34" w:rsidP="00191A34">
      <w:pPr>
        <w:spacing w:after="0" w:line="276" w:lineRule="auto"/>
        <w:jc w:val="both"/>
        <w:rPr>
          <w:rFonts w:ascii="Verdana" w:hAnsi="Verdana" w:cs="Arial"/>
          <w:lang w:eastAsia="es-CO"/>
        </w:rPr>
      </w:pPr>
      <w:r w:rsidRPr="001C7CDF">
        <w:rPr>
          <w:rFonts w:ascii="Verdana" w:eastAsia="Times New Roman" w:hAnsi="Verdana" w:cs="Arial"/>
          <w:lang w:eastAsia="es-CO"/>
        </w:rPr>
        <w:t>Atentamente,</w:t>
      </w:r>
      <w:r w:rsidRPr="001C7CDF">
        <w:rPr>
          <w:rFonts w:ascii="Verdana" w:hAnsi="Verdana" w:cs="Arial"/>
          <w:lang w:eastAsia="es-CO"/>
        </w:rPr>
        <w:t xml:space="preserve"> </w:t>
      </w:r>
    </w:p>
    <w:p w14:paraId="2BA9A613" w14:textId="01446488" w:rsidR="00191A34" w:rsidRPr="001C7CDF" w:rsidRDefault="000B48A3" w:rsidP="00191A34">
      <w:pPr>
        <w:spacing w:line="276" w:lineRule="auto"/>
        <w:jc w:val="center"/>
        <w:rPr>
          <w:rFonts w:ascii="Verdana" w:hAnsi="Verdana" w:cs="Arial"/>
          <w:color w:val="000000"/>
          <w:sz w:val="16"/>
          <w:szCs w:val="16"/>
          <w:lang w:val="es-ES_tradnl" w:eastAsia="es-CO"/>
        </w:rPr>
      </w:pPr>
      <w:r w:rsidRPr="004D5C25">
        <w:rPr>
          <w:rFonts w:ascii="Century Gothic" w:hAnsi="Century Gothic"/>
          <w:noProof/>
        </w:rPr>
        <w:lastRenderedPageBreak/>
        <w:drawing>
          <wp:inline distT="0" distB="0" distL="0" distR="0" wp14:anchorId="37D157A6" wp14:editId="751C5584">
            <wp:extent cx="3705742" cy="1590897"/>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9"/>
                    <a:stretch>
                      <a:fillRect/>
                    </a:stretch>
                  </pic:blipFill>
                  <pic:spPr>
                    <a:xfrm>
                      <a:off x="0" y="0"/>
                      <a:ext cx="3705742" cy="1590897"/>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91A34" w:rsidRPr="001C7CDF" w14:paraId="3FF9341B" w14:textId="77777777">
        <w:trPr>
          <w:trHeight w:val="315"/>
        </w:trPr>
        <w:tc>
          <w:tcPr>
            <w:tcW w:w="893" w:type="dxa"/>
            <w:vAlign w:val="center"/>
            <w:hideMark/>
          </w:tcPr>
          <w:p w14:paraId="2654EADD" w14:textId="77777777" w:rsidR="00191A34" w:rsidRPr="001C7CDF" w:rsidRDefault="00191A34">
            <w:pPr>
              <w:contextualSpacing/>
              <w:rPr>
                <w:rFonts w:ascii="Verdana" w:hAnsi="Verdana" w:cs="Arial"/>
                <w:sz w:val="16"/>
                <w:szCs w:val="16"/>
                <w:lang w:val="es-ES" w:eastAsia="es-ES"/>
              </w:rPr>
            </w:pPr>
            <w:r w:rsidRPr="001C7CDF">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2C2F076" w14:textId="77777777" w:rsidR="00191A34" w:rsidRPr="001C7CDF" w:rsidRDefault="00191A34">
            <w:pPr>
              <w:contextualSpacing/>
              <w:rPr>
                <w:rFonts w:ascii="Verdana" w:eastAsia="Arial" w:hAnsi="Verdana" w:cs="Arial"/>
                <w:sz w:val="16"/>
                <w:szCs w:val="16"/>
              </w:rPr>
            </w:pPr>
            <w:r w:rsidRPr="001C7CDF">
              <w:rPr>
                <w:rFonts w:ascii="Verdana" w:eastAsia="Arial" w:hAnsi="Verdana" w:cs="Arial"/>
                <w:sz w:val="16"/>
                <w:szCs w:val="16"/>
              </w:rPr>
              <w:t>Ana María Ortiz Ballesteros</w:t>
            </w:r>
          </w:p>
          <w:p w14:paraId="2B8F9FFB" w14:textId="77777777" w:rsidR="00191A34" w:rsidRPr="001C7CDF" w:rsidRDefault="00191A34">
            <w:pPr>
              <w:contextualSpacing/>
              <w:rPr>
                <w:rFonts w:ascii="Verdana" w:eastAsia="Arial" w:hAnsi="Verdana" w:cs="Arial"/>
                <w:sz w:val="16"/>
                <w:szCs w:val="16"/>
              </w:rPr>
            </w:pPr>
            <w:r w:rsidRPr="001C7CDF">
              <w:rPr>
                <w:rStyle w:val="normaltextrun"/>
                <w:rFonts w:ascii="Verdana" w:eastAsia="Arial" w:hAnsi="Verdana" w:cs="Arial"/>
                <w:sz w:val="16"/>
                <w:szCs w:val="16"/>
              </w:rPr>
              <w:t>C</w:t>
            </w:r>
            <w:r w:rsidRPr="001C7CDF">
              <w:rPr>
                <w:rStyle w:val="normaltextrun"/>
                <w:rFonts w:ascii="Verdana" w:hAnsi="Verdana"/>
                <w:sz w:val="16"/>
                <w:szCs w:val="16"/>
              </w:rPr>
              <w:t>ontratista</w:t>
            </w:r>
            <w:r w:rsidRPr="001C7CDF">
              <w:rPr>
                <w:rStyle w:val="normaltextrun"/>
                <w:rFonts w:ascii="Verdana" w:eastAsia="Arial" w:hAnsi="Verdana" w:cs="Arial"/>
                <w:sz w:val="16"/>
                <w:szCs w:val="16"/>
              </w:rPr>
              <w:t xml:space="preserve"> de la Subdirección de Gestión Contractual</w:t>
            </w:r>
          </w:p>
        </w:tc>
      </w:tr>
      <w:tr w:rsidR="00191A34" w:rsidRPr="001C7CDF" w14:paraId="6942A185" w14:textId="77777777">
        <w:trPr>
          <w:trHeight w:val="330"/>
        </w:trPr>
        <w:tc>
          <w:tcPr>
            <w:tcW w:w="893" w:type="dxa"/>
            <w:vAlign w:val="center"/>
            <w:hideMark/>
          </w:tcPr>
          <w:p w14:paraId="5650B411" w14:textId="77777777" w:rsidR="00191A34" w:rsidRPr="001C7CDF" w:rsidRDefault="00191A34">
            <w:pPr>
              <w:contextualSpacing/>
              <w:rPr>
                <w:rFonts w:ascii="Verdana" w:hAnsi="Verdana" w:cs="Arial"/>
                <w:sz w:val="16"/>
                <w:szCs w:val="16"/>
                <w:lang w:val="es-ES" w:eastAsia="es-ES"/>
              </w:rPr>
            </w:pPr>
            <w:r w:rsidRPr="001C7CDF">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118DC38" w14:textId="77777777" w:rsidR="00191A34" w:rsidRPr="001C7CDF" w:rsidRDefault="00191A34">
            <w:pPr>
              <w:pStyle w:val="paragraph"/>
              <w:spacing w:before="0" w:beforeAutospacing="0" w:after="0" w:afterAutospacing="0"/>
              <w:contextualSpacing/>
              <w:textAlignment w:val="baseline"/>
              <w:rPr>
                <w:rFonts w:ascii="Verdana" w:hAnsi="Verdana" w:cs="Arial"/>
                <w:sz w:val="16"/>
                <w:szCs w:val="16"/>
              </w:rPr>
            </w:pPr>
            <w:r w:rsidRPr="001C7CDF">
              <w:rPr>
                <w:rFonts w:ascii="Verdana" w:hAnsi="Verdana" w:cs="Arial"/>
                <w:sz w:val="16"/>
                <w:szCs w:val="16"/>
              </w:rPr>
              <w:t>Diana Lucia Saavedra Castañeda</w:t>
            </w:r>
          </w:p>
          <w:p w14:paraId="61C54DB2" w14:textId="77777777" w:rsidR="00191A34" w:rsidRPr="001C7CDF" w:rsidRDefault="00191A34">
            <w:pPr>
              <w:pStyle w:val="paragraph"/>
              <w:spacing w:before="0" w:beforeAutospacing="0" w:after="0" w:afterAutospacing="0"/>
              <w:contextualSpacing/>
              <w:textAlignment w:val="baseline"/>
              <w:rPr>
                <w:rFonts w:ascii="Verdana" w:hAnsi="Verdana" w:cs="Arial"/>
                <w:sz w:val="16"/>
                <w:szCs w:val="16"/>
              </w:rPr>
            </w:pPr>
            <w:r w:rsidRPr="001C7CDF">
              <w:rPr>
                <w:rStyle w:val="normaltextrun"/>
                <w:rFonts w:ascii="Verdana" w:eastAsia="Arial" w:hAnsi="Verdana" w:cs="Arial"/>
                <w:sz w:val="16"/>
                <w:szCs w:val="16"/>
              </w:rPr>
              <w:t>C</w:t>
            </w:r>
            <w:r w:rsidRPr="001C7CDF">
              <w:rPr>
                <w:rStyle w:val="normaltextrun"/>
                <w:rFonts w:ascii="Verdana" w:hAnsi="Verdana"/>
                <w:sz w:val="16"/>
                <w:szCs w:val="16"/>
              </w:rPr>
              <w:t>ontratista</w:t>
            </w:r>
            <w:r w:rsidRPr="001C7CDF">
              <w:rPr>
                <w:rStyle w:val="normaltextrun"/>
                <w:rFonts w:ascii="Verdana" w:eastAsia="Arial" w:hAnsi="Verdana" w:cs="Arial"/>
                <w:sz w:val="16"/>
                <w:szCs w:val="16"/>
              </w:rPr>
              <w:t xml:space="preserve"> de la Subdirección de Gestión Contractual</w:t>
            </w:r>
          </w:p>
        </w:tc>
      </w:tr>
      <w:tr w:rsidR="00191A34" w:rsidRPr="001C7CDF" w14:paraId="5AC93F89" w14:textId="77777777">
        <w:trPr>
          <w:trHeight w:val="300"/>
        </w:trPr>
        <w:tc>
          <w:tcPr>
            <w:tcW w:w="893" w:type="dxa"/>
            <w:vAlign w:val="center"/>
          </w:tcPr>
          <w:p w14:paraId="3C3B4ED2" w14:textId="77777777" w:rsidR="00191A34" w:rsidRPr="001C7CDF" w:rsidRDefault="00191A34">
            <w:pPr>
              <w:contextualSpacing/>
              <w:rPr>
                <w:rFonts w:ascii="Verdana" w:hAnsi="Verdana" w:cs="Arial"/>
                <w:sz w:val="16"/>
                <w:szCs w:val="16"/>
                <w:lang w:val="es-ES" w:eastAsia="es-ES"/>
              </w:rPr>
            </w:pPr>
            <w:r w:rsidRPr="001C7CDF">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A4BB085" w14:textId="77777777" w:rsidR="00191A34" w:rsidRPr="001C7CDF" w:rsidRDefault="00191A34">
            <w:pPr>
              <w:contextualSpacing/>
              <w:rPr>
                <w:rFonts w:ascii="Verdana" w:eastAsia="Calibri" w:hAnsi="Verdana" w:cs="Arial"/>
                <w:sz w:val="16"/>
                <w:szCs w:val="16"/>
                <w:lang w:val="pt-BR" w:eastAsia="es-ES"/>
              </w:rPr>
            </w:pPr>
            <w:r w:rsidRPr="001C7CDF">
              <w:rPr>
                <w:rFonts w:ascii="Verdana" w:eastAsia="Calibri" w:hAnsi="Verdana" w:cs="Arial"/>
                <w:sz w:val="16"/>
                <w:szCs w:val="16"/>
                <w:lang w:val="pt-BR" w:eastAsia="es-ES"/>
              </w:rPr>
              <w:t>Carolina Quintero Gacharná</w:t>
            </w:r>
          </w:p>
          <w:p w14:paraId="54BFBD2D" w14:textId="77777777" w:rsidR="00191A34" w:rsidRPr="001C7CDF" w:rsidRDefault="00191A34">
            <w:pPr>
              <w:contextualSpacing/>
              <w:rPr>
                <w:rFonts w:ascii="Verdana" w:eastAsia="Calibri" w:hAnsi="Verdana" w:cs="Arial"/>
                <w:sz w:val="16"/>
                <w:szCs w:val="16"/>
                <w:lang w:val="pt-BR" w:eastAsia="es-ES"/>
              </w:rPr>
            </w:pPr>
            <w:r w:rsidRPr="001C7CDF">
              <w:rPr>
                <w:rFonts w:ascii="Verdana" w:eastAsia="Calibri" w:hAnsi="Verdana" w:cs="Arial"/>
                <w:sz w:val="16"/>
                <w:szCs w:val="16"/>
                <w:lang w:eastAsia="es-ES"/>
              </w:rPr>
              <w:t>Subdirectora</w:t>
            </w:r>
            <w:r w:rsidRPr="001C7CDF">
              <w:rPr>
                <w:rFonts w:ascii="Verdana" w:eastAsia="Calibri" w:hAnsi="Verdana" w:cs="Arial"/>
                <w:sz w:val="16"/>
                <w:szCs w:val="16"/>
                <w:lang w:val="pt-BR" w:eastAsia="es-ES"/>
              </w:rPr>
              <w:t xml:space="preserve"> de Gestión Contractual ANCP – CCE</w:t>
            </w:r>
          </w:p>
        </w:tc>
      </w:tr>
    </w:tbl>
    <w:p w14:paraId="69BC4D14" w14:textId="1C51A4E9" w:rsidR="00C15139" w:rsidRPr="001C7CDF" w:rsidRDefault="00C15139" w:rsidP="30821638">
      <w:pPr>
        <w:spacing w:after="0" w:line="240" w:lineRule="auto"/>
        <w:textAlignment w:val="baseline"/>
        <w:rPr>
          <w:rFonts w:ascii="Verdana" w:eastAsia="Verdana" w:hAnsi="Verdana" w:cs="Verdana"/>
          <w:lang w:eastAsia="es-CO"/>
        </w:rPr>
      </w:pPr>
      <w:r w:rsidRPr="001C7CDF">
        <w:rPr>
          <w:rFonts w:ascii="Verdana" w:eastAsia="Verdana" w:hAnsi="Verdana" w:cs="Verdana"/>
          <w:lang w:eastAsia="es-CO"/>
        </w:rPr>
        <w:t> </w:t>
      </w:r>
      <w:bookmarkEnd w:id="0"/>
    </w:p>
    <w:sectPr w:rsidR="00C15139" w:rsidRPr="001C7CDF"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03C36" w14:textId="77777777" w:rsidR="00811ACD" w:rsidRDefault="00811ACD" w:rsidP="004A1847">
      <w:pPr>
        <w:spacing w:after="0" w:line="240" w:lineRule="auto"/>
      </w:pPr>
      <w:r>
        <w:separator/>
      </w:r>
    </w:p>
  </w:endnote>
  <w:endnote w:type="continuationSeparator" w:id="0">
    <w:p w14:paraId="7ABDEF58" w14:textId="77777777" w:rsidR="00811ACD" w:rsidRDefault="00811AC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4B02" w14:textId="77777777" w:rsidR="00811ACD" w:rsidRDefault="00811ACD" w:rsidP="004A1847">
      <w:pPr>
        <w:spacing w:after="0" w:line="240" w:lineRule="auto"/>
      </w:pPr>
      <w:r>
        <w:separator/>
      </w:r>
    </w:p>
  </w:footnote>
  <w:footnote w:type="continuationSeparator" w:id="0">
    <w:p w14:paraId="099F5534" w14:textId="77777777" w:rsidR="00811ACD" w:rsidRDefault="00811ACD" w:rsidP="004A1847">
      <w:pPr>
        <w:spacing w:after="0" w:line="240" w:lineRule="auto"/>
      </w:pPr>
      <w:r>
        <w:continuationSeparator/>
      </w:r>
    </w:p>
  </w:footnote>
  <w:footnote w:id="1">
    <w:p w14:paraId="030F8754" w14:textId="47800CD5" w:rsidR="00AF3113" w:rsidRDefault="00AF3113" w:rsidP="007E30F9">
      <w:pPr>
        <w:spacing w:after="0" w:line="240" w:lineRule="auto"/>
        <w:ind w:firstLine="709"/>
        <w:jc w:val="both"/>
        <w:rPr>
          <w:rFonts w:ascii="Verdana" w:hAnsi="Verdana" w:cs="Arial"/>
          <w:sz w:val="16"/>
          <w:szCs w:val="16"/>
          <w:lang w:val="es-ES"/>
        </w:rPr>
      </w:pPr>
      <w:r w:rsidRPr="00343B1A">
        <w:rPr>
          <w:rStyle w:val="Refdenotaalpie"/>
          <w:rFonts w:ascii="Verdana" w:hAnsi="Verdana" w:cs="Arial"/>
          <w:sz w:val="16"/>
          <w:szCs w:val="16"/>
        </w:rPr>
        <w:footnoteRef/>
      </w:r>
      <w:r w:rsidRPr="00343B1A">
        <w:rPr>
          <w:rFonts w:ascii="Verdana" w:hAnsi="Verdana" w:cs="Arial"/>
          <w:sz w:val="16"/>
          <w:szCs w:val="16"/>
        </w:rPr>
        <w:t xml:space="preserve"> </w:t>
      </w:r>
      <w:r w:rsidRPr="00343B1A">
        <w:rPr>
          <w:rFonts w:ascii="Verdana" w:hAnsi="Verdana" w:cs="Arial"/>
          <w:sz w:val="16"/>
          <w:szCs w:val="16"/>
          <w:lang w:val="es-ES"/>
        </w:rPr>
        <w:t>En efecto, este enunciado normativo establece: “Se distinguen en cada contrato las cosas que son de su esencia, las que son de su naturaleza, y las puramente accidentales. Son de la esencia de un contrato aquellas cosas sin las cuales, o no produce efecto alguno, o degeneran en otro contrato diferente; son de la naturaleza de un contrato las que no siendo esenciales en él, se entienden pertenecerle, sin necesidad de una cláusula especial; y son accidentales a un contrato aquellas que ni esencial ni naturalmente le pertenecen, y que se le agregan por medio de cláusulas especiales”.</w:t>
      </w:r>
    </w:p>
    <w:p w14:paraId="1D252006" w14:textId="77777777" w:rsidR="00F73741" w:rsidRPr="00343B1A" w:rsidRDefault="00F73741" w:rsidP="007E30F9">
      <w:pPr>
        <w:spacing w:after="0" w:line="240" w:lineRule="auto"/>
        <w:ind w:firstLine="709"/>
        <w:jc w:val="both"/>
        <w:rPr>
          <w:rFonts w:ascii="Verdana" w:hAnsi="Verdana" w:cs="Arial"/>
          <w:sz w:val="16"/>
          <w:szCs w:val="16"/>
          <w:lang w:val="es-ES"/>
        </w:rPr>
      </w:pPr>
    </w:p>
  </w:footnote>
  <w:footnote w:id="2">
    <w:p w14:paraId="05C7663B" w14:textId="77777777" w:rsidR="00AF3113" w:rsidRPr="00343B1A" w:rsidRDefault="00AF3113" w:rsidP="00AF3113">
      <w:pPr>
        <w:spacing w:after="0" w:line="240" w:lineRule="auto"/>
        <w:ind w:firstLine="709"/>
        <w:jc w:val="both"/>
        <w:rPr>
          <w:rFonts w:ascii="Verdana" w:hAnsi="Verdana" w:cs="Arial"/>
          <w:sz w:val="16"/>
          <w:szCs w:val="16"/>
          <w:lang w:val="es-ES"/>
        </w:rPr>
      </w:pPr>
      <w:r w:rsidRPr="00343B1A">
        <w:rPr>
          <w:rStyle w:val="Refdenotaalpie"/>
          <w:rFonts w:ascii="Verdana" w:hAnsi="Verdana" w:cs="Arial"/>
          <w:sz w:val="16"/>
          <w:szCs w:val="16"/>
        </w:rPr>
        <w:footnoteRef/>
      </w:r>
      <w:r w:rsidRPr="00343B1A">
        <w:rPr>
          <w:rFonts w:ascii="Verdana" w:hAnsi="Verdana" w:cs="Arial"/>
          <w:sz w:val="16"/>
          <w:szCs w:val="16"/>
        </w:rPr>
        <w:t xml:space="preserve"> </w:t>
      </w:r>
      <w:r w:rsidRPr="00343B1A">
        <w:rPr>
          <w:rFonts w:ascii="Verdana" w:hAnsi="Verdana" w:cs="Arial"/>
          <w:sz w:val="16"/>
          <w:szCs w:val="16"/>
          <w:lang w:val="es-ES"/>
        </w:rPr>
        <w:t>En efecto, el artículo 1.500 del Código Civil expresa: “El contrato es real cuando, para que sea perfecto, es necesaria la tradición de la cosa a que se refiere; es solemne cuando está sujeto a la observancia de ciertas formalidades especiales, de manera que sin ellas no produce ningún efecto civil; y es consensual cuando se perfecciona por el solo consentimiento”.</w:t>
      </w:r>
    </w:p>
    <w:p w14:paraId="4DA98834" w14:textId="77777777" w:rsidR="00AF3113" w:rsidRPr="00343B1A" w:rsidRDefault="00AF3113" w:rsidP="00AF3113">
      <w:pPr>
        <w:pStyle w:val="Textonotapie"/>
        <w:ind w:firstLine="709"/>
        <w:jc w:val="both"/>
        <w:rPr>
          <w:rFonts w:ascii="Verdana" w:hAnsi="Verdana" w:cs="Arial"/>
          <w:sz w:val="16"/>
          <w:szCs w:val="16"/>
          <w:lang w:val="es-CO"/>
        </w:rPr>
      </w:pPr>
    </w:p>
  </w:footnote>
  <w:footnote w:id="3">
    <w:p w14:paraId="1CD47F7C" w14:textId="541549E2" w:rsidR="00AF3113" w:rsidRDefault="00AF3113" w:rsidP="005B5E01">
      <w:pPr>
        <w:pStyle w:val="Textonotapie"/>
        <w:ind w:firstLine="709"/>
        <w:jc w:val="both"/>
        <w:rPr>
          <w:rFonts w:ascii="Verdana" w:hAnsi="Verdana" w:cs="Arial"/>
          <w:sz w:val="16"/>
          <w:szCs w:val="16"/>
          <w:lang w:val="es-ES"/>
        </w:rPr>
      </w:pPr>
      <w:r w:rsidRPr="00343B1A">
        <w:rPr>
          <w:rStyle w:val="Refdenotaalpie"/>
          <w:rFonts w:ascii="Verdana" w:hAnsi="Verdana" w:cs="Arial"/>
          <w:sz w:val="16"/>
          <w:szCs w:val="16"/>
        </w:rPr>
        <w:footnoteRef/>
      </w:r>
      <w:r w:rsidRPr="00343B1A">
        <w:rPr>
          <w:rFonts w:ascii="Verdana" w:hAnsi="Verdana" w:cs="Arial"/>
          <w:sz w:val="16"/>
          <w:szCs w:val="16"/>
        </w:rPr>
        <w:t xml:space="preserve"> </w:t>
      </w:r>
      <w:r w:rsidRPr="00343B1A">
        <w:rPr>
          <w:rFonts w:ascii="Verdana" w:hAnsi="Verdana" w:cs="Arial"/>
          <w:sz w:val="16"/>
          <w:szCs w:val="16"/>
          <w:lang w:val="es-ES"/>
        </w:rPr>
        <w:t>EXPÓSITO VÉLEZ, Juan Carlos. Forma y contenido del contrato estatal. Bogotá: Universidad Externado de Colombia, 2013. pp. 28-29.</w:t>
      </w:r>
    </w:p>
    <w:p w14:paraId="66BA0ED6" w14:textId="77777777" w:rsidR="00F73741" w:rsidRPr="00343B1A" w:rsidRDefault="00F73741" w:rsidP="005B5E01">
      <w:pPr>
        <w:pStyle w:val="Textonotapie"/>
        <w:ind w:firstLine="709"/>
        <w:jc w:val="both"/>
        <w:rPr>
          <w:rFonts w:ascii="Verdana" w:hAnsi="Verdana" w:cs="Arial"/>
          <w:sz w:val="16"/>
          <w:szCs w:val="16"/>
          <w:lang w:val="es-ES"/>
        </w:rPr>
      </w:pPr>
    </w:p>
  </w:footnote>
  <w:footnote w:id="4">
    <w:p w14:paraId="1F2B7E42" w14:textId="77777777" w:rsidR="00AF3113" w:rsidRPr="00343B1A" w:rsidRDefault="00AF3113" w:rsidP="00AF3113">
      <w:pPr>
        <w:pStyle w:val="Textonotapie"/>
        <w:ind w:firstLine="709"/>
        <w:jc w:val="both"/>
        <w:rPr>
          <w:rFonts w:ascii="Verdana" w:hAnsi="Verdana" w:cs="Arial"/>
          <w:iCs/>
          <w:sz w:val="16"/>
          <w:szCs w:val="16"/>
        </w:rPr>
      </w:pPr>
      <w:r w:rsidRPr="00343B1A">
        <w:rPr>
          <w:rStyle w:val="Refdenotaalpie"/>
          <w:rFonts w:ascii="Verdana" w:hAnsi="Verdana" w:cs="Arial"/>
          <w:sz w:val="16"/>
          <w:szCs w:val="16"/>
        </w:rPr>
        <w:footnoteRef/>
      </w:r>
      <w:r w:rsidRPr="00343B1A">
        <w:rPr>
          <w:rFonts w:ascii="Verdana" w:hAnsi="Verdana" w:cs="Arial"/>
          <w:sz w:val="16"/>
          <w:szCs w:val="16"/>
        </w:rPr>
        <w:t xml:space="preserve"> </w:t>
      </w:r>
      <w:r w:rsidRPr="00343B1A">
        <w:rPr>
          <w:rFonts w:ascii="Verdana" w:hAnsi="Verdana" w:cs="Arial"/>
          <w:sz w:val="16"/>
          <w:szCs w:val="16"/>
          <w:lang w:val="es-ES"/>
        </w:rPr>
        <w:t xml:space="preserve">Consejo de Estado. Sección Tercera. Subsección C. Sentencia del 12 de agosto de 2014. Consejero Ponente: Enrique Gil Botero. Expediente: </w:t>
      </w:r>
      <w:r w:rsidRPr="00343B1A">
        <w:rPr>
          <w:rFonts w:ascii="Verdana" w:hAnsi="Verdana" w:cs="Arial"/>
          <w:sz w:val="16"/>
          <w:szCs w:val="16"/>
        </w:rPr>
        <w:t>28.565.</w:t>
      </w:r>
    </w:p>
    <w:p w14:paraId="62976505" w14:textId="77777777" w:rsidR="00AF3113" w:rsidRPr="00343B1A" w:rsidRDefault="00AF3113" w:rsidP="00AF3113">
      <w:pPr>
        <w:pStyle w:val="Textonotapie"/>
        <w:ind w:firstLine="709"/>
        <w:jc w:val="both"/>
        <w:rPr>
          <w:rFonts w:ascii="Verdana" w:hAnsi="Verdana" w:cs="Arial"/>
          <w:sz w:val="16"/>
          <w:szCs w:val="16"/>
          <w:lang w:val="es-ES"/>
        </w:rPr>
      </w:pPr>
    </w:p>
  </w:footnote>
  <w:footnote w:id="5">
    <w:p w14:paraId="650B4FC0" w14:textId="77777777" w:rsidR="00AF3113" w:rsidRPr="00343B1A" w:rsidRDefault="00AF3113" w:rsidP="00AF3113">
      <w:pPr>
        <w:pStyle w:val="Textonotapie"/>
        <w:ind w:firstLine="709"/>
        <w:jc w:val="both"/>
        <w:rPr>
          <w:rFonts w:ascii="Verdana" w:hAnsi="Verdana" w:cs="Arial"/>
          <w:sz w:val="16"/>
          <w:szCs w:val="16"/>
          <w:lang w:val="es-ES"/>
        </w:rPr>
      </w:pPr>
      <w:r w:rsidRPr="00343B1A">
        <w:rPr>
          <w:rStyle w:val="Refdenotaalpie"/>
          <w:rFonts w:ascii="Verdana" w:hAnsi="Verdana" w:cs="Arial"/>
          <w:sz w:val="16"/>
          <w:szCs w:val="16"/>
        </w:rPr>
        <w:footnoteRef/>
      </w:r>
      <w:r w:rsidRPr="00343B1A">
        <w:rPr>
          <w:rFonts w:ascii="Verdana" w:hAnsi="Verdana" w:cs="Arial"/>
          <w:sz w:val="16"/>
          <w:szCs w:val="16"/>
        </w:rPr>
        <w:t xml:space="preserve"> </w:t>
      </w:r>
      <w:r w:rsidRPr="00343B1A">
        <w:rPr>
          <w:rFonts w:ascii="Verdana" w:hAnsi="Verdana" w:cs="Arial"/>
          <w:sz w:val="16"/>
          <w:szCs w:val="16"/>
          <w:lang w:val="es-ES"/>
        </w:rPr>
        <w:t>Expósito, Op.cit., p. 79.</w:t>
      </w:r>
    </w:p>
    <w:p w14:paraId="7DFF57E8" w14:textId="77777777" w:rsidR="00AF3113" w:rsidRPr="00343B1A" w:rsidRDefault="00AF3113" w:rsidP="00AF3113">
      <w:pPr>
        <w:pStyle w:val="Textonotapie"/>
        <w:ind w:firstLine="709"/>
        <w:jc w:val="both"/>
        <w:rPr>
          <w:rFonts w:ascii="Verdana" w:hAnsi="Verdana" w:cs="Arial"/>
          <w:sz w:val="16"/>
          <w:szCs w:val="16"/>
          <w:lang w:val="es-ES"/>
        </w:rPr>
      </w:pPr>
    </w:p>
  </w:footnote>
  <w:footnote w:id="6">
    <w:p w14:paraId="6A763EBE" w14:textId="650B3FED" w:rsidR="00AF3113" w:rsidRDefault="00AF3113" w:rsidP="0069247A">
      <w:pPr>
        <w:pStyle w:val="Textonotapie"/>
        <w:ind w:firstLine="709"/>
        <w:jc w:val="both"/>
        <w:rPr>
          <w:rFonts w:ascii="Verdana" w:hAnsi="Verdana" w:cs="Arial"/>
          <w:sz w:val="16"/>
          <w:szCs w:val="16"/>
          <w:lang w:val="es-ES"/>
        </w:rPr>
      </w:pPr>
      <w:r w:rsidRPr="00343B1A">
        <w:rPr>
          <w:rStyle w:val="Refdenotaalpie"/>
          <w:rFonts w:ascii="Verdana" w:hAnsi="Verdana" w:cs="Arial"/>
          <w:sz w:val="16"/>
          <w:szCs w:val="16"/>
        </w:rPr>
        <w:footnoteRef/>
      </w:r>
      <w:r w:rsidRPr="00343B1A">
        <w:rPr>
          <w:rFonts w:ascii="Verdana" w:hAnsi="Verdana" w:cs="Arial"/>
          <w:sz w:val="16"/>
          <w:szCs w:val="16"/>
        </w:rPr>
        <w:t xml:space="preserve"> </w:t>
      </w:r>
      <w:r w:rsidRPr="00343B1A">
        <w:rPr>
          <w:rFonts w:ascii="Verdana" w:hAnsi="Verdana" w:cs="Arial"/>
          <w:sz w:val="16"/>
          <w:szCs w:val="16"/>
          <w:lang w:val="es-ES"/>
        </w:rPr>
        <w:t>Consejo de Estado. Sección Tercera. Subsección A. Sentencia del 10 de julio de 2013. Consejero Ponente: Mauricio Fajardo Gómez. Expediente: 27.816.</w:t>
      </w:r>
    </w:p>
    <w:p w14:paraId="72E45095" w14:textId="77777777" w:rsidR="00F73741" w:rsidRPr="00343B1A" w:rsidRDefault="00F73741" w:rsidP="0069247A">
      <w:pPr>
        <w:pStyle w:val="Textonotapie"/>
        <w:ind w:firstLine="709"/>
        <w:jc w:val="both"/>
        <w:rPr>
          <w:rFonts w:ascii="Verdana" w:hAnsi="Verdana" w:cs="Arial"/>
          <w:sz w:val="16"/>
          <w:szCs w:val="16"/>
          <w:lang w:val="es-ES"/>
        </w:rPr>
      </w:pPr>
    </w:p>
  </w:footnote>
  <w:footnote w:id="7">
    <w:p w14:paraId="5551EED1" w14:textId="77777777" w:rsidR="00AF3113" w:rsidRPr="00343B1A" w:rsidRDefault="00AF3113" w:rsidP="00AF3113">
      <w:pPr>
        <w:pStyle w:val="Textonotapie"/>
        <w:ind w:firstLine="709"/>
        <w:jc w:val="both"/>
        <w:rPr>
          <w:rFonts w:ascii="Verdana" w:hAnsi="Verdana" w:cs="Arial"/>
          <w:sz w:val="16"/>
          <w:szCs w:val="16"/>
        </w:rPr>
      </w:pPr>
      <w:r w:rsidRPr="00343B1A">
        <w:rPr>
          <w:rStyle w:val="Refdenotaalpie"/>
          <w:rFonts w:ascii="Verdana" w:hAnsi="Verdana" w:cs="Arial"/>
          <w:sz w:val="16"/>
          <w:szCs w:val="16"/>
        </w:rPr>
        <w:footnoteRef/>
      </w:r>
      <w:r w:rsidRPr="00343B1A">
        <w:rPr>
          <w:rFonts w:ascii="Verdana" w:hAnsi="Verdana" w:cs="Arial"/>
          <w:sz w:val="16"/>
          <w:szCs w:val="16"/>
        </w:rPr>
        <w:t xml:space="preserve"> Este artículo dispone: “Los contratistas prestarán garantía única para el cumplimiento de las obligaciones surgidas del contrato. Los proponentes prestarán garantía de seriedad de los ofrecimientos hechos.</w:t>
      </w:r>
    </w:p>
    <w:p w14:paraId="4343A211" w14:textId="77777777" w:rsidR="00AF3113" w:rsidRPr="00343B1A" w:rsidRDefault="00AF3113" w:rsidP="00AF3113">
      <w:pPr>
        <w:pStyle w:val="Textonotapie"/>
        <w:ind w:firstLine="709"/>
        <w:jc w:val="both"/>
        <w:rPr>
          <w:rFonts w:ascii="Verdana" w:hAnsi="Verdana" w:cs="Arial"/>
          <w:sz w:val="16"/>
          <w:szCs w:val="16"/>
        </w:rPr>
      </w:pPr>
      <w:r w:rsidRPr="00343B1A">
        <w:rPr>
          <w:rFonts w:ascii="Verdana" w:hAnsi="Verdana" w:cs="Arial"/>
          <w:sz w:val="16"/>
          <w:szCs w:val="16"/>
        </w:rPr>
        <w:t>Las garantías consistirán en pólizas expedidas por compañías de seguros legalmente autorizadas para funcionar en Colombia, en garantías bancarias y en general, en los demás mecanismos de cobertura del riesgo autorizados por el reglamento para el efecto. Tratándose de pólizas, las mismas no expirarán por falta de pago de la prima o por revocatoria unilateral. El Gobierno Nacional señalará las condiciones generales que deberán ser incluidas en las pólizas de cumplimiento de los contratos estatales.</w:t>
      </w:r>
    </w:p>
    <w:p w14:paraId="14AD2D5C" w14:textId="77777777" w:rsidR="00AF3113" w:rsidRPr="00343B1A" w:rsidRDefault="00AF3113" w:rsidP="00AF3113">
      <w:pPr>
        <w:pStyle w:val="Textonotapie"/>
        <w:ind w:firstLine="709"/>
        <w:jc w:val="both"/>
        <w:rPr>
          <w:rFonts w:ascii="Verdana" w:hAnsi="Verdana" w:cs="Arial"/>
          <w:sz w:val="16"/>
          <w:szCs w:val="16"/>
        </w:rPr>
      </w:pPr>
      <w:r w:rsidRPr="00343B1A">
        <w:rPr>
          <w:rFonts w:ascii="Verdana" w:hAnsi="Verdana" w:cs="Arial"/>
          <w:sz w:val="16"/>
          <w:szCs w:val="16"/>
        </w:rPr>
        <w:t>El Gobierno Nacional señalará los criterios que seguirán las entidades para la exigencia de garantías, las clases y niveles de amparo de los riesgos de los contratos, así como los casos en que por las características y complejidad del contrato a celebrar, la garantía pueda ser dividida teniendo en cuenta las etapas o riesgos relativos a la ejecución del respectivo contrato.</w:t>
      </w:r>
    </w:p>
    <w:p w14:paraId="52B1EB54" w14:textId="77777777" w:rsidR="00AF3113" w:rsidRPr="00343B1A" w:rsidRDefault="00AF3113" w:rsidP="00AF3113">
      <w:pPr>
        <w:pStyle w:val="Textonotapie"/>
        <w:ind w:firstLine="709"/>
        <w:jc w:val="both"/>
        <w:rPr>
          <w:rFonts w:ascii="Verdana" w:hAnsi="Verdana" w:cs="Arial"/>
          <w:sz w:val="16"/>
          <w:szCs w:val="16"/>
        </w:rPr>
      </w:pPr>
      <w:r w:rsidRPr="00343B1A">
        <w:rPr>
          <w:rFonts w:ascii="Verdana" w:hAnsi="Verdana" w:cs="Arial"/>
          <w:sz w:val="16"/>
          <w:szCs w:val="16"/>
        </w:rPr>
        <w:t>El acaecimiento del siniestro que amparan las garantías será comunicado por la entidad pública al respectivo asegurador mediante la notificación del acto administrativo que así lo declare.</w:t>
      </w:r>
    </w:p>
    <w:p w14:paraId="0E9DC53E" w14:textId="77777777" w:rsidR="00AF3113" w:rsidRPr="00343B1A" w:rsidRDefault="00AF3113" w:rsidP="00AF3113">
      <w:pPr>
        <w:pStyle w:val="Textonotapie"/>
        <w:ind w:firstLine="709"/>
        <w:jc w:val="both"/>
        <w:rPr>
          <w:rFonts w:ascii="Verdana" w:hAnsi="Verdana" w:cs="Arial"/>
          <w:sz w:val="16"/>
          <w:szCs w:val="16"/>
        </w:rPr>
      </w:pPr>
      <w:r w:rsidRPr="00343B1A">
        <w:rPr>
          <w:rFonts w:ascii="Verdana" w:hAnsi="Verdana" w:cs="Arial"/>
          <w:sz w:val="16"/>
          <w:szCs w:val="16"/>
        </w:rPr>
        <w:t>Las garantías no serán obligatorias en los contratos de empréstito, en los interadministrativos, en los de seguro y en los contratos cuyo valor sea inferior al 10% de la menor cuantía a que se refiere esta ley, caso en el cual corresponderá a la entidad determinar la necesidad de exigirla, atendiendo a la naturaleza del objeto del contrato y a la forma de pago, así como en los demás que señale el reglamento.</w:t>
      </w:r>
    </w:p>
    <w:p w14:paraId="2695B316" w14:textId="4AB1B724" w:rsidR="00AF3113" w:rsidRDefault="00AF3113" w:rsidP="0034580A">
      <w:pPr>
        <w:pStyle w:val="Textonotapie"/>
        <w:ind w:firstLine="709"/>
        <w:jc w:val="both"/>
        <w:rPr>
          <w:rFonts w:ascii="Verdana" w:hAnsi="Verdana" w:cs="Arial"/>
          <w:sz w:val="16"/>
          <w:szCs w:val="16"/>
        </w:rPr>
      </w:pPr>
      <w:r w:rsidRPr="00343B1A">
        <w:rPr>
          <w:rFonts w:ascii="Verdana" w:hAnsi="Verdana" w:cs="Arial"/>
          <w:sz w:val="16"/>
          <w:szCs w:val="16"/>
        </w:rPr>
        <w:t>PARÁGRAFO TRANSITORIO. Durante el período que transcurra entre la entrada en vigencia de la reforma contenida en la presente ley y la expedición del decreto reglamentario a que se refiere este artículo, las entidades estatales continuarán aplicando las normas legales y reglamentarias vigentes”.</w:t>
      </w:r>
    </w:p>
    <w:p w14:paraId="69FA80C2" w14:textId="77777777" w:rsidR="00F73741" w:rsidRPr="00343B1A" w:rsidRDefault="00F73741" w:rsidP="0034580A">
      <w:pPr>
        <w:pStyle w:val="Textonotapie"/>
        <w:ind w:firstLine="709"/>
        <w:jc w:val="both"/>
        <w:rPr>
          <w:rFonts w:ascii="Verdana" w:hAnsi="Verdana" w:cs="Arial"/>
          <w:sz w:val="16"/>
          <w:szCs w:val="16"/>
        </w:rPr>
      </w:pPr>
    </w:p>
  </w:footnote>
  <w:footnote w:id="8">
    <w:p w14:paraId="2FA6A22D" w14:textId="2C7137C1" w:rsidR="00AF3113" w:rsidRDefault="00AF3113" w:rsidP="007970ED">
      <w:pPr>
        <w:pStyle w:val="Textonotapie"/>
        <w:ind w:firstLine="709"/>
        <w:rPr>
          <w:rFonts w:ascii="Verdana" w:hAnsi="Verdana" w:cs="Arial"/>
          <w:sz w:val="16"/>
          <w:szCs w:val="16"/>
          <w:lang w:val="es-ES"/>
        </w:rPr>
      </w:pPr>
      <w:r w:rsidRPr="00343B1A">
        <w:rPr>
          <w:rStyle w:val="Refdenotaalpie"/>
          <w:rFonts w:ascii="Verdana" w:hAnsi="Verdana" w:cs="Arial"/>
          <w:sz w:val="16"/>
          <w:szCs w:val="16"/>
        </w:rPr>
        <w:footnoteRef/>
      </w:r>
      <w:r w:rsidRPr="00343B1A">
        <w:rPr>
          <w:rFonts w:ascii="Verdana" w:hAnsi="Verdana" w:cs="Arial"/>
          <w:sz w:val="16"/>
          <w:szCs w:val="16"/>
        </w:rPr>
        <w:t xml:space="preserve"> </w:t>
      </w:r>
      <w:r w:rsidRPr="00343B1A">
        <w:rPr>
          <w:rFonts w:ascii="Verdana" w:hAnsi="Verdana" w:cs="Arial"/>
          <w:sz w:val="16"/>
          <w:szCs w:val="16"/>
          <w:lang w:val="es-ES"/>
        </w:rPr>
        <w:t>Consejo de Estado. Sección Tercera. Subsección B. Sentencia del 3 de abril de 2020. Consejero Ponente: Ramiro Pazos Guerrero. Expediente: 46.963.</w:t>
      </w:r>
    </w:p>
    <w:p w14:paraId="490CED94" w14:textId="77777777" w:rsidR="00F73741" w:rsidRPr="00343B1A" w:rsidRDefault="00F73741" w:rsidP="007970ED">
      <w:pPr>
        <w:pStyle w:val="Textonotapie"/>
        <w:ind w:firstLine="709"/>
        <w:rPr>
          <w:rFonts w:ascii="Verdana" w:hAnsi="Verdana" w:cs="Arial"/>
          <w:sz w:val="16"/>
          <w:szCs w:val="16"/>
          <w:lang w:val="es-ES"/>
        </w:rPr>
      </w:pPr>
    </w:p>
  </w:footnote>
  <w:footnote w:id="9">
    <w:p w14:paraId="7B675881" w14:textId="663EAEA8" w:rsidR="008F0004" w:rsidRPr="00343B1A" w:rsidRDefault="008F0004" w:rsidP="008F0004">
      <w:pPr>
        <w:pStyle w:val="Textonotapie"/>
        <w:ind w:firstLine="709"/>
        <w:jc w:val="both"/>
        <w:rPr>
          <w:rFonts w:ascii="Verdana" w:hAnsi="Verdana" w:cs="Arial"/>
          <w:sz w:val="16"/>
          <w:szCs w:val="16"/>
        </w:rPr>
      </w:pPr>
      <w:r w:rsidRPr="00343B1A">
        <w:rPr>
          <w:rStyle w:val="Refdenotaalpie"/>
          <w:rFonts w:ascii="Verdana" w:hAnsi="Verdana"/>
          <w:sz w:val="16"/>
          <w:szCs w:val="16"/>
        </w:rPr>
        <w:footnoteRef/>
      </w:r>
      <w:r w:rsidRPr="00343B1A">
        <w:rPr>
          <w:rFonts w:ascii="Verdana" w:hAnsi="Verdana" w:cs="Arial"/>
          <w:sz w:val="16"/>
          <w:szCs w:val="16"/>
        </w:rPr>
        <w:t xml:space="preserve"> </w:t>
      </w:r>
      <w:r w:rsidR="00D541AF" w:rsidRPr="00343B1A">
        <w:rPr>
          <w:rFonts w:ascii="Verdana" w:hAnsi="Verdana" w:cs="Arial"/>
          <w:sz w:val="16"/>
          <w:szCs w:val="16"/>
          <w:lang w:val="es-ES"/>
        </w:rPr>
        <w:t>Consejo de Estado</w:t>
      </w:r>
      <w:r w:rsidRPr="00343B1A">
        <w:rPr>
          <w:rFonts w:ascii="Verdana" w:hAnsi="Verdana" w:cs="Arial"/>
          <w:sz w:val="16"/>
          <w:szCs w:val="16"/>
        </w:rPr>
        <w:t>. Sección Tercera. Sentencia del 29 de julio de 2015. Exp. 42.494. C.P. Jaime Orlando Santofimio Gamboa.</w:t>
      </w:r>
    </w:p>
    <w:p w14:paraId="6E8DF9B9" w14:textId="77777777" w:rsidR="005359CB" w:rsidRPr="00343B1A" w:rsidRDefault="005359CB" w:rsidP="008F0004">
      <w:pPr>
        <w:pStyle w:val="Textonotapie"/>
        <w:ind w:firstLine="709"/>
        <w:jc w:val="both"/>
        <w:rPr>
          <w:rFonts w:ascii="Verdana" w:hAnsi="Verdana" w:cs="Arial"/>
          <w:sz w:val="16"/>
          <w:szCs w:val="16"/>
        </w:rPr>
      </w:pPr>
    </w:p>
  </w:footnote>
  <w:footnote w:id="10">
    <w:p w14:paraId="46BB4D5D" w14:textId="7D3E60CB" w:rsidR="008F0004" w:rsidRPr="00343B1A" w:rsidRDefault="008F0004" w:rsidP="008F0004">
      <w:pPr>
        <w:pStyle w:val="Textonotapie"/>
        <w:ind w:firstLine="708"/>
        <w:jc w:val="both"/>
        <w:rPr>
          <w:rFonts w:ascii="Verdana" w:hAnsi="Verdana" w:cs="Arial"/>
          <w:sz w:val="16"/>
          <w:szCs w:val="16"/>
        </w:rPr>
      </w:pPr>
      <w:r w:rsidRPr="00343B1A">
        <w:rPr>
          <w:rStyle w:val="Refdenotaalpie"/>
          <w:rFonts w:ascii="Verdana" w:hAnsi="Verdana"/>
          <w:sz w:val="16"/>
          <w:szCs w:val="16"/>
        </w:rPr>
        <w:footnoteRef/>
      </w:r>
      <w:r w:rsidRPr="00343B1A">
        <w:rPr>
          <w:rFonts w:ascii="Verdana" w:hAnsi="Verdana" w:cs="Arial"/>
          <w:sz w:val="16"/>
          <w:szCs w:val="16"/>
        </w:rPr>
        <w:t xml:space="preserve"> </w:t>
      </w:r>
      <w:r w:rsidR="00D541AF" w:rsidRPr="00343B1A">
        <w:rPr>
          <w:rFonts w:ascii="Verdana" w:hAnsi="Verdana" w:cs="Arial"/>
          <w:sz w:val="16"/>
          <w:szCs w:val="16"/>
          <w:lang w:val="es-ES"/>
        </w:rPr>
        <w:t>Consejo de Estado</w:t>
      </w:r>
      <w:r w:rsidRPr="00343B1A">
        <w:rPr>
          <w:rFonts w:ascii="Verdana" w:hAnsi="Verdana" w:cs="Arial"/>
          <w:sz w:val="16"/>
          <w:szCs w:val="16"/>
        </w:rPr>
        <w:t>. Sección Tercera. Sentencia del 13 de septiembre de 1999. Exp. 10.264. C.P. Ricardo Hoyos Duque.</w:t>
      </w:r>
    </w:p>
    <w:p w14:paraId="663E8B69" w14:textId="77777777" w:rsidR="005359CB" w:rsidRPr="00343B1A" w:rsidRDefault="005359CB" w:rsidP="008F0004">
      <w:pPr>
        <w:pStyle w:val="Textonotapie"/>
        <w:ind w:firstLine="708"/>
        <w:jc w:val="both"/>
        <w:rPr>
          <w:rFonts w:ascii="Verdana" w:hAnsi="Verdana" w:cs="Arial"/>
          <w:sz w:val="16"/>
          <w:szCs w:val="16"/>
        </w:rPr>
      </w:pPr>
    </w:p>
  </w:footnote>
  <w:footnote w:id="11">
    <w:p w14:paraId="1A93D668" w14:textId="77777777" w:rsidR="008F0004" w:rsidRDefault="008F0004" w:rsidP="008F0004">
      <w:pPr>
        <w:pStyle w:val="Textonotapie"/>
        <w:ind w:firstLine="708"/>
        <w:jc w:val="both"/>
        <w:rPr>
          <w:rFonts w:ascii="Verdana" w:hAnsi="Verdana" w:cs="Arial"/>
          <w:sz w:val="16"/>
          <w:szCs w:val="16"/>
        </w:rPr>
      </w:pPr>
      <w:r w:rsidRPr="00343B1A">
        <w:rPr>
          <w:rStyle w:val="Refdenotaalpie"/>
          <w:rFonts w:ascii="Verdana" w:hAnsi="Verdana"/>
          <w:sz w:val="16"/>
          <w:szCs w:val="16"/>
        </w:rPr>
        <w:footnoteRef/>
      </w:r>
      <w:r w:rsidRPr="00343B1A">
        <w:rPr>
          <w:rFonts w:ascii="Verdana" w:hAnsi="Verdana" w:cs="Arial"/>
          <w:sz w:val="16"/>
          <w:szCs w:val="16"/>
        </w:rPr>
        <w:t xml:space="preserve"> PALACIO HINCAPIÉ, Juan Ángel. La contratación de las entidades estatales. Octava edición. Medellín: Librería Jurídica Sánchez R. SAS, 2020. p. 659.</w:t>
      </w:r>
    </w:p>
    <w:p w14:paraId="0FA9643E" w14:textId="77777777" w:rsidR="00F73741" w:rsidRPr="00F73741" w:rsidRDefault="00F73741" w:rsidP="008F0004">
      <w:pPr>
        <w:pStyle w:val="Textonotapie"/>
        <w:ind w:firstLine="708"/>
        <w:jc w:val="both"/>
        <w:rPr>
          <w:rFonts w:ascii="Verdana" w:hAnsi="Verdana" w:cs="Arial"/>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2061" w:hanging="360"/>
      </w:pPr>
      <w:rPr>
        <w:b/>
        <w:color w:val="000000" w:themeColor="text1"/>
      </w:rPr>
    </w:lvl>
    <w:lvl w:ilvl="1">
      <w:start w:val="2"/>
      <w:numFmt w:val="decimal"/>
      <w:isLgl/>
      <w:lvlText w:val="%1.%2"/>
      <w:lvlJc w:val="left"/>
      <w:pPr>
        <w:ind w:left="1701" w:hanging="360"/>
      </w:pPr>
    </w:lvl>
    <w:lvl w:ilvl="2">
      <w:start w:val="1"/>
      <w:numFmt w:val="decimal"/>
      <w:isLgl/>
      <w:lvlText w:val="%1.%2.%3"/>
      <w:lvlJc w:val="left"/>
      <w:pPr>
        <w:ind w:left="2421" w:hanging="720"/>
      </w:p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3244075"/>
    <w:multiLevelType w:val="hybridMultilevel"/>
    <w:tmpl w:val="8440F34C"/>
    <w:lvl w:ilvl="0" w:tplc="40685C34">
      <w:start w:val="4"/>
      <w:numFmt w:val="decimal"/>
      <w:lvlText w:val="%1."/>
      <w:lvlJc w:val="left"/>
      <w:pPr>
        <w:ind w:left="502" w:hanging="360"/>
      </w:pPr>
      <w:rPr>
        <w:rFonts w:hint="default"/>
        <w:lang w:val="es-CO"/>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1489201040">
    <w:abstractNumId w:val="0"/>
  </w:num>
  <w:num w:numId="17" w16cid:durableId="1542086715">
    <w:abstractNumId w:val="9"/>
  </w:num>
  <w:num w:numId="18" w16cid:durableId="17234823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091F"/>
    <w:rsid w:val="00016F78"/>
    <w:rsid w:val="0001721D"/>
    <w:rsid w:val="00046945"/>
    <w:rsid w:val="00061B2A"/>
    <w:rsid w:val="00082362"/>
    <w:rsid w:val="0009091C"/>
    <w:rsid w:val="000A1B45"/>
    <w:rsid w:val="000A53F8"/>
    <w:rsid w:val="000A683E"/>
    <w:rsid w:val="000B19B9"/>
    <w:rsid w:val="000B48A3"/>
    <w:rsid w:val="000C6E64"/>
    <w:rsid w:val="000D0334"/>
    <w:rsid w:val="000D5DA7"/>
    <w:rsid w:val="000E141F"/>
    <w:rsid w:val="000F6486"/>
    <w:rsid w:val="00115698"/>
    <w:rsid w:val="00116940"/>
    <w:rsid w:val="00125105"/>
    <w:rsid w:val="00127233"/>
    <w:rsid w:val="001365D9"/>
    <w:rsid w:val="001515A0"/>
    <w:rsid w:val="0015699B"/>
    <w:rsid w:val="001610E7"/>
    <w:rsid w:val="00167FE6"/>
    <w:rsid w:val="00191917"/>
    <w:rsid w:val="00191A34"/>
    <w:rsid w:val="00196725"/>
    <w:rsid w:val="00197F3D"/>
    <w:rsid w:val="001A33BF"/>
    <w:rsid w:val="001A521B"/>
    <w:rsid w:val="001A73A9"/>
    <w:rsid w:val="001B3EDA"/>
    <w:rsid w:val="001C461B"/>
    <w:rsid w:val="001C7CDF"/>
    <w:rsid w:val="001E4177"/>
    <w:rsid w:val="001F0B24"/>
    <w:rsid w:val="001F7DC6"/>
    <w:rsid w:val="00221393"/>
    <w:rsid w:val="00223AB7"/>
    <w:rsid w:val="0022400B"/>
    <w:rsid w:val="002421BB"/>
    <w:rsid w:val="00254FC8"/>
    <w:rsid w:val="0025796E"/>
    <w:rsid w:val="002707A2"/>
    <w:rsid w:val="00270A37"/>
    <w:rsid w:val="00277CBD"/>
    <w:rsid w:val="00293C92"/>
    <w:rsid w:val="002951A0"/>
    <w:rsid w:val="002962BC"/>
    <w:rsid w:val="00296A1C"/>
    <w:rsid w:val="002A093D"/>
    <w:rsid w:val="002A0DD0"/>
    <w:rsid w:val="002A4689"/>
    <w:rsid w:val="002A49AC"/>
    <w:rsid w:val="002A5DB9"/>
    <w:rsid w:val="002A64FD"/>
    <w:rsid w:val="002B714E"/>
    <w:rsid w:val="002C64EA"/>
    <w:rsid w:val="002C6990"/>
    <w:rsid w:val="002C7A84"/>
    <w:rsid w:val="002E1AFC"/>
    <w:rsid w:val="002E2BF8"/>
    <w:rsid w:val="002E4FD9"/>
    <w:rsid w:val="002E7B12"/>
    <w:rsid w:val="0030657A"/>
    <w:rsid w:val="0031471D"/>
    <w:rsid w:val="003219A7"/>
    <w:rsid w:val="00322A85"/>
    <w:rsid w:val="00324168"/>
    <w:rsid w:val="00330834"/>
    <w:rsid w:val="00343B1A"/>
    <w:rsid w:val="003448F4"/>
    <w:rsid w:val="0034580A"/>
    <w:rsid w:val="00367A24"/>
    <w:rsid w:val="00374F5E"/>
    <w:rsid w:val="00377E3E"/>
    <w:rsid w:val="003A779E"/>
    <w:rsid w:val="003B44E2"/>
    <w:rsid w:val="003C1DA8"/>
    <w:rsid w:val="003C4CA2"/>
    <w:rsid w:val="003D0F4D"/>
    <w:rsid w:val="003D5648"/>
    <w:rsid w:val="003D5B0D"/>
    <w:rsid w:val="003E0499"/>
    <w:rsid w:val="003E4F80"/>
    <w:rsid w:val="003E568C"/>
    <w:rsid w:val="003E6439"/>
    <w:rsid w:val="003F3941"/>
    <w:rsid w:val="003F441B"/>
    <w:rsid w:val="00406575"/>
    <w:rsid w:val="00414C74"/>
    <w:rsid w:val="00416F93"/>
    <w:rsid w:val="004248F2"/>
    <w:rsid w:val="0042722E"/>
    <w:rsid w:val="00443106"/>
    <w:rsid w:val="0044528D"/>
    <w:rsid w:val="00466E39"/>
    <w:rsid w:val="00470F95"/>
    <w:rsid w:val="004A1847"/>
    <w:rsid w:val="004A305D"/>
    <w:rsid w:val="004C4334"/>
    <w:rsid w:val="004D216D"/>
    <w:rsid w:val="004E3CE5"/>
    <w:rsid w:val="004E7C8A"/>
    <w:rsid w:val="004F21C4"/>
    <w:rsid w:val="004F685F"/>
    <w:rsid w:val="00512650"/>
    <w:rsid w:val="005359CB"/>
    <w:rsid w:val="005566E8"/>
    <w:rsid w:val="00574867"/>
    <w:rsid w:val="00591460"/>
    <w:rsid w:val="005A65E0"/>
    <w:rsid w:val="005B5E01"/>
    <w:rsid w:val="005C3777"/>
    <w:rsid w:val="005C5CDC"/>
    <w:rsid w:val="005D476C"/>
    <w:rsid w:val="0060758F"/>
    <w:rsid w:val="006200BF"/>
    <w:rsid w:val="006219F8"/>
    <w:rsid w:val="006302F7"/>
    <w:rsid w:val="00632FB9"/>
    <w:rsid w:val="00643C9E"/>
    <w:rsid w:val="00646B9F"/>
    <w:rsid w:val="00665D70"/>
    <w:rsid w:val="0068420B"/>
    <w:rsid w:val="00687264"/>
    <w:rsid w:val="006900D9"/>
    <w:rsid w:val="0069247A"/>
    <w:rsid w:val="006C6348"/>
    <w:rsid w:val="00706C16"/>
    <w:rsid w:val="00711B91"/>
    <w:rsid w:val="007153B7"/>
    <w:rsid w:val="007340C3"/>
    <w:rsid w:val="0075235A"/>
    <w:rsid w:val="00756841"/>
    <w:rsid w:val="007612AF"/>
    <w:rsid w:val="007635B4"/>
    <w:rsid w:val="007649AB"/>
    <w:rsid w:val="00771D0C"/>
    <w:rsid w:val="007833AC"/>
    <w:rsid w:val="007844DC"/>
    <w:rsid w:val="007970ED"/>
    <w:rsid w:val="007A042D"/>
    <w:rsid w:val="007A10B4"/>
    <w:rsid w:val="007A2DF5"/>
    <w:rsid w:val="007B268C"/>
    <w:rsid w:val="007B7171"/>
    <w:rsid w:val="007C0C0F"/>
    <w:rsid w:val="007C3DC2"/>
    <w:rsid w:val="007C40BF"/>
    <w:rsid w:val="007D404B"/>
    <w:rsid w:val="007E30F9"/>
    <w:rsid w:val="007E5497"/>
    <w:rsid w:val="00804FCA"/>
    <w:rsid w:val="00806F5F"/>
    <w:rsid w:val="00807D04"/>
    <w:rsid w:val="00811ACD"/>
    <w:rsid w:val="00816BB9"/>
    <w:rsid w:val="00820278"/>
    <w:rsid w:val="008258C9"/>
    <w:rsid w:val="00834445"/>
    <w:rsid w:val="00844AE9"/>
    <w:rsid w:val="00845F6C"/>
    <w:rsid w:val="00867F95"/>
    <w:rsid w:val="008808A6"/>
    <w:rsid w:val="008843B6"/>
    <w:rsid w:val="00891928"/>
    <w:rsid w:val="00891CBE"/>
    <w:rsid w:val="008963CA"/>
    <w:rsid w:val="008A446D"/>
    <w:rsid w:val="008B25F1"/>
    <w:rsid w:val="008D180B"/>
    <w:rsid w:val="008F0004"/>
    <w:rsid w:val="008F0EA7"/>
    <w:rsid w:val="009001A0"/>
    <w:rsid w:val="009041EC"/>
    <w:rsid w:val="00913A25"/>
    <w:rsid w:val="00917F66"/>
    <w:rsid w:val="009217A3"/>
    <w:rsid w:val="00923EEF"/>
    <w:rsid w:val="0093181C"/>
    <w:rsid w:val="009419F9"/>
    <w:rsid w:val="009535CB"/>
    <w:rsid w:val="0095685E"/>
    <w:rsid w:val="00961B09"/>
    <w:rsid w:val="00965334"/>
    <w:rsid w:val="0097093E"/>
    <w:rsid w:val="00983474"/>
    <w:rsid w:val="009837E5"/>
    <w:rsid w:val="009A0DFA"/>
    <w:rsid w:val="009A1C6F"/>
    <w:rsid w:val="009B2D26"/>
    <w:rsid w:val="009B2DDE"/>
    <w:rsid w:val="009C6A9F"/>
    <w:rsid w:val="009C71FA"/>
    <w:rsid w:val="009C72E7"/>
    <w:rsid w:val="009C7F7E"/>
    <w:rsid w:val="009D3058"/>
    <w:rsid w:val="009F3A13"/>
    <w:rsid w:val="00A109A2"/>
    <w:rsid w:val="00A122D3"/>
    <w:rsid w:val="00A14468"/>
    <w:rsid w:val="00A17F13"/>
    <w:rsid w:val="00A20739"/>
    <w:rsid w:val="00A23AF9"/>
    <w:rsid w:val="00A33C78"/>
    <w:rsid w:val="00A427A0"/>
    <w:rsid w:val="00A4388C"/>
    <w:rsid w:val="00A654D6"/>
    <w:rsid w:val="00A76B1E"/>
    <w:rsid w:val="00AA0459"/>
    <w:rsid w:val="00AA1634"/>
    <w:rsid w:val="00AB0ADB"/>
    <w:rsid w:val="00AE1B6F"/>
    <w:rsid w:val="00AE41B3"/>
    <w:rsid w:val="00AF253D"/>
    <w:rsid w:val="00AF3113"/>
    <w:rsid w:val="00AF4CEC"/>
    <w:rsid w:val="00B00C0E"/>
    <w:rsid w:val="00B01B1A"/>
    <w:rsid w:val="00B0381D"/>
    <w:rsid w:val="00B44A47"/>
    <w:rsid w:val="00B50047"/>
    <w:rsid w:val="00B61012"/>
    <w:rsid w:val="00B72CD3"/>
    <w:rsid w:val="00B72FFF"/>
    <w:rsid w:val="00B832A2"/>
    <w:rsid w:val="00B87059"/>
    <w:rsid w:val="00B97D16"/>
    <w:rsid w:val="00BC069A"/>
    <w:rsid w:val="00BC3D36"/>
    <w:rsid w:val="00BD0967"/>
    <w:rsid w:val="00BD4A58"/>
    <w:rsid w:val="00BD54A6"/>
    <w:rsid w:val="00BD7F72"/>
    <w:rsid w:val="00BE4E71"/>
    <w:rsid w:val="00BE5D81"/>
    <w:rsid w:val="00BF7425"/>
    <w:rsid w:val="00C012A6"/>
    <w:rsid w:val="00C04FB3"/>
    <w:rsid w:val="00C11D8B"/>
    <w:rsid w:val="00C15139"/>
    <w:rsid w:val="00C32E77"/>
    <w:rsid w:val="00C330EB"/>
    <w:rsid w:val="00C50D69"/>
    <w:rsid w:val="00C5365C"/>
    <w:rsid w:val="00C53932"/>
    <w:rsid w:val="00C539E6"/>
    <w:rsid w:val="00C6074F"/>
    <w:rsid w:val="00C67C25"/>
    <w:rsid w:val="00C754BE"/>
    <w:rsid w:val="00C76B1C"/>
    <w:rsid w:val="00C77C99"/>
    <w:rsid w:val="00C80B27"/>
    <w:rsid w:val="00C85342"/>
    <w:rsid w:val="00C925AC"/>
    <w:rsid w:val="00CB6357"/>
    <w:rsid w:val="00CC1B26"/>
    <w:rsid w:val="00CC2338"/>
    <w:rsid w:val="00D15409"/>
    <w:rsid w:val="00D31A51"/>
    <w:rsid w:val="00D32EA0"/>
    <w:rsid w:val="00D361FD"/>
    <w:rsid w:val="00D37375"/>
    <w:rsid w:val="00D423A2"/>
    <w:rsid w:val="00D44E26"/>
    <w:rsid w:val="00D520D8"/>
    <w:rsid w:val="00D53E37"/>
    <w:rsid w:val="00D541AF"/>
    <w:rsid w:val="00D557D3"/>
    <w:rsid w:val="00D63AC2"/>
    <w:rsid w:val="00D64183"/>
    <w:rsid w:val="00D71E6A"/>
    <w:rsid w:val="00D7383B"/>
    <w:rsid w:val="00D7788A"/>
    <w:rsid w:val="00DA231B"/>
    <w:rsid w:val="00DA625A"/>
    <w:rsid w:val="00DC39FC"/>
    <w:rsid w:val="00DF32E7"/>
    <w:rsid w:val="00DF5254"/>
    <w:rsid w:val="00DF7890"/>
    <w:rsid w:val="00E02524"/>
    <w:rsid w:val="00E05FF0"/>
    <w:rsid w:val="00E16408"/>
    <w:rsid w:val="00E20894"/>
    <w:rsid w:val="00E245AB"/>
    <w:rsid w:val="00E25BF3"/>
    <w:rsid w:val="00E2764C"/>
    <w:rsid w:val="00E27F2E"/>
    <w:rsid w:val="00E50AFE"/>
    <w:rsid w:val="00E549FE"/>
    <w:rsid w:val="00E64AA9"/>
    <w:rsid w:val="00E73D56"/>
    <w:rsid w:val="00E74742"/>
    <w:rsid w:val="00E75C92"/>
    <w:rsid w:val="00E771DC"/>
    <w:rsid w:val="00E8772A"/>
    <w:rsid w:val="00E90F6B"/>
    <w:rsid w:val="00E92C27"/>
    <w:rsid w:val="00EA0E3D"/>
    <w:rsid w:val="00EA10A1"/>
    <w:rsid w:val="00EA47F6"/>
    <w:rsid w:val="00EB258D"/>
    <w:rsid w:val="00EB6387"/>
    <w:rsid w:val="00EC3167"/>
    <w:rsid w:val="00EC38A7"/>
    <w:rsid w:val="00EC77AC"/>
    <w:rsid w:val="00EE0C16"/>
    <w:rsid w:val="00EE1AA8"/>
    <w:rsid w:val="00EE5110"/>
    <w:rsid w:val="00EE5D6A"/>
    <w:rsid w:val="00F00B0E"/>
    <w:rsid w:val="00F16D93"/>
    <w:rsid w:val="00F20675"/>
    <w:rsid w:val="00F23FEA"/>
    <w:rsid w:val="00F31EDC"/>
    <w:rsid w:val="00F32267"/>
    <w:rsid w:val="00F462B3"/>
    <w:rsid w:val="00F5664F"/>
    <w:rsid w:val="00F666C4"/>
    <w:rsid w:val="00F73741"/>
    <w:rsid w:val="00F76AFC"/>
    <w:rsid w:val="00F83B5B"/>
    <w:rsid w:val="00FA47C0"/>
    <w:rsid w:val="00FB5DD1"/>
    <w:rsid w:val="00FC2B5D"/>
    <w:rsid w:val="00FC2F42"/>
    <w:rsid w:val="00FC7DDD"/>
    <w:rsid w:val="00FE398C"/>
    <w:rsid w:val="00FF0ED9"/>
    <w:rsid w:val="00FF1449"/>
    <w:rsid w:val="00FF17CD"/>
    <w:rsid w:val="00FF3BF3"/>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7452C9B2-0EC0-472E-867D-52AD6738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styleId="Textoindependiente">
    <w:name w:val="Body Text"/>
    <w:basedOn w:val="Normal"/>
    <w:link w:val="TextoindependienteCar"/>
    <w:uiPriority w:val="1"/>
    <w:qFormat/>
    <w:rsid w:val="00E05FF0"/>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E05FF0"/>
    <w:rPr>
      <w:rFonts w:ascii="Arial" w:eastAsia="Arial" w:hAnsi="Arial" w:cs="Arial"/>
      <w:lang w:val="es-ES"/>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654D6"/>
    <w:rPr>
      <w:rFonts w:ascii="Geomanist Light" w:hAnsi="Geomanist Light"/>
      <w:lang w:val="es-ES"/>
    </w:rPr>
  </w:style>
  <w:style w:type="paragraph" w:customStyle="1" w:styleId="Appelnotedebasde">
    <w:name w:val="Appel note de bas de..."/>
    <w:basedOn w:val="Normal"/>
    <w:link w:val="Refdenotaalpie"/>
    <w:uiPriority w:val="99"/>
    <w:rsid w:val="00223AB7"/>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cretariasenado.gov.co/senado/basedoc/ley_0080_1993.html" TargetMode="External"/><Relationship Id="rId18"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ndrestoroc1@gmail.com" TargetMode="External"/><Relationship Id="rId17" Type="http://schemas.openxmlformats.org/officeDocument/2006/relationships/hyperlink" Target="https://www.colombiacompra.gov.co/normativa-y-relatoria/documentos-tipo" TargetMode="External"/><Relationship Id="rId2" Type="http://schemas.openxmlformats.org/officeDocument/2006/relationships/customXml" Target="../customXml/item2.xml"/><Relationship Id="rId16" Type="http://schemas.openxmlformats.org/officeDocument/2006/relationships/hyperlink" Target="https://formacionvirtual.colombiacompra.gov.co/mod/page/view.php?id=371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relatoria.colombiacompra.gov.co/busqueda/concepto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archivos/manual/guia-de-garantias-en-procesos-de-contratacio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FB7117-0D8E-498A-9236-3522CEA57D38}"/>
</file>

<file path=customXml/itemProps2.xml><?xml version="1.0" encoding="utf-8"?>
<ds:datastoreItem xmlns:ds="http://schemas.openxmlformats.org/officeDocument/2006/customXml" ds:itemID="{B14CD372-BED0-46BE-BE03-1E5DB569A412}">
  <ds:schemaRefs>
    <ds:schemaRef ds:uri="http://schemas.openxmlformats.org/officeDocument/2006/bibliography"/>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TotalTime>
  <Pages>20</Pages>
  <Words>6714</Words>
  <Characters>36928</Characters>
  <Application>Microsoft Office Word</Application>
  <DocSecurity>0</DocSecurity>
  <Lines>307</Lines>
  <Paragraphs>87</Paragraphs>
  <ScaleCrop>false</ScaleCrop>
  <Company/>
  <LinksUpToDate>false</LinksUpToDate>
  <CharactersWithSpaces>43555</CharactersWithSpaces>
  <SharedDoc>false</SharedDoc>
  <HLinks>
    <vt:vector size="30" baseType="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6422557</vt:i4>
      </vt:variant>
      <vt:variant>
        <vt:i4>0</vt:i4>
      </vt:variant>
      <vt:variant>
        <vt:i4>0</vt:i4>
      </vt:variant>
      <vt:variant>
        <vt:i4>5</vt:i4>
      </vt:variant>
      <vt:variant>
        <vt:lpwstr>mailto:andrestoroc1@gmail.com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María Ortiz Ballesteros</cp:lastModifiedBy>
  <cp:revision>13</cp:revision>
  <cp:lastPrinted>2023-01-10T21:18:00Z</cp:lastPrinted>
  <dcterms:created xsi:type="dcterms:W3CDTF">2026-07-28T02:59:00Z</dcterms:created>
  <dcterms:modified xsi:type="dcterms:W3CDTF">2026-07-28T14:07:00Z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