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B17D9" w14:textId="77777777" w:rsidR="003A4A06" w:rsidRPr="003A4A06" w:rsidRDefault="003A4A06" w:rsidP="008937FA">
      <w:pPr>
        <w:spacing w:after="0" w:line="240" w:lineRule="auto"/>
        <w:jc w:val="both"/>
        <w:rPr>
          <w:rFonts w:ascii="Verdana" w:eastAsia="Verdana" w:hAnsi="Verdana" w:cs="Verdana"/>
          <w:b/>
          <w:bCs/>
          <w:lang w:val="es-ES_tradnl"/>
        </w:rPr>
      </w:pPr>
      <w:bookmarkStart w:id="0" w:name="_Hlk143780582"/>
      <w:r w:rsidRPr="003A4A06">
        <w:rPr>
          <w:rFonts w:ascii="Verdana" w:eastAsia="Verdana" w:hAnsi="Verdana" w:cs="Verdana"/>
          <w:b/>
          <w:bCs/>
          <w:lang w:val="es-ES"/>
        </w:rPr>
        <w:t>PRINCIPIO DE PUBLICIDAD – Concepto – Fundamento axiológico – Fundamento constitucional</w:t>
      </w:r>
      <w:r w:rsidRPr="003A4A06">
        <w:rPr>
          <w:rFonts w:ascii="Verdana" w:eastAsia="Verdana" w:hAnsi="Verdana" w:cs="Verdana"/>
          <w:b/>
          <w:bCs/>
          <w:lang w:val="es-ES_tradnl"/>
        </w:rPr>
        <w:t xml:space="preserve"> </w:t>
      </w:r>
    </w:p>
    <w:p w14:paraId="1EBEC47F" w14:textId="77777777" w:rsidR="00F64CFC" w:rsidRPr="0091122A" w:rsidRDefault="00F64CFC" w:rsidP="008937FA">
      <w:pPr>
        <w:spacing w:after="0" w:line="240" w:lineRule="auto"/>
        <w:jc w:val="both"/>
        <w:rPr>
          <w:rFonts w:ascii="Verdana" w:hAnsi="Verdana" w:cs="Arial"/>
          <w:b/>
          <w:bCs/>
          <w:sz w:val="20"/>
          <w:szCs w:val="20"/>
          <w:lang w:val="es-ES_tradnl" w:eastAsia="es-ES" w:bidi="es-ES"/>
        </w:rPr>
      </w:pPr>
    </w:p>
    <w:p w14:paraId="17850F63" w14:textId="77777777" w:rsidR="00F64CFC" w:rsidRPr="0091122A" w:rsidRDefault="00F64CFC" w:rsidP="008937FA">
      <w:pPr>
        <w:spacing w:after="0" w:line="240" w:lineRule="auto"/>
        <w:jc w:val="both"/>
        <w:rPr>
          <w:rFonts w:ascii="Verdana" w:eastAsia="Times New Roman" w:hAnsi="Verdana" w:cs="Arial"/>
          <w:sz w:val="20"/>
          <w:szCs w:val="20"/>
          <w:lang w:val="es-ES" w:eastAsia="es-ES"/>
          <w14:ligatures w14:val="standardContextual"/>
        </w:rPr>
      </w:pPr>
      <w:r w:rsidRPr="0091122A">
        <w:rPr>
          <w:rFonts w:ascii="Verdana" w:eastAsia="Times New Roman" w:hAnsi="Verdana" w:cs="Arial"/>
          <w:sz w:val="20"/>
          <w:szCs w:val="20"/>
          <w:lang w:val="es-ES" w:eastAsia="es-ES"/>
          <w14:ligatures w14:val="standardContextual"/>
        </w:rPr>
        <w:t xml:space="preserve">Uno de los postulados más importantes de un Estado social y democrático de derecho es el principio de </w:t>
      </w:r>
      <w:r w:rsidRPr="0091122A">
        <w:rPr>
          <w:rFonts w:ascii="Verdana" w:eastAsia="Times New Roman" w:hAnsi="Verdana" w:cs="Arial"/>
          <w:i/>
          <w:iCs/>
          <w:sz w:val="20"/>
          <w:szCs w:val="20"/>
          <w:lang w:val="es-ES" w:eastAsia="es-ES"/>
          <w14:ligatures w14:val="standardContextual"/>
        </w:rPr>
        <w:t>publicidad</w:t>
      </w:r>
      <w:r w:rsidRPr="0091122A">
        <w:rPr>
          <w:rFonts w:ascii="Verdana" w:eastAsia="Times New Roman" w:hAnsi="Verdana" w:cs="Arial"/>
          <w:sz w:val="20"/>
          <w:szCs w:val="20"/>
          <w:lang w:val="es-ES" w:eastAsia="es-ES"/>
          <w14:ligatures w14:val="standardContextual"/>
        </w:rPr>
        <w:t xml:space="preserve">, pues este permite que las actuaciones de las autoridades gocen de visibilidad. En tal sentido, la filosofía política ha indicado que la democracia “[…] es idealmente el gobierno de un poder visible, es decir, el gobierno cuyos actos se realizan ante el público y bajo la supervisión de la opinión pública”. El secreto generalizado en el ejercicio del poder político constituye, por el contrario, una negación de la democracia, porque dificulta la supervisión de las autoridades por parte de la sociedad civil y establece una barrera para la participación ciudadana. Inspirada en esta concepción axiológica, en los Estados de derecho se pregona la publicidad de las actuaciones de los poderes públicos. Como evidencia de ello,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documentos públicos que no gocen de reserva –y esta, además, es excepcional, pues solo procede si existe causal constitucional o legal expresa–. </w:t>
      </w:r>
    </w:p>
    <w:p w14:paraId="5267C92C" w14:textId="77777777" w:rsidR="00F64CFC" w:rsidRPr="00F64CFC" w:rsidRDefault="00F64CFC" w:rsidP="008937FA">
      <w:pPr>
        <w:spacing w:after="0" w:line="240" w:lineRule="auto"/>
        <w:jc w:val="both"/>
        <w:rPr>
          <w:rFonts w:ascii="Verdana" w:eastAsia="Verdana" w:hAnsi="Verdana" w:cs="Verdana"/>
          <w:b/>
          <w:bCs/>
          <w:lang w:val="es-ES"/>
        </w:rPr>
      </w:pPr>
    </w:p>
    <w:p w14:paraId="43FA99DE" w14:textId="77777777" w:rsidR="003A4A06" w:rsidRDefault="003A4A06" w:rsidP="008937FA">
      <w:pPr>
        <w:spacing w:after="0" w:line="240" w:lineRule="auto"/>
        <w:jc w:val="both"/>
        <w:rPr>
          <w:rFonts w:ascii="Verdana" w:eastAsia="Verdana" w:hAnsi="Verdana" w:cs="Verdana"/>
          <w:b/>
          <w:bCs/>
        </w:rPr>
      </w:pPr>
      <w:r w:rsidRPr="003A4A06">
        <w:rPr>
          <w:rFonts w:ascii="Verdana" w:eastAsia="Verdana" w:hAnsi="Verdana" w:cs="Verdana"/>
          <w:b/>
          <w:bCs/>
          <w:lang w:val="es-ES_tradnl"/>
        </w:rPr>
        <w:t>PRINCIPIO DE PUBLICIDAD – SECOP – Documentos del proceso – Deber de publicación</w:t>
      </w:r>
      <w:r w:rsidRPr="003A4A06">
        <w:rPr>
          <w:rFonts w:ascii="Verdana" w:eastAsia="Verdana" w:hAnsi="Verdana" w:cs="Verdana"/>
          <w:b/>
          <w:bCs/>
        </w:rPr>
        <w:t xml:space="preserve"> </w:t>
      </w:r>
    </w:p>
    <w:p w14:paraId="5C9E58FF" w14:textId="77777777" w:rsidR="003A4A06" w:rsidRPr="00394A77" w:rsidRDefault="003A4A06" w:rsidP="008937FA">
      <w:pPr>
        <w:spacing w:after="0" w:line="240" w:lineRule="auto"/>
        <w:jc w:val="both"/>
        <w:rPr>
          <w:rFonts w:ascii="Verdana" w:eastAsia="Verdana" w:hAnsi="Verdana" w:cs="Verdana"/>
          <w:sz w:val="20"/>
          <w:szCs w:val="20"/>
        </w:rPr>
      </w:pPr>
    </w:p>
    <w:p w14:paraId="538ACE7A" w14:textId="4F6201A8" w:rsidR="00394A77" w:rsidRDefault="00394A77" w:rsidP="008937FA">
      <w:pPr>
        <w:spacing w:after="0" w:line="240" w:lineRule="auto"/>
        <w:jc w:val="both"/>
        <w:rPr>
          <w:rFonts w:ascii="Verdana" w:eastAsia="Verdana" w:hAnsi="Verdana" w:cs="Verdana"/>
          <w:sz w:val="20"/>
          <w:szCs w:val="20"/>
          <w:lang w:val="es-ES_tradnl"/>
        </w:rPr>
      </w:pPr>
      <w:r w:rsidRPr="00394A77">
        <w:rPr>
          <w:rFonts w:ascii="Verdana" w:eastAsia="Verdana" w:hAnsi="Verdana" w:cs="Verdana"/>
          <w:sz w:val="20"/>
          <w:szCs w:val="20"/>
          <w:lang w:val="es-ES_tradn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 En ese contexto, 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3B59D2E3" w14:textId="77777777" w:rsidR="00394A77" w:rsidRPr="00394A77" w:rsidRDefault="00394A77" w:rsidP="008937FA">
      <w:pPr>
        <w:spacing w:after="0" w:line="240" w:lineRule="auto"/>
        <w:jc w:val="both"/>
        <w:rPr>
          <w:rFonts w:ascii="Verdana" w:eastAsia="Verdana" w:hAnsi="Verdana" w:cs="Verdana"/>
          <w:sz w:val="20"/>
          <w:szCs w:val="20"/>
          <w:lang w:val="es-ES_tradnl"/>
        </w:rPr>
      </w:pPr>
    </w:p>
    <w:p w14:paraId="0F200B92" w14:textId="77777777" w:rsidR="00394A77" w:rsidRDefault="00394A77" w:rsidP="008937FA">
      <w:pPr>
        <w:spacing w:after="0" w:line="240" w:lineRule="auto"/>
        <w:jc w:val="both"/>
        <w:rPr>
          <w:rFonts w:ascii="Verdana" w:eastAsia="Verdana" w:hAnsi="Verdana" w:cs="Verdana"/>
          <w:sz w:val="20"/>
          <w:szCs w:val="20"/>
        </w:rPr>
      </w:pPr>
      <w:r w:rsidRPr="00394A77">
        <w:rPr>
          <w:rFonts w:ascii="Verdana" w:eastAsia="Verdana" w:hAnsi="Verdana" w:cs="Verdana"/>
          <w:sz w:val="20"/>
          <w:szCs w:val="20"/>
        </w:rPr>
        <w:t xml:space="preserve">La expresión </w:t>
      </w:r>
      <w:r w:rsidRPr="00394A77">
        <w:rPr>
          <w:rFonts w:ascii="Verdana" w:eastAsia="Verdana" w:hAnsi="Verdana" w:cs="Verdana"/>
          <w:i/>
          <w:iCs/>
          <w:sz w:val="20"/>
          <w:szCs w:val="20"/>
        </w:rPr>
        <w:t xml:space="preserve">Documentos del Proceso </w:t>
      </w:r>
      <w:r w:rsidRPr="00394A77">
        <w:rPr>
          <w:rFonts w:ascii="Verdana" w:eastAsia="Verdana" w:hAnsi="Verdana" w:cs="Verdana"/>
          <w:sz w:val="20"/>
          <w:szCs w:val="20"/>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Pr="00394A77">
        <w:rPr>
          <w:rFonts w:ascii="Verdana" w:eastAsia="Verdana" w:hAnsi="Verdana" w:cs="Verdana"/>
          <w:i/>
          <w:iCs/>
          <w:sz w:val="20"/>
          <w:szCs w:val="20"/>
        </w:rPr>
        <w:t>y cualquier otro documento expedido por la Entidad Estatal durante el Proceso de Contratación</w:t>
      </w:r>
      <w:r w:rsidRPr="00394A77">
        <w:rPr>
          <w:rFonts w:ascii="Verdana" w:eastAsia="Verdana" w:hAnsi="Verdana" w:cs="Verdana"/>
          <w:sz w:val="20"/>
          <w:szCs w:val="20"/>
        </w:rPr>
        <w:t>”. [Énfasis fuera de texto]</w:t>
      </w:r>
    </w:p>
    <w:p w14:paraId="07470E26" w14:textId="77777777" w:rsidR="00394A77" w:rsidRPr="00394A77" w:rsidRDefault="00394A77" w:rsidP="008937FA">
      <w:pPr>
        <w:spacing w:after="0" w:line="240" w:lineRule="auto"/>
        <w:jc w:val="both"/>
        <w:rPr>
          <w:rFonts w:ascii="Verdana" w:eastAsia="Verdana" w:hAnsi="Verdana" w:cs="Verdana"/>
          <w:sz w:val="20"/>
          <w:szCs w:val="20"/>
        </w:rPr>
      </w:pPr>
    </w:p>
    <w:p w14:paraId="5B688D12" w14:textId="77777777" w:rsidR="00394A77" w:rsidRPr="00394A77" w:rsidRDefault="00394A77" w:rsidP="008937FA">
      <w:pPr>
        <w:spacing w:after="0" w:line="240" w:lineRule="auto"/>
        <w:jc w:val="both"/>
        <w:rPr>
          <w:rFonts w:ascii="Verdana" w:eastAsia="Verdana" w:hAnsi="Verdana" w:cs="Verdana"/>
          <w:sz w:val="20"/>
          <w:szCs w:val="20"/>
        </w:rPr>
      </w:pPr>
      <w:r w:rsidRPr="00394A77">
        <w:rPr>
          <w:rFonts w:ascii="Verdana" w:eastAsia="Verdana" w:hAnsi="Verdana" w:cs="Verdana"/>
          <w:sz w:val="20"/>
          <w:szCs w:val="20"/>
        </w:rPr>
        <w:t xml:space="preserve">Sin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w:t>
      </w:r>
      <w:r w:rsidRPr="00394A77">
        <w:rPr>
          <w:rFonts w:ascii="Verdana" w:eastAsia="Verdana" w:hAnsi="Verdana" w:cs="Verdana"/>
          <w:i/>
          <w:iCs/>
          <w:sz w:val="20"/>
          <w:szCs w:val="20"/>
        </w:rPr>
        <w:t>Ibidem</w:t>
      </w:r>
      <w:r w:rsidRPr="00394A77">
        <w:rPr>
          <w:rFonts w:ascii="Verdana" w:eastAsia="Verdana" w:hAnsi="Verdana" w:cs="Verdana"/>
          <w:sz w:val="20"/>
          <w:szCs w:val="20"/>
        </w:rPr>
        <w:t xml:space="preserve"> recoge en la noción de Documentos del Proceso “cualquier otro documento expedido por la Entidad Estatal durante el Proceso de Contratación”. </w:t>
      </w:r>
    </w:p>
    <w:p w14:paraId="58BE7D56" w14:textId="77777777" w:rsidR="003A4A06" w:rsidRDefault="003A4A06" w:rsidP="008937FA">
      <w:pPr>
        <w:spacing w:after="0" w:line="240" w:lineRule="auto"/>
        <w:jc w:val="both"/>
        <w:rPr>
          <w:rFonts w:ascii="Verdana" w:eastAsia="Verdana" w:hAnsi="Verdana" w:cs="Verdana"/>
          <w:b/>
          <w:bCs/>
        </w:rPr>
      </w:pPr>
    </w:p>
    <w:p w14:paraId="428364D8" w14:textId="41C90B2C" w:rsidR="003A4A06" w:rsidRPr="003A4A06" w:rsidRDefault="003A4A06" w:rsidP="008937FA">
      <w:pPr>
        <w:spacing w:after="0" w:line="240" w:lineRule="auto"/>
        <w:jc w:val="both"/>
        <w:rPr>
          <w:rFonts w:ascii="Verdana" w:eastAsia="Verdana" w:hAnsi="Verdana" w:cs="Verdana"/>
          <w:b/>
          <w:bCs/>
        </w:rPr>
      </w:pPr>
      <w:r w:rsidRPr="003A4A06">
        <w:rPr>
          <w:rFonts w:ascii="Verdana" w:eastAsia="Verdana" w:hAnsi="Verdana" w:cs="Verdana"/>
          <w:b/>
          <w:bCs/>
        </w:rPr>
        <w:t xml:space="preserve">DEBER DE PUBLICIDAD – Sujetos Obligados </w:t>
      </w:r>
    </w:p>
    <w:p w14:paraId="044CC179" w14:textId="77777777" w:rsidR="003A4A06" w:rsidRPr="00394A77" w:rsidRDefault="003A4A06" w:rsidP="008937FA">
      <w:pPr>
        <w:spacing w:after="0" w:line="240" w:lineRule="auto"/>
        <w:jc w:val="both"/>
        <w:rPr>
          <w:rFonts w:ascii="Verdana" w:eastAsia="Verdana" w:hAnsi="Verdana" w:cs="Verdana"/>
          <w:sz w:val="20"/>
          <w:szCs w:val="20"/>
        </w:rPr>
      </w:pPr>
    </w:p>
    <w:p w14:paraId="5CBBF281" w14:textId="77777777" w:rsidR="00394A77" w:rsidRDefault="00394A77" w:rsidP="008937FA">
      <w:pPr>
        <w:spacing w:after="0" w:line="240" w:lineRule="auto"/>
        <w:jc w:val="both"/>
        <w:rPr>
          <w:rFonts w:ascii="Verdana" w:eastAsia="Verdana" w:hAnsi="Verdana" w:cs="Verdana"/>
          <w:sz w:val="20"/>
          <w:szCs w:val="20"/>
          <w:lang w:val="es-ES_tradnl"/>
        </w:rPr>
      </w:pPr>
      <w:r w:rsidRPr="00394A77">
        <w:rPr>
          <w:rFonts w:ascii="Verdana" w:eastAsia="Verdana" w:hAnsi="Verdana" w:cs="Verdana"/>
          <w:sz w:val="20"/>
          <w:szCs w:val="20"/>
          <w:lang w:val="es-ES_tradnl"/>
        </w:rPr>
        <w:t>Teniendo en cuenta quienes son los sujetos obligados a publicar la información, es pertinente señalar que el precitado artículo dispone que la Ley 1712 aplica a un amplio conjunto de sujetos obligados, incluyendo todas las entidades públicas de cualquier rama y nivel; órganos autónomos y de control; personas naturales o jurídicas, públicas o privadas, que ejerzan función pública o presten servicios públicos respecto de la información relacionada con dicha función; empresas estatales; partidos y movimientos políticos; y entidades que administren recursos públicos o parafiscales. Además, quienes reciban o intermedien fondos públicos, sin cumplir otros criterios, solo deben cumplir la ley respecto de la información vinculada a esos recursos. Finalmente, aclara que los usuarios privados de información pública no son sujetos obligados.</w:t>
      </w:r>
    </w:p>
    <w:p w14:paraId="63D85296" w14:textId="77777777" w:rsidR="00394A77" w:rsidRPr="00394A77" w:rsidRDefault="00394A77" w:rsidP="008937FA">
      <w:pPr>
        <w:spacing w:after="0" w:line="240" w:lineRule="auto"/>
        <w:jc w:val="both"/>
        <w:rPr>
          <w:rFonts w:ascii="Verdana" w:eastAsia="Verdana" w:hAnsi="Verdana" w:cs="Verdana"/>
          <w:sz w:val="20"/>
          <w:szCs w:val="20"/>
          <w:lang w:val="es-ES_tradnl"/>
        </w:rPr>
      </w:pPr>
    </w:p>
    <w:p w14:paraId="5902FD48" w14:textId="47974F76" w:rsidR="003A4A06" w:rsidRPr="00394A77" w:rsidRDefault="00394A77" w:rsidP="008937FA">
      <w:pPr>
        <w:spacing w:after="0" w:line="240" w:lineRule="auto"/>
        <w:jc w:val="both"/>
        <w:rPr>
          <w:rFonts w:ascii="Verdana" w:eastAsia="Verdana" w:hAnsi="Verdana" w:cs="Verdana"/>
          <w:sz w:val="20"/>
          <w:szCs w:val="20"/>
          <w:lang w:val="es-ES_tradnl"/>
        </w:rPr>
      </w:pPr>
      <w:r w:rsidRPr="00394A77">
        <w:rPr>
          <w:rFonts w:ascii="Verdana" w:eastAsia="Verdana" w:hAnsi="Verdana" w:cs="Verdana"/>
          <w:sz w:val="20"/>
          <w:szCs w:val="20"/>
          <w:lang w:val="es-ES_tradnl"/>
        </w:rPr>
        <w:t xml:space="preserve">Dicho artículo establece una serie de entidades y organizaciones que no se caracterizan siempre por ser de naturaleza pública, sino que depende de la función o a la administración de recursos para cumplir el deber de publicar su información. Así mismo, el artículo 9 de la Ley 1712 de 2014 exige que todo sujeto obligado publique de forma proactiva información básica sobre su estructura y gestión: su organización interna, funciones, sedes y horarios; su presupuesto, ejecución y planes de gasto; un directorio con cargos, contactos y escalas salariales; las normas, políticas, metas, manuales e indicadores de desempeño; el plan anual de compras y los contratos adjudicados, incluyendo datos esenciales de los contratistas; los plazos de los contratos; y el Plan Anticorrupción y de Atención al Ciudadano. Además, la información debe ser clara, comprensible, veraz y oportuna, ajustarse a los formatos definidos por Función Pública para servidores y contratistas, y cumplir con las directrices de la estrategia de gobierno en línea. </w:t>
      </w:r>
    </w:p>
    <w:p w14:paraId="51FFCE95" w14:textId="77777777" w:rsidR="003A4A06" w:rsidRPr="003A4A06" w:rsidRDefault="003A4A06" w:rsidP="008937FA">
      <w:pPr>
        <w:spacing w:after="0" w:line="240" w:lineRule="auto"/>
        <w:jc w:val="both"/>
        <w:rPr>
          <w:rFonts w:ascii="Verdana" w:eastAsia="Verdana" w:hAnsi="Verdana" w:cs="Verdana"/>
          <w:b/>
          <w:bCs/>
        </w:rPr>
      </w:pPr>
    </w:p>
    <w:p w14:paraId="17F6A95D" w14:textId="109C8D88" w:rsidR="003A4A06" w:rsidRDefault="003A4A06" w:rsidP="008937FA">
      <w:pPr>
        <w:spacing w:after="0" w:line="240" w:lineRule="auto"/>
        <w:jc w:val="both"/>
        <w:rPr>
          <w:rFonts w:ascii="Verdana" w:eastAsia="Verdana" w:hAnsi="Verdana" w:cs="Verdana"/>
          <w:b/>
          <w:bCs/>
        </w:rPr>
      </w:pPr>
      <w:r w:rsidRPr="003A4A06">
        <w:rPr>
          <w:rFonts w:ascii="Verdana" w:eastAsia="Verdana" w:hAnsi="Verdana" w:cs="Verdana"/>
          <w:b/>
          <w:bCs/>
        </w:rPr>
        <w:t>IPS</w:t>
      </w:r>
      <w:r w:rsidR="006F4182">
        <w:rPr>
          <w:rFonts w:ascii="Verdana" w:eastAsia="Verdana" w:hAnsi="Verdana" w:cs="Verdana"/>
          <w:b/>
          <w:bCs/>
        </w:rPr>
        <w:t xml:space="preserve"> </w:t>
      </w:r>
      <w:r w:rsidRPr="003A4A06">
        <w:rPr>
          <w:rFonts w:ascii="Verdana" w:eastAsia="Verdana" w:hAnsi="Verdana" w:cs="Verdana"/>
          <w:b/>
          <w:bCs/>
        </w:rPr>
        <w:t xml:space="preserve">– Naturaleza Jurídica </w:t>
      </w:r>
    </w:p>
    <w:p w14:paraId="6C9EEA67" w14:textId="77777777" w:rsidR="003A4A06" w:rsidRPr="00794B6A" w:rsidRDefault="003A4A06" w:rsidP="008937FA">
      <w:pPr>
        <w:spacing w:after="0" w:line="240" w:lineRule="auto"/>
        <w:jc w:val="both"/>
        <w:rPr>
          <w:rFonts w:ascii="Verdana" w:eastAsia="Verdana" w:hAnsi="Verdana" w:cs="Verdana"/>
          <w:sz w:val="20"/>
          <w:szCs w:val="20"/>
        </w:rPr>
      </w:pPr>
    </w:p>
    <w:p w14:paraId="3D4872A7" w14:textId="2FC74894" w:rsidR="00794B6A" w:rsidRDefault="00794B6A" w:rsidP="008937FA">
      <w:pPr>
        <w:spacing w:after="0" w:line="240" w:lineRule="auto"/>
        <w:jc w:val="both"/>
        <w:rPr>
          <w:rFonts w:ascii="Verdana" w:eastAsia="Verdana" w:hAnsi="Verdana" w:cs="Verdana"/>
          <w:sz w:val="20"/>
          <w:szCs w:val="20"/>
          <w:lang w:val="es"/>
        </w:rPr>
      </w:pPr>
      <w:r w:rsidRPr="00794B6A">
        <w:rPr>
          <w:rFonts w:ascii="Verdana" w:eastAsia="Verdana" w:hAnsi="Verdana" w:cs="Verdana"/>
          <w:sz w:val="20"/>
          <w:szCs w:val="20"/>
          <w:lang w:val="es"/>
        </w:rPr>
        <w:t>Para comprender la naturaleza de las Instituciones Prestadoras de Servicios de Salud -IPS-, es importante resaltar que   la Corte Constitucional ha señalado que la Ley 100 de 1993 estructuró el Sistema General de Seguridad Social en Salud con el propósito de alcanzar la cobertura universal mediante un modelo institucional que distribuye las funciones entre los distintos actores que lo integran. En ese diseño, las Entidades Promotoras de Salud (EPS) tienen a su cargo la afiliación de los usuarios y la garantía de la prestación del Plan Obligatorio de Salud, mientras que las Instituciones Prestadoras de Servicios de Salud (IPS) son las entidades organizadas para la prestación efectiva de los servicios de salud. Asimismo, la Corte ha destacado que el legislador configuró un sistema que permite la concurrencia de entidades públicas y privadas en condiciones de libre competencia, sin que desvirtúe el carácter de interés público y la finalidad social del servicio de salud, pues el ejercicio de la libertad económica se encuentra sometido al marco legal y a las facultades de regulación, vigilancia y control que corresponden al Estado.</w:t>
      </w:r>
    </w:p>
    <w:p w14:paraId="5CA37BE1" w14:textId="77777777" w:rsidR="00794B6A" w:rsidRPr="00794B6A" w:rsidRDefault="00794B6A" w:rsidP="008937FA">
      <w:pPr>
        <w:spacing w:after="0" w:line="240" w:lineRule="auto"/>
        <w:jc w:val="both"/>
        <w:rPr>
          <w:rFonts w:ascii="Verdana" w:eastAsia="Verdana" w:hAnsi="Verdana" w:cs="Verdana"/>
          <w:sz w:val="20"/>
          <w:szCs w:val="20"/>
          <w:lang w:val="es"/>
        </w:rPr>
      </w:pPr>
    </w:p>
    <w:p w14:paraId="1F6337A1" w14:textId="77777777" w:rsidR="00794B6A" w:rsidRPr="00794B6A" w:rsidRDefault="00794B6A" w:rsidP="008937FA">
      <w:pPr>
        <w:spacing w:after="0" w:line="240" w:lineRule="auto"/>
        <w:jc w:val="both"/>
        <w:rPr>
          <w:rFonts w:ascii="Verdana" w:eastAsia="Verdana" w:hAnsi="Verdana" w:cs="Verdana"/>
          <w:sz w:val="20"/>
          <w:szCs w:val="20"/>
          <w:lang w:val="es"/>
        </w:rPr>
      </w:pPr>
      <w:r w:rsidRPr="00794B6A">
        <w:rPr>
          <w:rFonts w:ascii="Verdana" w:eastAsia="Verdana" w:hAnsi="Verdana" w:cs="Verdana"/>
          <w:sz w:val="20"/>
          <w:szCs w:val="20"/>
          <w:lang w:val="es"/>
        </w:rPr>
        <w:lastRenderedPageBreak/>
        <w:t xml:space="preserve">La Ley 100 de 1993 incluye dentro de los integrantes del Sistema General de Seguridad Social en Salud a las Instituciones Prestadoras de Servicios de Salud (IPS), comprendiendo bajo esa denominación a las entidades de naturaleza pública, mixta y privada. A su vez, el artículo 185 </w:t>
      </w:r>
      <w:proofErr w:type="spellStart"/>
      <w:r w:rsidRPr="00794B6A">
        <w:rPr>
          <w:rFonts w:ascii="Verdana" w:eastAsia="Verdana" w:hAnsi="Verdana" w:cs="Verdana"/>
          <w:i/>
          <w:iCs/>
          <w:sz w:val="20"/>
          <w:szCs w:val="20"/>
          <w:lang w:val="es"/>
        </w:rPr>
        <w:t>ibídem</w:t>
      </w:r>
      <w:proofErr w:type="spellEnd"/>
      <w:r w:rsidRPr="00794B6A">
        <w:rPr>
          <w:rFonts w:ascii="Verdana" w:eastAsia="Verdana" w:hAnsi="Verdana" w:cs="Verdana"/>
          <w:sz w:val="20"/>
          <w:szCs w:val="20"/>
          <w:lang w:val="es"/>
        </w:rPr>
        <w:t xml:space="preserve"> dispone que las Instituciones Prestadoras de Servicios de Salud (IPS) tienen como función prestar los servicios de salud correspondientes a su nivel de atención a los afiliados y beneficiarios del Sistema, de conformidad con los principios y parámetros establecidos en la ley. Asimismo, establece que las IPS deben regirse por los principios de calidad, eficiencia y autonomía administrativa, técnica y financiera, promover la libre concurrencia mediante el suministro de información oportuna, suficiente y veraz a los usuarios, abstenerse de realizar prácticas que afecten la libre competencia o interrumpan la prestación de los servicios de salud, y cumplir los requisitos que determine el Ministerio de Salud para su constitución.</w:t>
      </w:r>
    </w:p>
    <w:p w14:paraId="5CDCC521" w14:textId="77777777" w:rsidR="003A4A06" w:rsidRPr="00794B6A" w:rsidRDefault="003A4A06" w:rsidP="008937FA">
      <w:pPr>
        <w:spacing w:after="0" w:line="240" w:lineRule="auto"/>
        <w:jc w:val="both"/>
        <w:rPr>
          <w:rFonts w:ascii="Verdana" w:eastAsia="Verdana" w:hAnsi="Verdana" w:cs="Verdana"/>
          <w:b/>
          <w:bCs/>
          <w:lang w:val="es"/>
        </w:rPr>
      </w:pPr>
    </w:p>
    <w:p w14:paraId="22791032" w14:textId="60EE5EAA" w:rsidR="003A4A06" w:rsidRPr="003A4A06" w:rsidRDefault="003A4A06" w:rsidP="008937FA">
      <w:pPr>
        <w:spacing w:after="0" w:line="240" w:lineRule="auto"/>
        <w:jc w:val="both"/>
        <w:rPr>
          <w:rFonts w:ascii="Verdana" w:eastAsia="Verdana" w:hAnsi="Verdana" w:cs="Verdana"/>
          <w:b/>
          <w:bCs/>
        </w:rPr>
      </w:pPr>
      <w:r w:rsidRPr="003A4A06">
        <w:rPr>
          <w:rFonts w:ascii="Verdana" w:eastAsia="Verdana" w:hAnsi="Verdana" w:cs="Verdana"/>
          <w:b/>
          <w:bCs/>
        </w:rPr>
        <w:t>IPS</w:t>
      </w:r>
      <w:r w:rsidR="006F4182">
        <w:rPr>
          <w:rFonts w:ascii="Verdana" w:eastAsia="Verdana" w:hAnsi="Verdana" w:cs="Verdana"/>
          <w:b/>
          <w:bCs/>
        </w:rPr>
        <w:t xml:space="preserve"> </w:t>
      </w:r>
      <w:r w:rsidRPr="003A4A06">
        <w:rPr>
          <w:rFonts w:ascii="Verdana" w:eastAsia="Verdana" w:hAnsi="Verdana" w:cs="Verdana"/>
          <w:b/>
          <w:bCs/>
        </w:rPr>
        <w:t xml:space="preserve">– Particulares que gestionan recursos públicos – Entidades de Régimen Especial </w:t>
      </w:r>
    </w:p>
    <w:p w14:paraId="53C11530" w14:textId="77777777" w:rsidR="003A4A06" w:rsidRPr="008937FA" w:rsidRDefault="003A4A06" w:rsidP="008937FA">
      <w:pPr>
        <w:spacing w:after="0" w:line="240" w:lineRule="auto"/>
        <w:jc w:val="both"/>
        <w:rPr>
          <w:rFonts w:ascii="Verdana" w:eastAsia="Verdana" w:hAnsi="Verdana" w:cs="Verdana"/>
          <w:sz w:val="20"/>
          <w:szCs w:val="20"/>
        </w:rPr>
      </w:pPr>
    </w:p>
    <w:p w14:paraId="1DA7C9E1" w14:textId="77777777" w:rsidR="008937FA" w:rsidRDefault="008937FA" w:rsidP="008937FA">
      <w:pPr>
        <w:spacing w:after="0" w:line="240" w:lineRule="auto"/>
        <w:jc w:val="both"/>
        <w:rPr>
          <w:rFonts w:ascii="Verdana" w:eastAsia="Verdana" w:hAnsi="Verdana" w:cs="Verdana"/>
          <w:sz w:val="20"/>
          <w:szCs w:val="20"/>
          <w:lang w:val="es"/>
        </w:rPr>
      </w:pPr>
      <w:r w:rsidRPr="008937FA">
        <w:rPr>
          <w:rFonts w:ascii="Verdana" w:eastAsia="Verdana" w:hAnsi="Verdana" w:cs="Verdana"/>
          <w:sz w:val="20"/>
          <w:szCs w:val="20"/>
          <w:lang w:val="es"/>
        </w:rPr>
        <w:t>Asimismo, la Corte destacó que la naturaleza parafiscal de estos recursos implica que su administración se encuentra sometida al principio de destinación específica previsto en el artículo 48 de la Constitución Política. En ese sentido, explicó que la protección constitucional recae sobre los recursos de la seguridad social y no sobre la naturaleza pública o privada de la entidad que interviene en su administración. Por ello, mientras los recursos conserven su destinación a la financiación del Sistema General de Seguridad Social en Salud, permanecen amparados por la protección constitucional prevista en el artículo 48 Superior.</w:t>
      </w:r>
    </w:p>
    <w:p w14:paraId="5420ACE2" w14:textId="77777777" w:rsidR="008937FA" w:rsidRPr="008937FA" w:rsidRDefault="008937FA" w:rsidP="008937FA">
      <w:pPr>
        <w:spacing w:after="0" w:line="240" w:lineRule="auto"/>
        <w:jc w:val="both"/>
        <w:rPr>
          <w:rFonts w:ascii="Verdana" w:eastAsia="Verdana" w:hAnsi="Verdana" w:cs="Verdana"/>
          <w:sz w:val="20"/>
          <w:szCs w:val="20"/>
          <w:lang w:val="es"/>
        </w:rPr>
      </w:pPr>
    </w:p>
    <w:p w14:paraId="48F878FB" w14:textId="2E441BA8" w:rsidR="008937FA" w:rsidRDefault="008937FA" w:rsidP="008937FA">
      <w:pPr>
        <w:spacing w:after="0" w:line="240" w:lineRule="auto"/>
        <w:jc w:val="both"/>
        <w:rPr>
          <w:rFonts w:ascii="Verdana" w:eastAsia="Verdana" w:hAnsi="Verdana" w:cs="Verdana"/>
          <w:sz w:val="20"/>
          <w:szCs w:val="20"/>
          <w:lang w:val="es"/>
        </w:rPr>
      </w:pPr>
      <w:r w:rsidRPr="008937FA">
        <w:rPr>
          <w:rFonts w:ascii="Verdana" w:eastAsia="Verdana" w:hAnsi="Verdana" w:cs="Verdana"/>
          <w:sz w:val="20"/>
          <w:szCs w:val="20"/>
          <w:lang w:val="es"/>
        </w:rPr>
        <w:t xml:space="preserve">En tal sentido, las Instituciones Prestadoras de Servicios de Salud (IPS) obtienen ingresos provenientes de diversas fuentes y no exclusivamente de los recursos del Sistema General de Seguridad Social en Salud. En efecto, además de los pagos derivados de la prestación de servicios financiados con recursos del Sistema, las IPS pueden percibir ingresos por la prestación de otros servicios de salud, como los correspondientes a planes adicionales, medicina prepagada, pólizas de seguros u otros servicios ajenos al Plan Obligatorio de Salud. En consecuencia, los recursos de las IPS no tienen, en su integridad, naturaleza parafiscal ni destinación específica, circunstancia que las diferencia de las EPS y de las entidades administradoras del Sistema.   </w:t>
      </w:r>
    </w:p>
    <w:p w14:paraId="4919ABE6" w14:textId="77777777" w:rsidR="008937FA" w:rsidRDefault="008937FA" w:rsidP="008937FA">
      <w:pPr>
        <w:spacing w:after="0" w:line="240" w:lineRule="auto"/>
        <w:jc w:val="both"/>
        <w:rPr>
          <w:rFonts w:ascii="Verdana" w:eastAsia="Verdana" w:hAnsi="Verdana" w:cs="Verdana"/>
          <w:b/>
          <w:bCs/>
        </w:rPr>
      </w:pPr>
    </w:p>
    <w:p w14:paraId="726340DC" w14:textId="3BE7DD18" w:rsidR="003A4A06" w:rsidRPr="003A4A06" w:rsidRDefault="003A4A06" w:rsidP="008937FA">
      <w:pPr>
        <w:spacing w:after="0" w:line="240" w:lineRule="auto"/>
        <w:jc w:val="both"/>
        <w:rPr>
          <w:rFonts w:ascii="Verdana" w:eastAsia="Verdana" w:hAnsi="Verdana" w:cs="Verdana"/>
          <w:b/>
          <w:bCs/>
        </w:rPr>
      </w:pPr>
      <w:r w:rsidRPr="003A4A06">
        <w:rPr>
          <w:rFonts w:ascii="Verdana" w:eastAsia="Verdana" w:hAnsi="Verdana" w:cs="Verdana"/>
          <w:b/>
          <w:bCs/>
        </w:rPr>
        <w:t xml:space="preserve">IPS – Formas organizativas – IPS Universitaria </w:t>
      </w:r>
    </w:p>
    <w:p w14:paraId="78E469A6" w14:textId="77777777" w:rsidR="008937FA" w:rsidRPr="008937FA" w:rsidRDefault="008937FA" w:rsidP="008937FA">
      <w:pPr>
        <w:spacing w:after="0" w:line="240" w:lineRule="auto"/>
        <w:jc w:val="both"/>
        <w:rPr>
          <w:rFonts w:ascii="Verdana" w:eastAsia="Verdana" w:hAnsi="Verdana" w:cs="Verdana"/>
          <w:sz w:val="20"/>
          <w:szCs w:val="20"/>
          <w:lang w:val="es"/>
        </w:rPr>
      </w:pPr>
    </w:p>
    <w:p w14:paraId="6DB5F000" w14:textId="77777777" w:rsidR="008937FA" w:rsidRPr="008937FA" w:rsidRDefault="008937FA" w:rsidP="008937FA">
      <w:pPr>
        <w:spacing w:after="0" w:line="240" w:lineRule="auto"/>
        <w:jc w:val="both"/>
        <w:rPr>
          <w:rFonts w:ascii="Verdana" w:eastAsia="Verdana" w:hAnsi="Verdana" w:cs="Verdana"/>
          <w:sz w:val="20"/>
          <w:szCs w:val="20"/>
        </w:rPr>
      </w:pPr>
      <w:r w:rsidRPr="008937FA">
        <w:rPr>
          <w:rFonts w:ascii="Verdana" w:eastAsia="Verdana" w:hAnsi="Verdana" w:cs="Verdana"/>
          <w:sz w:val="20"/>
          <w:szCs w:val="20"/>
          <w:lang w:val="es"/>
        </w:rPr>
        <w:t xml:space="preserve">Las Instituciones Prestadoras de Servicios de Salud (IPS) no conforman una categoría homogénea ni tienen una única naturaleza jurídica. De acuerdo con la Ley 100 de 1993, estas pueden ser oficiales, mixtas, privadas, comunitarias o solidarias, y estar organizadas dentro de las Entidades Promotoras de Salud o por fuera de ellas, con el propósito de prestar servicios de salud a los afiliados del Sistema General de Seguridad Social en Salud. En este asunto, puede encontrarse que las IPS que tienen la calidad de hospitales universitarios, que son definidos por el artículo 100 de la Ley 1438 de 2011 </w:t>
      </w:r>
      <w:r w:rsidRPr="008937FA">
        <w:rPr>
          <w:rFonts w:ascii="Verdana" w:eastAsia="Verdana" w:hAnsi="Verdana" w:cs="Verdana"/>
          <w:sz w:val="20"/>
          <w:szCs w:val="20"/>
          <w:lang w:val="es"/>
        </w:rPr>
        <w:lastRenderedPageBreak/>
        <w:t>modificado por la Ley 2010 de 2019 y la Ley 2333 de 2023: “</w:t>
      </w:r>
      <w:r w:rsidRPr="008937FA">
        <w:rPr>
          <w:rFonts w:ascii="Verdana" w:eastAsia="Verdana" w:hAnsi="Verdana" w:cs="Verdana"/>
          <w:sz w:val="20"/>
          <w:szCs w:val="20"/>
        </w:rPr>
        <w:t>El hospital universitario es una institución prestadora de salud que proporciona entrenamiento universitario, enfocado principalmente en programas de posgrado, supervisado por autoridades académicas competentes y comprometidas con las funciones de formación, investigación y extensión”.</w:t>
      </w:r>
    </w:p>
    <w:p w14:paraId="28A9F102" w14:textId="77777777" w:rsidR="008937FA" w:rsidRPr="008937FA" w:rsidRDefault="008937FA" w:rsidP="008937FA">
      <w:pPr>
        <w:spacing w:after="0" w:line="240" w:lineRule="auto"/>
        <w:jc w:val="both"/>
        <w:rPr>
          <w:rFonts w:ascii="Verdana" w:eastAsia="Verdana" w:hAnsi="Verdana" w:cs="Verdana"/>
          <w:sz w:val="20"/>
          <w:szCs w:val="20"/>
          <w:lang w:val="es"/>
        </w:rPr>
      </w:pPr>
    </w:p>
    <w:p w14:paraId="77C52303" w14:textId="77777777" w:rsidR="008937FA" w:rsidRPr="008937FA" w:rsidRDefault="008937FA" w:rsidP="008937FA">
      <w:pPr>
        <w:spacing w:after="0" w:line="240" w:lineRule="auto"/>
        <w:jc w:val="both"/>
        <w:rPr>
          <w:rFonts w:ascii="Verdana" w:eastAsia="Verdana" w:hAnsi="Verdana" w:cs="Verdana"/>
          <w:sz w:val="20"/>
          <w:szCs w:val="20"/>
          <w:lang w:val="es"/>
        </w:rPr>
      </w:pPr>
      <w:r w:rsidRPr="008937FA">
        <w:rPr>
          <w:rFonts w:ascii="Verdana" w:eastAsia="Verdana" w:hAnsi="Verdana" w:cs="Verdana"/>
          <w:sz w:val="20"/>
          <w:szCs w:val="20"/>
          <w:lang w:val="es"/>
        </w:rPr>
        <w:t>Esta diversidad supone que la denominación de IPS identifica principalmente la actividad de prestación de servicios de salud, pero no determina por sí sola una forma jurídica específica. Bajo dicha categoría pueden concurrir entidades constituidas conforme a diferentes modelos organizativos y sometidas a regímenes jurídicos distintos, según su naturaleza, su forma de creación y las disposiciones especiales que resulten aplicables.</w:t>
      </w:r>
    </w:p>
    <w:p w14:paraId="44A22A9D" w14:textId="77777777" w:rsidR="003A4A06" w:rsidRPr="008937FA" w:rsidRDefault="003A4A06" w:rsidP="008937FA">
      <w:pPr>
        <w:spacing w:after="0" w:line="240" w:lineRule="auto"/>
        <w:jc w:val="both"/>
        <w:rPr>
          <w:rFonts w:ascii="Verdana" w:eastAsia="Verdana" w:hAnsi="Verdana" w:cs="Verdana"/>
          <w:b/>
          <w:bCs/>
          <w:lang w:val="es"/>
        </w:rPr>
      </w:pPr>
    </w:p>
    <w:p w14:paraId="6FD937E7" w14:textId="63AA34D3" w:rsidR="003A4A06" w:rsidRPr="003A4A06" w:rsidRDefault="003A4A06" w:rsidP="008937FA">
      <w:pPr>
        <w:spacing w:after="0" w:line="240" w:lineRule="auto"/>
        <w:jc w:val="both"/>
        <w:rPr>
          <w:rFonts w:ascii="Verdana" w:eastAsia="Verdana" w:hAnsi="Verdana" w:cs="Verdana"/>
          <w:b/>
          <w:bCs/>
        </w:rPr>
      </w:pPr>
      <w:r w:rsidRPr="003A4A06">
        <w:rPr>
          <w:rFonts w:ascii="Verdana" w:eastAsia="Verdana" w:hAnsi="Verdana" w:cs="Verdana"/>
          <w:b/>
          <w:bCs/>
        </w:rPr>
        <w:t xml:space="preserve">DEBER DE PUBLICIDAD – Sujetos Obligados – Particulares que gestionan recursos públicos – Entidades de Régimen Especial </w:t>
      </w:r>
    </w:p>
    <w:p w14:paraId="20F864F8" w14:textId="77777777" w:rsidR="003A4A06" w:rsidRPr="007D3071" w:rsidRDefault="003A4A06" w:rsidP="008937FA">
      <w:pPr>
        <w:spacing w:after="0" w:line="240" w:lineRule="auto"/>
        <w:jc w:val="both"/>
        <w:rPr>
          <w:rFonts w:ascii="Verdana" w:eastAsia="Verdana" w:hAnsi="Verdana" w:cs="Verdana"/>
          <w:sz w:val="20"/>
          <w:szCs w:val="20"/>
        </w:rPr>
      </w:pPr>
    </w:p>
    <w:p w14:paraId="1FC72CB0" w14:textId="77777777" w:rsidR="007D3071" w:rsidRPr="00BF209B" w:rsidRDefault="007D3071" w:rsidP="008937FA">
      <w:pPr>
        <w:spacing w:after="0" w:line="240" w:lineRule="auto"/>
        <w:jc w:val="both"/>
        <w:rPr>
          <w:rFonts w:ascii="Verdana" w:eastAsia="Verdana" w:hAnsi="Verdana" w:cs="Verdana"/>
          <w:sz w:val="20"/>
          <w:szCs w:val="20"/>
          <w:lang w:val="es-ES"/>
        </w:rPr>
      </w:pPr>
      <w:r w:rsidRPr="00BF209B">
        <w:rPr>
          <w:rFonts w:ascii="Verdana" w:eastAsia="Verdana" w:hAnsi="Verdana" w:cs="Verdana"/>
          <w:sz w:val="20"/>
          <w:szCs w:val="20"/>
          <w:lang w:val="es-ES"/>
        </w:rPr>
        <w:t xml:space="preserve">A partir de las consideraciones expuestas, puede afirmarse que las IPS pueden asumir distintas configuraciones jurídicas según la participación de entidades públicas en su conformación y el origen de los recursos que administran. En algunos casos, pueden operar como particulares que gestionan recursos públicos; en otros, adquieren la condición de entidades de régimen especial cuando la presencia estatal es determinante, como ocurre con la participación de Empresas Sociales del Estado. Por ello, se considera pertinente exponer los fundamentos normativos de cada escenario planteado para aludir las obligaciones que les pueden ser aplicables dentro del Sistema de Compras Públicas. </w:t>
      </w:r>
    </w:p>
    <w:p w14:paraId="09ADA09A" w14:textId="77777777" w:rsidR="007D3071" w:rsidRPr="00BF209B" w:rsidRDefault="007D3071" w:rsidP="008937FA">
      <w:pPr>
        <w:spacing w:after="0" w:line="240" w:lineRule="auto"/>
        <w:jc w:val="both"/>
        <w:rPr>
          <w:rFonts w:ascii="Verdana" w:eastAsia="Verdana" w:hAnsi="Verdana" w:cs="Verdana"/>
          <w:sz w:val="20"/>
          <w:szCs w:val="20"/>
          <w:lang w:val="es-ES"/>
        </w:rPr>
      </w:pPr>
    </w:p>
    <w:p w14:paraId="370A23A5" w14:textId="77777777" w:rsidR="007D3071" w:rsidRPr="00BF209B" w:rsidRDefault="007D3071" w:rsidP="008937FA">
      <w:pPr>
        <w:spacing w:after="0" w:line="240" w:lineRule="auto"/>
        <w:jc w:val="both"/>
        <w:rPr>
          <w:rFonts w:ascii="Verdana" w:eastAsia="Verdana" w:hAnsi="Verdana" w:cs="Verdana"/>
          <w:sz w:val="20"/>
          <w:szCs w:val="20"/>
          <w:lang w:val="es-ES_tradnl"/>
        </w:rPr>
      </w:pPr>
      <w:r w:rsidRPr="00BF209B">
        <w:rPr>
          <w:rFonts w:ascii="Verdana" w:eastAsia="Verdana" w:hAnsi="Verdana" w:cs="Verdana"/>
          <w:sz w:val="20"/>
          <w:szCs w:val="20"/>
        </w:rPr>
        <w:t xml:space="preserve">a. Particulares que administran recursos públicos. Es pertinente señalar que los </w:t>
      </w:r>
      <w:r w:rsidRPr="00BF209B">
        <w:rPr>
          <w:rFonts w:ascii="Verdana" w:eastAsia="Verdana" w:hAnsi="Verdana" w:cs="Verdana"/>
          <w:sz w:val="20"/>
          <w:szCs w:val="20"/>
          <w:lang w:val="es-ES_tradnl"/>
        </w:rPr>
        <w:t xml:space="preserve">particulares que cumplen funciones administrativas y que ejecutan recursos públicos son sujetos obligados de la Ley 1712 de 2014, como lo dispone los literales d y g del artículo 5. En tal sentido, el literal g) del artículo 11 de la Ley 1712 de 2014, dispone que todos los destinatarios de la Ley Estatutaria de Transparencia y Acceso a la Información Pública deben garantizar la publicidad de “sus procedimientos, lineamientos, políticas en materia de adquisiciones y compras, así como todos los datos de adjudicación y ejecución de contratos, incluidos concursos y licitaciones”. </w:t>
      </w:r>
    </w:p>
    <w:p w14:paraId="7007812B" w14:textId="77777777" w:rsidR="007D3071" w:rsidRPr="00BF209B" w:rsidRDefault="007D3071" w:rsidP="008937FA">
      <w:pPr>
        <w:spacing w:after="0" w:line="240" w:lineRule="auto"/>
        <w:jc w:val="both"/>
        <w:rPr>
          <w:rFonts w:ascii="Verdana" w:eastAsia="Verdana" w:hAnsi="Verdana" w:cs="Verdana"/>
          <w:sz w:val="20"/>
          <w:szCs w:val="20"/>
          <w:lang w:val="es-ES_tradnl"/>
        </w:rPr>
      </w:pPr>
    </w:p>
    <w:p w14:paraId="1B064444" w14:textId="4870F83B" w:rsidR="007D3071" w:rsidRPr="00BF209B" w:rsidRDefault="007D3071" w:rsidP="008937FA">
      <w:pPr>
        <w:spacing w:after="0" w:line="240" w:lineRule="auto"/>
        <w:jc w:val="both"/>
        <w:rPr>
          <w:rFonts w:ascii="Verdana" w:eastAsia="Verdana" w:hAnsi="Verdana" w:cs="Verdana"/>
          <w:sz w:val="20"/>
          <w:szCs w:val="20"/>
        </w:rPr>
      </w:pPr>
      <w:r w:rsidRPr="00BF209B">
        <w:rPr>
          <w:rFonts w:ascii="Verdana" w:eastAsia="Verdana" w:hAnsi="Verdana" w:cs="Verdana"/>
          <w:sz w:val="20"/>
          <w:szCs w:val="20"/>
          <w:lang w:val="es-ES_tradnl"/>
        </w:rPr>
        <w:t xml:space="preserve">En ese contexto, el Decreto 1080 de 2015 </w:t>
      </w:r>
      <w:r w:rsidRPr="00BF209B">
        <w:rPr>
          <w:rFonts w:ascii="Verdana" w:eastAsia="Verdana" w:hAnsi="Verdana" w:cs="Verdana"/>
          <w:sz w:val="20"/>
          <w:szCs w:val="20"/>
        </w:rPr>
        <w:t>“Por medio del cual se expide el Decreto Único Reglamentario del Sector Cultura” dispuso en el artículo 2.8.3.1.5.</w:t>
      </w:r>
      <w:r w:rsidRPr="00BF209B">
        <w:rPr>
          <w:rFonts w:ascii="Verdana" w:eastAsia="Verdana" w:hAnsi="Verdana" w:cs="Verdana"/>
          <w:sz w:val="20"/>
          <w:szCs w:val="20"/>
          <w:lang w:val="es-MX"/>
        </w:rPr>
        <w:t xml:space="preserve"> que de acuerdo con el literal c) del artículo 3° de la Ley 1150 de 2007, el Sistema de Información del Estado en el cual los sujetos obligados que contratan con recursos públicos están en la obligación de publicar la información de su gestión contractual en el Sistema Electrónico para la Contratación Pública –SECOP-, y que el término de publicación es lo prescrito en el Decreto 1510 de 2013, esto es, lo definido en el Decreto Compilatorio 1082 de 1015, que en el </w:t>
      </w:r>
      <w:r w:rsidRPr="00BF209B">
        <w:rPr>
          <w:rFonts w:ascii="Verdana" w:eastAsia="Verdana" w:hAnsi="Verdana" w:cs="Verdana"/>
          <w:sz w:val="20"/>
          <w:szCs w:val="20"/>
          <w:lang w:val="es-ES_tradnl"/>
        </w:rPr>
        <w:t>artículo 2.2.1.1.1.7.1, establece la obligación de publicar en el SECOP “[…] los Documentos del Proceso y los actos administrativos del Proceso de Contratación, dentro de los tres (3) días siguientes a su expedición […]”.</w:t>
      </w:r>
    </w:p>
    <w:p w14:paraId="491883F6" w14:textId="77777777" w:rsidR="003A4A06" w:rsidRPr="00BF209B" w:rsidRDefault="003A4A06" w:rsidP="008937FA">
      <w:pPr>
        <w:spacing w:after="0" w:line="240" w:lineRule="auto"/>
        <w:jc w:val="both"/>
        <w:rPr>
          <w:rFonts w:ascii="Verdana" w:eastAsia="Verdana" w:hAnsi="Verdana" w:cs="Verdana"/>
          <w:sz w:val="20"/>
          <w:szCs w:val="20"/>
        </w:rPr>
      </w:pPr>
    </w:p>
    <w:p w14:paraId="6BEDFDC9" w14:textId="77777777" w:rsidR="00BF209B" w:rsidRDefault="00BF209B" w:rsidP="008937FA">
      <w:pPr>
        <w:spacing w:after="0" w:line="240" w:lineRule="auto"/>
        <w:jc w:val="both"/>
        <w:rPr>
          <w:rFonts w:ascii="Verdana" w:eastAsia="Verdana" w:hAnsi="Verdana" w:cs="Verdana"/>
          <w:sz w:val="20"/>
          <w:szCs w:val="20"/>
        </w:rPr>
      </w:pPr>
      <w:r w:rsidRPr="00BF209B">
        <w:rPr>
          <w:rFonts w:ascii="Verdana" w:eastAsia="Verdana" w:hAnsi="Verdana" w:cs="Verdana"/>
          <w:sz w:val="20"/>
          <w:szCs w:val="20"/>
          <w:lang w:val="es-ES_tradnl"/>
        </w:rPr>
        <w:lastRenderedPageBreak/>
        <w:t xml:space="preserve">b. Entidades de régimen especial. Son aquellas entidades que por disposición legal cuenten con un régimen contractual especial de contratación, teniendo en cuenta </w:t>
      </w:r>
      <w:r w:rsidRPr="00BF209B">
        <w:rPr>
          <w:rFonts w:ascii="Verdana" w:eastAsia="Verdana" w:hAnsi="Verdana" w:cs="Verdana"/>
          <w:sz w:val="20"/>
          <w:szCs w:val="20"/>
        </w:rPr>
        <w:t xml:space="preserve">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 conforme al artículo 13 de la Ley 1150 de 2007. De igual modo, dicho artículo 13 modificado por el artículo 53 de la Ley 2195 de 2022, el cual estableció la obligación de las Entidades Estatales exceptuadas del Estatuto General de Contratación de la Administración Pública de publicar en el SECOP II –es decir en la plataforma transaccional vigente– su actividad contractual. Así pues, respecto de los documentos que deben publicarse en el SECOP II a efectos de cumplir el mandato consagrado en el artículo 53 de la Ley 2195 de 2022, es preciso advertir que la disposición hace referencia a los documentos relacionados con su actividad contractual, la cual define como “[…] los documentos, contratos, actos e información generada por oferentes, contratista, contratante, supervisor o interventor, tanto en la etapa precontractual, como en la contractual y la </w:t>
      </w:r>
      <w:proofErr w:type="spellStart"/>
      <w:r w:rsidRPr="00BF209B">
        <w:rPr>
          <w:rFonts w:ascii="Verdana" w:eastAsia="Verdana" w:hAnsi="Verdana" w:cs="Verdana"/>
          <w:sz w:val="20"/>
          <w:szCs w:val="20"/>
        </w:rPr>
        <w:t>post-contractual</w:t>
      </w:r>
      <w:proofErr w:type="spellEnd"/>
      <w:r w:rsidRPr="00BF209B">
        <w:rPr>
          <w:rFonts w:ascii="Verdana" w:eastAsia="Verdana" w:hAnsi="Verdana" w:cs="Verdana"/>
          <w:sz w:val="20"/>
          <w:szCs w:val="20"/>
        </w:rPr>
        <w:t>”.</w:t>
      </w:r>
    </w:p>
    <w:p w14:paraId="4D09C049" w14:textId="3DB0E0BF" w:rsidR="00BF209B" w:rsidRPr="00BF209B" w:rsidRDefault="00BF209B" w:rsidP="008937FA">
      <w:pPr>
        <w:spacing w:after="0" w:line="240" w:lineRule="auto"/>
        <w:jc w:val="both"/>
        <w:rPr>
          <w:rFonts w:ascii="Verdana" w:eastAsia="Verdana" w:hAnsi="Verdana" w:cs="Verdana"/>
          <w:sz w:val="20"/>
          <w:szCs w:val="20"/>
        </w:rPr>
      </w:pPr>
      <w:r>
        <w:rPr>
          <w:rFonts w:ascii="Verdana" w:eastAsia="Verdana" w:hAnsi="Verdana" w:cs="Verdana"/>
          <w:sz w:val="20"/>
          <w:szCs w:val="20"/>
        </w:rPr>
        <w:t>[…]</w:t>
      </w:r>
    </w:p>
    <w:p w14:paraId="36120246" w14:textId="127781A1" w:rsidR="00BF209B" w:rsidRDefault="00BF209B" w:rsidP="008937FA">
      <w:pPr>
        <w:spacing w:after="0" w:line="240" w:lineRule="auto"/>
        <w:jc w:val="both"/>
        <w:rPr>
          <w:rFonts w:ascii="Verdana" w:eastAsia="Verdana" w:hAnsi="Verdana" w:cs="Verdana"/>
          <w:sz w:val="20"/>
          <w:szCs w:val="20"/>
        </w:rPr>
      </w:pPr>
      <w:r w:rsidRPr="00BF209B">
        <w:rPr>
          <w:rFonts w:ascii="Verdana" w:eastAsia="Verdana" w:hAnsi="Verdana" w:cs="Verdana"/>
          <w:sz w:val="20"/>
          <w:szCs w:val="20"/>
        </w:rPr>
        <w:t>Teniendo en cuenta, la obligatoriedad de</w:t>
      </w:r>
      <w:r w:rsidRPr="00BF209B">
        <w:rPr>
          <w:rFonts w:ascii="Verdana" w:eastAsia="Verdana" w:hAnsi="Verdana" w:cs="Verdana"/>
          <w:sz w:val="20"/>
          <w:szCs w:val="20"/>
          <w:lang w:val="es-ES"/>
        </w:rPr>
        <w:t xml:space="preserve"> SECOP II para entidades de régimen especial, es preciso señalar que está habilitado dos módulos para dichas entidades: i) Régimen Especial con Ofertas, que consiste en un procedimiento contractual que se desarrolla en línea y dentro de la plataforma, en el que las entidades pueden estructurar el proceso de contratación y recibir las ofertas de los proveedores y generar el contrato electrónico y demás documentos, conformándose un expediente electrónico; </w:t>
      </w:r>
      <w:proofErr w:type="spellStart"/>
      <w:r w:rsidRPr="00BF209B">
        <w:rPr>
          <w:rFonts w:ascii="Verdana" w:eastAsia="Verdana" w:hAnsi="Verdana" w:cs="Verdana"/>
          <w:sz w:val="20"/>
          <w:szCs w:val="20"/>
          <w:lang w:val="es-ES"/>
        </w:rPr>
        <w:t>ii</w:t>
      </w:r>
      <w:proofErr w:type="spellEnd"/>
      <w:r w:rsidRPr="00BF209B">
        <w:rPr>
          <w:rFonts w:ascii="Verdana" w:eastAsia="Verdana" w:hAnsi="Verdana" w:cs="Verdana"/>
          <w:sz w:val="20"/>
          <w:szCs w:val="20"/>
          <w:lang w:val="es-ES"/>
        </w:rPr>
        <w:t xml:space="preserve">) Régimen Especial sin Ofertas, que consiste en que las entidades pueden estructurar el Proceso de Contratación, generar el contrato electrónico y realizar la gestión contractual. Al respecto, </w:t>
      </w:r>
      <w:r w:rsidRPr="00BF209B">
        <w:rPr>
          <w:rFonts w:ascii="Verdana" w:eastAsia="Verdana" w:hAnsi="Verdana" w:cs="Verdana"/>
          <w:sz w:val="20"/>
          <w:szCs w:val="20"/>
        </w:rPr>
        <w:t>la Circular Externa No. 002 del 23 de agosto de 2024, estableció los lineamientos para la aplicación del artículo 53 de la Ley 2195 de 2022 por parte de las Entidades Estales que por disposición legal cuentan con un régimen contractual excepcional al Estatuto General de Contratación de la Administración Pública.</w:t>
      </w:r>
    </w:p>
    <w:p w14:paraId="456802BC" w14:textId="77777777" w:rsidR="00BF209B" w:rsidRDefault="00BF209B" w:rsidP="008937FA">
      <w:pPr>
        <w:spacing w:after="0" w:line="240" w:lineRule="auto"/>
        <w:jc w:val="both"/>
        <w:rPr>
          <w:rFonts w:ascii="Verdana" w:eastAsia="Verdana" w:hAnsi="Verdana" w:cs="Verdana"/>
          <w:sz w:val="20"/>
          <w:szCs w:val="20"/>
        </w:rPr>
      </w:pPr>
    </w:p>
    <w:p w14:paraId="40A6DABB" w14:textId="77777777" w:rsidR="008937FA" w:rsidRDefault="008937FA" w:rsidP="008937FA">
      <w:pPr>
        <w:spacing w:after="0" w:line="240" w:lineRule="auto"/>
        <w:jc w:val="both"/>
        <w:rPr>
          <w:rFonts w:ascii="Verdana" w:eastAsia="Verdana" w:hAnsi="Verdana" w:cs="Verdana"/>
          <w:sz w:val="20"/>
          <w:szCs w:val="20"/>
        </w:rPr>
      </w:pPr>
    </w:p>
    <w:p w14:paraId="1F02CDC8" w14:textId="77777777" w:rsidR="008937FA" w:rsidRDefault="008937FA" w:rsidP="00BF209B">
      <w:pPr>
        <w:spacing w:after="0"/>
        <w:jc w:val="both"/>
        <w:rPr>
          <w:rFonts w:ascii="Verdana" w:eastAsia="Verdana" w:hAnsi="Verdana" w:cs="Verdana"/>
          <w:sz w:val="20"/>
          <w:szCs w:val="20"/>
        </w:rPr>
      </w:pPr>
    </w:p>
    <w:p w14:paraId="2DD70D51" w14:textId="77777777" w:rsidR="008937FA" w:rsidRDefault="008937FA" w:rsidP="00BF209B">
      <w:pPr>
        <w:spacing w:after="0"/>
        <w:jc w:val="both"/>
        <w:rPr>
          <w:rFonts w:ascii="Verdana" w:eastAsia="Verdana" w:hAnsi="Verdana" w:cs="Verdana"/>
          <w:sz w:val="20"/>
          <w:szCs w:val="20"/>
        </w:rPr>
      </w:pPr>
    </w:p>
    <w:p w14:paraId="1BE0BAC3" w14:textId="77777777" w:rsidR="008937FA" w:rsidRDefault="008937FA" w:rsidP="00BF209B">
      <w:pPr>
        <w:spacing w:after="0"/>
        <w:jc w:val="both"/>
        <w:rPr>
          <w:rFonts w:ascii="Verdana" w:eastAsia="Verdana" w:hAnsi="Verdana" w:cs="Verdana"/>
          <w:sz w:val="20"/>
          <w:szCs w:val="20"/>
        </w:rPr>
      </w:pPr>
    </w:p>
    <w:p w14:paraId="44900190" w14:textId="77777777" w:rsidR="008937FA" w:rsidRDefault="008937FA" w:rsidP="00BF209B">
      <w:pPr>
        <w:spacing w:after="0"/>
        <w:jc w:val="both"/>
        <w:rPr>
          <w:rFonts w:ascii="Verdana" w:eastAsia="Verdana" w:hAnsi="Verdana" w:cs="Verdana"/>
          <w:sz w:val="20"/>
          <w:szCs w:val="20"/>
        </w:rPr>
      </w:pPr>
    </w:p>
    <w:p w14:paraId="79C7510A" w14:textId="77777777" w:rsidR="008937FA" w:rsidRDefault="008937FA" w:rsidP="00BF209B">
      <w:pPr>
        <w:spacing w:after="0"/>
        <w:jc w:val="both"/>
        <w:rPr>
          <w:rFonts w:ascii="Verdana" w:eastAsia="Verdana" w:hAnsi="Verdana" w:cs="Verdana"/>
          <w:sz w:val="20"/>
          <w:szCs w:val="20"/>
        </w:rPr>
      </w:pPr>
    </w:p>
    <w:p w14:paraId="4ADE50BF" w14:textId="77777777" w:rsidR="008937FA" w:rsidRDefault="008937FA" w:rsidP="00BF209B">
      <w:pPr>
        <w:spacing w:after="0"/>
        <w:jc w:val="both"/>
        <w:rPr>
          <w:rFonts w:ascii="Verdana" w:eastAsia="Verdana" w:hAnsi="Verdana" w:cs="Verdana"/>
          <w:sz w:val="20"/>
          <w:szCs w:val="20"/>
        </w:rPr>
      </w:pPr>
    </w:p>
    <w:p w14:paraId="3A4C0CA8" w14:textId="77777777" w:rsidR="008937FA" w:rsidRDefault="008937FA" w:rsidP="00BF209B">
      <w:pPr>
        <w:spacing w:after="0"/>
        <w:jc w:val="both"/>
        <w:rPr>
          <w:rFonts w:ascii="Verdana" w:eastAsia="Verdana" w:hAnsi="Verdana" w:cs="Verdana"/>
          <w:sz w:val="20"/>
          <w:szCs w:val="20"/>
        </w:rPr>
      </w:pPr>
    </w:p>
    <w:p w14:paraId="7BDB5206" w14:textId="77777777" w:rsidR="008937FA" w:rsidRDefault="008937FA" w:rsidP="00BF209B">
      <w:pPr>
        <w:spacing w:after="0"/>
        <w:jc w:val="both"/>
        <w:rPr>
          <w:rFonts w:ascii="Verdana" w:eastAsia="Verdana" w:hAnsi="Verdana" w:cs="Verdana"/>
          <w:sz w:val="20"/>
          <w:szCs w:val="20"/>
        </w:rPr>
      </w:pPr>
    </w:p>
    <w:p w14:paraId="73AC284F" w14:textId="77777777" w:rsidR="008937FA" w:rsidRDefault="008937FA" w:rsidP="00BF209B">
      <w:pPr>
        <w:spacing w:after="0"/>
        <w:jc w:val="both"/>
        <w:rPr>
          <w:rFonts w:ascii="Verdana" w:eastAsia="Verdana" w:hAnsi="Verdana" w:cs="Verdana"/>
          <w:sz w:val="20"/>
          <w:szCs w:val="20"/>
        </w:rPr>
      </w:pPr>
    </w:p>
    <w:p w14:paraId="64AFCCA1" w14:textId="77777777" w:rsidR="008937FA" w:rsidRDefault="008937FA" w:rsidP="00BF209B">
      <w:pPr>
        <w:spacing w:after="0"/>
        <w:jc w:val="both"/>
        <w:rPr>
          <w:rFonts w:ascii="Verdana" w:eastAsia="Verdana" w:hAnsi="Verdana" w:cs="Verdana"/>
          <w:sz w:val="20"/>
          <w:szCs w:val="20"/>
        </w:rPr>
      </w:pPr>
    </w:p>
    <w:p w14:paraId="0260EE02" w14:textId="77777777" w:rsidR="008937FA" w:rsidRDefault="008937FA" w:rsidP="00BF209B">
      <w:pPr>
        <w:spacing w:after="0"/>
        <w:jc w:val="both"/>
        <w:rPr>
          <w:rFonts w:ascii="Verdana" w:eastAsia="Verdana" w:hAnsi="Verdana" w:cs="Verdana"/>
          <w:sz w:val="20"/>
          <w:szCs w:val="20"/>
        </w:rPr>
      </w:pPr>
    </w:p>
    <w:p w14:paraId="5C0BE129" w14:textId="77777777" w:rsidR="008937FA" w:rsidRDefault="008937FA" w:rsidP="00BF209B">
      <w:pPr>
        <w:spacing w:after="0"/>
        <w:jc w:val="both"/>
        <w:rPr>
          <w:rFonts w:ascii="Verdana" w:eastAsia="Verdana" w:hAnsi="Verdana" w:cs="Verdana"/>
          <w:sz w:val="20"/>
          <w:szCs w:val="20"/>
        </w:rPr>
      </w:pPr>
    </w:p>
    <w:p w14:paraId="2C95A893" w14:textId="77777777" w:rsidR="008937FA" w:rsidRPr="00BF209B" w:rsidRDefault="008937FA" w:rsidP="00BF209B">
      <w:pPr>
        <w:spacing w:after="0"/>
        <w:jc w:val="both"/>
        <w:rPr>
          <w:rFonts w:ascii="Verdana" w:eastAsia="Verdana" w:hAnsi="Verdana" w:cs="Verdana"/>
          <w:sz w:val="20"/>
          <w:szCs w:val="20"/>
        </w:rPr>
      </w:pPr>
    </w:p>
    <w:p w14:paraId="4014A60B" w14:textId="5AB125C5" w:rsidR="00104F14" w:rsidRPr="00AF0096" w:rsidRDefault="00813CE7" w:rsidP="00104F14">
      <w:pPr>
        <w:spacing w:after="0"/>
        <w:rPr>
          <w:rFonts w:ascii="Verdana" w:hAnsi="Verdana" w:cs="Arial"/>
          <w:bCs/>
          <w:lang w:eastAsia="es-ES" w:bidi="es-ES"/>
        </w:rPr>
      </w:pPr>
      <w:r w:rsidRPr="00813CE7">
        <w:rPr>
          <w:noProof/>
        </w:rPr>
        <w:lastRenderedPageBreak/>
        <w:drawing>
          <wp:anchor distT="0" distB="0" distL="114300" distR="114300" simplePos="0" relativeHeight="251658240" behindDoc="0" locked="0" layoutInCell="1" allowOverlap="1" wp14:anchorId="3903CACD" wp14:editId="0B62B70F">
            <wp:simplePos x="0" y="0"/>
            <wp:positionH relativeFrom="column">
              <wp:posOffset>2986405</wp:posOffset>
            </wp:positionH>
            <wp:positionV relativeFrom="paragraph">
              <wp:posOffset>258445</wp:posOffset>
            </wp:positionV>
            <wp:extent cx="2707640" cy="750570"/>
            <wp:effectExtent l="0" t="0" r="0" b="0"/>
            <wp:wrapSquare wrapText="bothSides"/>
            <wp:docPr id="18156461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7640" cy="750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4F14" w:rsidRPr="30821638">
        <w:rPr>
          <w:rFonts w:ascii="Verdana" w:eastAsia="Verdana" w:hAnsi="Verdana" w:cs="Verdana"/>
        </w:rPr>
        <w:t xml:space="preserve">Bogotá D.C., </w:t>
      </w:r>
      <w:r w:rsidR="00E96E1E">
        <w:rPr>
          <w:rFonts w:ascii="Verdana" w:eastAsia="Verdana" w:hAnsi="Verdana" w:cs="Verdana"/>
        </w:rPr>
        <w:t>27 de julio de 2026</w:t>
      </w:r>
      <w:r w:rsidR="00104F14">
        <w:tab/>
      </w:r>
      <w:r w:rsidR="00104F14">
        <w:br/>
      </w:r>
    </w:p>
    <w:p w14:paraId="7332C285" w14:textId="77777777" w:rsidR="00104F14" w:rsidRPr="00B57A1B" w:rsidRDefault="00104F14" w:rsidP="00104F14">
      <w:pPr>
        <w:spacing w:after="0" w:line="240" w:lineRule="auto"/>
        <w:rPr>
          <w:rFonts w:ascii="Verdana" w:hAnsi="Verdana"/>
        </w:rPr>
      </w:pPr>
    </w:p>
    <w:p w14:paraId="7D5D4FF0" w14:textId="77777777" w:rsidR="00104F14" w:rsidRDefault="00104F14" w:rsidP="00104F14">
      <w:pPr>
        <w:spacing w:after="0" w:line="240" w:lineRule="auto"/>
        <w:rPr>
          <w:rFonts w:ascii="Verdana" w:eastAsia="Calibri" w:hAnsi="Verdana" w:cs="Times New Roman"/>
          <w:lang w:val="es-MX"/>
        </w:rPr>
      </w:pPr>
      <w:r>
        <w:rPr>
          <w:rFonts w:ascii="Verdana" w:eastAsia="Calibri" w:hAnsi="Verdana" w:cs="Times New Roman"/>
          <w:lang w:val="es-MX"/>
        </w:rPr>
        <w:t>Señor</w:t>
      </w:r>
    </w:p>
    <w:p w14:paraId="7FD0B27A" w14:textId="77777777" w:rsidR="00104F14" w:rsidRPr="00883693" w:rsidRDefault="00104F14" w:rsidP="00104F14">
      <w:pPr>
        <w:spacing w:after="0" w:line="240" w:lineRule="auto"/>
        <w:rPr>
          <w:rFonts w:ascii="Verdana" w:eastAsia="Calibri" w:hAnsi="Verdana" w:cs="Times New Roman"/>
          <w:b/>
          <w:bCs/>
          <w:lang w:val="es-MX"/>
        </w:rPr>
      </w:pPr>
      <w:r w:rsidRPr="00883693">
        <w:rPr>
          <w:rFonts w:ascii="Verdana" w:eastAsia="Calibri" w:hAnsi="Verdana" w:cs="Times New Roman"/>
          <w:b/>
          <w:bCs/>
          <w:lang w:val="es-MX"/>
        </w:rPr>
        <w:t>Ciudadano</w:t>
      </w:r>
    </w:p>
    <w:p w14:paraId="045C021D" w14:textId="77777777" w:rsidR="00104F14" w:rsidRPr="00883693" w:rsidRDefault="00104F14" w:rsidP="00104F14">
      <w:pPr>
        <w:spacing w:after="0" w:line="240" w:lineRule="auto"/>
        <w:rPr>
          <w:rFonts w:ascii="Verdana" w:eastAsia="Calibri" w:hAnsi="Verdana" w:cs="Times New Roman"/>
          <w:lang w:val="es-MX"/>
        </w:rPr>
      </w:pPr>
      <w:r>
        <w:rPr>
          <w:rFonts w:ascii="Verdana" w:eastAsia="Calibri" w:hAnsi="Verdana" w:cs="Times New Roman"/>
          <w:lang w:val="es-ES_tradnl"/>
        </w:rPr>
        <w:t>Bogotá D.C.</w:t>
      </w:r>
    </w:p>
    <w:p w14:paraId="58C9B587" w14:textId="77777777" w:rsidR="00104F14" w:rsidRDefault="00104F14" w:rsidP="00104F14">
      <w:pPr>
        <w:spacing w:after="0" w:line="240" w:lineRule="auto"/>
        <w:rPr>
          <w:rFonts w:ascii="Verdana" w:eastAsia="Calibri" w:hAnsi="Verdana" w:cs="Times New Roman"/>
          <w:lang w:val="es-ES_tradnl"/>
        </w:rPr>
      </w:pPr>
    </w:p>
    <w:p w14:paraId="4D45CF36" w14:textId="77777777" w:rsidR="00104F14" w:rsidRPr="00693422" w:rsidRDefault="00104F14" w:rsidP="00104F14">
      <w:pPr>
        <w:spacing w:after="0" w:line="240" w:lineRule="auto"/>
        <w:rPr>
          <w:rFonts w:ascii="Verdana" w:eastAsia="Verdana" w:hAnsi="Verdana" w:cs="Verdana"/>
          <w:lang w:eastAsia="es-ES_tradnl"/>
        </w:rPr>
      </w:pPr>
    </w:p>
    <w:p w14:paraId="0A2B3C49" w14:textId="46429246" w:rsidR="00104F14" w:rsidRPr="00693422" w:rsidRDefault="00104F14" w:rsidP="00104F14">
      <w:pPr>
        <w:spacing w:after="0" w:line="240" w:lineRule="auto"/>
        <w:rPr>
          <w:rFonts w:ascii="Verdana" w:eastAsia="Verdana" w:hAnsi="Verdana" w:cs="Verdana"/>
          <w:b/>
          <w:lang w:eastAsia="es-ES_tradnl"/>
        </w:rPr>
      </w:pPr>
      <w:r w:rsidRPr="00693422">
        <w:rPr>
          <w:rFonts w:ascii="Verdana" w:eastAsia="Verdana" w:hAnsi="Verdana" w:cs="Verdana"/>
          <w:b/>
          <w:lang w:eastAsia="es-ES_tradnl"/>
        </w:rPr>
        <w:t xml:space="preserve">                                    Concepto C</w:t>
      </w:r>
      <w:r w:rsidR="006F4182">
        <w:rPr>
          <w:rFonts w:ascii="Verdana" w:eastAsia="Verdana" w:hAnsi="Verdana" w:cs="Verdana"/>
          <w:b/>
          <w:lang w:eastAsia="es-ES_tradnl"/>
        </w:rPr>
        <w:t>-</w:t>
      </w:r>
      <w:r>
        <w:rPr>
          <w:rFonts w:ascii="Verdana" w:eastAsia="Verdana" w:hAnsi="Verdana" w:cs="Verdana"/>
          <w:b/>
          <w:lang w:eastAsia="es-ES_tradnl"/>
        </w:rPr>
        <w:t>982</w:t>
      </w:r>
      <w:r w:rsidRPr="00693422">
        <w:rPr>
          <w:rFonts w:ascii="Verdana" w:eastAsia="Verdana" w:hAnsi="Verdana" w:cs="Verdana"/>
          <w:b/>
          <w:lang w:eastAsia="es-ES_tradnl"/>
        </w:rPr>
        <w:t xml:space="preserve"> de 2026</w:t>
      </w:r>
    </w:p>
    <w:p w14:paraId="37B4850D" w14:textId="77777777" w:rsidR="00104F14" w:rsidRPr="00B57A1B" w:rsidRDefault="00104F14" w:rsidP="00104F14">
      <w:pPr>
        <w:spacing w:after="0" w:line="240"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104F14" w:rsidRPr="00B57A1B" w14:paraId="34B3138D" w14:textId="77777777" w:rsidTr="0083006D">
        <w:trPr>
          <w:trHeight w:val="645"/>
        </w:trPr>
        <w:tc>
          <w:tcPr>
            <w:tcW w:w="2685" w:type="dxa"/>
            <w:hideMark/>
          </w:tcPr>
          <w:p w14:paraId="236116F8" w14:textId="77777777" w:rsidR="00104F14" w:rsidRPr="00B57A1B" w:rsidRDefault="00104F14" w:rsidP="0083006D">
            <w:pPr>
              <w:spacing w:line="256" w:lineRule="auto"/>
              <w:rPr>
                <w:rFonts w:ascii="Verdana" w:hAnsi="Verdana"/>
                <w:b/>
                <w:bCs/>
                <w:lang w:val="es-ES_tradnl"/>
              </w:rPr>
            </w:pPr>
            <w:r w:rsidRPr="00B57A1B">
              <w:rPr>
                <w:rFonts w:ascii="Verdana" w:hAnsi="Verdana"/>
                <w:b/>
                <w:bCs/>
                <w:lang w:val="es-ES_tradnl"/>
              </w:rPr>
              <w:t xml:space="preserve">Temas:                   </w:t>
            </w:r>
          </w:p>
        </w:tc>
        <w:tc>
          <w:tcPr>
            <w:tcW w:w="6241" w:type="dxa"/>
            <w:hideMark/>
          </w:tcPr>
          <w:p w14:paraId="5EBAFA5D" w14:textId="283C9DB9" w:rsidR="00104F14" w:rsidRDefault="00104F14" w:rsidP="0083006D">
            <w:pPr>
              <w:spacing w:line="276" w:lineRule="auto"/>
              <w:jc w:val="both"/>
              <w:rPr>
                <w:rFonts w:ascii="Verdana" w:eastAsia="Arial" w:hAnsi="Verdana" w:cs="Arial"/>
              </w:rPr>
            </w:pPr>
            <w:r w:rsidRPr="000355F2">
              <w:rPr>
                <w:rFonts w:ascii="Verdana" w:eastAsia="Arial" w:hAnsi="Verdana" w:cs="Arial"/>
                <w:lang w:val="es-ES"/>
              </w:rPr>
              <w:t>PRINCIPIO DE PUBLICIDAD – Concepto – Fundamento axiológico – Fundamento constitucional</w:t>
            </w:r>
            <w:r w:rsidRPr="000355F2">
              <w:rPr>
                <w:rFonts w:ascii="Verdana" w:eastAsia="Arial" w:hAnsi="Verdana" w:cs="Arial"/>
                <w:bCs/>
                <w:lang w:val="es-ES_tradnl"/>
              </w:rPr>
              <w:t xml:space="preserve"> / </w:t>
            </w:r>
            <w:r w:rsidRPr="006F7D11">
              <w:rPr>
                <w:rFonts w:ascii="Verdana" w:eastAsia="Arial" w:hAnsi="Verdana" w:cs="Arial"/>
                <w:bCs/>
                <w:lang w:val="es-ES_tradnl"/>
              </w:rPr>
              <w:t>PRINCIPIO DE PUBLICIDAD – SECOP – Documentos del proceso – Deber de publicación</w:t>
            </w:r>
            <w:r w:rsidRPr="006F7D11">
              <w:rPr>
                <w:rFonts w:ascii="Verdana" w:eastAsia="Arial" w:hAnsi="Verdana" w:cs="Arial"/>
                <w:bCs/>
              </w:rPr>
              <w:t xml:space="preserve"> </w:t>
            </w:r>
            <w:r>
              <w:rPr>
                <w:rFonts w:ascii="Verdana" w:eastAsia="Arial" w:hAnsi="Verdana" w:cs="Arial"/>
                <w:bCs/>
              </w:rPr>
              <w:t xml:space="preserve">/ </w:t>
            </w:r>
            <w:r w:rsidRPr="000355F2">
              <w:rPr>
                <w:rFonts w:ascii="Verdana" w:eastAsia="Arial" w:hAnsi="Verdana" w:cs="Arial"/>
              </w:rPr>
              <w:t>DEBER DE PUBLICIDAD – Sujetos Obligados /</w:t>
            </w:r>
            <w:r>
              <w:rPr>
                <w:rFonts w:ascii="Verdana" w:eastAsia="Arial" w:hAnsi="Verdana" w:cs="Arial"/>
              </w:rPr>
              <w:t xml:space="preserve"> IPS</w:t>
            </w:r>
            <w:r w:rsidRPr="00883693">
              <w:rPr>
                <w:rFonts w:ascii="Verdana" w:eastAsia="Arial" w:hAnsi="Verdana" w:cs="Arial"/>
                <w:color w:val="C00000"/>
              </w:rPr>
              <w:t xml:space="preserve">– </w:t>
            </w:r>
            <w:r w:rsidRPr="00A350D2">
              <w:rPr>
                <w:rFonts w:ascii="Verdana" w:eastAsia="Arial" w:hAnsi="Verdana" w:cs="Arial"/>
              </w:rPr>
              <w:t xml:space="preserve">Naturaleza Jurídica / IPS– Particulares que gestionan recursos públicos – Entidades de Régimen Especial </w:t>
            </w:r>
            <w:r>
              <w:rPr>
                <w:rFonts w:ascii="Verdana" w:eastAsia="Arial" w:hAnsi="Verdana" w:cs="Arial"/>
              </w:rPr>
              <w:t xml:space="preserve">/ IPS – Formas organizativas – IPS Universitaria </w:t>
            </w:r>
            <w:r w:rsidRPr="00A350D2">
              <w:rPr>
                <w:rFonts w:ascii="Verdana" w:eastAsia="Arial" w:hAnsi="Verdana" w:cs="Arial"/>
              </w:rPr>
              <w:t xml:space="preserve">/ </w:t>
            </w:r>
            <w:r>
              <w:rPr>
                <w:rFonts w:ascii="Verdana" w:eastAsia="Arial" w:hAnsi="Verdana" w:cs="Arial"/>
              </w:rPr>
              <w:t xml:space="preserve">DEBER DE PUBLICIDAD – Sujetos Obligados – Particulares que gestionan recursos públicos – Entidades de Régimen Especial </w:t>
            </w:r>
          </w:p>
          <w:p w14:paraId="4623AC8F" w14:textId="77777777" w:rsidR="00104F14" w:rsidRPr="000355F2" w:rsidRDefault="00104F14" w:rsidP="0083006D">
            <w:pPr>
              <w:spacing w:line="276" w:lineRule="auto"/>
              <w:jc w:val="both"/>
              <w:rPr>
                <w:rFonts w:ascii="Verdana" w:eastAsia="Arial" w:hAnsi="Verdana" w:cs="Arial"/>
              </w:rPr>
            </w:pPr>
          </w:p>
          <w:p w14:paraId="619FBD91" w14:textId="77777777" w:rsidR="00104F14" w:rsidRPr="00525E40" w:rsidRDefault="00104F14" w:rsidP="0083006D">
            <w:pPr>
              <w:spacing w:line="276" w:lineRule="auto"/>
              <w:jc w:val="both"/>
              <w:rPr>
                <w:rFonts w:ascii="Verdana" w:hAnsi="Verdana" w:cs="Arial"/>
                <w:highlight w:val="yellow"/>
                <w:lang w:eastAsia="es-ES"/>
              </w:rPr>
            </w:pPr>
          </w:p>
        </w:tc>
        <w:tc>
          <w:tcPr>
            <w:tcW w:w="6237" w:type="dxa"/>
          </w:tcPr>
          <w:p w14:paraId="483858CA" w14:textId="77777777" w:rsidR="00104F14" w:rsidRPr="00B57A1B" w:rsidRDefault="00104F14" w:rsidP="0083006D">
            <w:pPr>
              <w:spacing w:line="256" w:lineRule="auto"/>
              <w:rPr>
                <w:rFonts w:ascii="Verdana" w:hAnsi="Verdana"/>
              </w:rPr>
            </w:pPr>
          </w:p>
        </w:tc>
      </w:tr>
      <w:tr w:rsidR="00104F14" w:rsidRPr="00B57A1B" w14:paraId="41D894FC" w14:textId="77777777" w:rsidTr="0083006D">
        <w:tc>
          <w:tcPr>
            <w:tcW w:w="2685" w:type="dxa"/>
          </w:tcPr>
          <w:p w14:paraId="5501DDB7" w14:textId="77777777" w:rsidR="00104F14" w:rsidRPr="00263F35" w:rsidRDefault="00104F14" w:rsidP="0083006D">
            <w:pPr>
              <w:spacing w:line="256" w:lineRule="auto"/>
              <w:rPr>
                <w:rFonts w:ascii="Verdana" w:hAnsi="Verdana"/>
                <w:b/>
                <w:bCs/>
                <w:lang w:val="es-ES_tradnl"/>
              </w:rPr>
            </w:pPr>
            <w:r w:rsidRPr="00263F35">
              <w:rPr>
                <w:rFonts w:ascii="Verdana" w:hAnsi="Verdana"/>
                <w:b/>
                <w:bCs/>
                <w:lang w:val="es-ES_tradnl"/>
              </w:rPr>
              <w:t xml:space="preserve">Radicación:               </w:t>
            </w:r>
          </w:p>
        </w:tc>
        <w:tc>
          <w:tcPr>
            <w:tcW w:w="6241" w:type="dxa"/>
          </w:tcPr>
          <w:p w14:paraId="43A398FC" w14:textId="77777777" w:rsidR="00104F14" w:rsidRPr="00263F35" w:rsidRDefault="00104F14" w:rsidP="0083006D">
            <w:pPr>
              <w:spacing w:line="257" w:lineRule="auto"/>
              <w:jc w:val="both"/>
              <w:rPr>
                <w:rFonts w:ascii="Verdana" w:hAnsi="Verdana"/>
                <w:lang w:val="es-ES_tradnl"/>
              </w:rPr>
            </w:pPr>
            <w:r w:rsidRPr="00263F35">
              <w:rPr>
                <w:rFonts w:ascii="Verdana" w:hAnsi="Verdana"/>
                <w:lang w:val="es-ES_tradnl"/>
              </w:rPr>
              <w:t>Respuesta a consulta con radicado No.</w:t>
            </w:r>
            <w:r w:rsidRPr="00263F35">
              <w:rPr>
                <w:rFonts w:ascii="Verdana" w:hAnsi="Verdana" w:cs="Segoe UI"/>
                <w:shd w:val="clear" w:color="auto" w:fill="FFFFFF"/>
              </w:rPr>
              <w:t xml:space="preserve"> </w:t>
            </w:r>
            <w:r w:rsidRPr="00693422">
              <w:rPr>
                <w:rFonts w:ascii="Verdana" w:hAnsi="Verdana" w:cs="Segoe UI"/>
                <w:shd w:val="clear" w:color="auto" w:fill="FFFFFF"/>
              </w:rPr>
              <w:t>1_2026_06_11_007925</w:t>
            </w:r>
          </w:p>
          <w:p w14:paraId="7630DDC6" w14:textId="77777777" w:rsidR="00104F14" w:rsidRPr="00263F35" w:rsidRDefault="00104F14" w:rsidP="0083006D">
            <w:pPr>
              <w:spacing w:line="257" w:lineRule="auto"/>
              <w:jc w:val="both"/>
              <w:rPr>
                <w:rFonts w:ascii="Verdana" w:hAnsi="Verdana"/>
              </w:rPr>
            </w:pPr>
          </w:p>
          <w:p w14:paraId="4BB8FA27" w14:textId="77777777" w:rsidR="00104F14" w:rsidRPr="00263F35" w:rsidRDefault="00104F14" w:rsidP="0083006D">
            <w:pPr>
              <w:spacing w:line="257" w:lineRule="auto"/>
              <w:jc w:val="both"/>
              <w:rPr>
                <w:rFonts w:ascii="Verdana" w:hAnsi="Verdana"/>
              </w:rPr>
            </w:pPr>
          </w:p>
        </w:tc>
        <w:tc>
          <w:tcPr>
            <w:tcW w:w="6237" w:type="dxa"/>
          </w:tcPr>
          <w:p w14:paraId="12618283" w14:textId="77777777" w:rsidR="00104F14" w:rsidRPr="00B57A1B" w:rsidRDefault="00104F14" w:rsidP="0083006D">
            <w:pPr>
              <w:spacing w:line="256" w:lineRule="auto"/>
              <w:rPr>
                <w:rFonts w:ascii="Verdana" w:hAnsi="Verdana"/>
                <w:lang w:val="es-ES_tradnl"/>
              </w:rPr>
            </w:pPr>
          </w:p>
        </w:tc>
      </w:tr>
    </w:tbl>
    <w:p w14:paraId="2CD866A2" w14:textId="77777777" w:rsidR="00104F14" w:rsidRPr="00B57A1B" w:rsidRDefault="00104F14" w:rsidP="00104F14">
      <w:pPr>
        <w:spacing w:after="0" w:line="256" w:lineRule="auto"/>
        <w:rPr>
          <w:rFonts w:ascii="Verdana" w:eastAsia="Calibri" w:hAnsi="Verdana" w:cs="Times New Roman"/>
          <w:lang w:val="es-ES"/>
        </w:rPr>
      </w:pPr>
      <w:r>
        <w:rPr>
          <w:rFonts w:ascii="Verdana" w:eastAsia="Calibri" w:hAnsi="Verdana" w:cs="Times New Roman"/>
          <w:lang w:val="es-ES"/>
        </w:rPr>
        <w:t>Estimado Señor ciudadano</w:t>
      </w:r>
      <w:r w:rsidRPr="00B57A1B">
        <w:rPr>
          <w:rFonts w:ascii="Verdana" w:eastAsia="Calibri" w:hAnsi="Verdana" w:cs="Times New Roman"/>
          <w:lang w:val="es-ES"/>
        </w:rPr>
        <w:t xml:space="preserve">: </w:t>
      </w:r>
    </w:p>
    <w:p w14:paraId="04E61B96" w14:textId="77777777" w:rsidR="00104F14" w:rsidRPr="00B57A1B" w:rsidRDefault="00104F14" w:rsidP="00104F14">
      <w:pPr>
        <w:spacing w:after="0" w:line="256" w:lineRule="auto"/>
        <w:rPr>
          <w:rFonts w:ascii="Verdana" w:eastAsia="Calibri" w:hAnsi="Verdana" w:cs="Times New Roman"/>
          <w:lang w:val="es-ES"/>
        </w:rPr>
      </w:pPr>
    </w:p>
    <w:p w14:paraId="0ABD0EF4" w14:textId="77777777" w:rsidR="00104F14" w:rsidRDefault="00104F14" w:rsidP="00104F14">
      <w:pPr>
        <w:spacing w:after="0" w:line="276" w:lineRule="auto"/>
        <w:jc w:val="both"/>
        <w:rPr>
          <w:rFonts w:ascii="Verdana" w:eastAsia="Calibri" w:hAnsi="Verdana" w:cs="Times New Roman"/>
          <w:bCs/>
          <w:lang w:val="es-ES" w:bidi="es-ES"/>
        </w:rPr>
      </w:pPr>
      <w:r w:rsidRPr="00B57A1B">
        <w:rPr>
          <w:rFonts w:ascii="Verdana" w:eastAsia="Calibri" w:hAnsi="Verdana" w:cs="Times New Roman"/>
          <w:bCs/>
          <w:lang w:val="es-ES" w:bidi="es-ES"/>
        </w:rPr>
        <w:t xml:space="preserve">En ejercicio de la competencia otorgada por los artículos 3, numeral 5º, y 11, numeral 8º, del Decreto Ley 4170 de 2011, </w:t>
      </w:r>
      <w:r w:rsidRPr="00B57A1B">
        <w:rPr>
          <w:rFonts w:ascii="Verdana" w:eastAsia="Calibri" w:hAnsi="Verdana" w:cs="Times New Roman"/>
          <w:bCs/>
        </w:rPr>
        <w:t xml:space="preserve">así como lo establecido por la Resolución 469 de 2025 expedida por esta Entidad, </w:t>
      </w:r>
      <w:r w:rsidRPr="00FD0FC8">
        <w:rPr>
          <w:rFonts w:ascii="Verdana" w:eastAsia="Calibri" w:hAnsi="Verdana" w:cs="Times New Roman"/>
          <w:bCs/>
        </w:rPr>
        <w:t xml:space="preserve">La Agencia Nacional de Contratación Pública – Colombia Compra Eficiente – atiende la solicitud de consulta </w:t>
      </w:r>
      <w:r>
        <w:rPr>
          <w:rFonts w:ascii="Verdana" w:eastAsia="Calibri" w:hAnsi="Verdana" w:cs="Times New Roman"/>
          <w:bCs/>
        </w:rPr>
        <w:t xml:space="preserve">del 11 de junio </w:t>
      </w:r>
      <w:r w:rsidRPr="00FD0FC8">
        <w:rPr>
          <w:rFonts w:ascii="Verdana" w:eastAsia="Calibri" w:hAnsi="Verdana" w:cs="Times New Roman"/>
          <w:bCs/>
        </w:rPr>
        <w:t>relacionada con la obligación de una IPS de reportar información a la Agencia y las eventuales consecuencias derivadas de dicho reporte. En ese marco, formula las siguientes preguntas para precisar el alcance de la consulta:</w:t>
      </w:r>
    </w:p>
    <w:p w14:paraId="11F368BB" w14:textId="77777777" w:rsidR="00104F14" w:rsidRPr="00525E40" w:rsidRDefault="00104F14" w:rsidP="00104F14">
      <w:pPr>
        <w:spacing w:after="0" w:line="240" w:lineRule="auto"/>
        <w:ind w:right="709"/>
        <w:jc w:val="both"/>
        <w:rPr>
          <w:rFonts w:ascii="Verdana" w:eastAsia="Calibri" w:hAnsi="Verdana" w:cs="Times New Roman"/>
          <w:bCs/>
          <w:sz w:val="20"/>
          <w:szCs w:val="20"/>
          <w:lang w:val="es-ES" w:bidi="es-ES"/>
        </w:rPr>
      </w:pPr>
    </w:p>
    <w:p w14:paraId="4205895A" w14:textId="77777777" w:rsidR="00104F14" w:rsidRPr="00693422" w:rsidRDefault="00104F14" w:rsidP="00104F14">
      <w:pPr>
        <w:numPr>
          <w:ilvl w:val="0"/>
          <w:numId w:val="25"/>
        </w:numPr>
        <w:spacing w:after="0" w:line="240" w:lineRule="auto"/>
        <w:ind w:right="709"/>
        <w:jc w:val="both"/>
        <w:rPr>
          <w:rFonts w:ascii="Verdana" w:eastAsia="Calibri" w:hAnsi="Verdana" w:cs="Times New Roman"/>
          <w:bCs/>
          <w:sz w:val="20"/>
          <w:szCs w:val="20"/>
          <w:lang w:val="es-ES" w:bidi="es-ES"/>
        </w:rPr>
      </w:pPr>
      <w:r>
        <w:rPr>
          <w:rFonts w:ascii="Verdana" w:eastAsia="Calibri" w:hAnsi="Verdana" w:cs="Times New Roman"/>
          <w:bCs/>
          <w:sz w:val="20"/>
          <w:szCs w:val="20"/>
          <w:lang w:bidi="es-ES"/>
        </w:rPr>
        <w:t>“</w:t>
      </w:r>
      <w:r w:rsidRPr="00693422">
        <w:rPr>
          <w:rFonts w:ascii="Verdana" w:eastAsia="Calibri" w:hAnsi="Verdana" w:cs="Times New Roman"/>
          <w:bCs/>
          <w:sz w:val="20"/>
          <w:szCs w:val="20"/>
          <w:lang w:val="es-ES" w:bidi="es-ES"/>
        </w:rPr>
        <w:t xml:space="preserve">¿Está obligada una persona </w:t>
      </w:r>
      <w:proofErr w:type="spellStart"/>
      <w:r w:rsidRPr="00693422">
        <w:rPr>
          <w:rFonts w:ascii="Verdana" w:eastAsia="Calibri" w:hAnsi="Verdana" w:cs="Times New Roman"/>
          <w:bCs/>
          <w:sz w:val="20"/>
          <w:szCs w:val="20"/>
          <w:lang w:val="es-ES" w:bidi="es-ES"/>
        </w:rPr>
        <w:t>juridica</w:t>
      </w:r>
      <w:proofErr w:type="spellEnd"/>
      <w:r w:rsidRPr="00693422">
        <w:rPr>
          <w:rFonts w:ascii="Verdana" w:eastAsia="Calibri" w:hAnsi="Verdana" w:cs="Times New Roman"/>
          <w:bCs/>
          <w:sz w:val="20"/>
          <w:szCs w:val="20"/>
          <w:lang w:val="es-ES" w:bidi="es-ES"/>
        </w:rPr>
        <w:t xml:space="preserve"> con las características anteriormente descritas a reportar o suministrar algún tipo de información, dato, </w:t>
      </w:r>
      <w:r w:rsidRPr="00693422">
        <w:rPr>
          <w:rFonts w:ascii="Verdana" w:eastAsia="Calibri" w:hAnsi="Verdana" w:cs="Times New Roman"/>
          <w:bCs/>
          <w:sz w:val="20"/>
          <w:szCs w:val="20"/>
          <w:lang w:val="es-ES" w:bidi="es-ES"/>
        </w:rPr>
        <w:lastRenderedPageBreak/>
        <w:t>indicador o documento a la agencia nacional de contratación pública? ¿Cuál o cuáles?</w:t>
      </w:r>
    </w:p>
    <w:p w14:paraId="69731D1B" w14:textId="77777777" w:rsidR="00104F14" w:rsidRPr="00693422" w:rsidRDefault="00104F14" w:rsidP="00104F14">
      <w:pPr>
        <w:numPr>
          <w:ilvl w:val="0"/>
          <w:numId w:val="25"/>
        </w:numPr>
        <w:spacing w:after="0" w:line="240" w:lineRule="auto"/>
        <w:ind w:right="709"/>
        <w:jc w:val="both"/>
        <w:rPr>
          <w:rFonts w:ascii="Verdana" w:eastAsia="Calibri" w:hAnsi="Verdana" w:cs="Times New Roman"/>
          <w:bCs/>
          <w:sz w:val="20"/>
          <w:szCs w:val="20"/>
          <w:lang w:val="es-ES" w:bidi="es-ES"/>
        </w:rPr>
      </w:pPr>
      <w:r w:rsidRPr="00693422">
        <w:rPr>
          <w:rFonts w:ascii="Verdana" w:eastAsia="Calibri" w:hAnsi="Verdana" w:cs="Times New Roman"/>
          <w:bCs/>
          <w:sz w:val="20"/>
          <w:szCs w:val="20"/>
          <w:lang w:val="es-ES" w:bidi="es-ES"/>
        </w:rPr>
        <w:t>¿Existe información que dicha persona jurídica deba reportar a otra entidad, pero cuya obligación esté contenida en una norma expedida por su entidad (Agencia nacional de contratación pública)? De ser así, ¿a qué entidad se reporta y cuál es la norma que lo exige?</w:t>
      </w:r>
    </w:p>
    <w:p w14:paraId="003085BB" w14:textId="77777777" w:rsidR="00104F14" w:rsidRPr="00693422" w:rsidRDefault="00104F14" w:rsidP="00104F14">
      <w:pPr>
        <w:numPr>
          <w:ilvl w:val="0"/>
          <w:numId w:val="25"/>
        </w:numPr>
        <w:spacing w:after="0" w:line="240" w:lineRule="auto"/>
        <w:ind w:right="709"/>
        <w:jc w:val="both"/>
        <w:rPr>
          <w:rFonts w:ascii="Verdana" w:eastAsia="Calibri" w:hAnsi="Verdana" w:cs="Times New Roman"/>
          <w:bCs/>
          <w:sz w:val="20"/>
          <w:szCs w:val="20"/>
          <w:lang w:val="es-ES" w:bidi="es-ES"/>
        </w:rPr>
      </w:pPr>
      <w:r w:rsidRPr="00693422">
        <w:rPr>
          <w:rFonts w:ascii="Verdana" w:eastAsia="Calibri" w:hAnsi="Verdana" w:cs="Times New Roman"/>
          <w:bCs/>
          <w:sz w:val="20"/>
          <w:szCs w:val="20"/>
          <w:lang w:val="es-ES" w:bidi="es-ES"/>
        </w:rPr>
        <w:t>¿Cuál es la norma (ley, decreto, resolución, circular u otro acto administrativo) que establece dicha obligación de reporte? Por favor indicar número, año y entidad que la expidió.</w:t>
      </w:r>
    </w:p>
    <w:p w14:paraId="60870024" w14:textId="77777777" w:rsidR="00104F14" w:rsidRPr="00693422" w:rsidRDefault="00104F14" w:rsidP="00104F14">
      <w:pPr>
        <w:numPr>
          <w:ilvl w:val="0"/>
          <w:numId w:val="25"/>
        </w:numPr>
        <w:spacing w:after="0" w:line="240" w:lineRule="auto"/>
        <w:ind w:right="709"/>
        <w:jc w:val="both"/>
        <w:rPr>
          <w:rFonts w:ascii="Verdana" w:eastAsia="Calibri" w:hAnsi="Verdana" w:cs="Times New Roman"/>
          <w:bCs/>
          <w:sz w:val="20"/>
          <w:szCs w:val="20"/>
          <w:lang w:val="es-ES" w:bidi="es-ES"/>
        </w:rPr>
      </w:pPr>
      <w:r w:rsidRPr="00693422">
        <w:rPr>
          <w:rFonts w:ascii="Verdana" w:eastAsia="Calibri" w:hAnsi="Verdana" w:cs="Times New Roman"/>
          <w:bCs/>
          <w:sz w:val="20"/>
          <w:szCs w:val="20"/>
          <w:lang w:val="es-ES" w:bidi="es-ES"/>
        </w:rPr>
        <w:t>¿Con qué periodicidad debe realizarse el reporte (diaria, semanal, mensual, trimestral, anual, u otra)? ¿Existe una fecha límite específica para su envío?</w:t>
      </w:r>
    </w:p>
    <w:p w14:paraId="361D6189" w14:textId="77777777" w:rsidR="00104F14" w:rsidRPr="00693422" w:rsidRDefault="00104F14" w:rsidP="00104F14">
      <w:pPr>
        <w:numPr>
          <w:ilvl w:val="0"/>
          <w:numId w:val="25"/>
        </w:numPr>
        <w:spacing w:after="0" w:line="240" w:lineRule="auto"/>
        <w:ind w:right="709"/>
        <w:jc w:val="both"/>
        <w:rPr>
          <w:rFonts w:ascii="Verdana" w:eastAsia="Calibri" w:hAnsi="Verdana" w:cs="Times New Roman"/>
          <w:bCs/>
          <w:sz w:val="20"/>
          <w:szCs w:val="20"/>
          <w:lang w:val="es-ES" w:bidi="es-ES"/>
        </w:rPr>
      </w:pPr>
      <w:r w:rsidRPr="00693422">
        <w:rPr>
          <w:rFonts w:ascii="Verdana" w:eastAsia="Calibri" w:hAnsi="Verdana" w:cs="Times New Roman"/>
          <w:bCs/>
          <w:sz w:val="20"/>
          <w:szCs w:val="20"/>
          <w:lang w:val="es-ES" w:bidi="es-ES"/>
        </w:rPr>
        <w:t>¿Qué información exacta debe contener el reporte? ¿Existe un formato, plantilla o estructura oficial definida por la entidad?</w:t>
      </w:r>
    </w:p>
    <w:p w14:paraId="2033A1AF" w14:textId="77777777" w:rsidR="00104F14" w:rsidRPr="00693422" w:rsidRDefault="00104F14" w:rsidP="00104F14">
      <w:pPr>
        <w:numPr>
          <w:ilvl w:val="0"/>
          <w:numId w:val="25"/>
        </w:numPr>
        <w:spacing w:after="0" w:line="240" w:lineRule="auto"/>
        <w:ind w:right="709"/>
        <w:jc w:val="both"/>
        <w:rPr>
          <w:rFonts w:ascii="Verdana" w:eastAsia="Calibri" w:hAnsi="Verdana" w:cs="Times New Roman"/>
          <w:bCs/>
          <w:sz w:val="20"/>
          <w:szCs w:val="20"/>
          <w:lang w:val="es-ES" w:bidi="es-ES"/>
        </w:rPr>
      </w:pPr>
      <w:r w:rsidRPr="00693422">
        <w:rPr>
          <w:rFonts w:ascii="Verdana" w:eastAsia="Calibri" w:hAnsi="Verdana" w:cs="Times New Roman"/>
          <w:bCs/>
          <w:sz w:val="20"/>
          <w:szCs w:val="20"/>
          <w:lang w:val="es-ES" w:bidi="es-ES"/>
        </w:rPr>
        <w:t>¿Cuál es el medio o canal oficial para enviar el reporte (plataforma web, correo electrónico, sistema de información, radicado físico, u otro)? Por favor indicar el nombre del sistema o dirección de envío si aplica.</w:t>
      </w:r>
    </w:p>
    <w:p w14:paraId="77CE730A" w14:textId="77777777" w:rsidR="00104F14" w:rsidRPr="00693422" w:rsidRDefault="00104F14" w:rsidP="00104F14">
      <w:pPr>
        <w:numPr>
          <w:ilvl w:val="0"/>
          <w:numId w:val="25"/>
        </w:numPr>
        <w:spacing w:after="0" w:line="240" w:lineRule="auto"/>
        <w:ind w:right="709"/>
        <w:jc w:val="both"/>
        <w:rPr>
          <w:rFonts w:ascii="Verdana" w:eastAsia="Calibri" w:hAnsi="Verdana" w:cs="Times New Roman"/>
          <w:bCs/>
          <w:sz w:val="20"/>
          <w:szCs w:val="20"/>
          <w:lang w:val="es-ES" w:bidi="es-ES"/>
        </w:rPr>
      </w:pPr>
      <w:r w:rsidRPr="00693422">
        <w:rPr>
          <w:rFonts w:ascii="Verdana" w:eastAsia="Calibri" w:hAnsi="Verdana" w:cs="Times New Roman"/>
          <w:bCs/>
          <w:sz w:val="20"/>
          <w:szCs w:val="20"/>
          <w:lang w:val="es-ES" w:bidi="es-ES"/>
        </w:rPr>
        <w:t>¿El reporte debe estar firmado por el Representante Legal de la institución? ¿Se requiere firma digital, electrónica o física? ¿Debe ir con algún tipo de certificación adicional?</w:t>
      </w:r>
    </w:p>
    <w:p w14:paraId="462036E0" w14:textId="77777777" w:rsidR="00104F14" w:rsidRPr="00693422" w:rsidRDefault="00104F14" w:rsidP="00104F14">
      <w:pPr>
        <w:numPr>
          <w:ilvl w:val="0"/>
          <w:numId w:val="25"/>
        </w:numPr>
        <w:spacing w:after="0" w:line="240" w:lineRule="auto"/>
        <w:ind w:right="709"/>
        <w:jc w:val="both"/>
        <w:rPr>
          <w:rFonts w:ascii="Verdana" w:eastAsia="Calibri" w:hAnsi="Verdana" w:cs="Times New Roman"/>
          <w:bCs/>
          <w:sz w:val="20"/>
          <w:szCs w:val="20"/>
          <w:lang w:val="es-ES" w:bidi="es-ES"/>
        </w:rPr>
      </w:pPr>
      <w:r w:rsidRPr="00693422">
        <w:rPr>
          <w:rFonts w:ascii="Verdana" w:eastAsia="Calibri" w:hAnsi="Verdana" w:cs="Times New Roman"/>
          <w:bCs/>
          <w:sz w:val="20"/>
          <w:szCs w:val="20"/>
          <w:lang w:val="es-ES" w:bidi="es-ES"/>
        </w:rPr>
        <w:t>¿Existen sanciones, multas, medidas administrativas u otras consecuencias por el incumplimiento en la presentación del reporte o por presentarlo de manera extemporánea o incompleta? ¿Cuáles son y en qué norma están establecidas?</w:t>
      </w:r>
    </w:p>
    <w:p w14:paraId="5CE60D1C" w14:textId="77777777" w:rsidR="00104F14" w:rsidRPr="00693422" w:rsidRDefault="00104F14" w:rsidP="00104F14">
      <w:pPr>
        <w:numPr>
          <w:ilvl w:val="0"/>
          <w:numId w:val="25"/>
        </w:numPr>
        <w:spacing w:after="0" w:line="240" w:lineRule="auto"/>
        <w:ind w:right="709"/>
        <w:jc w:val="both"/>
        <w:rPr>
          <w:rFonts w:ascii="Verdana" w:eastAsia="Calibri" w:hAnsi="Verdana" w:cs="Times New Roman"/>
          <w:bCs/>
          <w:sz w:val="20"/>
          <w:szCs w:val="20"/>
          <w:lang w:val="es-ES" w:bidi="es-ES"/>
        </w:rPr>
      </w:pPr>
      <w:r w:rsidRPr="00693422">
        <w:rPr>
          <w:rFonts w:ascii="Verdana" w:eastAsia="Calibri" w:hAnsi="Verdana" w:cs="Times New Roman"/>
          <w:bCs/>
          <w:sz w:val="20"/>
          <w:szCs w:val="20"/>
          <w:lang w:val="es-ES" w:bidi="es-ES"/>
        </w:rPr>
        <w:t>¿Existe algún proceso de verificación, validación o retroalimentación por parte de la entidad una vez se recibe el reporte? ¿Cómo se notifica al prestador sobre errores o inconsistencias?</w:t>
      </w:r>
    </w:p>
    <w:p w14:paraId="0091CDEE" w14:textId="77777777" w:rsidR="00104F14" w:rsidRPr="00FD0FC8" w:rsidRDefault="00104F14" w:rsidP="00104F14">
      <w:pPr>
        <w:numPr>
          <w:ilvl w:val="0"/>
          <w:numId w:val="25"/>
        </w:numPr>
        <w:spacing w:after="0" w:line="240" w:lineRule="auto"/>
        <w:ind w:right="709"/>
        <w:jc w:val="both"/>
        <w:rPr>
          <w:rFonts w:ascii="Verdana" w:eastAsia="Calibri" w:hAnsi="Verdana" w:cs="Times New Roman"/>
          <w:bCs/>
          <w:sz w:val="20"/>
          <w:szCs w:val="20"/>
          <w:lang w:val="es-ES" w:bidi="es-ES"/>
        </w:rPr>
      </w:pPr>
      <w:r w:rsidRPr="00693422">
        <w:rPr>
          <w:rFonts w:ascii="Verdana" w:eastAsia="Calibri" w:hAnsi="Verdana" w:cs="Times New Roman"/>
          <w:bCs/>
          <w:sz w:val="20"/>
          <w:szCs w:val="20"/>
          <w:lang w:val="es-ES" w:bidi="es-ES"/>
        </w:rPr>
        <w:t>¿Ha habido cambios normativos recientes (últimos 24 meses) en las obligaciones de reporte de las IPS ante esa entidad? De ser así, ¿cuáles?</w:t>
      </w:r>
      <w:r w:rsidRPr="00FD0FC8">
        <w:rPr>
          <w:rFonts w:ascii="Verdana" w:eastAsia="Calibri" w:hAnsi="Verdana" w:cs="Times New Roman"/>
          <w:bCs/>
          <w:sz w:val="20"/>
          <w:szCs w:val="20"/>
          <w:lang w:bidi="es-ES"/>
        </w:rPr>
        <w:t>”.</w:t>
      </w:r>
    </w:p>
    <w:p w14:paraId="7495E65E" w14:textId="77777777" w:rsidR="00104F14" w:rsidRPr="00812F2C" w:rsidRDefault="00104F14" w:rsidP="00104F14">
      <w:pPr>
        <w:spacing w:after="0" w:line="240" w:lineRule="auto"/>
        <w:ind w:left="709" w:right="709"/>
        <w:jc w:val="both"/>
        <w:rPr>
          <w:rFonts w:ascii="Verdana" w:eastAsia="Calibri" w:hAnsi="Verdana" w:cs="Times New Roman"/>
          <w:bCs/>
          <w:sz w:val="21"/>
          <w:szCs w:val="21"/>
          <w:lang w:bidi="es-ES"/>
        </w:rPr>
      </w:pPr>
    </w:p>
    <w:p w14:paraId="35B3AC38" w14:textId="77777777" w:rsidR="00104F14" w:rsidRPr="00B57A1B" w:rsidRDefault="00104F14" w:rsidP="00104F14">
      <w:pPr>
        <w:spacing w:after="120" w:line="276" w:lineRule="auto"/>
        <w:ind w:firstLine="709"/>
        <w:jc w:val="both"/>
        <w:rPr>
          <w:rFonts w:ascii="Verdana" w:eastAsia="Calibri" w:hAnsi="Verdana" w:cs="Times New Roman"/>
          <w:lang w:val="es-ES"/>
        </w:rPr>
      </w:pPr>
      <w:r w:rsidRPr="17205C8A">
        <w:rPr>
          <w:rFonts w:ascii="Verdana" w:eastAsia="Calibri" w:hAnsi="Verdana" w:cs="Times New Roman"/>
          <w:lang w:val="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w:t>
      </w:r>
      <w:r w:rsidRPr="17205C8A">
        <w:rPr>
          <w:rFonts w:ascii="Verdana" w:eastAsia="Calibri" w:hAnsi="Verdana" w:cs="Times New Roman"/>
          <w:lang w:val="es-ES"/>
        </w:rPr>
        <w:lastRenderedPageBreak/>
        <w:t>asesorías sobre casos puntuales, ni a determinar grados de responsabilidad por las actuaciones de los diferentes participes del sistema de compra pública.</w:t>
      </w:r>
    </w:p>
    <w:p w14:paraId="48E2C054" w14:textId="77777777" w:rsidR="00104F14" w:rsidRPr="00B57A1B" w:rsidRDefault="00104F14" w:rsidP="00104F14">
      <w:pPr>
        <w:spacing w:after="120" w:line="276" w:lineRule="auto"/>
        <w:ind w:firstLine="708"/>
        <w:jc w:val="both"/>
        <w:rPr>
          <w:rFonts w:ascii="Verdana" w:eastAsia="Calibri" w:hAnsi="Verdana" w:cs="Times New Roman"/>
          <w:lang w:val="es-ES"/>
        </w:rPr>
      </w:pPr>
      <w:r w:rsidRPr="17205C8A">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consulta. </w:t>
      </w:r>
    </w:p>
    <w:p w14:paraId="3DF92424" w14:textId="77777777" w:rsidR="00104F14" w:rsidRPr="00B57A1B" w:rsidRDefault="00104F14" w:rsidP="00104F14">
      <w:pPr>
        <w:spacing w:after="0" w:line="256" w:lineRule="auto"/>
        <w:rPr>
          <w:rFonts w:ascii="Verdana" w:eastAsia="Calibri" w:hAnsi="Verdana" w:cs="Times New Roman"/>
          <w:lang w:val="es-ES"/>
        </w:rPr>
      </w:pPr>
    </w:p>
    <w:p w14:paraId="19EC59D0" w14:textId="77777777" w:rsidR="00104F14" w:rsidRPr="00B57A1B" w:rsidRDefault="00104F14" w:rsidP="00104F14">
      <w:pPr>
        <w:numPr>
          <w:ilvl w:val="0"/>
          <w:numId w:val="16"/>
        </w:numPr>
        <w:spacing w:after="0" w:line="256" w:lineRule="auto"/>
        <w:contextualSpacing/>
        <w:rPr>
          <w:rFonts w:ascii="Verdana" w:eastAsia="Calibri" w:hAnsi="Verdana" w:cs="Times New Roman"/>
          <w:b/>
          <w:bCs/>
          <w:lang w:val="es-ES"/>
        </w:rPr>
      </w:pPr>
      <w:r w:rsidRPr="00B57A1B">
        <w:rPr>
          <w:rFonts w:ascii="Verdana" w:eastAsia="Calibri" w:hAnsi="Verdana" w:cs="Times New Roman"/>
          <w:b/>
          <w:bCs/>
          <w:lang w:val="es-ES"/>
        </w:rPr>
        <w:t>Problema planteado:</w:t>
      </w:r>
    </w:p>
    <w:p w14:paraId="1B3E4726" w14:textId="77777777" w:rsidR="00104F14" w:rsidRPr="00B57A1B" w:rsidRDefault="00104F14" w:rsidP="00104F14">
      <w:pPr>
        <w:spacing w:after="0" w:line="256" w:lineRule="auto"/>
        <w:rPr>
          <w:rFonts w:ascii="Verdana" w:eastAsia="Calibri" w:hAnsi="Verdana" w:cs="Times New Roman"/>
        </w:rPr>
      </w:pPr>
    </w:p>
    <w:p w14:paraId="3F3C3454" w14:textId="77777777" w:rsidR="00104F14" w:rsidRPr="00693422" w:rsidRDefault="00104F14" w:rsidP="00104F14">
      <w:pPr>
        <w:spacing w:after="0" w:line="276" w:lineRule="auto"/>
        <w:jc w:val="both"/>
        <w:rPr>
          <w:rFonts w:ascii="Verdana" w:eastAsia="Calibri" w:hAnsi="Verdana" w:cs="Times New Roman"/>
          <w:lang w:val="es"/>
        </w:rPr>
      </w:pPr>
      <w:r w:rsidRPr="00B57A1B">
        <w:rPr>
          <w:rFonts w:ascii="Verdana" w:eastAsia="Calibri" w:hAnsi="Verdana" w:cs="Times New Roman"/>
        </w:rPr>
        <w:t xml:space="preserve">De acuerdo </w:t>
      </w:r>
      <w:r>
        <w:rPr>
          <w:rFonts w:ascii="Verdana" w:eastAsia="Calibri" w:hAnsi="Verdana" w:cs="Times New Roman"/>
        </w:rPr>
        <w:t>con el contenido de sus solicitudes</w:t>
      </w:r>
      <w:r w:rsidRPr="00B57A1B">
        <w:rPr>
          <w:rFonts w:ascii="Verdana" w:eastAsia="Calibri" w:hAnsi="Verdana" w:cs="Times New Roman"/>
        </w:rPr>
        <w:t>, es</w:t>
      </w:r>
      <w:r>
        <w:rPr>
          <w:rFonts w:ascii="Verdana" w:eastAsia="Calibri" w:hAnsi="Verdana" w:cs="Times New Roman"/>
        </w:rPr>
        <w:t xml:space="preserve">ta Agencia procede a resolver el siguiente problema jurídico: </w:t>
      </w:r>
      <w:r w:rsidRPr="00FD0FC8">
        <w:rPr>
          <w:rFonts w:ascii="Verdana" w:eastAsia="Calibri" w:hAnsi="Verdana" w:cs="Times New Roman"/>
        </w:rPr>
        <w:t xml:space="preserve">¿Las Instituciones Prestadoras de Servicios de Salud (IPS) están obligadas a reportar información a la Agencia Nacional de Contratación Pública – Colombia Compra Eficiente– y, de ser así, </w:t>
      </w:r>
      <w:proofErr w:type="gramStart"/>
      <w:r w:rsidRPr="00FD0FC8">
        <w:rPr>
          <w:rFonts w:ascii="Verdana" w:eastAsia="Calibri" w:hAnsi="Verdana" w:cs="Times New Roman"/>
        </w:rPr>
        <w:t>cuáles son las condiciones normativas que rigen el cumplimiento de dicha obligación?</w:t>
      </w:r>
      <w:proofErr w:type="gramEnd"/>
    </w:p>
    <w:p w14:paraId="03B044D9" w14:textId="77777777" w:rsidR="00104F14" w:rsidRPr="00B57A1B" w:rsidRDefault="00104F14" w:rsidP="00104F14">
      <w:pPr>
        <w:spacing w:after="0" w:line="276" w:lineRule="auto"/>
        <w:jc w:val="both"/>
        <w:rPr>
          <w:rFonts w:ascii="Verdana" w:eastAsia="Calibri" w:hAnsi="Verdana" w:cs="Times New Roman"/>
          <w:i/>
          <w:iCs/>
          <w:lang w:val="es-ES"/>
        </w:rPr>
      </w:pPr>
    </w:p>
    <w:p w14:paraId="1C4DF381" w14:textId="77777777" w:rsidR="00104F14" w:rsidRPr="00B57A1B" w:rsidRDefault="00104F14" w:rsidP="00104F14">
      <w:pPr>
        <w:numPr>
          <w:ilvl w:val="0"/>
          <w:numId w:val="16"/>
        </w:numPr>
        <w:spacing w:after="0" w:line="256" w:lineRule="auto"/>
        <w:contextualSpacing/>
        <w:rPr>
          <w:rFonts w:ascii="Verdana" w:eastAsia="Calibri" w:hAnsi="Verdana" w:cs="Times New Roman"/>
          <w:b/>
          <w:bCs/>
          <w:lang w:val="es-ES"/>
        </w:rPr>
      </w:pPr>
      <w:r w:rsidRPr="00B57A1B">
        <w:rPr>
          <w:rFonts w:ascii="Verdana" w:eastAsia="Calibri" w:hAnsi="Verdana" w:cs="Times New Roman"/>
          <w:b/>
          <w:bCs/>
          <w:lang w:val="es-ES"/>
        </w:rPr>
        <w:t>Respuesta:</w:t>
      </w:r>
    </w:p>
    <w:p w14:paraId="758357F4" w14:textId="77777777" w:rsidR="00104F14" w:rsidRPr="00B57A1B" w:rsidRDefault="00104F14" w:rsidP="00104F14">
      <w:pPr>
        <w:spacing w:after="0" w:line="276"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104F14" w:rsidRPr="00B57A1B" w14:paraId="2BA00D0C" w14:textId="77777777" w:rsidTr="0083006D">
        <w:trPr>
          <w:trHeight w:val="345"/>
          <w:jc w:val="center"/>
        </w:trPr>
        <w:tc>
          <w:tcPr>
            <w:tcW w:w="8784" w:type="dxa"/>
            <w:tcBorders>
              <w:bottom w:val="single" w:sz="4" w:space="0" w:color="auto"/>
            </w:tcBorders>
          </w:tcPr>
          <w:p w14:paraId="4AD21F68" w14:textId="77777777" w:rsidR="00104F14" w:rsidRPr="008574FA" w:rsidRDefault="00104F14" w:rsidP="0083006D">
            <w:pPr>
              <w:spacing w:after="120" w:line="276" w:lineRule="auto"/>
              <w:jc w:val="both"/>
              <w:rPr>
                <w:rFonts w:ascii="Verdana" w:eastAsia="Calibri" w:hAnsi="Verdana" w:cs="Arial"/>
                <w:lang w:eastAsia="es-ES_tradnl"/>
              </w:rPr>
            </w:pPr>
            <w:r w:rsidRPr="00B41A6C">
              <w:rPr>
                <w:rFonts w:ascii="Verdana" w:eastAsia="Calibri" w:hAnsi="Verdana" w:cs="Times New Roman"/>
              </w:rPr>
              <w:t>En relación con el problema jurídico planteado, es necesario precisar que el deber de reportar información en el Sistema de Compras Públicas por parte de las IPS no constituye un mandato uniforme ni automático. Su configuración depende de dos elementos estructurales que impiden asumir una obligación idéntica para todas estas entidades.</w:t>
            </w:r>
            <w:r>
              <w:rPr>
                <w:rFonts w:ascii="Verdana" w:eastAsia="Calibri" w:hAnsi="Verdana" w:cs="Times New Roman"/>
              </w:rPr>
              <w:t xml:space="preserve"> </w:t>
            </w:r>
            <w:r w:rsidRPr="00B41A6C">
              <w:rPr>
                <w:rFonts w:ascii="Verdana" w:eastAsia="Calibri" w:hAnsi="Verdana" w:cs="Times New Roman"/>
              </w:rPr>
              <w:t>En primer lugar, la naturaleza jurídica de las IPS no es homogénea. Estas pueden ser oficiales, mixtas, privadas, comunitarias o solidarias, y pueden estar organizadas dentro de las Entidades Promotoras de Salud o por fuera de ellas. Esta diversidad organizacional y jurídica implica que no todas las IPS se encuentran sometidas al mismo régimen de derecho público ni a las mismas cargas de reporte.</w:t>
            </w:r>
            <w:r>
              <w:rPr>
                <w:rFonts w:ascii="Verdana" w:eastAsia="Calibri" w:hAnsi="Verdana" w:cs="Times New Roman"/>
              </w:rPr>
              <w:t xml:space="preserve"> </w:t>
            </w:r>
            <w:r w:rsidRPr="00B41A6C">
              <w:rPr>
                <w:rFonts w:ascii="Verdana" w:eastAsia="Calibri" w:hAnsi="Verdana" w:cs="Times New Roman"/>
              </w:rPr>
              <w:t xml:space="preserve">En segundo lugar, la fuente y el carácter de los recursos que administran resulta determinante. Las IPS pueden percibir recursos provenientes de distintas fuentes: algunos corresponden al Sistema General de Seguridad Social en Salud y conservan la naturaleza parafiscal y la destinación específica prevista en el artículo 48 de la Constitución Política; otros derivan de actividades o servicios diferentes autorizados por el ordenamiento jurídico y no comparten dicho carácter. </w:t>
            </w:r>
            <w:r w:rsidRPr="008574FA">
              <w:rPr>
                <w:rFonts w:ascii="Verdana" w:eastAsia="Calibri" w:hAnsi="Verdana" w:cs="Times New Roman"/>
              </w:rPr>
              <w:t xml:space="preserve">Esta doble dimensión permite diferenciar obligaciones, </w:t>
            </w:r>
            <w:r w:rsidRPr="008574FA">
              <w:rPr>
                <w:rFonts w:ascii="Verdana" w:eastAsia="Calibri" w:hAnsi="Verdana" w:cs="Times New Roman"/>
              </w:rPr>
              <w:lastRenderedPageBreak/>
              <w:t>alcances y estándares de reporte que no pueden asumirse como idénticos para todas las entidades.</w:t>
            </w:r>
          </w:p>
          <w:p w14:paraId="7A0BA4AE" w14:textId="77777777" w:rsidR="00104F14" w:rsidRPr="000B30D7" w:rsidRDefault="00104F14" w:rsidP="0083006D">
            <w:pPr>
              <w:tabs>
                <w:tab w:val="left" w:pos="709"/>
              </w:tabs>
              <w:spacing w:before="120" w:after="120" w:line="276" w:lineRule="auto"/>
              <w:ind w:firstLine="709"/>
              <w:jc w:val="both"/>
              <w:rPr>
                <w:rFonts w:ascii="Verdana" w:eastAsia="Calibri" w:hAnsi="Verdana" w:cs="Arial"/>
                <w:lang w:eastAsia="es-ES_tradnl"/>
              </w:rPr>
            </w:pPr>
            <w:r>
              <w:rPr>
                <w:rFonts w:ascii="Verdana" w:eastAsia="Calibri" w:hAnsi="Verdana" w:cs="Arial"/>
                <w:lang w:eastAsia="es-ES_tradnl"/>
              </w:rPr>
              <w:t>Por un lado, se encuentra la categoría de l</w:t>
            </w:r>
            <w:r w:rsidRPr="000B30D7">
              <w:rPr>
                <w:rFonts w:ascii="Verdana" w:eastAsia="Calibri" w:hAnsi="Verdana" w:cs="Arial"/>
                <w:lang w:eastAsia="es-ES_tradnl"/>
              </w:rPr>
              <w:t xml:space="preserve">os particulares que administran recursos públicos y ejecutan funciones administrativas </w:t>
            </w:r>
            <w:r>
              <w:rPr>
                <w:rFonts w:ascii="Verdana" w:eastAsia="Calibri" w:hAnsi="Verdana" w:cs="Arial"/>
                <w:lang w:eastAsia="es-ES_tradnl"/>
              </w:rPr>
              <w:t xml:space="preserve">los cuales </w:t>
            </w:r>
            <w:r w:rsidRPr="000B30D7">
              <w:rPr>
                <w:rFonts w:ascii="Verdana" w:eastAsia="Calibri" w:hAnsi="Verdana" w:cs="Arial"/>
                <w:lang w:eastAsia="es-ES_tradnl"/>
              </w:rPr>
              <w:t>son sujetos obligados por la Ley 1712 de 2014, conforme a los literales d) y g) del artículo 5, lo que implica garantizar la publicidad de sus procedimientos, lineamientos y políticas de adquisición, así como de los datos de adjudicación y ejecución contractual. En desarrollo de este mandato, el Decreto 1080 de 2015 reiteró que quienes contratan con recursos públicos deben publicar la información de su gestión contractual en el SECOP, conforme a la Ley 1150 de 2007 y a los términos previstos en el Decreto 1082 de 2015, que exige divulgar los documentos y actos del proceso dentro de los tres días siguientes a su expedición.</w:t>
            </w:r>
          </w:p>
          <w:p w14:paraId="2BB9A77D" w14:textId="77777777" w:rsidR="00104F14" w:rsidRPr="000B30D7" w:rsidRDefault="00104F14" w:rsidP="0083006D">
            <w:pPr>
              <w:tabs>
                <w:tab w:val="left" w:pos="709"/>
              </w:tabs>
              <w:spacing w:before="120" w:after="120" w:line="276" w:lineRule="auto"/>
              <w:ind w:firstLine="709"/>
              <w:jc w:val="both"/>
              <w:rPr>
                <w:rFonts w:ascii="Verdana" w:eastAsia="Calibri" w:hAnsi="Verdana" w:cs="Arial"/>
                <w:lang w:eastAsia="es-ES_tradnl"/>
              </w:rPr>
            </w:pPr>
            <w:r w:rsidRPr="000B30D7">
              <w:rPr>
                <w:rFonts w:ascii="Verdana" w:eastAsia="Calibri" w:hAnsi="Verdana" w:cs="Arial"/>
                <w:lang w:eastAsia="es-ES_tradnl"/>
              </w:rPr>
              <w:t>Sin embargo, el hecho de administrar recursos públicos no convierte a los particulares en entidades sometidas al Estatuto General de Contratación ni los habilita para ser tratados como entidades de régimen especial, por lo que no se les puede exigir el uso de SECOP II. Aun así, persiste la obligación de reportar en SECOP I la información contractual asociada a la gestión de los recursos públicos administrados, en cumplimiento de la Ley 1150 de 2007 y de los Decretos 1080 y 1082 de 2015, asegurando así la trazabilidad y transparencia exigidas por el ordenamiento jurídico.</w:t>
            </w:r>
            <w:r>
              <w:rPr>
                <w:rFonts w:ascii="Verdana" w:eastAsia="Calibri" w:hAnsi="Verdana" w:cs="Arial"/>
                <w:lang w:eastAsia="es-ES_tradnl"/>
              </w:rPr>
              <w:t xml:space="preserve"> </w:t>
            </w:r>
          </w:p>
          <w:p w14:paraId="0C5B3F0E" w14:textId="77777777" w:rsidR="00104F14" w:rsidRPr="00D44677" w:rsidRDefault="00104F14" w:rsidP="0083006D">
            <w:pPr>
              <w:tabs>
                <w:tab w:val="left" w:pos="709"/>
              </w:tabs>
              <w:spacing w:before="120" w:after="120" w:line="276" w:lineRule="auto"/>
              <w:ind w:firstLine="709"/>
              <w:jc w:val="both"/>
              <w:rPr>
                <w:rFonts w:ascii="Verdana" w:eastAsia="Calibri" w:hAnsi="Verdana" w:cs="Arial"/>
                <w:lang w:eastAsia="es-ES_tradnl"/>
              </w:rPr>
            </w:pPr>
            <w:r>
              <w:rPr>
                <w:rFonts w:ascii="Verdana" w:eastAsia="Calibri" w:hAnsi="Verdana" w:cs="Arial"/>
                <w:lang w:eastAsia="es-ES_tradnl"/>
              </w:rPr>
              <w:t>Por otro lado, l</w:t>
            </w:r>
            <w:r w:rsidRPr="00D44677">
              <w:rPr>
                <w:rFonts w:ascii="Verdana" w:eastAsia="Calibri" w:hAnsi="Verdana" w:cs="Arial"/>
                <w:lang w:eastAsia="es-ES_tradnl"/>
              </w:rPr>
              <w:t xml:space="preserve">as entidades de régimen especial, esto es, aquellas que por disposición legal cuentan con un régimen contractual distinto al Estatuto General de Contratación, están obligadas a publicar en el SECOP II toda la información relacionada con su actividad contractual, conforme al artículo 13 de la Ley 1150 de 2007 modificado por el artículo 53 de la Ley 2195 de 2022. Esta obligación comprende la divulgación de los documentos, actos, contratos e información generada por oferentes, contratistas, supervisores e interventores en las etapas precontractual, contractual y </w:t>
            </w:r>
            <w:proofErr w:type="spellStart"/>
            <w:r w:rsidRPr="00D44677">
              <w:rPr>
                <w:rFonts w:ascii="Verdana" w:eastAsia="Calibri" w:hAnsi="Verdana" w:cs="Arial"/>
                <w:lang w:eastAsia="es-ES_tradnl"/>
              </w:rPr>
              <w:t>postcontractual</w:t>
            </w:r>
            <w:proofErr w:type="spellEnd"/>
            <w:r w:rsidRPr="00D44677">
              <w:rPr>
                <w:rFonts w:ascii="Verdana" w:eastAsia="Calibri" w:hAnsi="Verdana" w:cs="Arial"/>
                <w:lang w:eastAsia="es-ES_tradnl"/>
              </w:rPr>
              <w:t>, sin distinción respecto de la naturaleza u objeto del contrato. Para cumplir este mandato, las entidades deben utilizar uno de los dos módulos habilitados en SECOP II —Régimen Especial con Ofertas o Régimen Especial sin Ofertas— según el análisis que realicen sobre las características del proceso, garantizando la trazabilidad y la transparencia de la gestión contractual.</w:t>
            </w:r>
          </w:p>
          <w:p w14:paraId="238EAAFE" w14:textId="77777777" w:rsidR="00104F14" w:rsidRDefault="00104F14" w:rsidP="0083006D">
            <w:pPr>
              <w:tabs>
                <w:tab w:val="left" w:pos="709"/>
              </w:tabs>
              <w:spacing w:before="120" w:after="120" w:line="276" w:lineRule="auto"/>
              <w:ind w:firstLine="709"/>
              <w:jc w:val="both"/>
              <w:rPr>
                <w:rFonts w:ascii="Verdana" w:eastAsia="Calibri" w:hAnsi="Verdana" w:cs="Arial"/>
                <w:lang w:eastAsia="es-ES_tradnl"/>
              </w:rPr>
            </w:pPr>
            <w:r w:rsidRPr="00D44677">
              <w:rPr>
                <w:rFonts w:ascii="Verdana" w:eastAsia="Calibri" w:hAnsi="Verdana" w:cs="Arial"/>
                <w:lang w:eastAsia="es-ES_tradnl"/>
              </w:rPr>
              <w:lastRenderedPageBreak/>
              <w:t>En cuanto a los plazos de publicación, cuando las entidades emplean SECOP II como herramienta de publicidad, deben cargar los documentos dentro de los tres días siguientes a su expedición, conforme a lo previsto en el Decreto 1082 de 2015 y reiterado por la Circular 002 de 2022. Si optan por el uso transaccional de la plataforma, la publicación debe realizarse en tiempo real, de acuerdo con el cronograma del proceso de selecci</w:t>
            </w:r>
            <w:r>
              <w:rPr>
                <w:rFonts w:ascii="Verdana" w:eastAsia="Calibri" w:hAnsi="Verdana" w:cs="Arial"/>
                <w:lang w:eastAsia="es-ES_tradnl"/>
              </w:rPr>
              <w:t>ón</w:t>
            </w:r>
            <w:r w:rsidRPr="00D44677">
              <w:rPr>
                <w:rFonts w:ascii="Verdana" w:eastAsia="Calibri" w:hAnsi="Verdana" w:cs="Arial"/>
                <w:lang w:eastAsia="es-ES_tradnl"/>
              </w:rPr>
              <w:t>. En consecuencia, las entidades de régimen especial deben asegurar la publicación oportuna e integral de la documentación contractual en SECOP II, armonizando este deber con las normas sobre reserva legal o constitucional de la información cuando corresponda.</w:t>
            </w:r>
          </w:p>
          <w:p w14:paraId="3342A0E0" w14:textId="77777777" w:rsidR="00104F14" w:rsidRDefault="00104F14" w:rsidP="0083006D">
            <w:pPr>
              <w:tabs>
                <w:tab w:val="left" w:pos="709"/>
              </w:tabs>
              <w:spacing w:before="120" w:after="120" w:line="276" w:lineRule="auto"/>
              <w:ind w:firstLine="709"/>
              <w:jc w:val="both"/>
              <w:rPr>
                <w:rFonts w:ascii="Verdana" w:eastAsia="Calibri" w:hAnsi="Verdana" w:cs="Arial"/>
                <w:lang w:eastAsia="es-ES_tradnl"/>
              </w:rPr>
            </w:pPr>
            <w:r w:rsidRPr="00553B54">
              <w:rPr>
                <w:rFonts w:ascii="Verdana" w:eastAsia="Calibri" w:hAnsi="Verdana" w:cs="Arial"/>
                <w:lang w:eastAsia="es-ES_tradnl"/>
              </w:rPr>
              <w:t>El incumplimiento de estas obligaciones puede generar responsabilidad disciplinaria ante las autoridades competentes. En todo caso, las IPS, teniendo en cuenta la diversidad de formas organizativas y de fuentes de financiación que caracterizan al sector salud, deben realizar un análisis riguroso de su naturaleza jurídica —pública, privada o mixta— y de la procedencia de sus recursos —privados, públicos, parafiscales, entre otros— con el fin de determinar con exactitud el alcance real de las obligaciones mencionadas. Esta verificación resulta indispensable para evitar que las instituciones asuman cargas, deberes o responsabilidades que no les son exigibles conforme al marco normativo aplicable, lo cual podría derivar en actuaciones contrarias a la ley o comprometer indebidamente su capacidad operativa y financiera. Todo ello, sin perjuicio de las competencias de inspección, vigilancia y control a cargo de la Superintendencia Nacional de Salud.</w:t>
            </w:r>
          </w:p>
          <w:p w14:paraId="1E22799C" w14:textId="77777777" w:rsidR="00104F14" w:rsidRPr="00587265" w:rsidRDefault="00104F14" w:rsidP="0083006D">
            <w:pPr>
              <w:tabs>
                <w:tab w:val="left" w:pos="709"/>
              </w:tabs>
              <w:spacing w:before="120" w:after="120" w:line="276" w:lineRule="auto"/>
              <w:ind w:firstLine="709"/>
              <w:jc w:val="both"/>
              <w:rPr>
                <w:rFonts w:ascii="Verdana" w:eastAsia="Calibri" w:hAnsi="Verdana" w:cs="Arial"/>
                <w:lang w:val="es-ES" w:eastAsia="es-ES_tradnl"/>
              </w:rPr>
            </w:pPr>
            <w:r w:rsidRPr="00587265">
              <w:rPr>
                <w:rFonts w:ascii="Verdana" w:eastAsia="Calibri" w:hAnsi="Verdana" w:cs="Arial"/>
                <w:lang w:val="es-ES" w:eastAsia="es-ES_tradnl"/>
              </w:rPr>
              <w:t xml:space="preserve">Al </w:t>
            </w:r>
            <w:r w:rsidRPr="00587265">
              <w:rPr>
                <w:rFonts w:ascii="Verdana" w:eastAsia="Calibri" w:hAnsi="Verdana" w:cs="Arial"/>
                <w:lang w:val="es-ES_tradnl" w:eastAsia="es-ES_tradnl"/>
              </w:rPr>
              <w:t>margen de la explicación precedente debe advertirse que el análisis requerido para resolver problemas específicos en torno a la naturaleza de una IPS y su deber de publicación debe realizarse por quienes tengan interés en ello, de acuerdo con lo explicado en la aclaración preliminar del presente oficio. De esta manera, las afirmaciones aquí realizadas no pueden interpretarse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tc>
      </w:tr>
    </w:tbl>
    <w:p w14:paraId="362141C1" w14:textId="77777777" w:rsidR="00104F14" w:rsidRPr="00B57A1B" w:rsidRDefault="00104F14" w:rsidP="00104F14">
      <w:pPr>
        <w:spacing w:after="0" w:line="276" w:lineRule="auto"/>
        <w:jc w:val="both"/>
        <w:rPr>
          <w:rFonts w:ascii="Verdana" w:eastAsia="Calibri" w:hAnsi="Verdana" w:cs="Arial"/>
          <w:bCs/>
          <w:color w:val="000000" w:themeColor="text1"/>
        </w:rPr>
      </w:pPr>
    </w:p>
    <w:p w14:paraId="34E44C06" w14:textId="77777777" w:rsidR="00104F14" w:rsidRPr="00B57A1B" w:rsidRDefault="00104F14" w:rsidP="00104F14">
      <w:pPr>
        <w:numPr>
          <w:ilvl w:val="0"/>
          <w:numId w:val="16"/>
        </w:numPr>
        <w:tabs>
          <w:tab w:val="left" w:pos="2268"/>
        </w:tabs>
        <w:spacing w:after="0" w:line="256" w:lineRule="auto"/>
        <w:rPr>
          <w:rFonts w:ascii="Verdana" w:eastAsia="Calibri" w:hAnsi="Verdana" w:cs="Times New Roman"/>
          <w:b/>
          <w:bCs/>
          <w:lang w:val="es-ES"/>
        </w:rPr>
      </w:pPr>
      <w:r w:rsidRPr="00B57A1B">
        <w:rPr>
          <w:rFonts w:ascii="Verdana" w:eastAsia="Calibri" w:hAnsi="Verdana" w:cs="Times New Roman"/>
          <w:b/>
          <w:bCs/>
          <w:lang w:val="es-ES"/>
        </w:rPr>
        <w:lastRenderedPageBreak/>
        <w:t>Razones de la respuesta:</w:t>
      </w:r>
    </w:p>
    <w:p w14:paraId="354563E3" w14:textId="77777777" w:rsidR="00104F14" w:rsidRPr="00B57A1B" w:rsidRDefault="00104F14" w:rsidP="00104F14">
      <w:pPr>
        <w:spacing w:after="0" w:line="240" w:lineRule="auto"/>
        <w:rPr>
          <w:rFonts w:ascii="Verdana" w:eastAsia="Calibri" w:hAnsi="Verdana" w:cs="Times New Roman"/>
          <w:b/>
          <w:bCs/>
          <w:lang w:val="es-ES"/>
        </w:rPr>
      </w:pPr>
    </w:p>
    <w:p w14:paraId="4215CFE9" w14:textId="77777777" w:rsidR="00104F14" w:rsidRPr="00B57A1B" w:rsidRDefault="00104F14" w:rsidP="00104F14">
      <w:pPr>
        <w:spacing w:after="0" w:line="240" w:lineRule="auto"/>
        <w:jc w:val="both"/>
        <w:rPr>
          <w:rFonts w:ascii="Verdana" w:eastAsia="Calibri" w:hAnsi="Verdana" w:cs="Arial"/>
          <w:lang w:val="es-ES"/>
        </w:rPr>
      </w:pPr>
      <w:r w:rsidRPr="00B57A1B">
        <w:rPr>
          <w:rFonts w:ascii="Verdana" w:eastAsia="Calibri" w:hAnsi="Verdana" w:cs="Arial"/>
          <w:lang w:val="es-ES"/>
        </w:rPr>
        <w:t xml:space="preserve">Lo anterior se sustenta en las siguientes consideraciones: </w:t>
      </w:r>
    </w:p>
    <w:p w14:paraId="59D5EC51" w14:textId="77777777" w:rsidR="00104F14" w:rsidRPr="00AD6B46" w:rsidRDefault="00104F14" w:rsidP="00104F14">
      <w:pPr>
        <w:spacing w:after="0" w:line="240" w:lineRule="auto"/>
        <w:jc w:val="both"/>
        <w:rPr>
          <w:rFonts w:ascii="Verdana" w:hAnsi="Verdana" w:cs="Arial"/>
          <w:bCs/>
          <w:lang w:val="es-ES" w:eastAsia="es-ES" w:bidi="es-ES"/>
        </w:rPr>
      </w:pPr>
    </w:p>
    <w:p w14:paraId="7ED7D4FC" w14:textId="77777777" w:rsidR="00104F14" w:rsidRPr="006C0CAF" w:rsidRDefault="00104F14" w:rsidP="00104F14">
      <w:pPr>
        <w:spacing w:after="120" w:line="276" w:lineRule="auto"/>
        <w:jc w:val="both"/>
        <w:rPr>
          <w:rFonts w:ascii="Verdana" w:eastAsia="Times New Roman" w:hAnsi="Verdana" w:cs="Arial"/>
          <w:lang w:val="es-ES" w:eastAsia="es-ES"/>
          <w14:ligatures w14:val="standardContextual"/>
        </w:rPr>
      </w:pPr>
      <w:r w:rsidRPr="006C0CAF">
        <w:rPr>
          <w:rFonts w:ascii="Verdana" w:eastAsia="Times New Roman" w:hAnsi="Verdana" w:cs="Arial"/>
          <w:lang w:val="es-ES" w:eastAsia="es-ES"/>
          <w14:ligatures w14:val="standardContextual"/>
        </w:rPr>
        <w:t xml:space="preserve">i. Uno de los postulados más importantes de un Estado social y democrático de derecho es el principio de </w:t>
      </w:r>
      <w:r w:rsidRPr="006C0CAF">
        <w:rPr>
          <w:rFonts w:ascii="Verdana" w:eastAsia="Times New Roman" w:hAnsi="Verdana" w:cs="Arial"/>
          <w:i/>
          <w:iCs/>
          <w:lang w:val="es-ES" w:eastAsia="es-ES"/>
          <w14:ligatures w14:val="standardContextual"/>
        </w:rPr>
        <w:t>publicidad</w:t>
      </w:r>
      <w:r w:rsidRPr="006C0CAF">
        <w:rPr>
          <w:rFonts w:ascii="Verdana" w:eastAsia="Times New Roman" w:hAnsi="Verdana" w:cs="Arial"/>
          <w:lang w:val="es-ES" w:eastAsia="es-ES"/>
          <w14:ligatures w14:val="standardContextual"/>
        </w:rPr>
        <w:t>, pues este permite que las actuaciones de las autoridades gocen de visibilidad. En tal sentido, la filosofía política ha indicado que la democracia “[…] es idealmente el gobierno de un poder visible, es decir, el gobierno cuyos actos se realizan ante el público y bajo la supervisión de la opinión pública”</w:t>
      </w:r>
      <w:r w:rsidRPr="006C0CAF">
        <w:rPr>
          <w:rFonts w:ascii="Verdana" w:eastAsia="Times New Roman" w:hAnsi="Verdana" w:cs="Arial"/>
          <w:vertAlign w:val="superscript"/>
          <w:lang w:val="es-ES" w:eastAsia="es-ES"/>
          <w14:ligatures w14:val="standardContextual"/>
        </w:rPr>
        <w:footnoteReference w:id="1"/>
      </w:r>
      <w:r w:rsidRPr="006C0CAF">
        <w:rPr>
          <w:rFonts w:ascii="Verdana" w:eastAsia="Times New Roman" w:hAnsi="Verdana" w:cs="Arial"/>
          <w:lang w:val="es-ES" w:eastAsia="es-ES"/>
          <w14:ligatures w14:val="standardContextual"/>
        </w:rPr>
        <w:t xml:space="preserve">. El secreto generalizado en el ejercicio del poder político constituye, por el contrario, una negación de la democracia, porque dificulta la supervisión de las autoridades por parte de la sociedad civil y establece una barrera para la participación ciudadana. Inspirada en esta concepción axiológica, en los Estados de derecho se pregonan la publicidad de las actuaciones de los poderes públicos. </w:t>
      </w:r>
    </w:p>
    <w:p w14:paraId="3912C786" w14:textId="77777777" w:rsidR="00104F14" w:rsidRPr="006C0CAF" w:rsidRDefault="00104F14" w:rsidP="00104F14">
      <w:pPr>
        <w:spacing w:before="120" w:after="120" w:line="276" w:lineRule="auto"/>
        <w:ind w:firstLine="708"/>
        <w:jc w:val="both"/>
        <w:rPr>
          <w:rFonts w:ascii="Verdana" w:eastAsia="Times New Roman" w:hAnsi="Verdana" w:cs="Arial"/>
          <w:lang w:val="es-ES" w:eastAsia="es-ES"/>
          <w14:ligatures w14:val="standardContextual"/>
        </w:rPr>
      </w:pPr>
      <w:r w:rsidRPr="006C0CAF">
        <w:rPr>
          <w:rFonts w:ascii="Verdana" w:eastAsia="Times New Roman" w:hAnsi="Verdana" w:cs="Arial"/>
          <w:lang w:val="es-ES" w:eastAsia="es-ES"/>
          <w14:ligatures w14:val="standardContextual"/>
        </w:rPr>
        <w:t xml:space="preserve">Como evidencia de ello,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documentos públicos que no gocen de reserva –y esta, además, es excepcional, pues solo procede si existe causal constitucional o legal expresa–. </w:t>
      </w:r>
    </w:p>
    <w:p w14:paraId="207D42D0" w14:textId="77777777" w:rsidR="00104F14" w:rsidRDefault="00104F14" w:rsidP="00104F14">
      <w:pPr>
        <w:spacing w:after="0" w:line="276" w:lineRule="auto"/>
        <w:ind w:firstLine="709"/>
        <w:jc w:val="both"/>
        <w:rPr>
          <w:rFonts w:ascii="Verdana" w:eastAsia="Times New Roman" w:hAnsi="Verdana" w:cs="Arial"/>
          <w:lang w:val="es-ES" w:eastAsia="es-ES"/>
          <w14:ligatures w14:val="standardContextual"/>
        </w:rPr>
      </w:pPr>
      <w:r w:rsidRPr="043A1B52">
        <w:rPr>
          <w:rFonts w:ascii="Verdana" w:eastAsia="Times New Roman" w:hAnsi="Verdana" w:cs="Arial"/>
          <w:lang w:val="es-ES" w:eastAsia="es-ES"/>
          <w14:ligatures w14:val="standardContextual"/>
        </w:rPr>
        <w:t>De otra parte, la Ley 1712 de 2014 –Ley estatutaria que regula la transparencia y el derecho de acceso a la información y a los documentos públicos–, identifica como principios que orientan el derecho de acceso a la información pública, el de máxima publicidad, transparencia en la información y buena fe. El principio de máxima publicidad establece que “toda información en posesión, bajo control o custodia de un sujeto obligado es pública y no podrá ser reservada o limitada sino por disposición constitucional o legal”</w:t>
      </w:r>
      <w:r w:rsidRPr="043A1B52">
        <w:rPr>
          <w:rFonts w:ascii="Verdana" w:eastAsia="Times New Roman" w:hAnsi="Verdana" w:cs="Arial"/>
          <w:vertAlign w:val="superscript"/>
          <w:lang w:val="es-ES" w:eastAsia="es-ES"/>
          <w14:ligatures w14:val="standardContextual"/>
        </w:rPr>
        <w:footnoteReference w:id="2"/>
      </w:r>
      <w:r w:rsidRPr="043A1B52">
        <w:rPr>
          <w:rFonts w:ascii="Verdana" w:eastAsia="Times New Roman" w:hAnsi="Verdana" w:cs="Arial"/>
          <w:lang w:val="es-ES" w:eastAsia="es-ES"/>
          <w14:ligatures w14:val="standardContextual"/>
        </w:rPr>
        <w:t xml:space="preserve">. El principio de transparencia en la información alude al deber de los sujetos de proporcionar y facilitar el acceso a la misma en los términos más amplios posibles, y a través </w:t>
      </w:r>
      <w:r w:rsidRPr="043A1B52">
        <w:rPr>
          <w:rFonts w:ascii="Verdana" w:eastAsia="Times New Roman" w:hAnsi="Verdana" w:cs="Arial"/>
          <w:lang w:val="es-ES" w:eastAsia="es-ES"/>
          <w14:ligatures w14:val="standardContextual"/>
        </w:rPr>
        <w:lastRenderedPageBreak/>
        <w:t>de los medios y procedimientos legales. En este sentido, el artículo la Ley 1712 de 2014 establece el ámbito de ampliación, esto es, quienes son los sujetos obligados a publicar su información:</w:t>
      </w:r>
    </w:p>
    <w:p w14:paraId="0078E4F5" w14:textId="77777777" w:rsidR="00104F14" w:rsidRDefault="00104F14" w:rsidP="00104F14">
      <w:pPr>
        <w:spacing w:after="0" w:line="276" w:lineRule="auto"/>
        <w:ind w:firstLine="709"/>
        <w:jc w:val="both"/>
        <w:rPr>
          <w:rFonts w:ascii="Verdana" w:eastAsia="Times New Roman" w:hAnsi="Verdana" w:cs="Arial"/>
          <w:lang w:val="es-ES_tradnl" w:eastAsia="es-ES_tradnl"/>
          <w14:ligatures w14:val="standardContextual"/>
        </w:rPr>
      </w:pPr>
    </w:p>
    <w:p w14:paraId="38F431BE" w14:textId="77777777" w:rsidR="00104F14" w:rsidRPr="00C77C27" w:rsidRDefault="00104F14" w:rsidP="00104F14">
      <w:pPr>
        <w:spacing w:after="0" w:line="240" w:lineRule="auto"/>
        <w:ind w:left="709" w:right="709"/>
        <w:jc w:val="both"/>
        <w:rPr>
          <w:rFonts w:ascii="Verdana" w:hAnsi="Verdana" w:cs="Arial"/>
          <w:sz w:val="20"/>
          <w:szCs w:val="20"/>
          <w:lang w:eastAsia="es-ES"/>
          <w14:ligatures w14:val="standardContextual"/>
        </w:rPr>
      </w:pPr>
      <w:bookmarkStart w:id="1" w:name="5"/>
      <w:r w:rsidRPr="00C77C27">
        <w:rPr>
          <w:rFonts w:ascii="Verdana" w:hAnsi="Verdana" w:cs="Arial"/>
          <w:sz w:val="20"/>
          <w:szCs w:val="20"/>
          <w:lang w:eastAsia="es-ES"/>
          <w14:ligatures w14:val="standardContextual"/>
        </w:rPr>
        <w:t>ARTÍCULO 5o. Ámbito de Aplicación</w:t>
      </w:r>
      <w:r w:rsidRPr="00C77C27">
        <w:rPr>
          <w:rFonts w:ascii="Verdana" w:hAnsi="Verdana" w:cs="Arial"/>
          <w:b/>
          <w:bCs/>
          <w:sz w:val="20"/>
          <w:szCs w:val="20"/>
          <w:lang w:eastAsia="es-ES"/>
          <w14:ligatures w14:val="standardContextual"/>
        </w:rPr>
        <w:t>.</w:t>
      </w:r>
      <w:bookmarkEnd w:id="1"/>
      <w:r w:rsidRPr="00C77C27">
        <w:rPr>
          <w:rFonts w:ascii="Verdana" w:hAnsi="Verdana" w:cs="Arial"/>
          <w:sz w:val="20"/>
          <w:szCs w:val="20"/>
          <w:lang w:eastAsia="es-ES"/>
          <w14:ligatures w14:val="standardContextual"/>
        </w:rPr>
        <w:t> &lt;Artículo corregido por el artículo </w:t>
      </w:r>
      <w:hyperlink r:id="rId12" w:anchor="1" w:history="1">
        <w:r w:rsidRPr="00C77C27">
          <w:rPr>
            <w:rStyle w:val="Hipervnculo"/>
            <w:rFonts w:ascii="Verdana" w:hAnsi="Verdana" w:cs="Arial"/>
            <w:color w:val="auto"/>
            <w:sz w:val="20"/>
            <w:szCs w:val="20"/>
            <w:u w:val="none"/>
            <w:lang w:eastAsia="es-ES"/>
            <w14:ligatures w14:val="standardContextual"/>
          </w:rPr>
          <w:t>1</w:t>
        </w:r>
      </w:hyperlink>
      <w:r w:rsidRPr="00C77C27">
        <w:rPr>
          <w:rFonts w:ascii="Verdana" w:hAnsi="Verdana" w:cs="Arial"/>
          <w:sz w:val="20"/>
          <w:szCs w:val="20"/>
          <w:lang w:eastAsia="es-ES"/>
          <w14:ligatures w14:val="standardContextual"/>
        </w:rPr>
        <w:t> del Decreto 1494 de 2015. El nuevo texto es el siguiente:&gt; Las disposiciones de esta ley serán aplicables a las siguientes personas en calidad de sujetos obligados:</w:t>
      </w:r>
    </w:p>
    <w:p w14:paraId="0B251C58" w14:textId="77777777" w:rsidR="00104F14" w:rsidRPr="00C77C27" w:rsidRDefault="00104F14" w:rsidP="00104F14">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a) Toda entidad pública, incluyendo las pertenecientes a todas las Ramas del Poder Público, en todos los niveles de la estructura estatal, central o descentralizada por servicios o territorialmente, en los órdenes nacional, departamental, municipal y distrital.</w:t>
      </w:r>
    </w:p>
    <w:p w14:paraId="29BD2480" w14:textId="77777777" w:rsidR="00104F14" w:rsidRPr="00C77C27" w:rsidRDefault="00104F14" w:rsidP="00104F14">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b) Los órganos, organismos y entidades estatales independientes o autónomos y de control.</w:t>
      </w:r>
    </w:p>
    <w:p w14:paraId="582E15BF" w14:textId="77777777" w:rsidR="00104F14" w:rsidRPr="00C77C27" w:rsidRDefault="00104F14" w:rsidP="00104F14">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c) Las personas naturales y jurídicas, públicas o privadas, que presten función pública, que presten servicios públicos respecto de la información directamente relacionada con la prestación del servicio público.</w:t>
      </w:r>
    </w:p>
    <w:p w14:paraId="7B0512A8" w14:textId="77777777" w:rsidR="00104F14" w:rsidRPr="00C77C27" w:rsidRDefault="00104F14" w:rsidP="00104F14">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 xml:space="preserve">d) Cualquier persona natural, jurídica o dependencia de persona jurídica que desempeñe función pública o de </w:t>
      </w:r>
      <w:proofErr w:type="gramStart"/>
      <w:r w:rsidRPr="00C77C27">
        <w:rPr>
          <w:rFonts w:ascii="Verdana" w:eastAsia="Times New Roman" w:hAnsi="Verdana" w:cs="Arial"/>
          <w:sz w:val="20"/>
          <w:szCs w:val="20"/>
          <w:lang w:eastAsia="es-ES"/>
          <w14:ligatures w14:val="standardContextual"/>
        </w:rPr>
        <w:t>autoridad pública</w:t>
      </w:r>
      <w:proofErr w:type="gramEnd"/>
      <w:r w:rsidRPr="00C77C27">
        <w:rPr>
          <w:rFonts w:ascii="Verdana" w:eastAsia="Times New Roman" w:hAnsi="Verdana" w:cs="Arial"/>
          <w:sz w:val="20"/>
          <w:szCs w:val="20"/>
          <w:lang w:eastAsia="es-ES"/>
          <w14:ligatures w14:val="standardContextual"/>
        </w:rPr>
        <w:t>, respecto de la información directamente relacionada con el desempeño de su función.</w:t>
      </w:r>
    </w:p>
    <w:p w14:paraId="0CA9A1CF" w14:textId="77777777" w:rsidR="00104F14" w:rsidRPr="00C77C27" w:rsidRDefault="00104F14" w:rsidP="00104F14">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e) Las empresas públicas creadas por ley, las empresas del Estado y sociedades en que este tenga participación.</w:t>
      </w:r>
    </w:p>
    <w:p w14:paraId="62B12F87" w14:textId="77777777" w:rsidR="00104F14" w:rsidRPr="00C77C27" w:rsidRDefault="00104F14" w:rsidP="00104F14">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f) Los partidos o movimientos políticos y los grupos significativos de ciudadanos.</w:t>
      </w:r>
    </w:p>
    <w:p w14:paraId="42794A20" w14:textId="77777777" w:rsidR="00104F14" w:rsidRPr="00C77C27" w:rsidRDefault="00104F14" w:rsidP="00104F14">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g) Las entidades que administren instituciones parafiscales, fondos o recursos de naturaleza u origen público.</w:t>
      </w:r>
    </w:p>
    <w:p w14:paraId="421D7FAC" w14:textId="77777777" w:rsidR="00104F14" w:rsidRPr="00C77C27" w:rsidRDefault="00104F14" w:rsidP="00104F14">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Las personas naturales o jurídicas que reciban o intermedien fondos o beneficios públicos territoriales y nacionales y no cumplan ninguno de los otros requisitos para ser considerados sujetos obligados, solo deberán cumplir con la presente ley respecto de aquella información que se produzca en relación con fondos públicos que reciban o intermedien.</w:t>
      </w:r>
    </w:p>
    <w:p w14:paraId="00B7BF5B" w14:textId="77777777" w:rsidR="00104F14" w:rsidRPr="00C77C27" w:rsidRDefault="00104F14" w:rsidP="00104F14">
      <w:pPr>
        <w:spacing w:after="0" w:line="240" w:lineRule="auto"/>
        <w:ind w:left="709" w:right="709"/>
        <w:jc w:val="both"/>
        <w:rPr>
          <w:rFonts w:ascii="Verdana" w:eastAsia="Times New Roman" w:hAnsi="Verdana" w:cs="Arial"/>
          <w:sz w:val="20"/>
          <w:szCs w:val="20"/>
          <w:lang w:eastAsia="es-ES"/>
          <w14:ligatures w14:val="standardContextual"/>
        </w:rPr>
      </w:pPr>
      <w:r w:rsidRPr="00C77C27">
        <w:rPr>
          <w:rFonts w:ascii="Verdana" w:eastAsia="Times New Roman" w:hAnsi="Verdana" w:cs="Arial"/>
          <w:sz w:val="20"/>
          <w:szCs w:val="20"/>
          <w:lang w:eastAsia="es-ES"/>
          <w14:ligatures w14:val="standardContextual"/>
        </w:rPr>
        <w:t>PARÁGRAFO 1o</w:t>
      </w:r>
      <w:r w:rsidRPr="00C77C27">
        <w:rPr>
          <w:rFonts w:ascii="Verdana" w:eastAsia="Times New Roman" w:hAnsi="Verdana" w:cs="Arial"/>
          <w:b/>
          <w:bCs/>
          <w:sz w:val="20"/>
          <w:szCs w:val="20"/>
          <w:lang w:eastAsia="es-ES"/>
          <w14:ligatures w14:val="standardContextual"/>
        </w:rPr>
        <w:t>.</w:t>
      </w:r>
      <w:r w:rsidRPr="00C77C27">
        <w:rPr>
          <w:rFonts w:ascii="Verdana" w:eastAsia="Times New Roman" w:hAnsi="Verdana" w:cs="Arial"/>
          <w:sz w:val="20"/>
          <w:szCs w:val="20"/>
          <w:lang w:eastAsia="es-ES"/>
          <w14:ligatures w14:val="standardContextual"/>
        </w:rPr>
        <w:t> No serán sujetos obligados aquellas personas naturales o jurídicas de carácter privado que sean usuarios de información pública.</w:t>
      </w:r>
    </w:p>
    <w:p w14:paraId="2434BFAE" w14:textId="77777777" w:rsidR="00104F14" w:rsidRDefault="00104F14" w:rsidP="00104F14">
      <w:pPr>
        <w:spacing w:before="120" w:after="120" w:line="240" w:lineRule="auto"/>
        <w:ind w:firstLine="709"/>
        <w:jc w:val="both"/>
        <w:rPr>
          <w:rFonts w:ascii="Verdana" w:eastAsia="Times New Roman" w:hAnsi="Verdana" w:cs="Arial"/>
          <w:lang w:val="es-ES_tradnl" w:eastAsia="es-ES_tradnl"/>
          <w14:ligatures w14:val="standardContextual"/>
        </w:rPr>
      </w:pPr>
    </w:p>
    <w:p w14:paraId="16AA43D7" w14:textId="77777777" w:rsidR="00104F14" w:rsidRDefault="00104F14" w:rsidP="00104F14">
      <w:pPr>
        <w:spacing w:before="120" w:after="120" w:line="276" w:lineRule="auto"/>
        <w:ind w:firstLine="709"/>
        <w:jc w:val="both"/>
        <w:rPr>
          <w:rFonts w:ascii="Verdana" w:eastAsia="Times New Roman" w:hAnsi="Verdana" w:cs="Arial"/>
          <w:lang w:val="es-ES_tradnl" w:eastAsia="es-ES_tradnl"/>
          <w14:ligatures w14:val="standardContextual"/>
        </w:rPr>
      </w:pPr>
      <w:r>
        <w:rPr>
          <w:rFonts w:ascii="Verdana" w:eastAsia="Times New Roman" w:hAnsi="Verdana" w:cs="Arial"/>
          <w:lang w:val="es-ES_tradnl" w:eastAsia="es-ES_tradnl"/>
          <w14:ligatures w14:val="standardContextual"/>
        </w:rPr>
        <w:t xml:space="preserve">Teniendo en cuenta quienes son los sujetos obligados a publicar la información, es pertinente señalar que el precitado artículo dispone que la Ley 1712 aplica </w:t>
      </w:r>
      <w:r w:rsidRPr="004878FE">
        <w:rPr>
          <w:rFonts w:ascii="Verdana" w:eastAsia="Times New Roman" w:hAnsi="Verdana" w:cs="Arial"/>
          <w:lang w:val="es-ES_tradnl" w:eastAsia="es-ES_tradnl"/>
          <w14:ligatures w14:val="standardContextual"/>
        </w:rPr>
        <w:t xml:space="preserve">a un amplio conjunto de sujetos obligados, incluyendo todas las entidades públicas de cualquier rama y nivel; órganos autónomos y de control; personas naturales o jurídicas, públicas o privadas, que ejerzan función pública o presten servicios públicos respecto de la información relacionada con dicha función; empresas estatales; partidos y movimientos políticos; y entidades que </w:t>
      </w:r>
      <w:r w:rsidRPr="004878FE">
        <w:rPr>
          <w:rFonts w:ascii="Verdana" w:eastAsia="Times New Roman" w:hAnsi="Verdana" w:cs="Arial"/>
          <w:lang w:val="es-ES_tradnl" w:eastAsia="es-ES_tradnl"/>
          <w14:ligatures w14:val="standardContextual"/>
        </w:rPr>
        <w:lastRenderedPageBreak/>
        <w:t>administren recursos públicos o parafiscales. Además, quienes reciban o intermedien fondos públicos, sin cumplir otros criterios, solo deben cumplir la ley respecto de la información vinculada a esos recursos. Finalmente, aclara que los usuarios privados de información pública no son sujetos obligados.</w:t>
      </w:r>
    </w:p>
    <w:p w14:paraId="1CF954FB" w14:textId="77777777" w:rsidR="00104F14" w:rsidRDefault="00104F14" w:rsidP="00104F14">
      <w:pPr>
        <w:spacing w:before="120" w:after="120" w:line="276" w:lineRule="auto"/>
        <w:ind w:firstLine="709"/>
        <w:jc w:val="both"/>
        <w:rPr>
          <w:rFonts w:ascii="Verdana" w:eastAsia="Times New Roman" w:hAnsi="Verdana" w:cs="Arial"/>
          <w:lang w:val="es-ES_tradnl" w:eastAsia="es-ES_tradnl"/>
          <w14:ligatures w14:val="standardContextual"/>
        </w:rPr>
      </w:pPr>
      <w:r>
        <w:rPr>
          <w:rFonts w:ascii="Verdana" w:eastAsia="Times New Roman" w:hAnsi="Verdana" w:cs="Arial"/>
          <w:lang w:val="es-ES_tradnl" w:eastAsia="es-ES_tradnl"/>
          <w14:ligatures w14:val="standardContextual"/>
        </w:rPr>
        <w:t>Dicho artículo establece una serie de entidades y organizaciones que no se caracterizan siempre por ser de naturaleza pública, sino que depende de la función o a la administración de recursos para cumplir el deber de publicar su información. Así mismo, e</w:t>
      </w:r>
      <w:r w:rsidRPr="00100483">
        <w:rPr>
          <w:rFonts w:ascii="Verdana" w:eastAsia="Times New Roman" w:hAnsi="Verdana" w:cs="Arial"/>
          <w:lang w:val="es-ES_tradnl" w:eastAsia="es-ES_tradnl"/>
          <w14:ligatures w14:val="standardContextual"/>
        </w:rPr>
        <w:t xml:space="preserve">l artículo </w:t>
      </w:r>
      <w:r>
        <w:rPr>
          <w:rFonts w:ascii="Verdana" w:eastAsia="Times New Roman" w:hAnsi="Verdana" w:cs="Arial"/>
          <w:lang w:val="es-ES_tradnl" w:eastAsia="es-ES_tradnl"/>
          <w14:ligatures w14:val="standardContextual"/>
        </w:rPr>
        <w:t xml:space="preserve">9 de la Ley 1712 de 2014 </w:t>
      </w:r>
      <w:r w:rsidRPr="00100483">
        <w:rPr>
          <w:rFonts w:ascii="Verdana" w:eastAsia="Times New Roman" w:hAnsi="Verdana" w:cs="Arial"/>
          <w:lang w:val="es-ES_tradnl" w:eastAsia="es-ES_tradnl"/>
          <w14:ligatures w14:val="standardContextual"/>
        </w:rPr>
        <w:t xml:space="preserve">exige que todo sujeto obligado publique de forma proactiva información básica sobre su estructura y gestión: su organización interna, funciones, sedes y horarios; su presupuesto, ejecución y planes de gasto; un directorio con cargos, contactos y escalas salariales; las normas, políticas, metas, manuales e indicadores de desempeño; el plan anual de compras y los contratos adjudicados, incluyendo datos esenciales de los contratistas; los plazos de los contratos; y el Plan Anticorrupción y de Atención al Ciudadano. Además, la información debe ser clara, comprensible, veraz y oportuna, ajustarse a los formatos definidos por Función Pública para servidores y contratistas, y cumplir con las directrices de la estrategia de gobierno en línea. </w:t>
      </w:r>
    </w:p>
    <w:p w14:paraId="243DD00E" w14:textId="77777777" w:rsidR="00104F14" w:rsidRPr="00AD6B46" w:rsidRDefault="00104F14" w:rsidP="00104F14">
      <w:pPr>
        <w:spacing w:before="120"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 xml:space="preserve">Asimismo, de acuerdo con el literal g) del artículo 11 de la Ley 1712 de 2014, todos los destinatarios de la Ley Estatutaria de Transparencia y Acceso a la Información Pública deben garantizar la publicidad de “sus procedimientos, lineamientos, políticas en materia de adquisiciones y compras, así como todos los datos de adjudicación y ejecución de contratos, incluidos concursos y licitaciones”, y esta información también debe estar en el SECOP. </w:t>
      </w:r>
    </w:p>
    <w:p w14:paraId="72636104" w14:textId="77777777" w:rsidR="00104F14" w:rsidRPr="00AD6B46" w:rsidRDefault="00104F14" w:rsidP="00104F14">
      <w:pPr>
        <w:spacing w:before="120" w:after="120" w:line="276" w:lineRule="auto"/>
        <w:ind w:firstLine="709"/>
        <w:jc w:val="both"/>
        <w:rPr>
          <w:rFonts w:ascii="Verdana" w:eastAsia="Times New Roman" w:hAnsi="Verdana" w:cs="Arial"/>
          <w:lang w:val="es-ES_tradnl" w:eastAsia="es-ES_tradnl"/>
          <w14:ligatures w14:val="standardContextual"/>
        </w:rPr>
      </w:pPr>
      <w:r w:rsidRPr="00AD6B46">
        <w:rPr>
          <w:rFonts w:ascii="Verdana" w:eastAsia="Times New Roman" w:hAnsi="Verdana" w:cs="Arial"/>
          <w:lang w:val="es-ES_tradnl" w:eastAsia="es-ES_tradnl"/>
          <w14:ligatures w14:val="standardContextua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w:t>
      </w:r>
      <w:r w:rsidRPr="00AD6B46">
        <w:rPr>
          <w:rFonts w:ascii="Verdana" w:eastAsia="Times New Roman" w:hAnsi="Verdana" w:cs="Arial"/>
          <w:vertAlign w:val="superscript"/>
          <w:lang w:val="es-ES_tradnl" w:eastAsia="es-ES_tradnl"/>
          <w14:ligatures w14:val="standardContextual"/>
        </w:rPr>
        <w:footnoteReference w:id="3"/>
      </w:r>
      <w:r w:rsidRPr="00AD6B46">
        <w:rPr>
          <w:rFonts w:ascii="Verdana" w:eastAsia="Times New Roman" w:hAnsi="Verdana" w:cs="Arial"/>
          <w:lang w:val="es-ES_tradnl" w:eastAsia="es-ES_tradnl"/>
          <w14:ligatures w14:val="standardContextual"/>
        </w:rPr>
        <w:t>. En ese contexto, 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698DDA4A" w14:textId="77777777" w:rsidR="00104F14" w:rsidRPr="00AD6B46" w:rsidRDefault="00104F14" w:rsidP="00104F14">
      <w:pPr>
        <w:tabs>
          <w:tab w:val="left" w:pos="709"/>
        </w:tabs>
        <w:spacing w:before="120" w:after="0" w:line="276" w:lineRule="auto"/>
        <w:ind w:firstLine="709"/>
        <w:jc w:val="both"/>
        <w:rPr>
          <w:rFonts w:ascii="Verdana" w:hAnsi="Verdana" w:cs="Arial"/>
          <w:shd w:val="clear" w:color="auto" w:fill="FFFFFF"/>
        </w:rPr>
      </w:pPr>
      <w:r w:rsidRPr="00AD6B46">
        <w:rPr>
          <w:rFonts w:ascii="Verdana" w:hAnsi="Verdana" w:cs="Arial"/>
          <w:shd w:val="clear" w:color="auto" w:fill="FFFFFF"/>
        </w:rPr>
        <w:lastRenderedPageBreak/>
        <w:t xml:space="preserve">La expresión </w:t>
      </w:r>
      <w:r w:rsidRPr="00AD6B46">
        <w:rPr>
          <w:rFonts w:ascii="Verdana" w:hAnsi="Verdana" w:cs="Arial"/>
          <w:i/>
          <w:iCs/>
          <w:shd w:val="clear" w:color="auto" w:fill="FFFFFF"/>
        </w:rPr>
        <w:t xml:space="preserve">Documentos del Proceso </w:t>
      </w:r>
      <w:r w:rsidRPr="00AD6B46">
        <w:rPr>
          <w:rFonts w:ascii="Verdana" w:hAnsi="Verdana" w:cs="Arial"/>
          <w:shd w:val="clear" w:color="auto" w:fill="FFFFFF"/>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Pr="00AD6B46">
        <w:rPr>
          <w:rFonts w:ascii="Verdana" w:hAnsi="Verdana" w:cs="Arial"/>
          <w:i/>
          <w:iCs/>
          <w:shd w:val="clear" w:color="auto" w:fill="FFFFFF"/>
        </w:rPr>
        <w:t>y cualquier otro documento expedido por la Entidad Estatal durante el Proceso de Contratación</w:t>
      </w:r>
      <w:r w:rsidRPr="00AD6B46">
        <w:rPr>
          <w:rFonts w:ascii="Verdana" w:hAnsi="Verdana" w:cs="Arial"/>
          <w:shd w:val="clear" w:color="auto" w:fill="FFFFFF"/>
        </w:rPr>
        <w:t>”. [Énfasis fuera de texto]</w:t>
      </w:r>
    </w:p>
    <w:p w14:paraId="01FC2679" w14:textId="77777777" w:rsidR="00104F14" w:rsidRPr="00AD6B46" w:rsidRDefault="00104F14" w:rsidP="00104F14">
      <w:pPr>
        <w:tabs>
          <w:tab w:val="left" w:pos="709"/>
        </w:tabs>
        <w:spacing w:before="120" w:after="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Sin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w:t>
      </w:r>
      <w:r w:rsidRPr="00AD6B46">
        <w:rPr>
          <w:rFonts w:ascii="Verdana" w:hAnsi="Verdana" w:cs="Arial"/>
          <w:i/>
          <w:iCs/>
          <w:shd w:val="clear" w:color="auto" w:fill="FFFFFF"/>
        </w:rPr>
        <w:t>Ibidem</w:t>
      </w:r>
      <w:r w:rsidRPr="00AD6B46">
        <w:rPr>
          <w:rFonts w:ascii="Verdana" w:hAnsi="Verdana" w:cs="Arial"/>
          <w:shd w:val="clear" w:color="auto" w:fill="FFFFFF"/>
        </w:rPr>
        <w:t xml:space="preserve"> recoge en la noción de Documentos del Proceso “cualquier otro documento expedido por la Entidad Estatal durante el Proceso de Contratación”. </w:t>
      </w:r>
    </w:p>
    <w:p w14:paraId="415C9E6A" w14:textId="77777777" w:rsidR="00104F14" w:rsidRPr="00AD6B46" w:rsidRDefault="00104F14" w:rsidP="00104F14">
      <w:pPr>
        <w:tabs>
          <w:tab w:val="left" w:pos="709"/>
        </w:tabs>
        <w:spacing w:before="120" w:after="0" w:line="276" w:lineRule="auto"/>
        <w:ind w:firstLine="709"/>
        <w:jc w:val="both"/>
        <w:rPr>
          <w:rFonts w:ascii="Verdana" w:hAnsi="Verdana" w:cs="Arial"/>
          <w:shd w:val="clear" w:color="auto" w:fill="FFFFFF"/>
        </w:rPr>
      </w:pPr>
      <w:r w:rsidRPr="00AD6B46">
        <w:rPr>
          <w:rFonts w:ascii="Verdana" w:hAnsi="Verdana" w:cs="Arial"/>
          <w:shd w:val="clear" w:color="auto" w:fill="FFFFFF"/>
        </w:rPr>
        <w:t>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Documentos del Proceso los expedidos por un sujeto distinto a la entidad, salvo la oferta, la cual se incluye expresamente en el referido artículo 2.2.1.1.1.3.</w:t>
      </w:r>
    </w:p>
    <w:p w14:paraId="193613AA" w14:textId="77777777" w:rsidR="00104F14" w:rsidRPr="00AD6B46" w:rsidRDefault="00104F14" w:rsidP="00104F14">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En ese sentido, la interpretación sistemática de los preceptos del Decreto 1082 de 2015, de acuerdo con el principio de publicidad, inicialmente, indica que las Entidades Estatales tienen la obligación de publicar todos los documentos que expidan con ocasión del Proceso de Contratación, es decir, que todos los documentos expedidos por la entidad durante las etapas precontractual, de ejecución y </w:t>
      </w:r>
      <w:proofErr w:type="spellStart"/>
      <w:r w:rsidRPr="00AD6B46">
        <w:rPr>
          <w:rFonts w:ascii="Verdana" w:hAnsi="Verdana" w:cs="Arial"/>
          <w:shd w:val="clear" w:color="auto" w:fill="FFFFFF"/>
        </w:rPr>
        <w:t>postcontractual</w:t>
      </w:r>
      <w:proofErr w:type="spellEnd"/>
      <w:r w:rsidRPr="00AD6B46">
        <w:rPr>
          <w:rFonts w:ascii="Verdana" w:hAnsi="Verdana" w:cs="Arial"/>
          <w:shd w:val="clear" w:color="auto" w:fill="FFFFFF"/>
        </w:rPr>
        <w:t xml:space="preserve"> deberán publicarse en SECOP dentro de los tres (3) días siguientes a su expedición, para cumplir el deber de publicidad regulado por el artículo 2.2.1.1.1.7.1. del Decreto 1082 de 2015.</w:t>
      </w:r>
    </w:p>
    <w:p w14:paraId="4A9D325B" w14:textId="77777777" w:rsidR="00104F14" w:rsidRPr="00AD6B46" w:rsidRDefault="00104F14" w:rsidP="00104F14">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 xml:space="preserve">Con el propósito de garantizar el cumplimiento del mencionado deber de publicidad, se le asignó a la Agencia Nacional de Contratación Pública - Colombia </w:t>
      </w:r>
      <w:r w:rsidRPr="00AD6B46">
        <w:rPr>
          <w:rFonts w:ascii="Verdana" w:hAnsi="Verdana" w:cs="Arial"/>
          <w:shd w:val="clear" w:color="auto" w:fill="FFFFFF"/>
        </w:rPr>
        <w:lastRenderedPageBreak/>
        <w:t>Compra Eficiente, la función de administrar el SECOP</w:t>
      </w:r>
      <w:r w:rsidRPr="00AD6B46">
        <w:rPr>
          <w:rFonts w:ascii="Verdana" w:hAnsi="Verdana" w:cs="Arial"/>
          <w:shd w:val="clear" w:color="auto" w:fill="FFFFFF"/>
          <w:vertAlign w:val="superscript"/>
        </w:rPr>
        <w:footnoteReference w:id="4"/>
      </w:r>
      <w:r w:rsidRPr="00AD6B46">
        <w:rPr>
          <w:rFonts w:ascii="Verdana" w:hAnsi="Verdana" w:cs="Arial"/>
          <w:shd w:val="clear" w:color="auto" w:fill="FFFFFF"/>
        </w:rPr>
        <w:t>. Dicha plataforma ha tenido dos versiones, esto es, el SECOP I y el SECOP II. La primera versión de la plataforma –SECOP I–, sólo funciona como medio de publicidad, es decir, no es transaccional, lo que significa que el procedimiento contractual ocurre fuera de la plataforma y a través de un expediente físico en la entidad, pero las actuaciones y los documentos se convierten en electrónicos para ser cargados a la plataforma, por quien tenga la función dentro de la entidad, de acuerdo con su organización interna.</w:t>
      </w:r>
    </w:p>
    <w:p w14:paraId="0BA19F7C" w14:textId="77777777" w:rsidR="00104F14" w:rsidRPr="00AD6B46" w:rsidRDefault="00104F14" w:rsidP="00104F14">
      <w:pPr>
        <w:tabs>
          <w:tab w:val="left" w:pos="709"/>
        </w:tabs>
        <w:spacing w:before="120" w:after="120" w:line="276" w:lineRule="auto"/>
        <w:ind w:firstLine="709"/>
        <w:jc w:val="both"/>
        <w:rPr>
          <w:rFonts w:ascii="Verdana" w:hAnsi="Verdana" w:cs="Arial"/>
          <w:shd w:val="clear" w:color="auto" w:fill="FFFFFF"/>
        </w:rPr>
      </w:pPr>
      <w:r w:rsidRPr="00AD6B46">
        <w:rPr>
          <w:rFonts w:ascii="Verdana" w:hAnsi="Verdana" w:cs="Arial"/>
          <w:shd w:val="clear" w:color="auto" w:fill="FFFFFF"/>
        </w:rPr>
        <w:t>En cambio, el SECOP II, es una plataforma transaccional que permite gestionar en línea los procedimientos de contratación, con cuentas y usuarios asociados a estas, para las entidades y los proveedores, y vista pública para cualquier interesado en hacer seguimiento a la contratación pública. Desde sus cuentas, las entidades crean, evalúan y adjudican procedimientos de contratación, y gestionan la fase de ejecución del contrato. Los proveedores pueden hacer comentarios a los documentos del procedimiento, presentar ofertas y seguir el procedimiento de selección en línea.</w:t>
      </w:r>
    </w:p>
    <w:p w14:paraId="52700407" w14:textId="77777777" w:rsidR="00104F14" w:rsidRPr="002B115C" w:rsidRDefault="00104F14" w:rsidP="00104F14">
      <w:pPr>
        <w:spacing w:after="0" w:line="276" w:lineRule="auto"/>
        <w:ind w:firstLine="709"/>
        <w:jc w:val="both"/>
        <w:rPr>
          <w:rFonts w:ascii="Verdana" w:eastAsia="Calibri" w:hAnsi="Verdana" w:cs="Arial"/>
          <w:lang w:val="es-ES"/>
        </w:rPr>
      </w:pPr>
      <w:r w:rsidRPr="00AD6B46">
        <w:rPr>
          <w:rFonts w:ascii="Verdana" w:eastAsia="Calibri" w:hAnsi="Verdana" w:cs="Arial"/>
          <w:lang w:val="es-ES"/>
        </w:rPr>
        <w:t xml:space="preserve">Sin embargo, pese a que los documentos que deben publicarse en el SECOP II corresponden a los mismos que deben publicarse en el SECOP I, esto es, todos los expedidos con ocasión el proceso de contratación con excepción de los expresamente excluidos, la naturaleza transaccional del SECOP II implica que los procesos contractuales no sólo deban ser publicados mediante esta plataforma, sino también gestionados a través de ella, al consistir la mayoría de los hitos contractuales en documentos y actuaciones electrónicas generadas en tiempo real, de tal manera que el proceso contractual avanza en la medida en la que se generen y aprueben estos documentos y actuaciones electrónicas en la plataforma. Esto a diferencia de los procesos publicados en el SECOP I, en los que primero se generan los documentos escritos y luego se publican en la plataforma dentro del plazo de tres (3) días previsto en el artículo 2.2.1.1.1.7.1 del Decreto 1082 de 2015. </w:t>
      </w:r>
    </w:p>
    <w:p w14:paraId="2E577249" w14:textId="77777777" w:rsidR="00104F14" w:rsidRPr="00883693" w:rsidRDefault="00104F14" w:rsidP="00104F14">
      <w:pPr>
        <w:spacing w:after="0" w:line="276" w:lineRule="auto"/>
        <w:jc w:val="both"/>
        <w:rPr>
          <w:rFonts w:ascii="Verdana" w:eastAsia="Times New Roman" w:hAnsi="Verdana" w:cs="Arial"/>
          <w:lang w:val="es-ES_tradnl" w:eastAsia="es-ES_tradnl"/>
          <w14:ligatures w14:val="standardContextual"/>
        </w:rPr>
      </w:pPr>
    </w:p>
    <w:p w14:paraId="6BC82A04" w14:textId="77777777" w:rsidR="00104F14" w:rsidRPr="00883693" w:rsidRDefault="00104F14" w:rsidP="00104F14">
      <w:pPr>
        <w:spacing w:after="120" w:line="276" w:lineRule="auto"/>
        <w:jc w:val="both"/>
        <w:rPr>
          <w:rFonts w:ascii="Verdana" w:eastAsia="Verdana" w:hAnsi="Verdana" w:cs="Verdana"/>
          <w:highlight w:val="white"/>
          <w:lang w:val="es" w:eastAsia="es-CO"/>
        </w:rPr>
      </w:pPr>
      <w:proofErr w:type="spellStart"/>
      <w:r w:rsidRPr="00883693">
        <w:rPr>
          <w:rFonts w:ascii="Verdana" w:eastAsia="Times New Roman" w:hAnsi="Verdana" w:cs="Arial"/>
          <w:lang w:val="es-ES" w:eastAsia="es-ES"/>
          <w14:ligatures w14:val="standardContextual"/>
        </w:rPr>
        <w:lastRenderedPageBreak/>
        <w:t>ii</w:t>
      </w:r>
      <w:proofErr w:type="spellEnd"/>
      <w:r w:rsidRPr="00883693">
        <w:rPr>
          <w:rFonts w:ascii="Verdana" w:eastAsia="Times New Roman" w:hAnsi="Verdana" w:cs="Arial"/>
          <w:lang w:val="es-ES" w:eastAsia="es-ES"/>
          <w14:ligatures w14:val="standardContextual"/>
        </w:rPr>
        <w:t xml:space="preserve">. </w:t>
      </w:r>
      <w:r w:rsidRPr="00883693">
        <w:rPr>
          <w:rFonts w:ascii="Verdana" w:eastAsia="Verdana" w:hAnsi="Verdana" w:cs="Verdana"/>
          <w:highlight w:val="white"/>
          <w:lang w:val="es" w:eastAsia="es-CO"/>
        </w:rPr>
        <w:t>Teniendo en cuenta lo expuesto, es pertinente precisar que este segundo punto de las consideraciones no se centrará en analizar un caso en especial, pues no es competencia de la Agencia determinar la naturaleza jurídica de una entidad en particular, ya que solo le corresponde revisar el alcance e interpretación de normas de carácter general del Sistema de Compras Públicas; y por tanto, se hará un análisis de las Instituciones Prestadoras de Servicios de Salud - IPS-, en un sentido amplio, con el fin de comprender un poco su naturaleza jurídica.</w:t>
      </w:r>
    </w:p>
    <w:p w14:paraId="7900D0F0" w14:textId="77777777" w:rsidR="00104F14" w:rsidRPr="00883693" w:rsidRDefault="00104F14" w:rsidP="00104F14">
      <w:pPr>
        <w:spacing w:after="120" w:line="276" w:lineRule="auto"/>
        <w:ind w:firstLine="720"/>
        <w:jc w:val="both"/>
        <w:rPr>
          <w:rFonts w:ascii="Times New Roman" w:eastAsia="Times New Roman" w:hAnsi="Times New Roman" w:cs="Times New Roman"/>
          <w:lang w:val="es" w:eastAsia="es-CO"/>
        </w:rPr>
      </w:pPr>
      <w:r w:rsidRPr="00883693">
        <w:rPr>
          <w:rFonts w:ascii="Verdana" w:eastAsia="Verdana" w:hAnsi="Verdana" w:cs="Verdana"/>
          <w:highlight w:val="white"/>
          <w:lang w:val="es" w:eastAsia="es-CO"/>
        </w:rPr>
        <w:t xml:space="preserve">Para comprender la naturaleza de las Instituciones Prestadoras de Servicios de Salud -IPS-, es importante resaltar que   </w:t>
      </w:r>
      <w:r w:rsidRPr="00883693">
        <w:rPr>
          <w:rFonts w:ascii="Verdana" w:eastAsia="Verdana" w:hAnsi="Verdana" w:cs="Verdana"/>
          <w:lang w:val="es" w:eastAsia="es-CO"/>
        </w:rPr>
        <w:t>la Corte Constitucional</w:t>
      </w:r>
      <w:r w:rsidRPr="00883693">
        <w:rPr>
          <w:rFonts w:ascii="Verdana" w:eastAsia="Verdana" w:hAnsi="Verdana" w:cs="Verdana"/>
          <w:vertAlign w:val="superscript"/>
          <w:lang w:val="es" w:eastAsia="es-CO"/>
        </w:rPr>
        <w:footnoteReference w:id="5"/>
      </w:r>
      <w:r w:rsidRPr="00883693">
        <w:rPr>
          <w:rFonts w:ascii="Verdana" w:eastAsia="Verdana" w:hAnsi="Verdana" w:cs="Verdana"/>
          <w:lang w:val="es" w:eastAsia="es-CO"/>
        </w:rPr>
        <w:t xml:space="preserve"> ha señalado que la Ley 100 de 1993 estructuró el Sistema General de Seguridad Social en Salud con el propósito de alcanzar la cobertura universal mediante un modelo institucional que distribuye las funciones entre los distintos actores que lo integran. En ese diseño, las Entidades Promotoras de Salud (EPS) tienen a su cargo la afiliación de los usuarios y la garantía de la prestación del Plan Obligatorio de Salud, mientras que las Instituciones Prestadoras de Servicios de Salud (IPS) son las entidades organizadas para la prestación efectiva de los servicios de salud. Asimismo, la Corte ha destacado que el legislador configuró un sistema que permite la concurrencia de entidades públicas y privadas en condiciones de libre competencia, sin que desvirtúe el carácter de interés público y la finalidad social del servicio de salud, pues el ejercicio de la libertad económica se encuentra sometido al marco legal y a las facultades de regulación, vigilancia y control que corresponden al Estado.</w:t>
      </w:r>
    </w:p>
    <w:p w14:paraId="2F5C8033" w14:textId="77777777" w:rsidR="00104F14" w:rsidRPr="00883693" w:rsidRDefault="00104F14" w:rsidP="00104F14">
      <w:pPr>
        <w:spacing w:after="120" w:line="276" w:lineRule="auto"/>
        <w:ind w:right="-40" w:firstLine="720"/>
        <w:jc w:val="both"/>
        <w:rPr>
          <w:rFonts w:ascii="Verdana" w:eastAsia="Verdana" w:hAnsi="Verdana" w:cs="Verdana"/>
          <w:lang w:val="es" w:eastAsia="es-CO"/>
        </w:rPr>
      </w:pPr>
      <w:r w:rsidRPr="00883693">
        <w:rPr>
          <w:rFonts w:ascii="Verdana" w:eastAsia="Verdana" w:hAnsi="Verdana" w:cs="Verdana"/>
          <w:lang w:val="es" w:eastAsia="es-CO"/>
        </w:rPr>
        <w:t xml:space="preserve">La Ley 100 de 1993 incluye dentro de los integrantes del Sistema General de Seguridad Social en Salud a las Instituciones Prestadoras de Servicios de Salud (IPS), comprendiendo bajo esa denominación a las entidades de naturaleza pública, mixta y privada. A su vez, el artículo 185 </w:t>
      </w:r>
      <w:proofErr w:type="spellStart"/>
      <w:r w:rsidRPr="00883693">
        <w:rPr>
          <w:rFonts w:ascii="Verdana" w:eastAsia="Verdana" w:hAnsi="Verdana" w:cs="Verdana"/>
          <w:i/>
          <w:iCs/>
          <w:lang w:val="es" w:eastAsia="es-CO"/>
        </w:rPr>
        <w:t>ibídem</w:t>
      </w:r>
      <w:proofErr w:type="spellEnd"/>
      <w:r w:rsidRPr="00883693">
        <w:rPr>
          <w:rFonts w:ascii="Verdana" w:eastAsia="Verdana" w:hAnsi="Verdana" w:cs="Verdana"/>
          <w:lang w:val="es" w:eastAsia="es-CO"/>
        </w:rPr>
        <w:t xml:space="preserve"> dispone que las Instituciones Prestadoras de Servicios de Salud (IPS) tienen como función prestar los servicios de salud correspondientes a su nivel de atención a los afiliados y beneficiarios del Sistema, de conformidad con los principios y parámetros establecidos en la ley. Asimismo, establece que las IPS deben regirse por los principios de calidad, eficiencia y autonomía administrativa, técnica y financiera, promover la libre concurrencia mediante el suministro de información </w:t>
      </w:r>
      <w:r w:rsidRPr="00883693">
        <w:rPr>
          <w:rFonts w:ascii="Verdana" w:eastAsia="Verdana" w:hAnsi="Verdana" w:cs="Verdana"/>
          <w:lang w:val="es" w:eastAsia="es-CO"/>
        </w:rPr>
        <w:lastRenderedPageBreak/>
        <w:t>oportuna, suficiente y veraz a los usuarios, abstenerse de realizar prácticas que afecten la libre competencia o interrumpan la prestación de los servicios de salud, y cumplir los requisitos que determine el Ministerio de Salud para su constitución.</w:t>
      </w:r>
    </w:p>
    <w:p w14:paraId="0AAEE57E" w14:textId="77777777" w:rsidR="00104F14" w:rsidRDefault="00104F14" w:rsidP="00104F14">
      <w:pPr>
        <w:spacing w:after="0" w:line="276" w:lineRule="auto"/>
        <w:ind w:right="-40" w:firstLine="720"/>
        <w:jc w:val="both"/>
        <w:rPr>
          <w:rFonts w:ascii="Verdana" w:eastAsia="Verdana" w:hAnsi="Verdana" w:cs="Verdana"/>
          <w:highlight w:val="white"/>
          <w:lang w:val="es-ES" w:eastAsia="es-CO"/>
        </w:rPr>
      </w:pPr>
      <w:r w:rsidRPr="615CD9F7">
        <w:rPr>
          <w:rFonts w:ascii="Verdana" w:eastAsia="Verdana" w:hAnsi="Verdana" w:cs="Verdana"/>
          <w:lang w:val="es-ES" w:eastAsia="es-CO"/>
        </w:rPr>
        <w:t>La Corte Constitucional ha señalado que las</w:t>
      </w:r>
      <w:r w:rsidRPr="615CD9F7">
        <w:rPr>
          <w:rFonts w:ascii="Verdana" w:eastAsia="Verdana" w:hAnsi="Verdana" w:cs="Verdana"/>
          <w:highlight w:val="white"/>
          <w:lang w:val="es-ES" w:eastAsia="es-CO"/>
        </w:rPr>
        <w:t xml:space="preserve"> Instituciones Prestadoras de Servicios de Salud (IPS), “son entidades oficiales, privadas, comunitarias o solidarias, organizadas para la prestación de los servicios de salud, dentro de las EPS o fuera de ellas, como clínicas, centros de salud, hospitales, consultorios profesionales, entre otros”</w:t>
      </w:r>
      <w:r w:rsidRPr="615CD9F7">
        <w:rPr>
          <w:rFonts w:ascii="Verdana" w:eastAsia="Verdana" w:hAnsi="Verdana" w:cs="Verdana"/>
          <w:highlight w:val="white"/>
          <w:vertAlign w:val="superscript"/>
          <w:lang w:val="es-ES" w:eastAsia="es-CO"/>
        </w:rPr>
        <w:footnoteReference w:id="6"/>
      </w:r>
      <w:r w:rsidRPr="615CD9F7">
        <w:rPr>
          <w:rFonts w:ascii="Verdana" w:eastAsia="Verdana" w:hAnsi="Verdana" w:cs="Verdana"/>
          <w:highlight w:val="white"/>
          <w:lang w:val="es-ES" w:eastAsia="es-CO"/>
        </w:rPr>
        <w:t>. En este contexto, la prestación de los servicios de salud se realiza a través de las Instituciones Prestadoras de Servicios de Salud (IPS). En determinados casos, la atención también puede acordarse con profesionales independientes o con grupos de práctica médica debidamente constituidos. Los acuerdos de voluntades o contratos celebrados entre las EPS y las IPS se rigen por las normas del derecho privado, aun cuando algunos aspectos puntuales de estas relaciones se encuentren regulados por el legislador. Esta configuración responde al amplio margen de actuación que la Ley 100 de 1993 reconoce a las entidades que intervienen en el Sistema, dentro de un marco de libre empresa y libertad de mercado</w:t>
      </w:r>
      <w:r w:rsidRPr="615CD9F7">
        <w:rPr>
          <w:rFonts w:ascii="Verdana" w:eastAsia="Verdana" w:hAnsi="Verdana" w:cs="Verdana"/>
          <w:highlight w:val="white"/>
          <w:vertAlign w:val="superscript"/>
          <w:lang w:val="es-ES" w:eastAsia="es-CO"/>
        </w:rPr>
        <w:footnoteReference w:id="7"/>
      </w:r>
      <w:r w:rsidRPr="615CD9F7">
        <w:rPr>
          <w:rFonts w:ascii="Verdana" w:eastAsia="Verdana" w:hAnsi="Verdana" w:cs="Verdana"/>
          <w:highlight w:val="white"/>
          <w:lang w:val="es-ES" w:eastAsia="es-CO"/>
        </w:rPr>
        <w:t xml:space="preserve">. Frente a la posibilidad de que los particulares concurran a la prestación del servicio de salud, la Corte Constitucional ha señalado: </w:t>
      </w:r>
    </w:p>
    <w:p w14:paraId="72A6D8C1" w14:textId="77777777" w:rsidR="00104F14" w:rsidRPr="00883693" w:rsidRDefault="00104F14" w:rsidP="00104F14">
      <w:pPr>
        <w:spacing w:after="0" w:line="276" w:lineRule="auto"/>
        <w:ind w:right="-40" w:firstLine="720"/>
        <w:jc w:val="both"/>
        <w:rPr>
          <w:rFonts w:ascii="Verdana" w:eastAsia="Verdana" w:hAnsi="Verdana" w:cs="Verdana"/>
          <w:highlight w:val="white"/>
          <w:lang w:val="es" w:eastAsia="es-CO"/>
        </w:rPr>
      </w:pPr>
    </w:p>
    <w:p w14:paraId="05D656FB" w14:textId="77777777" w:rsidR="00104F14" w:rsidRDefault="00104F14" w:rsidP="00104F14">
      <w:pPr>
        <w:spacing w:after="0" w:line="240" w:lineRule="auto"/>
        <w:ind w:left="709" w:right="709"/>
        <w:jc w:val="both"/>
        <w:rPr>
          <w:rFonts w:ascii="Verdana" w:eastAsia="Verdana" w:hAnsi="Verdana" w:cs="Verdana"/>
          <w:sz w:val="20"/>
          <w:szCs w:val="20"/>
          <w:highlight w:val="white"/>
          <w:lang w:val="es" w:eastAsia="es-CO"/>
        </w:rPr>
      </w:pPr>
      <w:r w:rsidRPr="00883693">
        <w:rPr>
          <w:rFonts w:ascii="Verdana" w:eastAsia="Verdana" w:hAnsi="Verdana" w:cs="Verdana"/>
          <w:sz w:val="20"/>
          <w:szCs w:val="20"/>
          <w:highlight w:val="white"/>
          <w:lang w:val="es" w:eastAsia="es-CO"/>
        </w:rPr>
        <w:t>“[…]Considera del caso la Corte señalar, que la posibilidad que los particulares concurran a la prestación del servicio de salud en condiciones de competencia económica no es incompatible con su carácter de interés público y su finalidad eminentemente social, pese a que se trata de sujetos que actúan motivados por intereses privados, que también gozan de la protección de la Constitución. Por otro lado, precisamente por las razones que se acaban de esgrimir, resulta claro que el ejercicio de la libertad económica y la libre competencia en materia de salud sólo puede darse dentro del ámbito que el legislador haya previsto para el efecto, y dentro de las rigurosas condiciones de regulación, vigilancia y control que se derivan de la responsabilidad constitucional que el Estado tiene en este sector social”</w:t>
      </w:r>
      <w:r w:rsidRPr="00883693">
        <w:rPr>
          <w:rFonts w:ascii="Verdana" w:eastAsia="Verdana" w:hAnsi="Verdana" w:cs="Verdana"/>
          <w:sz w:val="20"/>
          <w:szCs w:val="20"/>
          <w:highlight w:val="white"/>
          <w:vertAlign w:val="superscript"/>
          <w:lang w:val="es" w:eastAsia="es-CO"/>
        </w:rPr>
        <w:footnoteReference w:id="8"/>
      </w:r>
      <w:r w:rsidRPr="00883693">
        <w:rPr>
          <w:rFonts w:ascii="Verdana" w:eastAsia="Verdana" w:hAnsi="Verdana" w:cs="Verdana"/>
          <w:sz w:val="20"/>
          <w:szCs w:val="20"/>
          <w:highlight w:val="white"/>
          <w:lang w:val="es" w:eastAsia="es-CO"/>
        </w:rPr>
        <w:t xml:space="preserve">. </w:t>
      </w:r>
    </w:p>
    <w:p w14:paraId="0AD3A032" w14:textId="77777777" w:rsidR="00104F14" w:rsidRPr="00883693" w:rsidRDefault="00104F14" w:rsidP="00104F14">
      <w:pPr>
        <w:spacing w:after="0" w:line="240" w:lineRule="auto"/>
        <w:ind w:left="709" w:right="709"/>
        <w:jc w:val="both"/>
        <w:rPr>
          <w:rFonts w:ascii="Verdana" w:eastAsia="Verdana" w:hAnsi="Verdana" w:cs="Verdana"/>
          <w:sz w:val="20"/>
          <w:szCs w:val="20"/>
          <w:highlight w:val="white"/>
          <w:lang w:val="es" w:eastAsia="es-CO"/>
        </w:rPr>
      </w:pPr>
    </w:p>
    <w:p w14:paraId="73B55CCD" w14:textId="77777777" w:rsidR="00104F14" w:rsidRPr="00883693" w:rsidRDefault="00104F14" w:rsidP="00104F14">
      <w:pPr>
        <w:spacing w:after="120" w:line="276" w:lineRule="auto"/>
        <w:ind w:firstLine="720"/>
        <w:jc w:val="both"/>
        <w:rPr>
          <w:rFonts w:ascii="Verdana" w:eastAsia="Verdana" w:hAnsi="Verdana" w:cs="Verdana"/>
          <w:highlight w:val="white"/>
          <w:lang w:val="es-ES" w:eastAsia="es-CO"/>
        </w:rPr>
      </w:pPr>
      <w:r w:rsidRPr="615CD9F7">
        <w:rPr>
          <w:rFonts w:ascii="Verdana" w:eastAsia="Verdana" w:hAnsi="Verdana" w:cs="Verdana"/>
          <w:highlight w:val="white"/>
          <w:lang w:val="es-ES" w:eastAsia="es-CO"/>
        </w:rPr>
        <w:lastRenderedPageBreak/>
        <w:t>El Sistema General de Seguridad Social en Salud no solo está integrado por las entidades encargadas de la administración y prestación de los servicios de salud, sino también por el conjunto de recursos destinados a garantizar la financiación de las prestaciones previstas por la Ley 100 de 1993. En este sentido, la Corte Constitucional</w:t>
      </w:r>
      <w:r w:rsidRPr="615CD9F7">
        <w:rPr>
          <w:rFonts w:ascii="Verdana" w:eastAsia="Verdana" w:hAnsi="Verdana" w:cs="Verdana"/>
          <w:highlight w:val="white"/>
          <w:vertAlign w:val="superscript"/>
          <w:lang w:val="es-ES" w:eastAsia="es-CO"/>
        </w:rPr>
        <w:footnoteReference w:id="9"/>
      </w:r>
      <w:r w:rsidRPr="615CD9F7">
        <w:rPr>
          <w:rFonts w:ascii="Verdana" w:eastAsia="Verdana" w:hAnsi="Verdana" w:cs="Verdana"/>
          <w:highlight w:val="white"/>
          <w:lang w:val="es-ES" w:eastAsia="es-CO"/>
        </w:rPr>
        <w:t xml:space="preserve"> ha explicado que dichos recursos constituyen un elemento esencial del Sistema, pues hacen posible la efectividad del derecho a la seguridad social y la prestación continua del servicio público de salud. Por ello, el Constituyente estableció una protección especial sobre estos recursos, orientada a garantizar que permanezcan garantizados para el cumplimiento de los fines propios del Sistema.</w:t>
      </w:r>
    </w:p>
    <w:p w14:paraId="0FB61EFC" w14:textId="77777777" w:rsidR="00104F14" w:rsidRPr="008C77DE" w:rsidRDefault="00104F14" w:rsidP="00104F14">
      <w:pPr>
        <w:spacing w:after="120" w:line="276" w:lineRule="auto"/>
        <w:ind w:firstLine="720"/>
        <w:jc w:val="both"/>
        <w:rPr>
          <w:rFonts w:ascii="Verdana" w:eastAsia="Verdana" w:hAnsi="Verdana" w:cs="Verdana"/>
          <w:highlight w:val="white"/>
          <w:lang w:val="es" w:eastAsia="es-CO"/>
        </w:rPr>
      </w:pPr>
      <w:r w:rsidRPr="008C77DE">
        <w:rPr>
          <w:rFonts w:ascii="Verdana" w:eastAsia="Verdana" w:hAnsi="Verdana" w:cs="Verdana"/>
          <w:highlight w:val="white"/>
          <w:lang w:val="es" w:eastAsia="es-CO"/>
        </w:rPr>
        <w:t>En desarrollo de lo anterior, la Corte precisó que una parte importante de los recursos que financian el Sistema General de Seguridad Social en Salud proviene de las cotizaciones obligatorias efectuadas por los afiliados. Tales cotizaciones constituyen contribuciones parafiscales, en la medida en que son establecidas por la ley, tienen carácter obligatorio, gravan a un grupo determinado de personas y se destinan exclusivamente a la financiación de un servicio que beneficia al mismo sector que las aporta</w:t>
      </w:r>
      <w:r w:rsidRPr="008C77DE">
        <w:rPr>
          <w:rStyle w:val="Refdenotaalpie"/>
          <w:rFonts w:ascii="Verdana" w:eastAsia="Verdana" w:hAnsi="Verdana" w:cs="Verdana"/>
          <w:highlight w:val="white"/>
          <w:lang w:val="es" w:eastAsia="es-CO"/>
        </w:rPr>
        <w:footnoteReference w:id="10"/>
      </w:r>
      <w:r w:rsidRPr="008C77DE">
        <w:rPr>
          <w:rFonts w:ascii="Verdana" w:eastAsia="Verdana" w:hAnsi="Verdana" w:cs="Verdana"/>
          <w:highlight w:val="white"/>
          <w:lang w:val="es" w:eastAsia="es-CO"/>
        </w:rPr>
        <w:t>. En consecuencia, estos recursos no ingresan al patrimonio general del Estado ni pueden destinarse a finalidades distintas de las previstas para el Sistema General de Seguridad Social en Salud.</w:t>
      </w:r>
    </w:p>
    <w:p w14:paraId="58CF5C6C" w14:textId="77777777" w:rsidR="00104F14" w:rsidRPr="00877A5E" w:rsidRDefault="00104F14" w:rsidP="00104F14">
      <w:pPr>
        <w:spacing w:after="120" w:line="276" w:lineRule="auto"/>
        <w:ind w:firstLine="720"/>
        <w:jc w:val="both"/>
        <w:rPr>
          <w:rFonts w:ascii="Verdana" w:eastAsia="Verdana" w:hAnsi="Verdana" w:cs="Verdana"/>
          <w:highlight w:val="white"/>
          <w:lang w:val="es" w:eastAsia="es-CO"/>
        </w:rPr>
      </w:pPr>
      <w:r w:rsidRPr="00877A5E">
        <w:rPr>
          <w:rFonts w:ascii="Verdana" w:eastAsia="Verdana" w:hAnsi="Verdana" w:cs="Verdana"/>
          <w:highlight w:val="white"/>
          <w:lang w:val="es" w:eastAsia="es-CO"/>
        </w:rPr>
        <w:t>Asimismo, la Corte destacó que la naturaleza parafiscal de estos recursos implica que su administración se encuentra sometida al principio de destinación específica previsto en el artículo 48 de la Constitución Política. En ese sentido, explicó que la protección constitucional recae sobre los recursos de la seguridad social y no sobre la naturaleza pública o privada de la entidad que interviene en su administración. Por ello, mientras los recursos conserven su destinación a la financiación del Sistema General de Seguridad Social en Salud, permanecen amparados por la protección constitucional prevista en el artículo 48 Superior.</w:t>
      </w:r>
    </w:p>
    <w:p w14:paraId="261981E3" w14:textId="77777777" w:rsidR="00104F14" w:rsidRPr="00883693" w:rsidRDefault="00104F14" w:rsidP="00104F14">
      <w:pPr>
        <w:spacing w:after="120" w:line="276" w:lineRule="auto"/>
        <w:ind w:right="-40" w:firstLine="720"/>
        <w:jc w:val="both"/>
        <w:rPr>
          <w:rFonts w:ascii="Verdana" w:eastAsia="Verdana" w:hAnsi="Verdana" w:cs="Verdana"/>
          <w:highlight w:val="white"/>
          <w:lang w:val="es" w:eastAsia="es-CO"/>
        </w:rPr>
      </w:pPr>
      <w:r w:rsidRPr="00883693">
        <w:rPr>
          <w:rFonts w:ascii="Verdana" w:eastAsia="Verdana" w:hAnsi="Verdana" w:cs="Verdana"/>
          <w:highlight w:val="white"/>
          <w:lang w:val="es" w:eastAsia="es-CO"/>
        </w:rPr>
        <w:t xml:space="preserve">En tal sentido, las Instituciones Prestadoras de Servicios de Salud (IPS) obtienen ingresos provenientes de diversas fuentes y no exclusivamente de los recursos del Sistema General de Seguridad Social en Salud. En efecto, además de los pagos derivados de la prestación de servicios financiados con recursos del </w:t>
      </w:r>
      <w:r w:rsidRPr="00883693">
        <w:rPr>
          <w:rFonts w:ascii="Verdana" w:eastAsia="Verdana" w:hAnsi="Verdana" w:cs="Verdana"/>
          <w:highlight w:val="white"/>
          <w:lang w:val="es" w:eastAsia="es-CO"/>
        </w:rPr>
        <w:lastRenderedPageBreak/>
        <w:t>Sistema, las IPS pueden percibir ingresos por la prestación de otros servicios de salud, como los correspondientes a planes adicionales, medicina prepagada, pólizas de seguros u otros servicios ajenos al Plan Obligatorio de Salud. En consecuencia, los recursos de las IPS no tienen, en su integridad, naturaleza parafiscal ni destinación específica, circunstancia que las diferencia de las EPS y de las entidades administradoras del Sistema</w:t>
      </w:r>
      <w:r w:rsidRPr="00883693">
        <w:rPr>
          <w:rFonts w:ascii="Verdana" w:eastAsia="Verdana" w:hAnsi="Verdana" w:cs="Verdana"/>
          <w:highlight w:val="white"/>
          <w:vertAlign w:val="superscript"/>
          <w:lang w:val="es" w:eastAsia="es-CO"/>
        </w:rPr>
        <w:footnoteReference w:id="11"/>
      </w:r>
      <w:r w:rsidRPr="00883693">
        <w:rPr>
          <w:rFonts w:ascii="Verdana" w:eastAsia="Verdana" w:hAnsi="Verdana" w:cs="Verdana"/>
          <w:highlight w:val="white"/>
          <w:lang w:val="es" w:eastAsia="es-CO"/>
        </w:rPr>
        <w:t xml:space="preserve">.   </w:t>
      </w:r>
    </w:p>
    <w:p w14:paraId="3B98B576" w14:textId="77777777" w:rsidR="00104F14" w:rsidRDefault="00104F14" w:rsidP="00104F14">
      <w:pPr>
        <w:spacing w:after="120" w:line="276" w:lineRule="auto"/>
        <w:ind w:firstLine="720"/>
        <w:jc w:val="both"/>
        <w:rPr>
          <w:rFonts w:ascii="Verdana" w:eastAsia="Verdana" w:hAnsi="Verdana" w:cs="Verdana"/>
          <w:highlight w:val="white"/>
          <w:lang w:val="es" w:eastAsia="es-CO"/>
        </w:rPr>
      </w:pPr>
      <w:r>
        <w:rPr>
          <w:rFonts w:ascii="Verdana" w:eastAsia="Verdana" w:hAnsi="Verdana" w:cs="Verdana"/>
          <w:highlight w:val="white"/>
          <w:lang w:val="es" w:eastAsia="es-CO"/>
        </w:rPr>
        <w:t xml:space="preserve">Las </w:t>
      </w:r>
      <w:r w:rsidRPr="00883693">
        <w:rPr>
          <w:rFonts w:ascii="Verdana" w:eastAsia="Verdana" w:hAnsi="Verdana" w:cs="Verdana"/>
          <w:highlight w:val="white"/>
          <w:lang w:val="es" w:eastAsia="es-CO"/>
        </w:rPr>
        <w:t xml:space="preserve">Instituciones Prestadoras de Servicios de Salud (IPS) no conforman una categoría homogénea ni tienen una única naturaleza jurídica. De acuerdo con la Ley 100 de 1993, estas pueden ser oficiales, mixtas, privadas, comunitarias o solidarias, y estar organizadas dentro de las Entidades Promotoras de Salud o por fuera de ellas, con el propósito de prestar servicios de salud a los afiliados del Sistema General de Seguridad Social en Salud. </w:t>
      </w:r>
      <w:r>
        <w:rPr>
          <w:rFonts w:ascii="Verdana" w:eastAsia="Verdana" w:hAnsi="Verdana" w:cs="Verdana"/>
          <w:highlight w:val="white"/>
          <w:lang w:val="es" w:eastAsia="es-CO"/>
        </w:rPr>
        <w:t xml:space="preserve">En este asunto, puede encontrarse que las IPS que tienen la calidad de hospitales universitarios, que son definidos por el artículo 100 de la Ley 1438 de 2011 modificado por la Ley 2010 de 2019 y la Ley 2333 de 2023: </w:t>
      </w:r>
      <w:r w:rsidRPr="00C96FCB">
        <w:rPr>
          <w:rFonts w:ascii="Verdana" w:eastAsia="Verdana" w:hAnsi="Verdana" w:cs="Verdana"/>
          <w:highlight w:val="white"/>
          <w:lang w:val="es" w:eastAsia="es-CO"/>
        </w:rPr>
        <w:t>“</w:t>
      </w:r>
      <w:r w:rsidRPr="00C96FCB">
        <w:rPr>
          <w:rFonts w:ascii="Verdana" w:eastAsia="Verdana" w:hAnsi="Verdana" w:cs="Verdana"/>
          <w:highlight w:val="white"/>
          <w:lang w:eastAsia="es-CO"/>
        </w:rPr>
        <w:t>El hospital universitario es una institución prestadora de salud que proporciona entrenamiento universitario, enfocado principalmente en programas de posgrado, supervisado por autoridades académicas competentes y comprometidas con las funciones de formación, investigación y extensión”.</w:t>
      </w:r>
    </w:p>
    <w:p w14:paraId="6C763B18" w14:textId="77777777" w:rsidR="00104F14" w:rsidRPr="00883693" w:rsidRDefault="00104F14" w:rsidP="00104F14">
      <w:pPr>
        <w:spacing w:after="120" w:line="276" w:lineRule="auto"/>
        <w:ind w:firstLine="720"/>
        <w:jc w:val="both"/>
        <w:rPr>
          <w:rFonts w:ascii="Verdana" w:eastAsia="Verdana" w:hAnsi="Verdana" w:cs="Verdana"/>
          <w:highlight w:val="white"/>
          <w:lang w:val="es" w:eastAsia="es-CO"/>
        </w:rPr>
      </w:pPr>
      <w:r w:rsidRPr="00883693">
        <w:rPr>
          <w:rFonts w:ascii="Verdana" w:eastAsia="Verdana" w:hAnsi="Verdana" w:cs="Verdana"/>
          <w:highlight w:val="white"/>
          <w:lang w:val="es" w:eastAsia="es-CO"/>
        </w:rPr>
        <w:t xml:space="preserve">Esta diversidad supone que la denominación de IPS identifica principalmente la actividad de prestación de servicios de salud, pero no determina por sí sola una forma jurídica específica. </w:t>
      </w:r>
      <w:r>
        <w:rPr>
          <w:rFonts w:ascii="Verdana" w:eastAsia="Verdana" w:hAnsi="Verdana" w:cs="Verdana"/>
          <w:highlight w:val="white"/>
          <w:lang w:val="es" w:eastAsia="es-CO"/>
        </w:rPr>
        <w:t xml:space="preserve">Bajo </w:t>
      </w:r>
      <w:r w:rsidRPr="00883693">
        <w:rPr>
          <w:rFonts w:ascii="Verdana" w:eastAsia="Verdana" w:hAnsi="Verdana" w:cs="Verdana"/>
          <w:highlight w:val="white"/>
          <w:lang w:val="es" w:eastAsia="es-CO"/>
        </w:rPr>
        <w:t>dicha categoría pueden concurrir entidades constituidas conforme a diferentes modelos organizativos y sometidas a regímenes jurídicos distintos, según su naturaleza, su forma de creación y las disposiciones especiales que resulten aplicables.</w:t>
      </w:r>
    </w:p>
    <w:p w14:paraId="0EC5EFA6" w14:textId="77777777" w:rsidR="00104F14" w:rsidRPr="00883693" w:rsidRDefault="00104F14" w:rsidP="00104F14">
      <w:pPr>
        <w:spacing w:after="0" w:line="276" w:lineRule="auto"/>
        <w:ind w:firstLine="720"/>
        <w:jc w:val="both"/>
        <w:rPr>
          <w:rFonts w:ascii="Verdana" w:eastAsia="Verdana" w:hAnsi="Verdana" w:cs="Verdana"/>
          <w:sz w:val="20"/>
          <w:szCs w:val="20"/>
          <w:highlight w:val="white"/>
          <w:lang w:val="es-ES" w:eastAsia="es-CO"/>
        </w:rPr>
      </w:pPr>
      <w:r w:rsidRPr="615CD9F7">
        <w:rPr>
          <w:rFonts w:ascii="Verdana" w:eastAsia="Verdana" w:hAnsi="Verdana" w:cs="Verdana"/>
          <w:highlight w:val="white"/>
          <w:lang w:val="es-ES" w:eastAsia="es-CO"/>
        </w:rPr>
        <w:t xml:space="preserve">Del mismo modo, las IPS pueden percibir recursos provenientes de diferentes fuentes. Algunos pueden corresponder a recursos del Sistema General de Seguridad Social en Salud y conservar la naturaleza parafiscal y la destinación específica que les reconoce el artículo 48 de la Constitución Política, mientras que otros pueden derivarse de actividades o servicios distintos autorizados por el ordenamiento jurídico. Por tanto, la naturaleza jurídica de una IPS y la naturaleza de los recursos que percibe no pueden establecerse de manera general a partir de su sola condición de prestadora de servicios de salud. Para </w:t>
      </w:r>
      <w:r w:rsidRPr="615CD9F7">
        <w:rPr>
          <w:rFonts w:ascii="Verdana" w:eastAsia="Verdana" w:hAnsi="Verdana" w:cs="Verdana"/>
          <w:highlight w:val="white"/>
          <w:lang w:val="es-ES" w:eastAsia="es-CO"/>
        </w:rPr>
        <w:lastRenderedPageBreak/>
        <w:t xml:space="preserve">ello es necesario examinar, en cada caso, su forma de constitución, la participación pública o privada existente, el régimen jurídico que la regula y el origen y destinación de los recursos que administra. </w:t>
      </w:r>
    </w:p>
    <w:p w14:paraId="5A876462" w14:textId="77777777" w:rsidR="00104F14" w:rsidRPr="00883693" w:rsidRDefault="00104F14" w:rsidP="00104F14">
      <w:pPr>
        <w:spacing w:after="0" w:line="276" w:lineRule="auto"/>
        <w:jc w:val="both"/>
        <w:rPr>
          <w:rFonts w:ascii="Verdana" w:eastAsia="Verdana" w:hAnsi="Verdana" w:cs="Verdana"/>
          <w:color w:val="2D2D2D"/>
          <w:highlight w:val="white"/>
          <w:lang w:val="es" w:eastAsia="es-CO"/>
        </w:rPr>
      </w:pPr>
    </w:p>
    <w:p w14:paraId="1722DC78" w14:textId="77777777" w:rsidR="00104F14" w:rsidRPr="00155890" w:rsidRDefault="00104F14" w:rsidP="00104F14">
      <w:pPr>
        <w:spacing w:after="120" w:line="276" w:lineRule="auto"/>
        <w:jc w:val="both"/>
        <w:rPr>
          <w:rFonts w:ascii="Verdana" w:eastAsia="Verdana" w:hAnsi="Verdana" w:cs="Verdana"/>
          <w:highlight w:val="white"/>
          <w:lang w:val="es-ES" w:eastAsia="es-CO"/>
        </w:rPr>
      </w:pPr>
      <w:proofErr w:type="spellStart"/>
      <w:r w:rsidRPr="615CD9F7">
        <w:rPr>
          <w:rFonts w:ascii="Verdana" w:eastAsia="Verdana" w:hAnsi="Verdana" w:cs="Verdana"/>
          <w:highlight w:val="white"/>
          <w:lang w:val="es-ES" w:eastAsia="es-CO"/>
        </w:rPr>
        <w:t>iii</w:t>
      </w:r>
      <w:proofErr w:type="spellEnd"/>
      <w:r w:rsidRPr="615CD9F7">
        <w:rPr>
          <w:rFonts w:ascii="Verdana" w:eastAsia="Verdana" w:hAnsi="Verdana" w:cs="Verdana"/>
          <w:highlight w:val="white"/>
          <w:lang w:val="es-ES" w:eastAsia="es-CO"/>
        </w:rPr>
        <w:t xml:space="preserve">. A partir de las consideraciones expuestas, puede afirmarse que las IPS pueden asumir distintas configuraciones jurídicas según la participación de entidades públicas en su conformación y el origen de los recursos que administran. En algunos casos, pueden operar como particulares que gestionan recursos públicos; en otros, adquieren la condición de entidades de régimen especial cuando la presencia estatal es determinante, como ocurre con la participación de Empresas Sociales del Estado. Por ello, se considera pertinente exponer los fundamentos normativos de cada escenario planteado para aludir las obligaciones que les pueden ser aplicables dentro del Sistema de Compras Públicas. </w:t>
      </w:r>
    </w:p>
    <w:p w14:paraId="2F70AB68" w14:textId="77777777" w:rsidR="00104F14" w:rsidRDefault="00104F14" w:rsidP="00104F14">
      <w:pPr>
        <w:spacing w:before="120" w:after="120" w:line="276" w:lineRule="auto"/>
        <w:ind w:firstLine="708"/>
        <w:jc w:val="both"/>
        <w:rPr>
          <w:rFonts w:ascii="Verdana" w:eastAsia="Times New Roman" w:hAnsi="Verdana" w:cs="Arial"/>
          <w:lang w:val="es-ES_tradnl" w:eastAsia="es-ES_tradnl"/>
          <w14:ligatures w14:val="standardContextual"/>
        </w:rPr>
      </w:pPr>
      <w:r>
        <w:rPr>
          <w:rFonts w:ascii="Verdana" w:eastAsia="Aptos" w:hAnsi="Verdana" w:cs="Times New Roman"/>
          <w:kern w:val="2"/>
          <w14:ligatures w14:val="standardContextual"/>
        </w:rPr>
        <w:t xml:space="preserve">a. Particulares que administran recursos públicos. Es pertinente señalar que los </w:t>
      </w:r>
      <w:r>
        <w:rPr>
          <w:rFonts w:ascii="Verdana" w:eastAsia="Times New Roman" w:hAnsi="Verdana" w:cs="Arial"/>
          <w:lang w:val="es-ES_tradnl" w:eastAsia="es-ES_tradnl"/>
          <w14:ligatures w14:val="standardContextual"/>
        </w:rPr>
        <w:t xml:space="preserve">particulares que cumplen funciones administrativas y que ejecutan recursos públicos son sujetos obligados de la Ley 1712 de 2014, como lo dispone los literales d y g del artículo 5. En tal sentido, </w:t>
      </w:r>
      <w:r w:rsidRPr="00F93DA9">
        <w:rPr>
          <w:rFonts w:ascii="Verdana" w:eastAsia="Times New Roman" w:hAnsi="Verdana" w:cs="Arial"/>
          <w:lang w:val="es-ES_tradnl" w:eastAsia="es-ES_tradnl"/>
          <w14:ligatures w14:val="standardContextual"/>
        </w:rPr>
        <w:t xml:space="preserve">el literal g) del artículo 11 de la Ley 1712 de 2014, </w:t>
      </w:r>
      <w:r>
        <w:rPr>
          <w:rFonts w:ascii="Verdana" w:eastAsia="Times New Roman" w:hAnsi="Verdana" w:cs="Arial"/>
          <w:lang w:val="es-ES_tradnl" w:eastAsia="es-ES_tradnl"/>
          <w14:ligatures w14:val="standardContextual"/>
        </w:rPr>
        <w:t xml:space="preserve">dispone que </w:t>
      </w:r>
      <w:r w:rsidRPr="00F93DA9">
        <w:rPr>
          <w:rFonts w:ascii="Verdana" w:eastAsia="Times New Roman" w:hAnsi="Verdana" w:cs="Arial"/>
          <w:lang w:val="es-ES_tradnl" w:eastAsia="es-ES_tradnl"/>
          <w14:ligatures w14:val="standardContextual"/>
        </w:rPr>
        <w:t>todos los destinatarios de la Ley Estatutaria de Transparencia y Acceso a la Información Pública deben garantizar la publicidad de “sus procedimientos, lineamientos, políticas en materia de adquisiciones y compras, así como todos los datos de adjudicación y ejecución de contratos, inclu</w:t>
      </w:r>
      <w:r>
        <w:rPr>
          <w:rFonts w:ascii="Verdana" w:eastAsia="Times New Roman" w:hAnsi="Verdana" w:cs="Arial"/>
          <w:lang w:val="es-ES_tradnl" w:eastAsia="es-ES_tradnl"/>
          <w14:ligatures w14:val="standardContextual"/>
        </w:rPr>
        <w:t xml:space="preserve">idos concursos y licitaciones”. </w:t>
      </w:r>
    </w:p>
    <w:p w14:paraId="106C7705" w14:textId="77777777" w:rsidR="00104F14" w:rsidRDefault="00104F14" w:rsidP="00104F14">
      <w:pPr>
        <w:spacing w:before="120" w:after="120" w:line="276" w:lineRule="auto"/>
        <w:ind w:firstLine="708"/>
        <w:jc w:val="both"/>
        <w:rPr>
          <w:rFonts w:ascii="Verdana" w:eastAsia="Times New Roman" w:hAnsi="Verdana" w:cs="Arial"/>
          <w:lang w:val="es-ES_tradnl" w:eastAsia="es-ES_tradnl"/>
          <w14:ligatures w14:val="standardContextual"/>
        </w:rPr>
      </w:pPr>
      <w:r w:rsidRPr="0099725B">
        <w:rPr>
          <w:rFonts w:ascii="Verdana" w:eastAsia="Times New Roman" w:hAnsi="Verdana" w:cs="Arial"/>
          <w:lang w:val="es-ES_tradnl" w:eastAsia="es-ES_tradnl"/>
          <w14:ligatures w14:val="standardContextual"/>
        </w:rPr>
        <w:t xml:space="preserve">En ese contexto, el Decreto 1080 de 2015 </w:t>
      </w:r>
      <w:r w:rsidRPr="0099725B">
        <w:rPr>
          <w:rFonts w:ascii="Verdana" w:eastAsia="Times New Roman" w:hAnsi="Verdana" w:cs="Arial"/>
          <w:bCs/>
          <w:lang w:eastAsia="es-ES_tradnl"/>
          <w14:ligatures w14:val="standardContextual"/>
        </w:rPr>
        <w:t>“Por medio del cual se expide el Decreto Único Reglamentario del Sector Cultura” dispuso en el artículo</w:t>
      </w:r>
      <w:r w:rsidRPr="0099725B">
        <w:rPr>
          <w:rFonts w:ascii="Verdana" w:hAnsi="Verdana"/>
          <w:bCs/>
        </w:rPr>
        <w:t xml:space="preserve"> 2.8.3.1.5.</w:t>
      </w:r>
      <w:r w:rsidRPr="0099725B">
        <w:rPr>
          <w:rStyle w:val="Refdenotaalpie"/>
          <w:rFonts w:ascii="Verdana" w:eastAsia="Times New Roman" w:hAnsi="Verdana" w:cs="Arial"/>
          <w:bCs/>
          <w:lang w:val="es-MX" w:eastAsia="es-ES_tradnl"/>
          <w14:ligatures w14:val="standardContextual"/>
        </w:rPr>
        <w:footnoteReference w:id="12"/>
      </w:r>
      <w:r w:rsidRPr="0099725B">
        <w:rPr>
          <w:rFonts w:ascii="Verdana" w:eastAsia="Times New Roman" w:hAnsi="Verdana" w:cs="Arial"/>
          <w:bCs/>
          <w:lang w:val="es-MX" w:eastAsia="es-ES_tradnl"/>
          <w14:ligatures w14:val="standardContextual"/>
        </w:rPr>
        <w:t xml:space="preserve"> que de acuerdo con el literal c) del artículo 3° de la Ley 1150 de 2007, el Sistema de Información del Estado en el cual los sujetos obligados que contratan con recursos públicos están en la obligación de publicar la información </w:t>
      </w:r>
      <w:r w:rsidRPr="0099725B">
        <w:rPr>
          <w:rFonts w:ascii="Verdana" w:eastAsia="Times New Roman" w:hAnsi="Verdana" w:cs="Arial"/>
          <w:bCs/>
          <w:lang w:val="es-MX" w:eastAsia="es-ES_tradnl"/>
          <w14:ligatures w14:val="standardContextual"/>
        </w:rPr>
        <w:lastRenderedPageBreak/>
        <w:t>de su gestión contractual en el Sistema Electrónico para la Contratación Pública –SECOP-, y que el término de publicación es lo prescrito en el Decreto 1510 de</w:t>
      </w:r>
      <w:r>
        <w:rPr>
          <w:rFonts w:ascii="Verdana" w:eastAsia="Times New Roman" w:hAnsi="Verdana" w:cs="Arial"/>
          <w:bCs/>
          <w:lang w:val="es-MX" w:eastAsia="es-ES_tradnl"/>
          <w14:ligatures w14:val="standardContextual"/>
        </w:rPr>
        <w:t xml:space="preserve"> 2013, esto es, lo definido en el Decreto Compilatorio 1082 de 1015, que en el </w:t>
      </w:r>
      <w:r w:rsidRPr="00F93DA9">
        <w:rPr>
          <w:rFonts w:ascii="Verdana" w:eastAsia="Times New Roman" w:hAnsi="Verdana" w:cs="Arial"/>
          <w:lang w:val="es-ES_tradnl" w:eastAsia="es-ES_tradnl"/>
          <w14:ligatures w14:val="standardContextual"/>
        </w:rPr>
        <w:t>artículo 2.2.1.1.1.7.1</w:t>
      </w:r>
      <w:r>
        <w:rPr>
          <w:rFonts w:ascii="Verdana" w:eastAsia="Times New Roman" w:hAnsi="Verdana" w:cs="Arial"/>
          <w:lang w:val="es-ES_tradnl" w:eastAsia="es-ES_tradnl"/>
          <w14:ligatures w14:val="standardContextual"/>
        </w:rPr>
        <w:t>, establece</w:t>
      </w:r>
      <w:r w:rsidRPr="00F93DA9">
        <w:rPr>
          <w:rFonts w:ascii="Verdana" w:eastAsia="Times New Roman" w:hAnsi="Verdana" w:cs="Arial"/>
          <w:lang w:val="es-ES_tradnl" w:eastAsia="es-ES_tradnl"/>
          <w14:ligatures w14:val="standardContextual"/>
        </w:rPr>
        <w:t xml:space="preserve"> la obligación de publicar en el SECOP “[…] los Documentos del Proceso y los actos administrativos del Proceso de Contratación, dentro de los tres (3) días siguientes a su expedición […]”.</w:t>
      </w:r>
    </w:p>
    <w:p w14:paraId="2C1EC42C" w14:textId="77777777" w:rsidR="00104F14" w:rsidRDefault="00104F14" w:rsidP="00104F14">
      <w:pPr>
        <w:spacing w:before="120" w:after="120" w:line="276" w:lineRule="auto"/>
        <w:ind w:firstLine="708"/>
        <w:jc w:val="both"/>
        <w:rPr>
          <w:rFonts w:ascii="Verdana" w:eastAsia="Times New Roman" w:hAnsi="Verdana" w:cs="Arial"/>
          <w:lang w:val="es-ES_tradnl" w:eastAsia="es-ES_tradnl"/>
          <w14:ligatures w14:val="standardContextual"/>
        </w:rPr>
      </w:pPr>
      <w:r w:rsidRPr="006538F1">
        <w:rPr>
          <w:rFonts w:ascii="Verdana" w:eastAsia="Times New Roman" w:hAnsi="Verdana" w:cs="Arial"/>
          <w:lang w:val="es-ES_tradnl" w:eastAsia="es-ES_tradnl"/>
          <w14:ligatures w14:val="standardContextual"/>
        </w:rPr>
        <w:t>Los particulares que administran recursos públicos no adquieren, por ese solo hecho, la calidad de entidades sometidas al Estatuto General de Contratación ni pueden asimilarse a entidades de régimen especial para efectos de exigirles la publicación en SECOP II. Sin embargo, ello no los exonera del deber de reportar en SECOP I la información contractual asociada a la gestión de los recursos públicos que administran</w:t>
      </w:r>
      <w:r>
        <w:rPr>
          <w:rFonts w:ascii="Verdana" w:eastAsia="Times New Roman" w:hAnsi="Verdana" w:cs="Arial"/>
          <w:lang w:val="es-ES_tradnl" w:eastAsia="es-ES_tradnl"/>
          <w14:ligatures w14:val="standardContextual"/>
        </w:rPr>
        <w:t xml:space="preserve">, conforme a lo prescrito en la Ley 1150 de 2007, los Decretos 1080 y 1082 de 2015.  </w:t>
      </w:r>
    </w:p>
    <w:p w14:paraId="33589F28" w14:textId="77777777" w:rsidR="00104F14" w:rsidRPr="00AD6B46" w:rsidRDefault="00104F14" w:rsidP="00104F14">
      <w:pPr>
        <w:spacing w:before="120" w:after="120" w:line="276" w:lineRule="auto"/>
        <w:ind w:firstLine="708"/>
        <w:jc w:val="both"/>
        <w:rPr>
          <w:rFonts w:ascii="Verdana" w:eastAsia="Calibri" w:hAnsi="Verdana" w:cs="Arial"/>
          <w:color w:val="000000"/>
        </w:rPr>
      </w:pPr>
      <w:r>
        <w:rPr>
          <w:rFonts w:ascii="Verdana" w:eastAsia="Times New Roman" w:hAnsi="Verdana" w:cs="Arial"/>
          <w:lang w:val="es-ES_tradnl" w:eastAsia="es-ES_tradnl"/>
          <w14:ligatures w14:val="standardContextual"/>
        </w:rPr>
        <w:t xml:space="preserve">b. Entidades de régimen especial. Son aquellas entidades </w:t>
      </w:r>
      <w:r w:rsidRPr="00AD2462">
        <w:rPr>
          <w:rFonts w:ascii="Verdana" w:eastAsia="Times New Roman" w:hAnsi="Verdana" w:cs="Arial"/>
          <w:lang w:val="es-ES_tradnl" w:eastAsia="es-ES_tradnl"/>
          <w14:ligatures w14:val="standardContextual"/>
        </w:rPr>
        <w:t>que por disposición legal cuenten con un régimen contractual especial de contratación,</w:t>
      </w:r>
      <w:r>
        <w:rPr>
          <w:rFonts w:ascii="Verdana" w:eastAsia="Times New Roman" w:hAnsi="Verdana" w:cs="Arial"/>
          <w:lang w:val="es-ES_tradnl" w:eastAsia="es-ES_tradnl"/>
          <w14:ligatures w14:val="standardContextual"/>
        </w:rPr>
        <w:t xml:space="preserve"> teniendo en cuenta </w:t>
      </w:r>
      <w:r w:rsidRPr="00927F50">
        <w:rPr>
          <w:rFonts w:ascii="Verdana" w:hAnsi="Verdana" w:cs="Arial"/>
          <w:shd w:val="clear" w:color="auto" w:fill="FFFFFF"/>
        </w:rPr>
        <w:t>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r>
        <w:rPr>
          <w:rFonts w:ascii="Verdana" w:hAnsi="Verdana" w:cs="Arial"/>
          <w:shd w:val="clear" w:color="auto" w:fill="FFFFFF"/>
        </w:rPr>
        <w:t>, conforme al artículo 13 de la Ley 1150 de 2007. De igual modo</w:t>
      </w:r>
      <w:r w:rsidRPr="00AD6B46">
        <w:rPr>
          <w:rFonts w:ascii="Verdana" w:hAnsi="Verdana" w:cs="Arial"/>
          <w:shd w:val="clear" w:color="auto" w:fill="FFFFFF"/>
        </w:rPr>
        <w:t xml:space="preserve">, </w:t>
      </w:r>
      <w:r>
        <w:rPr>
          <w:rFonts w:ascii="Verdana" w:eastAsia="Calibri" w:hAnsi="Verdana" w:cs="Arial"/>
          <w:color w:val="000000"/>
        </w:rPr>
        <w:t xml:space="preserve">dicho artículo </w:t>
      </w:r>
      <w:r w:rsidRPr="00AD6B46">
        <w:rPr>
          <w:rFonts w:ascii="Verdana" w:eastAsia="Calibri" w:hAnsi="Verdana" w:cs="Arial"/>
          <w:color w:val="000000"/>
        </w:rPr>
        <w:t xml:space="preserve">13 </w:t>
      </w:r>
      <w:r>
        <w:rPr>
          <w:rFonts w:ascii="Verdana" w:eastAsia="Calibri" w:hAnsi="Verdana" w:cs="Arial"/>
          <w:color w:val="000000"/>
        </w:rPr>
        <w:t>modificado por el artículo 53 de la Ley 2195 de 2022, el cual</w:t>
      </w:r>
      <w:r w:rsidRPr="00AD6B46">
        <w:rPr>
          <w:rFonts w:ascii="Verdana" w:eastAsia="Calibri" w:hAnsi="Verdana" w:cs="Arial"/>
          <w:color w:val="000000"/>
        </w:rPr>
        <w:t xml:space="preserve"> estableció la obligación de las Entidades Estatales exceptuadas del Estatuto General de Contratación de la Administración Pública de publicar en el SECOP II –es decir en la plataforma transaccional vigente– su actividad contractual. Así pues, respecto de los documentos que deben publicarse en el SECOP II a efectos de cumplir el mandato consagrado en el artículo 53 de la Ley 2195 de 2022, es preciso advertir que la disposición hace referencia a los documentos relacionados con su actividad contractual, la cual define como “[…] los documentos, contratos, actos e información generada por oferentes, contratista, contratante, supervisor o interventor, tanto en la etapa precontractual, como en la contractual y la </w:t>
      </w:r>
      <w:proofErr w:type="spellStart"/>
      <w:r w:rsidRPr="00AD6B46">
        <w:rPr>
          <w:rFonts w:ascii="Verdana" w:eastAsia="Calibri" w:hAnsi="Verdana" w:cs="Arial"/>
          <w:color w:val="000000"/>
        </w:rPr>
        <w:t>post-contractual</w:t>
      </w:r>
      <w:proofErr w:type="spellEnd"/>
      <w:r w:rsidRPr="00AD6B46">
        <w:rPr>
          <w:rFonts w:ascii="Verdana" w:eastAsia="Calibri" w:hAnsi="Verdana" w:cs="Arial"/>
          <w:color w:val="000000"/>
        </w:rPr>
        <w:t>”.</w:t>
      </w:r>
    </w:p>
    <w:p w14:paraId="69DE8CD5" w14:textId="77777777" w:rsidR="00104F14" w:rsidRPr="00776115" w:rsidRDefault="00104F14" w:rsidP="00104F14">
      <w:pPr>
        <w:spacing w:after="120" w:line="276" w:lineRule="auto"/>
        <w:ind w:firstLine="709"/>
        <w:jc w:val="both"/>
        <w:rPr>
          <w:rFonts w:ascii="Verdana" w:eastAsia="Calibri" w:hAnsi="Verdana" w:cs="Arial"/>
          <w:color w:val="000000"/>
          <w:sz w:val="21"/>
          <w:szCs w:val="21"/>
        </w:rPr>
      </w:pPr>
      <w:r w:rsidRPr="00AD6B46">
        <w:rPr>
          <w:rFonts w:ascii="Verdana" w:eastAsia="Calibri" w:hAnsi="Verdana" w:cs="Arial"/>
          <w:color w:val="000000"/>
        </w:rPr>
        <w:t xml:space="preserve">En ese sentido, dicho precepto anteriormente referenciado establece el deber de publicar toda aquella información relacionada con el respectivo contrato, sin incluir ninguna excepción relacionada con la naturaleza u objeto </w:t>
      </w:r>
      <w:r w:rsidRPr="00AD6B46">
        <w:rPr>
          <w:rFonts w:ascii="Verdana" w:eastAsia="Calibri" w:hAnsi="Verdana" w:cs="Arial"/>
          <w:color w:val="000000"/>
        </w:rPr>
        <w:lastRenderedPageBreak/>
        <w:t>contractual. Por lo tanto, para que las entidades exceptuadas cumplan con el deber de publicidad consagrado en el artículo 53 de la Ley 2195 de 2022 que modificó el artículo 13 de la Ley 1150 de 2007</w:t>
      </w:r>
      <w:r w:rsidRPr="00AD6B46">
        <w:rPr>
          <w:rFonts w:ascii="Verdana" w:eastAsia="Calibri" w:hAnsi="Verdana" w:cs="Arial"/>
          <w:color w:val="000000"/>
          <w:vertAlign w:val="superscript"/>
        </w:rPr>
        <w:footnoteReference w:id="13"/>
      </w:r>
      <w:r w:rsidRPr="00AD6B46">
        <w:rPr>
          <w:rFonts w:ascii="Verdana" w:eastAsia="Calibri" w:hAnsi="Verdana" w:cs="Arial"/>
          <w:color w:val="000000"/>
        </w:rPr>
        <w:t xml:space="preserve">, se requiere que publiquen en el SECOP II todo documento expedido durante las diferentes etapas del proceso contractual, abarcando desde la fase previa a su celebración, pasando por la ejecución y hasta la fase posterior a su ejecución. Adicionalmente se aclara, que el cumplimiento del deber de publicación de la documentación contractual debe armonizarse con las normas aplicables al tipo de información que estas contienen, si procede restricción de esta por una reserva constitucional o legal. </w:t>
      </w:r>
    </w:p>
    <w:p w14:paraId="19CDB647" w14:textId="77777777" w:rsidR="00104F14" w:rsidRPr="00114140" w:rsidRDefault="00104F14" w:rsidP="00104F14">
      <w:pPr>
        <w:spacing w:after="0" w:line="276" w:lineRule="auto"/>
        <w:ind w:firstLine="567"/>
        <w:jc w:val="both"/>
        <w:rPr>
          <w:rFonts w:ascii="Verdana" w:eastAsia="Calibri" w:hAnsi="Verdana" w:cs="Arial"/>
          <w:lang w:val="es-ES"/>
        </w:rPr>
      </w:pPr>
      <w:r>
        <w:rPr>
          <w:rFonts w:ascii="Verdana" w:eastAsia="Calibri" w:hAnsi="Verdana" w:cs="Arial"/>
        </w:rPr>
        <w:t>Teniendo en cuenta, la obligatoriedad de</w:t>
      </w:r>
      <w:r w:rsidRPr="00776115">
        <w:rPr>
          <w:rFonts w:ascii="Verdana" w:eastAsia="Calibri" w:hAnsi="Verdana" w:cs="Arial"/>
          <w:lang w:val="es-ES"/>
        </w:rPr>
        <w:t xml:space="preserve"> SECOP II </w:t>
      </w:r>
      <w:r>
        <w:rPr>
          <w:rFonts w:ascii="Verdana" w:eastAsia="Calibri" w:hAnsi="Verdana" w:cs="Arial"/>
          <w:lang w:val="es-ES"/>
        </w:rPr>
        <w:t>para entidades de régimen especial, es preciso señalar que está habilitado dos módulos para dichas entidades: i) Régimen Especial con Ofertas, que consiste en un</w:t>
      </w:r>
      <w:r w:rsidRPr="00776115">
        <w:rPr>
          <w:rFonts w:ascii="Verdana" w:eastAsia="Calibri" w:hAnsi="Verdana" w:cs="Arial"/>
          <w:lang w:val="es-ES"/>
        </w:rPr>
        <w:t xml:space="preserve"> procedimiento contractual </w:t>
      </w:r>
      <w:r>
        <w:rPr>
          <w:rFonts w:ascii="Verdana" w:eastAsia="Calibri" w:hAnsi="Verdana" w:cs="Arial"/>
          <w:lang w:val="es-ES"/>
        </w:rPr>
        <w:t xml:space="preserve">que </w:t>
      </w:r>
      <w:r w:rsidRPr="00776115">
        <w:rPr>
          <w:rFonts w:ascii="Verdana" w:eastAsia="Calibri" w:hAnsi="Verdana" w:cs="Arial"/>
          <w:lang w:val="es-ES"/>
        </w:rPr>
        <w:t xml:space="preserve">se desarrolla en línea y dentro de la plataforma, </w:t>
      </w:r>
      <w:r>
        <w:rPr>
          <w:rFonts w:ascii="Verdana" w:eastAsia="Calibri" w:hAnsi="Verdana" w:cs="Arial"/>
          <w:lang w:val="es-ES"/>
        </w:rPr>
        <w:t xml:space="preserve">en el que las entidades pueden estructurar el proceso de contratación y recibir las ofertas de los proveedores y generar el contrato electrónico y demás documentos, conformándose un expediente electrónico; </w:t>
      </w:r>
      <w:proofErr w:type="spellStart"/>
      <w:r>
        <w:rPr>
          <w:rFonts w:ascii="Verdana" w:eastAsia="Calibri" w:hAnsi="Verdana" w:cs="Arial"/>
          <w:lang w:val="es-ES"/>
        </w:rPr>
        <w:t>ii</w:t>
      </w:r>
      <w:proofErr w:type="spellEnd"/>
      <w:r>
        <w:rPr>
          <w:rFonts w:ascii="Verdana" w:eastAsia="Calibri" w:hAnsi="Verdana" w:cs="Arial"/>
          <w:lang w:val="es-ES"/>
        </w:rPr>
        <w:t xml:space="preserve">) Régimen Especial sin Ofertas, que consiste en que las entidades pueden estructurar el Proceso de Contratación, generar el contrato electrónico y realizar la gestión contractual. Al respecto, </w:t>
      </w:r>
      <w:r w:rsidRPr="0059295C">
        <w:rPr>
          <w:rFonts w:ascii="Verdana" w:eastAsia="Calibri" w:hAnsi="Verdana" w:cs="Arial"/>
        </w:rPr>
        <w:t>la Circular Externa No. 002 del 23 de agosto de 2024, estableció los lineamientos para la aplicación del artículo 53 de la Ley 2195 de 2022 por parte de las Entidades Estales que por disposición legal cuentan con un régimen</w:t>
      </w:r>
      <w:r>
        <w:rPr>
          <w:rFonts w:ascii="Verdana" w:eastAsia="Calibri" w:hAnsi="Verdana" w:cs="Arial"/>
        </w:rPr>
        <w:t xml:space="preserve"> contractual excepcional al </w:t>
      </w:r>
      <w:r w:rsidRPr="0059295C">
        <w:rPr>
          <w:rFonts w:ascii="Verdana" w:eastAsia="Calibri" w:hAnsi="Verdana" w:cs="Arial"/>
        </w:rPr>
        <w:t>Estatuto General de Contratación de la Administraci</w:t>
      </w:r>
      <w:r>
        <w:rPr>
          <w:rFonts w:ascii="Verdana" w:eastAsia="Calibri" w:hAnsi="Verdana" w:cs="Arial"/>
        </w:rPr>
        <w:t>ón Pública. En dicha Circular</w:t>
      </w:r>
      <w:r w:rsidRPr="0059295C">
        <w:rPr>
          <w:rFonts w:ascii="Verdana" w:eastAsia="Calibri" w:hAnsi="Verdana" w:cs="Arial"/>
        </w:rPr>
        <w:t xml:space="preserve"> expresó</w:t>
      </w:r>
      <w:r>
        <w:rPr>
          <w:rFonts w:ascii="Verdana" w:eastAsia="Calibri" w:hAnsi="Verdana" w:cs="Arial"/>
        </w:rPr>
        <w:t xml:space="preserve"> frente a estos dos módulos lo siguiente</w:t>
      </w:r>
      <w:r w:rsidRPr="0059295C">
        <w:rPr>
          <w:rFonts w:ascii="Verdana" w:eastAsia="Calibri" w:hAnsi="Verdana" w:cs="Arial"/>
        </w:rPr>
        <w:t>: “[…]</w:t>
      </w:r>
    </w:p>
    <w:p w14:paraId="03D66EAE" w14:textId="77777777" w:rsidR="00104F14" w:rsidRPr="0059295C" w:rsidRDefault="00104F14" w:rsidP="00104F14">
      <w:pPr>
        <w:spacing w:after="0" w:line="276" w:lineRule="auto"/>
        <w:ind w:firstLine="567"/>
        <w:jc w:val="both"/>
        <w:rPr>
          <w:rFonts w:ascii="Verdana" w:eastAsia="Calibri" w:hAnsi="Verdana" w:cs="Arial"/>
          <w:lang w:val="es-ES"/>
        </w:rPr>
      </w:pPr>
    </w:p>
    <w:p w14:paraId="5460B51E" w14:textId="77777777" w:rsidR="00104F14" w:rsidRPr="0059295C" w:rsidRDefault="00104F14" w:rsidP="00104F14">
      <w:pPr>
        <w:spacing w:after="0" w:line="240" w:lineRule="auto"/>
        <w:ind w:left="709" w:right="709"/>
        <w:jc w:val="both"/>
        <w:rPr>
          <w:rFonts w:ascii="Verdana" w:eastAsia="Calibri" w:hAnsi="Verdana" w:cs="Arial"/>
          <w:sz w:val="20"/>
          <w:szCs w:val="20"/>
          <w:lang w:val="es-ES"/>
        </w:rPr>
      </w:pPr>
      <w:r w:rsidRPr="0059295C">
        <w:rPr>
          <w:rFonts w:ascii="Verdana" w:hAnsi="Verdana"/>
          <w:sz w:val="20"/>
          <w:szCs w:val="20"/>
        </w:rPr>
        <w:lastRenderedPageBreak/>
        <w:t>En el primer caso, si la entidad opta por hacer uso de la plataforma de manera transaccional (firmando el contrato electrónicamente), deberá utilizar el módulo de “Contratación Régimen Especial”, estructurar el proceso de contratación, generar el contrato electrónico y realizar la gestión contractual en línea a través de la plataforma. En el segundo caso, si decide utilizar el SECOP II como herramienta de publicidad, deberá crear el proceso de contratación en el SECOP II mediante el módulo “Contratación Régimen Especial (sin ofertas)”, cargar todos los documentos del proceso en la sección dispuesta para ello y publicar el proceso. La publicación de los documentos de la gestión contractual, incluido el contrato firmado manuscritamente, debe realizarse mediante modificaciones al proceso a través de la opción “Modificaciones/Adendas”. Sin embargo, las Entidades Públicas deberán tener en cuenta que, si utilizan esta opción, no deben dar clic en “Finalizar” después de publicar el proceso, en tanto que la plataforma cierra el expediente y no permite la publicación posterior de ningún otro documento</w:t>
      </w:r>
      <w:r w:rsidRPr="0059295C">
        <w:rPr>
          <w:rFonts w:ascii="Verdana" w:eastAsia="Calibri" w:hAnsi="Verdana" w:cs="Arial"/>
          <w:color w:val="000000"/>
          <w:sz w:val="20"/>
          <w:szCs w:val="20"/>
        </w:rPr>
        <w:tab/>
      </w:r>
    </w:p>
    <w:p w14:paraId="1D112AAC" w14:textId="77777777" w:rsidR="00104F14" w:rsidRDefault="00104F14" w:rsidP="00104F14">
      <w:pPr>
        <w:spacing w:after="0" w:line="276" w:lineRule="auto"/>
        <w:jc w:val="both"/>
        <w:rPr>
          <w:rFonts w:ascii="Verdana" w:eastAsia="Calibri" w:hAnsi="Verdana" w:cs="Arial"/>
          <w:color w:val="000000"/>
        </w:rPr>
      </w:pPr>
    </w:p>
    <w:p w14:paraId="369EDC1B" w14:textId="77777777" w:rsidR="00104F14" w:rsidRDefault="00104F14" w:rsidP="00104F14">
      <w:pPr>
        <w:spacing w:after="0" w:line="276" w:lineRule="auto"/>
        <w:jc w:val="both"/>
        <w:rPr>
          <w:rFonts w:ascii="Verdana" w:eastAsia="Calibri" w:hAnsi="Verdana" w:cs="Arial"/>
          <w:color w:val="000000"/>
        </w:rPr>
      </w:pPr>
      <w:r>
        <w:rPr>
          <w:rFonts w:ascii="Verdana" w:eastAsia="Calibri" w:hAnsi="Verdana" w:cs="Arial"/>
          <w:color w:val="000000"/>
        </w:rPr>
        <w:tab/>
        <w:t xml:space="preserve">La </w:t>
      </w:r>
      <w:r w:rsidRPr="00437DB4">
        <w:rPr>
          <w:rFonts w:ascii="Verdana" w:eastAsia="Calibri" w:hAnsi="Verdana" w:cs="Arial"/>
          <w:color w:val="000000"/>
        </w:rPr>
        <w:t>entidad, en ejercicio de su autonomía y conforme al régimen especial que la rige, será la responsable de determinar cuál de los dos módulos de contratación resulta aplicable en cada proceso que adelante. Esta decisión no es automática, sino que debe surgir de un análisis cuidadoso realizado por la propia entidad con el acompañamiento de sus asesores, teniendo en cuenta la naturaleza del contrato, los principios de transparencia y eficiencia, así como las condiciones particulares de la</w:t>
      </w:r>
      <w:r>
        <w:rPr>
          <w:rFonts w:ascii="Verdana" w:eastAsia="Calibri" w:hAnsi="Verdana" w:cs="Arial"/>
          <w:color w:val="000000"/>
        </w:rPr>
        <w:t xml:space="preserve"> contratación con o sin oferta. De este modo</w:t>
      </w:r>
      <w:r w:rsidRPr="00437DB4">
        <w:rPr>
          <w:rFonts w:ascii="Verdana" w:eastAsia="Calibri" w:hAnsi="Verdana" w:cs="Arial"/>
          <w:color w:val="000000"/>
        </w:rPr>
        <w:t xml:space="preserve">, se garantiza que la selección del módulo no solo responda a la normativa vigente, sino también a las necesidades específicas de cada proceso, permitiendo que la contratación se lleve a cabo de manera más ágil y ajustada a la realidad institucional. </w:t>
      </w:r>
      <w:r>
        <w:rPr>
          <w:rFonts w:ascii="Verdana" w:eastAsia="Calibri" w:hAnsi="Verdana" w:cs="Arial"/>
          <w:color w:val="000000"/>
        </w:rPr>
        <w:t xml:space="preserve">En todo caso, y en concordancia con lo anterior, </w:t>
      </w:r>
      <w:r w:rsidRPr="003717DB">
        <w:rPr>
          <w:rFonts w:ascii="Verdana" w:eastAsia="Calibri" w:hAnsi="Verdana" w:cs="Arial"/>
          <w:color w:val="000000"/>
        </w:rPr>
        <w:t>a Circu</w:t>
      </w:r>
      <w:r>
        <w:rPr>
          <w:rFonts w:ascii="Verdana" w:eastAsia="Calibri" w:hAnsi="Verdana" w:cs="Arial"/>
          <w:color w:val="000000"/>
        </w:rPr>
        <w:t>lar 002 del 1 de junio de 2022</w:t>
      </w:r>
      <w:r w:rsidRPr="003717DB">
        <w:rPr>
          <w:rFonts w:ascii="Verdana" w:eastAsia="Calibri" w:hAnsi="Verdana" w:cs="Arial"/>
          <w:color w:val="000000"/>
        </w:rPr>
        <w:t>, relacionada con la aplicación del artículo 53</w:t>
      </w:r>
      <w:r>
        <w:rPr>
          <w:rFonts w:ascii="Verdana" w:eastAsia="Calibri" w:hAnsi="Verdana" w:cs="Arial"/>
          <w:color w:val="000000"/>
        </w:rPr>
        <w:t xml:space="preserve"> de la Ley 2195 de 2022, expedida</w:t>
      </w:r>
      <w:r w:rsidRPr="003717DB">
        <w:rPr>
          <w:rFonts w:ascii="Verdana" w:eastAsia="Calibri" w:hAnsi="Verdana" w:cs="Arial"/>
          <w:color w:val="000000"/>
        </w:rPr>
        <w:t xml:space="preserve"> por el Departamento Administrativo de la Presidencia, </w:t>
      </w:r>
      <w:r>
        <w:rPr>
          <w:rFonts w:ascii="Verdana" w:eastAsia="Calibri" w:hAnsi="Verdana" w:cs="Arial"/>
          <w:color w:val="000000"/>
        </w:rPr>
        <w:t>frente a</w:t>
      </w:r>
      <w:r w:rsidRPr="003717DB">
        <w:rPr>
          <w:rFonts w:ascii="Verdana" w:eastAsia="Calibri" w:hAnsi="Verdana" w:cs="Arial"/>
          <w:color w:val="000000"/>
        </w:rPr>
        <w:t>l plazo para</w:t>
      </w:r>
      <w:r>
        <w:rPr>
          <w:rFonts w:ascii="Verdana" w:eastAsia="Calibri" w:hAnsi="Verdana" w:cs="Arial"/>
          <w:color w:val="000000"/>
        </w:rPr>
        <w:t xml:space="preserve"> cargar los documentos señaló</w:t>
      </w:r>
      <w:r w:rsidRPr="003717DB">
        <w:rPr>
          <w:rFonts w:ascii="Verdana" w:eastAsia="Calibri" w:hAnsi="Verdana" w:cs="Arial"/>
          <w:color w:val="000000"/>
        </w:rPr>
        <w:t>:</w:t>
      </w:r>
    </w:p>
    <w:p w14:paraId="076EC690" w14:textId="77777777" w:rsidR="00104F14" w:rsidRDefault="00104F14" w:rsidP="00104F14">
      <w:pPr>
        <w:spacing w:after="0" w:line="276" w:lineRule="auto"/>
        <w:jc w:val="both"/>
        <w:rPr>
          <w:rFonts w:ascii="Verdana" w:eastAsia="Calibri" w:hAnsi="Verdana" w:cs="Arial"/>
          <w:color w:val="000000"/>
        </w:rPr>
      </w:pPr>
    </w:p>
    <w:p w14:paraId="3FC4321E" w14:textId="77777777" w:rsidR="00104F14" w:rsidRPr="004B28D6" w:rsidRDefault="00104F14" w:rsidP="00104F14">
      <w:pPr>
        <w:spacing w:after="0" w:line="240" w:lineRule="auto"/>
        <w:ind w:left="709" w:right="709"/>
        <w:jc w:val="both"/>
        <w:rPr>
          <w:rFonts w:ascii="Verdana" w:eastAsia="Calibri" w:hAnsi="Verdana" w:cs="Arial"/>
          <w:color w:val="000000"/>
          <w:sz w:val="20"/>
          <w:szCs w:val="20"/>
        </w:rPr>
      </w:pPr>
      <w:r w:rsidRPr="004B28D6">
        <w:rPr>
          <w:rFonts w:ascii="Verdana" w:eastAsia="Calibri" w:hAnsi="Verdana" w:cs="Arial"/>
          <w:color w:val="000000"/>
          <w:sz w:val="20"/>
          <w:szCs w:val="20"/>
        </w:rPr>
        <w:t xml:space="preserve">Si se utiliza el SECOP II como herramienta de publicidad, la publicación de los documentos relacionados con la actividad contractual deberá realizarse dentro de los 3 días siguientes a su expedición, en aplicación de lo dispuesto en el artículo 2.1.1.2.1.7. del Decreto 1081 de 2015, el cual remite al artículo 2.2.1.1.1.7.1. del Decreto 1082 de 2015, en el que se hace referencia al plazo en cita. </w:t>
      </w:r>
    </w:p>
    <w:p w14:paraId="64C37E64" w14:textId="77777777" w:rsidR="00104F14" w:rsidRPr="004B28D6" w:rsidRDefault="00104F14" w:rsidP="00104F14">
      <w:pPr>
        <w:spacing w:after="0" w:line="240" w:lineRule="auto"/>
        <w:ind w:left="709" w:right="709"/>
        <w:jc w:val="both"/>
        <w:rPr>
          <w:rFonts w:ascii="Verdana" w:eastAsia="Calibri" w:hAnsi="Verdana" w:cs="Arial"/>
          <w:color w:val="000000"/>
          <w:sz w:val="20"/>
          <w:szCs w:val="20"/>
        </w:rPr>
      </w:pPr>
    </w:p>
    <w:p w14:paraId="3AD4A5D5" w14:textId="77777777" w:rsidR="00104F14" w:rsidRPr="004B28D6" w:rsidRDefault="00104F14" w:rsidP="00104F14">
      <w:pPr>
        <w:spacing w:after="0" w:line="240" w:lineRule="auto"/>
        <w:ind w:left="709" w:right="709"/>
        <w:jc w:val="both"/>
        <w:rPr>
          <w:rFonts w:ascii="Verdana" w:eastAsia="Calibri" w:hAnsi="Verdana" w:cs="Arial"/>
          <w:color w:val="000000"/>
          <w:sz w:val="20"/>
          <w:szCs w:val="20"/>
        </w:rPr>
      </w:pPr>
      <w:r w:rsidRPr="004B28D6">
        <w:rPr>
          <w:rFonts w:ascii="Verdana" w:eastAsia="Calibri" w:hAnsi="Verdana" w:cs="Arial"/>
          <w:color w:val="000000"/>
          <w:sz w:val="20"/>
          <w:szCs w:val="20"/>
        </w:rPr>
        <w:t xml:space="preserve">Si se hace uso de la plataforma de manera transaccional, la publicación de los documentos relacionados con la actividad contractual deberá realizarse </w:t>
      </w:r>
      <w:r w:rsidRPr="004B28D6">
        <w:rPr>
          <w:rFonts w:ascii="Verdana" w:eastAsia="Calibri" w:hAnsi="Verdana" w:cs="Arial"/>
          <w:color w:val="000000"/>
          <w:sz w:val="20"/>
          <w:szCs w:val="20"/>
        </w:rPr>
        <w:lastRenderedPageBreak/>
        <w:t>en los términos establecidos en el cronograma del proceso de selección y las reglas aplicables a cada modalidad de contratación en particular, de acuerdo con cada Manual de Contratación. (Cursiva fuera del original).</w:t>
      </w:r>
    </w:p>
    <w:p w14:paraId="0AEABE9D" w14:textId="77777777" w:rsidR="00104F14" w:rsidRDefault="00104F14" w:rsidP="00104F14">
      <w:pPr>
        <w:spacing w:after="0" w:line="276" w:lineRule="auto"/>
        <w:jc w:val="both"/>
        <w:rPr>
          <w:rFonts w:ascii="Verdana" w:eastAsia="Calibri" w:hAnsi="Verdana" w:cs="Arial"/>
          <w:color w:val="000000"/>
        </w:rPr>
      </w:pPr>
    </w:p>
    <w:p w14:paraId="6A9F4587" w14:textId="77777777" w:rsidR="00104F14" w:rsidRPr="008E41B6" w:rsidRDefault="00104F14" w:rsidP="00104F14">
      <w:pPr>
        <w:spacing w:after="120" w:line="276" w:lineRule="auto"/>
        <w:jc w:val="both"/>
        <w:rPr>
          <w:rFonts w:ascii="Verdana" w:eastAsia="Calibri" w:hAnsi="Verdana" w:cs="Arial"/>
          <w:color w:val="000000"/>
        </w:rPr>
      </w:pPr>
      <w:r>
        <w:rPr>
          <w:rFonts w:ascii="Verdana" w:eastAsia="Calibri" w:hAnsi="Verdana" w:cs="Arial"/>
          <w:color w:val="000000"/>
        </w:rPr>
        <w:tab/>
        <w:t xml:space="preserve">Así las cosas, </w:t>
      </w:r>
      <w:r w:rsidRPr="00C43987">
        <w:rPr>
          <w:rFonts w:ascii="Verdana" w:eastAsia="Calibri" w:hAnsi="Verdana" w:cs="Arial"/>
          <w:color w:val="000000"/>
        </w:rPr>
        <w:t>se concluye que las Entidades Estatales que, por disposición legal, cuenten con un régimen contractual distinto al previsto en el Estatuto General de Contratación de la Administración Pública, disponen de un plazo de tres (3) días hábiles posteriores a la expedición del acto para realizar la</w:t>
      </w:r>
      <w:r>
        <w:rPr>
          <w:rFonts w:ascii="Verdana" w:eastAsia="Calibri" w:hAnsi="Verdana" w:cs="Arial"/>
          <w:color w:val="000000"/>
        </w:rPr>
        <w:t xml:space="preserve"> publicación en el SECOP II. Esto, </w:t>
      </w:r>
      <w:r w:rsidRPr="00C43987">
        <w:rPr>
          <w:rFonts w:ascii="Verdana" w:eastAsia="Calibri" w:hAnsi="Verdana" w:cs="Arial"/>
          <w:color w:val="000000"/>
        </w:rPr>
        <w:t>sin perjuicio de que dichas entidades utilicen la plataforma de manera transaccional, caso en el cual la publicación de los documentos deberá efectuarse en tiempo real, conforme al cronograma establecido para el respectivo proceso de selección.</w:t>
      </w:r>
    </w:p>
    <w:p w14:paraId="7B3B4A98" w14:textId="77777777" w:rsidR="00104F14" w:rsidRDefault="00104F14" w:rsidP="00104F14">
      <w:pPr>
        <w:tabs>
          <w:tab w:val="left" w:pos="709"/>
        </w:tabs>
        <w:spacing w:before="120" w:after="120" w:line="276" w:lineRule="auto"/>
        <w:ind w:firstLine="709"/>
        <w:jc w:val="both"/>
        <w:rPr>
          <w:rFonts w:ascii="Verdana" w:eastAsia="Calibri" w:hAnsi="Verdana" w:cs="Arial"/>
          <w:lang w:eastAsia="es-ES_tradnl"/>
        </w:rPr>
      </w:pPr>
      <w:r w:rsidRPr="006936B5">
        <w:rPr>
          <w:rFonts w:ascii="Verdana" w:eastAsia="Times New Roman" w:hAnsi="Verdana" w:cs="Arial"/>
          <w:lang w:eastAsia="es-ES_tradnl"/>
          <w14:ligatures w14:val="standardContextual"/>
        </w:rPr>
        <w:t>En este escenario</w:t>
      </w:r>
      <w:r>
        <w:rPr>
          <w:rFonts w:ascii="Verdana" w:eastAsia="Times New Roman" w:hAnsi="Verdana" w:cs="Arial"/>
          <w:lang w:eastAsia="es-ES_tradnl"/>
          <w14:ligatures w14:val="standardContextual"/>
        </w:rPr>
        <w:t xml:space="preserve">, se plantea un deber de publicidad de la información contractual en SECOP, ya sea en SECOP I o en SECOP II, conforme a lo expresado en consideraciones previas. </w:t>
      </w:r>
      <w:r>
        <w:rPr>
          <w:rFonts w:ascii="Verdana" w:eastAsia="Calibri" w:hAnsi="Verdana" w:cs="Arial"/>
          <w:lang w:val="es-ES_tradnl" w:eastAsia="es-ES_tradnl"/>
        </w:rPr>
        <w:t>En este sentido</w:t>
      </w:r>
      <w:r w:rsidRPr="00AD6B46">
        <w:rPr>
          <w:rFonts w:ascii="Verdana" w:eastAsia="Calibri" w:hAnsi="Verdana" w:cs="Arial"/>
          <w:lang w:val="es-ES_tradnl" w:eastAsia="es-ES_tradnl"/>
        </w:rPr>
        <w:t>, l</w:t>
      </w:r>
      <w:r w:rsidRPr="00AD6B46">
        <w:rPr>
          <w:rFonts w:ascii="Verdana" w:eastAsia="Calibri" w:hAnsi="Verdana" w:cs="Arial"/>
          <w:lang w:eastAsia="es-ES_tradnl"/>
        </w:rPr>
        <w:t>a Agencia Nacional de Contratación Pública –Colombia Compra Eficiente, como ente rector del Sistema de Compra y Contratación Pública y, en virtud de las funciones conferidas por los numerales 2, 5 y 8 del artículo 3 del Decreto Ley 4170 de 2011, es el competente para administrar el SECOP, desarrollar e impulsar políticas públicas, programas, herramientas y normas orientadas a la organización y articulación de los partícipes en los procesos de compras y contratación pública, así como para promover las mejores prácticas en la gestión contractual del Estado, a fin de lograr una mayor eficiencia, transparencia y optimización de los recursos públicos. En virtud de dichas facultades, ha expedido diferentes Circulares sobre el uso y obligatoriedad de publicar en SECOP, ya sea SECOP I o SECOP II, la actividad contractual que se realice con recursos públicos.</w:t>
      </w:r>
    </w:p>
    <w:p w14:paraId="2CA9A168" w14:textId="77777777" w:rsidR="00104F14" w:rsidRPr="00D819E7" w:rsidRDefault="00104F14" w:rsidP="00104F14">
      <w:pPr>
        <w:tabs>
          <w:tab w:val="left" w:pos="709"/>
        </w:tabs>
        <w:spacing w:before="120" w:after="0" w:line="276" w:lineRule="auto"/>
        <w:ind w:firstLine="709"/>
        <w:jc w:val="both"/>
        <w:rPr>
          <w:rFonts w:ascii="Verdana" w:eastAsia="Calibri" w:hAnsi="Verdana" w:cs="Arial"/>
          <w:lang w:eastAsia="es-ES_tradnl"/>
        </w:rPr>
      </w:pPr>
      <w:r w:rsidRPr="00D819E7">
        <w:rPr>
          <w:rFonts w:ascii="Verdana" w:eastAsia="Calibri" w:hAnsi="Verdana" w:cs="Arial"/>
          <w:lang w:eastAsia="es-ES_tradnl"/>
        </w:rPr>
        <w:t>El incumplimiento de estas obligaciones puede generar responsabilidad disciplinaria ante las autoridades competentes. En todo caso, las IPS, teniendo en cuenta la diversidad de formas organizativas y de fuentes de financiación que caracterizan al sector salud, deben realizar un análisis riguroso de su naturaleza jurídica —pública, privada o mixta— y de la procedencia de sus recursos —privados, públicos, parafiscales, entre otros— con el fin de determinar con exactitud el alcance real de las obligaciones mencionadas.</w:t>
      </w:r>
      <w:r>
        <w:rPr>
          <w:rFonts w:ascii="Verdana" w:eastAsia="Calibri" w:hAnsi="Verdana" w:cs="Arial"/>
          <w:lang w:eastAsia="es-ES_tradnl"/>
        </w:rPr>
        <w:t xml:space="preserve"> </w:t>
      </w:r>
      <w:r w:rsidRPr="00D819E7">
        <w:rPr>
          <w:rFonts w:ascii="Verdana" w:eastAsia="Calibri" w:hAnsi="Verdana" w:cs="Arial"/>
          <w:lang w:eastAsia="es-ES_tradnl"/>
        </w:rPr>
        <w:t xml:space="preserve">Esta verificación resulta indispensable para evitar que las instituciones asuman cargas, deberes o responsabilidades que no les son exigibles conforme al marco normativo </w:t>
      </w:r>
      <w:r w:rsidRPr="00D819E7">
        <w:rPr>
          <w:rFonts w:ascii="Verdana" w:eastAsia="Calibri" w:hAnsi="Verdana" w:cs="Arial"/>
          <w:lang w:eastAsia="es-ES_tradnl"/>
        </w:rPr>
        <w:lastRenderedPageBreak/>
        <w:t>aplicable, lo cual podría derivar en actuaciones contrarias a la ley o comprometer indebidamente su capacidad operativa y financiera. Todo ello, sin perjuicio de las competencias de inspección, vigilancia y control a cargo de la Superintendencia Nacional de Salud.</w:t>
      </w:r>
    </w:p>
    <w:p w14:paraId="02A1D3C0" w14:textId="77777777" w:rsidR="00104F14" w:rsidRPr="003673A9" w:rsidRDefault="00104F14" w:rsidP="00104F14">
      <w:pPr>
        <w:tabs>
          <w:tab w:val="left" w:pos="709"/>
        </w:tabs>
        <w:spacing w:after="0" w:line="276" w:lineRule="auto"/>
        <w:ind w:firstLine="709"/>
        <w:jc w:val="both"/>
        <w:rPr>
          <w:rFonts w:ascii="Verdana" w:hAnsi="Verdana" w:cs="Arial"/>
          <w:shd w:val="clear" w:color="auto" w:fill="FFFFFF"/>
        </w:rPr>
      </w:pPr>
    </w:p>
    <w:p w14:paraId="15450C5F" w14:textId="77777777" w:rsidR="00104F14" w:rsidRPr="00B16AC6" w:rsidRDefault="00104F14" w:rsidP="00104F14">
      <w:pPr>
        <w:spacing w:after="120" w:line="276" w:lineRule="auto"/>
        <w:jc w:val="both"/>
        <w:rPr>
          <w:rFonts w:ascii="Verdana" w:eastAsia="Calibri" w:hAnsi="Verdana" w:cs="Arial"/>
          <w:color w:val="000000" w:themeColor="text1"/>
          <w:lang w:val="es-ES"/>
        </w:rPr>
      </w:pPr>
      <w:proofErr w:type="spellStart"/>
      <w:r>
        <w:rPr>
          <w:rFonts w:ascii="Verdana" w:eastAsia="Calibri" w:hAnsi="Verdana" w:cs="Arial"/>
          <w:color w:val="000000" w:themeColor="text1"/>
          <w:lang w:val="es-ES"/>
        </w:rPr>
        <w:t>iv</w:t>
      </w:r>
      <w:proofErr w:type="spellEnd"/>
      <w:r>
        <w:rPr>
          <w:rFonts w:ascii="Verdana" w:eastAsia="Calibri" w:hAnsi="Verdana" w:cs="Arial"/>
          <w:color w:val="000000" w:themeColor="text1"/>
          <w:lang w:val="es-ES"/>
        </w:rPr>
        <w:t xml:space="preserve">. Al </w:t>
      </w:r>
      <w:r w:rsidRPr="00B17041">
        <w:rPr>
          <w:rFonts w:ascii="Verdana" w:hAnsi="Verdana" w:cs="Arial"/>
          <w:lang w:val="es-ES_tradnl" w:eastAsia="es-ES"/>
        </w:rPr>
        <w:t>margen de la explicación precedente debe advertirse que el análisis requerido para resolver pr</w:t>
      </w:r>
      <w:r>
        <w:rPr>
          <w:rFonts w:ascii="Verdana" w:hAnsi="Verdana" w:cs="Arial"/>
          <w:lang w:val="es-ES_tradnl" w:eastAsia="es-ES"/>
        </w:rPr>
        <w:t>oblemas específicos en torno a la naturaleza de una IPS y su deber de publicación debe realizarse</w:t>
      </w:r>
      <w:r w:rsidRPr="00B17041">
        <w:rPr>
          <w:rFonts w:ascii="Verdana" w:hAnsi="Verdana" w:cs="Arial"/>
          <w:lang w:val="es-ES_tradnl" w:eastAsia="es-ES"/>
        </w:rPr>
        <w:t xml:space="preserve"> por quienes tengan interés en ello, de acuerdo con lo explicado </w:t>
      </w:r>
      <w:r>
        <w:rPr>
          <w:rFonts w:ascii="Verdana" w:hAnsi="Verdana" w:cs="Arial"/>
          <w:lang w:val="es-ES_tradnl" w:eastAsia="es-ES"/>
        </w:rPr>
        <w:t xml:space="preserve">en </w:t>
      </w:r>
      <w:r w:rsidRPr="00B17041">
        <w:rPr>
          <w:rFonts w:ascii="Verdana" w:hAnsi="Verdana" w:cs="Arial"/>
          <w:lang w:val="es-ES_tradnl" w:eastAsia="es-ES"/>
        </w:rPr>
        <w:t xml:space="preserve">la aclaración preliminar del presente oficio. De esta manera, las afirmaciones aquí realizadas no pueden </w:t>
      </w:r>
      <w:r>
        <w:rPr>
          <w:rFonts w:ascii="Verdana" w:hAnsi="Verdana" w:cs="Arial"/>
          <w:lang w:val="es-ES_tradnl" w:eastAsia="es-ES"/>
        </w:rPr>
        <w:t xml:space="preserve">interpretarse </w:t>
      </w:r>
      <w:r w:rsidRPr="00B17041">
        <w:rPr>
          <w:rFonts w:ascii="Verdana" w:hAnsi="Verdana" w:cs="Arial"/>
          <w:lang w:val="es-ES_tradnl" w:eastAsia="es-ES"/>
        </w:rPr>
        <w:t>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4F86505" w14:textId="77777777" w:rsidR="00104F14" w:rsidRPr="00B17041" w:rsidRDefault="00104F14" w:rsidP="00104F14">
      <w:pPr>
        <w:spacing w:after="0" w:line="276" w:lineRule="auto"/>
        <w:ind w:firstLine="709"/>
        <w:jc w:val="both"/>
        <w:rPr>
          <w:rFonts w:ascii="Verdana" w:hAnsi="Verdana" w:cs="Arial"/>
          <w:lang w:val="es-ES" w:eastAsia="es-ES"/>
        </w:rPr>
      </w:pPr>
      <w:r w:rsidRPr="00B17041">
        <w:rPr>
          <w:rFonts w:ascii="Verdana" w:hAnsi="Verdana" w:cs="Arial"/>
          <w:lang w:val="es-ES" w:eastAsia="es-ES"/>
        </w:rPr>
        <w:t xml:space="preserve">Dentro de este marco, la entidad </w:t>
      </w:r>
      <w:r w:rsidRPr="00485C44">
        <w:rPr>
          <w:rFonts w:ascii="Verdana" w:hAnsi="Verdana" w:cs="Arial"/>
          <w:lang w:val="es-ES" w:eastAsia="es-ES"/>
        </w:rPr>
        <w:t xml:space="preserve">pública </w:t>
      </w:r>
      <w:r>
        <w:rPr>
          <w:rFonts w:ascii="Verdana" w:hAnsi="Verdana" w:cs="Arial"/>
          <w:lang w:val="es-ES" w:eastAsia="es-ES"/>
        </w:rPr>
        <w:t>definirá</w:t>
      </w:r>
      <w:r w:rsidRPr="00B17041">
        <w:rPr>
          <w:rFonts w:ascii="Verdana" w:hAnsi="Verdana" w:cs="Arial"/>
          <w:lang w:val="es-ES" w:eastAsia="es-ES"/>
        </w:rPr>
        <w:t xml:space="preserve">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18482665" w14:textId="77777777" w:rsidR="00104F14" w:rsidRPr="00AD6B46" w:rsidRDefault="00104F14" w:rsidP="00104F14">
      <w:pPr>
        <w:spacing w:after="0" w:line="276" w:lineRule="auto"/>
        <w:jc w:val="both"/>
        <w:rPr>
          <w:rFonts w:ascii="Verdana" w:eastAsia="Calibri" w:hAnsi="Verdana" w:cs="Arial"/>
          <w:lang w:eastAsia="es-ES_tradnl"/>
        </w:rPr>
      </w:pPr>
    </w:p>
    <w:p w14:paraId="22F59F4D" w14:textId="77777777" w:rsidR="00104F14" w:rsidRPr="00AD6B46" w:rsidRDefault="00104F14" w:rsidP="00104F14">
      <w:pPr>
        <w:numPr>
          <w:ilvl w:val="0"/>
          <w:numId w:val="16"/>
        </w:numPr>
        <w:spacing w:after="0" w:line="256" w:lineRule="auto"/>
        <w:rPr>
          <w:rFonts w:ascii="Verdana" w:eastAsia="Calibri" w:hAnsi="Verdana" w:cs="Times New Roman"/>
          <w:b/>
          <w:bCs/>
          <w:lang w:val="es-ES"/>
        </w:rPr>
      </w:pPr>
      <w:r w:rsidRPr="00AD6B46">
        <w:rPr>
          <w:rFonts w:ascii="Verdana" w:eastAsia="Calibri" w:hAnsi="Verdana" w:cs="Times New Roman"/>
          <w:b/>
          <w:bCs/>
          <w:lang w:val="es-ES"/>
        </w:rPr>
        <w:t>Referencias normativas:</w:t>
      </w:r>
    </w:p>
    <w:p w14:paraId="43ECFFB3" w14:textId="77777777" w:rsidR="00104F14" w:rsidRPr="003C5A95" w:rsidRDefault="00104F14" w:rsidP="00104F14">
      <w:pPr>
        <w:widowControl w:val="0"/>
        <w:autoSpaceDE w:val="0"/>
        <w:autoSpaceDN w:val="0"/>
        <w:spacing w:after="0" w:line="276" w:lineRule="auto"/>
        <w:jc w:val="both"/>
        <w:rPr>
          <w:rFonts w:ascii="Verdana" w:hAnsi="Verdana" w:cs="Arial"/>
          <w:lang w:val="es-E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04F14" w:rsidRPr="00AD6B46" w14:paraId="2ADE461C" w14:textId="77777777" w:rsidTr="0083006D">
        <w:trPr>
          <w:trHeight w:val="453"/>
          <w:jc w:val="center"/>
        </w:trPr>
        <w:tc>
          <w:tcPr>
            <w:tcW w:w="8647" w:type="dxa"/>
          </w:tcPr>
          <w:p w14:paraId="6A4BAB42" w14:textId="77777777" w:rsidR="00104F14" w:rsidRPr="002313FA" w:rsidRDefault="00104F14" w:rsidP="0083006D">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 xml:space="preserve">Constitución Política, artículos </w:t>
            </w:r>
            <w:r>
              <w:rPr>
                <w:rFonts w:ascii="Verdana" w:hAnsi="Verdana" w:cs="Arial"/>
                <w:lang w:val="es-ES_tradnl"/>
              </w:rPr>
              <w:t xml:space="preserve">48, </w:t>
            </w:r>
            <w:r w:rsidRPr="00AD6B46">
              <w:rPr>
                <w:rFonts w:ascii="Verdana" w:hAnsi="Verdana" w:cs="Arial"/>
                <w:lang w:val="es-ES_tradnl"/>
              </w:rPr>
              <w:t>74 y 209.</w:t>
            </w:r>
          </w:p>
          <w:p w14:paraId="73F5F3E4" w14:textId="77777777" w:rsidR="00104F14" w:rsidRDefault="00104F14" w:rsidP="0083006D">
            <w:pPr>
              <w:widowControl w:val="0"/>
              <w:numPr>
                <w:ilvl w:val="0"/>
                <w:numId w:val="17"/>
              </w:numPr>
              <w:autoSpaceDE w:val="0"/>
              <w:autoSpaceDN w:val="0"/>
              <w:spacing w:after="120" w:line="276" w:lineRule="auto"/>
              <w:ind w:left="714" w:hanging="357"/>
              <w:jc w:val="both"/>
              <w:rPr>
                <w:rFonts w:ascii="Verdana" w:hAnsi="Verdana" w:cs="Arial"/>
                <w:lang w:val="es-ES_tradnl"/>
              </w:rPr>
            </w:pPr>
            <w:r>
              <w:rPr>
                <w:rFonts w:ascii="Verdana" w:hAnsi="Verdana" w:cs="Arial"/>
                <w:lang w:val="es-ES_tradnl"/>
              </w:rPr>
              <w:t>Ley 100 de 1993, artículo 185</w:t>
            </w:r>
          </w:p>
          <w:p w14:paraId="3D9A67C4" w14:textId="77777777" w:rsidR="00104F14" w:rsidRPr="00BE29E3" w:rsidRDefault="00104F14" w:rsidP="0083006D">
            <w:pPr>
              <w:widowControl w:val="0"/>
              <w:numPr>
                <w:ilvl w:val="0"/>
                <w:numId w:val="17"/>
              </w:numPr>
              <w:autoSpaceDE w:val="0"/>
              <w:autoSpaceDN w:val="0"/>
              <w:spacing w:after="120" w:line="276" w:lineRule="auto"/>
              <w:ind w:left="714" w:hanging="357"/>
              <w:jc w:val="both"/>
              <w:rPr>
                <w:rFonts w:ascii="Verdana" w:hAnsi="Verdana" w:cs="Arial"/>
                <w:lang w:val="es-ES_tradnl"/>
              </w:rPr>
            </w:pPr>
            <w:r>
              <w:rPr>
                <w:rFonts w:ascii="Verdana" w:hAnsi="Verdana" w:cs="Arial"/>
                <w:lang w:val="es-ES_tradnl"/>
              </w:rPr>
              <w:t>Ley 1438 de 2011, artículo 100.</w:t>
            </w:r>
          </w:p>
          <w:p w14:paraId="678BA072" w14:textId="77777777" w:rsidR="00104F14" w:rsidRDefault="00104F14" w:rsidP="0083006D">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Ley 1150 de 2007, artículo</w:t>
            </w:r>
            <w:r>
              <w:rPr>
                <w:rFonts w:ascii="Verdana" w:hAnsi="Verdana" w:cs="Arial"/>
                <w:lang w:val="es-ES_tradnl"/>
              </w:rPr>
              <w:t>s</w:t>
            </w:r>
            <w:r w:rsidRPr="00AD6B46">
              <w:rPr>
                <w:rFonts w:ascii="Verdana" w:hAnsi="Verdana" w:cs="Arial"/>
                <w:lang w:val="es-ES_tradnl"/>
              </w:rPr>
              <w:t xml:space="preserve"> 3</w:t>
            </w:r>
            <w:r>
              <w:rPr>
                <w:rFonts w:ascii="Verdana" w:hAnsi="Verdana" w:cs="Arial"/>
                <w:lang w:val="es-ES_tradnl"/>
              </w:rPr>
              <w:t xml:space="preserve"> y 13</w:t>
            </w:r>
            <w:r w:rsidRPr="00AD6B46">
              <w:rPr>
                <w:rFonts w:ascii="Verdana" w:hAnsi="Verdana" w:cs="Arial"/>
                <w:lang w:val="es-ES_tradnl"/>
              </w:rPr>
              <w:t>.</w:t>
            </w:r>
          </w:p>
          <w:p w14:paraId="729711DF" w14:textId="77777777" w:rsidR="00104F14" w:rsidRDefault="00104F14" w:rsidP="0083006D">
            <w:pPr>
              <w:widowControl w:val="0"/>
              <w:numPr>
                <w:ilvl w:val="0"/>
                <w:numId w:val="17"/>
              </w:numPr>
              <w:autoSpaceDE w:val="0"/>
              <w:autoSpaceDN w:val="0"/>
              <w:spacing w:after="120" w:line="276" w:lineRule="auto"/>
              <w:ind w:left="714" w:hanging="357"/>
              <w:jc w:val="both"/>
              <w:rPr>
                <w:rFonts w:ascii="Verdana" w:hAnsi="Verdana" w:cs="Arial"/>
                <w:lang w:val="es-ES_tradnl"/>
              </w:rPr>
            </w:pPr>
            <w:r>
              <w:rPr>
                <w:rFonts w:ascii="Verdana" w:hAnsi="Verdana" w:cs="Arial"/>
                <w:lang w:val="es-ES_tradnl"/>
              </w:rPr>
              <w:t>Ley 2333 de 2023.</w:t>
            </w:r>
          </w:p>
          <w:p w14:paraId="28959DC3" w14:textId="77777777" w:rsidR="00104F14" w:rsidRPr="00AD6B46" w:rsidRDefault="00104F14" w:rsidP="0083006D">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rPr>
              <w:t xml:space="preserve">Decreto Ley 4170 de 2011, artículo 3° numerales 2, 5 y 8. </w:t>
            </w:r>
          </w:p>
          <w:p w14:paraId="0ED1FE29" w14:textId="77777777" w:rsidR="00104F14" w:rsidRDefault="00104F14" w:rsidP="0083006D">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lastRenderedPageBreak/>
              <w:t>Ley 1712 de 2014</w:t>
            </w:r>
            <w:r>
              <w:rPr>
                <w:rFonts w:ascii="Verdana" w:hAnsi="Verdana" w:cs="Arial"/>
                <w:lang w:val="es-ES_tradnl"/>
              </w:rPr>
              <w:t xml:space="preserve">, artículos 5, 9, 10 y 11. </w:t>
            </w:r>
          </w:p>
          <w:p w14:paraId="291026D7" w14:textId="77777777" w:rsidR="00104F14" w:rsidRPr="00AD6B46" w:rsidRDefault="00104F14" w:rsidP="0083006D">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 xml:space="preserve">Decreto 1081 de 2015, artículos 2.1.1.2.1.7., </w:t>
            </w:r>
            <w:r w:rsidRPr="00AD6B46">
              <w:rPr>
                <w:rFonts w:ascii="Verdana" w:eastAsia="Calibri" w:hAnsi="Verdana" w:cs="Arial"/>
                <w:color w:val="000000"/>
                <w:lang w:val="es-ES"/>
              </w:rPr>
              <w:t xml:space="preserve">2.1.1.4.3.2. </w:t>
            </w:r>
          </w:p>
          <w:p w14:paraId="6BAEC591" w14:textId="77777777" w:rsidR="00104F14" w:rsidRPr="007313A1" w:rsidRDefault="00104F14" w:rsidP="0083006D">
            <w:pPr>
              <w:widowControl w:val="0"/>
              <w:numPr>
                <w:ilvl w:val="0"/>
                <w:numId w:val="17"/>
              </w:numPr>
              <w:autoSpaceDE w:val="0"/>
              <w:autoSpaceDN w:val="0"/>
              <w:spacing w:after="120" w:line="276" w:lineRule="auto"/>
              <w:ind w:left="714" w:hanging="357"/>
              <w:jc w:val="both"/>
              <w:rPr>
                <w:rFonts w:ascii="Verdana" w:hAnsi="Verdana" w:cs="Arial"/>
                <w:lang w:val="es-ES_tradnl"/>
              </w:rPr>
            </w:pPr>
            <w:r w:rsidRPr="00AD6B46">
              <w:rPr>
                <w:rFonts w:ascii="Verdana" w:hAnsi="Verdana" w:cs="Arial"/>
                <w:lang w:val="es-ES_tradnl"/>
              </w:rPr>
              <w:t>Decreto 1082 de 2015, artículos 2.2.1.1.1.7.1, 2.2.1.1.1.3.1., 2.2.2.1.8.3., 2.2.2.1.5.11., 2.2.2.1.12.7.</w:t>
            </w:r>
          </w:p>
        </w:tc>
      </w:tr>
    </w:tbl>
    <w:p w14:paraId="2C347285" w14:textId="77777777" w:rsidR="00104F14" w:rsidRPr="00B57A1B" w:rsidRDefault="00104F14" w:rsidP="00104F14">
      <w:pPr>
        <w:widowControl w:val="0"/>
        <w:autoSpaceDE w:val="0"/>
        <w:autoSpaceDN w:val="0"/>
        <w:spacing w:after="0" w:line="276" w:lineRule="auto"/>
        <w:jc w:val="both"/>
        <w:rPr>
          <w:rFonts w:ascii="Verdana" w:hAnsi="Verdana" w:cs="Arial"/>
        </w:rPr>
      </w:pPr>
    </w:p>
    <w:p w14:paraId="731A23B1" w14:textId="77777777" w:rsidR="00104F14" w:rsidRPr="00B57A1B" w:rsidRDefault="00104F14" w:rsidP="00104F14">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B57A1B">
        <w:rPr>
          <w:rFonts w:ascii="Verdana" w:eastAsia="Century Gothic" w:hAnsi="Verdana" w:cs="Century Gothic"/>
          <w:b/>
          <w:bCs/>
          <w:lang w:val="es-ES"/>
        </w:rPr>
        <w:t>Doctrina de la Agencia Nacional de Contratación Pública:</w:t>
      </w:r>
    </w:p>
    <w:p w14:paraId="4CD8332A" w14:textId="77777777" w:rsidR="00104F14" w:rsidRPr="00B57A1B" w:rsidRDefault="00104F14" w:rsidP="00104F14">
      <w:pPr>
        <w:widowControl w:val="0"/>
        <w:autoSpaceDE w:val="0"/>
        <w:autoSpaceDN w:val="0"/>
        <w:spacing w:after="0" w:line="276" w:lineRule="auto"/>
        <w:jc w:val="both"/>
        <w:rPr>
          <w:rFonts w:ascii="Verdana" w:hAnsi="Verdana" w:cs="Arial"/>
        </w:rPr>
      </w:pPr>
    </w:p>
    <w:p w14:paraId="1D2FA176" w14:textId="77777777" w:rsidR="00104F14" w:rsidRPr="00530A1F" w:rsidRDefault="00104F14" w:rsidP="00104F14">
      <w:pPr>
        <w:widowControl w:val="0"/>
        <w:autoSpaceDE w:val="0"/>
        <w:autoSpaceDN w:val="0"/>
        <w:spacing w:after="0" w:line="276" w:lineRule="auto"/>
        <w:jc w:val="both"/>
        <w:rPr>
          <w:rFonts w:ascii="Verdana" w:hAnsi="Verdana" w:cs="Arial"/>
          <w:bCs/>
          <w:shd w:val="clear" w:color="auto" w:fill="FFFFFF"/>
        </w:rPr>
      </w:pPr>
      <w:r w:rsidRPr="00392E13">
        <w:rPr>
          <w:rFonts w:ascii="Verdana" w:hAnsi="Verdana" w:cs="Arial"/>
          <w:bCs/>
          <w:shd w:val="clear" w:color="auto" w:fill="FFFFFF"/>
        </w:rPr>
        <w:t>La Agencia Nacional de Contratación Públi</w:t>
      </w:r>
      <w:r>
        <w:rPr>
          <w:rFonts w:ascii="Verdana" w:hAnsi="Verdana" w:cs="Arial"/>
          <w:bCs/>
          <w:shd w:val="clear" w:color="auto" w:fill="FFFFFF"/>
        </w:rPr>
        <w:t xml:space="preserve">ca – Colombia Compra Eficiente, en referencia a al deber de publicidad contractual </w:t>
      </w:r>
      <w:r w:rsidRPr="00392E13">
        <w:rPr>
          <w:rFonts w:ascii="Verdana" w:hAnsi="Verdana" w:cs="Arial"/>
          <w:bCs/>
          <w:shd w:val="clear" w:color="auto" w:fill="FFFFFF"/>
        </w:rPr>
        <w:t xml:space="preserve">en los conceptos </w:t>
      </w:r>
      <w:r w:rsidRPr="00392E13">
        <w:rPr>
          <w:rFonts w:ascii="Verdana" w:hAnsi="Verdana" w:cs="Arial"/>
          <w:bCs/>
          <w:shd w:val="clear" w:color="auto" w:fill="FFFFFF"/>
          <w:lang w:val="es-ES_tradnl"/>
        </w:rPr>
        <w:t>CU-367 del 23 de julio de 2020, reiterado en los conceptos: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y C-804 de 2024</w:t>
      </w:r>
      <w:r w:rsidRPr="00392E13">
        <w:rPr>
          <w:rFonts w:ascii="Verdana" w:hAnsi="Verdana" w:cs="Arial"/>
          <w:bCs/>
          <w:shd w:val="clear" w:color="auto" w:fill="FFFFFF"/>
        </w:rPr>
        <w:t>, C-185 del 2</w:t>
      </w:r>
      <w:r>
        <w:rPr>
          <w:rFonts w:ascii="Verdana" w:hAnsi="Verdana" w:cs="Arial"/>
          <w:bCs/>
          <w:shd w:val="clear" w:color="auto" w:fill="FFFFFF"/>
        </w:rPr>
        <w:t xml:space="preserve">4 de marzo de 2025, C-487 del 30 de mayo de 2025, 1177 del 1 de octubre de 2025, C-1784 del 22 de diciembre de 2026, C-809 del 25 de junio de 2026, entre otros. </w:t>
      </w:r>
      <w:r w:rsidRPr="00832866">
        <w:rPr>
          <w:rFonts w:ascii="Verdana" w:hAnsi="Verdana" w:cs="Arial"/>
          <w:bCs/>
          <w:shd w:val="clear" w:color="auto" w:fill="FFFFFF"/>
        </w:rPr>
        <w:t>“Asimismo, se adelantó un análisis sobre las IPS Universitarias con el fin de identificar y comprender sus distintas configuraciones organizativas.</w:t>
      </w:r>
      <w:r>
        <w:rPr>
          <w:rFonts w:ascii="Verdana" w:hAnsi="Verdana" w:cs="Arial"/>
          <w:bCs/>
          <w:shd w:val="clear" w:color="auto" w:fill="FFFFFF"/>
        </w:rPr>
        <w:t xml:space="preserve"> </w:t>
      </w:r>
      <w:r w:rsidRPr="00185EE9">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4751DF1E" w14:textId="77777777" w:rsidR="00104F14" w:rsidRPr="00185EE9" w:rsidRDefault="00104F14" w:rsidP="00104F14">
      <w:pPr>
        <w:spacing w:after="0" w:line="256" w:lineRule="auto"/>
        <w:jc w:val="both"/>
        <w:rPr>
          <w:rFonts w:ascii="Verdana" w:eastAsia="Calibri" w:hAnsi="Verdana" w:cs="Times New Roman"/>
        </w:rPr>
      </w:pPr>
      <w:hyperlink r:id="rId13" w:history="1">
        <w:r w:rsidRPr="00F14AAD">
          <w:rPr>
            <w:rStyle w:val="Hipervnculo"/>
            <w:rFonts w:ascii="Verdana" w:eastAsia="Calibri" w:hAnsi="Verdana" w:cs="Times New Roman"/>
            <w:lang w:val="es-ES"/>
          </w:rPr>
          <w:t>https://relatoria.colombiacompra.gov.co/busqueda/conceptos</w:t>
        </w:r>
      </w:hyperlink>
      <w:r w:rsidRPr="00185EE9">
        <w:rPr>
          <w:rFonts w:ascii="Verdana" w:eastAsia="Calibri" w:hAnsi="Verdana" w:cs="Times New Roman"/>
        </w:rPr>
        <w:t xml:space="preserve">. </w:t>
      </w:r>
    </w:p>
    <w:p w14:paraId="2AE96508" w14:textId="77777777" w:rsidR="00104F14" w:rsidRDefault="00104F14" w:rsidP="00104F14">
      <w:pPr>
        <w:spacing w:after="0" w:line="240" w:lineRule="auto"/>
        <w:rPr>
          <w:rFonts w:ascii="Verdana" w:eastAsia="Verdana" w:hAnsi="Verdana" w:cs="Verdana"/>
          <w:bCs/>
        </w:rPr>
      </w:pPr>
    </w:p>
    <w:p w14:paraId="56D5A34B" w14:textId="77777777" w:rsidR="00104F14" w:rsidRPr="003D5C91" w:rsidRDefault="00104F14" w:rsidP="00104F14">
      <w:pPr>
        <w:spacing w:after="120" w:line="276" w:lineRule="auto"/>
        <w:ind w:firstLine="709"/>
        <w:jc w:val="both"/>
        <w:rPr>
          <w:rFonts w:ascii="Verdana" w:eastAsia="Calibri" w:hAnsi="Verdana" w:cs="Arial"/>
          <w:color w:val="000000"/>
          <w:lang w:eastAsia="es-ES_tradnl"/>
        </w:rPr>
      </w:pPr>
      <w:r w:rsidRPr="003D5C91">
        <w:rPr>
          <w:rFonts w:ascii="Verdana" w:eastAsia="Calibri" w:hAnsi="Verdana" w:cs="Arial"/>
          <w:color w:val="000000"/>
          <w:lang w:eastAsia="es-ES_tradn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D5C91">
        <w:rPr>
          <w:rFonts w:ascii="Verdana" w:eastAsia="Calibri" w:hAnsi="Verdana" w:cs="Arial"/>
          <w:b/>
          <w:bCs/>
          <w:color w:val="000000"/>
          <w:lang w:eastAsia="es-ES_tradnl"/>
        </w:rPr>
        <w:t>Guía para la Exigencia y Constitución de Garantías en los Procesos de Contratación</w:t>
      </w:r>
      <w:r w:rsidRPr="003D5C91">
        <w:rPr>
          <w:rFonts w:ascii="Verdana" w:eastAsia="Calibri" w:hAnsi="Verdana" w:cs="Arial"/>
          <w:color w:val="000000"/>
          <w:lang w:eastAsia="es-ES_tradnl"/>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w:t>
      </w:r>
      <w:r w:rsidRPr="003D5C91">
        <w:rPr>
          <w:rFonts w:ascii="Verdana" w:eastAsia="Calibri" w:hAnsi="Verdana" w:cs="Arial"/>
          <w:color w:val="000000"/>
          <w:lang w:eastAsia="es-ES_tradnl"/>
        </w:rPr>
        <w:lastRenderedPageBreak/>
        <w:t>aquí: </w:t>
      </w:r>
      <w:hyperlink r:id="rId14"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5CE667B6" w14:textId="77777777" w:rsidR="00104F14" w:rsidRPr="003D5C91" w:rsidRDefault="00104F14" w:rsidP="00104F14">
      <w:pPr>
        <w:spacing w:after="120" w:line="276" w:lineRule="auto"/>
        <w:ind w:firstLine="709"/>
        <w:jc w:val="both"/>
        <w:rPr>
          <w:rFonts w:ascii="Verdana" w:eastAsia="Calibri" w:hAnsi="Verdana" w:cs="Arial"/>
          <w:color w:val="000000"/>
          <w:lang w:eastAsia="es-ES_tradnl"/>
        </w:rPr>
      </w:pPr>
      <w:r w:rsidRPr="003D5C91">
        <w:rPr>
          <w:rFonts w:ascii="Verdana" w:eastAsia="Calibri" w:hAnsi="Verdana" w:cs="Arial"/>
          <w:color w:val="000000"/>
          <w:lang w:eastAsia="es-ES_tradnl"/>
        </w:rPr>
        <w:t>De otro lado, te contamos que el Decreto 287 del 19 de marzo de 2026 sustituyó los artículos 2.2.1.2.4.2.6., 2.2.1.2.4.2.7. y 2.2.1.2.4.2.8. del Decreto 1082 de 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0E258770" w14:textId="77777777" w:rsidR="00104F14" w:rsidRPr="003D5C91" w:rsidRDefault="00104F14" w:rsidP="00104F14">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50C990C1" w14:textId="77777777" w:rsidR="00104F14" w:rsidRPr="003D5C91" w:rsidRDefault="00104F14" w:rsidP="00104F14">
      <w:pPr>
        <w:spacing w:after="120" w:line="276" w:lineRule="auto"/>
        <w:ind w:firstLine="709"/>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5FC31760" w14:textId="77777777" w:rsidR="00104F14" w:rsidRPr="00116940" w:rsidRDefault="00104F14" w:rsidP="00104F14">
      <w:pPr>
        <w:spacing w:after="0"/>
        <w:ind w:firstLine="425"/>
        <w:jc w:val="both"/>
        <w:rPr>
          <w:rFonts w:ascii="Verdana" w:hAnsi="Verdana"/>
        </w:rPr>
      </w:pPr>
      <w:r>
        <w:rPr>
          <w:rFonts w:ascii="Verdana" w:hAnsi="Verdana"/>
        </w:rPr>
        <w:tab/>
      </w: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w:t>
      </w:r>
      <w:r w:rsidRPr="00116940">
        <w:rPr>
          <w:rFonts w:ascii="Verdana" w:hAnsi="Verdana"/>
        </w:rPr>
        <w:lastRenderedPageBreak/>
        <w:t xml:space="preserve">apoyo que se requiera en el marco de nuestras funciones a través de nuestros diferentes canales de atención: </w:t>
      </w:r>
    </w:p>
    <w:p w14:paraId="5A64A0DB" w14:textId="77777777" w:rsidR="00104F14" w:rsidRPr="00116940" w:rsidRDefault="00104F14" w:rsidP="00104F14">
      <w:pPr>
        <w:spacing w:after="0"/>
        <w:jc w:val="both"/>
        <w:rPr>
          <w:rFonts w:ascii="Verdana" w:hAnsi="Verdana"/>
        </w:rPr>
      </w:pPr>
    </w:p>
    <w:p w14:paraId="617BC95F" w14:textId="77777777" w:rsidR="00104F14" w:rsidRPr="00116940" w:rsidRDefault="00104F14" w:rsidP="00104F14">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64E93D37" w14:textId="77777777" w:rsidR="00104F14" w:rsidRPr="00116940" w:rsidRDefault="00104F14" w:rsidP="00104F14">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62DE62E9" w14:textId="77777777" w:rsidR="00104F14" w:rsidRPr="00116940" w:rsidRDefault="00104F14" w:rsidP="00104F14">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08856F1F" w14:textId="77777777" w:rsidR="00104F14" w:rsidRPr="00116940" w:rsidRDefault="00104F14" w:rsidP="00104F14">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0204B003" w14:textId="77777777" w:rsidR="00104F14" w:rsidRPr="00116940" w:rsidRDefault="00104F14" w:rsidP="00104F14">
      <w:pPr>
        <w:spacing w:after="0" w:line="240" w:lineRule="auto"/>
        <w:ind w:left="720"/>
        <w:jc w:val="both"/>
        <w:rPr>
          <w:rFonts w:ascii="Verdana" w:hAnsi="Verdana"/>
        </w:rPr>
      </w:pPr>
    </w:p>
    <w:p w14:paraId="08E11BF7" w14:textId="77777777" w:rsidR="00104F14" w:rsidRPr="00116940" w:rsidRDefault="00104F14" w:rsidP="00104F14">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3EFA810A" w14:textId="77777777" w:rsidR="00104F14" w:rsidRPr="00116940" w:rsidRDefault="00104F14" w:rsidP="00104F14">
      <w:pPr>
        <w:spacing w:after="0" w:line="240" w:lineRule="auto"/>
        <w:rPr>
          <w:rFonts w:ascii="Verdana" w:hAnsi="Verdana"/>
        </w:rPr>
      </w:pPr>
    </w:p>
    <w:p w14:paraId="2B3530D8" w14:textId="77777777" w:rsidR="00104F14" w:rsidRPr="00116940" w:rsidRDefault="00104F14" w:rsidP="00104F14">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329F9F51" w14:textId="77777777" w:rsidR="00104F14" w:rsidRPr="00116940" w:rsidRDefault="00104F14" w:rsidP="00104F14">
      <w:pPr>
        <w:spacing w:after="0" w:line="240" w:lineRule="auto"/>
        <w:jc w:val="both"/>
        <w:rPr>
          <w:rFonts w:ascii="Verdana" w:hAnsi="Verdana"/>
        </w:rPr>
      </w:pPr>
    </w:p>
    <w:p w14:paraId="30AFBFE4" w14:textId="77777777" w:rsidR="00104F14" w:rsidRPr="00116940" w:rsidRDefault="00104F14" w:rsidP="00104F14">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61616305" w14:textId="77777777" w:rsidR="00104F14" w:rsidRPr="00116940" w:rsidRDefault="00104F14" w:rsidP="00104F14">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7020A4CF" w14:textId="77777777" w:rsidR="00104F14" w:rsidRPr="00116940" w:rsidRDefault="00104F14" w:rsidP="00104F14">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2F5F8BEA" w14:textId="77777777" w:rsidR="00104F14" w:rsidRPr="00116940" w:rsidRDefault="00104F14" w:rsidP="00104F14">
      <w:pPr>
        <w:spacing w:after="0" w:line="240" w:lineRule="auto"/>
        <w:jc w:val="both"/>
        <w:rPr>
          <w:rFonts w:ascii="Verdana" w:hAnsi="Verdana"/>
        </w:rPr>
      </w:pPr>
    </w:p>
    <w:p w14:paraId="7F876D71" w14:textId="77777777" w:rsidR="00104F14" w:rsidRPr="009037F6" w:rsidRDefault="00104F14" w:rsidP="00104F14">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97E754D" w14:textId="77777777" w:rsidR="00104F14" w:rsidRPr="00492C4A" w:rsidRDefault="00104F14" w:rsidP="00104F14">
      <w:pPr>
        <w:spacing w:after="0" w:line="256" w:lineRule="auto"/>
        <w:jc w:val="both"/>
        <w:rPr>
          <w:rFonts w:ascii="Verdana" w:eastAsia="Calibri" w:hAnsi="Verdana" w:cs="Times New Roman"/>
          <w:lang w:val="es-ES_tradnl"/>
        </w:rPr>
      </w:pPr>
    </w:p>
    <w:p w14:paraId="5366B827" w14:textId="77777777" w:rsidR="00104F14" w:rsidRDefault="00104F14" w:rsidP="00104F14">
      <w:pPr>
        <w:spacing w:after="0" w:line="256" w:lineRule="auto"/>
        <w:jc w:val="both"/>
        <w:rPr>
          <w:rFonts w:ascii="Verdana" w:eastAsia="Calibri" w:hAnsi="Verdana" w:cs="Times New Roman"/>
        </w:rPr>
      </w:pPr>
      <w:r w:rsidRPr="009037F6">
        <w:rPr>
          <w:rFonts w:ascii="Verdana" w:eastAsia="Calibri" w:hAnsi="Verdana" w:cs="Times New Roman"/>
        </w:rPr>
        <w:t>Atentamente,</w:t>
      </w:r>
    </w:p>
    <w:p w14:paraId="26B39E50" w14:textId="77777777" w:rsidR="00104F14" w:rsidRDefault="00104F14" w:rsidP="00104F14">
      <w:pPr>
        <w:spacing w:after="0" w:line="256" w:lineRule="auto"/>
        <w:jc w:val="both"/>
        <w:rPr>
          <w:rFonts w:ascii="Verdana" w:eastAsia="Calibri" w:hAnsi="Verdana" w:cs="Times New Roman"/>
        </w:rPr>
      </w:pPr>
    </w:p>
    <w:p w14:paraId="53CD3D5A" w14:textId="4B2490D3" w:rsidR="00104F14" w:rsidRPr="0093150F" w:rsidRDefault="00435B2D" w:rsidP="00104F14">
      <w:pPr>
        <w:spacing w:after="0" w:line="256" w:lineRule="auto"/>
        <w:jc w:val="center"/>
        <w:rPr>
          <w:rFonts w:ascii="Century Gothic" w:eastAsia="Century Gothic" w:hAnsi="Century Gothic" w:cs="Century Gothic"/>
          <w:lang w:eastAsia="es-CO"/>
        </w:rPr>
      </w:pPr>
      <w:r w:rsidRPr="002C3AD6">
        <w:rPr>
          <w:rFonts w:ascii="Century Gothic" w:hAnsi="Century Gothic"/>
          <w:noProof/>
          <w:lang w:val="en-US"/>
        </w:rPr>
        <w:drawing>
          <wp:inline distT="0" distB="0" distL="0" distR="0" wp14:anchorId="54D4CC16" wp14:editId="02A6553E">
            <wp:extent cx="3279697" cy="1217463"/>
            <wp:effectExtent l="0" t="0" r="0" b="190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3312722" cy="1229722"/>
                    </a:xfrm>
                    <a:prstGeom prst="rect">
                      <a:avLst/>
                    </a:prstGeom>
                  </pic:spPr>
                </pic:pic>
              </a:graphicData>
            </a:graphic>
          </wp:inline>
        </w:drawing>
      </w:r>
    </w:p>
    <w:p w14:paraId="03B77AD1" w14:textId="77777777" w:rsidR="00104F14" w:rsidRPr="0093150F" w:rsidRDefault="00104F14" w:rsidP="00104F14">
      <w:pPr>
        <w:spacing w:after="0" w:line="256" w:lineRule="auto"/>
        <w:rPr>
          <w:rFonts w:ascii="Century Gothic" w:eastAsia="Century Gothic" w:hAnsi="Century Gothic" w:cs="Century Gothic"/>
          <w:sz w:val="16"/>
          <w:szCs w:val="16"/>
          <w:lang w:eastAsia="es-CO"/>
        </w:rPr>
      </w:pPr>
    </w:p>
    <w:tbl>
      <w:tblPr>
        <w:tblW w:w="6237"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34"/>
        <w:gridCol w:w="5103"/>
      </w:tblGrid>
      <w:tr w:rsidR="00104F14" w:rsidRPr="0093150F" w14:paraId="697E8C5F" w14:textId="77777777" w:rsidTr="0083006D">
        <w:trPr>
          <w:trHeight w:val="409"/>
        </w:trPr>
        <w:tc>
          <w:tcPr>
            <w:tcW w:w="1134" w:type="dxa"/>
            <w:tcBorders>
              <w:top w:val="nil"/>
              <w:left w:val="nil"/>
              <w:bottom w:val="nil"/>
              <w:right w:val="nil"/>
            </w:tcBorders>
            <w:vAlign w:val="center"/>
          </w:tcPr>
          <w:p w14:paraId="30EF6497" w14:textId="77777777" w:rsidR="00104F14" w:rsidRPr="0093150F" w:rsidRDefault="00104F14" w:rsidP="0083006D">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lastRenderedPageBreak/>
              <w:t>Elaboró: </w:t>
            </w:r>
          </w:p>
        </w:tc>
        <w:tc>
          <w:tcPr>
            <w:tcW w:w="5103" w:type="dxa"/>
            <w:tcBorders>
              <w:top w:val="nil"/>
              <w:left w:val="nil"/>
              <w:bottom w:val="dotted" w:sz="6" w:space="0" w:color="7F7F7F"/>
              <w:right w:val="nil"/>
            </w:tcBorders>
            <w:vAlign w:val="center"/>
          </w:tcPr>
          <w:p w14:paraId="6AF2C553" w14:textId="77777777" w:rsidR="00104F14" w:rsidRPr="0093150F" w:rsidRDefault="00104F14" w:rsidP="0083006D">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José Luis Sánchez Cardona</w:t>
            </w:r>
          </w:p>
          <w:p w14:paraId="7E890480" w14:textId="77777777" w:rsidR="00104F14" w:rsidRPr="0093150F" w:rsidRDefault="00104F14" w:rsidP="0083006D">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Contratista de la Subdirección de Gestión Contractual</w:t>
            </w:r>
          </w:p>
        </w:tc>
      </w:tr>
      <w:tr w:rsidR="00104F14" w:rsidRPr="0093150F" w14:paraId="10BF2BE5" w14:textId="77777777" w:rsidTr="0083006D">
        <w:trPr>
          <w:trHeight w:val="409"/>
        </w:trPr>
        <w:tc>
          <w:tcPr>
            <w:tcW w:w="1134" w:type="dxa"/>
            <w:tcBorders>
              <w:top w:val="nil"/>
              <w:left w:val="nil"/>
              <w:bottom w:val="nil"/>
              <w:right w:val="nil"/>
            </w:tcBorders>
            <w:vAlign w:val="center"/>
          </w:tcPr>
          <w:p w14:paraId="36DC0BAD" w14:textId="77777777" w:rsidR="00104F14" w:rsidRPr="0093150F" w:rsidRDefault="00104F14" w:rsidP="0083006D">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Revisó</w:t>
            </w:r>
            <w:r>
              <w:rPr>
                <w:rFonts w:ascii="Verdana" w:eastAsia="Verdana" w:hAnsi="Verdana" w:cs="Verdana"/>
                <w:sz w:val="16"/>
                <w:szCs w:val="16"/>
                <w:lang w:eastAsia="es-CO"/>
              </w:rPr>
              <w:t>:</w:t>
            </w:r>
            <w:r w:rsidRPr="0093150F">
              <w:rPr>
                <w:rFonts w:ascii="Verdana" w:eastAsia="Verdana" w:hAnsi="Verdana" w:cs="Verdana"/>
                <w:sz w:val="16"/>
                <w:szCs w:val="16"/>
                <w:lang w:eastAsia="es-CO"/>
              </w:rPr>
              <w:t> </w:t>
            </w:r>
          </w:p>
        </w:tc>
        <w:tc>
          <w:tcPr>
            <w:tcW w:w="5103" w:type="dxa"/>
            <w:tcBorders>
              <w:top w:val="dotted" w:sz="6" w:space="0" w:color="7F7F7F"/>
              <w:left w:val="nil"/>
              <w:bottom w:val="dotted" w:sz="6" w:space="0" w:color="7F7F7F"/>
              <w:right w:val="nil"/>
            </w:tcBorders>
            <w:vAlign w:val="center"/>
          </w:tcPr>
          <w:p w14:paraId="32B8CCA8" w14:textId="77777777" w:rsidR="00104F14" w:rsidRPr="0093150F" w:rsidRDefault="00104F14" w:rsidP="0083006D">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Alejandro Raúl Sarmiento Cantillo</w:t>
            </w:r>
          </w:p>
          <w:p w14:paraId="76901694" w14:textId="77777777" w:rsidR="00104F14" w:rsidRPr="0093150F" w:rsidRDefault="00104F14" w:rsidP="0083006D">
            <w:pPr>
              <w:spacing w:after="0" w:line="256" w:lineRule="auto"/>
              <w:rPr>
                <w:rFonts w:ascii="Calibri" w:eastAsia="Calibri" w:hAnsi="Calibri" w:cs="Calibri"/>
                <w:lang w:eastAsia="es-CO"/>
              </w:rPr>
            </w:pPr>
            <w:r w:rsidRPr="0093150F">
              <w:rPr>
                <w:rFonts w:ascii="Verdana" w:eastAsia="Verdana" w:hAnsi="Verdana" w:cs="Verdana"/>
                <w:sz w:val="16"/>
                <w:szCs w:val="16"/>
                <w:lang w:eastAsia="es-CO"/>
              </w:rPr>
              <w:t xml:space="preserve">Gestor T1-15 de la Subdirección de Gestión Contractual  </w:t>
            </w:r>
          </w:p>
        </w:tc>
      </w:tr>
      <w:tr w:rsidR="00104F14" w:rsidRPr="0093150F" w14:paraId="720FC533" w14:textId="77777777" w:rsidTr="0083006D">
        <w:trPr>
          <w:trHeight w:val="389"/>
        </w:trPr>
        <w:tc>
          <w:tcPr>
            <w:tcW w:w="1134" w:type="dxa"/>
            <w:tcBorders>
              <w:top w:val="nil"/>
              <w:left w:val="nil"/>
              <w:bottom w:val="nil"/>
              <w:right w:val="nil"/>
            </w:tcBorders>
            <w:vAlign w:val="center"/>
          </w:tcPr>
          <w:p w14:paraId="1103BB0C" w14:textId="77777777" w:rsidR="00104F14" w:rsidRPr="0093150F" w:rsidRDefault="00104F14" w:rsidP="0083006D">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Aprobó: </w:t>
            </w:r>
          </w:p>
        </w:tc>
        <w:tc>
          <w:tcPr>
            <w:tcW w:w="5103" w:type="dxa"/>
            <w:tcBorders>
              <w:top w:val="dotted" w:sz="6" w:space="0" w:color="7F7F7F"/>
              <w:left w:val="nil"/>
              <w:bottom w:val="dotted" w:sz="6" w:space="0" w:color="7F7F7F"/>
              <w:right w:val="nil"/>
            </w:tcBorders>
            <w:vAlign w:val="center"/>
          </w:tcPr>
          <w:p w14:paraId="572B8071" w14:textId="77777777" w:rsidR="00104F14" w:rsidRPr="0093150F" w:rsidRDefault="00104F14" w:rsidP="0083006D">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Carolina Quintero Gacharná</w:t>
            </w:r>
          </w:p>
          <w:p w14:paraId="3AEB5B06" w14:textId="77777777" w:rsidR="00104F14" w:rsidRPr="0093150F" w:rsidRDefault="00104F14" w:rsidP="0083006D">
            <w:pPr>
              <w:spacing w:after="0" w:line="256" w:lineRule="auto"/>
              <w:rPr>
                <w:rFonts w:ascii="Verdana" w:eastAsia="Verdana" w:hAnsi="Verdana" w:cs="Verdana"/>
                <w:sz w:val="16"/>
                <w:szCs w:val="16"/>
                <w:lang w:eastAsia="es-CO"/>
              </w:rPr>
            </w:pPr>
            <w:r w:rsidRPr="0093150F">
              <w:rPr>
                <w:rFonts w:ascii="Verdana" w:eastAsia="Verdana" w:hAnsi="Verdana" w:cs="Verdana"/>
                <w:sz w:val="16"/>
                <w:szCs w:val="16"/>
                <w:lang w:eastAsia="es-CO"/>
              </w:rPr>
              <w:t>Subdirectora de Gestión Contractual ANCP – CCE</w:t>
            </w:r>
          </w:p>
        </w:tc>
      </w:tr>
    </w:tbl>
    <w:p w14:paraId="620D356E" w14:textId="77777777" w:rsidR="00104F14" w:rsidRPr="000E2B93" w:rsidRDefault="00104F14" w:rsidP="00104F14">
      <w:pPr>
        <w:spacing w:after="0" w:line="240" w:lineRule="auto"/>
        <w:jc w:val="both"/>
        <w:textAlignment w:val="baseline"/>
        <w:rPr>
          <w:rFonts w:ascii="Verdana" w:eastAsia="Verdana" w:hAnsi="Verdana" w:cs="Verdana"/>
          <w:lang w:eastAsia="es-CO"/>
        </w:rPr>
      </w:pPr>
    </w:p>
    <w:p w14:paraId="2FC79933" w14:textId="3EC2501B" w:rsidR="00104F14" w:rsidRPr="000E2B93" w:rsidRDefault="00104F14" w:rsidP="00104F14">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0F293BF4" w14:textId="0D9BE143" w:rsidR="00127233" w:rsidRPr="00104F14" w:rsidRDefault="00127233" w:rsidP="00104F14"/>
    <w:sectPr w:rsidR="00127233" w:rsidRPr="00104F14"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0CCA2" w14:textId="77777777" w:rsidR="00296353" w:rsidRDefault="00296353" w:rsidP="004A1847">
      <w:pPr>
        <w:spacing w:after="0" w:line="240" w:lineRule="auto"/>
      </w:pPr>
      <w:r>
        <w:separator/>
      </w:r>
    </w:p>
  </w:endnote>
  <w:endnote w:type="continuationSeparator" w:id="0">
    <w:p w14:paraId="5998A8A1" w14:textId="77777777" w:rsidR="00296353" w:rsidRDefault="0029635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AC78D9" w:rsidRDefault="00AC78D9">
    <w:pPr>
      <w:pStyle w:val="Piedepgina"/>
    </w:pPr>
  </w:p>
  <w:p w14:paraId="594D6D9F" w14:textId="117CE8BF" w:rsidR="00AC78D9" w:rsidRPr="00174B77" w:rsidRDefault="00AC78D9"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2E0411" w:rsidRPr="002E0411">
      <w:rPr>
        <w:rFonts w:ascii="Verdana" w:eastAsiaTheme="minorEastAsia" w:hAnsi="Verdana"/>
        <w:b/>
        <w:bCs/>
        <w:noProof/>
        <w:sz w:val="16"/>
        <w:szCs w:val="16"/>
      </w:rPr>
      <w:t>25</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AC78D9" w:rsidRDefault="00AC78D9"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AC78D9" w:rsidRPr="00E41027" w:rsidRDefault="00AC78D9"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91145F" w:rsidRDefault="0091145F">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530E0" w14:textId="77777777" w:rsidR="00296353" w:rsidRDefault="00296353" w:rsidP="004A1847">
      <w:pPr>
        <w:spacing w:after="0" w:line="240" w:lineRule="auto"/>
      </w:pPr>
      <w:r>
        <w:separator/>
      </w:r>
    </w:p>
  </w:footnote>
  <w:footnote w:type="continuationSeparator" w:id="0">
    <w:p w14:paraId="1E0BBCA9" w14:textId="77777777" w:rsidR="00296353" w:rsidRDefault="00296353" w:rsidP="004A1847">
      <w:pPr>
        <w:spacing w:after="0" w:line="240" w:lineRule="auto"/>
      </w:pPr>
      <w:r>
        <w:continuationSeparator/>
      </w:r>
    </w:p>
  </w:footnote>
  <w:footnote w:id="1">
    <w:p w14:paraId="44FF854B" w14:textId="77777777" w:rsidR="00104F14" w:rsidRPr="00E86571" w:rsidRDefault="00104F14" w:rsidP="00104F14">
      <w:pPr>
        <w:pStyle w:val="Textonotapie"/>
        <w:ind w:firstLine="709"/>
        <w:jc w:val="both"/>
        <w:rPr>
          <w:rFonts w:ascii="Verdana" w:hAnsi="Verdana" w:cs="Arial"/>
          <w:sz w:val="16"/>
          <w:szCs w:val="16"/>
          <w:lang w:val="es-ES"/>
        </w:rPr>
      </w:pPr>
      <w:r w:rsidRPr="00E86571">
        <w:rPr>
          <w:rStyle w:val="Refdenotaalpie"/>
          <w:rFonts w:ascii="Verdana" w:hAnsi="Verdana" w:cs="Arial"/>
          <w:sz w:val="16"/>
          <w:szCs w:val="16"/>
        </w:rPr>
        <w:footnoteRef/>
      </w:r>
      <w:r w:rsidRPr="008937FA">
        <w:rPr>
          <w:rFonts w:ascii="Verdana" w:hAnsi="Verdana" w:cs="Arial"/>
          <w:sz w:val="16"/>
          <w:szCs w:val="16"/>
          <w:lang w:val="it-CH"/>
        </w:rPr>
        <w:t xml:space="preserve"> BOBBIO, Norberto. </w:t>
      </w:r>
      <w:r w:rsidRPr="00E86571">
        <w:rPr>
          <w:rFonts w:ascii="Verdana" w:hAnsi="Verdana" w:cs="Arial"/>
          <w:sz w:val="16"/>
          <w:szCs w:val="16"/>
          <w:lang w:val="es-ES"/>
        </w:rPr>
        <w:t>Democracia y secreto. México: Fondo de Cultura Económica, 2013. p. 27.</w:t>
      </w:r>
    </w:p>
  </w:footnote>
  <w:footnote w:id="2">
    <w:p w14:paraId="19A96564" w14:textId="77777777" w:rsidR="00104F14" w:rsidRPr="00E86571" w:rsidRDefault="00104F14" w:rsidP="00104F14">
      <w:pPr>
        <w:pStyle w:val="Textonotapie"/>
        <w:ind w:firstLine="709"/>
        <w:jc w:val="both"/>
        <w:rPr>
          <w:rFonts w:ascii="Verdana" w:hAnsi="Verdana" w:cs="Arial"/>
          <w:color w:val="000000" w:themeColor="text1"/>
          <w:sz w:val="16"/>
          <w:szCs w:val="16"/>
        </w:rPr>
      </w:pPr>
      <w:r w:rsidRPr="00E86571">
        <w:rPr>
          <w:rStyle w:val="Refdenotaalpie"/>
          <w:rFonts w:ascii="Verdana" w:hAnsi="Verdana" w:cs="Arial"/>
          <w:color w:val="000000" w:themeColor="text1"/>
          <w:sz w:val="16"/>
          <w:szCs w:val="16"/>
        </w:rPr>
        <w:footnoteRef/>
      </w:r>
      <w:r w:rsidRPr="00E86571">
        <w:rPr>
          <w:rFonts w:ascii="Verdana" w:hAnsi="Verdana" w:cs="Arial"/>
          <w:color w:val="000000" w:themeColor="text1"/>
          <w:sz w:val="16"/>
          <w:szCs w:val="16"/>
        </w:rPr>
        <w:t xml:space="preserve"> Ley 1712 de 2014: «Artículo 2. Toda información en posesión, bajo control o custodia de un sujeto obligado es pública y no podrá ser reservada o limitada sino por disposición constitucional o legal, de conformidad con la presente ley».</w:t>
      </w:r>
    </w:p>
    <w:p w14:paraId="12A36A53" w14:textId="77777777" w:rsidR="00104F14" w:rsidRPr="00E86571" w:rsidRDefault="00104F14" w:rsidP="00104F14">
      <w:pPr>
        <w:pStyle w:val="Textonotapie"/>
        <w:ind w:firstLine="709"/>
        <w:jc w:val="both"/>
        <w:rPr>
          <w:rFonts w:ascii="Verdana" w:hAnsi="Verdana" w:cs="Arial"/>
          <w:color w:val="000000" w:themeColor="text1"/>
          <w:sz w:val="16"/>
          <w:szCs w:val="16"/>
          <w:lang w:val="es-CO"/>
        </w:rPr>
      </w:pPr>
    </w:p>
  </w:footnote>
  <w:footnote w:id="3">
    <w:p w14:paraId="2232A016" w14:textId="77777777" w:rsidR="00104F14" w:rsidRPr="00E86571" w:rsidRDefault="00104F14" w:rsidP="00104F14">
      <w:pPr>
        <w:pStyle w:val="Textonotapie"/>
        <w:ind w:firstLine="709"/>
        <w:jc w:val="both"/>
        <w:rPr>
          <w:rFonts w:ascii="Verdana" w:hAnsi="Verdana" w:cs="Arial"/>
          <w:color w:val="000000"/>
          <w:sz w:val="16"/>
          <w:szCs w:val="16"/>
        </w:rPr>
      </w:pPr>
      <w:r w:rsidRPr="00E86571">
        <w:rPr>
          <w:rStyle w:val="Refdenotaalpie"/>
          <w:rFonts w:ascii="Verdana" w:hAnsi="Verdana" w:cs="Arial"/>
          <w:color w:val="000000"/>
          <w:sz w:val="16"/>
          <w:szCs w:val="16"/>
        </w:rPr>
        <w:footnoteRef/>
      </w:r>
      <w:r w:rsidRPr="00E86571">
        <w:rPr>
          <w:rFonts w:ascii="Verdana" w:hAnsi="Verdana" w:cs="Arial"/>
          <w:color w:val="000000"/>
          <w:sz w:val="16"/>
          <w:szCs w:val="16"/>
        </w:rPr>
        <w:t xml:space="preserve"> C</w:t>
      </w:r>
      <w:r w:rsidRPr="00E86571">
        <w:rPr>
          <w:rFonts w:ascii="Verdana" w:eastAsia="Times New Roman" w:hAnsi="Verdana" w:cs="Arial"/>
          <w:color w:val="000000"/>
          <w:sz w:val="16"/>
          <w:szCs w:val="16"/>
          <w:lang w:val="es-ES" w:eastAsia="es-ES"/>
        </w:rPr>
        <w:t>orte Constitucional. Sentencia C‒274 de 9 de mayo de 2013. M.P. Mar</w:t>
      </w:r>
      <w:r w:rsidRPr="00E86571">
        <w:rPr>
          <w:rFonts w:ascii="Verdana" w:eastAsia="Times New Roman" w:hAnsi="Verdana" w:cs="Century Gothic"/>
          <w:color w:val="000000"/>
          <w:sz w:val="16"/>
          <w:szCs w:val="16"/>
          <w:lang w:val="es-ES" w:eastAsia="es-ES"/>
        </w:rPr>
        <w:t>í</w:t>
      </w:r>
      <w:r w:rsidRPr="00E86571">
        <w:rPr>
          <w:rFonts w:ascii="Verdana" w:eastAsia="Times New Roman" w:hAnsi="Verdana" w:cs="Arial"/>
          <w:color w:val="000000"/>
          <w:sz w:val="16"/>
          <w:szCs w:val="16"/>
          <w:lang w:val="es-ES" w:eastAsia="es-ES"/>
        </w:rPr>
        <w:t xml:space="preserve">a Victoria Calle Correa. </w:t>
      </w:r>
    </w:p>
    <w:p w14:paraId="0B342CBC" w14:textId="77777777" w:rsidR="00104F14" w:rsidRPr="00E86571" w:rsidRDefault="00104F14" w:rsidP="00104F14">
      <w:pPr>
        <w:pStyle w:val="Textonotapie"/>
        <w:ind w:firstLine="709"/>
        <w:jc w:val="both"/>
        <w:rPr>
          <w:rFonts w:ascii="Verdana" w:hAnsi="Verdana" w:cs="Arial"/>
          <w:color w:val="000000"/>
          <w:sz w:val="16"/>
          <w:szCs w:val="16"/>
          <w:lang w:val="es-CO"/>
        </w:rPr>
      </w:pPr>
    </w:p>
  </w:footnote>
  <w:footnote w:id="4">
    <w:p w14:paraId="6BA4D95F" w14:textId="77777777" w:rsidR="00104F14" w:rsidRPr="00E86571" w:rsidRDefault="00104F14" w:rsidP="00104F14">
      <w:pPr>
        <w:pStyle w:val="Textonotapie"/>
        <w:ind w:firstLine="708"/>
        <w:jc w:val="both"/>
        <w:rPr>
          <w:rFonts w:ascii="Verdana" w:hAnsi="Verdana" w:cs="Arial"/>
          <w:color w:val="000000"/>
          <w:sz w:val="16"/>
          <w:szCs w:val="16"/>
        </w:rPr>
      </w:pPr>
      <w:r w:rsidRPr="00E86571">
        <w:rPr>
          <w:rStyle w:val="Refdenotaalpie"/>
          <w:rFonts w:ascii="Verdana" w:hAnsi="Verdana" w:cs="Arial"/>
          <w:color w:val="000000"/>
          <w:sz w:val="16"/>
          <w:szCs w:val="16"/>
        </w:rPr>
        <w:footnoteRef/>
      </w:r>
      <w:r w:rsidRPr="00E86571">
        <w:rPr>
          <w:rFonts w:ascii="Verdana" w:hAnsi="Verdana" w:cs="Arial"/>
          <w:color w:val="000000"/>
          <w:sz w:val="16"/>
          <w:szCs w:val="16"/>
        </w:rPr>
        <w:t xml:space="preserve"> Decreto 4170 de 2011: “Artículo 3. Funciones: La Agencia Nacional de Contratación Pública –Colombia Compra Eficiente– ejercerá las siguientes funciones: [...]</w:t>
      </w:r>
    </w:p>
    <w:p w14:paraId="2E3410BE" w14:textId="77777777" w:rsidR="00104F14" w:rsidRPr="00E86571" w:rsidRDefault="00104F14" w:rsidP="00104F14">
      <w:pPr>
        <w:pStyle w:val="Textonotapie"/>
        <w:ind w:firstLine="708"/>
        <w:jc w:val="both"/>
        <w:rPr>
          <w:rFonts w:ascii="Verdana" w:hAnsi="Verdana" w:cs="Arial"/>
          <w:color w:val="000000"/>
          <w:sz w:val="16"/>
          <w:szCs w:val="16"/>
        </w:rPr>
      </w:pPr>
      <w:r w:rsidRPr="00E86571">
        <w:rPr>
          <w:rFonts w:ascii="Verdana" w:hAnsi="Verdana" w:cs="Arial"/>
          <w:color w:val="000000"/>
          <w:sz w:val="16"/>
          <w:szCs w:val="16"/>
        </w:rPr>
        <w:t>8. Desarrollar y administrar el Sistema Electrónico para la Contratación Pública (SECOP) o el que haga sus veces, y gestionar nuevos desarrollos tecnológicos en los asuntos de su competencia, teniendo en cuenta los parámetros fijados por el Consejo Directivo [...]”.</w:t>
      </w:r>
    </w:p>
  </w:footnote>
  <w:footnote w:id="5">
    <w:p w14:paraId="1E730CFC" w14:textId="77777777" w:rsidR="00104F14" w:rsidRPr="00E86571" w:rsidRDefault="00104F14" w:rsidP="00104F14">
      <w:pPr>
        <w:spacing w:line="240" w:lineRule="auto"/>
        <w:ind w:firstLine="708"/>
        <w:rPr>
          <w:rFonts w:ascii="Verdana" w:hAnsi="Verdana"/>
          <w:sz w:val="16"/>
          <w:szCs w:val="16"/>
        </w:rPr>
      </w:pPr>
      <w:r w:rsidRPr="00E86571">
        <w:rPr>
          <w:rFonts w:ascii="Verdana" w:hAnsi="Verdana"/>
          <w:sz w:val="16"/>
          <w:szCs w:val="16"/>
          <w:vertAlign w:val="superscript"/>
        </w:rPr>
        <w:footnoteRef/>
      </w:r>
      <w:r w:rsidRPr="00E86571">
        <w:rPr>
          <w:rFonts w:ascii="Verdana" w:hAnsi="Verdana"/>
          <w:sz w:val="16"/>
          <w:szCs w:val="16"/>
        </w:rPr>
        <w:t xml:space="preserve"> Corte Constitucional. Sentencia C-616 del 13 de junio de 2001. M.P. Rodrigo Escobar Gil. </w:t>
      </w:r>
    </w:p>
  </w:footnote>
  <w:footnote w:id="6">
    <w:p w14:paraId="3EC5EFB8" w14:textId="77777777" w:rsidR="00104F14" w:rsidRPr="00E86571" w:rsidRDefault="00104F14" w:rsidP="00104F14">
      <w:pPr>
        <w:spacing w:after="0" w:line="240" w:lineRule="auto"/>
        <w:ind w:firstLine="709"/>
        <w:jc w:val="both"/>
        <w:rPr>
          <w:rFonts w:ascii="Verdana" w:hAnsi="Verdana"/>
          <w:sz w:val="16"/>
          <w:szCs w:val="16"/>
        </w:rPr>
      </w:pPr>
      <w:r w:rsidRPr="00E86571">
        <w:rPr>
          <w:rFonts w:ascii="Verdana" w:hAnsi="Verdana"/>
          <w:sz w:val="16"/>
          <w:szCs w:val="16"/>
          <w:vertAlign w:val="superscript"/>
        </w:rPr>
        <w:footnoteRef/>
      </w:r>
      <w:r w:rsidRPr="00E86571">
        <w:rPr>
          <w:rFonts w:ascii="Verdana" w:hAnsi="Verdana"/>
          <w:sz w:val="16"/>
          <w:szCs w:val="16"/>
        </w:rPr>
        <w:t xml:space="preserve"> Corte Constitucional. Sentencia C-861 de 2006. M.P. Nilson Pinilla Pinilla.</w:t>
      </w:r>
    </w:p>
  </w:footnote>
  <w:footnote w:id="7">
    <w:p w14:paraId="4A8A4D52" w14:textId="77777777" w:rsidR="00104F14" w:rsidRPr="0088200E" w:rsidRDefault="00104F14" w:rsidP="00104F14">
      <w:pPr>
        <w:spacing w:after="0" w:line="240" w:lineRule="auto"/>
        <w:ind w:firstLine="709"/>
        <w:jc w:val="both"/>
        <w:rPr>
          <w:rFonts w:ascii="Verdana" w:hAnsi="Verdana"/>
          <w:sz w:val="16"/>
          <w:szCs w:val="16"/>
        </w:rPr>
      </w:pPr>
      <w:r w:rsidRPr="0088200E">
        <w:rPr>
          <w:rFonts w:ascii="Verdana" w:hAnsi="Verdana"/>
          <w:sz w:val="16"/>
          <w:szCs w:val="16"/>
          <w:vertAlign w:val="superscript"/>
        </w:rPr>
        <w:footnoteRef/>
      </w:r>
      <w:r w:rsidRPr="0088200E">
        <w:rPr>
          <w:rFonts w:ascii="Verdana" w:hAnsi="Verdana"/>
          <w:sz w:val="16"/>
          <w:szCs w:val="16"/>
        </w:rPr>
        <w:t xml:space="preserve"> Corte Suprema de Justicia. Sentencia STC 21234 del 18 de diciembre de 2025. M.P. Adriana Consuelo López Martínez. </w:t>
      </w:r>
    </w:p>
  </w:footnote>
  <w:footnote w:id="8">
    <w:p w14:paraId="36C516B6" w14:textId="77777777" w:rsidR="00104F14" w:rsidRPr="0088200E" w:rsidRDefault="00104F14" w:rsidP="00104F14">
      <w:pPr>
        <w:spacing w:after="0" w:line="240" w:lineRule="auto"/>
        <w:ind w:firstLine="709"/>
        <w:jc w:val="both"/>
        <w:rPr>
          <w:rFonts w:ascii="Verdana" w:hAnsi="Verdana"/>
          <w:sz w:val="16"/>
          <w:szCs w:val="16"/>
        </w:rPr>
      </w:pPr>
      <w:r w:rsidRPr="0088200E">
        <w:rPr>
          <w:rFonts w:ascii="Verdana" w:hAnsi="Verdana"/>
          <w:sz w:val="16"/>
          <w:szCs w:val="16"/>
          <w:vertAlign w:val="superscript"/>
        </w:rPr>
        <w:footnoteRef/>
      </w:r>
      <w:r w:rsidRPr="0088200E">
        <w:rPr>
          <w:rFonts w:ascii="Verdana" w:hAnsi="Verdana"/>
          <w:sz w:val="16"/>
          <w:szCs w:val="16"/>
        </w:rPr>
        <w:t xml:space="preserve"> Corte Constitucional. Sentencia C-616 de 2001. M.P. Rodrigo Escobar Gil</w:t>
      </w:r>
    </w:p>
  </w:footnote>
  <w:footnote w:id="9">
    <w:p w14:paraId="42050861" w14:textId="77777777" w:rsidR="00104F14" w:rsidRPr="0088200E" w:rsidRDefault="00104F14" w:rsidP="00104F14">
      <w:pPr>
        <w:spacing w:after="0" w:line="240" w:lineRule="auto"/>
        <w:ind w:firstLine="709"/>
        <w:jc w:val="both"/>
        <w:rPr>
          <w:rFonts w:ascii="Verdana" w:hAnsi="Verdana"/>
          <w:sz w:val="16"/>
          <w:szCs w:val="16"/>
        </w:rPr>
      </w:pPr>
      <w:r w:rsidRPr="0088200E">
        <w:rPr>
          <w:rFonts w:ascii="Verdana" w:hAnsi="Verdana"/>
          <w:sz w:val="16"/>
          <w:szCs w:val="16"/>
          <w:vertAlign w:val="superscript"/>
        </w:rPr>
        <w:footnoteRef/>
      </w:r>
      <w:r w:rsidRPr="0088200E">
        <w:rPr>
          <w:rFonts w:ascii="Verdana" w:hAnsi="Verdana"/>
          <w:sz w:val="16"/>
          <w:szCs w:val="16"/>
        </w:rPr>
        <w:t xml:space="preserve"> Corte Constitucional. Sentencia C-1040 de 2003. M.P. Clara Inés Vargas Hernández.  </w:t>
      </w:r>
    </w:p>
  </w:footnote>
  <w:footnote w:id="10">
    <w:p w14:paraId="561F36EC" w14:textId="77777777" w:rsidR="00104F14" w:rsidRDefault="00104F14" w:rsidP="00104F14">
      <w:pPr>
        <w:pStyle w:val="Textonotapie"/>
        <w:ind w:firstLine="708"/>
      </w:pPr>
      <w:r w:rsidRPr="0088200E">
        <w:rPr>
          <w:rStyle w:val="Refdenotaalpie"/>
          <w:rFonts w:ascii="Verdana" w:hAnsi="Verdana"/>
          <w:sz w:val="16"/>
          <w:szCs w:val="16"/>
        </w:rPr>
        <w:footnoteRef/>
      </w:r>
      <w:r w:rsidRPr="0088200E">
        <w:rPr>
          <w:rFonts w:ascii="Verdana" w:hAnsi="Verdana"/>
          <w:sz w:val="16"/>
          <w:szCs w:val="16"/>
        </w:rPr>
        <w:t xml:space="preserve"> Ibídem.</w:t>
      </w:r>
      <w:r>
        <w:t xml:space="preserve"> </w:t>
      </w:r>
    </w:p>
  </w:footnote>
  <w:footnote w:id="11">
    <w:p w14:paraId="068AD2BB" w14:textId="77777777" w:rsidR="00104F14" w:rsidRPr="00E86571" w:rsidRDefault="00104F14" w:rsidP="00104F14">
      <w:pPr>
        <w:spacing w:after="0" w:line="240" w:lineRule="auto"/>
        <w:ind w:firstLine="709"/>
        <w:rPr>
          <w:rFonts w:ascii="Verdana" w:hAnsi="Verdana"/>
          <w:sz w:val="16"/>
          <w:szCs w:val="16"/>
        </w:rPr>
      </w:pPr>
      <w:r w:rsidRPr="00E86571">
        <w:rPr>
          <w:rFonts w:ascii="Verdana" w:hAnsi="Verdana"/>
          <w:sz w:val="16"/>
          <w:szCs w:val="16"/>
          <w:vertAlign w:val="superscript"/>
        </w:rPr>
        <w:footnoteRef/>
      </w:r>
      <w:r w:rsidRPr="00E86571">
        <w:rPr>
          <w:rFonts w:ascii="Verdana" w:hAnsi="Verdana"/>
          <w:sz w:val="16"/>
          <w:szCs w:val="16"/>
        </w:rPr>
        <w:t xml:space="preserve">  Corte Constitucional. Sentencia C-861 de 2006. M.P. Nilson Pinilla Pinilla.</w:t>
      </w:r>
    </w:p>
  </w:footnote>
  <w:footnote w:id="12">
    <w:p w14:paraId="16C2FEFE" w14:textId="77777777" w:rsidR="00104F14" w:rsidRPr="00E86571" w:rsidRDefault="00104F14" w:rsidP="00104F14">
      <w:pPr>
        <w:pStyle w:val="Textonotapie"/>
        <w:ind w:firstLine="708"/>
        <w:jc w:val="both"/>
        <w:rPr>
          <w:rFonts w:ascii="Verdana" w:hAnsi="Verdana"/>
          <w:sz w:val="16"/>
          <w:szCs w:val="16"/>
          <w:lang w:val="es-CO"/>
        </w:rPr>
      </w:pPr>
      <w:r w:rsidRPr="00E86571">
        <w:rPr>
          <w:rStyle w:val="Refdenotaalpie"/>
          <w:rFonts w:ascii="Verdana" w:hAnsi="Verdana"/>
          <w:sz w:val="16"/>
          <w:szCs w:val="16"/>
        </w:rPr>
        <w:footnoteRef/>
      </w:r>
      <w:r w:rsidRPr="00E86571">
        <w:rPr>
          <w:rFonts w:ascii="Verdana" w:hAnsi="Verdana"/>
          <w:sz w:val="16"/>
          <w:szCs w:val="16"/>
        </w:rPr>
        <w:t xml:space="preserve"> “</w:t>
      </w:r>
      <w:r w:rsidRPr="00E86571">
        <w:rPr>
          <w:rFonts w:ascii="Verdana" w:hAnsi="Verdana"/>
          <w:bCs/>
          <w:sz w:val="16"/>
          <w:szCs w:val="16"/>
          <w:lang w:val="es-CO"/>
        </w:rPr>
        <w:t>Artículo 2.8.3.1.5.</w:t>
      </w:r>
      <w:r w:rsidRPr="00E86571">
        <w:rPr>
          <w:rFonts w:ascii="Verdana" w:hAnsi="Verdana"/>
          <w:bCs/>
          <w:i/>
          <w:iCs/>
          <w:sz w:val="16"/>
          <w:szCs w:val="16"/>
          <w:lang w:val="es-CO"/>
        </w:rPr>
        <w:t> Publicación de la información contractual.</w:t>
      </w:r>
      <w:r w:rsidRPr="00E86571">
        <w:rPr>
          <w:rFonts w:ascii="Verdana" w:hAnsi="Verdana"/>
          <w:bCs/>
          <w:sz w:val="16"/>
          <w:szCs w:val="16"/>
          <w:lang w:val="es-CO"/>
        </w:rPr>
        <w:t> </w:t>
      </w:r>
      <w:r w:rsidRPr="00E86571">
        <w:rPr>
          <w:rFonts w:ascii="Verdana" w:hAnsi="Verdana"/>
          <w:sz w:val="16"/>
          <w:szCs w:val="16"/>
          <w:lang w:val="es-CO"/>
        </w:rPr>
        <w:t>De conformidad con el literal (e)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w:t>
      </w:r>
    </w:p>
    <w:p w14:paraId="51BD0C72" w14:textId="77777777" w:rsidR="00104F14" w:rsidRPr="00E86571" w:rsidRDefault="00104F14" w:rsidP="00104F14">
      <w:pPr>
        <w:pStyle w:val="Textonotapie"/>
        <w:ind w:firstLine="708"/>
        <w:jc w:val="both"/>
        <w:rPr>
          <w:rFonts w:ascii="Verdana" w:hAnsi="Verdana"/>
          <w:sz w:val="16"/>
          <w:szCs w:val="16"/>
          <w:lang w:val="es-CO"/>
        </w:rPr>
      </w:pPr>
      <w:r w:rsidRPr="00E86571">
        <w:rPr>
          <w:rFonts w:ascii="Verdana" w:hAnsi="Verdana"/>
          <w:sz w:val="16"/>
          <w:szCs w:val="16"/>
          <w:lang w:val="es-CO"/>
        </w:rPr>
        <w:t>Los sujetos obligados que contratan con cargo a recursos públicos deben publicar la información de su gestión contractual en el plazo previsto en el artículo </w:t>
      </w:r>
      <w:hyperlink r:id="rId1" w:anchor="19" w:history="1">
        <w:r w:rsidRPr="00E86571">
          <w:rPr>
            <w:rStyle w:val="Hipervnculo"/>
            <w:rFonts w:ascii="Verdana" w:hAnsi="Verdana"/>
            <w:sz w:val="16"/>
            <w:szCs w:val="16"/>
            <w:lang w:val="es-CO"/>
          </w:rPr>
          <w:t>19</w:t>
        </w:r>
      </w:hyperlink>
      <w:r w:rsidRPr="00E86571">
        <w:rPr>
          <w:rFonts w:ascii="Verdana" w:hAnsi="Verdana"/>
          <w:sz w:val="16"/>
          <w:szCs w:val="16"/>
          <w:lang w:val="es-CO"/>
        </w:rPr>
        <w:t> del Decreto 1510 de 2013, o el que lo modifique, sustituya o adicione.</w:t>
      </w:r>
    </w:p>
    <w:p w14:paraId="5C9357C4" w14:textId="77777777" w:rsidR="00104F14" w:rsidRPr="00E86571" w:rsidRDefault="00104F14" w:rsidP="00104F14">
      <w:pPr>
        <w:pStyle w:val="Textonotapie"/>
        <w:ind w:firstLine="708"/>
        <w:jc w:val="both"/>
        <w:rPr>
          <w:rFonts w:ascii="Verdana" w:hAnsi="Verdana"/>
          <w:sz w:val="16"/>
          <w:szCs w:val="16"/>
          <w:lang w:val="es-CO"/>
        </w:rPr>
      </w:pPr>
      <w:r w:rsidRPr="00E86571">
        <w:rPr>
          <w:rFonts w:ascii="Verdana" w:hAnsi="Verdana"/>
          <w:sz w:val="16"/>
          <w:szCs w:val="16"/>
          <w:lang w:val="es-CO"/>
        </w:rPr>
        <w:t>Los sujetos obligados que contratan con recursos públicos y recursos privados, deben publicar la información de su gestión contractual con cargo a recursos públicos en el Sistema Electrónico para la Contratación Pública –SECOP”.</w:t>
      </w:r>
    </w:p>
  </w:footnote>
  <w:footnote w:id="13">
    <w:p w14:paraId="1B9AD8B1" w14:textId="77777777" w:rsidR="00104F14" w:rsidRPr="00E86571" w:rsidRDefault="00104F14" w:rsidP="00104F14">
      <w:pPr>
        <w:pStyle w:val="Textonotapie"/>
        <w:ind w:firstLine="708"/>
        <w:jc w:val="both"/>
        <w:rPr>
          <w:rFonts w:ascii="Verdana" w:hAnsi="Verdana"/>
          <w:sz w:val="16"/>
          <w:szCs w:val="16"/>
          <w:lang w:val="es-CO"/>
        </w:rPr>
      </w:pPr>
      <w:r w:rsidRPr="00E86571">
        <w:rPr>
          <w:rStyle w:val="Refdenotaalpie"/>
          <w:rFonts w:ascii="Verdana" w:hAnsi="Verdana"/>
          <w:sz w:val="16"/>
          <w:szCs w:val="16"/>
        </w:rPr>
        <w:footnoteRef/>
      </w:r>
      <w:r w:rsidRPr="00E86571">
        <w:rPr>
          <w:rFonts w:ascii="Verdana" w:hAnsi="Verdana"/>
          <w:sz w:val="16"/>
          <w:szCs w:val="16"/>
        </w:rPr>
        <w:t xml:space="preserve"> </w:t>
      </w:r>
      <w:r w:rsidRPr="00E86571">
        <w:rPr>
          <w:rFonts w:ascii="Verdana" w:hAnsi="Verdana"/>
          <w:bCs/>
          <w:sz w:val="16"/>
          <w:szCs w:val="16"/>
          <w:lang w:val="es-CO"/>
        </w:rPr>
        <w:t>Artículo 53.</w:t>
      </w:r>
      <w:r w:rsidRPr="00E86571">
        <w:rPr>
          <w:rFonts w:ascii="Verdana" w:hAnsi="Verdana"/>
          <w:sz w:val="16"/>
          <w:szCs w:val="16"/>
          <w:lang w:val="es-CO"/>
        </w:rPr>
        <w:t> Adiciónese los siguientes incisos al artículo 13 de la Ley 1150 de 2007, el cual quedará así: </w:t>
      </w:r>
    </w:p>
    <w:p w14:paraId="1E77B3A7" w14:textId="77777777" w:rsidR="00104F14" w:rsidRPr="00E86571" w:rsidRDefault="00104F14" w:rsidP="00104F14">
      <w:pPr>
        <w:pStyle w:val="Textonotapie"/>
        <w:ind w:firstLine="708"/>
        <w:jc w:val="both"/>
        <w:rPr>
          <w:rFonts w:ascii="Verdana" w:hAnsi="Verdana"/>
          <w:sz w:val="16"/>
          <w:szCs w:val="16"/>
          <w:lang w:val="es-CO"/>
        </w:rPr>
      </w:pPr>
      <w:r w:rsidRPr="00E86571">
        <w:rPr>
          <w:rFonts w:ascii="Verdana" w:hAnsi="Verdana"/>
          <w:bCs/>
          <w:sz w:val="16"/>
          <w:szCs w:val="16"/>
          <w:lang w:val="es-CO"/>
        </w:rPr>
        <w:t>Artículo 13. Principios generales de la actividad contractual para entidades no sometidas al Estatuto General de Contratación de la Administración Pública.</w:t>
      </w:r>
      <w:r w:rsidRPr="00E86571">
        <w:rPr>
          <w:rFonts w:ascii="Verdana" w:hAnsi="Verdana"/>
          <w:sz w:val="16"/>
          <w:szCs w:val="16"/>
          <w:lang w:val="es-CO"/>
        </w:rPr>
        <w:t>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 </w:t>
      </w:r>
    </w:p>
    <w:p w14:paraId="7133CDBB" w14:textId="77777777" w:rsidR="00104F14" w:rsidRPr="00E86571" w:rsidRDefault="00104F14" w:rsidP="00104F14">
      <w:pPr>
        <w:pStyle w:val="Textonotapie"/>
        <w:ind w:firstLine="708"/>
        <w:jc w:val="both"/>
        <w:rPr>
          <w:rFonts w:ascii="Verdana" w:hAnsi="Verdana"/>
          <w:sz w:val="16"/>
          <w:szCs w:val="16"/>
          <w:lang w:val="es-CO"/>
        </w:rPr>
      </w:pPr>
      <w:r w:rsidRPr="00E86571">
        <w:rPr>
          <w:rFonts w:ascii="Verdana" w:hAnsi="Verdana"/>
          <w:sz w:val="16"/>
          <w:szCs w:val="16"/>
          <w:lang w:val="es-CO"/>
        </w:rPr>
        <w:t>En desarrollo de los anteriores principios, deberán publicar los documentos relacionados con su actividad contractual en el Sistema Electrónico para la Contratación Pública (SECOP II) o la plataforma transaccional que haga sus veces. Para los efectos de este artículo, se entiende por actividad contractual los documentos, contratos, actos e información generada por oferentes, contratista, contratante, supervisor o interventor, tanto en la etapa precontractual, como en la contractual y la postcontractual. </w:t>
      </w:r>
    </w:p>
    <w:p w14:paraId="6B686462" w14:textId="77777777" w:rsidR="00104F14" w:rsidRPr="00E86571" w:rsidRDefault="00104F14" w:rsidP="00104F14">
      <w:pPr>
        <w:pStyle w:val="Textonotapie"/>
        <w:ind w:firstLine="708"/>
        <w:jc w:val="both"/>
        <w:rPr>
          <w:rFonts w:ascii="Verdana" w:hAnsi="Verdana"/>
          <w:sz w:val="16"/>
          <w:szCs w:val="16"/>
          <w:lang w:val="es-CO"/>
        </w:rPr>
      </w:pPr>
      <w:r w:rsidRPr="00E86571">
        <w:rPr>
          <w:rFonts w:ascii="Verdana" w:hAnsi="Verdana"/>
          <w:sz w:val="16"/>
          <w:szCs w:val="16"/>
          <w:lang w:val="es-CO"/>
        </w:rPr>
        <w:t>A partir de la entrada en vigencia de la presente Ley, se establecerá un periodo de transición de seis (6) meses, para que las entidades den cumplimiento efectivo a lo aquí establecido.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AC78D9" w:rsidRDefault="00AC78D9"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AC78D9" w:rsidRDefault="00AC78D9">
    <w:pPr>
      <w:pStyle w:val="Encabezado"/>
    </w:pPr>
  </w:p>
  <w:p w14:paraId="5E18350A" w14:textId="705F7B76" w:rsidR="00AC78D9" w:rsidRPr="004A305D" w:rsidRDefault="00AC78D9" w:rsidP="00B01B1A">
    <w:pPr>
      <w:spacing w:after="0" w:line="120" w:lineRule="auto"/>
      <w:rPr>
        <w:rFonts w:ascii="Century Gothic" w:eastAsia="Geo" w:hAnsi="Century Gothic" w:cs="Geo"/>
        <w:sz w:val="16"/>
        <w:szCs w:val="16"/>
        <w:lang w:eastAsia="es-CO"/>
      </w:rPr>
    </w:pPr>
  </w:p>
  <w:p w14:paraId="211B7F5D" w14:textId="77777777" w:rsidR="00AC78D9" w:rsidRDefault="00AC78D9" w:rsidP="00844AE9">
    <w:pPr>
      <w:spacing w:after="0" w:line="240" w:lineRule="auto"/>
      <w:rPr>
        <w:rFonts w:ascii="Verdana" w:hAnsi="Verdana"/>
        <w:sz w:val="24"/>
        <w:szCs w:val="24"/>
      </w:rPr>
    </w:pPr>
  </w:p>
  <w:p w14:paraId="5A0054B1" w14:textId="77777777" w:rsidR="00AC78D9" w:rsidRPr="00C925AC" w:rsidRDefault="00AC78D9" w:rsidP="00844AE9">
    <w:pPr>
      <w:spacing w:after="0" w:line="240" w:lineRule="auto"/>
      <w:rPr>
        <w:rFonts w:ascii="Verdana" w:hAnsi="Verdana"/>
        <w:sz w:val="24"/>
        <w:szCs w:val="24"/>
      </w:rPr>
    </w:pPr>
  </w:p>
  <w:p w14:paraId="1FD1C243" w14:textId="37C5500A" w:rsidR="00AC78D9" w:rsidRPr="00C925AC" w:rsidRDefault="00AC78D9"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2D421CD"/>
    <w:multiLevelType w:val="hybridMultilevel"/>
    <w:tmpl w:val="C0565088"/>
    <w:lvl w:ilvl="0" w:tplc="776CDEFE">
      <w:start w:val="1"/>
      <w:numFmt w:val="lowerRoman"/>
      <w:lvlText w:val="%1."/>
      <w:lvlJc w:val="left"/>
      <w:pPr>
        <w:ind w:left="9083" w:hanging="720"/>
      </w:pPr>
      <w:rPr>
        <w:rFonts w:hint="default"/>
      </w:rPr>
    </w:lvl>
    <w:lvl w:ilvl="1" w:tplc="040A0019" w:tentative="1">
      <w:start w:val="1"/>
      <w:numFmt w:val="lowerLetter"/>
      <w:lvlText w:val="%2."/>
      <w:lvlJc w:val="left"/>
      <w:pPr>
        <w:ind w:left="9443" w:hanging="360"/>
      </w:pPr>
    </w:lvl>
    <w:lvl w:ilvl="2" w:tplc="040A001B" w:tentative="1">
      <w:start w:val="1"/>
      <w:numFmt w:val="lowerRoman"/>
      <w:lvlText w:val="%3."/>
      <w:lvlJc w:val="right"/>
      <w:pPr>
        <w:ind w:left="10163" w:hanging="180"/>
      </w:pPr>
    </w:lvl>
    <w:lvl w:ilvl="3" w:tplc="040A000F" w:tentative="1">
      <w:start w:val="1"/>
      <w:numFmt w:val="decimal"/>
      <w:lvlText w:val="%4."/>
      <w:lvlJc w:val="left"/>
      <w:pPr>
        <w:ind w:left="10883" w:hanging="360"/>
      </w:pPr>
    </w:lvl>
    <w:lvl w:ilvl="4" w:tplc="040A0019" w:tentative="1">
      <w:start w:val="1"/>
      <w:numFmt w:val="lowerLetter"/>
      <w:lvlText w:val="%5."/>
      <w:lvlJc w:val="left"/>
      <w:pPr>
        <w:ind w:left="11603" w:hanging="360"/>
      </w:pPr>
    </w:lvl>
    <w:lvl w:ilvl="5" w:tplc="040A001B" w:tentative="1">
      <w:start w:val="1"/>
      <w:numFmt w:val="lowerRoman"/>
      <w:lvlText w:val="%6."/>
      <w:lvlJc w:val="right"/>
      <w:pPr>
        <w:ind w:left="12323" w:hanging="180"/>
      </w:pPr>
    </w:lvl>
    <w:lvl w:ilvl="6" w:tplc="040A000F" w:tentative="1">
      <w:start w:val="1"/>
      <w:numFmt w:val="decimal"/>
      <w:lvlText w:val="%7."/>
      <w:lvlJc w:val="left"/>
      <w:pPr>
        <w:ind w:left="13043" w:hanging="360"/>
      </w:pPr>
    </w:lvl>
    <w:lvl w:ilvl="7" w:tplc="040A0019" w:tentative="1">
      <w:start w:val="1"/>
      <w:numFmt w:val="lowerLetter"/>
      <w:lvlText w:val="%8."/>
      <w:lvlJc w:val="left"/>
      <w:pPr>
        <w:ind w:left="13763" w:hanging="360"/>
      </w:pPr>
    </w:lvl>
    <w:lvl w:ilvl="8" w:tplc="040A001B" w:tentative="1">
      <w:start w:val="1"/>
      <w:numFmt w:val="lowerRoman"/>
      <w:lvlText w:val="%9."/>
      <w:lvlJc w:val="right"/>
      <w:pPr>
        <w:ind w:left="14483" w:hanging="18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E3DA1D8"/>
    <w:multiLevelType w:val="hybridMultilevel"/>
    <w:tmpl w:val="83221B20"/>
    <w:lvl w:ilvl="0" w:tplc="FE50C5D6">
      <w:start w:val="1"/>
      <w:numFmt w:val="decimal"/>
      <w:lvlText w:val="%1."/>
      <w:lvlJc w:val="left"/>
      <w:pPr>
        <w:ind w:left="720" w:hanging="360"/>
      </w:pPr>
      <w:rPr>
        <w:rFonts w:ascii="Calibri" w:hAnsi="Calibri" w:hint="default"/>
      </w:rPr>
    </w:lvl>
    <w:lvl w:ilvl="1" w:tplc="3EE68BD2">
      <w:start w:val="1"/>
      <w:numFmt w:val="lowerLetter"/>
      <w:lvlText w:val="%2."/>
      <w:lvlJc w:val="left"/>
      <w:pPr>
        <w:ind w:left="1440" w:hanging="360"/>
      </w:pPr>
    </w:lvl>
    <w:lvl w:ilvl="2" w:tplc="89A852B8">
      <w:start w:val="1"/>
      <w:numFmt w:val="lowerRoman"/>
      <w:lvlText w:val="%3."/>
      <w:lvlJc w:val="right"/>
      <w:pPr>
        <w:ind w:left="2160" w:hanging="180"/>
      </w:pPr>
    </w:lvl>
    <w:lvl w:ilvl="3" w:tplc="C4D01946">
      <w:start w:val="1"/>
      <w:numFmt w:val="decimal"/>
      <w:lvlText w:val="%4."/>
      <w:lvlJc w:val="left"/>
      <w:pPr>
        <w:ind w:left="2880" w:hanging="360"/>
      </w:pPr>
    </w:lvl>
    <w:lvl w:ilvl="4" w:tplc="E53A7628">
      <w:start w:val="1"/>
      <w:numFmt w:val="lowerLetter"/>
      <w:lvlText w:val="%5."/>
      <w:lvlJc w:val="left"/>
      <w:pPr>
        <w:ind w:left="3600" w:hanging="360"/>
      </w:pPr>
    </w:lvl>
    <w:lvl w:ilvl="5" w:tplc="7F66CDBA">
      <w:start w:val="1"/>
      <w:numFmt w:val="lowerRoman"/>
      <w:lvlText w:val="%6."/>
      <w:lvlJc w:val="right"/>
      <w:pPr>
        <w:ind w:left="4320" w:hanging="180"/>
      </w:pPr>
    </w:lvl>
    <w:lvl w:ilvl="6" w:tplc="F462DC14">
      <w:start w:val="1"/>
      <w:numFmt w:val="decimal"/>
      <w:lvlText w:val="%7."/>
      <w:lvlJc w:val="left"/>
      <w:pPr>
        <w:ind w:left="5040" w:hanging="360"/>
      </w:pPr>
    </w:lvl>
    <w:lvl w:ilvl="7" w:tplc="A9AA63A8">
      <w:start w:val="1"/>
      <w:numFmt w:val="lowerLetter"/>
      <w:lvlText w:val="%8."/>
      <w:lvlJc w:val="left"/>
      <w:pPr>
        <w:ind w:left="5760" w:hanging="360"/>
      </w:pPr>
    </w:lvl>
    <w:lvl w:ilvl="8" w:tplc="8A2C47CC">
      <w:start w:val="1"/>
      <w:numFmt w:val="lowerRoman"/>
      <w:lvlText w:val="%9."/>
      <w:lvlJc w:val="right"/>
      <w:pPr>
        <w:ind w:left="6480" w:hanging="180"/>
      </w:pPr>
    </w:lvl>
  </w:abstractNum>
  <w:abstractNum w:abstractNumId="12" w15:restartNumberingAfterBreak="0">
    <w:nsid w:val="4DED3DAE"/>
    <w:multiLevelType w:val="hybridMultilevel"/>
    <w:tmpl w:val="C44ABD24"/>
    <w:lvl w:ilvl="0" w:tplc="6E008430">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3" w15:restartNumberingAfterBreak="0">
    <w:nsid w:val="4FB630AB"/>
    <w:multiLevelType w:val="hybridMultilevel"/>
    <w:tmpl w:val="5FE8C2EA"/>
    <w:lvl w:ilvl="0" w:tplc="776CDEFE">
      <w:start w:val="1"/>
      <w:numFmt w:val="lowerRoman"/>
      <w:lvlText w:val="%1."/>
      <w:lvlJc w:val="left"/>
      <w:pPr>
        <w:ind w:left="1080" w:hanging="720"/>
      </w:pPr>
      <w:rPr>
        <w:rFonts w:hint="default"/>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501D280A"/>
    <w:multiLevelType w:val="hybridMultilevel"/>
    <w:tmpl w:val="5E72985A"/>
    <w:lvl w:ilvl="0" w:tplc="776CDEFE">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36E4256"/>
    <w:multiLevelType w:val="hybridMultilevel"/>
    <w:tmpl w:val="D8FA71D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1866AC"/>
    <w:multiLevelType w:val="hybridMultilevel"/>
    <w:tmpl w:val="3E5CC99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56A231F"/>
    <w:multiLevelType w:val="hybridMultilevel"/>
    <w:tmpl w:val="42E84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135309">
    <w:abstractNumId w:val="7"/>
  </w:num>
  <w:num w:numId="2" w16cid:durableId="294869047">
    <w:abstractNumId w:val="2"/>
  </w:num>
  <w:num w:numId="3" w16cid:durableId="1194423672">
    <w:abstractNumId w:val="5"/>
  </w:num>
  <w:num w:numId="4" w16cid:durableId="1541479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4978144">
    <w:abstractNumId w:val="2"/>
  </w:num>
  <w:num w:numId="6" w16cid:durableId="910696422">
    <w:abstractNumId w:val="19"/>
  </w:num>
  <w:num w:numId="7" w16cid:durableId="1359501017">
    <w:abstractNumId w:val="6"/>
  </w:num>
  <w:num w:numId="8" w16cid:durableId="796531462">
    <w:abstractNumId w:val="18"/>
  </w:num>
  <w:num w:numId="9" w16cid:durableId="1027947541">
    <w:abstractNumId w:val="8"/>
  </w:num>
  <w:num w:numId="10" w16cid:durableId="2120490244">
    <w:abstractNumId w:val="17"/>
  </w:num>
  <w:num w:numId="11" w16cid:durableId="1775981596">
    <w:abstractNumId w:val="9"/>
  </w:num>
  <w:num w:numId="12" w16cid:durableId="51850732">
    <w:abstractNumId w:val="1"/>
  </w:num>
  <w:num w:numId="13" w16cid:durableId="1074085559">
    <w:abstractNumId w:val="3"/>
  </w:num>
  <w:num w:numId="14" w16cid:durableId="1373264683">
    <w:abstractNumId w:val="20"/>
  </w:num>
  <w:num w:numId="15" w16cid:durableId="555051866">
    <w:abstractNumId w:val="15"/>
  </w:num>
  <w:num w:numId="16" w16cid:durableId="1732120449">
    <w:abstractNumId w:val="4"/>
  </w:num>
  <w:num w:numId="17" w16cid:durableId="822624032">
    <w:abstractNumId w:val="10"/>
  </w:num>
  <w:num w:numId="18" w16cid:durableId="1536188040">
    <w:abstractNumId w:val="21"/>
  </w:num>
  <w:num w:numId="19" w16cid:durableId="1558322486">
    <w:abstractNumId w:val="22"/>
  </w:num>
  <w:num w:numId="20" w16cid:durableId="2127697101">
    <w:abstractNumId w:val="13"/>
  </w:num>
  <w:num w:numId="21" w16cid:durableId="1926646757">
    <w:abstractNumId w:val="16"/>
  </w:num>
  <w:num w:numId="22" w16cid:durableId="1015038285">
    <w:abstractNumId w:val="14"/>
  </w:num>
  <w:num w:numId="23" w16cid:durableId="357699033">
    <w:abstractNumId w:val="0"/>
  </w:num>
  <w:num w:numId="24" w16cid:durableId="682782999">
    <w:abstractNumId w:val="12"/>
  </w:num>
  <w:num w:numId="25" w16cid:durableId="20959329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27C8"/>
    <w:rsid w:val="00003830"/>
    <w:rsid w:val="00012AA2"/>
    <w:rsid w:val="00016F78"/>
    <w:rsid w:val="000216D4"/>
    <w:rsid w:val="000236F5"/>
    <w:rsid w:val="000301B5"/>
    <w:rsid w:val="00033D05"/>
    <w:rsid w:val="000355F2"/>
    <w:rsid w:val="00035DF5"/>
    <w:rsid w:val="00046945"/>
    <w:rsid w:val="000479F0"/>
    <w:rsid w:val="00047EC5"/>
    <w:rsid w:val="00061B2A"/>
    <w:rsid w:val="00063CA9"/>
    <w:rsid w:val="00082362"/>
    <w:rsid w:val="00094C23"/>
    <w:rsid w:val="00096BEA"/>
    <w:rsid w:val="000973A6"/>
    <w:rsid w:val="00097627"/>
    <w:rsid w:val="000A683E"/>
    <w:rsid w:val="000B05EB"/>
    <w:rsid w:val="000B19B9"/>
    <w:rsid w:val="000B2F1D"/>
    <w:rsid w:val="000B30D7"/>
    <w:rsid w:val="000C456F"/>
    <w:rsid w:val="000C5802"/>
    <w:rsid w:val="000D0334"/>
    <w:rsid w:val="000D45D6"/>
    <w:rsid w:val="000D5DA7"/>
    <w:rsid w:val="000E3113"/>
    <w:rsid w:val="000F6486"/>
    <w:rsid w:val="00100483"/>
    <w:rsid w:val="00102972"/>
    <w:rsid w:val="00104F14"/>
    <w:rsid w:val="00112643"/>
    <w:rsid w:val="00114140"/>
    <w:rsid w:val="00115906"/>
    <w:rsid w:val="00115F94"/>
    <w:rsid w:val="00116940"/>
    <w:rsid w:val="00116E98"/>
    <w:rsid w:val="00125105"/>
    <w:rsid w:val="00126B92"/>
    <w:rsid w:val="00127233"/>
    <w:rsid w:val="001338C4"/>
    <w:rsid w:val="001350A1"/>
    <w:rsid w:val="001357B2"/>
    <w:rsid w:val="00136941"/>
    <w:rsid w:val="00137DD9"/>
    <w:rsid w:val="001475E6"/>
    <w:rsid w:val="001479EB"/>
    <w:rsid w:val="00152993"/>
    <w:rsid w:val="00155890"/>
    <w:rsid w:val="0015699B"/>
    <w:rsid w:val="00171BB3"/>
    <w:rsid w:val="0018069F"/>
    <w:rsid w:val="0018165A"/>
    <w:rsid w:val="00190A9B"/>
    <w:rsid w:val="00194ED1"/>
    <w:rsid w:val="0019789F"/>
    <w:rsid w:val="001A33BF"/>
    <w:rsid w:val="001A45EA"/>
    <w:rsid w:val="001A61AD"/>
    <w:rsid w:val="001B2BEA"/>
    <w:rsid w:val="001B3403"/>
    <w:rsid w:val="001D1BF1"/>
    <w:rsid w:val="001E16E9"/>
    <w:rsid w:val="001E1BDB"/>
    <w:rsid w:val="001E4177"/>
    <w:rsid w:val="001F0B24"/>
    <w:rsid w:val="001F6E0A"/>
    <w:rsid w:val="001F7DC6"/>
    <w:rsid w:val="00214813"/>
    <w:rsid w:val="0022400B"/>
    <w:rsid w:val="002313FA"/>
    <w:rsid w:val="00233013"/>
    <w:rsid w:val="00233488"/>
    <w:rsid w:val="002359C5"/>
    <w:rsid w:val="002421BB"/>
    <w:rsid w:val="00251C8C"/>
    <w:rsid w:val="0025415C"/>
    <w:rsid w:val="002542D8"/>
    <w:rsid w:val="0025796E"/>
    <w:rsid w:val="002609ED"/>
    <w:rsid w:val="002628B6"/>
    <w:rsid w:val="00263F35"/>
    <w:rsid w:val="00270594"/>
    <w:rsid w:val="002707A2"/>
    <w:rsid w:val="00270C01"/>
    <w:rsid w:val="002802FA"/>
    <w:rsid w:val="002827E8"/>
    <w:rsid w:val="002951A0"/>
    <w:rsid w:val="002962BC"/>
    <w:rsid w:val="00296353"/>
    <w:rsid w:val="002A05CA"/>
    <w:rsid w:val="002A093D"/>
    <w:rsid w:val="002A0DD0"/>
    <w:rsid w:val="002A49AC"/>
    <w:rsid w:val="002A64FD"/>
    <w:rsid w:val="002B115C"/>
    <w:rsid w:val="002B1EF4"/>
    <w:rsid w:val="002B3A5B"/>
    <w:rsid w:val="002B72B5"/>
    <w:rsid w:val="002B730F"/>
    <w:rsid w:val="002C7A84"/>
    <w:rsid w:val="002D1400"/>
    <w:rsid w:val="002D37AF"/>
    <w:rsid w:val="002E0411"/>
    <w:rsid w:val="002E2BF8"/>
    <w:rsid w:val="002E4FD9"/>
    <w:rsid w:val="002E57B3"/>
    <w:rsid w:val="002E6104"/>
    <w:rsid w:val="002F21CD"/>
    <w:rsid w:val="002F3413"/>
    <w:rsid w:val="002F36BE"/>
    <w:rsid w:val="002F4390"/>
    <w:rsid w:val="002F4750"/>
    <w:rsid w:val="003028CD"/>
    <w:rsid w:val="0030657A"/>
    <w:rsid w:val="0030670D"/>
    <w:rsid w:val="00314DC2"/>
    <w:rsid w:val="00317852"/>
    <w:rsid w:val="00320BA7"/>
    <w:rsid w:val="00322A85"/>
    <w:rsid w:val="00324168"/>
    <w:rsid w:val="00330834"/>
    <w:rsid w:val="00331E14"/>
    <w:rsid w:val="00334489"/>
    <w:rsid w:val="00344781"/>
    <w:rsid w:val="003448F4"/>
    <w:rsid w:val="003504CF"/>
    <w:rsid w:val="0035718D"/>
    <w:rsid w:val="00360F5A"/>
    <w:rsid w:val="0036567E"/>
    <w:rsid w:val="003673A9"/>
    <w:rsid w:val="0037015E"/>
    <w:rsid w:val="003701AD"/>
    <w:rsid w:val="003717DB"/>
    <w:rsid w:val="00374F5E"/>
    <w:rsid w:val="00377E3E"/>
    <w:rsid w:val="003925C3"/>
    <w:rsid w:val="00393230"/>
    <w:rsid w:val="00394A77"/>
    <w:rsid w:val="00395D18"/>
    <w:rsid w:val="00397E8F"/>
    <w:rsid w:val="003A18B5"/>
    <w:rsid w:val="003A4A06"/>
    <w:rsid w:val="003A779E"/>
    <w:rsid w:val="003B225C"/>
    <w:rsid w:val="003B62C3"/>
    <w:rsid w:val="003C0808"/>
    <w:rsid w:val="003C0EF9"/>
    <w:rsid w:val="003C3C40"/>
    <w:rsid w:val="003C5A95"/>
    <w:rsid w:val="003C7A05"/>
    <w:rsid w:val="003D0F4D"/>
    <w:rsid w:val="003D5B0D"/>
    <w:rsid w:val="003E0499"/>
    <w:rsid w:val="003E1A7F"/>
    <w:rsid w:val="003E1AFE"/>
    <w:rsid w:val="003E348A"/>
    <w:rsid w:val="003E4F80"/>
    <w:rsid w:val="003E6439"/>
    <w:rsid w:val="003F3941"/>
    <w:rsid w:val="0040080B"/>
    <w:rsid w:val="00402C7D"/>
    <w:rsid w:val="00406575"/>
    <w:rsid w:val="00407D09"/>
    <w:rsid w:val="00414C74"/>
    <w:rsid w:val="004165E6"/>
    <w:rsid w:val="0042722E"/>
    <w:rsid w:val="00435B2D"/>
    <w:rsid w:val="00437DB4"/>
    <w:rsid w:val="00441434"/>
    <w:rsid w:val="004427A2"/>
    <w:rsid w:val="00443CC7"/>
    <w:rsid w:val="0044528D"/>
    <w:rsid w:val="00466E39"/>
    <w:rsid w:val="00482B83"/>
    <w:rsid w:val="00483C0E"/>
    <w:rsid w:val="004874D3"/>
    <w:rsid w:val="004878FE"/>
    <w:rsid w:val="004937F5"/>
    <w:rsid w:val="004951EB"/>
    <w:rsid w:val="004A1847"/>
    <w:rsid w:val="004A305D"/>
    <w:rsid w:val="004B28D6"/>
    <w:rsid w:val="004B3578"/>
    <w:rsid w:val="004B4E88"/>
    <w:rsid w:val="004C33E4"/>
    <w:rsid w:val="004D0312"/>
    <w:rsid w:val="004D62C6"/>
    <w:rsid w:val="004D62D9"/>
    <w:rsid w:val="004F21C4"/>
    <w:rsid w:val="004F685F"/>
    <w:rsid w:val="004F7990"/>
    <w:rsid w:val="00500525"/>
    <w:rsid w:val="0050094B"/>
    <w:rsid w:val="00503011"/>
    <w:rsid w:val="00503FCD"/>
    <w:rsid w:val="00504CB4"/>
    <w:rsid w:val="00506459"/>
    <w:rsid w:val="0050660C"/>
    <w:rsid w:val="005130C9"/>
    <w:rsid w:val="005172FB"/>
    <w:rsid w:val="00525DB9"/>
    <w:rsid w:val="00525E40"/>
    <w:rsid w:val="00530A1F"/>
    <w:rsid w:val="005310D4"/>
    <w:rsid w:val="005357E7"/>
    <w:rsid w:val="00543BBC"/>
    <w:rsid w:val="00553B54"/>
    <w:rsid w:val="005566E8"/>
    <w:rsid w:val="00557551"/>
    <w:rsid w:val="00562E83"/>
    <w:rsid w:val="005667D0"/>
    <w:rsid w:val="00574867"/>
    <w:rsid w:val="00587119"/>
    <w:rsid w:val="00587265"/>
    <w:rsid w:val="00591194"/>
    <w:rsid w:val="00591460"/>
    <w:rsid w:val="0059295C"/>
    <w:rsid w:val="0059685C"/>
    <w:rsid w:val="005A1493"/>
    <w:rsid w:val="005A5C62"/>
    <w:rsid w:val="005A65E0"/>
    <w:rsid w:val="005B4988"/>
    <w:rsid w:val="005B7638"/>
    <w:rsid w:val="005C049F"/>
    <w:rsid w:val="005C3777"/>
    <w:rsid w:val="005C3D2C"/>
    <w:rsid w:val="005C5CDC"/>
    <w:rsid w:val="005D0D42"/>
    <w:rsid w:val="005D1020"/>
    <w:rsid w:val="005D476C"/>
    <w:rsid w:val="005E20C7"/>
    <w:rsid w:val="005E4B19"/>
    <w:rsid w:val="005E780F"/>
    <w:rsid w:val="005F0202"/>
    <w:rsid w:val="005F41DD"/>
    <w:rsid w:val="006144EB"/>
    <w:rsid w:val="006169F7"/>
    <w:rsid w:val="006200BF"/>
    <w:rsid w:val="006219F8"/>
    <w:rsid w:val="00624DD8"/>
    <w:rsid w:val="006302F7"/>
    <w:rsid w:val="00630756"/>
    <w:rsid w:val="0063475B"/>
    <w:rsid w:val="006420BD"/>
    <w:rsid w:val="00644E06"/>
    <w:rsid w:val="00646B9F"/>
    <w:rsid w:val="00647720"/>
    <w:rsid w:val="00650C87"/>
    <w:rsid w:val="006538F1"/>
    <w:rsid w:val="00654A53"/>
    <w:rsid w:val="006550CA"/>
    <w:rsid w:val="00661DBA"/>
    <w:rsid w:val="0066356F"/>
    <w:rsid w:val="00665523"/>
    <w:rsid w:val="00665D70"/>
    <w:rsid w:val="00672D5E"/>
    <w:rsid w:val="00673A88"/>
    <w:rsid w:val="006745D3"/>
    <w:rsid w:val="006827DE"/>
    <w:rsid w:val="00682D59"/>
    <w:rsid w:val="0068320C"/>
    <w:rsid w:val="006900D9"/>
    <w:rsid w:val="0069331C"/>
    <w:rsid w:val="00693422"/>
    <w:rsid w:val="006936B5"/>
    <w:rsid w:val="00694B36"/>
    <w:rsid w:val="006A0CAF"/>
    <w:rsid w:val="006A1BE6"/>
    <w:rsid w:val="006A222E"/>
    <w:rsid w:val="006A6D10"/>
    <w:rsid w:val="006B1A2B"/>
    <w:rsid w:val="006B3EEA"/>
    <w:rsid w:val="006B49FD"/>
    <w:rsid w:val="006B60B6"/>
    <w:rsid w:val="006B69A7"/>
    <w:rsid w:val="006B6BEA"/>
    <w:rsid w:val="006C4E14"/>
    <w:rsid w:val="006C65EC"/>
    <w:rsid w:val="006D3280"/>
    <w:rsid w:val="006D5C77"/>
    <w:rsid w:val="006D6AC8"/>
    <w:rsid w:val="006E4637"/>
    <w:rsid w:val="006E6868"/>
    <w:rsid w:val="006F4182"/>
    <w:rsid w:val="006F7D11"/>
    <w:rsid w:val="00703A2C"/>
    <w:rsid w:val="00704A5F"/>
    <w:rsid w:val="007069C6"/>
    <w:rsid w:val="00706C16"/>
    <w:rsid w:val="00722B73"/>
    <w:rsid w:val="00725F90"/>
    <w:rsid w:val="007313A1"/>
    <w:rsid w:val="007340C3"/>
    <w:rsid w:val="00734797"/>
    <w:rsid w:val="00751A74"/>
    <w:rsid w:val="0075235A"/>
    <w:rsid w:val="0075262A"/>
    <w:rsid w:val="007543F1"/>
    <w:rsid w:val="00756841"/>
    <w:rsid w:val="007574EF"/>
    <w:rsid w:val="0076175D"/>
    <w:rsid w:val="0076348A"/>
    <w:rsid w:val="007649AB"/>
    <w:rsid w:val="00771D0C"/>
    <w:rsid w:val="00776115"/>
    <w:rsid w:val="00776300"/>
    <w:rsid w:val="007833AC"/>
    <w:rsid w:val="00790D18"/>
    <w:rsid w:val="00794B6A"/>
    <w:rsid w:val="007A1830"/>
    <w:rsid w:val="007A4BFA"/>
    <w:rsid w:val="007B268C"/>
    <w:rsid w:val="007B675D"/>
    <w:rsid w:val="007B7077"/>
    <w:rsid w:val="007B7171"/>
    <w:rsid w:val="007C0C0F"/>
    <w:rsid w:val="007C3DC2"/>
    <w:rsid w:val="007D20AC"/>
    <w:rsid w:val="007D2D31"/>
    <w:rsid w:val="007D3071"/>
    <w:rsid w:val="007D5B3F"/>
    <w:rsid w:val="007E5497"/>
    <w:rsid w:val="007F2B3F"/>
    <w:rsid w:val="007F7BF3"/>
    <w:rsid w:val="008048CC"/>
    <w:rsid w:val="00806F5F"/>
    <w:rsid w:val="00813CE7"/>
    <w:rsid w:val="00820278"/>
    <w:rsid w:val="008258C9"/>
    <w:rsid w:val="00833124"/>
    <w:rsid w:val="0083378B"/>
    <w:rsid w:val="0084224E"/>
    <w:rsid w:val="00844AE9"/>
    <w:rsid w:val="008574FA"/>
    <w:rsid w:val="00860356"/>
    <w:rsid w:val="00865B43"/>
    <w:rsid w:val="008677C3"/>
    <w:rsid w:val="00867F95"/>
    <w:rsid w:val="00873A47"/>
    <w:rsid w:val="00873C24"/>
    <w:rsid w:val="00877A5E"/>
    <w:rsid w:val="0088200E"/>
    <w:rsid w:val="00883693"/>
    <w:rsid w:val="008843B6"/>
    <w:rsid w:val="00891928"/>
    <w:rsid w:val="008937FA"/>
    <w:rsid w:val="008A446D"/>
    <w:rsid w:val="008A460D"/>
    <w:rsid w:val="008A49B9"/>
    <w:rsid w:val="008B1BD7"/>
    <w:rsid w:val="008B25F1"/>
    <w:rsid w:val="008B2CAE"/>
    <w:rsid w:val="008B76C7"/>
    <w:rsid w:val="008C087B"/>
    <w:rsid w:val="008C733F"/>
    <w:rsid w:val="008C77DE"/>
    <w:rsid w:val="008D180B"/>
    <w:rsid w:val="008E276A"/>
    <w:rsid w:val="008E41B6"/>
    <w:rsid w:val="008F0EA7"/>
    <w:rsid w:val="008F3DCB"/>
    <w:rsid w:val="008F71CD"/>
    <w:rsid w:val="009067E4"/>
    <w:rsid w:val="0091145F"/>
    <w:rsid w:val="0091448F"/>
    <w:rsid w:val="00922031"/>
    <w:rsid w:val="00923EEF"/>
    <w:rsid w:val="00927F50"/>
    <w:rsid w:val="0093150F"/>
    <w:rsid w:val="0093730D"/>
    <w:rsid w:val="009410D1"/>
    <w:rsid w:val="009419F9"/>
    <w:rsid w:val="00942687"/>
    <w:rsid w:val="0094604B"/>
    <w:rsid w:val="00951442"/>
    <w:rsid w:val="0095685E"/>
    <w:rsid w:val="00956B82"/>
    <w:rsid w:val="00957C34"/>
    <w:rsid w:val="00960933"/>
    <w:rsid w:val="009619B6"/>
    <w:rsid w:val="00961B09"/>
    <w:rsid w:val="00963B71"/>
    <w:rsid w:val="00964513"/>
    <w:rsid w:val="00965334"/>
    <w:rsid w:val="0097093E"/>
    <w:rsid w:val="00971194"/>
    <w:rsid w:val="00971B47"/>
    <w:rsid w:val="009721AA"/>
    <w:rsid w:val="0098174A"/>
    <w:rsid w:val="00983BA4"/>
    <w:rsid w:val="0098611F"/>
    <w:rsid w:val="009877B5"/>
    <w:rsid w:val="00991171"/>
    <w:rsid w:val="00995CC5"/>
    <w:rsid w:val="009A0DFA"/>
    <w:rsid w:val="009A3571"/>
    <w:rsid w:val="009A74B4"/>
    <w:rsid w:val="009B2D26"/>
    <w:rsid w:val="009B4057"/>
    <w:rsid w:val="009B4089"/>
    <w:rsid w:val="009B6D92"/>
    <w:rsid w:val="009B7392"/>
    <w:rsid w:val="009B7A17"/>
    <w:rsid w:val="009C60F2"/>
    <w:rsid w:val="009C6D18"/>
    <w:rsid w:val="009C71FA"/>
    <w:rsid w:val="009C72E7"/>
    <w:rsid w:val="009C7F7E"/>
    <w:rsid w:val="009D1E98"/>
    <w:rsid w:val="009D1F0F"/>
    <w:rsid w:val="009D3058"/>
    <w:rsid w:val="009D4721"/>
    <w:rsid w:val="009D63BB"/>
    <w:rsid w:val="009D7B3B"/>
    <w:rsid w:val="009D7F72"/>
    <w:rsid w:val="009F3A13"/>
    <w:rsid w:val="009F7A77"/>
    <w:rsid w:val="00A00F65"/>
    <w:rsid w:val="00A07F47"/>
    <w:rsid w:val="00A10CD5"/>
    <w:rsid w:val="00A120D1"/>
    <w:rsid w:val="00A122D3"/>
    <w:rsid w:val="00A14468"/>
    <w:rsid w:val="00A17F13"/>
    <w:rsid w:val="00A20739"/>
    <w:rsid w:val="00A22A29"/>
    <w:rsid w:val="00A23AF9"/>
    <w:rsid w:val="00A27CBF"/>
    <w:rsid w:val="00A33834"/>
    <w:rsid w:val="00A33C78"/>
    <w:rsid w:val="00A350D2"/>
    <w:rsid w:val="00A45678"/>
    <w:rsid w:val="00A46EB0"/>
    <w:rsid w:val="00A51535"/>
    <w:rsid w:val="00A52377"/>
    <w:rsid w:val="00A554EA"/>
    <w:rsid w:val="00A632D3"/>
    <w:rsid w:val="00A700E0"/>
    <w:rsid w:val="00A7409A"/>
    <w:rsid w:val="00A75FDA"/>
    <w:rsid w:val="00A77865"/>
    <w:rsid w:val="00A8535D"/>
    <w:rsid w:val="00A8630C"/>
    <w:rsid w:val="00A90131"/>
    <w:rsid w:val="00A90D08"/>
    <w:rsid w:val="00A921D4"/>
    <w:rsid w:val="00A92D67"/>
    <w:rsid w:val="00AA138E"/>
    <w:rsid w:val="00AB0ADB"/>
    <w:rsid w:val="00AB30AA"/>
    <w:rsid w:val="00AB5920"/>
    <w:rsid w:val="00AC78D9"/>
    <w:rsid w:val="00AD2462"/>
    <w:rsid w:val="00AE1917"/>
    <w:rsid w:val="00AE52D9"/>
    <w:rsid w:val="00AE60A8"/>
    <w:rsid w:val="00AE6C7E"/>
    <w:rsid w:val="00AF0096"/>
    <w:rsid w:val="00AF1028"/>
    <w:rsid w:val="00AF531F"/>
    <w:rsid w:val="00AF77DE"/>
    <w:rsid w:val="00B00AE5"/>
    <w:rsid w:val="00B00C0E"/>
    <w:rsid w:val="00B01B1A"/>
    <w:rsid w:val="00B057E4"/>
    <w:rsid w:val="00B06FEE"/>
    <w:rsid w:val="00B16B6B"/>
    <w:rsid w:val="00B22AF3"/>
    <w:rsid w:val="00B3286D"/>
    <w:rsid w:val="00B417F6"/>
    <w:rsid w:val="00B41A6C"/>
    <w:rsid w:val="00B42891"/>
    <w:rsid w:val="00B44A47"/>
    <w:rsid w:val="00B52F3E"/>
    <w:rsid w:val="00B63408"/>
    <w:rsid w:val="00B66EBC"/>
    <w:rsid w:val="00B72CD3"/>
    <w:rsid w:val="00B72FFF"/>
    <w:rsid w:val="00B758FB"/>
    <w:rsid w:val="00B83213"/>
    <w:rsid w:val="00B93606"/>
    <w:rsid w:val="00B94459"/>
    <w:rsid w:val="00B9502D"/>
    <w:rsid w:val="00B9667F"/>
    <w:rsid w:val="00BA28DD"/>
    <w:rsid w:val="00BA6B60"/>
    <w:rsid w:val="00BB5EF7"/>
    <w:rsid w:val="00BB734C"/>
    <w:rsid w:val="00BC3D36"/>
    <w:rsid w:val="00BD3031"/>
    <w:rsid w:val="00BD54A6"/>
    <w:rsid w:val="00BD7F72"/>
    <w:rsid w:val="00BE29E3"/>
    <w:rsid w:val="00BF209B"/>
    <w:rsid w:val="00BF7425"/>
    <w:rsid w:val="00C01F9A"/>
    <w:rsid w:val="00C02064"/>
    <w:rsid w:val="00C04FB3"/>
    <w:rsid w:val="00C11D8B"/>
    <w:rsid w:val="00C21243"/>
    <w:rsid w:val="00C25485"/>
    <w:rsid w:val="00C33056"/>
    <w:rsid w:val="00C330EB"/>
    <w:rsid w:val="00C3663A"/>
    <w:rsid w:val="00C36904"/>
    <w:rsid w:val="00C41FD4"/>
    <w:rsid w:val="00C43987"/>
    <w:rsid w:val="00C50D69"/>
    <w:rsid w:val="00C5365C"/>
    <w:rsid w:val="00C54956"/>
    <w:rsid w:val="00C61860"/>
    <w:rsid w:val="00C754BE"/>
    <w:rsid w:val="00C76B1C"/>
    <w:rsid w:val="00C77E53"/>
    <w:rsid w:val="00C824BC"/>
    <w:rsid w:val="00C82BE0"/>
    <w:rsid w:val="00C925AC"/>
    <w:rsid w:val="00C96FCB"/>
    <w:rsid w:val="00CA3F0F"/>
    <w:rsid w:val="00CA75F1"/>
    <w:rsid w:val="00CB6357"/>
    <w:rsid w:val="00CB79EE"/>
    <w:rsid w:val="00CC166C"/>
    <w:rsid w:val="00CC1B26"/>
    <w:rsid w:val="00CC1F3E"/>
    <w:rsid w:val="00CE32B0"/>
    <w:rsid w:val="00CE63E3"/>
    <w:rsid w:val="00CE6A89"/>
    <w:rsid w:val="00CF7773"/>
    <w:rsid w:val="00CF7FB7"/>
    <w:rsid w:val="00D04B7B"/>
    <w:rsid w:val="00D31A5D"/>
    <w:rsid w:val="00D328BA"/>
    <w:rsid w:val="00D332D5"/>
    <w:rsid w:val="00D34CFA"/>
    <w:rsid w:val="00D361FD"/>
    <w:rsid w:val="00D423A2"/>
    <w:rsid w:val="00D44677"/>
    <w:rsid w:val="00D44E26"/>
    <w:rsid w:val="00D473AE"/>
    <w:rsid w:val="00D520D8"/>
    <w:rsid w:val="00D532F2"/>
    <w:rsid w:val="00D60543"/>
    <w:rsid w:val="00D62B39"/>
    <w:rsid w:val="00D63AC2"/>
    <w:rsid w:val="00D72BFC"/>
    <w:rsid w:val="00D7383B"/>
    <w:rsid w:val="00D7788A"/>
    <w:rsid w:val="00D77ED5"/>
    <w:rsid w:val="00D819E7"/>
    <w:rsid w:val="00D85337"/>
    <w:rsid w:val="00D85536"/>
    <w:rsid w:val="00DA231B"/>
    <w:rsid w:val="00DA7147"/>
    <w:rsid w:val="00DA7BB0"/>
    <w:rsid w:val="00DB442D"/>
    <w:rsid w:val="00DC39FC"/>
    <w:rsid w:val="00DC50A7"/>
    <w:rsid w:val="00DD21C9"/>
    <w:rsid w:val="00DD4B96"/>
    <w:rsid w:val="00DD4F1C"/>
    <w:rsid w:val="00DD6DAC"/>
    <w:rsid w:val="00DD784B"/>
    <w:rsid w:val="00DE024A"/>
    <w:rsid w:val="00DE4B29"/>
    <w:rsid w:val="00DF20B6"/>
    <w:rsid w:val="00DF2A39"/>
    <w:rsid w:val="00DF5254"/>
    <w:rsid w:val="00E02524"/>
    <w:rsid w:val="00E071EE"/>
    <w:rsid w:val="00E13C1F"/>
    <w:rsid w:val="00E159DA"/>
    <w:rsid w:val="00E16408"/>
    <w:rsid w:val="00E17753"/>
    <w:rsid w:val="00E20894"/>
    <w:rsid w:val="00E210C7"/>
    <w:rsid w:val="00E222B2"/>
    <w:rsid w:val="00E245AB"/>
    <w:rsid w:val="00E2764C"/>
    <w:rsid w:val="00E27CAF"/>
    <w:rsid w:val="00E27ECE"/>
    <w:rsid w:val="00E27F2E"/>
    <w:rsid w:val="00E305F7"/>
    <w:rsid w:val="00E36EB2"/>
    <w:rsid w:val="00E40137"/>
    <w:rsid w:val="00E4313F"/>
    <w:rsid w:val="00E43A0A"/>
    <w:rsid w:val="00E50AFE"/>
    <w:rsid w:val="00E60352"/>
    <w:rsid w:val="00E605C6"/>
    <w:rsid w:val="00E60AE3"/>
    <w:rsid w:val="00E66676"/>
    <w:rsid w:val="00E71A46"/>
    <w:rsid w:val="00E71F09"/>
    <w:rsid w:val="00E75C92"/>
    <w:rsid w:val="00E771DC"/>
    <w:rsid w:val="00E80BF1"/>
    <w:rsid w:val="00E83E6C"/>
    <w:rsid w:val="00E8505A"/>
    <w:rsid w:val="00E86571"/>
    <w:rsid w:val="00E8772A"/>
    <w:rsid w:val="00E90F6B"/>
    <w:rsid w:val="00E92C27"/>
    <w:rsid w:val="00E96E1E"/>
    <w:rsid w:val="00E973EA"/>
    <w:rsid w:val="00EA0E3D"/>
    <w:rsid w:val="00EA2550"/>
    <w:rsid w:val="00EC195D"/>
    <w:rsid w:val="00EC38A7"/>
    <w:rsid w:val="00EC7BB9"/>
    <w:rsid w:val="00ED1555"/>
    <w:rsid w:val="00ED219E"/>
    <w:rsid w:val="00EE1AA8"/>
    <w:rsid w:val="00EE2604"/>
    <w:rsid w:val="00EE2699"/>
    <w:rsid w:val="00EE7B18"/>
    <w:rsid w:val="00F017E3"/>
    <w:rsid w:val="00F06F9D"/>
    <w:rsid w:val="00F07A5C"/>
    <w:rsid w:val="00F11799"/>
    <w:rsid w:val="00F12E40"/>
    <w:rsid w:val="00F14A40"/>
    <w:rsid w:val="00F20C9C"/>
    <w:rsid w:val="00F21FE5"/>
    <w:rsid w:val="00F23FEA"/>
    <w:rsid w:val="00F27984"/>
    <w:rsid w:val="00F27B7B"/>
    <w:rsid w:val="00F31EDC"/>
    <w:rsid w:val="00F362E7"/>
    <w:rsid w:val="00F36582"/>
    <w:rsid w:val="00F43E6F"/>
    <w:rsid w:val="00F462B3"/>
    <w:rsid w:val="00F47AD5"/>
    <w:rsid w:val="00F54E0C"/>
    <w:rsid w:val="00F5664F"/>
    <w:rsid w:val="00F64CFC"/>
    <w:rsid w:val="00F666C4"/>
    <w:rsid w:val="00F67B7C"/>
    <w:rsid w:val="00F76AFC"/>
    <w:rsid w:val="00F777FA"/>
    <w:rsid w:val="00F82506"/>
    <w:rsid w:val="00F8569A"/>
    <w:rsid w:val="00F87FCD"/>
    <w:rsid w:val="00F93BFD"/>
    <w:rsid w:val="00FA014B"/>
    <w:rsid w:val="00FA47C0"/>
    <w:rsid w:val="00FB131D"/>
    <w:rsid w:val="00FB4C21"/>
    <w:rsid w:val="00FB5DD1"/>
    <w:rsid w:val="00FC2B5D"/>
    <w:rsid w:val="00FD0452"/>
    <w:rsid w:val="00FD06DE"/>
    <w:rsid w:val="00FD0FC8"/>
    <w:rsid w:val="00FD140F"/>
    <w:rsid w:val="00FD7933"/>
    <w:rsid w:val="00FE2BE2"/>
    <w:rsid w:val="00FE6537"/>
    <w:rsid w:val="00FF1449"/>
    <w:rsid w:val="00FF3CA5"/>
    <w:rsid w:val="00FF4D3A"/>
    <w:rsid w:val="00FF710A"/>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09CAF4C1-F9DF-46DB-9D1B-D4A7DC95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41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504CF"/>
    <w:rPr>
      <w:rFonts w:ascii="Geomanist Light" w:hAnsi="Geomanist Light"/>
      <w:lang w:val="es-ES"/>
    </w:rPr>
  </w:style>
  <w:style w:type="character" w:styleId="Fuerte">
    <w:name w:val="Strong"/>
    <w:basedOn w:val="Fuentedeprrafopredeter"/>
    <w:uiPriority w:val="22"/>
    <w:qFormat/>
    <w:rsid w:val="003E348A"/>
    <w:rPr>
      <w:b/>
      <w:bCs/>
    </w:rPr>
  </w:style>
  <w:style w:type="character" w:customStyle="1" w:styleId="NormalWebCar">
    <w:name w:val="Normal (Web) Car"/>
    <w:link w:val="NormalWeb"/>
    <w:uiPriority w:val="99"/>
    <w:locked/>
    <w:rsid w:val="003E348A"/>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99"/>
    <w:semiHidden/>
    <w:unhideWhenUsed/>
    <w:rsid w:val="0083378B"/>
    <w:pPr>
      <w:spacing w:after="120"/>
    </w:pPr>
  </w:style>
  <w:style w:type="character" w:customStyle="1" w:styleId="TextoindependienteCar">
    <w:name w:val="Texto independiente Car"/>
    <w:basedOn w:val="Fuentedeprrafopredeter"/>
    <w:link w:val="Textoindependiente"/>
    <w:uiPriority w:val="99"/>
    <w:semiHidden/>
    <w:rsid w:val="0083378B"/>
  </w:style>
  <w:style w:type="table" w:customStyle="1" w:styleId="Tablaconcuadrcula2">
    <w:name w:val="Tabla con cuadrícula2"/>
    <w:basedOn w:val="Tablanormal"/>
    <w:next w:val="Tablaconcuadrcula"/>
    <w:uiPriority w:val="39"/>
    <w:rsid w:val="00722B7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33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www.secretariasenado.gov.co/senado/basedoc/decreto_1494_2015.html" TargetMode="External"/><Relationship Id="rId17" Type="http://schemas.openxmlformats.org/officeDocument/2006/relationships/hyperlink" Target="https://www.colombiacompra.gov.co/archivos/boletin/boletin-edicion-n-3-de-2026-radar-de-la-compra-publi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archivos/circular/circular-externa-002-de-2026"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lombiacompra.gov.co/archivos/circular/circular-externa-003-de-202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archivos/manual/guia-de-garantias-en-procesos-de-contratacion"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cionpublica.gov.co/eva/gestornormativo/norma.php?i=5377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90C14D-F7E1-40FA-82D7-C50484EEC82C}">
  <ds:schemaRefs>
    <ds:schemaRef ds:uri="http://schemas.openxmlformats.org/officeDocument/2006/bibliography"/>
  </ds:schemaRefs>
</ds:datastoreItem>
</file>

<file path=customXml/itemProps2.xml><?xml version="1.0" encoding="utf-8"?>
<ds:datastoreItem xmlns:ds="http://schemas.openxmlformats.org/officeDocument/2006/customXml" ds:itemID="{A8978F60-1FF6-4653-905B-93FC33F00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10428</Words>
  <Characters>57360</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15</cp:revision>
  <cp:lastPrinted>2023-01-10T21:18:00Z</cp:lastPrinted>
  <dcterms:created xsi:type="dcterms:W3CDTF">2026-07-24T21:59:00Z</dcterms:created>
  <dcterms:modified xsi:type="dcterms:W3CDTF">2026-07-28T14:12:00Z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